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24" w:rsidRPr="0084566C" w:rsidRDefault="00941524" w:rsidP="00941524">
      <w:pPr>
        <w:ind w:left="1440" w:firstLine="720"/>
        <w:rPr>
          <w:b/>
          <w:bCs/>
          <w:lang w:val="fr-FR"/>
        </w:rPr>
      </w:pPr>
      <w:r w:rsidRPr="00EC2096">
        <w:rPr>
          <w:b/>
          <w:bCs/>
        </w:rPr>
        <w:tab/>
      </w:r>
      <w:r w:rsidRPr="00EC2096">
        <w:rPr>
          <w:b/>
          <w:bCs/>
        </w:rPr>
        <w:tab/>
      </w:r>
      <w:r w:rsidRPr="00EC2096">
        <w:rPr>
          <w:b/>
          <w:bCs/>
        </w:rPr>
        <w:tab/>
      </w:r>
      <w:r w:rsidRPr="00EC2096">
        <w:rPr>
          <w:b/>
          <w:bCs/>
        </w:rPr>
        <w:tab/>
      </w:r>
      <w:r w:rsidRPr="0084566C">
        <w:rPr>
          <w:b/>
          <w:bCs/>
          <w:lang w:val="fr-FR"/>
        </w:rPr>
        <w:t>Exhibit No. ___ T (KLE-</w:t>
      </w:r>
      <w:r>
        <w:rPr>
          <w:b/>
          <w:bCs/>
          <w:lang w:val="fr-FR"/>
        </w:rPr>
        <w:t>7</w:t>
      </w:r>
      <w:r w:rsidRPr="0084566C">
        <w:rPr>
          <w:b/>
          <w:bCs/>
          <w:lang w:val="fr-FR"/>
        </w:rPr>
        <w:t>T)</w:t>
      </w:r>
    </w:p>
    <w:p w:rsidR="00941524" w:rsidRDefault="00941524" w:rsidP="00941524">
      <w:pPr>
        <w:ind w:left="4320" w:firstLine="720"/>
        <w:rPr>
          <w:b/>
          <w:bCs/>
        </w:rPr>
      </w:pPr>
      <w:r w:rsidRPr="001934ED">
        <w:rPr>
          <w:b/>
          <w:bCs/>
        </w:rPr>
        <w:t>D</w:t>
      </w:r>
      <w:r>
        <w:rPr>
          <w:b/>
          <w:bCs/>
        </w:rPr>
        <w:t>ockets UE-120436</w:t>
      </w:r>
      <w:r w:rsidR="002B0A5E">
        <w:rPr>
          <w:b/>
          <w:bCs/>
        </w:rPr>
        <w:t>,</w:t>
      </w:r>
      <w:r>
        <w:rPr>
          <w:b/>
          <w:bCs/>
        </w:rPr>
        <w:t xml:space="preserve"> et al. </w:t>
      </w:r>
    </w:p>
    <w:p w:rsidR="00941524" w:rsidRDefault="00941524" w:rsidP="00941524">
      <w:pPr>
        <w:ind w:left="4320" w:firstLine="720"/>
        <w:rPr>
          <w:b/>
          <w:bCs/>
        </w:rPr>
      </w:pPr>
      <w:r w:rsidRPr="001934ED">
        <w:rPr>
          <w:b/>
          <w:bCs/>
        </w:rPr>
        <w:t xml:space="preserve">Witness: </w:t>
      </w:r>
      <w:r>
        <w:rPr>
          <w:b/>
          <w:bCs/>
        </w:rPr>
        <w:t xml:space="preserve"> Kenneth L. Elgin </w:t>
      </w:r>
    </w:p>
    <w:p w:rsidR="00941524" w:rsidRPr="001934ED" w:rsidRDefault="00941524" w:rsidP="00941524">
      <w:pPr>
        <w:ind w:left="5040" w:firstLine="360"/>
        <w:jc w:val="both"/>
        <w:rPr>
          <w:b/>
          <w:bCs/>
        </w:rPr>
      </w:pPr>
    </w:p>
    <w:p w:rsidR="00941524" w:rsidRDefault="00941524" w:rsidP="00941524">
      <w:pPr>
        <w:tabs>
          <w:tab w:val="center" w:pos="4680"/>
        </w:tabs>
        <w:ind w:right="-252" w:hanging="360"/>
        <w:jc w:val="center"/>
        <w:rPr>
          <w:b/>
          <w:bCs/>
        </w:rPr>
      </w:pPr>
      <w:r w:rsidRPr="000E1591">
        <w:rPr>
          <w:b/>
          <w:bCs/>
        </w:rPr>
        <w:t xml:space="preserve">BEFORE THE WASHINGTON </w:t>
      </w:r>
      <w:r>
        <w:rPr>
          <w:b/>
          <w:bCs/>
        </w:rPr>
        <w:t>STATE</w:t>
      </w:r>
    </w:p>
    <w:p w:rsidR="00941524" w:rsidRDefault="00941524" w:rsidP="00941524">
      <w:pPr>
        <w:tabs>
          <w:tab w:val="center" w:pos="4680"/>
        </w:tabs>
        <w:ind w:right="-252" w:hanging="360"/>
        <w:jc w:val="center"/>
        <w:rPr>
          <w:b/>
          <w:bCs/>
        </w:rPr>
      </w:pPr>
      <w:r w:rsidRPr="000E1591">
        <w:rPr>
          <w:b/>
          <w:bCs/>
        </w:rPr>
        <w:t>UTILITIES AND TRANSPORTATION COMMISSION</w:t>
      </w:r>
    </w:p>
    <w:p w:rsidR="00941524" w:rsidRDefault="00941524" w:rsidP="00941524">
      <w:pPr>
        <w:tabs>
          <w:tab w:val="center" w:pos="4680"/>
        </w:tabs>
        <w:ind w:right="-252" w:hanging="360"/>
        <w:rPr>
          <w:b/>
          <w:bCs/>
        </w:rPr>
      </w:pPr>
    </w:p>
    <w:p w:rsidR="00941524" w:rsidRPr="00622D28" w:rsidRDefault="00941524" w:rsidP="00941524">
      <w:pPr>
        <w:tabs>
          <w:tab w:val="center" w:pos="4680"/>
        </w:tabs>
        <w:jc w:val="center"/>
        <w:rPr>
          <w:b/>
        </w:rPr>
      </w:pPr>
    </w:p>
    <w:tbl>
      <w:tblPr>
        <w:tblW w:w="9180" w:type="dxa"/>
        <w:tblLayout w:type="fixed"/>
        <w:tblCellMar>
          <w:left w:w="124" w:type="dxa"/>
          <w:right w:w="124" w:type="dxa"/>
        </w:tblCellMar>
        <w:tblLook w:val="0000" w:firstRow="0" w:lastRow="0" w:firstColumn="0" w:lastColumn="0" w:noHBand="0" w:noVBand="0"/>
      </w:tblPr>
      <w:tblGrid>
        <w:gridCol w:w="4590"/>
        <w:gridCol w:w="4590"/>
      </w:tblGrid>
      <w:tr w:rsidR="00941524" w:rsidRPr="00622D28" w:rsidTr="00061162">
        <w:tc>
          <w:tcPr>
            <w:tcW w:w="4590" w:type="dxa"/>
            <w:tcBorders>
              <w:top w:val="single" w:sz="6" w:space="0" w:color="FFFFFF"/>
              <w:left w:val="single" w:sz="6" w:space="0" w:color="FFFFFF"/>
              <w:bottom w:val="single" w:sz="7" w:space="0" w:color="000000"/>
              <w:right w:val="single" w:sz="6" w:space="0" w:color="FFFFFF"/>
            </w:tcBorders>
          </w:tcPr>
          <w:p w:rsidR="00941524" w:rsidRPr="00622D28" w:rsidRDefault="00941524" w:rsidP="00061162">
            <w:pPr>
              <w:rPr>
                <w:b/>
              </w:rPr>
            </w:pPr>
            <w:r w:rsidRPr="00622D28">
              <w:rPr>
                <w:b/>
              </w:rPr>
              <w:t xml:space="preserve">WASHINGTON UTILITIES AND TRANSPORTATION COMMISSION, </w:t>
            </w:r>
          </w:p>
          <w:p w:rsidR="00941524" w:rsidRPr="00622D28" w:rsidRDefault="00941524" w:rsidP="00061162">
            <w:pPr>
              <w:rPr>
                <w:b/>
              </w:rPr>
            </w:pPr>
          </w:p>
          <w:p w:rsidR="00941524" w:rsidRPr="00622D28" w:rsidRDefault="00941524" w:rsidP="00061162">
            <w:pPr>
              <w:rPr>
                <w:b/>
              </w:rPr>
            </w:pPr>
            <w:r w:rsidRPr="00622D28">
              <w:rPr>
                <w:b/>
              </w:rPr>
              <w:tab/>
            </w:r>
            <w:r w:rsidRPr="00622D28">
              <w:rPr>
                <w:b/>
              </w:rPr>
              <w:tab/>
              <w:t>Complainant,</w:t>
            </w:r>
          </w:p>
          <w:p w:rsidR="00941524" w:rsidRPr="00622D28" w:rsidRDefault="00941524" w:rsidP="00061162">
            <w:pPr>
              <w:rPr>
                <w:b/>
              </w:rPr>
            </w:pPr>
          </w:p>
          <w:p w:rsidR="00941524" w:rsidRPr="00622D28" w:rsidRDefault="00941524" w:rsidP="00061162">
            <w:pPr>
              <w:rPr>
                <w:b/>
              </w:rPr>
            </w:pPr>
            <w:r w:rsidRPr="00622D28">
              <w:rPr>
                <w:b/>
              </w:rPr>
              <w:tab/>
              <w:t>v.</w:t>
            </w:r>
          </w:p>
          <w:p w:rsidR="00941524" w:rsidRPr="00622D28" w:rsidRDefault="00941524" w:rsidP="00061162">
            <w:pPr>
              <w:rPr>
                <w:b/>
              </w:rPr>
            </w:pPr>
          </w:p>
          <w:p w:rsidR="00941524" w:rsidRPr="00622D28" w:rsidRDefault="00941524" w:rsidP="00061162">
            <w:pPr>
              <w:rPr>
                <w:b/>
              </w:rPr>
            </w:pPr>
            <w:r w:rsidRPr="00622D28">
              <w:rPr>
                <w:b/>
              </w:rPr>
              <w:t xml:space="preserve">AVISTA CORPORATION, d/b/a AVISTA UTILITIES, </w:t>
            </w:r>
          </w:p>
          <w:p w:rsidR="00941524" w:rsidRPr="00622D28" w:rsidRDefault="00941524" w:rsidP="00061162">
            <w:pPr>
              <w:rPr>
                <w:b/>
              </w:rPr>
            </w:pPr>
          </w:p>
          <w:p w:rsidR="00941524" w:rsidRPr="00622D28" w:rsidRDefault="00941524" w:rsidP="00061162">
            <w:pPr>
              <w:rPr>
                <w:b/>
              </w:rPr>
            </w:pPr>
            <w:r w:rsidRPr="00622D28">
              <w:rPr>
                <w:b/>
              </w:rPr>
              <w:tab/>
            </w:r>
            <w:r w:rsidRPr="00622D28">
              <w:rPr>
                <w:b/>
              </w:rPr>
              <w:tab/>
              <w:t>Respondent.</w:t>
            </w:r>
          </w:p>
          <w:p w:rsidR="00941524" w:rsidRPr="00622D28" w:rsidRDefault="00941524" w:rsidP="00061162">
            <w:pPr>
              <w:rPr>
                <w:b/>
              </w:rPr>
            </w:pPr>
          </w:p>
          <w:p w:rsidR="00941524" w:rsidRPr="00622D28" w:rsidRDefault="00941524" w:rsidP="00061162">
            <w:pPr>
              <w:rPr>
                <w:b/>
                <w:bCs/>
              </w:rPr>
            </w:pPr>
          </w:p>
          <w:p w:rsidR="00941524" w:rsidRPr="00622D28" w:rsidRDefault="00941524" w:rsidP="00061162">
            <w:pPr>
              <w:rPr>
                <w:b/>
                <w:bCs/>
              </w:rPr>
            </w:pPr>
            <w:r w:rsidRPr="00622D28">
              <w:rPr>
                <w:b/>
                <w:bCs/>
              </w:rPr>
              <w:t>WASHINGTON UTILITIES AND TRANSPORTATION COMMISSION,</w:t>
            </w:r>
          </w:p>
          <w:p w:rsidR="00941524" w:rsidRPr="00622D28" w:rsidRDefault="00941524" w:rsidP="00061162">
            <w:pPr>
              <w:rPr>
                <w:b/>
                <w:bCs/>
              </w:rPr>
            </w:pPr>
          </w:p>
          <w:p w:rsidR="00941524" w:rsidRPr="00622D28" w:rsidRDefault="00941524" w:rsidP="00061162">
            <w:pPr>
              <w:rPr>
                <w:b/>
                <w:bCs/>
              </w:rPr>
            </w:pPr>
            <w:r w:rsidRPr="00622D28">
              <w:rPr>
                <w:b/>
                <w:bCs/>
              </w:rPr>
              <w:tab/>
              <w:t>Complainant,</w:t>
            </w:r>
          </w:p>
          <w:p w:rsidR="00941524" w:rsidRPr="00622D28" w:rsidRDefault="00941524" w:rsidP="00061162">
            <w:pPr>
              <w:rPr>
                <w:b/>
                <w:bCs/>
              </w:rPr>
            </w:pPr>
          </w:p>
          <w:p w:rsidR="00941524" w:rsidRPr="00622D28" w:rsidRDefault="00941524" w:rsidP="00061162">
            <w:pPr>
              <w:rPr>
                <w:b/>
                <w:bCs/>
              </w:rPr>
            </w:pPr>
            <w:r w:rsidRPr="00622D28">
              <w:rPr>
                <w:b/>
                <w:bCs/>
              </w:rPr>
              <w:t>v.</w:t>
            </w:r>
          </w:p>
          <w:p w:rsidR="00941524" w:rsidRPr="00622D28" w:rsidRDefault="00941524" w:rsidP="00061162">
            <w:pPr>
              <w:rPr>
                <w:b/>
                <w:bCs/>
              </w:rPr>
            </w:pPr>
          </w:p>
          <w:p w:rsidR="00941524" w:rsidRPr="00622D28" w:rsidRDefault="00941524" w:rsidP="00061162">
            <w:pPr>
              <w:rPr>
                <w:b/>
                <w:bCs/>
              </w:rPr>
            </w:pPr>
            <w:r w:rsidRPr="00622D28">
              <w:rPr>
                <w:b/>
                <w:bCs/>
              </w:rPr>
              <w:t>AVISTA CORPORATION d/b/a AVISTA UTILITIES,</w:t>
            </w:r>
          </w:p>
          <w:p w:rsidR="00941524" w:rsidRPr="00622D28" w:rsidRDefault="00941524" w:rsidP="00061162">
            <w:pPr>
              <w:rPr>
                <w:b/>
                <w:bCs/>
              </w:rPr>
            </w:pPr>
          </w:p>
          <w:p w:rsidR="00941524" w:rsidRPr="00622D28" w:rsidRDefault="00941524" w:rsidP="00061162">
            <w:pPr>
              <w:rPr>
                <w:b/>
                <w:bCs/>
              </w:rPr>
            </w:pPr>
            <w:r w:rsidRPr="00622D28">
              <w:rPr>
                <w:b/>
                <w:bCs/>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941524" w:rsidRPr="00622D28" w:rsidRDefault="00941524" w:rsidP="00061162">
            <w:pPr>
              <w:ind w:left="450"/>
              <w:rPr>
                <w:b/>
              </w:rPr>
            </w:pPr>
            <w:r w:rsidRPr="00622D28">
              <w:rPr>
                <w:b/>
              </w:rPr>
              <w:t>DOCKETS UE-120436/UG-120437</w:t>
            </w:r>
          </w:p>
          <w:p w:rsidR="00941524" w:rsidRPr="00622D28" w:rsidRDefault="00941524" w:rsidP="00061162">
            <w:pPr>
              <w:ind w:left="450"/>
              <w:rPr>
                <w:b/>
                <w:i/>
              </w:rPr>
            </w:pPr>
            <w:r>
              <w:rPr>
                <w:b/>
              </w:rPr>
              <w:tab/>
            </w:r>
            <w:r>
              <w:rPr>
                <w:b/>
              </w:rPr>
              <w:tab/>
            </w:r>
            <w:r w:rsidRPr="00622D28">
              <w:rPr>
                <w:b/>
              </w:rPr>
              <w:t>(</w:t>
            </w:r>
            <w:r w:rsidRPr="00622D28">
              <w:rPr>
                <w:b/>
                <w:i/>
              </w:rPr>
              <w:t>consolidated)</w:t>
            </w:r>
          </w:p>
          <w:p w:rsidR="00941524" w:rsidRPr="00622D28" w:rsidRDefault="00941524" w:rsidP="00061162">
            <w:pPr>
              <w:ind w:left="450"/>
              <w:rPr>
                <w:b/>
              </w:rPr>
            </w:pPr>
          </w:p>
          <w:p w:rsidR="00941524" w:rsidRPr="00622D28" w:rsidRDefault="00941524" w:rsidP="00061162">
            <w:pPr>
              <w:ind w:left="450"/>
              <w:rPr>
                <w:b/>
              </w:rPr>
            </w:pPr>
          </w:p>
          <w:p w:rsidR="00941524" w:rsidRPr="00622D28" w:rsidRDefault="00941524" w:rsidP="00061162">
            <w:pPr>
              <w:ind w:left="450"/>
              <w:rPr>
                <w:b/>
              </w:rPr>
            </w:pPr>
          </w:p>
          <w:p w:rsidR="00941524" w:rsidRPr="00622D28" w:rsidRDefault="00941524" w:rsidP="00061162">
            <w:pPr>
              <w:ind w:left="450"/>
              <w:rPr>
                <w:b/>
              </w:rPr>
            </w:pPr>
          </w:p>
          <w:p w:rsidR="00941524" w:rsidRPr="00622D28" w:rsidRDefault="00941524" w:rsidP="00061162">
            <w:pPr>
              <w:ind w:left="450"/>
              <w:rPr>
                <w:b/>
              </w:rPr>
            </w:pPr>
          </w:p>
          <w:p w:rsidR="00941524" w:rsidRPr="00622D28" w:rsidRDefault="00941524" w:rsidP="00061162">
            <w:pPr>
              <w:ind w:left="450"/>
              <w:rPr>
                <w:b/>
              </w:rPr>
            </w:pPr>
          </w:p>
          <w:p w:rsidR="00941524" w:rsidRPr="00622D28" w:rsidRDefault="00941524" w:rsidP="00061162">
            <w:pPr>
              <w:ind w:left="450"/>
              <w:rPr>
                <w:b/>
              </w:rPr>
            </w:pPr>
          </w:p>
          <w:p w:rsidR="00941524" w:rsidRPr="00622D28" w:rsidRDefault="00941524" w:rsidP="00061162">
            <w:pPr>
              <w:ind w:left="450"/>
              <w:rPr>
                <w:b/>
              </w:rPr>
            </w:pPr>
          </w:p>
          <w:p w:rsidR="00941524" w:rsidRPr="00622D28" w:rsidRDefault="00941524" w:rsidP="00061162">
            <w:pPr>
              <w:ind w:left="450"/>
              <w:rPr>
                <w:b/>
              </w:rPr>
            </w:pPr>
          </w:p>
          <w:p w:rsidR="00941524" w:rsidRPr="00622D28" w:rsidRDefault="00941524" w:rsidP="00061162">
            <w:pPr>
              <w:ind w:left="450"/>
              <w:rPr>
                <w:b/>
              </w:rPr>
            </w:pPr>
          </w:p>
          <w:p w:rsidR="00941524" w:rsidRPr="00622D28" w:rsidRDefault="00941524" w:rsidP="00061162">
            <w:pPr>
              <w:ind w:left="450"/>
              <w:rPr>
                <w:b/>
              </w:rPr>
            </w:pPr>
            <w:r w:rsidRPr="00622D28">
              <w:rPr>
                <w:b/>
              </w:rPr>
              <w:t>DOCKETS UE-110876/UG-110877</w:t>
            </w:r>
          </w:p>
          <w:p w:rsidR="00941524" w:rsidRPr="00622D28" w:rsidRDefault="00941524" w:rsidP="00061162">
            <w:pPr>
              <w:ind w:left="450"/>
              <w:rPr>
                <w:b/>
                <w:i/>
              </w:rPr>
            </w:pPr>
            <w:r>
              <w:rPr>
                <w:b/>
                <w:i/>
              </w:rPr>
              <w:tab/>
            </w:r>
            <w:r>
              <w:rPr>
                <w:b/>
                <w:i/>
              </w:rPr>
              <w:tab/>
            </w:r>
            <w:r w:rsidRPr="00622D28">
              <w:rPr>
                <w:b/>
                <w:i/>
              </w:rPr>
              <w:t>(consolidated)</w:t>
            </w:r>
          </w:p>
          <w:p w:rsidR="00941524" w:rsidRPr="00622D28" w:rsidRDefault="00941524" w:rsidP="00061162">
            <w:pPr>
              <w:ind w:left="450"/>
              <w:rPr>
                <w:b/>
                <w:i/>
              </w:rPr>
            </w:pPr>
          </w:p>
          <w:p w:rsidR="00941524" w:rsidRPr="00622D28" w:rsidRDefault="00941524" w:rsidP="00061162">
            <w:pPr>
              <w:tabs>
                <w:tab w:val="center" w:pos="4680"/>
              </w:tabs>
              <w:jc w:val="center"/>
              <w:rPr>
                <w:b/>
              </w:rPr>
            </w:pPr>
          </w:p>
          <w:p w:rsidR="00941524" w:rsidRPr="00622D28" w:rsidRDefault="00941524" w:rsidP="00061162">
            <w:pPr>
              <w:tabs>
                <w:tab w:val="center" w:pos="4680"/>
              </w:tabs>
              <w:jc w:val="center"/>
              <w:rPr>
                <w:b/>
              </w:rPr>
            </w:pPr>
          </w:p>
        </w:tc>
      </w:tr>
    </w:tbl>
    <w:p w:rsidR="00941524" w:rsidRPr="00622D28" w:rsidRDefault="00941524" w:rsidP="00941524">
      <w:pPr>
        <w:tabs>
          <w:tab w:val="center" w:pos="4680"/>
        </w:tabs>
        <w:jc w:val="center"/>
        <w:rPr>
          <w:b/>
          <w:bCs/>
        </w:rPr>
      </w:pPr>
    </w:p>
    <w:p w:rsidR="00941524" w:rsidRDefault="00941524" w:rsidP="00941524">
      <w:pPr>
        <w:tabs>
          <w:tab w:val="center" w:pos="4680"/>
        </w:tabs>
        <w:jc w:val="center"/>
        <w:rPr>
          <w:b/>
        </w:rPr>
      </w:pPr>
    </w:p>
    <w:p w:rsidR="00941524" w:rsidRPr="00F021E3" w:rsidRDefault="00941524" w:rsidP="00941524">
      <w:pPr>
        <w:tabs>
          <w:tab w:val="center" w:pos="4320"/>
        </w:tabs>
        <w:jc w:val="center"/>
        <w:rPr>
          <w:b/>
        </w:rPr>
      </w:pPr>
      <w:r>
        <w:rPr>
          <w:b/>
        </w:rPr>
        <w:t xml:space="preserve">REBUTTAL </w:t>
      </w:r>
      <w:r w:rsidRPr="00F021E3">
        <w:rPr>
          <w:b/>
        </w:rPr>
        <w:t>TESTIMONY</w:t>
      </w:r>
      <w:r>
        <w:rPr>
          <w:b/>
        </w:rPr>
        <w:t xml:space="preserve"> </w:t>
      </w:r>
      <w:r w:rsidRPr="00F021E3">
        <w:rPr>
          <w:b/>
        </w:rPr>
        <w:t>OF</w:t>
      </w:r>
    </w:p>
    <w:p w:rsidR="00941524" w:rsidRPr="00F021E3" w:rsidRDefault="00941524" w:rsidP="00941524">
      <w:pPr>
        <w:jc w:val="center"/>
        <w:rPr>
          <w:b/>
        </w:rPr>
      </w:pPr>
    </w:p>
    <w:p w:rsidR="00941524" w:rsidRPr="00F021E3" w:rsidRDefault="00941524" w:rsidP="00941524">
      <w:pPr>
        <w:tabs>
          <w:tab w:val="center" w:pos="4680"/>
        </w:tabs>
        <w:jc w:val="center"/>
        <w:rPr>
          <w:b/>
        </w:rPr>
      </w:pPr>
      <w:r>
        <w:rPr>
          <w:b/>
        </w:rPr>
        <w:t>Kenneth L. Elgin</w:t>
      </w:r>
    </w:p>
    <w:p w:rsidR="00941524" w:rsidRPr="00F021E3" w:rsidRDefault="00941524" w:rsidP="00941524">
      <w:pPr>
        <w:jc w:val="center"/>
        <w:rPr>
          <w:b/>
        </w:rPr>
      </w:pPr>
    </w:p>
    <w:p w:rsidR="00941524" w:rsidRPr="00F021E3" w:rsidRDefault="00941524" w:rsidP="00941524">
      <w:pPr>
        <w:tabs>
          <w:tab w:val="center" w:pos="4680"/>
        </w:tabs>
        <w:jc w:val="center"/>
        <w:rPr>
          <w:b/>
        </w:rPr>
      </w:pPr>
      <w:r>
        <w:rPr>
          <w:b/>
        </w:rPr>
        <w:t>S</w:t>
      </w:r>
      <w:r w:rsidRPr="00F021E3">
        <w:rPr>
          <w:b/>
        </w:rPr>
        <w:t>TAFF OF</w:t>
      </w:r>
      <w:r>
        <w:rPr>
          <w:b/>
        </w:rPr>
        <w:t xml:space="preserve"> </w:t>
      </w:r>
      <w:r w:rsidRPr="00F021E3">
        <w:rPr>
          <w:b/>
        </w:rPr>
        <w:t>WASHINGTON UTILITIES AND</w:t>
      </w:r>
    </w:p>
    <w:p w:rsidR="00941524" w:rsidRPr="00F021E3" w:rsidRDefault="00941524" w:rsidP="00941524">
      <w:pPr>
        <w:tabs>
          <w:tab w:val="center" w:pos="4680"/>
        </w:tabs>
        <w:jc w:val="center"/>
        <w:rPr>
          <w:b/>
        </w:rPr>
      </w:pPr>
      <w:r w:rsidRPr="00F021E3">
        <w:rPr>
          <w:b/>
        </w:rPr>
        <w:t>TRANSPORTATION COMMISSION</w:t>
      </w:r>
    </w:p>
    <w:p w:rsidR="00941524" w:rsidRDefault="00941524" w:rsidP="00941524">
      <w:pPr>
        <w:jc w:val="center"/>
        <w:rPr>
          <w:b/>
        </w:rPr>
      </w:pPr>
    </w:p>
    <w:p w:rsidR="00941524" w:rsidRPr="0028096E" w:rsidRDefault="00007AB8" w:rsidP="00941524">
      <w:pPr>
        <w:jc w:val="center"/>
        <w:rPr>
          <w:b/>
          <w:i/>
        </w:rPr>
      </w:pPr>
      <w:r>
        <w:rPr>
          <w:b/>
          <w:i/>
        </w:rPr>
        <w:t xml:space="preserve">In support of </w:t>
      </w:r>
      <w:r w:rsidR="00BB4BDE">
        <w:rPr>
          <w:b/>
          <w:i/>
        </w:rPr>
        <w:t xml:space="preserve">the </w:t>
      </w:r>
      <w:r>
        <w:rPr>
          <w:b/>
          <w:i/>
        </w:rPr>
        <w:t>Multi-Party Settlement Stipulation</w:t>
      </w:r>
    </w:p>
    <w:p w:rsidR="00941524" w:rsidRDefault="00941524" w:rsidP="00941524">
      <w:pPr>
        <w:tabs>
          <w:tab w:val="center" w:pos="4680"/>
        </w:tabs>
        <w:jc w:val="center"/>
        <w:rPr>
          <w:b/>
        </w:rPr>
      </w:pPr>
    </w:p>
    <w:p w:rsidR="00941524" w:rsidRDefault="00941524" w:rsidP="00941524">
      <w:pPr>
        <w:tabs>
          <w:tab w:val="left" w:pos="720"/>
          <w:tab w:val="right" w:leader="dot" w:pos="8640"/>
          <w:tab w:val="left" w:pos="9240"/>
        </w:tabs>
        <w:spacing w:line="480" w:lineRule="auto"/>
        <w:jc w:val="center"/>
        <w:rPr>
          <w:b/>
        </w:rPr>
      </w:pPr>
      <w:r>
        <w:rPr>
          <w:b/>
        </w:rPr>
        <w:t>November 19, 2012</w:t>
      </w:r>
    </w:p>
    <w:p w:rsidR="00941524" w:rsidRDefault="00941524" w:rsidP="00941524">
      <w:pPr>
        <w:tabs>
          <w:tab w:val="left" w:pos="720"/>
          <w:tab w:val="right" w:leader="dot" w:pos="8640"/>
          <w:tab w:val="left" w:pos="9240"/>
        </w:tabs>
        <w:spacing w:line="480" w:lineRule="auto"/>
        <w:rPr>
          <w:b/>
        </w:rPr>
      </w:pPr>
    </w:p>
    <w:p w:rsidR="00941524" w:rsidRDefault="00941524" w:rsidP="00941524">
      <w:pPr>
        <w:tabs>
          <w:tab w:val="left" w:pos="720"/>
          <w:tab w:val="right" w:leader="dot" w:pos="8640"/>
          <w:tab w:val="left" w:pos="9240"/>
        </w:tabs>
        <w:spacing w:line="480" w:lineRule="auto"/>
        <w:rPr>
          <w:b/>
        </w:rPr>
        <w:sectPr w:rsidR="00941524" w:rsidSect="00061162">
          <w:pgSz w:w="12240" w:h="15840" w:code="1"/>
          <w:pgMar w:top="1440" w:right="1440" w:bottom="1440" w:left="1872" w:header="720" w:footer="720" w:gutter="0"/>
          <w:pgNumType w:start="1"/>
          <w:cols w:space="720"/>
          <w:docGrid w:linePitch="360"/>
        </w:sectPr>
      </w:pPr>
    </w:p>
    <w:p w:rsidR="00941524" w:rsidRDefault="00941524" w:rsidP="00941524">
      <w:pPr>
        <w:tabs>
          <w:tab w:val="left" w:pos="720"/>
          <w:tab w:val="right" w:leader="dot" w:pos="8640"/>
          <w:tab w:val="left" w:pos="9240"/>
        </w:tabs>
        <w:spacing w:line="480" w:lineRule="auto"/>
        <w:jc w:val="center"/>
        <w:rPr>
          <w:b/>
        </w:rPr>
      </w:pPr>
      <w:r>
        <w:rPr>
          <w:b/>
        </w:rPr>
        <w:lastRenderedPageBreak/>
        <w:t>TABLE OF CONTENTS</w:t>
      </w:r>
    </w:p>
    <w:p w:rsidR="00941524" w:rsidRDefault="00941524" w:rsidP="00941524">
      <w:pPr>
        <w:tabs>
          <w:tab w:val="left" w:pos="720"/>
          <w:tab w:val="right" w:leader="dot" w:pos="8640"/>
          <w:tab w:val="left" w:pos="9240"/>
        </w:tabs>
        <w:rPr>
          <w:b/>
        </w:rPr>
      </w:pPr>
    </w:p>
    <w:p w:rsidR="00941524" w:rsidRDefault="00941524" w:rsidP="00941524">
      <w:pPr>
        <w:tabs>
          <w:tab w:val="left" w:pos="720"/>
          <w:tab w:val="right" w:leader="dot" w:pos="8640"/>
          <w:tab w:val="left" w:pos="9240"/>
        </w:tabs>
      </w:pPr>
      <w:r>
        <w:t>I.</w:t>
      </w:r>
      <w:r>
        <w:tab/>
        <w:t xml:space="preserve">INTRODUCTION </w:t>
      </w:r>
      <w:r>
        <w:tab/>
        <w:t>1</w:t>
      </w:r>
    </w:p>
    <w:p w:rsidR="00941524" w:rsidRDefault="00941524" w:rsidP="00941524">
      <w:pPr>
        <w:tabs>
          <w:tab w:val="left" w:pos="720"/>
          <w:tab w:val="right" w:leader="dot" w:pos="8640"/>
          <w:tab w:val="left" w:pos="9240"/>
        </w:tabs>
      </w:pPr>
    </w:p>
    <w:p w:rsidR="00941524" w:rsidRDefault="00941524" w:rsidP="00941524">
      <w:pPr>
        <w:tabs>
          <w:tab w:val="left" w:pos="720"/>
          <w:tab w:val="right" w:leader="dot" w:pos="8640"/>
          <w:tab w:val="left" w:pos="9240"/>
        </w:tabs>
      </w:pPr>
      <w:r>
        <w:t>II.</w:t>
      </w:r>
      <w:r>
        <w:tab/>
        <w:t xml:space="preserve">RESPONSE TO PUBLIC COUNSEL </w:t>
      </w:r>
      <w:r>
        <w:tab/>
        <w:t>2</w:t>
      </w:r>
    </w:p>
    <w:p w:rsidR="00941524" w:rsidRDefault="00941524" w:rsidP="00941524">
      <w:pPr>
        <w:tabs>
          <w:tab w:val="left" w:pos="720"/>
          <w:tab w:val="right" w:leader="dot" w:pos="8640"/>
          <w:tab w:val="left" w:pos="9240"/>
        </w:tabs>
      </w:pPr>
    </w:p>
    <w:p w:rsidR="00941524" w:rsidRDefault="00941524" w:rsidP="00941524">
      <w:pPr>
        <w:tabs>
          <w:tab w:val="left" w:pos="720"/>
          <w:tab w:val="left" w:pos="1440"/>
          <w:tab w:val="right" w:leader="dot" w:pos="8640"/>
          <w:tab w:val="left" w:pos="9240"/>
        </w:tabs>
      </w:pPr>
      <w:r>
        <w:tab/>
        <w:t>A.</w:t>
      </w:r>
      <w:r>
        <w:tab/>
        <w:t xml:space="preserve">ATTRITION </w:t>
      </w:r>
      <w:r>
        <w:tab/>
        <w:t>2</w:t>
      </w:r>
    </w:p>
    <w:p w:rsidR="00941524" w:rsidRDefault="00941524" w:rsidP="00941524">
      <w:pPr>
        <w:tabs>
          <w:tab w:val="left" w:pos="720"/>
          <w:tab w:val="left" w:pos="1440"/>
          <w:tab w:val="right" w:leader="dot" w:pos="8640"/>
          <w:tab w:val="left" w:pos="9240"/>
        </w:tabs>
      </w:pPr>
    </w:p>
    <w:p w:rsidR="00941524" w:rsidRDefault="00941524" w:rsidP="00941524">
      <w:pPr>
        <w:tabs>
          <w:tab w:val="left" w:pos="720"/>
          <w:tab w:val="left" w:pos="1440"/>
          <w:tab w:val="right" w:leader="dot" w:pos="8640"/>
          <w:tab w:val="left" w:pos="9240"/>
        </w:tabs>
      </w:pPr>
      <w:r>
        <w:tab/>
        <w:t>B.</w:t>
      </w:r>
      <w:r>
        <w:tab/>
        <w:t xml:space="preserve">“BLACK BOX” </w:t>
      </w:r>
      <w:r>
        <w:tab/>
      </w:r>
      <w:r w:rsidR="0087447C">
        <w:t>8</w:t>
      </w:r>
    </w:p>
    <w:p w:rsidR="00941524" w:rsidRDefault="00941524" w:rsidP="00941524">
      <w:pPr>
        <w:tabs>
          <w:tab w:val="left" w:pos="720"/>
          <w:tab w:val="right" w:leader="dot" w:pos="8640"/>
          <w:tab w:val="left" w:pos="9240"/>
        </w:tabs>
      </w:pPr>
    </w:p>
    <w:p w:rsidR="00941524" w:rsidRDefault="00941524" w:rsidP="00941524">
      <w:pPr>
        <w:tabs>
          <w:tab w:val="left" w:pos="720"/>
          <w:tab w:val="left" w:pos="1440"/>
          <w:tab w:val="right" w:leader="dot" w:pos="8640"/>
          <w:tab w:val="left" w:pos="9240"/>
        </w:tabs>
        <w:rPr>
          <w:b/>
        </w:rPr>
      </w:pPr>
      <w:r>
        <w:tab/>
        <w:t>C.</w:t>
      </w:r>
      <w:r>
        <w:tab/>
        <w:t xml:space="preserve">RATE OF RETURN  </w:t>
      </w:r>
      <w:r>
        <w:tab/>
      </w:r>
      <w:r w:rsidR="0087447C">
        <w:t>11</w:t>
      </w:r>
    </w:p>
    <w:p w:rsidR="00941524" w:rsidRDefault="00941524" w:rsidP="00941524">
      <w:pPr>
        <w:tabs>
          <w:tab w:val="left" w:pos="720"/>
          <w:tab w:val="right" w:leader="dot" w:pos="8640"/>
          <w:tab w:val="left" w:pos="9240"/>
        </w:tabs>
        <w:rPr>
          <w:b/>
        </w:rPr>
      </w:pPr>
    </w:p>
    <w:p w:rsidR="00941524" w:rsidRDefault="00941524" w:rsidP="00941524">
      <w:pPr>
        <w:tabs>
          <w:tab w:val="left" w:pos="720"/>
          <w:tab w:val="left" w:pos="1440"/>
          <w:tab w:val="right" w:leader="dot" w:pos="8640"/>
          <w:tab w:val="left" w:pos="9240"/>
        </w:tabs>
      </w:pPr>
      <w:r w:rsidRPr="00941524">
        <w:tab/>
        <w:t>D.</w:t>
      </w:r>
      <w:r w:rsidRPr="00941524">
        <w:tab/>
        <w:t xml:space="preserve">MISCELLANEOUS ISSUES RAISED BY PUBLIC COUNSEL </w:t>
      </w:r>
    </w:p>
    <w:p w:rsidR="00941524" w:rsidRPr="00941524" w:rsidRDefault="00941524" w:rsidP="00941524">
      <w:pPr>
        <w:tabs>
          <w:tab w:val="left" w:pos="720"/>
          <w:tab w:val="left" w:pos="1440"/>
          <w:tab w:val="right" w:leader="dot" w:pos="8640"/>
          <w:tab w:val="left" w:pos="9240"/>
        </w:tabs>
      </w:pPr>
      <w:r>
        <w:tab/>
      </w:r>
      <w:r>
        <w:tab/>
      </w:r>
      <w:r w:rsidRPr="00941524">
        <w:t>IN OPPOSITION TO THE SETTLEMENT</w:t>
      </w:r>
      <w:r>
        <w:t xml:space="preserve"> </w:t>
      </w:r>
      <w:r>
        <w:tab/>
      </w:r>
      <w:r w:rsidR="0087447C">
        <w:t>12</w:t>
      </w:r>
    </w:p>
    <w:p w:rsidR="00941524" w:rsidRDefault="00941524" w:rsidP="00941524">
      <w:pPr>
        <w:tabs>
          <w:tab w:val="left" w:pos="720"/>
          <w:tab w:val="right" w:leader="dot" w:pos="8640"/>
          <w:tab w:val="left" w:pos="9240"/>
        </w:tabs>
        <w:rPr>
          <w:b/>
        </w:rPr>
      </w:pPr>
    </w:p>
    <w:p w:rsidR="00941524" w:rsidRPr="00941524" w:rsidRDefault="00941524" w:rsidP="00941524">
      <w:pPr>
        <w:tabs>
          <w:tab w:val="left" w:pos="720"/>
          <w:tab w:val="right" w:leader="dot" w:pos="8640"/>
          <w:tab w:val="left" w:pos="9240"/>
        </w:tabs>
      </w:pPr>
      <w:r>
        <w:t>III.</w:t>
      </w:r>
      <w:r>
        <w:tab/>
        <w:t xml:space="preserve">CONCLUSION </w:t>
      </w:r>
      <w:r>
        <w:tab/>
      </w:r>
      <w:r w:rsidR="0087447C">
        <w:t>15</w:t>
      </w:r>
    </w:p>
    <w:p w:rsidR="00941524" w:rsidRDefault="00941524" w:rsidP="00941524">
      <w:pPr>
        <w:tabs>
          <w:tab w:val="left" w:pos="720"/>
          <w:tab w:val="right" w:leader="dot" w:pos="8640"/>
          <w:tab w:val="left" w:pos="9240"/>
        </w:tabs>
        <w:rPr>
          <w:b/>
        </w:rPr>
      </w:pPr>
    </w:p>
    <w:p w:rsidR="00941524" w:rsidRDefault="00941524" w:rsidP="00941524">
      <w:pPr>
        <w:tabs>
          <w:tab w:val="left" w:pos="720"/>
          <w:tab w:val="right" w:leader="dot" w:pos="8640"/>
          <w:tab w:val="left" w:pos="9240"/>
        </w:tabs>
        <w:spacing w:line="480" w:lineRule="auto"/>
        <w:rPr>
          <w:b/>
        </w:rPr>
      </w:pPr>
    </w:p>
    <w:p w:rsidR="00941524" w:rsidRDefault="00941524" w:rsidP="00941524">
      <w:pPr>
        <w:tabs>
          <w:tab w:val="left" w:pos="720"/>
          <w:tab w:val="right" w:leader="dot" w:pos="8640"/>
          <w:tab w:val="left" w:pos="9240"/>
        </w:tabs>
        <w:spacing w:line="480" w:lineRule="auto"/>
        <w:rPr>
          <w:b/>
        </w:rPr>
        <w:sectPr w:rsidR="00941524" w:rsidSect="00061162">
          <w:footerReference w:type="default" r:id="rId9"/>
          <w:pgSz w:w="12240" w:h="15840" w:code="1"/>
          <w:pgMar w:top="1440" w:right="1440" w:bottom="1440" w:left="1872" w:header="720" w:footer="720" w:gutter="0"/>
          <w:pgNumType w:fmt="lowerRoman" w:start="1"/>
          <w:cols w:space="720"/>
          <w:docGrid w:linePitch="360"/>
        </w:sectPr>
      </w:pPr>
    </w:p>
    <w:p w:rsidR="00374F30" w:rsidRPr="00941524" w:rsidRDefault="00941524" w:rsidP="00941524">
      <w:pPr>
        <w:tabs>
          <w:tab w:val="left" w:pos="720"/>
          <w:tab w:val="right" w:leader="dot" w:pos="8640"/>
          <w:tab w:val="left" w:pos="9240"/>
        </w:tabs>
        <w:spacing w:line="480" w:lineRule="auto"/>
        <w:jc w:val="center"/>
        <w:rPr>
          <w:b/>
          <w:u w:val="single"/>
        </w:rPr>
      </w:pPr>
      <w:r>
        <w:rPr>
          <w:b/>
        </w:rPr>
        <w:lastRenderedPageBreak/>
        <w:t>I.</w:t>
      </w:r>
      <w:r>
        <w:rPr>
          <w:b/>
        </w:rPr>
        <w:tab/>
      </w:r>
      <w:r w:rsidR="00374F30" w:rsidRPr="00941524">
        <w:rPr>
          <w:b/>
        </w:rPr>
        <w:t>INTRODUCTION</w:t>
      </w:r>
    </w:p>
    <w:p w:rsidR="00374F30" w:rsidRDefault="00374F30" w:rsidP="00374F30">
      <w:pPr>
        <w:tabs>
          <w:tab w:val="left" w:pos="720"/>
          <w:tab w:val="right" w:leader="dot" w:pos="8640"/>
          <w:tab w:val="left" w:pos="9240"/>
        </w:tabs>
        <w:spacing w:line="480" w:lineRule="auto"/>
        <w:jc w:val="both"/>
        <w:rPr>
          <w:b/>
          <w:u w:val="single"/>
        </w:rPr>
      </w:pPr>
    </w:p>
    <w:p w:rsidR="00374F30" w:rsidRDefault="00374F30" w:rsidP="00374F30">
      <w:pPr>
        <w:tabs>
          <w:tab w:val="left" w:pos="720"/>
          <w:tab w:val="right" w:leader="dot" w:pos="8640"/>
          <w:tab w:val="left" w:pos="9240"/>
        </w:tabs>
        <w:spacing w:line="480" w:lineRule="auto"/>
        <w:rPr>
          <w:b/>
        </w:rPr>
      </w:pPr>
      <w:r>
        <w:rPr>
          <w:b/>
        </w:rPr>
        <w:t>Q.</w:t>
      </w:r>
      <w:r>
        <w:rPr>
          <w:b/>
        </w:rPr>
        <w:tab/>
        <w:t>Please state your name, occupation, and business address.</w:t>
      </w:r>
    </w:p>
    <w:p w:rsidR="00374F30" w:rsidRDefault="00374F30" w:rsidP="00374F30">
      <w:pPr>
        <w:tabs>
          <w:tab w:val="left" w:pos="720"/>
          <w:tab w:val="left" w:pos="1440"/>
          <w:tab w:val="right" w:leader="dot" w:pos="8640"/>
          <w:tab w:val="left" w:pos="9240"/>
        </w:tabs>
        <w:spacing w:line="480" w:lineRule="auto"/>
        <w:ind w:left="720" w:hanging="720"/>
      </w:pPr>
      <w:r>
        <w:t>A.</w:t>
      </w:r>
      <w:r>
        <w:tab/>
        <w:t xml:space="preserve">My name is Kenneth L. Elgin.  I am a senior financial analyst for the Washington Utilities &amp; Transportation Commission.  </w:t>
      </w:r>
      <w:r w:rsidR="00BA553A">
        <w:t>I previously filed testimony in this docket and my experience and qualifications are in my Exhibit No. ___ (KLE</w:t>
      </w:r>
      <w:r w:rsidR="005C3D28">
        <w:t>-3).</w:t>
      </w:r>
    </w:p>
    <w:p w:rsidR="00374F30" w:rsidRDefault="00374F30" w:rsidP="00374F30">
      <w:pPr>
        <w:tabs>
          <w:tab w:val="left" w:pos="720"/>
          <w:tab w:val="right" w:leader="dot" w:pos="8640"/>
          <w:tab w:val="left" w:pos="9240"/>
        </w:tabs>
        <w:spacing w:line="480" w:lineRule="auto"/>
        <w:ind w:left="720" w:hanging="720"/>
      </w:pPr>
    </w:p>
    <w:p w:rsidR="00374F30" w:rsidRDefault="00374F30" w:rsidP="00374F30">
      <w:pPr>
        <w:tabs>
          <w:tab w:val="left" w:pos="720"/>
          <w:tab w:val="right" w:leader="dot" w:pos="8640"/>
          <w:tab w:val="left" w:pos="9240"/>
        </w:tabs>
        <w:spacing w:line="480" w:lineRule="auto"/>
        <w:ind w:left="720" w:hanging="720"/>
        <w:rPr>
          <w:b/>
        </w:rPr>
      </w:pPr>
      <w:r>
        <w:rPr>
          <w:b/>
        </w:rPr>
        <w:t>Q.</w:t>
      </w:r>
      <w:r>
        <w:rPr>
          <w:b/>
        </w:rPr>
        <w:tab/>
      </w:r>
      <w:r w:rsidR="00BA553A">
        <w:rPr>
          <w:b/>
        </w:rPr>
        <w:t xml:space="preserve">What is the </w:t>
      </w:r>
      <w:r>
        <w:rPr>
          <w:b/>
        </w:rPr>
        <w:t>purpose of your testimony</w:t>
      </w:r>
      <w:r w:rsidR="00BA553A">
        <w:rPr>
          <w:b/>
        </w:rPr>
        <w:t>?</w:t>
      </w:r>
    </w:p>
    <w:p w:rsidR="00374F30" w:rsidRDefault="00374F30" w:rsidP="00374F30">
      <w:pPr>
        <w:tabs>
          <w:tab w:val="left" w:pos="720"/>
          <w:tab w:val="left" w:pos="1440"/>
          <w:tab w:val="right" w:leader="dot" w:pos="8640"/>
          <w:tab w:val="left" w:pos="9240"/>
        </w:tabs>
        <w:spacing w:line="480" w:lineRule="auto"/>
        <w:ind w:left="720" w:hanging="720"/>
      </w:pPr>
      <w:r>
        <w:t>A.</w:t>
      </w:r>
      <w:r>
        <w:tab/>
      </w:r>
      <w:r w:rsidR="00BA553A">
        <w:t xml:space="preserve">The purpose of my testimony is to respond </w:t>
      </w:r>
      <w:r w:rsidR="0055122B">
        <w:t xml:space="preserve">to the testimony offered by Public Counsel opposing the </w:t>
      </w:r>
      <w:r w:rsidR="00B11068">
        <w:t>M</w:t>
      </w:r>
      <w:r w:rsidR="0055122B">
        <w:t>ulti</w:t>
      </w:r>
      <w:r w:rsidR="00B11068">
        <w:t>party</w:t>
      </w:r>
      <w:r w:rsidR="0055122B">
        <w:t xml:space="preserve"> </w:t>
      </w:r>
      <w:r w:rsidR="00BA553A">
        <w:t>S</w:t>
      </w:r>
      <w:r w:rsidR="0055122B">
        <w:t xml:space="preserve">ettlement </w:t>
      </w:r>
      <w:r w:rsidR="00B11068">
        <w:t xml:space="preserve">Stipulation (Settlement) </w:t>
      </w:r>
      <w:r w:rsidR="0055122B">
        <w:t>in this case</w:t>
      </w:r>
      <w:r w:rsidR="005F65CF">
        <w:t xml:space="preserve">. </w:t>
      </w:r>
      <w:r w:rsidR="00011AD9">
        <w:t xml:space="preserve"> Before I do that, however, I remind the Commission of the key features of this Settlement, from Staff’s viewpoint.</w:t>
      </w:r>
    </w:p>
    <w:p w:rsidR="00011AD9" w:rsidRDefault="00011AD9" w:rsidP="00374F30">
      <w:pPr>
        <w:tabs>
          <w:tab w:val="left" w:pos="720"/>
          <w:tab w:val="left" w:pos="1440"/>
          <w:tab w:val="right" w:leader="dot" w:pos="8640"/>
          <w:tab w:val="left" w:pos="9240"/>
        </w:tabs>
        <w:spacing w:line="480" w:lineRule="auto"/>
        <w:ind w:left="720" w:hanging="720"/>
      </w:pPr>
    </w:p>
    <w:p w:rsidR="00011AD9" w:rsidRDefault="00011AD9" w:rsidP="00374F30">
      <w:pPr>
        <w:tabs>
          <w:tab w:val="left" w:pos="720"/>
          <w:tab w:val="left" w:pos="1440"/>
          <w:tab w:val="right" w:leader="dot" w:pos="8640"/>
          <w:tab w:val="left" w:pos="9240"/>
        </w:tabs>
        <w:spacing w:line="480" w:lineRule="auto"/>
        <w:ind w:left="720" w:hanging="720"/>
        <w:rPr>
          <w:b/>
        </w:rPr>
      </w:pPr>
      <w:r>
        <w:rPr>
          <w:b/>
        </w:rPr>
        <w:t>Q.</w:t>
      </w:r>
      <w:r>
        <w:rPr>
          <w:b/>
        </w:rPr>
        <w:tab/>
        <w:t xml:space="preserve">Please briefly describe the key feature of this Settlement, from Staff’s </w:t>
      </w:r>
      <w:r w:rsidR="003707E6">
        <w:rPr>
          <w:b/>
        </w:rPr>
        <w:t>viewpoint</w:t>
      </w:r>
      <w:r>
        <w:rPr>
          <w:b/>
        </w:rPr>
        <w:t>.</w:t>
      </w:r>
    </w:p>
    <w:p w:rsidR="00374F30" w:rsidRDefault="00011AD9" w:rsidP="00374F30">
      <w:pPr>
        <w:tabs>
          <w:tab w:val="left" w:pos="720"/>
          <w:tab w:val="left" w:pos="1440"/>
          <w:tab w:val="right" w:leader="dot" w:pos="8640"/>
          <w:tab w:val="left" w:pos="9240"/>
        </w:tabs>
        <w:spacing w:line="480" w:lineRule="auto"/>
        <w:ind w:left="720" w:hanging="720"/>
      </w:pPr>
      <w:r>
        <w:t>A.</w:t>
      </w:r>
      <w:r>
        <w:tab/>
      </w:r>
      <w:r w:rsidR="003707E6">
        <w:t>T</w:t>
      </w:r>
      <w:r>
        <w:t xml:space="preserve">he Settlement </w:t>
      </w:r>
      <w:r w:rsidR="003707E6">
        <w:t xml:space="preserve">calls for </w:t>
      </w:r>
      <w:r>
        <w:t xml:space="preserve">a two-year rate plan under which Avista must manage its costs to have a reasonable opportunity to earn a fair return.  The alternative is simply another rate case filing next year.  </w:t>
      </w:r>
      <w:r w:rsidR="003707E6">
        <w:t>Th</w:t>
      </w:r>
      <w:r>
        <w:t xml:space="preserve">e Settlement provides a fair result and will provide benefits to ratepayers </w:t>
      </w:r>
      <w:r w:rsidR="005C3D28">
        <w:t xml:space="preserve">and Avista </w:t>
      </w:r>
      <w:r>
        <w:t xml:space="preserve">over the two-year period, and </w:t>
      </w:r>
      <w:r w:rsidR="005C3D28">
        <w:t xml:space="preserve">hopefully </w:t>
      </w:r>
      <w:r>
        <w:t>beyond.</w:t>
      </w:r>
      <w:r w:rsidRPr="00011AD9" w:rsidDel="00011AD9">
        <w:t xml:space="preserve"> </w:t>
      </w:r>
      <w:r w:rsidR="005C3D28">
        <w:t xml:space="preserve"> </w:t>
      </w:r>
    </w:p>
    <w:p w:rsidR="00FB6A5B" w:rsidRDefault="00FB6A5B" w:rsidP="00374F30">
      <w:pPr>
        <w:tabs>
          <w:tab w:val="left" w:pos="720"/>
          <w:tab w:val="left" w:pos="1440"/>
          <w:tab w:val="right" w:leader="dot" w:pos="8640"/>
          <w:tab w:val="left" w:pos="9240"/>
        </w:tabs>
        <w:spacing w:line="480" w:lineRule="auto"/>
        <w:ind w:left="720" w:hanging="720"/>
      </w:pPr>
    </w:p>
    <w:p w:rsidR="00FB6A5B" w:rsidRDefault="00FB6A5B" w:rsidP="00374F30">
      <w:pPr>
        <w:tabs>
          <w:tab w:val="left" w:pos="720"/>
          <w:tab w:val="left" w:pos="1440"/>
          <w:tab w:val="right" w:leader="dot" w:pos="8640"/>
          <w:tab w:val="left" w:pos="9240"/>
        </w:tabs>
        <w:spacing w:line="480" w:lineRule="auto"/>
        <w:ind w:left="720" w:hanging="720"/>
        <w:rPr>
          <w:b/>
        </w:rPr>
      </w:pPr>
      <w:r>
        <w:rPr>
          <w:b/>
        </w:rPr>
        <w:t>Q.</w:t>
      </w:r>
      <w:r>
        <w:rPr>
          <w:b/>
        </w:rPr>
        <w:tab/>
        <w:t>How is the rest of your testimony organized?</w:t>
      </w:r>
    </w:p>
    <w:p w:rsidR="00FB6A5B" w:rsidRPr="00FB6A5B" w:rsidRDefault="00FB6A5B" w:rsidP="00374F30">
      <w:pPr>
        <w:tabs>
          <w:tab w:val="left" w:pos="720"/>
          <w:tab w:val="left" w:pos="1440"/>
          <w:tab w:val="right" w:leader="dot" w:pos="8640"/>
          <w:tab w:val="left" w:pos="9240"/>
        </w:tabs>
        <w:spacing w:line="480" w:lineRule="auto"/>
        <w:ind w:left="720" w:hanging="720"/>
      </w:pPr>
      <w:r>
        <w:t>A.</w:t>
      </w:r>
      <w:r>
        <w:tab/>
        <w:t>I respond to the three main reasons why Public Counsel opposes the Settlement.  I then address several miscellaneous issues raised by Public Counsel.</w:t>
      </w:r>
    </w:p>
    <w:p w:rsidR="005C3D28" w:rsidRDefault="005C3D28" w:rsidP="00374F30">
      <w:pPr>
        <w:tabs>
          <w:tab w:val="left" w:pos="720"/>
          <w:tab w:val="left" w:pos="1440"/>
          <w:tab w:val="right" w:leader="dot" w:pos="8640"/>
          <w:tab w:val="left" w:pos="9240"/>
        </w:tabs>
        <w:spacing w:line="480" w:lineRule="auto"/>
        <w:ind w:left="720" w:hanging="720"/>
        <w:jc w:val="center"/>
        <w:rPr>
          <w:b/>
        </w:rPr>
      </w:pPr>
    </w:p>
    <w:p w:rsidR="00374F30" w:rsidRDefault="00374F30" w:rsidP="00374F30">
      <w:pPr>
        <w:tabs>
          <w:tab w:val="left" w:pos="720"/>
          <w:tab w:val="left" w:pos="1440"/>
          <w:tab w:val="right" w:leader="dot" w:pos="8640"/>
          <w:tab w:val="left" w:pos="9240"/>
        </w:tabs>
        <w:spacing w:line="480" w:lineRule="auto"/>
        <w:ind w:left="720" w:hanging="720"/>
        <w:jc w:val="center"/>
        <w:rPr>
          <w:b/>
        </w:rPr>
      </w:pPr>
      <w:r>
        <w:rPr>
          <w:b/>
        </w:rPr>
        <w:lastRenderedPageBreak/>
        <w:t>II.</w:t>
      </w:r>
      <w:r>
        <w:rPr>
          <w:b/>
        </w:rPr>
        <w:tab/>
      </w:r>
      <w:r w:rsidR="00B83491">
        <w:rPr>
          <w:b/>
        </w:rPr>
        <w:t xml:space="preserve">RESPONSE TO PUBLIC COUNSEL </w:t>
      </w:r>
    </w:p>
    <w:p w:rsidR="00374F30" w:rsidRDefault="00374F30" w:rsidP="00374F30">
      <w:pPr>
        <w:tabs>
          <w:tab w:val="left" w:pos="720"/>
          <w:tab w:val="right" w:leader="dot" w:pos="8640"/>
          <w:tab w:val="left" w:pos="9240"/>
        </w:tabs>
        <w:spacing w:line="480" w:lineRule="auto"/>
        <w:jc w:val="both"/>
        <w:rPr>
          <w:b/>
          <w:u w:val="single"/>
        </w:rPr>
      </w:pPr>
    </w:p>
    <w:p w:rsidR="00374F30" w:rsidRDefault="00374F30" w:rsidP="00374F30">
      <w:pPr>
        <w:spacing w:line="480" w:lineRule="auto"/>
        <w:ind w:left="720" w:hanging="720"/>
        <w:rPr>
          <w:b/>
        </w:rPr>
      </w:pPr>
      <w:r>
        <w:rPr>
          <w:b/>
        </w:rPr>
        <w:t>Q.</w:t>
      </w:r>
      <w:r>
        <w:rPr>
          <w:b/>
        </w:rPr>
        <w:tab/>
      </w:r>
      <w:r w:rsidR="003707E6">
        <w:rPr>
          <w:b/>
        </w:rPr>
        <w:t xml:space="preserve">Please </w:t>
      </w:r>
      <w:r w:rsidR="00007AB8">
        <w:rPr>
          <w:b/>
        </w:rPr>
        <w:t>state</w:t>
      </w:r>
      <w:r w:rsidR="003707E6">
        <w:rPr>
          <w:b/>
        </w:rPr>
        <w:t xml:space="preserve"> the main </w:t>
      </w:r>
      <w:r w:rsidR="00B83491">
        <w:rPr>
          <w:b/>
        </w:rPr>
        <w:t xml:space="preserve">reasons </w:t>
      </w:r>
      <w:r w:rsidR="003707E6">
        <w:rPr>
          <w:b/>
        </w:rPr>
        <w:t xml:space="preserve">why </w:t>
      </w:r>
      <w:r w:rsidR="0055122B">
        <w:rPr>
          <w:b/>
        </w:rPr>
        <w:t>Public Counsel</w:t>
      </w:r>
      <w:r w:rsidR="00BA553A">
        <w:rPr>
          <w:b/>
        </w:rPr>
        <w:t xml:space="preserve"> </w:t>
      </w:r>
      <w:r w:rsidR="00B83491">
        <w:rPr>
          <w:b/>
        </w:rPr>
        <w:t>objects to the</w:t>
      </w:r>
      <w:r>
        <w:rPr>
          <w:b/>
        </w:rPr>
        <w:t xml:space="preserve"> Settlement</w:t>
      </w:r>
      <w:r w:rsidR="00C86C01">
        <w:rPr>
          <w:b/>
        </w:rPr>
        <w:t>.</w:t>
      </w:r>
    </w:p>
    <w:p w:rsidR="00374F30" w:rsidRDefault="00374F30" w:rsidP="00374F30">
      <w:pPr>
        <w:spacing w:line="480" w:lineRule="auto"/>
        <w:ind w:left="720" w:hanging="720"/>
      </w:pPr>
      <w:r>
        <w:t>A.</w:t>
      </w:r>
      <w:r>
        <w:tab/>
      </w:r>
      <w:r w:rsidR="00B83491">
        <w:t xml:space="preserve">The </w:t>
      </w:r>
      <w:r w:rsidR="0087447C">
        <w:t xml:space="preserve">three </w:t>
      </w:r>
      <w:r w:rsidR="003707E6">
        <w:t xml:space="preserve">main </w:t>
      </w:r>
      <w:r w:rsidR="00B83491">
        <w:t xml:space="preserve">reasons </w:t>
      </w:r>
      <w:r w:rsidR="00011AD9">
        <w:t xml:space="preserve">why </w:t>
      </w:r>
      <w:r w:rsidR="0055122B">
        <w:t xml:space="preserve">Public Counsel </w:t>
      </w:r>
      <w:r w:rsidR="00545A89">
        <w:t xml:space="preserve">is </w:t>
      </w:r>
      <w:r w:rsidR="00B83491">
        <w:t>object</w:t>
      </w:r>
      <w:r w:rsidR="00545A89">
        <w:t>ing</w:t>
      </w:r>
      <w:r w:rsidR="00B83491">
        <w:t xml:space="preserve"> are: </w:t>
      </w:r>
      <w:r w:rsidR="000544A0">
        <w:t>1)</w:t>
      </w:r>
      <w:r w:rsidR="0055122B">
        <w:t xml:space="preserve"> </w:t>
      </w:r>
      <w:r w:rsidR="009F443B">
        <w:t>t</w:t>
      </w:r>
      <w:r w:rsidR="00B83491">
        <w:t xml:space="preserve">he Settlement </w:t>
      </w:r>
      <w:r w:rsidR="0055122B">
        <w:t xml:space="preserve">assumes Avista will experience significant attrition </w:t>
      </w:r>
      <w:r>
        <w:t xml:space="preserve">in 2013 </w:t>
      </w:r>
      <w:r w:rsidR="000544A0">
        <w:t>and 2014;</w:t>
      </w:r>
      <w:r w:rsidR="0055122B">
        <w:rPr>
          <w:rStyle w:val="FootnoteReference"/>
        </w:rPr>
        <w:footnoteReference w:id="1"/>
      </w:r>
      <w:r w:rsidR="000544A0">
        <w:t xml:space="preserve"> </w:t>
      </w:r>
      <w:r w:rsidR="00C84512">
        <w:t>2</w:t>
      </w:r>
      <w:r w:rsidR="000544A0">
        <w:t xml:space="preserve">) </w:t>
      </w:r>
      <w:r w:rsidR="009F443B">
        <w:t>t</w:t>
      </w:r>
      <w:r w:rsidR="000544A0">
        <w:t xml:space="preserve">he </w:t>
      </w:r>
      <w:r w:rsidR="00B83491">
        <w:t>S</w:t>
      </w:r>
      <w:r w:rsidR="000544A0">
        <w:t xml:space="preserve">ettlement is a </w:t>
      </w:r>
      <w:r w:rsidR="00B83491">
        <w:t>“</w:t>
      </w:r>
      <w:r w:rsidR="000544A0">
        <w:t>black box</w:t>
      </w:r>
      <w:r w:rsidR="00B83491">
        <w:t>”</w:t>
      </w:r>
      <w:r w:rsidR="00C86C01">
        <w:t>,</w:t>
      </w:r>
      <w:r w:rsidR="000544A0">
        <w:t xml:space="preserve"> which </w:t>
      </w:r>
      <w:r w:rsidR="00C84512">
        <w:t xml:space="preserve">means the </w:t>
      </w:r>
      <w:r w:rsidR="000544A0">
        <w:t xml:space="preserve">Commission </w:t>
      </w:r>
      <w:r w:rsidR="00C84512">
        <w:t xml:space="preserve">will not decide </w:t>
      </w:r>
      <w:r w:rsidR="000544A0">
        <w:t xml:space="preserve">several issues </w:t>
      </w:r>
      <w:r w:rsidR="00B83491">
        <w:t xml:space="preserve">Public Counsel </w:t>
      </w:r>
      <w:r w:rsidR="00C84512">
        <w:t>wants to litigate</w:t>
      </w:r>
      <w:r w:rsidR="00715677">
        <w:rPr>
          <w:rStyle w:val="FootnoteReference"/>
        </w:rPr>
        <w:footnoteReference w:id="2"/>
      </w:r>
      <w:r w:rsidR="00C84512">
        <w:t xml:space="preserve">; and 3) </w:t>
      </w:r>
      <w:r w:rsidR="009F443B">
        <w:t>t</w:t>
      </w:r>
      <w:r w:rsidR="00C84512">
        <w:t>he Settlement uses a rate of return that is not valid</w:t>
      </w:r>
      <w:r w:rsidR="004A2AA9">
        <w:t>.</w:t>
      </w:r>
      <w:r w:rsidR="00715677">
        <w:rPr>
          <w:rStyle w:val="FootnoteReference"/>
        </w:rPr>
        <w:footnoteReference w:id="3"/>
      </w:r>
    </w:p>
    <w:p w:rsidR="0055122B" w:rsidRDefault="0055122B" w:rsidP="00374F30">
      <w:pPr>
        <w:spacing w:line="480" w:lineRule="auto"/>
        <w:ind w:left="720" w:hanging="720"/>
      </w:pPr>
    </w:p>
    <w:p w:rsidR="00011AD9" w:rsidRPr="005C3D28" w:rsidRDefault="00941524" w:rsidP="00374F30">
      <w:pPr>
        <w:spacing w:line="480" w:lineRule="auto"/>
        <w:ind w:left="720" w:hanging="720"/>
        <w:rPr>
          <w:b/>
        </w:rPr>
      </w:pPr>
      <w:r>
        <w:rPr>
          <w:b/>
        </w:rPr>
        <w:t>A</w:t>
      </w:r>
      <w:r w:rsidR="00011AD9" w:rsidRPr="005C3D28">
        <w:rPr>
          <w:b/>
        </w:rPr>
        <w:t>.</w:t>
      </w:r>
      <w:r w:rsidR="00011AD9" w:rsidRPr="005C3D28">
        <w:rPr>
          <w:b/>
        </w:rPr>
        <w:tab/>
      </w:r>
      <w:r w:rsidRPr="00C84512">
        <w:rPr>
          <w:b/>
        </w:rPr>
        <w:t>ATTRITION</w:t>
      </w:r>
    </w:p>
    <w:p w:rsidR="005C3D28" w:rsidRDefault="005C3D28" w:rsidP="005C3D28">
      <w:pPr>
        <w:spacing w:line="480" w:lineRule="auto"/>
        <w:ind w:left="720" w:hanging="720"/>
        <w:rPr>
          <w:b/>
        </w:rPr>
      </w:pPr>
    </w:p>
    <w:p w:rsidR="005C3D28" w:rsidRDefault="005C3D28" w:rsidP="005C3D28">
      <w:pPr>
        <w:spacing w:line="480" w:lineRule="auto"/>
        <w:ind w:left="720" w:hanging="720"/>
        <w:rPr>
          <w:b/>
        </w:rPr>
      </w:pPr>
      <w:r>
        <w:rPr>
          <w:b/>
        </w:rPr>
        <w:t>Q.</w:t>
      </w:r>
      <w:r>
        <w:rPr>
          <w:b/>
        </w:rPr>
        <w:tab/>
      </w:r>
      <w:r w:rsidR="007C19AC">
        <w:rPr>
          <w:b/>
        </w:rPr>
        <w:t xml:space="preserve">Turning to the first reason, </w:t>
      </w:r>
      <w:r w:rsidR="004A2AA9">
        <w:rPr>
          <w:b/>
        </w:rPr>
        <w:t>i</w:t>
      </w:r>
      <w:r>
        <w:rPr>
          <w:b/>
        </w:rPr>
        <w:t>n evaluating the reasonableness of the Settlement and the determination of Avista’s revenue deficiency, did Staff consider the effect</w:t>
      </w:r>
      <w:r w:rsidR="00FB6A5B">
        <w:rPr>
          <w:b/>
        </w:rPr>
        <w:t>s</w:t>
      </w:r>
      <w:r>
        <w:rPr>
          <w:b/>
        </w:rPr>
        <w:t xml:space="preserve"> of attrition?</w:t>
      </w:r>
    </w:p>
    <w:p w:rsidR="005C3D28" w:rsidRDefault="005C3D28" w:rsidP="005C3D28">
      <w:pPr>
        <w:spacing w:line="480" w:lineRule="auto"/>
        <w:ind w:left="720" w:hanging="720"/>
      </w:pPr>
      <w:r>
        <w:t>A.</w:t>
      </w:r>
      <w:r>
        <w:tab/>
        <w:t xml:space="preserve">Yes.  Although each Settling Party may consider this issue differently, Staff considered attrition in determining </w:t>
      </w:r>
      <w:r w:rsidR="0087447C">
        <w:t xml:space="preserve">whether </w:t>
      </w:r>
      <w:r>
        <w:t>the Settlement is reasonable.</w:t>
      </w:r>
    </w:p>
    <w:p w:rsidR="00FB6A5B" w:rsidRDefault="00FB6A5B" w:rsidP="00374F30">
      <w:pPr>
        <w:spacing w:line="480" w:lineRule="auto"/>
        <w:ind w:left="720" w:hanging="720"/>
        <w:rPr>
          <w:b/>
        </w:rPr>
      </w:pPr>
    </w:p>
    <w:p w:rsidR="003707E6" w:rsidRDefault="0055122B" w:rsidP="00374F30">
      <w:pPr>
        <w:spacing w:line="480" w:lineRule="auto"/>
        <w:ind w:left="720" w:hanging="720"/>
        <w:rPr>
          <w:b/>
        </w:rPr>
      </w:pPr>
      <w:r>
        <w:rPr>
          <w:b/>
        </w:rPr>
        <w:t>Q.</w:t>
      </w:r>
      <w:r>
        <w:rPr>
          <w:b/>
        </w:rPr>
        <w:tab/>
      </w:r>
      <w:r w:rsidR="007C19AC">
        <w:rPr>
          <w:b/>
        </w:rPr>
        <w:t>D</w:t>
      </w:r>
      <w:r w:rsidR="003707E6">
        <w:rPr>
          <w:b/>
        </w:rPr>
        <w:t xml:space="preserve">oes the Settlement identify a specific </w:t>
      </w:r>
      <w:r w:rsidR="005C3D28">
        <w:rPr>
          <w:b/>
        </w:rPr>
        <w:t xml:space="preserve">amount for </w:t>
      </w:r>
      <w:r w:rsidR="003707E6">
        <w:rPr>
          <w:b/>
        </w:rPr>
        <w:t>attrition?</w:t>
      </w:r>
    </w:p>
    <w:p w:rsidR="003707E6" w:rsidRDefault="003707E6" w:rsidP="00374F30">
      <w:pPr>
        <w:spacing w:line="480" w:lineRule="auto"/>
        <w:ind w:left="720" w:hanging="720"/>
      </w:pPr>
      <w:r>
        <w:t>A.</w:t>
      </w:r>
      <w:r>
        <w:tab/>
        <w:t xml:space="preserve">No.  </w:t>
      </w:r>
    </w:p>
    <w:p w:rsidR="003707E6" w:rsidRDefault="003707E6" w:rsidP="00374F30">
      <w:pPr>
        <w:spacing w:line="480" w:lineRule="auto"/>
        <w:ind w:left="720" w:hanging="720"/>
      </w:pPr>
    </w:p>
    <w:p w:rsidR="0055122B" w:rsidRDefault="003707E6" w:rsidP="00374F30">
      <w:pPr>
        <w:spacing w:line="480" w:lineRule="auto"/>
        <w:ind w:left="720" w:hanging="720"/>
        <w:rPr>
          <w:b/>
        </w:rPr>
      </w:pPr>
      <w:r>
        <w:rPr>
          <w:b/>
        </w:rPr>
        <w:t>Q.</w:t>
      </w:r>
      <w:r>
        <w:rPr>
          <w:b/>
        </w:rPr>
        <w:tab/>
      </w:r>
      <w:r w:rsidR="00EF352E">
        <w:rPr>
          <w:b/>
        </w:rPr>
        <w:t>Does that mean</w:t>
      </w:r>
      <w:r>
        <w:rPr>
          <w:b/>
        </w:rPr>
        <w:t xml:space="preserve"> Staff </w:t>
      </w:r>
      <w:r w:rsidR="00B83491">
        <w:rPr>
          <w:b/>
        </w:rPr>
        <w:t>simply “assume</w:t>
      </w:r>
      <w:r w:rsidR="00EF352E">
        <w:rPr>
          <w:b/>
        </w:rPr>
        <w:t>d</w:t>
      </w:r>
      <w:r w:rsidR="00B83491">
        <w:rPr>
          <w:b/>
        </w:rPr>
        <w:t xml:space="preserve">” the existence of </w:t>
      </w:r>
      <w:r w:rsidR="0050415F">
        <w:rPr>
          <w:b/>
        </w:rPr>
        <w:t>attrition</w:t>
      </w:r>
      <w:r w:rsidR="00B83491">
        <w:rPr>
          <w:b/>
        </w:rPr>
        <w:t xml:space="preserve"> in this case?</w:t>
      </w:r>
    </w:p>
    <w:p w:rsidR="006826B5" w:rsidRDefault="0055122B" w:rsidP="00374F30">
      <w:pPr>
        <w:spacing w:line="480" w:lineRule="auto"/>
        <w:ind w:left="720" w:hanging="720"/>
      </w:pPr>
      <w:r w:rsidRPr="0055122B">
        <w:lastRenderedPageBreak/>
        <w:t>A.</w:t>
      </w:r>
      <w:r w:rsidRPr="0055122B">
        <w:tab/>
        <w:t>No.</w:t>
      </w:r>
      <w:r w:rsidR="00B83491" w:rsidDel="00B83491">
        <w:rPr>
          <w:b/>
        </w:rPr>
        <w:t xml:space="preserve"> </w:t>
      </w:r>
      <w:r w:rsidR="00B83491">
        <w:rPr>
          <w:b/>
        </w:rPr>
        <w:t xml:space="preserve"> </w:t>
      </w:r>
      <w:r w:rsidR="00A6193C">
        <w:t>Staff</w:t>
      </w:r>
      <w:r w:rsidR="00EC53A2">
        <w:t>’s</w:t>
      </w:r>
      <w:r w:rsidR="00A6193C">
        <w:t xml:space="preserve"> attrition study shows that Avista will likely experience attrition in 2013.  </w:t>
      </w:r>
      <w:r w:rsidR="00AA1522">
        <w:t>Staff’s attrition allowance is $19.1 and</w:t>
      </w:r>
      <w:r w:rsidR="00C50D1C">
        <w:t xml:space="preserve"> </w:t>
      </w:r>
      <w:r w:rsidR="00AA1522">
        <w:t>$2.8 million</w:t>
      </w:r>
      <w:r w:rsidR="00715677">
        <w:t>,</w:t>
      </w:r>
      <w:r w:rsidR="00AA1522">
        <w:t xml:space="preserve"> respectively</w:t>
      </w:r>
      <w:r w:rsidR="00715677">
        <w:t>,</w:t>
      </w:r>
      <w:r w:rsidR="00AA1522">
        <w:t xml:space="preserve"> for electric and natural gas.</w:t>
      </w:r>
      <w:r w:rsidR="00AA1522">
        <w:rPr>
          <w:rStyle w:val="FootnoteReference"/>
        </w:rPr>
        <w:footnoteReference w:id="4"/>
      </w:r>
      <w:r w:rsidR="00AA1522">
        <w:t xml:space="preserve">  </w:t>
      </w:r>
      <w:r w:rsidR="004A2AA9">
        <w:t>T</w:t>
      </w:r>
      <w:r w:rsidR="0082307A">
        <w:t>herefore</w:t>
      </w:r>
      <w:r w:rsidR="004A2AA9">
        <w:t>, it</w:t>
      </w:r>
      <w:r w:rsidR="0082307A">
        <w:t xml:space="preserve"> </w:t>
      </w:r>
      <w:r w:rsidR="00BA553A">
        <w:t xml:space="preserve">was </w:t>
      </w:r>
      <w:r w:rsidR="0082307A">
        <w:t xml:space="preserve">not necessary for Staff to simply “assume” the existence of attrition.  Indeed, it would be </w:t>
      </w:r>
      <w:r w:rsidR="00BA553A">
        <w:t xml:space="preserve">unreasonable </w:t>
      </w:r>
      <w:r w:rsidR="0082307A">
        <w:t xml:space="preserve">for Staff to ignore </w:t>
      </w:r>
      <w:r w:rsidR="00545A89">
        <w:t xml:space="preserve">the effects of </w:t>
      </w:r>
      <w:r w:rsidR="0082307A">
        <w:t>attrition.</w:t>
      </w:r>
      <w:r w:rsidR="00BA553A">
        <w:t xml:space="preserve">  Notably, </w:t>
      </w:r>
      <w:r w:rsidR="0050415F">
        <w:t>Public Counsel</w:t>
      </w:r>
      <w:r w:rsidR="00FA2D8B">
        <w:t xml:space="preserve"> did not prepare an attrition analysis</w:t>
      </w:r>
      <w:r w:rsidR="00B83491">
        <w:t>, nor did Public Counsel testify no attrition exists.</w:t>
      </w:r>
    </w:p>
    <w:p w:rsidR="0050415F" w:rsidRDefault="0050415F" w:rsidP="00374F30">
      <w:pPr>
        <w:spacing w:line="480" w:lineRule="auto"/>
        <w:ind w:left="720" w:hanging="720"/>
      </w:pPr>
    </w:p>
    <w:p w:rsidR="0050415F" w:rsidRDefault="0050415F" w:rsidP="00374F30">
      <w:pPr>
        <w:spacing w:line="480" w:lineRule="auto"/>
        <w:ind w:left="720" w:hanging="720"/>
        <w:rPr>
          <w:b/>
        </w:rPr>
      </w:pPr>
      <w:r>
        <w:rPr>
          <w:b/>
        </w:rPr>
        <w:t>Q.</w:t>
      </w:r>
      <w:r>
        <w:rPr>
          <w:b/>
        </w:rPr>
        <w:tab/>
        <w:t>What position did Public Counsel take with respect to attrition allowances in its direct case?</w:t>
      </w:r>
    </w:p>
    <w:p w:rsidR="0082307A" w:rsidRDefault="0082307A" w:rsidP="0082307A">
      <w:pPr>
        <w:spacing w:line="480" w:lineRule="auto"/>
        <w:ind w:left="720" w:hanging="720"/>
        <w:rPr>
          <w:b/>
        </w:rPr>
      </w:pPr>
      <w:r>
        <w:t>A.</w:t>
      </w:r>
      <w:r>
        <w:tab/>
        <w:t xml:space="preserve">Public Counsel’s position was that an attrition allowance is not appropriate </w:t>
      </w:r>
      <w:r w:rsidRPr="0082307A">
        <w:t>unless the Company’s financial integrity is at stake.</w:t>
      </w:r>
      <w:r>
        <w:t xml:space="preserve"> </w:t>
      </w:r>
      <w:r w:rsidRPr="0082307A">
        <w:t xml:space="preserve"> </w:t>
      </w:r>
      <w:r>
        <w:t xml:space="preserve">Public Counsel based this </w:t>
      </w:r>
      <w:r w:rsidR="006E7304">
        <w:t xml:space="preserve">position </w:t>
      </w:r>
      <w:r>
        <w:t>on language to that effect in a</w:t>
      </w:r>
      <w:r w:rsidRPr="0082307A">
        <w:t xml:space="preserve"> 1981 Commission order for Avista in Cause U-81-15 and U-81-26</w:t>
      </w:r>
      <w:r w:rsidR="006E7304">
        <w:t xml:space="preserve"> (consolidated)</w:t>
      </w:r>
      <w:r>
        <w:t>.</w:t>
      </w:r>
      <w:r w:rsidRPr="0082307A">
        <w:t xml:space="preserve">  </w:t>
      </w:r>
      <w:r w:rsidR="00BA553A">
        <w:t>Public Counsel was also skeptical about attrition because currently</w:t>
      </w:r>
      <w:r w:rsidR="00715677">
        <w:t>,</w:t>
      </w:r>
      <w:r w:rsidR="00BA553A">
        <w:t xml:space="preserve"> inflation and cost rates of capital are low.</w:t>
      </w:r>
      <w:r w:rsidR="00545A89">
        <w:rPr>
          <w:rStyle w:val="FootnoteReference"/>
        </w:rPr>
        <w:footnoteReference w:id="5"/>
      </w:r>
    </w:p>
    <w:p w:rsidR="0082307A" w:rsidRDefault="0082307A" w:rsidP="0082307A">
      <w:pPr>
        <w:spacing w:line="480" w:lineRule="auto"/>
        <w:ind w:left="720" w:hanging="720"/>
        <w:rPr>
          <w:b/>
        </w:rPr>
      </w:pPr>
    </w:p>
    <w:p w:rsidR="0082307A" w:rsidRPr="0082307A" w:rsidRDefault="0082307A" w:rsidP="0082307A">
      <w:pPr>
        <w:spacing w:line="480" w:lineRule="auto"/>
        <w:ind w:left="720" w:hanging="720"/>
      </w:pPr>
      <w:r>
        <w:rPr>
          <w:b/>
        </w:rPr>
        <w:t>Q.</w:t>
      </w:r>
      <w:r>
        <w:rPr>
          <w:b/>
        </w:rPr>
        <w:tab/>
        <w:t>Were you aware of th</w:t>
      </w:r>
      <w:r w:rsidR="00BA553A">
        <w:rPr>
          <w:b/>
        </w:rPr>
        <w:t xml:space="preserve">e </w:t>
      </w:r>
      <w:r w:rsidR="006E7304">
        <w:rPr>
          <w:b/>
        </w:rPr>
        <w:t xml:space="preserve">language in that </w:t>
      </w:r>
      <w:r w:rsidR="003707E6">
        <w:rPr>
          <w:b/>
        </w:rPr>
        <w:t xml:space="preserve">1981 </w:t>
      </w:r>
      <w:r>
        <w:rPr>
          <w:b/>
        </w:rPr>
        <w:t>order</w:t>
      </w:r>
      <w:r w:rsidR="00BA553A">
        <w:rPr>
          <w:b/>
        </w:rPr>
        <w:t xml:space="preserve"> regarding </w:t>
      </w:r>
      <w:r w:rsidR="009F443B">
        <w:rPr>
          <w:b/>
        </w:rPr>
        <w:t xml:space="preserve">attrition and its relationship to a utility’s </w:t>
      </w:r>
      <w:r w:rsidR="00BA553A">
        <w:rPr>
          <w:b/>
        </w:rPr>
        <w:t>financial integrity</w:t>
      </w:r>
      <w:r>
        <w:rPr>
          <w:b/>
        </w:rPr>
        <w:t>?</w:t>
      </w:r>
    </w:p>
    <w:p w:rsidR="0082307A" w:rsidRDefault="0082307A" w:rsidP="0082307A">
      <w:pPr>
        <w:spacing w:line="480" w:lineRule="auto"/>
        <w:ind w:left="720" w:hanging="720"/>
      </w:pPr>
      <w:r>
        <w:t>A.</w:t>
      </w:r>
      <w:r>
        <w:tab/>
        <w:t xml:space="preserve">Yes.  I cited and quoted that </w:t>
      </w:r>
      <w:r w:rsidR="003707E6">
        <w:t xml:space="preserve">language from that </w:t>
      </w:r>
      <w:r>
        <w:t>order in my direct testimony.  I noted that Staff was not applying that “financial integrity” threshold in this case, but instead was using attrition as a tool to analyze the Company’s opportunity to earn a fair return.</w:t>
      </w:r>
      <w:r>
        <w:rPr>
          <w:rStyle w:val="FootnoteReference"/>
        </w:rPr>
        <w:footnoteReference w:id="6"/>
      </w:r>
    </w:p>
    <w:p w:rsidR="0082307A" w:rsidRDefault="0082307A" w:rsidP="0082307A">
      <w:pPr>
        <w:spacing w:line="480" w:lineRule="auto"/>
        <w:ind w:left="720" w:hanging="720"/>
      </w:pPr>
    </w:p>
    <w:p w:rsidR="0082307A" w:rsidRDefault="0082307A" w:rsidP="0082307A">
      <w:pPr>
        <w:spacing w:line="480" w:lineRule="auto"/>
        <w:ind w:left="720" w:hanging="720"/>
        <w:rPr>
          <w:b/>
        </w:rPr>
      </w:pPr>
      <w:r>
        <w:rPr>
          <w:b/>
        </w:rPr>
        <w:lastRenderedPageBreak/>
        <w:t>Q.</w:t>
      </w:r>
      <w:r>
        <w:rPr>
          <w:b/>
        </w:rPr>
        <w:tab/>
        <w:t>To your knowledge, in any Avista rate case subsequent to that 1981 Avista rate case has the Commission applied a “financial integrity” threshold when using attrition as a tool</w:t>
      </w:r>
      <w:r w:rsidR="00A4351E">
        <w:rPr>
          <w:b/>
        </w:rPr>
        <w:t xml:space="preserve"> to provide the utility with an opportunity to earn a fair return</w:t>
      </w:r>
      <w:r>
        <w:rPr>
          <w:b/>
        </w:rPr>
        <w:t>?</w:t>
      </w:r>
    </w:p>
    <w:p w:rsidR="0082307A" w:rsidRPr="00795778" w:rsidRDefault="0082307A" w:rsidP="0082307A">
      <w:pPr>
        <w:spacing w:line="480" w:lineRule="auto"/>
        <w:ind w:left="720" w:hanging="720"/>
      </w:pPr>
      <w:r>
        <w:t>A.</w:t>
      </w:r>
      <w:r>
        <w:tab/>
        <w:t>No.  In fact, in two subsequent Avista rate cases (under Avista’s prior name, The Washington Water Power Company), the Commission granted an attrition allowance but did not apply or refer to a financial integrity threshold.</w:t>
      </w:r>
      <w:r>
        <w:rPr>
          <w:rStyle w:val="FootnoteReference"/>
        </w:rPr>
        <w:footnoteReference w:id="7"/>
      </w:r>
      <w:r w:rsidR="00545A89">
        <w:t xml:space="preserve"> </w:t>
      </w:r>
      <w:r w:rsidR="00EA1B44">
        <w:t xml:space="preserve"> </w:t>
      </w:r>
      <w:r w:rsidR="003625F6">
        <w:t xml:space="preserve">In fact, </w:t>
      </w:r>
      <w:r w:rsidR="00B24729">
        <w:t>in the 1982 case</w:t>
      </w:r>
      <w:r w:rsidR="009B7ACA">
        <w:t>,</w:t>
      </w:r>
      <w:r w:rsidR="00B24729">
        <w:t xml:space="preserve"> </w:t>
      </w:r>
      <w:r w:rsidR="003625F6">
        <w:t>Public Counsel advocated no attrition due to the financial plight of customers.  The Commission specifically rejected that argument and stated that refusing to acknowledge attrition results in rates that do not meet the statutory test and effectively denies the utility an opportunity to earn a fair return.</w:t>
      </w:r>
      <w:r w:rsidR="003625F6">
        <w:rPr>
          <w:rStyle w:val="FootnoteReference"/>
        </w:rPr>
        <w:footnoteReference w:id="8"/>
      </w:r>
    </w:p>
    <w:p w:rsidR="0082307A" w:rsidRDefault="0082307A" w:rsidP="0082307A">
      <w:pPr>
        <w:spacing w:line="480" w:lineRule="auto"/>
        <w:ind w:left="720" w:hanging="720"/>
      </w:pPr>
    </w:p>
    <w:p w:rsidR="0082307A" w:rsidRPr="00795778" w:rsidRDefault="0082307A" w:rsidP="0082307A">
      <w:pPr>
        <w:spacing w:line="480" w:lineRule="auto"/>
        <w:ind w:left="720" w:hanging="720"/>
      </w:pPr>
      <w:r>
        <w:rPr>
          <w:b/>
        </w:rPr>
        <w:t>Q.</w:t>
      </w:r>
      <w:r>
        <w:rPr>
          <w:b/>
        </w:rPr>
        <w:tab/>
        <w:t xml:space="preserve">To your knowledge, </w:t>
      </w:r>
      <w:r w:rsidR="006E7304">
        <w:rPr>
          <w:b/>
        </w:rPr>
        <w:t xml:space="preserve">since 1981, </w:t>
      </w:r>
      <w:r>
        <w:rPr>
          <w:b/>
        </w:rPr>
        <w:t xml:space="preserve">has the Commission ever applied </w:t>
      </w:r>
      <w:r w:rsidR="003707E6">
        <w:rPr>
          <w:b/>
        </w:rPr>
        <w:t>a</w:t>
      </w:r>
      <w:r>
        <w:rPr>
          <w:b/>
        </w:rPr>
        <w:t xml:space="preserve"> “financial integrity” threshold to the analysis of attrition</w:t>
      </w:r>
      <w:r w:rsidR="006E7304">
        <w:rPr>
          <w:b/>
        </w:rPr>
        <w:t xml:space="preserve"> for any utility</w:t>
      </w:r>
      <w:r>
        <w:rPr>
          <w:b/>
        </w:rPr>
        <w:t>?</w:t>
      </w:r>
    </w:p>
    <w:p w:rsidR="0082307A" w:rsidRDefault="0082307A" w:rsidP="0082307A">
      <w:pPr>
        <w:spacing w:line="480" w:lineRule="auto"/>
        <w:ind w:left="720" w:hanging="720"/>
      </w:pPr>
      <w:r>
        <w:t>A.</w:t>
      </w:r>
      <w:r>
        <w:tab/>
        <w:t>No.  For example, in three subsequent Pacific Power and Light Company rate cases, the Commission granted an attrition allowance without applying or referring to the “financial integrity” threshold the Commission mentioned in its 1981 Avista decision.</w:t>
      </w:r>
      <w:r>
        <w:rPr>
          <w:rStyle w:val="FootnoteReference"/>
        </w:rPr>
        <w:footnoteReference w:id="9"/>
      </w:r>
      <w:r>
        <w:t xml:space="preserve">  In one of those cases (U-84-65), the Commission rejected the notion that an attrition allowance should be used only if rates otherwise would be confiscatory.</w:t>
      </w:r>
      <w:r>
        <w:rPr>
          <w:rStyle w:val="FootnoteReference"/>
        </w:rPr>
        <w:footnoteReference w:id="10"/>
      </w:r>
      <w:r>
        <w:t xml:space="preserve">  </w:t>
      </w:r>
    </w:p>
    <w:p w:rsidR="0082307A" w:rsidRDefault="0082307A" w:rsidP="0082307A">
      <w:pPr>
        <w:spacing w:line="480" w:lineRule="auto"/>
        <w:ind w:left="720" w:hanging="720"/>
      </w:pPr>
    </w:p>
    <w:p w:rsidR="00BA553A" w:rsidRDefault="00BA553A" w:rsidP="0082307A">
      <w:pPr>
        <w:spacing w:line="480" w:lineRule="auto"/>
        <w:ind w:left="720" w:hanging="720"/>
        <w:rPr>
          <w:b/>
        </w:rPr>
      </w:pPr>
      <w:r>
        <w:rPr>
          <w:b/>
        </w:rPr>
        <w:t>Q.</w:t>
      </w:r>
      <w:r>
        <w:rPr>
          <w:b/>
        </w:rPr>
        <w:tab/>
        <w:t>Do</w:t>
      </w:r>
      <w:r w:rsidR="00354F39">
        <w:rPr>
          <w:b/>
        </w:rPr>
        <w:t xml:space="preserve"> </w:t>
      </w:r>
      <w:r>
        <w:rPr>
          <w:b/>
        </w:rPr>
        <w:t>the lack of inflation and the presence of lower capital costs mean attrition does not exist?</w:t>
      </w:r>
    </w:p>
    <w:p w:rsidR="00BA553A" w:rsidRDefault="00BA553A" w:rsidP="0082307A">
      <w:pPr>
        <w:spacing w:line="480" w:lineRule="auto"/>
        <w:ind w:left="720" w:hanging="720"/>
        <w:rPr>
          <w:b/>
        </w:rPr>
      </w:pPr>
      <w:r>
        <w:t>A.</w:t>
      </w:r>
      <w:r>
        <w:tab/>
        <w:t xml:space="preserve">No.  </w:t>
      </w:r>
      <w:r w:rsidR="007C19AC">
        <w:t xml:space="preserve">The presence of inflation and changing capital costs impact the degree of attrition present.  As I testified, declining capital costs act to dampen the impacts of attrition, but </w:t>
      </w:r>
      <w:r w:rsidR="00FD0046">
        <w:t>may</w:t>
      </w:r>
      <w:r w:rsidR="007C19AC">
        <w:t xml:space="preserve"> not fully offset the impacts of added capital expenditures and slow load growth</w:t>
      </w:r>
      <w:r w:rsidR="008C4A06">
        <w:t xml:space="preserve"> on the attrition Avista will </w:t>
      </w:r>
      <w:r w:rsidR="00FD0046">
        <w:t xml:space="preserve">likely </w:t>
      </w:r>
      <w:r w:rsidR="008C4A06">
        <w:t>experience.</w:t>
      </w:r>
    </w:p>
    <w:p w:rsidR="00BA553A" w:rsidRDefault="00BA553A" w:rsidP="0082307A">
      <w:pPr>
        <w:spacing w:line="480" w:lineRule="auto"/>
        <w:ind w:left="720" w:hanging="720"/>
        <w:rPr>
          <w:b/>
        </w:rPr>
      </w:pPr>
    </w:p>
    <w:p w:rsidR="0082307A" w:rsidRDefault="0082307A" w:rsidP="0082307A">
      <w:pPr>
        <w:spacing w:line="480" w:lineRule="auto"/>
        <w:ind w:left="720" w:hanging="720"/>
        <w:rPr>
          <w:b/>
        </w:rPr>
      </w:pPr>
      <w:r>
        <w:rPr>
          <w:b/>
        </w:rPr>
        <w:t>Q.</w:t>
      </w:r>
      <w:r>
        <w:rPr>
          <w:b/>
        </w:rPr>
        <w:tab/>
        <w:t>What do you conclude from all this?</w:t>
      </w:r>
    </w:p>
    <w:p w:rsidR="0082307A" w:rsidRPr="000E3F83" w:rsidRDefault="0082307A" w:rsidP="0082307A">
      <w:pPr>
        <w:spacing w:line="480" w:lineRule="auto"/>
        <w:ind w:left="720" w:hanging="720"/>
      </w:pPr>
      <w:r>
        <w:t>A.</w:t>
      </w:r>
      <w:r w:rsidR="00EA1B44">
        <w:tab/>
        <w:t>I conclude that the Commission’s policy is that an attrition allowance i</w:t>
      </w:r>
      <w:r>
        <w:t>s a tool for evaluating whether a utility has a reasonable opportunity to earn a fair return</w:t>
      </w:r>
      <w:r w:rsidR="00EA1B44">
        <w:t xml:space="preserve"> where</w:t>
      </w:r>
      <w:r w:rsidR="00673450">
        <w:t xml:space="preserve"> historical</w:t>
      </w:r>
      <w:r w:rsidR="00EA1B44">
        <w:t xml:space="preserve"> test period relationships of revenue, expense and rate base are expected to be different than what will likely prevail in the rate year</w:t>
      </w:r>
      <w:r>
        <w:t xml:space="preserve">.  </w:t>
      </w:r>
      <w:r w:rsidR="006E7304">
        <w:t>Staff</w:t>
      </w:r>
      <w:r w:rsidR="00EA1B44">
        <w:t xml:space="preserve"> </w:t>
      </w:r>
      <w:r>
        <w:t xml:space="preserve">conducted a detailed attrition study, and </w:t>
      </w:r>
      <w:r w:rsidR="00F6517E">
        <w:t>concluded</w:t>
      </w:r>
      <w:r w:rsidR="00C50D1C">
        <w:t xml:space="preserve"> </w:t>
      </w:r>
      <w:r>
        <w:t xml:space="preserve">Avista </w:t>
      </w:r>
      <w:r w:rsidR="00C50D1C">
        <w:t xml:space="preserve">in all likelihood will </w:t>
      </w:r>
      <w:r w:rsidR="00A6193C">
        <w:t>experience attrition</w:t>
      </w:r>
      <w:r w:rsidR="00C50D1C">
        <w:t xml:space="preserve"> in </w:t>
      </w:r>
      <w:r w:rsidR="00EA1B44">
        <w:t xml:space="preserve">the </w:t>
      </w:r>
      <w:r w:rsidR="00C50D1C">
        <w:t>2013</w:t>
      </w:r>
      <w:r w:rsidR="00EA1B44">
        <w:t xml:space="preserve"> rate year</w:t>
      </w:r>
      <w:r>
        <w:t xml:space="preserve">.  Staff </w:t>
      </w:r>
      <w:r w:rsidR="00FB6A5B">
        <w:t xml:space="preserve">considered this </w:t>
      </w:r>
      <w:r>
        <w:t>in determining the reasonableness of the Settlement</w:t>
      </w:r>
      <w:r w:rsidR="00FB6A5B">
        <w:t>, and it is legitimate for Staff to do so</w:t>
      </w:r>
      <w:r>
        <w:t>.</w:t>
      </w:r>
      <w:r w:rsidR="00BA553A">
        <w:t xml:space="preserve">  </w:t>
      </w:r>
    </w:p>
    <w:p w:rsidR="006826B5" w:rsidRDefault="00FA2D8B" w:rsidP="00374F30">
      <w:pPr>
        <w:spacing w:line="480" w:lineRule="auto"/>
        <w:ind w:left="720" w:hanging="720"/>
      </w:pPr>
      <w:r>
        <w:t xml:space="preserve"> </w:t>
      </w:r>
    </w:p>
    <w:p w:rsidR="006826B5" w:rsidRDefault="006826B5" w:rsidP="00374F30">
      <w:pPr>
        <w:spacing w:line="480" w:lineRule="auto"/>
        <w:ind w:left="720" w:hanging="720"/>
      </w:pPr>
      <w:r>
        <w:rPr>
          <w:b/>
        </w:rPr>
        <w:t>Q.</w:t>
      </w:r>
      <w:r>
        <w:rPr>
          <w:b/>
        </w:rPr>
        <w:tab/>
      </w:r>
      <w:r w:rsidR="00BF2197">
        <w:rPr>
          <w:b/>
        </w:rPr>
        <w:t>Public</w:t>
      </w:r>
      <w:r>
        <w:rPr>
          <w:b/>
        </w:rPr>
        <w:t xml:space="preserve"> Counsel also states there is no evidence or basis for the </w:t>
      </w:r>
      <w:r w:rsidR="006E7304">
        <w:rPr>
          <w:b/>
        </w:rPr>
        <w:t xml:space="preserve">rate </w:t>
      </w:r>
      <w:r>
        <w:rPr>
          <w:b/>
        </w:rPr>
        <w:t xml:space="preserve">increase in 2014 contained as part of the </w:t>
      </w:r>
      <w:r w:rsidR="006E7304">
        <w:rPr>
          <w:b/>
        </w:rPr>
        <w:t>S</w:t>
      </w:r>
      <w:r>
        <w:rPr>
          <w:b/>
        </w:rPr>
        <w:t>ettlement.</w:t>
      </w:r>
      <w:r w:rsidR="0082307A">
        <w:rPr>
          <w:rStyle w:val="FootnoteReference"/>
          <w:b/>
        </w:rPr>
        <w:footnoteReference w:id="11"/>
      </w:r>
      <w:r>
        <w:rPr>
          <w:b/>
        </w:rPr>
        <w:t xml:space="preserve">  Is this an accurate statement?</w:t>
      </w:r>
    </w:p>
    <w:p w:rsidR="00582727" w:rsidRDefault="006826B5" w:rsidP="00FD0046">
      <w:pPr>
        <w:spacing w:line="480" w:lineRule="auto"/>
        <w:ind w:left="720" w:hanging="720"/>
      </w:pPr>
      <w:r>
        <w:t>A.</w:t>
      </w:r>
      <w:r>
        <w:tab/>
        <w:t xml:space="preserve">No.  </w:t>
      </w:r>
      <w:r w:rsidR="00F0102D">
        <w:t>In</w:t>
      </w:r>
      <w:r w:rsidR="00BA553A">
        <w:t xml:space="preserve"> fact, </w:t>
      </w:r>
      <w:r w:rsidR="00F0102D">
        <w:t xml:space="preserve">the record evidence is clear that attrition is likely to prevail for the </w:t>
      </w:r>
      <w:r w:rsidR="0050415F">
        <w:t>foreseeable</w:t>
      </w:r>
      <w:r w:rsidR="00F0102D">
        <w:t xml:space="preserve"> future.</w:t>
      </w:r>
      <w:r w:rsidR="00F0102D">
        <w:rPr>
          <w:rStyle w:val="FootnoteReference"/>
        </w:rPr>
        <w:footnoteReference w:id="12"/>
      </w:r>
      <w:r>
        <w:t xml:space="preserve">  Avista </w:t>
      </w:r>
      <w:r w:rsidR="00FD0046">
        <w:t xml:space="preserve">will continue to experience </w:t>
      </w:r>
      <w:r>
        <w:t xml:space="preserve">significant </w:t>
      </w:r>
      <w:r w:rsidR="0050415F">
        <w:t>increases in its rate base</w:t>
      </w:r>
      <w:r>
        <w:t xml:space="preserve"> at a time when there is </w:t>
      </w:r>
      <w:r w:rsidR="00B40223">
        <w:t>little</w:t>
      </w:r>
      <w:r w:rsidR="0082307A">
        <w:t>,</w:t>
      </w:r>
      <w:r w:rsidR="00B40223">
        <w:t xml:space="preserve"> if any</w:t>
      </w:r>
      <w:r w:rsidR="0082307A">
        <w:t>,</w:t>
      </w:r>
      <w:r>
        <w:t xml:space="preserve"> growth in revenue</w:t>
      </w:r>
      <w:r w:rsidR="0050415F">
        <w:t xml:space="preserve">.  The effect </w:t>
      </w:r>
      <w:r w:rsidR="00A4351E">
        <w:t xml:space="preserve">of these </w:t>
      </w:r>
      <w:r w:rsidR="00A4351E">
        <w:lastRenderedPageBreak/>
        <w:t>circumstance</w:t>
      </w:r>
      <w:r w:rsidR="00354F39">
        <w:t>s</w:t>
      </w:r>
      <w:r w:rsidR="00A4351E">
        <w:t xml:space="preserve"> </w:t>
      </w:r>
      <w:r w:rsidR="0050415F">
        <w:t xml:space="preserve">on Avista today and for the next few years </w:t>
      </w:r>
      <w:r w:rsidR="00A4351E">
        <w:t xml:space="preserve">will be </w:t>
      </w:r>
      <w:r>
        <w:t xml:space="preserve">attrition. </w:t>
      </w:r>
      <w:r w:rsidR="0050415F">
        <w:t xml:space="preserve"> </w:t>
      </w:r>
      <w:r w:rsidR="00FD0046">
        <w:t xml:space="preserve">In particular, absent </w:t>
      </w:r>
      <w:r w:rsidR="00FB6A5B">
        <w:t xml:space="preserve">a significant </w:t>
      </w:r>
      <w:r w:rsidR="00FD0046">
        <w:t>reduction in the amount of its capital budget, growth in load and decrease in operating expense</w:t>
      </w:r>
      <w:r w:rsidR="00FB6A5B">
        <w:t>,</w:t>
      </w:r>
      <w:r w:rsidR="00FD0046">
        <w:t xml:space="preserve"> the most likely scenario for Avista in 2014 will be the </w:t>
      </w:r>
      <w:r w:rsidR="00582727">
        <w:t xml:space="preserve">results Avista is presenting today: a need for additional rate relief. </w:t>
      </w:r>
      <w:r w:rsidR="00FB6A5B">
        <w:t xml:space="preserve"> </w:t>
      </w:r>
      <w:r w:rsidR="0050415F">
        <w:t>The record evidence is clear on this fact.</w:t>
      </w:r>
      <w:r w:rsidR="00095A93">
        <w:t xml:space="preserve">  The question is the degree of attrition Avista will experience and the Settlement provides a reasonable amount to Avista in 2014.  </w:t>
      </w:r>
    </w:p>
    <w:p w:rsidR="00582727" w:rsidRDefault="00582727" w:rsidP="00FD0046">
      <w:pPr>
        <w:spacing w:line="480" w:lineRule="auto"/>
        <w:ind w:left="720" w:hanging="720"/>
      </w:pPr>
    </w:p>
    <w:p w:rsidR="00582727" w:rsidRDefault="00582727" w:rsidP="00FD0046">
      <w:pPr>
        <w:spacing w:line="480" w:lineRule="auto"/>
        <w:ind w:left="720" w:hanging="720"/>
        <w:rPr>
          <w:b/>
        </w:rPr>
      </w:pPr>
      <w:r>
        <w:rPr>
          <w:b/>
        </w:rPr>
        <w:t>Q.</w:t>
      </w:r>
      <w:r>
        <w:rPr>
          <w:b/>
        </w:rPr>
        <w:tab/>
        <w:t xml:space="preserve">What data did </w:t>
      </w:r>
      <w:r w:rsidR="00635F06">
        <w:rPr>
          <w:b/>
        </w:rPr>
        <w:t>Staff</w:t>
      </w:r>
      <w:r>
        <w:rPr>
          <w:b/>
        </w:rPr>
        <w:t xml:space="preserve"> consider </w:t>
      </w:r>
      <w:r w:rsidR="00FB6A5B">
        <w:rPr>
          <w:b/>
        </w:rPr>
        <w:t xml:space="preserve">in </w:t>
      </w:r>
      <w:r>
        <w:rPr>
          <w:b/>
        </w:rPr>
        <w:t>determining the need for an additional amount of revenue for Avista in 2014 as part of this settlement package?</w:t>
      </w:r>
    </w:p>
    <w:p w:rsidR="00FB6A5B" w:rsidRDefault="00582727" w:rsidP="00FD0046">
      <w:pPr>
        <w:spacing w:line="480" w:lineRule="auto"/>
        <w:ind w:left="720" w:hanging="720"/>
      </w:pPr>
      <w:r>
        <w:t>A.</w:t>
      </w:r>
      <w:r>
        <w:tab/>
        <w:t xml:space="preserve">There were many different factors </w:t>
      </w:r>
      <w:r w:rsidR="00635F06">
        <w:t xml:space="preserve">Staff </w:t>
      </w:r>
      <w:r>
        <w:t>considered relevant</w:t>
      </w:r>
      <w:r w:rsidR="00C422B4">
        <w:t xml:space="preserve"> in evaluating the </w:t>
      </w:r>
      <w:r w:rsidR="00FB6A5B">
        <w:t>2014 rate increases in the Settlement</w:t>
      </w:r>
      <w:r>
        <w:t>.  First</w:t>
      </w:r>
      <w:r w:rsidR="00F90696">
        <w:t xml:space="preserve"> are the historical facts surrounding Avista’s costs and rates. </w:t>
      </w:r>
      <w:r>
        <w:t xml:space="preserve"> Avista </w:t>
      </w:r>
      <w:r w:rsidR="00FB6A5B">
        <w:t xml:space="preserve">has </w:t>
      </w:r>
      <w:r>
        <w:t xml:space="preserve">filed for rate increases virtually every year this past decade.  </w:t>
      </w:r>
      <w:r w:rsidR="00715677">
        <w:t xml:space="preserve">My </w:t>
      </w:r>
      <w:r>
        <w:t>Exhibit No.</w:t>
      </w:r>
      <w:r w:rsidR="00715677">
        <w:t xml:space="preserve"> </w:t>
      </w:r>
      <w:r>
        <w:t>___</w:t>
      </w:r>
      <w:r w:rsidR="00715677">
        <w:t xml:space="preserve"> </w:t>
      </w:r>
      <w:r>
        <w:t>(KLE-5)</w:t>
      </w:r>
      <w:r w:rsidR="00C422B4">
        <w:t xml:space="preserve"> shows these increases.  Since Docket UE-011595</w:t>
      </w:r>
      <w:r w:rsidR="00FB6A5B">
        <w:t>,</w:t>
      </w:r>
      <w:r w:rsidR="00C422B4">
        <w:t xml:space="preserve"> the average electric rate increase </w:t>
      </w:r>
      <w:r w:rsidR="00FB6A5B">
        <w:t xml:space="preserve">has been </w:t>
      </w:r>
      <w:r w:rsidR="00C422B4">
        <w:t>8.6 percent.  For the most recent three</w:t>
      </w:r>
      <w:r w:rsidR="00FB6A5B">
        <w:t>-</w:t>
      </w:r>
      <w:r w:rsidR="00C422B4">
        <w:t xml:space="preserve">year period, the average rate increase </w:t>
      </w:r>
      <w:r w:rsidR="00FB6A5B">
        <w:t xml:space="preserve">has been </w:t>
      </w:r>
      <w:r w:rsidR="00C422B4">
        <w:t>4.9 percent.  Th</w:t>
      </w:r>
      <w:r w:rsidR="00FB6A5B">
        <w:t>at</w:t>
      </w:r>
      <w:r w:rsidR="00C422B4">
        <w:t xml:space="preserve"> exhibit </w:t>
      </w:r>
      <w:r w:rsidR="00F90696">
        <w:t xml:space="preserve">also </w:t>
      </w:r>
      <w:r w:rsidR="00C422B4">
        <w:t>shows annual increases for natural gas.  In the last two cases</w:t>
      </w:r>
      <w:r w:rsidR="00FB6A5B">
        <w:t>,</w:t>
      </w:r>
      <w:r w:rsidR="00C422B4">
        <w:t xml:space="preserve"> natural gas rates </w:t>
      </w:r>
      <w:r w:rsidR="00FB6A5B">
        <w:t xml:space="preserve">have </w:t>
      </w:r>
      <w:r w:rsidR="00C422B4">
        <w:t>increased 2.9 and 2.4 percent</w:t>
      </w:r>
      <w:r w:rsidR="00FB6A5B">
        <w:t>,</w:t>
      </w:r>
      <w:r w:rsidR="00C422B4">
        <w:t xml:space="preserve"> respectively. </w:t>
      </w:r>
      <w:r w:rsidR="00F80313">
        <w:t xml:space="preserve">  </w:t>
      </w:r>
    </w:p>
    <w:p w:rsidR="00635F06" w:rsidRDefault="00FB6A5B" w:rsidP="00FD0046">
      <w:pPr>
        <w:spacing w:line="480" w:lineRule="auto"/>
        <w:ind w:left="720" w:hanging="720"/>
      </w:pPr>
      <w:r>
        <w:tab/>
      </w:r>
      <w:r>
        <w:tab/>
      </w:r>
      <w:r w:rsidR="00F80313">
        <w:t xml:space="preserve">This pattern of </w:t>
      </w:r>
      <w:r>
        <w:t xml:space="preserve">rate </w:t>
      </w:r>
      <w:r w:rsidR="00F80313">
        <w:t xml:space="preserve">increases were all </w:t>
      </w:r>
      <w:r w:rsidR="00F90696">
        <w:t xml:space="preserve">the direct result of the same factors present today: capital expenditures twice the size of depreciation expense, increasing </w:t>
      </w:r>
      <w:r w:rsidR="00E633D0">
        <w:t xml:space="preserve">non-fuel </w:t>
      </w:r>
      <w:r w:rsidR="00F90696">
        <w:t xml:space="preserve">operating expenses and disproportionate </w:t>
      </w:r>
      <w:r>
        <w:t xml:space="preserve">(low) </w:t>
      </w:r>
      <w:r w:rsidR="00F90696">
        <w:t>revenue growth.</w:t>
      </w:r>
      <w:r w:rsidR="00F6517E">
        <w:t xml:space="preserve">  </w:t>
      </w:r>
    </w:p>
    <w:p w:rsidR="00251A7F" w:rsidRDefault="00635F06" w:rsidP="00FD0046">
      <w:pPr>
        <w:spacing w:line="480" w:lineRule="auto"/>
        <w:ind w:left="720" w:hanging="720"/>
      </w:pPr>
      <w:r>
        <w:tab/>
      </w:r>
      <w:r>
        <w:tab/>
      </w:r>
      <w:r w:rsidR="00C422B4">
        <w:t xml:space="preserve">Second, </w:t>
      </w:r>
      <w:r>
        <w:t>Staff</w:t>
      </w:r>
      <w:r w:rsidR="00C422B4">
        <w:t xml:space="preserve"> considered the historical financial data of Avista’s utility operations in Washington.</w:t>
      </w:r>
      <w:r w:rsidR="00C422B4">
        <w:rPr>
          <w:rStyle w:val="FootnoteReference"/>
        </w:rPr>
        <w:footnoteReference w:id="13"/>
      </w:r>
      <w:r w:rsidR="00F80313">
        <w:t xml:space="preserve">  While I do not necessarily agree with the calculations and how Avista arrived at the</w:t>
      </w:r>
      <w:r w:rsidR="00F90696">
        <w:t>se</w:t>
      </w:r>
      <w:r w:rsidR="00F80313">
        <w:t xml:space="preserve"> figures, I generally agree with the conclusion that </w:t>
      </w:r>
      <w:r w:rsidR="00F6517E">
        <w:t>these financial results provide evidence of</w:t>
      </w:r>
      <w:r w:rsidR="00F80313">
        <w:t xml:space="preserve"> attrition</w:t>
      </w:r>
      <w:r w:rsidR="00251A7F">
        <w:t>.</w:t>
      </w:r>
    </w:p>
    <w:p w:rsidR="00774467" w:rsidRDefault="00F80313" w:rsidP="00673450">
      <w:pPr>
        <w:spacing w:line="480" w:lineRule="auto"/>
        <w:ind w:left="720" w:firstLine="720"/>
      </w:pPr>
      <w:r>
        <w:lastRenderedPageBreak/>
        <w:t xml:space="preserve">Next, </w:t>
      </w:r>
      <w:r w:rsidR="00635F06">
        <w:t>Staff</w:t>
      </w:r>
      <w:r>
        <w:t xml:space="preserve"> considered </w:t>
      </w:r>
      <w:r w:rsidR="00BB4BDE">
        <w:t xml:space="preserve">Avista’s </w:t>
      </w:r>
      <w:r>
        <w:t xml:space="preserve">financial </w:t>
      </w:r>
      <w:r w:rsidR="00BC027E">
        <w:t xml:space="preserve">forecasts </w:t>
      </w:r>
      <w:r>
        <w:t xml:space="preserve">for 2014.  </w:t>
      </w:r>
      <w:r w:rsidR="00774467">
        <w:t xml:space="preserve">These forecasts show </w:t>
      </w:r>
      <w:r>
        <w:t xml:space="preserve">Avista </w:t>
      </w:r>
      <w:r w:rsidR="00774467">
        <w:t>plans</w:t>
      </w:r>
      <w:r>
        <w:t xml:space="preserve"> additional investments of </w:t>
      </w:r>
      <w:r w:rsidR="00C50D1C">
        <w:t xml:space="preserve">approximately </w:t>
      </w:r>
      <w:r>
        <w:t>$2</w:t>
      </w:r>
      <w:r w:rsidR="00BB4BDE">
        <w:t>50</w:t>
      </w:r>
      <w:r w:rsidR="00D906AB">
        <w:t xml:space="preserve"> million</w:t>
      </w:r>
      <w:r w:rsidR="00774467">
        <w:t>,</w:t>
      </w:r>
      <w:r w:rsidR="00007AB8">
        <w:t xml:space="preserve"> </w:t>
      </w:r>
      <w:r>
        <w:t>revenue</w:t>
      </w:r>
      <w:r w:rsidR="00774467">
        <w:t>s</w:t>
      </w:r>
      <w:r>
        <w:t xml:space="preserve"> continue to be </w:t>
      </w:r>
      <w:r w:rsidR="00774467">
        <w:t xml:space="preserve">impacted </w:t>
      </w:r>
      <w:r>
        <w:t>by slow economic growth</w:t>
      </w:r>
      <w:r w:rsidR="00774467">
        <w:t>,</w:t>
      </w:r>
      <w:r w:rsidR="00673450">
        <w:t xml:space="preserve"> </w:t>
      </w:r>
      <w:r w:rsidR="00774467">
        <w:t xml:space="preserve">and </w:t>
      </w:r>
      <w:r w:rsidR="00FB6A5B">
        <w:t xml:space="preserve">the Company </w:t>
      </w:r>
      <w:r>
        <w:t xml:space="preserve">faces continued </w:t>
      </w:r>
      <w:r w:rsidR="00673450">
        <w:t xml:space="preserve">upward </w:t>
      </w:r>
      <w:r>
        <w:t>pressure in its non-fuel operating expenses.</w:t>
      </w:r>
      <w:r w:rsidR="00F90696">
        <w:t xml:space="preserve">  </w:t>
      </w:r>
      <w:r w:rsidR="00635F06">
        <w:t>Finally, Staff considered its own attrition study in this case, which shows attrition in Avista’s utility operations</w:t>
      </w:r>
      <w:r w:rsidR="00774467">
        <w:t xml:space="preserve"> for 2013</w:t>
      </w:r>
      <w:r w:rsidR="00635F06">
        <w:t xml:space="preserve">.  </w:t>
      </w:r>
    </w:p>
    <w:p w:rsidR="00F90696" w:rsidRDefault="00774467" w:rsidP="00673450">
      <w:pPr>
        <w:spacing w:line="480" w:lineRule="auto"/>
        <w:ind w:left="720" w:firstLine="720"/>
      </w:pPr>
      <w:r>
        <w:t>Considering all these factors</w:t>
      </w:r>
      <w:r w:rsidR="00635F06">
        <w:t xml:space="preserve">, Staff reached the </w:t>
      </w:r>
      <w:r w:rsidR="00F90696">
        <w:t>inescapable conclusion</w:t>
      </w:r>
      <w:r w:rsidR="00F0429D">
        <w:t xml:space="preserve"> is that </w:t>
      </w:r>
      <w:r w:rsidR="00007AB8">
        <w:t xml:space="preserve">the </w:t>
      </w:r>
      <w:r w:rsidR="00635F06">
        <w:t xml:space="preserve">two-year rate plan </w:t>
      </w:r>
      <w:r w:rsidR="00007AB8">
        <w:t xml:space="preserve">in the Settlement </w:t>
      </w:r>
      <w:r w:rsidR="00635F06">
        <w:t xml:space="preserve">provides </w:t>
      </w:r>
      <w:r w:rsidR="00F90696">
        <w:t xml:space="preserve">Avista </w:t>
      </w:r>
      <w:r w:rsidR="00635F06">
        <w:t>a reasonable opportunity to earn a fair return</w:t>
      </w:r>
      <w:r w:rsidR="00007AB8">
        <w:t>,</w:t>
      </w:r>
      <w:r w:rsidR="00635F06">
        <w:t xml:space="preserve"> is well-justified and </w:t>
      </w:r>
      <w:r w:rsidR="00007AB8">
        <w:t xml:space="preserve">is </w:t>
      </w:r>
      <w:r w:rsidR="00635F06">
        <w:t>in the public interest.</w:t>
      </w:r>
    </w:p>
    <w:p w:rsidR="00851790" w:rsidRDefault="00851790" w:rsidP="00FD0046">
      <w:pPr>
        <w:spacing w:line="480" w:lineRule="auto"/>
        <w:ind w:left="720" w:hanging="720"/>
      </w:pPr>
    </w:p>
    <w:p w:rsidR="00851790" w:rsidRPr="00251A7F" w:rsidRDefault="00851790" w:rsidP="00FD0046">
      <w:pPr>
        <w:spacing w:line="480" w:lineRule="auto"/>
        <w:ind w:left="720" w:hanging="720"/>
        <w:rPr>
          <w:b/>
        </w:rPr>
      </w:pPr>
      <w:r>
        <w:rPr>
          <w:b/>
        </w:rPr>
        <w:t>Q.</w:t>
      </w:r>
      <w:r>
        <w:rPr>
          <w:b/>
        </w:rPr>
        <w:tab/>
        <w:t xml:space="preserve">What other factors </w:t>
      </w:r>
      <w:r w:rsidR="00007AB8">
        <w:rPr>
          <w:b/>
        </w:rPr>
        <w:t xml:space="preserve">did Staff consider in </w:t>
      </w:r>
      <w:r>
        <w:rPr>
          <w:b/>
        </w:rPr>
        <w:t>determin</w:t>
      </w:r>
      <w:r w:rsidR="00007AB8">
        <w:rPr>
          <w:b/>
        </w:rPr>
        <w:t>ing</w:t>
      </w:r>
      <w:r>
        <w:rPr>
          <w:b/>
        </w:rPr>
        <w:t xml:space="preserve"> it is reasonable to consider additional revenues for 2014?</w:t>
      </w:r>
    </w:p>
    <w:p w:rsidR="0055122B" w:rsidRDefault="00851790" w:rsidP="00251A7F">
      <w:pPr>
        <w:pStyle w:val="ListParagraph"/>
        <w:numPr>
          <w:ilvl w:val="0"/>
          <w:numId w:val="2"/>
        </w:numPr>
        <w:spacing w:line="480" w:lineRule="auto"/>
        <w:ind w:hanging="720"/>
      </w:pPr>
      <w:r>
        <w:t>A</w:t>
      </w:r>
      <w:r w:rsidR="006E7304">
        <w:t xml:space="preserve"> </w:t>
      </w:r>
      <w:r w:rsidR="00007AB8">
        <w:t>key</w:t>
      </w:r>
      <w:r w:rsidR="006E7304">
        <w:t xml:space="preserve"> element of the Settlement is </w:t>
      </w:r>
      <w:r w:rsidR="00BB4BDE">
        <w:t xml:space="preserve">that it </w:t>
      </w:r>
      <w:r w:rsidR="006E7304">
        <w:t>create</w:t>
      </w:r>
      <w:r w:rsidR="00BB4BDE">
        <w:t>s</w:t>
      </w:r>
      <w:r w:rsidR="006E7304">
        <w:t xml:space="preserve"> the incentive for Avista to reduce its costs.  The two-year window under the Settlement for Avista to accomplish this objective is reasonable.  In other words, the Settlement provides Avista a set amount of revenues to accomplish cost reductions as it continues to face other cost pressures</w:t>
      </w:r>
      <w:r w:rsidR="00FB6A5B">
        <w:t>, including the pressure</w:t>
      </w:r>
      <w:r w:rsidR="006E7304">
        <w:t xml:space="preserve"> from investments needed to replace aging infrastructure.  This is a substantial benefit to ratepayers, not only in the short-term, when the Settlement is in effect, but also afterward, when those cost reductions become part of a test period in a future rate case.</w:t>
      </w:r>
    </w:p>
    <w:p w:rsidR="006826B5" w:rsidRDefault="006826B5" w:rsidP="00374F30">
      <w:pPr>
        <w:spacing w:line="480" w:lineRule="auto"/>
        <w:ind w:left="720" w:hanging="720"/>
      </w:pPr>
    </w:p>
    <w:p w:rsidR="006826B5" w:rsidRDefault="006826B5" w:rsidP="00374F30">
      <w:pPr>
        <w:spacing w:line="480" w:lineRule="auto"/>
        <w:ind w:left="720" w:hanging="720"/>
        <w:rPr>
          <w:b/>
        </w:rPr>
      </w:pPr>
      <w:r>
        <w:rPr>
          <w:b/>
        </w:rPr>
        <w:t>Q.</w:t>
      </w:r>
      <w:r w:rsidR="0050415F">
        <w:rPr>
          <w:b/>
        </w:rPr>
        <w:tab/>
        <w:t xml:space="preserve">Finally, related to the effect of attrition on Avista and the Settlement’s provision for an increase in 2014, Public Counsel argues that the Settlement does not take into </w:t>
      </w:r>
      <w:r w:rsidR="0050415F">
        <w:rPr>
          <w:b/>
        </w:rPr>
        <w:lastRenderedPageBreak/>
        <w:t xml:space="preserve">account the reduction in labor costs </w:t>
      </w:r>
      <w:r w:rsidR="0082307A">
        <w:rPr>
          <w:b/>
        </w:rPr>
        <w:t xml:space="preserve">that might be </w:t>
      </w:r>
      <w:r w:rsidR="0050415F">
        <w:rPr>
          <w:b/>
        </w:rPr>
        <w:t xml:space="preserve">expected </w:t>
      </w:r>
      <w:r w:rsidR="0082307A">
        <w:rPr>
          <w:b/>
        </w:rPr>
        <w:t xml:space="preserve">from </w:t>
      </w:r>
      <w:r w:rsidR="006E7304">
        <w:rPr>
          <w:b/>
        </w:rPr>
        <w:t xml:space="preserve">the employee </w:t>
      </w:r>
      <w:r w:rsidR="0050415F">
        <w:rPr>
          <w:b/>
        </w:rPr>
        <w:t xml:space="preserve">severance plan </w:t>
      </w:r>
      <w:r w:rsidR="006E7304">
        <w:rPr>
          <w:b/>
        </w:rPr>
        <w:t>Avista recently announced</w:t>
      </w:r>
      <w:r w:rsidR="0050415F">
        <w:rPr>
          <w:b/>
        </w:rPr>
        <w:t>.</w:t>
      </w:r>
      <w:r w:rsidR="00E11C26">
        <w:rPr>
          <w:rStyle w:val="FootnoteReference"/>
          <w:b/>
        </w:rPr>
        <w:footnoteReference w:id="14"/>
      </w:r>
      <w:r w:rsidR="0050415F">
        <w:rPr>
          <w:b/>
        </w:rPr>
        <w:t xml:space="preserve">  What is</w:t>
      </w:r>
      <w:r w:rsidR="00B40223">
        <w:rPr>
          <w:b/>
        </w:rPr>
        <w:t xml:space="preserve"> your response</w:t>
      </w:r>
      <w:r w:rsidR="0082307A">
        <w:rPr>
          <w:b/>
        </w:rPr>
        <w:t>?</w:t>
      </w:r>
    </w:p>
    <w:p w:rsidR="006E7304" w:rsidRDefault="009725D9" w:rsidP="00374F30">
      <w:pPr>
        <w:spacing w:line="480" w:lineRule="auto"/>
        <w:ind w:left="720" w:hanging="720"/>
      </w:pPr>
      <w:r>
        <w:t>A.</w:t>
      </w:r>
      <w:r>
        <w:tab/>
        <w:t xml:space="preserve">Public Counsel’s argument is </w:t>
      </w:r>
      <w:r w:rsidR="00562E5C">
        <w:t>very</w:t>
      </w:r>
      <w:r>
        <w:t xml:space="preserve"> myopic.  In</w:t>
      </w:r>
      <w:r w:rsidR="006E7304">
        <w:t xml:space="preserve"> fact, </w:t>
      </w:r>
      <w:r>
        <w:t xml:space="preserve">Avista’s action </w:t>
      </w:r>
      <w:r w:rsidR="00562E5C">
        <w:t xml:space="preserve">to reduce labor costs </w:t>
      </w:r>
      <w:r>
        <w:t xml:space="preserve">is precisely the </w:t>
      </w:r>
      <w:r w:rsidR="00B40223">
        <w:t xml:space="preserve">sort </w:t>
      </w:r>
      <w:r>
        <w:t xml:space="preserve">of </w:t>
      </w:r>
      <w:r w:rsidR="00B40223">
        <w:t>action</w:t>
      </w:r>
      <w:r>
        <w:t xml:space="preserve"> Staff wanted </w:t>
      </w:r>
      <w:r w:rsidR="0082307A">
        <w:t xml:space="preserve">and expected </w:t>
      </w:r>
      <w:r w:rsidR="00B40223">
        <w:t>from</w:t>
      </w:r>
      <w:r>
        <w:t xml:space="preserve"> management</w:t>
      </w:r>
      <w:r w:rsidR="0082307A">
        <w:t xml:space="preserve"> </w:t>
      </w:r>
      <w:r w:rsidR="001A0BEC">
        <w:t>as a result of the Settlement.</w:t>
      </w:r>
    </w:p>
    <w:p w:rsidR="006E7304" w:rsidDel="006E7304" w:rsidRDefault="0082307A" w:rsidP="006E7304">
      <w:pPr>
        <w:spacing w:line="480" w:lineRule="auto"/>
        <w:ind w:left="720" w:firstLine="720"/>
      </w:pPr>
      <w:r>
        <w:t>Staff has no desire to “micro-manage” Avista</w:t>
      </w:r>
      <w:r w:rsidR="006E7304">
        <w:t xml:space="preserve">.  </w:t>
      </w:r>
      <w:r>
        <w:t xml:space="preserve">Staff suggests the Commission likely would not order a utility to impose a severance plan of this sort.  The </w:t>
      </w:r>
      <w:r w:rsidR="006E7304">
        <w:t xml:space="preserve">point is that </w:t>
      </w:r>
      <w:r>
        <w:t xml:space="preserve">the Settlement provides Avista a significant incentive to manage its costs in order to have a reasonable opportunity to earn a fair return, supplanting the existing incentive, which is </w:t>
      </w:r>
      <w:r w:rsidR="002224B3">
        <w:t xml:space="preserve">for </w:t>
      </w:r>
      <w:r w:rsidR="001A0BEC">
        <w:t>annual</w:t>
      </w:r>
      <w:r>
        <w:t xml:space="preserve"> rate case</w:t>
      </w:r>
      <w:r w:rsidR="002224B3">
        <w:t>s</w:t>
      </w:r>
      <w:r>
        <w:t>.</w:t>
      </w:r>
      <w:r w:rsidR="009725D9">
        <w:t xml:space="preserve">  </w:t>
      </w:r>
    </w:p>
    <w:p w:rsidR="000D2F4D" w:rsidRDefault="000D2F4D" w:rsidP="00374F30">
      <w:pPr>
        <w:spacing w:line="480" w:lineRule="auto"/>
        <w:ind w:left="720" w:hanging="720"/>
      </w:pPr>
    </w:p>
    <w:p w:rsidR="000D2F4D" w:rsidRPr="005C3D28" w:rsidRDefault="000D2F4D" w:rsidP="00374F30">
      <w:pPr>
        <w:spacing w:line="480" w:lineRule="auto"/>
        <w:ind w:left="720" w:hanging="720"/>
        <w:rPr>
          <w:b/>
        </w:rPr>
      </w:pPr>
      <w:r>
        <w:rPr>
          <w:b/>
        </w:rPr>
        <w:t>Q.</w:t>
      </w:r>
      <w:r>
        <w:rPr>
          <w:b/>
        </w:rPr>
        <w:tab/>
        <w:t xml:space="preserve">In any event, </w:t>
      </w:r>
      <w:r w:rsidR="003707E6">
        <w:rPr>
          <w:b/>
        </w:rPr>
        <w:t xml:space="preserve">if there </w:t>
      </w:r>
      <w:r w:rsidR="00C50D1C">
        <w:rPr>
          <w:b/>
        </w:rPr>
        <w:t xml:space="preserve">will be </w:t>
      </w:r>
      <w:r>
        <w:rPr>
          <w:b/>
        </w:rPr>
        <w:t>labor force reductions</w:t>
      </w:r>
      <w:r w:rsidR="003707E6">
        <w:rPr>
          <w:b/>
        </w:rPr>
        <w:t xml:space="preserve"> </w:t>
      </w:r>
      <w:r>
        <w:rPr>
          <w:b/>
        </w:rPr>
        <w:t>from the severance program</w:t>
      </w:r>
      <w:r w:rsidR="003707E6">
        <w:rPr>
          <w:b/>
        </w:rPr>
        <w:t xml:space="preserve">, </w:t>
      </w:r>
      <w:r w:rsidR="00C50D1C">
        <w:rPr>
          <w:b/>
        </w:rPr>
        <w:t xml:space="preserve">how does the Settlement consider </w:t>
      </w:r>
      <w:r w:rsidR="002A70E7">
        <w:rPr>
          <w:b/>
        </w:rPr>
        <w:t xml:space="preserve">the </w:t>
      </w:r>
      <w:r w:rsidR="00C50D1C">
        <w:rPr>
          <w:b/>
        </w:rPr>
        <w:t xml:space="preserve">potential </w:t>
      </w:r>
      <w:r w:rsidR="002A70E7">
        <w:rPr>
          <w:b/>
        </w:rPr>
        <w:t xml:space="preserve">related </w:t>
      </w:r>
      <w:r w:rsidR="00C50D1C">
        <w:rPr>
          <w:b/>
        </w:rPr>
        <w:t>cost savings</w:t>
      </w:r>
      <w:r>
        <w:rPr>
          <w:b/>
        </w:rPr>
        <w:t>?</w:t>
      </w:r>
    </w:p>
    <w:p w:rsidR="00E077A8" w:rsidRDefault="000D2F4D" w:rsidP="00374F30">
      <w:pPr>
        <w:spacing w:line="480" w:lineRule="auto"/>
        <w:ind w:left="720" w:hanging="720"/>
      </w:pPr>
      <w:r w:rsidRPr="005C3D28">
        <w:t>A.</w:t>
      </w:r>
      <w:r w:rsidRPr="005C3D28">
        <w:tab/>
      </w:r>
      <w:r w:rsidR="00C50D1C">
        <w:t>The Settlement provides the opportunity for ratepayers to see the known changes in cost due to early retirements when Avista files its next rate case.</w:t>
      </w:r>
    </w:p>
    <w:p w:rsidR="001A0BEC" w:rsidRDefault="001A0BEC" w:rsidP="00374F30">
      <w:pPr>
        <w:spacing w:line="480" w:lineRule="auto"/>
        <w:ind w:left="720" w:hanging="720"/>
        <w:rPr>
          <w:b/>
        </w:rPr>
      </w:pPr>
    </w:p>
    <w:p w:rsidR="00C84512" w:rsidRPr="005C3D28" w:rsidRDefault="00941524" w:rsidP="00374F30">
      <w:pPr>
        <w:spacing w:line="480" w:lineRule="auto"/>
        <w:ind w:left="720" w:hanging="720"/>
        <w:rPr>
          <w:b/>
        </w:rPr>
      </w:pPr>
      <w:r>
        <w:rPr>
          <w:b/>
        </w:rPr>
        <w:t>B</w:t>
      </w:r>
      <w:r w:rsidR="00C84512" w:rsidRPr="005C3D28">
        <w:rPr>
          <w:b/>
        </w:rPr>
        <w:t>.</w:t>
      </w:r>
      <w:r w:rsidR="00C84512" w:rsidRPr="005C3D28">
        <w:rPr>
          <w:b/>
        </w:rPr>
        <w:tab/>
      </w:r>
      <w:r w:rsidRPr="005C3D28">
        <w:rPr>
          <w:b/>
        </w:rPr>
        <w:t>“BLACK BOX”</w:t>
      </w:r>
    </w:p>
    <w:p w:rsidR="00C84512" w:rsidRDefault="00C84512" w:rsidP="00374F30">
      <w:pPr>
        <w:spacing w:line="480" w:lineRule="auto"/>
        <w:ind w:left="720" w:hanging="720"/>
      </w:pPr>
    </w:p>
    <w:p w:rsidR="00E077A8" w:rsidRDefault="00E077A8" w:rsidP="00374F30">
      <w:pPr>
        <w:spacing w:line="480" w:lineRule="auto"/>
        <w:ind w:left="720" w:hanging="720"/>
        <w:rPr>
          <w:b/>
        </w:rPr>
      </w:pPr>
      <w:r>
        <w:rPr>
          <w:b/>
        </w:rPr>
        <w:t>Q.</w:t>
      </w:r>
      <w:r>
        <w:rPr>
          <w:b/>
        </w:rPr>
        <w:tab/>
      </w:r>
      <w:r w:rsidR="00C84512">
        <w:rPr>
          <w:b/>
        </w:rPr>
        <w:t xml:space="preserve">You indicated </w:t>
      </w:r>
      <w:r>
        <w:rPr>
          <w:b/>
        </w:rPr>
        <w:t xml:space="preserve">Public Counsel </w:t>
      </w:r>
      <w:r w:rsidR="00C84512">
        <w:rPr>
          <w:b/>
        </w:rPr>
        <w:t xml:space="preserve">also </w:t>
      </w:r>
      <w:r>
        <w:rPr>
          <w:b/>
        </w:rPr>
        <w:t>o</w:t>
      </w:r>
      <w:r w:rsidR="000357BA">
        <w:rPr>
          <w:b/>
        </w:rPr>
        <w:t>ppos</w:t>
      </w:r>
      <w:r w:rsidR="00C84512">
        <w:rPr>
          <w:b/>
        </w:rPr>
        <w:t>es</w:t>
      </w:r>
      <w:r w:rsidR="000357BA">
        <w:rPr>
          <w:b/>
        </w:rPr>
        <w:t xml:space="preserve"> </w:t>
      </w:r>
      <w:r>
        <w:rPr>
          <w:b/>
        </w:rPr>
        <w:t xml:space="preserve">the </w:t>
      </w:r>
      <w:r w:rsidR="00FA2D8B">
        <w:rPr>
          <w:b/>
        </w:rPr>
        <w:t xml:space="preserve">Settlement </w:t>
      </w:r>
      <w:r w:rsidR="00C84512">
        <w:rPr>
          <w:b/>
        </w:rPr>
        <w:t>because it is a</w:t>
      </w:r>
      <w:r w:rsidR="00FA2D8B">
        <w:rPr>
          <w:b/>
        </w:rPr>
        <w:t xml:space="preserve"> </w:t>
      </w:r>
      <w:r w:rsidR="000357BA">
        <w:rPr>
          <w:b/>
        </w:rPr>
        <w:t>“</w:t>
      </w:r>
      <w:r>
        <w:rPr>
          <w:b/>
        </w:rPr>
        <w:t>black box</w:t>
      </w:r>
      <w:r w:rsidR="000357BA">
        <w:rPr>
          <w:b/>
        </w:rPr>
        <w:t>”</w:t>
      </w:r>
      <w:r>
        <w:rPr>
          <w:b/>
        </w:rPr>
        <w:t>.  What is your response to this criticism?</w:t>
      </w:r>
    </w:p>
    <w:p w:rsidR="000357BA" w:rsidRDefault="00E077A8" w:rsidP="00374F30">
      <w:pPr>
        <w:spacing w:line="480" w:lineRule="auto"/>
        <w:ind w:left="720" w:hanging="720"/>
      </w:pPr>
      <w:r>
        <w:t>A.</w:t>
      </w:r>
      <w:r>
        <w:tab/>
      </w:r>
      <w:r w:rsidR="000357BA">
        <w:t xml:space="preserve">First, </w:t>
      </w:r>
      <w:r w:rsidR="003707E6">
        <w:t xml:space="preserve">I acknowledge </w:t>
      </w:r>
      <w:r w:rsidR="000357BA">
        <w:t xml:space="preserve">the Settlement does not definitively resolve </w:t>
      </w:r>
      <w:r w:rsidR="00BB4BDE">
        <w:t xml:space="preserve">on their merits </w:t>
      </w:r>
      <w:r w:rsidR="000357BA">
        <w:t xml:space="preserve">the accounting issues and other issues Public Counsel apparently </w:t>
      </w:r>
      <w:r w:rsidR="00E11C26">
        <w:t>prefers</w:t>
      </w:r>
      <w:r w:rsidR="000357BA">
        <w:t xml:space="preserve"> to litigate</w:t>
      </w:r>
      <w:r w:rsidR="003707E6">
        <w:t xml:space="preserve"> in this </w:t>
      </w:r>
      <w:r w:rsidR="003707E6">
        <w:lastRenderedPageBreak/>
        <w:t>docket</w:t>
      </w:r>
      <w:r w:rsidR="000357BA">
        <w:t xml:space="preserve">.  However, the Commission has routinely accepted </w:t>
      </w:r>
      <w:r>
        <w:t>settlement</w:t>
      </w:r>
      <w:r w:rsidR="000357BA">
        <w:t>s</w:t>
      </w:r>
      <w:r>
        <w:t xml:space="preserve"> </w:t>
      </w:r>
      <w:r w:rsidR="000357BA">
        <w:t xml:space="preserve">that do not resolve all contested issues on their merits. </w:t>
      </w:r>
      <w:r w:rsidR="00E11C26">
        <w:t xml:space="preserve"> </w:t>
      </w:r>
    </w:p>
    <w:p w:rsidR="000357BA" w:rsidRDefault="000357BA" w:rsidP="00374F30">
      <w:pPr>
        <w:spacing w:line="480" w:lineRule="auto"/>
        <w:ind w:left="720" w:hanging="720"/>
      </w:pPr>
      <w:r>
        <w:tab/>
      </w:r>
      <w:r>
        <w:tab/>
      </w:r>
      <w:r w:rsidR="003707E6">
        <w:t>In other words, t</w:t>
      </w:r>
      <w:r>
        <w:t xml:space="preserve">he Settlement in this case </w:t>
      </w:r>
      <w:r w:rsidR="00FA2D8B">
        <w:t xml:space="preserve">is </w:t>
      </w:r>
      <w:r>
        <w:t xml:space="preserve">a </w:t>
      </w:r>
      <w:r w:rsidR="00FA2D8B">
        <w:t>common</w:t>
      </w:r>
      <w:r>
        <w:t xml:space="preserve"> form of </w:t>
      </w:r>
      <w:r w:rsidR="000D2F4D">
        <w:t xml:space="preserve">“black box” </w:t>
      </w:r>
      <w:r>
        <w:t>settlement the Commission has approved</w:t>
      </w:r>
      <w:r w:rsidR="00251A7F">
        <w:t xml:space="preserve"> on numerous occasions</w:t>
      </w:r>
      <w:r w:rsidR="00E11C26">
        <w:t>, and Public Counsel has signed</w:t>
      </w:r>
      <w:r w:rsidR="00E077A8">
        <w:t xml:space="preserve">.  </w:t>
      </w:r>
      <w:r>
        <w:t xml:space="preserve">However, unlike some such </w:t>
      </w:r>
      <w:r w:rsidR="000D2F4D">
        <w:t>settlements</w:t>
      </w:r>
      <w:r>
        <w:t xml:space="preserve">, the </w:t>
      </w:r>
      <w:r w:rsidR="00E077A8">
        <w:t xml:space="preserve">Commission has </w:t>
      </w:r>
      <w:r w:rsidR="00562E5C">
        <w:t xml:space="preserve">the benefit of </w:t>
      </w:r>
      <w:r w:rsidR="00E077A8">
        <w:t>Staff’s litigation position</w:t>
      </w:r>
      <w:r>
        <w:t xml:space="preserve">, </w:t>
      </w:r>
      <w:r w:rsidR="00562E5C">
        <w:t xml:space="preserve">and the other parties’ litigation positions, </w:t>
      </w:r>
      <w:r>
        <w:t xml:space="preserve">and therefore can </w:t>
      </w:r>
      <w:r w:rsidR="00E077A8">
        <w:t xml:space="preserve">evaluate the </w:t>
      </w:r>
      <w:r>
        <w:t>“</w:t>
      </w:r>
      <w:r w:rsidR="00E077A8">
        <w:t>black box</w:t>
      </w:r>
      <w:r>
        <w:t>”</w:t>
      </w:r>
      <w:r w:rsidR="00E077A8">
        <w:t xml:space="preserve"> </w:t>
      </w:r>
      <w:r>
        <w:t>accordingly</w:t>
      </w:r>
      <w:r w:rsidR="00A4351E">
        <w:t>.</w:t>
      </w:r>
    </w:p>
    <w:p w:rsidR="00E077A8" w:rsidRDefault="000357BA" w:rsidP="00374F30">
      <w:pPr>
        <w:spacing w:line="480" w:lineRule="auto"/>
        <w:ind w:left="720" w:hanging="720"/>
      </w:pPr>
      <w:r>
        <w:tab/>
      </w:r>
      <w:r>
        <w:tab/>
      </w:r>
      <w:r w:rsidR="00E077A8">
        <w:t>Public Counsel seems to consider Staff’s litigation position as some sort of foundation for the result Avista should expect</w:t>
      </w:r>
      <w:r>
        <w:t xml:space="preserve"> to receive in litigation</w:t>
      </w:r>
      <w:r w:rsidR="00E077A8">
        <w:t>.  This is simply wrong.</w:t>
      </w:r>
    </w:p>
    <w:p w:rsidR="000357BA" w:rsidRDefault="000D2F4D" w:rsidP="00E077A8">
      <w:pPr>
        <w:spacing w:line="480" w:lineRule="auto"/>
        <w:ind w:left="720" w:firstLine="720"/>
      </w:pPr>
      <w:r>
        <w:t xml:space="preserve">Finally, </w:t>
      </w:r>
      <w:r w:rsidR="000357BA">
        <w:t>it is fair to say that the Settling Parties likely would not agree on a common basis for determining the level of rate relief called for by the Settlement.  Yet, we all agree that the end result produced by the Settlement is appropriate</w:t>
      </w:r>
      <w:r w:rsidR="00A4351E">
        <w:t xml:space="preserve"> and in the public interest</w:t>
      </w:r>
      <w:r w:rsidR="000357BA">
        <w:t xml:space="preserve">.  </w:t>
      </w:r>
    </w:p>
    <w:p w:rsidR="00374F30" w:rsidRDefault="00374F30" w:rsidP="00374F30">
      <w:pPr>
        <w:spacing w:line="480" w:lineRule="auto"/>
        <w:ind w:left="720" w:hanging="720"/>
        <w:rPr>
          <w:b/>
        </w:rPr>
      </w:pPr>
    </w:p>
    <w:p w:rsidR="00374F30" w:rsidRDefault="00374F30" w:rsidP="00374F30">
      <w:pPr>
        <w:spacing w:line="480" w:lineRule="auto"/>
        <w:ind w:left="720" w:hanging="720"/>
        <w:rPr>
          <w:b/>
        </w:rPr>
      </w:pPr>
      <w:r>
        <w:rPr>
          <w:b/>
        </w:rPr>
        <w:t>Q.</w:t>
      </w:r>
      <w:r>
        <w:rPr>
          <w:b/>
        </w:rPr>
        <w:tab/>
        <w:t xml:space="preserve">Please provide </w:t>
      </w:r>
      <w:r w:rsidR="00BE4215">
        <w:rPr>
          <w:b/>
        </w:rPr>
        <w:t>Staff’s perspective on</w:t>
      </w:r>
      <w:r w:rsidR="009725D9">
        <w:rPr>
          <w:b/>
        </w:rPr>
        <w:t xml:space="preserve"> the </w:t>
      </w:r>
      <w:r w:rsidR="00C86C01">
        <w:rPr>
          <w:b/>
        </w:rPr>
        <w:t>“</w:t>
      </w:r>
      <w:r w:rsidR="009725D9">
        <w:rPr>
          <w:b/>
        </w:rPr>
        <w:t>black box</w:t>
      </w:r>
      <w:r w:rsidR="00C86C01">
        <w:rPr>
          <w:b/>
        </w:rPr>
        <w:t>”</w:t>
      </w:r>
      <w:r w:rsidR="009725D9">
        <w:rPr>
          <w:b/>
        </w:rPr>
        <w:t xml:space="preserve"> element of the Settlement in </w:t>
      </w:r>
      <w:r w:rsidR="000D2F4D">
        <w:rPr>
          <w:b/>
        </w:rPr>
        <w:t xml:space="preserve">light of Staff’s </w:t>
      </w:r>
      <w:r>
        <w:rPr>
          <w:b/>
        </w:rPr>
        <w:t xml:space="preserve">revenue requirements </w:t>
      </w:r>
      <w:r w:rsidR="000D2F4D">
        <w:rPr>
          <w:b/>
        </w:rPr>
        <w:t>analysis</w:t>
      </w:r>
      <w:r>
        <w:rPr>
          <w:b/>
        </w:rPr>
        <w:t>.</w:t>
      </w:r>
    </w:p>
    <w:p w:rsidR="00374F30" w:rsidRDefault="00374F30" w:rsidP="00374F30">
      <w:pPr>
        <w:spacing w:line="480" w:lineRule="auto"/>
        <w:ind w:left="720" w:hanging="720"/>
      </w:pPr>
      <w:r>
        <w:t>A.</w:t>
      </w:r>
      <w:r>
        <w:tab/>
        <w:t>Staff’s direct case for Avista’s electric operations shows a revenue surplus of $1.3 million, and for its gas operations</w:t>
      </w:r>
      <w:r w:rsidR="000357BA">
        <w:t>,</w:t>
      </w:r>
      <w:r>
        <w:t xml:space="preserve"> Staff</w:t>
      </w:r>
      <w:r w:rsidR="00354F39">
        <w:t>’s</w:t>
      </w:r>
      <w:r>
        <w:t xml:space="preserve"> direct case shows a</w:t>
      </w:r>
      <w:r w:rsidR="000D2F4D">
        <w:t xml:space="preserve"> revenue deficiency</w:t>
      </w:r>
      <w:r>
        <w:t xml:space="preserve"> of $4.0 million.  Staff’s electric revenue requirement figure in particular is significantly lower than the Compa</w:t>
      </w:r>
      <w:r w:rsidR="000A5521">
        <w:t>ny’s initial request of some $41</w:t>
      </w:r>
      <w:r w:rsidR="00DA29C1">
        <w:t xml:space="preserve"> million for </w:t>
      </w:r>
      <w:r w:rsidR="00851790">
        <w:t xml:space="preserve">its </w:t>
      </w:r>
      <w:r w:rsidR="00DA29C1">
        <w:t>electric and $</w:t>
      </w:r>
      <w:r w:rsidR="00851790">
        <w:t>10</w:t>
      </w:r>
      <w:r w:rsidR="00DA29C1">
        <w:t xml:space="preserve"> million for </w:t>
      </w:r>
      <w:r w:rsidR="00851790">
        <w:t xml:space="preserve">natural </w:t>
      </w:r>
      <w:r w:rsidR="00DA29C1">
        <w:t>gas</w:t>
      </w:r>
      <w:r w:rsidR="00851790">
        <w:t xml:space="preserve"> operations</w:t>
      </w:r>
      <w:r w:rsidR="00DA29C1">
        <w:t>.</w:t>
      </w:r>
    </w:p>
    <w:p w:rsidR="00374F30" w:rsidRDefault="00374F30" w:rsidP="00374F30">
      <w:pPr>
        <w:spacing w:line="480" w:lineRule="auto"/>
        <w:ind w:left="720" w:hanging="720"/>
      </w:pPr>
      <w:r>
        <w:lastRenderedPageBreak/>
        <w:tab/>
      </w:r>
      <w:r>
        <w:tab/>
        <w:t>As the Commission has undoubtedly already discerned, the two most significant issues in this case are rate of return and attrition.  Moreover, rate of return also impacts the attrition</w:t>
      </w:r>
      <w:r w:rsidR="00354F39">
        <w:t>-</w:t>
      </w:r>
      <w:r>
        <w:t xml:space="preserve">adjusted revenue requirement for both electric and natural gas operations.  </w:t>
      </w:r>
      <w:r w:rsidR="000D2F4D">
        <w:t>Consequently, r</w:t>
      </w:r>
      <w:r>
        <w:t>ate of return has a material impact on how Staff determined that an increase in rates is appropriate under the terms of this Settlement.</w:t>
      </w:r>
    </w:p>
    <w:p w:rsidR="00374F30" w:rsidRDefault="00374F30" w:rsidP="00374F30">
      <w:pPr>
        <w:spacing w:line="480" w:lineRule="auto"/>
        <w:ind w:left="720" w:hanging="720"/>
      </w:pPr>
    </w:p>
    <w:p w:rsidR="00374F30" w:rsidRPr="00374F30" w:rsidRDefault="00374F30" w:rsidP="00374F30">
      <w:pPr>
        <w:spacing w:line="480" w:lineRule="auto"/>
        <w:ind w:left="720" w:hanging="720"/>
        <w:rPr>
          <w:b/>
        </w:rPr>
      </w:pPr>
      <w:r>
        <w:rPr>
          <w:b/>
        </w:rPr>
        <w:t>Q.</w:t>
      </w:r>
      <w:r>
        <w:rPr>
          <w:b/>
        </w:rPr>
        <w:tab/>
        <w:t>What rate of return did Staff use in its evaluation of Avista’s revenue requirements?</w:t>
      </w:r>
    </w:p>
    <w:p w:rsidR="00374F30" w:rsidRDefault="00374F30" w:rsidP="00374F30">
      <w:pPr>
        <w:spacing w:line="480" w:lineRule="auto"/>
        <w:ind w:left="720" w:hanging="720"/>
      </w:pPr>
      <w:r>
        <w:t>A.</w:t>
      </w:r>
      <w:r>
        <w:tab/>
        <w:t>For purposes of evaluating the revenue requirements aspects of this Settlement, Staff used the overall rate of return of 7.64 percent</w:t>
      </w:r>
      <w:r w:rsidR="00E11C26">
        <w:t>, which is contained in the Settlement</w:t>
      </w:r>
      <w:r>
        <w:t>.  This rate of return is based upon a return on equity of 9.8 percent and a capital structure with an equity ratio of 47.</w:t>
      </w:r>
      <w:r w:rsidR="00270565">
        <w:t>0</w:t>
      </w:r>
      <w:r>
        <w:t xml:space="preserve"> percent to its direct case.  </w:t>
      </w:r>
      <w:r w:rsidR="00A6193C">
        <w:t>The</w:t>
      </w:r>
      <w:r w:rsidR="0087447C">
        <w:t xml:space="preserve"> 9.8 percent return on equity is the same return the Commission deemed reasonable for Puget Sound Energy (PSE) this spring in a contested rate case, Docket </w:t>
      </w:r>
      <w:proofErr w:type="spellStart"/>
      <w:r w:rsidR="0087447C">
        <w:t>UE</w:t>
      </w:r>
      <w:proofErr w:type="spellEnd"/>
      <w:r w:rsidR="0087447C">
        <w:t>-111048, et al.  The 47 percent equity ratio</w:t>
      </w:r>
      <w:r w:rsidR="002B0215">
        <w:t xml:space="preserve"> is lower than the equity ratio</w:t>
      </w:r>
      <w:bookmarkStart w:id="0" w:name="_GoBack"/>
      <w:bookmarkEnd w:id="0"/>
      <w:r w:rsidR="0087447C">
        <w:t xml:space="preserve"> the Commission found reasonable for PSE.</w:t>
      </w:r>
      <w:r w:rsidR="00A6193C">
        <w:t xml:space="preserve">  </w:t>
      </w:r>
      <w:r>
        <w:t>Using the Company’s updated cost of debt of 5.7</w:t>
      </w:r>
      <w:r w:rsidR="00270565">
        <w:t>2</w:t>
      </w:r>
      <w:r>
        <w:t xml:space="preserve"> percent</w:t>
      </w:r>
      <w:r w:rsidR="000D2F4D">
        <w:t xml:space="preserve"> </w:t>
      </w:r>
      <w:r w:rsidR="000A5521">
        <w:t>yields</w:t>
      </w:r>
      <w:r>
        <w:t xml:space="preserve"> an overall rate of return of 7.64 percent for Avista.</w:t>
      </w:r>
    </w:p>
    <w:p w:rsidR="00374F30" w:rsidRDefault="00374F30" w:rsidP="00374F30">
      <w:pPr>
        <w:spacing w:line="480" w:lineRule="auto"/>
        <w:ind w:left="720" w:hanging="720"/>
        <w:rPr>
          <w:b/>
        </w:rPr>
      </w:pPr>
    </w:p>
    <w:p w:rsidR="00374F30" w:rsidRDefault="00374F30" w:rsidP="00374F30">
      <w:pPr>
        <w:spacing w:line="480" w:lineRule="auto"/>
        <w:ind w:left="720" w:hanging="720"/>
        <w:rPr>
          <w:b/>
        </w:rPr>
      </w:pPr>
      <w:r>
        <w:rPr>
          <w:b/>
        </w:rPr>
        <w:t>Q.</w:t>
      </w:r>
      <w:r>
        <w:rPr>
          <w:b/>
        </w:rPr>
        <w:tab/>
        <w:t xml:space="preserve">Please explain the </w:t>
      </w:r>
      <w:r w:rsidR="00DA29C1">
        <w:rPr>
          <w:b/>
        </w:rPr>
        <w:t>impact</w:t>
      </w:r>
      <w:r>
        <w:rPr>
          <w:b/>
        </w:rPr>
        <w:t xml:space="preserve"> of using a 7.64 percent rate of return in the Settlement to evaluate Avista’s </w:t>
      </w:r>
      <w:r w:rsidR="00DA29C1">
        <w:rPr>
          <w:b/>
        </w:rPr>
        <w:t xml:space="preserve">and Staff’s </w:t>
      </w:r>
      <w:r>
        <w:rPr>
          <w:b/>
        </w:rPr>
        <w:t>revenue requirement.</w:t>
      </w:r>
    </w:p>
    <w:p w:rsidR="00374F30" w:rsidRDefault="00374F30" w:rsidP="00374F30">
      <w:pPr>
        <w:spacing w:line="480" w:lineRule="auto"/>
        <w:ind w:left="720" w:hanging="720"/>
      </w:pPr>
      <w:r>
        <w:t>A.</w:t>
      </w:r>
      <w:r>
        <w:tab/>
        <w:t>Using a 7.64 percent rate of return to the Company’s direct case for its electric operations</w:t>
      </w:r>
      <w:r>
        <w:rPr>
          <w:rStyle w:val="FootnoteReference"/>
        </w:rPr>
        <w:footnoteReference w:id="15"/>
      </w:r>
      <w:r>
        <w:t xml:space="preserve"> would produce a revenue</w:t>
      </w:r>
      <w:r w:rsidR="000A5521">
        <w:t xml:space="preserve"> deficiency of approximately $29</w:t>
      </w:r>
      <w:r>
        <w:t xml:space="preserve"> million</w:t>
      </w:r>
      <w:r w:rsidR="00C86C01">
        <w:t xml:space="preserve"> for 2013</w:t>
      </w:r>
      <w:r>
        <w:t xml:space="preserve">.  Staff’s response case at the same 7.64 percent rate of return would produce a revenue deficiency of approximately $7 million.  </w:t>
      </w:r>
    </w:p>
    <w:p w:rsidR="00374F30" w:rsidRDefault="00374F30" w:rsidP="00374F30">
      <w:pPr>
        <w:spacing w:line="480" w:lineRule="auto"/>
        <w:ind w:left="720" w:hanging="720"/>
      </w:pPr>
      <w:r>
        <w:lastRenderedPageBreak/>
        <w:tab/>
      </w:r>
      <w:r>
        <w:tab/>
      </w:r>
      <w:r w:rsidR="001A0BEC">
        <w:t>Within this range</w:t>
      </w:r>
      <w:r>
        <w:t xml:space="preserve"> are numerous </w:t>
      </w:r>
      <w:r w:rsidR="000D2F4D">
        <w:t xml:space="preserve">contested </w:t>
      </w:r>
      <w:r>
        <w:t>adjustments</w:t>
      </w:r>
      <w:r w:rsidR="00525C7C">
        <w:rPr>
          <w:rStyle w:val="FootnoteReference"/>
        </w:rPr>
        <w:footnoteReference w:id="16"/>
      </w:r>
      <w:r>
        <w:t>, but the bi</w:t>
      </w:r>
      <w:r w:rsidR="00BE4215">
        <w:t>ggest difference between the $29</w:t>
      </w:r>
      <w:r>
        <w:t xml:space="preserve"> million figure and the $7 million figure is due to the estimate of rate year attrition.  The 3.0 percent increase for 2013</w:t>
      </w:r>
      <w:r w:rsidR="00A4351E">
        <w:rPr>
          <w:rStyle w:val="FootnoteReference"/>
        </w:rPr>
        <w:footnoteReference w:id="17"/>
      </w:r>
      <w:r>
        <w:t xml:space="preserve"> contained in the Settlement can be viewed as Staff moving its attrition allowance closer to the Company’s request.</w:t>
      </w:r>
    </w:p>
    <w:p w:rsidR="00374F30" w:rsidRDefault="00374F30" w:rsidP="00374F30">
      <w:pPr>
        <w:spacing w:line="480" w:lineRule="auto"/>
        <w:ind w:left="720" w:firstLine="720"/>
      </w:pPr>
      <w:r>
        <w:t xml:space="preserve">For natural gas, </w:t>
      </w:r>
      <w:r w:rsidR="009B7ACA">
        <w:t>t</w:t>
      </w:r>
      <w:r>
        <w:t>he $5.3 million (or 3.74 percent increase) in 2013</w:t>
      </w:r>
      <w:r w:rsidR="000D2F4D">
        <w:t xml:space="preserve"> under the Settlement</w:t>
      </w:r>
      <w:r>
        <w:t xml:space="preserve"> is the same figure one would calculate if the Commission accepted Staff’s case in total, except changing the rate of return to 7.64 percent.</w:t>
      </w:r>
    </w:p>
    <w:p w:rsidR="008C4A06" w:rsidRDefault="008C4A06" w:rsidP="00E11C26">
      <w:pPr>
        <w:spacing w:line="480" w:lineRule="auto"/>
        <w:ind w:left="720" w:hanging="720"/>
        <w:rPr>
          <w:b/>
        </w:rPr>
      </w:pPr>
    </w:p>
    <w:p w:rsidR="006B05DA" w:rsidRPr="005C3D28" w:rsidRDefault="00941524" w:rsidP="00374F30">
      <w:pPr>
        <w:spacing w:line="480" w:lineRule="auto"/>
        <w:ind w:left="720" w:hanging="720"/>
        <w:rPr>
          <w:b/>
        </w:rPr>
      </w:pPr>
      <w:r>
        <w:rPr>
          <w:b/>
        </w:rPr>
        <w:t>C</w:t>
      </w:r>
      <w:r w:rsidR="00C84512" w:rsidRPr="005C3D28">
        <w:rPr>
          <w:b/>
        </w:rPr>
        <w:t>.</w:t>
      </w:r>
      <w:r w:rsidR="00C84512" w:rsidRPr="005C3D28">
        <w:rPr>
          <w:b/>
        </w:rPr>
        <w:tab/>
      </w:r>
      <w:r w:rsidRPr="005C3D28">
        <w:rPr>
          <w:b/>
        </w:rPr>
        <w:t>RATE OF RETURN</w:t>
      </w:r>
    </w:p>
    <w:p w:rsidR="00C84512" w:rsidRDefault="00C84512" w:rsidP="00374F30">
      <w:pPr>
        <w:spacing w:line="480" w:lineRule="auto"/>
        <w:ind w:left="720" w:hanging="720"/>
        <w:rPr>
          <w:b/>
        </w:rPr>
      </w:pPr>
    </w:p>
    <w:p w:rsidR="006B05DA" w:rsidRDefault="006B05DA" w:rsidP="00374F30">
      <w:pPr>
        <w:spacing w:line="480" w:lineRule="auto"/>
        <w:ind w:left="720" w:hanging="720"/>
        <w:rPr>
          <w:b/>
        </w:rPr>
      </w:pPr>
      <w:r>
        <w:rPr>
          <w:b/>
        </w:rPr>
        <w:t>Q.</w:t>
      </w:r>
      <w:r>
        <w:rPr>
          <w:b/>
        </w:rPr>
        <w:tab/>
        <w:t xml:space="preserve">Public Counsel </w:t>
      </w:r>
      <w:r w:rsidR="00011AD9">
        <w:rPr>
          <w:b/>
        </w:rPr>
        <w:t xml:space="preserve">also </w:t>
      </w:r>
      <w:r>
        <w:rPr>
          <w:b/>
        </w:rPr>
        <w:t>objects to the rate of return in the Settlem</w:t>
      </w:r>
      <w:r w:rsidR="00525C7C">
        <w:rPr>
          <w:b/>
        </w:rPr>
        <w:t>e</w:t>
      </w:r>
      <w:r>
        <w:rPr>
          <w:b/>
        </w:rPr>
        <w:t>nt.</w:t>
      </w:r>
      <w:r w:rsidR="002224B3">
        <w:rPr>
          <w:rStyle w:val="FootnoteReference"/>
          <w:b/>
        </w:rPr>
        <w:footnoteReference w:id="18"/>
      </w:r>
      <w:r>
        <w:rPr>
          <w:b/>
        </w:rPr>
        <w:t xml:space="preserve">  What is </w:t>
      </w:r>
      <w:r w:rsidR="00562E5C">
        <w:rPr>
          <w:b/>
        </w:rPr>
        <w:t>Staff’s</w:t>
      </w:r>
      <w:r>
        <w:rPr>
          <w:b/>
        </w:rPr>
        <w:t xml:space="preserve"> response on this issue?</w:t>
      </w:r>
    </w:p>
    <w:p w:rsidR="006B05DA" w:rsidRDefault="006B05DA" w:rsidP="006B05DA">
      <w:pPr>
        <w:spacing w:line="480" w:lineRule="auto"/>
        <w:ind w:left="720" w:hanging="720"/>
      </w:pPr>
      <w:r>
        <w:t>A.</w:t>
      </w:r>
      <w:r>
        <w:tab/>
        <w:t xml:space="preserve">First, Public </w:t>
      </w:r>
      <w:r w:rsidR="00011AD9">
        <w:t>C</w:t>
      </w:r>
      <w:r>
        <w:t xml:space="preserve">ounsel did not offer any testimony on </w:t>
      </w:r>
      <w:r w:rsidR="00011AD9">
        <w:t>what the appropriate rate of return should be</w:t>
      </w:r>
      <w:r w:rsidR="000D2F4D">
        <w:t>.  Second, as Public Counsel points out, I provide</w:t>
      </w:r>
      <w:r w:rsidR="00562E5C">
        <w:t>d</w:t>
      </w:r>
      <w:r w:rsidR="000D2F4D">
        <w:t xml:space="preserve"> </w:t>
      </w:r>
      <w:r w:rsidR="00562E5C">
        <w:t xml:space="preserve">direct </w:t>
      </w:r>
      <w:r w:rsidR="000D2F4D">
        <w:t xml:space="preserve">testimony on rate of return, and I testified to a fair return lower that the rate of return stated in the Settlement.  </w:t>
      </w:r>
      <w:r w:rsidR="00562E5C">
        <w:tab/>
      </w:r>
      <w:r w:rsidR="000D2F4D">
        <w:t>However, the rate of return in the Settlement is a compromise, and as I mentioned earlier, it reflects the same return on equity the Commission recently decided was fair for Puget Sound Energy</w:t>
      </w:r>
      <w:r w:rsidR="00A4351E">
        <w:t xml:space="preserve"> </w:t>
      </w:r>
      <w:r w:rsidR="00562E5C">
        <w:t xml:space="preserve">(PSE) last </w:t>
      </w:r>
      <w:r w:rsidR="00A6193C">
        <w:t>spring</w:t>
      </w:r>
      <w:r w:rsidR="000D2F4D">
        <w:t xml:space="preserve">.  </w:t>
      </w:r>
      <w:r w:rsidR="00C84512">
        <w:t>The Commis</w:t>
      </w:r>
      <w:r w:rsidR="00E22E00">
        <w:t xml:space="preserve">sion </w:t>
      </w:r>
      <w:r w:rsidR="00C84512">
        <w:t xml:space="preserve">did not accept my rate of return recommendation in that PSE case.  </w:t>
      </w:r>
      <w:r w:rsidR="000D2F4D">
        <w:t>I am comfortable with the Settlement in this regard</w:t>
      </w:r>
      <w:r>
        <w:t xml:space="preserve">.    </w:t>
      </w:r>
    </w:p>
    <w:p w:rsidR="006B05DA" w:rsidRDefault="006B05DA" w:rsidP="006B05DA">
      <w:pPr>
        <w:spacing w:line="480" w:lineRule="auto"/>
        <w:ind w:left="720" w:hanging="720"/>
      </w:pPr>
      <w:r>
        <w:tab/>
      </w:r>
      <w:r>
        <w:tab/>
      </w:r>
      <w:r w:rsidR="000D2F4D">
        <w:t xml:space="preserve">Third, </w:t>
      </w:r>
      <w:r>
        <w:t xml:space="preserve">Public Counsel </w:t>
      </w:r>
      <w:r w:rsidR="000D2F4D">
        <w:t xml:space="preserve">asserts </w:t>
      </w:r>
      <w:r>
        <w:t xml:space="preserve">there is a connection between a fair rate of return </w:t>
      </w:r>
      <w:r w:rsidR="005F65CF">
        <w:t>and whether</w:t>
      </w:r>
      <w:r>
        <w:t xml:space="preserve"> </w:t>
      </w:r>
      <w:r w:rsidR="00011AD9">
        <w:t xml:space="preserve">the Commission should accept </w:t>
      </w:r>
      <w:r>
        <w:t>an attrition adjustment.</w:t>
      </w:r>
      <w:r w:rsidR="00E077A8">
        <w:rPr>
          <w:rStyle w:val="FootnoteReference"/>
        </w:rPr>
        <w:footnoteReference w:id="19"/>
      </w:r>
      <w:r>
        <w:t xml:space="preserve">  </w:t>
      </w:r>
      <w:r w:rsidR="00C84512">
        <w:t xml:space="preserve">Public Counsel is </w:t>
      </w:r>
      <w:r w:rsidR="00C84512">
        <w:lastRenderedPageBreak/>
        <w:t>wrong.  A</w:t>
      </w:r>
      <w:r w:rsidR="00011AD9">
        <w:t xml:space="preserve"> basic principle of ratemaking </w:t>
      </w:r>
      <w:r w:rsidR="00C84512">
        <w:t xml:space="preserve">is </w:t>
      </w:r>
      <w:r w:rsidR="00011AD9">
        <w:t xml:space="preserve">that a </w:t>
      </w:r>
      <w:r>
        <w:t>utility is entitled to a reasonable opportunity to earn a fair retur</w:t>
      </w:r>
      <w:r w:rsidR="005F65CF">
        <w:t>n.  T</w:t>
      </w:r>
      <w:r>
        <w:t xml:space="preserve">he Commission’s policy is </w:t>
      </w:r>
      <w:r w:rsidR="005F65CF">
        <w:t xml:space="preserve">to </w:t>
      </w:r>
      <w:r>
        <w:t xml:space="preserve">provide </w:t>
      </w:r>
      <w:r w:rsidR="005F65CF">
        <w:t xml:space="preserve">additional revenue </w:t>
      </w:r>
      <w:r>
        <w:t xml:space="preserve">if there is sufficient evidence </w:t>
      </w:r>
      <w:r w:rsidR="005F65CF">
        <w:t>to support an</w:t>
      </w:r>
      <w:r w:rsidR="005F65CF" w:rsidRPr="005F65CF">
        <w:t xml:space="preserve"> </w:t>
      </w:r>
      <w:r w:rsidR="005F65CF">
        <w:t>attrition allowance</w:t>
      </w:r>
      <w:r>
        <w:t xml:space="preserve">.  </w:t>
      </w:r>
      <w:r w:rsidR="00011AD9">
        <w:t>To my knowledge, t</w:t>
      </w:r>
      <w:r>
        <w:t>he Commission has never con</w:t>
      </w:r>
      <w:r w:rsidR="00011AD9">
        <w:t xml:space="preserve">ditioned an </w:t>
      </w:r>
      <w:r>
        <w:t xml:space="preserve">attrition allowance </w:t>
      </w:r>
      <w:r w:rsidR="003707E6">
        <w:t xml:space="preserve">on </w:t>
      </w:r>
      <w:r>
        <w:t>a reduced rate of return.</w:t>
      </w:r>
    </w:p>
    <w:p w:rsidR="008C4A06" w:rsidRDefault="008C4A06" w:rsidP="006B05DA">
      <w:pPr>
        <w:spacing w:line="480" w:lineRule="auto"/>
        <w:ind w:left="720" w:hanging="720"/>
      </w:pPr>
    </w:p>
    <w:p w:rsidR="008C4A06" w:rsidRDefault="00941524" w:rsidP="00545A89">
      <w:pPr>
        <w:ind w:left="720" w:hanging="720"/>
        <w:rPr>
          <w:b/>
        </w:rPr>
      </w:pPr>
      <w:r>
        <w:rPr>
          <w:b/>
        </w:rPr>
        <w:t>D</w:t>
      </w:r>
      <w:r w:rsidR="008C4A06">
        <w:rPr>
          <w:b/>
        </w:rPr>
        <w:t>.</w:t>
      </w:r>
      <w:r w:rsidR="008C4A06">
        <w:rPr>
          <w:b/>
        </w:rPr>
        <w:tab/>
      </w:r>
      <w:r>
        <w:rPr>
          <w:b/>
        </w:rPr>
        <w:t>MISCELLANEOUS ISSUES RAISED BY PUBLIC COUNSEL IN OPPOSITION TO THE SETTLEMENT</w:t>
      </w:r>
    </w:p>
    <w:p w:rsidR="008C4A06" w:rsidRDefault="008C4A06" w:rsidP="006B05DA">
      <w:pPr>
        <w:spacing w:line="480" w:lineRule="auto"/>
        <w:ind w:left="720" w:hanging="720"/>
        <w:rPr>
          <w:b/>
        </w:rPr>
      </w:pPr>
    </w:p>
    <w:p w:rsidR="008C4A06" w:rsidRDefault="008C4A06" w:rsidP="006B05DA">
      <w:pPr>
        <w:spacing w:line="480" w:lineRule="auto"/>
        <w:ind w:left="720" w:hanging="720"/>
        <w:rPr>
          <w:b/>
        </w:rPr>
      </w:pPr>
      <w:r>
        <w:rPr>
          <w:b/>
        </w:rPr>
        <w:t>Q.</w:t>
      </w:r>
      <w:r>
        <w:rPr>
          <w:b/>
        </w:rPr>
        <w:tab/>
        <w:t xml:space="preserve">Public Counsel </w:t>
      </w:r>
      <w:r w:rsidR="005E7559">
        <w:rPr>
          <w:b/>
        </w:rPr>
        <w:t>objects to the Settlement due to the January 1, 2013</w:t>
      </w:r>
      <w:r w:rsidR="00C86C01">
        <w:rPr>
          <w:b/>
        </w:rPr>
        <w:t>,</w:t>
      </w:r>
      <w:r w:rsidR="005E7559">
        <w:rPr>
          <w:b/>
        </w:rPr>
        <w:t xml:space="preserve"> effective date of the new rates</w:t>
      </w:r>
      <w:r w:rsidR="00562E5C">
        <w:rPr>
          <w:b/>
        </w:rPr>
        <w:t>, arguing that</w:t>
      </w:r>
      <w:r w:rsidR="005E7559">
        <w:rPr>
          <w:b/>
        </w:rPr>
        <w:t xml:space="preserve"> provides significant additional revenue to Avista.</w:t>
      </w:r>
      <w:r w:rsidR="005E7559">
        <w:rPr>
          <w:rStyle w:val="FootnoteReference"/>
          <w:b/>
        </w:rPr>
        <w:footnoteReference w:id="20"/>
      </w:r>
      <w:r w:rsidR="005E7559">
        <w:rPr>
          <w:b/>
        </w:rPr>
        <w:t xml:space="preserve">  Is this a reasonable objection?</w:t>
      </w:r>
    </w:p>
    <w:p w:rsidR="00F734CA" w:rsidRPr="00F734CA" w:rsidRDefault="008C4A06" w:rsidP="00F734CA">
      <w:pPr>
        <w:spacing w:line="480" w:lineRule="auto"/>
        <w:ind w:left="720" w:hanging="720"/>
      </w:pPr>
      <w:r>
        <w:t>A.</w:t>
      </w:r>
      <w:r>
        <w:tab/>
      </w:r>
      <w:r w:rsidR="005E7559">
        <w:t xml:space="preserve">No.  </w:t>
      </w:r>
      <w:r>
        <w:t xml:space="preserve">Public Counsel’s testimony </w:t>
      </w:r>
      <w:r w:rsidR="0024524F">
        <w:t xml:space="preserve">advocates that </w:t>
      </w:r>
      <w:r>
        <w:t>the Commission</w:t>
      </w:r>
      <w:r w:rsidR="00A77FC9">
        <w:t>’s</w:t>
      </w:r>
      <w:r>
        <w:t xml:space="preserve"> </w:t>
      </w:r>
      <w:r w:rsidR="0024524F">
        <w:t xml:space="preserve">policy should </w:t>
      </w:r>
      <w:r w:rsidR="00A77FC9">
        <w:t xml:space="preserve">be to ensure </w:t>
      </w:r>
      <w:r w:rsidR="0024524F">
        <w:t>customer</w:t>
      </w:r>
      <w:r w:rsidR="00A77FC9">
        <w:t>s only pay higher rates after the</w:t>
      </w:r>
      <w:r>
        <w:t xml:space="preserve"> full </w:t>
      </w:r>
      <w:r w:rsidR="0024524F">
        <w:t xml:space="preserve">ten-month </w:t>
      </w:r>
      <w:r>
        <w:t xml:space="preserve">statutory suspension period.  </w:t>
      </w:r>
      <w:r w:rsidR="002224B3">
        <w:t xml:space="preserve">However, </w:t>
      </w:r>
      <w:r w:rsidR="00B24729">
        <w:t>r</w:t>
      </w:r>
      <w:r w:rsidR="002224B3">
        <w:t xml:space="preserve">egulatory lag is not a customer right.  </w:t>
      </w:r>
      <w:r w:rsidR="005E7559">
        <w:t>The Commission should retain its discretion to determine when rates should take effect based upon the circumstances present at the time.</w:t>
      </w:r>
      <w:r w:rsidR="00C86C01">
        <w:t xml:space="preserve">  If the rates are reasonable, there is no reason to delay their effective date.</w:t>
      </w:r>
    </w:p>
    <w:p w:rsidR="00BA3BEB" w:rsidRDefault="00BA3BEB" w:rsidP="006B05DA">
      <w:pPr>
        <w:spacing w:line="480" w:lineRule="auto"/>
        <w:ind w:left="720" w:hanging="720"/>
      </w:pPr>
    </w:p>
    <w:p w:rsidR="00BA3BEB" w:rsidRDefault="005E7559" w:rsidP="006B05DA">
      <w:pPr>
        <w:spacing w:line="480" w:lineRule="auto"/>
        <w:ind w:left="720" w:hanging="720"/>
        <w:rPr>
          <w:b/>
        </w:rPr>
      </w:pPr>
      <w:r>
        <w:rPr>
          <w:b/>
        </w:rPr>
        <w:t>Q.</w:t>
      </w:r>
      <w:r>
        <w:rPr>
          <w:b/>
        </w:rPr>
        <w:tab/>
        <w:t>Public C</w:t>
      </w:r>
      <w:r w:rsidR="00BA3BEB">
        <w:rPr>
          <w:b/>
        </w:rPr>
        <w:t xml:space="preserve">ounsel also objects to the </w:t>
      </w:r>
      <w:r w:rsidR="00E22E00">
        <w:rPr>
          <w:b/>
        </w:rPr>
        <w:t>S</w:t>
      </w:r>
      <w:r w:rsidR="00BA3BEB">
        <w:rPr>
          <w:b/>
        </w:rPr>
        <w:t xml:space="preserve">ettlement because the issue of executive compensation </w:t>
      </w:r>
      <w:r w:rsidR="00E11C26">
        <w:rPr>
          <w:b/>
        </w:rPr>
        <w:t xml:space="preserve">and similar issues are </w:t>
      </w:r>
      <w:r w:rsidR="00111331">
        <w:rPr>
          <w:b/>
        </w:rPr>
        <w:t xml:space="preserve">not specifically </w:t>
      </w:r>
      <w:r w:rsidR="00E11C26">
        <w:rPr>
          <w:b/>
        </w:rPr>
        <w:t>resolved</w:t>
      </w:r>
      <w:r w:rsidR="00111331">
        <w:rPr>
          <w:b/>
        </w:rPr>
        <w:t>.</w:t>
      </w:r>
      <w:r w:rsidR="00C717E0">
        <w:rPr>
          <w:rStyle w:val="FootnoteReference"/>
          <w:b/>
        </w:rPr>
        <w:footnoteReference w:id="21"/>
      </w:r>
      <w:r w:rsidR="00111331">
        <w:rPr>
          <w:b/>
        </w:rPr>
        <w:t xml:space="preserve">  Is this criticism valid?</w:t>
      </w:r>
    </w:p>
    <w:p w:rsidR="00111331" w:rsidRDefault="00A6193C" w:rsidP="006B05DA">
      <w:pPr>
        <w:spacing w:line="480" w:lineRule="auto"/>
        <w:ind w:left="720" w:hanging="720"/>
      </w:pPr>
      <w:r>
        <w:lastRenderedPageBreak/>
        <w:t>A</w:t>
      </w:r>
      <w:r w:rsidR="00111331">
        <w:t>.</w:t>
      </w:r>
      <w:r w:rsidR="00111331">
        <w:tab/>
        <w:t xml:space="preserve">No.  </w:t>
      </w:r>
      <w:r w:rsidR="00C86C01">
        <w:t xml:space="preserve">I note that Staff’s </w:t>
      </w:r>
      <w:r w:rsidR="001019E2">
        <w:t xml:space="preserve">litigation position on these issues is quite similar to </w:t>
      </w:r>
      <w:r w:rsidR="00111331">
        <w:t>Public Counsel</w:t>
      </w:r>
      <w:r w:rsidR="001019E2">
        <w:t>’s.</w:t>
      </w:r>
      <w:r w:rsidR="00A77FC9">
        <w:t xml:space="preserve">  </w:t>
      </w:r>
      <w:r w:rsidR="005E7559">
        <w:t xml:space="preserve">Staff </w:t>
      </w:r>
      <w:r w:rsidR="00A77FC9">
        <w:t>considered</w:t>
      </w:r>
      <w:r w:rsidR="005E7559">
        <w:t xml:space="preserve"> th</w:t>
      </w:r>
      <w:r w:rsidR="001019E2">
        <w:t>ese</w:t>
      </w:r>
      <w:r w:rsidR="005E7559">
        <w:t xml:space="preserve"> issue</w:t>
      </w:r>
      <w:r w:rsidR="001019E2">
        <w:t>s</w:t>
      </w:r>
      <w:r w:rsidR="005E7559">
        <w:t xml:space="preserve"> under the terms of the Settlement</w:t>
      </w:r>
      <w:r w:rsidR="00A77FC9">
        <w:t xml:space="preserve"> and believes </w:t>
      </w:r>
      <w:r w:rsidR="001019E2">
        <w:t xml:space="preserve">the Settlement </w:t>
      </w:r>
      <w:r w:rsidR="00A77FC9">
        <w:t>fairly resolves th</w:t>
      </w:r>
      <w:r w:rsidR="001019E2">
        <w:t>ese</w:t>
      </w:r>
      <w:r w:rsidR="00A77FC9">
        <w:t xml:space="preserve"> issue</w:t>
      </w:r>
      <w:r w:rsidR="001019E2">
        <w:t>s</w:t>
      </w:r>
      <w:r w:rsidR="00A77FC9">
        <w:t xml:space="preserve"> for purposes of this case</w:t>
      </w:r>
      <w:r w:rsidR="005E7559">
        <w:t>.</w:t>
      </w:r>
      <w:r w:rsidR="00C717E0">
        <w:t xml:space="preserve">  </w:t>
      </w:r>
    </w:p>
    <w:p w:rsidR="00FA2807" w:rsidRDefault="00FA2807" w:rsidP="006B05DA">
      <w:pPr>
        <w:spacing w:line="480" w:lineRule="auto"/>
        <w:ind w:left="720" w:hanging="720"/>
      </w:pPr>
    </w:p>
    <w:p w:rsidR="00FA2807" w:rsidRDefault="00FA2807" w:rsidP="006B05DA">
      <w:pPr>
        <w:spacing w:line="480" w:lineRule="auto"/>
        <w:ind w:left="720" w:hanging="720"/>
        <w:rPr>
          <w:b/>
        </w:rPr>
      </w:pPr>
      <w:r>
        <w:rPr>
          <w:b/>
        </w:rPr>
        <w:t>Q.</w:t>
      </w:r>
      <w:r>
        <w:rPr>
          <w:b/>
        </w:rPr>
        <w:tab/>
        <w:t xml:space="preserve">Public Counsel takes issue with the terms of the Settlement because it does not specifically address issues </w:t>
      </w:r>
      <w:r w:rsidR="00562E5C">
        <w:rPr>
          <w:b/>
        </w:rPr>
        <w:t xml:space="preserve">regarding </w:t>
      </w:r>
      <w:r>
        <w:rPr>
          <w:b/>
        </w:rPr>
        <w:t>the treatment of administrative and general costs.</w:t>
      </w:r>
      <w:r w:rsidRPr="004E2DCE">
        <w:rPr>
          <w:rStyle w:val="FootnoteReference"/>
        </w:rPr>
        <w:footnoteReference w:id="22"/>
      </w:r>
      <w:r w:rsidR="00C717E0">
        <w:rPr>
          <w:b/>
        </w:rPr>
        <w:t xml:space="preserve">  Is this criticism </w:t>
      </w:r>
      <w:r>
        <w:rPr>
          <w:b/>
        </w:rPr>
        <w:t>valid?</w:t>
      </w:r>
    </w:p>
    <w:p w:rsidR="00FA2807" w:rsidRPr="00FA2807" w:rsidRDefault="00FA2807" w:rsidP="00A77FC9">
      <w:pPr>
        <w:spacing w:line="480" w:lineRule="auto"/>
        <w:ind w:left="720" w:hanging="720"/>
      </w:pPr>
      <w:r>
        <w:t>A.</w:t>
      </w:r>
      <w:r>
        <w:tab/>
        <w:t xml:space="preserve">No.  Staff reviewed the </w:t>
      </w:r>
      <w:r w:rsidR="00C717E0">
        <w:t>actions of A</w:t>
      </w:r>
      <w:r>
        <w:t>vista to improve its accounting for these costs.</w:t>
      </w:r>
      <w:r>
        <w:rPr>
          <w:rStyle w:val="FootnoteReference"/>
        </w:rPr>
        <w:footnoteReference w:id="23"/>
      </w:r>
      <w:r>
        <w:t xml:space="preserve">  No other action is necessary.</w:t>
      </w:r>
    </w:p>
    <w:p w:rsidR="001019E2" w:rsidRDefault="001019E2" w:rsidP="00251A7F">
      <w:pPr>
        <w:spacing w:line="480" w:lineRule="auto"/>
        <w:ind w:left="720" w:hanging="720"/>
        <w:rPr>
          <w:b/>
        </w:rPr>
      </w:pPr>
    </w:p>
    <w:p w:rsidR="00251A7F" w:rsidRDefault="008F634F" w:rsidP="00251A7F">
      <w:pPr>
        <w:spacing w:line="480" w:lineRule="auto"/>
        <w:ind w:left="720" w:hanging="720"/>
        <w:rPr>
          <w:b/>
        </w:rPr>
      </w:pPr>
      <w:r>
        <w:rPr>
          <w:b/>
        </w:rPr>
        <w:t>Q.</w:t>
      </w:r>
      <w:r>
        <w:rPr>
          <w:b/>
        </w:rPr>
        <w:tab/>
        <w:t>Public Counsel takes issue with the Settlement and its treatment of REC revenues.</w:t>
      </w:r>
      <w:r w:rsidRPr="004E2DCE">
        <w:rPr>
          <w:rStyle w:val="FootnoteReference"/>
        </w:rPr>
        <w:footnoteReference w:id="24"/>
      </w:r>
      <w:r>
        <w:rPr>
          <w:b/>
        </w:rPr>
        <w:t xml:space="preserve">  Are </w:t>
      </w:r>
      <w:r w:rsidR="00562E5C">
        <w:rPr>
          <w:b/>
        </w:rPr>
        <w:t xml:space="preserve">Public Counsel’s </w:t>
      </w:r>
      <w:r>
        <w:rPr>
          <w:b/>
        </w:rPr>
        <w:t>concerns valid?</w:t>
      </w:r>
    </w:p>
    <w:p w:rsidR="00FB6A5B" w:rsidRDefault="00FB6A5B" w:rsidP="00251A7F">
      <w:pPr>
        <w:spacing w:line="480" w:lineRule="auto"/>
        <w:ind w:left="720" w:hanging="720"/>
      </w:pPr>
      <w:r>
        <w:t>A.</w:t>
      </w:r>
      <w:r>
        <w:tab/>
        <w:t xml:space="preserve">No. </w:t>
      </w:r>
    </w:p>
    <w:p w:rsidR="00FB6A5B" w:rsidRPr="00251A7F" w:rsidRDefault="00FB6A5B" w:rsidP="00251A7F">
      <w:pPr>
        <w:spacing w:line="480" w:lineRule="auto"/>
        <w:ind w:left="720" w:hanging="720"/>
      </w:pPr>
    </w:p>
    <w:p w:rsidR="00FB6A5B" w:rsidRDefault="00FB6A5B" w:rsidP="00FB6A5B">
      <w:pPr>
        <w:spacing w:line="480" w:lineRule="auto"/>
        <w:rPr>
          <w:b/>
        </w:rPr>
      </w:pPr>
      <w:r>
        <w:rPr>
          <w:b/>
        </w:rPr>
        <w:t>Q.</w:t>
      </w:r>
      <w:r>
        <w:rPr>
          <w:b/>
        </w:rPr>
        <w:tab/>
        <w:t>Please explain.</w:t>
      </w:r>
    </w:p>
    <w:p w:rsidR="00FB6A5B" w:rsidRDefault="00FB6A5B" w:rsidP="00FB6A5B">
      <w:pPr>
        <w:spacing w:line="480" w:lineRule="auto"/>
        <w:ind w:left="720" w:hanging="720"/>
      </w:pPr>
      <w:r>
        <w:t>A.</w:t>
      </w:r>
      <w:r>
        <w:tab/>
        <w:t>First, Public Counsel says the Settlement does not treat REC revenues as “property</w:t>
      </w:r>
      <w:r w:rsidR="002B0A5E">
        <w:t>.</w:t>
      </w:r>
      <w:r>
        <w:t>”</w:t>
      </w:r>
      <w:r>
        <w:rPr>
          <w:rStyle w:val="FootnoteReference"/>
        </w:rPr>
        <w:footnoteReference w:id="25"/>
      </w:r>
      <w:r>
        <w:t xml:space="preserve">  </w:t>
      </w:r>
      <w:r w:rsidR="00562E5C">
        <w:t>In fact, t</w:t>
      </w:r>
      <w:r>
        <w:t xml:space="preserve">he Settlement treatment </w:t>
      </w:r>
      <w:r w:rsidR="00562E5C">
        <w:t xml:space="preserve">of RECs </w:t>
      </w:r>
      <w:r>
        <w:t xml:space="preserve">does not contest this determination. </w:t>
      </w:r>
      <w:r w:rsidR="002B0A5E">
        <w:t xml:space="preserve"> </w:t>
      </w:r>
      <w:r>
        <w:t xml:space="preserve">There is no difference in the value of REC revenues available to customers between the Settlement and Public Counsel’s </w:t>
      </w:r>
      <w:r w:rsidR="00562E5C">
        <w:t>concern about “property</w:t>
      </w:r>
      <w:r w:rsidR="002B0A5E">
        <w:t>.</w:t>
      </w:r>
      <w:r w:rsidR="00562E5C">
        <w:t>”</w:t>
      </w:r>
    </w:p>
    <w:p w:rsidR="00FB6A5B" w:rsidRDefault="00FB6A5B" w:rsidP="00FB6A5B">
      <w:pPr>
        <w:spacing w:line="480" w:lineRule="auto"/>
        <w:ind w:left="720" w:hanging="720"/>
      </w:pPr>
      <w:r>
        <w:lastRenderedPageBreak/>
        <w:tab/>
      </w:r>
      <w:r>
        <w:tab/>
        <w:t xml:space="preserve">Second, Public Counsel says the REC provision </w:t>
      </w:r>
      <w:r w:rsidR="00562E5C">
        <w:t>in</w:t>
      </w:r>
      <w:r>
        <w:t xml:space="preserve"> the Settlement does not necessarily pass back to ratepayers all available REC revenue annually.</w:t>
      </w:r>
      <w:r>
        <w:rPr>
          <w:rStyle w:val="FootnoteReference"/>
        </w:rPr>
        <w:footnoteReference w:id="26"/>
      </w:r>
      <w:r>
        <w:t xml:space="preserve">  However, the Commission has </w:t>
      </w:r>
      <w:r w:rsidR="00562E5C">
        <w:t xml:space="preserve">yet to </w:t>
      </w:r>
      <w:r>
        <w:t xml:space="preserve">rule that a REC revenue return mechanism </w:t>
      </w:r>
      <w:r w:rsidR="00562E5C">
        <w:t>must not</w:t>
      </w:r>
      <w:r>
        <w:t xml:space="preserve"> accumulate REC dollars </w:t>
      </w:r>
      <w:r w:rsidR="00562E5C">
        <w:t xml:space="preserve">for </w:t>
      </w:r>
      <w:r>
        <w:t>longer than one year.  The point is a practical one; Staff believes there is a reasonable chan</w:t>
      </w:r>
      <w:r w:rsidR="00562E5C">
        <w:t>c</w:t>
      </w:r>
      <w:r>
        <w:t xml:space="preserve">e the deferred REC revenues may not be material in amount in a particular </w:t>
      </w:r>
      <w:r w:rsidR="00562E5C">
        <w:t xml:space="preserve">year, </w:t>
      </w:r>
      <w:r>
        <w:t xml:space="preserve">and it may not make practical sense to return them to ratepayers that particular year.  </w:t>
      </w:r>
    </w:p>
    <w:p w:rsidR="00FB6A5B" w:rsidRDefault="00FB6A5B" w:rsidP="00FB6A5B">
      <w:pPr>
        <w:spacing w:line="480" w:lineRule="auto"/>
        <w:ind w:left="720" w:hanging="720"/>
      </w:pPr>
      <w:r>
        <w:tab/>
      </w:r>
      <w:r>
        <w:tab/>
        <w:t>Finally, Public Counsel complains that 100 percent of all 2012 REC revenues are not necessarily being returned to ratepayers under the Settlement.</w:t>
      </w:r>
      <w:r w:rsidR="00562E5C">
        <w:rPr>
          <w:rStyle w:val="FootnoteReference"/>
        </w:rPr>
        <w:footnoteReference w:id="27"/>
      </w:r>
      <w:r>
        <w:t xml:space="preserve">  However, the place for Public Counsel to make that argument is in the 2012 ERM review, which will take place in 2013.  The Commission determined the 2011 REC balances in that context.</w:t>
      </w:r>
      <w:r>
        <w:rPr>
          <w:rStyle w:val="FootnoteReference"/>
        </w:rPr>
        <w:footnoteReference w:id="28"/>
      </w:r>
    </w:p>
    <w:p w:rsidR="00FB6A5B" w:rsidRDefault="00FB6A5B" w:rsidP="00FB6A5B">
      <w:pPr>
        <w:spacing w:line="480" w:lineRule="auto"/>
        <w:ind w:left="720" w:firstLine="720"/>
      </w:pPr>
      <w:r>
        <w:t xml:space="preserve">REC revenue is currently included as part of the ERM mechanism. </w:t>
      </w:r>
      <w:r w:rsidR="0035353A">
        <w:t xml:space="preserve"> </w:t>
      </w:r>
      <w:r>
        <w:t>The Settlement removes REC revenue from the ERM calculation from the rate effective date forward and retains 100</w:t>
      </w:r>
      <w:r w:rsidR="002B0A5E">
        <w:t xml:space="preserve"> percent</w:t>
      </w:r>
      <w:r w:rsidR="002B0A5E">
        <w:rPr>
          <w:rStyle w:val="FootnoteReference"/>
        </w:rPr>
        <w:footnoteReference w:id="29"/>
      </w:r>
      <w:r w:rsidR="002B0A5E">
        <w:t xml:space="preserve"> </w:t>
      </w:r>
      <w:r>
        <w:t xml:space="preserve">for the benefit of customers.  The subtle differences between the </w:t>
      </w:r>
      <w:r w:rsidR="0035353A">
        <w:t>Settlement and Public Counsel’s</w:t>
      </w:r>
      <w:r>
        <w:t xml:space="preserve"> position are</w:t>
      </w:r>
      <w:r w:rsidR="002B0A5E">
        <w:t>:</w:t>
      </w:r>
      <w:r>
        <w:t xml:space="preserve"> </w:t>
      </w:r>
      <w:r w:rsidR="002B0A5E">
        <w:t xml:space="preserve"> </w:t>
      </w:r>
      <w:r>
        <w:t>1) The Settlement treatment does not propose a separate tariff as proposed by Public Counsel</w:t>
      </w:r>
      <w:r w:rsidR="00EC53A2">
        <w:t xml:space="preserve">; </w:t>
      </w:r>
      <w:r>
        <w:t>instead</w:t>
      </w:r>
      <w:r w:rsidR="00EC53A2">
        <w:t>, it</w:t>
      </w:r>
      <w:r>
        <w:t xml:space="preserve"> proposes to use tariff Schedule 93 for the ERM and REC revenue</w:t>
      </w:r>
      <w:r w:rsidR="002B0A5E">
        <w:t xml:space="preserve">; and </w:t>
      </w:r>
      <w:r>
        <w:t xml:space="preserve">2) The Settlement does not require an automatic annual return but allows for the determination in the annual tariff review which would consider an annual return. </w:t>
      </w:r>
    </w:p>
    <w:p w:rsidR="00FB6A5B" w:rsidRDefault="00FB6A5B" w:rsidP="00FB6A5B">
      <w:pPr>
        <w:spacing w:line="480" w:lineRule="auto"/>
        <w:ind w:left="720" w:firstLine="720"/>
      </w:pPr>
      <w:r>
        <w:lastRenderedPageBreak/>
        <w:t>Public Counsel and the Settlement consistently call for Avista to defer all REC revenue above the amount contained in the ERM base rate for ratepayer benefit,</w:t>
      </w:r>
      <w:r>
        <w:rPr>
          <w:rStyle w:val="FootnoteReference"/>
        </w:rPr>
        <w:footnoteReference w:id="30"/>
      </w:r>
      <w:r>
        <w:t xml:space="preserve"> which satisfies the Commission’s policy that REC revenues belong to ratepayers.</w:t>
      </w:r>
      <w:r>
        <w:rPr>
          <w:rStyle w:val="FootnoteReference"/>
        </w:rPr>
        <w:footnoteReference w:id="31"/>
      </w:r>
    </w:p>
    <w:p w:rsidR="00251A7F" w:rsidRDefault="00251A7F" w:rsidP="007B3936">
      <w:pPr>
        <w:spacing w:line="480" w:lineRule="auto"/>
        <w:ind w:left="720" w:hanging="720"/>
        <w:rPr>
          <w:b/>
        </w:rPr>
      </w:pPr>
    </w:p>
    <w:p w:rsidR="008F634F" w:rsidRPr="00251A7F" w:rsidRDefault="00EF352E" w:rsidP="00251A7F">
      <w:pPr>
        <w:spacing w:line="480" w:lineRule="auto"/>
        <w:ind w:left="720" w:hanging="720"/>
        <w:jc w:val="center"/>
        <w:rPr>
          <w:b/>
        </w:rPr>
      </w:pPr>
      <w:r>
        <w:rPr>
          <w:b/>
        </w:rPr>
        <w:t>III.</w:t>
      </w:r>
      <w:r>
        <w:rPr>
          <w:b/>
        </w:rPr>
        <w:tab/>
        <w:t>CONCLUSION</w:t>
      </w:r>
    </w:p>
    <w:p w:rsidR="00EF352E" w:rsidRPr="008F634F" w:rsidRDefault="00EF352E" w:rsidP="00251A7F">
      <w:pPr>
        <w:spacing w:line="480" w:lineRule="auto"/>
        <w:ind w:left="720" w:hanging="720"/>
      </w:pPr>
    </w:p>
    <w:p w:rsidR="00DA29C1" w:rsidRPr="00DA29C1" w:rsidRDefault="0035353A" w:rsidP="00DA29C1">
      <w:pPr>
        <w:spacing w:line="480" w:lineRule="auto"/>
        <w:rPr>
          <w:b/>
        </w:rPr>
      </w:pPr>
      <w:r>
        <w:rPr>
          <w:b/>
        </w:rPr>
        <w:t>Q</w:t>
      </w:r>
      <w:r w:rsidR="00DA29C1">
        <w:rPr>
          <w:b/>
        </w:rPr>
        <w:t>.</w:t>
      </w:r>
      <w:r w:rsidR="00DA29C1">
        <w:rPr>
          <w:b/>
        </w:rPr>
        <w:tab/>
        <w:t>Please summarize Staff’s response to Public Counsel’s objection to the Settlement.</w:t>
      </w:r>
    </w:p>
    <w:p w:rsidR="00B40223" w:rsidRDefault="00DA29C1" w:rsidP="00DA29C1">
      <w:pPr>
        <w:spacing w:line="480" w:lineRule="auto"/>
        <w:ind w:left="720" w:hanging="720"/>
      </w:pPr>
      <w:r>
        <w:t>A.</w:t>
      </w:r>
      <w:r>
        <w:tab/>
        <w:t xml:space="preserve">None of </w:t>
      </w:r>
      <w:r w:rsidR="00011AD9">
        <w:t xml:space="preserve">Public Counsel’s </w:t>
      </w:r>
      <w:r>
        <w:t xml:space="preserve">arguments either </w:t>
      </w:r>
      <w:r w:rsidR="00C84512">
        <w:t xml:space="preserve">alone </w:t>
      </w:r>
      <w:r>
        <w:t xml:space="preserve">or </w:t>
      </w:r>
      <w:r w:rsidR="000D2F4D">
        <w:t xml:space="preserve">together </w:t>
      </w:r>
      <w:r w:rsidR="003707E6">
        <w:t xml:space="preserve">are </w:t>
      </w:r>
      <w:r>
        <w:t xml:space="preserve">sufficient to support Public Counsel’s recommendation </w:t>
      </w:r>
      <w:r w:rsidR="000D2F4D">
        <w:t xml:space="preserve">that the Commission </w:t>
      </w:r>
      <w:r>
        <w:t xml:space="preserve">reject the </w:t>
      </w:r>
      <w:r w:rsidR="000D2F4D">
        <w:t>S</w:t>
      </w:r>
      <w:r>
        <w:t xml:space="preserve">ettlement.  </w:t>
      </w:r>
      <w:r w:rsidR="00B40223">
        <w:t xml:space="preserve">The </w:t>
      </w:r>
      <w:r w:rsidR="00011AD9">
        <w:t xml:space="preserve">Commission should view the </w:t>
      </w:r>
      <w:r w:rsidR="00B40223">
        <w:t xml:space="preserve">Settlement in its entirety.  The end result is fair and balanced.  It provides stable revenue for Avista’s Washington operations, predictable and stable rates for customers and a </w:t>
      </w:r>
      <w:r w:rsidR="005F65CF">
        <w:t xml:space="preserve">sufficient </w:t>
      </w:r>
      <w:r w:rsidR="00B40223">
        <w:t xml:space="preserve">window for </w:t>
      </w:r>
      <w:r w:rsidR="00011AD9">
        <w:t xml:space="preserve">Avista </w:t>
      </w:r>
      <w:r w:rsidR="00B40223">
        <w:t>management to reduce costs to achieve acceptable financial results</w:t>
      </w:r>
      <w:r w:rsidR="007E490A">
        <w:t>.</w:t>
      </w:r>
      <w:r w:rsidR="00B40223">
        <w:t xml:space="preserve">  </w:t>
      </w:r>
    </w:p>
    <w:p w:rsidR="00BA553A" w:rsidRDefault="00EF352E" w:rsidP="00251A7F">
      <w:pPr>
        <w:spacing w:line="480" w:lineRule="auto"/>
      </w:pPr>
      <w:r>
        <w:tab/>
      </w:r>
      <w:r w:rsidR="00BA553A">
        <w:tab/>
        <w:t>The Commission should approve the Settlement.</w:t>
      </w:r>
    </w:p>
    <w:p w:rsidR="00374F30" w:rsidRDefault="00374F30" w:rsidP="00374F30">
      <w:pPr>
        <w:spacing w:line="480" w:lineRule="auto"/>
        <w:ind w:left="720" w:hanging="720"/>
      </w:pPr>
    </w:p>
    <w:p w:rsidR="00EF352E" w:rsidRDefault="00EF352E" w:rsidP="00374F30">
      <w:pPr>
        <w:spacing w:line="480" w:lineRule="auto"/>
        <w:ind w:left="720" w:hanging="720"/>
        <w:rPr>
          <w:b/>
        </w:rPr>
      </w:pPr>
      <w:r>
        <w:rPr>
          <w:b/>
        </w:rPr>
        <w:t>Q.</w:t>
      </w:r>
      <w:r>
        <w:rPr>
          <w:b/>
        </w:rPr>
        <w:tab/>
        <w:t xml:space="preserve">Does this conclude your testimony in response to Public Counsel’s opposition to the Settlement? </w:t>
      </w:r>
    </w:p>
    <w:p w:rsidR="00EF352E" w:rsidRPr="00EF352E" w:rsidRDefault="00EF352E" w:rsidP="00374F30">
      <w:pPr>
        <w:spacing w:line="480" w:lineRule="auto"/>
        <w:ind w:left="720" w:hanging="720"/>
      </w:pPr>
      <w:r>
        <w:t>A.</w:t>
      </w:r>
      <w:r>
        <w:tab/>
        <w:t>Yes.</w:t>
      </w:r>
    </w:p>
    <w:sectPr w:rsidR="00EF352E" w:rsidRPr="00EF352E" w:rsidSect="004E2DCE">
      <w:footerReference w:type="default" r:id="rId10"/>
      <w:pgSz w:w="12240" w:h="15840" w:code="1"/>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43B" w:rsidRDefault="009F443B" w:rsidP="00374F30">
      <w:r>
        <w:separator/>
      </w:r>
    </w:p>
  </w:endnote>
  <w:endnote w:type="continuationSeparator" w:id="0">
    <w:p w:rsidR="009F443B" w:rsidRDefault="009F443B" w:rsidP="0037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3B" w:rsidRPr="00A11684" w:rsidRDefault="009F443B" w:rsidP="00061162">
    <w:pPr>
      <w:pStyle w:val="Footer"/>
      <w:tabs>
        <w:tab w:val="clear" w:pos="8640"/>
        <w:tab w:val="right" w:pos="9240"/>
      </w:tabs>
      <w:rPr>
        <w:sz w:val="20"/>
        <w:szCs w:val="20"/>
      </w:rPr>
    </w:pPr>
  </w:p>
  <w:p w:rsidR="009F443B" w:rsidRPr="001E33FD" w:rsidRDefault="009F443B" w:rsidP="00061162">
    <w:pPr>
      <w:pStyle w:val="Footer"/>
      <w:tabs>
        <w:tab w:val="clear" w:pos="8640"/>
        <w:tab w:val="right" w:pos="9240"/>
      </w:tabs>
      <w:rPr>
        <w:sz w:val="20"/>
        <w:szCs w:val="20"/>
        <w:lang w:val="fr-FR"/>
      </w:rPr>
    </w:pPr>
    <w:r>
      <w:rPr>
        <w:sz w:val="20"/>
        <w:szCs w:val="20"/>
      </w:rPr>
      <w:t xml:space="preserve">REBUTTAL </w:t>
    </w:r>
    <w:r w:rsidRPr="00A11684">
      <w:rPr>
        <w:sz w:val="20"/>
        <w:szCs w:val="20"/>
      </w:rPr>
      <w:t>TESTIMONY OF KENNETH L. ELGIN</w:t>
    </w:r>
    <w:r w:rsidRPr="00A11684">
      <w:rPr>
        <w:sz w:val="20"/>
        <w:szCs w:val="20"/>
      </w:rPr>
      <w:tab/>
      <w:t xml:space="preserve">Exhibit No. </w:t>
    </w:r>
    <w:r>
      <w:rPr>
        <w:sz w:val="20"/>
        <w:szCs w:val="20"/>
        <w:lang w:val="fr-FR"/>
      </w:rPr>
      <w:t>___ T (KLE-7</w:t>
    </w:r>
    <w:r w:rsidRPr="001E33FD">
      <w:rPr>
        <w:sz w:val="20"/>
        <w:szCs w:val="20"/>
        <w:lang w:val="fr-FR"/>
      </w:rPr>
      <w:t>T)</w:t>
    </w:r>
  </w:p>
  <w:p w:rsidR="009F443B" w:rsidRPr="001E33FD" w:rsidRDefault="009F443B" w:rsidP="00061162">
    <w:pPr>
      <w:pStyle w:val="Footer"/>
      <w:tabs>
        <w:tab w:val="clear" w:pos="8640"/>
        <w:tab w:val="right" w:pos="9240"/>
      </w:tabs>
      <w:rPr>
        <w:b/>
        <w:sz w:val="20"/>
        <w:szCs w:val="20"/>
        <w:lang w:val="fr-FR"/>
      </w:rPr>
    </w:pPr>
    <w:r w:rsidRPr="001E33FD">
      <w:rPr>
        <w:sz w:val="20"/>
        <w:szCs w:val="20"/>
        <w:lang w:val="fr-FR"/>
      </w:rPr>
      <w:t>Docket UE-1</w:t>
    </w:r>
    <w:r>
      <w:rPr>
        <w:sz w:val="20"/>
        <w:szCs w:val="20"/>
        <w:lang w:val="fr-FR"/>
      </w:rPr>
      <w:t>20436, et al.</w:t>
    </w:r>
    <w:r w:rsidRPr="001E33FD">
      <w:rPr>
        <w:sz w:val="20"/>
        <w:szCs w:val="20"/>
        <w:lang w:val="fr-FR"/>
      </w:rPr>
      <w:tab/>
    </w:r>
    <w:r w:rsidRPr="001E33FD">
      <w:rPr>
        <w:sz w:val="20"/>
        <w:szCs w:val="20"/>
        <w:lang w:val="fr-FR"/>
      </w:rPr>
      <w:tab/>
      <w:t xml:space="preserve">Page </w:t>
    </w:r>
    <w:r w:rsidRPr="00A11684">
      <w:rPr>
        <w:sz w:val="20"/>
        <w:szCs w:val="20"/>
      </w:rPr>
      <w:fldChar w:fldCharType="begin"/>
    </w:r>
    <w:r w:rsidRPr="001E33FD">
      <w:rPr>
        <w:sz w:val="20"/>
        <w:szCs w:val="20"/>
        <w:lang w:val="fr-FR"/>
      </w:rPr>
      <w:instrText xml:space="preserve"> PAGE   \* MERGEFORMAT </w:instrText>
    </w:r>
    <w:r w:rsidRPr="00A11684">
      <w:rPr>
        <w:sz w:val="20"/>
        <w:szCs w:val="20"/>
      </w:rPr>
      <w:fldChar w:fldCharType="separate"/>
    </w:r>
    <w:r w:rsidR="002B0215">
      <w:rPr>
        <w:noProof/>
        <w:sz w:val="20"/>
        <w:szCs w:val="20"/>
        <w:lang w:val="fr-FR"/>
      </w:rPr>
      <w:t>i</w:t>
    </w:r>
    <w:r w:rsidRPr="00A11684">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3B" w:rsidRPr="00A11684" w:rsidRDefault="009F443B" w:rsidP="00061162">
    <w:pPr>
      <w:pStyle w:val="Footer"/>
      <w:tabs>
        <w:tab w:val="clear" w:pos="8640"/>
        <w:tab w:val="right" w:pos="9240"/>
      </w:tabs>
      <w:rPr>
        <w:sz w:val="20"/>
        <w:szCs w:val="20"/>
      </w:rPr>
    </w:pPr>
  </w:p>
  <w:p w:rsidR="009F443B" w:rsidRPr="001E33FD" w:rsidRDefault="009F443B" w:rsidP="00061162">
    <w:pPr>
      <w:pStyle w:val="Footer"/>
      <w:tabs>
        <w:tab w:val="clear" w:pos="8640"/>
        <w:tab w:val="right" w:pos="9240"/>
      </w:tabs>
      <w:rPr>
        <w:sz w:val="20"/>
        <w:szCs w:val="20"/>
        <w:lang w:val="fr-FR"/>
      </w:rPr>
    </w:pPr>
    <w:r>
      <w:rPr>
        <w:sz w:val="20"/>
        <w:szCs w:val="20"/>
      </w:rPr>
      <w:t xml:space="preserve">REBUTTAL </w:t>
    </w:r>
    <w:r w:rsidRPr="00A11684">
      <w:rPr>
        <w:sz w:val="20"/>
        <w:szCs w:val="20"/>
      </w:rPr>
      <w:t>TESTIMONY OF KENNETH L. ELGIN</w:t>
    </w:r>
    <w:r w:rsidRPr="00A11684">
      <w:rPr>
        <w:sz w:val="20"/>
        <w:szCs w:val="20"/>
      </w:rPr>
      <w:tab/>
      <w:t xml:space="preserve">Exhibit No. </w:t>
    </w:r>
    <w:r>
      <w:rPr>
        <w:sz w:val="20"/>
        <w:szCs w:val="20"/>
        <w:lang w:val="fr-FR"/>
      </w:rPr>
      <w:t>___ T (KLE-7</w:t>
    </w:r>
    <w:r w:rsidRPr="001E33FD">
      <w:rPr>
        <w:sz w:val="20"/>
        <w:szCs w:val="20"/>
        <w:lang w:val="fr-FR"/>
      </w:rPr>
      <w:t>T)</w:t>
    </w:r>
  </w:p>
  <w:p w:rsidR="009F443B" w:rsidRPr="001E33FD" w:rsidRDefault="009F443B" w:rsidP="00061162">
    <w:pPr>
      <w:pStyle w:val="Footer"/>
      <w:tabs>
        <w:tab w:val="clear" w:pos="8640"/>
        <w:tab w:val="right" w:pos="9240"/>
      </w:tabs>
      <w:rPr>
        <w:b/>
        <w:sz w:val="20"/>
        <w:szCs w:val="20"/>
        <w:lang w:val="fr-FR"/>
      </w:rPr>
    </w:pPr>
    <w:r w:rsidRPr="001E33FD">
      <w:rPr>
        <w:sz w:val="20"/>
        <w:szCs w:val="20"/>
        <w:lang w:val="fr-FR"/>
      </w:rPr>
      <w:t>Docket UE-1</w:t>
    </w:r>
    <w:r>
      <w:rPr>
        <w:sz w:val="20"/>
        <w:szCs w:val="20"/>
        <w:lang w:val="fr-FR"/>
      </w:rPr>
      <w:t>20436, et al.</w:t>
    </w:r>
    <w:r w:rsidRPr="001E33FD">
      <w:rPr>
        <w:sz w:val="20"/>
        <w:szCs w:val="20"/>
        <w:lang w:val="fr-FR"/>
      </w:rPr>
      <w:tab/>
    </w:r>
    <w:r w:rsidRPr="001E33FD">
      <w:rPr>
        <w:sz w:val="20"/>
        <w:szCs w:val="20"/>
        <w:lang w:val="fr-FR"/>
      </w:rPr>
      <w:tab/>
      <w:t xml:space="preserve">Page </w:t>
    </w:r>
    <w:r w:rsidRPr="00A11684">
      <w:rPr>
        <w:sz w:val="20"/>
        <w:szCs w:val="20"/>
      </w:rPr>
      <w:fldChar w:fldCharType="begin"/>
    </w:r>
    <w:r w:rsidRPr="001E33FD">
      <w:rPr>
        <w:sz w:val="20"/>
        <w:szCs w:val="20"/>
        <w:lang w:val="fr-FR"/>
      </w:rPr>
      <w:instrText xml:space="preserve"> PAGE   \* MERGEFORMAT </w:instrText>
    </w:r>
    <w:r w:rsidRPr="00A11684">
      <w:rPr>
        <w:sz w:val="20"/>
        <w:szCs w:val="20"/>
      </w:rPr>
      <w:fldChar w:fldCharType="separate"/>
    </w:r>
    <w:r w:rsidR="002B0215">
      <w:rPr>
        <w:noProof/>
        <w:sz w:val="20"/>
        <w:szCs w:val="20"/>
        <w:lang w:val="fr-FR"/>
      </w:rPr>
      <w:t>10</w:t>
    </w:r>
    <w:r w:rsidRPr="00A1168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43B" w:rsidRDefault="009F443B" w:rsidP="00374F30">
      <w:r>
        <w:separator/>
      </w:r>
    </w:p>
  </w:footnote>
  <w:footnote w:type="continuationSeparator" w:id="0">
    <w:p w:rsidR="009F443B" w:rsidRDefault="009F443B" w:rsidP="00374F30">
      <w:r>
        <w:continuationSeparator/>
      </w:r>
    </w:p>
  </w:footnote>
  <w:footnote w:id="1">
    <w:p w:rsidR="009F443B" w:rsidRDefault="009F443B" w:rsidP="00545A89">
      <w:r w:rsidRPr="00715677">
        <w:rPr>
          <w:rStyle w:val="FootnoteReference"/>
          <w:sz w:val="20"/>
          <w:szCs w:val="20"/>
        </w:rPr>
        <w:footnoteRef/>
      </w:r>
      <w:r w:rsidRPr="00715677">
        <w:rPr>
          <w:sz w:val="20"/>
          <w:szCs w:val="20"/>
        </w:rPr>
        <w:t xml:space="preserve"> </w:t>
      </w:r>
      <w:r>
        <w:rPr>
          <w:sz w:val="20"/>
          <w:szCs w:val="20"/>
        </w:rPr>
        <w:t xml:space="preserve">Dittmer, </w:t>
      </w:r>
      <w:r w:rsidRPr="00715677">
        <w:rPr>
          <w:sz w:val="20"/>
          <w:szCs w:val="20"/>
        </w:rPr>
        <w:t xml:space="preserve">Exhibit No. ___ (JRD-12CT) at 2:4-6 </w:t>
      </w:r>
    </w:p>
  </w:footnote>
  <w:footnote w:id="2">
    <w:p w:rsidR="009F443B" w:rsidRDefault="009F443B" w:rsidP="00545A89">
      <w:r w:rsidRPr="00715677">
        <w:rPr>
          <w:rStyle w:val="FootnoteReference"/>
          <w:sz w:val="20"/>
          <w:szCs w:val="20"/>
        </w:rPr>
        <w:footnoteRef/>
      </w:r>
      <w:r w:rsidRPr="00715677">
        <w:rPr>
          <w:sz w:val="20"/>
          <w:szCs w:val="20"/>
        </w:rPr>
        <w:t xml:space="preserve"> Dittmer, Exhibit No. ___ (JRD-12CT) at </w:t>
      </w:r>
      <w:r>
        <w:rPr>
          <w:sz w:val="20"/>
          <w:szCs w:val="20"/>
        </w:rPr>
        <w:t>3</w:t>
      </w:r>
      <w:r w:rsidRPr="00715677">
        <w:rPr>
          <w:sz w:val="20"/>
          <w:szCs w:val="20"/>
        </w:rPr>
        <w:t>:</w:t>
      </w:r>
      <w:r>
        <w:rPr>
          <w:sz w:val="20"/>
          <w:szCs w:val="20"/>
        </w:rPr>
        <w:t>7</w:t>
      </w:r>
      <w:r w:rsidRPr="00715677">
        <w:rPr>
          <w:sz w:val="20"/>
          <w:szCs w:val="20"/>
        </w:rPr>
        <w:t xml:space="preserve"> to 9; </w:t>
      </w:r>
      <w:r>
        <w:rPr>
          <w:sz w:val="20"/>
          <w:szCs w:val="20"/>
        </w:rPr>
        <w:t xml:space="preserve">see also: </w:t>
      </w:r>
      <w:r w:rsidRPr="00715677">
        <w:rPr>
          <w:sz w:val="20"/>
          <w:szCs w:val="20"/>
        </w:rPr>
        <w:t>Coppola, Exhibit No. ___ (SC-17CT) at 5:6 to 13:12; Daeschel, Exhibit No. ___ (LD-1CT) at 2:22 to 4:17.</w:t>
      </w:r>
      <w:r>
        <w:t xml:space="preserve"> </w:t>
      </w:r>
    </w:p>
  </w:footnote>
  <w:footnote w:id="3">
    <w:p w:rsidR="009F443B" w:rsidRDefault="009F443B">
      <w:pPr>
        <w:pStyle w:val="FootnoteText"/>
      </w:pPr>
      <w:r>
        <w:rPr>
          <w:rStyle w:val="FootnoteReference"/>
        </w:rPr>
        <w:footnoteRef/>
      </w:r>
      <w:r>
        <w:t xml:space="preserve"> </w:t>
      </w:r>
      <w:r w:rsidRPr="008E2F43">
        <w:t xml:space="preserve">Dittmer, Exhibit No. ___ (JRD-12CT) at </w:t>
      </w:r>
      <w:r>
        <w:t>3</w:t>
      </w:r>
      <w:r w:rsidRPr="008E2F43">
        <w:t>:</w:t>
      </w:r>
      <w:r>
        <w:t>1</w:t>
      </w:r>
      <w:r w:rsidRPr="008E2F43">
        <w:t xml:space="preserve"> to 5</w:t>
      </w:r>
      <w:r>
        <w:t>.</w:t>
      </w:r>
    </w:p>
  </w:footnote>
  <w:footnote w:id="4">
    <w:p w:rsidR="009F443B" w:rsidRDefault="009F443B">
      <w:pPr>
        <w:pStyle w:val="FootnoteText"/>
      </w:pPr>
      <w:r>
        <w:rPr>
          <w:rStyle w:val="FootnoteReference"/>
        </w:rPr>
        <w:footnoteRef/>
      </w:r>
      <w:r>
        <w:t xml:space="preserve"> Breda, Exhibit No. ___ (KHB-1T) at.2:13-16.</w:t>
      </w:r>
    </w:p>
  </w:footnote>
  <w:footnote w:id="5">
    <w:p w:rsidR="009F443B" w:rsidRDefault="009F443B">
      <w:pPr>
        <w:pStyle w:val="FootnoteText"/>
      </w:pPr>
      <w:r>
        <w:rPr>
          <w:rStyle w:val="FootnoteReference"/>
        </w:rPr>
        <w:footnoteRef/>
      </w:r>
      <w:r>
        <w:t xml:space="preserve"> Dittmer, Exhibit No. ___ (JRD-10T) at 3:13-21 and at 8:1 to 9:3.</w:t>
      </w:r>
    </w:p>
  </w:footnote>
  <w:footnote w:id="6">
    <w:p w:rsidR="009F443B" w:rsidRDefault="009F443B" w:rsidP="0082307A">
      <w:pPr>
        <w:pStyle w:val="FootnoteText"/>
      </w:pPr>
      <w:r>
        <w:rPr>
          <w:rStyle w:val="FootnoteReference"/>
        </w:rPr>
        <w:footnoteRef/>
      </w:r>
      <w:r>
        <w:t xml:space="preserve"> Elgin, Exhibit No. ___ (KLE-1T) at 4:17 to 5:15.</w:t>
      </w:r>
    </w:p>
  </w:footnote>
  <w:footnote w:id="7">
    <w:p w:rsidR="009F443B" w:rsidRDefault="009F443B" w:rsidP="0082307A">
      <w:pPr>
        <w:pStyle w:val="FootnoteText"/>
      </w:pPr>
      <w:r>
        <w:rPr>
          <w:rStyle w:val="FootnoteReference"/>
        </w:rPr>
        <w:footnoteRef/>
      </w:r>
      <w:r>
        <w:t xml:space="preserve"> </w:t>
      </w:r>
      <w:r>
        <w:rPr>
          <w:i/>
        </w:rPr>
        <w:t xml:space="preserve">Utilities and Transp. Comm’n v. The Wash. Water Power Co., </w:t>
      </w:r>
      <w:r>
        <w:t xml:space="preserve">Cause U-82-10 and U-82-11, Second Supplemental Order (December 30, 1982) at 31; </w:t>
      </w:r>
      <w:r>
        <w:rPr>
          <w:i/>
        </w:rPr>
        <w:t xml:space="preserve">The Wash. Water Power Co., </w:t>
      </w:r>
      <w:r>
        <w:t>Cause U-83-26, Fifth Supplemental Order (January 19, 1984) at 29-30.</w:t>
      </w:r>
    </w:p>
  </w:footnote>
  <w:footnote w:id="8">
    <w:p w:rsidR="009F443B" w:rsidRDefault="009F443B">
      <w:pPr>
        <w:pStyle w:val="FootnoteText"/>
      </w:pPr>
      <w:r>
        <w:rPr>
          <w:rStyle w:val="FootnoteReference"/>
        </w:rPr>
        <w:footnoteRef/>
      </w:r>
      <w:r>
        <w:t xml:space="preserve"> </w:t>
      </w:r>
      <w:r>
        <w:rPr>
          <w:i/>
        </w:rPr>
        <w:t xml:space="preserve">Utilities and Transp. Comm’n v. </w:t>
      </w:r>
      <w:proofErr w:type="gramStart"/>
      <w:r>
        <w:rPr>
          <w:i/>
        </w:rPr>
        <w:t xml:space="preserve">The Wash. Water Power Co., </w:t>
      </w:r>
      <w:r>
        <w:t>Cause U-82-10 and U-82-11, Second Supplemental Order (December 30, 1982) at 31</w:t>
      </w:r>
      <w:r w:rsidR="004E2DCE">
        <w:t>.</w:t>
      </w:r>
      <w:proofErr w:type="gramEnd"/>
    </w:p>
  </w:footnote>
  <w:footnote w:id="9">
    <w:p w:rsidR="009F443B" w:rsidRPr="00160D31" w:rsidRDefault="009F443B" w:rsidP="0082307A">
      <w:pPr>
        <w:pStyle w:val="FootnoteText"/>
      </w:pPr>
      <w:r>
        <w:rPr>
          <w:rStyle w:val="FootnoteReference"/>
        </w:rPr>
        <w:footnoteRef/>
      </w:r>
      <w:r>
        <w:t xml:space="preserve"> </w:t>
      </w:r>
      <w:r>
        <w:rPr>
          <w:i/>
        </w:rPr>
        <w:t xml:space="preserve">Utilities and Transp. Comm’n v. Pacific Power &amp; Light Co., </w:t>
      </w:r>
      <w:r>
        <w:t xml:space="preserve">Cause U-82-12 and U-82-35, Fourth Supplemental Order (February 1, 1983) at 30-31; </w:t>
      </w:r>
      <w:r>
        <w:rPr>
          <w:i/>
        </w:rPr>
        <w:t xml:space="preserve">Utilities and Transp. Comm’n v. Pacific Power &amp; Light Co., </w:t>
      </w:r>
      <w:r>
        <w:t xml:space="preserve">Cause U-84-65, Fourth Supplemental Order (August 2, 1985) at 34-37; </w:t>
      </w:r>
      <w:r>
        <w:rPr>
          <w:i/>
        </w:rPr>
        <w:t xml:space="preserve">Utilities and Transp. Comm’n v. Pacific Power &amp; Light Co., </w:t>
      </w:r>
      <w:r>
        <w:t xml:space="preserve">Cause U-86-02, Second Supplemental Order (September 19, 1986) at 32-33. </w:t>
      </w:r>
    </w:p>
  </w:footnote>
  <w:footnote w:id="10">
    <w:p w:rsidR="009F443B" w:rsidRDefault="009F443B" w:rsidP="0082307A">
      <w:pPr>
        <w:pStyle w:val="FootnoteText"/>
      </w:pPr>
      <w:r>
        <w:rPr>
          <w:rStyle w:val="FootnoteReference"/>
        </w:rPr>
        <w:footnoteRef/>
      </w:r>
      <w:r>
        <w:t xml:space="preserve"> </w:t>
      </w:r>
      <w:r>
        <w:rPr>
          <w:i/>
        </w:rPr>
        <w:t xml:space="preserve">Utilities and Transp. Comm’n v. Pacific Power &amp; Light Co., </w:t>
      </w:r>
      <w:r>
        <w:t>Cause U-84-65, Fourth Supplemental Order (August 2, 1985) at 36.</w:t>
      </w:r>
    </w:p>
  </w:footnote>
  <w:footnote w:id="11">
    <w:p w:rsidR="009F443B" w:rsidRDefault="009F443B">
      <w:pPr>
        <w:pStyle w:val="FootnoteText"/>
      </w:pPr>
      <w:r>
        <w:rPr>
          <w:rStyle w:val="FootnoteReference"/>
        </w:rPr>
        <w:footnoteRef/>
      </w:r>
      <w:r>
        <w:t xml:space="preserve"> </w:t>
      </w:r>
      <w:r w:rsidRPr="008E2F43">
        <w:t xml:space="preserve">Dittmer, Exhibit No. ___ (JRD-12CT) at </w:t>
      </w:r>
      <w:r>
        <w:t xml:space="preserve">2:3-17; 9:4-13; and </w:t>
      </w:r>
      <w:r w:rsidRPr="008E2F43">
        <w:t>17:</w:t>
      </w:r>
      <w:r>
        <w:t>6</w:t>
      </w:r>
      <w:r w:rsidRPr="008E2F43">
        <w:t xml:space="preserve"> to 20:14; Daeschel, Exhibit No. ___ (LD-1CT) at 4:18 to 6:14.</w:t>
      </w:r>
    </w:p>
  </w:footnote>
  <w:footnote w:id="12">
    <w:p w:rsidR="009F443B" w:rsidRDefault="009F443B">
      <w:pPr>
        <w:pStyle w:val="FootnoteText"/>
      </w:pPr>
      <w:r>
        <w:rPr>
          <w:rStyle w:val="FootnoteReference"/>
        </w:rPr>
        <w:footnoteRef/>
      </w:r>
      <w:r>
        <w:t xml:space="preserve"> Exhibit No. ___ (MTT-1T) at 7:7-11; Avista Response to Staff Data Request 137.</w:t>
      </w:r>
    </w:p>
  </w:footnote>
  <w:footnote w:id="13">
    <w:p w:rsidR="009F443B" w:rsidRDefault="009F443B">
      <w:pPr>
        <w:pStyle w:val="FootnoteText"/>
      </w:pPr>
      <w:r>
        <w:rPr>
          <w:rStyle w:val="FootnoteReference"/>
        </w:rPr>
        <w:footnoteRef/>
      </w:r>
      <w:r>
        <w:t xml:space="preserve"> Morris, Exhibit No. ___ (SLM-1T) at 14, Illustration 5.</w:t>
      </w:r>
    </w:p>
  </w:footnote>
  <w:footnote w:id="14">
    <w:p w:rsidR="009F443B" w:rsidRPr="00A6193C" w:rsidRDefault="009F443B" w:rsidP="00F6517E">
      <w:r w:rsidRPr="00A6193C">
        <w:rPr>
          <w:rStyle w:val="FootnoteReference"/>
          <w:sz w:val="20"/>
          <w:szCs w:val="20"/>
        </w:rPr>
        <w:footnoteRef/>
      </w:r>
      <w:r w:rsidRPr="00A6193C">
        <w:rPr>
          <w:sz w:val="20"/>
          <w:szCs w:val="20"/>
        </w:rPr>
        <w:t xml:space="preserve"> Dittmer, Exhibit No. ___ (JRD-12CT) at 20:15 to 22:2.</w:t>
      </w:r>
    </w:p>
  </w:footnote>
  <w:footnote w:id="15">
    <w:p w:rsidR="009F443B" w:rsidRDefault="009F443B" w:rsidP="00374F30">
      <w:pPr>
        <w:pStyle w:val="FootnoteText"/>
      </w:pPr>
      <w:r>
        <w:rPr>
          <w:rStyle w:val="FootnoteReference"/>
        </w:rPr>
        <w:footnoteRef/>
      </w:r>
      <w:r>
        <w:t xml:space="preserve"> Company’s direct case, as amended through discovery.</w:t>
      </w:r>
    </w:p>
  </w:footnote>
  <w:footnote w:id="16">
    <w:p w:rsidR="009F443B" w:rsidRDefault="009F443B">
      <w:pPr>
        <w:pStyle w:val="FootnoteText"/>
      </w:pPr>
      <w:r>
        <w:rPr>
          <w:rStyle w:val="FootnoteReference"/>
        </w:rPr>
        <w:footnoteRef/>
      </w:r>
      <w:r>
        <w:t xml:space="preserve"> Including many adjustments for items Public Counsel prefers to be fully litigated.</w:t>
      </w:r>
    </w:p>
  </w:footnote>
  <w:footnote w:id="17">
    <w:p w:rsidR="009F443B" w:rsidRDefault="009F443B">
      <w:pPr>
        <w:pStyle w:val="FootnoteText"/>
      </w:pPr>
      <w:r>
        <w:rPr>
          <w:rStyle w:val="FootnoteReference"/>
        </w:rPr>
        <w:footnoteRef/>
      </w:r>
      <w:r>
        <w:t xml:space="preserve"> The Settlement also calls for amortization of deferred power cost credit balances to reduce the increase from three percent to two percent.</w:t>
      </w:r>
    </w:p>
  </w:footnote>
  <w:footnote w:id="18">
    <w:p w:rsidR="009F443B" w:rsidRDefault="009F443B">
      <w:pPr>
        <w:pStyle w:val="FootnoteText"/>
      </w:pPr>
      <w:r>
        <w:rPr>
          <w:rStyle w:val="FootnoteReference"/>
        </w:rPr>
        <w:footnoteRef/>
      </w:r>
      <w:r>
        <w:t xml:space="preserve"> Dittmer, Exhibit No. ___ (JRD-12CT) at 22:4 to 25:25.</w:t>
      </w:r>
    </w:p>
  </w:footnote>
  <w:footnote w:id="19">
    <w:p w:rsidR="009F443B" w:rsidRDefault="009F443B">
      <w:pPr>
        <w:pStyle w:val="FootnoteText"/>
      </w:pPr>
      <w:r>
        <w:rPr>
          <w:rStyle w:val="FootnoteReference"/>
        </w:rPr>
        <w:footnoteRef/>
      </w:r>
      <w:r>
        <w:t xml:space="preserve"> Dittmer, Exhibit No. ___ (JRD-12CT) at 25:2-3.</w:t>
      </w:r>
    </w:p>
  </w:footnote>
  <w:footnote w:id="20">
    <w:p w:rsidR="009F443B" w:rsidRDefault="009F443B">
      <w:pPr>
        <w:pStyle w:val="FootnoteText"/>
      </w:pPr>
      <w:r>
        <w:rPr>
          <w:rStyle w:val="FootnoteReference"/>
        </w:rPr>
        <w:footnoteRef/>
      </w:r>
      <w:r>
        <w:t xml:space="preserve"> </w:t>
      </w:r>
      <w:r w:rsidRPr="008E2F43">
        <w:t>Dittmer, Exhibit No. ___ (JRD-12CT) at 5:12 to 6:5; Daeschel, Exhibit No. ___ (LD-1CT) at 6:15 to 7:5.</w:t>
      </w:r>
      <w:r w:rsidDel="00E11C26">
        <w:t xml:space="preserve">  </w:t>
      </w:r>
    </w:p>
  </w:footnote>
  <w:footnote w:id="21">
    <w:p w:rsidR="009F443B" w:rsidRDefault="009F443B">
      <w:pPr>
        <w:pStyle w:val="FootnoteText"/>
      </w:pPr>
      <w:r>
        <w:rPr>
          <w:rStyle w:val="FootnoteReference"/>
        </w:rPr>
        <w:footnoteRef/>
      </w:r>
      <w:r>
        <w:t xml:space="preserve"> Coppola, Exhibit No. ___ (SC-17CT).</w:t>
      </w:r>
      <w:r w:rsidDel="00B11068">
        <w:t xml:space="preserve"> </w:t>
      </w:r>
    </w:p>
  </w:footnote>
  <w:footnote w:id="22">
    <w:p w:rsidR="009F443B" w:rsidRDefault="009F443B">
      <w:pPr>
        <w:pStyle w:val="FootnoteText"/>
      </w:pPr>
      <w:r>
        <w:rPr>
          <w:rStyle w:val="FootnoteReference"/>
        </w:rPr>
        <w:footnoteRef/>
      </w:r>
      <w:r>
        <w:t xml:space="preserve"> Dittmer, Exhibit No. ___ (JRD-12CT) at 28:6-19 and 29:1-2.</w:t>
      </w:r>
    </w:p>
  </w:footnote>
  <w:footnote w:id="23">
    <w:p w:rsidR="009F443B" w:rsidRDefault="009F443B">
      <w:pPr>
        <w:pStyle w:val="FootnoteText"/>
      </w:pPr>
      <w:r>
        <w:rPr>
          <w:rStyle w:val="FootnoteReference"/>
        </w:rPr>
        <w:footnoteRef/>
      </w:r>
      <w:r>
        <w:t xml:space="preserve"> Keating, Exhibit No. ___ (EJK-1T) at 17:9-12.</w:t>
      </w:r>
    </w:p>
  </w:footnote>
  <w:footnote w:id="24">
    <w:p w:rsidR="009F443B" w:rsidRDefault="009F443B">
      <w:pPr>
        <w:pStyle w:val="FootnoteText"/>
      </w:pPr>
      <w:r>
        <w:rPr>
          <w:rStyle w:val="FootnoteReference"/>
        </w:rPr>
        <w:footnoteRef/>
      </w:r>
      <w:r>
        <w:t xml:space="preserve"> Daeschel, Exhibit No. ___ (LD-1CT) at 10:5-11.</w:t>
      </w:r>
    </w:p>
  </w:footnote>
  <w:footnote w:id="25">
    <w:p w:rsidR="009F443B" w:rsidRDefault="009F443B" w:rsidP="00FB6A5B">
      <w:pPr>
        <w:pStyle w:val="FootnoteText"/>
      </w:pPr>
      <w:r>
        <w:rPr>
          <w:rStyle w:val="FootnoteReference"/>
        </w:rPr>
        <w:footnoteRef/>
      </w:r>
      <w:r>
        <w:t xml:space="preserve"> Id. at</w:t>
      </w:r>
      <w:r w:rsidDel="00E11C26">
        <w:t xml:space="preserve"> </w:t>
      </w:r>
      <w:r>
        <w:t>10:9-11 and 13:14-17.</w:t>
      </w:r>
    </w:p>
  </w:footnote>
  <w:footnote w:id="26">
    <w:p w:rsidR="009F443B" w:rsidRPr="00810F8F" w:rsidRDefault="009F443B" w:rsidP="00FB6A5B">
      <w:pPr>
        <w:pStyle w:val="FootnoteText"/>
      </w:pPr>
      <w:r>
        <w:rPr>
          <w:rStyle w:val="FootnoteReference"/>
        </w:rPr>
        <w:footnoteRef/>
      </w:r>
      <w:r>
        <w:t xml:space="preserve"> Id.</w:t>
      </w:r>
      <w:r>
        <w:rPr>
          <w:i/>
        </w:rPr>
        <w:t xml:space="preserve"> </w:t>
      </w:r>
      <w:r>
        <w:t>at 10:6 and 10:12-22.</w:t>
      </w:r>
    </w:p>
  </w:footnote>
  <w:footnote w:id="27">
    <w:p w:rsidR="009F443B" w:rsidRDefault="009F443B">
      <w:pPr>
        <w:pStyle w:val="FootnoteText"/>
      </w:pPr>
      <w:r>
        <w:rPr>
          <w:rStyle w:val="FootnoteReference"/>
        </w:rPr>
        <w:footnoteRef/>
      </w:r>
      <w:r>
        <w:t xml:space="preserve"> Id. at 11:7-18.</w:t>
      </w:r>
    </w:p>
  </w:footnote>
  <w:footnote w:id="28">
    <w:p w:rsidR="009F443B" w:rsidRDefault="009F443B" w:rsidP="00FB6A5B">
      <w:pPr>
        <w:pStyle w:val="FootnoteText"/>
      </w:pPr>
      <w:r>
        <w:rPr>
          <w:rStyle w:val="FootnoteReference"/>
        </w:rPr>
        <w:footnoteRef/>
      </w:r>
      <w:r>
        <w:t xml:space="preserve"> Avista Corporation, Docket UE-120432, Order 01 (June 28, 2012).</w:t>
      </w:r>
    </w:p>
  </w:footnote>
  <w:footnote w:id="29">
    <w:p w:rsidR="009F443B" w:rsidRDefault="009F443B" w:rsidP="00FB6A5B">
      <w:pPr>
        <w:pStyle w:val="FootnoteText"/>
      </w:pPr>
      <w:r>
        <w:rPr>
          <w:rStyle w:val="FootnoteReference"/>
        </w:rPr>
        <w:footnoteRef/>
      </w:r>
      <w:r>
        <w:t xml:space="preserve"> The amount of RECs deferred is the amount above what is included in the ERM base rate, consistent with Public Counsel’s proposal.</w:t>
      </w:r>
    </w:p>
  </w:footnote>
  <w:footnote w:id="30">
    <w:p w:rsidR="009F443B" w:rsidRDefault="009F443B" w:rsidP="00FB6A5B">
      <w:pPr>
        <w:pStyle w:val="FootnoteText"/>
      </w:pPr>
      <w:r>
        <w:rPr>
          <w:rStyle w:val="FootnoteReference"/>
        </w:rPr>
        <w:footnoteRef/>
      </w:r>
      <w:r>
        <w:t xml:space="preserve"> Settlement at 5; Joint Direct Testimony in Support of Multi-Party Settlement Stipulation at 30:1-7; and Daeschel, Exhibit No. ___ (LD-1CT) at 9:12-16.</w:t>
      </w:r>
    </w:p>
  </w:footnote>
  <w:footnote w:id="31">
    <w:p w:rsidR="009F443B" w:rsidRDefault="009F443B" w:rsidP="00FB6A5B">
      <w:pPr>
        <w:pStyle w:val="FootnoteText"/>
      </w:pPr>
      <w:r>
        <w:rPr>
          <w:rStyle w:val="FootnoteReference"/>
        </w:rPr>
        <w:footnoteRef/>
      </w:r>
      <w:bookmarkStart w:id="1" w:name="_BA_Cite_139"/>
      <w:r w:rsidRPr="00F44D5D">
        <w:rPr>
          <w:i/>
        </w:rPr>
        <w:t>U</w:t>
      </w:r>
      <w:r>
        <w:rPr>
          <w:i/>
        </w:rPr>
        <w:t xml:space="preserve">tilities and Transp. Comm’n </w:t>
      </w:r>
      <w:r w:rsidRPr="00F44D5D">
        <w:rPr>
          <w:i/>
        </w:rPr>
        <w:t>v. PacifiCorp</w:t>
      </w:r>
      <w:bookmarkEnd w:id="1"/>
      <w:r w:rsidRPr="00F44D5D">
        <w:t xml:space="preserve">, </w:t>
      </w:r>
      <w:r>
        <w:t xml:space="preserve">Docket </w:t>
      </w:r>
      <w:r w:rsidRPr="00F44D5D">
        <w:t>UE-100749,</w:t>
      </w:r>
      <w:r>
        <w:t xml:space="preserve"> </w:t>
      </w:r>
      <w:r w:rsidRPr="00981206">
        <w:t>Order 06</w:t>
      </w:r>
      <w:r>
        <w:t xml:space="preserve"> (March 25, 2011) at</w:t>
      </w:r>
      <w:r w:rsidRPr="00981206">
        <w:t xml:space="preserve"> ¶ </w:t>
      </w:r>
      <w:r>
        <w:t xml:space="preserve">202; and </w:t>
      </w:r>
      <w:r w:rsidRPr="00F44D5D">
        <w:rPr>
          <w:i/>
        </w:rPr>
        <w:t>U</w:t>
      </w:r>
      <w:r>
        <w:rPr>
          <w:i/>
        </w:rPr>
        <w:t>tilities and Transp. Comm’n</w:t>
      </w:r>
      <w:r w:rsidRPr="00185081">
        <w:rPr>
          <w:i/>
        </w:rPr>
        <w:t xml:space="preserve"> v. PacifiCorp</w:t>
      </w:r>
      <w:r w:rsidRPr="00185081">
        <w:t xml:space="preserve">, </w:t>
      </w:r>
      <w:r>
        <w:t xml:space="preserve">Docket </w:t>
      </w:r>
      <w:r w:rsidRPr="00185081">
        <w:t>UE-100749, Order 10</w:t>
      </w:r>
      <w:r>
        <w:t xml:space="preserve"> </w:t>
      </w:r>
      <w:r w:rsidRPr="00185081">
        <w:t>(Aug</w:t>
      </w:r>
      <w:r>
        <w:t>ust</w:t>
      </w:r>
      <w:r w:rsidRPr="00185081">
        <w:t xml:space="preserve"> 23, 2012)</w:t>
      </w:r>
      <w:r>
        <w:t xml:space="preserve"> at </w:t>
      </w:r>
      <w:r w:rsidRPr="00185081">
        <w:t>¶</w:t>
      </w:r>
      <w:r>
        <w:t>¶</w:t>
      </w:r>
      <w:r w:rsidRPr="00185081">
        <w:t xml:space="preserve"> </w:t>
      </w:r>
      <w:r>
        <w:t>65, 69 and 70</w:t>
      </w:r>
      <w:r w:rsidRPr="00185081">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C0AD1"/>
    <w:multiLevelType w:val="hybridMultilevel"/>
    <w:tmpl w:val="5FC6B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851B51"/>
    <w:multiLevelType w:val="hybridMultilevel"/>
    <w:tmpl w:val="7E2E37A0"/>
    <w:lvl w:ilvl="0" w:tplc="42840C42">
      <w:start w:val="1"/>
      <w:numFmt w:val="upperRoman"/>
      <w:lvlText w:val="%1."/>
      <w:lvlJc w:val="left"/>
      <w:pPr>
        <w:ind w:left="1080" w:hanging="72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30"/>
    <w:rsid w:val="00007AB8"/>
    <w:rsid w:val="00011AD9"/>
    <w:rsid w:val="00015E0B"/>
    <w:rsid w:val="000357BA"/>
    <w:rsid w:val="000544A0"/>
    <w:rsid w:val="00061162"/>
    <w:rsid w:val="00095A93"/>
    <w:rsid w:val="000A5521"/>
    <w:rsid w:val="000C2C39"/>
    <w:rsid w:val="000D2F4D"/>
    <w:rsid w:val="000E5C73"/>
    <w:rsid w:val="000E640C"/>
    <w:rsid w:val="001019E2"/>
    <w:rsid w:val="001073EB"/>
    <w:rsid w:val="00111331"/>
    <w:rsid w:val="00190339"/>
    <w:rsid w:val="001A0BEC"/>
    <w:rsid w:val="001A1828"/>
    <w:rsid w:val="001C5AB1"/>
    <w:rsid w:val="001E1D7A"/>
    <w:rsid w:val="002224B3"/>
    <w:rsid w:val="0024524F"/>
    <w:rsid w:val="00251A7F"/>
    <w:rsid w:val="00260894"/>
    <w:rsid w:val="00270565"/>
    <w:rsid w:val="002820E2"/>
    <w:rsid w:val="002A70E7"/>
    <w:rsid w:val="002B0215"/>
    <w:rsid w:val="002B0A5E"/>
    <w:rsid w:val="002C039A"/>
    <w:rsid w:val="002E4D9C"/>
    <w:rsid w:val="002E528D"/>
    <w:rsid w:val="00312BD1"/>
    <w:rsid w:val="00341E28"/>
    <w:rsid w:val="0035353A"/>
    <w:rsid w:val="00354F39"/>
    <w:rsid w:val="003625F6"/>
    <w:rsid w:val="003707E6"/>
    <w:rsid w:val="00374F30"/>
    <w:rsid w:val="003C6F06"/>
    <w:rsid w:val="003D3202"/>
    <w:rsid w:val="0047686C"/>
    <w:rsid w:val="004A2AA9"/>
    <w:rsid w:val="004D41BB"/>
    <w:rsid w:val="004E2DCE"/>
    <w:rsid w:val="0050415F"/>
    <w:rsid w:val="00525C7C"/>
    <w:rsid w:val="00545A89"/>
    <w:rsid w:val="0055122B"/>
    <w:rsid w:val="00552600"/>
    <w:rsid w:val="00562E5C"/>
    <w:rsid w:val="00582727"/>
    <w:rsid w:val="005A6C74"/>
    <w:rsid w:val="005C3D28"/>
    <w:rsid w:val="005E7559"/>
    <w:rsid w:val="005F65CF"/>
    <w:rsid w:val="00635F06"/>
    <w:rsid w:val="0066018C"/>
    <w:rsid w:val="00666B15"/>
    <w:rsid w:val="00672F7B"/>
    <w:rsid w:val="00673450"/>
    <w:rsid w:val="00676D9D"/>
    <w:rsid w:val="006826B5"/>
    <w:rsid w:val="006A41EE"/>
    <w:rsid w:val="006B05DA"/>
    <w:rsid w:val="006B469F"/>
    <w:rsid w:val="006D1914"/>
    <w:rsid w:val="006E7304"/>
    <w:rsid w:val="00715677"/>
    <w:rsid w:val="007701EB"/>
    <w:rsid w:val="00774467"/>
    <w:rsid w:val="00796833"/>
    <w:rsid w:val="007B3936"/>
    <w:rsid w:val="007C19AC"/>
    <w:rsid w:val="007E490A"/>
    <w:rsid w:val="0082307A"/>
    <w:rsid w:val="00846D4B"/>
    <w:rsid w:val="00851790"/>
    <w:rsid w:val="0087447C"/>
    <w:rsid w:val="008C4A06"/>
    <w:rsid w:val="008F634F"/>
    <w:rsid w:val="00925D85"/>
    <w:rsid w:val="00941524"/>
    <w:rsid w:val="009725D9"/>
    <w:rsid w:val="009B7ACA"/>
    <w:rsid w:val="009F443B"/>
    <w:rsid w:val="00A4351E"/>
    <w:rsid w:val="00A52558"/>
    <w:rsid w:val="00A6193C"/>
    <w:rsid w:val="00A77FC9"/>
    <w:rsid w:val="00A84C2A"/>
    <w:rsid w:val="00AA1522"/>
    <w:rsid w:val="00AD3312"/>
    <w:rsid w:val="00AE273E"/>
    <w:rsid w:val="00B11068"/>
    <w:rsid w:val="00B13041"/>
    <w:rsid w:val="00B24729"/>
    <w:rsid w:val="00B40223"/>
    <w:rsid w:val="00B83491"/>
    <w:rsid w:val="00BA3BEB"/>
    <w:rsid w:val="00BA553A"/>
    <w:rsid w:val="00BB4BDE"/>
    <w:rsid w:val="00BC027E"/>
    <w:rsid w:val="00BE4215"/>
    <w:rsid w:val="00BF2197"/>
    <w:rsid w:val="00C23342"/>
    <w:rsid w:val="00C422B4"/>
    <w:rsid w:val="00C50D1C"/>
    <w:rsid w:val="00C717E0"/>
    <w:rsid w:val="00C84512"/>
    <w:rsid w:val="00C86C01"/>
    <w:rsid w:val="00C9566C"/>
    <w:rsid w:val="00CF774C"/>
    <w:rsid w:val="00D1086F"/>
    <w:rsid w:val="00D12F30"/>
    <w:rsid w:val="00D32E7F"/>
    <w:rsid w:val="00D57130"/>
    <w:rsid w:val="00D906AB"/>
    <w:rsid w:val="00DA1B86"/>
    <w:rsid w:val="00DA29C1"/>
    <w:rsid w:val="00DD2A47"/>
    <w:rsid w:val="00E077A8"/>
    <w:rsid w:val="00E11C26"/>
    <w:rsid w:val="00E22E00"/>
    <w:rsid w:val="00E633D0"/>
    <w:rsid w:val="00EA1B44"/>
    <w:rsid w:val="00EA561D"/>
    <w:rsid w:val="00EB4617"/>
    <w:rsid w:val="00EC53A2"/>
    <w:rsid w:val="00ED1178"/>
    <w:rsid w:val="00ED16AD"/>
    <w:rsid w:val="00EF352E"/>
    <w:rsid w:val="00F0102D"/>
    <w:rsid w:val="00F0429D"/>
    <w:rsid w:val="00F21B68"/>
    <w:rsid w:val="00F6517E"/>
    <w:rsid w:val="00F734CA"/>
    <w:rsid w:val="00F80313"/>
    <w:rsid w:val="00F90696"/>
    <w:rsid w:val="00FA2807"/>
    <w:rsid w:val="00FA2D8B"/>
    <w:rsid w:val="00FB6A5B"/>
    <w:rsid w:val="00FD0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374F30"/>
    <w:rPr>
      <w:sz w:val="20"/>
      <w:szCs w:val="20"/>
    </w:rPr>
  </w:style>
  <w:style w:type="character" w:customStyle="1" w:styleId="FootnoteTextChar">
    <w:name w:val="Footnote Text Char"/>
    <w:basedOn w:val="DefaultParagraphFont"/>
    <w:link w:val="FootnoteText"/>
    <w:uiPriority w:val="99"/>
    <w:semiHidden/>
    <w:rsid w:val="00374F3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374F30"/>
    <w:rPr>
      <w:sz w:val="20"/>
      <w:szCs w:val="20"/>
    </w:rPr>
  </w:style>
  <w:style w:type="character" w:customStyle="1" w:styleId="CommentTextChar">
    <w:name w:val="Comment Text Char"/>
    <w:basedOn w:val="DefaultParagraphFont"/>
    <w:link w:val="CommentText"/>
    <w:uiPriority w:val="99"/>
    <w:semiHidden/>
    <w:rsid w:val="00374F30"/>
    <w:rPr>
      <w:rFonts w:ascii="Times New Roman" w:eastAsia="Times New Roman" w:hAnsi="Times New Roman" w:cs="Times New Roman"/>
      <w:sz w:val="20"/>
      <w:szCs w:val="20"/>
    </w:rPr>
  </w:style>
  <w:style w:type="paragraph" w:styleId="ListParagraph">
    <w:name w:val="List Paragraph"/>
    <w:basedOn w:val="Normal"/>
    <w:uiPriority w:val="34"/>
    <w:qFormat/>
    <w:rsid w:val="00374F30"/>
    <w:pPr>
      <w:ind w:left="720"/>
    </w:pPr>
  </w:style>
  <w:style w:type="character" w:styleId="FootnoteReference">
    <w:name w:val="footnote reference"/>
    <w:basedOn w:val="DefaultParagraphFont"/>
    <w:uiPriority w:val="99"/>
    <w:semiHidden/>
    <w:unhideWhenUsed/>
    <w:rsid w:val="00374F30"/>
    <w:rPr>
      <w:vertAlign w:val="superscript"/>
    </w:rPr>
  </w:style>
  <w:style w:type="character" w:styleId="CommentReference">
    <w:name w:val="annotation reference"/>
    <w:basedOn w:val="DefaultParagraphFont"/>
    <w:uiPriority w:val="99"/>
    <w:semiHidden/>
    <w:unhideWhenUsed/>
    <w:rsid w:val="00374F30"/>
    <w:rPr>
      <w:sz w:val="16"/>
      <w:szCs w:val="16"/>
    </w:rPr>
  </w:style>
  <w:style w:type="paragraph" w:styleId="BalloonText">
    <w:name w:val="Balloon Text"/>
    <w:basedOn w:val="Normal"/>
    <w:link w:val="BalloonTextChar"/>
    <w:uiPriority w:val="99"/>
    <w:semiHidden/>
    <w:unhideWhenUsed/>
    <w:rsid w:val="00374F30"/>
    <w:rPr>
      <w:rFonts w:ascii="Tahoma" w:hAnsi="Tahoma" w:cs="Tahoma"/>
      <w:sz w:val="16"/>
      <w:szCs w:val="16"/>
    </w:rPr>
  </w:style>
  <w:style w:type="character" w:customStyle="1" w:styleId="BalloonTextChar">
    <w:name w:val="Balloon Text Char"/>
    <w:basedOn w:val="DefaultParagraphFont"/>
    <w:link w:val="BalloonText"/>
    <w:uiPriority w:val="99"/>
    <w:semiHidden/>
    <w:rsid w:val="00374F30"/>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83491"/>
    <w:rPr>
      <w:b/>
      <w:bCs/>
    </w:rPr>
  </w:style>
  <w:style w:type="character" w:customStyle="1" w:styleId="CommentSubjectChar">
    <w:name w:val="Comment Subject Char"/>
    <w:basedOn w:val="CommentTextChar"/>
    <w:link w:val="CommentSubject"/>
    <w:uiPriority w:val="99"/>
    <w:semiHidden/>
    <w:rsid w:val="00B83491"/>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AA1522"/>
    <w:rPr>
      <w:sz w:val="20"/>
      <w:szCs w:val="20"/>
    </w:rPr>
  </w:style>
  <w:style w:type="character" w:customStyle="1" w:styleId="EndnoteTextChar">
    <w:name w:val="Endnote Text Char"/>
    <w:basedOn w:val="DefaultParagraphFont"/>
    <w:link w:val="EndnoteText"/>
    <w:uiPriority w:val="99"/>
    <w:semiHidden/>
    <w:rsid w:val="00AA152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A1522"/>
    <w:rPr>
      <w:vertAlign w:val="superscript"/>
    </w:rPr>
  </w:style>
  <w:style w:type="paragraph" w:styleId="Footer">
    <w:name w:val="footer"/>
    <w:basedOn w:val="Normal"/>
    <w:link w:val="FooterChar"/>
    <w:rsid w:val="00941524"/>
    <w:pPr>
      <w:tabs>
        <w:tab w:val="center" w:pos="4320"/>
        <w:tab w:val="right" w:pos="8640"/>
      </w:tabs>
    </w:pPr>
  </w:style>
  <w:style w:type="character" w:customStyle="1" w:styleId="FooterChar">
    <w:name w:val="Footer Char"/>
    <w:basedOn w:val="DefaultParagraphFont"/>
    <w:link w:val="Footer"/>
    <w:rsid w:val="0094152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1524"/>
    <w:pPr>
      <w:tabs>
        <w:tab w:val="center" w:pos="4680"/>
        <w:tab w:val="right" w:pos="9360"/>
      </w:tabs>
    </w:pPr>
  </w:style>
  <w:style w:type="character" w:customStyle="1" w:styleId="HeaderChar">
    <w:name w:val="Header Char"/>
    <w:basedOn w:val="DefaultParagraphFont"/>
    <w:link w:val="Header"/>
    <w:uiPriority w:val="99"/>
    <w:rsid w:val="00941524"/>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4E2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374F30"/>
    <w:rPr>
      <w:sz w:val="20"/>
      <w:szCs w:val="20"/>
    </w:rPr>
  </w:style>
  <w:style w:type="character" w:customStyle="1" w:styleId="FootnoteTextChar">
    <w:name w:val="Footnote Text Char"/>
    <w:basedOn w:val="DefaultParagraphFont"/>
    <w:link w:val="FootnoteText"/>
    <w:uiPriority w:val="99"/>
    <w:semiHidden/>
    <w:rsid w:val="00374F3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374F30"/>
    <w:rPr>
      <w:sz w:val="20"/>
      <w:szCs w:val="20"/>
    </w:rPr>
  </w:style>
  <w:style w:type="character" w:customStyle="1" w:styleId="CommentTextChar">
    <w:name w:val="Comment Text Char"/>
    <w:basedOn w:val="DefaultParagraphFont"/>
    <w:link w:val="CommentText"/>
    <w:uiPriority w:val="99"/>
    <w:semiHidden/>
    <w:rsid w:val="00374F30"/>
    <w:rPr>
      <w:rFonts w:ascii="Times New Roman" w:eastAsia="Times New Roman" w:hAnsi="Times New Roman" w:cs="Times New Roman"/>
      <w:sz w:val="20"/>
      <w:szCs w:val="20"/>
    </w:rPr>
  </w:style>
  <w:style w:type="paragraph" w:styleId="ListParagraph">
    <w:name w:val="List Paragraph"/>
    <w:basedOn w:val="Normal"/>
    <w:uiPriority w:val="34"/>
    <w:qFormat/>
    <w:rsid w:val="00374F30"/>
    <w:pPr>
      <w:ind w:left="720"/>
    </w:pPr>
  </w:style>
  <w:style w:type="character" w:styleId="FootnoteReference">
    <w:name w:val="footnote reference"/>
    <w:basedOn w:val="DefaultParagraphFont"/>
    <w:uiPriority w:val="99"/>
    <w:semiHidden/>
    <w:unhideWhenUsed/>
    <w:rsid w:val="00374F30"/>
    <w:rPr>
      <w:vertAlign w:val="superscript"/>
    </w:rPr>
  </w:style>
  <w:style w:type="character" w:styleId="CommentReference">
    <w:name w:val="annotation reference"/>
    <w:basedOn w:val="DefaultParagraphFont"/>
    <w:uiPriority w:val="99"/>
    <w:semiHidden/>
    <w:unhideWhenUsed/>
    <w:rsid w:val="00374F30"/>
    <w:rPr>
      <w:sz w:val="16"/>
      <w:szCs w:val="16"/>
    </w:rPr>
  </w:style>
  <w:style w:type="paragraph" w:styleId="BalloonText">
    <w:name w:val="Balloon Text"/>
    <w:basedOn w:val="Normal"/>
    <w:link w:val="BalloonTextChar"/>
    <w:uiPriority w:val="99"/>
    <w:semiHidden/>
    <w:unhideWhenUsed/>
    <w:rsid w:val="00374F30"/>
    <w:rPr>
      <w:rFonts w:ascii="Tahoma" w:hAnsi="Tahoma" w:cs="Tahoma"/>
      <w:sz w:val="16"/>
      <w:szCs w:val="16"/>
    </w:rPr>
  </w:style>
  <w:style w:type="character" w:customStyle="1" w:styleId="BalloonTextChar">
    <w:name w:val="Balloon Text Char"/>
    <w:basedOn w:val="DefaultParagraphFont"/>
    <w:link w:val="BalloonText"/>
    <w:uiPriority w:val="99"/>
    <w:semiHidden/>
    <w:rsid w:val="00374F30"/>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83491"/>
    <w:rPr>
      <w:b/>
      <w:bCs/>
    </w:rPr>
  </w:style>
  <w:style w:type="character" w:customStyle="1" w:styleId="CommentSubjectChar">
    <w:name w:val="Comment Subject Char"/>
    <w:basedOn w:val="CommentTextChar"/>
    <w:link w:val="CommentSubject"/>
    <w:uiPriority w:val="99"/>
    <w:semiHidden/>
    <w:rsid w:val="00B83491"/>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AA1522"/>
    <w:rPr>
      <w:sz w:val="20"/>
      <w:szCs w:val="20"/>
    </w:rPr>
  </w:style>
  <w:style w:type="character" w:customStyle="1" w:styleId="EndnoteTextChar">
    <w:name w:val="Endnote Text Char"/>
    <w:basedOn w:val="DefaultParagraphFont"/>
    <w:link w:val="EndnoteText"/>
    <w:uiPriority w:val="99"/>
    <w:semiHidden/>
    <w:rsid w:val="00AA152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A1522"/>
    <w:rPr>
      <w:vertAlign w:val="superscript"/>
    </w:rPr>
  </w:style>
  <w:style w:type="paragraph" w:styleId="Footer">
    <w:name w:val="footer"/>
    <w:basedOn w:val="Normal"/>
    <w:link w:val="FooterChar"/>
    <w:rsid w:val="00941524"/>
    <w:pPr>
      <w:tabs>
        <w:tab w:val="center" w:pos="4320"/>
        <w:tab w:val="right" w:pos="8640"/>
      </w:tabs>
    </w:pPr>
  </w:style>
  <w:style w:type="character" w:customStyle="1" w:styleId="FooterChar">
    <w:name w:val="Footer Char"/>
    <w:basedOn w:val="DefaultParagraphFont"/>
    <w:link w:val="Footer"/>
    <w:rsid w:val="0094152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1524"/>
    <w:pPr>
      <w:tabs>
        <w:tab w:val="center" w:pos="4680"/>
        <w:tab w:val="right" w:pos="9360"/>
      </w:tabs>
    </w:pPr>
  </w:style>
  <w:style w:type="character" w:customStyle="1" w:styleId="HeaderChar">
    <w:name w:val="Header Char"/>
    <w:basedOn w:val="DefaultParagraphFont"/>
    <w:link w:val="Header"/>
    <w:uiPriority w:val="99"/>
    <w:rsid w:val="00941524"/>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4E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2012-11-19T08:00:00+00:00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70106DB-319E-4C0F-AC74-ECC4C07EAE0F}"/>
</file>

<file path=customXml/itemProps2.xml><?xml version="1.0" encoding="utf-8"?>
<ds:datastoreItem xmlns:ds="http://schemas.openxmlformats.org/officeDocument/2006/customXml" ds:itemID="{76C38CC2-B926-4CD3-B540-913AB0BC177B}"/>
</file>

<file path=customXml/itemProps3.xml><?xml version="1.0" encoding="utf-8"?>
<ds:datastoreItem xmlns:ds="http://schemas.openxmlformats.org/officeDocument/2006/customXml" ds:itemID="{00E5231A-07BA-4A25-A33E-7895EF6AF3B8}"/>
</file>

<file path=customXml/itemProps4.xml><?xml version="1.0" encoding="utf-8"?>
<ds:datastoreItem xmlns:ds="http://schemas.openxmlformats.org/officeDocument/2006/customXml" ds:itemID="{B2001F29-B1EF-4AC3-9358-F0598931FA7A}"/>
</file>

<file path=customXml/itemProps5.xml><?xml version="1.0" encoding="utf-8"?>
<ds:datastoreItem xmlns:ds="http://schemas.openxmlformats.org/officeDocument/2006/customXml" ds:itemID="{8954DEC7-9644-48A0-875D-95474B08505A}"/>
</file>

<file path=docProps/app.xml><?xml version="1.0" encoding="utf-8"?>
<Properties xmlns="http://schemas.openxmlformats.org/officeDocument/2006/extended-properties" xmlns:vt="http://schemas.openxmlformats.org/officeDocument/2006/docPropsVTypes">
  <Template>Normal.dotm</Template>
  <TotalTime>9</TotalTime>
  <Pages>17</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Elgin, Ken (UTC)</dc:creator>
  <cp:lastModifiedBy>Krista Gross</cp:lastModifiedBy>
  <cp:revision>6</cp:revision>
  <dcterms:created xsi:type="dcterms:W3CDTF">2012-11-19T17:39:00Z</dcterms:created>
  <dcterms:modified xsi:type="dcterms:W3CDTF">2012-11-19T19:26:00Z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