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12BAF" w14:textId="77777777" w:rsidR="00396A08" w:rsidRDefault="00396A08" w:rsidP="00396A08">
      <w:pPr>
        <w:pStyle w:val="NoSpacing"/>
        <w:jc w:val="center"/>
        <w:rPr>
          <w:sz w:val="14"/>
        </w:rPr>
      </w:pPr>
      <w:r>
        <w:rPr>
          <w:noProof/>
        </w:rPr>
        <w:drawing>
          <wp:inline distT="0" distB="0" distL="0" distR="0" wp14:anchorId="2FBC4225" wp14:editId="64423F4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0B25A00F" w14:textId="77777777" w:rsidR="00396A08" w:rsidRDefault="00396A08" w:rsidP="00396A08">
      <w:pPr>
        <w:pStyle w:val="NoSpacing"/>
        <w:jc w:val="center"/>
        <w:rPr>
          <w:rFonts w:ascii="Arial" w:hAnsi="Arial"/>
          <w:b/>
          <w:color w:val="008000"/>
          <w:sz w:val="18"/>
        </w:rPr>
      </w:pPr>
    </w:p>
    <w:p w14:paraId="3D7A1DDD" w14:textId="77777777" w:rsidR="00396A08" w:rsidRDefault="00396A08" w:rsidP="00396A08">
      <w:pPr>
        <w:pStyle w:val="NoSpacing"/>
        <w:spacing w:after="80"/>
        <w:jc w:val="center"/>
        <w:rPr>
          <w:rFonts w:ascii="Arial" w:hAnsi="Arial"/>
          <w:b/>
          <w:color w:val="008000"/>
          <w:sz w:val="18"/>
        </w:rPr>
      </w:pPr>
      <w:r>
        <w:rPr>
          <w:rFonts w:ascii="Arial" w:hAnsi="Arial"/>
          <w:b/>
          <w:color w:val="008000"/>
          <w:sz w:val="18"/>
        </w:rPr>
        <w:t>STATE OF WASHINGTON</w:t>
      </w:r>
    </w:p>
    <w:p w14:paraId="10D88CE4" w14:textId="77777777" w:rsidR="00396A08" w:rsidRDefault="00396A08" w:rsidP="00396A08">
      <w:pPr>
        <w:pStyle w:val="NoSpacing"/>
        <w:spacing w:after="80"/>
        <w:jc w:val="center"/>
        <w:rPr>
          <w:rFonts w:ascii="Arial" w:hAnsi="Arial"/>
          <w:color w:val="008000"/>
          <w:sz w:val="28"/>
        </w:rPr>
      </w:pPr>
      <w:r>
        <w:rPr>
          <w:rFonts w:ascii="Arial" w:hAnsi="Arial"/>
          <w:color w:val="008000"/>
          <w:sz w:val="28"/>
        </w:rPr>
        <w:t>UTILITIES AND TRANSPORTATION COMMISSION</w:t>
      </w:r>
    </w:p>
    <w:p w14:paraId="5EA1C5FE" w14:textId="77777777" w:rsidR="00396A08" w:rsidRDefault="00396A08" w:rsidP="00396A0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7F357FD4" w14:textId="77777777" w:rsidR="00396A08" w:rsidRDefault="00396A08" w:rsidP="00396A0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41BF929" w14:textId="77777777" w:rsidR="004D4F6C" w:rsidRDefault="004D4F6C" w:rsidP="00F03873">
      <w:pPr>
        <w:pStyle w:val="NoSpacing"/>
        <w:jc w:val="center"/>
        <w:rPr>
          <w:rFonts w:ascii="Times New Roman" w:hAnsi="Times New Roman" w:cs="Times New Roman"/>
          <w:sz w:val="25"/>
          <w:szCs w:val="25"/>
        </w:rPr>
      </w:pPr>
    </w:p>
    <w:p w14:paraId="4275F10F" w14:textId="4D416358" w:rsidR="00F03873" w:rsidRPr="00CA182A" w:rsidRDefault="00C3544E" w:rsidP="00DA0613">
      <w:pPr>
        <w:pStyle w:val="NoSpacing"/>
        <w:spacing w:after="480"/>
        <w:jc w:val="center"/>
        <w:rPr>
          <w:rFonts w:ascii="Times New Roman" w:hAnsi="Times New Roman" w:cs="Times New Roman"/>
          <w:sz w:val="24"/>
          <w:szCs w:val="24"/>
        </w:rPr>
      </w:pPr>
      <w:r>
        <w:rPr>
          <w:rFonts w:ascii="Times New Roman" w:hAnsi="Times New Roman" w:cs="Times New Roman"/>
          <w:sz w:val="24"/>
          <w:szCs w:val="24"/>
        </w:rPr>
        <w:t>July 1</w:t>
      </w:r>
      <w:r w:rsidR="00F63AA2">
        <w:rPr>
          <w:rFonts w:ascii="Times New Roman" w:hAnsi="Times New Roman" w:cs="Times New Roman"/>
          <w:sz w:val="24"/>
          <w:szCs w:val="24"/>
        </w:rPr>
        <w:t>4, 2016</w:t>
      </w:r>
    </w:p>
    <w:p w14:paraId="5057321B" w14:textId="238DEA9C" w:rsidR="0062570D" w:rsidRPr="0062570D" w:rsidRDefault="00F03873" w:rsidP="00DA0613">
      <w:pPr>
        <w:pStyle w:val="NoSpacing"/>
        <w:spacing w:after="480"/>
        <w:jc w:val="center"/>
        <w:rPr>
          <w:rFonts w:ascii="Times New Roman" w:hAnsi="Times New Roman" w:cs="Times New Roman"/>
          <w:sz w:val="24"/>
          <w:szCs w:val="24"/>
        </w:rPr>
      </w:pPr>
      <w:r w:rsidRPr="00CA182A">
        <w:rPr>
          <w:rFonts w:ascii="Times New Roman" w:hAnsi="Times New Roman" w:cs="Times New Roman"/>
          <w:b/>
          <w:sz w:val="24"/>
          <w:szCs w:val="24"/>
        </w:rPr>
        <w:t>NOTICE</w:t>
      </w:r>
      <w:r w:rsidR="003B1A72" w:rsidRPr="00CA182A">
        <w:rPr>
          <w:rFonts w:ascii="Times New Roman" w:hAnsi="Times New Roman" w:cs="Times New Roman"/>
          <w:b/>
          <w:sz w:val="24"/>
          <w:szCs w:val="24"/>
        </w:rPr>
        <w:t xml:space="preserve"> </w:t>
      </w:r>
      <w:r w:rsidR="00160261">
        <w:rPr>
          <w:rFonts w:ascii="Times New Roman" w:hAnsi="Times New Roman" w:cs="Times New Roman"/>
          <w:b/>
          <w:sz w:val="24"/>
          <w:szCs w:val="24"/>
        </w:rPr>
        <w:t xml:space="preserve">OF </w:t>
      </w:r>
      <w:r w:rsidR="00C3544E">
        <w:rPr>
          <w:rFonts w:ascii="Times New Roman" w:hAnsi="Times New Roman" w:cs="Times New Roman"/>
          <w:b/>
          <w:sz w:val="24"/>
          <w:szCs w:val="24"/>
        </w:rPr>
        <w:t xml:space="preserve">DEADLINE </w:t>
      </w:r>
      <w:r w:rsidR="0019504C">
        <w:rPr>
          <w:rFonts w:ascii="Times New Roman" w:hAnsi="Times New Roman" w:cs="Times New Roman"/>
          <w:b/>
          <w:sz w:val="24"/>
          <w:szCs w:val="24"/>
        </w:rPr>
        <w:t>TO</w:t>
      </w:r>
      <w:r w:rsidR="00C3544E">
        <w:rPr>
          <w:rFonts w:ascii="Times New Roman" w:hAnsi="Times New Roman" w:cs="Times New Roman"/>
          <w:b/>
          <w:sz w:val="24"/>
          <w:szCs w:val="24"/>
        </w:rPr>
        <w:t xml:space="preserve"> RESPOND</w:t>
      </w:r>
      <w:r w:rsidR="0019504C">
        <w:rPr>
          <w:rFonts w:ascii="Times New Roman" w:hAnsi="Times New Roman" w:cs="Times New Roman"/>
          <w:b/>
          <w:sz w:val="24"/>
          <w:szCs w:val="24"/>
        </w:rPr>
        <w:t xml:space="preserve"> </w:t>
      </w:r>
      <w:r w:rsidR="00C3544E">
        <w:rPr>
          <w:rFonts w:ascii="Times New Roman" w:hAnsi="Times New Roman" w:cs="Times New Roman"/>
          <w:b/>
          <w:sz w:val="24"/>
          <w:szCs w:val="24"/>
        </w:rPr>
        <w:t xml:space="preserve">TO </w:t>
      </w:r>
      <w:r w:rsidR="00DA0613">
        <w:rPr>
          <w:rFonts w:ascii="Times New Roman" w:hAnsi="Times New Roman" w:cs="Times New Roman"/>
          <w:b/>
          <w:sz w:val="24"/>
          <w:szCs w:val="24"/>
        </w:rPr>
        <w:br/>
      </w:r>
      <w:r w:rsidR="00C3544E">
        <w:rPr>
          <w:rFonts w:ascii="Times New Roman" w:hAnsi="Times New Roman" w:cs="Times New Roman"/>
          <w:b/>
          <w:sz w:val="24"/>
          <w:szCs w:val="24"/>
        </w:rPr>
        <w:t xml:space="preserve">STAFF MOTION FOR SUMMARY </w:t>
      </w:r>
      <w:proofErr w:type="gramStart"/>
      <w:r w:rsidR="00C3544E">
        <w:rPr>
          <w:rFonts w:ascii="Times New Roman" w:hAnsi="Times New Roman" w:cs="Times New Roman"/>
          <w:b/>
          <w:sz w:val="24"/>
          <w:szCs w:val="24"/>
        </w:rPr>
        <w:t>DETERMINATION</w:t>
      </w:r>
      <w:proofErr w:type="gramEnd"/>
      <w:r w:rsidR="00DA0613">
        <w:rPr>
          <w:rFonts w:ascii="Times New Roman" w:hAnsi="Times New Roman" w:cs="Times New Roman"/>
          <w:b/>
          <w:sz w:val="24"/>
          <w:szCs w:val="24"/>
        </w:rPr>
        <w:br/>
      </w:r>
      <w:r w:rsidR="00C3544E">
        <w:rPr>
          <w:rFonts w:ascii="Times New Roman" w:hAnsi="Times New Roman" w:cs="Times New Roman"/>
          <w:sz w:val="24"/>
          <w:szCs w:val="24"/>
        </w:rPr>
        <w:t>(Responses Due by Friday</w:t>
      </w:r>
      <w:r w:rsidR="0062570D">
        <w:rPr>
          <w:rFonts w:ascii="Times New Roman" w:hAnsi="Times New Roman" w:cs="Times New Roman"/>
          <w:sz w:val="24"/>
          <w:szCs w:val="24"/>
        </w:rPr>
        <w:t xml:space="preserve">, </w:t>
      </w:r>
      <w:r w:rsidR="00C3544E">
        <w:rPr>
          <w:rFonts w:ascii="Times New Roman" w:hAnsi="Times New Roman" w:cs="Times New Roman"/>
          <w:sz w:val="24"/>
          <w:szCs w:val="24"/>
        </w:rPr>
        <w:t>July 22</w:t>
      </w:r>
      <w:r w:rsidR="0062570D">
        <w:rPr>
          <w:rFonts w:ascii="Times New Roman" w:hAnsi="Times New Roman" w:cs="Times New Roman"/>
          <w:sz w:val="24"/>
          <w:szCs w:val="24"/>
        </w:rPr>
        <w:t>, 2016)</w:t>
      </w:r>
    </w:p>
    <w:p w14:paraId="5FA71DEA" w14:textId="5AF3889D" w:rsidR="0066676A" w:rsidRPr="00CA182A" w:rsidRDefault="00F03873" w:rsidP="00930E44">
      <w:pPr>
        <w:pStyle w:val="NoSpacing"/>
        <w:ind w:left="720" w:hanging="720"/>
        <w:rPr>
          <w:rFonts w:ascii="Times New Roman" w:hAnsi="Times New Roman" w:cs="Times New Roman"/>
          <w:sz w:val="24"/>
          <w:szCs w:val="24"/>
        </w:rPr>
      </w:pPr>
      <w:r w:rsidRPr="00CA182A">
        <w:rPr>
          <w:rFonts w:ascii="Times New Roman" w:hAnsi="Times New Roman" w:cs="Times New Roman"/>
          <w:sz w:val="24"/>
          <w:szCs w:val="24"/>
        </w:rPr>
        <w:t>RE:</w:t>
      </w:r>
      <w:r w:rsidRPr="00CA182A">
        <w:rPr>
          <w:rFonts w:ascii="Times New Roman" w:hAnsi="Times New Roman" w:cs="Times New Roman"/>
          <w:sz w:val="24"/>
          <w:szCs w:val="24"/>
        </w:rPr>
        <w:tab/>
      </w:r>
      <w:r w:rsidR="003B1A72" w:rsidRPr="00CA182A">
        <w:rPr>
          <w:rFonts w:ascii="Times New Roman" w:hAnsi="Times New Roman" w:cs="Times New Roman"/>
          <w:i/>
          <w:sz w:val="24"/>
          <w:szCs w:val="24"/>
        </w:rPr>
        <w:t>Washington Utilities and Transportation Commission v. Puget Sound Energy</w:t>
      </w:r>
      <w:r w:rsidR="00E07DEF" w:rsidRPr="00CA182A">
        <w:rPr>
          <w:rFonts w:ascii="Times New Roman" w:hAnsi="Times New Roman" w:cs="Times New Roman"/>
          <w:sz w:val="24"/>
          <w:szCs w:val="24"/>
        </w:rPr>
        <w:t>,</w:t>
      </w:r>
    </w:p>
    <w:p w14:paraId="03270CB1" w14:textId="07055C7A" w:rsidR="003B1A72" w:rsidRPr="00CA182A" w:rsidRDefault="00F03873" w:rsidP="00DA0613">
      <w:pPr>
        <w:spacing w:after="480"/>
        <w:ind w:firstLine="720"/>
      </w:pPr>
      <w:r w:rsidRPr="00CA182A">
        <w:t>Docket</w:t>
      </w:r>
      <w:r w:rsidR="003B1A72" w:rsidRPr="00CA182A">
        <w:t>s</w:t>
      </w:r>
      <w:r w:rsidRPr="00CA182A">
        <w:t xml:space="preserve"> </w:t>
      </w:r>
      <w:r w:rsidR="003B1A72" w:rsidRPr="00CA182A">
        <w:t xml:space="preserve">UE-151871 and UG-151872 </w:t>
      </w:r>
      <w:r w:rsidR="003B1A72" w:rsidRPr="00CA182A">
        <w:rPr>
          <w:i/>
        </w:rPr>
        <w:t>(Consolidated)</w:t>
      </w:r>
    </w:p>
    <w:p w14:paraId="7CA57036" w14:textId="77777777" w:rsidR="00F03873" w:rsidRPr="00CA182A" w:rsidRDefault="00F03873" w:rsidP="00DA0613">
      <w:pPr>
        <w:pStyle w:val="NoSpacing"/>
        <w:spacing w:after="240"/>
        <w:rPr>
          <w:rFonts w:ascii="Times New Roman" w:hAnsi="Times New Roman" w:cs="Times New Roman"/>
          <w:sz w:val="24"/>
          <w:szCs w:val="24"/>
        </w:rPr>
      </w:pPr>
      <w:r w:rsidRPr="00CA182A">
        <w:rPr>
          <w:rFonts w:ascii="Times New Roman" w:hAnsi="Times New Roman" w:cs="Times New Roman"/>
          <w:sz w:val="24"/>
          <w:szCs w:val="24"/>
        </w:rPr>
        <w:t>TO ALL PARTIES:</w:t>
      </w:r>
    </w:p>
    <w:p w14:paraId="2472D96F" w14:textId="327BA74D" w:rsidR="00F03873" w:rsidRPr="00CA182A" w:rsidRDefault="00CA182A" w:rsidP="00DA0613">
      <w:pPr>
        <w:pStyle w:val="NoSpacing"/>
        <w:spacing w:after="240"/>
        <w:rPr>
          <w:rFonts w:ascii="Times New Roman" w:hAnsi="Times New Roman" w:cs="Times New Roman"/>
          <w:sz w:val="24"/>
          <w:szCs w:val="24"/>
        </w:rPr>
      </w:pPr>
      <w:r w:rsidRPr="00CA182A">
        <w:rPr>
          <w:rFonts w:ascii="Times New Roman" w:hAnsi="Times New Roman" w:cs="Times New Roman"/>
          <w:sz w:val="24"/>
          <w:szCs w:val="24"/>
        </w:rPr>
        <w:t xml:space="preserve">On September 18, 2015, Puget Sound Energy (PSE or Company) filed with the Washington Utilities and Transportation Commission (Commission) revisions to </w:t>
      </w:r>
      <w:r w:rsidR="0055165E">
        <w:rPr>
          <w:rFonts w:ascii="Times New Roman" w:hAnsi="Times New Roman" w:cs="Times New Roman"/>
          <w:sz w:val="24"/>
          <w:szCs w:val="24"/>
        </w:rPr>
        <w:t>the Company’s</w:t>
      </w:r>
      <w:r w:rsidRPr="00CA182A">
        <w:rPr>
          <w:rFonts w:ascii="Times New Roman" w:hAnsi="Times New Roman" w:cs="Times New Roman"/>
          <w:sz w:val="24"/>
          <w:szCs w:val="24"/>
        </w:rPr>
        <w:t xml:space="preserve"> currently effective tariffs WN U-60 schedule 75 and WN U-2 schedule 175 to offer electric and natural gas equipment lease service to its customers. </w:t>
      </w:r>
      <w:r w:rsidR="00433D35">
        <w:rPr>
          <w:rFonts w:ascii="Times New Roman" w:hAnsi="Times New Roman" w:cs="Times New Roman"/>
          <w:sz w:val="24"/>
          <w:szCs w:val="24"/>
        </w:rPr>
        <w:t>On November 13, 2015, t</w:t>
      </w:r>
      <w:r w:rsidR="0062570D">
        <w:rPr>
          <w:rFonts w:ascii="Times New Roman" w:hAnsi="Times New Roman" w:cs="Times New Roman"/>
          <w:sz w:val="24"/>
          <w:szCs w:val="24"/>
        </w:rPr>
        <w:t>he Commission entered Order 01</w:t>
      </w:r>
      <w:r w:rsidR="00433D35">
        <w:rPr>
          <w:rFonts w:ascii="Times New Roman" w:hAnsi="Times New Roman" w:cs="Times New Roman"/>
          <w:sz w:val="24"/>
          <w:szCs w:val="24"/>
        </w:rPr>
        <w:t>, Complaint and Order Suspending Tariff Revisions</w:t>
      </w:r>
      <w:r w:rsidR="003D258A">
        <w:rPr>
          <w:rFonts w:ascii="Times New Roman" w:hAnsi="Times New Roman" w:cs="Times New Roman"/>
          <w:sz w:val="24"/>
          <w:szCs w:val="24"/>
        </w:rPr>
        <w:t>, suspending PSE’s filing for investigation and possible adjudication</w:t>
      </w:r>
      <w:r w:rsidR="0062570D">
        <w:rPr>
          <w:rFonts w:ascii="Times New Roman" w:hAnsi="Times New Roman" w:cs="Times New Roman"/>
          <w:sz w:val="24"/>
          <w:szCs w:val="24"/>
        </w:rPr>
        <w:t>.</w:t>
      </w:r>
    </w:p>
    <w:p w14:paraId="56D3D8A5" w14:textId="4259ACA5" w:rsidR="00A54C3D" w:rsidRDefault="00CA182A" w:rsidP="00DA0613">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On January 7, 2016, the Commission entered Order 02, Prehearing Conference Order, which </w:t>
      </w:r>
      <w:r w:rsidR="00433D35">
        <w:rPr>
          <w:rFonts w:ascii="Times New Roman" w:hAnsi="Times New Roman" w:cs="Times New Roman"/>
          <w:sz w:val="24"/>
          <w:szCs w:val="24"/>
        </w:rPr>
        <w:t xml:space="preserve">established </w:t>
      </w:r>
      <w:r w:rsidR="00625E70">
        <w:rPr>
          <w:rFonts w:ascii="Times New Roman" w:hAnsi="Times New Roman" w:cs="Times New Roman"/>
          <w:sz w:val="24"/>
          <w:szCs w:val="24"/>
        </w:rPr>
        <w:t>a procedural schedule including</w:t>
      </w:r>
      <w:r w:rsidR="000B25F6">
        <w:rPr>
          <w:rFonts w:ascii="Times New Roman" w:hAnsi="Times New Roman" w:cs="Times New Roman"/>
          <w:sz w:val="24"/>
          <w:szCs w:val="24"/>
        </w:rPr>
        <w:t>, but not limited to</w:t>
      </w:r>
      <w:r w:rsidR="008D3674">
        <w:rPr>
          <w:rFonts w:ascii="Times New Roman" w:hAnsi="Times New Roman" w:cs="Times New Roman"/>
          <w:sz w:val="24"/>
          <w:szCs w:val="24"/>
        </w:rPr>
        <w:t>,</w:t>
      </w:r>
      <w:r w:rsidR="000B25F6">
        <w:rPr>
          <w:rFonts w:ascii="Times New Roman" w:hAnsi="Times New Roman" w:cs="Times New Roman"/>
          <w:sz w:val="24"/>
          <w:szCs w:val="24"/>
        </w:rPr>
        <w:t xml:space="preserve"> an </w:t>
      </w:r>
      <w:r w:rsidR="00433D35">
        <w:rPr>
          <w:rFonts w:ascii="Times New Roman" w:hAnsi="Times New Roman" w:cs="Times New Roman"/>
          <w:sz w:val="24"/>
          <w:szCs w:val="24"/>
        </w:rPr>
        <w:t>e</w:t>
      </w:r>
      <w:r w:rsidR="000B25F6">
        <w:rPr>
          <w:rFonts w:ascii="Times New Roman" w:hAnsi="Times New Roman" w:cs="Times New Roman"/>
          <w:sz w:val="24"/>
          <w:szCs w:val="24"/>
        </w:rPr>
        <w:t xml:space="preserve">videntiary </w:t>
      </w:r>
      <w:r w:rsidR="00433D35">
        <w:rPr>
          <w:rFonts w:ascii="Times New Roman" w:hAnsi="Times New Roman" w:cs="Times New Roman"/>
          <w:sz w:val="24"/>
          <w:szCs w:val="24"/>
        </w:rPr>
        <w:t>h</w:t>
      </w:r>
      <w:r w:rsidR="000B25F6">
        <w:rPr>
          <w:rFonts w:ascii="Times New Roman" w:hAnsi="Times New Roman" w:cs="Times New Roman"/>
          <w:sz w:val="24"/>
          <w:szCs w:val="24"/>
        </w:rPr>
        <w:t xml:space="preserve">earing </w:t>
      </w:r>
      <w:r w:rsidR="00433D35">
        <w:rPr>
          <w:rFonts w:ascii="Times New Roman" w:hAnsi="Times New Roman" w:cs="Times New Roman"/>
          <w:sz w:val="24"/>
          <w:szCs w:val="24"/>
        </w:rPr>
        <w:t xml:space="preserve">before the administrative law judge on </w:t>
      </w:r>
      <w:r w:rsidR="000B25F6">
        <w:rPr>
          <w:rFonts w:ascii="Times New Roman" w:hAnsi="Times New Roman" w:cs="Times New Roman"/>
          <w:sz w:val="24"/>
          <w:szCs w:val="24"/>
        </w:rPr>
        <w:t>June 22-23, 2016.</w:t>
      </w:r>
      <w:r w:rsidR="00625E70">
        <w:rPr>
          <w:rFonts w:ascii="Times New Roman" w:hAnsi="Times New Roman" w:cs="Times New Roman"/>
          <w:sz w:val="24"/>
          <w:szCs w:val="24"/>
        </w:rPr>
        <w:t xml:space="preserve"> </w:t>
      </w:r>
      <w:r w:rsidR="00C3544E">
        <w:rPr>
          <w:rFonts w:ascii="Times New Roman" w:hAnsi="Times New Roman" w:cs="Times New Roman"/>
          <w:sz w:val="24"/>
          <w:szCs w:val="24"/>
        </w:rPr>
        <w:t xml:space="preserve">The Commission subsequently revised the procedural schedule to have the Commissioners preside at evidentiary hearings </w:t>
      </w:r>
      <w:r w:rsidR="0019504C">
        <w:rPr>
          <w:rFonts w:ascii="Times New Roman" w:hAnsi="Times New Roman" w:cs="Times New Roman"/>
          <w:sz w:val="24"/>
          <w:szCs w:val="24"/>
        </w:rPr>
        <w:t>rescheduled for</w:t>
      </w:r>
      <w:r w:rsidR="00C3544E">
        <w:rPr>
          <w:rFonts w:ascii="Times New Roman" w:hAnsi="Times New Roman" w:cs="Times New Roman"/>
          <w:sz w:val="24"/>
          <w:szCs w:val="24"/>
        </w:rPr>
        <w:t xml:space="preserve"> August 1 and 3, 2016.</w:t>
      </w:r>
    </w:p>
    <w:p w14:paraId="2F2A5968" w14:textId="46CDB833" w:rsidR="006A0453" w:rsidRDefault="000B25F6" w:rsidP="00DA0613">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On </w:t>
      </w:r>
      <w:r w:rsidR="00C3544E">
        <w:rPr>
          <w:rFonts w:ascii="Times New Roman" w:hAnsi="Times New Roman" w:cs="Times New Roman"/>
          <w:sz w:val="24"/>
          <w:szCs w:val="24"/>
        </w:rPr>
        <w:t>July 13</w:t>
      </w:r>
      <w:r>
        <w:rPr>
          <w:rFonts w:ascii="Times New Roman" w:hAnsi="Times New Roman" w:cs="Times New Roman"/>
          <w:sz w:val="24"/>
          <w:szCs w:val="24"/>
        </w:rPr>
        <w:t xml:space="preserve">, 2016, </w:t>
      </w:r>
      <w:r w:rsidR="00C3544E">
        <w:rPr>
          <w:rFonts w:ascii="Times New Roman" w:hAnsi="Times New Roman" w:cs="Times New Roman"/>
          <w:sz w:val="24"/>
          <w:szCs w:val="24"/>
        </w:rPr>
        <w:t>Commission staff (Staff) filed a Motion for Summary Determination (Motion). Staff acknowledges that it did not file the Motion at least 30 days prior to the hearing as required under WAC 480-07-</w:t>
      </w:r>
      <w:r w:rsidR="0019504C">
        <w:rPr>
          <w:rFonts w:ascii="Times New Roman" w:hAnsi="Times New Roman" w:cs="Times New Roman"/>
          <w:sz w:val="24"/>
          <w:szCs w:val="24"/>
        </w:rPr>
        <w:t>380(2)(b)</w:t>
      </w:r>
      <w:r w:rsidR="00C3544E">
        <w:rPr>
          <w:rFonts w:ascii="Times New Roman" w:hAnsi="Times New Roman" w:cs="Times New Roman"/>
          <w:sz w:val="24"/>
          <w:szCs w:val="24"/>
        </w:rPr>
        <w:t>, but requests that the Commission modify the application of that rule to consider the Motion</w:t>
      </w:r>
      <w:r w:rsidR="00447108">
        <w:rPr>
          <w:rFonts w:ascii="Times New Roman" w:hAnsi="Times New Roman" w:cs="Times New Roman"/>
          <w:sz w:val="24"/>
          <w:szCs w:val="24"/>
        </w:rPr>
        <w:t xml:space="preserve">. </w:t>
      </w:r>
      <w:r w:rsidR="0019504C">
        <w:rPr>
          <w:rFonts w:ascii="Times New Roman" w:hAnsi="Times New Roman" w:cs="Times New Roman"/>
          <w:sz w:val="24"/>
          <w:szCs w:val="24"/>
        </w:rPr>
        <w:t xml:space="preserve">Staff contends that the Motion is based on </w:t>
      </w:r>
      <w:r w:rsidR="0055165E">
        <w:rPr>
          <w:rFonts w:ascii="Times New Roman" w:hAnsi="Times New Roman" w:cs="Times New Roman"/>
          <w:sz w:val="24"/>
          <w:szCs w:val="24"/>
        </w:rPr>
        <w:t xml:space="preserve">extensive </w:t>
      </w:r>
      <w:r w:rsidR="0019504C">
        <w:rPr>
          <w:rFonts w:ascii="Times New Roman" w:hAnsi="Times New Roman" w:cs="Times New Roman"/>
          <w:sz w:val="24"/>
          <w:szCs w:val="24"/>
        </w:rPr>
        <w:t xml:space="preserve">new terms PSE included in </w:t>
      </w:r>
      <w:r w:rsidR="0055165E">
        <w:rPr>
          <w:rFonts w:ascii="Times New Roman" w:hAnsi="Times New Roman" w:cs="Times New Roman"/>
          <w:sz w:val="24"/>
          <w:szCs w:val="24"/>
        </w:rPr>
        <w:t>the</w:t>
      </w:r>
      <w:r w:rsidR="0019504C">
        <w:rPr>
          <w:rFonts w:ascii="Times New Roman" w:hAnsi="Times New Roman" w:cs="Times New Roman"/>
          <w:sz w:val="24"/>
          <w:szCs w:val="24"/>
        </w:rPr>
        <w:t xml:space="preserve"> rebuttal testimony </w:t>
      </w:r>
      <w:r w:rsidR="0055165E">
        <w:rPr>
          <w:rFonts w:ascii="Times New Roman" w:hAnsi="Times New Roman" w:cs="Times New Roman"/>
          <w:sz w:val="24"/>
          <w:szCs w:val="24"/>
        </w:rPr>
        <w:t xml:space="preserve">it </w:t>
      </w:r>
      <w:r w:rsidR="0019504C">
        <w:rPr>
          <w:rFonts w:ascii="Times New Roman" w:hAnsi="Times New Roman" w:cs="Times New Roman"/>
          <w:sz w:val="24"/>
          <w:szCs w:val="24"/>
        </w:rPr>
        <w:t>fil</w:t>
      </w:r>
      <w:r w:rsidR="0055165E">
        <w:rPr>
          <w:rFonts w:ascii="Times New Roman" w:hAnsi="Times New Roman" w:cs="Times New Roman"/>
          <w:sz w:val="24"/>
          <w:szCs w:val="24"/>
        </w:rPr>
        <w:t>ed</w:t>
      </w:r>
      <w:r w:rsidR="0019504C">
        <w:rPr>
          <w:rFonts w:ascii="Times New Roman" w:hAnsi="Times New Roman" w:cs="Times New Roman"/>
          <w:sz w:val="24"/>
          <w:szCs w:val="24"/>
        </w:rPr>
        <w:t xml:space="preserve"> on July 1, 2016, which did not allow for sufficient time </w:t>
      </w:r>
      <w:r w:rsidR="0055165E">
        <w:rPr>
          <w:rFonts w:ascii="Times New Roman" w:hAnsi="Times New Roman" w:cs="Times New Roman"/>
          <w:sz w:val="24"/>
          <w:szCs w:val="24"/>
        </w:rPr>
        <w:t>to file</w:t>
      </w:r>
      <w:r w:rsidR="0019504C">
        <w:rPr>
          <w:rFonts w:ascii="Times New Roman" w:hAnsi="Times New Roman" w:cs="Times New Roman"/>
          <w:sz w:val="24"/>
          <w:szCs w:val="24"/>
        </w:rPr>
        <w:t xml:space="preserve"> a dispositive motion</w:t>
      </w:r>
      <w:r w:rsidR="0055165E">
        <w:rPr>
          <w:rFonts w:ascii="Times New Roman" w:hAnsi="Times New Roman" w:cs="Times New Roman"/>
          <w:sz w:val="24"/>
          <w:szCs w:val="24"/>
        </w:rPr>
        <w:t xml:space="preserve"> within the time period</w:t>
      </w:r>
      <w:r w:rsidR="00DF380C">
        <w:rPr>
          <w:rFonts w:ascii="Times New Roman" w:hAnsi="Times New Roman" w:cs="Times New Roman"/>
          <w:sz w:val="24"/>
          <w:szCs w:val="24"/>
        </w:rPr>
        <w:t xml:space="preserve"> the rule requires</w:t>
      </w:r>
      <w:r w:rsidR="0019504C">
        <w:rPr>
          <w:rFonts w:ascii="Times New Roman" w:hAnsi="Times New Roman" w:cs="Times New Roman"/>
          <w:sz w:val="24"/>
          <w:szCs w:val="24"/>
        </w:rPr>
        <w:t xml:space="preserve">. In addition, Staff claims that summary determination </w:t>
      </w:r>
      <w:r w:rsidR="00DF380C">
        <w:rPr>
          <w:rFonts w:ascii="Times New Roman" w:hAnsi="Times New Roman" w:cs="Times New Roman"/>
          <w:sz w:val="24"/>
          <w:szCs w:val="24"/>
        </w:rPr>
        <w:t xml:space="preserve">of this proceeding </w:t>
      </w:r>
      <w:r w:rsidR="0019504C">
        <w:rPr>
          <w:rFonts w:ascii="Times New Roman" w:hAnsi="Times New Roman" w:cs="Times New Roman"/>
          <w:sz w:val="24"/>
          <w:szCs w:val="24"/>
        </w:rPr>
        <w:t>would conserve party and Commission resources that would be needlessly expended if the Commission conducts evidentiary hearings.</w:t>
      </w:r>
    </w:p>
    <w:p w14:paraId="5D206982" w14:textId="77777777" w:rsidR="006A0453" w:rsidRDefault="006A0453">
      <w:pPr>
        <w:rPr>
          <w:rFonts w:eastAsiaTheme="minorHAnsi"/>
        </w:rPr>
      </w:pPr>
      <w:r>
        <w:br w:type="page"/>
      </w:r>
    </w:p>
    <w:p w14:paraId="1DF7CF05" w14:textId="77777777" w:rsidR="00447108" w:rsidRDefault="00447108" w:rsidP="00DA0613">
      <w:pPr>
        <w:pStyle w:val="NoSpacing"/>
        <w:spacing w:after="240"/>
        <w:rPr>
          <w:rFonts w:ascii="Times New Roman" w:hAnsi="Times New Roman" w:cs="Times New Roman"/>
          <w:sz w:val="24"/>
          <w:szCs w:val="24"/>
        </w:rPr>
      </w:pPr>
    </w:p>
    <w:p w14:paraId="24608F28" w14:textId="4F7AB010" w:rsidR="000B25F6" w:rsidRDefault="000F4FAA" w:rsidP="00DA0613">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The </w:t>
      </w:r>
      <w:r w:rsidR="000B25F6">
        <w:rPr>
          <w:rFonts w:ascii="Times New Roman" w:hAnsi="Times New Roman" w:cs="Times New Roman"/>
          <w:sz w:val="24"/>
          <w:szCs w:val="24"/>
        </w:rPr>
        <w:t>Commission</w:t>
      </w:r>
      <w:r w:rsidR="00C3544E">
        <w:rPr>
          <w:rFonts w:ascii="Times New Roman" w:hAnsi="Times New Roman" w:cs="Times New Roman"/>
          <w:sz w:val="24"/>
          <w:szCs w:val="24"/>
        </w:rPr>
        <w:t xml:space="preserve"> finds that requiring responses from the other parties prior to the hearings will better enable the Commission to determine whether to accept and render a decision on the Motion. Accordingly, the Commission finds good cause to s</w:t>
      </w:r>
      <w:r w:rsidR="0055165E">
        <w:rPr>
          <w:rFonts w:ascii="Times New Roman" w:hAnsi="Times New Roman" w:cs="Times New Roman"/>
          <w:sz w:val="24"/>
          <w:szCs w:val="24"/>
        </w:rPr>
        <w:t>horten the time to respond</w:t>
      </w:r>
      <w:r w:rsidR="00DF380C">
        <w:rPr>
          <w:rFonts w:ascii="Times New Roman" w:hAnsi="Times New Roman" w:cs="Times New Roman"/>
          <w:sz w:val="24"/>
          <w:szCs w:val="24"/>
        </w:rPr>
        <w:t xml:space="preserve"> specified in WAC 480-07-380(2</w:t>
      </w:r>
      <w:proofErr w:type="gramStart"/>
      <w:r w:rsidR="00DF380C">
        <w:rPr>
          <w:rFonts w:ascii="Times New Roman" w:hAnsi="Times New Roman" w:cs="Times New Roman"/>
          <w:sz w:val="24"/>
          <w:szCs w:val="24"/>
        </w:rPr>
        <w:t>)(</w:t>
      </w:r>
      <w:proofErr w:type="gramEnd"/>
      <w:r w:rsidR="00DF380C">
        <w:rPr>
          <w:rFonts w:ascii="Times New Roman" w:hAnsi="Times New Roman" w:cs="Times New Roman"/>
          <w:sz w:val="24"/>
          <w:szCs w:val="24"/>
        </w:rPr>
        <w:t>c)</w:t>
      </w:r>
      <w:r>
        <w:rPr>
          <w:rFonts w:ascii="Times New Roman" w:hAnsi="Times New Roman" w:cs="Times New Roman"/>
          <w:sz w:val="24"/>
          <w:szCs w:val="24"/>
        </w:rPr>
        <w:t>.</w:t>
      </w:r>
    </w:p>
    <w:p w14:paraId="5C7C00C5" w14:textId="42927776" w:rsidR="00477051" w:rsidRDefault="00477051" w:rsidP="00DA0613">
      <w:pPr>
        <w:pStyle w:val="NoSpacing"/>
        <w:spacing w:after="960"/>
        <w:rPr>
          <w:rFonts w:ascii="Times New Roman" w:hAnsi="Times New Roman" w:cs="Times New Roman"/>
          <w:b/>
          <w:sz w:val="24"/>
          <w:szCs w:val="24"/>
        </w:rPr>
      </w:pPr>
      <w:r w:rsidRPr="00CA182A">
        <w:rPr>
          <w:rFonts w:ascii="Times New Roman" w:hAnsi="Times New Roman" w:cs="Times New Roman"/>
          <w:b/>
          <w:sz w:val="24"/>
          <w:szCs w:val="24"/>
        </w:rPr>
        <w:t xml:space="preserve">THE COMMISSION GIVES NOTICE </w:t>
      </w:r>
      <w:proofErr w:type="gramStart"/>
      <w:r w:rsidRPr="00CA182A">
        <w:rPr>
          <w:rFonts w:ascii="Times New Roman" w:hAnsi="Times New Roman" w:cs="Times New Roman"/>
          <w:b/>
          <w:sz w:val="24"/>
          <w:szCs w:val="24"/>
        </w:rPr>
        <w:t>That</w:t>
      </w:r>
      <w:proofErr w:type="gramEnd"/>
      <w:r w:rsidR="00CA182A">
        <w:rPr>
          <w:rFonts w:ascii="Times New Roman" w:hAnsi="Times New Roman" w:cs="Times New Roman"/>
          <w:b/>
          <w:sz w:val="24"/>
          <w:szCs w:val="24"/>
        </w:rPr>
        <w:t xml:space="preserve"> </w:t>
      </w:r>
      <w:r w:rsidR="00C3544E">
        <w:rPr>
          <w:rFonts w:ascii="Times New Roman" w:hAnsi="Times New Roman" w:cs="Times New Roman"/>
          <w:b/>
          <w:sz w:val="24"/>
          <w:szCs w:val="24"/>
        </w:rPr>
        <w:t>responses to Staff’s Motion for Summary Determination are due no later than 5:00 p.m. on Friday, July 22, 2016</w:t>
      </w:r>
      <w:r w:rsidR="00F63AA2">
        <w:rPr>
          <w:rFonts w:ascii="Times New Roman" w:hAnsi="Times New Roman" w:cs="Times New Roman"/>
          <w:b/>
          <w:sz w:val="24"/>
          <w:szCs w:val="24"/>
        </w:rPr>
        <w:t xml:space="preserve">. </w:t>
      </w:r>
    </w:p>
    <w:p w14:paraId="287FE410" w14:textId="6015822D" w:rsidR="00F63AA2" w:rsidRDefault="00477051" w:rsidP="00F03873">
      <w:pPr>
        <w:pStyle w:val="NoSpacing"/>
        <w:rPr>
          <w:rFonts w:ascii="Times New Roman" w:hAnsi="Times New Roman" w:cs="Times New Roman"/>
          <w:sz w:val="24"/>
          <w:szCs w:val="24"/>
        </w:rPr>
        <w:sectPr w:rsidR="00F63AA2" w:rsidSect="004D4F6C">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800" w:header="720" w:footer="720" w:gutter="0"/>
          <w:paperSrc w:first="261" w:other="262"/>
          <w:cols w:space="720"/>
          <w:titlePg/>
          <w:docGrid w:linePitch="360"/>
        </w:sectPr>
      </w:pPr>
      <w:r w:rsidRPr="00CA182A">
        <w:rPr>
          <w:rFonts w:ascii="Times New Roman" w:hAnsi="Times New Roman" w:cs="Times New Roman"/>
          <w:sz w:val="24"/>
          <w:szCs w:val="24"/>
        </w:rPr>
        <w:t>GREGORY J. KOPTA</w:t>
      </w:r>
      <w:r w:rsidR="00DA0613">
        <w:rPr>
          <w:rFonts w:ascii="Times New Roman" w:hAnsi="Times New Roman" w:cs="Times New Roman"/>
          <w:sz w:val="24"/>
          <w:szCs w:val="24"/>
        </w:rPr>
        <w:br/>
      </w:r>
      <w:r w:rsidRPr="00CA182A">
        <w:rPr>
          <w:rFonts w:ascii="Times New Roman" w:hAnsi="Times New Roman" w:cs="Times New Roman"/>
          <w:sz w:val="24"/>
          <w:szCs w:val="24"/>
        </w:rPr>
        <w:t xml:space="preserve">Administrative Law </w:t>
      </w:r>
      <w:r w:rsidR="003B1A72" w:rsidRPr="00CA182A">
        <w:rPr>
          <w:rFonts w:ascii="Times New Roman" w:hAnsi="Times New Roman" w:cs="Times New Roman"/>
          <w:sz w:val="24"/>
          <w:szCs w:val="24"/>
        </w:rPr>
        <w:t>Judge</w:t>
      </w:r>
    </w:p>
    <w:p w14:paraId="5367FCCD" w14:textId="77777777" w:rsidR="00F63AA2" w:rsidRPr="00F63AA2" w:rsidRDefault="00F63AA2" w:rsidP="00F63AA2">
      <w:pPr>
        <w:pStyle w:val="Heading3"/>
        <w:jc w:val="center"/>
        <w:rPr>
          <w:rFonts w:ascii="Times New Roman" w:hAnsi="Times New Roman"/>
          <w:color w:val="auto"/>
          <w:sz w:val="25"/>
          <w:szCs w:val="25"/>
        </w:rPr>
      </w:pPr>
      <w:r w:rsidRPr="00F63AA2">
        <w:rPr>
          <w:rFonts w:ascii="Times New Roman" w:hAnsi="Times New Roman"/>
          <w:color w:val="auto"/>
          <w:sz w:val="25"/>
          <w:szCs w:val="25"/>
        </w:rPr>
        <w:lastRenderedPageBreak/>
        <w:t>REVISED PROCEDURAL SCHEDULE</w:t>
      </w:r>
    </w:p>
    <w:p w14:paraId="575A15D8" w14:textId="77777777" w:rsidR="00F63AA2" w:rsidRDefault="00F63AA2" w:rsidP="00F63AA2">
      <w:pPr>
        <w:jc w:val="center"/>
        <w:rPr>
          <w:b/>
          <w:bCs/>
          <w:i/>
          <w:sz w:val="25"/>
          <w:szCs w:val="25"/>
        </w:rPr>
      </w:pPr>
      <w:r w:rsidRPr="009D7606">
        <w:rPr>
          <w:b/>
          <w:bCs/>
          <w:sz w:val="25"/>
          <w:szCs w:val="25"/>
        </w:rPr>
        <w:t xml:space="preserve">DOCKETS UE-151871 &amp; UG-151872 </w:t>
      </w:r>
      <w:r w:rsidRPr="009D7606">
        <w:rPr>
          <w:b/>
          <w:bCs/>
          <w:i/>
          <w:sz w:val="25"/>
          <w:szCs w:val="25"/>
        </w:rPr>
        <w:t>(Consolidated)</w:t>
      </w:r>
    </w:p>
    <w:p w14:paraId="3604E359" w14:textId="77777777" w:rsidR="00F63AA2" w:rsidRPr="009D7606" w:rsidRDefault="00F63AA2" w:rsidP="00F63AA2">
      <w:pPr>
        <w:jc w:val="center"/>
        <w:rPr>
          <w:b/>
          <w:bCs/>
          <w:sz w:val="25"/>
          <w:szCs w:val="25"/>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2970"/>
      </w:tblGrid>
      <w:tr w:rsidR="00F63AA2" w:rsidRPr="00C61316" w14:paraId="2D1055DD" w14:textId="77777777" w:rsidTr="00046FF5">
        <w:trPr>
          <w:cantSplit/>
        </w:trPr>
        <w:tc>
          <w:tcPr>
            <w:tcW w:w="5310" w:type="dxa"/>
            <w:tcBorders>
              <w:top w:val="thinThickSmallGap" w:sz="24" w:space="0" w:color="auto"/>
              <w:left w:val="thinThickSmallGap" w:sz="24" w:space="0" w:color="auto"/>
              <w:bottom w:val="thickThinSmallGap" w:sz="24" w:space="0" w:color="auto"/>
            </w:tcBorders>
            <w:shd w:val="pct12" w:color="auto" w:fill="auto"/>
          </w:tcPr>
          <w:p w14:paraId="7492AC0A" w14:textId="77777777" w:rsidR="00F63AA2" w:rsidRPr="00F63AA2" w:rsidRDefault="00F63AA2" w:rsidP="00046FF5">
            <w:pPr>
              <w:pStyle w:val="Heading2"/>
              <w:rPr>
                <w:rFonts w:ascii="Times New Roman" w:hAnsi="Times New Roman" w:cs="Times New Roman"/>
                <w:b/>
                <w:color w:val="auto"/>
              </w:rPr>
            </w:pPr>
          </w:p>
          <w:p w14:paraId="39DEEC40" w14:textId="77777777" w:rsidR="00F63AA2" w:rsidRPr="00F63AA2" w:rsidRDefault="00F63AA2" w:rsidP="00F63AA2">
            <w:pPr>
              <w:pStyle w:val="Heading2"/>
              <w:jc w:val="center"/>
              <w:rPr>
                <w:rFonts w:ascii="Times New Roman" w:hAnsi="Times New Roman" w:cs="Times New Roman"/>
                <w:b/>
                <w:color w:val="auto"/>
              </w:rPr>
            </w:pPr>
            <w:r w:rsidRPr="00F63AA2">
              <w:rPr>
                <w:rFonts w:ascii="Times New Roman" w:hAnsi="Times New Roman" w:cs="Times New Roman"/>
                <w:b/>
                <w:color w:val="auto"/>
              </w:rPr>
              <w:t>EVENT</w:t>
            </w:r>
          </w:p>
        </w:tc>
        <w:tc>
          <w:tcPr>
            <w:tcW w:w="2970" w:type="dxa"/>
            <w:tcBorders>
              <w:top w:val="thinThickSmallGap" w:sz="24" w:space="0" w:color="auto"/>
              <w:bottom w:val="thickThinSmallGap" w:sz="24" w:space="0" w:color="auto"/>
              <w:right w:val="thinThickThinSmallGap" w:sz="24" w:space="0" w:color="auto"/>
            </w:tcBorders>
            <w:shd w:val="pct12" w:color="auto" w:fill="auto"/>
          </w:tcPr>
          <w:p w14:paraId="381A2D64" w14:textId="77777777" w:rsidR="00F63AA2" w:rsidRPr="00F63AA2" w:rsidRDefault="00F63AA2" w:rsidP="00046FF5">
            <w:pPr>
              <w:pStyle w:val="Heading2"/>
              <w:rPr>
                <w:rFonts w:ascii="Times New Roman" w:hAnsi="Times New Roman" w:cs="Times New Roman"/>
                <w:b/>
                <w:color w:val="auto"/>
              </w:rPr>
            </w:pPr>
          </w:p>
          <w:p w14:paraId="5F4C1C82" w14:textId="77777777" w:rsidR="00F63AA2" w:rsidRPr="00F63AA2" w:rsidRDefault="00F63AA2" w:rsidP="00F63AA2">
            <w:pPr>
              <w:pStyle w:val="Heading2"/>
              <w:jc w:val="center"/>
              <w:rPr>
                <w:rFonts w:ascii="Times New Roman" w:hAnsi="Times New Roman" w:cs="Times New Roman"/>
                <w:b/>
                <w:color w:val="auto"/>
              </w:rPr>
            </w:pPr>
            <w:r w:rsidRPr="00F63AA2">
              <w:rPr>
                <w:rFonts w:ascii="Times New Roman" w:hAnsi="Times New Roman" w:cs="Times New Roman"/>
                <w:b/>
                <w:color w:val="auto"/>
              </w:rPr>
              <w:t>DATE</w:t>
            </w:r>
          </w:p>
          <w:p w14:paraId="05EE9680" w14:textId="77777777" w:rsidR="00F63AA2" w:rsidRPr="00F63AA2" w:rsidRDefault="00F63AA2" w:rsidP="00046FF5">
            <w:pPr>
              <w:rPr>
                <w:b/>
                <w:sz w:val="26"/>
                <w:szCs w:val="26"/>
              </w:rPr>
            </w:pPr>
          </w:p>
        </w:tc>
      </w:tr>
      <w:tr w:rsidR="00F63AA2" w:rsidRPr="00C61316" w14:paraId="184A201D" w14:textId="77777777" w:rsidTr="00046FF5">
        <w:trPr>
          <w:cantSplit/>
          <w:trHeight w:val="738"/>
        </w:trPr>
        <w:tc>
          <w:tcPr>
            <w:tcW w:w="5310" w:type="dxa"/>
            <w:tcBorders>
              <w:top w:val="single" w:sz="4" w:space="0" w:color="auto"/>
              <w:left w:val="thinThickSmallGap" w:sz="24" w:space="0" w:color="auto"/>
            </w:tcBorders>
          </w:tcPr>
          <w:p w14:paraId="66BABCF3" w14:textId="77777777" w:rsidR="00F63AA2" w:rsidRPr="00752E33" w:rsidRDefault="00F63AA2" w:rsidP="00046FF5">
            <w:pPr>
              <w:spacing w:line="288" w:lineRule="auto"/>
              <w:rPr>
                <w:sz w:val="25"/>
                <w:szCs w:val="25"/>
              </w:rPr>
            </w:pPr>
            <w:r w:rsidRPr="00752E33">
              <w:rPr>
                <w:sz w:val="25"/>
                <w:szCs w:val="25"/>
              </w:rPr>
              <w:t>Staff, Public Counsel and Intervenor Response Testimony and Exhibits</w:t>
            </w:r>
          </w:p>
        </w:tc>
        <w:tc>
          <w:tcPr>
            <w:tcW w:w="2970" w:type="dxa"/>
            <w:tcBorders>
              <w:top w:val="single" w:sz="4" w:space="0" w:color="auto"/>
              <w:right w:val="thinThickThinSmallGap" w:sz="24" w:space="0" w:color="auto"/>
            </w:tcBorders>
          </w:tcPr>
          <w:p w14:paraId="24EFA2ED" w14:textId="77777777" w:rsidR="00F63AA2" w:rsidRPr="0019656C" w:rsidRDefault="00F63AA2" w:rsidP="00046FF5">
            <w:pPr>
              <w:spacing w:line="288" w:lineRule="auto"/>
              <w:rPr>
                <w:sz w:val="25"/>
                <w:szCs w:val="25"/>
              </w:rPr>
            </w:pPr>
            <w:r>
              <w:rPr>
                <w:sz w:val="25"/>
                <w:szCs w:val="25"/>
              </w:rPr>
              <w:t>June 7, 2016</w:t>
            </w:r>
            <w:r>
              <w:rPr>
                <w:rStyle w:val="FootnoteReference"/>
                <w:sz w:val="25"/>
                <w:szCs w:val="25"/>
              </w:rPr>
              <w:footnoteReference w:id="1"/>
            </w:r>
          </w:p>
        </w:tc>
      </w:tr>
      <w:tr w:rsidR="00F63AA2" w:rsidRPr="00C61316" w14:paraId="0D5832E3" w14:textId="77777777" w:rsidTr="00046FF5">
        <w:trPr>
          <w:cantSplit/>
          <w:trHeight w:val="738"/>
        </w:trPr>
        <w:tc>
          <w:tcPr>
            <w:tcW w:w="5310" w:type="dxa"/>
            <w:tcBorders>
              <w:top w:val="single" w:sz="4" w:space="0" w:color="auto"/>
              <w:left w:val="thinThickSmallGap" w:sz="24" w:space="0" w:color="auto"/>
            </w:tcBorders>
          </w:tcPr>
          <w:p w14:paraId="6EBEACFC" w14:textId="77777777" w:rsidR="00F63AA2" w:rsidRPr="00752E33" w:rsidRDefault="00F63AA2" w:rsidP="00046FF5">
            <w:pPr>
              <w:spacing w:line="288" w:lineRule="auto"/>
              <w:rPr>
                <w:color w:val="000000"/>
                <w:sz w:val="25"/>
                <w:szCs w:val="25"/>
              </w:rPr>
            </w:pPr>
            <w:r w:rsidRPr="00752E33">
              <w:rPr>
                <w:color w:val="000000"/>
                <w:sz w:val="25"/>
                <w:szCs w:val="25"/>
              </w:rPr>
              <w:t>Company Rebuttal Testimony and Exhibits</w:t>
            </w:r>
            <w:r>
              <w:rPr>
                <w:color w:val="000000"/>
                <w:sz w:val="25"/>
                <w:szCs w:val="25"/>
              </w:rPr>
              <w:t>; Cross-Answering Testimony and Exhibits</w:t>
            </w:r>
          </w:p>
        </w:tc>
        <w:tc>
          <w:tcPr>
            <w:tcW w:w="2970" w:type="dxa"/>
            <w:tcBorders>
              <w:top w:val="single" w:sz="4" w:space="0" w:color="auto"/>
              <w:right w:val="thinThickThinSmallGap" w:sz="24" w:space="0" w:color="auto"/>
            </w:tcBorders>
          </w:tcPr>
          <w:p w14:paraId="23FF1F15" w14:textId="77777777" w:rsidR="00F63AA2" w:rsidRPr="0019656C" w:rsidRDefault="00F63AA2" w:rsidP="00046FF5">
            <w:pPr>
              <w:spacing w:line="288" w:lineRule="auto"/>
              <w:rPr>
                <w:sz w:val="25"/>
                <w:szCs w:val="25"/>
              </w:rPr>
            </w:pPr>
            <w:r>
              <w:rPr>
                <w:sz w:val="25"/>
                <w:szCs w:val="25"/>
              </w:rPr>
              <w:t>July 1, 2016</w:t>
            </w:r>
            <w:r>
              <w:rPr>
                <w:rStyle w:val="FootnoteReference"/>
                <w:sz w:val="25"/>
                <w:szCs w:val="25"/>
              </w:rPr>
              <w:footnoteReference w:id="2"/>
            </w:r>
          </w:p>
        </w:tc>
      </w:tr>
      <w:tr w:rsidR="00F63AA2" w:rsidRPr="00C61316" w14:paraId="47BB1DC5" w14:textId="77777777" w:rsidTr="00046FF5">
        <w:trPr>
          <w:cantSplit/>
          <w:trHeight w:val="738"/>
        </w:trPr>
        <w:tc>
          <w:tcPr>
            <w:tcW w:w="5310" w:type="dxa"/>
            <w:tcBorders>
              <w:top w:val="single" w:sz="4" w:space="0" w:color="auto"/>
              <w:left w:val="thinThickSmallGap" w:sz="24" w:space="0" w:color="auto"/>
              <w:bottom w:val="single" w:sz="4" w:space="0" w:color="auto"/>
            </w:tcBorders>
          </w:tcPr>
          <w:p w14:paraId="0BA4E22B" w14:textId="77777777" w:rsidR="00F63AA2" w:rsidRDefault="00F63AA2" w:rsidP="00046FF5">
            <w:pPr>
              <w:rPr>
                <w:sz w:val="26"/>
                <w:szCs w:val="26"/>
              </w:rPr>
            </w:pPr>
            <w:r>
              <w:rPr>
                <w:sz w:val="26"/>
                <w:szCs w:val="26"/>
              </w:rPr>
              <w:t>Discovery Cut-off</w:t>
            </w:r>
          </w:p>
        </w:tc>
        <w:tc>
          <w:tcPr>
            <w:tcW w:w="2970" w:type="dxa"/>
            <w:tcBorders>
              <w:top w:val="single" w:sz="4" w:space="0" w:color="auto"/>
              <w:bottom w:val="single" w:sz="4" w:space="0" w:color="auto"/>
              <w:right w:val="thinThickThinSmallGap" w:sz="24" w:space="0" w:color="auto"/>
            </w:tcBorders>
          </w:tcPr>
          <w:p w14:paraId="4F854BD6" w14:textId="77777777" w:rsidR="00F63AA2" w:rsidRDefault="00F63AA2" w:rsidP="00046FF5">
            <w:pPr>
              <w:rPr>
                <w:sz w:val="25"/>
                <w:szCs w:val="25"/>
              </w:rPr>
            </w:pPr>
            <w:r>
              <w:rPr>
                <w:sz w:val="25"/>
                <w:szCs w:val="25"/>
              </w:rPr>
              <w:t>July 18, 2016</w:t>
            </w:r>
          </w:p>
        </w:tc>
      </w:tr>
      <w:tr w:rsidR="00F63AA2" w:rsidRPr="00C61316" w14:paraId="25F9E8FD" w14:textId="77777777" w:rsidTr="00046FF5">
        <w:trPr>
          <w:cantSplit/>
          <w:trHeight w:val="738"/>
        </w:trPr>
        <w:tc>
          <w:tcPr>
            <w:tcW w:w="5310" w:type="dxa"/>
            <w:tcBorders>
              <w:top w:val="single" w:sz="4" w:space="0" w:color="auto"/>
              <w:left w:val="thinThickSmallGap" w:sz="24" w:space="0" w:color="auto"/>
              <w:bottom w:val="single" w:sz="4" w:space="0" w:color="auto"/>
            </w:tcBorders>
          </w:tcPr>
          <w:p w14:paraId="7071DDEA" w14:textId="77777777" w:rsidR="00F63AA2" w:rsidRPr="00C61316" w:rsidRDefault="00F63AA2" w:rsidP="00046FF5">
            <w:pPr>
              <w:rPr>
                <w:sz w:val="26"/>
                <w:szCs w:val="26"/>
              </w:rPr>
            </w:pPr>
            <w:r>
              <w:rPr>
                <w:sz w:val="26"/>
                <w:szCs w:val="26"/>
              </w:rPr>
              <w:t>Cross-Examination Exhibits, Witness Lists, and Time Estimates</w:t>
            </w:r>
          </w:p>
        </w:tc>
        <w:tc>
          <w:tcPr>
            <w:tcW w:w="2970" w:type="dxa"/>
            <w:tcBorders>
              <w:top w:val="single" w:sz="4" w:space="0" w:color="auto"/>
              <w:bottom w:val="single" w:sz="4" w:space="0" w:color="auto"/>
              <w:right w:val="thinThickThinSmallGap" w:sz="24" w:space="0" w:color="auto"/>
            </w:tcBorders>
          </w:tcPr>
          <w:p w14:paraId="5B5B418F" w14:textId="77777777" w:rsidR="00F63AA2" w:rsidRPr="0019656C" w:rsidRDefault="00F63AA2" w:rsidP="00046FF5">
            <w:pPr>
              <w:spacing w:line="288" w:lineRule="auto"/>
              <w:rPr>
                <w:sz w:val="25"/>
                <w:szCs w:val="25"/>
              </w:rPr>
            </w:pPr>
            <w:r>
              <w:rPr>
                <w:sz w:val="25"/>
                <w:szCs w:val="25"/>
              </w:rPr>
              <w:t>July 26, 2016</w:t>
            </w:r>
          </w:p>
          <w:p w14:paraId="56EEE5FC" w14:textId="77777777" w:rsidR="00F63AA2" w:rsidRPr="0019656C" w:rsidRDefault="00F63AA2" w:rsidP="00046FF5">
            <w:pPr>
              <w:rPr>
                <w:sz w:val="26"/>
                <w:szCs w:val="26"/>
              </w:rPr>
            </w:pPr>
          </w:p>
        </w:tc>
      </w:tr>
      <w:tr w:rsidR="00F63AA2" w:rsidRPr="00C61316" w14:paraId="0FB7D385" w14:textId="77777777" w:rsidTr="00046FF5">
        <w:trPr>
          <w:cantSplit/>
          <w:trHeight w:val="738"/>
        </w:trPr>
        <w:tc>
          <w:tcPr>
            <w:tcW w:w="5310" w:type="dxa"/>
            <w:tcBorders>
              <w:top w:val="single" w:sz="4" w:space="0" w:color="auto"/>
              <w:left w:val="thinThickSmallGap" w:sz="24" w:space="0" w:color="auto"/>
              <w:bottom w:val="single" w:sz="4" w:space="0" w:color="auto"/>
            </w:tcBorders>
          </w:tcPr>
          <w:p w14:paraId="7F6BEFB9" w14:textId="42635D46" w:rsidR="00F63AA2" w:rsidRPr="00C61316" w:rsidRDefault="00F63AA2" w:rsidP="00046FF5">
            <w:pPr>
              <w:rPr>
                <w:sz w:val="26"/>
                <w:szCs w:val="26"/>
              </w:rPr>
            </w:pPr>
            <w:r>
              <w:rPr>
                <w:sz w:val="26"/>
                <w:szCs w:val="26"/>
              </w:rPr>
              <w:t>Evidentiary Hearing</w:t>
            </w:r>
            <w:r w:rsidR="003D258A">
              <w:rPr>
                <w:sz w:val="26"/>
                <w:szCs w:val="26"/>
              </w:rPr>
              <w:t>s</w:t>
            </w:r>
          </w:p>
        </w:tc>
        <w:tc>
          <w:tcPr>
            <w:tcW w:w="2970" w:type="dxa"/>
            <w:tcBorders>
              <w:top w:val="single" w:sz="4" w:space="0" w:color="auto"/>
              <w:bottom w:val="single" w:sz="4" w:space="0" w:color="auto"/>
              <w:right w:val="thinThickThinSmallGap" w:sz="24" w:space="0" w:color="auto"/>
            </w:tcBorders>
          </w:tcPr>
          <w:p w14:paraId="4A1FD21B" w14:textId="77777777" w:rsidR="00F63AA2" w:rsidRDefault="00F63AA2" w:rsidP="003D258A">
            <w:pPr>
              <w:rPr>
                <w:sz w:val="25"/>
                <w:szCs w:val="25"/>
              </w:rPr>
            </w:pPr>
            <w:r>
              <w:rPr>
                <w:sz w:val="25"/>
                <w:szCs w:val="25"/>
              </w:rPr>
              <w:t>August 1, 2016</w:t>
            </w:r>
            <w:r w:rsidR="003D258A">
              <w:rPr>
                <w:sz w:val="25"/>
                <w:szCs w:val="25"/>
              </w:rPr>
              <w:t>, and August 3, 2016, if necessary</w:t>
            </w:r>
          </w:p>
          <w:p w14:paraId="6AD886CA" w14:textId="78FE2D61" w:rsidR="003D258A" w:rsidRPr="0019656C" w:rsidRDefault="003D258A" w:rsidP="003D258A"/>
        </w:tc>
      </w:tr>
      <w:tr w:rsidR="00F63AA2" w:rsidRPr="00C61316" w14:paraId="126480A4" w14:textId="77777777" w:rsidTr="00046FF5">
        <w:trPr>
          <w:cantSplit/>
          <w:trHeight w:val="738"/>
        </w:trPr>
        <w:tc>
          <w:tcPr>
            <w:tcW w:w="5310" w:type="dxa"/>
            <w:tcBorders>
              <w:top w:val="single" w:sz="4" w:space="0" w:color="auto"/>
              <w:left w:val="thinThickSmallGap" w:sz="24" w:space="0" w:color="auto"/>
              <w:bottom w:val="single" w:sz="4" w:space="0" w:color="auto"/>
            </w:tcBorders>
          </w:tcPr>
          <w:p w14:paraId="1A3A4A98" w14:textId="77777777" w:rsidR="00F63AA2" w:rsidRDefault="00F63AA2" w:rsidP="00046FF5">
            <w:pPr>
              <w:rPr>
                <w:sz w:val="26"/>
                <w:szCs w:val="26"/>
              </w:rPr>
            </w:pPr>
            <w:r>
              <w:rPr>
                <w:sz w:val="26"/>
                <w:szCs w:val="26"/>
              </w:rPr>
              <w:t>Initial Briefs</w:t>
            </w:r>
          </w:p>
        </w:tc>
        <w:tc>
          <w:tcPr>
            <w:tcW w:w="2970" w:type="dxa"/>
            <w:tcBorders>
              <w:top w:val="single" w:sz="4" w:space="0" w:color="auto"/>
              <w:bottom w:val="single" w:sz="4" w:space="0" w:color="auto"/>
              <w:right w:val="thinThickThinSmallGap" w:sz="24" w:space="0" w:color="auto"/>
            </w:tcBorders>
          </w:tcPr>
          <w:p w14:paraId="494C6250" w14:textId="77777777" w:rsidR="00F63AA2" w:rsidRDefault="00F63AA2" w:rsidP="00046FF5">
            <w:pPr>
              <w:rPr>
                <w:sz w:val="25"/>
                <w:szCs w:val="25"/>
              </w:rPr>
            </w:pPr>
            <w:r>
              <w:rPr>
                <w:sz w:val="25"/>
                <w:szCs w:val="25"/>
              </w:rPr>
              <w:t>August 26, 2016</w:t>
            </w:r>
          </w:p>
        </w:tc>
      </w:tr>
      <w:tr w:rsidR="00F63AA2" w:rsidRPr="00C61316" w14:paraId="4156B2B1" w14:textId="77777777" w:rsidTr="00046FF5">
        <w:trPr>
          <w:cantSplit/>
          <w:trHeight w:val="738"/>
        </w:trPr>
        <w:tc>
          <w:tcPr>
            <w:tcW w:w="5310" w:type="dxa"/>
            <w:tcBorders>
              <w:top w:val="single" w:sz="4" w:space="0" w:color="auto"/>
              <w:left w:val="thinThickSmallGap" w:sz="24" w:space="0" w:color="auto"/>
              <w:bottom w:val="single" w:sz="4" w:space="0" w:color="auto"/>
            </w:tcBorders>
          </w:tcPr>
          <w:p w14:paraId="34A7C46F" w14:textId="77777777" w:rsidR="00F63AA2" w:rsidRDefault="00F63AA2" w:rsidP="00046FF5">
            <w:pPr>
              <w:rPr>
                <w:sz w:val="26"/>
                <w:szCs w:val="26"/>
              </w:rPr>
            </w:pPr>
            <w:r>
              <w:rPr>
                <w:sz w:val="26"/>
                <w:szCs w:val="26"/>
              </w:rPr>
              <w:t>Reply Briefs</w:t>
            </w:r>
          </w:p>
        </w:tc>
        <w:tc>
          <w:tcPr>
            <w:tcW w:w="2970" w:type="dxa"/>
            <w:tcBorders>
              <w:top w:val="single" w:sz="4" w:space="0" w:color="auto"/>
              <w:bottom w:val="single" w:sz="4" w:space="0" w:color="auto"/>
              <w:right w:val="thinThickThinSmallGap" w:sz="24" w:space="0" w:color="auto"/>
            </w:tcBorders>
          </w:tcPr>
          <w:p w14:paraId="23279A49" w14:textId="77777777" w:rsidR="00F63AA2" w:rsidRDefault="00F63AA2" w:rsidP="00046FF5">
            <w:pPr>
              <w:rPr>
                <w:sz w:val="25"/>
                <w:szCs w:val="25"/>
              </w:rPr>
            </w:pPr>
            <w:r>
              <w:rPr>
                <w:sz w:val="25"/>
                <w:szCs w:val="25"/>
              </w:rPr>
              <w:t>September 9, 2016</w:t>
            </w:r>
          </w:p>
        </w:tc>
      </w:tr>
      <w:tr w:rsidR="00F63AA2" w:rsidRPr="00C61316" w14:paraId="46665F3D" w14:textId="77777777" w:rsidTr="00046FF5">
        <w:trPr>
          <w:cantSplit/>
          <w:trHeight w:val="738"/>
        </w:trPr>
        <w:tc>
          <w:tcPr>
            <w:tcW w:w="5310" w:type="dxa"/>
            <w:tcBorders>
              <w:top w:val="single" w:sz="4" w:space="0" w:color="auto"/>
              <w:left w:val="thinThickSmallGap" w:sz="24" w:space="0" w:color="auto"/>
              <w:bottom w:val="thickThinSmallGap" w:sz="24" w:space="0" w:color="auto"/>
            </w:tcBorders>
          </w:tcPr>
          <w:p w14:paraId="361217C7" w14:textId="77777777" w:rsidR="00F63AA2" w:rsidRDefault="00F63AA2" w:rsidP="00046FF5">
            <w:pPr>
              <w:rPr>
                <w:sz w:val="26"/>
                <w:szCs w:val="26"/>
              </w:rPr>
            </w:pPr>
            <w:r>
              <w:rPr>
                <w:sz w:val="26"/>
                <w:szCs w:val="26"/>
              </w:rPr>
              <w:t>Suspension Date</w:t>
            </w:r>
          </w:p>
        </w:tc>
        <w:tc>
          <w:tcPr>
            <w:tcW w:w="2970" w:type="dxa"/>
            <w:tcBorders>
              <w:top w:val="single" w:sz="4" w:space="0" w:color="auto"/>
              <w:bottom w:val="thickThinSmallGap" w:sz="24" w:space="0" w:color="auto"/>
              <w:right w:val="thinThickThinSmallGap" w:sz="24" w:space="0" w:color="auto"/>
            </w:tcBorders>
          </w:tcPr>
          <w:p w14:paraId="6F270136" w14:textId="77777777" w:rsidR="00F63AA2" w:rsidRDefault="00F63AA2" w:rsidP="00046FF5">
            <w:pPr>
              <w:rPr>
                <w:sz w:val="25"/>
                <w:szCs w:val="25"/>
              </w:rPr>
            </w:pPr>
            <w:r>
              <w:rPr>
                <w:sz w:val="25"/>
                <w:szCs w:val="25"/>
              </w:rPr>
              <w:t>November 16, 2016</w:t>
            </w:r>
          </w:p>
        </w:tc>
      </w:tr>
    </w:tbl>
    <w:p w14:paraId="60609348" w14:textId="77777777" w:rsidR="00F63AA2" w:rsidRPr="00C61316" w:rsidRDefault="00F63AA2" w:rsidP="00F63AA2">
      <w:pPr>
        <w:pStyle w:val="Header"/>
        <w:spacing w:line="288" w:lineRule="auto"/>
        <w:rPr>
          <w:sz w:val="26"/>
          <w:szCs w:val="26"/>
        </w:rPr>
      </w:pPr>
    </w:p>
    <w:p w14:paraId="015EDFCC" w14:textId="02DB0C9F" w:rsidR="00477051" w:rsidRPr="00CA182A" w:rsidRDefault="00477051" w:rsidP="00F03873">
      <w:pPr>
        <w:pStyle w:val="NoSpacing"/>
        <w:rPr>
          <w:rFonts w:ascii="Times New Roman" w:hAnsi="Times New Roman" w:cs="Times New Roman"/>
          <w:sz w:val="24"/>
          <w:szCs w:val="24"/>
        </w:rPr>
      </w:pPr>
    </w:p>
    <w:sectPr w:rsidR="00477051" w:rsidRPr="00CA182A" w:rsidSect="004D4F6C">
      <w:headerReference w:type="first" r:id="rId14"/>
      <w:pgSz w:w="12240" w:h="15840" w:code="1"/>
      <w:pgMar w:top="720" w:right="1440" w:bottom="1440" w:left="180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4B7E4" w14:textId="77777777" w:rsidR="005C2221" w:rsidRDefault="005C2221" w:rsidP="00165419">
      <w:r>
        <w:separator/>
      </w:r>
    </w:p>
  </w:endnote>
  <w:endnote w:type="continuationSeparator" w:id="0">
    <w:p w14:paraId="4143A76B" w14:textId="77777777" w:rsidR="005C2221" w:rsidRDefault="005C2221" w:rsidP="001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397C4" w14:textId="77777777" w:rsidR="008F5467" w:rsidRDefault="008F54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9C823" w14:textId="77777777" w:rsidR="008F5467" w:rsidRDefault="008F54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4866F" w14:textId="77777777" w:rsidR="008F5467" w:rsidRDefault="008F5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46762" w14:textId="77777777" w:rsidR="005C2221" w:rsidRDefault="005C2221" w:rsidP="00165419">
      <w:r>
        <w:separator/>
      </w:r>
    </w:p>
  </w:footnote>
  <w:footnote w:type="continuationSeparator" w:id="0">
    <w:p w14:paraId="605B18F8" w14:textId="77777777" w:rsidR="005C2221" w:rsidRDefault="005C2221" w:rsidP="00165419">
      <w:r>
        <w:continuationSeparator/>
      </w:r>
    </w:p>
  </w:footnote>
  <w:footnote w:id="1">
    <w:p w14:paraId="73FF0F1D" w14:textId="77777777" w:rsidR="00F63AA2" w:rsidRPr="0019656C" w:rsidRDefault="00F63AA2" w:rsidP="00F63AA2">
      <w:pPr>
        <w:pStyle w:val="FootnoteText"/>
        <w:spacing w:after="120"/>
        <w:rPr>
          <w:sz w:val="22"/>
          <w:szCs w:val="22"/>
        </w:rPr>
      </w:pPr>
      <w:r w:rsidRPr="0019656C">
        <w:rPr>
          <w:rStyle w:val="FootnoteReference"/>
          <w:sz w:val="22"/>
          <w:szCs w:val="22"/>
        </w:rPr>
        <w:footnoteRef/>
      </w:r>
      <w:r w:rsidRPr="0019656C">
        <w:rPr>
          <w:sz w:val="22"/>
          <w:szCs w:val="22"/>
        </w:rPr>
        <w:t xml:space="preserve"> </w:t>
      </w:r>
      <w:r>
        <w:rPr>
          <w:sz w:val="22"/>
          <w:szCs w:val="22"/>
        </w:rPr>
        <w:t xml:space="preserve">Response time to data requests will be 7 </w:t>
      </w:r>
      <w:r w:rsidRPr="0019656C">
        <w:rPr>
          <w:sz w:val="22"/>
          <w:szCs w:val="22"/>
        </w:rPr>
        <w:t>business day</w:t>
      </w:r>
      <w:r>
        <w:rPr>
          <w:sz w:val="22"/>
          <w:szCs w:val="22"/>
        </w:rPr>
        <w:t>s after this date</w:t>
      </w:r>
      <w:r w:rsidRPr="0019656C">
        <w:rPr>
          <w:sz w:val="22"/>
          <w:szCs w:val="22"/>
        </w:rPr>
        <w:t>.</w:t>
      </w:r>
    </w:p>
  </w:footnote>
  <w:footnote w:id="2">
    <w:p w14:paraId="1AF3C333" w14:textId="77777777" w:rsidR="00F63AA2" w:rsidRDefault="00F63AA2" w:rsidP="00F63AA2">
      <w:pPr>
        <w:pStyle w:val="FootnoteText"/>
        <w:spacing w:after="120"/>
      </w:pPr>
      <w:r w:rsidRPr="0019656C">
        <w:rPr>
          <w:rStyle w:val="FootnoteReference"/>
          <w:sz w:val="22"/>
          <w:szCs w:val="22"/>
        </w:rPr>
        <w:footnoteRef/>
      </w:r>
      <w:r w:rsidRPr="0019656C">
        <w:rPr>
          <w:sz w:val="22"/>
          <w:szCs w:val="22"/>
        </w:rPr>
        <w:t xml:space="preserve"> </w:t>
      </w:r>
      <w:r>
        <w:rPr>
          <w:sz w:val="22"/>
          <w:szCs w:val="22"/>
        </w:rPr>
        <w:t>Response time to data requests will be 5</w:t>
      </w:r>
      <w:r w:rsidRPr="0019656C">
        <w:rPr>
          <w:sz w:val="22"/>
          <w:szCs w:val="22"/>
        </w:rPr>
        <w:t xml:space="preserve"> business day</w:t>
      </w:r>
      <w:r>
        <w:rPr>
          <w:sz w:val="22"/>
          <w:szCs w:val="22"/>
        </w:rPr>
        <w:t>s after this date</w:t>
      </w:r>
      <w:r w:rsidRPr="0019656C">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D6D19" w14:textId="77777777" w:rsidR="008F5467" w:rsidRDefault="008F54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F2C42" w14:textId="3237A6F7" w:rsidR="00186D9D" w:rsidRPr="00165419" w:rsidRDefault="00186D9D" w:rsidP="00165419">
    <w:pPr>
      <w:pStyle w:val="Header"/>
      <w:tabs>
        <w:tab w:val="clear" w:pos="9360"/>
        <w:tab w:val="right" w:pos="8820"/>
      </w:tabs>
      <w:rPr>
        <w:b/>
        <w:noProof/>
        <w:sz w:val="20"/>
        <w:szCs w:val="20"/>
      </w:rPr>
    </w:pPr>
    <w:r w:rsidRPr="00165419">
      <w:rPr>
        <w:b/>
        <w:sz w:val="20"/>
        <w:szCs w:val="20"/>
      </w:rPr>
      <w:t>DOCKET</w:t>
    </w:r>
    <w:r w:rsidR="001749CD">
      <w:rPr>
        <w:b/>
        <w:sz w:val="20"/>
        <w:szCs w:val="20"/>
      </w:rPr>
      <w:t>S</w:t>
    </w:r>
    <w:r w:rsidRPr="00165419">
      <w:rPr>
        <w:b/>
        <w:sz w:val="20"/>
        <w:szCs w:val="20"/>
      </w:rPr>
      <w:t xml:space="preserve"> </w:t>
    </w:r>
    <w:r w:rsidR="00357ED9">
      <w:rPr>
        <w:b/>
        <w:sz w:val="20"/>
        <w:szCs w:val="20"/>
      </w:rPr>
      <w:t>UE-151871 &amp; UG-151872 (</w:t>
    </w:r>
    <w:r w:rsidR="00357ED9" w:rsidRPr="00357ED9">
      <w:rPr>
        <w:b/>
        <w:i/>
        <w:sz w:val="20"/>
        <w:szCs w:val="20"/>
      </w:rPr>
      <w:t>consolidated</w:t>
    </w:r>
    <w:r w:rsidR="00357ED9">
      <w:rPr>
        <w:b/>
        <w:sz w:val="20"/>
        <w:szCs w:val="20"/>
      </w:rPr>
      <w:t>)</w:t>
    </w:r>
    <w:r w:rsidRPr="00165419">
      <w:rPr>
        <w:b/>
        <w:sz w:val="20"/>
        <w:szCs w:val="20"/>
      </w:rPr>
      <w:tab/>
    </w:r>
    <w:r w:rsidRPr="00165419">
      <w:rPr>
        <w:b/>
        <w:sz w:val="20"/>
        <w:szCs w:val="20"/>
      </w:rPr>
      <w:tab/>
      <w:t xml:space="preserve">PAGE </w:t>
    </w:r>
    <w:r w:rsidRPr="00165419">
      <w:rPr>
        <w:b/>
        <w:sz w:val="20"/>
        <w:szCs w:val="20"/>
      </w:rPr>
      <w:fldChar w:fldCharType="begin"/>
    </w:r>
    <w:r w:rsidRPr="00165419">
      <w:rPr>
        <w:b/>
        <w:sz w:val="20"/>
        <w:szCs w:val="20"/>
      </w:rPr>
      <w:instrText xml:space="preserve"> PAGE   \* MERGEFORMAT </w:instrText>
    </w:r>
    <w:r w:rsidRPr="00165419">
      <w:rPr>
        <w:b/>
        <w:sz w:val="20"/>
        <w:szCs w:val="20"/>
      </w:rPr>
      <w:fldChar w:fldCharType="separate"/>
    </w:r>
    <w:r w:rsidR="00666C54">
      <w:rPr>
        <w:b/>
        <w:noProof/>
        <w:sz w:val="20"/>
        <w:szCs w:val="20"/>
      </w:rPr>
      <w:t>2</w:t>
    </w:r>
    <w:r w:rsidRPr="00165419">
      <w:rPr>
        <w:b/>
        <w:noProof/>
        <w:sz w:val="20"/>
        <w:szCs w:val="20"/>
      </w:rPr>
      <w:fldChar w:fldCharType="end"/>
    </w:r>
  </w:p>
  <w:p w14:paraId="70E1CF9E" w14:textId="77777777" w:rsidR="00186D9D" w:rsidRPr="00165419" w:rsidRDefault="00186D9D" w:rsidP="00165419">
    <w:pPr>
      <w:pStyle w:val="Header"/>
      <w:tabs>
        <w:tab w:val="clear" w:pos="9360"/>
        <w:tab w:val="right" w:pos="8820"/>
      </w:tabs>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176F" w14:textId="664444A4" w:rsidR="006A0453" w:rsidRPr="006A0453" w:rsidRDefault="00186D9D" w:rsidP="008B37AC">
    <w:pPr>
      <w:pStyle w:val="Header"/>
      <w:tabs>
        <w:tab w:val="clear" w:pos="4680"/>
      </w:tabs>
    </w:pPr>
    <w:r>
      <w:tab/>
    </w:r>
    <w:r w:rsidR="008F5467">
      <w:t>Service Date: July 14, 2016</w:t>
    </w: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C2FE8" w14:textId="46F6C367" w:rsidR="00F63AA2" w:rsidRPr="000025C2" w:rsidRDefault="00F63AA2" w:rsidP="008B37AC">
    <w:pPr>
      <w:pStyle w:val="Header"/>
      <w:tabs>
        <w:tab w:val="clear" w:pos="4680"/>
      </w:tabs>
      <w:rPr>
        <w:b/>
        <w:sz w:val="20"/>
        <w:szCs w:val="20"/>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73"/>
    <w:rsid w:val="000025C2"/>
    <w:rsid w:val="000A60CF"/>
    <w:rsid w:val="000B25F6"/>
    <w:rsid w:val="000E640C"/>
    <w:rsid w:val="000F4FAA"/>
    <w:rsid w:val="00160261"/>
    <w:rsid w:val="00165419"/>
    <w:rsid w:val="001749CD"/>
    <w:rsid w:val="00186D9D"/>
    <w:rsid w:val="0019504C"/>
    <w:rsid w:val="001C245B"/>
    <w:rsid w:val="001C5AB1"/>
    <w:rsid w:val="001D01CD"/>
    <w:rsid w:val="001E1D7A"/>
    <w:rsid w:val="001E2B4E"/>
    <w:rsid w:val="00213110"/>
    <w:rsid w:val="00283A1B"/>
    <w:rsid w:val="002C039A"/>
    <w:rsid w:val="00357ED9"/>
    <w:rsid w:val="00396A08"/>
    <w:rsid w:val="003B1A72"/>
    <w:rsid w:val="003D258A"/>
    <w:rsid w:val="00433D35"/>
    <w:rsid w:val="00447108"/>
    <w:rsid w:val="00464357"/>
    <w:rsid w:val="00477051"/>
    <w:rsid w:val="004D4F6C"/>
    <w:rsid w:val="00531A20"/>
    <w:rsid w:val="0055165E"/>
    <w:rsid w:val="00552600"/>
    <w:rsid w:val="005A6C74"/>
    <w:rsid w:val="005C2221"/>
    <w:rsid w:val="005D0F63"/>
    <w:rsid w:val="0062570D"/>
    <w:rsid w:val="00625E70"/>
    <w:rsid w:val="0066676A"/>
    <w:rsid w:val="00666C54"/>
    <w:rsid w:val="00672F7B"/>
    <w:rsid w:val="006A0453"/>
    <w:rsid w:val="006A41EE"/>
    <w:rsid w:val="006C5D65"/>
    <w:rsid w:val="007C647F"/>
    <w:rsid w:val="007F47FE"/>
    <w:rsid w:val="0083493F"/>
    <w:rsid w:val="008B37AC"/>
    <w:rsid w:val="008D3674"/>
    <w:rsid w:val="008F5467"/>
    <w:rsid w:val="00930E44"/>
    <w:rsid w:val="00935F1D"/>
    <w:rsid w:val="009754B3"/>
    <w:rsid w:val="00990AB0"/>
    <w:rsid w:val="00A5155A"/>
    <w:rsid w:val="00A54C3D"/>
    <w:rsid w:val="00A84C2A"/>
    <w:rsid w:val="00AD3312"/>
    <w:rsid w:val="00AE273E"/>
    <w:rsid w:val="00B13041"/>
    <w:rsid w:val="00C01F6B"/>
    <w:rsid w:val="00C16F4A"/>
    <w:rsid w:val="00C2423B"/>
    <w:rsid w:val="00C3544E"/>
    <w:rsid w:val="00C46D0B"/>
    <w:rsid w:val="00C60660"/>
    <w:rsid w:val="00CA182A"/>
    <w:rsid w:val="00CB2269"/>
    <w:rsid w:val="00CE67B6"/>
    <w:rsid w:val="00CE6967"/>
    <w:rsid w:val="00D15850"/>
    <w:rsid w:val="00D16860"/>
    <w:rsid w:val="00D63F16"/>
    <w:rsid w:val="00DA0613"/>
    <w:rsid w:val="00DA1B86"/>
    <w:rsid w:val="00DD2A47"/>
    <w:rsid w:val="00DE5B47"/>
    <w:rsid w:val="00DF380C"/>
    <w:rsid w:val="00E0244F"/>
    <w:rsid w:val="00E07DEF"/>
    <w:rsid w:val="00E23E44"/>
    <w:rsid w:val="00E339AA"/>
    <w:rsid w:val="00F03873"/>
    <w:rsid w:val="00F21B68"/>
    <w:rsid w:val="00F63AA2"/>
    <w:rsid w:val="00FC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4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72"/>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3A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63AA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03873"/>
  </w:style>
  <w:style w:type="paragraph" w:styleId="Header">
    <w:name w:val="header"/>
    <w:basedOn w:val="Normal"/>
    <w:link w:val="HeaderChar"/>
    <w:uiPriority w:val="99"/>
    <w:unhideWhenUsed/>
    <w:rsid w:val="00165419"/>
    <w:pPr>
      <w:tabs>
        <w:tab w:val="center" w:pos="4680"/>
        <w:tab w:val="right" w:pos="9360"/>
      </w:tabs>
    </w:pPr>
  </w:style>
  <w:style w:type="character" w:customStyle="1" w:styleId="HeaderChar">
    <w:name w:val="Header Char"/>
    <w:basedOn w:val="DefaultParagraphFont"/>
    <w:link w:val="Header"/>
    <w:uiPriority w:val="99"/>
    <w:rsid w:val="00165419"/>
  </w:style>
  <w:style w:type="paragraph" w:styleId="Footer">
    <w:name w:val="footer"/>
    <w:basedOn w:val="Normal"/>
    <w:link w:val="FooterChar"/>
    <w:uiPriority w:val="99"/>
    <w:unhideWhenUsed/>
    <w:rsid w:val="00165419"/>
    <w:pPr>
      <w:tabs>
        <w:tab w:val="center" w:pos="4680"/>
        <w:tab w:val="right" w:pos="9360"/>
      </w:tabs>
    </w:pPr>
  </w:style>
  <w:style w:type="character" w:customStyle="1" w:styleId="FooterChar">
    <w:name w:val="Footer Char"/>
    <w:basedOn w:val="DefaultParagraphFont"/>
    <w:link w:val="Footer"/>
    <w:uiPriority w:val="99"/>
    <w:rsid w:val="00165419"/>
  </w:style>
  <w:style w:type="paragraph" w:styleId="BalloonText">
    <w:name w:val="Balloon Text"/>
    <w:basedOn w:val="Normal"/>
    <w:link w:val="BalloonTextChar"/>
    <w:uiPriority w:val="99"/>
    <w:semiHidden/>
    <w:unhideWhenUsed/>
    <w:rsid w:val="009754B3"/>
    <w:rPr>
      <w:rFonts w:ascii="Tahoma" w:hAnsi="Tahoma" w:cs="Tahoma"/>
      <w:sz w:val="16"/>
      <w:szCs w:val="16"/>
    </w:rPr>
  </w:style>
  <w:style w:type="character" w:customStyle="1" w:styleId="BalloonTextChar">
    <w:name w:val="Balloon Text Char"/>
    <w:basedOn w:val="DefaultParagraphFont"/>
    <w:link w:val="BalloonText"/>
    <w:uiPriority w:val="99"/>
    <w:semiHidden/>
    <w:rsid w:val="009754B3"/>
    <w:rPr>
      <w:rFonts w:ascii="Tahoma" w:hAnsi="Tahoma" w:cs="Tahoma"/>
      <w:sz w:val="16"/>
      <w:szCs w:val="16"/>
    </w:rPr>
  </w:style>
  <w:style w:type="character" w:customStyle="1" w:styleId="Heading2Char">
    <w:name w:val="Heading 2 Char"/>
    <w:basedOn w:val="DefaultParagraphFont"/>
    <w:link w:val="Heading2"/>
    <w:uiPriority w:val="9"/>
    <w:semiHidden/>
    <w:rsid w:val="00F63AA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63AA2"/>
    <w:rPr>
      <w:rFonts w:asciiTheme="majorHAnsi" w:eastAsiaTheme="majorEastAsia" w:hAnsiTheme="majorHAnsi" w:cstheme="majorBidi"/>
      <w:color w:val="243F60" w:themeColor="accent1" w:themeShade="7F"/>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qFormat/>
    <w:rsid w:val="00F63AA2"/>
    <w:rPr>
      <w:sz w:val="20"/>
      <w:szCs w:val="20"/>
    </w:rPr>
  </w:style>
  <w:style w:type="character" w:customStyle="1" w:styleId="FootnoteTextChar">
    <w:name w:val="Footnote Text Char"/>
    <w:basedOn w:val="DefaultParagraphFont"/>
    <w:uiPriority w:val="99"/>
    <w:semiHidden/>
    <w:rsid w:val="00F63AA2"/>
    <w:rPr>
      <w:rFonts w:ascii="Times New Roman" w:eastAsia="Times New Roman" w:hAnsi="Times New Roman" w:cs="Times New Roman"/>
      <w:sz w:val="20"/>
      <w:szCs w:val="20"/>
    </w:rPr>
  </w:style>
  <w:style w:type="character" w:styleId="FootnoteReference">
    <w:name w:val="footnote reference"/>
    <w:qFormat/>
    <w:rsid w:val="00F63AA2"/>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r Char"/>
    <w:link w:val="FootnoteText"/>
    <w:locked/>
    <w:rsid w:val="00F63A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2015-09-18T07:00:00+00:00</OpenedDate>
    <Date1 xmlns="dc463f71-b30c-4ab2-9473-d307f9d35888">2016-07-14T22:11:14+00:00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46C249-A865-4886-A5D0-0A005DCF1340}"/>
</file>

<file path=customXml/itemProps2.xml><?xml version="1.0" encoding="utf-8"?>
<ds:datastoreItem xmlns:ds="http://schemas.openxmlformats.org/officeDocument/2006/customXml" ds:itemID="{1B3D6EF0-5A78-4B47-84AE-DF01CEDDF8CD}"/>
</file>

<file path=customXml/itemProps3.xml><?xml version="1.0" encoding="utf-8"?>
<ds:datastoreItem xmlns:ds="http://schemas.openxmlformats.org/officeDocument/2006/customXml" ds:itemID="{C81E34F2-4F0A-4F6E-913A-DF8C8C6AD6F8}"/>
</file>

<file path=customXml/itemProps4.xml><?xml version="1.0" encoding="utf-8"?>
<ds:datastoreItem xmlns:ds="http://schemas.openxmlformats.org/officeDocument/2006/customXml" ds:itemID="{1BC464F3-BC11-4495-8CF8-CF90E54DAA05}"/>
</file>

<file path=customXml/itemProps5.xml><?xml version="1.0" encoding="utf-8"?>
<ds:datastoreItem xmlns:ds="http://schemas.openxmlformats.org/officeDocument/2006/customXml" ds:itemID="{2AFA875D-9244-49F9-BD7E-14C111E6DB67}"/>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2658</Characters>
  <Application>Microsoft Office Word</Application>
  <DocSecurity>0</DocSecurity>
  <Lines>22</Lines>
  <Paragraphs>6</Paragraphs>
  <ScaleCrop>false</ScaleCrop>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Deadline to Respond to Staff SD Motion</dc:title>
  <dc:creator/>
  <cp:lastModifiedBy/>
  <cp:revision>1</cp:revision>
  <dcterms:created xsi:type="dcterms:W3CDTF">2016-07-14T20:33:00Z</dcterms:created>
  <dcterms:modified xsi:type="dcterms:W3CDTF">2016-07-14T20:33:00Z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