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imes New Roman" w:hAnsi="Times New Roman" w:cs="Times New Roman"/>
          <w:b w:val="0"/>
          <w:bCs w:val="0"/>
          <w:color w:val="auto"/>
          <w:sz w:val="24"/>
          <w:szCs w:val="24"/>
          <w:lang w:eastAsia="en-US"/>
        </w:rPr>
        <w:id w:val="-125862031"/>
        <w:docPartObj>
          <w:docPartGallery w:val="Table of Contents"/>
          <w:docPartUnique/>
        </w:docPartObj>
      </w:sdtPr>
      <w:sdtEndPr>
        <w:rPr>
          <w:noProof/>
        </w:rPr>
      </w:sdtEndPr>
      <w:sdtContent>
        <w:p w:rsidR="0002505D" w:rsidRPr="0002505D" w:rsidRDefault="0002505D" w:rsidP="0002505D">
          <w:pPr>
            <w:pStyle w:val="TOCHeading"/>
            <w:suppressLineNumbers/>
            <w:jc w:val="center"/>
            <w:rPr>
              <w:rFonts w:ascii="Times New Roman" w:hAnsi="Times New Roman" w:cs="Times New Roman"/>
              <w:color w:val="auto"/>
              <w:sz w:val="24"/>
              <w:szCs w:val="24"/>
            </w:rPr>
          </w:pPr>
          <w:r w:rsidRPr="0002505D">
            <w:rPr>
              <w:rFonts w:ascii="Times New Roman" w:hAnsi="Times New Roman" w:cs="Times New Roman"/>
              <w:color w:val="auto"/>
              <w:sz w:val="24"/>
              <w:szCs w:val="24"/>
            </w:rPr>
            <w:t>TABLE OF CONTENTS</w:t>
          </w:r>
        </w:p>
        <w:p w:rsidR="0002505D" w:rsidRDefault="0002505D">
          <w:pPr>
            <w:pStyle w:val="TOC1"/>
            <w:tabs>
              <w:tab w:val="right" w:leader="dot" w:pos="899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03709328" w:history="1">
            <w:r w:rsidRPr="0067070A">
              <w:rPr>
                <w:rStyle w:val="Hyperlink"/>
                <w:noProof/>
              </w:rPr>
              <w:t>PURPOSE AND SUMMARY</w:t>
            </w:r>
            <w:r>
              <w:rPr>
                <w:noProof/>
                <w:webHidden/>
              </w:rPr>
              <w:tab/>
            </w:r>
            <w:r>
              <w:rPr>
                <w:noProof/>
                <w:webHidden/>
              </w:rPr>
              <w:fldChar w:fldCharType="begin"/>
            </w:r>
            <w:r>
              <w:rPr>
                <w:noProof/>
                <w:webHidden/>
              </w:rPr>
              <w:instrText xml:space="preserve"> PAGEREF _Toc403709328 \h </w:instrText>
            </w:r>
            <w:r>
              <w:rPr>
                <w:noProof/>
                <w:webHidden/>
              </w:rPr>
            </w:r>
            <w:r>
              <w:rPr>
                <w:noProof/>
                <w:webHidden/>
              </w:rPr>
              <w:fldChar w:fldCharType="separate"/>
            </w:r>
            <w:r w:rsidR="00874A1F">
              <w:rPr>
                <w:noProof/>
                <w:webHidden/>
              </w:rPr>
              <w:t>1</w:t>
            </w:r>
            <w:r>
              <w:rPr>
                <w:noProof/>
                <w:webHidden/>
              </w:rPr>
              <w:fldChar w:fldCharType="end"/>
            </w:r>
          </w:hyperlink>
        </w:p>
        <w:p w:rsidR="0002505D" w:rsidRDefault="004E233E">
          <w:pPr>
            <w:pStyle w:val="TOC1"/>
            <w:tabs>
              <w:tab w:val="right" w:leader="dot" w:pos="8990"/>
            </w:tabs>
            <w:rPr>
              <w:rFonts w:asciiTheme="minorHAnsi" w:eastAsiaTheme="minorEastAsia" w:hAnsiTheme="minorHAnsi" w:cstheme="minorBidi"/>
              <w:noProof/>
              <w:sz w:val="22"/>
              <w:szCs w:val="22"/>
            </w:rPr>
          </w:pPr>
          <w:hyperlink w:anchor="_Toc403709329" w:history="1">
            <w:r w:rsidR="0002505D" w:rsidRPr="0067070A">
              <w:rPr>
                <w:rStyle w:val="Hyperlink"/>
                <w:noProof/>
              </w:rPr>
              <w:t>REPLY TO STAFF’S PROPOSED CAPITAL STRUCTURE</w:t>
            </w:r>
            <w:r w:rsidR="0002505D">
              <w:rPr>
                <w:noProof/>
                <w:webHidden/>
              </w:rPr>
              <w:tab/>
            </w:r>
            <w:r w:rsidR="0002505D">
              <w:rPr>
                <w:noProof/>
                <w:webHidden/>
              </w:rPr>
              <w:fldChar w:fldCharType="begin"/>
            </w:r>
            <w:r w:rsidR="0002505D">
              <w:rPr>
                <w:noProof/>
                <w:webHidden/>
              </w:rPr>
              <w:instrText xml:space="preserve"> PAGEREF _Toc403709329 \h </w:instrText>
            </w:r>
            <w:r w:rsidR="0002505D">
              <w:rPr>
                <w:noProof/>
                <w:webHidden/>
              </w:rPr>
            </w:r>
            <w:r w:rsidR="0002505D">
              <w:rPr>
                <w:noProof/>
                <w:webHidden/>
              </w:rPr>
              <w:fldChar w:fldCharType="separate"/>
            </w:r>
            <w:r w:rsidR="00874A1F">
              <w:rPr>
                <w:noProof/>
                <w:webHidden/>
              </w:rPr>
              <w:t>2</w:t>
            </w:r>
            <w:r w:rsidR="0002505D">
              <w:rPr>
                <w:noProof/>
                <w:webHidden/>
              </w:rPr>
              <w:fldChar w:fldCharType="end"/>
            </w:r>
          </w:hyperlink>
        </w:p>
        <w:p w:rsidR="0002505D" w:rsidRDefault="004E233E">
          <w:pPr>
            <w:pStyle w:val="TOC3"/>
            <w:tabs>
              <w:tab w:val="right" w:leader="dot" w:pos="8990"/>
            </w:tabs>
            <w:rPr>
              <w:rFonts w:asciiTheme="minorHAnsi" w:eastAsiaTheme="minorEastAsia" w:hAnsiTheme="minorHAnsi" w:cstheme="minorBidi"/>
              <w:noProof/>
              <w:sz w:val="22"/>
              <w:szCs w:val="22"/>
            </w:rPr>
          </w:pPr>
          <w:hyperlink w:anchor="_Toc403709330" w:history="1">
            <w:r w:rsidR="0002505D" w:rsidRPr="0067070A">
              <w:rPr>
                <w:rStyle w:val="Hyperlink"/>
                <w:noProof/>
              </w:rPr>
              <w:t>Credit Metrics</w:t>
            </w:r>
            <w:r w:rsidR="0002505D">
              <w:rPr>
                <w:noProof/>
                <w:webHidden/>
              </w:rPr>
              <w:tab/>
            </w:r>
            <w:r w:rsidR="0002505D">
              <w:rPr>
                <w:noProof/>
                <w:webHidden/>
              </w:rPr>
              <w:fldChar w:fldCharType="begin"/>
            </w:r>
            <w:r w:rsidR="0002505D">
              <w:rPr>
                <w:noProof/>
                <w:webHidden/>
              </w:rPr>
              <w:instrText xml:space="preserve"> PAGEREF _Toc403709330 \h </w:instrText>
            </w:r>
            <w:r w:rsidR="0002505D">
              <w:rPr>
                <w:noProof/>
                <w:webHidden/>
              </w:rPr>
            </w:r>
            <w:r w:rsidR="0002505D">
              <w:rPr>
                <w:noProof/>
                <w:webHidden/>
              </w:rPr>
              <w:fldChar w:fldCharType="separate"/>
            </w:r>
            <w:r w:rsidR="00874A1F">
              <w:rPr>
                <w:noProof/>
                <w:webHidden/>
              </w:rPr>
              <w:t>5</w:t>
            </w:r>
            <w:r w:rsidR="0002505D">
              <w:rPr>
                <w:noProof/>
                <w:webHidden/>
              </w:rPr>
              <w:fldChar w:fldCharType="end"/>
            </w:r>
          </w:hyperlink>
        </w:p>
        <w:p w:rsidR="0002505D" w:rsidRDefault="004E233E">
          <w:pPr>
            <w:pStyle w:val="TOC1"/>
            <w:tabs>
              <w:tab w:val="right" w:leader="dot" w:pos="8990"/>
            </w:tabs>
            <w:rPr>
              <w:rFonts w:asciiTheme="minorHAnsi" w:eastAsiaTheme="minorEastAsia" w:hAnsiTheme="minorHAnsi" w:cstheme="minorBidi"/>
              <w:noProof/>
              <w:sz w:val="22"/>
              <w:szCs w:val="22"/>
            </w:rPr>
          </w:pPr>
          <w:hyperlink w:anchor="_Toc403709331" w:history="1">
            <w:r w:rsidR="0002505D" w:rsidRPr="0067070A">
              <w:rPr>
                <w:rStyle w:val="Hyperlink"/>
                <w:noProof/>
              </w:rPr>
              <w:t>REPLY TO PUBLIC COUNSEL’S PROPOSED CAPITAL STRUCTURE AND COST OF DEBT</w:t>
            </w:r>
            <w:r w:rsidR="0002505D">
              <w:rPr>
                <w:noProof/>
                <w:webHidden/>
              </w:rPr>
              <w:tab/>
            </w:r>
            <w:r w:rsidR="0002505D">
              <w:rPr>
                <w:noProof/>
                <w:webHidden/>
              </w:rPr>
              <w:fldChar w:fldCharType="begin"/>
            </w:r>
            <w:r w:rsidR="0002505D">
              <w:rPr>
                <w:noProof/>
                <w:webHidden/>
              </w:rPr>
              <w:instrText xml:space="preserve"> PAGEREF _Toc403709331 \h </w:instrText>
            </w:r>
            <w:r w:rsidR="0002505D">
              <w:rPr>
                <w:noProof/>
                <w:webHidden/>
              </w:rPr>
            </w:r>
            <w:r w:rsidR="0002505D">
              <w:rPr>
                <w:noProof/>
                <w:webHidden/>
              </w:rPr>
              <w:fldChar w:fldCharType="separate"/>
            </w:r>
            <w:r w:rsidR="00874A1F">
              <w:rPr>
                <w:noProof/>
                <w:webHidden/>
              </w:rPr>
              <w:t>6</w:t>
            </w:r>
            <w:r w:rsidR="0002505D">
              <w:rPr>
                <w:noProof/>
                <w:webHidden/>
              </w:rPr>
              <w:fldChar w:fldCharType="end"/>
            </w:r>
          </w:hyperlink>
        </w:p>
        <w:p w:rsidR="0002505D" w:rsidRDefault="004E233E">
          <w:pPr>
            <w:pStyle w:val="TOC1"/>
            <w:tabs>
              <w:tab w:val="right" w:leader="dot" w:pos="8990"/>
            </w:tabs>
            <w:rPr>
              <w:rFonts w:asciiTheme="minorHAnsi" w:eastAsiaTheme="minorEastAsia" w:hAnsiTheme="minorHAnsi" w:cstheme="minorBidi"/>
              <w:noProof/>
              <w:sz w:val="22"/>
              <w:szCs w:val="22"/>
            </w:rPr>
          </w:pPr>
          <w:hyperlink w:anchor="_Toc403709332" w:history="1">
            <w:r w:rsidR="0002505D" w:rsidRPr="0067070A">
              <w:rPr>
                <w:rStyle w:val="Hyperlink"/>
                <w:noProof/>
              </w:rPr>
              <w:t>REPLY TO BOISE’S PROPOSED CAPITAL STRUCTURE</w:t>
            </w:r>
            <w:r w:rsidR="0002505D">
              <w:rPr>
                <w:noProof/>
                <w:webHidden/>
              </w:rPr>
              <w:tab/>
            </w:r>
            <w:r w:rsidR="0002505D">
              <w:rPr>
                <w:noProof/>
                <w:webHidden/>
              </w:rPr>
              <w:fldChar w:fldCharType="begin"/>
            </w:r>
            <w:r w:rsidR="0002505D">
              <w:rPr>
                <w:noProof/>
                <w:webHidden/>
              </w:rPr>
              <w:instrText xml:space="preserve"> PAGEREF _Toc403709332 \h </w:instrText>
            </w:r>
            <w:r w:rsidR="0002505D">
              <w:rPr>
                <w:noProof/>
                <w:webHidden/>
              </w:rPr>
            </w:r>
            <w:r w:rsidR="0002505D">
              <w:rPr>
                <w:noProof/>
                <w:webHidden/>
              </w:rPr>
              <w:fldChar w:fldCharType="separate"/>
            </w:r>
            <w:r w:rsidR="00874A1F">
              <w:rPr>
                <w:noProof/>
                <w:webHidden/>
              </w:rPr>
              <w:t>9</w:t>
            </w:r>
            <w:r w:rsidR="0002505D">
              <w:rPr>
                <w:noProof/>
                <w:webHidden/>
              </w:rPr>
              <w:fldChar w:fldCharType="end"/>
            </w:r>
          </w:hyperlink>
        </w:p>
        <w:p w:rsidR="0002505D" w:rsidRDefault="004E233E">
          <w:pPr>
            <w:pStyle w:val="TOC3"/>
            <w:tabs>
              <w:tab w:val="right" w:leader="dot" w:pos="8990"/>
            </w:tabs>
            <w:rPr>
              <w:rFonts w:asciiTheme="minorHAnsi" w:eastAsiaTheme="minorEastAsia" w:hAnsiTheme="minorHAnsi" w:cstheme="minorBidi"/>
              <w:noProof/>
              <w:sz w:val="22"/>
              <w:szCs w:val="22"/>
            </w:rPr>
          </w:pPr>
          <w:hyperlink w:anchor="_Toc403709333" w:history="1">
            <w:r w:rsidR="0002505D" w:rsidRPr="0067070A">
              <w:rPr>
                <w:rStyle w:val="Hyperlink"/>
                <w:noProof/>
              </w:rPr>
              <w:t>Credit Metrics</w:t>
            </w:r>
            <w:r w:rsidR="0002505D">
              <w:rPr>
                <w:noProof/>
                <w:webHidden/>
              </w:rPr>
              <w:tab/>
            </w:r>
            <w:r w:rsidR="0002505D">
              <w:rPr>
                <w:noProof/>
                <w:webHidden/>
              </w:rPr>
              <w:fldChar w:fldCharType="begin"/>
            </w:r>
            <w:r w:rsidR="0002505D">
              <w:rPr>
                <w:noProof/>
                <w:webHidden/>
              </w:rPr>
              <w:instrText xml:space="preserve"> PAGEREF _Toc403709333 \h </w:instrText>
            </w:r>
            <w:r w:rsidR="0002505D">
              <w:rPr>
                <w:noProof/>
                <w:webHidden/>
              </w:rPr>
            </w:r>
            <w:r w:rsidR="0002505D">
              <w:rPr>
                <w:noProof/>
                <w:webHidden/>
              </w:rPr>
              <w:fldChar w:fldCharType="separate"/>
            </w:r>
            <w:r w:rsidR="00874A1F">
              <w:rPr>
                <w:noProof/>
                <w:webHidden/>
              </w:rPr>
              <w:t>15</w:t>
            </w:r>
            <w:r w:rsidR="0002505D">
              <w:rPr>
                <w:noProof/>
                <w:webHidden/>
              </w:rPr>
              <w:fldChar w:fldCharType="end"/>
            </w:r>
          </w:hyperlink>
        </w:p>
        <w:p w:rsidR="0002505D" w:rsidRDefault="0002505D" w:rsidP="0002505D">
          <w:pPr>
            <w:suppressLineNumbers/>
          </w:pPr>
          <w:r>
            <w:rPr>
              <w:b/>
              <w:bCs/>
              <w:noProof/>
            </w:rPr>
            <w:fldChar w:fldCharType="end"/>
          </w:r>
        </w:p>
      </w:sdtContent>
    </w:sdt>
    <w:p w:rsidR="0002505D" w:rsidRDefault="0002505D" w:rsidP="00605D0B">
      <w:pPr>
        <w:widowControl/>
        <w:suppressLineNumbers/>
        <w:adjustRightInd/>
        <w:spacing w:line="240" w:lineRule="auto"/>
        <w:jc w:val="center"/>
        <w:textAlignment w:val="auto"/>
        <w:rPr>
          <w:b/>
          <w:bCs/>
        </w:rPr>
      </w:pPr>
    </w:p>
    <w:p w:rsidR="0002505D" w:rsidRDefault="0002505D" w:rsidP="00605D0B">
      <w:pPr>
        <w:widowControl/>
        <w:suppressLineNumbers/>
        <w:adjustRightInd/>
        <w:spacing w:line="240" w:lineRule="auto"/>
        <w:jc w:val="center"/>
        <w:textAlignment w:val="auto"/>
        <w:rPr>
          <w:b/>
          <w:bCs/>
        </w:rPr>
      </w:pPr>
    </w:p>
    <w:p w:rsidR="00605D0B" w:rsidRDefault="00605D0B" w:rsidP="00605D0B">
      <w:pPr>
        <w:widowControl/>
        <w:suppressLineNumbers/>
        <w:adjustRightInd/>
        <w:spacing w:line="240" w:lineRule="auto"/>
        <w:jc w:val="center"/>
        <w:textAlignment w:val="auto"/>
        <w:rPr>
          <w:b/>
          <w:bCs/>
        </w:rPr>
      </w:pPr>
      <w:r>
        <w:rPr>
          <w:b/>
          <w:bCs/>
        </w:rPr>
        <w:t>ATTACHED EXHIBITS</w:t>
      </w:r>
    </w:p>
    <w:p w:rsidR="00605D0B" w:rsidRDefault="00605D0B" w:rsidP="00605D0B">
      <w:pPr>
        <w:widowControl/>
        <w:suppressLineNumbers/>
        <w:adjustRightInd/>
        <w:spacing w:line="240" w:lineRule="auto"/>
        <w:jc w:val="center"/>
        <w:textAlignment w:val="auto"/>
        <w:rPr>
          <w:b/>
          <w:bCs/>
        </w:rPr>
      </w:pPr>
    </w:p>
    <w:p w:rsidR="00605D0B" w:rsidRDefault="00605D0B" w:rsidP="00CC1FF1">
      <w:pPr>
        <w:suppressLineNumbers/>
        <w:autoSpaceDE w:val="0"/>
        <w:autoSpaceDN w:val="0"/>
        <w:spacing w:line="240" w:lineRule="auto"/>
        <w:ind w:left="720" w:hanging="720"/>
        <w:jc w:val="left"/>
      </w:pPr>
      <w:r>
        <w:t>Exhibit No. BNW-17—Standard &amp; Poor’s Ratings Direct Report, “Corporate Methodology: Ratios and Adjustments” (November 19, 2013)</w:t>
      </w:r>
    </w:p>
    <w:p w:rsidR="00605D0B" w:rsidRDefault="00605D0B" w:rsidP="00CC1FF1">
      <w:pPr>
        <w:suppressLineNumbers/>
        <w:autoSpaceDE w:val="0"/>
        <w:autoSpaceDN w:val="0"/>
        <w:spacing w:line="240" w:lineRule="auto"/>
        <w:jc w:val="left"/>
      </w:pPr>
      <w:r>
        <w:t>Exhibit No. BNW-18—Standard &amp; Poor’s Credit Assessment</w:t>
      </w:r>
    </w:p>
    <w:p w:rsidR="00605D0B" w:rsidRDefault="00605D0B" w:rsidP="00CC1FF1">
      <w:pPr>
        <w:suppressLineNumbers/>
        <w:autoSpaceDE w:val="0"/>
        <w:autoSpaceDN w:val="0"/>
        <w:spacing w:line="240" w:lineRule="auto"/>
        <w:ind w:left="720" w:hanging="720"/>
        <w:jc w:val="left"/>
      </w:pPr>
      <w:r>
        <w:t>Exhibit No. BNW-19—Regulatory Research Associates, “Regulatory Focus, Major Rate Case Decisions – January—June 2014” (July 10, 2014)</w:t>
      </w:r>
    </w:p>
    <w:p w:rsidR="00605D0B" w:rsidRDefault="00605D0B" w:rsidP="00CC1FF1">
      <w:pPr>
        <w:suppressLineNumbers/>
        <w:autoSpaceDE w:val="0"/>
        <w:autoSpaceDN w:val="0"/>
        <w:spacing w:line="240" w:lineRule="auto"/>
        <w:ind w:left="720" w:hanging="720"/>
        <w:jc w:val="left"/>
      </w:pPr>
      <w:r>
        <w:t>Exhibit No. BNW-20—Standard &amp; Poor’s Ratings Direct Report, “Corporate Methodology” (November 19, 2013)</w:t>
      </w:r>
    </w:p>
    <w:p w:rsidR="00605D0B" w:rsidRPr="00605D0B" w:rsidRDefault="00605D0B" w:rsidP="00605D0B">
      <w:pPr>
        <w:widowControl/>
        <w:suppressLineNumbers/>
        <w:adjustRightInd/>
        <w:spacing w:line="240" w:lineRule="auto"/>
        <w:jc w:val="left"/>
        <w:textAlignment w:val="auto"/>
        <w:rPr>
          <w:bCs/>
        </w:rPr>
      </w:pPr>
    </w:p>
    <w:p w:rsidR="00605D0B" w:rsidRDefault="00605D0B" w:rsidP="002E29EB">
      <w:pPr>
        <w:widowControl/>
        <w:suppressLineNumbers/>
        <w:adjustRightInd/>
        <w:spacing w:line="240" w:lineRule="auto"/>
        <w:jc w:val="left"/>
        <w:textAlignment w:val="auto"/>
        <w:rPr>
          <w:b/>
          <w:bCs/>
        </w:rPr>
      </w:pPr>
    </w:p>
    <w:p w:rsidR="002E29EB" w:rsidRDefault="002E29EB" w:rsidP="002E29EB">
      <w:pPr>
        <w:widowControl/>
        <w:suppressLineNumbers/>
        <w:adjustRightInd/>
        <w:spacing w:line="240" w:lineRule="auto"/>
        <w:jc w:val="left"/>
        <w:textAlignment w:val="auto"/>
        <w:rPr>
          <w:b/>
          <w:bCs/>
        </w:rPr>
      </w:pPr>
      <w:r>
        <w:rPr>
          <w:b/>
          <w:bCs/>
        </w:rPr>
        <w:br w:type="page"/>
      </w:r>
    </w:p>
    <w:p w:rsidR="00EC3784" w:rsidRDefault="00B149E5" w:rsidP="00EC3784">
      <w:pPr>
        <w:pStyle w:val="BodyTextIndent"/>
        <w:widowControl/>
        <w:adjustRightInd/>
        <w:ind w:left="720" w:hanging="720"/>
        <w:jc w:val="left"/>
        <w:textAlignment w:val="auto"/>
        <w:rPr>
          <w:b/>
        </w:rPr>
      </w:pPr>
      <w:r>
        <w:rPr>
          <w:b/>
          <w:bCs/>
        </w:rPr>
        <w:lastRenderedPageBreak/>
        <w:t>Q.</w:t>
      </w:r>
      <w:r w:rsidR="00EC3784">
        <w:rPr>
          <w:b/>
          <w:bCs/>
        </w:rPr>
        <w:tab/>
      </w:r>
      <w:r w:rsidR="00EC3784" w:rsidRPr="00EC7681">
        <w:rPr>
          <w:b/>
        </w:rPr>
        <w:t xml:space="preserve">Are you the same Bruce N. Williams </w:t>
      </w:r>
      <w:r w:rsidR="002F7F70">
        <w:rPr>
          <w:b/>
        </w:rPr>
        <w:t>who</w:t>
      </w:r>
      <w:r w:rsidR="00EC3784" w:rsidRPr="00EC7681">
        <w:rPr>
          <w:b/>
        </w:rPr>
        <w:t xml:space="preserve"> previously submitted direct testimony </w:t>
      </w:r>
      <w:r w:rsidR="0065209F">
        <w:rPr>
          <w:b/>
        </w:rPr>
        <w:t xml:space="preserve">in this case </w:t>
      </w:r>
      <w:r w:rsidR="00EC3784" w:rsidRPr="00EC7681">
        <w:rPr>
          <w:b/>
        </w:rPr>
        <w:t xml:space="preserve">on </w:t>
      </w:r>
      <w:r w:rsidR="00EC3784" w:rsidRPr="006D0AEE">
        <w:rPr>
          <w:b/>
        </w:rPr>
        <w:t xml:space="preserve">behalf </w:t>
      </w:r>
      <w:r w:rsidR="00EC3784" w:rsidRPr="00EC7681">
        <w:rPr>
          <w:b/>
        </w:rPr>
        <w:t>of Pacific Power &amp; Light Company (Pacifi</w:t>
      </w:r>
      <w:r w:rsidR="006D0AEE">
        <w:rPr>
          <w:b/>
        </w:rPr>
        <w:t>c Power</w:t>
      </w:r>
      <w:r w:rsidR="00EC3784" w:rsidRPr="00EC7681">
        <w:rPr>
          <w:b/>
        </w:rPr>
        <w:t xml:space="preserve"> or Company)</w:t>
      </w:r>
      <w:r w:rsidR="00424F10">
        <w:rPr>
          <w:b/>
        </w:rPr>
        <w:t>, a division of PacifiCorp</w:t>
      </w:r>
      <w:r w:rsidR="00EC3784" w:rsidRPr="00EC7681">
        <w:rPr>
          <w:b/>
        </w:rPr>
        <w:t>?</w:t>
      </w:r>
    </w:p>
    <w:p w:rsidR="00EC3784" w:rsidRDefault="00EC3784" w:rsidP="00EC3784">
      <w:pPr>
        <w:pStyle w:val="BodyTextIndent"/>
        <w:widowControl/>
        <w:adjustRightInd/>
        <w:ind w:left="720" w:hanging="720"/>
        <w:jc w:val="left"/>
        <w:textAlignment w:val="auto"/>
      </w:pPr>
      <w:r w:rsidRPr="006D0AEE">
        <w:t>A.</w:t>
      </w:r>
      <w:r>
        <w:rPr>
          <w:b/>
        </w:rPr>
        <w:tab/>
      </w:r>
      <w:r>
        <w:t>Yes.</w:t>
      </w:r>
    </w:p>
    <w:p w:rsidR="00EC3784" w:rsidRPr="00EC7681" w:rsidRDefault="00EC3784" w:rsidP="0002505D">
      <w:pPr>
        <w:pStyle w:val="Heading1"/>
      </w:pPr>
      <w:bookmarkStart w:id="0" w:name="_Toc403708986"/>
      <w:bookmarkStart w:id="1" w:name="_Toc403709328"/>
      <w:r w:rsidRPr="00EC7681">
        <w:t>PURPOSE AND SUMMARY</w:t>
      </w:r>
      <w:bookmarkEnd w:id="0"/>
      <w:bookmarkEnd w:id="1"/>
    </w:p>
    <w:p w:rsidR="00EC3784" w:rsidRPr="00EC7681" w:rsidRDefault="00EC3784" w:rsidP="00EC3784">
      <w:pPr>
        <w:spacing w:line="480" w:lineRule="auto"/>
        <w:rPr>
          <w:b/>
        </w:rPr>
      </w:pPr>
      <w:r w:rsidRPr="00EC7681">
        <w:rPr>
          <w:b/>
        </w:rPr>
        <w:t>Q.</w:t>
      </w:r>
      <w:r w:rsidRPr="00EC7681">
        <w:rPr>
          <w:b/>
        </w:rPr>
        <w:tab/>
        <w:t>What is the purpose of your rebuttal testimony?</w:t>
      </w:r>
    </w:p>
    <w:p w:rsidR="00EC3784" w:rsidRDefault="00EC3784" w:rsidP="00EC3784">
      <w:pPr>
        <w:pStyle w:val="BodyTextIndent"/>
        <w:widowControl/>
        <w:adjustRightInd/>
        <w:ind w:left="720" w:hanging="720"/>
        <w:jc w:val="left"/>
        <w:textAlignment w:val="auto"/>
      </w:pPr>
      <w:r w:rsidRPr="006D0AEE">
        <w:t>A.</w:t>
      </w:r>
      <w:r>
        <w:tab/>
        <w:t xml:space="preserve">The purpose of my rebuttal testimony is to </w:t>
      </w:r>
      <w:r w:rsidR="008A47D4">
        <w:t xml:space="preserve">demonstrate the reasonableness of my </w:t>
      </w:r>
      <w:r>
        <w:t>recommendations on capital structure</w:t>
      </w:r>
      <w:r w:rsidR="006D0AEE">
        <w:t>, cost of debt,</w:t>
      </w:r>
      <w:r>
        <w:t xml:space="preserve"> and overall rate of return (ROR)</w:t>
      </w:r>
      <w:r w:rsidR="00B73E80">
        <w:t>.  I also</w:t>
      </w:r>
      <w:r>
        <w:t xml:space="preserve"> </w:t>
      </w:r>
      <w:r w:rsidR="00424F10">
        <w:t>address</w:t>
      </w:r>
      <w:r w:rsidR="008A47D4">
        <w:t xml:space="preserve"> the recommendations </w:t>
      </w:r>
      <w:r>
        <w:t xml:space="preserve">from </w:t>
      </w:r>
      <w:r w:rsidR="006D0AEE">
        <w:t>Washington Utilities and Transportation Commission</w:t>
      </w:r>
      <w:r w:rsidR="009201E6">
        <w:t xml:space="preserve"> (Commission)</w:t>
      </w:r>
      <w:r w:rsidR="006D0AEE">
        <w:t xml:space="preserve"> Staff witness Mr. David C. </w:t>
      </w:r>
      <w:proofErr w:type="spellStart"/>
      <w:r w:rsidR="006D0AEE">
        <w:t>Parcell</w:t>
      </w:r>
      <w:proofErr w:type="spellEnd"/>
      <w:r w:rsidR="006D0AEE">
        <w:t xml:space="preserve">, </w:t>
      </w:r>
      <w:r w:rsidR="009201E6">
        <w:t>the Public Counsel Division of the Attorney General’s Office (</w:t>
      </w:r>
      <w:r>
        <w:t>Public Counsel</w:t>
      </w:r>
      <w:r w:rsidR="009201E6">
        <w:t>)</w:t>
      </w:r>
      <w:r>
        <w:t xml:space="preserve"> witness Mr. Stephen G. Hill</w:t>
      </w:r>
      <w:r w:rsidR="00B83A96">
        <w:t>, and Boise White Paper, LLC (Boise) witness Mr. Michael P. Gorman</w:t>
      </w:r>
      <w:r>
        <w:t>.  Mr. Kurt</w:t>
      </w:r>
      <w:r w:rsidR="009201E6">
        <w:t xml:space="preserve"> G.</w:t>
      </w:r>
      <w:r>
        <w:t xml:space="preserve"> Strunk </w:t>
      </w:r>
      <w:r w:rsidR="00B73E80">
        <w:t xml:space="preserve">responds to </w:t>
      </w:r>
      <w:r>
        <w:t>the cost of equity recommendations sponsored by these witnesses</w:t>
      </w:r>
      <w:r w:rsidR="009907BC">
        <w:t xml:space="preserve">, and also addresses </w:t>
      </w:r>
      <w:r w:rsidR="001D2E33">
        <w:t xml:space="preserve">the positions of Staff and </w:t>
      </w:r>
      <w:proofErr w:type="spellStart"/>
      <w:r w:rsidR="001D2E33">
        <w:t>intervenors</w:t>
      </w:r>
      <w:proofErr w:type="spellEnd"/>
      <w:r w:rsidR="001D2E33">
        <w:t xml:space="preserve"> on </w:t>
      </w:r>
      <w:r w:rsidR="009907BC">
        <w:t>capital structure</w:t>
      </w:r>
      <w:r w:rsidR="001D2E33">
        <w:t xml:space="preserve"> and credit metrics</w:t>
      </w:r>
      <w:r>
        <w:t>.</w:t>
      </w:r>
    </w:p>
    <w:p w:rsidR="00EC3784" w:rsidRPr="00EC7681" w:rsidRDefault="00EC3784" w:rsidP="00EC3784">
      <w:pPr>
        <w:spacing w:line="480" w:lineRule="auto"/>
        <w:rPr>
          <w:b/>
        </w:rPr>
      </w:pPr>
      <w:r w:rsidRPr="00EC7681">
        <w:rPr>
          <w:b/>
        </w:rPr>
        <w:t xml:space="preserve">Q. </w:t>
      </w:r>
      <w:r w:rsidRPr="00EC7681">
        <w:rPr>
          <w:b/>
        </w:rPr>
        <w:tab/>
        <w:t>Please summarize your testimony.</w:t>
      </w:r>
    </w:p>
    <w:p w:rsidR="008A47D4" w:rsidRDefault="00EC3784" w:rsidP="00EC3784">
      <w:pPr>
        <w:pStyle w:val="BodyTextIndent"/>
        <w:widowControl/>
        <w:adjustRightInd/>
        <w:ind w:left="720" w:hanging="720"/>
        <w:jc w:val="left"/>
        <w:textAlignment w:val="auto"/>
      </w:pPr>
      <w:r w:rsidRPr="006D0AEE">
        <w:t>A.</w:t>
      </w:r>
      <w:r>
        <w:rPr>
          <w:b/>
        </w:rPr>
        <w:tab/>
      </w:r>
      <w:r w:rsidR="00AD232B">
        <w:t>I demonstrate that the Company’s actual capital structure</w:t>
      </w:r>
      <w:r w:rsidR="00EC1D76">
        <w:t xml:space="preserve"> with 51.73 percent common equity</w:t>
      </w:r>
      <w:r w:rsidR="00AD232B">
        <w:t xml:space="preserve">, and the </w:t>
      </w:r>
      <w:r w:rsidR="00EC1D76">
        <w:t xml:space="preserve">7.67 percent </w:t>
      </w:r>
      <w:r w:rsidR="0002505D">
        <w:t>ROR</w:t>
      </w:r>
      <w:r w:rsidR="000D7081">
        <w:t xml:space="preserve"> </w:t>
      </w:r>
      <w:r w:rsidR="00AD232B">
        <w:t xml:space="preserve">it produces, provides the balance of economy and safety the Commission requires. </w:t>
      </w:r>
      <w:r w:rsidR="002F7F70">
        <w:t xml:space="preserve"> </w:t>
      </w:r>
      <w:r w:rsidR="008A47D4">
        <w:t xml:space="preserve">I </w:t>
      </w:r>
      <w:r>
        <w:t xml:space="preserve">provide </w:t>
      </w:r>
      <w:r w:rsidR="000F3BEE">
        <w:t xml:space="preserve">evidence </w:t>
      </w:r>
      <w:r w:rsidR="00D81D89">
        <w:t xml:space="preserve">that the Company’s capital structure and resulting ROR are reasonable, </w:t>
      </w:r>
      <w:r>
        <w:t xml:space="preserve">consistent with </w:t>
      </w:r>
      <w:r w:rsidR="00D81D89">
        <w:t xml:space="preserve">those of comparable </w:t>
      </w:r>
      <w:r>
        <w:t>electric utilit</w:t>
      </w:r>
      <w:r w:rsidR="00D81D89">
        <w:t>ies,</w:t>
      </w:r>
      <w:r>
        <w:t xml:space="preserve"> and result in lower cost to customers than a hypothetical capital structure</w:t>
      </w:r>
      <w:r w:rsidR="00722AED">
        <w:t xml:space="preserve"> that takes into account the </w:t>
      </w:r>
      <w:r w:rsidR="00D81D89">
        <w:t xml:space="preserve">impact of higher leverage on the Company’s debt </w:t>
      </w:r>
      <w:r w:rsidR="00DD6368">
        <w:t xml:space="preserve">and equity </w:t>
      </w:r>
      <w:r w:rsidR="00D81D89">
        <w:t>costs</w:t>
      </w:r>
      <w:r>
        <w:t>.</w:t>
      </w:r>
      <w:r w:rsidR="009245A3" w:rsidRPr="009245A3">
        <w:t xml:space="preserve"> </w:t>
      </w:r>
      <w:r w:rsidR="009245A3">
        <w:t xml:space="preserve"> </w:t>
      </w:r>
    </w:p>
    <w:p w:rsidR="00EC3784" w:rsidRDefault="008A47D4" w:rsidP="00EC3784">
      <w:pPr>
        <w:pStyle w:val="BodyTextIndent"/>
        <w:widowControl/>
        <w:adjustRightInd/>
        <w:ind w:left="720" w:hanging="720"/>
        <w:jc w:val="left"/>
        <w:textAlignment w:val="auto"/>
      </w:pPr>
      <w:r>
        <w:lastRenderedPageBreak/>
        <w:tab/>
      </w:r>
      <w:r>
        <w:tab/>
      </w:r>
      <w:r w:rsidR="009245A3">
        <w:t>The other parties’ proposed capital structures</w:t>
      </w:r>
      <w:r w:rsidR="00687791">
        <w:t>, which rely</w:t>
      </w:r>
      <w:r w:rsidR="009245A3">
        <w:t xml:space="preserve"> on a 49.1 percent common equity ratio</w:t>
      </w:r>
      <w:r w:rsidR="00687791">
        <w:t>,</w:t>
      </w:r>
      <w:r w:rsidR="009245A3">
        <w:t xml:space="preserve"> are not an appropriate alternative</w:t>
      </w:r>
      <w:r>
        <w:t xml:space="preserve"> to the Company’s recommendations</w:t>
      </w:r>
      <w:r w:rsidR="009245A3">
        <w:t>.</w:t>
      </w:r>
      <w:r>
        <w:t xml:space="preserve">  T</w:t>
      </w:r>
      <w:r w:rsidR="00EC3784">
        <w:t xml:space="preserve">he </w:t>
      </w:r>
      <w:r w:rsidR="008077C6">
        <w:t>analyse</w:t>
      </w:r>
      <w:r w:rsidR="00D81D89">
        <w:t>s supporting the</w:t>
      </w:r>
      <w:r w:rsidR="00EC3784">
        <w:t xml:space="preserve"> </w:t>
      </w:r>
      <w:r w:rsidR="00D81D89">
        <w:t xml:space="preserve">other parties’ </w:t>
      </w:r>
      <w:r w:rsidR="00EC3784">
        <w:t xml:space="preserve">recommended overall rates of return and </w:t>
      </w:r>
      <w:r w:rsidR="009245A3">
        <w:t xml:space="preserve">their </w:t>
      </w:r>
      <w:r w:rsidR="00EC3784">
        <w:t xml:space="preserve">conclusions that </w:t>
      </w:r>
      <w:r w:rsidR="00DD6368">
        <w:t>decreased returns</w:t>
      </w:r>
      <w:r w:rsidR="00EC3784">
        <w:t xml:space="preserve"> will not harm the Company’s credit ratings </w:t>
      </w:r>
      <w:r w:rsidR="00D81D89">
        <w:t xml:space="preserve">do not follow rating agency guidance and </w:t>
      </w:r>
      <w:r w:rsidR="00EC3784">
        <w:t>are not supported by facts</w:t>
      </w:r>
      <w:r w:rsidR="00D81D89">
        <w:t>.</w:t>
      </w:r>
    </w:p>
    <w:p w:rsidR="00BD31E3" w:rsidRPr="00BD31E3" w:rsidRDefault="00BD31E3" w:rsidP="0002505D">
      <w:pPr>
        <w:spacing w:line="480" w:lineRule="auto"/>
        <w:ind w:left="720" w:hanging="720"/>
      </w:pPr>
      <w:r w:rsidRPr="0002505D">
        <w:rPr>
          <w:b/>
        </w:rPr>
        <w:t>Q.</w:t>
      </w:r>
      <w:r w:rsidRPr="00BD31E3">
        <w:tab/>
      </w:r>
      <w:bookmarkStart w:id="2" w:name="_GoBack"/>
      <w:r w:rsidRPr="00E12DB6">
        <w:rPr>
          <w:b/>
        </w:rPr>
        <w:t>Have you reviewed your cost of capital recommendation</w:t>
      </w:r>
      <w:r w:rsidR="00137BFD" w:rsidRPr="00E12DB6">
        <w:rPr>
          <w:b/>
        </w:rPr>
        <w:t>s</w:t>
      </w:r>
      <w:r w:rsidRPr="00E12DB6">
        <w:rPr>
          <w:b/>
        </w:rPr>
        <w:t xml:space="preserve"> on rebuttal to determine if any updates are warranted?</w:t>
      </w:r>
      <w:r w:rsidRPr="00BD31E3">
        <w:t xml:space="preserve"> </w:t>
      </w:r>
      <w:bookmarkEnd w:id="2"/>
    </w:p>
    <w:p w:rsidR="0002505D" w:rsidRDefault="00BD31E3" w:rsidP="0002505D">
      <w:pPr>
        <w:spacing w:line="480" w:lineRule="auto"/>
        <w:ind w:left="720" w:hanging="720"/>
      </w:pPr>
      <w:r>
        <w:t>A.</w:t>
      </w:r>
      <w:r>
        <w:tab/>
        <w:t xml:space="preserve">Yes.  My </w:t>
      </w:r>
      <w:proofErr w:type="gramStart"/>
      <w:r>
        <w:t>cost</w:t>
      </w:r>
      <w:proofErr w:type="gramEnd"/>
      <w:r>
        <w:t xml:space="preserve"> of capital recommendations, which are based on </w:t>
      </w:r>
      <w:r w:rsidR="00687791">
        <w:t>the</w:t>
      </w:r>
      <w:r>
        <w:t xml:space="preserve"> 12-month period ending December 31, 2014, have not changed</w:t>
      </w:r>
      <w:r w:rsidR="00C021E6">
        <w:t xml:space="preserve"> since the Company’s initial filing. </w:t>
      </w:r>
    </w:p>
    <w:p w:rsidR="00EC3784" w:rsidRPr="0002505D" w:rsidRDefault="00EC3784" w:rsidP="0002505D">
      <w:pPr>
        <w:pStyle w:val="Heading1"/>
      </w:pPr>
      <w:bookmarkStart w:id="3" w:name="_Toc403709329"/>
      <w:r w:rsidRPr="0002505D">
        <w:rPr>
          <w:rStyle w:val="Heading1Char"/>
          <w:b/>
          <w:caps/>
        </w:rPr>
        <w:t>REPLY TO STAFF’S PROPOSED CAPITAL STRUCTURE</w:t>
      </w:r>
      <w:bookmarkEnd w:id="3"/>
    </w:p>
    <w:p w:rsidR="00EC3784" w:rsidRDefault="00EC3784" w:rsidP="00EC3784">
      <w:pPr>
        <w:spacing w:line="480" w:lineRule="auto"/>
        <w:rPr>
          <w:b/>
        </w:rPr>
      </w:pPr>
      <w:r>
        <w:rPr>
          <w:b/>
        </w:rPr>
        <w:t xml:space="preserve">Q. </w:t>
      </w:r>
      <w:r>
        <w:rPr>
          <w:b/>
        </w:rPr>
        <w:tab/>
        <w:t xml:space="preserve">What is </w:t>
      </w:r>
      <w:r w:rsidR="00F64B9F">
        <w:rPr>
          <w:b/>
        </w:rPr>
        <w:t>Staff’s</w:t>
      </w:r>
      <w:r>
        <w:rPr>
          <w:b/>
        </w:rPr>
        <w:t xml:space="preserve"> proposed capital structure?</w:t>
      </w:r>
    </w:p>
    <w:p w:rsidR="00EC3784" w:rsidRDefault="00EC3784" w:rsidP="00EC3784">
      <w:pPr>
        <w:pStyle w:val="BodyTextIndent"/>
        <w:widowControl/>
        <w:adjustRightInd/>
        <w:ind w:left="720" w:hanging="720"/>
        <w:jc w:val="left"/>
        <w:textAlignment w:val="auto"/>
      </w:pPr>
      <w:r w:rsidRPr="006D0AEE">
        <w:t>A.</w:t>
      </w:r>
      <w:r>
        <w:rPr>
          <w:b/>
        </w:rPr>
        <w:tab/>
      </w:r>
      <w:r w:rsidR="00F64B9F">
        <w:t>Staff</w:t>
      </w:r>
      <w:r>
        <w:t xml:space="preserve"> recommends </w:t>
      </w:r>
      <w:r w:rsidR="00745549">
        <w:t>the</w:t>
      </w:r>
      <w:r>
        <w:t xml:space="preserve"> hypothetical capital structure </w:t>
      </w:r>
      <w:r w:rsidR="00745549">
        <w:t xml:space="preserve">adopted in </w:t>
      </w:r>
      <w:r w:rsidR="009907BC">
        <w:t>Order 05 in Docket UE-</w:t>
      </w:r>
      <w:r>
        <w:t xml:space="preserve">130043 (the 2013 Order).  </w:t>
      </w:r>
    </w:p>
    <w:p w:rsidR="00EC3784" w:rsidRPr="00454225" w:rsidRDefault="00EC3784" w:rsidP="00F64B9F">
      <w:pPr>
        <w:pStyle w:val="BodyTextIndent"/>
        <w:widowControl/>
        <w:adjustRightInd/>
        <w:ind w:left="720" w:hanging="720"/>
        <w:jc w:val="left"/>
        <w:textAlignment w:val="auto"/>
        <w:rPr>
          <w:b/>
        </w:rPr>
      </w:pPr>
      <w:r w:rsidRPr="00454225">
        <w:rPr>
          <w:b/>
        </w:rPr>
        <w:t>Q.</w:t>
      </w:r>
      <w:r w:rsidRPr="00454225">
        <w:rPr>
          <w:b/>
        </w:rPr>
        <w:tab/>
        <w:t xml:space="preserve">How does Mr. </w:t>
      </w:r>
      <w:proofErr w:type="spellStart"/>
      <w:r w:rsidRPr="00454225">
        <w:rPr>
          <w:b/>
        </w:rPr>
        <w:t>Parcell</w:t>
      </w:r>
      <w:proofErr w:type="spellEnd"/>
      <w:r w:rsidRPr="00454225">
        <w:rPr>
          <w:b/>
        </w:rPr>
        <w:t xml:space="preserve"> support </w:t>
      </w:r>
      <w:r w:rsidR="00F64B9F">
        <w:rPr>
          <w:b/>
        </w:rPr>
        <w:t>Staff’s recommended</w:t>
      </w:r>
      <w:r w:rsidR="00C90C63">
        <w:rPr>
          <w:b/>
        </w:rPr>
        <w:t xml:space="preserve"> </w:t>
      </w:r>
      <w:r w:rsidRPr="00454225">
        <w:rPr>
          <w:b/>
        </w:rPr>
        <w:t>hypothetical capital structure?</w:t>
      </w:r>
    </w:p>
    <w:p w:rsidR="00EC3784" w:rsidRDefault="00EC3784" w:rsidP="00EC3784">
      <w:pPr>
        <w:pStyle w:val="BodyTextIndent"/>
        <w:widowControl/>
        <w:adjustRightInd/>
        <w:ind w:left="720" w:hanging="720"/>
        <w:jc w:val="left"/>
        <w:textAlignment w:val="auto"/>
      </w:pPr>
      <w:r w:rsidRPr="006D0AEE">
        <w:t>A.</w:t>
      </w:r>
      <w:r>
        <w:tab/>
        <w:t xml:space="preserve">Mr. </w:t>
      </w:r>
      <w:proofErr w:type="spellStart"/>
      <w:r>
        <w:t>Parcell</w:t>
      </w:r>
      <w:proofErr w:type="spellEnd"/>
      <w:r>
        <w:t xml:space="preserve"> </w:t>
      </w:r>
      <w:r w:rsidR="00745549">
        <w:t xml:space="preserve">relies on the </w:t>
      </w:r>
      <w:r>
        <w:t>2013 Order</w:t>
      </w:r>
      <w:r w:rsidR="00745549">
        <w:t xml:space="preserve"> and the </w:t>
      </w:r>
      <w:r>
        <w:t>average common equity ratio of various groups of electric utility companies.</w:t>
      </w:r>
    </w:p>
    <w:p w:rsidR="00EC3784" w:rsidRDefault="00EC3784" w:rsidP="00EC3784">
      <w:pPr>
        <w:spacing w:line="480" w:lineRule="auto"/>
        <w:rPr>
          <w:b/>
        </w:rPr>
      </w:pPr>
      <w:r w:rsidRPr="00566DF9">
        <w:rPr>
          <w:b/>
        </w:rPr>
        <w:t>Q.</w:t>
      </w:r>
      <w:r w:rsidRPr="00566DF9">
        <w:rPr>
          <w:b/>
        </w:rPr>
        <w:tab/>
      </w:r>
      <w:r>
        <w:rPr>
          <w:b/>
        </w:rPr>
        <w:t xml:space="preserve">Please comment on </w:t>
      </w:r>
      <w:r w:rsidR="00745549">
        <w:rPr>
          <w:b/>
        </w:rPr>
        <w:t xml:space="preserve">Mr. </w:t>
      </w:r>
      <w:proofErr w:type="spellStart"/>
      <w:r w:rsidR="00745549">
        <w:rPr>
          <w:b/>
        </w:rPr>
        <w:t>Parcell’s</w:t>
      </w:r>
      <w:proofErr w:type="spellEnd"/>
      <w:r w:rsidR="00745549">
        <w:rPr>
          <w:b/>
        </w:rPr>
        <w:t xml:space="preserve"> use of average common equity ratios.</w:t>
      </w:r>
    </w:p>
    <w:p w:rsidR="00AD232B" w:rsidRDefault="00EC3784" w:rsidP="00056BE9">
      <w:pPr>
        <w:pStyle w:val="BodyTextIndent"/>
        <w:adjustRightInd/>
        <w:ind w:left="720" w:hanging="720"/>
        <w:jc w:val="left"/>
        <w:textAlignment w:val="auto"/>
      </w:pPr>
      <w:r w:rsidRPr="006D0AEE">
        <w:t>A.</w:t>
      </w:r>
      <w:r>
        <w:rPr>
          <w:b/>
        </w:rPr>
        <w:tab/>
      </w:r>
      <w:r w:rsidR="00AD232B">
        <w:t xml:space="preserve">First, it is my understanding that the Commission has been skeptical of comparing a company’s equity ratio to those of comparable other utilities because the “individual circumstances of regulated utilities must be taken into account when determining the </w:t>
      </w:r>
      <w:r w:rsidR="00AD232B">
        <w:lastRenderedPageBreak/>
        <w:t>equity ratio that is appropriate for a given company at a particular point in time.”</w:t>
      </w:r>
      <w:r w:rsidR="00AD232B">
        <w:rPr>
          <w:rStyle w:val="FootnoteReference"/>
        </w:rPr>
        <w:footnoteReference w:id="2"/>
      </w:r>
      <w:r w:rsidR="00AD232B">
        <w:t xml:space="preserve">  Thus, the Commission concluded that comparisons to other utilities “are not particularly useful measures to guide our decision.”</w:t>
      </w:r>
      <w:r w:rsidR="00AD232B">
        <w:rPr>
          <w:rStyle w:val="FootnoteReference"/>
        </w:rPr>
        <w:footnoteReference w:id="3"/>
      </w:r>
    </w:p>
    <w:p w:rsidR="00EC3784" w:rsidRDefault="00EC3784" w:rsidP="00EC3784">
      <w:pPr>
        <w:pStyle w:val="BodyTextIndent"/>
        <w:widowControl/>
        <w:adjustRightInd/>
        <w:ind w:left="720" w:hanging="720"/>
        <w:jc w:val="left"/>
        <w:textAlignment w:val="auto"/>
      </w:pPr>
      <w:r>
        <w:tab/>
      </w:r>
      <w:r>
        <w:tab/>
      </w:r>
      <w:r w:rsidR="00AD232B">
        <w:t>Second,</w:t>
      </w:r>
      <w:r>
        <w:t xml:space="preserve"> by its very definition an “average” of other utilities</w:t>
      </w:r>
      <w:r w:rsidR="008077C6">
        <w:t>’</w:t>
      </w:r>
      <w:r>
        <w:t xml:space="preserve"> capital structures will mean that there are results both higher and lower than the average.  </w:t>
      </w:r>
      <w:proofErr w:type="gramStart"/>
      <w:r>
        <w:t>Simply being higher (or lower) than the average should not rule out a capital structure as inappropriate and unreasonable.</w:t>
      </w:r>
      <w:proofErr w:type="gramEnd"/>
    </w:p>
    <w:p w:rsidR="00EC3784" w:rsidRDefault="00EC3784" w:rsidP="00A72CA6">
      <w:pPr>
        <w:pStyle w:val="BodyTextIndent"/>
        <w:widowControl/>
        <w:adjustRightInd/>
        <w:ind w:left="720" w:hanging="720"/>
        <w:jc w:val="left"/>
        <w:textAlignment w:val="auto"/>
      </w:pPr>
      <w:r>
        <w:tab/>
      </w:r>
      <w:r w:rsidR="00745549">
        <w:tab/>
        <w:t xml:space="preserve">Third, </w:t>
      </w:r>
      <w:r w:rsidR="00934C99">
        <w:t xml:space="preserve">if the Commission decides to consider average equity ratios, </w:t>
      </w:r>
      <w:r w:rsidR="00745549">
        <w:t xml:space="preserve">Mr. Strunk and I both </w:t>
      </w:r>
      <w:r w:rsidR="00934C99">
        <w:t>provide evidence that</w:t>
      </w:r>
      <w:r w:rsidR="00745549">
        <w:t xml:space="preserve"> </w:t>
      </w:r>
      <w:r>
        <w:t>the Company’s actual capital structure is more in line with the industry average than the proposed hypothetical capital structure.</w:t>
      </w:r>
    </w:p>
    <w:p w:rsidR="00EC3784" w:rsidRPr="00B76D3F" w:rsidRDefault="00EC3784" w:rsidP="00A72CA6">
      <w:pPr>
        <w:pStyle w:val="BodyTextIndent"/>
        <w:widowControl/>
        <w:adjustRightInd/>
        <w:ind w:left="720" w:hanging="720"/>
        <w:jc w:val="left"/>
        <w:textAlignment w:val="auto"/>
        <w:rPr>
          <w:b/>
        </w:rPr>
      </w:pPr>
      <w:r w:rsidRPr="00B76D3F">
        <w:rPr>
          <w:b/>
        </w:rPr>
        <w:t xml:space="preserve">Q. </w:t>
      </w:r>
      <w:r w:rsidRPr="00B76D3F">
        <w:rPr>
          <w:b/>
        </w:rPr>
        <w:tab/>
        <w:t xml:space="preserve">Do you agree with Mr. </w:t>
      </w:r>
      <w:proofErr w:type="spellStart"/>
      <w:r w:rsidRPr="00B76D3F">
        <w:rPr>
          <w:b/>
        </w:rPr>
        <w:t>Parcell’s</w:t>
      </w:r>
      <w:proofErr w:type="spellEnd"/>
      <w:r w:rsidRPr="00B76D3F">
        <w:rPr>
          <w:b/>
        </w:rPr>
        <w:t xml:space="preserve"> statement that </w:t>
      </w:r>
      <w:r>
        <w:rPr>
          <w:b/>
        </w:rPr>
        <w:t>the average common equity ratio authorized for electric utilities in 2013 was about 49 percent?</w:t>
      </w:r>
    </w:p>
    <w:p w:rsidR="00EC3784" w:rsidRDefault="00EC3784" w:rsidP="00EB1641">
      <w:pPr>
        <w:pStyle w:val="BodyTextIndent"/>
        <w:widowControl/>
        <w:adjustRightInd/>
        <w:ind w:left="720" w:hanging="720"/>
        <w:jc w:val="left"/>
        <w:textAlignment w:val="auto"/>
      </w:pPr>
      <w:r w:rsidRPr="006D0AEE">
        <w:t>A.</w:t>
      </w:r>
      <w:r>
        <w:tab/>
      </w:r>
      <w:r w:rsidR="00832D1E">
        <w:t xml:space="preserve">No, the source of this statement, </w:t>
      </w:r>
      <w:r>
        <w:t xml:space="preserve">Exhibit </w:t>
      </w:r>
      <w:r w:rsidR="009201E6">
        <w:t xml:space="preserve">No. </w:t>
      </w:r>
      <w:r>
        <w:t>DCP-</w:t>
      </w:r>
      <w:proofErr w:type="gramStart"/>
      <w:r>
        <w:t>16</w:t>
      </w:r>
      <w:r w:rsidR="00832D1E">
        <w:t>,</w:t>
      </w:r>
      <w:proofErr w:type="gramEnd"/>
      <w:r w:rsidR="00832D1E">
        <w:t xml:space="preserve"> is </w:t>
      </w:r>
      <w:r>
        <w:t>misleading</w:t>
      </w:r>
      <w:r w:rsidR="007F2CB0">
        <w:t>.  T</w:t>
      </w:r>
      <w:r>
        <w:t>he data set</w:t>
      </w:r>
      <w:r w:rsidR="00D81D89">
        <w:t xml:space="preserve"> for that exhibit</w:t>
      </w:r>
      <w:r>
        <w:t xml:space="preserve"> includes many unrated utilities or those with ratings of Baa1 or lower</w:t>
      </w:r>
      <w:r w:rsidR="00832D1E">
        <w:t xml:space="preserve">, which are </w:t>
      </w:r>
      <w:r>
        <w:t xml:space="preserve">not comparable to the Company.  Of the 22 </w:t>
      </w:r>
      <w:r w:rsidR="00F64B9F">
        <w:t>comparable utilities</w:t>
      </w:r>
      <w:r>
        <w:t>, 19 had a common equity component listed.  The average common equity of the 19 electric utilities that are A-rated is 51.24 percent</w:t>
      </w:r>
      <w:r w:rsidR="00FA3AE1">
        <w:t>, more than 200 basis points higher than Mr.</w:t>
      </w:r>
      <w:r w:rsidR="00687791">
        <w:t> </w:t>
      </w:r>
      <w:proofErr w:type="spellStart"/>
      <w:r w:rsidR="00FA3AE1">
        <w:t>Parcell</w:t>
      </w:r>
      <w:proofErr w:type="spellEnd"/>
      <w:r w:rsidR="00FA3AE1">
        <w:t xml:space="preserve"> claims and in line with </w:t>
      </w:r>
      <w:r>
        <w:t>the Company’s actual common equity of 51.73 percent.</w:t>
      </w:r>
      <w:r w:rsidR="00FA3AE1">
        <w:t xml:space="preserve">  </w:t>
      </w:r>
      <w:r w:rsidR="00687791">
        <w:t>In fact</w:t>
      </w:r>
      <w:r w:rsidR="00FA3AE1">
        <w:t xml:space="preserve">, </w:t>
      </w:r>
      <w:r>
        <w:t xml:space="preserve">only four A-rated utilities </w:t>
      </w:r>
      <w:r w:rsidR="00FA3AE1">
        <w:t xml:space="preserve">in Mr. </w:t>
      </w:r>
      <w:proofErr w:type="spellStart"/>
      <w:r w:rsidR="00FA3AE1">
        <w:t>Parcell’s</w:t>
      </w:r>
      <w:proofErr w:type="spellEnd"/>
      <w:r w:rsidR="00FA3AE1">
        <w:t xml:space="preserve"> group of 19 had </w:t>
      </w:r>
      <w:r>
        <w:t xml:space="preserve">a common equity percentage below 50 percent.  </w:t>
      </w:r>
    </w:p>
    <w:p w:rsidR="008B4F3A" w:rsidRPr="00566DF9" w:rsidRDefault="008B4F3A" w:rsidP="008B4F3A">
      <w:pPr>
        <w:pStyle w:val="BodyTextIndent"/>
        <w:widowControl/>
        <w:adjustRightInd/>
        <w:ind w:left="720" w:hanging="720"/>
        <w:jc w:val="left"/>
        <w:textAlignment w:val="auto"/>
        <w:rPr>
          <w:b/>
        </w:rPr>
      </w:pPr>
      <w:r w:rsidRPr="00566DF9">
        <w:rPr>
          <w:b/>
        </w:rPr>
        <w:lastRenderedPageBreak/>
        <w:t>Q.</w:t>
      </w:r>
      <w:r w:rsidRPr="00566DF9">
        <w:rPr>
          <w:b/>
        </w:rPr>
        <w:tab/>
      </w:r>
      <w:r>
        <w:rPr>
          <w:b/>
        </w:rPr>
        <w:t xml:space="preserve">Did Mr. </w:t>
      </w:r>
      <w:proofErr w:type="spellStart"/>
      <w:r>
        <w:rPr>
          <w:b/>
        </w:rPr>
        <w:t>Parcell</w:t>
      </w:r>
      <w:proofErr w:type="spellEnd"/>
      <w:r>
        <w:rPr>
          <w:b/>
        </w:rPr>
        <w:t xml:space="preserve"> provide any testimony comparing the Company’s proposed overall </w:t>
      </w:r>
      <w:r w:rsidR="0002505D">
        <w:rPr>
          <w:b/>
        </w:rPr>
        <w:t>ROR</w:t>
      </w:r>
      <w:r>
        <w:rPr>
          <w:b/>
        </w:rPr>
        <w:t xml:space="preserve"> to industry averages?</w:t>
      </w:r>
    </w:p>
    <w:p w:rsidR="00EC3784" w:rsidRDefault="008B4F3A" w:rsidP="00D25F23">
      <w:pPr>
        <w:pStyle w:val="BodyTextIndent"/>
        <w:widowControl/>
        <w:adjustRightInd/>
        <w:ind w:left="720" w:hanging="720"/>
        <w:jc w:val="left"/>
        <w:textAlignment w:val="auto"/>
      </w:pPr>
      <w:r w:rsidRPr="006D0AEE">
        <w:t>A.</w:t>
      </w:r>
      <w:r>
        <w:tab/>
        <w:t xml:space="preserve">No, Mr. </w:t>
      </w:r>
      <w:proofErr w:type="spellStart"/>
      <w:r>
        <w:t>Parcell</w:t>
      </w:r>
      <w:proofErr w:type="spellEnd"/>
      <w:r>
        <w:t xml:space="preserve"> did not provide any comparison of the Company’s proposed overall </w:t>
      </w:r>
      <w:r w:rsidR="0002505D">
        <w:t>ROR</w:t>
      </w:r>
      <w:r>
        <w:t xml:space="preserve"> to industry averages.  When determining the balance between safety and economy in a capital structure, the resulting ROR is a critical factor.</w:t>
      </w:r>
      <w:r>
        <w:rPr>
          <w:rStyle w:val="FootnoteReference"/>
        </w:rPr>
        <w:footnoteReference w:id="4"/>
      </w:r>
      <w:r>
        <w:t xml:space="preserve">  </w:t>
      </w:r>
      <w:r w:rsidR="00EC1D76">
        <w:t>As shown in Table 3 in my direct testimony, t</w:t>
      </w:r>
      <w:r>
        <w:t xml:space="preserve">he Company’s </w:t>
      </w:r>
      <w:r w:rsidR="00EC1D76">
        <w:t xml:space="preserve">current </w:t>
      </w:r>
      <w:r>
        <w:t xml:space="preserve">ROR </w:t>
      </w:r>
      <w:r w:rsidR="00EC1D76">
        <w:t xml:space="preserve">of 7.36 percent </w:t>
      </w:r>
      <w:r>
        <w:t>in Washington is the lowest in any of its states</w:t>
      </w:r>
      <w:r w:rsidR="00687791">
        <w:t>,</w:t>
      </w:r>
      <w:r w:rsidR="002E14D6">
        <w:t xml:space="preserve"> and Staff’s position in this case would reduce it </w:t>
      </w:r>
      <w:r w:rsidR="00B73E80">
        <w:t xml:space="preserve">further </w:t>
      </w:r>
      <w:r w:rsidR="00DD6368">
        <w:t>by almost 30 basis points</w:t>
      </w:r>
      <w:r w:rsidR="00EC1D76">
        <w:t xml:space="preserve">.  As discussed in more detail below, the Company’s proposed ROR of 7.67 </w:t>
      </w:r>
      <w:r w:rsidR="00C90C63">
        <w:t xml:space="preserve">percent is </w:t>
      </w:r>
      <w:r w:rsidR="00EC1D76">
        <w:t xml:space="preserve">in line with </w:t>
      </w:r>
      <w:r w:rsidR="00C90C63">
        <w:t xml:space="preserve">current RORs </w:t>
      </w:r>
      <w:r w:rsidR="007B5B51">
        <w:t>of comparable companies</w:t>
      </w:r>
      <w:r>
        <w:t xml:space="preserve">.  </w:t>
      </w:r>
    </w:p>
    <w:p w:rsidR="000D7081" w:rsidRPr="00132DA5" w:rsidRDefault="000D7081" w:rsidP="000D7081">
      <w:pPr>
        <w:pStyle w:val="BodyTextIndent"/>
        <w:widowControl/>
        <w:adjustRightInd/>
        <w:ind w:left="720" w:hanging="720"/>
        <w:jc w:val="left"/>
        <w:textAlignment w:val="auto"/>
        <w:rPr>
          <w:b/>
        </w:rPr>
      </w:pPr>
      <w:r w:rsidRPr="00132DA5">
        <w:rPr>
          <w:b/>
        </w:rPr>
        <w:t>Q.</w:t>
      </w:r>
      <w:r w:rsidRPr="00132DA5">
        <w:rPr>
          <w:b/>
        </w:rPr>
        <w:tab/>
        <w:t xml:space="preserve">Mr. </w:t>
      </w:r>
      <w:proofErr w:type="spellStart"/>
      <w:r w:rsidRPr="00132DA5">
        <w:rPr>
          <w:b/>
        </w:rPr>
        <w:t>Parcell</w:t>
      </w:r>
      <w:proofErr w:type="spellEnd"/>
      <w:r w:rsidRPr="00132DA5">
        <w:rPr>
          <w:b/>
        </w:rPr>
        <w:t xml:space="preserve"> attempts to support his hypothetical capital structure through a discussion concerning “double leverage</w:t>
      </w:r>
      <w:r>
        <w:rPr>
          <w:b/>
        </w:rPr>
        <w:t>.</w:t>
      </w:r>
      <w:r w:rsidRPr="00132DA5">
        <w:rPr>
          <w:b/>
        </w:rPr>
        <w:t>”  Has the Commission previously considered this issue?</w:t>
      </w:r>
    </w:p>
    <w:p w:rsidR="000D7081" w:rsidRDefault="000D7081" w:rsidP="000D7081">
      <w:pPr>
        <w:pStyle w:val="BodyTextIndent"/>
        <w:widowControl/>
        <w:adjustRightInd/>
        <w:ind w:left="720" w:hanging="720"/>
        <w:jc w:val="left"/>
        <w:textAlignment w:val="auto"/>
      </w:pPr>
      <w:r w:rsidRPr="006D0AEE">
        <w:t>A.</w:t>
      </w:r>
      <w:r>
        <w:tab/>
        <w:t>Yes.  The Commission has twice heard arguments in support of a “double leverage” adjustment and</w:t>
      </w:r>
      <w:r w:rsidR="00B83A96">
        <w:t>,</w:t>
      </w:r>
      <w:r>
        <w:t xml:space="preserve"> in each case</w:t>
      </w:r>
      <w:r w:rsidR="00B83A96">
        <w:t>,</w:t>
      </w:r>
      <w:r>
        <w:t xml:space="preserve"> rejected </w:t>
      </w:r>
      <w:r w:rsidR="0069185B">
        <w:t>them</w:t>
      </w:r>
      <w:r>
        <w:t>.</w:t>
      </w:r>
      <w:r>
        <w:rPr>
          <w:rStyle w:val="FootnoteReference"/>
        </w:rPr>
        <w:footnoteReference w:id="5"/>
      </w:r>
      <w:r>
        <w:t xml:space="preserve">  When approving the merger of PacifiCorp and MidAmerican Energy Holdings Company (now Berkshire Hathaway Energy</w:t>
      </w:r>
      <w:r w:rsidR="00B83A96">
        <w:t xml:space="preserve"> or BHE</w:t>
      </w:r>
      <w:r>
        <w:t>), the Commission adopted “state of the art” ring</w:t>
      </w:r>
      <w:r w:rsidR="0069185B">
        <w:t>-</w:t>
      </w:r>
      <w:r>
        <w:t>fencing provisions intended to insulate PacifiCorp from the risks of leverage financing at the parent company</w:t>
      </w:r>
      <w:r w:rsidRPr="000D04A2">
        <w:t>.  In rejecting double</w:t>
      </w:r>
      <w:r w:rsidR="0069185B">
        <w:t xml:space="preserve"> </w:t>
      </w:r>
      <w:r w:rsidRPr="000D04A2">
        <w:t>leverage adjustments</w:t>
      </w:r>
      <w:r w:rsidR="007B7A14">
        <w:t xml:space="preserve"> related to BHE</w:t>
      </w:r>
      <w:r w:rsidRPr="000D04A2">
        <w:t>, the Commission found that such adjustments</w:t>
      </w:r>
      <w:r w:rsidR="002E14D6">
        <w:t>:</w:t>
      </w:r>
    </w:p>
    <w:p w:rsidR="000D7081" w:rsidRDefault="007C34CE" w:rsidP="0069185B">
      <w:pPr>
        <w:pStyle w:val="BodyTextIndent"/>
        <w:widowControl/>
        <w:adjustRightInd/>
        <w:spacing w:after="240" w:line="240" w:lineRule="auto"/>
        <w:ind w:left="1440" w:right="1080" w:hanging="720"/>
        <w:jc w:val="left"/>
        <w:textAlignment w:val="auto"/>
        <w:rPr>
          <w:color w:val="000000"/>
        </w:rPr>
      </w:pPr>
      <w:r>
        <w:rPr>
          <w:color w:val="000000"/>
        </w:rPr>
        <w:lastRenderedPageBreak/>
        <w:tab/>
        <w:t>[V]</w:t>
      </w:r>
      <w:proofErr w:type="spellStart"/>
      <w:r w:rsidR="000D7081" w:rsidRPr="000D04A2">
        <w:rPr>
          <w:color w:val="000000"/>
        </w:rPr>
        <w:t>iolate</w:t>
      </w:r>
      <w:proofErr w:type="spellEnd"/>
      <w:r w:rsidR="000D7081" w:rsidRPr="000D04A2">
        <w:rPr>
          <w:color w:val="000000"/>
        </w:rPr>
        <w:t xml:space="preserve"> the familiar principle in utility law that financial benefits should follow burden of risks</w:t>
      </w:r>
      <w:r w:rsidR="000D7081">
        <w:rPr>
          <w:color w:val="000000"/>
        </w:rPr>
        <w:t xml:space="preserve">. . . </w:t>
      </w:r>
      <w:r w:rsidR="000D7081" w:rsidRPr="000D04A2">
        <w:rPr>
          <w:color w:val="000000"/>
        </w:rPr>
        <w:t>If the risks and costs of activities at the parent-level are born exclusively by shareholders—because customers are insulated from them by the ring fence—then it is fair and appropriate for the shareholders, and not the customers, to receive the benefits that result from those activities.</w:t>
      </w:r>
      <w:r w:rsidR="000D7081">
        <w:rPr>
          <w:rStyle w:val="FootnoteReference"/>
          <w:color w:val="000000"/>
        </w:rPr>
        <w:footnoteReference w:id="6"/>
      </w:r>
      <w:r w:rsidR="000D7081" w:rsidRPr="000D04A2">
        <w:rPr>
          <w:color w:val="000000"/>
        </w:rPr>
        <w:t xml:space="preserve"> </w:t>
      </w:r>
    </w:p>
    <w:p w:rsidR="000D7081" w:rsidRDefault="000D7081" w:rsidP="000D7081">
      <w:pPr>
        <w:pStyle w:val="BodyTextIndent"/>
        <w:widowControl/>
        <w:adjustRightInd/>
        <w:ind w:left="720" w:hanging="720"/>
        <w:jc w:val="left"/>
        <w:textAlignment w:val="auto"/>
        <w:rPr>
          <w:b/>
        </w:rPr>
      </w:pPr>
      <w:r>
        <w:rPr>
          <w:b/>
        </w:rPr>
        <w:t>Q.</w:t>
      </w:r>
      <w:r>
        <w:rPr>
          <w:b/>
        </w:rPr>
        <w:tab/>
        <w:t xml:space="preserve">Are there </w:t>
      </w:r>
      <w:proofErr w:type="gramStart"/>
      <w:r>
        <w:rPr>
          <w:b/>
        </w:rPr>
        <w:t>cost</w:t>
      </w:r>
      <w:proofErr w:type="gramEnd"/>
      <w:r>
        <w:rPr>
          <w:b/>
        </w:rPr>
        <w:t xml:space="preserve"> of capital items on which you and Mr. </w:t>
      </w:r>
      <w:proofErr w:type="spellStart"/>
      <w:r>
        <w:rPr>
          <w:b/>
        </w:rPr>
        <w:t>Parcell</w:t>
      </w:r>
      <w:proofErr w:type="spellEnd"/>
      <w:r>
        <w:rPr>
          <w:b/>
        </w:rPr>
        <w:t xml:space="preserve"> </w:t>
      </w:r>
      <w:r w:rsidR="0069185B">
        <w:rPr>
          <w:b/>
        </w:rPr>
        <w:t>agree</w:t>
      </w:r>
      <w:r>
        <w:rPr>
          <w:b/>
        </w:rPr>
        <w:t>?</w:t>
      </w:r>
    </w:p>
    <w:p w:rsidR="000D7081" w:rsidRPr="002562B4" w:rsidRDefault="000D7081" w:rsidP="00EB1641">
      <w:pPr>
        <w:pStyle w:val="BodyTextIndent"/>
        <w:widowControl/>
        <w:adjustRightInd/>
        <w:ind w:left="720" w:hanging="720"/>
        <w:jc w:val="left"/>
        <w:textAlignment w:val="auto"/>
      </w:pPr>
      <w:r w:rsidRPr="006D0AEE">
        <w:t>A.</w:t>
      </w:r>
      <w:r>
        <w:rPr>
          <w:b/>
        </w:rPr>
        <w:tab/>
      </w:r>
      <w:r>
        <w:t xml:space="preserve">Yes.  Mr. </w:t>
      </w:r>
      <w:proofErr w:type="spellStart"/>
      <w:r>
        <w:t>Parcell</w:t>
      </w:r>
      <w:proofErr w:type="spellEnd"/>
      <w:r>
        <w:t xml:space="preserve"> accepts the Company’s proposed costs of preferred stock and long-term debt</w:t>
      </w:r>
      <w:r w:rsidR="009201E6">
        <w:t>.</w:t>
      </w:r>
      <w:r>
        <w:rPr>
          <w:rStyle w:val="FootnoteReference"/>
        </w:rPr>
        <w:footnoteReference w:id="7"/>
      </w:r>
      <w:r w:rsidRPr="00D25F23">
        <w:t xml:space="preserve"> </w:t>
      </w:r>
      <w:r>
        <w:t xml:space="preserve"> The cost of long-term debt that Mr. </w:t>
      </w:r>
      <w:proofErr w:type="spellStart"/>
      <w:r>
        <w:t>Parcell</w:t>
      </w:r>
      <w:proofErr w:type="spellEnd"/>
      <w:r>
        <w:t xml:space="preserve"> accepts (5.19 percent), however, is the Company’s proposed cost under its actual capital structure.  The cost of long-term debt if the Commission utilizes the hypothetical capital structure </w:t>
      </w:r>
      <w:r w:rsidR="002F7F70">
        <w:t>Mr.</w:t>
      </w:r>
      <w:r w:rsidR="0069185B">
        <w:t> </w:t>
      </w:r>
      <w:proofErr w:type="spellStart"/>
      <w:r>
        <w:t>Parcell</w:t>
      </w:r>
      <w:proofErr w:type="spellEnd"/>
      <w:r>
        <w:t xml:space="preserve"> recommends is 5.80 percent, as shown in the Company’s alternative overall cost of capital.</w:t>
      </w:r>
      <w:r>
        <w:rPr>
          <w:rStyle w:val="FootnoteReference"/>
        </w:rPr>
        <w:footnoteReference w:id="8"/>
      </w:r>
      <w:r>
        <w:t xml:space="preserve">  </w:t>
      </w:r>
    </w:p>
    <w:p w:rsidR="00EC3784" w:rsidRPr="0002505D" w:rsidRDefault="008A76E4" w:rsidP="0002505D">
      <w:pPr>
        <w:pStyle w:val="Heading3"/>
      </w:pPr>
      <w:bookmarkStart w:id="4" w:name="_Toc403708987"/>
      <w:bookmarkStart w:id="5" w:name="_Toc403709330"/>
      <w:r w:rsidRPr="0002505D">
        <w:t>Credit Metrics</w:t>
      </w:r>
      <w:bookmarkEnd w:id="4"/>
      <w:bookmarkEnd w:id="5"/>
    </w:p>
    <w:p w:rsidR="00EC3784" w:rsidRDefault="00EC3784" w:rsidP="00EB1641">
      <w:pPr>
        <w:pStyle w:val="BodyTextIndent"/>
        <w:widowControl/>
        <w:adjustRightInd/>
        <w:ind w:left="720" w:hanging="720"/>
        <w:jc w:val="left"/>
        <w:textAlignment w:val="auto"/>
        <w:rPr>
          <w:b/>
        </w:rPr>
      </w:pPr>
      <w:r>
        <w:rPr>
          <w:b/>
        </w:rPr>
        <w:t>Q.</w:t>
      </w:r>
      <w:r>
        <w:rPr>
          <w:b/>
        </w:rPr>
        <w:tab/>
        <w:t xml:space="preserve">Please comment on Mr. </w:t>
      </w:r>
      <w:proofErr w:type="spellStart"/>
      <w:r>
        <w:rPr>
          <w:b/>
        </w:rPr>
        <w:t>Parcell’s</w:t>
      </w:r>
      <w:proofErr w:type="spellEnd"/>
      <w:r>
        <w:rPr>
          <w:b/>
        </w:rPr>
        <w:t xml:space="preserve"> reliance on a pre-tax interest coverage ratio to support his overall cost of capital recommendation.</w:t>
      </w:r>
    </w:p>
    <w:p w:rsidR="00EC3784" w:rsidRDefault="00EC3784" w:rsidP="00EB1641">
      <w:pPr>
        <w:pStyle w:val="BodyTextIndent"/>
        <w:widowControl/>
        <w:adjustRightInd/>
        <w:ind w:left="720" w:hanging="720"/>
        <w:jc w:val="left"/>
        <w:textAlignment w:val="auto"/>
      </w:pPr>
      <w:r w:rsidRPr="006D0AEE">
        <w:t>A.</w:t>
      </w:r>
      <w:r>
        <w:rPr>
          <w:b/>
        </w:rPr>
        <w:tab/>
      </w:r>
      <w:r>
        <w:t xml:space="preserve">Mr. </w:t>
      </w:r>
      <w:proofErr w:type="spellStart"/>
      <w:r>
        <w:t>Parcell’s</w:t>
      </w:r>
      <w:proofErr w:type="spellEnd"/>
      <w:r>
        <w:t xml:space="preserve"> analysis is </w:t>
      </w:r>
      <w:proofErr w:type="gramStart"/>
      <w:r w:rsidR="008077C6">
        <w:t>perfunctory</w:t>
      </w:r>
      <w:r w:rsidR="000A545D">
        <w:t>,</w:t>
      </w:r>
      <w:proofErr w:type="gramEnd"/>
      <w:r w:rsidR="000A545D">
        <w:t xml:space="preserve"> </w:t>
      </w:r>
      <w:r>
        <w:t>rel</w:t>
      </w:r>
      <w:r w:rsidR="000A545D">
        <w:t>ying</w:t>
      </w:r>
      <w:r>
        <w:t xml:space="preserve"> on a single credit metric </w:t>
      </w:r>
      <w:r w:rsidR="00DC7757">
        <w:t>(</w:t>
      </w:r>
      <w:r w:rsidR="0069185B">
        <w:t xml:space="preserve">the </w:t>
      </w:r>
      <w:r w:rsidR="00DC7757">
        <w:t xml:space="preserve">pre-tax interest coverage ratio) </w:t>
      </w:r>
      <w:r>
        <w:t>that he admits is no longer used by the rating agenc</w:t>
      </w:r>
      <w:r w:rsidR="00DC7757">
        <w:t>ies</w:t>
      </w:r>
      <w:r>
        <w:t>.</w:t>
      </w:r>
      <w:r>
        <w:rPr>
          <w:rStyle w:val="FootnoteReference"/>
        </w:rPr>
        <w:footnoteReference w:id="9"/>
      </w:r>
      <w:r>
        <w:t xml:space="preserve">  Mr.</w:t>
      </w:r>
      <w:r w:rsidR="0069185B">
        <w:t> </w:t>
      </w:r>
      <w:proofErr w:type="spellStart"/>
      <w:r>
        <w:t>Parcell’s</w:t>
      </w:r>
      <w:proofErr w:type="spellEnd"/>
      <w:r>
        <w:t xml:space="preserve"> model </w:t>
      </w:r>
      <w:r w:rsidR="008077C6">
        <w:t>also does not</w:t>
      </w:r>
      <w:r>
        <w:t xml:space="preserve"> </w:t>
      </w:r>
      <w:r w:rsidR="007B7A14">
        <w:t xml:space="preserve">account for </w:t>
      </w:r>
      <w:r>
        <w:t xml:space="preserve">the other adjustments proposed by Staff witnesses </w:t>
      </w:r>
      <w:r w:rsidR="007B7A14">
        <w:t>in this case</w:t>
      </w:r>
      <w:r w:rsidR="000A545D">
        <w:t xml:space="preserve">, and </w:t>
      </w:r>
      <w:r w:rsidR="0002505D">
        <w:t>does not</w:t>
      </w:r>
      <w:r>
        <w:t xml:space="preserve"> include the financing costs of assets under construction.</w:t>
      </w:r>
      <w:r w:rsidR="002E14D6">
        <w:t xml:space="preserve">  </w:t>
      </w:r>
      <w:r w:rsidR="0069185B">
        <w:t>T</w:t>
      </w:r>
      <w:r>
        <w:t xml:space="preserve">here is </w:t>
      </w:r>
      <w:r w:rsidR="0069185B">
        <w:t xml:space="preserve">therefore </w:t>
      </w:r>
      <w:r>
        <w:t>no factual basis for his claims that his proposed capital structure and costs of capital would support the Company’s current credit ratings.  In fact</w:t>
      </w:r>
      <w:r w:rsidR="007B7A14">
        <w:t>, as I have demonstrated,</w:t>
      </w:r>
      <w:r>
        <w:t xml:space="preserve"> the opposite is true</w:t>
      </w:r>
      <w:r w:rsidR="007B7A14">
        <w:t>.</w:t>
      </w:r>
    </w:p>
    <w:p w:rsidR="00B83A96" w:rsidRPr="0002505D" w:rsidRDefault="00B83A96" w:rsidP="0002505D">
      <w:pPr>
        <w:pStyle w:val="Heading1"/>
        <w:spacing w:line="240" w:lineRule="auto"/>
      </w:pPr>
      <w:bookmarkStart w:id="6" w:name="_Toc403708988"/>
      <w:bookmarkStart w:id="7" w:name="_Toc403709331"/>
      <w:r w:rsidRPr="0002505D">
        <w:lastRenderedPageBreak/>
        <w:t>REPLY TO PUBLIC COUNSEL’S PROPOSED</w:t>
      </w:r>
      <w:bookmarkEnd w:id="6"/>
      <w:r w:rsidRPr="0002505D">
        <w:t xml:space="preserve"> </w:t>
      </w:r>
      <w:bookmarkStart w:id="8" w:name="_Toc403708989"/>
      <w:r w:rsidRPr="0002505D">
        <w:t>CAPITAL STRUCTURE AND COST OF DEBT</w:t>
      </w:r>
      <w:bookmarkEnd w:id="8"/>
      <w:bookmarkEnd w:id="7"/>
    </w:p>
    <w:p w:rsidR="00B83A96" w:rsidRDefault="00B83A96" w:rsidP="009201E6">
      <w:pPr>
        <w:suppressLineNumbers/>
        <w:spacing w:line="240" w:lineRule="auto"/>
        <w:jc w:val="center"/>
        <w:rPr>
          <w:b/>
        </w:rPr>
      </w:pPr>
    </w:p>
    <w:p w:rsidR="00B83A96" w:rsidRDefault="00B83A96" w:rsidP="009201E6">
      <w:pPr>
        <w:spacing w:line="480" w:lineRule="auto"/>
        <w:jc w:val="left"/>
        <w:rPr>
          <w:b/>
        </w:rPr>
      </w:pPr>
      <w:r>
        <w:rPr>
          <w:b/>
        </w:rPr>
        <w:t xml:space="preserve">Q. </w:t>
      </w:r>
      <w:r>
        <w:rPr>
          <w:b/>
        </w:rPr>
        <w:tab/>
        <w:t>Please summarize Mr. Hill’s proposed capital structure and costs of capital.</w:t>
      </w:r>
    </w:p>
    <w:p w:rsidR="00B83A96" w:rsidRDefault="00B83A96" w:rsidP="009201E6">
      <w:pPr>
        <w:spacing w:line="480" w:lineRule="auto"/>
        <w:ind w:left="720" w:hanging="720"/>
        <w:jc w:val="left"/>
      </w:pPr>
      <w:r w:rsidRPr="00F27D25">
        <w:t>A.</w:t>
      </w:r>
      <w:r>
        <w:rPr>
          <w:b/>
        </w:rPr>
        <w:tab/>
      </w:r>
      <w:r w:rsidRPr="003D343F">
        <w:t>Mr. Hill</w:t>
      </w:r>
      <w:r>
        <w:t xml:space="preserve"> proposes a </w:t>
      </w:r>
      <w:r w:rsidRPr="00F27D25">
        <w:rPr>
          <w:kern w:val="16"/>
          <w:szCs w:val="20"/>
        </w:rPr>
        <w:t>hypothetical</w:t>
      </w:r>
      <w:r>
        <w:t xml:space="preserve"> capital structure and costs of capital consistent with the Company’s alternative overall cost of capital</w:t>
      </w:r>
      <w:r w:rsidR="0069185B">
        <w:t>, but with a</w:t>
      </w:r>
      <w:r>
        <w:t>n 8.90 percent return on equity</w:t>
      </w:r>
      <w:r w:rsidR="001178B8">
        <w:t xml:space="preserve">.  </w:t>
      </w:r>
      <w:r>
        <w:t>Mr. Strunk respond</w:t>
      </w:r>
      <w:r w:rsidR="001178B8">
        <w:t>s</w:t>
      </w:r>
      <w:r>
        <w:t xml:space="preserve"> to</w:t>
      </w:r>
      <w:r w:rsidR="001178B8">
        <w:t xml:space="preserve"> Mr. Hill’s </w:t>
      </w:r>
      <w:r w:rsidR="0069185B">
        <w:t>return on equity recommendation</w:t>
      </w:r>
      <w:r>
        <w:t>.</w:t>
      </w:r>
    </w:p>
    <w:p w:rsidR="00B83A96" w:rsidRPr="000F507E" w:rsidRDefault="00B83A96" w:rsidP="009201E6">
      <w:pPr>
        <w:pStyle w:val="BodyTextIndent"/>
        <w:widowControl/>
        <w:adjustRightInd/>
        <w:ind w:left="720" w:hanging="720"/>
        <w:jc w:val="left"/>
        <w:textAlignment w:val="auto"/>
        <w:rPr>
          <w:b/>
        </w:rPr>
      </w:pPr>
      <w:r w:rsidRPr="000F507E">
        <w:rPr>
          <w:b/>
        </w:rPr>
        <w:t>Q.</w:t>
      </w:r>
      <w:r w:rsidRPr="000F507E">
        <w:rPr>
          <w:b/>
        </w:rPr>
        <w:tab/>
        <w:t xml:space="preserve">Are there specific costs of capital </w:t>
      </w:r>
      <w:r w:rsidR="001178B8">
        <w:rPr>
          <w:b/>
        </w:rPr>
        <w:t xml:space="preserve">on </w:t>
      </w:r>
      <w:r w:rsidRPr="000F507E">
        <w:rPr>
          <w:b/>
        </w:rPr>
        <w:t xml:space="preserve">which you and Mr. Hill </w:t>
      </w:r>
      <w:r w:rsidR="0069185B">
        <w:rPr>
          <w:b/>
        </w:rPr>
        <w:t>agree</w:t>
      </w:r>
      <w:r w:rsidRPr="000F507E">
        <w:rPr>
          <w:b/>
        </w:rPr>
        <w:t>?</w:t>
      </w:r>
    </w:p>
    <w:p w:rsidR="00B83A96" w:rsidRDefault="00B83A96" w:rsidP="009201E6">
      <w:pPr>
        <w:spacing w:line="480" w:lineRule="auto"/>
        <w:ind w:left="720" w:hanging="720"/>
        <w:jc w:val="left"/>
      </w:pPr>
      <w:r w:rsidRPr="00F27D25">
        <w:t>A.</w:t>
      </w:r>
      <w:r>
        <w:tab/>
        <w:t xml:space="preserve">Yes. </w:t>
      </w:r>
      <w:r w:rsidR="001178B8">
        <w:t xml:space="preserve"> </w:t>
      </w:r>
      <w:r>
        <w:t xml:space="preserve">Mr. Hill and I </w:t>
      </w:r>
      <w:r w:rsidR="0082366A">
        <w:t>agree</w:t>
      </w:r>
      <w:r>
        <w:t xml:space="preserve"> that </w:t>
      </w:r>
      <w:r w:rsidR="001178B8">
        <w:t>if</w:t>
      </w:r>
      <w:r>
        <w:t xml:space="preserve"> the Commission </w:t>
      </w:r>
      <w:r w:rsidR="001178B8">
        <w:t>adopts</w:t>
      </w:r>
      <w:r>
        <w:t xml:space="preserve"> a capital structure containing less common equity than the Company’s actual capital structure</w:t>
      </w:r>
      <w:r w:rsidR="001178B8">
        <w:t>,</w:t>
      </w:r>
      <w:r>
        <w:t xml:space="preserve"> a corresponding increase in the costs of long-term and short-term debt is necessary.  Mr. Hill accepts my recommended cost of long-term debt and short-term debt of 5.80</w:t>
      </w:r>
      <w:r w:rsidR="002E14D6">
        <w:t xml:space="preserve"> percent</w:t>
      </w:r>
      <w:r>
        <w:t xml:space="preserve"> and 2.1</w:t>
      </w:r>
      <w:r w:rsidR="0082366A">
        <w:t>1 </w:t>
      </w:r>
      <w:r w:rsidR="002E14D6">
        <w:t>percent,</w:t>
      </w:r>
      <w:r>
        <w:t xml:space="preserve"> respectively, if a hypothetical capital is utilized. </w:t>
      </w:r>
      <w:r w:rsidR="001178B8">
        <w:t xml:space="preserve"> </w:t>
      </w:r>
      <w:r>
        <w:t xml:space="preserve">Mr. Hill and I also </w:t>
      </w:r>
      <w:r w:rsidR="0082366A">
        <w:t xml:space="preserve">agree </w:t>
      </w:r>
      <w:r>
        <w:t>on the cost of preferred stock of 6.75</w:t>
      </w:r>
      <w:r w:rsidR="002E14D6">
        <w:t xml:space="preserve"> percent</w:t>
      </w:r>
      <w:r>
        <w:t>.</w:t>
      </w:r>
    </w:p>
    <w:p w:rsidR="00B83A96" w:rsidRDefault="00B83A96" w:rsidP="009201E6">
      <w:pPr>
        <w:spacing w:line="480" w:lineRule="auto"/>
        <w:ind w:left="720" w:hanging="720"/>
        <w:jc w:val="left"/>
        <w:rPr>
          <w:b/>
        </w:rPr>
      </w:pPr>
      <w:r w:rsidRPr="00BC5640">
        <w:rPr>
          <w:b/>
        </w:rPr>
        <w:t>Q.</w:t>
      </w:r>
      <w:r>
        <w:tab/>
      </w:r>
      <w:r w:rsidRPr="00EE0060">
        <w:rPr>
          <w:b/>
        </w:rPr>
        <w:t>Is Mr. Hill</w:t>
      </w:r>
      <w:r w:rsidR="004D4679">
        <w:rPr>
          <w:b/>
        </w:rPr>
        <w:t xml:space="preserve"> correct</w:t>
      </w:r>
      <w:r w:rsidR="00EE0060">
        <w:rPr>
          <w:b/>
        </w:rPr>
        <w:t xml:space="preserve"> </w:t>
      </w:r>
      <w:r w:rsidR="004D4679">
        <w:rPr>
          <w:b/>
        </w:rPr>
        <w:t xml:space="preserve">that </w:t>
      </w:r>
      <w:r>
        <w:rPr>
          <w:b/>
        </w:rPr>
        <w:t>the Company</w:t>
      </w:r>
      <w:r w:rsidR="004D4679">
        <w:rPr>
          <w:b/>
        </w:rPr>
        <w:t xml:space="preserve"> has not paid dividends for eight years? </w:t>
      </w:r>
    </w:p>
    <w:p w:rsidR="00056BE9" w:rsidRDefault="00B83A96" w:rsidP="00056BE9">
      <w:pPr>
        <w:spacing w:line="480" w:lineRule="auto"/>
        <w:ind w:left="720" w:hanging="720"/>
        <w:jc w:val="left"/>
        <w:rPr>
          <w:b/>
        </w:rPr>
      </w:pPr>
      <w:r w:rsidRPr="00F27D25">
        <w:t>A.</w:t>
      </w:r>
      <w:r w:rsidRPr="00F27D25">
        <w:tab/>
      </w:r>
      <w:r w:rsidR="004D4679">
        <w:t xml:space="preserve">No.  </w:t>
      </w:r>
      <w:r w:rsidR="00EE0060">
        <w:t>Mr. Hill testifies that</w:t>
      </w:r>
      <w:r>
        <w:t xml:space="preserve"> </w:t>
      </w:r>
      <w:r w:rsidR="002E14D6">
        <w:t>“</w:t>
      </w:r>
      <w:r>
        <w:t>over the past eight years, PacifiCorp’s common equity r</w:t>
      </w:r>
      <w:r w:rsidR="002D69CA">
        <w:t>atio has migrated from about 49 percent</w:t>
      </w:r>
      <w:r>
        <w:t xml:space="preserve"> to </w:t>
      </w:r>
      <w:r w:rsidR="00767ED8">
        <w:t xml:space="preserve">about </w:t>
      </w:r>
      <w:r w:rsidR="002D69CA">
        <w:t xml:space="preserve">52 percent </w:t>
      </w:r>
      <w:r>
        <w:t>as the Company has not paid dividends to its parent and has retained earning to raise the common equity ratio.”</w:t>
      </w:r>
      <w:r>
        <w:rPr>
          <w:rStyle w:val="FootnoteReference"/>
        </w:rPr>
        <w:footnoteReference w:id="10"/>
      </w:r>
      <w:r>
        <w:t xml:space="preserve">  </w:t>
      </w:r>
      <w:r w:rsidR="003A4397">
        <w:t>M</w:t>
      </w:r>
      <w:r>
        <w:t xml:space="preserve">y direct testimony </w:t>
      </w:r>
      <w:r w:rsidR="003A4397">
        <w:t xml:space="preserve">is clear </w:t>
      </w:r>
      <w:r>
        <w:t xml:space="preserve">that the Company initiated the payment of dividends </w:t>
      </w:r>
      <w:r w:rsidR="00DD6368">
        <w:t xml:space="preserve">in 2011 </w:t>
      </w:r>
      <w:r>
        <w:t xml:space="preserve">and expects to continue paying dividends to its parent company.  </w:t>
      </w:r>
      <w:r w:rsidR="0082366A">
        <w:t xml:space="preserve">Without </w:t>
      </w:r>
      <w:r>
        <w:t>these dividends</w:t>
      </w:r>
      <w:r w:rsidR="003A4397">
        <w:t>,</w:t>
      </w:r>
      <w:r>
        <w:t xml:space="preserve"> the </w:t>
      </w:r>
      <w:r w:rsidR="00DD6368">
        <w:t xml:space="preserve">Company’s </w:t>
      </w:r>
      <w:r>
        <w:t>common equity level would be higher</w:t>
      </w:r>
      <w:r w:rsidR="002E14D6">
        <w:t>.</w:t>
      </w:r>
      <w:r>
        <w:rPr>
          <w:rStyle w:val="FootnoteReference"/>
        </w:rPr>
        <w:footnoteReference w:id="11"/>
      </w:r>
      <w:r w:rsidR="00056BE9">
        <w:rPr>
          <w:b/>
        </w:rPr>
        <w:br w:type="page"/>
      </w:r>
    </w:p>
    <w:p w:rsidR="00B83A96" w:rsidRDefault="00B83A96" w:rsidP="009201E6">
      <w:pPr>
        <w:spacing w:line="480" w:lineRule="auto"/>
        <w:ind w:left="720" w:hanging="720"/>
        <w:jc w:val="left"/>
        <w:rPr>
          <w:b/>
        </w:rPr>
      </w:pPr>
      <w:r>
        <w:rPr>
          <w:b/>
        </w:rPr>
        <w:lastRenderedPageBreak/>
        <w:t>Q.</w:t>
      </w:r>
      <w:r>
        <w:rPr>
          <w:b/>
        </w:rPr>
        <w:tab/>
        <w:t xml:space="preserve">Does Mr. Hill acknowledge that PacifiCorp has retained its credit ratings over the past eight years?  </w:t>
      </w:r>
    </w:p>
    <w:p w:rsidR="00B83A96" w:rsidRDefault="00B83A96" w:rsidP="009201E6">
      <w:pPr>
        <w:spacing w:line="480" w:lineRule="auto"/>
        <w:ind w:left="720" w:hanging="720"/>
        <w:jc w:val="left"/>
      </w:pPr>
      <w:r w:rsidRPr="00F27D25">
        <w:t>A.</w:t>
      </w:r>
      <w:r>
        <w:rPr>
          <w:b/>
        </w:rPr>
        <w:tab/>
      </w:r>
      <w:r>
        <w:t xml:space="preserve">Yes, his table on page 23 shows that PacifiCorp’s corporate credit ratings have remained unchanged since 2006.  </w:t>
      </w:r>
      <w:r w:rsidR="003A4397">
        <w:t>T</w:t>
      </w:r>
      <w:r>
        <w:t>his table also displays the common equity percentage over that time period.  This underscores my point that PacifiCorp’s increase in the common equity component has helped it retain its credit ratings</w:t>
      </w:r>
      <w:r w:rsidR="004D4679">
        <w:t xml:space="preserve"> and achieve </w:t>
      </w:r>
      <w:r>
        <w:t>a lower cost of debt</w:t>
      </w:r>
      <w:r w:rsidR="004D4679">
        <w:t>.</w:t>
      </w:r>
      <w:r>
        <w:t xml:space="preserve">  </w:t>
      </w:r>
      <w:r w:rsidR="003A4397">
        <w:t xml:space="preserve">As Mr. Hill agrees, </w:t>
      </w:r>
      <w:r>
        <w:t xml:space="preserve">it is </w:t>
      </w:r>
      <w:r w:rsidR="009D25A3">
        <w:t xml:space="preserve">therefore </w:t>
      </w:r>
      <w:r>
        <w:t>inappropriate to adjust the capital structure for a lower common equity component without a corresponding increase to the cost of debt.</w:t>
      </w:r>
    </w:p>
    <w:p w:rsidR="00B83A96" w:rsidRDefault="00B83A96" w:rsidP="009201E6">
      <w:pPr>
        <w:spacing w:line="480" w:lineRule="auto"/>
        <w:ind w:left="720" w:hanging="720"/>
        <w:jc w:val="left"/>
        <w:rPr>
          <w:b/>
        </w:rPr>
      </w:pPr>
      <w:r w:rsidRPr="00190952">
        <w:rPr>
          <w:b/>
        </w:rPr>
        <w:t>Q.</w:t>
      </w:r>
      <w:r w:rsidRPr="00190952">
        <w:rPr>
          <w:b/>
        </w:rPr>
        <w:tab/>
        <w:t>Do you agree with Mr. Hill</w:t>
      </w:r>
      <w:r>
        <w:rPr>
          <w:b/>
        </w:rPr>
        <w:t>’s implication</w:t>
      </w:r>
      <w:r w:rsidRPr="00190952">
        <w:rPr>
          <w:b/>
        </w:rPr>
        <w:t xml:space="preserve"> that Washington </w:t>
      </w:r>
      <w:r>
        <w:rPr>
          <w:b/>
        </w:rPr>
        <w:t xml:space="preserve">is </w:t>
      </w:r>
      <w:r w:rsidRPr="00190952">
        <w:rPr>
          <w:b/>
        </w:rPr>
        <w:t xml:space="preserve">such a small relative percentage of PacifiCorp that </w:t>
      </w:r>
      <w:r w:rsidR="001178B8">
        <w:rPr>
          <w:b/>
        </w:rPr>
        <w:t>the Commission’s decisions have no impact on PacifiCorp’s creditworthiness</w:t>
      </w:r>
      <w:r w:rsidRPr="00190952">
        <w:rPr>
          <w:b/>
        </w:rPr>
        <w:t>?</w:t>
      </w:r>
    </w:p>
    <w:p w:rsidR="00B83A96" w:rsidRDefault="00B83A96" w:rsidP="009201E6">
      <w:pPr>
        <w:spacing w:line="480" w:lineRule="auto"/>
        <w:ind w:left="720" w:hanging="720"/>
        <w:jc w:val="left"/>
      </w:pPr>
      <w:r w:rsidRPr="00F27D25">
        <w:t>A.</w:t>
      </w:r>
      <w:r>
        <w:rPr>
          <w:b/>
        </w:rPr>
        <w:tab/>
      </w:r>
      <w:r w:rsidR="00B73E80">
        <w:t>N</w:t>
      </w:r>
      <w:r>
        <w:t>o</w:t>
      </w:r>
      <w:r w:rsidR="00B73E80">
        <w:t>.</w:t>
      </w:r>
      <w:r>
        <w:t xml:space="preserve">  Each state that PacifiCorp serves is very important to the Company</w:t>
      </w:r>
      <w:r w:rsidR="001178B8">
        <w:t xml:space="preserve"> and, to be fair to all of its customers</w:t>
      </w:r>
      <w:r w:rsidR="002F7F70">
        <w:t xml:space="preserve">, </w:t>
      </w:r>
      <w:r>
        <w:t xml:space="preserve">the Company uses the same </w:t>
      </w:r>
      <w:r w:rsidR="001178B8">
        <w:t xml:space="preserve">actual </w:t>
      </w:r>
      <w:r>
        <w:t>capital structure for each state jurisdiction</w:t>
      </w:r>
      <w:r w:rsidR="0082366A">
        <w:t>.</w:t>
      </w:r>
      <w:r>
        <w:rPr>
          <w:rStyle w:val="FootnoteReference"/>
        </w:rPr>
        <w:footnoteReference w:id="12"/>
      </w:r>
    </w:p>
    <w:p w:rsidR="00B83A96" w:rsidRDefault="00B83A96" w:rsidP="009201E6">
      <w:pPr>
        <w:spacing w:line="480" w:lineRule="auto"/>
        <w:ind w:left="720" w:hanging="720"/>
        <w:jc w:val="left"/>
      </w:pPr>
      <w:r>
        <w:tab/>
      </w:r>
      <w:r>
        <w:tab/>
        <w:t>As I discussed in my direct testimony, regulatory treatment of a utility is critical</w:t>
      </w:r>
      <w:r w:rsidR="0082366A">
        <w:t>ly</w:t>
      </w:r>
      <w:r>
        <w:t xml:space="preserve"> import</w:t>
      </w:r>
      <w:r w:rsidR="0082366A">
        <w:t>ant</w:t>
      </w:r>
      <w:r>
        <w:t xml:space="preserve"> when rating agencies assess the creditworthiness of a utility.</w:t>
      </w:r>
      <w:r>
        <w:rPr>
          <w:rStyle w:val="FootnoteReference"/>
        </w:rPr>
        <w:footnoteReference w:id="13"/>
      </w:r>
      <w:r>
        <w:t xml:space="preserve">  While Mr. Hill may believe that it</w:t>
      </w:r>
      <w:r w:rsidR="001178B8">
        <w:t xml:space="preserve"> is</w:t>
      </w:r>
      <w:r>
        <w:t xml:space="preserve"> unlikely </w:t>
      </w:r>
      <w:r w:rsidR="0082366A">
        <w:t>that downgrade will occur if the Commission again adopts a</w:t>
      </w:r>
      <w:r>
        <w:t xml:space="preserve"> </w:t>
      </w:r>
      <w:r w:rsidR="0082366A">
        <w:t xml:space="preserve">hypothetical </w:t>
      </w:r>
      <w:r>
        <w:t xml:space="preserve">common equity component </w:t>
      </w:r>
      <w:r w:rsidR="0082366A">
        <w:t>to set</w:t>
      </w:r>
      <w:r>
        <w:t xml:space="preserve"> Washington rates, th</w:t>
      </w:r>
      <w:r w:rsidR="0082366A">
        <w:t>e Commission’s decision in th</w:t>
      </w:r>
      <w:r>
        <w:t xml:space="preserve">e 2013 Order </w:t>
      </w:r>
      <w:r w:rsidR="001178B8">
        <w:t>indisputably drew negative</w:t>
      </w:r>
      <w:r w:rsidR="008077C6">
        <w:t xml:space="preserve"> attention from</w:t>
      </w:r>
      <w:r>
        <w:t xml:space="preserve"> the rating agencies.</w:t>
      </w:r>
      <w:r w:rsidR="003A4397">
        <w:t xml:space="preserve">  </w:t>
      </w:r>
      <w:r>
        <w:t>For example, Moody’s wrote:</w:t>
      </w:r>
    </w:p>
    <w:p w:rsidR="00B83A96" w:rsidRDefault="00B83A96" w:rsidP="0082366A">
      <w:pPr>
        <w:spacing w:line="240" w:lineRule="auto"/>
        <w:ind w:left="1440" w:right="1080"/>
        <w:jc w:val="left"/>
      </w:pPr>
      <w:r>
        <w:lastRenderedPageBreak/>
        <w:t>Among its jurisdictions, the company’s most challenging is Washington, where the allowed ROE is the lowest at 9.5% and where it is contesting its last rate decision, while filing for a new base rate increase ($27 million request.)</w:t>
      </w:r>
      <w:r>
        <w:rPr>
          <w:rStyle w:val="FootnoteReference"/>
        </w:rPr>
        <w:footnoteReference w:id="14"/>
      </w:r>
    </w:p>
    <w:p w:rsidR="00B83A96" w:rsidRDefault="00B83A96" w:rsidP="00AB6D2D">
      <w:pPr>
        <w:suppressLineNumbers/>
        <w:spacing w:line="240" w:lineRule="auto"/>
        <w:jc w:val="left"/>
      </w:pPr>
    </w:p>
    <w:p w:rsidR="00B83A96" w:rsidRDefault="00B83A96" w:rsidP="009201E6">
      <w:pPr>
        <w:spacing w:line="240" w:lineRule="auto"/>
        <w:jc w:val="left"/>
      </w:pPr>
      <w:r>
        <w:tab/>
        <w:t>Similarly, Fitch has stated:</w:t>
      </w:r>
    </w:p>
    <w:p w:rsidR="00B83A96" w:rsidRDefault="00B83A96" w:rsidP="00AB6D2D">
      <w:pPr>
        <w:suppressLineNumbers/>
        <w:spacing w:line="240" w:lineRule="auto"/>
        <w:jc w:val="left"/>
      </w:pPr>
    </w:p>
    <w:p w:rsidR="00B83A96" w:rsidRDefault="00B83A96" w:rsidP="0082366A">
      <w:pPr>
        <w:spacing w:after="120" w:line="240" w:lineRule="auto"/>
        <w:ind w:left="1440"/>
        <w:jc w:val="left"/>
      </w:pPr>
      <w:r>
        <w:t>Rate constructs in five of the six jurisdictions include power cost adjustments, the State of Washington being the exception.</w:t>
      </w:r>
    </w:p>
    <w:p w:rsidR="0082366A" w:rsidRDefault="0082366A" w:rsidP="0082366A">
      <w:pPr>
        <w:spacing w:after="120" w:line="240" w:lineRule="auto"/>
        <w:ind w:left="720"/>
        <w:jc w:val="center"/>
      </w:pPr>
      <w:r>
        <w:t>*</w:t>
      </w:r>
      <w:r>
        <w:tab/>
        <w:t>*</w:t>
      </w:r>
      <w:r>
        <w:tab/>
        <w:t>*</w:t>
      </w:r>
    </w:p>
    <w:p w:rsidR="00B83A96" w:rsidRDefault="0082366A" w:rsidP="0082366A">
      <w:pPr>
        <w:spacing w:after="240" w:line="240" w:lineRule="auto"/>
        <w:ind w:left="1440" w:right="1080"/>
        <w:jc w:val="left"/>
      </w:pPr>
      <w:r>
        <w:t>[</w:t>
      </w:r>
      <w:r w:rsidR="00B83A96">
        <w:t xml:space="preserve">The </w:t>
      </w:r>
      <w:r>
        <w:t>Washington Commission]</w:t>
      </w:r>
      <w:r w:rsidR="00B83A96">
        <w:t xml:space="preserve"> approved a $17 million electric rate increase based on a 9.5% return on equity (ROE) in December 2013…. The allowed return, in Fitch’s opinion is lower than the sector average of around 10%.</w:t>
      </w:r>
      <w:r w:rsidR="00B83A96">
        <w:rPr>
          <w:rStyle w:val="FootnoteReference"/>
        </w:rPr>
        <w:footnoteReference w:id="15"/>
      </w:r>
      <w:r w:rsidR="00B83A96">
        <w:t xml:space="preserve"> </w:t>
      </w:r>
    </w:p>
    <w:p w:rsidR="001178B8" w:rsidRDefault="001178B8" w:rsidP="009201E6">
      <w:pPr>
        <w:spacing w:line="480" w:lineRule="auto"/>
        <w:ind w:left="720" w:hanging="720"/>
        <w:jc w:val="left"/>
        <w:rPr>
          <w:b/>
        </w:rPr>
      </w:pPr>
      <w:r w:rsidRPr="00161C46">
        <w:rPr>
          <w:b/>
        </w:rPr>
        <w:t>Q.</w:t>
      </w:r>
      <w:r w:rsidRPr="00161C46">
        <w:rPr>
          <w:b/>
        </w:rPr>
        <w:tab/>
      </w:r>
      <w:r>
        <w:rPr>
          <w:b/>
        </w:rPr>
        <w:t>Is Mr. Hill’s comparison of expected pension returns and return on equity in this case a relevant comparison?</w:t>
      </w:r>
    </w:p>
    <w:p w:rsidR="001178B8" w:rsidRDefault="001178B8" w:rsidP="009201E6">
      <w:pPr>
        <w:spacing w:line="480" w:lineRule="auto"/>
        <w:ind w:left="720" w:hanging="720"/>
        <w:jc w:val="left"/>
      </w:pPr>
      <w:r w:rsidRPr="00F27D25">
        <w:t>A.</w:t>
      </w:r>
      <w:r>
        <w:rPr>
          <w:b/>
        </w:rPr>
        <w:tab/>
      </w:r>
      <w:r>
        <w:t xml:space="preserve">No. </w:t>
      </w:r>
      <w:r w:rsidR="00A50A05">
        <w:t xml:space="preserve"> </w:t>
      </w:r>
      <w:r w:rsidR="003A4397">
        <w:t>Among other reasons, there is no correlation in the underlying test period</w:t>
      </w:r>
      <w:r w:rsidR="00361D73">
        <w:t>s</w:t>
      </w:r>
      <w:r w:rsidR="003A4397">
        <w:t xml:space="preserve"> and different factors inform the calculation of the returns.  </w:t>
      </w:r>
      <w:r w:rsidR="002A164C">
        <w:t xml:space="preserve">Pension accounting relies on conservative actuarial data, follows </w:t>
      </w:r>
      <w:r w:rsidR="0082366A">
        <w:t>generally accepted accounting principles</w:t>
      </w:r>
      <w:r w:rsidR="009201E6">
        <w:t>,</w:t>
      </w:r>
      <w:r w:rsidR="002A164C">
        <w:t xml:space="preserve"> and is based on</w:t>
      </w:r>
      <w:r w:rsidR="005B2759">
        <w:t xml:space="preserve"> the</w:t>
      </w:r>
      <w:r w:rsidR="002A164C">
        <w:t xml:space="preserve"> long-term nature of pension fund assets. </w:t>
      </w:r>
      <w:r w:rsidR="00DC7757">
        <w:t xml:space="preserve"> The Commission has never used a pension return to corroborate a </w:t>
      </w:r>
      <w:r w:rsidR="0069185B">
        <w:t>return on equity</w:t>
      </w:r>
      <w:r w:rsidR="00DC7757">
        <w:t xml:space="preserve"> determination, despite the fact that </w:t>
      </w:r>
      <w:r w:rsidR="003A4397">
        <w:t xml:space="preserve">Mr. Hill </w:t>
      </w:r>
      <w:r w:rsidR="00683465">
        <w:t xml:space="preserve">has </w:t>
      </w:r>
      <w:r w:rsidR="003A4397">
        <w:t xml:space="preserve">made </w:t>
      </w:r>
      <w:r w:rsidR="007B5B51">
        <w:t xml:space="preserve">a similar </w:t>
      </w:r>
      <w:r w:rsidR="003A4397">
        <w:t xml:space="preserve">argument in </w:t>
      </w:r>
      <w:r w:rsidR="00DC7757">
        <w:t xml:space="preserve">the </w:t>
      </w:r>
      <w:r w:rsidR="003A4397">
        <w:t>past</w:t>
      </w:r>
      <w:r w:rsidR="00DC7757">
        <w:t>.</w:t>
      </w:r>
      <w:r w:rsidR="007B5B51">
        <w:rPr>
          <w:rStyle w:val="FootnoteReference"/>
        </w:rPr>
        <w:footnoteReference w:id="16"/>
      </w:r>
      <w:r w:rsidR="003A4397">
        <w:t xml:space="preserve"> </w:t>
      </w:r>
    </w:p>
    <w:p w:rsidR="00B83A96" w:rsidRDefault="00B83A96" w:rsidP="00B83A96">
      <w:pPr>
        <w:spacing w:line="480" w:lineRule="auto"/>
        <w:ind w:left="720" w:hanging="720"/>
        <w:rPr>
          <w:b/>
        </w:rPr>
      </w:pPr>
      <w:r w:rsidRPr="00402CBE">
        <w:rPr>
          <w:b/>
        </w:rPr>
        <w:t>Q.</w:t>
      </w:r>
      <w:r>
        <w:rPr>
          <w:b/>
        </w:rPr>
        <w:tab/>
        <w:t xml:space="preserve">Please comment on Mr. Hill’s statements that his overall </w:t>
      </w:r>
      <w:r w:rsidR="0002505D">
        <w:rPr>
          <w:b/>
        </w:rPr>
        <w:t>ROR</w:t>
      </w:r>
      <w:r>
        <w:rPr>
          <w:b/>
        </w:rPr>
        <w:t xml:space="preserve"> would support the Company’s financial position.</w:t>
      </w:r>
    </w:p>
    <w:p w:rsidR="00B83A96" w:rsidRDefault="00B83A96" w:rsidP="00967656">
      <w:pPr>
        <w:spacing w:line="480" w:lineRule="auto"/>
        <w:ind w:left="720" w:hanging="720"/>
        <w:jc w:val="left"/>
      </w:pPr>
      <w:r w:rsidRPr="00F27D25">
        <w:t>A.</w:t>
      </w:r>
      <w:r>
        <w:rPr>
          <w:b/>
        </w:rPr>
        <w:tab/>
      </w:r>
      <w:r>
        <w:t>Mr. Hill’s analysis consists solely of a pre-tax interest coverage ratio</w:t>
      </w:r>
      <w:r w:rsidR="005B2759">
        <w:t xml:space="preserve"> and has the same deficiencies</w:t>
      </w:r>
      <w:r w:rsidR="00967656">
        <w:t xml:space="preserve"> as Mr. </w:t>
      </w:r>
      <w:proofErr w:type="spellStart"/>
      <w:r w:rsidR="00967656">
        <w:t>Parcell’s</w:t>
      </w:r>
      <w:proofErr w:type="spellEnd"/>
      <w:r w:rsidR="00967656">
        <w:t xml:space="preserve"> similar analysis</w:t>
      </w:r>
      <w:r w:rsidR="00DD6368">
        <w:t>.</w:t>
      </w:r>
      <w:r>
        <w:rPr>
          <w:rStyle w:val="FootnoteReference"/>
        </w:rPr>
        <w:footnoteReference w:id="17"/>
      </w:r>
      <w:r>
        <w:t xml:space="preserve">  </w:t>
      </w:r>
      <w:r w:rsidR="00A50A05">
        <w:t xml:space="preserve">These analytical flaws lead </w:t>
      </w:r>
      <w:r w:rsidR="00A50A05">
        <w:lastRenderedPageBreak/>
        <w:t>Mr.</w:t>
      </w:r>
      <w:r w:rsidR="00967656">
        <w:t> </w:t>
      </w:r>
      <w:r w:rsidR="00A50A05">
        <w:t>Hill to take the position</w:t>
      </w:r>
      <w:r>
        <w:t xml:space="preserve"> that a lower overall </w:t>
      </w:r>
      <w:r w:rsidR="0002505D">
        <w:t>ROR</w:t>
      </w:r>
      <w:r>
        <w:t xml:space="preserve"> (7.32</w:t>
      </w:r>
      <w:r w:rsidR="00683465">
        <w:t xml:space="preserve"> percent</w:t>
      </w:r>
      <w:r>
        <w:t>) than currently authorized (7.36</w:t>
      </w:r>
      <w:r w:rsidR="00683465">
        <w:t xml:space="preserve"> percent</w:t>
      </w:r>
      <w:r>
        <w:t>) will result in an improved interest coverage ratio (</w:t>
      </w:r>
      <w:proofErr w:type="gramStart"/>
      <w:r>
        <w:t>3.28x</w:t>
      </w:r>
      <w:proofErr w:type="gramEnd"/>
      <w:r>
        <w:t xml:space="preserve">) </w:t>
      </w:r>
      <w:r w:rsidR="009D25A3">
        <w:t>as compared to</w:t>
      </w:r>
      <w:r>
        <w:t xml:space="preserve"> the Company’s actual ratio (3.09x).</w:t>
      </w:r>
      <w:r w:rsidR="00A50A05">
        <w:t xml:space="preserve">  On its face, this contention is not credible. </w:t>
      </w:r>
    </w:p>
    <w:p w:rsidR="00EC3784" w:rsidRPr="0002505D" w:rsidRDefault="00EC3784" w:rsidP="0002505D">
      <w:pPr>
        <w:pStyle w:val="Heading1"/>
      </w:pPr>
      <w:bookmarkStart w:id="9" w:name="_Toc403708990"/>
      <w:bookmarkStart w:id="10" w:name="_Toc403709332"/>
      <w:r w:rsidRPr="0002505D">
        <w:t>REPLY TO BOISE’S PROPOSED CAPITAL STRUCTURE</w:t>
      </w:r>
      <w:bookmarkEnd w:id="9"/>
      <w:bookmarkEnd w:id="10"/>
    </w:p>
    <w:p w:rsidR="00EC3784" w:rsidRPr="00377412" w:rsidRDefault="00EC3784" w:rsidP="00EC3784">
      <w:pPr>
        <w:spacing w:line="480" w:lineRule="auto"/>
        <w:rPr>
          <w:b/>
        </w:rPr>
      </w:pPr>
      <w:r w:rsidRPr="00377412">
        <w:rPr>
          <w:b/>
        </w:rPr>
        <w:t>Q.</w:t>
      </w:r>
      <w:r w:rsidRPr="00377412">
        <w:rPr>
          <w:b/>
        </w:rPr>
        <w:tab/>
        <w:t xml:space="preserve">What is </w:t>
      </w:r>
      <w:r w:rsidR="00F64B9F">
        <w:rPr>
          <w:b/>
        </w:rPr>
        <w:t>Boise’s</w:t>
      </w:r>
      <w:r w:rsidRPr="00377412">
        <w:rPr>
          <w:b/>
        </w:rPr>
        <w:t xml:space="preserve"> proposed capital structure?</w:t>
      </w:r>
    </w:p>
    <w:p w:rsidR="00EC3784" w:rsidRDefault="00EC3784" w:rsidP="00EB1641">
      <w:pPr>
        <w:pStyle w:val="BodyTextIndent"/>
        <w:widowControl/>
        <w:adjustRightInd/>
        <w:ind w:left="720" w:hanging="720"/>
        <w:jc w:val="left"/>
        <w:textAlignment w:val="auto"/>
      </w:pPr>
      <w:r w:rsidRPr="006D0AEE">
        <w:t>A.</w:t>
      </w:r>
      <w:r>
        <w:rPr>
          <w:b/>
        </w:rPr>
        <w:tab/>
      </w:r>
      <w:r w:rsidR="00967656" w:rsidRPr="00356C69">
        <w:t>Like Staff and Public Counsel,</w:t>
      </w:r>
      <w:r w:rsidR="00967656">
        <w:rPr>
          <w:b/>
        </w:rPr>
        <w:t xml:space="preserve"> </w:t>
      </w:r>
      <w:r w:rsidR="00F64B9F" w:rsidRPr="00F64B9F">
        <w:t>Boise</w:t>
      </w:r>
      <w:r>
        <w:t xml:space="preserve"> propos</w:t>
      </w:r>
      <w:r w:rsidR="00F64B9F">
        <w:t>es</w:t>
      </w:r>
      <w:r>
        <w:t xml:space="preserve"> a hypothetical capital structure containing a common equity component of 49.10 percent</w:t>
      </w:r>
      <w:r w:rsidR="00F64B9F">
        <w:t>.</w:t>
      </w:r>
    </w:p>
    <w:p w:rsidR="00EC3784" w:rsidRDefault="00EC3784" w:rsidP="00F64B9F">
      <w:pPr>
        <w:pStyle w:val="BodyTextIndent"/>
        <w:widowControl/>
        <w:adjustRightInd/>
        <w:ind w:left="720" w:hanging="720"/>
        <w:jc w:val="left"/>
        <w:textAlignment w:val="auto"/>
        <w:rPr>
          <w:b/>
        </w:rPr>
      </w:pPr>
      <w:r>
        <w:rPr>
          <w:b/>
        </w:rPr>
        <w:t>Q.</w:t>
      </w:r>
      <w:r>
        <w:rPr>
          <w:b/>
        </w:rPr>
        <w:tab/>
        <w:t xml:space="preserve">How does Mr. Gorman support </w:t>
      </w:r>
      <w:r w:rsidR="00F64B9F">
        <w:rPr>
          <w:b/>
        </w:rPr>
        <w:t xml:space="preserve">Boise’s recommended </w:t>
      </w:r>
      <w:r>
        <w:rPr>
          <w:b/>
        </w:rPr>
        <w:t>hypothetical capital structure?</w:t>
      </w:r>
    </w:p>
    <w:p w:rsidR="00EC3784" w:rsidRPr="008327A6" w:rsidRDefault="00EC3784" w:rsidP="00EB1641">
      <w:pPr>
        <w:pStyle w:val="BodyTextIndent"/>
        <w:widowControl/>
        <w:adjustRightInd/>
        <w:ind w:left="720" w:hanging="720"/>
        <w:jc w:val="left"/>
        <w:textAlignment w:val="auto"/>
      </w:pPr>
      <w:r w:rsidRPr="006D0AEE">
        <w:t>A.</w:t>
      </w:r>
      <w:r>
        <w:rPr>
          <w:b/>
        </w:rPr>
        <w:tab/>
      </w:r>
      <w:r>
        <w:t>Mr. Gorman compares the adjusted debt ratio of different groups of electric utilities with the hypothetical capital structure and concludes that the hypothetical capital structure is reasonable.</w:t>
      </w:r>
    </w:p>
    <w:p w:rsidR="00EC3784" w:rsidRDefault="00EC3784" w:rsidP="00EB1641">
      <w:pPr>
        <w:pStyle w:val="BodyTextIndent"/>
        <w:widowControl/>
        <w:adjustRightInd/>
        <w:ind w:left="720" w:hanging="720"/>
        <w:jc w:val="left"/>
        <w:textAlignment w:val="auto"/>
        <w:rPr>
          <w:b/>
        </w:rPr>
      </w:pPr>
      <w:r>
        <w:rPr>
          <w:b/>
        </w:rPr>
        <w:t>Q.</w:t>
      </w:r>
      <w:r>
        <w:rPr>
          <w:b/>
        </w:rPr>
        <w:tab/>
      </w:r>
      <w:r w:rsidR="00826045">
        <w:rPr>
          <w:b/>
        </w:rPr>
        <w:t>In testimony filed earlier this year in other states, did</w:t>
      </w:r>
      <w:r>
        <w:rPr>
          <w:b/>
        </w:rPr>
        <w:t xml:space="preserve"> Mr. Gorman </w:t>
      </w:r>
      <w:r w:rsidR="00826045">
        <w:rPr>
          <w:b/>
        </w:rPr>
        <w:t xml:space="preserve">support </w:t>
      </w:r>
      <w:r w:rsidR="00B83A96">
        <w:rPr>
          <w:b/>
        </w:rPr>
        <w:t xml:space="preserve">the </w:t>
      </w:r>
      <w:r w:rsidR="00826045">
        <w:rPr>
          <w:b/>
        </w:rPr>
        <w:t>use of the Company’s actual capital structure in setting its cost of capital?</w:t>
      </w:r>
    </w:p>
    <w:p w:rsidR="00EC3784" w:rsidRDefault="00EC3784" w:rsidP="00AB6D2D">
      <w:pPr>
        <w:pStyle w:val="BodyTextIndent"/>
        <w:adjustRightInd/>
        <w:ind w:left="720" w:hanging="720"/>
        <w:jc w:val="left"/>
        <w:textAlignment w:val="auto"/>
      </w:pPr>
      <w:r w:rsidRPr="006D0AEE">
        <w:t>A.</w:t>
      </w:r>
      <w:r>
        <w:rPr>
          <w:b/>
        </w:rPr>
        <w:tab/>
      </w:r>
      <w:r w:rsidR="00826045" w:rsidRPr="00826045">
        <w:t>Yes.</w:t>
      </w:r>
      <w:r>
        <w:t xml:space="preserve"> </w:t>
      </w:r>
      <w:r w:rsidR="00EB1641">
        <w:t xml:space="preserve"> </w:t>
      </w:r>
      <w:r>
        <w:t>In recent cases in Utah and Wyoming</w:t>
      </w:r>
      <w:r w:rsidR="00D44673">
        <w:t>,</w:t>
      </w:r>
      <w:r>
        <w:t xml:space="preserve"> Mr. Gorman testified in support of using the Company’s actual capital structure</w:t>
      </w:r>
      <w:r w:rsidR="00967656">
        <w:t xml:space="preserve"> to set rates</w:t>
      </w:r>
      <w:r>
        <w:t>.  For example, in Wyoming Docket</w:t>
      </w:r>
      <w:r w:rsidR="00967656">
        <w:t> </w:t>
      </w:r>
      <w:r>
        <w:t>No. 20000-446-ER-</w:t>
      </w:r>
      <w:r w:rsidR="002F7F70">
        <w:t>14</w:t>
      </w:r>
      <w:r w:rsidR="00EB1641">
        <w:t>,</w:t>
      </w:r>
      <w:r>
        <w:t xml:space="preserve"> Mr. Gorman proposed a capital structure containing 51.</w:t>
      </w:r>
      <w:r w:rsidR="00767ED8">
        <w:t>1</w:t>
      </w:r>
      <w:r w:rsidR="00361D73">
        <w:t xml:space="preserve"> percent</w:t>
      </w:r>
      <w:r>
        <w:t xml:space="preserve"> common equity</w:t>
      </w:r>
      <w:r w:rsidR="00A50A05">
        <w:t>.</w:t>
      </w:r>
      <w:r>
        <w:rPr>
          <w:rStyle w:val="FootnoteReference"/>
        </w:rPr>
        <w:footnoteReference w:id="18"/>
      </w:r>
      <w:r>
        <w:t xml:space="preserve">  Mr. Gorman supported this recommended capital structure as </w:t>
      </w:r>
      <w:r w:rsidR="00967656">
        <w:t>reflecting</w:t>
      </w:r>
      <w:r>
        <w:t xml:space="preserve"> the Company’s actual end</w:t>
      </w:r>
      <w:r w:rsidR="00967656">
        <w:t>-</w:t>
      </w:r>
      <w:r>
        <w:t>of</w:t>
      </w:r>
      <w:r w:rsidR="00967656">
        <w:t>-</w:t>
      </w:r>
      <w:r>
        <w:t>test</w:t>
      </w:r>
      <w:r w:rsidR="00967656">
        <w:t>-</w:t>
      </w:r>
      <w:r>
        <w:t>year capital structure.</w:t>
      </w:r>
    </w:p>
    <w:p w:rsidR="00EC3784" w:rsidRDefault="00EC3784" w:rsidP="00AB6D2D">
      <w:pPr>
        <w:pStyle w:val="BodyTextIndent"/>
        <w:adjustRightInd/>
        <w:ind w:left="720" w:hanging="720"/>
        <w:jc w:val="left"/>
        <w:textAlignment w:val="auto"/>
      </w:pPr>
      <w:r>
        <w:lastRenderedPageBreak/>
        <w:tab/>
      </w:r>
      <w:r w:rsidR="00EB1641">
        <w:tab/>
      </w:r>
      <w:r>
        <w:t>Similarly</w:t>
      </w:r>
      <w:r w:rsidR="00D44673">
        <w:t>,</w:t>
      </w:r>
      <w:r>
        <w:t xml:space="preserve"> in Utah Docket No. 13-035-184, Mr. Gorman accepted</w:t>
      </w:r>
      <w:r>
        <w:rPr>
          <w:rStyle w:val="FootnoteReference"/>
        </w:rPr>
        <w:footnoteReference w:id="19"/>
      </w:r>
      <w:r>
        <w:t xml:space="preserve"> the Company’s proposed capital structure</w:t>
      </w:r>
      <w:r w:rsidR="00967656">
        <w:t>,</w:t>
      </w:r>
      <w:r>
        <w:t xml:space="preserve"> including a common equity component of 51.60</w:t>
      </w:r>
      <w:r w:rsidR="00361D73">
        <w:t xml:space="preserve"> percent</w:t>
      </w:r>
      <w:r>
        <w:t>, which was the average of actual capitalization during the test period</w:t>
      </w:r>
      <w:r w:rsidR="00A50A05">
        <w:t>.</w:t>
      </w:r>
      <w:r>
        <w:rPr>
          <w:rStyle w:val="FootnoteReference"/>
        </w:rPr>
        <w:footnoteReference w:id="20"/>
      </w:r>
    </w:p>
    <w:p w:rsidR="00A31E26" w:rsidRPr="00A31E26" w:rsidRDefault="00A31E26" w:rsidP="00EB1641">
      <w:pPr>
        <w:pStyle w:val="BodyTextIndent"/>
        <w:widowControl/>
        <w:adjustRightInd/>
        <w:ind w:left="720" w:hanging="720"/>
        <w:jc w:val="left"/>
        <w:textAlignment w:val="auto"/>
        <w:rPr>
          <w:b/>
        </w:rPr>
      </w:pPr>
      <w:r w:rsidRPr="00A31E26">
        <w:rPr>
          <w:b/>
        </w:rPr>
        <w:t>Q.</w:t>
      </w:r>
      <w:r w:rsidRPr="00A31E26">
        <w:rPr>
          <w:b/>
        </w:rPr>
        <w:tab/>
        <w:t xml:space="preserve">Please respond to Mr. Gorman’s use of adjusted debt ratios as the exclusive basis for his capital structure recommendation. </w:t>
      </w:r>
    </w:p>
    <w:p w:rsidR="00826045" w:rsidRDefault="00A31E26" w:rsidP="00EB1641">
      <w:pPr>
        <w:pStyle w:val="BodyTextIndent"/>
        <w:widowControl/>
        <w:adjustRightInd/>
        <w:ind w:left="720" w:hanging="720"/>
        <w:jc w:val="left"/>
        <w:textAlignment w:val="auto"/>
      </w:pPr>
      <w:r>
        <w:t>A.</w:t>
      </w:r>
      <w:r>
        <w:tab/>
      </w:r>
      <w:r w:rsidR="00EC3784">
        <w:t>Mr. Gorman’s analysis of S</w:t>
      </w:r>
      <w:r w:rsidR="00D44673">
        <w:t>tandard &amp; Poor’s</w:t>
      </w:r>
      <w:r w:rsidR="00826045">
        <w:t xml:space="preserve"> (S</w:t>
      </w:r>
      <w:r w:rsidR="00EC3784">
        <w:t>&amp;P</w:t>
      </w:r>
      <w:r w:rsidR="00826045">
        <w:t>)</w:t>
      </w:r>
      <w:r w:rsidR="00EC3784">
        <w:t xml:space="preserve"> adjusted debt ratios </w:t>
      </w:r>
      <w:r w:rsidR="00361D73">
        <w:t>has</w:t>
      </w:r>
      <w:r w:rsidR="00EC3784">
        <w:t xml:space="preserve"> </w:t>
      </w:r>
      <w:r w:rsidR="00A21DF9">
        <w:t xml:space="preserve">three </w:t>
      </w:r>
      <w:r w:rsidR="00361D73">
        <w:t>major problems</w:t>
      </w:r>
      <w:r w:rsidR="00A21DF9">
        <w:t xml:space="preserve">.  First, credit </w:t>
      </w:r>
      <w:r w:rsidR="00EC3784">
        <w:t xml:space="preserve">ratings are not established solely on </w:t>
      </w:r>
      <w:r w:rsidR="00A21DF9">
        <w:t xml:space="preserve">one measure of </w:t>
      </w:r>
      <w:r w:rsidR="00EC3784">
        <w:t>capital structure</w:t>
      </w:r>
      <w:r w:rsidR="00A21DF9">
        <w:t>,</w:t>
      </w:r>
      <w:r w:rsidR="00EC3784">
        <w:t xml:space="preserve"> but on a multitude of items including financial metrics.  </w:t>
      </w:r>
      <w:r>
        <w:t>T</w:t>
      </w:r>
      <w:r w:rsidR="000F2B65">
        <w:t>he Commission has specifically observed that “ratings agencies consider a host of factors” when determining a company’s credit rating, not just the equity ratio.</w:t>
      </w:r>
      <w:r w:rsidR="000F2B65">
        <w:rPr>
          <w:rStyle w:val="FootnoteReference"/>
        </w:rPr>
        <w:footnoteReference w:id="21"/>
      </w:r>
      <w:r w:rsidR="00EC3784">
        <w:t xml:space="preserve">  </w:t>
      </w:r>
    </w:p>
    <w:p w:rsidR="00EC3784" w:rsidRDefault="00826045" w:rsidP="00EB1641">
      <w:pPr>
        <w:pStyle w:val="BodyTextIndent"/>
        <w:widowControl/>
        <w:adjustRightInd/>
        <w:ind w:left="720" w:hanging="720"/>
        <w:jc w:val="left"/>
        <w:textAlignment w:val="auto"/>
      </w:pPr>
      <w:r>
        <w:tab/>
      </w:r>
      <w:r>
        <w:tab/>
      </w:r>
      <w:r w:rsidR="00A21DF9">
        <w:t xml:space="preserve">Second, </w:t>
      </w:r>
      <w:r w:rsidR="00CC42A2">
        <w:t xml:space="preserve">S&amp;P does not currently rely on the </w:t>
      </w:r>
      <w:r w:rsidR="00361D73">
        <w:t xml:space="preserve">credit </w:t>
      </w:r>
      <w:r w:rsidR="00CC42A2">
        <w:t xml:space="preserve">metric that Mr. Gorman uses.  </w:t>
      </w:r>
      <w:r w:rsidR="00B87291">
        <w:t>I</w:t>
      </w:r>
      <w:r w:rsidR="00EC3784">
        <w:t xml:space="preserve">n </w:t>
      </w:r>
      <w:r>
        <w:t>S&amp;P’s most recent overall summary of its rating methodology,</w:t>
      </w:r>
      <w:r>
        <w:rPr>
          <w:rStyle w:val="FootnoteReference"/>
        </w:rPr>
        <w:footnoteReference w:id="22"/>
      </w:r>
      <w:r>
        <w:t xml:space="preserve"> it</w:t>
      </w:r>
      <w:r w:rsidR="00EC3784">
        <w:t xml:space="preserve"> lists seven cash flow/leverage analysis ratios</w:t>
      </w:r>
      <w:r w:rsidR="00967656">
        <w:t>—</w:t>
      </w:r>
      <w:r w:rsidR="00EC3784">
        <w:t xml:space="preserve">none of which are </w:t>
      </w:r>
      <w:r w:rsidR="00A31E26">
        <w:t xml:space="preserve">adjusted </w:t>
      </w:r>
      <w:r w:rsidR="00EC3784">
        <w:t xml:space="preserve">debt </w:t>
      </w:r>
      <w:r w:rsidR="00A31E26">
        <w:t>ratios</w:t>
      </w:r>
      <w:r w:rsidR="00EC3784">
        <w:t>.</w:t>
      </w:r>
    </w:p>
    <w:p w:rsidR="00EC3784" w:rsidRDefault="00EB1641" w:rsidP="00EB1641">
      <w:pPr>
        <w:pStyle w:val="BodyTextIndent"/>
        <w:widowControl/>
        <w:adjustRightInd/>
        <w:ind w:left="720" w:hanging="720"/>
        <w:jc w:val="left"/>
        <w:textAlignment w:val="auto"/>
      </w:pPr>
      <w:r>
        <w:tab/>
      </w:r>
      <w:r>
        <w:tab/>
      </w:r>
      <w:r w:rsidR="00CC42A2">
        <w:t xml:space="preserve">Third, </w:t>
      </w:r>
      <w:r w:rsidR="00EC3784">
        <w:t xml:space="preserve">the data in Mr. Gorman’s workpapers, which was the source of his adjusted debt ratio analysis, shows that </w:t>
      </w:r>
      <w:r w:rsidR="00220EA0">
        <w:t>the Company</w:t>
      </w:r>
      <w:r w:rsidR="00EC3784">
        <w:t xml:space="preserve"> already has weaker credit ratios and metrics than either the A- or </w:t>
      </w:r>
      <w:proofErr w:type="gramStart"/>
      <w:r w:rsidR="00EC3784">
        <w:t>A</w:t>
      </w:r>
      <w:proofErr w:type="gramEnd"/>
      <w:r w:rsidR="00EC3784">
        <w:t xml:space="preserve"> rated groups of utilities that he cites.  </w:t>
      </w:r>
    </w:p>
    <w:p w:rsidR="00EC3784" w:rsidRDefault="00AB6D2D" w:rsidP="00AB6D2D">
      <w:pPr>
        <w:suppressLineNumbers/>
        <w:spacing w:line="480" w:lineRule="auto"/>
        <w:jc w:val="center"/>
      </w:pPr>
      <w:r w:rsidRPr="00AB6D2D">
        <w:rPr>
          <w:noProof/>
        </w:rPr>
        <w:lastRenderedPageBreak/>
        <w:drawing>
          <wp:inline distT="0" distB="0" distL="0" distR="0" wp14:anchorId="59AD5C16" wp14:editId="6AB294AD">
            <wp:extent cx="5715000" cy="2170043"/>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2170043"/>
                    </a:xfrm>
                    <a:prstGeom prst="rect">
                      <a:avLst/>
                    </a:prstGeom>
                    <a:noFill/>
                    <a:ln>
                      <a:noFill/>
                    </a:ln>
                  </pic:spPr>
                </pic:pic>
              </a:graphicData>
            </a:graphic>
          </wp:inline>
        </w:drawing>
      </w:r>
    </w:p>
    <w:p w:rsidR="00EC3784" w:rsidRDefault="000D7081" w:rsidP="00EB1641">
      <w:pPr>
        <w:pStyle w:val="BodyTextIndent"/>
        <w:widowControl/>
        <w:adjustRightInd/>
        <w:ind w:left="720" w:hanging="720"/>
        <w:jc w:val="left"/>
        <w:textAlignment w:val="auto"/>
      </w:pPr>
      <w:r>
        <w:tab/>
      </w:r>
      <w:r w:rsidR="00CC42A2">
        <w:t>R</w:t>
      </w:r>
      <w:r w:rsidR="00EC3784">
        <w:t xml:space="preserve">educing the </w:t>
      </w:r>
      <w:r w:rsidR="00CC42A2">
        <w:t xml:space="preserve">Company’s </w:t>
      </w:r>
      <w:r w:rsidR="00EC3784">
        <w:t>common equity component</w:t>
      </w:r>
      <w:r w:rsidR="00CC42A2">
        <w:t xml:space="preserve"> and</w:t>
      </w:r>
      <w:r w:rsidR="00EC3784">
        <w:t xml:space="preserve"> increas</w:t>
      </w:r>
      <w:r w:rsidR="00CC42A2">
        <w:t>ing its</w:t>
      </w:r>
      <w:r w:rsidR="00EC3784">
        <w:t xml:space="preserve"> leverage will further weaken ratios that are already well below the respective peer group</w:t>
      </w:r>
      <w:r w:rsidR="00CC42A2">
        <w:t xml:space="preserve">. </w:t>
      </w:r>
      <w:r w:rsidR="00EC3784">
        <w:t xml:space="preserve"> </w:t>
      </w:r>
      <w:r w:rsidR="00CC42A2">
        <w:t>Mr.</w:t>
      </w:r>
      <w:r w:rsidR="00967656">
        <w:t> </w:t>
      </w:r>
      <w:r w:rsidR="00CC42A2">
        <w:t xml:space="preserve">Gorman’s hypothesis that this </w:t>
      </w:r>
      <w:r w:rsidR="00EC3784">
        <w:t xml:space="preserve">will not have an impact on ratings is unrealistic.  His statement that a reduction in </w:t>
      </w:r>
      <w:r w:rsidR="005B2759">
        <w:t>the Company’s</w:t>
      </w:r>
      <w:r w:rsidR="00EC3784">
        <w:t xml:space="preserve"> common equity will likely not result in a reduction to its bond rating is inconsistent with the </w:t>
      </w:r>
      <w:r w:rsidR="00CC42A2">
        <w:t xml:space="preserve">evidence drawn from his own </w:t>
      </w:r>
      <w:r w:rsidR="002F7F70">
        <w:t>data</w:t>
      </w:r>
      <w:r w:rsidR="00EC3784">
        <w:t>.</w:t>
      </w:r>
    </w:p>
    <w:p w:rsidR="006B408C" w:rsidRDefault="006B408C" w:rsidP="006B408C">
      <w:pPr>
        <w:pStyle w:val="BodyTextIndent"/>
        <w:widowControl/>
        <w:adjustRightInd/>
        <w:ind w:left="720" w:hanging="720"/>
        <w:jc w:val="left"/>
        <w:textAlignment w:val="auto"/>
        <w:rPr>
          <w:b/>
        </w:rPr>
      </w:pPr>
      <w:r>
        <w:rPr>
          <w:b/>
        </w:rPr>
        <w:t>Q.</w:t>
      </w:r>
      <w:r>
        <w:rPr>
          <w:b/>
        </w:rPr>
        <w:tab/>
      </w:r>
      <w:r w:rsidR="006C2A25">
        <w:rPr>
          <w:b/>
        </w:rPr>
        <w:t xml:space="preserve">Is there other evidence demonstrating that </w:t>
      </w:r>
      <w:r>
        <w:rPr>
          <w:b/>
        </w:rPr>
        <w:t>the Company can</w:t>
      </w:r>
      <w:r w:rsidR="006C2A25">
        <w:rPr>
          <w:b/>
        </w:rPr>
        <w:t>not</w:t>
      </w:r>
      <w:r>
        <w:rPr>
          <w:b/>
        </w:rPr>
        <w:t xml:space="preserve"> modify its capital structure to reduce its common equity ratio and continue to support its current bond ratings?</w:t>
      </w:r>
    </w:p>
    <w:p w:rsidR="006B408C" w:rsidRDefault="006B408C" w:rsidP="006B408C">
      <w:pPr>
        <w:pStyle w:val="BodyTextIndent"/>
        <w:widowControl/>
        <w:adjustRightInd/>
        <w:ind w:left="720" w:hanging="720"/>
        <w:jc w:val="left"/>
        <w:textAlignment w:val="auto"/>
      </w:pPr>
      <w:r w:rsidRPr="00EB1641">
        <w:t>A.</w:t>
      </w:r>
      <w:r>
        <w:rPr>
          <w:b/>
        </w:rPr>
        <w:tab/>
      </w:r>
      <w:r w:rsidR="006C2A25">
        <w:t xml:space="preserve">Yes.  </w:t>
      </w:r>
      <w:r>
        <w:t>As I noted in direct testimony, a comparison to other Washington utilities regulated by this Commission demonstrates that a lower equity level directly corresponds to lower credit ratings.</w:t>
      </w:r>
    </w:p>
    <w:p w:rsidR="006B408C" w:rsidRPr="00A03D36" w:rsidRDefault="00AB6D2D" w:rsidP="002D69CA">
      <w:pPr>
        <w:suppressLineNumbers/>
        <w:spacing w:line="480" w:lineRule="auto"/>
        <w:jc w:val="center"/>
      </w:pPr>
      <w:r w:rsidRPr="00AB6D2D">
        <w:rPr>
          <w:noProof/>
        </w:rPr>
        <w:drawing>
          <wp:inline distT="0" distB="0" distL="0" distR="0" wp14:anchorId="5FFEA522" wp14:editId="471205F5">
            <wp:extent cx="4038600" cy="1238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38600" cy="1238250"/>
                    </a:xfrm>
                    <a:prstGeom prst="rect">
                      <a:avLst/>
                    </a:prstGeom>
                    <a:noFill/>
                    <a:ln>
                      <a:noFill/>
                    </a:ln>
                  </pic:spPr>
                </pic:pic>
              </a:graphicData>
            </a:graphic>
          </wp:inline>
        </w:drawing>
      </w:r>
    </w:p>
    <w:p w:rsidR="006B408C" w:rsidRDefault="006B408C" w:rsidP="006B408C">
      <w:pPr>
        <w:pStyle w:val="BodyTextIndent"/>
        <w:widowControl/>
        <w:adjustRightInd/>
        <w:ind w:left="720" w:hanging="720"/>
        <w:jc w:val="left"/>
        <w:textAlignment w:val="auto"/>
      </w:pPr>
      <w:r>
        <w:lastRenderedPageBreak/>
        <w:tab/>
        <w:t>My direct testimony also shows the clear relationship between these lower common equity components and a higher cost of debt for the other Washington utilities.</w:t>
      </w:r>
    </w:p>
    <w:p w:rsidR="006B408C" w:rsidRDefault="00AB6D2D" w:rsidP="002D69CA">
      <w:pPr>
        <w:suppressLineNumbers/>
        <w:spacing w:line="480" w:lineRule="auto"/>
        <w:jc w:val="center"/>
      </w:pPr>
      <w:r w:rsidRPr="00AB6D2D">
        <w:rPr>
          <w:noProof/>
        </w:rPr>
        <w:drawing>
          <wp:inline distT="0" distB="0" distL="0" distR="0" wp14:anchorId="197B6478" wp14:editId="2DCA089E">
            <wp:extent cx="5191125" cy="8286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91125" cy="828675"/>
                    </a:xfrm>
                    <a:prstGeom prst="rect">
                      <a:avLst/>
                    </a:prstGeom>
                    <a:noFill/>
                    <a:ln>
                      <a:noFill/>
                    </a:ln>
                  </pic:spPr>
                </pic:pic>
              </a:graphicData>
            </a:graphic>
          </wp:inline>
        </w:drawing>
      </w:r>
    </w:p>
    <w:p w:rsidR="00EC3784" w:rsidRDefault="00EC3784" w:rsidP="00EB1641">
      <w:pPr>
        <w:pStyle w:val="BodyTextIndent"/>
        <w:widowControl/>
        <w:adjustRightInd/>
        <w:ind w:left="720" w:hanging="720"/>
        <w:jc w:val="left"/>
        <w:textAlignment w:val="auto"/>
        <w:rPr>
          <w:b/>
        </w:rPr>
      </w:pPr>
      <w:r w:rsidRPr="006260E4">
        <w:rPr>
          <w:b/>
        </w:rPr>
        <w:t>Q.</w:t>
      </w:r>
      <w:r w:rsidRPr="006260E4">
        <w:rPr>
          <w:b/>
        </w:rPr>
        <w:tab/>
      </w:r>
      <w:r>
        <w:rPr>
          <w:b/>
        </w:rPr>
        <w:t xml:space="preserve">Does Mr. Gorman </w:t>
      </w:r>
      <w:r w:rsidR="00967656">
        <w:rPr>
          <w:b/>
        </w:rPr>
        <w:t>compare</w:t>
      </w:r>
      <w:r>
        <w:rPr>
          <w:b/>
        </w:rPr>
        <w:t xml:space="preserve"> overall </w:t>
      </w:r>
      <w:r w:rsidR="00967656">
        <w:rPr>
          <w:b/>
        </w:rPr>
        <w:t>RORs</w:t>
      </w:r>
      <w:r>
        <w:rPr>
          <w:b/>
        </w:rPr>
        <w:t xml:space="preserve"> in his </w:t>
      </w:r>
      <w:r w:rsidRPr="00EB1641">
        <w:rPr>
          <w:b/>
        </w:rPr>
        <w:t>testimony?</w:t>
      </w:r>
    </w:p>
    <w:p w:rsidR="00EC3784" w:rsidRDefault="00EC3784" w:rsidP="00EB1641">
      <w:pPr>
        <w:pStyle w:val="BodyTextIndent"/>
        <w:widowControl/>
        <w:adjustRightInd/>
        <w:ind w:left="720" w:hanging="720"/>
        <w:jc w:val="left"/>
        <w:textAlignment w:val="auto"/>
      </w:pPr>
      <w:r w:rsidRPr="00EB1641">
        <w:t>A.</w:t>
      </w:r>
      <w:r>
        <w:rPr>
          <w:b/>
        </w:rPr>
        <w:tab/>
      </w:r>
      <w:r>
        <w:t xml:space="preserve">No.  </w:t>
      </w:r>
      <w:r w:rsidR="00683465">
        <w:t>As I discussed earlier, i</w:t>
      </w:r>
      <w:r w:rsidR="006B408C">
        <w:t>t is insufficient</w:t>
      </w:r>
      <w:r>
        <w:t xml:space="preserve"> to look at </w:t>
      </w:r>
      <w:r w:rsidR="006C2A25">
        <w:t xml:space="preserve">just </w:t>
      </w:r>
      <w:r>
        <w:t>one component of the capital structure (such as common equity percentage) without considering the impacts on the other components, their respective costs</w:t>
      </w:r>
      <w:r w:rsidR="00B87291">
        <w:t>,</w:t>
      </w:r>
      <w:r>
        <w:t xml:space="preserve"> and the resulting overall </w:t>
      </w:r>
      <w:r w:rsidR="00683465">
        <w:t>ROR</w:t>
      </w:r>
      <w:r>
        <w:t>.</w:t>
      </w:r>
      <w:r w:rsidR="006B408C">
        <w:t xml:space="preserve">  </w:t>
      </w:r>
      <w:r>
        <w:t>Mr.</w:t>
      </w:r>
      <w:r w:rsidR="00967656">
        <w:rPr>
          <w:vertAlign w:val="superscript"/>
        </w:rPr>
        <w:t> </w:t>
      </w:r>
      <w:r>
        <w:t xml:space="preserve">Gorman </w:t>
      </w:r>
      <w:r w:rsidR="0002505D">
        <w:t>does not</w:t>
      </w:r>
      <w:r>
        <w:t xml:space="preserve"> include any analysis of how the Company’s overall </w:t>
      </w:r>
      <w:r w:rsidR="00967656">
        <w:t>ROR</w:t>
      </w:r>
      <w:r>
        <w:t xml:space="preserve"> compares to other utilities</w:t>
      </w:r>
      <w:r w:rsidR="00361D73">
        <w:t xml:space="preserve">, </w:t>
      </w:r>
      <w:r>
        <w:t xml:space="preserve">rendering his analysis incomplete and </w:t>
      </w:r>
      <w:r w:rsidR="006B408C">
        <w:t xml:space="preserve">limiting its </w:t>
      </w:r>
      <w:r>
        <w:t>value in this case.</w:t>
      </w:r>
    </w:p>
    <w:p w:rsidR="006B408C" w:rsidRPr="006B408C" w:rsidRDefault="006B408C" w:rsidP="00EB1641">
      <w:pPr>
        <w:pStyle w:val="BodyTextIndent"/>
        <w:widowControl/>
        <w:adjustRightInd/>
        <w:ind w:left="720" w:hanging="720"/>
        <w:jc w:val="left"/>
        <w:textAlignment w:val="auto"/>
        <w:rPr>
          <w:b/>
        </w:rPr>
      </w:pPr>
      <w:r w:rsidRPr="006B408C">
        <w:rPr>
          <w:b/>
        </w:rPr>
        <w:t>Q.</w:t>
      </w:r>
      <w:r w:rsidRPr="006B408C">
        <w:rPr>
          <w:b/>
        </w:rPr>
        <w:tab/>
        <w:t>Is information on other utility RORs available in Mr. Gorman’s workpapers?</w:t>
      </w:r>
    </w:p>
    <w:p w:rsidR="00EC3784" w:rsidRDefault="006B408C" w:rsidP="00EB1641">
      <w:pPr>
        <w:pStyle w:val="BodyTextIndent"/>
        <w:widowControl/>
        <w:adjustRightInd/>
        <w:ind w:left="720" w:hanging="720"/>
        <w:jc w:val="left"/>
        <w:textAlignment w:val="auto"/>
      </w:pPr>
      <w:r>
        <w:t>A.</w:t>
      </w:r>
      <w:r>
        <w:tab/>
        <w:t>Yes.  Utility ROR d</w:t>
      </w:r>
      <w:r w:rsidR="00EC3784">
        <w:t>ata can be found in Mr. Gorman’s workpapers</w:t>
      </w:r>
      <w:r w:rsidR="00967656">
        <w:t>,</w:t>
      </w:r>
      <w:r w:rsidR="00EC3784">
        <w:rPr>
          <w:rStyle w:val="FootnoteReference"/>
        </w:rPr>
        <w:footnoteReference w:id="23"/>
      </w:r>
      <w:r w:rsidR="00EC3784">
        <w:t xml:space="preserve"> and I have summarized it below:</w:t>
      </w:r>
    </w:p>
    <w:p w:rsidR="00EC3784" w:rsidRPr="006260E4" w:rsidRDefault="00EC3784" w:rsidP="000D6B4E">
      <w:pPr>
        <w:suppressLineNumbers/>
        <w:spacing w:line="480" w:lineRule="auto"/>
      </w:pPr>
      <w:r>
        <w:lastRenderedPageBreak/>
        <w:tab/>
      </w:r>
      <w:r>
        <w:tab/>
      </w:r>
      <w:r w:rsidR="000D6B4E" w:rsidRPr="000D6B4E">
        <w:rPr>
          <w:noProof/>
        </w:rPr>
        <w:drawing>
          <wp:inline distT="0" distB="0" distL="0" distR="0" wp14:anchorId="3AB951A4" wp14:editId="727DDBEA">
            <wp:extent cx="4000500" cy="26574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0" cy="2657475"/>
                    </a:xfrm>
                    <a:prstGeom prst="rect">
                      <a:avLst/>
                    </a:prstGeom>
                    <a:noFill/>
                    <a:ln>
                      <a:noFill/>
                    </a:ln>
                  </pic:spPr>
                </pic:pic>
              </a:graphicData>
            </a:graphic>
          </wp:inline>
        </w:drawing>
      </w:r>
    </w:p>
    <w:p w:rsidR="00EC3784" w:rsidRDefault="00EB1641" w:rsidP="00EB1641">
      <w:pPr>
        <w:pStyle w:val="BodyTextIndent"/>
        <w:widowControl/>
        <w:adjustRightInd/>
        <w:ind w:left="720" w:hanging="720"/>
        <w:jc w:val="left"/>
        <w:textAlignment w:val="auto"/>
      </w:pPr>
      <w:r>
        <w:tab/>
      </w:r>
      <w:r w:rsidR="00967656">
        <w:t>After</w:t>
      </w:r>
      <w:r w:rsidR="00EC3784">
        <w:t xml:space="preserve"> Mr. Gorman</w:t>
      </w:r>
      <w:r w:rsidR="00967656">
        <w:t xml:space="preserve"> filed </w:t>
      </w:r>
      <w:r w:rsidR="00EC3784">
        <w:t>testimony, RRA published their results for the third quarter of 2014</w:t>
      </w:r>
      <w:r w:rsidR="00967656">
        <w:t>,</w:t>
      </w:r>
      <w:r w:rsidR="00EC3784">
        <w:t xml:space="preserve"> and I have added those below.</w:t>
      </w:r>
    </w:p>
    <w:p w:rsidR="00EC3784" w:rsidRDefault="00EC3784" w:rsidP="000D6B4E">
      <w:pPr>
        <w:suppressLineNumbers/>
        <w:spacing w:line="480" w:lineRule="auto"/>
        <w:ind w:firstLine="720"/>
      </w:pPr>
      <w:r>
        <w:tab/>
      </w:r>
      <w:r w:rsidR="000D6B4E" w:rsidRPr="000D6B4E">
        <w:rPr>
          <w:noProof/>
        </w:rPr>
        <w:drawing>
          <wp:inline distT="0" distB="0" distL="0" distR="0" wp14:anchorId="616A89F4" wp14:editId="4F3B4FB3">
            <wp:extent cx="4000500" cy="26384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0" cy="2638425"/>
                    </a:xfrm>
                    <a:prstGeom prst="rect">
                      <a:avLst/>
                    </a:prstGeom>
                    <a:noFill/>
                    <a:ln>
                      <a:noFill/>
                    </a:ln>
                  </pic:spPr>
                </pic:pic>
              </a:graphicData>
            </a:graphic>
          </wp:inline>
        </w:drawing>
      </w:r>
    </w:p>
    <w:p w:rsidR="000D6B4E" w:rsidRDefault="00EC3784" w:rsidP="000D6B4E">
      <w:pPr>
        <w:pStyle w:val="BodyTextIndent"/>
        <w:widowControl/>
        <w:adjustRightInd/>
        <w:ind w:left="720" w:hanging="720"/>
        <w:jc w:val="left"/>
        <w:textAlignment w:val="auto"/>
      </w:pPr>
      <w:r>
        <w:tab/>
      </w:r>
      <w:r w:rsidR="006B408C">
        <w:t xml:space="preserve">It is clear that the Company’s proposed overall </w:t>
      </w:r>
      <w:r w:rsidR="0002505D">
        <w:t>ROR</w:t>
      </w:r>
      <w:r w:rsidR="006B408C">
        <w:t xml:space="preserve"> of 7.67 percent is slightly below national utility averages.</w:t>
      </w:r>
      <w:r w:rsidR="000D6B4E">
        <w:br w:type="page"/>
      </w:r>
    </w:p>
    <w:p w:rsidR="00EC3784" w:rsidRDefault="00EC3784" w:rsidP="006D0AEE">
      <w:pPr>
        <w:pStyle w:val="BodyTextIndent"/>
        <w:widowControl/>
        <w:adjustRightInd/>
        <w:ind w:left="720" w:hanging="720"/>
        <w:jc w:val="left"/>
        <w:textAlignment w:val="auto"/>
        <w:rPr>
          <w:b/>
        </w:rPr>
      </w:pPr>
      <w:r>
        <w:rPr>
          <w:b/>
        </w:rPr>
        <w:lastRenderedPageBreak/>
        <w:t>Q.</w:t>
      </w:r>
      <w:r>
        <w:rPr>
          <w:b/>
        </w:rPr>
        <w:tab/>
        <w:t>Mr. Gorman refers to a “Change in PacifiCorp’s Dividend Plan</w:t>
      </w:r>
      <w:r w:rsidR="00B87291">
        <w:rPr>
          <w:b/>
        </w:rPr>
        <w:t>.</w:t>
      </w:r>
      <w:r>
        <w:rPr>
          <w:b/>
        </w:rPr>
        <w:t>”</w:t>
      </w:r>
      <w:r w:rsidR="00B87291">
        <w:rPr>
          <w:b/>
        </w:rPr>
        <w:t xml:space="preserve">  </w:t>
      </w:r>
      <w:r w:rsidR="009245A3">
        <w:rPr>
          <w:b/>
        </w:rPr>
        <w:t>Will</w:t>
      </w:r>
      <w:r>
        <w:rPr>
          <w:b/>
        </w:rPr>
        <w:t xml:space="preserve"> you please comment on th</w:t>
      </w:r>
      <w:r w:rsidR="00B87291">
        <w:rPr>
          <w:b/>
        </w:rPr>
        <w:t>is reference</w:t>
      </w:r>
      <w:r>
        <w:rPr>
          <w:b/>
        </w:rPr>
        <w:t>?</w:t>
      </w:r>
    </w:p>
    <w:p w:rsidR="00EC3784" w:rsidRDefault="00EC3784" w:rsidP="006D0AEE">
      <w:pPr>
        <w:pStyle w:val="BodyTextIndent"/>
        <w:widowControl/>
        <w:adjustRightInd/>
        <w:ind w:left="720" w:hanging="720"/>
        <w:jc w:val="left"/>
        <w:textAlignment w:val="auto"/>
      </w:pPr>
      <w:r w:rsidRPr="006D0AEE">
        <w:t>A.</w:t>
      </w:r>
      <w:r>
        <w:rPr>
          <w:b/>
        </w:rPr>
        <w:tab/>
      </w:r>
      <w:r w:rsidRPr="003F4511">
        <w:t xml:space="preserve">Yes.  </w:t>
      </w:r>
      <w:r w:rsidR="006C2A25">
        <w:t xml:space="preserve">As my direct testimony and data request responses in this case make clear, the Company has not made any recent changes in its dividend plan. </w:t>
      </w:r>
      <w:r w:rsidRPr="003F4511">
        <w:t xml:space="preserve"> PacifiCorp began paying dividends to its parent company in 2011</w:t>
      </w:r>
      <w:r w:rsidR="00B4018E">
        <w:t>.</w:t>
      </w:r>
      <w:r w:rsidRPr="003F4511">
        <w:t xml:space="preserve">  The impact of these dividends has been included in the Company’s proposed capital structure in this case</w:t>
      </w:r>
      <w:r w:rsidR="006C2A25">
        <w:t xml:space="preserve"> and </w:t>
      </w:r>
      <w:r w:rsidR="008E721E">
        <w:t xml:space="preserve">is a reason why </w:t>
      </w:r>
      <w:r w:rsidR="006C2A25">
        <w:t xml:space="preserve">the common equity percentage is approximately 50 basis points lower than the Company’s actual common equity ratio in the 2013 general rate case. </w:t>
      </w:r>
    </w:p>
    <w:p w:rsidR="00EC3784" w:rsidRDefault="00EC3784" w:rsidP="006D0AEE">
      <w:pPr>
        <w:pStyle w:val="BodyTextIndent"/>
        <w:widowControl/>
        <w:adjustRightInd/>
        <w:ind w:left="720" w:hanging="720"/>
        <w:jc w:val="left"/>
        <w:textAlignment w:val="auto"/>
      </w:pPr>
      <w:r>
        <w:tab/>
      </w:r>
      <w:r w:rsidR="00B4018E">
        <w:tab/>
      </w:r>
      <w:r>
        <w:t xml:space="preserve">Further Mr. Gorman’s </w:t>
      </w:r>
      <w:r w:rsidR="008E721E">
        <w:t xml:space="preserve">testimony </w:t>
      </w:r>
      <w:r>
        <w:t xml:space="preserve">about </w:t>
      </w:r>
      <w:r w:rsidR="008E721E">
        <w:t>BHE</w:t>
      </w:r>
      <w:r>
        <w:t xml:space="preserve">’s need for dividends to support acquisitions is </w:t>
      </w:r>
      <w:r w:rsidR="008E721E">
        <w:t xml:space="preserve">pure speculation, </w:t>
      </w:r>
      <w:r w:rsidR="0040227F">
        <w:t xml:space="preserve">with no evidentiary support and </w:t>
      </w:r>
      <w:r w:rsidR="008E721E">
        <w:t xml:space="preserve">little relevance to this case.  </w:t>
      </w:r>
      <w:r>
        <w:t>Mr. Gorman and I</w:t>
      </w:r>
      <w:r w:rsidR="0040227F">
        <w:t> agree</w:t>
      </w:r>
      <w:r w:rsidR="008E721E">
        <w:t>, however,</w:t>
      </w:r>
      <w:r>
        <w:t xml:space="preserve"> that PacifiCorp’s dividends are “reasonable</w:t>
      </w:r>
      <w:r w:rsidR="0040227F">
        <w:t>.</w:t>
      </w:r>
      <w:r>
        <w:t>”</w:t>
      </w:r>
      <w:r>
        <w:rPr>
          <w:rStyle w:val="FootnoteReference"/>
        </w:rPr>
        <w:footnoteReference w:id="24"/>
      </w:r>
      <w:r>
        <w:t xml:space="preserve">  </w:t>
      </w:r>
    </w:p>
    <w:p w:rsidR="00EC3784" w:rsidRDefault="00EC3784" w:rsidP="008E721E">
      <w:pPr>
        <w:pStyle w:val="BodyTextIndent"/>
        <w:widowControl/>
        <w:adjustRightInd/>
        <w:ind w:left="720" w:hanging="720"/>
        <w:jc w:val="left"/>
        <w:textAlignment w:val="auto"/>
        <w:rPr>
          <w:b/>
        </w:rPr>
      </w:pPr>
      <w:r>
        <w:rPr>
          <w:b/>
        </w:rPr>
        <w:t>Q.</w:t>
      </w:r>
      <w:r>
        <w:rPr>
          <w:b/>
        </w:rPr>
        <w:tab/>
        <w:t xml:space="preserve">Are there </w:t>
      </w:r>
      <w:proofErr w:type="gramStart"/>
      <w:r>
        <w:rPr>
          <w:b/>
        </w:rPr>
        <w:t>cost</w:t>
      </w:r>
      <w:proofErr w:type="gramEnd"/>
      <w:r>
        <w:rPr>
          <w:b/>
        </w:rPr>
        <w:t xml:space="preserve"> of capital items </w:t>
      </w:r>
      <w:r w:rsidR="008E721E">
        <w:rPr>
          <w:b/>
        </w:rPr>
        <w:t xml:space="preserve">on </w:t>
      </w:r>
      <w:r w:rsidR="002F7F70">
        <w:rPr>
          <w:b/>
        </w:rPr>
        <w:t>which you</w:t>
      </w:r>
      <w:r>
        <w:rPr>
          <w:b/>
        </w:rPr>
        <w:t xml:space="preserve"> and Mr. Gorman </w:t>
      </w:r>
      <w:r w:rsidR="0040227F">
        <w:rPr>
          <w:b/>
        </w:rPr>
        <w:t>agree</w:t>
      </w:r>
      <w:r>
        <w:rPr>
          <w:b/>
        </w:rPr>
        <w:t>?</w:t>
      </w:r>
    </w:p>
    <w:p w:rsidR="000D6B4E" w:rsidRDefault="00EC3784" w:rsidP="000D6B4E">
      <w:pPr>
        <w:pStyle w:val="BodyTextIndent"/>
        <w:widowControl/>
        <w:adjustRightInd/>
        <w:ind w:left="720" w:hanging="720"/>
        <w:jc w:val="left"/>
        <w:textAlignment w:val="auto"/>
      </w:pPr>
      <w:r w:rsidRPr="006D0AEE">
        <w:t>A.</w:t>
      </w:r>
      <w:r>
        <w:rPr>
          <w:b/>
        </w:rPr>
        <w:tab/>
      </w:r>
      <w:r>
        <w:t>Yes.  Mr. Gorman accepts the Company’s proposed costs of short-term debt, preferred stock</w:t>
      </w:r>
      <w:r w:rsidR="0040227F">
        <w:t>,</w:t>
      </w:r>
      <w:r>
        <w:t xml:space="preserve"> and cost of long-term debt</w:t>
      </w:r>
      <w:r w:rsidR="003B6392">
        <w:t>.</w:t>
      </w:r>
      <w:r>
        <w:rPr>
          <w:rStyle w:val="FootnoteReference"/>
        </w:rPr>
        <w:footnoteReference w:id="25"/>
      </w:r>
      <w:r w:rsidR="008E721E">
        <w:t xml:space="preserve">  </w:t>
      </w:r>
      <w:r w:rsidR="003B6392">
        <w:t>But l</w:t>
      </w:r>
      <w:r w:rsidR="008E721E">
        <w:t xml:space="preserve">ike Mr. </w:t>
      </w:r>
      <w:proofErr w:type="spellStart"/>
      <w:r w:rsidR="008E721E">
        <w:t>Parcell</w:t>
      </w:r>
      <w:proofErr w:type="spellEnd"/>
      <w:r w:rsidR="008E721E">
        <w:t xml:space="preserve">, the cost of long-term debt that Mr. Gorman accepts (5.19 percent), is the Company’s proposed cost under its actual capital structure.  </w:t>
      </w:r>
      <w:r w:rsidR="003B6392">
        <w:t>Using</w:t>
      </w:r>
      <w:r w:rsidR="008E721E">
        <w:t xml:space="preserve"> Mr. Gorman</w:t>
      </w:r>
      <w:r w:rsidR="003B6392">
        <w:t>’s capital structure, the Company’s debt cost would be</w:t>
      </w:r>
      <w:r w:rsidR="008E721E">
        <w:t xml:space="preserve"> 5.80 percent.</w:t>
      </w:r>
      <w:r w:rsidR="008E721E">
        <w:rPr>
          <w:rStyle w:val="FootnoteReference"/>
        </w:rPr>
        <w:footnoteReference w:id="26"/>
      </w:r>
      <w:r w:rsidR="008E721E">
        <w:t xml:space="preserve"> </w:t>
      </w:r>
      <w:r w:rsidR="000D6B4E">
        <w:br w:type="page"/>
      </w:r>
    </w:p>
    <w:p w:rsidR="00EC3784" w:rsidRPr="0002505D" w:rsidRDefault="008A76E4" w:rsidP="0002505D">
      <w:pPr>
        <w:pStyle w:val="Heading3"/>
      </w:pPr>
      <w:bookmarkStart w:id="11" w:name="_Toc403708991"/>
      <w:bookmarkStart w:id="12" w:name="_Toc403709333"/>
      <w:r w:rsidRPr="0002505D">
        <w:lastRenderedPageBreak/>
        <w:t>Credit Metrics</w:t>
      </w:r>
      <w:bookmarkEnd w:id="11"/>
      <w:bookmarkEnd w:id="12"/>
    </w:p>
    <w:p w:rsidR="00EC3784" w:rsidRDefault="00EC3784" w:rsidP="009201E6">
      <w:pPr>
        <w:pStyle w:val="BodyTextIndent"/>
        <w:widowControl/>
        <w:adjustRightInd/>
        <w:ind w:left="720" w:hanging="720"/>
        <w:jc w:val="left"/>
        <w:textAlignment w:val="auto"/>
        <w:rPr>
          <w:b/>
        </w:rPr>
      </w:pPr>
      <w:r>
        <w:rPr>
          <w:b/>
        </w:rPr>
        <w:t xml:space="preserve">Q. </w:t>
      </w:r>
      <w:r>
        <w:rPr>
          <w:b/>
        </w:rPr>
        <w:tab/>
        <w:t>Please comment on Mr. Gorman’s discussion concerning financial integrity and his credit metric analysis.</w:t>
      </w:r>
    </w:p>
    <w:p w:rsidR="00EC3784" w:rsidRDefault="00EC3784" w:rsidP="009201E6">
      <w:pPr>
        <w:spacing w:line="480" w:lineRule="auto"/>
        <w:ind w:left="720" w:hanging="720"/>
        <w:jc w:val="left"/>
        <w:rPr>
          <w:kern w:val="16"/>
          <w:szCs w:val="20"/>
        </w:rPr>
      </w:pPr>
      <w:r w:rsidRPr="006D0AEE">
        <w:t>A.</w:t>
      </w:r>
      <w:r>
        <w:rPr>
          <w:b/>
        </w:rPr>
        <w:tab/>
      </w:r>
      <w:r w:rsidRPr="00282CD1">
        <w:rPr>
          <w:kern w:val="16"/>
          <w:szCs w:val="20"/>
        </w:rPr>
        <w:t xml:space="preserve">Mr. Gorman’s analysis has several </w:t>
      </w:r>
      <w:r w:rsidR="00B4018E">
        <w:rPr>
          <w:kern w:val="16"/>
          <w:szCs w:val="20"/>
        </w:rPr>
        <w:t>major</w:t>
      </w:r>
      <w:r w:rsidRPr="00282CD1">
        <w:rPr>
          <w:kern w:val="16"/>
          <w:szCs w:val="20"/>
        </w:rPr>
        <w:t xml:space="preserve"> flaws and cannot be relied upon to verify claims that his proposed </w:t>
      </w:r>
      <w:r w:rsidR="00B87291">
        <w:rPr>
          <w:kern w:val="16"/>
          <w:szCs w:val="20"/>
        </w:rPr>
        <w:t>ROR</w:t>
      </w:r>
      <w:r w:rsidRPr="00282CD1">
        <w:rPr>
          <w:kern w:val="16"/>
          <w:szCs w:val="20"/>
        </w:rPr>
        <w:t xml:space="preserve"> would support the Company’s </w:t>
      </w:r>
      <w:r>
        <w:rPr>
          <w:kern w:val="16"/>
          <w:szCs w:val="20"/>
        </w:rPr>
        <w:t>credit ratings</w:t>
      </w:r>
      <w:r w:rsidR="00B4018E">
        <w:rPr>
          <w:kern w:val="16"/>
          <w:szCs w:val="20"/>
        </w:rPr>
        <w:t>.</w:t>
      </w:r>
      <w:r>
        <w:rPr>
          <w:rStyle w:val="FootnoteReference"/>
          <w:kern w:val="16"/>
          <w:szCs w:val="20"/>
        </w:rPr>
        <w:footnoteReference w:id="27"/>
      </w:r>
      <w:r w:rsidRPr="00282CD1">
        <w:rPr>
          <w:kern w:val="16"/>
          <w:szCs w:val="20"/>
        </w:rPr>
        <w:t xml:space="preserve"> </w:t>
      </w:r>
    </w:p>
    <w:p w:rsidR="00EC3784" w:rsidRDefault="00EC3784" w:rsidP="009201E6">
      <w:pPr>
        <w:spacing w:line="480" w:lineRule="auto"/>
        <w:ind w:left="720" w:hanging="720"/>
        <w:jc w:val="left"/>
        <w:rPr>
          <w:kern w:val="16"/>
          <w:szCs w:val="20"/>
        </w:rPr>
      </w:pPr>
      <w:r>
        <w:rPr>
          <w:kern w:val="16"/>
          <w:szCs w:val="20"/>
        </w:rPr>
        <w:tab/>
      </w:r>
      <w:r>
        <w:rPr>
          <w:kern w:val="16"/>
          <w:szCs w:val="20"/>
        </w:rPr>
        <w:tab/>
        <w:t xml:space="preserve">First, </w:t>
      </w:r>
      <w:r w:rsidR="00B4018E">
        <w:rPr>
          <w:kern w:val="16"/>
          <w:szCs w:val="20"/>
        </w:rPr>
        <w:t xml:space="preserve">like the other witnesses, </w:t>
      </w:r>
      <w:r>
        <w:rPr>
          <w:kern w:val="16"/>
          <w:szCs w:val="20"/>
        </w:rPr>
        <w:t xml:space="preserve">Mr. Gorman does not include any of the adjustments proposed by the other Boise witnesses.  In total, the Boise witnesses are recommending a $2.7 million </w:t>
      </w:r>
      <w:r w:rsidR="00B4018E">
        <w:rPr>
          <w:kern w:val="16"/>
          <w:szCs w:val="20"/>
        </w:rPr>
        <w:t>rate decrease</w:t>
      </w:r>
      <w:r w:rsidR="00B87291">
        <w:rPr>
          <w:kern w:val="16"/>
          <w:szCs w:val="20"/>
        </w:rPr>
        <w:t xml:space="preserve"> in this case</w:t>
      </w:r>
      <w:r w:rsidR="00B4018E">
        <w:rPr>
          <w:kern w:val="16"/>
          <w:szCs w:val="20"/>
        </w:rPr>
        <w:t>, the effect of which Mr.</w:t>
      </w:r>
      <w:r w:rsidR="0040227F">
        <w:rPr>
          <w:kern w:val="16"/>
          <w:szCs w:val="20"/>
        </w:rPr>
        <w:t> </w:t>
      </w:r>
      <w:r w:rsidR="00B4018E">
        <w:rPr>
          <w:kern w:val="16"/>
          <w:szCs w:val="20"/>
        </w:rPr>
        <w:t>Gorman completely ignores in his analysis.</w:t>
      </w:r>
      <w:r>
        <w:rPr>
          <w:rStyle w:val="FootnoteReference"/>
          <w:kern w:val="16"/>
          <w:szCs w:val="20"/>
        </w:rPr>
        <w:footnoteReference w:id="28"/>
      </w:r>
      <w:r>
        <w:rPr>
          <w:kern w:val="16"/>
          <w:szCs w:val="20"/>
        </w:rPr>
        <w:t xml:space="preserve">  </w:t>
      </w:r>
      <w:r w:rsidR="000F2B65">
        <w:rPr>
          <w:kern w:val="16"/>
          <w:szCs w:val="20"/>
        </w:rPr>
        <w:t xml:space="preserve">Similarly, Mr. Gorman’s analysis assumes that the Company </w:t>
      </w:r>
      <w:r w:rsidR="00B4018E">
        <w:rPr>
          <w:kern w:val="16"/>
          <w:szCs w:val="20"/>
        </w:rPr>
        <w:t xml:space="preserve">will </w:t>
      </w:r>
      <w:r w:rsidR="000F2B65">
        <w:rPr>
          <w:kern w:val="16"/>
          <w:szCs w:val="20"/>
        </w:rPr>
        <w:t xml:space="preserve">actually earn its authorized </w:t>
      </w:r>
      <w:r w:rsidR="0002505D">
        <w:rPr>
          <w:kern w:val="16"/>
          <w:szCs w:val="20"/>
        </w:rPr>
        <w:t>ROR</w:t>
      </w:r>
      <w:r w:rsidR="000F2B65">
        <w:rPr>
          <w:kern w:val="16"/>
          <w:szCs w:val="20"/>
        </w:rPr>
        <w:t xml:space="preserve">.  As demonstrated in the testimony of </w:t>
      </w:r>
      <w:r w:rsidR="009201E6">
        <w:rPr>
          <w:kern w:val="16"/>
          <w:szCs w:val="20"/>
        </w:rPr>
        <w:t xml:space="preserve">Mr. R. </w:t>
      </w:r>
      <w:r w:rsidR="000F2B65">
        <w:rPr>
          <w:kern w:val="16"/>
          <w:szCs w:val="20"/>
        </w:rPr>
        <w:t>Bryce Dalley, the Company has under-earned in Washington</w:t>
      </w:r>
      <w:r w:rsidR="00B4018E">
        <w:rPr>
          <w:kern w:val="16"/>
          <w:szCs w:val="20"/>
        </w:rPr>
        <w:t xml:space="preserve"> every year since at least 2006</w:t>
      </w:r>
      <w:r w:rsidR="000F2B65">
        <w:rPr>
          <w:kern w:val="16"/>
          <w:szCs w:val="20"/>
        </w:rPr>
        <w:t xml:space="preserve">.  Assuming similar under-earning </w:t>
      </w:r>
      <w:r w:rsidR="0040227F">
        <w:rPr>
          <w:kern w:val="16"/>
          <w:szCs w:val="20"/>
        </w:rPr>
        <w:t>prospectively</w:t>
      </w:r>
      <w:r w:rsidR="000F2B65">
        <w:rPr>
          <w:kern w:val="16"/>
          <w:szCs w:val="20"/>
        </w:rPr>
        <w:t xml:space="preserve"> further erodes the credit metrics calculated by Mr. Gorman</w:t>
      </w:r>
      <w:r w:rsidR="003B6392">
        <w:rPr>
          <w:kern w:val="16"/>
          <w:szCs w:val="20"/>
        </w:rPr>
        <w:t>.</w:t>
      </w:r>
    </w:p>
    <w:p w:rsidR="00EC3784" w:rsidRDefault="00EC3784" w:rsidP="009201E6">
      <w:pPr>
        <w:spacing w:line="480" w:lineRule="auto"/>
        <w:ind w:left="720" w:hanging="720"/>
        <w:jc w:val="left"/>
        <w:rPr>
          <w:kern w:val="16"/>
          <w:szCs w:val="20"/>
        </w:rPr>
      </w:pPr>
      <w:r>
        <w:rPr>
          <w:kern w:val="16"/>
          <w:szCs w:val="20"/>
        </w:rPr>
        <w:tab/>
      </w:r>
      <w:r>
        <w:rPr>
          <w:kern w:val="16"/>
          <w:szCs w:val="20"/>
        </w:rPr>
        <w:tab/>
        <w:t>Second</w:t>
      </w:r>
      <w:r w:rsidR="00B4018E">
        <w:rPr>
          <w:kern w:val="16"/>
          <w:szCs w:val="20"/>
        </w:rPr>
        <w:t>,</w:t>
      </w:r>
      <w:r>
        <w:rPr>
          <w:kern w:val="16"/>
          <w:szCs w:val="20"/>
        </w:rPr>
        <w:t xml:space="preserve"> Mr. Gorman’s model does not include any of the financing costs associated with construction work in progress (CWIP).  The Company must finance the costs of assets while they are under construction and incurs interest expense on the debt portion of those financings.  To compensate the Company, there is an allowance for funds used during construction (AFUDC) that is </w:t>
      </w:r>
      <w:proofErr w:type="gramStart"/>
      <w:r>
        <w:rPr>
          <w:kern w:val="16"/>
          <w:szCs w:val="20"/>
        </w:rPr>
        <w:t xml:space="preserve">a </w:t>
      </w:r>
      <w:r w:rsidR="0040227F">
        <w:rPr>
          <w:kern w:val="16"/>
          <w:szCs w:val="20"/>
        </w:rPr>
        <w:t>non</w:t>
      </w:r>
      <w:proofErr w:type="gramEnd"/>
      <w:r w:rsidR="0040227F">
        <w:rPr>
          <w:kern w:val="16"/>
          <w:szCs w:val="20"/>
        </w:rPr>
        <w:t>-</w:t>
      </w:r>
      <w:r>
        <w:rPr>
          <w:kern w:val="16"/>
          <w:szCs w:val="20"/>
        </w:rPr>
        <w:t>cash offset to interest expense.  As AFUDC is non-cash</w:t>
      </w:r>
      <w:r w:rsidR="00B4018E">
        <w:rPr>
          <w:kern w:val="16"/>
          <w:szCs w:val="20"/>
        </w:rPr>
        <w:t>,</w:t>
      </w:r>
      <w:r>
        <w:rPr>
          <w:kern w:val="16"/>
          <w:szCs w:val="20"/>
        </w:rPr>
        <w:t xml:space="preserve"> it is not included in the rating agencies’ determination of earnings before interest, taxes, depreciation and amortization </w:t>
      </w:r>
      <w:r>
        <w:rPr>
          <w:kern w:val="16"/>
          <w:szCs w:val="20"/>
        </w:rPr>
        <w:lastRenderedPageBreak/>
        <w:t>(EBITDA) or funds from operations (FFO).  However, the debt and corresponding interest costs on the financings are real and are included in the rating agencies</w:t>
      </w:r>
      <w:r w:rsidR="00B4018E">
        <w:rPr>
          <w:kern w:val="16"/>
          <w:szCs w:val="20"/>
        </w:rPr>
        <w:t>’</w:t>
      </w:r>
      <w:r>
        <w:rPr>
          <w:kern w:val="16"/>
          <w:szCs w:val="20"/>
        </w:rPr>
        <w:t xml:space="preserve"> credit ratio analysis.  Mr. Gorman’s models have understated debt and interest expense and thereby produce erroneously high debt and interest coverage ratios.</w:t>
      </w:r>
    </w:p>
    <w:p w:rsidR="008F4FEA" w:rsidRDefault="008F4FEA" w:rsidP="009201E6">
      <w:pPr>
        <w:spacing w:line="480" w:lineRule="auto"/>
        <w:ind w:left="720" w:firstLine="720"/>
        <w:jc w:val="left"/>
        <w:rPr>
          <w:kern w:val="16"/>
          <w:szCs w:val="20"/>
        </w:rPr>
      </w:pPr>
      <w:r>
        <w:rPr>
          <w:kern w:val="16"/>
          <w:szCs w:val="20"/>
        </w:rPr>
        <w:t xml:space="preserve">Third, </w:t>
      </w:r>
      <w:r w:rsidR="00EC3784" w:rsidRPr="00282CD1">
        <w:rPr>
          <w:kern w:val="16"/>
          <w:szCs w:val="20"/>
        </w:rPr>
        <w:t xml:space="preserve">Mr. Gorman’s analysis </w:t>
      </w:r>
      <w:r w:rsidR="0002505D">
        <w:rPr>
          <w:kern w:val="16"/>
          <w:szCs w:val="20"/>
        </w:rPr>
        <w:t>does not</w:t>
      </w:r>
      <w:r w:rsidR="00EC3784" w:rsidRPr="00282CD1">
        <w:rPr>
          <w:kern w:val="16"/>
          <w:szCs w:val="20"/>
        </w:rPr>
        <w:t xml:space="preserve"> include the full amount of adjustments that S&amp;P make</w:t>
      </w:r>
      <w:r>
        <w:rPr>
          <w:kern w:val="16"/>
          <w:szCs w:val="20"/>
        </w:rPr>
        <w:t>s</w:t>
      </w:r>
      <w:r w:rsidR="00EC3784" w:rsidRPr="00282CD1">
        <w:rPr>
          <w:kern w:val="16"/>
          <w:szCs w:val="20"/>
        </w:rPr>
        <w:t xml:space="preserve"> when </w:t>
      </w:r>
      <w:r w:rsidR="0040227F">
        <w:rPr>
          <w:kern w:val="16"/>
          <w:szCs w:val="20"/>
        </w:rPr>
        <w:t>it assesses</w:t>
      </w:r>
      <w:r w:rsidR="00220EA0">
        <w:rPr>
          <w:kern w:val="16"/>
          <w:szCs w:val="20"/>
        </w:rPr>
        <w:t xml:space="preserve"> the Company’s credit</w:t>
      </w:r>
      <w:r w:rsidR="00EC3784" w:rsidRPr="00282CD1">
        <w:rPr>
          <w:kern w:val="16"/>
          <w:szCs w:val="20"/>
        </w:rPr>
        <w:t xml:space="preserve">worthiness. </w:t>
      </w:r>
      <w:r w:rsidR="00F27D25">
        <w:rPr>
          <w:kern w:val="16"/>
          <w:szCs w:val="20"/>
        </w:rPr>
        <w:t xml:space="preserve"> </w:t>
      </w:r>
      <w:r w:rsidR="00EC3784" w:rsidRPr="00282CD1">
        <w:rPr>
          <w:kern w:val="16"/>
          <w:szCs w:val="20"/>
        </w:rPr>
        <w:t xml:space="preserve">The result is that Mr. Gorman has included less than one-half of the </w:t>
      </w:r>
      <w:proofErr w:type="gramStart"/>
      <w:r w:rsidR="00EC3784" w:rsidRPr="00282CD1">
        <w:rPr>
          <w:kern w:val="16"/>
          <w:szCs w:val="20"/>
        </w:rPr>
        <w:t>amount</w:t>
      </w:r>
      <w:proofErr w:type="gramEnd"/>
      <w:r w:rsidR="00EC3784" w:rsidRPr="00282CD1">
        <w:rPr>
          <w:kern w:val="16"/>
          <w:szCs w:val="20"/>
        </w:rPr>
        <w:t xml:space="preserve"> of S&amp;P’s debt adjustments. </w:t>
      </w:r>
      <w:r w:rsidR="00F27D25">
        <w:rPr>
          <w:kern w:val="16"/>
          <w:szCs w:val="20"/>
        </w:rPr>
        <w:t xml:space="preserve"> </w:t>
      </w:r>
    </w:p>
    <w:p w:rsidR="00EC3784" w:rsidRPr="00282CD1" w:rsidRDefault="00EC3784" w:rsidP="009201E6">
      <w:pPr>
        <w:spacing w:line="480" w:lineRule="auto"/>
        <w:ind w:left="720" w:firstLine="720"/>
        <w:jc w:val="left"/>
        <w:rPr>
          <w:kern w:val="16"/>
          <w:szCs w:val="20"/>
        </w:rPr>
      </w:pPr>
      <w:r w:rsidRPr="00282CD1">
        <w:rPr>
          <w:kern w:val="16"/>
          <w:szCs w:val="20"/>
        </w:rPr>
        <w:t>F</w:t>
      </w:r>
      <w:r w:rsidR="008F4FEA">
        <w:rPr>
          <w:kern w:val="16"/>
          <w:szCs w:val="20"/>
        </w:rPr>
        <w:t>ourth</w:t>
      </w:r>
      <w:r w:rsidRPr="00282CD1">
        <w:rPr>
          <w:kern w:val="16"/>
          <w:szCs w:val="20"/>
        </w:rPr>
        <w:t xml:space="preserve">, Mr. Gorman does not test his proposed </w:t>
      </w:r>
      <w:r w:rsidR="0002505D">
        <w:rPr>
          <w:kern w:val="16"/>
          <w:szCs w:val="20"/>
        </w:rPr>
        <w:t>ROR</w:t>
      </w:r>
      <w:r w:rsidRPr="00282CD1">
        <w:rPr>
          <w:kern w:val="16"/>
          <w:szCs w:val="20"/>
        </w:rPr>
        <w:t xml:space="preserve"> against five of the seven ratios </w:t>
      </w:r>
      <w:r w:rsidR="0040227F">
        <w:rPr>
          <w:kern w:val="16"/>
          <w:szCs w:val="20"/>
        </w:rPr>
        <w:t xml:space="preserve">for which </w:t>
      </w:r>
      <w:r w:rsidRPr="00282CD1">
        <w:rPr>
          <w:kern w:val="16"/>
          <w:szCs w:val="20"/>
        </w:rPr>
        <w:t>S&amp;P publishe</w:t>
      </w:r>
      <w:r w:rsidR="0040227F">
        <w:rPr>
          <w:kern w:val="16"/>
          <w:szCs w:val="20"/>
        </w:rPr>
        <w:t>s</w:t>
      </w:r>
      <w:r w:rsidRPr="00282CD1">
        <w:rPr>
          <w:kern w:val="16"/>
          <w:szCs w:val="20"/>
        </w:rPr>
        <w:t xml:space="preserve"> targets as part of </w:t>
      </w:r>
      <w:r w:rsidR="0040227F">
        <w:rPr>
          <w:kern w:val="16"/>
          <w:szCs w:val="20"/>
        </w:rPr>
        <w:t>its</w:t>
      </w:r>
      <w:r w:rsidR="0040227F" w:rsidRPr="00282CD1">
        <w:rPr>
          <w:kern w:val="16"/>
          <w:szCs w:val="20"/>
        </w:rPr>
        <w:t xml:space="preserve"> </w:t>
      </w:r>
      <w:r w:rsidRPr="00282CD1">
        <w:rPr>
          <w:kern w:val="16"/>
          <w:szCs w:val="20"/>
        </w:rPr>
        <w:t>quantitative analysis.</w:t>
      </w:r>
    </w:p>
    <w:p w:rsidR="00EC3784" w:rsidRPr="00282CD1" w:rsidRDefault="00EC3784" w:rsidP="009201E6">
      <w:pPr>
        <w:pStyle w:val="BodyTextIndent"/>
        <w:widowControl/>
        <w:adjustRightInd/>
        <w:ind w:left="720" w:hanging="720"/>
        <w:jc w:val="left"/>
        <w:textAlignment w:val="auto"/>
        <w:rPr>
          <w:b/>
          <w:kern w:val="16"/>
          <w:szCs w:val="20"/>
        </w:rPr>
      </w:pPr>
      <w:r w:rsidRPr="00282CD1">
        <w:rPr>
          <w:b/>
          <w:kern w:val="16"/>
          <w:szCs w:val="20"/>
        </w:rPr>
        <w:t>Q.</w:t>
      </w:r>
      <w:r w:rsidRPr="00282CD1">
        <w:rPr>
          <w:kern w:val="16"/>
          <w:sz w:val="20"/>
          <w:szCs w:val="20"/>
        </w:rPr>
        <w:tab/>
      </w:r>
      <w:r w:rsidRPr="00282CD1">
        <w:rPr>
          <w:b/>
          <w:kern w:val="16"/>
          <w:szCs w:val="20"/>
        </w:rPr>
        <w:t xml:space="preserve">Which specific </w:t>
      </w:r>
      <w:r>
        <w:rPr>
          <w:b/>
          <w:kern w:val="16"/>
          <w:szCs w:val="20"/>
        </w:rPr>
        <w:t xml:space="preserve">rating agency </w:t>
      </w:r>
      <w:r w:rsidRPr="00282CD1">
        <w:rPr>
          <w:b/>
          <w:kern w:val="16"/>
          <w:szCs w:val="20"/>
        </w:rPr>
        <w:t xml:space="preserve">adjustments does Mr. Gorman </w:t>
      </w:r>
      <w:r w:rsidR="008F4FEA">
        <w:rPr>
          <w:b/>
          <w:kern w:val="16"/>
          <w:szCs w:val="20"/>
        </w:rPr>
        <w:t>omit from</w:t>
      </w:r>
      <w:r w:rsidRPr="00282CD1">
        <w:rPr>
          <w:b/>
          <w:kern w:val="16"/>
          <w:szCs w:val="20"/>
        </w:rPr>
        <w:t xml:space="preserve"> his analysis?</w:t>
      </w:r>
    </w:p>
    <w:p w:rsidR="000D6B4E" w:rsidRDefault="00EC3784" w:rsidP="000D6B4E">
      <w:pPr>
        <w:spacing w:line="480" w:lineRule="auto"/>
        <w:ind w:left="720" w:hanging="720"/>
        <w:jc w:val="left"/>
        <w:rPr>
          <w:b/>
          <w:kern w:val="16"/>
          <w:szCs w:val="20"/>
        </w:rPr>
      </w:pPr>
      <w:r w:rsidRPr="00282CD1">
        <w:rPr>
          <w:kern w:val="16"/>
          <w:szCs w:val="20"/>
        </w:rPr>
        <w:t>A.</w:t>
      </w:r>
      <w:r w:rsidRPr="00282CD1">
        <w:rPr>
          <w:kern w:val="16"/>
          <w:sz w:val="20"/>
          <w:szCs w:val="20"/>
        </w:rPr>
        <w:tab/>
      </w:r>
      <w:r w:rsidRPr="00282CD1">
        <w:rPr>
          <w:kern w:val="16"/>
          <w:szCs w:val="20"/>
        </w:rPr>
        <w:t>Mr. Gorman does not include the following adjustments and thus ignores the corresponding amount of increased debt as of December 31, 2013</w:t>
      </w:r>
      <w:r w:rsidR="0040227F">
        <w:rPr>
          <w:kern w:val="16"/>
          <w:szCs w:val="20"/>
        </w:rPr>
        <w:t>:</w:t>
      </w:r>
      <w:r w:rsidRPr="00282CD1">
        <w:rPr>
          <w:kern w:val="16"/>
          <w:szCs w:val="20"/>
          <w:vertAlign w:val="superscript"/>
        </w:rPr>
        <w:footnoteReference w:id="29"/>
      </w:r>
      <w:r w:rsidRPr="00282CD1">
        <w:rPr>
          <w:kern w:val="16"/>
          <w:szCs w:val="20"/>
        </w:rPr>
        <w:t xml:space="preserve"> </w:t>
      </w:r>
      <w:r w:rsidR="008F4FEA">
        <w:rPr>
          <w:kern w:val="16"/>
          <w:szCs w:val="20"/>
        </w:rPr>
        <w:t>(1) A</w:t>
      </w:r>
      <w:r w:rsidRPr="00282CD1">
        <w:rPr>
          <w:kern w:val="16"/>
          <w:szCs w:val="20"/>
        </w:rPr>
        <w:t xml:space="preserve">sset Retirement </w:t>
      </w:r>
      <w:r w:rsidR="00220EA0">
        <w:rPr>
          <w:kern w:val="16"/>
          <w:szCs w:val="20"/>
        </w:rPr>
        <w:t>Obligations (</w:t>
      </w:r>
      <w:r w:rsidRPr="00282CD1">
        <w:rPr>
          <w:kern w:val="16"/>
          <w:szCs w:val="20"/>
        </w:rPr>
        <w:t>AROs)</w:t>
      </w:r>
      <w:r w:rsidR="0040227F">
        <w:rPr>
          <w:kern w:val="16"/>
          <w:szCs w:val="20"/>
        </w:rPr>
        <w:t>—</w:t>
      </w:r>
      <w:r w:rsidRPr="00282CD1">
        <w:rPr>
          <w:kern w:val="16"/>
          <w:szCs w:val="20"/>
        </w:rPr>
        <w:t>$89.7 million</w:t>
      </w:r>
      <w:r w:rsidR="008F4FEA">
        <w:rPr>
          <w:kern w:val="16"/>
          <w:szCs w:val="20"/>
        </w:rPr>
        <w:t xml:space="preserve">; (2) </w:t>
      </w:r>
      <w:r w:rsidRPr="00282CD1">
        <w:rPr>
          <w:kern w:val="16"/>
          <w:szCs w:val="20"/>
        </w:rPr>
        <w:t>Post</w:t>
      </w:r>
      <w:r w:rsidR="0040227F">
        <w:rPr>
          <w:kern w:val="16"/>
          <w:szCs w:val="20"/>
        </w:rPr>
        <w:t>-</w:t>
      </w:r>
      <w:r w:rsidRPr="00282CD1">
        <w:rPr>
          <w:kern w:val="16"/>
          <w:szCs w:val="20"/>
        </w:rPr>
        <w:t>retirement employee benefits</w:t>
      </w:r>
      <w:r w:rsidR="0040227F">
        <w:rPr>
          <w:kern w:val="16"/>
          <w:szCs w:val="20"/>
        </w:rPr>
        <w:t>—</w:t>
      </w:r>
      <w:r w:rsidRPr="00282CD1">
        <w:rPr>
          <w:kern w:val="16"/>
          <w:szCs w:val="20"/>
        </w:rPr>
        <w:t>$111.15 million</w:t>
      </w:r>
      <w:r w:rsidR="008F4FEA">
        <w:rPr>
          <w:kern w:val="16"/>
          <w:szCs w:val="20"/>
        </w:rPr>
        <w:t xml:space="preserve">; (3) </w:t>
      </w:r>
      <w:r w:rsidRPr="00282CD1">
        <w:rPr>
          <w:kern w:val="16"/>
          <w:szCs w:val="20"/>
        </w:rPr>
        <w:t>Accrued Interest</w:t>
      </w:r>
      <w:r w:rsidR="0040227F">
        <w:rPr>
          <w:kern w:val="16"/>
          <w:szCs w:val="20"/>
        </w:rPr>
        <w:t>—</w:t>
      </w:r>
      <w:r w:rsidRPr="00282CD1">
        <w:rPr>
          <w:kern w:val="16"/>
          <w:szCs w:val="20"/>
        </w:rPr>
        <w:t>$110.0 million</w:t>
      </w:r>
      <w:r w:rsidR="008F4FEA">
        <w:rPr>
          <w:kern w:val="16"/>
          <w:szCs w:val="20"/>
        </w:rPr>
        <w:t xml:space="preserve">.  </w:t>
      </w:r>
      <w:r w:rsidRPr="00282CD1">
        <w:rPr>
          <w:kern w:val="16"/>
          <w:szCs w:val="20"/>
        </w:rPr>
        <w:t xml:space="preserve">Each of these adjustments and the respective amounts </w:t>
      </w:r>
      <w:r w:rsidR="0040227F">
        <w:rPr>
          <w:kern w:val="16"/>
          <w:szCs w:val="20"/>
        </w:rPr>
        <w:t>are</w:t>
      </w:r>
      <w:r w:rsidR="008F4FEA">
        <w:rPr>
          <w:kern w:val="16"/>
          <w:szCs w:val="20"/>
        </w:rPr>
        <w:t xml:space="preserve"> documented on </w:t>
      </w:r>
      <w:r w:rsidRPr="00282CD1">
        <w:rPr>
          <w:kern w:val="16"/>
          <w:szCs w:val="20"/>
        </w:rPr>
        <w:t>S&amp;P’s website</w:t>
      </w:r>
      <w:r w:rsidR="008F4FEA">
        <w:rPr>
          <w:kern w:val="16"/>
          <w:szCs w:val="20"/>
        </w:rPr>
        <w:t>, a print-out of which is</w:t>
      </w:r>
      <w:r w:rsidRPr="00282CD1">
        <w:rPr>
          <w:kern w:val="16"/>
          <w:szCs w:val="20"/>
        </w:rPr>
        <w:t xml:space="preserve"> attached as Exhibit </w:t>
      </w:r>
      <w:r w:rsidR="008F4FEA">
        <w:rPr>
          <w:kern w:val="16"/>
          <w:szCs w:val="20"/>
        </w:rPr>
        <w:t>No.</w:t>
      </w:r>
      <w:r w:rsidR="00BC5640">
        <w:rPr>
          <w:kern w:val="16"/>
          <w:szCs w:val="20"/>
        </w:rPr>
        <w:t xml:space="preserve"> </w:t>
      </w:r>
      <w:proofErr w:type="gramStart"/>
      <w:r w:rsidR="00BC5640">
        <w:rPr>
          <w:kern w:val="16"/>
          <w:szCs w:val="20"/>
        </w:rPr>
        <w:t>BNW-18</w:t>
      </w:r>
      <w:r>
        <w:rPr>
          <w:kern w:val="16"/>
          <w:szCs w:val="20"/>
        </w:rPr>
        <w:t>.</w:t>
      </w:r>
      <w:proofErr w:type="gramEnd"/>
      <w:r>
        <w:rPr>
          <w:kern w:val="16"/>
          <w:szCs w:val="20"/>
        </w:rPr>
        <w:t xml:space="preserve">  </w:t>
      </w:r>
      <w:r w:rsidRPr="00282CD1">
        <w:rPr>
          <w:kern w:val="16"/>
          <w:szCs w:val="20"/>
        </w:rPr>
        <w:t>As shown in that exhibit, Mr.</w:t>
      </w:r>
      <w:r w:rsidR="0040227F">
        <w:rPr>
          <w:kern w:val="16"/>
          <w:szCs w:val="20"/>
        </w:rPr>
        <w:t> </w:t>
      </w:r>
      <w:r w:rsidRPr="00282CD1">
        <w:rPr>
          <w:kern w:val="16"/>
          <w:szCs w:val="20"/>
        </w:rPr>
        <w:t>Gorman has correctly included S&amp;P’s adjustments related to operating leases and purchased power agreements</w:t>
      </w:r>
      <w:r w:rsidR="008F4FEA">
        <w:rPr>
          <w:kern w:val="16"/>
          <w:szCs w:val="20"/>
        </w:rPr>
        <w:t>, but omitted the balance of S&amp;P’s debt adjustments</w:t>
      </w:r>
      <w:r w:rsidRPr="00282CD1">
        <w:rPr>
          <w:kern w:val="16"/>
          <w:szCs w:val="20"/>
        </w:rPr>
        <w:t>.</w:t>
      </w:r>
      <w:r w:rsidR="000D6B4E">
        <w:rPr>
          <w:b/>
          <w:kern w:val="16"/>
          <w:szCs w:val="20"/>
        </w:rPr>
        <w:br w:type="page"/>
      </w:r>
    </w:p>
    <w:p w:rsidR="00EC3784" w:rsidRPr="00282CD1" w:rsidRDefault="00EC3784" w:rsidP="009201E6">
      <w:pPr>
        <w:spacing w:line="480" w:lineRule="auto"/>
        <w:ind w:left="720" w:hanging="720"/>
        <w:jc w:val="left"/>
        <w:rPr>
          <w:b/>
          <w:kern w:val="16"/>
          <w:szCs w:val="20"/>
        </w:rPr>
      </w:pPr>
      <w:r w:rsidRPr="00282CD1">
        <w:rPr>
          <w:b/>
          <w:kern w:val="16"/>
          <w:szCs w:val="20"/>
        </w:rPr>
        <w:lastRenderedPageBreak/>
        <w:t>Q.</w:t>
      </w:r>
      <w:r w:rsidRPr="00282CD1">
        <w:rPr>
          <w:kern w:val="16"/>
          <w:sz w:val="20"/>
          <w:szCs w:val="20"/>
        </w:rPr>
        <w:tab/>
      </w:r>
      <w:r w:rsidRPr="00282CD1">
        <w:rPr>
          <w:b/>
          <w:kern w:val="16"/>
          <w:szCs w:val="20"/>
        </w:rPr>
        <w:t>Has S&amp;P stated explicitly that they include the three adjustments that Mr.</w:t>
      </w:r>
      <w:r w:rsidR="0040227F">
        <w:rPr>
          <w:b/>
          <w:kern w:val="16"/>
          <w:szCs w:val="20"/>
        </w:rPr>
        <w:t> </w:t>
      </w:r>
      <w:r w:rsidRPr="00282CD1">
        <w:rPr>
          <w:b/>
          <w:kern w:val="16"/>
          <w:szCs w:val="20"/>
        </w:rPr>
        <w:t xml:space="preserve">Gorman’s analysis </w:t>
      </w:r>
      <w:r w:rsidR="00B87291">
        <w:rPr>
          <w:b/>
          <w:kern w:val="16"/>
          <w:szCs w:val="20"/>
        </w:rPr>
        <w:t>omits</w:t>
      </w:r>
      <w:r w:rsidRPr="00282CD1">
        <w:rPr>
          <w:b/>
          <w:kern w:val="16"/>
          <w:szCs w:val="20"/>
        </w:rPr>
        <w:t>?</w:t>
      </w:r>
    </w:p>
    <w:p w:rsidR="006D0AEE" w:rsidRDefault="00EC3784" w:rsidP="009201E6">
      <w:pPr>
        <w:spacing w:line="480" w:lineRule="auto"/>
        <w:ind w:left="720" w:hanging="720"/>
        <w:jc w:val="left"/>
        <w:rPr>
          <w:kern w:val="16"/>
          <w:szCs w:val="20"/>
        </w:rPr>
      </w:pPr>
      <w:r w:rsidRPr="00282CD1">
        <w:rPr>
          <w:kern w:val="16"/>
          <w:szCs w:val="20"/>
        </w:rPr>
        <w:t>A.</w:t>
      </w:r>
      <w:r w:rsidRPr="00282CD1">
        <w:rPr>
          <w:kern w:val="16"/>
          <w:sz w:val="20"/>
          <w:szCs w:val="20"/>
        </w:rPr>
        <w:tab/>
      </w:r>
      <w:r w:rsidRPr="00282CD1">
        <w:rPr>
          <w:kern w:val="16"/>
          <w:szCs w:val="20"/>
        </w:rPr>
        <w:t xml:space="preserve">Yes. </w:t>
      </w:r>
      <w:r w:rsidR="00F27D25">
        <w:rPr>
          <w:kern w:val="16"/>
          <w:szCs w:val="20"/>
        </w:rPr>
        <w:t xml:space="preserve"> </w:t>
      </w:r>
      <w:r w:rsidRPr="00282CD1">
        <w:rPr>
          <w:kern w:val="16"/>
          <w:szCs w:val="20"/>
        </w:rPr>
        <w:t xml:space="preserve">In addition to </w:t>
      </w:r>
      <w:r w:rsidR="008F4FEA">
        <w:rPr>
          <w:kern w:val="16"/>
          <w:szCs w:val="20"/>
        </w:rPr>
        <w:t xml:space="preserve">the evidence of how S&amp;P specifically reviews </w:t>
      </w:r>
      <w:r w:rsidR="008077C6">
        <w:rPr>
          <w:kern w:val="16"/>
          <w:szCs w:val="20"/>
        </w:rPr>
        <w:t>the Company’s</w:t>
      </w:r>
      <w:r w:rsidR="008F4FEA">
        <w:rPr>
          <w:kern w:val="16"/>
          <w:szCs w:val="20"/>
        </w:rPr>
        <w:t xml:space="preserve"> credit rating, </w:t>
      </w:r>
      <w:r w:rsidRPr="00282CD1">
        <w:rPr>
          <w:kern w:val="16"/>
          <w:szCs w:val="20"/>
        </w:rPr>
        <w:t xml:space="preserve">S&amp;P is very clear about </w:t>
      </w:r>
      <w:r w:rsidR="008F4FEA">
        <w:rPr>
          <w:kern w:val="16"/>
          <w:szCs w:val="20"/>
        </w:rPr>
        <w:t xml:space="preserve">generally </w:t>
      </w:r>
      <w:r w:rsidRPr="00282CD1">
        <w:rPr>
          <w:kern w:val="16"/>
          <w:szCs w:val="20"/>
        </w:rPr>
        <w:t xml:space="preserve">viewing these items as debt. </w:t>
      </w:r>
      <w:r w:rsidR="00B87291">
        <w:rPr>
          <w:kern w:val="16"/>
          <w:szCs w:val="20"/>
        </w:rPr>
        <w:t xml:space="preserve"> </w:t>
      </w:r>
      <w:r w:rsidRPr="00282CD1">
        <w:rPr>
          <w:kern w:val="16"/>
          <w:szCs w:val="20"/>
        </w:rPr>
        <w:t xml:space="preserve">For instance, </w:t>
      </w:r>
      <w:r w:rsidR="0040227F">
        <w:rPr>
          <w:kern w:val="16"/>
          <w:szCs w:val="20"/>
        </w:rPr>
        <w:t>S&amp;P</w:t>
      </w:r>
      <w:r w:rsidR="0040227F" w:rsidRPr="00282CD1">
        <w:rPr>
          <w:kern w:val="16"/>
          <w:szCs w:val="20"/>
        </w:rPr>
        <w:t xml:space="preserve"> </w:t>
      </w:r>
      <w:r w:rsidRPr="00282CD1">
        <w:rPr>
          <w:kern w:val="16"/>
          <w:szCs w:val="20"/>
        </w:rPr>
        <w:t>state</w:t>
      </w:r>
      <w:r w:rsidR="0040227F">
        <w:rPr>
          <w:kern w:val="16"/>
          <w:szCs w:val="20"/>
        </w:rPr>
        <w:t>s</w:t>
      </w:r>
      <w:r w:rsidRPr="00282CD1">
        <w:rPr>
          <w:kern w:val="16"/>
          <w:szCs w:val="20"/>
        </w:rPr>
        <w:t xml:space="preserve"> the following:</w:t>
      </w:r>
    </w:p>
    <w:p w:rsidR="00EC3784" w:rsidRPr="006D0AEE" w:rsidRDefault="00EC3784" w:rsidP="009201E6">
      <w:pPr>
        <w:pStyle w:val="ListParagraph"/>
        <w:numPr>
          <w:ilvl w:val="0"/>
          <w:numId w:val="13"/>
        </w:numPr>
        <w:spacing w:line="480" w:lineRule="auto"/>
        <w:jc w:val="left"/>
        <w:rPr>
          <w:kern w:val="16"/>
          <w:sz w:val="20"/>
          <w:szCs w:val="20"/>
        </w:rPr>
      </w:pPr>
      <w:r w:rsidRPr="006D0AEE">
        <w:rPr>
          <w:kern w:val="16"/>
          <w:szCs w:val="20"/>
        </w:rPr>
        <w:t>AROs</w:t>
      </w:r>
      <w:r w:rsidR="0040227F">
        <w:rPr>
          <w:kern w:val="16"/>
          <w:szCs w:val="20"/>
        </w:rPr>
        <w:t>—</w:t>
      </w:r>
      <w:r w:rsidRPr="006D0AEE">
        <w:rPr>
          <w:kern w:val="16"/>
          <w:szCs w:val="20"/>
        </w:rPr>
        <w:t>“We treat AROs as debt-like obligations….”</w:t>
      </w:r>
      <w:r w:rsidRPr="00282CD1">
        <w:rPr>
          <w:vertAlign w:val="superscript"/>
        </w:rPr>
        <w:footnoteReference w:id="30"/>
      </w:r>
    </w:p>
    <w:p w:rsidR="00EC3784" w:rsidRPr="00282CD1" w:rsidRDefault="00EC3784" w:rsidP="009201E6">
      <w:pPr>
        <w:pStyle w:val="ListParagraph"/>
        <w:numPr>
          <w:ilvl w:val="0"/>
          <w:numId w:val="13"/>
        </w:numPr>
        <w:spacing w:line="480" w:lineRule="auto"/>
        <w:jc w:val="left"/>
        <w:rPr>
          <w:kern w:val="16"/>
          <w:sz w:val="20"/>
          <w:szCs w:val="20"/>
        </w:rPr>
      </w:pPr>
      <w:r w:rsidRPr="00282CD1">
        <w:rPr>
          <w:kern w:val="16"/>
          <w:szCs w:val="20"/>
        </w:rPr>
        <w:t>Post</w:t>
      </w:r>
      <w:r w:rsidR="0040227F">
        <w:rPr>
          <w:kern w:val="16"/>
          <w:szCs w:val="20"/>
        </w:rPr>
        <w:t>-</w:t>
      </w:r>
      <w:r w:rsidRPr="00282CD1">
        <w:rPr>
          <w:kern w:val="16"/>
          <w:szCs w:val="20"/>
        </w:rPr>
        <w:t>retirement employee benefits</w:t>
      </w:r>
      <w:r w:rsidR="0040227F">
        <w:rPr>
          <w:kern w:val="16"/>
          <w:szCs w:val="20"/>
        </w:rPr>
        <w:t>—</w:t>
      </w:r>
      <w:r w:rsidRPr="00282CD1">
        <w:rPr>
          <w:kern w:val="16"/>
          <w:szCs w:val="20"/>
        </w:rPr>
        <w:t>“We include underfunded defined-benefit obligations for retirees, including pensions and health care coverage (collectively, postretirement benefits or PRB) in our measure of debt.”</w:t>
      </w:r>
      <w:r w:rsidRPr="00282CD1">
        <w:rPr>
          <w:kern w:val="16"/>
          <w:szCs w:val="20"/>
          <w:vertAlign w:val="superscript"/>
        </w:rPr>
        <w:footnoteReference w:id="31"/>
      </w:r>
      <w:r w:rsidRPr="00282CD1">
        <w:rPr>
          <w:kern w:val="16"/>
          <w:sz w:val="20"/>
          <w:szCs w:val="20"/>
        </w:rPr>
        <w:t xml:space="preserve"> </w:t>
      </w:r>
    </w:p>
    <w:p w:rsidR="00EC3784" w:rsidRPr="00282CD1" w:rsidRDefault="00EC3784" w:rsidP="009201E6">
      <w:pPr>
        <w:pStyle w:val="ListParagraph"/>
        <w:numPr>
          <w:ilvl w:val="0"/>
          <w:numId w:val="13"/>
        </w:numPr>
        <w:spacing w:line="480" w:lineRule="auto"/>
        <w:jc w:val="left"/>
        <w:rPr>
          <w:kern w:val="16"/>
          <w:sz w:val="20"/>
          <w:szCs w:val="20"/>
        </w:rPr>
      </w:pPr>
      <w:r w:rsidRPr="00282CD1">
        <w:rPr>
          <w:kern w:val="16"/>
          <w:szCs w:val="20"/>
        </w:rPr>
        <w:t>Accrued Interest</w:t>
      </w:r>
      <w:r w:rsidR="0040227F">
        <w:rPr>
          <w:kern w:val="16"/>
          <w:szCs w:val="20"/>
        </w:rPr>
        <w:t>—</w:t>
      </w:r>
      <w:r w:rsidRPr="00282CD1">
        <w:rPr>
          <w:kern w:val="16"/>
          <w:szCs w:val="20"/>
        </w:rPr>
        <w:t>“We reclassify as debt any accrued interest that is not already included in reported debt.”</w:t>
      </w:r>
      <w:r w:rsidRPr="00282CD1">
        <w:rPr>
          <w:kern w:val="16"/>
          <w:szCs w:val="20"/>
          <w:vertAlign w:val="superscript"/>
        </w:rPr>
        <w:footnoteReference w:id="32"/>
      </w:r>
      <w:r w:rsidRPr="00282CD1">
        <w:rPr>
          <w:kern w:val="16"/>
          <w:sz w:val="20"/>
          <w:szCs w:val="20"/>
        </w:rPr>
        <w:t xml:space="preserve"> </w:t>
      </w:r>
    </w:p>
    <w:p w:rsidR="00EC3784" w:rsidRPr="00282CD1" w:rsidRDefault="00EC3784" w:rsidP="009201E6">
      <w:pPr>
        <w:spacing w:line="480" w:lineRule="auto"/>
        <w:ind w:left="720" w:hanging="720"/>
        <w:jc w:val="left"/>
        <w:rPr>
          <w:b/>
          <w:kern w:val="16"/>
          <w:szCs w:val="20"/>
        </w:rPr>
      </w:pPr>
      <w:r w:rsidRPr="00282CD1">
        <w:rPr>
          <w:b/>
          <w:kern w:val="16"/>
          <w:szCs w:val="20"/>
        </w:rPr>
        <w:t>Q.</w:t>
      </w:r>
      <w:r w:rsidRPr="00282CD1">
        <w:rPr>
          <w:kern w:val="16"/>
          <w:sz w:val="20"/>
          <w:szCs w:val="20"/>
        </w:rPr>
        <w:tab/>
      </w:r>
      <w:r w:rsidRPr="00282CD1">
        <w:rPr>
          <w:b/>
          <w:kern w:val="16"/>
          <w:szCs w:val="20"/>
        </w:rPr>
        <w:t>Does Mr. Gorman’s analysis provide a benchmark comparison for all seven of S&amp;P’s cash flow/leverage ratios?</w:t>
      </w:r>
    </w:p>
    <w:p w:rsidR="00EC3784" w:rsidRPr="00282CD1" w:rsidRDefault="00EC3784" w:rsidP="009201E6">
      <w:pPr>
        <w:spacing w:line="480" w:lineRule="auto"/>
        <w:ind w:left="720" w:hanging="720"/>
        <w:jc w:val="left"/>
        <w:rPr>
          <w:kern w:val="16"/>
          <w:szCs w:val="20"/>
        </w:rPr>
      </w:pPr>
      <w:r w:rsidRPr="00282CD1">
        <w:rPr>
          <w:kern w:val="16"/>
          <w:szCs w:val="20"/>
        </w:rPr>
        <w:t>A.</w:t>
      </w:r>
      <w:r w:rsidRPr="00282CD1">
        <w:rPr>
          <w:kern w:val="16"/>
          <w:sz w:val="20"/>
          <w:szCs w:val="20"/>
        </w:rPr>
        <w:tab/>
      </w:r>
      <w:r w:rsidRPr="00282CD1">
        <w:rPr>
          <w:kern w:val="16"/>
          <w:szCs w:val="20"/>
        </w:rPr>
        <w:t xml:space="preserve">No. </w:t>
      </w:r>
      <w:r w:rsidR="00F27D25">
        <w:rPr>
          <w:kern w:val="16"/>
          <w:szCs w:val="20"/>
        </w:rPr>
        <w:t xml:space="preserve"> </w:t>
      </w:r>
      <w:r w:rsidRPr="00282CD1">
        <w:rPr>
          <w:kern w:val="16"/>
          <w:szCs w:val="20"/>
        </w:rPr>
        <w:t>Mr. Gorman’s analysis provides results for only two of the seven ratios.</w:t>
      </w:r>
      <w:r w:rsidRPr="00282CD1">
        <w:rPr>
          <w:kern w:val="16"/>
          <w:szCs w:val="20"/>
          <w:vertAlign w:val="superscript"/>
        </w:rPr>
        <w:footnoteReference w:id="33"/>
      </w:r>
      <w:r w:rsidRPr="00282CD1">
        <w:rPr>
          <w:kern w:val="16"/>
          <w:sz w:val="20"/>
          <w:szCs w:val="20"/>
        </w:rPr>
        <w:t xml:space="preserve"> </w:t>
      </w:r>
      <w:r w:rsidR="0040227F">
        <w:rPr>
          <w:kern w:val="16"/>
          <w:sz w:val="20"/>
          <w:szCs w:val="20"/>
        </w:rPr>
        <w:t xml:space="preserve"> </w:t>
      </w:r>
      <w:r w:rsidRPr="00282CD1">
        <w:rPr>
          <w:kern w:val="16"/>
          <w:szCs w:val="20"/>
        </w:rPr>
        <w:t>He ignored the five other ratios that S&amp;P uses to help assess interest coverage and debt payback.</w:t>
      </w:r>
    </w:p>
    <w:p w:rsidR="00EC3784" w:rsidRDefault="00EC3784" w:rsidP="009201E6">
      <w:pPr>
        <w:spacing w:line="480" w:lineRule="auto"/>
        <w:ind w:left="720" w:firstLine="720"/>
        <w:jc w:val="left"/>
        <w:rPr>
          <w:kern w:val="16"/>
          <w:szCs w:val="20"/>
        </w:rPr>
      </w:pPr>
      <w:r w:rsidRPr="00282CD1">
        <w:rPr>
          <w:kern w:val="16"/>
          <w:szCs w:val="20"/>
        </w:rPr>
        <w:t xml:space="preserve">For all of these reasons, </w:t>
      </w:r>
      <w:r w:rsidR="00B87291">
        <w:rPr>
          <w:kern w:val="16"/>
          <w:szCs w:val="20"/>
        </w:rPr>
        <w:t xml:space="preserve">the Commission should not rely on </w:t>
      </w:r>
      <w:r w:rsidRPr="00282CD1">
        <w:rPr>
          <w:kern w:val="16"/>
          <w:szCs w:val="20"/>
        </w:rPr>
        <w:t xml:space="preserve">Mr. Gorman’s </w:t>
      </w:r>
      <w:r w:rsidR="002F7F70">
        <w:rPr>
          <w:kern w:val="16"/>
          <w:szCs w:val="20"/>
        </w:rPr>
        <w:t xml:space="preserve">credit metrics </w:t>
      </w:r>
      <w:r w:rsidRPr="00282CD1">
        <w:rPr>
          <w:kern w:val="16"/>
          <w:szCs w:val="20"/>
        </w:rPr>
        <w:t>analysis</w:t>
      </w:r>
      <w:r w:rsidR="00B87291">
        <w:rPr>
          <w:kern w:val="16"/>
          <w:szCs w:val="20"/>
        </w:rPr>
        <w:t>.  Mr. Gorman’s</w:t>
      </w:r>
      <w:r w:rsidRPr="00282CD1">
        <w:rPr>
          <w:kern w:val="16"/>
          <w:szCs w:val="20"/>
        </w:rPr>
        <w:t xml:space="preserve"> conclusion that his proposed overall </w:t>
      </w:r>
      <w:r w:rsidR="0040227F">
        <w:rPr>
          <w:kern w:val="16"/>
          <w:szCs w:val="20"/>
        </w:rPr>
        <w:t>ROR</w:t>
      </w:r>
      <w:r w:rsidRPr="00282CD1">
        <w:rPr>
          <w:kern w:val="16"/>
          <w:szCs w:val="20"/>
        </w:rPr>
        <w:t xml:space="preserve"> will produce financial results that support the Company’s credit ratings </w:t>
      </w:r>
      <w:r w:rsidR="002F7F70">
        <w:rPr>
          <w:kern w:val="16"/>
          <w:szCs w:val="20"/>
        </w:rPr>
        <w:t>is unsubstantiated</w:t>
      </w:r>
      <w:r w:rsidRPr="00282CD1">
        <w:rPr>
          <w:kern w:val="16"/>
          <w:szCs w:val="20"/>
        </w:rPr>
        <w:t xml:space="preserve">. </w:t>
      </w:r>
    </w:p>
    <w:p w:rsidR="00EC3784" w:rsidRDefault="00EC3784" w:rsidP="0040227F">
      <w:pPr>
        <w:keepNext/>
        <w:spacing w:line="480" w:lineRule="auto"/>
        <w:rPr>
          <w:b/>
        </w:rPr>
      </w:pPr>
      <w:r>
        <w:rPr>
          <w:b/>
        </w:rPr>
        <w:lastRenderedPageBreak/>
        <w:t>Q.</w:t>
      </w:r>
      <w:r>
        <w:rPr>
          <w:b/>
        </w:rPr>
        <w:tab/>
        <w:t>Does this conclude your rebuttal testimony?</w:t>
      </w:r>
    </w:p>
    <w:p w:rsidR="005841E0" w:rsidRPr="00EC6DFE" w:rsidRDefault="00EC3784" w:rsidP="00C0270E">
      <w:pPr>
        <w:spacing w:line="480" w:lineRule="auto"/>
      </w:pPr>
      <w:r w:rsidRPr="00F27D25">
        <w:t>A.</w:t>
      </w:r>
      <w:r w:rsidRPr="00F27D25">
        <w:tab/>
        <w:t>Yes</w:t>
      </w:r>
      <w:r>
        <w:t>.</w:t>
      </w:r>
    </w:p>
    <w:sectPr w:rsidR="005841E0" w:rsidRPr="00EC6DFE" w:rsidSect="00356C69">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800" w:header="720" w:footer="720" w:gutter="0"/>
      <w:lnNumType w:countBy="1"/>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53B" w:rsidRDefault="00FE353B">
      <w:r>
        <w:separator/>
      </w:r>
    </w:p>
  </w:endnote>
  <w:endnote w:type="continuationSeparator" w:id="0">
    <w:p w:rsidR="00FE353B" w:rsidRDefault="00FE353B">
      <w:r>
        <w:continuationSeparator/>
      </w:r>
    </w:p>
  </w:endnote>
  <w:endnote w:type="continuationNotice" w:id="1">
    <w:p w:rsidR="00FE353B" w:rsidRDefault="00FE353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2A2" w:rsidRDefault="00CC42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CC42A2" w:rsidRDefault="00CC42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2A2" w:rsidRDefault="00CC42A2" w:rsidP="00A70E1D">
    <w:pPr>
      <w:pStyle w:val="Footer"/>
      <w:tabs>
        <w:tab w:val="clear" w:pos="8640"/>
        <w:tab w:val="right" w:pos="4320"/>
        <w:tab w:val="right" w:pos="9000"/>
      </w:tabs>
      <w:spacing w:line="240" w:lineRule="auto"/>
    </w:pPr>
    <w:r>
      <w:t xml:space="preserve">Rebuttal </w:t>
    </w:r>
    <w:r w:rsidRPr="004F1FD8">
      <w:t xml:space="preserve">Testimony of </w:t>
    </w:r>
    <w:r>
      <w:t>Bruce N. Williams</w:t>
    </w:r>
    <w:r>
      <w:tab/>
    </w:r>
    <w:r>
      <w:tab/>
      <w:t>Exhibit No.</w:t>
    </w:r>
    <w:r w:rsidR="009201E6">
      <w:t xml:space="preserve"> </w:t>
    </w:r>
    <w:r>
      <w:t>BNW-</w:t>
    </w:r>
    <w:r w:rsidR="009201E6">
      <w:t>16T</w:t>
    </w:r>
  </w:p>
  <w:p w:rsidR="00CC42A2" w:rsidRPr="006A50B8" w:rsidRDefault="00CC42A2" w:rsidP="00A70E1D">
    <w:pPr>
      <w:pStyle w:val="Footer"/>
      <w:spacing w:line="240" w:lineRule="auto"/>
      <w:jc w:val="right"/>
    </w:pPr>
    <w:r>
      <w:t xml:space="preserve">Page </w:t>
    </w:r>
    <w:r>
      <w:fldChar w:fldCharType="begin"/>
    </w:r>
    <w:r>
      <w:instrText xml:space="preserve"> PAGE  \* Arabic  \* MERGEFORMAT </w:instrText>
    </w:r>
    <w:r>
      <w:fldChar w:fldCharType="separate"/>
    </w:r>
    <w:r w:rsidR="00874A1F">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69" w:rsidRDefault="00356C69" w:rsidP="00356C69">
    <w:pPr>
      <w:pStyle w:val="Footer"/>
      <w:tabs>
        <w:tab w:val="clear" w:pos="8640"/>
        <w:tab w:val="right" w:pos="4320"/>
        <w:tab w:val="right" w:pos="9000"/>
      </w:tabs>
      <w:spacing w:line="240" w:lineRule="auto"/>
    </w:pPr>
    <w:r>
      <w:t xml:space="preserve">Rebuttal </w:t>
    </w:r>
    <w:r w:rsidRPr="004F1FD8">
      <w:t xml:space="preserve">Testimony of </w:t>
    </w:r>
    <w:r>
      <w:t>Bruce N. Williams</w:t>
    </w:r>
    <w:r>
      <w:tab/>
    </w:r>
    <w:r>
      <w:tab/>
      <w:t>Exhibit No. BNW-16T</w:t>
    </w:r>
  </w:p>
  <w:p w:rsidR="00356C69" w:rsidRDefault="00356C69" w:rsidP="00356C69">
    <w:pPr>
      <w:pStyle w:val="Footer"/>
      <w:spacing w:line="240" w:lineRule="auto"/>
      <w:jc w:val="right"/>
    </w:pPr>
    <w:r>
      <w:t xml:space="preserve">Page </w:t>
    </w:r>
    <w:proofErr w:type="spellStart"/>
    <w:r>
      <w:t>i</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53B" w:rsidRDefault="00FE353B">
      <w:r>
        <w:separator/>
      </w:r>
    </w:p>
  </w:footnote>
  <w:footnote w:type="continuationSeparator" w:id="0">
    <w:p w:rsidR="00FE353B" w:rsidRDefault="00FE353B">
      <w:r>
        <w:continuationSeparator/>
      </w:r>
    </w:p>
  </w:footnote>
  <w:footnote w:type="continuationNotice" w:id="1">
    <w:p w:rsidR="00FE353B" w:rsidRDefault="00FE353B">
      <w:pPr>
        <w:spacing w:line="240" w:lineRule="auto"/>
      </w:pPr>
    </w:p>
  </w:footnote>
  <w:footnote w:id="2">
    <w:p w:rsidR="00CC42A2" w:rsidRDefault="00CC42A2" w:rsidP="009201E6">
      <w:pPr>
        <w:pStyle w:val="FootnoteText"/>
        <w:spacing w:after="0" w:line="240" w:lineRule="auto"/>
        <w:ind w:firstLine="0"/>
        <w:jc w:val="left"/>
      </w:pPr>
      <w:r>
        <w:rPr>
          <w:rStyle w:val="FootnoteReference"/>
        </w:rPr>
        <w:footnoteRef/>
      </w:r>
      <w:r>
        <w:t xml:space="preserve"> </w:t>
      </w:r>
      <w:proofErr w:type="gramStart"/>
      <w:r>
        <w:rPr>
          <w:i/>
        </w:rPr>
        <w:t xml:space="preserve">Wash. </w:t>
      </w:r>
      <w:proofErr w:type="spellStart"/>
      <w:r>
        <w:rPr>
          <w:i/>
        </w:rPr>
        <w:t>Utils</w:t>
      </w:r>
      <w:proofErr w:type="spellEnd"/>
      <w:r>
        <w:rPr>
          <w:i/>
        </w:rPr>
        <w:t>.</w:t>
      </w:r>
      <w:proofErr w:type="gramEnd"/>
      <w:r>
        <w:rPr>
          <w:i/>
        </w:rPr>
        <w:t xml:space="preserve"> &amp; Transp. </w:t>
      </w:r>
      <w:proofErr w:type="spellStart"/>
      <w:r>
        <w:rPr>
          <w:i/>
        </w:rPr>
        <w:t>Comm’n</w:t>
      </w:r>
      <w:proofErr w:type="spellEnd"/>
      <w:r>
        <w:rPr>
          <w:i/>
        </w:rPr>
        <w:t xml:space="preserve"> v. Puget Sound Energy, Inc.</w:t>
      </w:r>
      <w:r>
        <w:t xml:space="preserve"> Dockets UG-040640 et al., Order 06 ¶ 30 (Feb. 18, 2005).</w:t>
      </w:r>
    </w:p>
  </w:footnote>
  <w:footnote w:id="3">
    <w:p w:rsidR="00CC42A2" w:rsidRPr="004375AC" w:rsidRDefault="00CC42A2" w:rsidP="009201E6">
      <w:pPr>
        <w:pStyle w:val="FootnoteText"/>
        <w:spacing w:after="0" w:line="240" w:lineRule="auto"/>
        <w:ind w:firstLine="0"/>
        <w:jc w:val="left"/>
        <w:rPr>
          <w:i/>
        </w:rPr>
      </w:pPr>
      <w:r>
        <w:rPr>
          <w:rStyle w:val="FootnoteReference"/>
        </w:rPr>
        <w:footnoteRef/>
      </w:r>
      <w:r>
        <w:t xml:space="preserve"> </w:t>
      </w:r>
      <w:r>
        <w:rPr>
          <w:i/>
        </w:rPr>
        <w:t>Id.</w:t>
      </w:r>
    </w:p>
  </w:footnote>
  <w:footnote w:id="4">
    <w:p w:rsidR="008B4F3A" w:rsidRDefault="008B4F3A" w:rsidP="009201E6">
      <w:pPr>
        <w:pStyle w:val="FootnoteText"/>
        <w:spacing w:after="0" w:line="240" w:lineRule="auto"/>
        <w:ind w:firstLine="0"/>
        <w:jc w:val="left"/>
      </w:pPr>
      <w:r>
        <w:rPr>
          <w:rStyle w:val="FootnoteReference"/>
        </w:rPr>
        <w:footnoteRef/>
      </w:r>
      <w:r>
        <w:t xml:space="preserve"> In fact, the overall </w:t>
      </w:r>
      <w:r w:rsidR="0069185B">
        <w:t>ROR</w:t>
      </w:r>
      <w:r>
        <w:t xml:space="preserve"> is what the Commission commonly refers to as “economy</w:t>
      </w:r>
      <w:r w:rsidR="009D2C14">
        <w:t>.</w:t>
      </w:r>
      <w:r>
        <w:t xml:space="preserve">”  </w:t>
      </w:r>
      <w:r w:rsidR="00767ED8">
        <w:rPr>
          <w:i/>
        </w:rPr>
        <w:t xml:space="preserve">See Wash. </w:t>
      </w:r>
      <w:proofErr w:type="spellStart"/>
      <w:r w:rsidR="00767ED8">
        <w:rPr>
          <w:i/>
        </w:rPr>
        <w:t>Utils</w:t>
      </w:r>
      <w:proofErr w:type="spellEnd"/>
      <w:r w:rsidR="00767ED8">
        <w:rPr>
          <w:i/>
        </w:rPr>
        <w:t xml:space="preserve">. &amp; Transp. </w:t>
      </w:r>
      <w:proofErr w:type="spellStart"/>
      <w:r w:rsidR="00767ED8">
        <w:rPr>
          <w:i/>
        </w:rPr>
        <w:t>Comm’n</w:t>
      </w:r>
      <w:proofErr w:type="spellEnd"/>
      <w:r w:rsidR="00767ED8">
        <w:rPr>
          <w:i/>
        </w:rPr>
        <w:t xml:space="preserve"> v. PacifiCorp, </w:t>
      </w:r>
      <w:r w:rsidR="00767ED8" w:rsidRPr="00767ED8">
        <w:t>Docket UE-130043, Order 05 ¶ 25 (Dec. 4, 2013).</w:t>
      </w:r>
    </w:p>
  </w:footnote>
  <w:footnote w:id="5">
    <w:p w:rsidR="00CC42A2" w:rsidRPr="000D04A2" w:rsidRDefault="00CC42A2" w:rsidP="009201E6">
      <w:pPr>
        <w:pStyle w:val="FootnoteText"/>
        <w:spacing w:after="0" w:line="240" w:lineRule="auto"/>
        <w:ind w:firstLine="0"/>
        <w:jc w:val="left"/>
      </w:pPr>
      <w:r>
        <w:rPr>
          <w:rStyle w:val="FootnoteReference"/>
        </w:rPr>
        <w:footnoteRef/>
      </w:r>
      <w:r>
        <w:t xml:space="preserve"> </w:t>
      </w:r>
      <w:r>
        <w:rPr>
          <w:i/>
        </w:rPr>
        <w:t xml:space="preserve">See Wash. </w:t>
      </w:r>
      <w:proofErr w:type="spellStart"/>
      <w:r>
        <w:rPr>
          <w:i/>
        </w:rPr>
        <w:t>Utils</w:t>
      </w:r>
      <w:proofErr w:type="spellEnd"/>
      <w:r>
        <w:rPr>
          <w:i/>
        </w:rPr>
        <w:t xml:space="preserve">. </w:t>
      </w:r>
      <w:proofErr w:type="gramStart"/>
      <w:r>
        <w:rPr>
          <w:i/>
        </w:rPr>
        <w:t xml:space="preserve">&amp; Transp. </w:t>
      </w:r>
      <w:proofErr w:type="spellStart"/>
      <w:r>
        <w:rPr>
          <w:i/>
        </w:rPr>
        <w:t>Comm’n</w:t>
      </w:r>
      <w:proofErr w:type="spellEnd"/>
      <w:r>
        <w:rPr>
          <w:i/>
        </w:rPr>
        <w:t xml:space="preserve"> v. PacifiCorp</w:t>
      </w:r>
      <w:r>
        <w:t xml:space="preserve">, Docket UE-050684, Order 04 (Apr. 17, 2006); </w:t>
      </w:r>
      <w:r>
        <w:rPr>
          <w:i/>
        </w:rPr>
        <w:t xml:space="preserve">Wash. </w:t>
      </w:r>
      <w:proofErr w:type="spellStart"/>
      <w:r>
        <w:rPr>
          <w:i/>
        </w:rPr>
        <w:t>Utils</w:t>
      </w:r>
      <w:proofErr w:type="spellEnd"/>
      <w:r>
        <w:rPr>
          <w:i/>
        </w:rPr>
        <w:t>.</w:t>
      </w:r>
      <w:proofErr w:type="gramEnd"/>
      <w:r>
        <w:rPr>
          <w:i/>
        </w:rPr>
        <w:t xml:space="preserve"> &amp; Transp. </w:t>
      </w:r>
      <w:proofErr w:type="spellStart"/>
      <w:r>
        <w:rPr>
          <w:i/>
        </w:rPr>
        <w:t>Comm’n</w:t>
      </w:r>
      <w:proofErr w:type="spellEnd"/>
      <w:r>
        <w:rPr>
          <w:i/>
        </w:rPr>
        <w:t xml:space="preserve"> v. PacifiCorp</w:t>
      </w:r>
      <w:r>
        <w:t>, Docket UE-061546, Order 08 (June 21, 2007).</w:t>
      </w:r>
    </w:p>
  </w:footnote>
  <w:footnote w:id="6">
    <w:p w:rsidR="00CC42A2" w:rsidRDefault="00CC42A2" w:rsidP="009201E6">
      <w:pPr>
        <w:pStyle w:val="FootnoteText"/>
        <w:spacing w:after="0" w:line="240" w:lineRule="auto"/>
        <w:ind w:firstLine="0"/>
        <w:jc w:val="left"/>
      </w:pPr>
      <w:r>
        <w:rPr>
          <w:rStyle w:val="FootnoteReference"/>
        </w:rPr>
        <w:footnoteRef/>
      </w:r>
      <w:r>
        <w:t xml:space="preserve"> </w:t>
      </w:r>
      <w:proofErr w:type="gramStart"/>
      <w:r>
        <w:rPr>
          <w:i/>
        </w:rPr>
        <w:t xml:space="preserve">Wash. </w:t>
      </w:r>
      <w:proofErr w:type="spellStart"/>
      <w:r>
        <w:rPr>
          <w:i/>
        </w:rPr>
        <w:t>Utils</w:t>
      </w:r>
      <w:proofErr w:type="spellEnd"/>
      <w:r>
        <w:rPr>
          <w:i/>
        </w:rPr>
        <w:t>.</w:t>
      </w:r>
      <w:proofErr w:type="gramEnd"/>
      <w:r>
        <w:rPr>
          <w:i/>
        </w:rPr>
        <w:t xml:space="preserve"> &amp; Transp. </w:t>
      </w:r>
      <w:proofErr w:type="spellStart"/>
      <w:r>
        <w:rPr>
          <w:i/>
        </w:rPr>
        <w:t>Comm’n</w:t>
      </w:r>
      <w:proofErr w:type="spellEnd"/>
      <w:r>
        <w:rPr>
          <w:i/>
        </w:rPr>
        <w:t xml:space="preserve"> v. PacifiCorp</w:t>
      </w:r>
      <w:r>
        <w:t>, Docket UE-050684, Order 04 ¶ 285 (Apr. 17, 2006).</w:t>
      </w:r>
    </w:p>
  </w:footnote>
  <w:footnote w:id="7">
    <w:p w:rsidR="00CC42A2" w:rsidRDefault="00CC42A2" w:rsidP="009201E6">
      <w:pPr>
        <w:pStyle w:val="FootnoteText"/>
        <w:spacing w:after="0" w:line="240" w:lineRule="auto"/>
        <w:ind w:firstLine="0"/>
        <w:jc w:val="left"/>
      </w:pPr>
      <w:r>
        <w:rPr>
          <w:rStyle w:val="FootnoteReference"/>
        </w:rPr>
        <w:footnoteRef/>
      </w:r>
      <w:r>
        <w:t xml:space="preserve"> </w:t>
      </w:r>
      <w:r w:rsidR="008A425D">
        <w:t xml:space="preserve">Testimony of David C. </w:t>
      </w:r>
      <w:proofErr w:type="spellStart"/>
      <w:r w:rsidR="008A425D">
        <w:t>Parcell</w:t>
      </w:r>
      <w:proofErr w:type="spellEnd"/>
      <w:r w:rsidR="008A425D">
        <w:t xml:space="preserve">, </w:t>
      </w:r>
      <w:r>
        <w:t xml:space="preserve">Exhibit </w:t>
      </w:r>
      <w:r w:rsidR="000A545D">
        <w:t>No.</w:t>
      </w:r>
      <w:r w:rsidR="00EE0060">
        <w:t xml:space="preserve"> </w:t>
      </w:r>
      <w:proofErr w:type="gramStart"/>
      <w:r>
        <w:t>DCP-1T</w:t>
      </w:r>
      <w:r w:rsidR="008A425D">
        <w:t xml:space="preserve"> at</w:t>
      </w:r>
      <w:r>
        <w:t xml:space="preserve"> 2.</w:t>
      </w:r>
      <w:proofErr w:type="gramEnd"/>
      <w:r>
        <w:t xml:space="preserve">  </w:t>
      </w:r>
    </w:p>
  </w:footnote>
  <w:footnote w:id="8">
    <w:p w:rsidR="00CC42A2" w:rsidRDefault="00CC42A2" w:rsidP="009201E6">
      <w:pPr>
        <w:pStyle w:val="FootnoteText"/>
        <w:spacing w:after="0" w:line="240" w:lineRule="auto"/>
        <w:ind w:firstLine="0"/>
        <w:jc w:val="left"/>
      </w:pPr>
      <w:r>
        <w:rPr>
          <w:rStyle w:val="FootnoteReference"/>
        </w:rPr>
        <w:footnoteRef/>
      </w:r>
      <w:r>
        <w:t xml:space="preserve"> </w:t>
      </w:r>
      <w:r w:rsidR="008A425D">
        <w:t xml:space="preserve">Direct Testimony of Bruce N. Williams, </w:t>
      </w:r>
      <w:r>
        <w:t xml:space="preserve">Exhibit </w:t>
      </w:r>
      <w:r w:rsidR="000A545D">
        <w:t>No.</w:t>
      </w:r>
      <w:r w:rsidR="00356C69">
        <w:t xml:space="preserve"> </w:t>
      </w:r>
      <w:proofErr w:type="gramStart"/>
      <w:r>
        <w:t>BNW-1T</w:t>
      </w:r>
      <w:r w:rsidR="008A425D">
        <w:t xml:space="preserve"> at</w:t>
      </w:r>
      <w:r>
        <w:t xml:space="preserve"> 3</w:t>
      </w:r>
      <w:r w:rsidR="00EE0060">
        <w:t>.</w:t>
      </w:r>
      <w:proofErr w:type="gramEnd"/>
    </w:p>
  </w:footnote>
  <w:footnote w:id="9">
    <w:p w:rsidR="00CC42A2" w:rsidRDefault="00CC42A2" w:rsidP="009201E6">
      <w:pPr>
        <w:pStyle w:val="FootnoteText"/>
        <w:spacing w:after="0" w:line="240" w:lineRule="auto"/>
        <w:ind w:firstLine="0"/>
        <w:jc w:val="left"/>
      </w:pPr>
      <w:r>
        <w:rPr>
          <w:rStyle w:val="FootnoteReference"/>
        </w:rPr>
        <w:footnoteRef/>
      </w:r>
      <w:r>
        <w:t xml:space="preserve"> </w:t>
      </w:r>
      <w:r w:rsidR="0015082D">
        <w:t xml:space="preserve">Testimony of David C. </w:t>
      </w:r>
      <w:proofErr w:type="spellStart"/>
      <w:r w:rsidR="0015082D">
        <w:t>Parcell</w:t>
      </w:r>
      <w:proofErr w:type="spellEnd"/>
      <w:r w:rsidR="0015082D">
        <w:t>, Exhibit No.</w:t>
      </w:r>
      <w:r w:rsidR="00EE0060">
        <w:t xml:space="preserve"> </w:t>
      </w:r>
      <w:proofErr w:type="gramStart"/>
      <w:r w:rsidR="0015082D">
        <w:t>DCP-</w:t>
      </w:r>
      <w:r w:rsidR="00767ED8">
        <w:t>15</w:t>
      </w:r>
      <w:r w:rsidR="0015082D">
        <w:t xml:space="preserve"> at </w:t>
      </w:r>
      <w:r>
        <w:t>1</w:t>
      </w:r>
      <w:r w:rsidR="0015082D">
        <w:t>.</w:t>
      </w:r>
      <w:proofErr w:type="gramEnd"/>
    </w:p>
  </w:footnote>
  <w:footnote w:id="10">
    <w:p w:rsidR="00CC42A2" w:rsidRDefault="00CC42A2" w:rsidP="009201E6">
      <w:pPr>
        <w:pStyle w:val="FootnoteText"/>
        <w:spacing w:after="0" w:line="240" w:lineRule="auto"/>
        <w:ind w:firstLine="0"/>
        <w:jc w:val="left"/>
      </w:pPr>
      <w:r>
        <w:rPr>
          <w:rStyle w:val="FootnoteReference"/>
        </w:rPr>
        <w:footnoteRef/>
      </w:r>
      <w:r>
        <w:t xml:space="preserve"> </w:t>
      </w:r>
      <w:r w:rsidR="0015082D">
        <w:t xml:space="preserve">Testimony of Stephen C. Hill, </w:t>
      </w:r>
      <w:r>
        <w:t xml:space="preserve">Exhibit </w:t>
      </w:r>
      <w:r w:rsidR="000A545D">
        <w:t>No.</w:t>
      </w:r>
      <w:r w:rsidR="00B73E80">
        <w:t xml:space="preserve"> </w:t>
      </w:r>
      <w:r>
        <w:t>SGH-1CT</w:t>
      </w:r>
      <w:r w:rsidR="0015082D">
        <w:t xml:space="preserve"> at</w:t>
      </w:r>
      <w:r w:rsidR="000A545D">
        <w:t xml:space="preserve"> 22:14-16</w:t>
      </w:r>
      <w:r>
        <w:t>.</w:t>
      </w:r>
    </w:p>
  </w:footnote>
  <w:footnote w:id="11">
    <w:p w:rsidR="00CC42A2" w:rsidRDefault="00CC42A2" w:rsidP="009201E6">
      <w:pPr>
        <w:pStyle w:val="FootnoteText"/>
        <w:spacing w:after="0" w:line="240" w:lineRule="auto"/>
        <w:ind w:firstLine="0"/>
        <w:jc w:val="left"/>
      </w:pPr>
      <w:r>
        <w:rPr>
          <w:rStyle w:val="FootnoteReference"/>
        </w:rPr>
        <w:footnoteRef/>
      </w:r>
      <w:r>
        <w:t xml:space="preserve"> </w:t>
      </w:r>
      <w:r w:rsidR="0015082D">
        <w:t>Direct Testimony of Bruce N. Williams, Exhibit No.</w:t>
      </w:r>
      <w:r w:rsidR="00BC5640">
        <w:t xml:space="preserve"> </w:t>
      </w:r>
      <w:r w:rsidR="0015082D">
        <w:t xml:space="preserve">BNW-1T at </w:t>
      </w:r>
      <w:r>
        <w:t>6</w:t>
      </w:r>
      <w:r w:rsidR="000A545D">
        <w:t>:16-</w:t>
      </w:r>
      <w:r>
        <w:t>7</w:t>
      </w:r>
      <w:r w:rsidR="000A545D">
        <w:t>:2</w:t>
      </w:r>
      <w:r>
        <w:t>.</w:t>
      </w:r>
    </w:p>
  </w:footnote>
  <w:footnote w:id="12">
    <w:p w:rsidR="00CC42A2" w:rsidRDefault="00CC42A2" w:rsidP="009201E6">
      <w:pPr>
        <w:pStyle w:val="FootnoteText"/>
        <w:spacing w:after="0" w:line="240" w:lineRule="auto"/>
        <w:ind w:firstLine="0"/>
        <w:jc w:val="left"/>
      </w:pPr>
      <w:r>
        <w:rPr>
          <w:rStyle w:val="FootnoteReference"/>
        </w:rPr>
        <w:footnoteRef/>
      </w:r>
      <w:r>
        <w:t xml:space="preserve"> Washington</w:t>
      </w:r>
      <w:r w:rsidR="0082366A">
        <w:t xml:space="preserve">, however, </w:t>
      </w:r>
      <w:r>
        <w:t>is the only state</w:t>
      </w:r>
      <w:r w:rsidR="0082366A">
        <w:t xml:space="preserve"> </w:t>
      </w:r>
      <w:r>
        <w:t xml:space="preserve">to include short-term debt in the capital structure for purposes of determining overall </w:t>
      </w:r>
      <w:r w:rsidR="0082366A">
        <w:t>ROR</w:t>
      </w:r>
      <w:r>
        <w:t>.</w:t>
      </w:r>
    </w:p>
  </w:footnote>
  <w:footnote w:id="13">
    <w:p w:rsidR="00CC42A2" w:rsidRDefault="00CC42A2" w:rsidP="009201E6">
      <w:pPr>
        <w:pStyle w:val="FootnoteText"/>
        <w:spacing w:after="0" w:line="240" w:lineRule="auto"/>
        <w:ind w:firstLine="0"/>
        <w:jc w:val="left"/>
      </w:pPr>
      <w:r>
        <w:rPr>
          <w:rStyle w:val="FootnoteReference"/>
        </w:rPr>
        <w:footnoteRef/>
      </w:r>
      <w:r>
        <w:t xml:space="preserve"> </w:t>
      </w:r>
      <w:r w:rsidRPr="00767ED8">
        <w:rPr>
          <w:i/>
        </w:rPr>
        <w:t>See</w:t>
      </w:r>
      <w:r>
        <w:t xml:space="preserve"> </w:t>
      </w:r>
      <w:r w:rsidR="0015082D">
        <w:t>Direct Testimony of Bruce N. Williams, Exhibit No.</w:t>
      </w:r>
      <w:r w:rsidR="00767ED8">
        <w:t xml:space="preserve"> </w:t>
      </w:r>
      <w:r w:rsidR="0015082D">
        <w:t xml:space="preserve">BNW-1T at </w:t>
      </w:r>
      <w:r>
        <w:t>15</w:t>
      </w:r>
      <w:r w:rsidR="00767ED8">
        <w:t>:1</w:t>
      </w:r>
      <w:r w:rsidR="00C90C63">
        <w:t>-16</w:t>
      </w:r>
      <w:r w:rsidR="000A545D">
        <w:t>:9</w:t>
      </w:r>
      <w:r>
        <w:t xml:space="preserve">. </w:t>
      </w:r>
    </w:p>
  </w:footnote>
  <w:footnote w:id="14">
    <w:p w:rsidR="00CC42A2" w:rsidRDefault="00CC42A2" w:rsidP="009201E6">
      <w:pPr>
        <w:pStyle w:val="FootnoteText"/>
        <w:spacing w:after="0" w:line="240" w:lineRule="auto"/>
        <w:ind w:firstLine="0"/>
        <w:jc w:val="left"/>
      </w:pPr>
      <w:r>
        <w:rPr>
          <w:rStyle w:val="FootnoteReference"/>
        </w:rPr>
        <w:footnoteRef/>
      </w:r>
      <w:r>
        <w:t xml:space="preserve"> Moody’s Investors Service, May 7, 2014</w:t>
      </w:r>
      <w:r w:rsidR="002D69CA">
        <w:t>.</w:t>
      </w:r>
    </w:p>
  </w:footnote>
  <w:footnote w:id="15">
    <w:p w:rsidR="00CC42A2" w:rsidRDefault="00CC42A2" w:rsidP="009201E6">
      <w:pPr>
        <w:pStyle w:val="FootnoteText"/>
        <w:spacing w:after="0" w:line="240" w:lineRule="auto"/>
        <w:ind w:firstLine="0"/>
        <w:jc w:val="left"/>
      </w:pPr>
      <w:r>
        <w:rPr>
          <w:rStyle w:val="FootnoteReference"/>
        </w:rPr>
        <w:footnoteRef/>
      </w:r>
      <w:r>
        <w:t xml:space="preserve"> Fitch Ratings, March 11, 2014.</w:t>
      </w:r>
    </w:p>
  </w:footnote>
  <w:footnote w:id="16">
    <w:p w:rsidR="007B5B51" w:rsidRDefault="007B5B51" w:rsidP="009201E6">
      <w:pPr>
        <w:pStyle w:val="FootnoteText"/>
        <w:spacing w:after="0" w:line="240" w:lineRule="auto"/>
        <w:ind w:firstLine="0"/>
        <w:jc w:val="left"/>
      </w:pPr>
      <w:r>
        <w:rPr>
          <w:rStyle w:val="FootnoteReference"/>
        </w:rPr>
        <w:footnoteRef/>
      </w:r>
      <w:r>
        <w:t xml:space="preserve"> </w:t>
      </w:r>
      <w:r w:rsidR="00683465" w:rsidRPr="00683465">
        <w:rPr>
          <w:i/>
          <w:iCs/>
        </w:rPr>
        <w:t>See e.g.</w:t>
      </w:r>
      <w:r w:rsidR="00683465" w:rsidRPr="00683465">
        <w:t xml:space="preserve"> </w:t>
      </w:r>
      <w:r w:rsidR="00683465" w:rsidRPr="00683465">
        <w:rPr>
          <w:i/>
          <w:iCs/>
        </w:rPr>
        <w:t xml:space="preserve">Wash. </w:t>
      </w:r>
      <w:proofErr w:type="spellStart"/>
      <w:r w:rsidR="00683465" w:rsidRPr="00683465">
        <w:rPr>
          <w:i/>
          <w:iCs/>
        </w:rPr>
        <w:t>Utils</w:t>
      </w:r>
      <w:proofErr w:type="spellEnd"/>
      <w:r w:rsidR="00683465" w:rsidRPr="00683465">
        <w:rPr>
          <w:i/>
          <w:iCs/>
        </w:rPr>
        <w:t xml:space="preserve">. &amp; Transp. </w:t>
      </w:r>
      <w:proofErr w:type="spellStart"/>
      <w:r w:rsidR="00683465" w:rsidRPr="00683465">
        <w:rPr>
          <w:i/>
          <w:iCs/>
        </w:rPr>
        <w:t>Comm’n</w:t>
      </w:r>
      <w:proofErr w:type="spellEnd"/>
      <w:r w:rsidR="00683465" w:rsidRPr="00683465">
        <w:rPr>
          <w:i/>
          <w:iCs/>
        </w:rPr>
        <w:t xml:space="preserve"> v. Puget Sound Energy, Inc.</w:t>
      </w:r>
      <w:r w:rsidR="00683465" w:rsidRPr="00683465">
        <w:t xml:space="preserve">, Docket UE-090704, </w:t>
      </w:r>
      <w:r w:rsidR="0015082D">
        <w:t xml:space="preserve">Testimony of Stephen C. </w:t>
      </w:r>
      <w:r w:rsidR="00683465" w:rsidRPr="00683465">
        <w:t xml:space="preserve">Hill, </w:t>
      </w:r>
      <w:r w:rsidR="00767ED8">
        <w:t xml:space="preserve">Exhibit </w:t>
      </w:r>
      <w:r w:rsidR="00683465" w:rsidRPr="00683465">
        <w:t>No. SGH-1T</w:t>
      </w:r>
      <w:r w:rsidR="00767ED8">
        <w:t xml:space="preserve"> at</w:t>
      </w:r>
      <w:r w:rsidR="00683465" w:rsidRPr="00683465">
        <w:t xml:space="preserve"> 57 (Nov. 17, 2009). </w:t>
      </w:r>
    </w:p>
  </w:footnote>
  <w:footnote w:id="17">
    <w:p w:rsidR="00CC42A2" w:rsidRDefault="00CC42A2" w:rsidP="009201E6">
      <w:pPr>
        <w:pStyle w:val="FootnoteText"/>
        <w:spacing w:after="0" w:line="240" w:lineRule="auto"/>
        <w:ind w:firstLine="0"/>
        <w:jc w:val="left"/>
      </w:pPr>
      <w:r>
        <w:rPr>
          <w:rStyle w:val="FootnoteReference"/>
        </w:rPr>
        <w:footnoteRef/>
      </w:r>
      <w:r>
        <w:t xml:space="preserve"> </w:t>
      </w:r>
      <w:r w:rsidR="00AB6D2D">
        <w:t xml:space="preserve">Confidential </w:t>
      </w:r>
      <w:r w:rsidR="0015082D">
        <w:t xml:space="preserve">Testimony of Stephen C. Hill, Exhibit </w:t>
      </w:r>
      <w:r w:rsidR="005B2759">
        <w:t>No. SGH</w:t>
      </w:r>
      <w:r w:rsidR="0015082D">
        <w:t xml:space="preserve">-1CT at </w:t>
      </w:r>
      <w:r>
        <w:t>58</w:t>
      </w:r>
      <w:r w:rsidR="00C90C63">
        <w:t>:14-19</w:t>
      </w:r>
      <w:r w:rsidR="00767ED8">
        <w:t>.</w:t>
      </w:r>
    </w:p>
  </w:footnote>
  <w:footnote w:id="18">
    <w:p w:rsidR="00CC42A2" w:rsidRDefault="00CC42A2" w:rsidP="009201E6">
      <w:pPr>
        <w:pStyle w:val="FootnoteText"/>
        <w:spacing w:after="0" w:line="240" w:lineRule="auto"/>
        <w:ind w:firstLine="0"/>
        <w:jc w:val="left"/>
      </w:pPr>
      <w:r>
        <w:rPr>
          <w:rStyle w:val="FootnoteReference"/>
        </w:rPr>
        <w:footnoteRef/>
      </w:r>
      <w:r>
        <w:t xml:space="preserve"> Docket No. 20000-446-ER-14, </w:t>
      </w:r>
      <w:r w:rsidR="00767ED8">
        <w:t xml:space="preserve">Non-Confidential Sur-Rebuttal Testimony of Michael P. Gorman, WIEC </w:t>
      </w:r>
      <w:r>
        <w:t xml:space="preserve">Exhibit </w:t>
      </w:r>
      <w:r w:rsidR="00767ED8">
        <w:t xml:space="preserve">No. </w:t>
      </w:r>
      <w:r>
        <w:t>307</w:t>
      </w:r>
      <w:r w:rsidR="00767ED8">
        <w:t xml:space="preserve"> at 8 (</w:t>
      </w:r>
      <w:proofErr w:type="spellStart"/>
      <w:r w:rsidR="00767ED8">
        <w:t>Wy.P.S.C</w:t>
      </w:r>
      <w:proofErr w:type="spellEnd"/>
      <w:r w:rsidR="00767ED8">
        <w:t>. Sept. 19, 2014).</w:t>
      </w:r>
    </w:p>
  </w:footnote>
  <w:footnote w:id="19">
    <w:p w:rsidR="00CC42A2" w:rsidRDefault="00CC42A2" w:rsidP="009201E6">
      <w:pPr>
        <w:pStyle w:val="FootnoteText"/>
        <w:spacing w:after="0" w:line="240" w:lineRule="auto"/>
        <w:ind w:firstLine="0"/>
        <w:jc w:val="left"/>
      </w:pPr>
      <w:r>
        <w:rPr>
          <w:rStyle w:val="FootnoteReference"/>
        </w:rPr>
        <w:footnoteRef/>
      </w:r>
      <w:r>
        <w:t xml:space="preserve"> </w:t>
      </w:r>
      <w:r w:rsidR="008077C6">
        <w:t xml:space="preserve">Utah </w:t>
      </w:r>
      <w:r>
        <w:t xml:space="preserve">Docket No. 13-035-184, </w:t>
      </w:r>
      <w:r w:rsidR="00767ED8">
        <w:t>Direct Testimony and Exhibits of Michael P. Gorman on behalf of the Federal Executive Agencies at 9 (Apr. 17, 2014).</w:t>
      </w:r>
    </w:p>
  </w:footnote>
  <w:footnote w:id="20">
    <w:p w:rsidR="00CC42A2" w:rsidRDefault="00CC42A2" w:rsidP="009201E6">
      <w:pPr>
        <w:pStyle w:val="FootnoteText"/>
        <w:spacing w:after="0" w:line="240" w:lineRule="auto"/>
        <w:ind w:firstLine="0"/>
        <w:jc w:val="left"/>
      </w:pPr>
      <w:r>
        <w:rPr>
          <w:rStyle w:val="FootnoteReference"/>
        </w:rPr>
        <w:footnoteRef/>
      </w:r>
      <w:r>
        <w:t xml:space="preserve"> The Company subsequently reduced the common equity component to 51.43</w:t>
      </w:r>
      <w:r w:rsidR="00C90C63">
        <w:t xml:space="preserve"> percent</w:t>
      </w:r>
      <w:r>
        <w:t xml:space="preserve"> to reflect financing activity completed after direct testimony was filed.</w:t>
      </w:r>
      <w:r w:rsidR="005B2759">
        <w:t xml:space="preserve">  The Utah and Wyoming cases used different test period</w:t>
      </w:r>
      <w:r w:rsidR="00361D73">
        <w:t>s</w:t>
      </w:r>
      <w:r w:rsidR="005B2759">
        <w:t xml:space="preserve"> than this case, which accounts for the difference in the Company’s actual capital structure between those cases and this case.  </w:t>
      </w:r>
    </w:p>
  </w:footnote>
  <w:footnote w:id="21">
    <w:p w:rsidR="00CC42A2" w:rsidRPr="00991267" w:rsidRDefault="00CC42A2" w:rsidP="009201E6">
      <w:pPr>
        <w:pStyle w:val="FootnoteText"/>
        <w:spacing w:after="0" w:line="240" w:lineRule="auto"/>
        <w:ind w:firstLine="0"/>
        <w:jc w:val="left"/>
      </w:pPr>
      <w:r>
        <w:rPr>
          <w:rStyle w:val="FootnoteReference"/>
        </w:rPr>
        <w:footnoteRef/>
      </w:r>
      <w:r>
        <w:t xml:space="preserve"> </w:t>
      </w:r>
      <w:proofErr w:type="gramStart"/>
      <w:r>
        <w:rPr>
          <w:i/>
        </w:rPr>
        <w:t xml:space="preserve">Wash. </w:t>
      </w:r>
      <w:proofErr w:type="spellStart"/>
      <w:r>
        <w:rPr>
          <w:i/>
        </w:rPr>
        <w:t>Utils</w:t>
      </w:r>
      <w:proofErr w:type="spellEnd"/>
      <w:r>
        <w:rPr>
          <w:i/>
        </w:rPr>
        <w:t>.</w:t>
      </w:r>
      <w:proofErr w:type="gramEnd"/>
      <w:r>
        <w:rPr>
          <w:i/>
        </w:rPr>
        <w:t xml:space="preserve"> &amp; Transp. </w:t>
      </w:r>
      <w:proofErr w:type="spellStart"/>
      <w:r>
        <w:rPr>
          <w:i/>
        </w:rPr>
        <w:t>Comm’n</w:t>
      </w:r>
      <w:proofErr w:type="spellEnd"/>
      <w:r>
        <w:rPr>
          <w:i/>
        </w:rPr>
        <w:t xml:space="preserve"> v. Puget Sound Energy, Inc.</w:t>
      </w:r>
      <w:r>
        <w:t xml:space="preserve"> Dockets UG-040640 et al., Order 06 ¶ 35 </w:t>
      </w:r>
      <w:r w:rsidR="008077C6">
        <w:br/>
      </w:r>
      <w:r>
        <w:t>(Feb. 18, 2005).</w:t>
      </w:r>
    </w:p>
  </w:footnote>
  <w:footnote w:id="22">
    <w:p w:rsidR="00CC42A2" w:rsidRDefault="00CC42A2" w:rsidP="009201E6">
      <w:pPr>
        <w:pStyle w:val="FootnoteText"/>
        <w:spacing w:after="0" w:line="240" w:lineRule="auto"/>
        <w:ind w:firstLine="0"/>
        <w:jc w:val="left"/>
      </w:pPr>
      <w:r>
        <w:rPr>
          <w:rStyle w:val="FootnoteReference"/>
        </w:rPr>
        <w:footnoteRef/>
      </w:r>
      <w:r>
        <w:t xml:space="preserve"> Exhibit </w:t>
      </w:r>
      <w:r w:rsidR="00C90C63">
        <w:t>No.</w:t>
      </w:r>
      <w:r w:rsidR="009201E6">
        <w:t xml:space="preserve"> </w:t>
      </w:r>
      <w:r>
        <w:t>BNW-</w:t>
      </w:r>
      <w:r w:rsidR="00BC5640">
        <w:t xml:space="preserve">17, </w:t>
      </w:r>
      <w:r>
        <w:t>Standard &amp; Poor’s Ratings Direct Report, “Corporate Methodology</w:t>
      </w:r>
      <w:r w:rsidR="002F7F70">
        <w:t>: Ratios and Adjustments</w:t>
      </w:r>
      <w:r w:rsidR="008077C6">
        <w:t>” (Nov. 19, 2013)</w:t>
      </w:r>
      <w:r>
        <w:t xml:space="preserve">. </w:t>
      </w:r>
    </w:p>
  </w:footnote>
  <w:footnote w:id="23">
    <w:p w:rsidR="00CC42A2" w:rsidRDefault="00CC42A2" w:rsidP="009201E6">
      <w:pPr>
        <w:pStyle w:val="FootnoteText"/>
        <w:spacing w:after="0" w:line="240" w:lineRule="auto"/>
        <w:ind w:firstLine="0"/>
        <w:jc w:val="left"/>
      </w:pPr>
      <w:r>
        <w:rPr>
          <w:rStyle w:val="FootnoteReference"/>
        </w:rPr>
        <w:footnoteRef/>
      </w:r>
      <w:r>
        <w:t xml:space="preserve"> </w:t>
      </w:r>
      <w:r w:rsidR="00620E4A">
        <w:t>Exhibit No.</w:t>
      </w:r>
      <w:r w:rsidR="00BC5640">
        <w:t xml:space="preserve"> </w:t>
      </w:r>
      <w:r w:rsidR="00620E4A">
        <w:t>BNW-</w:t>
      </w:r>
      <w:r w:rsidR="00BC5640">
        <w:t>19,</w:t>
      </w:r>
      <w:r w:rsidR="00620E4A">
        <w:t xml:space="preserve"> </w:t>
      </w:r>
      <w:r>
        <w:t xml:space="preserve">Regulatory Research Associates, </w:t>
      </w:r>
      <w:r w:rsidR="00767ED8">
        <w:t>“</w:t>
      </w:r>
      <w:r>
        <w:t>Regulatory Focus, Major Rate Case Decisions</w:t>
      </w:r>
      <w:r w:rsidR="002D69CA">
        <w:t>—</w:t>
      </w:r>
      <w:r>
        <w:t>January–June 2014</w:t>
      </w:r>
      <w:r w:rsidR="00767ED8">
        <w:t>” (July 10, 2014)</w:t>
      </w:r>
      <w:r>
        <w:t>.</w:t>
      </w:r>
    </w:p>
  </w:footnote>
  <w:footnote w:id="24">
    <w:p w:rsidR="00CC42A2" w:rsidRDefault="00CC42A2" w:rsidP="009201E6">
      <w:pPr>
        <w:pStyle w:val="FootnoteText"/>
        <w:spacing w:after="0" w:line="240" w:lineRule="auto"/>
        <w:ind w:firstLine="0"/>
        <w:jc w:val="left"/>
      </w:pPr>
      <w:r>
        <w:rPr>
          <w:rStyle w:val="FootnoteReference"/>
        </w:rPr>
        <w:footnoteRef/>
      </w:r>
      <w:r>
        <w:t xml:space="preserve"> </w:t>
      </w:r>
      <w:r w:rsidR="00620E4A">
        <w:t xml:space="preserve">Responsive Testimony of Michael P. Gorman, </w:t>
      </w:r>
      <w:r w:rsidR="000A545D">
        <w:t>Exhibit No.</w:t>
      </w:r>
      <w:r w:rsidR="003B6392">
        <w:t xml:space="preserve"> </w:t>
      </w:r>
      <w:proofErr w:type="gramStart"/>
      <w:r w:rsidR="005B2759">
        <w:t>MPG-1T at 12:24.</w:t>
      </w:r>
      <w:proofErr w:type="gramEnd"/>
    </w:p>
  </w:footnote>
  <w:footnote w:id="25">
    <w:p w:rsidR="00CC42A2" w:rsidRDefault="00CC42A2" w:rsidP="009201E6">
      <w:pPr>
        <w:pStyle w:val="FootnoteText"/>
        <w:spacing w:after="0" w:line="240" w:lineRule="auto"/>
        <w:ind w:firstLine="0"/>
        <w:jc w:val="left"/>
      </w:pPr>
      <w:r>
        <w:rPr>
          <w:rStyle w:val="FootnoteReference"/>
        </w:rPr>
        <w:footnoteRef/>
      </w:r>
      <w:r>
        <w:t xml:space="preserve"> Exhibit </w:t>
      </w:r>
      <w:r w:rsidR="000A545D">
        <w:t>No.</w:t>
      </w:r>
      <w:r w:rsidR="003B6392">
        <w:t xml:space="preserve"> </w:t>
      </w:r>
      <w:proofErr w:type="gramStart"/>
      <w:r>
        <w:t>MPG-3</w:t>
      </w:r>
      <w:r w:rsidR="00767ED8">
        <w:t xml:space="preserve"> at </w:t>
      </w:r>
      <w:r w:rsidR="000A545D">
        <w:t>1</w:t>
      </w:r>
      <w:r>
        <w:t>.</w:t>
      </w:r>
      <w:proofErr w:type="gramEnd"/>
      <w:r>
        <w:t xml:space="preserve">  </w:t>
      </w:r>
      <w:r w:rsidR="008E721E">
        <w:t xml:space="preserve">In addition, </w:t>
      </w:r>
      <w:r>
        <w:t>Mr. Gorman and I disagree about the cost of short-term debt if a hypothetical capital structure is used (1.73</w:t>
      </w:r>
      <w:r w:rsidR="008E721E">
        <w:t xml:space="preserve"> percent</w:t>
      </w:r>
      <w:r w:rsidR="0040227F">
        <w:t xml:space="preserve"> versus 2.11 percent</w:t>
      </w:r>
      <w:r>
        <w:t>).</w:t>
      </w:r>
    </w:p>
  </w:footnote>
  <w:footnote w:id="26">
    <w:p w:rsidR="008E721E" w:rsidRDefault="008E721E" w:rsidP="009201E6">
      <w:pPr>
        <w:pStyle w:val="FootnoteText"/>
        <w:spacing w:after="0" w:line="240" w:lineRule="auto"/>
        <w:ind w:firstLine="0"/>
        <w:jc w:val="left"/>
      </w:pPr>
      <w:r>
        <w:rPr>
          <w:rStyle w:val="FootnoteReference"/>
        </w:rPr>
        <w:footnoteRef/>
      </w:r>
      <w:r>
        <w:t xml:space="preserve"> </w:t>
      </w:r>
      <w:r w:rsidR="00620E4A">
        <w:t>Direct Testimony of Bruce N. Williams, Exhibit No.</w:t>
      </w:r>
      <w:r w:rsidR="00356C69">
        <w:t xml:space="preserve"> </w:t>
      </w:r>
      <w:proofErr w:type="gramStart"/>
      <w:r w:rsidR="00620E4A">
        <w:t>BNW-1T at</w:t>
      </w:r>
      <w:r>
        <w:t xml:space="preserve"> 3</w:t>
      </w:r>
      <w:r w:rsidR="00620E4A">
        <w:t>.</w:t>
      </w:r>
      <w:proofErr w:type="gramEnd"/>
    </w:p>
  </w:footnote>
  <w:footnote w:id="27">
    <w:p w:rsidR="00CC42A2" w:rsidRDefault="00CC42A2" w:rsidP="009201E6">
      <w:pPr>
        <w:pStyle w:val="FootnoteText"/>
        <w:spacing w:after="0" w:line="240" w:lineRule="auto"/>
        <w:ind w:firstLine="0"/>
        <w:jc w:val="left"/>
      </w:pPr>
      <w:r>
        <w:rPr>
          <w:rStyle w:val="FootnoteReference"/>
        </w:rPr>
        <w:footnoteRef/>
      </w:r>
      <w:r>
        <w:t xml:space="preserve"> Mr. Gorman’s conclusion that ratings would not change is unclear.  </w:t>
      </w:r>
      <w:r w:rsidR="00B87291">
        <w:t>Mr. Gorman</w:t>
      </w:r>
      <w:r>
        <w:t xml:space="preserve"> argues that the ratios would support an </w:t>
      </w:r>
      <w:r w:rsidR="00B87291">
        <w:t>“</w:t>
      </w:r>
      <w:r>
        <w:t>investment grade</w:t>
      </w:r>
      <w:r w:rsidR="00B87291">
        <w:t>”</w:t>
      </w:r>
      <w:r>
        <w:t xml:space="preserve"> bond rating (leaving open the possibility of a multi-step downgrade from the Company’s current bond ratings).  </w:t>
      </w:r>
      <w:r w:rsidR="00B87291">
        <w:t>Mr. Gorman</w:t>
      </w:r>
      <w:r>
        <w:t xml:space="preserve"> does not explicitly state that there would be no change to the Company’s current bond ratings, implying a downgrade is certainly possible. </w:t>
      </w:r>
    </w:p>
  </w:footnote>
  <w:footnote w:id="28">
    <w:p w:rsidR="00CC42A2" w:rsidRDefault="00CC42A2" w:rsidP="009201E6">
      <w:pPr>
        <w:pStyle w:val="FootnoteText"/>
        <w:spacing w:after="0" w:line="240" w:lineRule="auto"/>
        <w:ind w:firstLine="0"/>
        <w:jc w:val="left"/>
      </w:pPr>
      <w:r>
        <w:rPr>
          <w:rStyle w:val="FootnoteReference"/>
        </w:rPr>
        <w:footnoteRef/>
      </w:r>
      <w:r>
        <w:t xml:space="preserve"> </w:t>
      </w:r>
      <w:r w:rsidR="00620E4A">
        <w:t xml:space="preserve">Responsive Testimony of Bradley G. Mullins, </w:t>
      </w:r>
      <w:r>
        <w:t xml:space="preserve">Exhibit </w:t>
      </w:r>
      <w:r w:rsidR="000A545D">
        <w:t>No.</w:t>
      </w:r>
      <w:r w:rsidR="00767ED8">
        <w:t xml:space="preserve"> </w:t>
      </w:r>
      <w:r>
        <w:t xml:space="preserve">BGM-1CT </w:t>
      </w:r>
      <w:r w:rsidR="00620E4A">
        <w:t xml:space="preserve">at </w:t>
      </w:r>
      <w:r>
        <w:t>6, Table 1</w:t>
      </w:r>
      <w:r w:rsidR="00683465">
        <w:t>.</w:t>
      </w:r>
    </w:p>
  </w:footnote>
  <w:footnote w:id="29">
    <w:p w:rsidR="00CC42A2" w:rsidRDefault="00CC42A2" w:rsidP="009201E6">
      <w:pPr>
        <w:pStyle w:val="FootnoteText"/>
        <w:spacing w:after="0" w:line="240" w:lineRule="auto"/>
        <w:ind w:firstLine="0"/>
        <w:jc w:val="left"/>
      </w:pPr>
      <w:r>
        <w:rPr>
          <w:rStyle w:val="FootnoteReference"/>
        </w:rPr>
        <w:footnoteRef/>
      </w:r>
      <w:r>
        <w:t xml:space="preserve"> </w:t>
      </w:r>
      <w:r w:rsidRPr="00D658AE">
        <w:t>For purposes of this rebuttal testimony</w:t>
      </w:r>
      <w:r w:rsidR="008F4FEA">
        <w:t>,</w:t>
      </w:r>
      <w:r w:rsidRPr="00D658AE">
        <w:t xml:space="preserve"> I am focusing on the more significant adjustments and ignoring the adjustment related to preferred stock due to the immaterial amount that remains outstanding.</w:t>
      </w:r>
    </w:p>
  </w:footnote>
  <w:footnote w:id="30">
    <w:p w:rsidR="00CC42A2" w:rsidRDefault="00CC42A2" w:rsidP="009201E6">
      <w:pPr>
        <w:pStyle w:val="FootnoteText"/>
        <w:spacing w:after="0" w:line="240" w:lineRule="auto"/>
        <w:ind w:firstLine="0"/>
        <w:jc w:val="left"/>
      </w:pPr>
      <w:r>
        <w:rPr>
          <w:rStyle w:val="FootnoteReference"/>
        </w:rPr>
        <w:footnoteRef/>
      </w:r>
      <w:r>
        <w:t xml:space="preserve"> </w:t>
      </w:r>
      <w:r w:rsidR="002F7F70">
        <w:t>Exhibit No.</w:t>
      </w:r>
      <w:r w:rsidR="00620E4A">
        <w:t xml:space="preserve"> </w:t>
      </w:r>
      <w:proofErr w:type="gramStart"/>
      <w:r w:rsidR="00BC5640">
        <w:t>BNW-17</w:t>
      </w:r>
      <w:r w:rsidR="00056BE9">
        <w:t xml:space="preserve"> at 12</w:t>
      </w:r>
      <w:r w:rsidR="00BC5640">
        <w:t>.</w:t>
      </w:r>
      <w:proofErr w:type="gramEnd"/>
    </w:p>
  </w:footnote>
  <w:footnote w:id="31">
    <w:p w:rsidR="00CC42A2" w:rsidRDefault="00CC42A2" w:rsidP="009201E6">
      <w:pPr>
        <w:pStyle w:val="FootnoteText"/>
        <w:spacing w:after="0" w:line="240" w:lineRule="auto"/>
        <w:ind w:firstLine="0"/>
        <w:jc w:val="left"/>
      </w:pPr>
      <w:r>
        <w:rPr>
          <w:rStyle w:val="FootnoteReference"/>
        </w:rPr>
        <w:footnoteRef/>
      </w:r>
      <w:r>
        <w:t xml:space="preserve"> </w:t>
      </w:r>
      <w:proofErr w:type="gramStart"/>
      <w:r w:rsidRPr="002F7F70">
        <w:rPr>
          <w:i/>
        </w:rPr>
        <w:t>I</w:t>
      </w:r>
      <w:r w:rsidR="002F7F70" w:rsidRPr="002F7F70">
        <w:rPr>
          <w:i/>
        </w:rPr>
        <w:t>d.</w:t>
      </w:r>
      <w:r w:rsidR="00356C69">
        <w:rPr>
          <w:i/>
        </w:rPr>
        <w:t xml:space="preserve"> </w:t>
      </w:r>
      <w:r w:rsidR="002F7F70">
        <w:t>at</w:t>
      </w:r>
      <w:r>
        <w:t xml:space="preserve"> 25.</w:t>
      </w:r>
      <w:proofErr w:type="gramEnd"/>
    </w:p>
  </w:footnote>
  <w:footnote w:id="32">
    <w:p w:rsidR="00CC42A2" w:rsidRDefault="00CC42A2" w:rsidP="009201E6">
      <w:pPr>
        <w:pStyle w:val="FootnoteText"/>
        <w:spacing w:after="0" w:line="240" w:lineRule="auto"/>
        <w:ind w:firstLine="0"/>
        <w:jc w:val="left"/>
      </w:pPr>
      <w:r>
        <w:rPr>
          <w:rStyle w:val="FootnoteReference"/>
        </w:rPr>
        <w:footnoteRef/>
      </w:r>
      <w:r>
        <w:t xml:space="preserve"> </w:t>
      </w:r>
      <w:proofErr w:type="gramStart"/>
      <w:r w:rsidRPr="002F7F70">
        <w:rPr>
          <w:i/>
        </w:rPr>
        <w:t>I</w:t>
      </w:r>
      <w:r w:rsidR="002F7F70" w:rsidRPr="002F7F70">
        <w:rPr>
          <w:i/>
        </w:rPr>
        <w:t>d.</w:t>
      </w:r>
      <w:r w:rsidR="002F7F70">
        <w:t xml:space="preserve"> at</w:t>
      </w:r>
      <w:r>
        <w:t xml:space="preserve"> 7.</w:t>
      </w:r>
      <w:proofErr w:type="gramEnd"/>
    </w:p>
  </w:footnote>
  <w:footnote w:id="33">
    <w:p w:rsidR="00CC42A2" w:rsidRDefault="00CC42A2" w:rsidP="009201E6">
      <w:pPr>
        <w:pStyle w:val="FootnoteText"/>
        <w:spacing w:after="0" w:line="240" w:lineRule="auto"/>
        <w:ind w:firstLine="0"/>
        <w:jc w:val="left"/>
      </w:pPr>
      <w:r>
        <w:rPr>
          <w:rStyle w:val="FootnoteReference"/>
        </w:rPr>
        <w:footnoteRef/>
      </w:r>
      <w:r>
        <w:t xml:space="preserve"> </w:t>
      </w:r>
      <w:r w:rsidR="00056BE9">
        <w:t>Exhibit No. BNW-20</w:t>
      </w:r>
      <w:r w:rsidR="00767ED8">
        <w:t xml:space="preserve">, </w:t>
      </w:r>
      <w:r w:rsidR="00056BE9">
        <w:t>Standard &amp; Poor’s Ratings Direct Report, “Corpora</w:t>
      </w:r>
      <w:r w:rsidR="00767ED8">
        <w:t>te Methodology” (Nov. 19, 2013)</w:t>
      </w:r>
      <w:r w:rsidR="00056BE9">
        <w:t xml:space="preserve"> </w:t>
      </w:r>
      <w:r w:rsidR="002F7F70">
        <w:t xml:space="preserve">at </w:t>
      </w:r>
      <w:r w:rsidRPr="003B52AD">
        <w:t>35 - Table 18.</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D0F" w:rsidRDefault="00021D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D0F" w:rsidRDefault="00021D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D0F" w:rsidRDefault="00021D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42F69"/>
    <w:multiLevelType w:val="hybridMultilevel"/>
    <w:tmpl w:val="03B6B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D637F6"/>
    <w:multiLevelType w:val="multilevel"/>
    <w:tmpl w:val="6660C6AA"/>
    <w:lvl w:ilvl="0">
      <w:start w:val="1"/>
      <w:numFmt w:val="decimal"/>
      <w:pStyle w:val="NumberedParagraphs"/>
      <w:lvlText w:val="%1."/>
      <w:lvlJc w:val="left"/>
      <w:pPr>
        <w:tabs>
          <w:tab w:val="num" w:pos="720"/>
        </w:tabs>
        <w:ind w:left="0" w:firstLine="720"/>
      </w:pPr>
      <w:rPr>
        <w:rFonts w:hint="default"/>
        <w:b w:val="0"/>
        <w:i w:val="0"/>
        <w:caps w:val="0"/>
        <w:strike w:val="0"/>
        <w:dstrike w:val="0"/>
        <w:vanish w:val="0"/>
        <w:sz w:val="24"/>
        <w:vertAlign w:val="baseline"/>
      </w:rPr>
    </w:lvl>
    <w:lvl w:ilvl="1">
      <w:start w:val="1"/>
      <w:numFmt w:val="lowerLetter"/>
      <w:lvlText w:val="%2."/>
      <w:lvlJc w:val="left"/>
      <w:pPr>
        <w:tabs>
          <w:tab w:val="num" w:pos="720"/>
        </w:tabs>
        <w:ind w:left="720" w:firstLine="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0ECF3DB2"/>
    <w:multiLevelType w:val="hybridMultilevel"/>
    <w:tmpl w:val="75C0CC0A"/>
    <w:lvl w:ilvl="0" w:tplc="C666F23C">
      <w:start w:val="1"/>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50F0D4B"/>
    <w:multiLevelType w:val="hybridMultilevel"/>
    <w:tmpl w:val="3EAA4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F44CAA"/>
    <w:multiLevelType w:val="hybridMultilevel"/>
    <w:tmpl w:val="A5DA0644"/>
    <w:lvl w:ilvl="0" w:tplc="A61E350E">
      <w:numFmt w:val="decimal"/>
      <w:lvlText w:val=""/>
      <w:lvlJc w:val="left"/>
    </w:lvl>
    <w:lvl w:ilvl="1" w:tplc="E13651EA">
      <w:start w:val="1"/>
      <w:numFmt w:val="bullet"/>
      <w:lvlText w:val="• "/>
      <w:lvlJc w:val="left"/>
      <w:pPr>
        <w:ind w:hanging="360"/>
      </w:pPr>
    </w:lvl>
    <w:lvl w:ilvl="2" w:tplc="D7B00C7E">
      <w:numFmt w:val="decimal"/>
      <w:lvlText w:val=""/>
      <w:lvlJc w:val="left"/>
    </w:lvl>
    <w:lvl w:ilvl="3" w:tplc="B6D69DEA">
      <w:numFmt w:val="decimal"/>
      <w:lvlText w:val=""/>
      <w:lvlJc w:val="left"/>
    </w:lvl>
    <w:lvl w:ilvl="4" w:tplc="90FA616E">
      <w:numFmt w:val="decimal"/>
      <w:lvlText w:val=""/>
      <w:lvlJc w:val="left"/>
    </w:lvl>
    <w:lvl w:ilvl="5" w:tplc="484292C0">
      <w:numFmt w:val="decimal"/>
      <w:lvlText w:val=""/>
      <w:lvlJc w:val="left"/>
    </w:lvl>
    <w:lvl w:ilvl="6" w:tplc="349CCBF6">
      <w:numFmt w:val="decimal"/>
      <w:lvlText w:val=""/>
      <w:lvlJc w:val="left"/>
    </w:lvl>
    <w:lvl w:ilvl="7" w:tplc="1BB2C890">
      <w:numFmt w:val="decimal"/>
      <w:lvlText w:val=""/>
      <w:lvlJc w:val="left"/>
    </w:lvl>
    <w:lvl w:ilvl="8" w:tplc="D9A8A836">
      <w:numFmt w:val="decimal"/>
      <w:lvlText w:val=""/>
      <w:lvlJc w:val="left"/>
    </w:lvl>
  </w:abstractNum>
  <w:abstractNum w:abstractNumId="5">
    <w:nsid w:val="3BBF585F"/>
    <w:multiLevelType w:val="hybridMultilevel"/>
    <w:tmpl w:val="ECF05E8E"/>
    <w:lvl w:ilvl="0" w:tplc="FEB4F238">
      <w:numFmt w:val="decimal"/>
      <w:lvlText w:val=""/>
      <w:lvlJc w:val="left"/>
    </w:lvl>
    <w:lvl w:ilvl="1" w:tplc="07C0AEA6">
      <w:start w:val="1"/>
      <w:numFmt w:val="bullet"/>
      <w:lvlText w:val="• "/>
      <w:lvlJc w:val="left"/>
      <w:pPr>
        <w:ind w:hanging="360"/>
      </w:pPr>
    </w:lvl>
    <w:lvl w:ilvl="2" w:tplc="B8ECB4D4">
      <w:numFmt w:val="decimal"/>
      <w:lvlText w:val=""/>
      <w:lvlJc w:val="left"/>
    </w:lvl>
    <w:lvl w:ilvl="3" w:tplc="D3C85D18">
      <w:numFmt w:val="decimal"/>
      <w:lvlText w:val=""/>
      <w:lvlJc w:val="left"/>
    </w:lvl>
    <w:lvl w:ilvl="4" w:tplc="CA165C2A">
      <w:numFmt w:val="decimal"/>
      <w:lvlText w:val=""/>
      <w:lvlJc w:val="left"/>
    </w:lvl>
    <w:lvl w:ilvl="5" w:tplc="38C407BC">
      <w:numFmt w:val="decimal"/>
      <w:lvlText w:val=""/>
      <w:lvlJc w:val="left"/>
    </w:lvl>
    <w:lvl w:ilvl="6" w:tplc="1A64CF46">
      <w:numFmt w:val="decimal"/>
      <w:lvlText w:val=""/>
      <w:lvlJc w:val="left"/>
    </w:lvl>
    <w:lvl w:ilvl="7" w:tplc="47BA1F6E">
      <w:numFmt w:val="decimal"/>
      <w:lvlText w:val=""/>
      <w:lvlJc w:val="left"/>
    </w:lvl>
    <w:lvl w:ilvl="8" w:tplc="18FE1BDA">
      <w:numFmt w:val="decimal"/>
      <w:lvlText w:val=""/>
      <w:lvlJc w:val="left"/>
    </w:lvl>
  </w:abstractNum>
  <w:abstractNum w:abstractNumId="6">
    <w:nsid w:val="3BEA3FAA"/>
    <w:multiLevelType w:val="hybridMultilevel"/>
    <w:tmpl w:val="520E76E0"/>
    <w:lvl w:ilvl="0" w:tplc="02A24AA0">
      <w:numFmt w:val="decimal"/>
      <w:lvlText w:val=""/>
      <w:lvlJc w:val="left"/>
    </w:lvl>
    <w:lvl w:ilvl="1" w:tplc="311427C6">
      <w:start w:val="1"/>
      <w:numFmt w:val="bullet"/>
      <w:lvlText w:val="• "/>
      <w:lvlJc w:val="left"/>
      <w:pPr>
        <w:ind w:hanging="360"/>
      </w:pPr>
    </w:lvl>
    <w:lvl w:ilvl="2" w:tplc="3BE2DDC8">
      <w:numFmt w:val="decimal"/>
      <w:lvlText w:val=""/>
      <w:lvlJc w:val="left"/>
    </w:lvl>
    <w:lvl w:ilvl="3" w:tplc="DED88A7A">
      <w:numFmt w:val="decimal"/>
      <w:lvlText w:val=""/>
      <w:lvlJc w:val="left"/>
    </w:lvl>
    <w:lvl w:ilvl="4" w:tplc="F656F9C6">
      <w:numFmt w:val="decimal"/>
      <w:lvlText w:val=""/>
      <w:lvlJc w:val="left"/>
    </w:lvl>
    <w:lvl w:ilvl="5" w:tplc="E96A2D20">
      <w:numFmt w:val="decimal"/>
      <w:lvlText w:val=""/>
      <w:lvlJc w:val="left"/>
    </w:lvl>
    <w:lvl w:ilvl="6" w:tplc="8B14E7A0">
      <w:numFmt w:val="decimal"/>
      <w:lvlText w:val=""/>
      <w:lvlJc w:val="left"/>
    </w:lvl>
    <w:lvl w:ilvl="7" w:tplc="A35EF02E">
      <w:numFmt w:val="decimal"/>
      <w:lvlText w:val=""/>
      <w:lvlJc w:val="left"/>
    </w:lvl>
    <w:lvl w:ilvl="8" w:tplc="A846F1D0">
      <w:numFmt w:val="decimal"/>
      <w:lvlText w:val=""/>
      <w:lvlJc w:val="left"/>
    </w:lvl>
  </w:abstractNum>
  <w:abstractNum w:abstractNumId="7">
    <w:nsid w:val="3E020A23"/>
    <w:multiLevelType w:val="multilevel"/>
    <w:tmpl w:val="FE906110"/>
    <w:styleLink w:val="StyleOutlinenumbered"/>
    <w:lvl w:ilvl="0">
      <w:start w:val="1"/>
      <w:numFmt w:val="upperRoman"/>
      <w:lvlText w:val="%1.  "/>
      <w:lvlJc w:val="left"/>
      <w:pPr>
        <w:tabs>
          <w:tab w:val="num" w:pos="360"/>
        </w:tabs>
        <w:ind w:left="360" w:hanging="360"/>
      </w:pPr>
      <w:rPr>
        <w:rFonts w:ascii="Arial" w:hAnsi="Arial"/>
        <w:sz w:val="22"/>
      </w:rPr>
    </w:lvl>
    <w:lvl w:ilvl="1">
      <w:start w:val="1"/>
      <w:numFmt w:val="upperLetter"/>
      <w:lvlText w:val="%2."/>
      <w:lvlJc w:val="left"/>
      <w:pPr>
        <w:tabs>
          <w:tab w:val="num" w:pos="720"/>
        </w:tabs>
        <w:ind w:left="720" w:hanging="36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3600"/>
        </w:tabs>
        <w:ind w:left="2880" w:hanging="360"/>
      </w:pPr>
      <w:rPr>
        <w:rFonts w:ascii="Symbol" w:hAnsi="Symbol" w:hint="default"/>
      </w:rPr>
    </w:lvl>
    <w:lvl w:ilvl="6">
      <w:start w:val="1"/>
      <w:numFmt w:val="lowerRoman"/>
      <w:lvlText w:val="(%7)"/>
      <w:lvlJc w:val="left"/>
      <w:pPr>
        <w:tabs>
          <w:tab w:val="num" w:pos="6120"/>
        </w:tabs>
        <w:ind w:left="5760" w:firstLine="0"/>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8">
    <w:nsid w:val="428A5BAD"/>
    <w:multiLevelType w:val="hybridMultilevel"/>
    <w:tmpl w:val="7B0852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4A0F7452"/>
    <w:multiLevelType w:val="hybridMultilevel"/>
    <w:tmpl w:val="644AC028"/>
    <w:lvl w:ilvl="0" w:tplc="66BCC2D8">
      <w:numFmt w:val="decimal"/>
      <w:lvlText w:val=""/>
      <w:lvlJc w:val="left"/>
    </w:lvl>
    <w:lvl w:ilvl="1" w:tplc="591ABDD8">
      <w:start w:val="1"/>
      <w:numFmt w:val="bullet"/>
      <w:lvlText w:val="• "/>
      <w:lvlJc w:val="left"/>
      <w:pPr>
        <w:ind w:hanging="360"/>
      </w:pPr>
    </w:lvl>
    <w:lvl w:ilvl="2" w:tplc="8A904358">
      <w:numFmt w:val="decimal"/>
      <w:lvlText w:val=""/>
      <w:lvlJc w:val="left"/>
    </w:lvl>
    <w:lvl w:ilvl="3" w:tplc="FE28C740">
      <w:numFmt w:val="decimal"/>
      <w:lvlText w:val=""/>
      <w:lvlJc w:val="left"/>
    </w:lvl>
    <w:lvl w:ilvl="4" w:tplc="78086A76">
      <w:numFmt w:val="decimal"/>
      <w:lvlText w:val=""/>
      <w:lvlJc w:val="left"/>
    </w:lvl>
    <w:lvl w:ilvl="5" w:tplc="C504A4A0">
      <w:numFmt w:val="decimal"/>
      <w:lvlText w:val=""/>
      <w:lvlJc w:val="left"/>
    </w:lvl>
    <w:lvl w:ilvl="6" w:tplc="3B20BAD4">
      <w:numFmt w:val="decimal"/>
      <w:lvlText w:val=""/>
      <w:lvlJc w:val="left"/>
    </w:lvl>
    <w:lvl w:ilvl="7" w:tplc="C86C872A">
      <w:numFmt w:val="decimal"/>
      <w:lvlText w:val=""/>
      <w:lvlJc w:val="left"/>
    </w:lvl>
    <w:lvl w:ilvl="8" w:tplc="F34AF3FA">
      <w:numFmt w:val="decimal"/>
      <w:lvlText w:val=""/>
      <w:lvlJc w:val="left"/>
    </w:lvl>
  </w:abstractNum>
  <w:abstractNum w:abstractNumId="10">
    <w:nsid w:val="68FB3B6C"/>
    <w:multiLevelType w:val="hybridMultilevel"/>
    <w:tmpl w:val="CEC618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9301EF4"/>
    <w:multiLevelType w:val="hybridMultilevel"/>
    <w:tmpl w:val="DB32A52A"/>
    <w:lvl w:ilvl="0" w:tplc="5C78F0D8">
      <w:start w:val="1"/>
      <w:numFmt w:val="none"/>
      <w:pStyle w:val="Answer"/>
      <w:lvlText w:val="%1A."/>
      <w:lvlJc w:val="left"/>
      <w:pPr>
        <w:tabs>
          <w:tab w:val="num" w:pos="720"/>
        </w:tabs>
        <w:ind w:left="720" w:hanging="720"/>
      </w:pPr>
      <w:rPr>
        <w:rFonts w:hint="default"/>
        <w:b w:val="0"/>
        <w:i w:val="0"/>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9A4273"/>
    <w:multiLevelType w:val="hybridMultilevel"/>
    <w:tmpl w:val="E494A8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1"/>
  </w:num>
  <w:num w:numId="3">
    <w:abstractNumId w:val="1"/>
  </w:num>
  <w:num w:numId="4">
    <w:abstractNumId w:val="8"/>
  </w:num>
  <w:num w:numId="5">
    <w:abstractNumId w:val="12"/>
  </w:num>
  <w:num w:numId="6">
    <w:abstractNumId w:val="12"/>
  </w:num>
  <w:num w:numId="7">
    <w:abstractNumId w:val="6"/>
  </w:num>
  <w:num w:numId="8">
    <w:abstractNumId w:val="4"/>
  </w:num>
  <w:num w:numId="9">
    <w:abstractNumId w:val="9"/>
  </w:num>
  <w:num w:numId="10">
    <w:abstractNumId w:val="5"/>
  </w:num>
  <w:num w:numId="11">
    <w:abstractNumId w:val="0"/>
  </w:num>
  <w:num w:numId="12">
    <w:abstractNumId w:val="3"/>
  </w:num>
  <w:num w:numId="13">
    <w:abstractNumId w:val="10"/>
  </w:num>
  <w:num w:numId="1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Formatting/>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B5C"/>
    <w:rsid w:val="00000161"/>
    <w:rsid w:val="00000282"/>
    <w:rsid w:val="0000039D"/>
    <w:rsid w:val="00001164"/>
    <w:rsid w:val="00001255"/>
    <w:rsid w:val="00001625"/>
    <w:rsid w:val="0000356B"/>
    <w:rsid w:val="00003C0D"/>
    <w:rsid w:val="00003CA9"/>
    <w:rsid w:val="000040E0"/>
    <w:rsid w:val="000048CC"/>
    <w:rsid w:val="00005067"/>
    <w:rsid w:val="00005A25"/>
    <w:rsid w:val="0000636E"/>
    <w:rsid w:val="00006B34"/>
    <w:rsid w:val="00007227"/>
    <w:rsid w:val="00007643"/>
    <w:rsid w:val="00007C5C"/>
    <w:rsid w:val="00007FA0"/>
    <w:rsid w:val="000100F8"/>
    <w:rsid w:val="00011CC2"/>
    <w:rsid w:val="00011DF2"/>
    <w:rsid w:val="00012581"/>
    <w:rsid w:val="00012B73"/>
    <w:rsid w:val="00014605"/>
    <w:rsid w:val="0001466F"/>
    <w:rsid w:val="0001589E"/>
    <w:rsid w:val="00015A06"/>
    <w:rsid w:val="00015B9A"/>
    <w:rsid w:val="00016256"/>
    <w:rsid w:val="00016726"/>
    <w:rsid w:val="0002086C"/>
    <w:rsid w:val="00020B5F"/>
    <w:rsid w:val="00021464"/>
    <w:rsid w:val="00021D0F"/>
    <w:rsid w:val="00023E3E"/>
    <w:rsid w:val="000248DD"/>
    <w:rsid w:val="00024C60"/>
    <w:rsid w:val="0002505D"/>
    <w:rsid w:val="00025D7E"/>
    <w:rsid w:val="000279E3"/>
    <w:rsid w:val="000308B4"/>
    <w:rsid w:val="000314B3"/>
    <w:rsid w:val="00031A03"/>
    <w:rsid w:val="00031B36"/>
    <w:rsid w:val="00031C94"/>
    <w:rsid w:val="000322CE"/>
    <w:rsid w:val="0003468C"/>
    <w:rsid w:val="000356EE"/>
    <w:rsid w:val="00035BEC"/>
    <w:rsid w:val="00036267"/>
    <w:rsid w:val="000362BA"/>
    <w:rsid w:val="00036812"/>
    <w:rsid w:val="00041E8A"/>
    <w:rsid w:val="00042039"/>
    <w:rsid w:val="000425BB"/>
    <w:rsid w:val="000430D7"/>
    <w:rsid w:val="000438A3"/>
    <w:rsid w:val="00044149"/>
    <w:rsid w:val="00044BFB"/>
    <w:rsid w:val="0004524B"/>
    <w:rsid w:val="00045668"/>
    <w:rsid w:val="00047F8B"/>
    <w:rsid w:val="00050A5C"/>
    <w:rsid w:val="0005123F"/>
    <w:rsid w:val="00051677"/>
    <w:rsid w:val="00051C85"/>
    <w:rsid w:val="00052CC9"/>
    <w:rsid w:val="00053156"/>
    <w:rsid w:val="0005348A"/>
    <w:rsid w:val="00053717"/>
    <w:rsid w:val="0005407E"/>
    <w:rsid w:val="000541A3"/>
    <w:rsid w:val="0005536F"/>
    <w:rsid w:val="00056BE9"/>
    <w:rsid w:val="000579A3"/>
    <w:rsid w:val="0006122F"/>
    <w:rsid w:val="00061790"/>
    <w:rsid w:val="0006194F"/>
    <w:rsid w:val="00062403"/>
    <w:rsid w:val="00062B41"/>
    <w:rsid w:val="00062E4E"/>
    <w:rsid w:val="000643D8"/>
    <w:rsid w:val="00064C4F"/>
    <w:rsid w:val="000656C4"/>
    <w:rsid w:val="0006600E"/>
    <w:rsid w:val="000667A0"/>
    <w:rsid w:val="000669A9"/>
    <w:rsid w:val="000674E3"/>
    <w:rsid w:val="00070E4B"/>
    <w:rsid w:val="00071746"/>
    <w:rsid w:val="000717B2"/>
    <w:rsid w:val="00073A16"/>
    <w:rsid w:val="000740F7"/>
    <w:rsid w:val="0007519F"/>
    <w:rsid w:val="000755BB"/>
    <w:rsid w:val="00075618"/>
    <w:rsid w:val="000770B1"/>
    <w:rsid w:val="00077709"/>
    <w:rsid w:val="00077E3D"/>
    <w:rsid w:val="0008072D"/>
    <w:rsid w:val="000810B1"/>
    <w:rsid w:val="000815CE"/>
    <w:rsid w:val="00081756"/>
    <w:rsid w:val="000818AC"/>
    <w:rsid w:val="0008253D"/>
    <w:rsid w:val="00082D44"/>
    <w:rsid w:val="00082E15"/>
    <w:rsid w:val="00083331"/>
    <w:rsid w:val="00084D0F"/>
    <w:rsid w:val="00085BFE"/>
    <w:rsid w:val="00086BBD"/>
    <w:rsid w:val="00090407"/>
    <w:rsid w:val="0009079F"/>
    <w:rsid w:val="00091342"/>
    <w:rsid w:val="00091E43"/>
    <w:rsid w:val="00092402"/>
    <w:rsid w:val="000926C7"/>
    <w:rsid w:val="000934BC"/>
    <w:rsid w:val="0009368F"/>
    <w:rsid w:val="00095859"/>
    <w:rsid w:val="00095BE1"/>
    <w:rsid w:val="000967BC"/>
    <w:rsid w:val="00096EC5"/>
    <w:rsid w:val="00097483"/>
    <w:rsid w:val="000A0555"/>
    <w:rsid w:val="000A0816"/>
    <w:rsid w:val="000A1F96"/>
    <w:rsid w:val="000A2224"/>
    <w:rsid w:val="000A4C29"/>
    <w:rsid w:val="000A545D"/>
    <w:rsid w:val="000A58ED"/>
    <w:rsid w:val="000A6050"/>
    <w:rsid w:val="000A6435"/>
    <w:rsid w:val="000A76EA"/>
    <w:rsid w:val="000A7A30"/>
    <w:rsid w:val="000A7F9F"/>
    <w:rsid w:val="000B0165"/>
    <w:rsid w:val="000B0F1B"/>
    <w:rsid w:val="000B1A89"/>
    <w:rsid w:val="000B1BDC"/>
    <w:rsid w:val="000B1EC5"/>
    <w:rsid w:val="000B29CB"/>
    <w:rsid w:val="000B34FF"/>
    <w:rsid w:val="000B3DCA"/>
    <w:rsid w:val="000B4F9F"/>
    <w:rsid w:val="000B5774"/>
    <w:rsid w:val="000B583D"/>
    <w:rsid w:val="000B5FA5"/>
    <w:rsid w:val="000B66CF"/>
    <w:rsid w:val="000B72C8"/>
    <w:rsid w:val="000B7A6F"/>
    <w:rsid w:val="000B7E0E"/>
    <w:rsid w:val="000C00EF"/>
    <w:rsid w:val="000C16D7"/>
    <w:rsid w:val="000C27CF"/>
    <w:rsid w:val="000C34F5"/>
    <w:rsid w:val="000C5547"/>
    <w:rsid w:val="000C61F4"/>
    <w:rsid w:val="000C63B9"/>
    <w:rsid w:val="000C6D1C"/>
    <w:rsid w:val="000D0771"/>
    <w:rsid w:val="000D2438"/>
    <w:rsid w:val="000D2621"/>
    <w:rsid w:val="000D472F"/>
    <w:rsid w:val="000D481E"/>
    <w:rsid w:val="000D4B8D"/>
    <w:rsid w:val="000D4FBC"/>
    <w:rsid w:val="000D600B"/>
    <w:rsid w:val="000D68B9"/>
    <w:rsid w:val="000D6B4E"/>
    <w:rsid w:val="000D7081"/>
    <w:rsid w:val="000E0950"/>
    <w:rsid w:val="000E18BF"/>
    <w:rsid w:val="000E1CED"/>
    <w:rsid w:val="000E284C"/>
    <w:rsid w:val="000E3208"/>
    <w:rsid w:val="000E34FD"/>
    <w:rsid w:val="000E43FE"/>
    <w:rsid w:val="000E5171"/>
    <w:rsid w:val="000E57A1"/>
    <w:rsid w:val="000E65E1"/>
    <w:rsid w:val="000E6759"/>
    <w:rsid w:val="000E695F"/>
    <w:rsid w:val="000E6F07"/>
    <w:rsid w:val="000F1072"/>
    <w:rsid w:val="000F1104"/>
    <w:rsid w:val="000F2B65"/>
    <w:rsid w:val="000F2EDE"/>
    <w:rsid w:val="000F3201"/>
    <w:rsid w:val="000F33D6"/>
    <w:rsid w:val="000F3BEE"/>
    <w:rsid w:val="000F4D7C"/>
    <w:rsid w:val="000F588F"/>
    <w:rsid w:val="000F5D50"/>
    <w:rsid w:val="000F60B0"/>
    <w:rsid w:val="000F64EB"/>
    <w:rsid w:val="000F7051"/>
    <w:rsid w:val="000F76C1"/>
    <w:rsid w:val="000F7E1D"/>
    <w:rsid w:val="00100C31"/>
    <w:rsid w:val="0010153A"/>
    <w:rsid w:val="001018A7"/>
    <w:rsid w:val="00101A2A"/>
    <w:rsid w:val="00102D11"/>
    <w:rsid w:val="00103414"/>
    <w:rsid w:val="0010493C"/>
    <w:rsid w:val="001058BD"/>
    <w:rsid w:val="00106515"/>
    <w:rsid w:val="00106D7E"/>
    <w:rsid w:val="00106EDB"/>
    <w:rsid w:val="00107971"/>
    <w:rsid w:val="00111BD3"/>
    <w:rsid w:val="001125CC"/>
    <w:rsid w:val="0011263B"/>
    <w:rsid w:val="001128BD"/>
    <w:rsid w:val="00112F62"/>
    <w:rsid w:val="001167C3"/>
    <w:rsid w:val="001167CD"/>
    <w:rsid w:val="00116DC6"/>
    <w:rsid w:val="001178B8"/>
    <w:rsid w:val="00117992"/>
    <w:rsid w:val="00117BDB"/>
    <w:rsid w:val="00117C7E"/>
    <w:rsid w:val="00120950"/>
    <w:rsid w:val="0012171E"/>
    <w:rsid w:val="00122B0A"/>
    <w:rsid w:val="00122CFC"/>
    <w:rsid w:val="00123457"/>
    <w:rsid w:val="0012476D"/>
    <w:rsid w:val="001250E8"/>
    <w:rsid w:val="00125564"/>
    <w:rsid w:val="00126C16"/>
    <w:rsid w:val="00126C49"/>
    <w:rsid w:val="0013162A"/>
    <w:rsid w:val="001326D3"/>
    <w:rsid w:val="0013326F"/>
    <w:rsid w:val="0013349D"/>
    <w:rsid w:val="0013464F"/>
    <w:rsid w:val="001352C0"/>
    <w:rsid w:val="00135F87"/>
    <w:rsid w:val="00136159"/>
    <w:rsid w:val="0013782B"/>
    <w:rsid w:val="00137BFD"/>
    <w:rsid w:val="00137DCE"/>
    <w:rsid w:val="00140872"/>
    <w:rsid w:val="001409B2"/>
    <w:rsid w:val="0014142D"/>
    <w:rsid w:val="0014152C"/>
    <w:rsid w:val="00141936"/>
    <w:rsid w:val="00141A6C"/>
    <w:rsid w:val="001429C9"/>
    <w:rsid w:val="00144840"/>
    <w:rsid w:val="00144CE3"/>
    <w:rsid w:val="0014529E"/>
    <w:rsid w:val="0014543F"/>
    <w:rsid w:val="001457DC"/>
    <w:rsid w:val="00145B5C"/>
    <w:rsid w:val="00146A18"/>
    <w:rsid w:val="00146B8D"/>
    <w:rsid w:val="0015026D"/>
    <w:rsid w:val="0015082D"/>
    <w:rsid w:val="001530E0"/>
    <w:rsid w:val="00153EC0"/>
    <w:rsid w:val="00154C6C"/>
    <w:rsid w:val="001567BE"/>
    <w:rsid w:val="001568ED"/>
    <w:rsid w:val="00157984"/>
    <w:rsid w:val="00157C9A"/>
    <w:rsid w:val="00160478"/>
    <w:rsid w:val="00161B37"/>
    <w:rsid w:val="00162146"/>
    <w:rsid w:val="0016269D"/>
    <w:rsid w:val="00162FD2"/>
    <w:rsid w:val="00163F27"/>
    <w:rsid w:val="0016481D"/>
    <w:rsid w:val="0016586B"/>
    <w:rsid w:val="001661E3"/>
    <w:rsid w:val="0017039B"/>
    <w:rsid w:val="00170FC4"/>
    <w:rsid w:val="00171A53"/>
    <w:rsid w:val="001727D8"/>
    <w:rsid w:val="00172933"/>
    <w:rsid w:val="00174634"/>
    <w:rsid w:val="00174E63"/>
    <w:rsid w:val="00174F20"/>
    <w:rsid w:val="001750E4"/>
    <w:rsid w:val="001756E1"/>
    <w:rsid w:val="00175B9E"/>
    <w:rsid w:val="00175F53"/>
    <w:rsid w:val="001761D9"/>
    <w:rsid w:val="00176B4F"/>
    <w:rsid w:val="001772D4"/>
    <w:rsid w:val="00177327"/>
    <w:rsid w:val="00177952"/>
    <w:rsid w:val="0017796C"/>
    <w:rsid w:val="00177E3E"/>
    <w:rsid w:val="00180419"/>
    <w:rsid w:val="001812C4"/>
    <w:rsid w:val="0018156B"/>
    <w:rsid w:val="00185FCB"/>
    <w:rsid w:val="0019058B"/>
    <w:rsid w:val="001909AB"/>
    <w:rsid w:val="00190FC0"/>
    <w:rsid w:val="0019136E"/>
    <w:rsid w:val="0019162E"/>
    <w:rsid w:val="001920F6"/>
    <w:rsid w:val="00192147"/>
    <w:rsid w:val="00192261"/>
    <w:rsid w:val="00193B52"/>
    <w:rsid w:val="0019421C"/>
    <w:rsid w:val="00194444"/>
    <w:rsid w:val="00194F40"/>
    <w:rsid w:val="001956B7"/>
    <w:rsid w:val="00196488"/>
    <w:rsid w:val="00196FFE"/>
    <w:rsid w:val="0019742A"/>
    <w:rsid w:val="00197473"/>
    <w:rsid w:val="00197979"/>
    <w:rsid w:val="001979F0"/>
    <w:rsid w:val="00197BC6"/>
    <w:rsid w:val="001A0A4F"/>
    <w:rsid w:val="001A12AE"/>
    <w:rsid w:val="001A18CE"/>
    <w:rsid w:val="001A2718"/>
    <w:rsid w:val="001A2AD5"/>
    <w:rsid w:val="001A6CF7"/>
    <w:rsid w:val="001A6D84"/>
    <w:rsid w:val="001A6E3D"/>
    <w:rsid w:val="001A78B3"/>
    <w:rsid w:val="001B056E"/>
    <w:rsid w:val="001B197D"/>
    <w:rsid w:val="001B22BB"/>
    <w:rsid w:val="001B3F9C"/>
    <w:rsid w:val="001B41A0"/>
    <w:rsid w:val="001B4E8B"/>
    <w:rsid w:val="001B592C"/>
    <w:rsid w:val="001B6752"/>
    <w:rsid w:val="001B786A"/>
    <w:rsid w:val="001B7C35"/>
    <w:rsid w:val="001C0646"/>
    <w:rsid w:val="001C08B7"/>
    <w:rsid w:val="001C212C"/>
    <w:rsid w:val="001C2828"/>
    <w:rsid w:val="001C430C"/>
    <w:rsid w:val="001C4C8D"/>
    <w:rsid w:val="001C54DB"/>
    <w:rsid w:val="001C6583"/>
    <w:rsid w:val="001C6A29"/>
    <w:rsid w:val="001C6A58"/>
    <w:rsid w:val="001C7D1C"/>
    <w:rsid w:val="001D020E"/>
    <w:rsid w:val="001D066F"/>
    <w:rsid w:val="001D10F7"/>
    <w:rsid w:val="001D2469"/>
    <w:rsid w:val="001D2961"/>
    <w:rsid w:val="001D2E33"/>
    <w:rsid w:val="001D3881"/>
    <w:rsid w:val="001D438B"/>
    <w:rsid w:val="001D4871"/>
    <w:rsid w:val="001D4F68"/>
    <w:rsid w:val="001D5245"/>
    <w:rsid w:val="001D5DDD"/>
    <w:rsid w:val="001D6343"/>
    <w:rsid w:val="001D6586"/>
    <w:rsid w:val="001D6944"/>
    <w:rsid w:val="001D6B81"/>
    <w:rsid w:val="001D6E3A"/>
    <w:rsid w:val="001D7861"/>
    <w:rsid w:val="001D7CDD"/>
    <w:rsid w:val="001E0E85"/>
    <w:rsid w:val="001E1A60"/>
    <w:rsid w:val="001E2A42"/>
    <w:rsid w:val="001E2D9A"/>
    <w:rsid w:val="001E32D2"/>
    <w:rsid w:val="001E61DD"/>
    <w:rsid w:val="001E6971"/>
    <w:rsid w:val="001E6FF5"/>
    <w:rsid w:val="001F0322"/>
    <w:rsid w:val="001F051B"/>
    <w:rsid w:val="001F0717"/>
    <w:rsid w:val="001F0B71"/>
    <w:rsid w:val="001F0E6B"/>
    <w:rsid w:val="001F1950"/>
    <w:rsid w:val="001F2A34"/>
    <w:rsid w:val="001F31FD"/>
    <w:rsid w:val="001F3668"/>
    <w:rsid w:val="001F4547"/>
    <w:rsid w:val="001F63AD"/>
    <w:rsid w:val="001F6F05"/>
    <w:rsid w:val="001F7252"/>
    <w:rsid w:val="002000C9"/>
    <w:rsid w:val="002009C2"/>
    <w:rsid w:val="00200D36"/>
    <w:rsid w:val="00201734"/>
    <w:rsid w:val="00201A05"/>
    <w:rsid w:val="00201B94"/>
    <w:rsid w:val="00201DED"/>
    <w:rsid w:val="002028B8"/>
    <w:rsid w:val="002034D2"/>
    <w:rsid w:val="00203CCB"/>
    <w:rsid w:val="00203E8B"/>
    <w:rsid w:val="00204DBA"/>
    <w:rsid w:val="00205F00"/>
    <w:rsid w:val="00206178"/>
    <w:rsid w:val="002112D5"/>
    <w:rsid w:val="00211E41"/>
    <w:rsid w:val="002136A4"/>
    <w:rsid w:val="00215A49"/>
    <w:rsid w:val="00215B7D"/>
    <w:rsid w:val="00216331"/>
    <w:rsid w:val="00216773"/>
    <w:rsid w:val="00217311"/>
    <w:rsid w:val="00217D4E"/>
    <w:rsid w:val="002201E1"/>
    <w:rsid w:val="00220348"/>
    <w:rsid w:val="002206ED"/>
    <w:rsid w:val="00220B5A"/>
    <w:rsid w:val="00220EA0"/>
    <w:rsid w:val="002219E7"/>
    <w:rsid w:val="00223466"/>
    <w:rsid w:val="00225206"/>
    <w:rsid w:val="002257FC"/>
    <w:rsid w:val="00226251"/>
    <w:rsid w:val="0022670D"/>
    <w:rsid w:val="00227927"/>
    <w:rsid w:val="00230020"/>
    <w:rsid w:val="00230A47"/>
    <w:rsid w:val="00230CCE"/>
    <w:rsid w:val="00233B39"/>
    <w:rsid w:val="00234A93"/>
    <w:rsid w:val="00234E0F"/>
    <w:rsid w:val="00235F35"/>
    <w:rsid w:val="00236343"/>
    <w:rsid w:val="00236603"/>
    <w:rsid w:val="002376DA"/>
    <w:rsid w:val="00237D88"/>
    <w:rsid w:val="00240090"/>
    <w:rsid w:val="0024045B"/>
    <w:rsid w:val="00243A82"/>
    <w:rsid w:val="00243B3F"/>
    <w:rsid w:val="00244129"/>
    <w:rsid w:val="00244615"/>
    <w:rsid w:val="00244B49"/>
    <w:rsid w:val="002454A7"/>
    <w:rsid w:val="00246F2E"/>
    <w:rsid w:val="002471BC"/>
    <w:rsid w:val="00247DD9"/>
    <w:rsid w:val="0025153A"/>
    <w:rsid w:val="00251748"/>
    <w:rsid w:val="00253CBC"/>
    <w:rsid w:val="00254E96"/>
    <w:rsid w:val="00254FC4"/>
    <w:rsid w:val="00255808"/>
    <w:rsid w:val="00255BAE"/>
    <w:rsid w:val="00255FD1"/>
    <w:rsid w:val="00256493"/>
    <w:rsid w:val="00257A74"/>
    <w:rsid w:val="00257DF7"/>
    <w:rsid w:val="00260202"/>
    <w:rsid w:val="0026034B"/>
    <w:rsid w:val="00261558"/>
    <w:rsid w:val="002619AA"/>
    <w:rsid w:val="00261DEA"/>
    <w:rsid w:val="00263338"/>
    <w:rsid w:val="002633C2"/>
    <w:rsid w:val="00263941"/>
    <w:rsid w:val="002639ED"/>
    <w:rsid w:val="00263A4C"/>
    <w:rsid w:val="00263E9A"/>
    <w:rsid w:val="00264185"/>
    <w:rsid w:val="00264382"/>
    <w:rsid w:val="0026736E"/>
    <w:rsid w:val="00267381"/>
    <w:rsid w:val="002705E9"/>
    <w:rsid w:val="0027087D"/>
    <w:rsid w:val="002716A1"/>
    <w:rsid w:val="002719C7"/>
    <w:rsid w:val="00273B42"/>
    <w:rsid w:val="00274046"/>
    <w:rsid w:val="002742DE"/>
    <w:rsid w:val="00274569"/>
    <w:rsid w:val="00275CEE"/>
    <w:rsid w:val="002760CE"/>
    <w:rsid w:val="0027627C"/>
    <w:rsid w:val="0027627E"/>
    <w:rsid w:val="00276BA3"/>
    <w:rsid w:val="00277562"/>
    <w:rsid w:val="00280088"/>
    <w:rsid w:val="00280545"/>
    <w:rsid w:val="00280AC5"/>
    <w:rsid w:val="002811BD"/>
    <w:rsid w:val="00281BB4"/>
    <w:rsid w:val="00281F27"/>
    <w:rsid w:val="00282DD0"/>
    <w:rsid w:val="002840ED"/>
    <w:rsid w:val="0028418D"/>
    <w:rsid w:val="002845DF"/>
    <w:rsid w:val="00284895"/>
    <w:rsid w:val="00285A38"/>
    <w:rsid w:val="00287FEC"/>
    <w:rsid w:val="00290358"/>
    <w:rsid w:val="00291044"/>
    <w:rsid w:val="00291BB4"/>
    <w:rsid w:val="002930F0"/>
    <w:rsid w:val="0029505C"/>
    <w:rsid w:val="00296310"/>
    <w:rsid w:val="002964AF"/>
    <w:rsid w:val="00296534"/>
    <w:rsid w:val="00296CCC"/>
    <w:rsid w:val="00297649"/>
    <w:rsid w:val="002A164C"/>
    <w:rsid w:val="002A24C8"/>
    <w:rsid w:val="002A2D6F"/>
    <w:rsid w:val="002A32B3"/>
    <w:rsid w:val="002A337C"/>
    <w:rsid w:val="002A3D55"/>
    <w:rsid w:val="002A4582"/>
    <w:rsid w:val="002A51A2"/>
    <w:rsid w:val="002A59CE"/>
    <w:rsid w:val="002B0DCE"/>
    <w:rsid w:val="002B1394"/>
    <w:rsid w:val="002B17C4"/>
    <w:rsid w:val="002B1BEF"/>
    <w:rsid w:val="002B22FD"/>
    <w:rsid w:val="002B32EA"/>
    <w:rsid w:val="002B48D3"/>
    <w:rsid w:val="002B500C"/>
    <w:rsid w:val="002B5967"/>
    <w:rsid w:val="002B5B91"/>
    <w:rsid w:val="002B5FE1"/>
    <w:rsid w:val="002B60B5"/>
    <w:rsid w:val="002B63C5"/>
    <w:rsid w:val="002B678C"/>
    <w:rsid w:val="002B7BC3"/>
    <w:rsid w:val="002C14F7"/>
    <w:rsid w:val="002C1B56"/>
    <w:rsid w:val="002C2165"/>
    <w:rsid w:val="002C3BC6"/>
    <w:rsid w:val="002C3E21"/>
    <w:rsid w:val="002C4E4D"/>
    <w:rsid w:val="002C5999"/>
    <w:rsid w:val="002C5CAC"/>
    <w:rsid w:val="002C5F66"/>
    <w:rsid w:val="002C67AE"/>
    <w:rsid w:val="002C7B42"/>
    <w:rsid w:val="002D0628"/>
    <w:rsid w:val="002D07D4"/>
    <w:rsid w:val="002D0A2A"/>
    <w:rsid w:val="002D1653"/>
    <w:rsid w:val="002D1B62"/>
    <w:rsid w:val="002D233F"/>
    <w:rsid w:val="002D4058"/>
    <w:rsid w:val="002D4520"/>
    <w:rsid w:val="002D4550"/>
    <w:rsid w:val="002D4F28"/>
    <w:rsid w:val="002D69CA"/>
    <w:rsid w:val="002D7EC2"/>
    <w:rsid w:val="002E001B"/>
    <w:rsid w:val="002E06AC"/>
    <w:rsid w:val="002E14D6"/>
    <w:rsid w:val="002E1C35"/>
    <w:rsid w:val="002E1D1C"/>
    <w:rsid w:val="002E29EB"/>
    <w:rsid w:val="002E34AD"/>
    <w:rsid w:val="002E38EA"/>
    <w:rsid w:val="002E3C24"/>
    <w:rsid w:val="002E4E16"/>
    <w:rsid w:val="002E6750"/>
    <w:rsid w:val="002E6C6B"/>
    <w:rsid w:val="002E7AB9"/>
    <w:rsid w:val="002F0184"/>
    <w:rsid w:val="002F058B"/>
    <w:rsid w:val="002F115C"/>
    <w:rsid w:val="002F12B6"/>
    <w:rsid w:val="002F15D6"/>
    <w:rsid w:val="002F1A00"/>
    <w:rsid w:val="002F2A28"/>
    <w:rsid w:val="002F2AA6"/>
    <w:rsid w:val="002F2F0E"/>
    <w:rsid w:val="002F2FB8"/>
    <w:rsid w:val="002F3A7F"/>
    <w:rsid w:val="002F41DB"/>
    <w:rsid w:val="002F5398"/>
    <w:rsid w:val="002F63B8"/>
    <w:rsid w:val="002F6AE1"/>
    <w:rsid w:val="002F7402"/>
    <w:rsid w:val="002F7651"/>
    <w:rsid w:val="002F76F1"/>
    <w:rsid w:val="002F7985"/>
    <w:rsid w:val="002F7F70"/>
    <w:rsid w:val="00300220"/>
    <w:rsid w:val="00300373"/>
    <w:rsid w:val="0030062D"/>
    <w:rsid w:val="003006A5"/>
    <w:rsid w:val="00300CF1"/>
    <w:rsid w:val="00301669"/>
    <w:rsid w:val="003018AA"/>
    <w:rsid w:val="00301FDD"/>
    <w:rsid w:val="0030285A"/>
    <w:rsid w:val="00302F6F"/>
    <w:rsid w:val="0030311A"/>
    <w:rsid w:val="00303C95"/>
    <w:rsid w:val="00304A3D"/>
    <w:rsid w:val="00306428"/>
    <w:rsid w:val="00306792"/>
    <w:rsid w:val="00306E03"/>
    <w:rsid w:val="00306EB9"/>
    <w:rsid w:val="00307533"/>
    <w:rsid w:val="00307C2A"/>
    <w:rsid w:val="00307FBC"/>
    <w:rsid w:val="0031127D"/>
    <w:rsid w:val="00311B2D"/>
    <w:rsid w:val="003120BA"/>
    <w:rsid w:val="003123C7"/>
    <w:rsid w:val="003125C2"/>
    <w:rsid w:val="00312D7F"/>
    <w:rsid w:val="00312D94"/>
    <w:rsid w:val="00313082"/>
    <w:rsid w:val="0031498E"/>
    <w:rsid w:val="0031656D"/>
    <w:rsid w:val="003169AC"/>
    <w:rsid w:val="00316FB2"/>
    <w:rsid w:val="003170B3"/>
    <w:rsid w:val="00320721"/>
    <w:rsid w:val="00320F53"/>
    <w:rsid w:val="003211FC"/>
    <w:rsid w:val="00321E7D"/>
    <w:rsid w:val="00323B32"/>
    <w:rsid w:val="00323BEB"/>
    <w:rsid w:val="0032403E"/>
    <w:rsid w:val="0032420B"/>
    <w:rsid w:val="003249BA"/>
    <w:rsid w:val="00324B14"/>
    <w:rsid w:val="003262DC"/>
    <w:rsid w:val="003268B2"/>
    <w:rsid w:val="003268DD"/>
    <w:rsid w:val="00326D2A"/>
    <w:rsid w:val="00327371"/>
    <w:rsid w:val="00327CC5"/>
    <w:rsid w:val="00327D80"/>
    <w:rsid w:val="00332265"/>
    <w:rsid w:val="003325C4"/>
    <w:rsid w:val="00332C65"/>
    <w:rsid w:val="00335020"/>
    <w:rsid w:val="00335A01"/>
    <w:rsid w:val="0034050C"/>
    <w:rsid w:val="00340F98"/>
    <w:rsid w:val="003424D0"/>
    <w:rsid w:val="00342537"/>
    <w:rsid w:val="0034297E"/>
    <w:rsid w:val="00342E36"/>
    <w:rsid w:val="0034318C"/>
    <w:rsid w:val="003439AE"/>
    <w:rsid w:val="003439C3"/>
    <w:rsid w:val="00343B33"/>
    <w:rsid w:val="00344010"/>
    <w:rsid w:val="0034565F"/>
    <w:rsid w:val="00346131"/>
    <w:rsid w:val="003462AD"/>
    <w:rsid w:val="003466C8"/>
    <w:rsid w:val="00346B00"/>
    <w:rsid w:val="00347620"/>
    <w:rsid w:val="00350556"/>
    <w:rsid w:val="00351A42"/>
    <w:rsid w:val="00352134"/>
    <w:rsid w:val="003530AA"/>
    <w:rsid w:val="00354139"/>
    <w:rsid w:val="003543AA"/>
    <w:rsid w:val="0035442A"/>
    <w:rsid w:val="003555DA"/>
    <w:rsid w:val="003560BB"/>
    <w:rsid w:val="003562ED"/>
    <w:rsid w:val="00356C69"/>
    <w:rsid w:val="0035763D"/>
    <w:rsid w:val="00360E3A"/>
    <w:rsid w:val="00361A3D"/>
    <w:rsid w:val="00361D73"/>
    <w:rsid w:val="003625E3"/>
    <w:rsid w:val="0036272A"/>
    <w:rsid w:val="003636C8"/>
    <w:rsid w:val="00363D8F"/>
    <w:rsid w:val="00364EA8"/>
    <w:rsid w:val="003654B7"/>
    <w:rsid w:val="00365529"/>
    <w:rsid w:val="00366246"/>
    <w:rsid w:val="0036734E"/>
    <w:rsid w:val="00367536"/>
    <w:rsid w:val="00367E39"/>
    <w:rsid w:val="003700B8"/>
    <w:rsid w:val="0037057F"/>
    <w:rsid w:val="003706DC"/>
    <w:rsid w:val="00371074"/>
    <w:rsid w:val="00371EF7"/>
    <w:rsid w:val="0037285A"/>
    <w:rsid w:val="00373D49"/>
    <w:rsid w:val="003745A9"/>
    <w:rsid w:val="0037548F"/>
    <w:rsid w:val="00375E83"/>
    <w:rsid w:val="0037750A"/>
    <w:rsid w:val="00377AC1"/>
    <w:rsid w:val="0038012F"/>
    <w:rsid w:val="00380133"/>
    <w:rsid w:val="00380D43"/>
    <w:rsid w:val="00380DBB"/>
    <w:rsid w:val="003815B9"/>
    <w:rsid w:val="00382056"/>
    <w:rsid w:val="0038219C"/>
    <w:rsid w:val="003821A0"/>
    <w:rsid w:val="00382553"/>
    <w:rsid w:val="003829C4"/>
    <w:rsid w:val="00383821"/>
    <w:rsid w:val="003843AE"/>
    <w:rsid w:val="0038485B"/>
    <w:rsid w:val="0038554E"/>
    <w:rsid w:val="0038562E"/>
    <w:rsid w:val="003860A1"/>
    <w:rsid w:val="0039171E"/>
    <w:rsid w:val="00392233"/>
    <w:rsid w:val="00392881"/>
    <w:rsid w:val="00393024"/>
    <w:rsid w:val="0039347B"/>
    <w:rsid w:val="003935B1"/>
    <w:rsid w:val="00393A38"/>
    <w:rsid w:val="0039457E"/>
    <w:rsid w:val="0039483F"/>
    <w:rsid w:val="00394CF6"/>
    <w:rsid w:val="003962C2"/>
    <w:rsid w:val="003964A5"/>
    <w:rsid w:val="003A1B65"/>
    <w:rsid w:val="003A4397"/>
    <w:rsid w:val="003A4A11"/>
    <w:rsid w:val="003A5499"/>
    <w:rsid w:val="003A55DD"/>
    <w:rsid w:val="003A7A6A"/>
    <w:rsid w:val="003A7C78"/>
    <w:rsid w:val="003B02BF"/>
    <w:rsid w:val="003B2A35"/>
    <w:rsid w:val="003B407B"/>
    <w:rsid w:val="003B4092"/>
    <w:rsid w:val="003B44FF"/>
    <w:rsid w:val="003B4856"/>
    <w:rsid w:val="003B49D6"/>
    <w:rsid w:val="003B4E56"/>
    <w:rsid w:val="003B566F"/>
    <w:rsid w:val="003B5801"/>
    <w:rsid w:val="003B6392"/>
    <w:rsid w:val="003B6419"/>
    <w:rsid w:val="003B6B65"/>
    <w:rsid w:val="003B7D0A"/>
    <w:rsid w:val="003C0068"/>
    <w:rsid w:val="003C0950"/>
    <w:rsid w:val="003C1EAE"/>
    <w:rsid w:val="003C2351"/>
    <w:rsid w:val="003C2A6A"/>
    <w:rsid w:val="003C2AC7"/>
    <w:rsid w:val="003C4DD7"/>
    <w:rsid w:val="003C4FB2"/>
    <w:rsid w:val="003C6691"/>
    <w:rsid w:val="003C71D3"/>
    <w:rsid w:val="003C78C4"/>
    <w:rsid w:val="003C78D6"/>
    <w:rsid w:val="003C7B75"/>
    <w:rsid w:val="003C7E98"/>
    <w:rsid w:val="003D0A6A"/>
    <w:rsid w:val="003D0BAC"/>
    <w:rsid w:val="003D16F4"/>
    <w:rsid w:val="003D28D8"/>
    <w:rsid w:val="003D30E4"/>
    <w:rsid w:val="003D369C"/>
    <w:rsid w:val="003D42C2"/>
    <w:rsid w:val="003D567C"/>
    <w:rsid w:val="003D5C97"/>
    <w:rsid w:val="003D6D0B"/>
    <w:rsid w:val="003D6EAF"/>
    <w:rsid w:val="003D718E"/>
    <w:rsid w:val="003D7849"/>
    <w:rsid w:val="003D79CF"/>
    <w:rsid w:val="003E0773"/>
    <w:rsid w:val="003E16A0"/>
    <w:rsid w:val="003E278F"/>
    <w:rsid w:val="003E2959"/>
    <w:rsid w:val="003E2B13"/>
    <w:rsid w:val="003E3103"/>
    <w:rsid w:val="003E3366"/>
    <w:rsid w:val="003E4220"/>
    <w:rsid w:val="003E433F"/>
    <w:rsid w:val="003E5DBF"/>
    <w:rsid w:val="003E72EF"/>
    <w:rsid w:val="003F0775"/>
    <w:rsid w:val="003F0FB8"/>
    <w:rsid w:val="003F224C"/>
    <w:rsid w:val="003F2FEA"/>
    <w:rsid w:val="003F39A1"/>
    <w:rsid w:val="003F4826"/>
    <w:rsid w:val="003F5251"/>
    <w:rsid w:val="003F5596"/>
    <w:rsid w:val="003F58F1"/>
    <w:rsid w:val="003F6358"/>
    <w:rsid w:val="003F7280"/>
    <w:rsid w:val="003F7DFC"/>
    <w:rsid w:val="0040031B"/>
    <w:rsid w:val="00400BF8"/>
    <w:rsid w:val="0040104B"/>
    <w:rsid w:val="00401D85"/>
    <w:rsid w:val="0040227F"/>
    <w:rsid w:val="0040253C"/>
    <w:rsid w:val="00402A0D"/>
    <w:rsid w:val="00403488"/>
    <w:rsid w:val="004056E9"/>
    <w:rsid w:val="00406A72"/>
    <w:rsid w:val="00406CFF"/>
    <w:rsid w:val="00407054"/>
    <w:rsid w:val="00407FCC"/>
    <w:rsid w:val="00410651"/>
    <w:rsid w:val="004123FA"/>
    <w:rsid w:val="00412604"/>
    <w:rsid w:val="004126CC"/>
    <w:rsid w:val="00412863"/>
    <w:rsid w:val="0041334A"/>
    <w:rsid w:val="004137F8"/>
    <w:rsid w:val="00414684"/>
    <w:rsid w:val="00417EDE"/>
    <w:rsid w:val="00420C90"/>
    <w:rsid w:val="00420D14"/>
    <w:rsid w:val="00422235"/>
    <w:rsid w:val="00422427"/>
    <w:rsid w:val="0042253F"/>
    <w:rsid w:val="00422DF1"/>
    <w:rsid w:val="0042316E"/>
    <w:rsid w:val="004236D3"/>
    <w:rsid w:val="004241C7"/>
    <w:rsid w:val="00424F10"/>
    <w:rsid w:val="00425984"/>
    <w:rsid w:val="00426344"/>
    <w:rsid w:val="00426944"/>
    <w:rsid w:val="00427872"/>
    <w:rsid w:val="00427B27"/>
    <w:rsid w:val="00430BC4"/>
    <w:rsid w:val="00431DF9"/>
    <w:rsid w:val="00431E1C"/>
    <w:rsid w:val="00432566"/>
    <w:rsid w:val="004339F8"/>
    <w:rsid w:val="00433E4C"/>
    <w:rsid w:val="00435125"/>
    <w:rsid w:val="00435B2B"/>
    <w:rsid w:val="00436698"/>
    <w:rsid w:val="00437363"/>
    <w:rsid w:val="00440C53"/>
    <w:rsid w:val="004427E6"/>
    <w:rsid w:val="004445DC"/>
    <w:rsid w:val="004505E0"/>
    <w:rsid w:val="00450667"/>
    <w:rsid w:val="0045238F"/>
    <w:rsid w:val="004547A5"/>
    <w:rsid w:val="00454D30"/>
    <w:rsid w:val="0045514D"/>
    <w:rsid w:val="004553FA"/>
    <w:rsid w:val="00455571"/>
    <w:rsid w:val="00455AF8"/>
    <w:rsid w:val="00455F26"/>
    <w:rsid w:val="0045648C"/>
    <w:rsid w:val="00456BC0"/>
    <w:rsid w:val="00457310"/>
    <w:rsid w:val="0045795E"/>
    <w:rsid w:val="00457DA6"/>
    <w:rsid w:val="00461042"/>
    <w:rsid w:val="004617BD"/>
    <w:rsid w:val="0046284B"/>
    <w:rsid w:val="00462F03"/>
    <w:rsid w:val="004631B1"/>
    <w:rsid w:val="00464100"/>
    <w:rsid w:val="0046487F"/>
    <w:rsid w:val="004652B4"/>
    <w:rsid w:val="004653A7"/>
    <w:rsid w:val="00465E49"/>
    <w:rsid w:val="004663B9"/>
    <w:rsid w:val="004670AA"/>
    <w:rsid w:val="00467369"/>
    <w:rsid w:val="00467D02"/>
    <w:rsid w:val="00470D11"/>
    <w:rsid w:val="00471D77"/>
    <w:rsid w:val="00471EFE"/>
    <w:rsid w:val="00473970"/>
    <w:rsid w:val="004740BE"/>
    <w:rsid w:val="004746B2"/>
    <w:rsid w:val="00477139"/>
    <w:rsid w:val="00477EE6"/>
    <w:rsid w:val="004804D8"/>
    <w:rsid w:val="0048113E"/>
    <w:rsid w:val="00481378"/>
    <w:rsid w:val="004813C1"/>
    <w:rsid w:val="00481BED"/>
    <w:rsid w:val="0048280A"/>
    <w:rsid w:val="004828A5"/>
    <w:rsid w:val="00482B43"/>
    <w:rsid w:val="0048321E"/>
    <w:rsid w:val="00483789"/>
    <w:rsid w:val="004837FD"/>
    <w:rsid w:val="00483956"/>
    <w:rsid w:val="00483BE7"/>
    <w:rsid w:val="00484251"/>
    <w:rsid w:val="00484A46"/>
    <w:rsid w:val="00485018"/>
    <w:rsid w:val="00485249"/>
    <w:rsid w:val="0048602C"/>
    <w:rsid w:val="00487119"/>
    <w:rsid w:val="00487372"/>
    <w:rsid w:val="00487447"/>
    <w:rsid w:val="00492573"/>
    <w:rsid w:val="00492E0D"/>
    <w:rsid w:val="00492F21"/>
    <w:rsid w:val="0049392F"/>
    <w:rsid w:val="00493E84"/>
    <w:rsid w:val="00494590"/>
    <w:rsid w:val="00494FBE"/>
    <w:rsid w:val="004951BA"/>
    <w:rsid w:val="00496A77"/>
    <w:rsid w:val="00496F2B"/>
    <w:rsid w:val="00497FC2"/>
    <w:rsid w:val="004A0ED8"/>
    <w:rsid w:val="004A0F16"/>
    <w:rsid w:val="004A15E6"/>
    <w:rsid w:val="004A187F"/>
    <w:rsid w:val="004A2A97"/>
    <w:rsid w:val="004A2F00"/>
    <w:rsid w:val="004A440A"/>
    <w:rsid w:val="004A4F5A"/>
    <w:rsid w:val="004A5773"/>
    <w:rsid w:val="004A5A5E"/>
    <w:rsid w:val="004A5DD3"/>
    <w:rsid w:val="004A5DD6"/>
    <w:rsid w:val="004A7C92"/>
    <w:rsid w:val="004B08C9"/>
    <w:rsid w:val="004B1230"/>
    <w:rsid w:val="004B2132"/>
    <w:rsid w:val="004B285A"/>
    <w:rsid w:val="004B4EA0"/>
    <w:rsid w:val="004B5B80"/>
    <w:rsid w:val="004B7074"/>
    <w:rsid w:val="004B7209"/>
    <w:rsid w:val="004C0B12"/>
    <w:rsid w:val="004C0DB1"/>
    <w:rsid w:val="004C1230"/>
    <w:rsid w:val="004C23AF"/>
    <w:rsid w:val="004C2A7D"/>
    <w:rsid w:val="004C318C"/>
    <w:rsid w:val="004C326B"/>
    <w:rsid w:val="004C390A"/>
    <w:rsid w:val="004C3DAC"/>
    <w:rsid w:val="004C3FFB"/>
    <w:rsid w:val="004C5BB0"/>
    <w:rsid w:val="004C698A"/>
    <w:rsid w:val="004C6E7E"/>
    <w:rsid w:val="004C78AA"/>
    <w:rsid w:val="004D0CFD"/>
    <w:rsid w:val="004D0EA3"/>
    <w:rsid w:val="004D142F"/>
    <w:rsid w:val="004D19A0"/>
    <w:rsid w:val="004D1A58"/>
    <w:rsid w:val="004D2043"/>
    <w:rsid w:val="004D213A"/>
    <w:rsid w:val="004D2674"/>
    <w:rsid w:val="004D3794"/>
    <w:rsid w:val="004D405D"/>
    <w:rsid w:val="004D4679"/>
    <w:rsid w:val="004D4BB9"/>
    <w:rsid w:val="004D4C62"/>
    <w:rsid w:val="004D5195"/>
    <w:rsid w:val="004D59D4"/>
    <w:rsid w:val="004D5B28"/>
    <w:rsid w:val="004D6837"/>
    <w:rsid w:val="004D707D"/>
    <w:rsid w:val="004E02A3"/>
    <w:rsid w:val="004E1CF7"/>
    <w:rsid w:val="004E1DBE"/>
    <w:rsid w:val="004E206F"/>
    <w:rsid w:val="004E210A"/>
    <w:rsid w:val="004E233E"/>
    <w:rsid w:val="004E2B1A"/>
    <w:rsid w:val="004E510E"/>
    <w:rsid w:val="004E64E3"/>
    <w:rsid w:val="004E6AA1"/>
    <w:rsid w:val="004E6E78"/>
    <w:rsid w:val="004E7EDD"/>
    <w:rsid w:val="004F0159"/>
    <w:rsid w:val="004F06CE"/>
    <w:rsid w:val="004F0962"/>
    <w:rsid w:val="004F0E25"/>
    <w:rsid w:val="004F0E65"/>
    <w:rsid w:val="004F107A"/>
    <w:rsid w:val="004F159D"/>
    <w:rsid w:val="004F1B37"/>
    <w:rsid w:val="004F3997"/>
    <w:rsid w:val="004F3AE6"/>
    <w:rsid w:val="004F5000"/>
    <w:rsid w:val="004F62B5"/>
    <w:rsid w:val="004F6373"/>
    <w:rsid w:val="004F6A3A"/>
    <w:rsid w:val="004F7206"/>
    <w:rsid w:val="004F7E67"/>
    <w:rsid w:val="004F7EE6"/>
    <w:rsid w:val="00501FEA"/>
    <w:rsid w:val="0050291F"/>
    <w:rsid w:val="0050377D"/>
    <w:rsid w:val="005056D8"/>
    <w:rsid w:val="00505E27"/>
    <w:rsid w:val="00506801"/>
    <w:rsid w:val="00506887"/>
    <w:rsid w:val="0050735E"/>
    <w:rsid w:val="00507643"/>
    <w:rsid w:val="00507A59"/>
    <w:rsid w:val="00510559"/>
    <w:rsid w:val="005109E8"/>
    <w:rsid w:val="00511409"/>
    <w:rsid w:val="00511908"/>
    <w:rsid w:val="005124AB"/>
    <w:rsid w:val="00512849"/>
    <w:rsid w:val="0051304A"/>
    <w:rsid w:val="005132C0"/>
    <w:rsid w:val="00513355"/>
    <w:rsid w:val="00513420"/>
    <w:rsid w:val="00513EF7"/>
    <w:rsid w:val="0051472C"/>
    <w:rsid w:val="005149DF"/>
    <w:rsid w:val="00514AEF"/>
    <w:rsid w:val="005150A4"/>
    <w:rsid w:val="00516225"/>
    <w:rsid w:val="00517244"/>
    <w:rsid w:val="00517908"/>
    <w:rsid w:val="005179FC"/>
    <w:rsid w:val="00517AD7"/>
    <w:rsid w:val="00517E6F"/>
    <w:rsid w:val="005210AA"/>
    <w:rsid w:val="00521845"/>
    <w:rsid w:val="00521866"/>
    <w:rsid w:val="00521C4F"/>
    <w:rsid w:val="00522C25"/>
    <w:rsid w:val="00522F1C"/>
    <w:rsid w:val="00523320"/>
    <w:rsid w:val="00523905"/>
    <w:rsid w:val="005250C9"/>
    <w:rsid w:val="00525161"/>
    <w:rsid w:val="00525C89"/>
    <w:rsid w:val="00526503"/>
    <w:rsid w:val="00526526"/>
    <w:rsid w:val="00527551"/>
    <w:rsid w:val="00530046"/>
    <w:rsid w:val="00531918"/>
    <w:rsid w:val="00532FD6"/>
    <w:rsid w:val="005334CE"/>
    <w:rsid w:val="0053497E"/>
    <w:rsid w:val="00535AB4"/>
    <w:rsid w:val="005369B3"/>
    <w:rsid w:val="00537AB1"/>
    <w:rsid w:val="005421F8"/>
    <w:rsid w:val="00542786"/>
    <w:rsid w:val="00542D3C"/>
    <w:rsid w:val="00542FFA"/>
    <w:rsid w:val="00543025"/>
    <w:rsid w:val="00543262"/>
    <w:rsid w:val="00543681"/>
    <w:rsid w:val="00544309"/>
    <w:rsid w:val="005445F8"/>
    <w:rsid w:val="00544983"/>
    <w:rsid w:val="00546084"/>
    <w:rsid w:val="005461A1"/>
    <w:rsid w:val="00547BA5"/>
    <w:rsid w:val="00550201"/>
    <w:rsid w:val="005514F5"/>
    <w:rsid w:val="00551C9C"/>
    <w:rsid w:val="00552C66"/>
    <w:rsid w:val="00554298"/>
    <w:rsid w:val="00554612"/>
    <w:rsid w:val="0055462F"/>
    <w:rsid w:val="00556E8C"/>
    <w:rsid w:val="00557378"/>
    <w:rsid w:val="00557466"/>
    <w:rsid w:val="00557D69"/>
    <w:rsid w:val="0056145D"/>
    <w:rsid w:val="00561B8F"/>
    <w:rsid w:val="005623B2"/>
    <w:rsid w:val="00562A40"/>
    <w:rsid w:val="00564F4D"/>
    <w:rsid w:val="00565F27"/>
    <w:rsid w:val="00570F83"/>
    <w:rsid w:val="00571C46"/>
    <w:rsid w:val="00571D5D"/>
    <w:rsid w:val="0057286A"/>
    <w:rsid w:val="00572921"/>
    <w:rsid w:val="00573338"/>
    <w:rsid w:val="00576527"/>
    <w:rsid w:val="005766FD"/>
    <w:rsid w:val="00576B0F"/>
    <w:rsid w:val="00576D6B"/>
    <w:rsid w:val="00577CF5"/>
    <w:rsid w:val="005800B6"/>
    <w:rsid w:val="00580AB3"/>
    <w:rsid w:val="00580E01"/>
    <w:rsid w:val="005814E6"/>
    <w:rsid w:val="00581DC7"/>
    <w:rsid w:val="0058294C"/>
    <w:rsid w:val="005841E0"/>
    <w:rsid w:val="005856A8"/>
    <w:rsid w:val="005862DB"/>
    <w:rsid w:val="00590A53"/>
    <w:rsid w:val="00591A91"/>
    <w:rsid w:val="005928DE"/>
    <w:rsid w:val="005931FF"/>
    <w:rsid w:val="00593FAF"/>
    <w:rsid w:val="005946DA"/>
    <w:rsid w:val="00594B84"/>
    <w:rsid w:val="00595132"/>
    <w:rsid w:val="005956E2"/>
    <w:rsid w:val="00595E48"/>
    <w:rsid w:val="0059744A"/>
    <w:rsid w:val="00597662"/>
    <w:rsid w:val="00597D10"/>
    <w:rsid w:val="005A2303"/>
    <w:rsid w:val="005A25BF"/>
    <w:rsid w:val="005A2A70"/>
    <w:rsid w:val="005A2CAE"/>
    <w:rsid w:val="005A3561"/>
    <w:rsid w:val="005A3971"/>
    <w:rsid w:val="005A4280"/>
    <w:rsid w:val="005A4649"/>
    <w:rsid w:val="005A71EE"/>
    <w:rsid w:val="005A75C5"/>
    <w:rsid w:val="005A7EF6"/>
    <w:rsid w:val="005B0783"/>
    <w:rsid w:val="005B0E14"/>
    <w:rsid w:val="005B11AA"/>
    <w:rsid w:val="005B1561"/>
    <w:rsid w:val="005B2759"/>
    <w:rsid w:val="005B2EFD"/>
    <w:rsid w:val="005B3016"/>
    <w:rsid w:val="005B4CB5"/>
    <w:rsid w:val="005B5C88"/>
    <w:rsid w:val="005B6A23"/>
    <w:rsid w:val="005B7704"/>
    <w:rsid w:val="005B7942"/>
    <w:rsid w:val="005B7EC1"/>
    <w:rsid w:val="005C06C2"/>
    <w:rsid w:val="005C188C"/>
    <w:rsid w:val="005C1DE7"/>
    <w:rsid w:val="005C3E58"/>
    <w:rsid w:val="005C474A"/>
    <w:rsid w:val="005C57A3"/>
    <w:rsid w:val="005C7410"/>
    <w:rsid w:val="005C79C6"/>
    <w:rsid w:val="005D15F8"/>
    <w:rsid w:val="005D2A76"/>
    <w:rsid w:val="005D3914"/>
    <w:rsid w:val="005D3917"/>
    <w:rsid w:val="005D3A1C"/>
    <w:rsid w:val="005D40DD"/>
    <w:rsid w:val="005D4185"/>
    <w:rsid w:val="005D41B3"/>
    <w:rsid w:val="005D50F8"/>
    <w:rsid w:val="005D5939"/>
    <w:rsid w:val="005D6065"/>
    <w:rsid w:val="005D6D35"/>
    <w:rsid w:val="005D725C"/>
    <w:rsid w:val="005D7396"/>
    <w:rsid w:val="005D7AF4"/>
    <w:rsid w:val="005D7B5F"/>
    <w:rsid w:val="005E0147"/>
    <w:rsid w:val="005E0420"/>
    <w:rsid w:val="005E11F6"/>
    <w:rsid w:val="005E25C7"/>
    <w:rsid w:val="005E30D1"/>
    <w:rsid w:val="005E3D77"/>
    <w:rsid w:val="005E42AC"/>
    <w:rsid w:val="005E626A"/>
    <w:rsid w:val="005E7293"/>
    <w:rsid w:val="005E7DB4"/>
    <w:rsid w:val="005F045A"/>
    <w:rsid w:val="005F11A1"/>
    <w:rsid w:val="005F138F"/>
    <w:rsid w:val="005F1404"/>
    <w:rsid w:val="005F1C71"/>
    <w:rsid w:val="005F2607"/>
    <w:rsid w:val="005F3B9B"/>
    <w:rsid w:val="005F619A"/>
    <w:rsid w:val="005F6474"/>
    <w:rsid w:val="005F6DC4"/>
    <w:rsid w:val="005F7A67"/>
    <w:rsid w:val="005F7B9E"/>
    <w:rsid w:val="0060023C"/>
    <w:rsid w:val="00601048"/>
    <w:rsid w:val="0060124E"/>
    <w:rsid w:val="00601380"/>
    <w:rsid w:val="0060320C"/>
    <w:rsid w:val="006039A1"/>
    <w:rsid w:val="00604BEF"/>
    <w:rsid w:val="00604D2D"/>
    <w:rsid w:val="0060542F"/>
    <w:rsid w:val="00605D0B"/>
    <w:rsid w:val="0060631B"/>
    <w:rsid w:val="00606DCB"/>
    <w:rsid w:val="006072F4"/>
    <w:rsid w:val="00607320"/>
    <w:rsid w:val="00610A19"/>
    <w:rsid w:val="00611106"/>
    <w:rsid w:val="00611781"/>
    <w:rsid w:val="006117B2"/>
    <w:rsid w:val="00611C5C"/>
    <w:rsid w:val="00612B4B"/>
    <w:rsid w:val="0061346F"/>
    <w:rsid w:val="00613883"/>
    <w:rsid w:val="0061397C"/>
    <w:rsid w:val="00613EAB"/>
    <w:rsid w:val="00615954"/>
    <w:rsid w:val="00615B33"/>
    <w:rsid w:val="006170E1"/>
    <w:rsid w:val="006171DC"/>
    <w:rsid w:val="00620007"/>
    <w:rsid w:val="00620AE4"/>
    <w:rsid w:val="00620E4A"/>
    <w:rsid w:val="00621492"/>
    <w:rsid w:val="006230E8"/>
    <w:rsid w:val="00623941"/>
    <w:rsid w:val="006241B0"/>
    <w:rsid w:val="00624310"/>
    <w:rsid w:val="0062479B"/>
    <w:rsid w:val="006247D0"/>
    <w:rsid w:val="0062652D"/>
    <w:rsid w:val="00626A6C"/>
    <w:rsid w:val="006306AF"/>
    <w:rsid w:val="00630F61"/>
    <w:rsid w:val="0063155B"/>
    <w:rsid w:val="00631AEA"/>
    <w:rsid w:val="00631DC9"/>
    <w:rsid w:val="0063305A"/>
    <w:rsid w:val="00633C38"/>
    <w:rsid w:val="00635075"/>
    <w:rsid w:val="006355E8"/>
    <w:rsid w:val="00636661"/>
    <w:rsid w:val="006371E1"/>
    <w:rsid w:val="006375A3"/>
    <w:rsid w:val="006378FA"/>
    <w:rsid w:val="00640DB5"/>
    <w:rsid w:val="00641242"/>
    <w:rsid w:val="0064133E"/>
    <w:rsid w:val="00641951"/>
    <w:rsid w:val="006423F3"/>
    <w:rsid w:val="00642EDF"/>
    <w:rsid w:val="006430DC"/>
    <w:rsid w:val="00643B0A"/>
    <w:rsid w:val="00643E62"/>
    <w:rsid w:val="00644C7D"/>
    <w:rsid w:val="006455F4"/>
    <w:rsid w:val="006460D7"/>
    <w:rsid w:val="006507FB"/>
    <w:rsid w:val="00651257"/>
    <w:rsid w:val="0065209F"/>
    <w:rsid w:val="00652FFD"/>
    <w:rsid w:val="00654923"/>
    <w:rsid w:val="00655B02"/>
    <w:rsid w:val="006560B5"/>
    <w:rsid w:val="0065622E"/>
    <w:rsid w:val="00656339"/>
    <w:rsid w:val="006571E9"/>
    <w:rsid w:val="00657430"/>
    <w:rsid w:val="00660DBF"/>
    <w:rsid w:val="00661366"/>
    <w:rsid w:val="006621F0"/>
    <w:rsid w:val="00662CFB"/>
    <w:rsid w:val="00663385"/>
    <w:rsid w:val="00664366"/>
    <w:rsid w:val="006653E3"/>
    <w:rsid w:val="00665EA1"/>
    <w:rsid w:val="00666C43"/>
    <w:rsid w:val="00666EB2"/>
    <w:rsid w:val="0066737F"/>
    <w:rsid w:val="006701FD"/>
    <w:rsid w:val="0067178A"/>
    <w:rsid w:val="006722AB"/>
    <w:rsid w:val="006731CD"/>
    <w:rsid w:val="00673992"/>
    <w:rsid w:val="006743B4"/>
    <w:rsid w:val="00674453"/>
    <w:rsid w:val="00676EE1"/>
    <w:rsid w:val="00676FE2"/>
    <w:rsid w:val="0067725B"/>
    <w:rsid w:val="00677CDF"/>
    <w:rsid w:val="0068014F"/>
    <w:rsid w:val="00680298"/>
    <w:rsid w:val="00680474"/>
    <w:rsid w:val="00680A5F"/>
    <w:rsid w:val="00681310"/>
    <w:rsid w:val="0068133F"/>
    <w:rsid w:val="006818B7"/>
    <w:rsid w:val="00682E52"/>
    <w:rsid w:val="00683465"/>
    <w:rsid w:val="0068447D"/>
    <w:rsid w:val="00685709"/>
    <w:rsid w:val="00685D55"/>
    <w:rsid w:val="00686BF4"/>
    <w:rsid w:val="00686C4A"/>
    <w:rsid w:val="00687791"/>
    <w:rsid w:val="00687DBA"/>
    <w:rsid w:val="006901A2"/>
    <w:rsid w:val="0069035D"/>
    <w:rsid w:val="0069185B"/>
    <w:rsid w:val="00691C9F"/>
    <w:rsid w:val="00691F9C"/>
    <w:rsid w:val="00692263"/>
    <w:rsid w:val="0069252A"/>
    <w:rsid w:val="006932EA"/>
    <w:rsid w:val="00693996"/>
    <w:rsid w:val="00694409"/>
    <w:rsid w:val="00694ADD"/>
    <w:rsid w:val="00694B3E"/>
    <w:rsid w:val="00694D23"/>
    <w:rsid w:val="006A0AEE"/>
    <w:rsid w:val="006A1AD7"/>
    <w:rsid w:val="006A1C5D"/>
    <w:rsid w:val="006A20AB"/>
    <w:rsid w:val="006A2562"/>
    <w:rsid w:val="006A317D"/>
    <w:rsid w:val="006A33E4"/>
    <w:rsid w:val="006A3FC3"/>
    <w:rsid w:val="006A4CF9"/>
    <w:rsid w:val="006A50B8"/>
    <w:rsid w:val="006A5BC9"/>
    <w:rsid w:val="006A6FCF"/>
    <w:rsid w:val="006A7B5E"/>
    <w:rsid w:val="006B0066"/>
    <w:rsid w:val="006B08D0"/>
    <w:rsid w:val="006B095B"/>
    <w:rsid w:val="006B13E9"/>
    <w:rsid w:val="006B19BF"/>
    <w:rsid w:val="006B203F"/>
    <w:rsid w:val="006B28B5"/>
    <w:rsid w:val="006B36F6"/>
    <w:rsid w:val="006B3B4A"/>
    <w:rsid w:val="006B3E4F"/>
    <w:rsid w:val="006B408C"/>
    <w:rsid w:val="006B49E4"/>
    <w:rsid w:val="006B4E85"/>
    <w:rsid w:val="006B5728"/>
    <w:rsid w:val="006B6BED"/>
    <w:rsid w:val="006B71AF"/>
    <w:rsid w:val="006C0604"/>
    <w:rsid w:val="006C07C6"/>
    <w:rsid w:val="006C0EB5"/>
    <w:rsid w:val="006C2959"/>
    <w:rsid w:val="006C2A25"/>
    <w:rsid w:val="006C32DA"/>
    <w:rsid w:val="006C4118"/>
    <w:rsid w:val="006C4A3B"/>
    <w:rsid w:val="006C4C5B"/>
    <w:rsid w:val="006C5BF6"/>
    <w:rsid w:val="006C61A5"/>
    <w:rsid w:val="006C6314"/>
    <w:rsid w:val="006C67E7"/>
    <w:rsid w:val="006C77AD"/>
    <w:rsid w:val="006D0228"/>
    <w:rsid w:val="006D0917"/>
    <w:rsid w:val="006D0AEE"/>
    <w:rsid w:val="006D0CBD"/>
    <w:rsid w:val="006D14D0"/>
    <w:rsid w:val="006D1981"/>
    <w:rsid w:val="006D1A76"/>
    <w:rsid w:val="006D1C0D"/>
    <w:rsid w:val="006D26F3"/>
    <w:rsid w:val="006D2830"/>
    <w:rsid w:val="006D40C9"/>
    <w:rsid w:val="006D41E5"/>
    <w:rsid w:val="006D426E"/>
    <w:rsid w:val="006D42AA"/>
    <w:rsid w:val="006D4903"/>
    <w:rsid w:val="006D4A37"/>
    <w:rsid w:val="006D5398"/>
    <w:rsid w:val="006D5C51"/>
    <w:rsid w:val="006D659F"/>
    <w:rsid w:val="006D65F5"/>
    <w:rsid w:val="006D669C"/>
    <w:rsid w:val="006D679F"/>
    <w:rsid w:val="006D6C6C"/>
    <w:rsid w:val="006D6FAD"/>
    <w:rsid w:val="006D707E"/>
    <w:rsid w:val="006D74D8"/>
    <w:rsid w:val="006D7B43"/>
    <w:rsid w:val="006D7BA0"/>
    <w:rsid w:val="006E190F"/>
    <w:rsid w:val="006E24BE"/>
    <w:rsid w:val="006E2E04"/>
    <w:rsid w:val="006E420C"/>
    <w:rsid w:val="006E4CB8"/>
    <w:rsid w:val="006E4D97"/>
    <w:rsid w:val="006E5731"/>
    <w:rsid w:val="006E6217"/>
    <w:rsid w:val="006E6234"/>
    <w:rsid w:val="006E793C"/>
    <w:rsid w:val="006F00A3"/>
    <w:rsid w:val="006F060E"/>
    <w:rsid w:val="006F0A12"/>
    <w:rsid w:val="006F0F1F"/>
    <w:rsid w:val="006F129B"/>
    <w:rsid w:val="006F27AE"/>
    <w:rsid w:val="006F32F4"/>
    <w:rsid w:val="006F4E04"/>
    <w:rsid w:val="006F5493"/>
    <w:rsid w:val="006F59DC"/>
    <w:rsid w:val="006F610E"/>
    <w:rsid w:val="006F656D"/>
    <w:rsid w:val="006F7CB3"/>
    <w:rsid w:val="0070035A"/>
    <w:rsid w:val="00701F35"/>
    <w:rsid w:val="00703B22"/>
    <w:rsid w:val="00706808"/>
    <w:rsid w:val="00710E84"/>
    <w:rsid w:val="007113B6"/>
    <w:rsid w:val="00712012"/>
    <w:rsid w:val="007125D1"/>
    <w:rsid w:val="00714FCD"/>
    <w:rsid w:val="00715208"/>
    <w:rsid w:val="00716A59"/>
    <w:rsid w:val="007210A4"/>
    <w:rsid w:val="00722700"/>
    <w:rsid w:val="00722AED"/>
    <w:rsid w:val="00724CD3"/>
    <w:rsid w:val="0072516E"/>
    <w:rsid w:val="00726D25"/>
    <w:rsid w:val="0072725A"/>
    <w:rsid w:val="007318F7"/>
    <w:rsid w:val="00731992"/>
    <w:rsid w:val="0073367B"/>
    <w:rsid w:val="0073393D"/>
    <w:rsid w:val="00733A8F"/>
    <w:rsid w:val="007342B0"/>
    <w:rsid w:val="0073630F"/>
    <w:rsid w:val="0073698B"/>
    <w:rsid w:val="00736F23"/>
    <w:rsid w:val="007372B9"/>
    <w:rsid w:val="00737CEC"/>
    <w:rsid w:val="007407E3"/>
    <w:rsid w:val="00740C00"/>
    <w:rsid w:val="00740FC2"/>
    <w:rsid w:val="007414EC"/>
    <w:rsid w:val="00741D7E"/>
    <w:rsid w:val="00741EA0"/>
    <w:rsid w:val="00742C1D"/>
    <w:rsid w:val="00742CCA"/>
    <w:rsid w:val="00743A58"/>
    <w:rsid w:val="00743DEC"/>
    <w:rsid w:val="00744104"/>
    <w:rsid w:val="00745549"/>
    <w:rsid w:val="007456A8"/>
    <w:rsid w:val="00745752"/>
    <w:rsid w:val="00745D25"/>
    <w:rsid w:val="007506D7"/>
    <w:rsid w:val="00750B25"/>
    <w:rsid w:val="00753D05"/>
    <w:rsid w:val="007551F3"/>
    <w:rsid w:val="007566F6"/>
    <w:rsid w:val="00757344"/>
    <w:rsid w:val="00757FDF"/>
    <w:rsid w:val="00760872"/>
    <w:rsid w:val="0076148B"/>
    <w:rsid w:val="00762E71"/>
    <w:rsid w:val="00763F32"/>
    <w:rsid w:val="00764AD1"/>
    <w:rsid w:val="00764ECA"/>
    <w:rsid w:val="00765A2B"/>
    <w:rsid w:val="00767C2A"/>
    <w:rsid w:val="00767ED8"/>
    <w:rsid w:val="00770024"/>
    <w:rsid w:val="007723F6"/>
    <w:rsid w:val="0077446F"/>
    <w:rsid w:val="00774E12"/>
    <w:rsid w:val="007762D3"/>
    <w:rsid w:val="00776CF8"/>
    <w:rsid w:val="007778A3"/>
    <w:rsid w:val="00777C06"/>
    <w:rsid w:val="00780C68"/>
    <w:rsid w:val="00781095"/>
    <w:rsid w:val="00781657"/>
    <w:rsid w:val="00781D04"/>
    <w:rsid w:val="00782473"/>
    <w:rsid w:val="00782825"/>
    <w:rsid w:val="00783647"/>
    <w:rsid w:val="007838A4"/>
    <w:rsid w:val="007845D0"/>
    <w:rsid w:val="00785959"/>
    <w:rsid w:val="00786E21"/>
    <w:rsid w:val="007873D3"/>
    <w:rsid w:val="00787BDE"/>
    <w:rsid w:val="00787CE5"/>
    <w:rsid w:val="00790B00"/>
    <w:rsid w:val="00791668"/>
    <w:rsid w:val="00791B7B"/>
    <w:rsid w:val="00791F51"/>
    <w:rsid w:val="007925A8"/>
    <w:rsid w:val="00793548"/>
    <w:rsid w:val="00794F7B"/>
    <w:rsid w:val="007951BE"/>
    <w:rsid w:val="007957EF"/>
    <w:rsid w:val="007976DA"/>
    <w:rsid w:val="00797745"/>
    <w:rsid w:val="00797760"/>
    <w:rsid w:val="007A07DF"/>
    <w:rsid w:val="007A0997"/>
    <w:rsid w:val="007A11C2"/>
    <w:rsid w:val="007A1B21"/>
    <w:rsid w:val="007A1BD8"/>
    <w:rsid w:val="007A228D"/>
    <w:rsid w:val="007A2A0E"/>
    <w:rsid w:val="007A4677"/>
    <w:rsid w:val="007A4D1B"/>
    <w:rsid w:val="007A53FD"/>
    <w:rsid w:val="007A5652"/>
    <w:rsid w:val="007A617C"/>
    <w:rsid w:val="007A6377"/>
    <w:rsid w:val="007A6394"/>
    <w:rsid w:val="007A76E5"/>
    <w:rsid w:val="007B05AD"/>
    <w:rsid w:val="007B0955"/>
    <w:rsid w:val="007B1F81"/>
    <w:rsid w:val="007B2124"/>
    <w:rsid w:val="007B2345"/>
    <w:rsid w:val="007B2E35"/>
    <w:rsid w:val="007B3055"/>
    <w:rsid w:val="007B30EF"/>
    <w:rsid w:val="007B345E"/>
    <w:rsid w:val="007B3A3F"/>
    <w:rsid w:val="007B4179"/>
    <w:rsid w:val="007B4604"/>
    <w:rsid w:val="007B529E"/>
    <w:rsid w:val="007B5984"/>
    <w:rsid w:val="007B5B51"/>
    <w:rsid w:val="007B64B3"/>
    <w:rsid w:val="007B6CD5"/>
    <w:rsid w:val="007B72C9"/>
    <w:rsid w:val="007B7A14"/>
    <w:rsid w:val="007B7DF5"/>
    <w:rsid w:val="007C0C7C"/>
    <w:rsid w:val="007C1E43"/>
    <w:rsid w:val="007C24A8"/>
    <w:rsid w:val="007C34CE"/>
    <w:rsid w:val="007C3C5C"/>
    <w:rsid w:val="007C4529"/>
    <w:rsid w:val="007C487B"/>
    <w:rsid w:val="007C50EE"/>
    <w:rsid w:val="007C5177"/>
    <w:rsid w:val="007C5DDF"/>
    <w:rsid w:val="007C606D"/>
    <w:rsid w:val="007C6A14"/>
    <w:rsid w:val="007C6B84"/>
    <w:rsid w:val="007C7981"/>
    <w:rsid w:val="007C7EA6"/>
    <w:rsid w:val="007D03D7"/>
    <w:rsid w:val="007D064F"/>
    <w:rsid w:val="007D0995"/>
    <w:rsid w:val="007D13EB"/>
    <w:rsid w:val="007D2A45"/>
    <w:rsid w:val="007D30A3"/>
    <w:rsid w:val="007D3888"/>
    <w:rsid w:val="007D3C57"/>
    <w:rsid w:val="007D67DF"/>
    <w:rsid w:val="007D6907"/>
    <w:rsid w:val="007E04AD"/>
    <w:rsid w:val="007E0F56"/>
    <w:rsid w:val="007E11E4"/>
    <w:rsid w:val="007E199A"/>
    <w:rsid w:val="007E1C60"/>
    <w:rsid w:val="007E2B88"/>
    <w:rsid w:val="007E38EC"/>
    <w:rsid w:val="007E4583"/>
    <w:rsid w:val="007E7524"/>
    <w:rsid w:val="007F0358"/>
    <w:rsid w:val="007F0BDA"/>
    <w:rsid w:val="007F10DD"/>
    <w:rsid w:val="007F1E28"/>
    <w:rsid w:val="007F216F"/>
    <w:rsid w:val="007F2CB0"/>
    <w:rsid w:val="007F3950"/>
    <w:rsid w:val="007F592F"/>
    <w:rsid w:val="007F6DDE"/>
    <w:rsid w:val="00800BE3"/>
    <w:rsid w:val="0080166B"/>
    <w:rsid w:val="00801AAC"/>
    <w:rsid w:val="0080370C"/>
    <w:rsid w:val="008037BF"/>
    <w:rsid w:val="008037EE"/>
    <w:rsid w:val="00804615"/>
    <w:rsid w:val="008048E4"/>
    <w:rsid w:val="0080496C"/>
    <w:rsid w:val="00805656"/>
    <w:rsid w:val="00806A8D"/>
    <w:rsid w:val="008077C6"/>
    <w:rsid w:val="008110F0"/>
    <w:rsid w:val="00811156"/>
    <w:rsid w:val="00811580"/>
    <w:rsid w:val="00811620"/>
    <w:rsid w:val="00811C1D"/>
    <w:rsid w:val="008124AE"/>
    <w:rsid w:val="0081397B"/>
    <w:rsid w:val="00813E11"/>
    <w:rsid w:val="008142B2"/>
    <w:rsid w:val="00814EAF"/>
    <w:rsid w:val="0081527A"/>
    <w:rsid w:val="008157F2"/>
    <w:rsid w:val="008160E4"/>
    <w:rsid w:val="00816128"/>
    <w:rsid w:val="008163E7"/>
    <w:rsid w:val="0081678E"/>
    <w:rsid w:val="00816EAF"/>
    <w:rsid w:val="00817541"/>
    <w:rsid w:val="00817739"/>
    <w:rsid w:val="00817DB9"/>
    <w:rsid w:val="00820C24"/>
    <w:rsid w:val="0082129C"/>
    <w:rsid w:val="00822095"/>
    <w:rsid w:val="00822FFC"/>
    <w:rsid w:val="0082366A"/>
    <w:rsid w:val="00823784"/>
    <w:rsid w:val="00823F9A"/>
    <w:rsid w:val="008240F1"/>
    <w:rsid w:val="008253DC"/>
    <w:rsid w:val="00825FC2"/>
    <w:rsid w:val="00826045"/>
    <w:rsid w:val="00827164"/>
    <w:rsid w:val="008276E3"/>
    <w:rsid w:val="008277D4"/>
    <w:rsid w:val="00827978"/>
    <w:rsid w:val="008302DF"/>
    <w:rsid w:val="0083124D"/>
    <w:rsid w:val="00831F3A"/>
    <w:rsid w:val="00832D1E"/>
    <w:rsid w:val="00833CCB"/>
    <w:rsid w:val="00835397"/>
    <w:rsid w:val="00835708"/>
    <w:rsid w:val="00836545"/>
    <w:rsid w:val="008379EC"/>
    <w:rsid w:val="00840FF6"/>
    <w:rsid w:val="00841018"/>
    <w:rsid w:val="0084254A"/>
    <w:rsid w:val="00843669"/>
    <w:rsid w:val="00844894"/>
    <w:rsid w:val="0084493E"/>
    <w:rsid w:val="008455BF"/>
    <w:rsid w:val="00845F7D"/>
    <w:rsid w:val="008465A4"/>
    <w:rsid w:val="00847D5F"/>
    <w:rsid w:val="00850369"/>
    <w:rsid w:val="00850CD9"/>
    <w:rsid w:val="00851530"/>
    <w:rsid w:val="008525BE"/>
    <w:rsid w:val="008529EE"/>
    <w:rsid w:val="00853223"/>
    <w:rsid w:val="008535F7"/>
    <w:rsid w:val="00853B96"/>
    <w:rsid w:val="008543BD"/>
    <w:rsid w:val="008559A2"/>
    <w:rsid w:val="00856119"/>
    <w:rsid w:val="00856EDB"/>
    <w:rsid w:val="00860487"/>
    <w:rsid w:val="00860B15"/>
    <w:rsid w:val="00862A95"/>
    <w:rsid w:val="00863DE0"/>
    <w:rsid w:val="0086572C"/>
    <w:rsid w:val="00865782"/>
    <w:rsid w:val="008665E3"/>
    <w:rsid w:val="0086719D"/>
    <w:rsid w:val="00867B30"/>
    <w:rsid w:val="00867CB2"/>
    <w:rsid w:val="00872488"/>
    <w:rsid w:val="00872543"/>
    <w:rsid w:val="0087330E"/>
    <w:rsid w:val="0087345B"/>
    <w:rsid w:val="0087355C"/>
    <w:rsid w:val="00873A67"/>
    <w:rsid w:val="00873C3B"/>
    <w:rsid w:val="00873D68"/>
    <w:rsid w:val="00874895"/>
    <w:rsid w:val="00874A1F"/>
    <w:rsid w:val="00874C00"/>
    <w:rsid w:val="00875D32"/>
    <w:rsid w:val="00876D26"/>
    <w:rsid w:val="00880784"/>
    <w:rsid w:val="008815C7"/>
    <w:rsid w:val="0088226E"/>
    <w:rsid w:val="00884BBF"/>
    <w:rsid w:val="0088561B"/>
    <w:rsid w:val="00885A66"/>
    <w:rsid w:val="00885C68"/>
    <w:rsid w:val="00886123"/>
    <w:rsid w:val="008904E2"/>
    <w:rsid w:val="0089055F"/>
    <w:rsid w:val="00890FE2"/>
    <w:rsid w:val="00891285"/>
    <w:rsid w:val="00891EF3"/>
    <w:rsid w:val="00892BBC"/>
    <w:rsid w:val="00892BF9"/>
    <w:rsid w:val="00893055"/>
    <w:rsid w:val="00893179"/>
    <w:rsid w:val="00893F7E"/>
    <w:rsid w:val="00894871"/>
    <w:rsid w:val="00894E1B"/>
    <w:rsid w:val="0089792C"/>
    <w:rsid w:val="00897B77"/>
    <w:rsid w:val="008A0CB6"/>
    <w:rsid w:val="008A12C8"/>
    <w:rsid w:val="008A17DD"/>
    <w:rsid w:val="008A2032"/>
    <w:rsid w:val="008A22BA"/>
    <w:rsid w:val="008A2812"/>
    <w:rsid w:val="008A2852"/>
    <w:rsid w:val="008A333C"/>
    <w:rsid w:val="008A33E7"/>
    <w:rsid w:val="008A3446"/>
    <w:rsid w:val="008A425D"/>
    <w:rsid w:val="008A4523"/>
    <w:rsid w:val="008A47D4"/>
    <w:rsid w:val="008A5017"/>
    <w:rsid w:val="008A76E4"/>
    <w:rsid w:val="008A79D1"/>
    <w:rsid w:val="008A7EE9"/>
    <w:rsid w:val="008B0166"/>
    <w:rsid w:val="008B0874"/>
    <w:rsid w:val="008B1072"/>
    <w:rsid w:val="008B28B2"/>
    <w:rsid w:val="008B3B66"/>
    <w:rsid w:val="008B4B94"/>
    <w:rsid w:val="008B4F3A"/>
    <w:rsid w:val="008B5125"/>
    <w:rsid w:val="008B562F"/>
    <w:rsid w:val="008B62C2"/>
    <w:rsid w:val="008B7A60"/>
    <w:rsid w:val="008C0114"/>
    <w:rsid w:val="008C04E8"/>
    <w:rsid w:val="008C0A2E"/>
    <w:rsid w:val="008C0C25"/>
    <w:rsid w:val="008C1261"/>
    <w:rsid w:val="008C3C69"/>
    <w:rsid w:val="008C4403"/>
    <w:rsid w:val="008C49BE"/>
    <w:rsid w:val="008C4BA3"/>
    <w:rsid w:val="008C6077"/>
    <w:rsid w:val="008C640E"/>
    <w:rsid w:val="008C723E"/>
    <w:rsid w:val="008C7A99"/>
    <w:rsid w:val="008D0FAD"/>
    <w:rsid w:val="008D1898"/>
    <w:rsid w:val="008D18F6"/>
    <w:rsid w:val="008D1A86"/>
    <w:rsid w:val="008D2689"/>
    <w:rsid w:val="008D27AB"/>
    <w:rsid w:val="008D5436"/>
    <w:rsid w:val="008D68E8"/>
    <w:rsid w:val="008D70FF"/>
    <w:rsid w:val="008D7B9A"/>
    <w:rsid w:val="008D7EDA"/>
    <w:rsid w:val="008E0B93"/>
    <w:rsid w:val="008E0B97"/>
    <w:rsid w:val="008E0D0F"/>
    <w:rsid w:val="008E30EC"/>
    <w:rsid w:val="008E4CDD"/>
    <w:rsid w:val="008E4D35"/>
    <w:rsid w:val="008E4EA4"/>
    <w:rsid w:val="008E52AA"/>
    <w:rsid w:val="008E534F"/>
    <w:rsid w:val="008E609E"/>
    <w:rsid w:val="008E6B77"/>
    <w:rsid w:val="008E721E"/>
    <w:rsid w:val="008F0C65"/>
    <w:rsid w:val="008F1152"/>
    <w:rsid w:val="008F1FEE"/>
    <w:rsid w:val="008F3D6D"/>
    <w:rsid w:val="008F4FEA"/>
    <w:rsid w:val="008F69A2"/>
    <w:rsid w:val="008F6CD5"/>
    <w:rsid w:val="008F73BD"/>
    <w:rsid w:val="008F7F75"/>
    <w:rsid w:val="00900791"/>
    <w:rsid w:val="00900C60"/>
    <w:rsid w:val="009015DF"/>
    <w:rsid w:val="00901D42"/>
    <w:rsid w:val="00902BB4"/>
    <w:rsid w:val="00902F95"/>
    <w:rsid w:val="0090485F"/>
    <w:rsid w:val="00904BB0"/>
    <w:rsid w:val="00907461"/>
    <w:rsid w:val="009101CB"/>
    <w:rsid w:val="009105E9"/>
    <w:rsid w:val="00911344"/>
    <w:rsid w:val="009114F2"/>
    <w:rsid w:val="009117EB"/>
    <w:rsid w:val="00911954"/>
    <w:rsid w:val="00912101"/>
    <w:rsid w:val="00912615"/>
    <w:rsid w:val="0091293A"/>
    <w:rsid w:val="00912D6C"/>
    <w:rsid w:val="0091301F"/>
    <w:rsid w:val="0091381A"/>
    <w:rsid w:val="009138FE"/>
    <w:rsid w:val="009149B1"/>
    <w:rsid w:val="00914AB8"/>
    <w:rsid w:val="00915827"/>
    <w:rsid w:val="00915C12"/>
    <w:rsid w:val="009166ED"/>
    <w:rsid w:val="009167A8"/>
    <w:rsid w:val="009178CA"/>
    <w:rsid w:val="009201E6"/>
    <w:rsid w:val="009204C0"/>
    <w:rsid w:val="00920C83"/>
    <w:rsid w:val="00920CE7"/>
    <w:rsid w:val="00921267"/>
    <w:rsid w:val="009225D7"/>
    <w:rsid w:val="00922E81"/>
    <w:rsid w:val="009245A3"/>
    <w:rsid w:val="00924602"/>
    <w:rsid w:val="00924619"/>
    <w:rsid w:val="00924A42"/>
    <w:rsid w:val="009251CF"/>
    <w:rsid w:val="009261E6"/>
    <w:rsid w:val="0092620D"/>
    <w:rsid w:val="00927126"/>
    <w:rsid w:val="0092787C"/>
    <w:rsid w:val="00927E06"/>
    <w:rsid w:val="00927F0C"/>
    <w:rsid w:val="009306F0"/>
    <w:rsid w:val="009312AF"/>
    <w:rsid w:val="009313D6"/>
    <w:rsid w:val="009314D2"/>
    <w:rsid w:val="009318C1"/>
    <w:rsid w:val="00931D20"/>
    <w:rsid w:val="00931E69"/>
    <w:rsid w:val="00932563"/>
    <w:rsid w:val="00932600"/>
    <w:rsid w:val="00933190"/>
    <w:rsid w:val="0093353B"/>
    <w:rsid w:val="00934914"/>
    <w:rsid w:val="00934A72"/>
    <w:rsid w:val="00934C99"/>
    <w:rsid w:val="009369C8"/>
    <w:rsid w:val="00937B2A"/>
    <w:rsid w:val="00937CB3"/>
    <w:rsid w:val="00937D01"/>
    <w:rsid w:val="0094025E"/>
    <w:rsid w:val="009418DE"/>
    <w:rsid w:val="0094335A"/>
    <w:rsid w:val="009433E6"/>
    <w:rsid w:val="009435D4"/>
    <w:rsid w:val="00943D0B"/>
    <w:rsid w:val="00943D78"/>
    <w:rsid w:val="0094574E"/>
    <w:rsid w:val="00946F20"/>
    <w:rsid w:val="00947DB9"/>
    <w:rsid w:val="009503F6"/>
    <w:rsid w:val="0095049D"/>
    <w:rsid w:val="009505A8"/>
    <w:rsid w:val="00950646"/>
    <w:rsid w:val="00951CE6"/>
    <w:rsid w:val="00951FC2"/>
    <w:rsid w:val="00954215"/>
    <w:rsid w:val="00955669"/>
    <w:rsid w:val="00956DCE"/>
    <w:rsid w:val="0095733F"/>
    <w:rsid w:val="00957780"/>
    <w:rsid w:val="00960400"/>
    <w:rsid w:val="00960C91"/>
    <w:rsid w:val="009622EF"/>
    <w:rsid w:val="009625CC"/>
    <w:rsid w:val="00962AE5"/>
    <w:rsid w:val="00962DEB"/>
    <w:rsid w:val="00963408"/>
    <w:rsid w:val="009636E0"/>
    <w:rsid w:val="00963E4F"/>
    <w:rsid w:val="00966228"/>
    <w:rsid w:val="009663BF"/>
    <w:rsid w:val="0096647E"/>
    <w:rsid w:val="00966B15"/>
    <w:rsid w:val="00966DC7"/>
    <w:rsid w:val="00966E2A"/>
    <w:rsid w:val="00967138"/>
    <w:rsid w:val="00967656"/>
    <w:rsid w:val="009700DA"/>
    <w:rsid w:val="00971EFC"/>
    <w:rsid w:val="00971F5C"/>
    <w:rsid w:val="009735CC"/>
    <w:rsid w:val="0097444C"/>
    <w:rsid w:val="00974D39"/>
    <w:rsid w:val="00976235"/>
    <w:rsid w:val="00976691"/>
    <w:rsid w:val="009769B8"/>
    <w:rsid w:val="009804F5"/>
    <w:rsid w:val="00980B38"/>
    <w:rsid w:val="00981038"/>
    <w:rsid w:val="009812C4"/>
    <w:rsid w:val="009816D4"/>
    <w:rsid w:val="00981E77"/>
    <w:rsid w:val="0098234D"/>
    <w:rsid w:val="00982428"/>
    <w:rsid w:val="00983115"/>
    <w:rsid w:val="00984137"/>
    <w:rsid w:val="00984A71"/>
    <w:rsid w:val="0098780E"/>
    <w:rsid w:val="00987D24"/>
    <w:rsid w:val="009907BC"/>
    <w:rsid w:val="0099278A"/>
    <w:rsid w:val="00993011"/>
    <w:rsid w:val="00993111"/>
    <w:rsid w:val="00993148"/>
    <w:rsid w:val="009931DF"/>
    <w:rsid w:val="0099356E"/>
    <w:rsid w:val="00993F28"/>
    <w:rsid w:val="00994870"/>
    <w:rsid w:val="00994D70"/>
    <w:rsid w:val="00995271"/>
    <w:rsid w:val="00995632"/>
    <w:rsid w:val="00995945"/>
    <w:rsid w:val="00995BAE"/>
    <w:rsid w:val="009961E1"/>
    <w:rsid w:val="009966F0"/>
    <w:rsid w:val="00997094"/>
    <w:rsid w:val="0099761D"/>
    <w:rsid w:val="00997ADC"/>
    <w:rsid w:val="00997D69"/>
    <w:rsid w:val="009A0C50"/>
    <w:rsid w:val="009A17B0"/>
    <w:rsid w:val="009A1A73"/>
    <w:rsid w:val="009A273C"/>
    <w:rsid w:val="009A2B6A"/>
    <w:rsid w:val="009A2F63"/>
    <w:rsid w:val="009A352A"/>
    <w:rsid w:val="009A4A99"/>
    <w:rsid w:val="009A521E"/>
    <w:rsid w:val="009A58CA"/>
    <w:rsid w:val="009A5EFB"/>
    <w:rsid w:val="009A66C0"/>
    <w:rsid w:val="009A785D"/>
    <w:rsid w:val="009A7F83"/>
    <w:rsid w:val="009B074A"/>
    <w:rsid w:val="009B0D84"/>
    <w:rsid w:val="009B1B20"/>
    <w:rsid w:val="009B1CF1"/>
    <w:rsid w:val="009B1F08"/>
    <w:rsid w:val="009B23F5"/>
    <w:rsid w:val="009B2C4E"/>
    <w:rsid w:val="009B390D"/>
    <w:rsid w:val="009B3B74"/>
    <w:rsid w:val="009B4278"/>
    <w:rsid w:val="009B6154"/>
    <w:rsid w:val="009B6291"/>
    <w:rsid w:val="009B6962"/>
    <w:rsid w:val="009C1882"/>
    <w:rsid w:val="009C1B14"/>
    <w:rsid w:val="009C20E8"/>
    <w:rsid w:val="009C2459"/>
    <w:rsid w:val="009C3161"/>
    <w:rsid w:val="009C377C"/>
    <w:rsid w:val="009C4B42"/>
    <w:rsid w:val="009C50C7"/>
    <w:rsid w:val="009C7CAF"/>
    <w:rsid w:val="009D0B50"/>
    <w:rsid w:val="009D1503"/>
    <w:rsid w:val="009D1ED2"/>
    <w:rsid w:val="009D2229"/>
    <w:rsid w:val="009D25A3"/>
    <w:rsid w:val="009D280F"/>
    <w:rsid w:val="009D2A56"/>
    <w:rsid w:val="009D2C14"/>
    <w:rsid w:val="009D2F60"/>
    <w:rsid w:val="009D33CC"/>
    <w:rsid w:val="009D34ED"/>
    <w:rsid w:val="009D3E83"/>
    <w:rsid w:val="009D3FC4"/>
    <w:rsid w:val="009D5EDD"/>
    <w:rsid w:val="009D6B52"/>
    <w:rsid w:val="009D728A"/>
    <w:rsid w:val="009D72B2"/>
    <w:rsid w:val="009E12F1"/>
    <w:rsid w:val="009E2121"/>
    <w:rsid w:val="009E2E37"/>
    <w:rsid w:val="009E323E"/>
    <w:rsid w:val="009E347E"/>
    <w:rsid w:val="009E3BE0"/>
    <w:rsid w:val="009E3E86"/>
    <w:rsid w:val="009E45B6"/>
    <w:rsid w:val="009E4B87"/>
    <w:rsid w:val="009E535B"/>
    <w:rsid w:val="009E5D57"/>
    <w:rsid w:val="009E6599"/>
    <w:rsid w:val="009E7041"/>
    <w:rsid w:val="009E7635"/>
    <w:rsid w:val="009E763F"/>
    <w:rsid w:val="009E7CE5"/>
    <w:rsid w:val="009F2A5F"/>
    <w:rsid w:val="009F30DE"/>
    <w:rsid w:val="009F38B0"/>
    <w:rsid w:val="009F4238"/>
    <w:rsid w:val="009F4437"/>
    <w:rsid w:val="009F49A5"/>
    <w:rsid w:val="009F4E03"/>
    <w:rsid w:val="009F588C"/>
    <w:rsid w:val="009F6E22"/>
    <w:rsid w:val="009F71B8"/>
    <w:rsid w:val="009F72F1"/>
    <w:rsid w:val="00A01F4C"/>
    <w:rsid w:val="00A02194"/>
    <w:rsid w:val="00A021DD"/>
    <w:rsid w:val="00A027CC"/>
    <w:rsid w:val="00A0359A"/>
    <w:rsid w:val="00A0421C"/>
    <w:rsid w:val="00A04836"/>
    <w:rsid w:val="00A0679B"/>
    <w:rsid w:val="00A07BDF"/>
    <w:rsid w:val="00A11485"/>
    <w:rsid w:val="00A117E1"/>
    <w:rsid w:val="00A11BB3"/>
    <w:rsid w:val="00A128A0"/>
    <w:rsid w:val="00A15DE9"/>
    <w:rsid w:val="00A1689C"/>
    <w:rsid w:val="00A170AE"/>
    <w:rsid w:val="00A1710B"/>
    <w:rsid w:val="00A17959"/>
    <w:rsid w:val="00A206CB"/>
    <w:rsid w:val="00A21C5E"/>
    <w:rsid w:val="00A21DF9"/>
    <w:rsid w:val="00A221E7"/>
    <w:rsid w:val="00A22FB3"/>
    <w:rsid w:val="00A233D1"/>
    <w:rsid w:val="00A242E3"/>
    <w:rsid w:val="00A244BD"/>
    <w:rsid w:val="00A25DDF"/>
    <w:rsid w:val="00A26A6D"/>
    <w:rsid w:val="00A26F4D"/>
    <w:rsid w:val="00A273B9"/>
    <w:rsid w:val="00A27472"/>
    <w:rsid w:val="00A275BA"/>
    <w:rsid w:val="00A3096F"/>
    <w:rsid w:val="00A31E26"/>
    <w:rsid w:val="00A32190"/>
    <w:rsid w:val="00A32B3E"/>
    <w:rsid w:val="00A33AFB"/>
    <w:rsid w:val="00A34F8B"/>
    <w:rsid w:val="00A3507B"/>
    <w:rsid w:val="00A35B74"/>
    <w:rsid w:val="00A3658F"/>
    <w:rsid w:val="00A365CB"/>
    <w:rsid w:val="00A36BD0"/>
    <w:rsid w:val="00A36DF0"/>
    <w:rsid w:val="00A37321"/>
    <w:rsid w:val="00A3789A"/>
    <w:rsid w:val="00A37F24"/>
    <w:rsid w:val="00A4359B"/>
    <w:rsid w:val="00A44587"/>
    <w:rsid w:val="00A446A1"/>
    <w:rsid w:val="00A44E4D"/>
    <w:rsid w:val="00A47938"/>
    <w:rsid w:val="00A50A05"/>
    <w:rsid w:val="00A50B46"/>
    <w:rsid w:val="00A50DC6"/>
    <w:rsid w:val="00A5132D"/>
    <w:rsid w:val="00A52F31"/>
    <w:rsid w:val="00A52F43"/>
    <w:rsid w:val="00A53763"/>
    <w:rsid w:val="00A53D62"/>
    <w:rsid w:val="00A53EEA"/>
    <w:rsid w:val="00A54039"/>
    <w:rsid w:val="00A54BDB"/>
    <w:rsid w:val="00A54F10"/>
    <w:rsid w:val="00A55095"/>
    <w:rsid w:val="00A556A6"/>
    <w:rsid w:val="00A55953"/>
    <w:rsid w:val="00A55BBE"/>
    <w:rsid w:val="00A57458"/>
    <w:rsid w:val="00A57D79"/>
    <w:rsid w:val="00A57D7E"/>
    <w:rsid w:val="00A60186"/>
    <w:rsid w:val="00A609DD"/>
    <w:rsid w:val="00A611C9"/>
    <w:rsid w:val="00A62FC8"/>
    <w:rsid w:val="00A630A9"/>
    <w:rsid w:val="00A630B1"/>
    <w:rsid w:val="00A643A4"/>
    <w:rsid w:val="00A648AA"/>
    <w:rsid w:val="00A653D9"/>
    <w:rsid w:val="00A66A7C"/>
    <w:rsid w:val="00A66CA8"/>
    <w:rsid w:val="00A6765B"/>
    <w:rsid w:val="00A700D1"/>
    <w:rsid w:val="00A70E1D"/>
    <w:rsid w:val="00A72CA6"/>
    <w:rsid w:val="00A74B9D"/>
    <w:rsid w:val="00A75770"/>
    <w:rsid w:val="00A76400"/>
    <w:rsid w:val="00A772D2"/>
    <w:rsid w:val="00A77A50"/>
    <w:rsid w:val="00A8003E"/>
    <w:rsid w:val="00A80325"/>
    <w:rsid w:val="00A8088F"/>
    <w:rsid w:val="00A81C73"/>
    <w:rsid w:val="00A82139"/>
    <w:rsid w:val="00A82682"/>
    <w:rsid w:val="00A85FB7"/>
    <w:rsid w:val="00A86B76"/>
    <w:rsid w:val="00A87788"/>
    <w:rsid w:val="00A87C58"/>
    <w:rsid w:val="00A87CC1"/>
    <w:rsid w:val="00A9024D"/>
    <w:rsid w:val="00A909CC"/>
    <w:rsid w:val="00A91121"/>
    <w:rsid w:val="00A91216"/>
    <w:rsid w:val="00A9125B"/>
    <w:rsid w:val="00A91DDC"/>
    <w:rsid w:val="00A930E4"/>
    <w:rsid w:val="00A93600"/>
    <w:rsid w:val="00A94A4C"/>
    <w:rsid w:val="00A9651B"/>
    <w:rsid w:val="00A97D63"/>
    <w:rsid w:val="00AA12D5"/>
    <w:rsid w:val="00AA2D0F"/>
    <w:rsid w:val="00AA33DC"/>
    <w:rsid w:val="00AA3737"/>
    <w:rsid w:val="00AA40B2"/>
    <w:rsid w:val="00AA4A22"/>
    <w:rsid w:val="00AA6488"/>
    <w:rsid w:val="00AA6AFA"/>
    <w:rsid w:val="00AA7F98"/>
    <w:rsid w:val="00AB0553"/>
    <w:rsid w:val="00AB135D"/>
    <w:rsid w:val="00AB137E"/>
    <w:rsid w:val="00AB1F95"/>
    <w:rsid w:val="00AB2F27"/>
    <w:rsid w:val="00AB499F"/>
    <w:rsid w:val="00AB4A46"/>
    <w:rsid w:val="00AB4D6D"/>
    <w:rsid w:val="00AB4DD5"/>
    <w:rsid w:val="00AB6761"/>
    <w:rsid w:val="00AB67AF"/>
    <w:rsid w:val="00AB6D2D"/>
    <w:rsid w:val="00AC0C35"/>
    <w:rsid w:val="00AC0FAB"/>
    <w:rsid w:val="00AC1DD8"/>
    <w:rsid w:val="00AC1F23"/>
    <w:rsid w:val="00AC32A1"/>
    <w:rsid w:val="00AC4B78"/>
    <w:rsid w:val="00AC4EA5"/>
    <w:rsid w:val="00AC56C2"/>
    <w:rsid w:val="00AC5E9E"/>
    <w:rsid w:val="00AC63D2"/>
    <w:rsid w:val="00AC64B0"/>
    <w:rsid w:val="00AC7BAB"/>
    <w:rsid w:val="00AD1BD9"/>
    <w:rsid w:val="00AD232B"/>
    <w:rsid w:val="00AD2C34"/>
    <w:rsid w:val="00AD2D8E"/>
    <w:rsid w:val="00AD3332"/>
    <w:rsid w:val="00AD39C8"/>
    <w:rsid w:val="00AD4506"/>
    <w:rsid w:val="00AD55ED"/>
    <w:rsid w:val="00AD60AD"/>
    <w:rsid w:val="00AD6707"/>
    <w:rsid w:val="00AD7EFB"/>
    <w:rsid w:val="00AD7F07"/>
    <w:rsid w:val="00AE0038"/>
    <w:rsid w:val="00AE02ED"/>
    <w:rsid w:val="00AE090C"/>
    <w:rsid w:val="00AE0BE1"/>
    <w:rsid w:val="00AE1C63"/>
    <w:rsid w:val="00AE58B6"/>
    <w:rsid w:val="00AE5CC4"/>
    <w:rsid w:val="00AE795D"/>
    <w:rsid w:val="00AE7AF9"/>
    <w:rsid w:val="00AF16C1"/>
    <w:rsid w:val="00AF2524"/>
    <w:rsid w:val="00AF2FB6"/>
    <w:rsid w:val="00AF36F6"/>
    <w:rsid w:val="00AF3EB1"/>
    <w:rsid w:val="00AF431C"/>
    <w:rsid w:val="00AF5337"/>
    <w:rsid w:val="00AF5898"/>
    <w:rsid w:val="00AF6258"/>
    <w:rsid w:val="00AF6FAA"/>
    <w:rsid w:val="00AF7019"/>
    <w:rsid w:val="00AF778B"/>
    <w:rsid w:val="00B037EA"/>
    <w:rsid w:val="00B04D93"/>
    <w:rsid w:val="00B04F71"/>
    <w:rsid w:val="00B054E7"/>
    <w:rsid w:val="00B05645"/>
    <w:rsid w:val="00B05777"/>
    <w:rsid w:val="00B078F5"/>
    <w:rsid w:val="00B100B0"/>
    <w:rsid w:val="00B104F2"/>
    <w:rsid w:val="00B10EEE"/>
    <w:rsid w:val="00B11446"/>
    <w:rsid w:val="00B11BDB"/>
    <w:rsid w:val="00B11CD4"/>
    <w:rsid w:val="00B11D94"/>
    <w:rsid w:val="00B125B2"/>
    <w:rsid w:val="00B146A6"/>
    <w:rsid w:val="00B149E5"/>
    <w:rsid w:val="00B15AB1"/>
    <w:rsid w:val="00B16894"/>
    <w:rsid w:val="00B16D73"/>
    <w:rsid w:val="00B17442"/>
    <w:rsid w:val="00B17C94"/>
    <w:rsid w:val="00B17DFD"/>
    <w:rsid w:val="00B20E24"/>
    <w:rsid w:val="00B23839"/>
    <w:rsid w:val="00B23953"/>
    <w:rsid w:val="00B23B8C"/>
    <w:rsid w:val="00B23CA0"/>
    <w:rsid w:val="00B24256"/>
    <w:rsid w:val="00B2448B"/>
    <w:rsid w:val="00B24640"/>
    <w:rsid w:val="00B24CBB"/>
    <w:rsid w:val="00B250AF"/>
    <w:rsid w:val="00B25292"/>
    <w:rsid w:val="00B2538F"/>
    <w:rsid w:val="00B2617A"/>
    <w:rsid w:val="00B309F0"/>
    <w:rsid w:val="00B31523"/>
    <w:rsid w:val="00B31E11"/>
    <w:rsid w:val="00B325FA"/>
    <w:rsid w:val="00B333AF"/>
    <w:rsid w:val="00B33E9F"/>
    <w:rsid w:val="00B33FE1"/>
    <w:rsid w:val="00B34985"/>
    <w:rsid w:val="00B35458"/>
    <w:rsid w:val="00B365DF"/>
    <w:rsid w:val="00B36DEB"/>
    <w:rsid w:val="00B4018E"/>
    <w:rsid w:val="00B415A8"/>
    <w:rsid w:val="00B41AEA"/>
    <w:rsid w:val="00B42CD2"/>
    <w:rsid w:val="00B4369D"/>
    <w:rsid w:val="00B44029"/>
    <w:rsid w:val="00B44231"/>
    <w:rsid w:val="00B44A52"/>
    <w:rsid w:val="00B452B1"/>
    <w:rsid w:val="00B47177"/>
    <w:rsid w:val="00B50F41"/>
    <w:rsid w:val="00B513C9"/>
    <w:rsid w:val="00B5141A"/>
    <w:rsid w:val="00B5160E"/>
    <w:rsid w:val="00B5190B"/>
    <w:rsid w:val="00B529ED"/>
    <w:rsid w:val="00B53087"/>
    <w:rsid w:val="00B53CC4"/>
    <w:rsid w:val="00B53DEE"/>
    <w:rsid w:val="00B53E2A"/>
    <w:rsid w:val="00B542AC"/>
    <w:rsid w:val="00B55107"/>
    <w:rsid w:val="00B5566C"/>
    <w:rsid w:val="00B57126"/>
    <w:rsid w:val="00B577CE"/>
    <w:rsid w:val="00B57C4B"/>
    <w:rsid w:val="00B57FD3"/>
    <w:rsid w:val="00B6135E"/>
    <w:rsid w:val="00B632DE"/>
    <w:rsid w:val="00B63534"/>
    <w:rsid w:val="00B63E17"/>
    <w:rsid w:val="00B64942"/>
    <w:rsid w:val="00B650ED"/>
    <w:rsid w:val="00B653B4"/>
    <w:rsid w:val="00B6575C"/>
    <w:rsid w:val="00B657ED"/>
    <w:rsid w:val="00B65B83"/>
    <w:rsid w:val="00B65DB2"/>
    <w:rsid w:val="00B66362"/>
    <w:rsid w:val="00B67C74"/>
    <w:rsid w:val="00B67F3D"/>
    <w:rsid w:val="00B703BF"/>
    <w:rsid w:val="00B706F8"/>
    <w:rsid w:val="00B71EF0"/>
    <w:rsid w:val="00B73319"/>
    <w:rsid w:val="00B73D0E"/>
    <w:rsid w:val="00B73D2E"/>
    <w:rsid w:val="00B73E80"/>
    <w:rsid w:val="00B741D3"/>
    <w:rsid w:val="00B743BF"/>
    <w:rsid w:val="00B74701"/>
    <w:rsid w:val="00B74BF6"/>
    <w:rsid w:val="00B75AEB"/>
    <w:rsid w:val="00B76D44"/>
    <w:rsid w:val="00B77057"/>
    <w:rsid w:val="00B77C18"/>
    <w:rsid w:val="00B77C78"/>
    <w:rsid w:val="00B80A2B"/>
    <w:rsid w:val="00B8121E"/>
    <w:rsid w:val="00B814E1"/>
    <w:rsid w:val="00B81A46"/>
    <w:rsid w:val="00B8376A"/>
    <w:rsid w:val="00B83A96"/>
    <w:rsid w:val="00B847E2"/>
    <w:rsid w:val="00B84FFE"/>
    <w:rsid w:val="00B85B2A"/>
    <w:rsid w:val="00B85D3C"/>
    <w:rsid w:val="00B865EB"/>
    <w:rsid w:val="00B871A3"/>
    <w:rsid w:val="00B8727A"/>
    <w:rsid w:val="00B87291"/>
    <w:rsid w:val="00B879F8"/>
    <w:rsid w:val="00B87F1F"/>
    <w:rsid w:val="00B914B3"/>
    <w:rsid w:val="00B9174C"/>
    <w:rsid w:val="00B92041"/>
    <w:rsid w:val="00B92647"/>
    <w:rsid w:val="00B92E88"/>
    <w:rsid w:val="00B94E4D"/>
    <w:rsid w:val="00B95339"/>
    <w:rsid w:val="00B95437"/>
    <w:rsid w:val="00B95F51"/>
    <w:rsid w:val="00B960F6"/>
    <w:rsid w:val="00B97817"/>
    <w:rsid w:val="00B9782E"/>
    <w:rsid w:val="00B97BAE"/>
    <w:rsid w:val="00B97CF6"/>
    <w:rsid w:val="00BA1919"/>
    <w:rsid w:val="00BA1FB9"/>
    <w:rsid w:val="00BA23B4"/>
    <w:rsid w:val="00BA26FD"/>
    <w:rsid w:val="00BA329E"/>
    <w:rsid w:val="00BA3330"/>
    <w:rsid w:val="00BA35CA"/>
    <w:rsid w:val="00BA55BC"/>
    <w:rsid w:val="00BA56EB"/>
    <w:rsid w:val="00BA5FD7"/>
    <w:rsid w:val="00BA6C69"/>
    <w:rsid w:val="00BA7A48"/>
    <w:rsid w:val="00BB03E6"/>
    <w:rsid w:val="00BB1032"/>
    <w:rsid w:val="00BB194E"/>
    <w:rsid w:val="00BB1C52"/>
    <w:rsid w:val="00BB2D25"/>
    <w:rsid w:val="00BB37A4"/>
    <w:rsid w:val="00BB4257"/>
    <w:rsid w:val="00BB48E8"/>
    <w:rsid w:val="00BB565F"/>
    <w:rsid w:val="00BB5A8C"/>
    <w:rsid w:val="00BB5CE6"/>
    <w:rsid w:val="00BB6C4A"/>
    <w:rsid w:val="00BB7F33"/>
    <w:rsid w:val="00BC0E50"/>
    <w:rsid w:val="00BC197A"/>
    <w:rsid w:val="00BC2838"/>
    <w:rsid w:val="00BC2CEE"/>
    <w:rsid w:val="00BC2FEC"/>
    <w:rsid w:val="00BC36D0"/>
    <w:rsid w:val="00BC3898"/>
    <w:rsid w:val="00BC3B0A"/>
    <w:rsid w:val="00BC3D8D"/>
    <w:rsid w:val="00BC3DE9"/>
    <w:rsid w:val="00BC5335"/>
    <w:rsid w:val="00BC5640"/>
    <w:rsid w:val="00BC5C9F"/>
    <w:rsid w:val="00BC615B"/>
    <w:rsid w:val="00BC6A37"/>
    <w:rsid w:val="00BD0067"/>
    <w:rsid w:val="00BD0555"/>
    <w:rsid w:val="00BD11AE"/>
    <w:rsid w:val="00BD1C55"/>
    <w:rsid w:val="00BD20FE"/>
    <w:rsid w:val="00BD27C1"/>
    <w:rsid w:val="00BD2EB5"/>
    <w:rsid w:val="00BD31E3"/>
    <w:rsid w:val="00BD32FB"/>
    <w:rsid w:val="00BD3359"/>
    <w:rsid w:val="00BD3EA5"/>
    <w:rsid w:val="00BD5909"/>
    <w:rsid w:val="00BD6772"/>
    <w:rsid w:val="00BD7126"/>
    <w:rsid w:val="00BD7911"/>
    <w:rsid w:val="00BE109C"/>
    <w:rsid w:val="00BE2B88"/>
    <w:rsid w:val="00BE2C63"/>
    <w:rsid w:val="00BE2D6E"/>
    <w:rsid w:val="00BE3398"/>
    <w:rsid w:val="00BE3716"/>
    <w:rsid w:val="00BE64ED"/>
    <w:rsid w:val="00BE69B0"/>
    <w:rsid w:val="00BF0D7A"/>
    <w:rsid w:val="00BF11DB"/>
    <w:rsid w:val="00BF1E05"/>
    <w:rsid w:val="00BF2FD4"/>
    <w:rsid w:val="00BF3797"/>
    <w:rsid w:val="00BF4940"/>
    <w:rsid w:val="00BF4CD0"/>
    <w:rsid w:val="00BF50E7"/>
    <w:rsid w:val="00BF6AF7"/>
    <w:rsid w:val="00BF6C4E"/>
    <w:rsid w:val="00BF71F8"/>
    <w:rsid w:val="00C00A3B"/>
    <w:rsid w:val="00C0141E"/>
    <w:rsid w:val="00C01468"/>
    <w:rsid w:val="00C01BB5"/>
    <w:rsid w:val="00C021E6"/>
    <w:rsid w:val="00C02580"/>
    <w:rsid w:val="00C0270E"/>
    <w:rsid w:val="00C03987"/>
    <w:rsid w:val="00C03C59"/>
    <w:rsid w:val="00C046C3"/>
    <w:rsid w:val="00C04B03"/>
    <w:rsid w:val="00C0536F"/>
    <w:rsid w:val="00C05B6C"/>
    <w:rsid w:val="00C07066"/>
    <w:rsid w:val="00C10164"/>
    <w:rsid w:val="00C112E7"/>
    <w:rsid w:val="00C11887"/>
    <w:rsid w:val="00C119BF"/>
    <w:rsid w:val="00C11C63"/>
    <w:rsid w:val="00C129B5"/>
    <w:rsid w:val="00C133E7"/>
    <w:rsid w:val="00C13907"/>
    <w:rsid w:val="00C139DC"/>
    <w:rsid w:val="00C1425A"/>
    <w:rsid w:val="00C14C5D"/>
    <w:rsid w:val="00C1564F"/>
    <w:rsid w:val="00C1602A"/>
    <w:rsid w:val="00C1659D"/>
    <w:rsid w:val="00C1708C"/>
    <w:rsid w:val="00C171A2"/>
    <w:rsid w:val="00C171D1"/>
    <w:rsid w:val="00C239AA"/>
    <w:rsid w:val="00C23A30"/>
    <w:rsid w:val="00C2452C"/>
    <w:rsid w:val="00C24581"/>
    <w:rsid w:val="00C24927"/>
    <w:rsid w:val="00C24A4A"/>
    <w:rsid w:val="00C25EDC"/>
    <w:rsid w:val="00C26634"/>
    <w:rsid w:val="00C27F5C"/>
    <w:rsid w:val="00C31C6F"/>
    <w:rsid w:val="00C3281A"/>
    <w:rsid w:val="00C32A75"/>
    <w:rsid w:val="00C35B6B"/>
    <w:rsid w:val="00C35D68"/>
    <w:rsid w:val="00C35E8F"/>
    <w:rsid w:val="00C3626D"/>
    <w:rsid w:val="00C36394"/>
    <w:rsid w:val="00C370E2"/>
    <w:rsid w:val="00C37345"/>
    <w:rsid w:val="00C375C6"/>
    <w:rsid w:val="00C37F33"/>
    <w:rsid w:val="00C413EA"/>
    <w:rsid w:val="00C415F7"/>
    <w:rsid w:val="00C42FA8"/>
    <w:rsid w:val="00C44362"/>
    <w:rsid w:val="00C448A5"/>
    <w:rsid w:val="00C44A30"/>
    <w:rsid w:val="00C44B86"/>
    <w:rsid w:val="00C44DAE"/>
    <w:rsid w:val="00C46948"/>
    <w:rsid w:val="00C475C5"/>
    <w:rsid w:val="00C52A12"/>
    <w:rsid w:val="00C53F17"/>
    <w:rsid w:val="00C55131"/>
    <w:rsid w:val="00C554A8"/>
    <w:rsid w:val="00C55DA0"/>
    <w:rsid w:val="00C5710E"/>
    <w:rsid w:val="00C578A3"/>
    <w:rsid w:val="00C57D40"/>
    <w:rsid w:val="00C607AA"/>
    <w:rsid w:val="00C616DC"/>
    <w:rsid w:val="00C6276A"/>
    <w:rsid w:val="00C64B7A"/>
    <w:rsid w:val="00C6635C"/>
    <w:rsid w:val="00C66372"/>
    <w:rsid w:val="00C671A7"/>
    <w:rsid w:val="00C67EAA"/>
    <w:rsid w:val="00C7047B"/>
    <w:rsid w:val="00C70EC2"/>
    <w:rsid w:val="00C71023"/>
    <w:rsid w:val="00C71540"/>
    <w:rsid w:val="00C71C35"/>
    <w:rsid w:val="00C720A9"/>
    <w:rsid w:val="00C73418"/>
    <w:rsid w:val="00C7431C"/>
    <w:rsid w:val="00C7493F"/>
    <w:rsid w:val="00C74CFD"/>
    <w:rsid w:val="00C75186"/>
    <w:rsid w:val="00C75332"/>
    <w:rsid w:val="00C75860"/>
    <w:rsid w:val="00C75E28"/>
    <w:rsid w:val="00C760E4"/>
    <w:rsid w:val="00C76FAA"/>
    <w:rsid w:val="00C807B0"/>
    <w:rsid w:val="00C827BE"/>
    <w:rsid w:val="00C82863"/>
    <w:rsid w:val="00C82B46"/>
    <w:rsid w:val="00C83919"/>
    <w:rsid w:val="00C83D47"/>
    <w:rsid w:val="00C849A7"/>
    <w:rsid w:val="00C857F1"/>
    <w:rsid w:val="00C85B64"/>
    <w:rsid w:val="00C85E38"/>
    <w:rsid w:val="00C85F5E"/>
    <w:rsid w:val="00C874A0"/>
    <w:rsid w:val="00C87D8C"/>
    <w:rsid w:val="00C904C9"/>
    <w:rsid w:val="00C9051B"/>
    <w:rsid w:val="00C9053B"/>
    <w:rsid w:val="00C90832"/>
    <w:rsid w:val="00C90C63"/>
    <w:rsid w:val="00C90F24"/>
    <w:rsid w:val="00C91019"/>
    <w:rsid w:val="00C917C3"/>
    <w:rsid w:val="00C9199C"/>
    <w:rsid w:val="00C91EE3"/>
    <w:rsid w:val="00C93942"/>
    <w:rsid w:val="00C94DB5"/>
    <w:rsid w:val="00C95FB5"/>
    <w:rsid w:val="00C96158"/>
    <w:rsid w:val="00C96D1A"/>
    <w:rsid w:val="00C977EA"/>
    <w:rsid w:val="00C97C14"/>
    <w:rsid w:val="00C97FEF"/>
    <w:rsid w:val="00CA0924"/>
    <w:rsid w:val="00CA172F"/>
    <w:rsid w:val="00CA1928"/>
    <w:rsid w:val="00CA455B"/>
    <w:rsid w:val="00CA45BF"/>
    <w:rsid w:val="00CA54F7"/>
    <w:rsid w:val="00CA57BE"/>
    <w:rsid w:val="00CA59C6"/>
    <w:rsid w:val="00CA7C8A"/>
    <w:rsid w:val="00CB03A3"/>
    <w:rsid w:val="00CB0577"/>
    <w:rsid w:val="00CB081E"/>
    <w:rsid w:val="00CB191A"/>
    <w:rsid w:val="00CB245E"/>
    <w:rsid w:val="00CB2942"/>
    <w:rsid w:val="00CB3ED5"/>
    <w:rsid w:val="00CB42F6"/>
    <w:rsid w:val="00CB4B9A"/>
    <w:rsid w:val="00CB5745"/>
    <w:rsid w:val="00CB5FFF"/>
    <w:rsid w:val="00CB6BA4"/>
    <w:rsid w:val="00CB72F6"/>
    <w:rsid w:val="00CB7712"/>
    <w:rsid w:val="00CB7D88"/>
    <w:rsid w:val="00CC147B"/>
    <w:rsid w:val="00CC1FF1"/>
    <w:rsid w:val="00CC22C2"/>
    <w:rsid w:val="00CC2991"/>
    <w:rsid w:val="00CC3016"/>
    <w:rsid w:val="00CC3EAF"/>
    <w:rsid w:val="00CC42A2"/>
    <w:rsid w:val="00CC52F7"/>
    <w:rsid w:val="00CC553C"/>
    <w:rsid w:val="00CC5934"/>
    <w:rsid w:val="00CC5A29"/>
    <w:rsid w:val="00CC62C0"/>
    <w:rsid w:val="00CC69C3"/>
    <w:rsid w:val="00CC6DAD"/>
    <w:rsid w:val="00CC7194"/>
    <w:rsid w:val="00CC7229"/>
    <w:rsid w:val="00CC7F80"/>
    <w:rsid w:val="00CD028D"/>
    <w:rsid w:val="00CD17AB"/>
    <w:rsid w:val="00CD1B43"/>
    <w:rsid w:val="00CD235C"/>
    <w:rsid w:val="00CD2384"/>
    <w:rsid w:val="00CD3702"/>
    <w:rsid w:val="00CD3B86"/>
    <w:rsid w:val="00CD3D7A"/>
    <w:rsid w:val="00CD5907"/>
    <w:rsid w:val="00CD597D"/>
    <w:rsid w:val="00CD5AA0"/>
    <w:rsid w:val="00CD5E50"/>
    <w:rsid w:val="00CD6223"/>
    <w:rsid w:val="00CD6C75"/>
    <w:rsid w:val="00CD6F2F"/>
    <w:rsid w:val="00CD723F"/>
    <w:rsid w:val="00CD7C95"/>
    <w:rsid w:val="00CD7D35"/>
    <w:rsid w:val="00CE147C"/>
    <w:rsid w:val="00CE1849"/>
    <w:rsid w:val="00CE1E0B"/>
    <w:rsid w:val="00CE1F5E"/>
    <w:rsid w:val="00CE2159"/>
    <w:rsid w:val="00CE234A"/>
    <w:rsid w:val="00CE2FEE"/>
    <w:rsid w:val="00CE30AA"/>
    <w:rsid w:val="00CE361D"/>
    <w:rsid w:val="00CE4336"/>
    <w:rsid w:val="00CE6327"/>
    <w:rsid w:val="00CE69D8"/>
    <w:rsid w:val="00CE6A3A"/>
    <w:rsid w:val="00CE6C1E"/>
    <w:rsid w:val="00CE73D0"/>
    <w:rsid w:val="00CE78B9"/>
    <w:rsid w:val="00CF0A7A"/>
    <w:rsid w:val="00CF155B"/>
    <w:rsid w:val="00CF20FC"/>
    <w:rsid w:val="00CF298E"/>
    <w:rsid w:val="00CF2E85"/>
    <w:rsid w:val="00CF3A23"/>
    <w:rsid w:val="00CF45B5"/>
    <w:rsid w:val="00CF4631"/>
    <w:rsid w:val="00CF4BA2"/>
    <w:rsid w:val="00CF51EE"/>
    <w:rsid w:val="00CF5A4C"/>
    <w:rsid w:val="00CF6DC4"/>
    <w:rsid w:val="00CF700C"/>
    <w:rsid w:val="00D002BB"/>
    <w:rsid w:val="00D01210"/>
    <w:rsid w:val="00D0167D"/>
    <w:rsid w:val="00D01EE2"/>
    <w:rsid w:val="00D0241E"/>
    <w:rsid w:val="00D03A81"/>
    <w:rsid w:val="00D03D8B"/>
    <w:rsid w:val="00D04042"/>
    <w:rsid w:val="00D0449B"/>
    <w:rsid w:val="00D0454E"/>
    <w:rsid w:val="00D04988"/>
    <w:rsid w:val="00D04B5A"/>
    <w:rsid w:val="00D06A05"/>
    <w:rsid w:val="00D07515"/>
    <w:rsid w:val="00D078B3"/>
    <w:rsid w:val="00D07C23"/>
    <w:rsid w:val="00D07CEB"/>
    <w:rsid w:val="00D10659"/>
    <w:rsid w:val="00D116E9"/>
    <w:rsid w:val="00D12460"/>
    <w:rsid w:val="00D1285E"/>
    <w:rsid w:val="00D12D55"/>
    <w:rsid w:val="00D14530"/>
    <w:rsid w:val="00D14791"/>
    <w:rsid w:val="00D15395"/>
    <w:rsid w:val="00D158B4"/>
    <w:rsid w:val="00D16903"/>
    <w:rsid w:val="00D1691C"/>
    <w:rsid w:val="00D16E66"/>
    <w:rsid w:val="00D176A3"/>
    <w:rsid w:val="00D17C5D"/>
    <w:rsid w:val="00D17E4A"/>
    <w:rsid w:val="00D20F7B"/>
    <w:rsid w:val="00D2220B"/>
    <w:rsid w:val="00D23470"/>
    <w:rsid w:val="00D24607"/>
    <w:rsid w:val="00D24730"/>
    <w:rsid w:val="00D24F19"/>
    <w:rsid w:val="00D255CA"/>
    <w:rsid w:val="00D25F23"/>
    <w:rsid w:val="00D2618A"/>
    <w:rsid w:val="00D269D2"/>
    <w:rsid w:val="00D27511"/>
    <w:rsid w:val="00D301EF"/>
    <w:rsid w:val="00D308C4"/>
    <w:rsid w:val="00D30A3E"/>
    <w:rsid w:val="00D313BD"/>
    <w:rsid w:val="00D316C6"/>
    <w:rsid w:val="00D32E4F"/>
    <w:rsid w:val="00D33BFD"/>
    <w:rsid w:val="00D342DB"/>
    <w:rsid w:val="00D349FF"/>
    <w:rsid w:val="00D35E57"/>
    <w:rsid w:val="00D36597"/>
    <w:rsid w:val="00D3758A"/>
    <w:rsid w:val="00D41DE7"/>
    <w:rsid w:val="00D42D36"/>
    <w:rsid w:val="00D43034"/>
    <w:rsid w:val="00D43763"/>
    <w:rsid w:val="00D44673"/>
    <w:rsid w:val="00D44DAA"/>
    <w:rsid w:val="00D44E22"/>
    <w:rsid w:val="00D453E1"/>
    <w:rsid w:val="00D454B1"/>
    <w:rsid w:val="00D47264"/>
    <w:rsid w:val="00D52709"/>
    <w:rsid w:val="00D52975"/>
    <w:rsid w:val="00D52A38"/>
    <w:rsid w:val="00D52B0D"/>
    <w:rsid w:val="00D53331"/>
    <w:rsid w:val="00D533AA"/>
    <w:rsid w:val="00D53489"/>
    <w:rsid w:val="00D534C1"/>
    <w:rsid w:val="00D553CB"/>
    <w:rsid w:val="00D55943"/>
    <w:rsid w:val="00D56A70"/>
    <w:rsid w:val="00D56BE6"/>
    <w:rsid w:val="00D601C8"/>
    <w:rsid w:val="00D60268"/>
    <w:rsid w:val="00D60AEB"/>
    <w:rsid w:val="00D6190E"/>
    <w:rsid w:val="00D62EBA"/>
    <w:rsid w:val="00D6335D"/>
    <w:rsid w:val="00D633A5"/>
    <w:rsid w:val="00D6430D"/>
    <w:rsid w:val="00D66288"/>
    <w:rsid w:val="00D67DA3"/>
    <w:rsid w:val="00D70590"/>
    <w:rsid w:val="00D716E8"/>
    <w:rsid w:val="00D71EE6"/>
    <w:rsid w:val="00D724F0"/>
    <w:rsid w:val="00D725ED"/>
    <w:rsid w:val="00D72F94"/>
    <w:rsid w:val="00D73563"/>
    <w:rsid w:val="00D737C8"/>
    <w:rsid w:val="00D7389B"/>
    <w:rsid w:val="00D73AD6"/>
    <w:rsid w:val="00D7531F"/>
    <w:rsid w:val="00D76060"/>
    <w:rsid w:val="00D76FDA"/>
    <w:rsid w:val="00D76FE4"/>
    <w:rsid w:val="00D7723C"/>
    <w:rsid w:val="00D8037E"/>
    <w:rsid w:val="00D80766"/>
    <w:rsid w:val="00D80D68"/>
    <w:rsid w:val="00D81BFA"/>
    <w:rsid w:val="00D81D89"/>
    <w:rsid w:val="00D82564"/>
    <w:rsid w:val="00D83366"/>
    <w:rsid w:val="00D83B98"/>
    <w:rsid w:val="00D83F5B"/>
    <w:rsid w:val="00D85073"/>
    <w:rsid w:val="00D855DA"/>
    <w:rsid w:val="00D858F1"/>
    <w:rsid w:val="00D8637F"/>
    <w:rsid w:val="00D8660B"/>
    <w:rsid w:val="00D87DF6"/>
    <w:rsid w:val="00D90138"/>
    <w:rsid w:val="00D906C5"/>
    <w:rsid w:val="00D90E19"/>
    <w:rsid w:val="00D91275"/>
    <w:rsid w:val="00D9166A"/>
    <w:rsid w:val="00D91F3B"/>
    <w:rsid w:val="00D92109"/>
    <w:rsid w:val="00D92636"/>
    <w:rsid w:val="00D92CC3"/>
    <w:rsid w:val="00D9386B"/>
    <w:rsid w:val="00D941E7"/>
    <w:rsid w:val="00D95990"/>
    <w:rsid w:val="00D96A78"/>
    <w:rsid w:val="00D96EF2"/>
    <w:rsid w:val="00D971D4"/>
    <w:rsid w:val="00D97525"/>
    <w:rsid w:val="00D97F61"/>
    <w:rsid w:val="00DA031E"/>
    <w:rsid w:val="00DA0385"/>
    <w:rsid w:val="00DA059A"/>
    <w:rsid w:val="00DA138F"/>
    <w:rsid w:val="00DA140D"/>
    <w:rsid w:val="00DA14EE"/>
    <w:rsid w:val="00DA2FFE"/>
    <w:rsid w:val="00DA337F"/>
    <w:rsid w:val="00DA3A16"/>
    <w:rsid w:val="00DA4221"/>
    <w:rsid w:val="00DA5235"/>
    <w:rsid w:val="00DA641F"/>
    <w:rsid w:val="00DA6D7C"/>
    <w:rsid w:val="00DA6E39"/>
    <w:rsid w:val="00DA6FED"/>
    <w:rsid w:val="00DA71A5"/>
    <w:rsid w:val="00DA7FFA"/>
    <w:rsid w:val="00DB0A34"/>
    <w:rsid w:val="00DB12A6"/>
    <w:rsid w:val="00DB180C"/>
    <w:rsid w:val="00DB1879"/>
    <w:rsid w:val="00DB26B4"/>
    <w:rsid w:val="00DB3A0E"/>
    <w:rsid w:val="00DB3D99"/>
    <w:rsid w:val="00DB4594"/>
    <w:rsid w:val="00DB4D0C"/>
    <w:rsid w:val="00DB518F"/>
    <w:rsid w:val="00DB61A0"/>
    <w:rsid w:val="00DB6F9C"/>
    <w:rsid w:val="00DB7875"/>
    <w:rsid w:val="00DC004D"/>
    <w:rsid w:val="00DC0722"/>
    <w:rsid w:val="00DC15D6"/>
    <w:rsid w:val="00DC270A"/>
    <w:rsid w:val="00DC28A7"/>
    <w:rsid w:val="00DC2CBE"/>
    <w:rsid w:val="00DC301D"/>
    <w:rsid w:val="00DC3448"/>
    <w:rsid w:val="00DC3B22"/>
    <w:rsid w:val="00DC3EC8"/>
    <w:rsid w:val="00DC3F1A"/>
    <w:rsid w:val="00DC400B"/>
    <w:rsid w:val="00DC445B"/>
    <w:rsid w:val="00DC493E"/>
    <w:rsid w:val="00DC540C"/>
    <w:rsid w:val="00DC5BD3"/>
    <w:rsid w:val="00DC71C8"/>
    <w:rsid w:val="00DC7757"/>
    <w:rsid w:val="00DC77FE"/>
    <w:rsid w:val="00DD199F"/>
    <w:rsid w:val="00DD28CA"/>
    <w:rsid w:val="00DD370E"/>
    <w:rsid w:val="00DD3AFA"/>
    <w:rsid w:val="00DD5278"/>
    <w:rsid w:val="00DD6368"/>
    <w:rsid w:val="00DD66F4"/>
    <w:rsid w:val="00DD6FC6"/>
    <w:rsid w:val="00DD7A5C"/>
    <w:rsid w:val="00DE1225"/>
    <w:rsid w:val="00DE2D22"/>
    <w:rsid w:val="00DE3755"/>
    <w:rsid w:val="00DE3757"/>
    <w:rsid w:val="00DE3D1E"/>
    <w:rsid w:val="00DE603B"/>
    <w:rsid w:val="00DE61D9"/>
    <w:rsid w:val="00DE76E1"/>
    <w:rsid w:val="00DF062C"/>
    <w:rsid w:val="00DF08D6"/>
    <w:rsid w:val="00DF1327"/>
    <w:rsid w:val="00DF2814"/>
    <w:rsid w:val="00DF2A53"/>
    <w:rsid w:val="00DF300B"/>
    <w:rsid w:val="00DF33A4"/>
    <w:rsid w:val="00DF4027"/>
    <w:rsid w:val="00DF50C4"/>
    <w:rsid w:val="00DF76B7"/>
    <w:rsid w:val="00DF7C91"/>
    <w:rsid w:val="00E00134"/>
    <w:rsid w:val="00E01910"/>
    <w:rsid w:val="00E01AB0"/>
    <w:rsid w:val="00E01E57"/>
    <w:rsid w:val="00E0214E"/>
    <w:rsid w:val="00E0321A"/>
    <w:rsid w:val="00E04115"/>
    <w:rsid w:val="00E04DA6"/>
    <w:rsid w:val="00E052C7"/>
    <w:rsid w:val="00E069AE"/>
    <w:rsid w:val="00E06FE0"/>
    <w:rsid w:val="00E07352"/>
    <w:rsid w:val="00E0744D"/>
    <w:rsid w:val="00E07789"/>
    <w:rsid w:val="00E0781F"/>
    <w:rsid w:val="00E079E5"/>
    <w:rsid w:val="00E108C8"/>
    <w:rsid w:val="00E10DB6"/>
    <w:rsid w:val="00E11D97"/>
    <w:rsid w:val="00E11E16"/>
    <w:rsid w:val="00E12DB6"/>
    <w:rsid w:val="00E1367E"/>
    <w:rsid w:val="00E15228"/>
    <w:rsid w:val="00E175D5"/>
    <w:rsid w:val="00E17F91"/>
    <w:rsid w:val="00E20119"/>
    <w:rsid w:val="00E20BE4"/>
    <w:rsid w:val="00E2147D"/>
    <w:rsid w:val="00E215CF"/>
    <w:rsid w:val="00E2388B"/>
    <w:rsid w:val="00E24468"/>
    <w:rsid w:val="00E2486D"/>
    <w:rsid w:val="00E2487C"/>
    <w:rsid w:val="00E249C6"/>
    <w:rsid w:val="00E2580D"/>
    <w:rsid w:val="00E2594A"/>
    <w:rsid w:val="00E25C6B"/>
    <w:rsid w:val="00E25FA5"/>
    <w:rsid w:val="00E26B16"/>
    <w:rsid w:val="00E27748"/>
    <w:rsid w:val="00E30C74"/>
    <w:rsid w:val="00E31797"/>
    <w:rsid w:val="00E3224C"/>
    <w:rsid w:val="00E33212"/>
    <w:rsid w:val="00E33BFF"/>
    <w:rsid w:val="00E33CE5"/>
    <w:rsid w:val="00E33D5E"/>
    <w:rsid w:val="00E352DA"/>
    <w:rsid w:val="00E35EDC"/>
    <w:rsid w:val="00E409DD"/>
    <w:rsid w:val="00E41BD7"/>
    <w:rsid w:val="00E42216"/>
    <w:rsid w:val="00E42359"/>
    <w:rsid w:val="00E4263E"/>
    <w:rsid w:val="00E42EFF"/>
    <w:rsid w:val="00E430F8"/>
    <w:rsid w:val="00E434E4"/>
    <w:rsid w:val="00E4390F"/>
    <w:rsid w:val="00E4493C"/>
    <w:rsid w:val="00E449C1"/>
    <w:rsid w:val="00E44AD4"/>
    <w:rsid w:val="00E44D2E"/>
    <w:rsid w:val="00E45485"/>
    <w:rsid w:val="00E464B3"/>
    <w:rsid w:val="00E47AFB"/>
    <w:rsid w:val="00E50394"/>
    <w:rsid w:val="00E50D48"/>
    <w:rsid w:val="00E51968"/>
    <w:rsid w:val="00E51E6E"/>
    <w:rsid w:val="00E520C6"/>
    <w:rsid w:val="00E52C93"/>
    <w:rsid w:val="00E5353B"/>
    <w:rsid w:val="00E53F1A"/>
    <w:rsid w:val="00E54C4B"/>
    <w:rsid w:val="00E55782"/>
    <w:rsid w:val="00E55A46"/>
    <w:rsid w:val="00E561FA"/>
    <w:rsid w:val="00E56A4E"/>
    <w:rsid w:val="00E56C79"/>
    <w:rsid w:val="00E577EF"/>
    <w:rsid w:val="00E60B2D"/>
    <w:rsid w:val="00E60C80"/>
    <w:rsid w:val="00E62C6D"/>
    <w:rsid w:val="00E62CF5"/>
    <w:rsid w:val="00E631B2"/>
    <w:rsid w:val="00E6330F"/>
    <w:rsid w:val="00E6430A"/>
    <w:rsid w:val="00E65390"/>
    <w:rsid w:val="00E66AC1"/>
    <w:rsid w:val="00E66D90"/>
    <w:rsid w:val="00E6722F"/>
    <w:rsid w:val="00E67509"/>
    <w:rsid w:val="00E67D23"/>
    <w:rsid w:val="00E7170C"/>
    <w:rsid w:val="00E718FF"/>
    <w:rsid w:val="00E722A6"/>
    <w:rsid w:val="00E72C8A"/>
    <w:rsid w:val="00E739D0"/>
    <w:rsid w:val="00E744CE"/>
    <w:rsid w:val="00E74B3C"/>
    <w:rsid w:val="00E74B84"/>
    <w:rsid w:val="00E752DD"/>
    <w:rsid w:val="00E75379"/>
    <w:rsid w:val="00E7589C"/>
    <w:rsid w:val="00E75ED5"/>
    <w:rsid w:val="00E82A11"/>
    <w:rsid w:val="00E82B22"/>
    <w:rsid w:val="00E83310"/>
    <w:rsid w:val="00E83A15"/>
    <w:rsid w:val="00E845C4"/>
    <w:rsid w:val="00E84BED"/>
    <w:rsid w:val="00E84C16"/>
    <w:rsid w:val="00E84CFA"/>
    <w:rsid w:val="00E85188"/>
    <w:rsid w:val="00E8544A"/>
    <w:rsid w:val="00E863F2"/>
    <w:rsid w:val="00E87359"/>
    <w:rsid w:val="00E91349"/>
    <w:rsid w:val="00E914A7"/>
    <w:rsid w:val="00E92F0B"/>
    <w:rsid w:val="00E9358E"/>
    <w:rsid w:val="00E95353"/>
    <w:rsid w:val="00E960D1"/>
    <w:rsid w:val="00E968D9"/>
    <w:rsid w:val="00E96E2C"/>
    <w:rsid w:val="00E9701B"/>
    <w:rsid w:val="00E97667"/>
    <w:rsid w:val="00E979B6"/>
    <w:rsid w:val="00E97A7B"/>
    <w:rsid w:val="00EA0A2E"/>
    <w:rsid w:val="00EA116E"/>
    <w:rsid w:val="00EA13C6"/>
    <w:rsid w:val="00EA2131"/>
    <w:rsid w:val="00EA24F7"/>
    <w:rsid w:val="00EA2916"/>
    <w:rsid w:val="00EA36B1"/>
    <w:rsid w:val="00EA3EFB"/>
    <w:rsid w:val="00EA52F3"/>
    <w:rsid w:val="00EA564B"/>
    <w:rsid w:val="00EA5AE9"/>
    <w:rsid w:val="00EA63D6"/>
    <w:rsid w:val="00EB1641"/>
    <w:rsid w:val="00EB1918"/>
    <w:rsid w:val="00EB2300"/>
    <w:rsid w:val="00EB2708"/>
    <w:rsid w:val="00EB56BB"/>
    <w:rsid w:val="00EB617C"/>
    <w:rsid w:val="00EB6C18"/>
    <w:rsid w:val="00EB6E5F"/>
    <w:rsid w:val="00EB7AB0"/>
    <w:rsid w:val="00EB7C3A"/>
    <w:rsid w:val="00EB7D43"/>
    <w:rsid w:val="00EC1D76"/>
    <w:rsid w:val="00EC21D4"/>
    <w:rsid w:val="00EC24D6"/>
    <w:rsid w:val="00EC2A13"/>
    <w:rsid w:val="00EC3784"/>
    <w:rsid w:val="00EC46F8"/>
    <w:rsid w:val="00EC5909"/>
    <w:rsid w:val="00EC6A97"/>
    <w:rsid w:val="00EC6DFE"/>
    <w:rsid w:val="00EC70ED"/>
    <w:rsid w:val="00EC732F"/>
    <w:rsid w:val="00EC7D8A"/>
    <w:rsid w:val="00EC7EA7"/>
    <w:rsid w:val="00ED008C"/>
    <w:rsid w:val="00ED0346"/>
    <w:rsid w:val="00ED1EB8"/>
    <w:rsid w:val="00ED2866"/>
    <w:rsid w:val="00ED2E76"/>
    <w:rsid w:val="00ED364C"/>
    <w:rsid w:val="00ED40AD"/>
    <w:rsid w:val="00ED58B7"/>
    <w:rsid w:val="00ED5D56"/>
    <w:rsid w:val="00ED6769"/>
    <w:rsid w:val="00ED7693"/>
    <w:rsid w:val="00ED7C4F"/>
    <w:rsid w:val="00EE0060"/>
    <w:rsid w:val="00EE02DF"/>
    <w:rsid w:val="00EE06FB"/>
    <w:rsid w:val="00EE0C21"/>
    <w:rsid w:val="00EE0E95"/>
    <w:rsid w:val="00EE14C6"/>
    <w:rsid w:val="00EE31CA"/>
    <w:rsid w:val="00EE3562"/>
    <w:rsid w:val="00EE4672"/>
    <w:rsid w:val="00EE6A01"/>
    <w:rsid w:val="00EE6B51"/>
    <w:rsid w:val="00EE6B9D"/>
    <w:rsid w:val="00EE6D8D"/>
    <w:rsid w:val="00EE702B"/>
    <w:rsid w:val="00EE7B80"/>
    <w:rsid w:val="00EF113B"/>
    <w:rsid w:val="00EF11BA"/>
    <w:rsid w:val="00EF244A"/>
    <w:rsid w:val="00EF391D"/>
    <w:rsid w:val="00EF399F"/>
    <w:rsid w:val="00EF3B5F"/>
    <w:rsid w:val="00EF640F"/>
    <w:rsid w:val="00EF7827"/>
    <w:rsid w:val="00EF7B6E"/>
    <w:rsid w:val="00F00397"/>
    <w:rsid w:val="00F0096B"/>
    <w:rsid w:val="00F009BC"/>
    <w:rsid w:val="00F00D12"/>
    <w:rsid w:val="00F01486"/>
    <w:rsid w:val="00F019A6"/>
    <w:rsid w:val="00F02709"/>
    <w:rsid w:val="00F029FE"/>
    <w:rsid w:val="00F04673"/>
    <w:rsid w:val="00F047C6"/>
    <w:rsid w:val="00F04E43"/>
    <w:rsid w:val="00F05015"/>
    <w:rsid w:val="00F06004"/>
    <w:rsid w:val="00F068E8"/>
    <w:rsid w:val="00F0696C"/>
    <w:rsid w:val="00F07220"/>
    <w:rsid w:val="00F07251"/>
    <w:rsid w:val="00F07629"/>
    <w:rsid w:val="00F11383"/>
    <w:rsid w:val="00F156B3"/>
    <w:rsid w:val="00F178D0"/>
    <w:rsid w:val="00F17B3E"/>
    <w:rsid w:val="00F17CD6"/>
    <w:rsid w:val="00F20382"/>
    <w:rsid w:val="00F20655"/>
    <w:rsid w:val="00F21256"/>
    <w:rsid w:val="00F21972"/>
    <w:rsid w:val="00F219E5"/>
    <w:rsid w:val="00F22303"/>
    <w:rsid w:val="00F23119"/>
    <w:rsid w:val="00F231A9"/>
    <w:rsid w:val="00F23F0E"/>
    <w:rsid w:val="00F2404C"/>
    <w:rsid w:val="00F246F1"/>
    <w:rsid w:val="00F24A3D"/>
    <w:rsid w:val="00F2621C"/>
    <w:rsid w:val="00F262DC"/>
    <w:rsid w:val="00F26F68"/>
    <w:rsid w:val="00F276B2"/>
    <w:rsid w:val="00F27B51"/>
    <w:rsid w:val="00F27D25"/>
    <w:rsid w:val="00F27EC3"/>
    <w:rsid w:val="00F30EB0"/>
    <w:rsid w:val="00F314D3"/>
    <w:rsid w:val="00F31662"/>
    <w:rsid w:val="00F319BD"/>
    <w:rsid w:val="00F31F6E"/>
    <w:rsid w:val="00F320BB"/>
    <w:rsid w:val="00F322AA"/>
    <w:rsid w:val="00F32E8F"/>
    <w:rsid w:val="00F343C4"/>
    <w:rsid w:val="00F374FD"/>
    <w:rsid w:val="00F40316"/>
    <w:rsid w:val="00F40589"/>
    <w:rsid w:val="00F42B19"/>
    <w:rsid w:val="00F42BED"/>
    <w:rsid w:val="00F436AD"/>
    <w:rsid w:val="00F43917"/>
    <w:rsid w:val="00F43AC4"/>
    <w:rsid w:val="00F44010"/>
    <w:rsid w:val="00F443AA"/>
    <w:rsid w:val="00F44FDC"/>
    <w:rsid w:val="00F455F8"/>
    <w:rsid w:val="00F45F8B"/>
    <w:rsid w:val="00F46663"/>
    <w:rsid w:val="00F467B7"/>
    <w:rsid w:val="00F468E5"/>
    <w:rsid w:val="00F508C7"/>
    <w:rsid w:val="00F51921"/>
    <w:rsid w:val="00F51CF3"/>
    <w:rsid w:val="00F51FB9"/>
    <w:rsid w:val="00F52695"/>
    <w:rsid w:val="00F5379D"/>
    <w:rsid w:val="00F547BA"/>
    <w:rsid w:val="00F5506D"/>
    <w:rsid w:val="00F55199"/>
    <w:rsid w:val="00F55C8B"/>
    <w:rsid w:val="00F56256"/>
    <w:rsid w:val="00F56691"/>
    <w:rsid w:val="00F56B04"/>
    <w:rsid w:val="00F6056E"/>
    <w:rsid w:val="00F62145"/>
    <w:rsid w:val="00F62312"/>
    <w:rsid w:val="00F62348"/>
    <w:rsid w:val="00F62FE2"/>
    <w:rsid w:val="00F64899"/>
    <w:rsid w:val="00F64A2A"/>
    <w:rsid w:val="00F64B9F"/>
    <w:rsid w:val="00F64E0B"/>
    <w:rsid w:val="00F660FE"/>
    <w:rsid w:val="00F701F4"/>
    <w:rsid w:val="00F70238"/>
    <w:rsid w:val="00F706FE"/>
    <w:rsid w:val="00F724F0"/>
    <w:rsid w:val="00F72ADF"/>
    <w:rsid w:val="00F72BE3"/>
    <w:rsid w:val="00F732A8"/>
    <w:rsid w:val="00F73896"/>
    <w:rsid w:val="00F73D12"/>
    <w:rsid w:val="00F7438C"/>
    <w:rsid w:val="00F74F9E"/>
    <w:rsid w:val="00F7526B"/>
    <w:rsid w:val="00F758CF"/>
    <w:rsid w:val="00F769C6"/>
    <w:rsid w:val="00F770AD"/>
    <w:rsid w:val="00F77194"/>
    <w:rsid w:val="00F77445"/>
    <w:rsid w:val="00F803D9"/>
    <w:rsid w:val="00F80593"/>
    <w:rsid w:val="00F81411"/>
    <w:rsid w:val="00F81D90"/>
    <w:rsid w:val="00F81E2E"/>
    <w:rsid w:val="00F82830"/>
    <w:rsid w:val="00F834FE"/>
    <w:rsid w:val="00F84876"/>
    <w:rsid w:val="00F848AD"/>
    <w:rsid w:val="00F85D12"/>
    <w:rsid w:val="00F87AA2"/>
    <w:rsid w:val="00F90496"/>
    <w:rsid w:val="00F9053C"/>
    <w:rsid w:val="00F908D3"/>
    <w:rsid w:val="00F91A6F"/>
    <w:rsid w:val="00F91B5C"/>
    <w:rsid w:val="00F92431"/>
    <w:rsid w:val="00F93717"/>
    <w:rsid w:val="00F94161"/>
    <w:rsid w:val="00F94531"/>
    <w:rsid w:val="00F95B44"/>
    <w:rsid w:val="00F96457"/>
    <w:rsid w:val="00F9671B"/>
    <w:rsid w:val="00FA162B"/>
    <w:rsid w:val="00FA1CF1"/>
    <w:rsid w:val="00FA2022"/>
    <w:rsid w:val="00FA30FB"/>
    <w:rsid w:val="00FA3AE1"/>
    <w:rsid w:val="00FA4674"/>
    <w:rsid w:val="00FA5162"/>
    <w:rsid w:val="00FA580F"/>
    <w:rsid w:val="00FA7B3A"/>
    <w:rsid w:val="00FB0711"/>
    <w:rsid w:val="00FB0719"/>
    <w:rsid w:val="00FB221C"/>
    <w:rsid w:val="00FB24B9"/>
    <w:rsid w:val="00FB25BB"/>
    <w:rsid w:val="00FB3072"/>
    <w:rsid w:val="00FB3087"/>
    <w:rsid w:val="00FB48F1"/>
    <w:rsid w:val="00FB5738"/>
    <w:rsid w:val="00FB5F85"/>
    <w:rsid w:val="00FB5FC2"/>
    <w:rsid w:val="00FB6E47"/>
    <w:rsid w:val="00FB7594"/>
    <w:rsid w:val="00FB7BE9"/>
    <w:rsid w:val="00FB7E02"/>
    <w:rsid w:val="00FC0332"/>
    <w:rsid w:val="00FC0F3A"/>
    <w:rsid w:val="00FC2646"/>
    <w:rsid w:val="00FC2713"/>
    <w:rsid w:val="00FC301D"/>
    <w:rsid w:val="00FC37F6"/>
    <w:rsid w:val="00FC3A55"/>
    <w:rsid w:val="00FC41B2"/>
    <w:rsid w:val="00FC4DC9"/>
    <w:rsid w:val="00FC4E3D"/>
    <w:rsid w:val="00FC5538"/>
    <w:rsid w:val="00FC5B95"/>
    <w:rsid w:val="00FC6F96"/>
    <w:rsid w:val="00FC760F"/>
    <w:rsid w:val="00FD148F"/>
    <w:rsid w:val="00FD1A8D"/>
    <w:rsid w:val="00FD3495"/>
    <w:rsid w:val="00FD403A"/>
    <w:rsid w:val="00FD4811"/>
    <w:rsid w:val="00FD4C18"/>
    <w:rsid w:val="00FD4FB4"/>
    <w:rsid w:val="00FD52E1"/>
    <w:rsid w:val="00FD6F72"/>
    <w:rsid w:val="00FD7A68"/>
    <w:rsid w:val="00FD7E28"/>
    <w:rsid w:val="00FD7E58"/>
    <w:rsid w:val="00FE0025"/>
    <w:rsid w:val="00FE00F7"/>
    <w:rsid w:val="00FE0C89"/>
    <w:rsid w:val="00FE0E7A"/>
    <w:rsid w:val="00FE1778"/>
    <w:rsid w:val="00FE248C"/>
    <w:rsid w:val="00FE27B4"/>
    <w:rsid w:val="00FE353B"/>
    <w:rsid w:val="00FE3709"/>
    <w:rsid w:val="00FE4363"/>
    <w:rsid w:val="00FE578C"/>
    <w:rsid w:val="00FE6903"/>
    <w:rsid w:val="00FE6952"/>
    <w:rsid w:val="00FE77FD"/>
    <w:rsid w:val="00FF00B6"/>
    <w:rsid w:val="00FF041A"/>
    <w:rsid w:val="00FF28A6"/>
    <w:rsid w:val="00FF3216"/>
    <w:rsid w:val="00FF333C"/>
    <w:rsid w:val="00FF3521"/>
    <w:rsid w:val="00FF3536"/>
    <w:rsid w:val="00FF4D71"/>
    <w:rsid w:val="00FF50EA"/>
    <w:rsid w:val="00FF5EA4"/>
    <w:rsid w:val="00FF6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B87"/>
    <w:pPr>
      <w:widowControl w:val="0"/>
      <w:adjustRightInd w:val="0"/>
      <w:spacing w:line="360" w:lineRule="atLeast"/>
      <w:jc w:val="both"/>
      <w:textAlignment w:val="baseline"/>
    </w:pPr>
    <w:rPr>
      <w:sz w:val="24"/>
      <w:szCs w:val="24"/>
    </w:rPr>
  </w:style>
  <w:style w:type="paragraph" w:styleId="Heading1">
    <w:name w:val="heading 1"/>
    <w:basedOn w:val="Normal"/>
    <w:next w:val="Normal"/>
    <w:link w:val="Heading1Char"/>
    <w:qFormat/>
    <w:rsid w:val="009E4B87"/>
    <w:pPr>
      <w:keepNext/>
      <w:tabs>
        <w:tab w:val="left" w:pos="720"/>
      </w:tabs>
      <w:spacing w:line="480" w:lineRule="auto"/>
      <w:ind w:left="720" w:hanging="720"/>
      <w:jc w:val="center"/>
      <w:outlineLvl w:val="0"/>
    </w:pPr>
    <w:rPr>
      <w:rFonts w:ascii="Times New Roman Bold" w:hAnsi="Times New Roman Bold"/>
      <w:b/>
      <w:caps/>
    </w:rPr>
  </w:style>
  <w:style w:type="paragraph" w:styleId="Heading2">
    <w:name w:val="heading 2"/>
    <w:basedOn w:val="Normal"/>
    <w:next w:val="Normal"/>
    <w:link w:val="Heading2Char"/>
    <w:uiPriority w:val="99"/>
    <w:qFormat/>
    <w:rsid w:val="00145B5C"/>
    <w:pPr>
      <w:keepNext/>
      <w:tabs>
        <w:tab w:val="left" w:pos="720"/>
      </w:tabs>
      <w:spacing w:line="480" w:lineRule="auto"/>
      <w:outlineLvl w:val="1"/>
    </w:pPr>
    <w:rPr>
      <w:b/>
      <w:bCs/>
    </w:rPr>
  </w:style>
  <w:style w:type="paragraph" w:styleId="Heading3">
    <w:name w:val="heading 3"/>
    <w:basedOn w:val="Normal"/>
    <w:next w:val="Normal"/>
    <w:link w:val="Heading3Char"/>
    <w:qFormat/>
    <w:rsid w:val="00145B5C"/>
    <w:pPr>
      <w:keepNext/>
      <w:tabs>
        <w:tab w:val="left" w:pos="720"/>
      </w:tabs>
      <w:spacing w:line="480" w:lineRule="auto"/>
      <w:ind w:left="720" w:hanging="720"/>
      <w:outlineLvl w:val="2"/>
    </w:pPr>
    <w:rPr>
      <w:b/>
      <w:bCs/>
    </w:rPr>
  </w:style>
  <w:style w:type="paragraph" w:styleId="Heading4">
    <w:name w:val="heading 4"/>
    <w:basedOn w:val="Normal"/>
    <w:next w:val="Normal"/>
    <w:link w:val="Heading4Char"/>
    <w:qFormat/>
    <w:rsid w:val="00145B5C"/>
    <w:pPr>
      <w:keepNext/>
      <w:tabs>
        <w:tab w:val="left" w:pos="720"/>
      </w:tabs>
      <w:spacing w:line="480" w:lineRule="auto"/>
      <w:ind w:left="7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Outlinenumbered">
    <w:name w:val="Style Outline numbered"/>
    <w:basedOn w:val="NoList"/>
    <w:rsid w:val="004D142F"/>
    <w:pPr>
      <w:numPr>
        <w:numId w:val="1"/>
      </w:numPr>
    </w:pPr>
  </w:style>
  <w:style w:type="paragraph" w:styleId="FootnoteText">
    <w:name w:val="footnote text"/>
    <w:basedOn w:val="Normal"/>
    <w:link w:val="FootnoteTextChar"/>
    <w:uiPriority w:val="99"/>
    <w:rsid w:val="00C807B0"/>
    <w:pPr>
      <w:spacing w:after="120" w:line="240" w:lineRule="exact"/>
      <w:ind w:firstLine="720"/>
    </w:pPr>
    <w:rPr>
      <w:sz w:val="20"/>
      <w:szCs w:val="20"/>
    </w:rPr>
  </w:style>
  <w:style w:type="character" w:styleId="FootnoteReference">
    <w:name w:val="footnote reference"/>
    <w:uiPriority w:val="99"/>
    <w:rsid w:val="00C807B0"/>
    <w:rPr>
      <w:rFonts w:ascii="Times New Roman" w:hAnsi="Times New Roman"/>
      <w:sz w:val="24"/>
      <w:vertAlign w:val="superscript"/>
    </w:rPr>
  </w:style>
  <w:style w:type="character" w:styleId="PageNumber">
    <w:name w:val="page number"/>
    <w:rsid w:val="0082129C"/>
    <w:rPr>
      <w:rFonts w:ascii="Arial" w:hAnsi="Arial"/>
      <w:sz w:val="22"/>
    </w:rPr>
  </w:style>
  <w:style w:type="character" w:customStyle="1" w:styleId="Heading1Char">
    <w:name w:val="Heading 1 Char"/>
    <w:link w:val="Heading1"/>
    <w:rsid w:val="009E4B87"/>
    <w:rPr>
      <w:rFonts w:ascii="Times New Roman Bold" w:hAnsi="Times New Roman Bold"/>
      <w:b/>
      <w:caps/>
      <w:sz w:val="24"/>
      <w:szCs w:val="24"/>
    </w:rPr>
  </w:style>
  <w:style w:type="character" w:customStyle="1" w:styleId="Heading2Char">
    <w:name w:val="Heading 2 Char"/>
    <w:link w:val="Heading2"/>
    <w:uiPriority w:val="99"/>
    <w:rsid w:val="00145B5C"/>
    <w:rPr>
      <w:b/>
      <w:bCs/>
      <w:sz w:val="24"/>
      <w:szCs w:val="24"/>
      <w:lang w:val="en-US" w:eastAsia="en-US" w:bidi="ar-SA"/>
    </w:rPr>
  </w:style>
  <w:style w:type="character" w:customStyle="1" w:styleId="Heading3Char">
    <w:name w:val="Heading 3 Char"/>
    <w:link w:val="Heading3"/>
    <w:semiHidden/>
    <w:rsid w:val="00145B5C"/>
    <w:rPr>
      <w:b/>
      <w:bCs/>
      <w:sz w:val="24"/>
      <w:szCs w:val="24"/>
      <w:lang w:val="en-US" w:eastAsia="en-US" w:bidi="ar-SA"/>
    </w:rPr>
  </w:style>
  <w:style w:type="character" w:customStyle="1" w:styleId="Heading4Char">
    <w:name w:val="Heading 4 Char"/>
    <w:link w:val="Heading4"/>
    <w:semiHidden/>
    <w:rsid w:val="00145B5C"/>
    <w:rPr>
      <w:b/>
      <w:bCs/>
      <w:sz w:val="24"/>
      <w:szCs w:val="24"/>
      <w:lang w:val="en-US" w:eastAsia="en-US" w:bidi="ar-SA"/>
    </w:rPr>
  </w:style>
  <w:style w:type="character" w:styleId="LineNumber">
    <w:name w:val="line number"/>
    <w:rsid w:val="00145B5C"/>
    <w:rPr>
      <w:rFonts w:ascii="Times New Roman" w:hAnsi="Times New Roman" w:cs="Times New Roman"/>
      <w:sz w:val="24"/>
      <w:szCs w:val="24"/>
    </w:rPr>
  </w:style>
  <w:style w:type="paragraph" w:styleId="Header">
    <w:name w:val="header"/>
    <w:basedOn w:val="Normal"/>
    <w:link w:val="HeaderChar"/>
    <w:rsid w:val="00145B5C"/>
    <w:pPr>
      <w:tabs>
        <w:tab w:val="center" w:pos="4320"/>
        <w:tab w:val="right" w:pos="8640"/>
      </w:tabs>
    </w:pPr>
  </w:style>
  <w:style w:type="character" w:customStyle="1" w:styleId="HeaderChar">
    <w:name w:val="Header Char"/>
    <w:link w:val="Header"/>
    <w:semiHidden/>
    <w:rsid w:val="00145B5C"/>
    <w:rPr>
      <w:sz w:val="24"/>
      <w:szCs w:val="24"/>
      <w:lang w:val="en-US" w:eastAsia="en-US" w:bidi="ar-SA"/>
    </w:rPr>
  </w:style>
  <w:style w:type="paragraph" w:styleId="Footer">
    <w:name w:val="footer"/>
    <w:basedOn w:val="Normal"/>
    <w:link w:val="FooterChar"/>
    <w:uiPriority w:val="99"/>
    <w:rsid w:val="00145B5C"/>
    <w:pPr>
      <w:tabs>
        <w:tab w:val="center" w:pos="4320"/>
        <w:tab w:val="right" w:pos="8640"/>
      </w:tabs>
    </w:pPr>
  </w:style>
  <w:style w:type="character" w:customStyle="1" w:styleId="FooterChar">
    <w:name w:val="Footer Char"/>
    <w:link w:val="Footer"/>
    <w:uiPriority w:val="99"/>
    <w:semiHidden/>
    <w:rsid w:val="00145B5C"/>
    <w:rPr>
      <w:sz w:val="24"/>
      <w:szCs w:val="24"/>
      <w:lang w:val="en-US" w:eastAsia="en-US" w:bidi="ar-SA"/>
    </w:rPr>
  </w:style>
  <w:style w:type="paragraph" w:styleId="BodyTextIndent">
    <w:name w:val="Body Text Indent"/>
    <w:basedOn w:val="Normal"/>
    <w:link w:val="BodyTextIndentChar"/>
    <w:rsid w:val="00145B5C"/>
    <w:pPr>
      <w:tabs>
        <w:tab w:val="left" w:pos="720"/>
      </w:tabs>
      <w:spacing w:line="480" w:lineRule="auto"/>
    </w:pPr>
  </w:style>
  <w:style w:type="character" w:customStyle="1" w:styleId="BodyTextIndentChar">
    <w:name w:val="Body Text Indent Char"/>
    <w:link w:val="BodyTextIndent"/>
    <w:rsid w:val="00145B5C"/>
    <w:rPr>
      <w:sz w:val="24"/>
      <w:szCs w:val="24"/>
      <w:lang w:val="en-US" w:eastAsia="en-US" w:bidi="ar-SA"/>
    </w:rPr>
  </w:style>
  <w:style w:type="paragraph" w:styleId="BodyText">
    <w:name w:val="Body Text"/>
    <w:basedOn w:val="Normal"/>
    <w:link w:val="BodyTextChar"/>
    <w:rsid w:val="00145B5C"/>
    <w:pPr>
      <w:tabs>
        <w:tab w:val="left" w:pos="720"/>
      </w:tabs>
      <w:spacing w:line="480" w:lineRule="auto"/>
    </w:pPr>
  </w:style>
  <w:style w:type="character" w:customStyle="1" w:styleId="BodyTextChar">
    <w:name w:val="Body Text Char"/>
    <w:link w:val="BodyText"/>
    <w:semiHidden/>
    <w:rsid w:val="00145B5C"/>
    <w:rPr>
      <w:sz w:val="24"/>
      <w:szCs w:val="24"/>
      <w:lang w:val="en-US" w:eastAsia="en-US" w:bidi="ar-SA"/>
    </w:rPr>
  </w:style>
  <w:style w:type="paragraph" w:styleId="BodyTextIndent2">
    <w:name w:val="Body Text Indent 2"/>
    <w:basedOn w:val="Normal"/>
    <w:link w:val="BodyTextIndent2Char"/>
    <w:rsid w:val="00145B5C"/>
    <w:pPr>
      <w:tabs>
        <w:tab w:val="left" w:pos="720"/>
      </w:tabs>
      <w:spacing w:line="480" w:lineRule="auto"/>
      <w:ind w:left="720" w:hanging="720"/>
    </w:pPr>
  </w:style>
  <w:style w:type="character" w:customStyle="1" w:styleId="BodyTextIndent2Char">
    <w:name w:val="Body Text Indent 2 Char"/>
    <w:link w:val="BodyTextIndent2"/>
    <w:rsid w:val="00145B5C"/>
    <w:rPr>
      <w:sz w:val="24"/>
      <w:szCs w:val="24"/>
      <w:lang w:val="en-US" w:eastAsia="en-US" w:bidi="ar-SA"/>
    </w:rPr>
  </w:style>
  <w:style w:type="paragraph" w:styleId="BalloonText">
    <w:name w:val="Balloon Text"/>
    <w:basedOn w:val="Normal"/>
    <w:link w:val="BalloonTextChar"/>
    <w:semiHidden/>
    <w:rsid w:val="00145B5C"/>
    <w:rPr>
      <w:rFonts w:ascii="Tahoma" w:hAnsi="Tahoma" w:cs="Tahoma"/>
      <w:sz w:val="16"/>
      <w:szCs w:val="16"/>
    </w:rPr>
  </w:style>
  <w:style w:type="character" w:customStyle="1" w:styleId="BalloonTextChar">
    <w:name w:val="Balloon Text Char"/>
    <w:link w:val="BalloonText"/>
    <w:semiHidden/>
    <w:rsid w:val="00145B5C"/>
    <w:rPr>
      <w:rFonts w:ascii="Tahoma" w:hAnsi="Tahoma" w:cs="Tahoma"/>
      <w:sz w:val="16"/>
      <w:szCs w:val="16"/>
      <w:lang w:val="en-US" w:eastAsia="en-US" w:bidi="ar-SA"/>
    </w:rPr>
  </w:style>
  <w:style w:type="paragraph" w:styleId="DocumentMap">
    <w:name w:val="Document Map"/>
    <w:basedOn w:val="Normal"/>
    <w:link w:val="DocumentMapChar"/>
    <w:semiHidden/>
    <w:rsid w:val="00145B5C"/>
    <w:pPr>
      <w:shd w:val="clear" w:color="auto" w:fill="000080"/>
    </w:pPr>
    <w:rPr>
      <w:rFonts w:ascii="Tahoma" w:hAnsi="Tahoma" w:cs="Tahoma"/>
      <w:sz w:val="20"/>
      <w:szCs w:val="20"/>
    </w:rPr>
  </w:style>
  <w:style w:type="character" w:customStyle="1" w:styleId="DocumentMapChar">
    <w:name w:val="Document Map Char"/>
    <w:link w:val="DocumentMap"/>
    <w:semiHidden/>
    <w:rsid w:val="00145B5C"/>
    <w:rPr>
      <w:rFonts w:ascii="Tahoma" w:hAnsi="Tahoma" w:cs="Tahoma"/>
      <w:lang w:val="en-US" w:eastAsia="en-US" w:bidi="ar-SA"/>
    </w:rPr>
  </w:style>
  <w:style w:type="paragraph" w:customStyle="1" w:styleId="answer0">
    <w:name w:val="answer"/>
    <w:basedOn w:val="Normal"/>
    <w:rsid w:val="00145B5C"/>
    <w:pPr>
      <w:spacing w:before="120" w:after="120" w:line="480" w:lineRule="auto"/>
      <w:ind w:left="720" w:hanging="720"/>
    </w:pPr>
  </w:style>
  <w:style w:type="character" w:styleId="CommentReference">
    <w:name w:val="annotation reference"/>
    <w:uiPriority w:val="99"/>
    <w:semiHidden/>
    <w:rsid w:val="00145B5C"/>
    <w:rPr>
      <w:rFonts w:cs="Times New Roman"/>
      <w:sz w:val="16"/>
      <w:szCs w:val="16"/>
    </w:rPr>
  </w:style>
  <w:style w:type="paragraph" w:styleId="CommentText">
    <w:name w:val="annotation text"/>
    <w:basedOn w:val="Normal"/>
    <w:link w:val="CommentTextChar"/>
    <w:uiPriority w:val="99"/>
    <w:semiHidden/>
    <w:rsid w:val="00145B5C"/>
    <w:rPr>
      <w:sz w:val="20"/>
      <w:szCs w:val="20"/>
    </w:rPr>
  </w:style>
  <w:style w:type="character" w:customStyle="1" w:styleId="CommentTextChar">
    <w:name w:val="Comment Text Char"/>
    <w:link w:val="CommentText"/>
    <w:uiPriority w:val="99"/>
    <w:semiHidden/>
    <w:rsid w:val="00145B5C"/>
    <w:rPr>
      <w:lang w:val="en-US" w:eastAsia="en-US" w:bidi="ar-SA"/>
    </w:rPr>
  </w:style>
  <w:style w:type="paragraph" w:styleId="CommentSubject">
    <w:name w:val="annotation subject"/>
    <w:basedOn w:val="CommentText"/>
    <w:next w:val="CommentText"/>
    <w:link w:val="CommentSubjectChar"/>
    <w:semiHidden/>
    <w:rsid w:val="00145B5C"/>
    <w:rPr>
      <w:b/>
      <w:bCs/>
    </w:rPr>
  </w:style>
  <w:style w:type="character" w:customStyle="1" w:styleId="CommentSubjectChar">
    <w:name w:val="Comment Subject Char"/>
    <w:link w:val="CommentSubject"/>
    <w:semiHidden/>
    <w:rsid w:val="00145B5C"/>
    <w:rPr>
      <w:b/>
      <w:bCs/>
      <w:lang w:val="en-US" w:eastAsia="en-US" w:bidi="ar-SA"/>
    </w:rPr>
  </w:style>
  <w:style w:type="paragraph" w:customStyle="1" w:styleId="CharChar2CharCharCharChar">
    <w:name w:val="Char Char2 Char Char Char Char"/>
    <w:basedOn w:val="Normal"/>
    <w:rsid w:val="00145B5C"/>
    <w:pPr>
      <w:widowControl/>
      <w:adjustRightInd/>
      <w:spacing w:after="160" w:line="240" w:lineRule="exact"/>
      <w:jc w:val="left"/>
      <w:textAlignment w:val="auto"/>
    </w:pPr>
    <w:rPr>
      <w:rFonts w:ascii="Verdana" w:hAnsi="Verdana" w:cs="Verdana"/>
      <w:sz w:val="20"/>
      <w:szCs w:val="20"/>
    </w:rPr>
  </w:style>
  <w:style w:type="character" w:customStyle="1" w:styleId="FootnoteTextChar">
    <w:name w:val="Footnote Text Char"/>
    <w:link w:val="FootnoteText"/>
    <w:uiPriority w:val="99"/>
    <w:rsid w:val="00C807B0"/>
  </w:style>
  <w:style w:type="paragraph" w:customStyle="1" w:styleId="CharCharCharCharCharCharCharChar">
    <w:name w:val="Char Char Char Char Char Char Char Char"/>
    <w:basedOn w:val="Normal"/>
    <w:rsid w:val="00145B5C"/>
    <w:pPr>
      <w:widowControl/>
      <w:adjustRightInd/>
      <w:spacing w:after="160" w:line="240" w:lineRule="exact"/>
      <w:jc w:val="left"/>
      <w:textAlignment w:val="auto"/>
    </w:pPr>
    <w:rPr>
      <w:rFonts w:ascii="Verdana" w:hAnsi="Verdana" w:cs="Verdana"/>
      <w:sz w:val="20"/>
      <w:szCs w:val="20"/>
    </w:rPr>
  </w:style>
  <w:style w:type="paragraph" w:customStyle="1" w:styleId="CharChar">
    <w:name w:val="Char Char"/>
    <w:basedOn w:val="Normal"/>
    <w:rsid w:val="00145B5C"/>
    <w:pPr>
      <w:widowControl/>
      <w:adjustRightInd/>
      <w:spacing w:after="160" w:line="240" w:lineRule="exact"/>
      <w:jc w:val="left"/>
      <w:textAlignment w:val="auto"/>
    </w:pPr>
    <w:rPr>
      <w:rFonts w:ascii="Verdana" w:hAnsi="Verdana" w:cs="Verdana"/>
      <w:sz w:val="20"/>
      <w:szCs w:val="20"/>
    </w:rPr>
  </w:style>
  <w:style w:type="paragraph" w:customStyle="1" w:styleId="CharCharCharCharCharChar">
    <w:name w:val="Char Char Char Char Char Char"/>
    <w:basedOn w:val="Normal"/>
    <w:rsid w:val="00145B5C"/>
    <w:pPr>
      <w:spacing w:after="160" w:line="240" w:lineRule="exact"/>
    </w:pPr>
    <w:rPr>
      <w:rFonts w:ascii="Verdana" w:hAnsi="Verdana"/>
      <w:sz w:val="20"/>
      <w:szCs w:val="20"/>
    </w:rPr>
  </w:style>
  <w:style w:type="paragraph" w:styleId="BodyTextIndent3">
    <w:name w:val="Body Text Indent 3"/>
    <w:basedOn w:val="Normal"/>
    <w:rsid w:val="00145B5C"/>
    <w:pPr>
      <w:widowControl/>
      <w:adjustRightInd/>
      <w:spacing w:after="120" w:line="240" w:lineRule="auto"/>
      <w:ind w:left="360"/>
      <w:jc w:val="left"/>
      <w:textAlignment w:val="auto"/>
    </w:pPr>
    <w:rPr>
      <w:sz w:val="16"/>
      <w:szCs w:val="16"/>
    </w:rPr>
  </w:style>
  <w:style w:type="paragraph" w:customStyle="1" w:styleId="CharChar2CharCharCharCharCharCharChar">
    <w:name w:val="Char Char2 Char Char Char Char Char Char Char"/>
    <w:basedOn w:val="Normal"/>
    <w:rsid w:val="00145B5C"/>
    <w:pPr>
      <w:widowControl/>
      <w:adjustRightInd/>
      <w:spacing w:after="160" w:line="240" w:lineRule="exact"/>
      <w:jc w:val="left"/>
      <w:textAlignment w:val="auto"/>
    </w:pPr>
    <w:rPr>
      <w:rFonts w:ascii="Verdana" w:hAnsi="Verdana"/>
      <w:sz w:val="20"/>
      <w:szCs w:val="20"/>
    </w:rPr>
  </w:style>
  <w:style w:type="paragraph" w:styleId="ListParagraph">
    <w:name w:val="List Paragraph"/>
    <w:basedOn w:val="Normal"/>
    <w:uiPriority w:val="34"/>
    <w:qFormat/>
    <w:rsid w:val="000F4D7C"/>
    <w:pPr>
      <w:ind w:left="720"/>
      <w:contextualSpacing/>
    </w:pPr>
  </w:style>
  <w:style w:type="paragraph" w:customStyle="1" w:styleId="CharCharCharCharChar">
    <w:name w:val="Char Char Char Char Char"/>
    <w:basedOn w:val="Normal"/>
    <w:rsid w:val="00B333AF"/>
    <w:pPr>
      <w:spacing w:after="160" w:line="240" w:lineRule="exact"/>
    </w:pPr>
    <w:rPr>
      <w:rFonts w:ascii="Verdana" w:hAnsi="Verdana"/>
      <w:sz w:val="20"/>
      <w:szCs w:val="20"/>
    </w:rPr>
  </w:style>
  <w:style w:type="paragraph" w:styleId="BodyText2">
    <w:name w:val="Body Text 2"/>
    <w:basedOn w:val="Normal"/>
    <w:link w:val="BodyText2Char"/>
    <w:rsid w:val="003249BA"/>
    <w:pPr>
      <w:spacing w:after="120" w:line="480" w:lineRule="auto"/>
    </w:pPr>
  </w:style>
  <w:style w:type="character" w:customStyle="1" w:styleId="BodyText2Char">
    <w:name w:val="Body Text 2 Char"/>
    <w:link w:val="BodyText2"/>
    <w:rsid w:val="003249BA"/>
    <w:rPr>
      <w:sz w:val="24"/>
      <w:szCs w:val="24"/>
    </w:rPr>
  </w:style>
  <w:style w:type="paragraph" w:styleId="Revision">
    <w:name w:val="Revision"/>
    <w:hidden/>
    <w:uiPriority w:val="99"/>
    <w:semiHidden/>
    <w:rsid w:val="00D80D68"/>
    <w:rPr>
      <w:sz w:val="24"/>
      <w:szCs w:val="24"/>
    </w:rPr>
  </w:style>
  <w:style w:type="paragraph" w:customStyle="1" w:styleId="Default">
    <w:name w:val="Default"/>
    <w:rsid w:val="003A7C78"/>
    <w:pPr>
      <w:autoSpaceDE w:val="0"/>
      <w:autoSpaceDN w:val="0"/>
      <w:adjustRightInd w:val="0"/>
    </w:pPr>
    <w:rPr>
      <w:color w:val="000000"/>
      <w:sz w:val="24"/>
      <w:szCs w:val="24"/>
    </w:rPr>
  </w:style>
  <w:style w:type="character" w:styleId="Hyperlink">
    <w:name w:val="Hyperlink"/>
    <w:uiPriority w:val="99"/>
    <w:unhideWhenUsed/>
    <w:rsid w:val="00F94161"/>
    <w:rPr>
      <w:color w:val="0000FF"/>
      <w:u w:val="single"/>
    </w:rPr>
  </w:style>
  <w:style w:type="character" w:styleId="FollowedHyperlink">
    <w:name w:val="FollowedHyperlink"/>
    <w:rsid w:val="00F94161"/>
    <w:rPr>
      <w:color w:val="800080"/>
      <w:u w:val="single"/>
    </w:rPr>
  </w:style>
  <w:style w:type="paragraph" w:customStyle="1" w:styleId="Question">
    <w:name w:val="Question"/>
    <w:basedOn w:val="Normal"/>
    <w:next w:val="Answer"/>
    <w:link w:val="QuestionChar"/>
    <w:rsid w:val="005841E0"/>
    <w:pPr>
      <w:keepNext/>
      <w:widowControl/>
      <w:autoSpaceDE w:val="0"/>
      <w:autoSpaceDN w:val="0"/>
      <w:adjustRightInd/>
      <w:spacing w:line="480" w:lineRule="auto"/>
      <w:ind w:left="720" w:hanging="720"/>
      <w:textAlignment w:val="auto"/>
    </w:pPr>
    <w:rPr>
      <w:rFonts w:ascii="Times New Roman Bold" w:hAnsi="Times New Roman Bold"/>
      <w:b/>
    </w:rPr>
  </w:style>
  <w:style w:type="paragraph" w:customStyle="1" w:styleId="Answer">
    <w:name w:val="Answer"/>
    <w:basedOn w:val="Normal"/>
    <w:next w:val="Normal"/>
    <w:link w:val="AnswerChar1"/>
    <w:qFormat/>
    <w:rsid w:val="005841E0"/>
    <w:pPr>
      <w:widowControl/>
      <w:numPr>
        <w:numId w:val="2"/>
      </w:numPr>
      <w:autoSpaceDE w:val="0"/>
      <w:autoSpaceDN w:val="0"/>
      <w:adjustRightInd/>
      <w:spacing w:after="240" w:line="480" w:lineRule="auto"/>
      <w:textAlignment w:val="auto"/>
    </w:pPr>
  </w:style>
  <w:style w:type="character" w:customStyle="1" w:styleId="AnswerChar1">
    <w:name w:val="Answer Char1"/>
    <w:link w:val="Answer"/>
    <w:rsid w:val="005841E0"/>
    <w:rPr>
      <w:sz w:val="24"/>
      <w:szCs w:val="24"/>
    </w:rPr>
  </w:style>
  <w:style w:type="paragraph" w:customStyle="1" w:styleId="NumberedParagraphs">
    <w:name w:val="Numbered Paragraphs"/>
    <w:basedOn w:val="BodyText"/>
    <w:rsid w:val="005841E0"/>
    <w:pPr>
      <w:widowControl/>
      <w:numPr>
        <w:numId w:val="3"/>
      </w:numPr>
      <w:autoSpaceDE w:val="0"/>
      <w:autoSpaceDN w:val="0"/>
      <w:adjustRightInd/>
      <w:jc w:val="left"/>
      <w:textAlignment w:val="auto"/>
    </w:pPr>
  </w:style>
  <w:style w:type="paragraph" w:customStyle="1" w:styleId="StyleBodyTextIndentLeft0LinespacingDouble">
    <w:name w:val="Style Body Text Indent + Left:  0&quot; Line spacing:  Double"/>
    <w:basedOn w:val="BodyTextIndent"/>
    <w:rsid w:val="00B8727A"/>
    <w:pPr>
      <w:widowControl/>
      <w:tabs>
        <w:tab w:val="clear" w:pos="720"/>
      </w:tabs>
      <w:adjustRightInd/>
      <w:spacing w:after="120"/>
      <w:ind w:firstLine="720"/>
      <w:jc w:val="left"/>
      <w:textAlignment w:val="auto"/>
    </w:pPr>
    <w:rPr>
      <w:szCs w:val="20"/>
    </w:rPr>
  </w:style>
  <w:style w:type="character" w:customStyle="1" w:styleId="QuestionChar">
    <w:name w:val="Question Char"/>
    <w:basedOn w:val="DefaultParagraphFont"/>
    <w:link w:val="Question"/>
    <w:rsid w:val="00D66288"/>
    <w:rPr>
      <w:rFonts w:ascii="Times New Roman Bold" w:hAnsi="Times New Roman Bold"/>
      <w:b/>
      <w:sz w:val="24"/>
      <w:szCs w:val="24"/>
    </w:rPr>
  </w:style>
  <w:style w:type="character" w:customStyle="1" w:styleId="apple-converted-space">
    <w:name w:val="apple-converted-space"/>
    <w:basedOn w:val="DefaultParagraphFont"/>
    <w:rsid w:val="00D6430D"/>
  </w:style>
  <w:style w:type="paragraph" w:styleId="TOCHeading">
    <w:name w:val="TOC Heading"/>
    <w:basedOn w:val="Heading1"/>
    <w:next w:val="Normal"/>
    <w:uiPriority w:val="39"/>
    <w:unhideWhenUsed/>
    <w:qFormat/>
    <w:rsid w:val="002E29EB"/>
    <w:pPr>
      <w:keepLines/>
      <w:widowControl/>
      <w:tabs>
        <w:tab w:val="clear" w:pos="720"/>
      </w:tabs>
      <w:adjustRightInd/>
      <w:spacing w:before="480" w:line="276" w:lineRule="auto"/>
      <w:ind w:left="0" w:firstLine="0"/>
      <w:jc w:val="left"/>
      <w:textAlignment w:val="auto"/>
      <w:outlineLvl w:val="9"/>
    </w:pPr>
    <w:rPr>
      <w:rFonts w:asciiTheme="majorHAnsi" w:eastAsiaTheme="majorEastAsia" w:hAnsiTheme="majorHAnsi" w:cstheme="majorBidi"/>
      <w:bCs/>
      <w:caps w:val="0"/>
      <w:color w:val="365F91" w:themeColor="accent1" w:themeShade="BF"/>
      <w:sz w:val="28"/>
      <w:szCs w:val="28"/>
      <w:lang w:eastAsia="ja-JP"/>
    </w:rPr>
  </w:style>
  <w:style w:type="paragraph" w:styleId="TOC1">
    <w:name w:val="toc 1"/>
    <w:basedOn w:val="Normal"/>
    <w:next w:val="Normal"/>
    <w:autoRedefine/>
    <w:uiPriority w:val="39"/>
    <w:rsid w:val="002E29EB"/>
    <w:pPr>
      <w:spacing w:after="100"/>
    </w:pPr>
  </w:style>
  <w:style w:type="paragraph" w:styleId="TOC3">
    <w:name w:val="toc 3"/>
    <w:basedOn w:val="Normal"/>
    <w:next w:val="Normal"/>
    <w:autoRedefine/>
    <w:uiPriority w:val="39"/>
    <w:rsid w:val="002E29EB"/>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B87"/>
    <w:pPr>
      <w:widowControl w:val="0"/>
      <w:adjustRightInd w:val="0"/>
      <w:spacing w:line="360" w:lineRule="atLeast"/>
      <w:jc w:val="both"/>
      <w:textAlignment w:val="baseline"/>
    </w:pPr>
    <w:rPr>
      <w:sz w:val="24"/>
      <w:szCs w:val="24"/>
    </w:rPr>
  </w:style>
  <w:style w:type="paragraph" w:styleId="Heading1">
    <w:name w:val="heading 1"/>
    <w:basedOn w:val="Normal"/>
    <w:next w:val="Normal"/>
    <w:link w:val="Heading1Char"/>
    <w:qFormat/>
    <w:rsid w:val="009E4B87"/>
    <w:pPr>
      <w:keepNext/>
      <w:tabs>
        <w:tab w:val="left" w:pos="720"/>
      </w:tabs>
      <w:spacing w:line="480" w:lineRule="auto"/>
      <w:ind w:left="720" w:hanging="720"/>
      <w:jc w:val="center"/>
      <w:outlineLvl w:val="0"/>
    </w:pPr>
    <w:rPr>
      <w:rFonts w:ascii="Times New Roman Bold" w:hAnsi="Times New Roman Bold"/>
      <w:b/>
      <w:caps/>
    </w:rPr>
  </w:style>
  <w:style w:type="paragraph" w:styleId="Heading2">
    <w:name w:val="heading 2"/>
    <w:basedOn w:val="Normal"/>
    <w:next w:val="Normal"/>
    <w:link w:val="Heading2Char"/>
    <w:uiPriority w:val="99"/>
    <w:qFormat/>
    <w:rsid w:val="00145B5C"/>
    <w:pPr>
      <w:keepNext/>
      <w:tabs>
        <w:tab w:val="left" w:pos="720"/>
      </w:tabs>
      <w:spacing w:line="480" w:lineRule="auto"/>
      <w:outlineLvl w:val="1"/>
    </w:pPr>
    <w:rPr>
      <w:b/>
      <w:bCs/>
    </w:rPr>
  </w:style>
  <w:style w:type="paragraph" w:styleId="Heading3">
    <w:name w:val="heading 3"/>
    <w:basedOn w:val="Normal"/>
    <w:next w:val="Normal"/>
    <w:link w:val="Heading3Char"/>
    <w:qFormat/>
    <w:rsid w:val="00145B5C"/>
    <w:pPr>
      <w:keepNext/>
      <w:tabs>
        <w:tab w:val="left" w:pos="720"/>
      </w:tabs>
      <w:spacing w:line="480" w:lineRule="auto"/>
      <w:ind w:left="720" w:hanging="720"/>
      <w:outlineLvl w:val="2"/>
    </w:pPr>
    <w:rPr>
      <w:b/>
      <w:bCs/>
    </w:rPr>
  </w:style>
  <w:style w:type="paragraph" w:styleId="Heading4">
    <w:name w:val="heading 4"/>
    <w:basedOn w:val="Normal"/>
    <w:next w:val="Normal"/>
    <w:link w:val="Heading4Char"/>
    <w:qFormat/>
    <w:rsid w:val="00145B5C"/>
    <w:pPr>
      <w:keepNext/>
      <w:tabs>
        <w:tab w:val="left" w:pos="720"/>
      </w:tabs>
      <w:spacing w:line="480" w:lineRule="auto"/>
      <w:ind w:left="7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Outlinenumbered">
    <w:name w:val="Style Outline numbered"/>
    <w:basedOn w:val="NoList"/>
    <w:rsid w:val="004D142F"/>
    <w:pPr>
      <w:numPr>
        <w:numId w:val="1"/>
      </w:numPr>
    </w:pPr>
  </w:style>
  <w:style w:type="paragraph" w:styleId="FootnoteText">
    <w:name w:val="footnote text"/>
    <w:basedOn w:val="Normal"/>
    <w:link w:val="FootnoteTextChar"/>
    <w:uiPriority w:val="99"/>
    <w:rsid w:val="00C807B0"/>
    <w:pPr>
      <w:spacing w:after="120" w:line="240" w:lineRule="exact"/>
      <w:ind w:firstLine="720"/>
    </w:pPr>
    <w:rPr>
      <w:sz w:val="20"/>
      <w:szCs w:val="20"/>
    </w:rPr>
  </w:style>
  <w:style w:type="character" w:styleId="FootnoteReference">
    <w:name w:val="footnote reference"/>
    <w:uiPriority w:val="99"/>
    <w:rsid w:val="00C807B0"/>
    <w:rPr>
      <w:rFonts w:ascii="Times New Roman" w:hAnsi="Times New Roman"/>
      <w:sz w:val="24"/>
      <w:vertAlign w:val="superscript"/>
    </w:rPr>
  </w:style>
  <w:style w:type="character" w:styleId="PageNumber">
    <w:name w:val="page number"/>
    <w:rsid w:val="0082129C"/>
    <w:rPr>
      <w:rFonts w:ascii="Arial" w:hAnsi="Arial"/>
      <w:sz w:val="22"/>
    </w:rPr>
  </w:style>
  <w:style w:type="character" w:customStyle="1" w:styleId="Heading1Char">
    <w:name w:val="Heading 1 Char"/>
    <w:link w:val="Heading1"/>
    <w:rsid w:val="009E4B87"/>
    <w:rPr>
      <w:rFonts w:ascii="Times New Roman Bold" w:hAnsi="Times New Roman Bold"/>
      <w:b/>
      <w:caps/>
      <w:sz w:val="24"/>
      <w:szCs w:val="24"/>
    </w:rPr>
  </w:style>
  <w:style w:type="character" w:customStyle="1" w:styleId="Heading2Char">
    <w:name w:val="Heading 2 Char"/>
    <w:link w:val="Heading2"/>
    <w:uiPriority w:val="99"/>
    <w:rsid w:val="00145B5C"/>
    <w:rPr>
      <w:b/>
      <w:bCs/>
      <w:sz w:val="24"/>
      <w:szCs w:val="24"/>
      <w:lang w:val="en-US" w:eastAsia="en-US" w:bidi="ar-SA"/>
    </w:rPr>
  </w:style>
  <w:style w:type="character" w:customStyle="1" w:styleId="Heading3Char">
    <w:name w:val="Heading 3 Char"/>
    <w:link w:val="Heading3"/>
    <w:semiHidden/>
    <w:rsid w:val="00145B5C"/>
    <w:rPr>
      <w:b/>
      <w:bCs/>
      <w:sz w:val="24"/>
      <w:szCs w:val="24"/>
      <w:lang w:val="en-US" w:eastAsia="en-US" w:bidi="ar-SA"/>
    </w:rPr>
  </w:style>
  <w:style w:type="character" w:customStyle="1" w:styleId="Heading4Char">
    <w:name w:val="Heading 4 Char"/>
    <w:link w:val="Heading4"/>
    <w:semiHidden/>
    <w:rsid w:val="00145B5C"/>
    <w:rPr>
      <w:b/>
      <w:bCs/>
      <w:sz w:val="24"/>
      <w:szCs w:val="24"/>
      <w:lang w:val="en-US" w:eastAsia="en-US" w:bidi="ar-SA"/>
    </w:rPr>
  </w:style>
  <w:style w:type="character" w:styleId="LineNumber">
    <w:name w:val="line number"/>
    <w:rsid w:val="00145B5C"/>
    <w:rPr>
      <w:rFonts w:ascii="Times New Roman" w:hAnsi="Times New Roman" w:cs="Times New Roman"/>
      <w:sz w:val="24"/>
      <w:szCs w:val="24"/>
    </w:rPr>
  </w:style>
  <w:style w:type="paragraph" w:styleId="Header">
    <w:name w:val="header"/>
    <w:basedOn w:val="Normal"/>
    <w:link w:val="HeaderChar"/>
    <w:rsid w:val="00145B5C"/>
    <w:pPr>
      <w:tabs>
        <w:tab w:val="center" w:pos="4320"/>
        <w:tab w:val="right" w:pos="8640"/>
      </w:tabs>
    </w:pPr>
  </w:style>
  <w:style w:type="character" w:customStyle="1" w:styleId="HeaderChar">
    <w:name w:val="Header Char"/>
    <w:link w:val="Header"/>
    <w:semiHidden/>
    <w:rsid w:val="00145B5C"/>
    <w:rPr>
      <w:sz w:val="24"/>
      <w:szCs w:val="24"/>
      <w:lang w:val="en-US" w:eastAsia="en-US" w:bidi="ar-SA"/>
    </w:rPr>
  </w:style>
  <w:style w:type="paragraph" w:styleId="Footer">
    <w:name w:val="footer"/>
    <w:basedOn w:val="Normal"/>
    <w:link w:val="FooterChar"/>
    <w:uiPriority w:val="99"/>
    <w:rsid w:val="00145B5C"/>
    <w:pPr>
      <w:tabs>
        <w:tab w:val="center" w:pos="4320"/>
        <w:tab w:val="right" w:pos="8640"/>
      </w:tabs>
    </w:pPr>
  </w:style>
  <w:style w:type="character" w:customStyle="1" w:styleId="FooterChar">
    <w:name w:val="Footer Char"/>
    <w:link w:val="Footer"/>
    <w:uiPriority w:val="99"/>
    <w:semiHidden/>
    <w:rsid w:val="00145B5C"/>
    <w:rPr>
      <w:sz w:val="24"/>
      <w:szCs w:val="24"/>
      <w:lang w:val="en-US" w:eastAsia="en-US" w:bidi="ar-SA"/>
    </w:rPr>
  </w:style>
  <w:style w:type="paragraph" w:styleId="BodyTextIndent">
    <w:name w:val="Body Text Indent"/>
    <w:basedOn w:val="Normal"/>
    <w:link w:val="BodyTextIndentChar"/>
    <w:rsid w:val="00145B5C"/>
    <w:pPr>
      <w:tabs>
        <w:tab w:val="left" w:pos="720"/>
      </w:tabs>
      <w:spacing w:line="480" w:lineRule="auto"/>
    </w:pPr>
  </w:style>
  <w:style w:type="character" w:customStyle="1" w:styleId="BodyTextIndentChar">
    <w:name w:val="Body Text Indent Char"/>
    <w:link w:val="BodyTextIndent"/>
    <w:rsid w:val="00145B5C"/>
    <w:rPr>
      <w:sz w:val="24"/>
      <w:szCs w:val="24"/>
      <w:lang w:val="en-US" w:eastAsia="en-US" w:bidi="ar-SA"/>
    </w:rPr>
  </w:style>
  <w:style w:type="paragraph" w:styleId="BodyText">
    <w:name w:val="Body Text"/>
    <w:basedOn w:val="Normal"/>
    <w:link w:val="BodyTextChar"/>
    <w:rsid w:val="00145B5C"/>
    <w:pPr>
      <w:tabs>
        <w:tab w:val="left" w:pos="720"/>
      </w:tabs>
      <w:spacing w:line="480" w:lineRule="auto"/>
    </w:pPr>
  </w:style>
  <w:style w:type="character" w:customStyle="1" w:styleId="BodyTextChar">
    <w:name w:val="Body Text Char"/>
    <w:link w:val="BodyText"/>
    <w:semiHidden/>
    <w:rsid w:val="00145B5C"/>
    <w:rPr>
      <w:sz w:val="24"/>
      <w:szCs w:val="24"/>
      <w:lang w:val="en-US" w:eastAsia="en-US" w:bidi="ar-SA"/>
    </w:rPr>
  </w:style>
  <w:style w:type="paragraph" w:styleId="BodyTextIndent2">
    <w:name w:val="Body Text Indent 2"/>
    <w:basedOn w:val="Normal"/>
    <w:link w:val="BodyTextIndent2Char"/>
    <w:rsid w:val="00145B5C"/>
    <w:pPr>
      <w:tabs>
        <w:tab w:val="left" w:pos="720"/>
      </w:tabs>
      <w:spacing w:line="480" w:lineRule="auto"/>
      <w:ind w:left="720" w:hanging="720"/>
    </w:pPr>
  </w:style>
  <w:style w:type="character" w:customStyle="1" w:styleId="BodyTextIndent2Char">
    <w:name w:val="Body Text Indent 2 Char"/>
    <w:link w:val="BodyTextIndent2"/>
    <w:rsid w:val="00145B5C"/>
    <w:rPr>
      <w:sz w:val="24"/>
      <w:szCs w:val="24"/>
      <w:lang w:val="en-US" w:eastAsia="en-US" w:bidi="ar-SA"/>
    </w:rPr>
  </w:style>
  <w:style w:type="paragraph" w:styleId="BalloonText">
    <w:name w:val="Balloon Text"/>
    <w:basedOn w:val="Normal"/>
    <w:link w:val="BalloonTextChar"/>
    <w:semiHidden/>
    <w:rsid w:val="00145B5C"/>
    <w:rPr>
      <w:rFonts w:ascii="Tahoma" w:hAnsi="Tahoma" w:cs="Tahoma"/>
      <w:sz w:val="16"/>
      <w:szCs w:val="16"/>
    </w:rPr>
  </w:style>
  <w:style w:type="character" w:customStyle="1" w:styleId="BalloonTextChar">
    <w:name w:val="Balloon Text Char"/>
    <w:link w:val="BalloonText"/>
    <w:semiHidden/>
    <w:rsid w:val="00145B5C"/>
    <w:rPr>
      <w:rFonts w:ascii="Tahoma" w:hAnsi="Tahoma" w:cs="Tahoma"/>
      <w:sz w:val="16"/>
      <w:szCs w:val="16"/>
      <w:lang w:val="en-US" w:eastAsia="en-US" w:bidi="ar-SA"/>
    </w:rPr>
  </w:style>
  <w:style w:type="paragraph" w:styleId="DocumentMap">
    <w:name w:val="Document Map"/>
    <w:basedOn w:val="Normal"/>
    <w:link w:val="DocumentMapChar"/>
    <w:semiHidden/>
    <w:rsid w:val="00145B5C"/>
    <w:pPr>
      <w:shd w:val="clear" w:color="auto" w:fill="000080"/>
    </w:pPr>
    <w:rPr>
      <w:rFonts w:ascii="Tahoma" w:hAnsi="Tahoma" w:cs="Tahoma"/>
      <w:sz w:val="20"/>
      <w:szCs w:val="20"/>
    </w:rPr>
  </w:style>
  <w:style w:type="character" w:customStyle="1" w:styleId="DocumentMapChar">
    <w:name w:val="Document Map Char"/>
    <w:link w:val="DocumentMap"/>
    <w:semiHidden/>
    <w:rsid w:val="00145B5C"/>
    <w:rPr>
      <w:rFonts w:ascii="Tahoma" w:hAnsi="Tahoma" w:cs="Tahoma"/>
      <w:lang w:val="en-US" w:eastAsia="en-US" w:bidi="ar-SA"/>
    </w:rPr>
  </w:style>
  <w:style w:type="paragraph" w:customStyle="1" w:styleId="answer0">
    <w:name w:val="answer"/>
    <w:basedOn w:val="Normal"/>
    <w:rsid w:val="00145B5C"/>
    <w:pPr>
      <w:spacing w:before="120" w:after="120" w:line="480" w:lineRule="auto"/>
      <w:ind w:left="720" w:hanging="720"/>
    </w:pPr>
  </w:style>
  <w:style w:type="character" w:styleId="CommentReference">
    <w:name w:val="annotation reference"/>
    <w:uiPriority w:val="99"/>
    <w:semiHidden/>
    <w:rsid w:val="00145B5C"/>
    <w:rPr>
      <w:rFonts w:cs="Times New Roman"/>
      <w:sz w:val="16"/>
      <w:szCs w:val="16"/>
    </w:rPr>
  </w:style>
  <w:style w:type="paragraph" w:styleId="CommentText">
    <w:name w:val="annotation text"/>
    <w:basedOn w:val="Normal"/>
    <w:link w:val="CommentTextChar"/>
    <w:uiPriority w:val="99"/>
    <w:semiHidden/>
    <w:rsid w:val="00145B5C"/>
    <w:rPr>
      <w:sz w:val="20"/>
      <w:szCs w:val="20"/>
    </w:rPr>
  </w:style>
  <w:style w:type="character" w:customStyle="1" w:styleId="CommentTextChar">
    <w:name w:val="Comment Text Char"/>
    <w:link w:val="CommentText"/>
    <w:uiPriority w:val="99"/>
    <w:semiHidden/>
    <w:rsid w:val="00145B5C"/>
    <w:rPr>
      <w:lang w:val="en-US" w:eastAsia="en-US" w:bidi="ar-SA"/>
    </w:rPr>
  </w:style>
  <w:style w:type="paragraph" w:styleId="CommentSubject">
    <w:name w:val="annotation subject"/>
    <w:basedOn w:val="CommentText"/>
    <w:next w:val="CommentText"/>
    <w:link w:val="CommentSubjectChar"/>
    <w:semiHidden/>
    <w:rsid w:val="00145B5C"/>
    <w:rPr>
      <w:b/>
      <w:bCs/>
    </w:rPr>
  </w:style>
  <w:style w:type="character" w:customStyle="1" w:styleId="CommentSubjectChar">
    <w:name w:val="Comment Subject Char"/>
    <w:link w:val="CommentSubject"/>
    <w:semiHidden/>
    <w:rsid w:val="00145B5C"/>
    <w:rPr>
      <w:b/>
      <w:bCs/>
      <w:lang w:val="en-US" w:eastAsia="en-US" w:bidi="ar-SA"/>
    </w:rPr>
  </w:style>
  <w:style w:type="paragraph" w:customStyle="1" w:styleId="CharChar2CharCharCharChar">
    <w:name w:val="Char Char2 Char Char Char Char"/>
    <w:basedOn w:val="Normal"/>
    <w:rsid w:val="00145B5C"/>
    <w:pPr>
      <w:widowControl/>
      <w:adjustRightInd/>
      <w:spacing w:after="160" w:line="240" w:lineRule="exact"/>
      <w:jc w:val="left"/>
      <w:textAlignment w:val="auto"/>
    </w:pPr>
    <w:rPr>
      <w:rFonts w:ascii="Verdana" w:hAnsi="Verdana" w:cs="Verdana"/>
      <w:sz w:val="20"/>
      <w:szCs w:val="20"/>
    </w:rPr>
  </w:style>
  <w:style w:type="character" w:customStyle="1" w:styleId="FootnoteTextChar">
    <w:name w:val="Footnote Text Char"/>
    <w:link w:val="FootnoteText"/>
    <w:uiPriority w:val="99"/>
    <w:rsid w:val="00C807B0"/>
  </w:style>
  <w:style w:type="paragraph" w:customStyle="1" w:styleId="CharCharCharCharCharCharCharChar">
    <w:name w:val="Char Char Char Char Char Char Char Char"/>
    <w:basedOn w:val="Normal"/>
    <w:rsid w:val="00145B5C"/>
    <w:pPr>
      <w:widowControl/>
      <w:adjustRightInd/>
      <w:spacing w:after="160" w:line="240" w:lineRule="exact"/>
      <w:jc w:val="left"/>
      <w:textAlignment w:val="auto"/>
    </w:pPr>
    <w:rPr>
      <w:rFonts w:ascii="Verdana" w:hAnsi="Verdana" w:cs="Verdana"/>
      <w:sz w:val="20"/>
      <w:szCs w:val="20"/>
    </w:rPr>
  </w:style>
  <w:style w:type="paragraph" w:customStyle="1" w:styleId="CharChar">
    <w:name w:val="Char Char"/>
    <w:basedOn w:val="Normal"/>
    <w:rsid w:val="00145B5C"/>
    <w:pPr>
      <w:widowControl/>
      <w:adjustRightInd/>
      <w:spacing w:after="160" w:line="240" w:lineRule="exact"/>
      <w:jc w:val="left"/>
      <w:textAlignment w:val="auto"/>
    </w:pPr>
    <w:rPr>
      <w:rFonts w:ascii="Verdana" w:hAnsi="Verdana" w:cs="Verdana"/>
      <w:sz w:val="20"/>
      <w:szCs w:val="20"/>
    </w:rPr>
  </w:style>
  <w:style w:type="paragraph" w:customStyle="1" w:styleId="CharCharCharCharCharChar">
    <w:name w:val="Char Char Char Char Char Char"/>
    <w:basedOn w:val="Normal"/>
    <w:rsid w:val="00145B5C"/>
    <w:pPr>
      <w:spacing w:after="160" w:line="240" w:lineRule="exact"/>
    </w:pPr>
    <w:rPr>
      <w:rFonts w:ascii="Verdana" w:hAnsi="Verdana"/>
      <w:sz w:val="20"/>
      <w:szCs w:val="20"/>
    </w:rPr>
  </w:style>
  <w:style w:type="paragraph" w:styleId="BodyTextIndent3">
    <w:name w:val="Body Text Indent 3"/>
    <w:basedOn w:val="Normal"/>
    <w:rsid w:val="00145B5C"/>
    <w:pPr>
      <w:widowControl/>
      <w:adjustRightInd/>
      <w:spacing w:after="120" w:line="240" w:lineRule="auto"/>
      <w:ind w:left="360"/>
      <w:jc w:val="left"/>
      <w:textAlignment w:val="auto"/>
    </w:pPr>
    <w:rPr>
      <w:sz w:val="16"/>
      <w:szCs w:val="16"/>
    </w:rPr>
  </w:style>
  <w:style w:type="paragraph" w:customStyle="1" w:styleId="CharChar2CharCharCharCharCharCharChar">
    <w:name w:val="Char Char2 Char Char Char Char Char Char Char"/>
    <w:basedOn w:val="Normal"/>
    <w:rsid w:val="00145B5C"/>
    <w:pPr>
      <w:widowControl/>
      <w:adjustRightInd/>
      <w:spacing w:after="160" w:line="240" w:lineRule="exact"/>
      <w:jc w:val="left"/>
      <w:textAlignment w:val="auto"/>
    </w:pPr>
    <w:rPr>
      <w:rFonts w:ascii="Verdana" w:hAnsi="Verdana"/>
      <w:sz w:val="20"/>
      <w:szCs w:val="20"/>
    </w:rPr>
  </w:style>
  <w:style w:type="paragraph" w:styleId="ListParagraph">
    <w:name w:val="List Paragraph"/>
    <w:basedOn w:val="Normal"/>
    <w:uiPriority w:val="34"/>
    <w:qFormat/>
    <w:rsid w:val="000F4D7C"/>
    <w:pPr>
      <w:ind w:left="720"/>
      <w:contextualSpacing/>
    </w:pPr>
  </w:style>
  <w:style w:type="paragraph" w:customStyle="1" w:styleId="CharCharCharCharChar">
    <w:name w:val="Char Char Char Char Char"/>
    <w:basedOn w:val="Normal"/>
    <w:rsid w:val="00B333AF"/>
    <w:pPr>
      <w:spacing w:after="160" w:line="240" w:lineRule="exact"/>
    </w:pPr>
    <w:rPr>
      <w:rFonts w:ascii="Verdana" w:hAnsi="Verdana"/>
      <w:sz w:val="20"/>
      <w:szCs w:val="20"/>
    </w:rPr>
  </w:style>
  <w:style w:type="paragraph" w:styleId="BodyText2">
    <w:name w:val="Body Text 2"/>
    <w:basedOn w:val="Normal"/>
    <w:link w:val="BodyText2Char"/>
    <w:rsid w:val="003249BA"/>
    <w:pPr>
      <w:spacing w:after="120" w:line="480" w:lineRule="auto"/>
    </w:pPr>
  </w:style>
  <w:style w:type="character" w:customStyle="1" w:styleId="BodyText2Char">
    <w:name w:val="Body Text 2 Char"/>
    <w:link w:val="BodyText2"/>
    <w:rsid w:val="003249BA"/>
    <w:rPr>
      <w:sz w:val="24"/>
      <w:szCs w:val="24"/>
    </w:rPr>
  </w:style>
  <w:style w:type="paragraph" w:styleId="Revision">
    <w:name w:val="Revision"/>
    <w:hidden/>
    <w:uiPriority w:val="99"/>
    <w:semiHidden/>
    <w:rsid w:val="00D80D68"/>
    <w:rPr>
      <w:sz w:val="24"/>
      <w:szCs w:val="24"/>
    </w:rPr>
  </w:style>
  <w:style w:type="paragraph" w:customStyle="1" w:styleId="Default">
    <w:name w:val="Default"/>
    <w:rsid w:val="003A7C78"/>
    <w:pPr>
      <w:autoSpaceDE w:val="0"/>
      <w:autoSpaceDN w:val="0"/>
      <w:adjustRightInd w:val="0"/>
    </w:pPr>
    <w:rPr>
      <w:color w:val="000000"/>
      <w:sz w:val="24"/>
      <w:szCs w:val="24"/>
    </w:rPr>
  </w:style>
  <w:style w:type="character" w:styleId="Hyperlink">
    <w:name w:val="Hyperlink"/>
    <w:uiPriority w:val="99"/>
    <w:unhideWhenUsed/>
    <w:rsid w:val="00F94161"/>
    <w:rPr>
      <w:color w:val="0000FF"/>
      <w:u w:val="single"/>
    </w:rPr>
  </w:style>
  <w:style w:type="character" w:styleId="FollowedHyperlink">
    <w:name w:val="FollowedHyperlink"/>
    <w:rsid w:val="00F94161"/>
    <w:rPr>
      <w:color w:val="800080"/>
      <w:u w:val="single"/>
    </w:rPr>
  </w:style>
  <w:style w:type="paragraph" w:customStyle="1" w:styleId="Question">
    <w:name w:val="Question"/>
    <w:basedOn w:val="Normal"/>
    <w:next w:val="Answer"/>
    <w:link w:val="QuestionChar"/>
    <w:rsid w:val="005841E0"/>
    <w:pPr>
      <w:keepNext/>
      <w:widowControl/>
      <w:autoSpaceDE w:val="0"/>
      <w:autoSpaceDN w:val="0"/>
      <w:adjustRightInd/>
      <w:spacing w:line="480" w:lineRule="auto"/>
      <w:ind w:left="720" w:hanging="720"/>
      <w:textAlignment w:val="auto"/>
    </w:pPr>
    <w:rPr>
      <w:rFonts w:ascii="Times New Roman Bold" w:hAnsi="Times New Roman Bold"/>
      <w:b/>
    </w:rPr>
  </w:style>
  <w:style w:type="paragraph" w:customStyle="1" w:styleId="Answer">
    <w:name w:val="Answer"/>
    <w:basedOn w:val="Normal"/>
    <w:next w:val="Normal"/>
    <w:link w:val="AnswerChar1"/>
    <w:qFormat/>
    <w:rsid w:val="005841E0"/>
    <w:pPr>
      <w:widowControl/>
      <w:numPr>
        <w:numId w:val="2"/>
      </w:numPr>
      <w:autoSpaceDE w:val="0"/>
      <w:autoSpaceDN w:val="0"/>
      <w:adjustRightInd/>
      <w:spacing w:after="240" w:line="480" w:lineRule="auto"/>
      <w:textAlignment w:val="auto"/>
    </w:pPr>
  </w:style>
  <w:style w:type="character" w:customStyle="1" w:styleId="AnswerChar1">
    <w:name w:val="Answer Char1"/>
    <w:link w:val="Answer"/>
    <w:rsid w:val="005841E0"/>
    <w:rPr>
      <w:sz w:val="24"/>
      <w:szCs w:val="24"/>
    </w:rPr>
  </w:style>
  <w:style w:type="paragraph" w:customStyle="1" w:styleId="NumberedParagraphs">
    <w:name w:val="Numbered Paragraphs"/>
    <w:basedOn w:val="BodyText"/>
    <w:rsid w:val="005841E0"/>
    <w:pPr>
      <w:widowControl/>
      <w:numPr>
        <w:numId w:val="3"/>
      </w:numPr>
      <w:autoSpaceDE w:val="0"/>
      <w:autoSpaceDN w:val="0"/>
      <w:adjustRightInd/>
      <w:jc w:val="left"/>
      <w:textAlignment w:val="auto"/>
    </w:pPr>
  </w:style>
  <w:style w:type="paragraph" w:customStyle="1" w:styleId="StyleBodyTextIndentLeft0LinespacingDouble">
    <w:name w:val="Style Body Text Indent + Left:  0&quot; Line spacing:  Double"/>
    <w:basedOn w:val="BodyTextIndent"/>
    <w:rsid w:val="00B8727A"/>
    <w:pPr>
      <w:widowControl/>
      <w:tabs>
        <w:tab w:val="clear" w:pos="720"/>
      </w:tabs>
      <w:adjustRightInd/>
      <w:spacing w:after="120"/>
      <w:ind w:firstLine="720"/>
      <w:jc w:val="left"/>
      <w:textAlignment w:val="auto"/>
    </w:pPr>
    <w:rPr>
      <w:szCs w:val="20"/>
    </w:rPr>
  </w:style>
  <w:style w:type="character" w:customStyle="1" w:styleId="QuestionChar">
    <w:name w:val="Question Char"/>
    <w:basedOn w:val="DefaultParagraphFont"/>
    <w:link w:val="Question"/>
    <w:rsid w:val="00D66288"/>
    <w:rPr>
      <w:rFonts w:ascii="Times New Roman Bold" w:hAnsi="Times New Roman Bold"/>
      <w:b/>
      <w:sz w:val="24"/>
      <w:szCs w:val="24"/>
    </w:rPr>
  </w:style>
  <w:style w:type="character" w:customStyle="1" w:styleId="apple-converted-space">
    <w:name w:val="apple-converted-space"/>
    <w:basedOn w:val="DefaultParagraphFont"/>
    <w:rsid w:val="00D6430D"/>
  </w:style>
  <w:style w:type="paragraph" w:styleId="TOCHeading">
    <w:name w:val="TOC Heading"/>
    <w:basedOn w:val="Heading1"/>
    <w:next w:val="Normal"/>
    <w:uiPriority w:val="39"/>
    <w:unhideWhenUsed/>
    <w:qFormat/>
    <w:rsid w:val="002E29EB"/>
    <w:pPr>
      <w:keepLines/>
      <w:widowControl/>
      <w:tabs>
        <w:tab w:val="clear" w:pos="720"/>
      </w:tabs>
      <w:adjustRightInd/>
      <w:spacing w:before="480" w:line="276" w:lineRule="auto"/>
      <w:ind w:left="0" w:firstLine="0"/>
      <w:jc w:val="left"/>
      <w:textAlignment w:val="auto"/>
      <w:outlineLvl w:val="9"/>
    </w:pPr>
    <w:rPr>
      <w:rFonts w:asciiTheme="majorHAnsi" w:eastAsiaTheme="majorEastAsia" w:hAnsiTheme="majorHAnsi" w:cstheme="majorBidi"/>
      <w:bCs/>
      <w:caps w:val="0"/>
      <w:color w:val="365F91" w:themeColor="accent1" w:themeShade="BF"/>
      <w:sz w:val="28"/>
      <w:szCs w:val="28"/>
      <w:lang w:eastAsia="ja-JP"/>
    </w:rPr>
  </w:style>
  <w:style w:type="paragraph" w:styleId="TOC1">
    <w:name w:val="toc 1"/>
    <w:basedOn w:val="Normal"/>
    <w:next w:val="Normal"/>
    <w:autoRedefine/>
    <w:uiPriority w:val="39"/>
    <w:rsid w:val="002E29EB"/>
    <w:pPr>
      <w:spacing w:after="100"/>
    </w:pPr>
  </w:style>
  <w:style w:type="paragraph" w:styleId="TOC3">
    <w:name w:val="toc 3"/>
    <w:basedOn w:val="Normal"/>
    <w:next w:val="Normal"/>
    <w:autoRedefine/>
    <w:uiPriority w:val="39"/>
    <w:rsid w:val="002E29EB"/>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77796">
      <w:bodyDiv w:val="1"/>
      <w:marLeft w:val="0"/>
      <w:marRight w:val="0"/>
      <w:marTop w:val="0"/>
      <w:marBottom w:val="0"/>
      <w:divBdr>
        <w:top w:val="none" w:sz="0" w:space="0" w:color="auto"/>
        <w:left w:val="none" w:sz="0" w:space="0" w:color="auto"/>
        <w:bottom w:val="none" w:sz="0" w:space="0" w:color="auto"/>
        <w:right w:val="none" w:sz="0" w:space="0" w:color="auto"/>
      </w:divBdr>
    </w:div>
    <w:div w:id="47146123">
      <w:bodyDiv w:val="1"/>
      <w:marLeft w:val="0"/>
      <w:marRight w:val="0"/>
      <w:marTop w:val="0"/>
      <w:marBottom w:val="0"/>
      <w:divBdr>
        <w:top w:val="none" w:sz="0" w:space="0" w:color="auto"/>
        <w:left w:val="none" w:sz="0" w:space="0" w:color="auto"/>
        <w:bottom w:val="none" w:sz="0" w:space="0" w:color="auto"/>
        <w:right w:val="none" w:sz="0" w:space="0" w:color="auto"/>
      </w:divBdr>
    </w:div>
    <w:div w:id="123430707">
      <w:bodyDiv w:val="1"/>
      <w:marLeft w:val="0"/>
      <w:marRight w:val="0"/>
      <w:marTop w:val="0"/>
      <w:marBottom w:val="0"/>
      <w:divBdr>
        <w:top w:val="none" w:sz="0" w:space="0" w:color="auto"/>
        <w:left w:val="none" w:sz="0" w:space="0" w:color="auto"/>
        <w:bottom w:val="none" w:sz="0" w:space="0" w:color="auto"/>
        <w:right w:val="none" w:sz="0" w:space="0" w:color="auto"/>
      </w:divBdr>
    </w:div>
    <w:div w:id="129369530">
      <w:bodyDiv w:val="1"/>
      <w:marLeft w:val="0"/>
      <w:marRight w:val="0"/>
      <w:marTop w:val="0"/>
      <w:marBottom w:val="0"/>
      <w:divBdr>
        <w:top w:val="none" w:sz="0" w:space="0" w:color="auto"/>
        <w:left w:val="none" w:sz="0" w:space="0" w:color="auto"/>
        <w:bottom w:val="none" w:sz="0" w:space="0" w:color="auto"/>
        <w:right w:val="none" w:sz="0" w:space="0" w:color="auto"/>
      </w:divBdr>
    </w:div>
    <w:div w:id="138884672">
      <w:bodyDiv w:val="1"/>
      <w:marLeft w:val="0"/>
      <w:marRight w:val="0"/>
      <w:marTop w:val="0"/>
      <w:marBottom w:val="0"/>
      <w:divBdr>
        <w:top w:val="none" w:sz="0" w:space="0" w:color="auto"/>
        <w:left w:val="none" w:sz="0" w:space="0" w:color="auto"/>
        <w:bottom w:val="none" w:sz="0" w:space="0" w:color="auto"/>
        <w:right w:val="none" w:sz="0" w:space="0" w:color="auto"/>
      </w:divBdr>
    </w:div>
    <w:div w:id="154348682">
      <w:bodyDiv w:val="1"/>
      <w:marLeft w:val="0"/>
      <w:marRight w:val="0"/>
      <w:marTop w:val="0"/>
      <w:marBottom w:val="0"/>
      <w:divBdr>
        <w:top w:val="none" w:sz="0" w:space="0" w:color="auto"/>
        <w:left w:val="none" w:sz="0" w:space="0" w:color="auto"/>
        <w:bottom w:val="none" w:sz="0" w:space="0" w:color="auto"/>
        <w:right w:val="none" w:sz="0" w:space="0" w:color="auto"/>
      </w:divBdr>
    </w:div>
    <w:div w:id="158161447">
      <w:bodyDiv w:val="1"/>
      <w:marLeft w:val="0"/>
      <w:marRight w:val="0"/>
      <w:marTop w:val="0"/>
      <w:marBottom w:val="0"/>
      <w:divBdr>
        <w:top w:val="none" w:sz="0" w:space="0" w:color="auto"/>
        <w:left w:val="none" w:sz="0" w:space="0" w:color="auto"/>
        <w:bottom w:val="none" w:sz="0" w:space="0" w:color="auto"/>
        <w:right w:val="none" w:sz="0" w:space="0" w:color="auto"/>
      </w:divBdr>
    </w:div>
    <w:div w:id="174196206">
      <w:bodyDiv w:val="1"/>
      <w:marLeft w:val="0"/>
      <w:marRight w:val="0"/>
      <w:marTop w:val="0"/>
      <w:marBottom w:val="0"/>
      <w:divBdr>
        <w:top w:val="none" w:sz="0" w:space="0" w:color="auto"/>
        <w:left w:val="none" w:sz="0" w:space="0" w:color="auto"/>
        <w:bottom w:val="none" w:sz="0" w:space="0" w:color="auto"/>
        <w:right w:val="none" w:sz="0" w:space="0" w:color="auto"/>
      </w:divBdr>
    </w:div>
    <w:div w:id="198050240">
      <w:bodyDiv w:val="1"/>
      <w:marLeft w:val="0"/>
      <w:marRight w:val="0"/>
      <w:marTop w:val="0"/>
      <w:marBottom w:val="0"/>
      <w:divBdr>
        <w:top w:val="none" w:sz="0" w:space="0" w:color="auto"/>
        <w:left w:val="none" w:sz="0" w:space="0" w:color="auto"/>
        <w:bottom w:val="none" w:sz="0" w:space="0" w:color="auto"/>
        <w:right w:val="none" w:sz="0" w:space="0" w:color="auto"/>
      </w:divBdr>
    </w:div>
    <w:div w:id="250480035">
      <w:bodyDiv w:val="1"/>
      <w:marLeft w:val="0"/>
      <w:marRight w:val="0"/>
      <w:marTop w:val="0"/>
      <w:marBottom w:val="0"/>
      <w:divBdr>
        <w:top w:val="none" w:sz="0" w:space="0" w:color="auto"/>
        <w:left w:val="none" w:sz="0" w:space="0" w:color="auto"/>
        <w:bottom w:val="none" w:sz="0" w:space="0" w:color="auto"/>
        <w:right w:val="none" w:sz="0" w:space="0" w:color="auto"/>
      </w:divBdr>
    </w:div>
    <w:div w:id="269166895">
      <w:bodyDiv w:val="1"/>
      <w:marLeft w:val="0"/>
      <w:marRight w:val="0"/>
      <w:marTop w:val="0"/>
      <w:marBottom w:val="0"/>
      <w:divBdr>
        <w:top w:val="none" w:sz="0" w:space="0" w:color="auto"/>
        <w:left w:val="none" w:sz="0" w:space="0" w:color="auto"/>
        <w:bottom w:val="none" w:sz="0" w:space="0" w:color="auto"/>
        <w:right w:val="none" w:sz="0" w:space="0" w:color="auto"/>
      </w:divBdr>
    </w:div>
    <w:div w:id="293566196">
      <w:bodyDiv w:val="1"/>
      <w:marLeft w:val="0"/>
      <w:marRight w:val="0"/>
      <w:marTop w:val="0"/>
      <w:marBottom w:val="0"/>
      <w:divBdr>
        <w:top w:val="none" w:sz="0" w:space="0" w:color="auto"/>
        <w:left w:val="none" w:sz="0" w:space="0" w:color="auto"/>
        <w:bottom w:val="none" w:sz="0" w:space="0" w:color="auto"/>
        <w:right w:val="none" w:sz="0" w:space="0" w:color="auto"/>
      </w:divBdr>
    </w:div>
    <w:div w:id="294415009">
      <w:bodyDiv w:val="1"/>
      <w:marLeft w:val="0"/>
      <w:marRight w:val="0"/>
      <w:marTop w:val="0"/>
      <w:marBottom w:val="0"/>
      <w:divBdr>
        <w:top w:val="none" w:sz="0" w:space="0" w:color="auto"/>
        <w:left w:val="none" w:sz="0" w:space="0" w:color="auto"/>
        <w:bottom w:val="none" w:sz="0" w:space="0" w:color="auto"/>
        <w:right w:val="none" w:sz="0" w:space="0" w:color="auto"/>
      </w:divBdr>
    </w:div>
    <w:div w:id="295337361">
      <w:bodyDiv w:val="1"/>
      <w:marLeft w:val="0"/>
      <w:marRight w:val="0"/>
      <w:marTop w:val="0"/>
      <w:marBottom w:val="0"/>
      <w:divBdr>
        <w:top w:val="none" w:sz="0" w:space="0" w:color="auto"/>
        <w:left w:val="none" w:sz="0" w:space="0" w:color="auto"/>
        <w:bottom w:val="none" w:sz="0" w:space="0" w:color="auto"/>
        <w:right w:val="none" w:sz="0" w:space="0" w:color="auto"/>
      </w:divBdr>
    </w:div>
    <w:div w:id="317004232">
      <w:bodyDiv w:val="1"/>
      <w:marLeft w:val="0"/>
      <w:marRight w:val="0"/>
      <w:marTop w:val="0"/>
      <w:marBottom w:val="0"/>
      <w:divBdr>
        <w:top w:val="none" w:sz="0" w:space="0" w:color="auto"/>
        <w:left w:val="none" w:sz="0" w:space="0" w:color="auto"/>
        <w:bottom w:val="none" w:sz="0" w:space="0" w:color="auto"/>
        <w:right w:val="none" w:sz="0" w:space="0" w:color="auto"/>
      </w:divBdr>
    </w:div>
    <w:div w:id="472409843">
      <w:bodyDiv w:val="1"/>
      <w:marLeft w:val="0"/>
      <w:marRight w:val="0"/>
      <w:marTop w:val="0"/>
      <w:marBottom w:val="0"/>
      <w:divBdr>
        <w:top w:val="none" w:sz="0" w:space="0" w:color="auto"/>
        <w:left w:val="none" w:sz="0" w:space="0" w:color="auto"/>
        <w:bottom w:val="none" w:sz="0" w:space="0" w:color="auto"/>
        <w:right w:val="none" w:sz="0" w:space="0" w:color="auto"/>
      </w:divBdr>
    </w:div>
    <w:div w:id="507983555">
      <w:bodyDiv w:val="1"/>
      <w:marLeft w:val="0"/>
      <w:marRight w:val="0"/>
      <w:marTop w:val="0"/>
      <w:marBottom w:val="0"/>
      <w:divBdr>
        <w:top w:val="none" w:sz="0" w:space="0" w:color="auto"/>
        <w:left w:val="none" w:sz="0" w:space="0" w:color="auto"/>
        <w:bottom w:val="none" w:sz="0" w:space="0" w:color="auto"/>
        <w:right w:val="none" w:sz="0" w:space="0" w:color="auto"/>
      </w:divBdr>
    </w:div>
    <w:div w:id="517934267">
      <w:bodyDiv w:val="1"/>
      <w:marLeft w:val="0"/>
      <w:marRight w:val="0"/>
      <w:marTop w:val="0"/>
      <w:marBottom w:val="0"/>
      <w:divBdr>
        <w:top w:val="none" w:sz="0" w:space="0" w:color="auto"/>
        <w:left w:val="none" w:sz="0" w:space="0" w:color="auto"/>
        <w:bottom w:val="none" w:sz="0" w:space="0" w:color="auto"/>
        <w:right w:val="none" w:sz="0" w:space="0" w:color="auto"/>
      </w:divBdr>
    </w:div>
    <w:div w:id="543248015">
      <w:bodyDiv w:val="1"/>
      <w:marLeft w:val="0"/>
      <w:marRight w:val="0"/>
      <w:marTop w:val="0"/>
      <w:marBottom w:val="0"/>
      <w:divBdr>
        <w:top w:val="none" w:sz="0" w:space="0" w:color="auto"/>
        <w:left w:val="none" w:sz="0" w:space="0" w:color="auto"/>
        <w:bottom w:val="none" w:sz="0" w:space="0" w:color="auto"/>
        <w:right w:val="none" w:sz="0" w:space="0" w:color="auto"/>
      </w:divBdr>
    </w:div>
    <w:div w:id="571741114">
      <w:bodyDiv w:val="1"/>
      <w:marLeft w:val="0"/>
      <w:marRight w:val="0"/>
      <w:marTop w:val="0"/>
      <w:marBottom w:val="0"/>
      <w:divBdr>
        <w:top w:val="none" w:sz="0" w:space="0" w:color="auto"/>
        <w:left w:val="none" w:sz="0" w:space="0" w:color="auto"/>
        <w:bottom w:val="none" w:sz="0" w:space="0" w:color="auto"/>
        <w:right w:val="none" w:sz="0" w:space="0" w:color="auto"/>
      </w:divBdr>
    </w:div>
    <w:div w:id="584414005">
      <w:bodyDiv w:val="1"/>
      <w:marLeft w:val="0"/>
      <w:marRight w:val="0"/>
      <w:marTop w:val="0"/>
      <w:marBottom w:val="0"/>
      <w:divBdr>
        <w:top w:val="none" w:sz="0" w:space="0" w:color="auto"/>
        <w:left w:val="none" w:sz="0" w:space="0" w:color="auto"/>
        <w:bottom w:val="none" w:sz="0" w:space="0" w:color="auto"/>
        <w:right w:val="none" w:sz="0" w:space="0" w:color="auto"/>
      </w:divBdr>
    </w:div>
    <w:div w:id="604729260">
      <w:bodyDiv w:val="1"/>
      <w:marLeft w:val="0"/>
      <w:marRight w:val="0"/>
      <w:marTop w:val="0"/>
      <w:marBottom w:val="0"/>
      <w:divBdr>
        <w:top w:val="none" w:sz="0" w:space="0" w:color="auto"/>
        <w:left w:val="none" w:sz="0" w:space="0" w:color="auto"/>
        <w:bottom w:val="none" w:sz="0" w:space="0" w:color="auto"/>
        <w:right w:val="none" w:sz="0" w:space="0" w:color="auto"/>
      </w:divBdr>
    </w:div>
    <w:div w:id="606236972">
      <w:bodyDiv w:val="1"/>
      <w:marLeft w:val="0"/>
      <w:marRight w:val="0"/>
      <w:marTop w:val="0"/>
      <w:marBottom w:val="0"/>
      <w:divBdr>
        <w:top w:val="none" w:sz="0" w:space="0" w:color="auto"/>
        <w:left w:val="none" w:sz="0" w:space="0" w:color="auto"/>
        <w:bottom w:val="none" w:sz="0" w:space="0" w:color="auto"/>
        <w:right w:val="none" w:sz="0" w:space="0" w:color="auto"/>
      </w:divBdr>
    </w:div>
    <w:div w:id="700864372">
      <w:bodyDiv w:val="1"/>
      <w:marLeft w:val="0"/>
      <w:marRight w:val="0"/>
      <w:marTop w:val="0"/>
      <w:marBottom w:val="0"/>
      <w:divBdr>
        <w:top w:val="none" w:sz="0" w:space="0" w:color="auto"/>
        <w:left w:val="none" w:sz="0" w:space="0" w:color="auto"/>
        <w:bottom w:val="none" w:sz="0" w:space="0" w:color="auto"/>
        <w:right w:val="none" w:sz="0" w:space="0" w:color="auto"/>
      </w:divBdr>
    </w:div>
    <w:div w:id="722867205">
      <w:bodyDiv w:val="1"/>
      <w:marLeft w:val="0"/>
      <w:marRight w:val="0"/>
      <w:marTop w:val="0"/>
      <w:marBottom w:val="0"/>
      <w:divBdr>
        <w:top w:val="none" w:sz="0" w:space="0" w:color="auto"/>
        <w:left w:val="none" w:sz="0" w:space="0" w:color="auto"/>
        <w:bottom w:val="none" w:sz="0" w:space="0" w:color="auto"/>
        <w:right w:val="none" w:sz="0" w:space="0" w:color="auto"/>
      </w:divBdr>
    </w:div>
    <w:div w:id="805198782">
      <w:bodyDiv w:val="1"/>
      <w:marLeft w:val="0"/>
      <w:marRight w:val="0"/>
      <w:marTop w:val="0"/>
      <w:marBottom w:val="0"/>
      <w:divBdr>
        <w:top w:val="none" w:sz="0" w:space="0" w:color="auto"/>
        <w:left w:val="none" w:sz="0" w:space="0" w:color="auto"/>
        <w:bottom w:val="none" w:sz="0" w:space="0" w:color="auto"/>
        <w:right w:val="none" w:sz="0" w:space="0" w:color="auto"/>
      </w:divBdr>
    </w:div>
    <w:div w:id="853762498">
      <w:bodyDiv w:val="1"/>
      <w:marLeft w:val="0"/>
      <w:marRight w:val="0"/>
      <w:marTop w:val="0"/>
      <w:marBottom w:val="0"/>
      <w:divBdr>
        <w:top w:val="none" w:sz="0" w:space="0" w:color="auto"/>
        <w:left w:val="none" w:sz="0" w:space="0" w:color="auto"/>
        <w:bottom w:val="none" w:sz="0" w:space="0" w:color="auto"/>
        <w:right w:val="none" w:sz="0" w:space="0" w:color="auto"/>
      </w:divBdr>
    </w:div>
    <w:div w:id="867258171">
      <w:bodyDiv w:val="1"/>
      <w:marLeft w:val="0"/>
      <w:marRight w:val="0"/>
      <w:marTop w:val="0"/>
      <w:marBottom w:val="0"/>
      <w:divBdr>
        <w:top w:val="none" w:sz="0" w:space="0" w:color="auto"/>
        <w:left w:val="none" w:sz="0" w:space="0" w:color="auto"/>
        <w:bottom w:val="none" w:sz="0" w:space="0" w:color="auto"/>
        <w:right w:val="none" w:sz="0" w:space="0" w:color="auto"/>
      </w:divBdr>
    </w:div>
    <w:div w:id="883373667">
      <w:bodyDiv w:val="1"/>
      <w:marLeft w:val="0"/>
      <w:marRight w:val="0"/>
      <w:marTop w:val="0"/>
      <w:marBottom w:val="0"/>
      <w:divBdr>
        <w:top w:val="none" w:sz="0" w:space="0" w:color="auto"/>
        <w:left w:val="none" w:sz="0" w:space="0" w:color="auto"/>
        <w:bottom w:val="none" w:sz="0" w:space="0" w:color="auto"/>
        <w:right w:val="none" w:sz="0" w:space="0" w:color="auto"/>
      </w:divBdr>
    </w:div>
    <w:div w:id="926041361">
      <w:bodyDiv w:val="1"/>
      <w:marLeft w:val="0"/>
      <w:marRight w:val="0"/>
      <w:marTop w:val="0"/>
      <w:marBottom w:val="0"/>
      <w:divBdr>
        <w:top w:val="none" w:sz="0" w:space="0" w:color="auto"/>
        <w:left w:val="none" w:sz="0" w:space="0" w:color="auto"/>
        <w:bottom w:val="none" w:sz="0" w:space="0" w:color="auto"/>
        <w:right w:val="none" w:sz="0" w:space="0" w:color="auto"/>
      </w:divBdr>
    </w:div>
    <w:div w:id="1036933664">
      <w:bodyDiv w:val="1"/>
      <w:marLeft w:val="0"/>
      <w:marRight w:val="0"/>
      <w:marTop w:val="0"/>
      <w:marBottom w:val="0"/>
      <w:divBdr>
        <w:top w:val="none" w:sz="0" w:space="0" w:color="auto"/>
        <w:left w:val="none" w:sz="0" w:space="0" w:color="auto"/>
        <w:bottom w:val="none" w:sz="0" w:space="0" w:color="auto"/>
        <w:right w:val="none" w:sz="0" w:space="0" w:color="auto"/>
      </w:divBdr>
    </w:div>
    <w:div w:id="1157110314">
      <w:bodyDiv w:val="1"/>
      <w:marLeft w:val="0"/>
      <w:marRight w:val="0"/>
      <w:marTop w:val="0"/>
      <w:marBottom w:val="0"/>
      <w:divBdr>
        <w:top w:val="none" w:sz="0" w:space="0" w:color="auto"/>
        <w:left w:val="none" w:sz="0" w:space="0" w:color="auto"/>
        <w:bottom w:val="none" w:sz="0" w:space="0" w:color="auto"/>
        <w:right w:val="none" w:sz="0" w:space="0" w:color="auto"/>
      </w:divBdr>
    </w:div>
    <w:div w:id="1158695322">
      <w:bodyDiv w:val="1"/>
      <w:marLeft w:val="0"/>
      <w:marRight w:val="0"/>
      <w:marTop w:val="0"/>
      <w:marBottom w:val="0"/>
      <w:divBdr>
        <w:top w:val="none" w:sz="0" w:space="0" w:color="auto"/>
        <w:left w:val="none" w:sz="0" w:space="0" w:color="auto"/>
        <w:bottom w:val="none" w:sz="0" w:space="0" w:color="auto"/>
        <w:right w:val="none" w:sz="0" w:space="0" w:color="auto"/>
      </w:divBdr>
    </w:div>
    <w:div w:id="1164591738">
      <w:bodyDiv w:val="1"/>
      <w:marLeft w:val="0"/>
      <w:marRight w:val="0"/>
      <w:marTop w:val="0"/>
      <w:marBottom w:val="0"/>
      <w:divBdr>
        <w:top w:val="none" w:sz="0" w:space="0" w:color="auto"/>
        <w:left w:val="none" w:sz="0" w:space="0" w:color="auto"/>
        <w:bottom w:val="none" w:sz="0" w:space="0" w:color="auto"/>
        <w:right w:val="none" w:sz="0" w:space="0" w:color="auto"/>
      </w:divBdr>
    </w:div>
    <w:div w:id="1165167244">
      <w:bodyDiv w:val="1"/>
      <w:marLeft w:val="0"/>
      <w:marRight w:val="0"/>
      <w:marTop w:val="0"/>
      <w:marBottom w:val="0"/>
      <w:divBdr>
        <w:top w:val="none" w:sz="0" w:space="0" w:color="auto"/>
        <w:left w:val="none" w:sz="0" w:space="0" w:color="auto"/>
        <w:bottom w:val="none" w:sz="0" w:space="0" w:color="auto"/>
        <w:right w:val="none" w:sz="0" w:space="0" w:color="auto"/>
      </w:divBdr>
    </w:div>
    <w:div w:id="1176649225">
      <w:bodyDiv w:val="1"/>
      <w:marLeft w:val="0"/>
      <w:marRight w:val="0"/>
      <w:marTop w:val="0"/>
      <w:marBottom w:val="0"/>
      <w:divBdr>
        <w:top w:val="none" w:sz="0" w:space="0" w:color="auto"/>
        <w:left w:val="none" w:sz="0" w:space="0" w:color="auto"/>
        <w:bottom w:val="none" w:sz="0" w:space="0" w:color="auto"/>
        <w:right w:val="none" w:sz="0" w:space="0" w:color="auto"/>
      </w:divBdr>
    </w:div>
    <w:div w:id="1201019024">
      <w:bodyDiv w:val="1"/>
      <w:marLeft w:val="0"/>
      <w:marRight w:val="0"/>
      <w:marTop w:val="0"/>
      <w:marBottom w:val="0"/>
      <w:divBdr>
        <w:top w:val="none" w:sz="0" w:space="0" w:color="auto"/>
        <w:left w:val="none" w:sz="0" w:space="0" w:color="auto"/>
        <w:bottom w:val="none" w:sz="0" w:space="0" w:color="auto"/>
        <w:right w:val="none" w:sz="0" w:space="0" w:color="auto"/>
      </w:divBdr>
    </w:div>
    <w:div w:id="1237012065">
      <w:bodyDiv w:val="1"/>
      <w:marLeft w:val="0"/>
      <w:marRight w:val="0"/>
      <w:marTop w:val="0"/>
      <w:marBottom w:val="0"/>
      <w:divBdr>
        <w:top w:val="none" w:sz="0" w:space="0" w:color="auto"/>
        <w:left w:val="none" w:sz="0" w:space="0" w:color="auto"/>
        <w:bottom w:val="none" w:sz="0" w:space="0" w:color="auto"/>
        <w:right w:val="none" w:sz="0" w:space="0" w:color="auto"/>
      </w:divBdr>
    </w:div>
    <w:div w:id="1246454909">
      <w:bodyDiv w:val="1"/>
      <w:marLeft w:val="0"/>
      <w:marRight w:val="0"/>
      <w:marTop w:val="0"/>
      <w:marBottom w:val="0"/>
      <w:divBdr>
        <w:top w:val="none" w:sz="0" w:space="0" w:color="auto"/>
        <w:left w:val="none" w:sz="0" w:space="0" w:color="auto"/>
        <w:bottom w:val="none" w:sz="0" w:space="0" w:color="auto"/>
        <w:right w:val="none" w:sz="0" w:space="0" w:color="auto"/>
      </w:divBdr>
    </w:div>
    <w:div w:id="1393701354">
      <w:bodyDiv w:val="1"/>
      <w:marLeft w:val="0"/>
      <w:marRight w:val="0"/>
      <w:marTop w:val="0"/>
      <w:marBottom w:val="0"/>
      <w:divBdr>
        <w:top w:val="none" w:sz="0" w:space="0" w:color="auto"/>
        <w:left w:val="none" w:sz="0" w:space="0" w:color="auto"/>
        <w:bottom w:val="none" w:sz="0" w:space="0" w:color="auto"/>
        <w:right w:val="none" w:sz="0" w:space="0" w:color="auto"/>
      </w:divBdr>
    </w:div>
    <w:div w:id="1424108028">
      <w:bodyDiv w:val="1"/>
      <w:marLeft w:val="0"/>
      <w:marRight w:val="0"/>
      <w:marTop w:val="0"/>
      <w:marBottom w:val="0"/>
      <w:divBdr>
        <w:top w:val="none" w:sz="0" w:space="0" w:color="auto"/>
        <w:left w:val="none" w:sz="0" w:space="0" w:color="auto"/>
        <w:bottom w:val="none" w:sz="0" w:space="0" w:color="auto"/>
        <w:right w:val="none" w:sz="0" w:space="0" w:color="auto"/>
      </w:divBdr>
    </w:div>
    <w:div w:id="1435594749">
      <w:bodyDiv w:val="1"/>
      <w:marLeft w:val="0"/>
      <w:marRight w:val="0"/>
      <w:marTop w:val="0"/>
      <w:marBottom w:val="0"/>
      <w:divBdr>
        <w:top w:val="none" w:sz="0" w:space="0" w:color="auto"/>
        <w:left w:val="none" w:sz="0" w:space="0" w:color="auto"/>
        <w:bottom w:val="none" w:sz="0" w:space="0" w:color="auto"/>
        <w:right w:val="none" w:sz="0" w:space="0" w:color="auto"/>
      </w:divBdr>
    </w:div>
    <w:div w:id="1441146785">
      <w:bodyDiv w:val="1"/>
      <w:marLeft w:val="0"/>
      <w:marRight w:val="0"/>
      <w:marTop w:val="0"/>
      <w:marBottom w:val="0"/>
      <w:divBdr>
        <w:top w:val="none" w:sz="0" w:space="0" w:color="auto"/>
        <w:left w:val="none" w:sz="0" w:space="0" w:color="auto"/>
        <w:bottom w:val="none" w:sz="0" w:space="0" w:color="auto"/>
        <w:right w:val="none" w:sz="0" w:space="0" w:color="auto"/>
      </w:divBdr>
    </w:div>
    <w:div w:id="1465847349">
      <w:bodyDiv w:val="1"/>
      <w:marLeft w:val="0"/>
      <w:marRight w:val="0"/>
      <w:marTop w:val="0"/>
      <w:marBottom w:val="0"/>
      <w:divBdr>
        <w:top w:val="none" w:sz="0" w:space="0" w:color="auto"/>
        <w:left w:val="none" w:sz="0" w:space="0" w:color="auto"/>
        <w:bottom w:val="none" w:sz="0" w:space="0" w:color="auto"/>
        <w:right w:val="none" w:sz="0" w:space="0" w:color="auto"/>
      </w:divBdr>
    </w:div>
    <w:div w:id="1472017790">
      <w:bodyDiv w:val="1"/>
      <w:marLeft w:val="0"/>
      <w:marRight w:val="0"/>
      <w:marTop w:val="0"/>
      <w:marBottom w:val="0"/>
      <w:divBdr>
        <w:top w:val="none" w:sz="0" w:space="0" w:color="auto"/>
        <w:left w:val="none" w:sz="0" w:space="0" w:color="auto"/>
        <w:bottom w:val="none" w:sz="0" w:space="0" w:color="auto"/>
        <w:right w:val="none" w:sz="0" w:space="0" w:color="auto"/>
      </w:divBdr>
      <w:divsChild>
        <w:div w:id="2040542768">
          <w:marLeft w:val="0"/>
          <w:marRight w:val="0"/>
          <w:marTop w:val="0"/>
          <w:marBottom w:val="0"/>
          <w:divBdr>
            <w:top w:val="none" w:sz="0" w:space="0" w:color="auto"/>
            <w:left w:val="single" w:sz="6" w:space="6" w:color="D3E1F9"/>
            <w:bottom w:val="none" w:sz="0" w:space="0" w:color="auto"/>
            <w:right w:val="none" w:sz="0" w:space="0" w:color="auto"/>
          </w:divBdr>
          <w:divsChild>
            <w:div w:id="1394111442">
              <w:marLeft w:val="0"/>
              <w:marRight w:val="0"/>
              <w:marTop w:val="0"/>
              <w:marBottom w:val="0"/>
              <w:divBdr>
                <w:top w:val="none" w:sz="0" w:space="0" w:color="auto"/>
                <w:left w:val="none" w:sz="0" w:space="0" w:color="auto"/>
                <w:bottom w:val="none" w:sz="0" w:space="0" w:color="auto"/>
                <w:right w:val="none" w:sz="0" w:space="0" w:color="auto"/>
              </w:divBdr>
              <w:divsChild>
                <w:div w:id="146808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322">
      <w:bodyDiv w:val="1"/>
      <w:marLeft w:val="0"/>
      <w:marRight w:val="0"/>
      <w:marTop w:val="0"/>
      <w:marBottom w:val="0"/>
      <w:divBdr>
        <w:top w:val="none" w:sz="0" w:space="0" w:color="auto"/>
        <w:left w:val="none" w:sz="0" w:space="0" w:color="auto"/>
        <w:bottom w:val="none" w:sz="0" w:space="0" w:color="auto"/>
        <w:right w:val="none" w:sz="0" w:space="0" w:color="auto"/>
      </w:divBdr>
    </w:div>
    <w:div w:id="1635133960">
      <w:bodyDiv w:val="1"/>
      <w:marLeft w:val="0"/>
      <w:marRight w:val="0"/>
      <w:marTop w:val="0"/>
      <w:marBottom w:val="0"/>
      <w:divBdr>
        <w:top w:val="none" w:sz="0" w:space="0" w:color="auto"/>
        <w:left w:val="none" w:sz="0" w:space="0" w:color="auto"/>
        <w:bottom w:val="none" w:sz="0" w:space="0" w:color="auto"/>
        <w:right w:val="none" w:sz="0" w:space="0" w:color="auto"/>
      </w:divBdr>
    </w:div>
    <w:div w:id="1799759161">
      <w:bodyDiv w:val="1"/>
      <w:marLeft w:val="0"/>
      <w:marRight w:val="0"/>
      <w:marTop w:val="0"/>
      <w:marBottom w:val="0"/>
      <w:divBdr>
        <w:top w:val="none" w:sz="0" w:space="0" w:color="auto"/>
        <w:left w:val="none" w:sz="0" w:space="0" w:color="auto"/>
        <w:bottom w:val="none" w:sz="0" w:space="0" w:color="auto"/>
        <w:right w:val="none" w:sz="0" w:space="0" w:color="auto"/>
      </w:divBdr>
    </w:div>
    <w:div w:id="1937441222">
      <w:bodyDiv w:val="1"/>
      <w:marLeft w:val="0"/>
      <w:marRight w:val="0"/>
      <w:marTop w:val="0"/>
      <w:marBottom w:val="0"/>
      <w:divBdr>
        <w:top w:val="none" w:sz="0" w:space="0" w:color="auto"/>
        <w:left w:val="none" w:sz="0" w:space="0" w:color="auto"/>
        <w:bottom w:val="none" w:sz="0" w:space="0" w:color="auto"/>
        <w:right w:val="none" w:sz="0" w:space="0" w:color="auto"/>
      </w:divBdr>
    </w:div>
    <w:div w:id="1938443040">
      <w:bodyDiv w:val="1"/>
      <w:marLeft w:val="0"/>
      <w:marRight w:val="0"/>
      <w:marTop w:val="0"/>
      <w:marBottom w:val="0"/>
      <w:divBdr>
        <w:top w:val="none" w:sz="0" w:space="0" w:color="auto"/>
        <w:left w:val="none" w:sz="0" w:space="0" w:color="auto"/>
        <w:bottom w:val="none" w:sz="0" w:space="0" w:color="auto"/>
        <w:right w:val="none" w:sz="0" w:space="0" w:color="auto"/>
      </w:divBdr>
    </w:div>
    <w:div w:id="2020035805">
      <w:bodyDiv w:val="1"/>
      <w:marLeft w:val="0"/>
      <w:marRight w:val="0"/>
      <w:marTop w:val="0"/>
      <w:marBottom w:val="0"/>
      <w:divBdr>
        <w:top w:val="none" w:sz="0" w:space="0" w:color="auto"/>
        <w:left w:val="none" w:sz="0" w:space="0" w:color="auto"/>
        <w:bottom w:val="none" w:sz="0" w:space="0" w:color="auto"/>
        <w:right w:val="none" w:sz="0" w:space="0" w:color="auto"/>
      </w:divBdr>
    </w:div>
    <w:div w:id="2028755112">
      <w:bodyDiv w:val="1"/>
      <w:marLeft w:val="0"/>
      <w:marRight w:val="0"/>
      <w:marTop w:val="0"/>
      <w:marBottom w:val="0"/>
      <w:divBdr>
        <w:top w:val="none" w:sz="0" w:space="0" w:color="auto"/>
        <w:left w:val="none" w:sz="0" w:space="0" w:color="auto"/>
        <w:bottom w:val="none" w:sz="0" w:space="0" w:color="auto"/>
        <w:right w:val="none" w:sz="0" w:space="0" w:color="auto"/>
      </w:divBdr>
    </w:div>
    <w:div w:id="2094160865">
      <w:bodyDiv w:val="1"/>
      <w:marLeft w:val="0"/>
      <w:marRight w:val="0"/>
      <w:marTop w:val="0"/>
      <w:marBottom w:val="0"/>
      <w:divBdr>
        <w:top w:val="none" w:sz="0" w:space="0" w:color="auto"/>
        <w:left w:val="none" w:sz="0" w:space="0" w:color="auto"/>
        <w:bottom w:val="none" w:sz="0" w:space="0" w:color="auto"/>
        <w:right w:val="none" w:sz="0" w:space="0" w:color="auto"/>
      </w:divBdr>
    </w:div>
    <w:div w:id="211820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2.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image" Target="media/image2.emf"/><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2014-05-01T07:00:00+00:00</OpenedDate>
    <Date1 xmlns="dc463f71-b30c-4ab2-9473-d307f9d35888">2014-11-14T08:00:00+00:00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244CCDD-33BA-44EC-906E-B0B50290211D}"/>
</file>

<file path=customXml/itemProps2.xml><?xml version="1.0" encoding="utf-8"?>
<ds:datastoreItem xmlns:ds="http://schemas.openxmlformats.org/officeDocument/2006/customXml" ds:itemID="{CDBD3532-DCBD-4F9F-9AC7-4C53D50F805F}"/>
</file>

<file path=customXml/itemProps3.xml><?xml version="1.0" encoding="utf-8"?>
<ds:datastoreItem xmlns:ds="http://schemas.openxmlformats.org/officeDocument/2006/customXml" ds:itemID="{5CD7E81E-C7DD-47AA-B1EE-A8DC16C21A32}"/>
</file>

<file path=customXml/itemProps4.xml><?xml version="1.0" encoding="utf-8"?>
<ds:datastoreItem xmlns:ds="http://schemas.openxmlformats.org/officeDocument/2006/customXml" ds:itemID="{A7F0719C-C9E5-43D2-B650-0235F4A7E2D0}"/>
</file>

<file path=customXml/itemProps5.xml><?xml version="1.0" encoding="utf-8"?>
<ds:datastoreItem xmlns:ds="http://schemas.openxmlformats.org/officeDocument/2006/customXml" ds:itemID="{04DB1DA7-685F-4C27-AB54-48CD73EFC499}"/>
</file>

<file path=docProps/app.xml><?xml version="1.0" encoding="utf-8"?>
<Properties xmlns="http://schemas.openxmlformats.org/officeDocument/2006/extended-properties" xmlns:vt="http://schemas.openxmlformats.org/officeDocument/2006/docPropsVTypes">
  <Template>Normal</Template>
  <TotalTime>0</TotalTime>
  <Pages>19</Pages>
  <Words>3433</Words>
  <Characters>19570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2014-11-14T14:29:00Z</dcterms:created>
  <dcterms:modified xsi:type="dcterms:W3CDTF">2014-11-14T16:18:00Z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0x0101006E56B4D1795A2E4DB2F0B01679ED314A00F7932BF0E43BA441AC308742D5F08A91</vt:lpwstr>
  </property>
  <property fmtid="{D5CDD505-2E9C-101B-9397-08002B2CF9AE}" pid="4" name="_docset_NoMedatataSyncRequired">
    <vt:lpwstr>False</vt:lpwstr>
  </property>
</Properties>
</file>