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 w:val="20"/>
          <w:szCs w:val="20"/>
          <w:lang w:eastAsia="en-US"/>
        </w:rPr>
        <w:id w:val="-1561775702"/>
        <w:docPartObj>
          <w:docPartGallery w:val="Table of Contents"/>
          <w:docPartUnique/>
        </w:docPartObj>
      </w:sdtPr>
      <w:sdtEndPr>
        <w:rPr>
          <w:noProof/>
        </w:rPr>
      </w:sdtEndPr>
      <w:sdtContent>
        <w:p w:rsidR="004116FB" w:rsidRDefault="009B65B9" w:rsidP="00573168">
          <w:pPr>
            <w:pStyle w:val="TOCHeading"/>
            <w:suppressLineNumbers/>
            <w:jc w:val="center"/>
            <w:rPr>
              <w:rFonts w:ascii="Times New Roman" w:hAnsi="Times New Roman" w:cs="Times New Roman"/>
              <w:color w:val="auto"/>
              <w:sz w:val="24"/>
            </w:rPr>
          </w:pPr>
          <w:r w:rsidRPr="009B65B9">
            <w:rPr>
              <w:rFonts w:ascii="Times New Roman" w:hAnsi="Times New Roman" w:cs="Times New Roman"/>
              <w:color w:val="auto"/>
              <w:sz w:val="24"/>
            </w:rPr>
            <w:t>TABLE OF CONTENTS</w:t>
          </w:r>
        </w:p>
        <w:p w:rsidR="001C1478" w:rsidRPr="001C1478" w:rsidRDefault="001C1478" w:rsidP="00573168">
          <w:pPr>
            <w:suppressLineNumbers/>
            <w:rPr>
              <w:lang w:eastAsia="ja-JP"/>
            </w:rPr>
          </w:pPr>
        </w:p>
        <w:p w:rsidR="00573168" w:rsidRPr="00573168" w:rsidRDefault="004116FB" w:rsidP="00573168">
          <w:pPr>
            <w:pStyle w:val="TOC1"/>
            <w:suppressLineNumbers/>
            <w:tabs>
              <w:tab w:val="right" w:leader="dot" w:pos="8990"/>
            </w:tabs>
            <w:rPr>
              <w:rFonts w:asciiTheme="minorHAnsi" w:eastAsiaTheme="minorEastAsia" w:hAnsiTheme="minorHAnsi" w:cstheme="minorBidi"/>
              <w:noProof/>
              <w:sz w:val="24"/>
              <w:szCs w:val="24"/>
            </w:rPr>
          </w:pPr>
          <w:r>
            <w:fldChar w:fldCharType="begin"/>
          </w:r>
          <w:r>
            <w:instrText xml:space="preserve"> TOC \o "1-3" \h \z \u </w:instrText>
          </w:r>
          <w:r>
            <w:fldChar w:fldCharType="separate"/>
          </w:r>
          <w:hyperlink w:anchor="_Toc403714281" w:history="1">
            <w:r w:rsidR="00573168" w:rsidRPr="00573168">
              <w:rPr>
                <w:rStyle w:val="Hyperlink"/>
                <w:noProof/>
                <w:sz w:val="24"/>
                <w:szCs w:val="24"/>
              </w:rPr>
              <w:t>PURPOSE AND SUMMARY</w:t>
            </w:r>
            <w:r w:rsidR="00573168" w:rsidRPr="00573168">
              <w:rPr>
                <w:noProof/>
                <w:webHidden/>
                <w:sz w:val="24"/>
                <w:szCs w:val="24"/>
              </w:rPr>
              <w:tab/>
            </w:r>
            <w:r w:rsidR="00573168" w:rsidRPr="00573168">
              <w:rPr>
                <w:noProof/>
                <w:webHidden/>
                <w:sz w:val="24"/>
                <w:szCs w:val="24"/>
              </w:rPr>
              <w:fldChar w:fldCharType="begin"/>
            </w:r>
            <w:r w:rsidR="00573168" w:rsidRPr="00573168">
              <w:rPr>
                <w:noProof/>
                <w:webHidden/>
                <w:sz w:val="24"/>
                <w:szCs w:val="24"/>
              </w:rPr>
              <w:instrText xml:space="preserve"> PAGEREF _Toc403714281 \h </w:instrText>
            </w:r>
            <w:r w:rsidR="00573168" w:rsidRPr="00573168">
              <w:rPr>
                <w:noProof/>
                <w:webHidden/>
                <w:sz w:val="24"/>
                <w:szCs w:val="24"/>
              </w:rPr>
            </w:r>
            <w:r w:rsidR="00573168" w:rsidRPr="00573168">
              <w:rPr>
                <w:noProof/>
                <w:webHidden/>
                <w:sz w:val="24"/>
                <w:szCs w:val="24"/>
              </w:rPr>
              <w:fldChar w:fldCharType="separate"/>
            </w:r>
            <w:r w:rsidR="00E47E64">
              <w:rPr>
                <w:noProof/>
                <w:webHidden/>
                <w:sz w:val="24"/>
                <w:szCs w:val="24"/>
              </w:rPr>
              <w:t>1</w:t>
            </w:r>
            <w:r w:rsidR="00573168" w:rsidRPr="00573168">
              <w:rPr>
                <w:noProof/>
                <w:webHidden/>
                <w:sz w:val="24"/>
                <w:szCs w:val="24"/>
              </w:rPr>
              <w:fldChar w:fldCharType="end"/>
            </w:r>
          </w:hyperlink>
        </w:p>
        <w:p w:rsidR="00573168" w:rsidRPr="00573168" w:rsidRDefault="00057D4D" w:rsidP="00573168">
          <w:pPr>
            <w:pStyle w:val="TOC1"/>
            <w:suppressLineNumbers/>
            <w:tabs>
              <w:tab w:val="right" w:leader="dot" w:pos="8990"/>
            </w:tabs>
            <w:rPr>
              <w:rFonts w:asciiTheme="minorHAnsi" w:eastAsiaTheme="minorEastAsia" w:hAnsiTheme="minorHAnsi" w:cstheme="minorBidi"/>
              <w:noProof/>
              <w:sz w:val="24"/>
              <w:szCs w:val="24"/>
            </w:rPr>
          </w:pPr>
          <w:hyperlink w:anchor="_Toc403714282" w:history="1">
            <w:r w:rsidR="00573168" w:rsidRPr="00573168">
              <w:rPr>
                <w:rStyle w:val="Hyperlink"/>
                <w:noProof/>
                <w:sz w:val="24"/>
                <w:szCs w:val="24"/>
              </w:rPr>
              <w:t>POLICY OVERVIEW</w:t>
            </w:r>
            <w:r w:rsidR="00573168" w:rsidRPr="00573168">
              <w:rPr>
                <w:noProof/>
                <w:webHidden/>
                <w:sz w:val="24"/>
                <w:szCs w:val="24"/>
              </w:rPr>
              <w:tab/>
            </w:r>
            <w:r w:rsidR="00573168" w:rsidRPr="00573168">
              <w:rPr>
                <w:noProof/>
                <w:webHidden/>
                <w:sz w:val="24"/>
                <w:szCs w:val="24"/>
              </w:rPr>
              <w:fldChar w:fldCharType="begin"/>
            </w:r>
            <w:r w:rsidR="00573168" w:rsidRPr="00573168">
              <w:rPr>
                <w:noProof/>
                <w:webHidden/>
                <w:sz w:val="24"/>
                <w:szCs w:val="24"/>
              </w:rPr>
              <w:instrText xml:space="preserve"> PAGEREF _Toc403714282 \h </w:instrText>
            </w:r>
            <w:r w:rsidR="00573168" w:rsidRPr="00573168">
              <w:rPr>
                <w:noProof/>
                <w:webHidden/>
                <w:sz w:val="24"/>
                <w:szCs w:val="24"/>
              </w:rPr>
            </w:r>
            <w:r w:rsidR="00573168" w:rsidRPr="00573168">
              <w:rPr>
                <w:noProof/>
                <w:webHidden/>
                <w:sz w:val="24"/>
                <w:szCs w:val="24"/>
              </w:rPr>
              <w:fldChar w:fldCharType="separate"/>
            </w:r>
            <w:r w:rsidR="00E47E64">
              <w:rPr>
                <w:noProof/>
                <w:webHidden/>
                <w:sz w:val="24"/>
                <w:szCs w:val="24"/>
              </w:rPr>
              <w:t>5</w:t>
            </w:r>
            <w:r w:rsidR="00573168" w:rsidRPr="00573168">
              <w:rPr>
                <w:noProof/>
                <w:webHidden/>
                <w:sz w:val="24"/>
                <w:szCs w:val="24"/>
              </w:rPr>
              <w:fldChar w:fldCharType="end"/>
            </w:r>
          </w:hyperlink>
        </w:p>
        <w:p w:rsidR="00573168" w:rsidRPr="00573168" w:rsidRDefault="00057D4D" w:rsidP="00573168">
          <w:pPr>
            <w:pStyle w:val="TOC1"/>
            <w:suppressLineNumbers/>
            <w:tabs>
              <w:tab w:val="right" w:leader="dot" w:pos="8990"/>
            </w:tabs>
            <w:rPr>
              <w:rFonts w:asciiTheme="minorHAnsi" w:eastAsiaTheme="minorEastAsia" w:hAnsiTheme="minorHAnsi" w:cstheme="minorBidi"/>
              <w:noProof/>
              <w:sz w:val="24"/>
              <w:szCs w:val="24"/>
            </w:rPr>
          </w:pPr>
          <w:hyperlink w:anchor="_Toc403714283" w:history="1">
            <w:r w:rsidR="00573168" w:rsidRPr="00573168">
              <w:rPr>
                <w:rStyle w:val="Hyperlink"/>
                <w:noProof/>
                <w:sz w:val="24"/>
                <w:szCs w:val="24"/>
              </w:rPr>
              <w:t>UPDATED RECOMMENDATION FOR NET POWER COSTS</w:t>
            </w:r>
            <w:r w:rsidR="00573168" w:rsidRPr="00573168">
              <w:rPr>
                <w:noProof/>
                <w:webHidden/>
                <w:sz w:val="24"/>
                <w:szCs w:val="24"/>
              </w:rPr>
              <w:tab/>
            </w:r>
            <w:r w:rsidR="00573168" w:rsidRPr="00573168">
              <w:rPr>
                <w:noProof/>
                <w:webHidden/>
                <w:sz w:val="24"/>
                <w:szCs w:val="24"/>
              </w:rPr>
              <w:fldChar w:fldCharType="begin"/>
            </w:r>
            <w:r w:rsidR="00573168" w:rsidRPr="00573168">
              <w:rPr>
                <w:noProof/>
                <w:webHidden/>
                <w:sz w:val="24"/>
                <w:szCs w:val="24"/>
              </w:rPr>
              <w:instrText xml:space="preserve"> PAGEREF _Toc403714283 \h </w:instrText>
            </w:r>
            <w:r w:rsidR="00573168" w:rsidRPr="00573168">
              <w:rPr>
                <w:noProof/>
                <w:webHidden/>
                <w:sz w:val="24"/>
                <w:szCs w:val="24"/>
              </w:rPr>
            </w:r>
            <w:r w:rsidR="00573168" w:rsidRPr="00573168">
              <w:rPr>
                <w:noProof/>
                <w:webHidden/>
                <w:sz w:val="24"/>
                <w:szCs w:val="24"/>
              </w:rPr>
              <w:fldChar w:fldCharType="separate"/>
            </w:r>
            <w:r w:rsidR="00E47E64">
              <w:rPr>
                <w:noProof/>
                <w:webHidden/>
                <w:sz w:val="24"/>
                <w:szCs w:val="24"/>
              </w:rPr>
              <w:t>7</w:t>
            </w:r>
            <w:r w:rsidR="00573168" w:rsidRPr="00573168">
              <w:rPr>
                <w:noProof/>
                <w:webHidden/>
                <w:sz w:val="24"/>
                <w:szCs w:val="24"/>
              </w:rPr>
              <w:fldChar w:fldCharType="end"/>
            </w:r>
          </w:hyperlink>
        </w:p>
        <w:p w:rsidR="00573168" w:rsidRPr="00573168" w:rsidRDefault="00057D4D" w:rsidP="00573168">
          <w:pPr>
            <w:pStyle w:val="TOC1"/>
            <w:suppressLineNumbers/>
            <w:tabs>
              <w:tab w:val="right" w:leader="dot" w:pos="8990"/>
            </w:tabs>
            <w:rPr>
              <w:rFonts w:asciiTheme="minorHAnsi" w:eastAsiaTheme="minorEastAsia" w:hAnsiTheme="minorHAnsi" w:cstheme="minorBidi"/>
              <w:noProof/>
              <w:sz w:val="24"/>
              <w:szCs w:val="24"/>
            </w:rPr>
          </w:pPr>
          <w:hyperlink w:anchor="_Toc403714284" w:history="1">
            <w:r w:rsidR="00573168" w:rsidRPr="00573168">
              <w:rPr>
                <w:rStyle w:val="Hyperlink"/>
                <w:noProof/>
                <w:sz w:val="24"/>
                <w:szCs w:val="24"/>
              </w:rPr>
              <w:t>COMPANY RESPONSES TO PROPOSED NPC ADJUSTMENTS</w:t>
            </w:r>
            <w:r w:rsidR="00573168" w:rsidRPr="00573168">
              <w:rPr>
                <w:noProof/>
                <w:webHidden/>
                <w:sz w:val="24"/>
                <w:szCs w:val="24"/>
              </w:rPr>
              <w:tab/>
            </w:r>
            <w:r w:rsidR="00573168" w:rsidRPr="00573168">
              <w:rPr>
                <w:noProof/>
                <w:webHidden/>
                <w:sz w:val="24"/>
                <w:szCs w:val="24"/>
              </w:rPr>
              <w:fldChar w:fldCharType="begin"/>
            </w:r>
            <w:r w:rsidR="00573168" w:rsidRPr="00573168">
              <w:rPr>
                <w:noProof/>
                <w:webHidden/>
                <w:sz w:val="24"/>
                <w:szCs w:val="24"/>
              </w:rPr>
              <w:instrText xml:space="preserve"> PAGEREF _Toc403714284 \h </w:instrText>
            </w:r>
            <w:r w:rsidR="00573168" w:rsidRPr="00573168">
              <w:rPr>
                <w:noProof/>
                <w:webHidden/>
                <w:sz w:val="24"/>
                <w:szCs w:val="24"/>
              </w:rPr>
            </w:r>
            <w:r w:rsidR="00573168" w:rsidRPr="00573168">
              <w:rPr>
                <w:noProof/>
                <w:webHidden/>
                <w:sz w:val="24"/>
                <w:szCs w:val="24"/>
              </w:rPr>
              <w:fldChar w:fldCharType="separate"/>
            </w:r>
            <w:r w:rsidR="00E47E64">
              <w:rPr>
                <w:noProof/>
                <w:webHidden/>
                <w:sz w:val="24"/>
                <w:szCs w:val="24"/>
              </w:rPr>
              <w:t>12</w:t>
            </w:r>
            <w:r w:rsidR="00573168" w:rsidRPr="00573168">
              <w:rPr>
                <w:noProof/>
                <w:webHidden/>
                <w:sz w:val="24"/>
                <w:szCs w:val="24"/>
              </w:rPr>
              <w:fldChar w:fldCharType="end"/>
            </w:r>
          </w:hyperlink>
        </w:p>
        <w:p w:rsidR="00573168" w:rsidRPr="00573168" w:rsidRDefault="00057D4D" w:rsidP="00573168">
          <w:pPr>
            <w:pStyle w:val="TOC2"/>
            <w:suppressLineNumbers/>
            <w:rPr>
              <w:rFonts w:asciiTheme="minorHAnsi" w:eastAsiaTheme="minorEastAsia" w:hAnsiTheme="minorHAnsi" w:cstheme="minorBidi"/>
              <w:noProof/>
              <w:sz w:val="24"/>
              <w:szCs w:val="24"/>
            </w:rPr>
          </w:pPr>
          <w:hyperlink w:anchor="_Toc403714285" w:history="1">
            <w:r w:rsidR="00573168" w:rsidRPr="00573168">
              <w:rPr>
                <w:rStyle w:val="Hyperlink"/>
                <w:noProof/>
                <w:sz w:val="24"/>
                <w:szCs w:val="24"/>
              </w:rPr>
              <w:t>Exclusion of California and Oregon QF PPAs</w:t>
            </w:r>
            <w:r w:rsidR="00573168" w:rsidRPr="00573168">
              <w:rPr>
                <w:noProof/>
                <w:webHidden/>
                <w:sz w:val="24"/>
                <w:szCs w:val="24"/>
              </w:rPr>
              <w:tab/>
            </w:r>
            <w:r w:rsidR="00573168" w:rsidRPr="00573168">
              <w:rPr>
                <w:noProof/>
                <w:webHidden/>
                <w:sz w:val="24"/>
                <w:szCs w:val="24"/>
              </w:rPr>
              <w:fldChar w:fldCharType="begin"/>
            </w:r>
            <w:r w:rsidR="00573168" w:rsidRPr="00573168">
              <w:rPr>
                <w:noProof/>
                <w:webHidden/>
                <w:sz w:val="24"/>
                <w:szCs w:val="24"/>
              </w:rPr>
              <w:instrText xml:space="preserve"> PAGEREF _Toc403714285 \h </w:instrText>
            </w:r>
            <w:r w:rsidR="00573168" w:rsidRPr="00573168">
              <w:rPr>
                <w:noProof/>
                <w:webHidden/>
                <w:sz w:val="24"/>
                <w:szCs w:val="24"/>
              </w:rPr>
            </w:r>
            <w:r w:rsidR="00573168" w:rsidRPr="00573168">
              <w:rPr>
                <w:noProof/>
                <w:webHidden/>
                <w:sz w:val="24"/>
                <w:szCs w:val="24"/>
              </w:rPr>
              <w:fldChar w:fldCharType="separate"/>
            </w:r>
            <w:r w:rsidR="00E47E64">
              <w:rPr>
                <w:noProof/>
                <w:webHidden/>
                <w:sz w:val="24"/>
                <w:szCs w:val="24"/>
              </w:rPr>
              <w:t>12</w:t>
            </w:r>
            <w:r w:rsidR="00573168" w:rsidRPr="00573168">
              <w:rPr>
                <w:noProof/>
                <w:webHidden/>
                <w:sz w:val="24"/>
                <w:szCs w:val="24"/>
              </w:rPr>
              <w:fldChar w:fldCharType="end"/>
            </w:r>
          </w:hyperlink>
        </w:p>
        <w:p w:rsidR="00573168" w:rsidRPr="00573168" w:rsidRDefault="00057D4D" w:rsidP="00573168">
          <w:pPr>
            <w:pStyle w:val="TOC2"/>
            <w:suppressLineNumbers/>
            <w:rPr>
              <w:rFonts w:asciiTheme="minorHAnsi" w:eastAsiaTheme="minorEastAsia" w:hAnsiTheme="minorHAnsi" w:cstheme="minorBidi"/>
              <w:noProof/>
              <w:sz w:val="24"/>
              <w:szCs w:val="24"/>
            </w:rPr>
          </w:pPr>
          <w:hyperlink w:anchor="_Toc403714286" w:history="1">
            <w:r w:rsidR="00573168" w:rsidRPr="00573168">
              <w:rPr>
                <w:rStyle w:val="Hyperlink"/>
                <w:noProof/>
                <w:sz w:val="24"/>
                <w:szCs w:val="24"/>
              </w:rPr>
              <w:t>Energy Imbalance Market</w:t>
            </w:r>
            <w:r w:rsidR="00573168" w:rsidRPr="00573168">
              <w:rPr>
                <w:noProof/>
                <w:webHidden/>
                <w:sz w:val="24"/>
                <w:szCs w:val="24"/>
              </w:rPr>
              <w:tab/>
            </w:r>
            <w:r w:rsidR="00573168" w:rsidRPr="00573168">
              <w:rPr>
                <w:noProof/>
                <w:webHidden/>
                <w:sz w:val="24"/>
                <w:szCs w:val="24"/>
              </w:rPr>
              <w:fldChar w:fldCharType="begin"/>
            </w:r>
            <w:r w:rsidR="00573168" w:rsidRPr="00573168">
              <w:rPr>
                <w:noProof/>
                <w:webHidden/>
                <w:sz w:val="24"/>
                <w:szCs w:val="24"/>
              </w:rPr>
              <w:instrText xml:space="preserve"> PAGEREF _Toc403714286 \h </w:instrText>
            </w:r>
            <w:r w:rsidR="00573168" w:rsidRPr="00573168">
              <w:rPr>
                <w:noProof/>
                <w:webHidden/>
                <w:sz w:val="24"/>
                <w:szCs w:val="24"/>
              </w:rPr>
            </w:r>
            <w:r w:rsidR="00573168" w:rsidRPr="00573168">
              <w:rPr>
                <w:noProof/>
                <w:webHidden/>
                <w:sz w:val="24"/>
                <w:szCs w:val="24"/>
              </w:rPr>
              <w:fldChar w:fldCharType="separate"/>
            </w:r>
            <w:r w:rsidR="00E47E64">
              <w:rPr>
                <w:noProof/>
                <w:webHidden/>
                <w:sz w:val="24"/>
                <w:szCs w:val="24"/>
              </w:rPr>
              <w:t>28</w:t>
            </w:r>
            <w:r w:rsidR="00573168" w:rsidRPr="00573168">
              <w:rPr>
                <w:noProof/>
                <w:webHidden/>
                <w:sz w:val="24"/>
                <w:szCs w:val="24"/>
              </w:rPr>
              <w:fldChar w:fldCharType="end"/>
            </w:r>
          </w:hyperlink>
        </w:p>
        <w:p w:rsidR="00573168" w:rsidRPr="00573168" w:rsidRDefault="00057D4D" w:rsidP="00573168">
          <w:pPr>
            <w:pStyle w:val="TOC2"/>
            <w:suppressLineNumbers/>
            <w:ind w:left="630"/>
            <w:rPr>
              <w:rFonts w:asciiTheme="minorHAnsi" w:eastAsiaTheme="minorEastAsia" w:hAnsiTheme="minorHAnsi" w:cstheme="minorBidi"/>
              <w:noProof/>
              <w:sz w:val="24"/>
              <w:szCs w:val="24"/>
            </w:rPr>
          </w:pPr>
          <w:hyperlink w:anchor="_Toc403714287" w:history="1">
            <w:r w:rsidR="00573168" w:rsidRPr="00573168">
              <w:rPr>
                <w:rStyle w:val="Hyperlink"/>
                <w:i/>
                <w:noProof/>
                <w:sz w:val="24"/>
                <w:szCs w:val="24"/>
              </w:rPr>
              <w:t>EIM Background and Status</w:t>
            </w:r>
            <w:r w:rsidR="00573168" w:rsidRPr="00573168">
              <w:rPr>
                <w:noProof/>
                <w:webHidden/>
                <w:sz w:val="24"/>
                <w:szCs w:val="24"/>
              </w:rPr>
              <w:tab/>
            </w:r>
            <w:r w:rsidR="00573168" w:rsidRPr="00573168">
              <w:rPr>
                <w:noProof/>
                <w:webHidden/>
                <w:sz w:val="24"/>
                <w:szCs w:val="24"/>
              </w:rPr>
              <w:fldChar w:fldCharType="begin"/>
            </w:r>
            <w:r w:rsidR="00573168" w:rsidRPr="00573168">
              <w:rPr>
                <w:noProof/>
                <w:webHidden/>
                <w:sz w:val="24"/>
                <w:szCs w:val="24"/>
              </w:rPr>
              <w:instrText xml:space="preserve"> PAGEREF _Toc403714287 \h </w:instrText>
            </w:r>
            <w:r w:rsidR="00573168" w:rsidRPr="00573168">
              <w:rPr>
                <w:noProof/>
                <w:webHidden/>
                <w:sz w:val="24"/>
                <w:szCs w:val="24"/>
              </w:rPr>
            </w:r>
            <w:r w:rsidR="00573168" w:rsidRPr="00573168">
              <w:rPr>
                <w:noProof/>
                <w:webHidden/>
                <w:sz w:val="24"/>
                <w:szCs w:val="24"/>
              </w:rPr>
              <w:fldChar w:fldCharType="separate"/>
            </w:r>
            <w:r w:rsidR="00E47E64">
              <w:rPr>
                <w:noProof/>
                <w:webHidden/>
                <w:sz w:val="24"/>
                <w:szCs w:val="24"/>
              </w:rPr>
              <w:t>29</w:t>
            </w:r>
            <w:r w:rsidR="00573168" w:rsidRPr="00573168">
              <w:rPr>
                <w:noProof/>
                <w:webHidden/>
                <w:sz w:val="24"/>
                <w:szCs w:val="24"/>
              </w:rPr>
              <w:fldChar w:fldCharType="end"/>
            </w:r>
          </w:hyperlink>
        </w:p>
        <w:p w:rsidR="00573168" w:rsidRPr="00573168" w:rsidRDefault="00057D4D" w:rsidP="00573168">
          <w:pPr>
            <w:pStyle w:val="TOC2"/>
            <w:suppressLineNumbers/>
            <w:ind w:left="630"/>
            <w:rPr>
              <w:rFonts w:asciiTheme="minorHAnsi" w:eastAsiaTheme="minorEastAsia" w:hAnsiTheme="minorHAnsi" w:cstheme="minorBidi"/>
              <w:noProof/>
              <w:sz w:val="24"/>
              <w:szCs w:val="24"/>
            </w:rPr>
          </w:pPr>
          <w:hyperlink w:anchor="_Toc403714288" w:history="1">
            <w:r w:rsidR="00573168" w:rsidRPr="00573168">
              <w:rPr>
                <w:rStyle w:val="Hyperlink"/>
                <w:i/>
                <w:noProof/>
                <w:sz w:val="24"/>
                <w:szCs w:val="24"/>
                <w:lang w:val="en"/>
              </w:rPr>
              <w:t>General Objections to EIM Benefit Imputation</w:t>
            </w:r>
            <w:r w:rsidR="00573168" w:rsidRPr="00573168">
              <w:rPr>
                <w:noProof/>
                <w:webHidden/>
                <w:sz w:val="24"/>
                <w:szCs w:val="24"/>
              </w:rPr>
              <w:tab/>
            </w:r>
            <w:r w:rsidR="00573168" w:rsidRPr="00573168">
              <w:rPr>
                <w:noProof/>
                <w:webHidden/>
                <w:sz w:val="24"/>
                <w:szCs w:val="24"/>
              </w:rPr>
              <w:fldChar w:fldCharType="begin"/>
            </w:r>
            <w:r w:rsidR="00573168" w:rsidRPr="00573168">
              <w:rPr>
                <w:noProof/>
                <w:webHidden/>
                <w:sz w:val="24"/>
                <w:szCs w:val="24"/>
              </w:rPr>
              <w:instrText xml:space="preserve"> PAGEREF _Toc403714288 \h </w:instrText>
            </w:r>
            <w:r w:rsidR="00573168" w:rsidRPr="00573168">
              <w:rPr>
                <w:noProof/>
                <w:webHidden/>
                <w:sz w:val="24"/>
                <w:szCs w:val="24"/>
              </w:rPr>
            </w:r>
            <w:r w:rsidR="00573168" w:rsidRPr="00573168">
              <w:rPr>
                <w:noProof/>
                <w:webHidden/>
                <w:sz w:val="24"/>
                <w:szCs w:val="24"/>
              </w:rPr>
              <w:fldChar w:fldCharType="separate"/>
            </w:r>
            <w:r w:rsidR="00E47E64">
              <w:rPr>
                <w:noProof/>
                <w:webHidden/>
                <w:sz w:val="24"/>
                <w:szCs w:val="24"/>
              </w:rPr>
              <w:t>30</w:t>
            </w:r>
            <w:r w:rsidR="00573168" w:rsidRPr="00573168">
              <w:rPr>
                <w:noProof/>
                <w:webHidden/>
                <w:sz w:val="24"/>
                <w:szCs w:val="24"/>
              </w:rPr>
              <w:fldChar w:fldCharType="end"/>
            </w:r>
          </w:hyperlink>
        </w:p>
        <w:p w:rsidR="00573168" w:rsidRPr="00573168" w:rsidRDefault="00057D4D" w:rsidP="00573168">
          <w:pPr>
            <w:pStyle w:val="TOC2"/>
            <w:suppressLineNumbers/>
            <w:ind w:left="630"/>
            <w:rPr>
              <w:rFonts w:asciiTheme="minorHAnsi" w:eastAsiaTheme="minorEastAsia" w:hAnsiTheme="minorHAnsi" w:cstheme="minorBidi"/>
              <w:noProof/>
              <w:sz w:val="24"/>
              <w:szCs w:val="24"/>
            </w:rPr>
          </w:pPr>
          <w:hyperlink w:anchor="_Toc403714289" w:history="1">
            <w:r w:rsidR="00573168" w:rsidRPr="00573168">
              <w:rPr>
                <w:rStyle w:val="Hyperlink"/>
                <w:i/>
                <w:noProof/>
                <w:sz w:val="24"/>
                <w:szCs w:val="24"/>
              </w:rPr>
              <w:t>Objections to Imputing Benefits for EIM Inter-Regional Dispatch</w:t>
            </w:r>
            <w:r w:rsidR="00573168" w:rsidRPr="00573168">
              <w:rPr>
                <w:noProof/>
                <w:webHidden/>
                <w:sz w:val="24"/>
                <w:szCs w:val="24"/>
              </w:rPr>
              <w:tab/>
            </w:r>
            <w:r w:rsidR="00573168" w:rsidRPr="00573168">
              <w:rPr>
                <w:noProof/>
                <w:webHidden/>
                <w:sz w:val="24"/>
                <w:szCs w:val="24"/>
              </w:rPr>
              <w:fldChar w:fldCharType="begin"/>
            </w:r>
            <w:r w:rsidR="00573168" w:rsidRPr="00573168">
              <w:rPr>
                <w:noProof/>
                <w:webHidden/>
                <w:sz w:val="24"/>
                <w:szCs w:val="24"/>
              </w:rPr>
              <w:instrText xml:space="preserve"> PAGEREF _Toc403714289 \h </w:instrText>
            </w:r>
            <w:r w:rsidR="00573168" w:rsidRPr="00573168">
              <w:rPr>
                <w:noProof/>
                <w:webHidden/>
                <w:sz w:val="24"/>
                <w:szCs w:val="24"/>
              </w:rPr>
            </w:r>
            <w:r w:rsidR="00573168" w:rsidRPr="00573168">
              <w:rPr>
                <w:noProof/>
                <w:webHidden/>
                <w:sz w:val="24"/>
                <w:szCs w:val="24"/>
              </w:rPr>
              <w:fldChar w:fldCharType="separate"/>
            </w:r>
            <w:r w:rsidR="00E47E64">
              <w:rPr>
                <w:noProof/>
                <w:webHidden/>
                <w:sz w:val="24"/>
                <w:szCs w:val="24"/>
              </w:rPr>
              <w:t>36</w:t>
            </w:r>
            <w:r w:rsidR="00573168" w:rsidRPr="00573168">
              <w:rPr>
                <w:noProof/>
                <w:webHidden/>
                <w:sz w:val="24"/>
                <w:szCs w:val="24"/>
              </w:rPr>
              <w:fldChar w:fldCharType="end"/>
            </w:r>
          </w:hyperlink>
        </w:p>
        <w:p w:rsidR="00573168" w:rsidRPr="00573168" w:rsidRDefault="00057D4D" w:rsidP="00573168">
          <w:pPr>
            <w:pStyle w:val="TOC2"/>
            <w:suppressLineNumbers/>
            <w:ind w:left="630"/>
            <w:rPr>
              <w:rFonts w:asciiTheme="minorHAnsi" w:eastAsiaTheme="minorEastAsia" w:hAnsiTheme="minorHAnsi" w:cstheme="minorBidi"/>
              <w:noProof/>
              <w:sz w:val="24"/>
              <w:szCs w:val="24"/>
            </w:rPr>
          </w:pPr>
          <w:hyperlink w:anchor="_Toc403714290" w:history="1">
            <w:r w:rsidR="00573168" w:rsidRPr="00573168">
              <w:rPr>
                <w:rStyle w:val="Hyperlink"/>
                <w:bCs/>
                <w:i/>
                <w:iCs/>
                <w:noProof/>
                <w:sz w:val="24"/>
                <w:szCs w:val="24"/>
              </w:rPr>
              <w:t>Objections to Imputing Benefits for EIM Intra-Regional Dispatch</w:t>
            </w:r>
            <w:r w:rsidR="00573168" w:rsidRPr="00573168">
              <w:rPr>
                <w:noProof/>
                <w:webHidden/>
                <w:sz w:val="24"/>
                <w:szCs w:val="24"/>
              </w:rPr>
              <w:tab/>
            </w:r>
            <w:r w:rsidR="00573168" w:rsidRPr="00573168">
              <w:rPr>
                <w:noProof/>
                <w:webHidden/>
                <w:sz w:val="24"/>
                <w:szCs w:val="24"/>
              </w:rPr>
              <w:fldChar w:fldCharType="begin"/>
            </w:r>
            <w:r w:rsidR="00573168" w:rsidRPr="00573168">
              <w:rPr>
                <w:noProof/>
                <w:webHidden/>
                <w:sz w:val="24"/>
                <w:szCs w:val="24"/>
              </w:rPr>
              <w:instrText xml:space="preserve"> PAGEREF _Toc403714290 \h </w:instrText>
            </w:r>
            <w:r w:rsidR="00573168" w:rsidRPr="00573168">
              <w:rPr>
                <w:noProof/>
                <w:webHidden/>
                <w:sz w:val="24"/>
                <w:szCs w:val="24"/>
              </w:rPr>
            </w:r>
            <w:r w:rsidR="00573168" w:rsidRPr="00573168">
              <w:rPr>
                <w:noProof/>
                <w:webHidden/>
                <w:sz w:val="24"/>
                <w:szCs w:val="24"/>
              </w:rPr>
              <w:fldChar w:fldCharType="separate"/>
            </w:r>
            <w:r w:rsidR="00E47E64">
              <w:rPr>
                <w:noProof/>
                <w:webHidden/>
                <w:sz w:val="24"/>
                <w:szCs w:val="24"/>
              </w:rPr>
              <w:t>38</w:t>
            </w:r>
            <w:r w:rsidR="00573168" w:rsidRPr="00573168">
              <w:rPr>
                <w:noProof/>
                <w:webHidden/>
                <w:sz w:val="24"/>
                <w:szCs w:val="24"/>
              </w:rPr>
              <w:fldChar w:fldCharType="end"/>
            </w:r>
          </w:hyperlink>
        </w:p>
        <w:p w:rsidR="00573168" w:rsidRPr="00573168" w:rsidRDefault="00057D4D" w:rsidP="00573168">
          <w:pPr>
            <w:pStyle w:val="TOC2"/>
            <w:suppressLineNumbers/>
            <w:ind w:left="630"/>
            <w:rPr>
              <w:rFonts w:asciiTheme="minorHAnsi" w:eastAsiaTheme="minorEastAsia" w:hAnsiTheme="minorHAnsi" w:cstheme="minorBidi"/>
              <w:noProof/>
              <w:sz w:val="24"/>
              <w:szCs w:val="24"/>
            </w:rPr>
          </w:pPr>
          <w:hyperlink w:anchor="_Toc403714291" w:history="1">
            <w:r w:rsidR="00573168" w:rsidRPr="00573168">
              <w:rPr>
                <w:rStyle w:val="Hyperlink"/>
                <w:bCs/>
                <w:i/>
                <w:iCs/>
                <w:noProof/>
                <w:sz w:val="24"/>
                <w:szCs w:val="24"/>
              </w:rPr>
              <w:t>Objections to Imputing Benefits for EIM Reserve Diversity</w:t>
            </w:r>
            <w:r w:rsidR="00573168" w:rsidRPr="00573168">
              <w:rPr>
                <w:noProof/>
                <w:webHidden/>
                <w:sz w:val="24"/>
                <w:szCs w:val="24"/>
              </w:rPr>
              <w:tab/>
            </w:r>
            <w:r w:rsidR="00573168" w:rsidRPr="00573168">
              <w:rPr>
                <w:noProof/>
                <w:webHidden/>
                <w:sz w:val="24"/>
                <w:szCs w:val="24"/>
              </w:rPr>
              <w:fldChar w:fldCharType="begin"/>
            </w:r>
            <w:r w:rsidR="00573168" w:rsidRPr="00573168">
              <w:rPr>
                <w:noProof/>
                <w:webHidden/>
                <w:sz w:val="24"/>
                <w:szCs w:val="24"/>
              </w:rPr>
              <w:instrText xml:space="preserve"> PAGEREF _Toc403714291 \h </w:instrText>
            </w:r>
            <w:r w:rsidR="00573168" w:rsidRPr="00573168">
              <w:rPr>
                <w:noProof/>
                <w:webHidden/>
                <w:sz w:val="24"/>
                <w:szCs w:val="24"/>
              </w:rPr>
            </w:r>
            <w:r w:rsidR="00573168" w:rsidRPr="00573168">
              <w:rPr>
                <w:noProof/>
                <w:webHidden/>
                <w:sz w:val="24"/>
                <w:szCs w:val="24"/>
              </w:rPr>
              <w:fldChar w:fldCharType="separate"/>
            </w:r>
            <w:r w:rsidR="00E47E64">
              <w:rPr>
                <w:noProof/>
                <w:webHidden/>
                <w:sz w:val="24"/>
                <w:szCs w:val="24"/>
              </w:rPr>
              <w:t>41</w:t>
            </w:r>
            <w:r w:rsidR="00573168" w:rsidRPr="00573168">
              <w:rPr>
                <w:noProof/>
                <w:webHidden/>
                <w:sz w:val="24"/>
                <w:szCs w:val="24"/>
              </w:rPr>
              <w:fldChar w:fldCharType="end"/>
            </w:r>
          </w:hyperlink>
        </w:p>
        <w:p w:rsidR="00573168" w:rsidRPr="00573168" w:rsidRDefault="00057D4D" w:rsidP="00573168">
          <w:pPr>
            <w:pStyle w:val="TOC2"/>
            <w:suppressLineNumbers/>
            <w:ind w:left="630"/>
            <w:rPr>
              <w:rFonts w:asciiTheme="minorHAnsi" w:eastAsiaTheme="minorEastAsia" w:hAnsiTheme="minorHAnsi" w:cstheme="minorBidi"/>
              <w:noProof/>
              <w:sz w:val="24"/>
              <w:szCs w:val="24"/>
            </w:rPr>
          </w:pPr>
          <w:hyperlink w:anchor="_Toc403714292" w:history="1">
            <w:r w:rsidR="00573168" w:rsidRPr="00573168">
              <w:rPr>
                <w:rStyle w:val="Hyperlink"/>
                <w:bCs/>
                <w:i/>
                <w:iCs/>
                <w:noProof/>
                <w:sz w:val="24"/>
                <w:szCs w:val="24"/>
              </w:rPr>
              <w:t>Objections to Imputing Benefits for Within-Hour Dispatch</w:t>
            </w:r>
            <w:r w:rsidR="00573168" w:rsidRPr="00573168">
              <w:rPr>
                <w:noProof/>
                <w:webHidden/>
                <w:sz w:val="24"/>
                <w:szCs w:val="24"/>
              </w:rPr>
              <w:tab/>
            </w:r>
            <w:r w:rsidR="00573168" w:rsidRPr="00573168">
              <w:rPr>
                <w:noProof/>
                <w:webHidden/>
                <w:sz w:val="24"/>
                <w:szCs w:val="24"/>
              </w:rPr>
              <w:fldChar w:fldCharType="begin"/>
            </w:r>
            <w:r w:rsidR="00573168" w:rsidRPr="00573168">
              <w:rPr>
                <w:noProof/>
                <w:webHidden/>
                <w:sz w:val="24"/>
                <w:szCs w:val="24"/>
              </w:rPr>
              <w:instrText xml:space="preserve"> PAGEREF _Toc403714292 \h </w:instrText>
            </w:r>
            <w:r w:rsidR="00573168" w:rsidRPr="00573168">
              <w:rPr>
                <w:noProof/>
                <w:webHidden/>
                <w:sz w:val="24"/>
                <w:szCs w:val="24"/>
              </w:rPr>
            </w:r>
            <w:r w:rsidR="00573168" w:rsidRPr="00573168">
              <w:rPr>
                <w:noProof/>
                <w:webHidden/>
                <w:sz w:val="24"/>
                <w:szCs w:val="24"/>
              </w:rPr>
              <w:fldChar w:fldCharType="separate"/>
            </w:r>
            <w:r w:rsidR="00E47E64">
              <w:rPr>
                <w:noProof/>
                <w:webHidden/>
                <w:sz w:val="24"/>
                <w:szCs w:val="24"/>
              </w:rPr>
              <w:t>43</w:t>
            </w:r>
            <w:r w:rsidR="00573168" w:rsidRPr="00573168">
              <w:rPr>
                <w:noProof/>
                <w:webHidden/>
                <w:sz w:val="24"/>
                <w:szCs w:val="24"/>
              </w:rPr>
              <w:fldChar w:fldCharType="end"/>
            </w:r>
          </w:hyperlink>
        </w:p>
        <w:p w:rsidR="00573168" w:rsidRPr="00573168" w:rsidRDefault="00057D4D" w:rsidP="00573168">
          <w:pPr>
            <w:pStyle w:val="TOC2"/>
            <w:suppressLineNumbers/>
            <w:ind w:left="630"/>
            <w:rPr>
              <w:rFonts w:asciiTheme="minorHAnsi" w:eastAsiaTheme="minorEastAsia" w:hAnsiTheme="minorHAnsi" w:cstheme="minorBidi"/>
              <w:noProof/>
              <w:sz w:val="24"/>
              <w:szCs w:val="24"/>
            </w:rPr>
          </w:pPr>
          <w:hyperlink w:anchor="_Toc403714293" w:history="1">
            <w:r w:rsidR="00573168" w:rsidRPr="00573168">
              <w:rPr>
                <w:rStyle w:val="Hyperlink"/>
                <w:bCs/>
                <w:i/>
                <w:iCs/>
                <w:noProof/>
                <w:sz w:val="24"/>
                <w:szCs w:val="24"/>
              </w:rPr>
              <w:t>Other Objections to Imputing EIM Benefits</w:t>
            </w:r>
            <w:r w:rsidR="00573168" w:rsidRPr="00573168">
              <w:rPr>
                <w:noProof/>
                <w:webHidden/>
                <w:sz w:val="24"/>
                <w:szCs w:val="24"/>
              </w:rPr>
              <w:tab/>
            </w:r>
            <w:r w:rsidR="00573168" w:rsidRPr="00573168">
              <w:rPr>
                <w:noProof/>
                <w:webHidden/>
                <w:sz w:val="24"/>
                <w:szCs w:val="24"/>
              </w:rPr>
              <w:fldChar w:fldCharType="begin"/>
            </w:r>
            <w:r w:rsidR="00573168" w:rsidRPr="00573168">
              <w:rPr>
                <w:noProof/>
                <w:webHidden/>
                <w:sz w:val="24"/>
                <w:szCs w:val="24"/>
              </w:rPr>
              <w:instrText xml:space="preserve"> PAGEREF _Toc403714293 \h </w:instrText>
            </w:r>
            <w:r w:rsidR="00573168" w:rsidRPr="00573168">
              <w:rPr>
                <w:noProof/>
                <w:webHidden/>
                <w:sz w:val="24"/>
                <w:szCs w:val="24"/>
              </w:rPr>
            </w:r>
            <w:r w:rsidR="00573168" w:rsidRPr="00573168">
              <w:rPr>
                <w:noProof/>
                <w:webHidden/>
                <w:sz w:val="24"/>
                <w:szCs w:val="24"/>
              </w:rPr>
              <w:fldChar w:fldCharType="separate"/>
            </w:r>
            <w:r w:rsidR="00E47E64">
              <w:rPr>
                <w:noProof/>
                <w:webHidden/>
                <w:sz w:val="24"/>
                <w:szCs w:val="24"/>
              </w:rPr>
              <w:t>46</w:t>
            </w:r>
            <w:r w:rsidR="00573168" w:rsidRPr="00573168">
              <w:rPr>
                <w:noProof/>
                <w:webHidden/>
                <w:sz w:val="24"/>
                <w:szCs w:val="24"/>
              </w:rPr>
              <w:fldChar w:fldCharType="end"/>
            </w:r>
          </w:hyperlink>
        </w:p>
        <w:p w:rsidR="00573168" w:rsidRPr="00573168" w:rsidRDefault="00057D4D" w:rsidP="00573168">
          <w:pPr>
            <w:pStyle w:val="TOC2"/>
            <w:suppressLineNumbers/>
            <w:rPr>
              <w:rFonts w:asciiTheme="minorHAnsi" w:eastAsiaTheme="minorEastAsia" w:hAnsiTheme="minorHAnsi" w:cstheme="minorBidi"/>
              <w:noProof/>
              <w:sz w:val="24"/>
              <w:szCs w:val="24"/>
            </w:rPr>
          </w:pPr>
          <w:hyperlink w:anchor="_Toc403714294" w:history="1">
            <w:r w:rsidR="00573168" w:rsidRPr="00573168">
              <w:rPr>
                <w:rStyle w:val="Hyperlink"/>
                <w:noProof/>
                <w:sz w:val="24"/>
                <w:szCs w:val="24"/>
              </w:rPr>
              <w:t>Inter-Hour Integration</w:t>
            </w:r>
            <w:r w:rsidR="00573168" w:rsidRPr="00573168">
              <w:rPr>
                <w:noProof/>
                <w:webHidden/>
                <w:sz w:val="24"/>
                <w:szCs w:val="24"/>
              </w:rPr>
              <w:tab/>
            </w:r>
            <w:r w:rsidR="00573168" w:rsidRPr="00573168">
              <w:rPr>
                <w:noProof/>
                <w:webHidden/>
                <w:sz w:val="24"/>
                <w:szCs w:val="24"/>
              </w:rPr>
              <w:fldChar w:fldCharType="begin"/>
            </w:r>
            <w:r w:rsidR="00573168" w:rsidRPr="00573168">
              <w:rPr>
                <w:noProof/>
                <w:webHidden/>
                <w:sz w:val="24"/>
                <w:szCs w:val="24"/>
              </w:rPr>
              <w:instrText xml:space="preserve"> PAGEREF _Toc403714294 \h </w:instrText>
            </w:r>
            <w:r w:rsidR="00573168" w:rsidRPr="00573168">
              <w:rPr>
                <w:noProof/>
                <w:webHidden/>
                <w:sz w:val="24"/>
                <w:szCs w:val="24"/>
              </w:rPr>
            </w:r>
            <w:r w:rsidR="00573168" w:rsidRPr="00573168">
              <w:rPr>
                <w:noProof/>
                <w:webHidden/>
                <w:sz w:val="24"/>
                <w:szCs w:val="24"/>
              </w:rPr>
              <w:fldChar w:fldCharType="separate"/>
            </w:r>
            <w:r w:rsidR="00E47E64">
              <w:rPr>
                <w:noProof/>
                <w:webHidden/>
                <w:sz w:val="24"/>
                <w:szCs w:val="24"/>
              </w:rPr>
              <w:t>47</w:t>
            </w:r>
            <w:r w:rsidR="00573168" w:rsidRPr="00573168">
              <w:rPr>
                <w:noProof/>
                <w:webHidden/>
                <w:sz w:val="24"/>
                <w:szCs w:val="24"/>
              </w:rPr>
              <w:fldChar w:fldCharType="end"/>
            </w:r>
          </w:hyperlink>
        </w:p>
        <w:p w:rsidR="00573168" w:rsidRPr="00573168" w:rsidRDefault="00057D4D" w:rsidP="00573168">
          <w:pPr>
            <w:pStyle w:val="TOC1"/>
            <w:suppressLineNumbers/>
            <w:tabs>
              <w:tab w:val="right" w:leader="dot" w:pos="8990"/>
            </w:tabs>
            <w:rPr>
              <w:rFonts w:asciiTheme="minorHAnsi" w:eastAsiaTheme="minorEastAsia" w:hAnsiTheme="minorHAnsi" w:cstheme="minorBidi"/>
              <w:noProof/>
              <w:sz w:val="24"/>
              <w:szCs w:val="24"/>
            </w:rPr>
          </w:pPr>
          <w:hyperlink w:anchor="_Toc403714295" w:history="1">
            <w:r w:rsidR="00573168" w:rsidRPr="00573168">
              <w:rPr>
                <w:rStyle w:val="Hyperlink"/>
                <w:noProof/>
                <w:sz w:val="24"/>
                <w:szCs w:val="24"/>
              </w:rPr>
              <w:t>RENEWABLE RESOURCE TRACKING MECHANISM</w:t>
            </w:r>
            <w:r w:rsidR="00573168" w:rsidRPr="00573168">
              <w:rPr>
                <w:noProof/>
                <w:webHidden/>
                <w:sz w:val="24"/>
                <w:szCs w:val="24"/>
              </w:rPr>
              <w:tab/>
            </w:r>
            <w:r w:rsidR="00573168" w:rsidRPr="00573168">
              <w:rPr>
                <w:noProof/>
                <w:webHidden/>
                <w:sz w:val="24"/>
                <w:szCs w:val="24"/>
              </w:rPr>
              <w:fldChar w:fldCharType="begin"/>
            </w:r>
            <w:r w:rsidR="00573168" w:rsidRPr="00573168">
              <w:rPr>
                <w:noProof/>
                <w:webHidden/>
                <w:sz w:val="24"/>
                <w:szCs w:val="24"/>
              </w:rPr>
              <w:instrText xml:space="preserve"> PAGEREF _Toc403714295 \h </w:instrText>
            </w:r>
            <w:r w:rsidR="00573168" w:rsidRPr="00573168">
              <w:rPr>
                <w:noProof/>
                <w:webHidden/>
                <w:sz w:val="24"/>
                <w:szCs w:val="24"/>
              </w:rPr>
            </w:r>
            <w:r w:rsidR="00573168" w:rsidRPr="00573168">
              <w:rPr>
                <w:noProof/>
                <w:webHidden/>
                <w:sz w:val="24"/>
                <w:szCs w:val="24"/>
              </w:rPr>
              <w:fldChar w:fldCharType="separate"/>
            </w:r>
            <w:r w:rsidR="00E47E64">
              <w:rPr>
                <w:noProof/>
                <w:webHidden/>
                <w:sz w:val="24"/>
                <w:szCs w:val="24"/>
              </w:rPr>
              <w:t>51</w:t>
            </w:r>
            <w:r w:rsidR="00573168" w:rsidRPr="00573168">
              <w:rPr>
                <w:noProof/>
                <w:webHidden/>
                <w:sz w:val="24"/>
                <w:szCs w:val="24"/>
              </w:rPr>
              <w:fldChar w:fldCharType="end"/>
            </w:r>
          </w:hyperlink>
        </w:p>
        <w:p w:rsidR="00573168" w:rsidRPr="00573168" w:rsidRDefault="00057D4D" w:rsidP="00573168">
          <w:pPr>
            <w:pStyle w:val="TOC1"/>
            <w:suppressLineNumbers/>
            <w:tabs>
              <w:tab w:val="right" w:leader="dot" w:pos="8990"/>
            </w:tabs>
            <w:rPr>
              <w:rFonts w:asciiTheme="minorHAnsi" w:eastAsiaTheme="minorEastAsia" w:hAnsiTheme="minorHAnsi" w:cstheme="minorBidi"/>
              <w:noProof/>
              <w:sz w:val="24"/>
              <w:szCs w:val="24"/>
            </w:rPr>
          </w:pPr>
          <w:hyperlink w:anchor="_Toc403714296" w:history="1">
            <w:r w:rsidR="00573168" w:rsidRPr="00573168">
              <w:rPr>
                <w:rStyle w:val="Hyperlink"/>
                <w:noProof/>
                <w:sz w:val="24"/>
                <w:szCs w:val="24"/>
              </w:rPr>
              <w:t>LOW HYDRO DEFERRAL</w:t>
            </w:r>
            <w:r w:rsidR="00573168" w:rsidRPr="00573168">
              <w:rPr>
                <w:noProof/>
                <w:webHidden/>
                <w:sz w:val="24"/>
                <w:szCs w:val="24"/>
              </w:rPr>
              <w:tab/>
            </w:r>
            <w:r w:rsidR="00573168" w:rsidRPr="00573168">
              <w:rPr>
                <w:noProof/>
                <w:webHidden/>
                <w:sz w:val="24"/>
                <w:szCs w:val="24"/>
              </w:rPr>
              <w:fldChar w:fldCharType="begin"/>
            </w:r>
            <w:r w:rsidR="00573168" w:rsidRPr="00573168">
              <w:rPr>
                <w:noProof/>
                <w:webHidden/>
                <w:sz w:val="24"/>
                <w:szCs w:val="24"/>
              </w:rPr>
              <w:instrText xml:space="preserve"> PAGEREF _Toc403714296 \h </w:instrText>
            </w:r>
            <w:r w:rsidR="00573168" w:rsidRPr="00573168">
              <w:rPr>
                <w:noProof/>
                <w:webHidden/>
                <w:sz w:val="24"/>
                <w:szCs w:val="24"/>
              </w:rPr>
            </w:r>
            <w:r w:rsidR="00573168" w:rsidRPr="00573168">
              <w:rPr>
                <w:noProof/>
                <w:webHidden/>
                <w:sz w:val="24"/>
                <w:szCs w:val="24"/>
              </w:rPr>
              <w:fldChar w:fldCharType="separate"/>
            </w:r>
            <w:r w:rsidR="00E47E64">
              <w:rPr>
                <w:noProof/>
                <w:webHidden/>
                <w:sz w:val="24"/>
                <w:szCs w:val="24"/>
              </w:rPr>
              <w:t>59</w:t>
            </w:r>
            <w:r w:rsidR="00573168" w:rsidRPr="00573168">
              <w:rPr>
                <w:noProof/>
                <w:webHidden/>
                <w:sz w:val="24"/>
                <w:szCs w:val="24"/>
              </w:rPr>
              <w:fldChar w:fldCharType="end"/>
            </w:r>
          </w:hyperlink>
        </w:p>
        <w:p w:rsidR="00573168" w:rsidRPr="00573168" w:rsidRDefault="00057D4D" w:rsidP="00573168">
          <w:pPr>
            <w:pStyle w:val="TOC1"/>
            <w:suppressLineNumbers/>
            <w:tabs>
              <w:tab w:val="right" w:leader="dot" w:pos="8990"/>
            </w:tabs>
            <w:rPr>
              <w:rFonts w:asciiTheme="minorHAnsi" w:eastAsiaTheme="minorEastAsia" w:hAnsiTheme="minorHAnsi" w:cstheme="minorBidi"/>
              <w:noProof/>
              <w:sz w:val="24"/>
              <w:szCs w:val="24"/>
            </w:rPr>
          </w:pPr>
          <w:hyperlink w:anchor="_Toc403714297" w:history="1">
            <w:r w:rsidR="00573168" w:rsidRPr="00573168">
              <w:rPr>
                <w:rStyle w:val="Hyperlink"/>
                <w:noProof/>
                <w:sz w:val="24"/>
                <w:szCs w:val="24"/>
              </w:rPr>
              <w:t>THERMAL OUTAGE MODELING</w:t>
            </w:r>
            <w:r w:rsidR="00573168" w:rsidRPr="00573168">
              <w:rPr>
                <w:noProof/>
                <w:webHidden/>
                <w:sz w:val="24"/>
                <w:szCs w:val="24"/>
              </w:rPr>
              <w:tab/>
            </w:r>
            <w:r w:rsidR="00573168" w:rsidRPr="00573168">
              <w:rPr>
                <w:noProof/>
                <w:webHidden/>
                <w:sz w:val="24"/>
                <w:szCs w:val="24"/>
              </w:rPr>
              <w:fldChar w:fldCharType="begin"/>
            </w:r>
            <w:r w:rsidR="00573168" w:rsidRPr="00573168">
              <w:rPr>
                <w:noProof/>
                <w:webHidden/>
                <w:sz w:val="24"/>
                <w:szCs w:val="24"/>
              </w:rPr>
              <w:instrText xml:space="preserve"> PAGEREF _Toc403714297 \h </w:instrText>
            </w:r>
            <w:r w:rsidR="00573168" w:rsidRPr="00573168">
              <w:rPr>
                <w:noProof/>
                <w:webHidden/>
                <w:sz w:val="24"/>
                <w:szCs w:val="24"/>
              </w:rPr>
            </w:r>
            <w:r w:rsidR="00573168" w:rsidRPr="00573168">
              <w:rPr>
                <w:noProof/>
                <w:webHidden/>
                <w:sz w:val="24"/>
                <w:szCs w:val="24"/>
              </w:rPr>
              <w:fldChar w:fldCharType="separate"/>
            </w:r>
            <w:r w:rsidR="00E47E64">
              <w:rPr>
                <w:noProof/>
                <w:webHidden/>
                <w:sz w:val="24"/>
                <w:szCs w:val="24"/>
              </w:rPr>
              <w:t>61</w:t>
            </w:r>
            <w:r w:rsidR="00573168" w:rsidRPr="00573168">
              <w:rPr>
                <w:noProof/>
                <w:webHidden/>
                <w:sz w:val="24"/>
                <w:szCs w:val="24"/>
              </w:rPr>
              <w:fldChar w:fldCharType="end"/>
            </w:r>
          </w:hyperlink>
        </w:p>
        <w:p w:rsidR="00573168" w:rsidRDefault="00057D4D" w:rsidP="00573168">
          <w:pPr>
            <w:pStyle w:val="TOC1"/>
            <w:suppressLineNumbers/>
            <w:tabs>
              <w:tab w:val="right" w:leader="dot" w:pos="8990"/>
            </w:tabs>
            <w:rPr>
              <w:rFonts w:asciiTheme="minorHAnsi" w:eastAsiaTheme="minorEastAsia" w:hAnsiTheme="minorHAnsi" w:cstheme="minorBidi"/>
              <w:noProof/>
              <w:sz w:val="22"/>
              <w:szCs w:val="22"/>
            </w:rPr>
          </w:pPr>
          <w:hyperlink w:anchor="_Toc403714298" w:history="1">
            <w:r w:rsidR="00573168" w:rsidRPr="00573168">
              <w:rPr>
                <w:rStyle w:val="Hyperlink"/>
                <w:noProof/>
                <w:sz w:val="24"/>
                <w:szCs w:val="24"/>
              </w:rPr>
              <w:t>ACCEPTED ADJUSTMENT</w:t>
            </w:r>
            <w:r w:rsidR="00573168" w:rsidRPr="00573168">
              <w:rPr>
                <w:noProof/>
                <w:webHidden/>
                <w:sz w:val="24"/>
                <w:szCs w:val="24"/>
              </w:rPr>
              <w:tab/>
            </w:r>
            <w:r w:rsidR="00573168" w:rsidRPr="00573168">
              <w:rPr>
                <w:noProof/>
                <w:webHidden/>
                <w:sz w:val="24"/>
                <w:szCs w:val="24"/>
              </w:rPr>
              <w:fldChar w:fldCharType="begin"/>
            </w:r>
            <w:r w:rsidR="00573168" w:rsidRPr="00573168">
              <w:rPr>
                <w:noProof/>
                <w:webHidden/>
                <w:sz w:val="24"/>
                <w:szCs w:val="24"/>
              </w:rPr>
              <w:instrText xml:space="preserve"> PAGEREF _Toc403714298 \h </w:instrText>
            </w:r>
            <w:r w:rsidR="00573168" w:rsidRPr="00573168">
              <w:rPr>
                <w:noProof/>
                <w:webHidden/>
                <w:sz w:val="24"/>
                <w:szCs w:val="24"/>
              </w:rPr>
            </w:r>
            <w:r w:rsidR="00573168" w:rsidRPr="00573168">
              <w:rPr>
                <w:noProof/>
                <w:webHidden/>
                <w:sz w:val="24"/>
                <w:szCs w:val="24"/>
              </w:rPr>
              <w:fldChar w:fldCharType="separate"/>
            </w:r>
            <w:r w:rsidR="00E47E64">
              <w:rPr>
                <w:noProof/>
                <w:webHidden/>
                <w:sz w:val="24"/>
                <w:szCs w:val="24"/>
              </w:rPr>
              <w:t>64</w:t>
            </w:r>
            <w:r w:rsidR="00573168" w:rsidRPr="00573168">
              <w:rPr>
                <w:noProof/>
                <w:webHidden/>
                <w:sz w:val="24"/>
                <w:szCs w:val="24"/>
              </w:rPr>
              <w:fldChar w:fldCharType="end"/>
            </w:r>
          </w:hyperlink>
        </w:p>
        <w:p w:rsidR="004116FB" w:rsidRDefault="004116FB" w:rsidP="00573168">
          <w:pPr>
            <w:suppressLineNumbers/>
          </w:pPr>
          <w:r>
            <w:rPr>
              <w:b/>
              <w:bCs/>
              <w:noProof/>
            </w:rPr>
            <w:fldChar w:fldCharType="end"/>
          </w:r>
        </w:p>
      </w:sdtContent>
    </w:sdt>
    <w:p w:rsidR="004116FB" w:rsidRPr="009B65B9" w:rsidRDefault="009B65B9" w:rsidP="004116FB">
      <w:pPr>
        <w:suppressLineNumbers/>
        <w:jc w:val="center"/>
        <w:rPr>
          <w:b/>
          <w:sz w:val="24"/>
          <w:szCs w:val="24"/>
        </w:rPr>
      </w:pPr>
      <w:r w:rsidRPr="009B65B9">
        <w:rPr>
          <w:b/>
          <w:sz w:val="24"/>
          <w:szCs w:val="24"/>
        </w:rPr>
        <w:t>ATTACHED EXHIBITS</w:t>
      </w:r>
    </w:p>
    <w:p w:rsidR="004116FB" w:rsidRDefault="004116FB" w:rsidP="004116FB">
      <w:pPr>
        <w:suppressLineNumbers/>
        <w:jc w:val="center"/>
        <w:rPr>
          <w:b/>
          <w:sz w:val="24"/>
          <w:szCs w:val="24"/>
        </w:rPr>
      </w:pPr>
    </w:p>
    <w:p w:rsidR="004116FB" w:rsidRDefault="004116FB" w:rsidP="004116FB">
      <w:pPr>
        <w:suppressLineNumbers/>
        <w:rPr>
          <w:sz w:val="24"/>
          <w:szCs w:val="24"/>
        </w:rPr>
      </w:pPr>
      <w:r>
        <w:rPr>
          <w:sz w:val="24"/>
          <w:szCs w:val="24"/>
        </w:rPr>
        <w:t>Exhibit No. GND-5</w:t>
      </w:r>
      <w:r w:rsidR="00B94650">
        <w:rPr>
          <w:sz w:val="24"/>
          <w:szCs w:val="24"/>
        </w:rPr>
        <w:t>—</w:t>
      </w:r>
      <w:r w:rsidR="007A246E">
        <w:rPr>
          <w:sz w:val="24"/>
          <w:szCs w:val="24"/>
        </w:rPr>
        <w:t>Rebuttal Pro Forma Net</w:t>
      </w:r>
      <w:r w:rsidR="003569B1">
        <w:rPr>
          <w:sz w:val="24"/>
          <w:szCs w:val="24"/>
        </w:rPr>
        <w:t xml:space="preserve"> Power Cost</w:t>
      </w:r>
      <w:r w:rsidR="007A246E">
        <w:rPr>
          <w:sz w:val="24"/>
          <w:szCs w:val="24"/>
        </w:rPr>
        <w:t>s</w:t>
      </w:r>
    </w:p>
    <w:p w:rsidR="004116FB" w:rsidRPr="004116FB" w:rsidRDefault="004116FB" w:rsidP="004116FB">
      <w:pPr>
        <w:suppressLineNumbers/>
        <w:rPr>
          <w:sz w:val="24"/>
          <w:szCs w:val="24"/>
        </w:rPr>
      </w:pPr>
      <w:r>
        <w:rPr>
          <w:sz w:val="24"/>
          <w:szCs w:val="24"/>
        </w:rPr>
        <w:t>Exhibit No. GND-6</w:t>
      </w:r>
      <w:r w:rsidR="00B94650">
        <w:rPr>
          <w:sz w:val="24"/>
          <w:szCs w:val="24"/>
        </w:rPr>
        <w:t>—</w:t>
      </w:r>
      <w:r w:rsidR="007A246E">
        <w:rPr>
          <w:sz w:val="24"/>
          <w:szCs w:val="24"/>
        </w:rPr>
        <w:t xml:space="preserve">Rebuttal Update </w:t>
      </w:r>
      <w:r w:rsidR="003569B1">
        <w:rPr>
          <w:sz w:val="24"/>
          <w:szCs w:val="24"/>
        </w:rPr>
        <w:t>Summary</w:t>
      </w:r>
    </w:p>
    <w:p w:rsidR="004116FB" w:rsidRPr="004116FB" w:rsidRDefault="004116FB" w:rsidP="004116FB">
      <w:pPr>
        <w:suppressLineNumbers/>
        <w:rPr>
          <w:sz w:val="24"/>
          <w:szCs w:val="24"/>
        </w:rPr>
      </w:pPr>
      <w:r>
        <w:rPr>
          <w:sz w:val="24"/>
          <w:szCs w:val="24"/>
        </w:rPr>
        <w:t>Exhibit No. GND-7</w:t>
      </w:r>
      <w:r w:rsidR="00B94650">
        <w:rPr>
          <w:sz w:val="24"/>
          <w:szCs w:val="24"/>
        </w:rPr>
        <w:t>—</w:t>
      </w:r>
      <w:r w:rsidR="003569B1">
        <w:rPr>
          <w:sz w:val="24"/>
          <w:szCs w:val="24"/>
        </w:rPr>
        <w:t>PacifiCorp EIM Participating Resources</w:t>
      </w:r>
    </w:p>
    <w:p w:rsidR="004116FB" w:rsidRDefault="00E344D7" w:rsidP="004116FB">
      <w:pPr>
        <w:suppressLineNumbers/>
        <w:rPr>
          <w:sz w:val="24"/>
          <w:szCs w:val="24"/>
        </w:rPr>
      </w:pPr>
      <w:r>
        <w:rPr>
          <w:sz w:val="24"/>
          <w:szCs w:val="24"/>
        </w:rPr>
        <w:t>Confidential Exhibit No. GND-8C—</w:t>
      </w:r>
      <w:r w:rsidR="00210000">
        <w:rPr>
          <w:sz w:val="24"/>
          <w:szCs w:val="24"/>
        </w:rPr>
        <w:t xml:space="preserve">Low Hydro Deferral </w:t>
      </w:r>
    </w:p>
    <w:p w:rsidR="004116FB" w:rsidRPr="004116FB" w:rsidRDefault="004116FB" w:rsidP="004116FB">
      <w:pPr>
        <w:suppressLineNumbers/>
        <w:rPr>
          <w:sz w:val="24"/>
          <w:szCs w:val="24"/>
        </w:rPr>
      </w:pPr>
    </w:p>
    <w:p w:rsidR="004116FB" w:rsidRDefault="004116FB" w:rsidP="004116FB">
      <w:pPr>
        <w:suppressLineNumbers/>
        <w:rPr>
          <w:b/>
          <w:szCs w:val="24"/>
        </w:rPr>
      </w:pPr>
    </w:p>
    <w:p w:rsidR="004116FB" w:rsidRDefault="004116FB" w:rsidP="004116FB">
      <w:pPr>
        <w:jc w:val="center"/>
        <w:rPr>
          <w:b/>
          <w:szCs w:val="24"/>
        </w:rPr>
        <w:sectPr w:rsidR="004116FB" w:rsidSect="007457F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800" w:header="720" w:footer="720" w:gutter="0"/>
          <w:lnNumType w:countBy="1"/>
          <w:pgNumType w:fmt="lowerRoman"/>
          <w:cols w:space="720"/>
          <w:docGrid w:linePitch="360"/>
        </w:sectPr>
      </w:pPr>
    </w:p>
    <w:p w:rsidR="00BA01E1" w:rsidRPr="0044258A" w:rsidRDefault="00BA01E1" w:rsidP="00C328B1">
      <w:pPr>
        <w:pStyle w:val="BodyTextIndent"/>
        <w:jc w:val="left"/>
        <w:rPr>
          <w:b/>
          <w:szCs w:val="24"/>
        </w:rPr>
      </w:pPr>
      <w:r w:rsidRPr="0044258A">
        <w:rPr>
          <w:b/>
          <w:szCs w:val="24"/>
        </w:rPr>
        <w:lastRenderedPageBreak/>
        <w:t>Q.</w:t>
      </w:r>
      <w:r w:rsidRPr="0044258A">
        <w:rPr>
          <w:b/>
          <w:szCs w:val="24"/>
        </w:rPr>
        <w:tab/>
      </w:r>
      <w:r w:rsidR="00361F36" w:rsidRPr="0044258A">
        <w:rPr>
          <w:b/>
          <w:szCs w:val="24"/>
        </w:rPr>
        <w:t>Are you the same Greg</w:t>
      </w:r>
      <w:r w:rsidR="001E075C" w:rsidRPr="0044258A">
        <w:rPr>
          <w:b/>
          <w:szCs w:val="24"/>
        </w:rPr>
        <w:t>ory N.</w:t>
      </w:r>
      <w:r w:rsidR="00361F36" w:rsidRPr="0044258A">
        <w:rPr>
          <w:b/>
          <w:szCs w:val="24"/>
        </w:rPr>
        <w:t xml:space="preserve"> Duvall </w:t>
      </w:r>
      <w:r w:rsidR="00732C4D">
        <w:rPr>
          <w:b/>
          <w:szCs w:val="24"/>
        </w:rPr>
        <w:t>who</w:t>
      </w:r>
      <w:r w:rsidR="00C328B1">
        <w:rPr>
          <w:b/>
          <w:szCs w:val="24"/>
        </w:rPr>
        <w:t xml:space="preserve"> previously submitted</w:t>
      </w:r>
      <w:r w:rsidRPr="0044258A">
        <w:rPr>
          <w:b/>
          <w:szCs w:val="24"/>
        </w:rPr>
        <w:t xml:space="preserve"> </w:t>
      </w:r>
      <w:r w:rsidR="00A70B51">
        <w:rPr>
          <w:b/>
          <w:szCs w:val="24"/>
        </w:rPr>
        <w:t xml:space="preserve">direct </w:t>
      </w:r>
      <w:r w:rsidRPr="0044258A">
        <w:rPr>
          <w:b/>
          <w:szCs w:val="24"/>
        </w:rPr>
        <w:t>testimony</w:t>
      </w:r>
      <w:r w:rsidR="00C328B1">
        <w:rPr>
          <w:b/>
          <w:szCs w:val="24"/>
        </w:rPr>
        <w:t xml:space="preserve"> in this case</w:t>
      </w:r>
      <w:r w:rsidRPr="0044258A">
        <w:rPr>
          <w:b/>
          <w:szCs w:val="24"/>
        </w:rPr>
        <w:t xml:space="preserve"> </w:t>
      </w:r>
      <w:r w:rsidR="00A70B51" w:rsidRPr="00EC7681">
        <w:rPr>
          <w:b/>
        </w:rPr>
        <w:t xml:space="preserve">on </w:t>
      </w:r>
      <w:r w:rsidR="00A70B51" w:rsidRPr="006D0AEE">
        <w:rPr>
          <w:b/>
        </w:rPr>
        <w:t xml:space="preserve">behalf </w:t>
      </w:r>
      <w:r w:rsidR="00A70B51" w:rsidRPr="00EC7681">
        <w:rPr>
          <w:b/>
        </w:rPr>
        <w:t>of Pacific Power &amp; Light Company (Pacifi</w:t>
      </w:r>
      <w:r w:rsidR="00A70B51">
        <w:rPr>
          <w:b/>
        </w:rPr>
        <w:t>c Power</w:t>
      </w:r>
      <w:r w:rsidR="00A70B51" w:rsidRPr="00EC7681">
        <w:rPr>
          <w:b/>
        </w:rPr>
        <w:t xml:space="preserve"> or Company)</w:t>
      </w:r>
      <w:r w:rsidR="00C328B1">
        <w:rPr>
          <w:b/>
        </w:rPr>
        <w:t>, a division of PacifiCorp</w:t>
      </w:r>
      <w:r w:rsidRPr="0044258A">
        <w:rPr>
          <w:b/>
          <w:szCs w:val="24"/>
        </w:rPr>
        <w:t>?</w:t>
      </w:r>
    </w:p>
    <w:p w:rsidR="007C29D7" w:rsidRDefault="00BA01E1" w:rsidP="00C328B1">
      <w:pPr>
        <w:pStyle w:val="BodyTextIndent"/>
        <w:jc w:val="left"/>
        <w:rPr>
          <w:szCs w:val="24"/>
        </w:rPr>
      </w:pPr>
      <w:r w:rsidRPr="0044258A">
        <w:rPr>
          <w:szCs w:val="24"/>
        </w:rPr>
        <w:t>A.</w:t>
      </w:r>
      <w:r w:rsidRPr="0044258A">
        <w:rPr>
          <w:szCs w:val="24"/>
        </w:rPr>
        <w:tab/>
        <w:t xml:space="preserve">Yes.  </w:t>
      </w:r>
    </w:p>
    <w:p w:rsidR="007C29D7" w:rsidRDefault="003B08A4" w:rsidP="00C328B1">
      <w:pPr>
        <w:pStyle w:val="Heading1"/>
      </w:pPr>
      <w:bookmarkStart w:id="1" w:name="_Toc403714281"/>
      <w:r w:rsidRPr="007C29D7">
        <w:t>PURPOSE</w:t>
      </w:r>
      <w:r w:rsidR="00F10C75">
        <w:t xml:space="preserve"> AND</w:t>
      </w:r>
      <w:r w:rsidRPr="007C29D7">
        <w:t xml:space="preserve"> SUMMARY</w:t>
      </w:r>
      <w:bookmarkEnd w:id="1"/>
      <w:r w:rsidR="00732C4D">
        <w:t xml:space="preserve"> </w:t>
      </w:r>
    </w:p>
    <w:p w:rsidR="00C328B1" w:rsidRPr="00C328B1" w:rsidRDefault="00C328B1" w:rsidP="00C328B1">
      <w:pPr>
        <w:suppressLineNumbers/>
      </w:pPr>
    </w:p>
    <w:p w:rsidR="00BA01E1" w:rsidRPr="0044258A" w:rsidRDefault="00BA01E1" w:rsidP="00C328B1">
      <w:pPr>
        <w:tabs>
          <w:tab w:val="left" w:pos="720"/>
        </w:tabs>
        <w:spacing w:line="480" w:lineRule="auto"/>
        <w:rPr>
          <w:b/>
          <w:sz w:val="24"/>
          <w:szCs w:val="24"/>
        </w:rPr>
      </w:pPr>
      <w:r w:rsidRPr="0044258A">
        <w:rPr>
          <w:b/>
          <w:sz w:val="24"/>
          <w:szCs w:val="24"/>
        </w:rPr>
        <w:t>Q.</w:t>
      </w:r>
      <w:r w:rsidRPr="0044258A">
        <w:rPr>
          <w:b/>
          <w:sz w:val="24"/>
          <w:szCs w:val="24"/>
        </w:rPr>
        <w:tab/>
        <w:t>What is the purpose of your testimony?</w:t>
      </w:r>
    </w:p>
    <w:p w:rsidR="007C29D7" w:rsidRDefault="00BA01E1" w:rsidP="00C328B1">
      <w:pPr>
        <w:pStyle w:val="BodyTextIndent"/>
        <w:jc w:val="left"/>
        <w:rPr>
          <w:szCs w:val="24"/>
        </w:rPr>
      </w:pPr>
      <w:r w:rsidRPr="0044258A">
        <w:rPr>
          <w:szCs w:val="24"/>
        </w:rPr>
        <w:t>A.</w:t>
      </w:r>
      <w:r w:rsidRPr="0044258A">
        <w:rPr>
          <w:szCs w:val="24"/>
        </w:rPr>
        <w:tab/>
        <w:t xml:space="preserve">My testimony </w:t>
      </w:r>
      <w:r w:rsidR="00B6183A">
        <w:rPr>
          <w:szCs w:val="24"/>
        </w:rPr>
        <w:t xml:space="preserve">presents </w:t>
      </w:r>
      <w:r w:rsidR="00A70B51">
        <w:rPr>
          <w:szCs w:val="24"/>
        </w:rPr>
        <w:t xml:space="preserve">the </w:t>
      </w:r>
      <w:r w:rsidR="00F03BCC" w:rsidRPr="0044258A">
        <w:rPr>
          <w:szCs w:val="24"/>
        </w:rPr>
        <w:t>Company</w:t>
      </w:r>
      <w:r w:rsidR="00A70B51">
        <w:rPr>
          <w:szCs w:val="24"/>
        </w:rPr>
        <w:t>’s</w:t>
      </w:r>
      <w:r w:rsidR="00F03BCC" w:rsidRPr="0044258A">
        <w:rPr>
          <w:szCs w:val="24"/>
        </w:rPr>
        <w:t xml:space="preserve"> </w:t>
      </w:r>
      <w:r w:rsidR="003B08A4">
        <w:rPr>
          <w:szCs w:val="24"/>
        </w:rPr>
        <w:t>rebuttal</w:t>
      </w:r>
      <w:r w:rsidR="00F03BCC" w:rsidRPr="0044258A">
        <w:rPr>
          <w:szCs w:val="24"/>
        </w:rPr>
        <w:t xml:space="preserve"> </w:t>
      </w:r>
      <w:r w:rsidR="00B6183A">
        <w:rPr>
          <w:szCs w:val="24"/>
        </w:rPr>
        <w:t>net power costs (</w:t>
      </w:r>
      <w:r w:rsidR="00F03BCC" w:rsidRPr="0044258A">
        <w:rPr>
          <w:szCs w:val="24"/>
        </w:rPr>
        <w:t>NPC</w:t>
      </w:r>
      <w:r w:rsidR="00B6183A">
        <w:rPr>
          <w:szCs w:val="24"/>
        </w:rPr>
        <w:t>)</w:t>
      </w:r>
      <w:r w:rsidR="00F03BCC" w:rsidRPr="0044258A">
        <w:rPr>
          <w:szCs w:val="24"/>
        </w:rPr>
        <w:t>,</w:t>
      </w:r>
      <w:r w:rsidR="00B6183A">
        <w:rPr>
          <w:szCs w:val="24"/>
        </w:rPr>
        <w:t xml:space="preserve"> </w:t>
      </w:r>
      <w:r w:rsidR="006C63C8">
        <w:rPr>
          <w:szCs w:val="24"/>
        </w:rPr>
        <w:t>including</w:t>
      </w:r>
      <w:r w:rsidR="00F03BCC" w:rsidRPr="0044258A">
        <w:rPr>
          <w:szCs w:val="24"/>
        </w:rPr>
        <w:t xml:space="preserve"> updates </w:t>
      </w:r>
      <w:r w:rsidR="00F26154">
        <w:rPr>
          <w:szCs w:val="24"/>
        </w:rPr>
        <w:t>to</w:t>
      </w:r>
      <w:r w:rsidR="00F03BCC" w:rsidRPr="0044258A">
        <w:rPr>
          <w:szCs w:val="24"/>
        </w:rPr>
        <w:t xml:space="preserve"> improve the accuracy of the </w:t>
      </w:r>
      <w:r w:rsidR="007A246E">
        <w:rPr>
          <w:szCs w:val="24"/>
        </w:rPr>
        <w:t xml:space="preserve">pro forma </w:t>
      </w:r>
      <w:r w:rsidR="00F03BCC" w:rsidRPr="0044258A">
        <w:rPr>
          <w:szCs w:val="24"/>
        </w:rPr>
        <w:t xml:space="preserve">NPC.  I respond to the </w:t>
      </w:r>
      <w:r w:rsidR="004879AC">
        <w:rPr>
          <w:szCs w:val="24"/>
        </w:rPr>
        <w:t xml:space="preserve">NPC-related </w:t>
      </w:r>
      <w:r w:rsidR="003E504F">
        <w:rPr>
          <w:szCs w:val="24"/>
        </w:rPr>
        <w:t xml:space="preserve">issues </w:t>
      </w:r>
      <w:r w:rsidR="00C143DD">
        <w:rPr>
          <w:szCs w:val="24"/>
        </w:rPr>
        <w:t xml:space="preserve">raised </w:t>
      </w:r>
      <w:r w:rsidR="00F03BCC" w:rsidRPr="0044258A">
        <w:rPr>
          <w:szCs w:val="24"/>
        </w:rPr>
        <w:t xml:space="preserve">by </w:t>
      </w:r>
      <w:r w:rsidR="00B6183A">
        <w:rPr>
          <w:szCs w:val="24"/>
        </w:rPr>
        <w:t>Mr. David C. Gomez</w:t>
      </w:r>
      <w:r w:rsidR="00F03BCC" w:rsidRPr="0044258A">
        <w:rPr>
          <w:szCs w:val="24"/>
        </w:rPr>
        <w:t xml:space="preserve"> on behalf of </w:t>
      </w:r>
      <w:r w:rsidR="004E54EE">
        <w:rPr>
          <w:szCs w:val="24"/>
        </w:rPr>
        <w:t>Washington Utilities and Transportation Commission</w:t>
      </w:r>
      <w:r w:rsidR="00794859">
        <w:rPr>
          <w:szCs w:val="24"/>
        </w:rPr>
        <w:t xml:space="preserve"> </w:t>
      </w:r>
      <w:r w:rsidR="007A246E">
        <w:rPr>
          <w:szCs w:val="24"/>
        </w:rPr>
        <w:t xml:space="preserve">(Commission) </w:t>
      </w:r>
      <w:r w:rsidR="00794859">
        <w:rPr>
          <w:szCs w:val="24"/>
        </w:rPr>
        <w:t>Staff</w:t>
      </w:r>
      <w:r w:rsidR="00F03BCC" w:rsidRPr="0044258A">
        <w:rPr>
          <w:szCs w:val="24"/>
        </w:rPr>
        <w:t xml:space="preserve"> </w:t>
      </w:r>
      <w:r w:rsidR="00A03391">
        <w:rPr>
          <w:szCs w:val="24"/>
        </w:rPr>
        <w:t xml:space="preserve">and </w:t>
      </w:r>
      <w:r w:rsidR="00B6183A">
        <w:rPr>
          <w:szCs w:val="24"/>
        </w:rPr>
        <w:t xml:space="preserve">Mr. </w:t>
      </w:r>
      <w:r w:rsidR="003E504F">
        <w:rPr>
          <w:szCs w:val="24"/>
        </w:rPr>
        <w:t>Bradley G. Mullins</w:t>
      </w:r>
      <w:r w:rsidR="00C72C4A">
        <w:rPr>
          <w:szCs w:val="24"/>
        </w:rPr>
        <w:t xml:space="preserve"> </w:t>
      </w:r>
      <w:r w:rsidR="00F03BCC" w:rsidRPr="0044258A">
        <w:rPr>
          <w:szCs w:val="24"/>
        </w:rPr>
        <w:t xml:space="preserve">on behalf of </w:t>
      </w:r>
      <w:r w:rsidR="00B6183A">
        <w:rPr>
          <w:szCs w:val="24"/>
        </w:rPr>
        <w:t>Boise White Paper, LLC (Boise</w:t>
      </w:r>
      <w:r w:rsidR="00C143DD">
        <w:rPr>
          <w:szCs w:val="24"/>
        </w:rPr>
        <w:t>).</w:t>
      </w:r>
      <w:r w:rsidR="004879AC">
        <w:rPr>
          <w:szCs w:val="24"/>
        </w:rPr>
        <w:t xml:space="preserve">  I </w:t>
      </w:r>
      <w:r w:rsidR="003B08A4">
        <w:rPr>
          <w:szCs w:val="24"/>
        </w:rPr>
        <w:t xml:space="preserve">also </w:t>
      </w:r>
      <w:r w:rsidR="004879AC">
        <w:rPr>
          <w:szCs w:val="24"/>
        </w:rPr>
        <w:t xml:space="preserve">respond to </w:t>
      </w:r>
      <w:r w:rsidR="003B08A4">
        <w:rPr>
          <w:szCs w:val="24"/>
        </w:rPr>
        <w:t xml:space="preserve">the </w:t>
      </w:r>
      <w:r w:rsidR="007A246E">
        <w:rPr>
          <w:szCs w:val="24"/>
        </w:rPr>
        <w:t>testimon</w:t>
      </w:r>
      <w:r w:rsidR="0055781F">
        <w:rPr>
          <w:szCs w:val="24"/>
        </w:rPr>
        <w:t>ies</w:t>
      </w:r>
      <w:r w:rsidR="007A246E">
        <w:rPr>
          <w:szCs w:val="24"/>
        </w:rPr>
        <w:t xml:space="preserve"> of Mr. </w:t>
      </w:r>
      <w:r w:rsidR="00B61C21">
        <w:rPr>
          <w:szCs w:val="24"/>
        </w:rPr>
        <w:t xml:space="preserve">Jeremy B. Twitchell </w:t>
      </w:r>
      <w:r w:rsidR="00C143DD">
        <w:rPr>
          <w:szCs w:val="24"/>
        </w:rPr>
        <w:t xml:space="preserve">on behalf </w:t>
      </w:r>
      <w:r w:rsidR="00B61C21">
        <w:rPr>
          <w:szCs w:val="24"/>
        </w:rPr>
        <w:t>of Staff</w:t>
      </w:r>
      <w:r w:rsidR="0055781F">
        <w:rPr>
          <w:szCs w:val="24"/>
        </w:rPr>
        <w:t>,</w:t>
      </w:r>
      <w:r w:rsidR="00B61C21">
        <w:rPr>
          <w:szCs w:val="24"/>
        </w:rPr>
        <w:t xml:space="preserve"> Ms. Donna M. Ramas on behalf of the Public Counsel Division of the Washington Attorney General’s Office (Public Counsel)</w:t>
      </w:r>
      <w:r w:rsidR="0055781F">
        <w:rPr>
          <w:szCs w:val="24"/>
        </w:rPr>
        <w:t>, and Mr. Mullins</w:t>
      </w:r>
      <w:r w:rsidR="00B61C21">
        <w:rPr>
          <w:szCs w:val="24"/>
        </w:rPr>
        <w:t xml:space="preserve"> </w:t>
      </w:r>
      <w:r w:rsidR="001D5130">
        <w:rPr>
          <w:szCs w:val="24"/>
        </w:rPr>
        <w:t>recommending that</w:t>
      </w:r>
      <w:r w:rsidR="004879AC">
        <w:rPr>
          <w:szCs w:val="24"/>
        </w:rPr>
        <w:t xml:space="preserve"> the </w:t>
      </w:r>
      <w:r w:rsidR="006F1835">
        <w:rPr>
          <w:szCs w:val="24"/>
        </w:rPr>
        <w:t xml:space="preserve">Commission </w:t>
      </w:r>
      <w:r w:rsidR="004879AC">
        <w:rPr>
          <w:szCs w:val="24"/>
        </w:rPr>
        <w:t xml:space="preserve">reject the Company’s proposed </w:t>
      </w:r>
      <w:r w:rsidR="00D1340C">
        <w:rPr>
          <w:szCs w:val="24"/>
        </w:rPr>
        <w:t>renewable resource track</w:t>
      </w:r>
      <w:r w:rsidR="0055781F">
        <w:rPr>
          <w:szCs w:val="24"/>
        </w:rPr>
        <w:t>ing</w:t>
      </w:r>
      <w:r w:rsidR="00D1340C">
        <w:rPr>
          <w:szCs w:val="24"/>
        </w:rPr>
        <w:t xml:space="preserve"> mechanism (RRTM)</w:t>
      </w:r>
      <w:r w:rsidR="004879AC">
        <w:rPr>
          <w:szCs w:val="24"/>
        </w:rPr>
        <w:t>.</w:t>
      </w:r>
    </w:p>
    <w:p w:rsidR="00A03391" w:rsidRDefault="00A03391" w:rsidP="00C328B1">
      <w:pPr>
        <w:pStyle w:val="BodyTextIndent"/>
        <w:jc w:val="left"/>
        <w:rPr>
          <w:b/>
          <w:szCs w:val="24"/>
        </w:rPr>
      </w:pPr>
      <w:r w:rsidRPr="00A03391">
        <w:rPr>
          <w:b/>
          <w:szCs w:val="24"/>
        </w:rPr>
        <w:t>Q.</w:t>
      </w:r>
      <w:r w:rsidRPr="00A03391">
        <w:rPr>
          <w:b/>
          <w:szCs w:val="24"/>
        </w:rPr>
        <w:tab/>
        <w:t xml:space="preserve">Please summarize your testimony related to the Company’s NPC update. </w:t>
      </w:r>
    </w:p>
    <w:p w:rsidR="00266532" w:rsidRDefault="00A03391" w:rsidP="00C328B1">
      <w:pPr>
        <w:pStyle w:val="BodyTextIndent2"/>
        <w:tabs>
          <w:tab w:val="clear" w:pos="720"/>
        </w:tabs>
        <w:rPr>
          <w:szCs w:val="24"/>
        </w:rPr>
      </w:pPr>
      <w:r w:rsidRPr="00A03391">
        <w:rPr>
          <w:szCs w:val="24"/>
        </w:rPr>
        <w:t>A.</w:t>
      </w:r>
      <w:r w:rsidR="003B08A4">
        <w:rPr>
          <w:szCs w:val="24"/>
        </w:rPr>
        <w:tab/>
      </w:r>
      <w:r w:rsidR="00D455D0">
        <w:rPr>
          <w:szCs w:val="24"/>
        </w:rPr>
        <w:t>Consistent with the</w:t>
      </w:r>
      <w:r w:rsidR="00B61C21">
        <w:rPr>
          <w:szCs w:val="24"/>
        </w:rPr>
        <w:t xml:space="preserve"> </w:t>
      </w:r>
      <w:r w:rsidR="00B34ACC">
        <w:rPr>
          <w:szCs w:val="24"/>
        </w:rPr>
        <w:t xml:space="preserve">Commission’s </w:t>
      </w:r>
      <w:r w:rsidR="00B61C21">
        <w:rPr>
          <w:szCs w:val="24"/>
        </w:rPr>
        <w:t xml:space="preserve">long-standing policy supporting NPC updates </w:t>
      </w:r>
      <w:r w:rsidR="00B34ACC">
        <w:rPr>
          <w:szCs w:val="24"/>
        </w:rPr>
        <w:t>in</w:t>
      </w:r>
      <w:r w:rsidR="00B61C21">
        <w:rPr>
          <w:szCs w:val="24"/>
        </w:rPr>
        <w:t xml:space="preserve"> rate case</w:t>
      </w:r>
      <w:r w:rsidR="00B34ACC">
        <w:rPr>
          <w:szCs w:val="24"/>
        </w:rPr>
        <w:t>s</w:t>
      </w:r>
      <w:r w:rsidR="00B61C21">
        <w:rPr>
          <w:szCs w:val="24"/>
        </w:rPr>
        <w:t>, the Company updated its NPC to reflect the most re</w:t>
      </w:r>
      <w:r w:rsidR="002C6BAA">
        <w:rPr>
          <w:szCs w:val="24"/>
        </w:rPr>
        <w:t>cent data on costs for the rate-</w:t>
      </w:r>
      <w:r w:rsidR="00B61C21">
        <w:rPr>
          <w:szCs w:val="24"/>
        </w:rPr>
        <w:t>effective period.  The Company’s update</w:t>
      </w:r>
      <w:r w:rsidR="00C143DD">
        <w:rPr>
          <w:szCs w:val="24"/>
        </w:rPr>
        <w:t xml:space="preserve">d </w:t>
      </w:r>
      <w:r w:rsidR="003B08A4">
        <w:rPr>
          <w:szCs w:val="24"/>
        </w:rPr>
        <w:t xml:space="preserve">NPC </w:t>
      </w:r>
      <w:r w:rsidR="00C143DD">
        <w:rPr>
          <w:szCs w:val="24"/>
        </w:rPr>
        <w:t xml:space="preserve">for the west control </w:t>
      </w:r>
      <w:r w:rsidR="00140C5A">
        <w:rPr>
          <w:szCs w:val="24"/>
        </w:rPr>
        <w:t xml:space="preserve">area </w:t>
      </w:r>
      <w:r w:rsidR="00E32020">
        <w:rPr>
          <w:szCs w:val="24"/>
        </w:rPr>
        <w:t xml:space="preserve">under the Company’s </w:t>
      </w:r>
      <w:r w:rsidR="00140C5A">
        <w:rPr>
          <w:szCs w:val="24"/>
        </w:rPr>
        <w:t xml:space="preserve">West Control Area </w:t>
      </w:r>
      <w:r w:rsidR="00E32020" w:rsidRPr="00E32020">
        <w:rPr>
          <w:szCs w:val="24"/>
        </w:rPr>
        <w:t>inter-</w:t>
      </w:r>
      <w:r w:rsidR="002F5C82" w:rsidRPr="00E32020">
        <w:rPr>
          <w:szCs w:val="24"/>
        </w:rPr>
        <w:t>jurisdictional</w:t>
      </w:r>
      <w:r w:rsidR="00E32020">
        <w:rPr>
          <w:szCs w:val="24"/>
        </w:rPr>
        <w:t xml:space="preserve"> </w:t>
      </w:r>
      <w:r w:rsidR="00E32020" w:rsidRPr="00E32020">
        <w:rPr>
          <w:szCs w:val="24"/>
        </w:rPr>
        <w:t>allocation methodology (WCA)</w:t>
      </w:r>
      <w:r w:rsidR="00E32020">
        <w:rPr>
          <w:szCs w:val="24"/>
        </w:rPr>
        <w:t xml:space="preserve"> </w:t>
      </w:r>
      <w:r w:rsidR="00C143DD">
        <w:rPr>
          <w:szCs w:val="24"/>
        </w:rPr>
        <w:t>are</w:t>
      </w:r>
      <w:r w:rsidR="003B08A4">
        <w:rPr>
          <w:szCs w:val="24"/>
        </w:rPr>
        <w:t xml:space="preserve"> approximately </w:t>
      </w:r>
      <w:r w:rsidR="00833B2D" w:rsidRPr="0068392B">
        <w:rPr>
          <w:szCs w:val="24"/>
        </w:rPr>
        <w:t>$</w:t>
      </w:r>
      <w:r w:rsidR="00833B2D">
        <w:rPr>
          <w:szCs w:val="24"/>
        </w:rPr>
        <w:t>592.7 million, or $135.6 on a Washington</w:t>
      </w:r>
      <w:r w:rsidR="002C6BAA">
        <w:rPr>
          <w:szCs w:val="24"/>
        </w:rPr>
        <w:t>-allocated</w:t>
      </w:r>
      <w:r w:rsidR="00833B2D">
        <w:rPr>
          <w:szCs w:val="24"/>
        </w:rPr>
        <w:t xml:space="preserve"> basis.  Updated NPC are approximately $5.4 million higher than the NPC included in the initial filing </w:t>
      </w:r>
      <w:r w:rsidR="00C143DD">
        <w:rPr>
          <w:szCs w:val="24"/>
        </w:rPr>
        <w:t>on a Washington</w:t>
      </w:r>
      <w:r w:rsidR="002C6BAA">
        <w:rPr>
          <w:szCs w:val="24"/>
        </w:rPr>
        <w:t>-allocated</w:t>
      </w:r>
      <w:r w:rsidR="00C143DD">
        <w:rPr>
          <w:szCs w:val="24"/>
        </w:rPr>
        <w:t xml:space="preserve"> basis</w:t>
      </w:r>
      <w:r w:rsidR="003B08A4">
        <w:rPr>
          <w:szCs w:val="24"/>
        </w:rPr>
        <w:t xml:space="preserve">.  </w:t>
      </w:r>
    </w:p>
    <w:p w:rsidR="00A03391" w:rsidRDefault="00266532" w:rsidP="00C328B1">
      <w:pPr>
        <w:pStyle w:val="BodyTextIndent2"/>
        <w:tabs>
          <w:tab w:val="clear" w:pos="720"/>
        </w:tabs>
        <w:rPr>
          <w:szCs w:val="24"/>
        </w:rPr>
      </w:pPr>
      <w:r>
        <w:rPr>
          <w:szCs w:val="24"/>
        </w:rPr>
        <w:lastRenderedPageBreak/>
        <w:tab/>
      </w:r>
      <w:r>
        <w:rPr>
          <w:szCs w:val="24"/>
        </w:rPr>
        <w:tab/>
      </w:r>
      <w:r w:rsidR="00BF72F7">
        <w:rPr>
          <w:szCs w:val="24"/>
        </w:rPr>
        <w:t xml:space="preserve">The </w:t>
      </w:r>
      <w:r w:rsidR="00C143DD">
        <w:rPr>
          <w:szCs w:val="24"/>
        </w:rPr>
        <w:t xml:space="preserve">NPC </w:t>
      </w:r>
      <w:r w:rsidR="00BF72F7">
        <w:rPr>
          <w:szCs w:val="24"/>
        </w:rPr>
        <w:t xml:space="preserve">updates are similar to those included in </w:t>
      </w:r>
      <w:r w:rsidR="00F26154">
        <w:rPr>
          <w:szCs w:val="24"/>
        </w:rPr>
        <w:t>Pacifi</w:t>
      </w:r>
      <w:r w:rsidR="00DF658D">
        <w:rPr>
          <w:szCs w:val="24"/>
        </w:rPr>
        <w:t xml:space="preserve">c Power’s </w:t>
      </w:r>
      <w:r w:rsidR="006D23A5">
        <w:rPr>
          <w:szCs w:val="24"/>
        </w:rPr>
        <w:t xml:space="preserve">previous </w:t>
      </w:r>
      <w:r w:rsidR="00F26154">
        <w:rPr>
          <w:szCs w:val="24"/>
        </w:rPr>
        <w:t xml:space="preserve">Washington </w:t>
      </w:r>
      <w:r w:rsidR="006D23A5">
        <w:rPr>
          <w:szCs w:val="24"/>
        </w:rPr>
        <w:t>rebuttal filings</w:t>
      </w:r>
      <w:r>
        <w:rPr>
          <w:szCs w:val="24"/>
        </w:rPr>
        <w:t xml:space="preserve">.  The most significant aspect of the </w:t>
      </w:r>
      <w:r w:rsidR="00FE5AA9">
        <w:rPr>
          <w:szCs w:val="24"/>
        </w:rPr>
        <w:t xml:space="preserve">NPC </w:t>
      </w:r>
      <w:r>
        <w:rPr>
          <w:szCs w:val="24"/>
        </w:rPr>
        <w:t>update is a</w:t>
      </w:r>
      <w:r w:rsidR="006F6BBE">
        <w:rPr>
          <w:szCs w:val="24"/>
        </w:rPr>
        <w:t>n</w:t>
      </w:r>
      <w:r w:rsidR="00FE5AA9">
        <w:rPr>
          <w:szCs w:val="24"/>
        </w:rPr>
        <w:t xml:space="preserve"> </w:t>
      </w:r>
      <w:r>
        <w:rPr>
          <w:szCs w:val="24"/>
        </w:rPr>
        <w:t>increase</w:t>
      </w:r>
      <w:r w:rsidR="00460BFE">
        <w:rPr>
          <w:szCs w:val="24"/>
        </w:rPr>
        <w:t xml:space="preserve"> </w:t>
      </w:r>
      <w:r w:rsidR="00FE5AA9">
        <w:rPr>
          <w:szCs w:val="24"/>
        </w:rPr>
        <w:t>in</w:t>
      </w:r>
      <w:r>
        <w:rPr>
          <w:szCs w:val="24"/>
        </w:rPr>
        <w:t xml:space="preserve"> the Company’s coal supply costs </w:t>
      </w:r>
      <w:r w:rsidR="00FE5AA9">
        <w:rPr>
          <w:szCs w:val="24"/>
        </w:rPr>
        <w:t>at</w:t>
      </w:r>
      <w:r>
        <w:rPr>
          <w:szCs w:val="24"/>
        </w:rPr>
        <w:t xml:space="preserve"> the Jim Bridger plant fr</w:t>
      </w:r>
      <w:r w:rsidR="002C6BAA">
        <w:rPr>
          <w:szCs w:val="24"/>
        </w:rPr>
        <w:t>om the Black Butte and Bridger m</w:t>
      </w:r>
      <w:r>
        <w:rPr>
          <w:szCs w:val="24"/>
        </w:rPr>
        <w:t xml:space="preserve">ines.  </w:t>
      </w:r>
      <w:r w:rsidR="00FE5AA9">
        <w:rPr>
          <w:szCs w:val="24"/>
        </w:rPr>
        <w:t>I explain why this coal cost</w:t>
      </w:r>
      <w:r>
        <w:rPr>
          <w:szCs w:val="24"/>
        </w:rPr>
        <w:t xml:space="preserve"> update is reasonable as a policy matter</w:t>
      </w:r>
      <w:r w:rsidR="00DF4A01">
        <w:rPr>
          <w:szCs w:val="24"/>
        </w:rPr>
        <w:t>,</w:t>
      </w:r>
      <w:r>
        <w:rPr>
          <w:szCs w:val="24"/>
        </w:rPr>
        <w:t xml:space="preserve"> and</w:t>
      </w:r>
      <w:r w:rsidR="00DF4A01">
        <w:rPr>
          <w:szCs w:val="24"/>
        </w:rPr>
        <w:t xml:space="preserve"> I</w:t>
      </w:r>
      <w:r>
        <w:rPr>
          <w:szCs w:val="24"/>
        </w:rPr>
        <w:t xml:space="preserve"> support </w:t>
      </w:r>
      <w:r w:rsidR="00DF4A01">
        <w:rPr>
          <w:szCs w:val="24"/>
        </w:rPr>
        <w:t xml:space="preserve">providing </w:t>
      </w:r>
      <w:r>
        <w:rPr>
          <w:szCs w:val="24"/>
        </w:rPr>
        <w:t>other parties a</w:t>
      </w:r>
      <w:r w:rsidR="00DF4A01">
        <w:rPr>
          <w:szCs w:val="24"/>
        </w:rPr>
        <w:t xml:space="preserve">n opportunity </w:t>
      </w:r>
      <w:r>
        <w:rPr>
          <w:szCs w:val="24"/>
        </w:rPr>
        <w:t>to respond to it in supplemental testimony</w:t>
      </w:r>
      <w:r w:rsidR="00FE5AA9">
        <w:rPr>
          <w:szCs w:val="24"/>
        </w:rPr>
        <w:t>.</w:t>
      </w:r>
      <w:r>
        <w:rPr>
          <w:szCs w:val="24"/>
        </w:rPr>
        <w:t xml:space="preserve">  </w:t>
      </w:r>
      <w:r w:rsidR="002C6BAA">
        <w:rPr>
          <w:szCs w:val="24"/>
        </w:rPr>
        <w:t>Ms.</w:t>
      </w:r>
      <w:r w:rsidR="00FE5AA9">
        <w:rPr>
          <w:szCs w:val="24"/>
        </w:rPr>
        <w:t xml:space="preserve"> </w:t>
      </w:r>
      <w:r w:rsidR="00BC3F6A">
        <w:rPr>
          <w:szCs w:val="24"/>
        </w:rPr>
        <w:t xml:space="preserve">Cindy </w:t>
      </w:r>
      <w:r w:rsidR="002C6BAA">
        <w:rPr>
          <w:szCs w:val="24"/>
        </w:rPr>
        <w:t xml:space="preserve">A. </w:t>
      </w:r>
      <w:r w:rsidR="00BC3F6A">
        <w:rPr>
          <w:szCs w:val="24"/>
        </w:rPr>
        <w:t xml:space="preserve">Crane </w:t>
      </w:r>
      <w:r w:rsidR="00FE5AA9">
        <w:rPr>
          <w:szCs w:val="24"/>
        </w:rPr>
        <w:t xml:space="preserve">provides details on the updated coal costs in her testimony. </w:t>
      </w:r>
      <w:r w:rsidR="006D23A5">
        <w:rPr>
          <w:szCs w:val="24"/>
        </w:rPr>
        <w:t xml:space="preserve">  </w:t>
      </w:r>
    </w:p>
    <w:p w:rsidR="00F22A34" w:rsidRDefault="00F22A34" w:rsidP="00C328B1">
      <w:pPr>
        <w:pStyle w:val="BodyTextIndent"/>
        <w:jc w:val="left"/>
        <w:rPr>
          <w:szCs w:val="24"/>
        </w:rPr>
      </w:pPr>
      <w:r w:rsidRPr="00A03391">
        <w:rPr>
          <w:b/>
          <w:szCs w:val="24"/>
        </w:rPr>
        <w:t>Q.</w:t>
      </w:r>
      <w:r w:rsidRPr="00A03391">
        <w:rPr>
          <w:b/>
          <w:szCs w:val="24"/>
        </w:rPr>
        <w:tab/>
        <w:t xml:space="preserve">Please summarize your testimony </w:t>
      </w:r>
      <w:r w:rsidR="00140C5A">
        <w:rPr>
          <w:b/>
          <w:szCs w:val="24"/>
        </w:rPr>
        <w:t xml:space="preserve">responding to </w:t>
      </w:r>
      <w:r>
        <w:rPr>
          <w:b/>
          <w:szCs w:val="24"/>
        </w:rPr>
        <w:t>NPC adjustments proposed by</w:t>
      </w:r>
      <w:r w:rsidRPr="00A03391">
        <w:rPr>
          <w:b/>
          <w:szCs w:val="24"/>
        </w:rPr>
        <w:t xml:space="preserve"> the parties</w:t>
      </w:r>
      <w:r>
        <w:rPr>
          <w:b/>
          <w:szCs w:val="24"/>
        </w:rPr>
        <w:t>.</w:t>
      </w:r>
    </w:p>
    <w:p w:rsidR="00A03391" w:rsidRDefault="00F22A34" w:rsidP="00C328B1">
      <w:pPr>
        <w:pStyle w:val="BodyTextIndent"/>
        <w:jc w:val="left"/>
        <w:rPr>
          <w:szCs w:val="24"/>
        </w:rPr>
      </w:pPr>
      <w:r>
        <w:rPr>
          <w:szCs w:val="24"/>
        </w:rPr>
        <w:t>A.</w:t>
      </w:r>
      <w:r>
        <w:rPr>
          <w:szCs w:val="24"/>
        </w:rPr>
        <w:tab/>
        <w:t xml:space="preserve">My testimony demonstrates that: </w:t>
      </w:r>
    </w:p>
    <w:p w:rsidR="00F22A34" w:rsidRDefault="00F22A34" w:rsidP="0061382D">
      <w:pPr>
        <w:pStyle w:val="BodyTextIndent"/>
        <w:numPr>
          <w:ilvl w:val="0"/>
          <w:numId w:val="37"/>
        </w:numPr>
        <w:ind w:left="1080"/>
        <w:jc w:val="left"/>
        <w:rPr>
          <w:szCs w:val="24"/>
        </w:rPr>
      </w:pPr>
      <w:r>
        <w:rPr>
          <w:szCs w:val="24"/>
        </w:rPr>
        <w:t>Inclu</w:t>
      </w:r>
      <w:r w:rsidR="002C6BAA">
        <w:rPr>
          <w:szCs w:val="24"/>
        </w:rPr>
        <w:t>ding power purchase agreements (PPAs) with qualifying f</w:t>
      </w:r>
      <w:r w:rsidR="00140C5A">
        <w:rPr>
          <w:szCs w:val="24"/>
        </w:rPr>
        <w:t>acilit</w:t>
      </w:r>
      <w:r w:rsidR="002C6BAA">
        <w:rPr>
          <w:szCs w:val="24"/>
        </w:rPr>
        <w:t>ies</w:t>
      </w:r>
      <w:r>
        <w:rPr>
          <w:szCs w:val="24"/>
        </w:rPr>
        <w:t xml:space="preserve"> </w:t>
      </w:r>
      <w:r w:rsidR="00140C5A">
        <w:rPr>
          <w:szCs w:val="24"/>
        </w:rPr>
        <w:t>(QFs)</w:t>
      </w:r>
      <w:r w:rsidR="002C6BAA">
        <w:rPr>
          <w:szCs w:val="24"/>
        </w:rPr>
        <w:t xml:space="preserve"> located in California and Oregon </w:t>
      </w:r>
      <w:r>
        <w:rPr>
          <w:szCs w:val="24"/>
        </w:rPr>
        <w:t xml:space="preserve">in the Company’s </w:t>
      </w:r>
      <w:r w:rsidR="00140C5A">
        <w:rPr>
          <w:szCs w:val="24"/>
        </w:rPr>
        <w:t xml:space="preserve">west control area </w:t>
      </w:r>
      <w:r w:rsidR="007A259B">
        <w:rPr>
          <w:szCs w:val="24"/>
        </w:rPr>
        <w:t xml:space="preserve">NPC is fully consistent with </w:t>
      </w:r>
      <w:r w:rsidR="005E1039">
        <w:rPr>
          <w:szCs w:val="24"/>
        </w:rPr>
        <w:t>state and federal</w:t>
      </w:r>
      <w:r w:rsidR="007A259B">
        <w:rPr>
          <w:szCs w:val="24"/>
        </w:rPr>
        <w:t xml:space="preserve"> energy policy supporting renewable energy development</w:t>
      </w:r>
      <w:r w:rsidR="005E1039">
        <w:rPr>
          <w:szCs w:val="24"/>
        </w:rPr>
        <w:t>,</w:t>
      </w:r>
      <w:r w:rsidR="007A259B">
        <w:rPr>
          <w:szCs w:val="24"/>
        </w:rPr>
        <w:t xml:space="preserve"> complies with</w:t>
      </w:r>
      <w:r w:rsidR="002C6BAA">
        <w:rPr>
          <w:szCs w:val="24"/>
        </w:rPr>
        <w:t xml:space="preserve"> </w:t>
      </w:r>
      <w:r w:rsidR="00DA5ED7" w:rsidRPr="00DA5ED7">
        <w:t xml:space="preserve">Public Utility Regulatory Policy Act of 1978 (PURPA) </w:t>
      </w:r>
      <w:r w:rsidR="007A259B">
        <w:rPr>
          <w:szCs w:val="24"/>
        </w:rPr>
        <w:t xml:space="preserve">mandates, and is otherwise fair to Washington customers and the Company. </w:t>
      </w:r>
      <w:r w:rsidR="00F26154">
        <w:rPr>
          <w:szCs w:val="24"/>
        </w:rPr>
        <w:t xml:space="preserve"> </w:t>
      </w:r>
      <w:r w:rsidR="009F5DE9">
        <w:rPr>
          <w:szCs w:val="24"/>
        </w:rPr>
        <w:t>Although</w:t>
      </w:r>
      <w:r w:rsidR="005E1039">
        <w:rPr>
          <w:szCs w:val="24"/>
        </w:rPr>
        <w:t xml:space="preserve"> </w:t>
      </w:r>
      <w:r w:rsidR="009F5DE9">
        <w:rPr>
          <w:szCs w:val="24"/>
        </w:rPr>
        <w:t>it is appropriate to treat the Company’s</w:t>
      </w:r>
      <w:r w:rsidR="005E1039">
        <w:rPr>
          <w:szCs w:val="24"/>
        </w:rPr>
        <w:t xml:space="preserve"> west control area QF</w:t>
      </w:r>
      <w:r w:rsidR="002C6BAA">
        <w:rPr>
          <w:szCs w:val="24"/>
        </w:rPr>
        <w:t xml:space="preserve"> PPA</w:t>
      </w:r>
      <w:r w:rsidR="005E1039">
        <w:rPr>
          <w:szCs w:val="24"/>
        </w:rPr>
        <w:t xml:space="preserve">s like </w:t>
      </w:r>
      <w:r w:rsidR="00267180">
        <w:rPr>
          <w:szCs w:val="24"/>
        </w:rPr>
        <w:t>all</w:t>
      </w:r>
      <w:r w:rsidR="005E1039">
        <w:rPr>
          <w:szCs w:val="24"/>
        </w:rPr>
        <w:t xml:space="preserve"> other west control area PPA</w:t>
      </w:r>
      <w:r w:rsidR="00267180">
        <w:rPr>
          <w:szCs w:val="24"/>
        </w:rPr>
        <w:t xml:space="preserve">s, the Company </w:t>
      </w:r>
      <w:r w:rsidR="009F5DE9">
        <w:rPr>
          <w:szCs w:val="24"/>
        </w:rPr>
        <w:t xml:space="preserve">includes two </w:t>
      </w:r>
      <w:r w:rsidR="00267180">
        <w:rPr>
          <w:szCs w:val="24"/>
        </w:rPr>
        <w:t xml:space="preserve">alternative approaches: </w:t>
      </w:r>
      <w:r w:rsidR="009667FF">
        <w:rPr>
          <w:szCs w:val="24"/>
        </w:rPr>
        <w:t xml:space="preserve"> (1) </w:t>
      </w:r>
      <w:r w:rsidR="009F3EDE">
        <w:rPr>
          <w:szCs w:val="24"/>
        </w:rPr>
        <w:t>re-pricing the out-of-state QF</w:t>
      </w:r>
      <w:r w:rsidR="00267180">
        <w:rPr>
          <w:szCs w:val="24"/>
        </w:rPr>
        <w:t xml:space="preserve">s </w:t>
      </w:r>
      <w:r w:rsidR="009F3EDE">
        <w:rPr>
          <w:szCs w:val="24"/>
        </w:rPr>
        <w:t>at Washington avoided prices to mitigate the impact of other s</w:t>
      </w:r>
      <w:r w:rsidR="009F5DE9">
        <w:rPr>
          <w:szCs w:val="24"/>
        </w:rPr>
        <w:t>tates’ policy decisions; or (2) </w:t>
      </w:r>
      <w:r w:rsidR="009F3EDE">
        <w:rPr>
          <w:szCs w:val="24"/>
        </w:rPr>
        <w:t xml:space="preserve">adjusting state allocation factors to reflect the </w:t>
      </w:r>
      <w:r w:rsidR="00A37656">
        <w:rPr>
          <w:szCs w:val="24"/>
        </w:rPr>
        <w:t>implicit assumption that a situs</w:t>
      </w:r>
      <w:r w:rsidR="00BC3F6A">
        <w:rPr>
          <w:szCs w:val="24"/>
        </w:rPr>
        <w:t>-</w:t>
      </w:r>
      <w:r w:rsidR="00A37656">
        <w:rPr>
          <w:szCs w:val="24"/>
        </w:rPr>
        <w:t xml:space="preserve">assigned resource serves only the state where it is located.  </w:t>
      </w:r>
      <w:r w:rsidR="00585309">
        <w:rPr>
          <w:szCs w:val="24"/>
        </w:rPr>
        <w:t>Th</w:t>
      </w:r>
      <w:r w:rsidR="00EC489A">
        <w:rPr>
          <w:szCs w:val="24"/>
        </w:rPr>
        <w:t>e parties dismiss</w:t>
      </w:r>
      <w:r w:rsidR="00E14E96">
        <w:rPr>
          <w:szCs w:val="24"/>
        </w:rPr>
        <w:t>ed</w:t>
      </w:r>
      <w:r w:rsidR="00EC489A">
        <w:rPr>
          <w:szCs w:val="24"/>
        </w:rPr>
        <w:t xml:space="preserve"> these alternatives, </w:t>
      </w:r>
      <w:r w:rsidR="00585309">
        <w:rPr>
          <w:szCs w:val="24"/>
        </w:rPr>
        <w:t xml:space="preserve">but </w:t>
      </w:r>
      <w:r w:rsidR="00EC489A">
        <w:rPr>
          <w:szCs w:val="24"/>
        </w:rPr>
        <w:t>m</w:t>
      </w:r>
      <w:r w:rsidR="00B65F6B">
        <w:rPr>
          <w:szCs w:val="24"/>
        </w:rPr>
        <w:t>y testimony demonstrates</w:t>
      </w:r>
      <w:r w:rsidR="00EC489A">
        <w:rPr>
          <w:szCs w:val="24"/>
        </w:rPr>
        <w:t xml:space="preserve"> that the</w:t>
      </w:r>
      <w:r w:rsidR="009F5DE9">
        <w:rPr>
          <w:szCs w:val="24"/>
        </w:rPr>
        <w:t xml:space="preserve">se </w:t>
      </w:r>
      <w:r w:rsidR="0055781F">
        <w:rPr>
          <w:szCs w:val="24"/>
        </w:rPr>
        <w:t>alter</w:t>
      </w:r>
      <w:r w:rsidR="009F5DE9">
        <w:rPr>
          <w:szCs w:val="24"/>
        </w:rPr>
        <w:t>n</w:t>
      </w:r>
      <w:r w:rsidR="0055781F">
        <w:rPr>
          <w:szCs w:val="24"/>
        </w:rPr>
        <w:t>a</w:t>
      </w:r>
      <w:r w:rsidR="009F5DE9">
        <w:rPr>
          <w:szCs w:val="24"/>
        </w:rPr>
        <w:t>tives</w:t>
      </w:r>
      <w:r w:rsidR="00EC489A">
        <w:rPr>
          <w:szCs w:val="24"/>
        </w:rPr>
        <w:t xml:space="preserve"> respond to the Commission’s concerns in the Company’s 2013 rate case and deserve serious consideration</w:t>
      </w:r>
      <w:r w:rsidR="00B65F6B">
        <w:rPr>
          <w:szCs w:val="24"/>
        </w:rPr>
        <w:t>.</w:t>
      </w:r>
      <w:r w:rsidR="00A37656">
        <w:rPr>
          <w:szCs w:val="24"/>
        </w:rPr>
        <w:t xml:space="preserve"> </w:t>
      </w:r>
    </w:p>
    <w:p w:rsidR="00D07345" w:rsidRDefault="00135B11" w:rsidP="0061382D">
      <w:pPr>
        <w:pStyle w:val="BodyTextIndent"/>
        <w:numPr>
          <w:ilvl w:val="0"/>
          <w:numId w:val="37"/>
        </w:numPr>
        <w:ind w:left="1080"/>
        <w:jc w:val="left"/>
        <w:rPr>
          <w:szCs w:val="24"/>
        </w:rPr>
      </w:pPr>
      <w:r>
        <w:rPr>
          <w:szCs w:val="24"/>
        </w:rPr>
        <w:t>T</w:t>
      </w:r>
      <w:r w:rsidR="00D07345">
        <w:rPr>
          <w:szCs w:val="24"/>
        </w:rPr>
        <w:t xml:space="preserve">he </w:t>
      </w:r>
      <w:r w:rsidR="008B791D">
        <w:rPr>
          <w:szCs w:val="24"/>
        </w:rPr>
        <w:t xml:space="preserve">anticipated benefits from </w:t>
      </w:r>
      <w:r w:rsidR="008B791D" w:rsidRPr="002C6BAA">
        <w:t>participating</w:t>
      </w:r>
      <w:r w:rsidR="008B791D">
        <w:rPr>
          <w:szCs w:val="24"/>
        </w:rPr>
        <w:t xml:space="preserve"> in </w:t>
      </w:r>
      <w:r w:rsidR="009F5DE9">
        <w:rPr>
          <w:szCs w:val="24"/>
        </w:rPr>
        <w:t>the</w:t>
      </w:r>
      <w:r w:rsidR="008B791D">
        <w:rPr>
          <w:szCs w:val="24"/>
        </w:rPr>
        <w:t xml:space="preserve"> energy imbalance market (EIM) with the California Independent System Operator (CAISO) during the </w:t>
      </w:r>
      <w:r w:rsidR="009F5DE9">
        <w:rPr>
          <w:szCs w:val="24"/>
        </w:rPr>
        <w:t>rate-</w:t>
      </w:r>
      <w:r w:rsidR="009452F0">
        <w:rPr>
          <w:szCs w:val="24"/>
        </w:rPr>
        <w:t xml:space="preserve">effective </w:t>
      </w:r>
      <w:r w:rsidR="008B791D">
        <w:rPr>
          <w:szCs w:val="24"/>
        </w:rPr>
        <w:t xml:space="preserve">period are not yet </w:t>
      </w:r>
      <w:r w:rsidR="00F26154">
        <w:rPr>
          <w:szCs w:val="24"/>
        </w:rPr>
        <w:t>known and measurable</w:t>
      </w:r>
      <w:r w:rsidR="009452F0">
        <w:rPr>
          <w:szCs w:val="24"/>
        </w:rPr>
        <w:t xml:space="preserve">, particularly </w:t>
      </w:r>
      <w:r w:rsidR="009F5DE9">
        <w:rPr>
          <w:szCs w:val="24"/>
        </w:rPr>
        <w:t>because</w:t>
      </w:r>
      <w:r w:rsidR="00E62675">
        <w:rPr>
          <w:szCs w:val="24"/>
        </w:rPr>
        <w:t xml:space="preserve"> the EIM is conceptually incompatible with the </w:t>
      </w:r>
      <w:r w:rsidR="009452F0">
        <w:rPr>
          <w:szCs w:val="24"/>
        </w:rPr>
        <w:t xml:space="preserve">WCA.  </w:t>
      </w:r>
      <w:r w:rsidR="000727C8">
        <w:rPr>
          <w:szCs w:val="24"/>
        </w:rPr>
        <w:t>Boise</w:t>
      </w:r>
      <w:r w:rsidR="00965CE4">
        <w:rPr>
          <w:szCs w:val="24"/>
        </w:rPr>
        <w:t xml:space="preserve"> proposes to </w:t>
      </w:r>
      <w:r w:rsidR="000727C8">
        <w:rPr>
          <w:szCs w:val="24"/>
        </w:rPr>
        <w:t>impute EIM benefits rely</w:t>
      </w:r>
      <w:r w:rsidR="00C86C46">
        <w:rPr>
          <w:szCs w:val="24"/>
        </w:rPr>
        <w:t>ing</w:t>
      </w:r>
      <w:r w:rsidR="000727C8">
        <w:rPr>
          <w:szCs w:val="24"/>
        </w:rPr>
        <w:t xml:space="preserve"> on a report issued by </w:t>
      </w:r>
      <w:r w:rsidR="000727C8" w:rsidRPr="005D5F36">
        <w:rPr>
          <w:szCs w:val="24"/>
        </w:rPr>
        <w:t>Energy and Env</w:t>
      </w:r>
      <w:r w:rsidR="000727C8">
        <w:rPr>
          <w:szCs w:val="24"/>
        </w:rPr>
        <w:t>ironmental Economics, Inc. (E3</w:t>
      </w:r>
      <w:r w:rsidR="007F59DF">
        <w:rPr>
          <w:szCs w:val="24"/>
        </w:rPr>
        <w:t xml:space="preserve"> Report</w:t>
      </w:r>
      <w:r w:rsidR="000727C8">
        <w:rPr>
          <w:szCs w:val="24"/>
        </w:rPr>
        <w:t>)</w:t>
      </w:r>
      <w:r w:rsidR="005B7BEF">
        <w:rPr>
          <w:szCs w:val="24"/>
        </w:rPr>
        <w:t xml:space="preserve">, which </w:t>
      </w:r>
      <w:r w:rsidR="007F59DF">
        <w:rPr>
          <w:szCs w:val="24"/>
        </w:rPr>
        <w:t>was not developed for ratemaking</w:t>
      </w:r>
      <w:r w:rsidR="006433B6">
        <w:rPr>
          <w:szCs w:val="24"/>
        </w:rPr>
        <w:t xml:space="preserve"> purposes</w:t>
      </w:r>
      <w:r w:rsidR="007F59DF">
        <w:rPr>
          <w:szCs w:val="24"/>
        </w:rPr>
        <w:t xml:space="preserve">, does not </w:t>
      </w:r>
      <w:r w:rsidR="00C86C46">
        <w:rPr>
          <w:szCs w:val="24"/>
        </w:rPr>
        <w:t>cover</w:t>
      </w:r>
      <w:r w:rsidR="007F59DF">
        <w:rPr>
          <w:szCs w:val="24"/>
        </w:rPr>
        <w:t xml:space="preserve"> the </w:t>
      </w:r>
      <w:r w:rsidR="002C6BAA">
        <w:rPr>
          <w:szCs w:val="24"/>
        </w:rPr>
        <w:t>pro forma period</w:t>
      </w:r>
      <w:r w:rsidR="007F59DF">
        <w:rPr>
          <w:szCs w:val="24"/>
        </w:rPr>
        <w:t xml:space="preserve"> in this case</w:t>
      </w:r>
      <w:r w:rsidR="00F35B9E">
        <w:rPr>
          <w:szCs w:val="24"/>
        </w:rPr>
        <w:t xml:space="preserve">, </w:t>
      </w:r>
      <w:r w:rsidR="005B7BEF">
        <w:rPr>
          <w:szCs w:val="24"/>
        </w:rPr>
        <w:t xml:space="preserve">and </w:t>
      </w:r>
      <w:r w:rsidR="009F5DE9">
        <w:rPr>
          <w:szCs w:val="24"/>
        </w:rPr>
        <w:t>is not specific to the west control area</w:t>
      </w:r>
      <w:r w:rsidR="000727C8" w:rsidRPr="005D5F36">
        <w:rPr>
          <w:szCs w:val="24"/>
        </w:rPr>
        <w:t xml:space="preserve">.  </w:t>
      </w:r>
      <w:r w:rsidR="000727C8">
        <w:rPr>
          <w:szCs w:val="24"/>
        </w:rPr>
        <w:t xml:space="preserve">In addition, Boise’s adjustments </w:t>
      </w:r>
      <w:r w:rsidR="000727C8" w:rsidRPr="005D5F36">
        <w:rPr>
          <w:szCs w:val="24"/>
        </w:rPr>
        <w:t xml:space="preserve">include benefits </w:t>
      </w:r>
      <w:r w:rsidR="009F5DE9">
        <w:rPr>
          <w:szCs w:val="24"/>
        </w:rPr>
        <w:t>that</w:t>
      </w:r>
      <w:r w:rsidR="000727C8" w:rsidRPr="005D5F36">
        <w:rPr>
          <w:szCs w:val="24"/>
        </w:rPr>
        <w:t xml:space="preserve"> are already reflected to s</w:t>
      </w:r>
      <w:r w:rsidR="000727C8">
        <w:rPr>
          <w:szCs w:val="24"/>
        </w:rPr>
        <w:t xml:space="preserve">ome extent in the Company’s </w:t>
      </w:r>
      <w:r w:rsidR="009F5DE9">
        <w:rPr>
          <w:szCs w:val="24"/>
        </w:rPr>
        <w:t xml:space="preserve">pro forma </w:t>
      </w:r>
      <w:r w:rsidR="000727C8">
        <w:rPr>
          <w:szCs w:val="24"/>
        </w:rPr>
        <w:t>NPC</w:t>
      </w:r>
      <w:r w:rsidR="000727C8" w:rsidRPr="005D5F36">
        <w:rPr>
          <w:szCs w:val="24"/>
        </w:rPr>
        <w:t xml:space="preserve"> and credit NPC for avoid</w:t>
      </w:r>
      <w:r w:rsidR="009F5DE9">
        <w:rPr>
          <w:szCs w:val="24"/>
        </w:rPr>
        <w:t>ed</w:t>
      </w:r>
      <w:r w:rsidR="000727C8" w:rsidRPr="005D5F36">
        <w:rPr>
          <w:szCs w:val="24"/>
        </w:rPr>
        <w:t xml:space="preserve"> </w:t>
      </w:r>
      <w:r w:rsidR="000727C8">
        <w:rPr>
          <w:szCs w:val="24"/>
        </w:rPr>
        <w:t xml:space="preserve">within-hour </w:t>
      </w:r>
      <w:r w:rsidR="000727C8" w:rsidRPr="005D5F36">
        <w:rPr>
          <w:szCs w:val="24"/>
        </w:rPr>
        <w:t xml:space="preserve">costs </w:t>
      </w:r>
      <w:r w:rsidR="009F5DE9">
        <w:rPr>
          <w:szCs w:val="24"/>
        </w:rPr>
        <w:t>that</w:t>
      </w:r>
      <w:r w:rsidR="000727C8" w:rsidRPr="005D5F36">
        <w:rPr>
          <w:szCs w:val="24"/>
        </w:rPr>
        <w:t xml:space="preserve"> are not </w:t>
      </w:r>
      <w:r w:rsidR="000727C8">
        <w:rPr>
          <w:szCs w:val="24"/>
        </w:rPr>
        <w:t>included in the hourly GRID model to begin with.</w:t>
      </w:r>
      <w:r w:rsidR="005B7BEF">
        <w:rPr>
          <w:szCs w:val="24"/>
        </w:rPr>
        <w:t xml:space="preserve"> </w:t>
      </w:r>
      <w:r w:rsidR="00CA7DBF">
        <w:rPr>
          <w:szCs w:val="24"/>
        </w:rPr>
        <w:t xml:space="preserve"> </w:t>
      </w:r>
      <w:r w:rsidR="009452F0">
        <w:rPr>
          <w:szCs w:val="24"/>
        </w:rPr>
        <w:t>It is</w:t>
      </w:r>
      <w:r w:rsidR="00BC3F6A">
        <w:rPr>
          <w:szCs w:val="24"/>
        </w:rPr>
        <w:t xml:space="preserve"> </w:t>
      </w:r>
      <w:r w:rsidR="009452F0">
        <w:rPr>
          <w:szCs w:val="24"/>
        </w:rPr>
        <w:t>reasonable to exclude both EIM costs and benefits from rates</w:t>
      </w:r>
      <w:r w:rsidR="007F59DF">
        <w:rPr>
          <w:szCs w:val="24"/>
        </w:rPr>
        <w:t>, consistent with the Company’s</w:t>
      </w:r>
      <w:r w:rsidR="009F5DE9">
        <w:rPr>
          <w:szCs w:val="24"/>
        </w:rPr>
        <w:t xml:space="preserve"> in</w:t>
      </w:r>
      <w:r w:rsidR="0055781F">
        <w:rPr>
          <w:szCs w:val="24"/>
        </w:rPr>
        <w:t>i</w:t>
      </w:r>
      <w:r w:rsidR="009F5DE9">
        <w:rPr>
          <w:szCs w:val="24"/>
        </w:rPr>
        <w:t>tial</w:t>
      </w:r>
      <w:r w:rsidR="007F59DF">
        <w:rPr>
          <w:szCs w:val="24"/>
        </w:rPr>
        <w:t xml:space="preserve"> filing</w:t>
      </w:r>
      <w:r w:rsidR="005B7BEF">
        <w:rPr>
          <w:szCs w:val="24"/>
        </w:rPr>
        <w:t>.</w:t>
      </w:r>
      <w:r w:rsidR="009452F0">
        <w:rPr>
          <w:szCs w:val="24"/>
        </w:rPr>
        <w:t xml:space="preserve"> </w:t>
      </w:r>
      <w:r w:rsidR="00EC489A">
        <w:rPr>
          <w:szCs w:val="24"/>
        </w:rPr>
        <w:t xml:space="preserve"> </w:t>
      </w:r>
      <w:r w:rsidR="009452F0">
        <w:rPr>
          <w:szCs w:val="24"/>
        </w:rPr>
        <w:t xml:space="preserve"> </w:t>
      </w:r>
    </w:p>
    <w:p w:rsidR="00D07345" w:rsidRDefault="00A35D61" w:rsidP="0061382D">
      <w:pPr>
        <w:pStyle w:val="BodyTextIndent"/>
        <w:numPr>
          <w:ilvl w:val="0"/>
          <w:numId w:val="37"/>
        </w:numPr>
        <w:ind w:left="1080"/>
        <w:jc w:val="left"/>
        <w:rPr>
          <w:szCs w:val="24"/>
        </w:rPr>
      </w:pPr>
      <w:r>
        <w:rPr>
          <w:szCs w:val="24"/>
        </w:rPr>
        <w:t>Inter-hour integration of load and wind resources is appropriately reflected in the Company’s NPC and is not duplicated by modeling load and wind profiles on an hourly basis</w:t>
      </w:r>
      <w:r w:rsidR="00D07345">
        <w:rPr>
          <w:szCs w:val="24"/>
        </w:rPr>
        <w:t xml:space="preserve">. </w:t>
      </w:r>
    </w:p>
    <w:p w:rsidR="00636B91" w:rsidRDefault="00636B91" w:rsidP="0061382D">
      <w:pPr>
        <w:pStyle w:val="BodyTextIndent"/>
        <w:numPr>
          <w:ilvl w:val="0"/>
          <w:numId w:val="37"/>
        </w:numPr>
        <w:ind w:left="1080"/>
        <w:jc w:val="left"/>
        <w:rPr>
          <w:szCs w:val="24"/>
        </w:rPr>
      </w:pPr>
      <w:r>
        <w:rPr>
          <w:color w:val="000000" w:themeColor="text1"/>
          <w:szCs w:val="24"/>
        </w:rPr>
        <w:t xml:space="preserve">For the purpose of setting rates, the Company uses a single-year median water year, and therefore extraordinary </w:t>
      </w:r>
      <w:r w:rsidR="005B7BEF">
        <w:rPr>
          <w:color w:val="000000" w:themeColor="text1"/>
          <w:szCs w:val="24"/>
        </w:rPr>
        <w:t xml:space="preserve">hydro </w:t>
      </w:r>
      <w:r>
        <w:rPr>
          <w:color w:val="000000" w:themeColor="text1"/>
          <w:szCs w:val="24"/>
        </w:rPr>
        <w:t xml:space="preserve">events are not </w:t>
      </w:r>
      <w:r w:rsidR="005B7BEF">
        <w:rPr>
          <w:color w:val="000000" w:themeColor="text1"/>
          <w:szCs w:val="24"/>
        </w:rPr>
        <w:t xml:space="preserve">reflected in NPC and the Company has no way of </w:t>
      </w:r>
      <w:r w:rsidR="005B7BEF" w:rsidRPr="009F5DE9">
        <w:rPr>
          <w:szCs w:val="24"/>
        </w:rPr>
        <w:t>recovering</w:t>
      </w:r>
      <w:r w:rsidR="005B7BEF">
        <w:rPr>
          <w:color w:val="000000" w:themeColor="text1"/>
          <w:szCs w:val="24"/>
        </w:rPr>
        <w:t xml:space="preserve"> costs related to lower</w:t>
      </w:r>
      <w:r w:rsidR="009F5DE9">
        <w:rPr>
          <w:color w:val="000000" w:themeColor="text1"/>
          <w:szCs w:val="24"/>
        </w:rPr>
        <w:t>-than-</w:t>
      </w:r>
      <w:r w:rsidR="005B7BEF">
        <w:rPr>
          <w:color w:val="000000" w:themeColor="text1"/>
          <w:szCs w:val="24"/>
        </w:rPr>
        <w:t xml:space="preserve">median hydro.  </w:t>
      </w:r>
      <w:r>
        <w:rPr>
          <w:color w:val="000000" w:themeColor="text1"/>
          <w:szCs w:val="24"/>
        </w:rPr>
        <w:t>The Company forecasts that hydro output in 2014 will be ab</w:t>
      </w:r>
      <w:r w:rsidR="00C328B1">
        <w:rPr>
          <w:color w:val="000000" w:themeColor="text1"/>
          <w:szCs w:val="24"/>
        </w:rPr>
        <w:t>out 300,000 megawatt-hours, or eight</w:t>
      </w:r>
      <w:r>
        <w:rPr>
          <w:color w:val="000000" w:themeColor="text1"/>
          <w:szCs w:val="24"/>
        </w:rPr>
        <w:t xml:space="preserve"> percent below the amount included in rates.</w:t>
      </w:r>
      <w:r>
        <w:rPr>
          <w:szCs w:val="24"/>
        </w:rPr>
        <w:t xml:space="preserve"> </w:t>
      </w:r>
      <w:r>
        <w:t xml:space="preserve"> </w:t>
      </w:r>
      <w:r w:rsidR="005B7BEF">
        <w:rPr>
          <w:color w:val="000000" w:themeColor="text1"/>
          <w:szCs w:val="24"/>
        </w:rPr>
        <w:t>The Company’s filed hydro deferral is the only mechanism available to recover the cost of lower than expected hydro generation.</w:t>
      </w:r>
      <w:r>
        <w:t xml:space="preserve"> </w:t>
      </w:r>
    </w:p>
    <w:p w:rsidR="00382642" w:rsidRDefault="005A2C1F" w:rsidP="0061382D">
      <w:pPr>
        <w:pStyle w:val="BodyTextIndent"/>
        <w:numPr>
          <w:ilvl w:val="0"/>
          <w:numId w:val="37"/>
        </w:numPr>
        <w:ind w:left="1080"/>
        <w:jc w:val="left"/>
        <w:rPr>
          <w:szCs w:val="24"/>
        </w:rPr>
      </w:pPr>
      <w:r>
        <w:rPr>
          <w:color w:val="000000" w:themeColor="text1"/>
          <w:szCs w:val="24"/>
        </w:rPr>
        <w:t xml:space="preserve">The Company’s approach to the Colstrip and Chehalis forced outages allows the Company to recover its prudent power supply costs.  Denying the deferral for Colstrip or removing the Chehalis outage from the four-year </w:t>
      </w:r>
      <w:r w:rsidR="00CA7DBF">
        <w:rPr>
          <w:color w:val="000000" w:themeColor="text1"/>
          <w:szCs w:val="24"/>
        </w:rPr>
        <w:t xml:space="preserve">forced </w:t>
      </w:r>
      <w:r>
        <w:rPr>
          <w:color w:val="000000" w:themeColor="text1"/>
          <w:szCs w:val="24"/>
        </w:rPr>
        <w:t xml:space="preserve">outage rate </w:t>
      </w:r>
      <w:r w:rsidR="00CA7DBF">
        <w:rPr>
          <w:color w:val="000000" w:themeColor="text1"/>
          <w:szCs w:val="24"/>
        </w:rPr>
        <w:t xml:space="preserve">effectively denies the Company </w:t>
      </w:r>
      <w:r>
        <w:rPr>
          <w:color w:val="000000" w:themeColor="text1"/>
          <w:szCs w:val="24"/>
        </w:rPr>
        <w:t xml:space="preserve">recovery for its prudent costs.  </w:t>
      </w:r>
    </w:p>
    <w:p w:rsidR="00140C5A" w:rsidRPr="00140C5A" w:rsidRDefault="005A2C1F" w:rsidP="0061382D">
      <w:pPr>
        <w:pStyle w:val="BodyTextIndent"/>
        <w:numPr>
          <w:ilvl w:val="0"/>
          <w:numId w:val="37"/>
        </w:numPr>
        <w:ind w:left="1080"/>
        <w:jc w:val="left"/>
        <w:rPr>
          <w:szCs w:val="24"/>
        </w:rPr>
      </w:pPr>
      <w:r>
        <w:rPr>
          <w:szCs w:val="24"/>
        </w:rPr>
        <w:t xml:space="preserve">With certain corrections, Boise’s </w:t>
      </w:r>
      <w:r w:rsidR="00382642">
        <w:rPr>
          <w:szCs w:val="24"/>
        </w:rPr>
        <w:t>adjustment</w:t>
      </w:r>
      <w:r w:rsidR="00140C5A" w:rsidRPr="00F22A34">
        <w:rPr>
          <w:szCs w:val="24"/>
        </w:rPr>
        <w:t xml:space="preserve"> </w:t>
      </w:r>
      <w:r w:rsidR="00140C5A">
        <w:rPr>
          <w:szCs w:val="24"/>
        </w:rPr>
        <w:t xml:space="preserve">to reduce wheeling expenses related to network </w:t>
      </w:r>
      <w:r w:rsidR="00140C5A" w:rsidRPr="009F5DE9">
        <w:rPr>
          <w:color w:val="000000" w:themeColor="text1"/>
          <w:szCs w:val="24"/>
        </w:rPr>
        <w:t>integration</w:t>
      </w:r>
      <w:r w:rsidR="00140C5A">
        <w:rPr>
          <w:szCs w:val="24"/>
        </w:rPr>
        <w:t xml:space="preserve"> transmission service (NITS) provided by the Bonneville Power Administration (BPA)</w:t>
      </w:r>
      <w:r w:rsidR="00382642">
        <w:rPr>
          <w:szCs w:val="24"/>
        </w:rPr>
        <w:t xml:space="preserve"> is</w:t>
      </w:r>
      <w:r>
        <w:rPr>
          <w:szCs w:val="24"/>
        </w:rPr>
        <w:t xml:space="preserve"> reasonable</w:t>
      </w:r>
      <w:r w:rsidR="00140C5A">
        <w:rPr>
          <w:szCs w:val="24"/>
        </w:rPr>
        <w:t xml:space="preserve">.  </w:t>
      </w:r>
      <w:r w:rsidR="009452F0">
        <w:rPr>
          <w:szCs w:val="24"/>
        </w:rPr>
        <w:t>T</w:t>
      </w:r>
      <w:r w:rsidR="00140C5A">
        <w:rPr>
          <w:szCs w:val="24"/>
        </w:rPr>
        <w:t>he Company has cor</w:t>
      </w:r>
      <w:r w:rsidR="009F5DE9">
        <w:rPr>
          <w:szCs w:val="24"/>
        </w:rPr>
        <w:t>rected the calculation for the pro forma</w:t>
      </w:r>
      <w:r w:rsidR="00140C5A">
        <w:rPr>
          <w:szCs w:val="24"/>
        </w:rPr>
        <w:t xml:space="preserve"> period, resulting in a reduction to </w:t>
      </w:r>
      <w:r w:rsidR="00B07A3D">
        <w:rPr>
          <w:szCs w:val="24"/>
        </w:rPr>
        <w:t xml:space="preserve">west control area </w:t>
      </w:r>
      <w:r w:rsidR="00140C5A">
        <w:rPr>
          <w:szCs w:val="24"/>
        </w:rPr>
        <w:t xml:space="preserve">NPC </w:t>
      </w:r>
      <w:r w:rsidR="00140C5A" w:rsidRPr="005B7BEF">
        <w:rPr>
          <w:szCs w:val="24"/>
        </w:rPr>
        <w:t>of $0.8 million.</w:t>
      </w:r>
      <w:r w:rsidR="00140C5A">
        <w:rPr>
          <w:szCs w:val="24"/>
        </w:rPr>
        <w:t xml:space="preserve"> </w:t>
      </w:r>
    </w:p>
    <w:p w:rsidR="00A03391" w:rsidRPr="00A03391" w:rsidRDefault="00A03391" w:rsidP="00C328B1">
      <w:pPr>
        <w:pStyle w:val="BodyTextIndent"/>
        <w:jc w:val="left"/>
        <w:rPr>
          <w:b/>
          <w:szCs w:val="24"/>
        </w:rPr>
      </w:pPr>
      <w:r w:rsidRPr="00A03391">
        <w:rPr>
          <w:b/>
          <w:szCs w:val="24"/>
        </w:rPr>
        <w:t>Q.</w:t>
      </w:r>
      <w:r w:rsidRPr="00A03391">
        <w:rPr>
          <w:b/>
          <w:szCs w:val="24"/>
        </w:rPr>
        <w:tab/>
        <w:t xml:space="preserve">Please summarize your </w:t>
      </w:r>
      <w:r w:rsidR="00F93B42">
        <w:rPr>
          <w:b/>
          <w:szCs w:val="24"/>
        </w:rPr>
        <w:t xml:space="preserve">rebuttal </w:t>
      </w:r>
      <w:r w:rsidRPr="00A03391">
        <w:rPr>
          <w:b/>
          <w:szCs w:val="24"/>
        </w:rPr>
        <w:t xml:space="preserve">testimony related to the Company’s proposal for </w:t>
      </w:r>
      <w:r w:rsidR="009F5DE9">
        <w:rPr>
          <w:b/>
          <w:szCs w:val="24"/>
        </w:rPr>
        <w:t xml:space="preserve">the </w:t>
      </w:r>
      <w:r w:rsidR="009F5DE9">
        <w:rPr>
          <w:b/>
        </w:rPr>
        <w:t>RRTM</w:t>
      </w:r>
      <w:r w:rsidRPr="00F93B42">
        <w:rPr>
          <w:b/>
          <w:szCs w:val="24"/>
        </w:rPr>
        <w:t>.</w:t>
      </w:r>
      <w:r w:rsidRPr="00A03391">
        <w:rPr>
          <w:b/>
          <w:szCs w:val="24"/>
        </w:rPr>
        <w:t xml:space="preserve"> </w:t>
      </w:r>
    </w:p>
    <w:p w:rsidR="0055781F" w:rsidRDefault="00A03391" w:rsidP="009F5DE9">
      <w:pPr>
        <w:pStyle w:val="BodyTextIndent"/>
        <w:jc w:val="left"/>
      </w:pPr>
      <w:r>
        <w:rPr>
          <w:szCs w:val="24"/>
        </w:rPr>
        <w:t>A.</w:t>
      </w:r>
      <w:r>
        <w:rPr>
          <w:szCs w:val="24"/>
        </w:rPr>
        <w:tab/>
      </w:r>
      <w:r w:rsidR="00E83421">
        <w:rPr>
          <w:szCs w:val="24"/>
        </w:rPr>
        <w:t>The RRTM address</w:t>
      </w:r>
      <w:r w:rsidR="009452F0">
        <w:rPr>
          <w:szCs w:val="24"/>
        </w:rPr>
        <w:t>es</w:t>
      </w:r>
      <w:r w:rsidR="00E83421">
        <w:rPr>
          <w:szCs w:val="24"/>
        </w:rPr>
        <w:t xml:space="preserve"> the Company’s growing fleet of renewable resources, which </w:t>
      </w:r>
      <w:r w:rsidR="005B7BEF">
        <w:rPr>
          <w:szCs w:val="24"/>
        </w:rPr>
        <w:t>enable the Company to comply with</w:t>
      </w:r>
      <w:r w:rsidR="00E83421">
        <w:rPr>
          <w:szCs w:val="24"/>
        </w:rPr>
        <w:t xml:space="preserve"> Washington </w:t>
      </w:r>
      <w:r w:rsidR="00701450">
        <w:rPr>
          <w:szCs w:val="24"/>
        </w:rPr>
        <w:t>laws and policies requiring</w:t>
      </w:r>
      <w:r w:rsidR="00E83421">
        <w:rPr>
          <w:szCs w:val="24"/>
        </w:rPr>
        <w:t xml:space="preserve"> the development of renewable generation.  </w:t>
      </w:r>
      <w:r w:rsidR="002A6850">
        <w:rPr>
          <w:szCs w:val="24"/>
        </w:rPr>
        <w:t>T</w:t>
      </w:r>
      <w:r w:rsidR="00E83421">
        <w:rPr>
          <w:szCs w:val="24"/>
        </w:rPr>
        <w:t xml:space="preserve">he RRTM is designed to protect both the Company and customers by ensuring that customers pay no more or less than the actual costs to serve them with renewable resources.  </w:t>
      </w:r>
      <w:r w:rsidR="00B651F0">
        <w:rPr>
          <w:szCs w:val="24"/>
        </w:rPr>
        <w:t xml:space="preserve">While the Company appreciates Staff’s proposal for a </w:t>
      </w:r>
      <w:r w:rsidR="009F5DE9">
        <w:rPr>
          <w:szCs w:val="24"/>
        </w:rPr>
        <w:t>power cost adjustment mechanism (</w:t>
      </w:r>
      <w:r w:rsidR="00B651F0">
        <w:rPr>
          <w:szCs w:val="24"/>
        </w:rPr>
        <w:t>PCAM</w:t>
      </w:r>
      <w:r w:rsidR="009F5DE9">
        <w:rPr>
          <w:szCs w:val="24"/>
        </w:rPr>
        <w:t>)</w:t>
      </w:r>
      <w:r w:rsidR="00B651F0">
        <w:rPr>
          <w:szCs w:val="24"/>
        </w:rPr>
        <w:t xml:space="preserve"> in lieu of the RRTM, Staff’s PCAM does not address the under-recovery </w:t>
      </w:r>
      <w:r w:rsidR="006C63C8">
        <w:rPr>
          <w:szCs w:val="24"/>
        </w:rPr>
        <w:t>of renewable</w:t>
      </w:r>
      <w:r w:rsidR="00B651F0">
        <w:rPr>
          <w:szCs w:val="24"/>
        </w:rPr>
        <w:t xml:space="preserve"> resource costs </w:t>
      </w:r>
      <w:r w:rsidR="009F5DE9">
        <w:rPr>
          <w:szCs w:val="24"/>
        </w:rPr>
        <w:t>or</w:t>
      </w:r>
      <w:r w:rsidR="00B651F0">
        <w:rPr>
          <w:szCs w:val="24"/>
        </w:rPr>
        <w:t xml:space="preserve"> negate the need for the RRTM.  </w:t>
      </w:r>
      <w:r w:rsidR="002A6850">
        <w:rPr>
          <w:szCs w:val="24"/>
        </w:rPr>
        <w:t>I</w:t>
      </w:r>
      <w:r w:rsidR="00E83421">
        <w:rPr>
          <w:szCs w:val="24"/>
        </w:rPr>
        <w:t xml:space="preserve">n response to </w:t>
      </w:r>
      <w:r w:rsidR="0055781F">
        <w:rPr>
          <w:szCs w:val="24"/>
        </w:rPr>
        <w:t xml:space="preserve">the parties’ </w:t>
      </w:r>
      <w:r w:rsidR="00E83421">
        <w:rPr>
          <w:szCs w:val="24"/>
        </w:rPr>
        <w:t>concerns, the Company modif</w:t>
      </w:r>
      <w:r w:rsidR="002A6850">
        <w:rPr>
          <w:szCs w:val="24"/>
        </w:rPr>
        <w:t xml:space="preserve">ied </w:t>
      </w:r>
      <w:r w:rsidR="00E83421">
        <w:rPr>
          <w:szCs w:val="24"/>
        </w:rPr>
        <w:t xml:space="preserve">its proposed RRTM to prevent the possibility of NPC over-recovery by capping the potential adjustment under the RRTM at the Company’s actual NPC.  </w:t>
      </w:r>
      <w:r w:rsidR="00980108">
        <w:rPr>
          <w:szCs w:val="24"/>
        </w:rPr>
        <w:t>As a practical matter, the risk that this cap would ever be triggered is low</w:t>
      </w:r>
      <w:r w:rsidR="002D7639">
        <w:rPr>
          <w:szCs w:val="24"/>
        </w:rPr>
        <w:t xml:space="preserve">.  </w:t>
      </w:r>
      <w:r w:rsidR="002D7639">
        <w:t>Since 2007, the Company has under-recovered its NPC in Washington in every year, by an average of nine percent.</w:t>
      </w:r>
      <w:r w:rsidR="00EC24BB">
        <w:rPr>
          <w:rStyle w:val="FootnoteReference"/>
        </w:rPr>
        <w:footnoteReference w:id="1"/>
      </w:r>
      <w:r w:rsidR="002D7639">
        <w:t xml:space="preserve">  </w:t>
      </w:r>
    </w:p>
    <w:p w:rsidR="00E83421" w:rsidRDefault="00F10C75" w:rsidP="0055781F">
      <w:pPr>
        <w:pStyle w:val="BodyTextIndent"/>
        <w:jc w:val="center"/>
      </w:pPr>
      <w:bookmarkStart w:id="2" w:name="_Toc403714282"/>
      <w:r w:rsidRPr="00C328B1">
        <w:rPr>
          <w:rStyle w:val="Heading1Char"/>
        </w:rPr>
        <w:t>POLICY OVERVIEW</w:t>
      </w:r>
      <w:bookmarkEnd w:id="2"/>
    </w:p>
    <w:p w:rsidR="006F5B07" w:rsidRDefault="005E13C9" w:rsidP="00C328B1">
      <w:pPr>
        <w:pStyle w:val="BodyTextIndent"/>
        <w:jc w:val="left"/>
      </w:pPr>
      <w:r>
        <w:rPr>
          <w:b/>
        </w:rPr>
        <w:t>Q.</w:t>
      </w:r>
      <w:r>
        <w:rPr>
          <w:b/>
        </w:rPr>
        <w:tab/>
      </w:r>
      <w:r w:rsidR="00E83421">
        <w:rPr>
          <w:b/>
        </w:rPr>
        <w:t>Please</w:t>
      </w:r>
      <w:r>
        <w:rPr>
          <w:b/>
        </w:rPr>
        <w:t xml:space="preserve"> </w:t>
      </w:r>
      <w:r w:rsidR="00A54974">
        <w:rPr>
          <w:b/>
        </w:rPr>
        <w:t>address</w:t>
      </w:r>
      <w:r w:rsidR="002A6850">
        <w:rPr>
          <w:b/>
        </w:rPr>
        <w:t xml:space="preserve"> the policy </w:t>
      </w:r>
      <w:r w:rsidR="00A54974">
        <w:rPr>
          <w:b/>
        </w:rPr>
        <w:t>issues implicated by</w:t>
      </w:r>
      <w:r w:rsidR="002A6850">
        <w:rPr>
          <w:b/>
        </w:rPr>
        <w:t xml:space="preserve"> your </w:t>
      </w:r>
      <w:r w:rsidR="00785FFC">
        <w:rPr>
          <w:b/>
        </w:rPr>
        <w:t xml:space="preserve">rebuttal </w:t>
      </w:r>
      <w:r w:rsidR="002A6850">
        <w:rPr>
          <w:b/>
        </w:rPr>
        <w:t xml:space="preserve">testimony. </w:t>
      </w:r>
    </w:p>
    <w:p w:rsidR="00FE4E24" w:rsidRDefault="00E83421" w:rsidP="00C328B1">
      <w:pPr>
        <w:pStyle w:val="BodyTextIndent"/>
        <w:jc w:val="left"/>
        <w:rPr>
          <w:szCs w:val="24"/>
        </w:rPr>
      </w:pPr>
      <w:r>
        <w:t>A.</w:t>
      </w:r>
      <w:r>
        <w:tab/>
      </w:r>
      <w:r w:rsidR="00E32545">
        <w:t xml:space="preserve">As described in more detail in the </w:t>
      </w:r>
      <w:r w:rsidR="0055781F">
        <w:t xml:space="preserve">rebuttal </w:t>
      </w:r>
      <w:r w:rsidR="00E32545">
        <w:t xml:space="preserve">testimony of </w:t>
      </w:r>
      <w:r w:rsidR="00C328B1">
        <w:t xml:space="preserve">Mr. </w:t>
      </w:r>
      <w:r w:rsidR="00E32545">
        <w:t xml:space="preserve">R. Bryce Dalley, </w:t>
      </w:r>
      <w:r w:rsidR="005B4483">
        <w:t>the</w:t>
      </w:r>
      <w:r w:rsidR="00E32545">
        <w:t xml:space="preserve"> Company is in a period of </w:t>
      </w:r>
      <w:r w:rsidR="005E13C9">
        <w:t>significant transformation</w:t>
      </w:r>
      <w:r w:rsidR="00E32545">
        <w:t xml:space="preserve"> as it responds to laws and regulations that have increased </w:t>
      </w:r>
      <w:r w:rsidR="005D06A2">
        <w:t xml:space="preserve">the development of </w:t>
      </w:r>
      <w:r w:rsidR="00E32545">
        <w:t>renewable and distributed generation in the Pacific Northwest.  Washington has been at the fo</w:t>
      </w:r>
      <w:r w:rsidR="005D06A2">
        <w:t xml:space="preserve">refront of this transformation, adopting a regional approach to advance state environmental and energy policies: </w:t>
      </w:r>
    </w:p>
    <w:p w:rsidR="00FE4E24" w:rsidRDefault="00FE4E24" w:rsidP="0061382D">
      <w:pPr>
        <w:pStyle w:val="BodyTextIndent"/>
        <w:numPr>
          <w:ilvl w:val="0"/>
          <w:numId w:val="39"/>
        </w:numPr>
        <w:ind w:left="1080"/>
        <w:jc w:val="left"/>
      </w:pPr>
      <w:r>
        <w:rPr>
          <w:szCs w:val="24"/>
        </w:rPr>
        <w:t xml:space="preserve">In 2006, </w:t>
      </w:r>
      <w:r w:rsidR="009415A3">
        <w:t>voters enacted the Energy Independence Act</w:t>
      </w:r>
      <w:r w:rsidR="00197A17">
        <w:t xml:space="preserve"> (EIA)</w:t>
      </w:r>
      <w:r w:rsidR="009415A3">
        <w:t xml:space="preserve">, creating Washington’s </w:t>
      </w:r>
      <w:r>
        <w:rPr>
          <w:szCs w:val="24"/>
        </w:rPr>
        <w:t>renewable portfolio standard (RPS)</w:t>
      </w:r>
      <w:r w:rsidR="00C31097">
        <w:rPr>
          <w:szCs w:val="24"/>
        </w:rPr>
        <w:t xml:space="preserve"> to </w:t>
      </w:r>
      <w:r>
        <w:rPr>
          <w:szCs w:val="24"/>
        </w:rPr>
        <w:t xml:space="preserve">encourage the </w:t>
      </w:r>
      <w:r w:rsidR="00C31097">
        <w:rPr>
          <w:szCs w:val="24"/>
        </w:rPr>
        <w:t xml:space="preserve">regional </w:t>
      </w:r>
      <w:r>
        <w:rPr>
          <w:szCs w:val="24"/>
        </w:rPr>
        <w:t xml:space="preserve">development of renewable </w:t>
      </w:r>
      <w:r w:rsidR="009B65B5">
        <w:rPr>
          <w:szCs w:val="24"/>
        </w:rPr>
        <w:t>resources</w:t>
      </w:r>
      <w:r w:rsidR="00C31097">
        <w:rPr>
          <w:szCs w:val="24"/>
        </w:rPr>
        <w:t>;</w:t>
      </w:r>
      <w:r>
        <w:rPr>
          <w:rStyle w:val="FootnoteReference"/>
        </w:rPr>
        <w:footnoteReference w:id="2"/>
      </w:r>
      <w:r>
        <w:rPr>
          <w:szCs w:val="24"/>
        </w:rPr>
        <w:t xml:space="preserve">  </w:t>
      </w:r>
    </w:p>
    <w:p w:rsidR="00010C67" w:rsidRDefault="00010C67" w:rsidP="0061382D">
      <w:pPr>
        <w:pStyle w:val="BodyTextIndent"/>
        <w:numPr>
          <w:ilvl w:val="0"/>
          <w:numId w:val="39"/>
        </w:numPr>
        <w:ind w:left="1080"/>
        <w:jc w:val="left"/>
        <w:rPr>
          <w:szCs w:val="24"/>
        </w:rPr>
      </w:pPr>
      <w:r>
        <w:t>In 2007, the legislature enacted W</w:t>
      </w:r>
      <w:r>
        <w:rPr>
          <w:szCs w:val="24"/>
        </w:rPr>
        <w:t xml:space="preserve">ashington’s </w:t>
      </w:r>
      <w:r>
        <w:rPr>
          <w:rFonts w:cs="Arial"/>
          <w:szCs w:val="24"/>
        </w:rPr>
        <w:t xml:space="preserve">Greenhouse Gas Emissions Performance Standard (EPS) </w:t>
      </w:r>
      <w:r>
        <w:t>to increase the use of renewable</w:t>
      </w:r>
      <w:r w:rsidR="00677DE5">
        <w:t xml:space="preserve"> </w:t>
      </w:r>
      <w:r w:rsidR="00197A17">
        <w:t>re</w:t>
      </w:r>
      <w:r>
        <w:t>sources</w:t>
      </w:r>
      <w:r w:rsidR="00C31097">
        <w:t xml:space="preserve"> to serve Washington customers;</w:t>
      </w:r>
      <w:r>
        <w:rPr>
          <w:rStyle w:val="FootnoteReference"/>
        </w:rPr>
        <w:footnoteReference w:id="3"/>
      </w:r>
      <w:r>
        <w:t xml:space="preserve">  </w:t>
      </w:r>
    </w:p>
    <w:p w:rsidR="00FE4E24" w:rsidRDefault="00010C67" w:rsidP="0061382D">
      <w:pPr>
        <w:pStyle w:val="BodyTextIndent"/>
        <w:numPr>
          <w:ilvl w:val="0"/>
          <w:numId w:val="39"/>
        </w:numPr>
        <w:ind w:left="1080"/>
        <w:jc w:val="left"/>
      </w:pPr>
      <w:r>
        <w:t xml:space="preserve">In 2008, Washington enacted </w:t>
      </w:r>
      <w:r>
        <w:rPr>
          <w:szCs w:val="24"/>
        </w:rPr>
        <w:t>the Climate Action and Green Jobs bill</w:t>
      </w:r>
      <w:r w:rsidR="00197A17">
        <w:rPr>
          <w:szCs w:val="24"/>
        </w:rPr>
        <w:t xml:space="preserve"> to further </w:t>
      </w:r>
      <w:r>
        <w:t>promote renewable energy development</w:t>
      </w:r>
      <w:r w:rsidR="00197A17">
        <w:t>;</w:t>
      </w:r>
      <w:r>
        <w:rPr>
          <w:rStyle w:val="FootnoteReference"/>
          <w:szCs w:val="24"/>
        </w:rPr>
        <w:footnoteReference w:id="4"/>
      </w:r>
      <w:r>
        <w:t xml:space="preserve">  </w:t>
      </w:r>
    </w:p>
    <w:p w:rsidR="00FE4E24" w:rsidRDefault="00010C67" w:rsidP="0061382D">
      <w:pPr>
        <w:pStyle w:val="BodyTextIndent"/>
        <w:numPr>
          <w:ilvl w:val="0"/>
          <w:numId w:val="39"/>
        </w:numPr>
        <w:ind w:left="1080"/>
        <w:jc w:val="left"/>
      </w:pPr>
      <w:r>
        <w:rPr>
          <w:szCs w:val="24"/>
        </w:rPr>
        <w:t>In 2010, the legislature directed Washington’s State Energy Office to prepare a state energy strategy</w:t>
      </w:r>
      <w:r w:rsidR="00583B4A">
        <w:rPr>
          <w:szCs w:val="24"/>
        </w:rPr>
        <w:t xml:space="preserve"> to “</w:t>
      </w:r>
      <w:r w:rsidRPr="0055781F">
        <w:t>promote</w:t>
      </w:r>
      <w:r>
        <w:rPr>
          <w:szCs w:val="24"/>
        </w:rPr>
        <w:t xml:space="preserve"> energy self-sufficiency through the use of indigenous and renewable energy sources, consistent with the promotion of reliable energy sources</w:t>
      </w:r>
      <w:r w:rsidR="0055781F">
        <w:rPr>
          <w:szCs w:val="24"/>
        </w:rPr>
        <w:t>[</w:t>
      </w:r>
      <w:r w:rsidR="00D14CE5">
        <w:rPr>
          <w:szCs w:val="24"/>
        </w:rPr>
        <w:t>;</w:t>
      </w:r>
      <w:r w:rsidR="0055781F">
        <w:rPr>
          <w:szCs w:val="24"/>
        </w:rPr>
        <w:t>]</w:t>
      </w:r>
      <w:r>
        <w:rPr>
          <w:szCs w:val="24"/>
        </w:rPr>
        <w:t>”</w:t>
      </w:r>
      <w:r>
        <w:rPr>
          <w:rStyle w:val="FootnoteReference"/>
          <w:szCs w:val="24"/>
        </w:rPr>
        <w:footnoteReference w:id="5"/>
      </w:r>
      <w:r>
        <w:rPr>
          <w:szCs w:val="24"/>
        </w:rPr>
        <w:t xml:space="preserve"> </w:t>
      </w:r>
    </w:p>
    <w:p w:rsidR="00513952" w:rsidRDefault="00513952" w:rsidP="0061382D">
      <w:pPr>
        <w:pStyle w:val="BodyTextIndent"/>
        <w:numPr>
          <w:ilvl w:val="0"/>
          <w:numId w:val="39"/>
        </w:numPr>
        <w:ind w:left="1080"/>
        <w:jc w:val="left"/>
        <w:rPr>
          <w:szCs w:val="24"/>
        </w:rPr>
      </w:pPr>
      <w:r w:rsidRPr="00513952">
        <w:rPr>
          <w:szCs w:val="24"/>
        </w:rPr>
        <w:t>In 2013, Washington passed a second Climate Action Bill</w:t>
      </w:r>
      <w:r w:rsidR="00A310DC">
        <w:rPr>
          <w:szCs w:val="24"/>
        </w:rPr>
        <w:t xml:space="preserve"> to further reduce </w:t>
      </w:r>
      <w:r w:rsidR="009B65B5">
        <w:rPr>
          <w:szCs w:val="24"/>
        </w:rPr>
        <w:t>greenhouse gas (</w:t>
      </w:r>
      <w:r w:rsidR="00A310DC">
        <w:rPr>
          <w:szCs w:val="24"/>
        </w:rPr>
        <w:t>GHG</w:t>
      </w:r>
      <w:r w:rsidR="009B65B5">
        <w:rPr>
          <w:szCs w:val="24"/>
        </w:rPr>
        <w:t>)</w:t>
      </w:r>
      <w:r w:rsidR="00A310DC">
        <w:rPr>
          <w:szCs w:val="24"/>
        </w:rPr>
        <w:t xml:space="preserve"> emissions;</w:t>
      </w:r>
      <w:r>
        <w:rPr>
          <w:rStyle w:val="FootnoteReference"/>
          <w:szCs w:val="24"/>
        </w:rPr>
        <w:footnoteReference w:id="6"/>
      </w:r>
      <w:r>
        <w:rPr>
          <w:szCs w:val="24"/>
        </w:rPr>
        <w:t xml:space="preserve">  </w:t>
      </w:r>
    </w:p>
    <w:p w:rsidR="00A310DC" w:rsidRDefault="00A310DC" w:rsidP="0061382D">
      <w:pPr>
        <w:pStyle w:val="BodyTextIndent"/>
        <w:numPr>
          <w:ilvl w:val="0"/>
          <w:numId w:val="39"/>
        </w:numPr>
        <w:ind w:left="1080"/>
        <w:jc w:val="left"/>
        <w:rPr>
          <w:szCs w:val="24"/>
        </w:rPr>
      </w:pPr>
      <w:r>
        <w:rPr>
          <w:szCs w:val="24"/>
        </w:rPr>
        <w:t xml:space="preserve">In October 2013, Washington signed the Pacific Coast Action Plan on Climate and Energy to provide coordination among the states and provinces of the </w:t>
      </w:r>
      <w:r w:rsidR="00D2759C">
        <w:rPr>
          <w:szCs w:val="24"/>
        </w:rPr>
        <w:t>w</w:t>
      </w:r>
      <w:r w:rsidR="009B65B5">
        <w:rPr>
          <w:szCs w:val="24"/>
        </w:rPr>
        <w:t xml:space="preserve">est </w:t>
      </w:r>
      <w:r w:rsidR="00D2759C">
        <w:rPr>
          <w:szCs w:val="24"/>
        </w:rPr>
        <w:t>c</w:t>
      </w:r>
      <w:r>
        <w:rPr>
          <w:szCs w:val="24"/>
        </w:rPr>
        <w:t>oast to “link programs for consistency and predictability and to expand opportunities to grow the regions low-carbon economy;”</w:t>
      </w:r>
      <w:r>
        <w:rPr>
          <w:rStyle w:val="FootnoteReference"/>
          <w:szCs w:val="24"/>
        </w:rPr>
        <w:footnoteReference w:id="7"/>
      </w:r>
    </w:p>
    <w:p w:rsidR="00D37F6A" w:rsidRPr="00660509" w:rsidRDefault="00140994" w:rsidP="0061382D">
      <w:pPr>
        <w:pStyle w:val="BodyTextIndent"/>
        <w:numPr>
          <w:ilvl w:val="0"/>
          <w:numId w:val="39"/>
        </w:numPr>
        <w:ind w:left="1080"/>
        <w:jc w:val="left"/>
        <w:rPr>
          <w:b/>
          <w:szCs w:val="24"/>
        </w:rPr>
      </w:pPr>
      <w:r w:rsidRPr="006846DA">
        <w:rPr>
          <w:szCs w:val="24"/>
        </w:rPr>
        <w:t>I</w:t>
      </w:r>
      <w:r w:rsidR="00B13548" w:rsidRPr="006846DA">
        <w:rPr>
          <w:szCs w:val="24"/>
        </w:rPr>
        <w:t>n April 201</w:t>
      </w:r>
      <w:r w:rsidR="00B13548" w:rsidRPr="00660509">
        <w:rPr>
          <w:szCs w:val="24"/>
        </w:rPr>
        <w:t>4, Governor Jay Inslee issued an Executive Order specifically recognizing the Washington had joined Oregon and California, “calling for additional West Coast actions on climate leadership, clean transportation, and clean energy and infrastructure.”</w:t>
      </w:r>
      <w:r w:rsidR="00B13548">
        <w:rPr>
          <w:rStyle w:val="FootnoteReference"/>
          <w:szCs w:val="24"/>
        </w:rPr>
        <w:footnoteReference w:id="8"/>
      </w:r>
    </w:p>
    <w:p w:rsidR="00E32545" w:rsidRPr="00732C4D" w:rsidRDefault="00E32545" w:rsidP="00C328B1">
      <w:pPr>
        <w:pStyle w:val="BodyTextIndent"/>
        <w:jc w:val="left"/>
        <w:rPr>
          <w:b/>
        </w:rPr>
      </w:pPr>
      <w:r w:rsidRPr="00732C4D">
        <w:rPr>
          <w:b/>
        </w:rPr>
        <w:t>Q.</w:t>
      </w:r>
      <w:r w:rsidRPr="00732C4D">
        <w:rPr>
          <w:b/>
        </w:rPr>
        <w:tab/>
        <w:t xml:space="preserve">Please explain how these policy issues </w:t>
      </w:r>
      <w:r>
        <w:rPr>
          <w:b/>
        </w:rPr>
        <w:t>inform the issues covered in</w:t>
      </w:r>
      <w:r w:rsidRPr="00732C4D">
        <w:rPr>
          <w:b/>
        </w:rPr>
        <w:t xml:space="preserve"> </w:t>
      </w:r>
      <w:r>
        <w:rPr>
          <w:b/>
        </w:rPr>
        <w:t>your rebuttal testimony</w:t>
      </w:r>
      <w:r w:rsidRPr="00732C4D">
        <w:rPr>
          <w:b/>
        </w:rPr>
        <w:t xml:space="preserve">. </w:t>
      </w:r>
    </w:p>
    <w:p w:rsidR="00E32545" w:rsidRDefault="00E32545" w:rsidP="00C328B1">
      <w:pPr>
        <w:pStyle w:val="BodyTextIndent"/>
        <w:jc w:val="left"/>
      </w:pPr>
      <w:r>
        <w:t>A.</w:t>
      </w:r>
      <w:r>
        <w:tab/>
      </w:r>
      <w:r w:rsidR="00F118EA">
        <w:t>As described in Mr. Dalley’s testimony, i</w:t>
      </w:r>
      <w:r>
        <w:t>n this case, the Company made several proposals intended to</w:t>
      </w:r>
      <w:r w:rsidR="00F118EA">
        <w:t xml:space="preserve"> better</w:t>
      </w:r>
      <w:r>
        <w:t xml:space="preserve"> </w:t>
      </w:r>
      <w:r w:rsidR="00F118EA">
        <w:t xml:space="preserve">position the Company to respond to the challenges resulting from changing </w:t>
      </w:r>
      <w:r w:rsidR="00C420C1">
        <w:t xml:space="preserve">Washington </w:t>
      </w:r>
      <w:r w:rsidR="00F118EA">
        <w:t xml:space="preserve">state laws and policies.  With respect to NPC, </w:t>
      </w:r>
      <w:r>
        <w:t xml:space="preserve">the Company proposed </w:t>
      </w:r>
      <w:r w:rsidR="00D2759C">
        <w:t>the</w:t>
      </w:r>
      <w:r>
        <w:t xml:space="preserve"> RRTM to mitigate the risks </w:t>
      </w:r>
      <w:r w:rsidR="00F118EA">
        <w:t xml:space="preserve">caused by the variability in the </w:t>
      </w:r>
      <w:r>
        <w:t xml:space="preserve">Company’s growing portfolio of </w:t>
      </w:r>
      <w:r w:rsidR="00D2759C">
        <w:t>renewable</w:t>
      </w:r>
      <w:r>
        <w:t xml:space="preserve"> resources</w:t>
      </w:r>
      <w:r w:rsidR="00F118EA">
        <w:t xml:space="preserve">.  The RRTM will </w:t>
      </w:r>
      <w:r>
        <w:t>ensure that both the Company and customers are protected f</w:t>
      </w:r>
      <w:r w:rsidR="00D2759C">
        <w:t>rom the volatility inherent in renewable</w:t>
      </w:r>
      <w:r>
        <w:t xml:space="preserve"> generation.  </w:t>
      </w:r>
    </w:p>
    <w:p w:rsidR="00E32545" w:rsidRDefault="00E32545" w:rsidP="00C328B1">
      <w:pPr>
        <w:pStyle w:val="BodyTextIndent"/>
        <w:jc w:val="left"/>
        <w:rPr>
          <w:szCs w:val="24"/>
        </w:rPr>
      </w:pPr>
      <w:r>
        <w:tab/>
      </w:r>
      <w:r>
        <w:tab/>
      </w:r>
      <w:r w:rsidR="00BB73E7">
        <w:t>T</w:t>
      </w:r>
      <w:r>
        <w:t xml:space="preserve">he Company </w:t>
      </w:r>
      <w:r w:rsidR="00BB73E7">
        <w:t xml:space="preserve">also </w:t>
      </w:r>
      <w:r>
        <w:t xml:space="preserve">renewed its request for a change to the WCA to allow cost recovery of all </w:t>
      </w:r>
      <w:r w:rsidR="00D2759C">
        <w:t xml:space="preserve">PPAs with </w:t>
      </w:r>
      <w:r>
        <w:t>QFs in the west control area, all of which are renewable resources.</w:t>
      </w:r>
    </w:p>
    <w:p w:rsidR="00732C4D" w:rsidRDefault="00732C4D" w:rsidP="00C328B1">
      <w:pPr>
        <w:pStyle w:val="BodyTextIndent"/>
        <w:jc w:val="left"/>
      </w:pPr>
      <w:r>
        <w:rPr>
          <w:b/>
        </w:rPr>
        <w:t>Q.</w:t>
      </w:r>
      <w:r>
        <w:rPr>
          <w:b/>
        </w:rPr>
        <w:tab/>
      </w:r>
      <w:r w:rsidR="00C831AE">
        <w:rPr>
          <w:b/>
        </w:rPr>
        <w:t xml:space="preserve">The parties argue that </w:t>
      </w:r>
      <w:r>
        <w:rPr>
          <w:b/>
        </w:rPr>
        <w:t xml:space="preserve">the RRTM and the modification to the WCA related to QF generation are contrary to Commission precedent.  Why </w:t>
      </w:r>
      <w:r w:rsidR="00C831AE">
        <w:rPr>
          <w:b/>
        </w:rPr>
        <w:t xml:space="preserve">is the Company asking </w:t>
      </w:r>
      <w:r>
        <w:rPr>
          <w:b/>
        </w:rPr>
        <w:t xml:space="preserve">the Commission </w:t>
      </w:r>
      <w:r w:rsidR="00C831AE">
        <w:rPr>
          <w:b/>
        </w:rPr>
        <w:t>to take a new direction in this case?</w:t>
      </w:r>
    </w:p>
    <w:p w:rsidR="00732C4D" w:rsidRDefault="00732C4D" w:rsidP="00C328B1">
      <w:pPr>
        <w:pStyle w:val="BodyTextIndent"/>
        <w:jc w:val="left"/>
      </w:pPr>
      <w:r>
        <w:t>A.</w:t>
      </w:r>
      <w:r>
        <w:tab/>
        <w:t xml:space="preserve">To respond to the rapidly changing energy landscape in Washington, the Company urges the Commission to reconsider </w:t>
      </w:r>
      <w:r w:rsidR="00C831AE">
        <w:t xml:space="preserve">as necessary </w:t>
      </w:r>
      <w:r>
        <w:t xml:space="preserve">its prior decisions that predate or otherwise do not </w:t>
      </w:r>
      <w:r w:rsidR="00EC24BB">
        <w:t>take into account</w:t>
      </w:r>
      <w:r>
        <w:t xml:space="preserve"> the Washington laws now driving electric industry transformation.  </w:t>
      </w:r>
      <w:r w:rsidR="00C420C1">
        <w:t xml:space="preserve">The recent </w:t>
      </w:r>
      <w:r w:rsidR="00785FFC">
        <w:t>legis</w:t>
      </w:r>
      <w:r w:rsidR="00C831AE">
        <w:t xml:space="preserve">lative changes </w:t>
      </w:r>
      <w:r w:rsidR="00C420C1">
        <w:t xml:space="preserve">outlined </w:t>
      </w:r>
      <w:r w:rsidR="00D2759C">
        <w:t xml:space="preserve">above </w:t>
      </w:r>
      <w:r w:rsidR="00C831AE">
        <w:t xml:space="preserve">provide </w:t>
      </w:r>
      <w:r w:rsidR="00A54974">
        <w:t xml:space="preserve">a strong </w:t>
      </w:r>
      <w:r w:rsidR="00C831AE">
        <w:t xml:space="preserve">basis for a different outcome in this case. </w:t>
      </w:r>
    </w:p>
    <w:p w:rsidR="00BA01E1" w:rsidRPr="0061382D" w:rsidRDefault="00537E6C" w:rsidP="0061382D">
      <w:pPr>
        <w:pStyle w:val="Heading1"/>
        <w:spacing w:line="480" w:lineRule="auto"/>
      </w:pPr>
      <w:bookmarkStart w:id="3" w:name="_Toc403714283"/>
      <w:r w:rsidRPr="0061382D">
        <w:t>UPDATED RECOMMENDATION FOR NET POWER COSTS</w:t>
      </w:r>
      <w:bookmarkEnd w:id="3"/>
    </w:p>
    <w:p w:rsidR="00BA01E1" w:rsidRPr="0044258A" w:rsidRDefault="00BA01E1" w:rsidP="0061382D">
      <w:pPr>
        <w:pStyle w:val="BodyTextIndent"/>
        <w:jc w:val="left"/>
        <w:rPr>
          <w:b/>
          <w:szCs w:val="24"/>
          <w:highlight w:val="yellow"/>
        </w:rPr>
      </w:pPr>
      <w:r w:rsidRPr="0044258A">
        <w:rPr>
          <w:b/>
          <w:szCs w:val="24"/>
        </w:rPr>
        <w:t>Q.</w:t>
      </w:r>
      <w:r w:rsidRPr="0044258A">
        <w:rPr>
          <w:b/>
          <w:szCs w:val="24"/>
        </w:rPr>
        <w:tab/>
      </w:r>
      <w:r w:rsidR="00E94357">
        <w:rPr>
          <w:b/>
          <w:szCs w:val="24"/>
        </w:rPr>
        <w:t>Have you updated the Company’s recommended pro form</w:t>
      </w:r>
      <w:r w:rsidR="004F0B8E">
        <w:rPr>
          <w:b/>
          <w:szCs w:val="24"/>
        </w:rPr>
        <w:t>a</w:t>
      </w:r>
      <w:r w:rsidR="00E94357">
        <w:rPr>
          <w:b/>
          <w:szCs w:val="24"/>
        </w:rPr>
        <w:t xml:space="preserve"> NPC</w:t>
      </w:r>
      <w:r w:rsidRPr="0044258A">
        <w:rPr>
          <w:b/>
          <w:szCs w:val="24"/>
        </w:rPr>
        <w:t>?</w:t>
      </w:r>
    </w:p>
    <w:p w:rsidR="003467E7" w:rsidRDefault="00BA01E1" w:rsidP="00C328B1">
      <w:pPr>
        <w:pStyle w:val="BodyTextIndent"/>
        <w:jc w:val="left"/>
        <w:rPr>
          <w:szCs w:val="24"/>
        </w:rPr>
      </w:pPr>
      <w:r w:rsidRPr="0044258A">
        <w:rPr>
          <w:szCs w:val="24"/>
        </w:rPr>
        <w:t>A.</w:t>
      </w:r>
      <w:r w:rsidRPr="0044258A">
        <w:rPr>
          <w:szCs w:val="24"/>
        </w:rPr>
        <w:tab/>
        <w:t xml:space="preserve">Yes.  </w:t>
      </w:r>
      <w:r w:rsidR="00D455D0">
        <w:rPr>
          <w:szCs w:val="24"/>
        </w:rPr>
        <w:t>T</w:t>
      </w:r>
      <w:r w:rsidR="00D455D0" w:rsidRPr="007732B7">
        <w:rPr>
          <w:szCs w:val="24"/>
        </w:rPr>
        <w:t>he Commission</w:t>
      </w:r>
      <w:r w:rsidR="00D455D0">
        <w:rPr>
          <w:szCs w:val="24"/>
        </w:rPr>
        <w:t xml:space="preserve">’s policy </w:t>
      </w:r>
      <w:r w:rsidR="00A32BA3">
        <w:rPr>
          <w:szCs w:val="24"/>
        </w:rPr>
        <w:t>is</w:t>
      </w:r>
      <w:r w:rsidR="00D455D0" w:rsidRPr="007732B7">
        <w:rPr>
          <w:szCs w:val="24"/>
        </w:rPr>
        <w:t xml:space="preserve"> that “power costs determined in general rate proceedings and in [power cost only] proceedings should be set as closely as possible to costs that are reasonably expected to be actually incurred during short and intermediate periods following the </w:t>
      </w:r>
      <w:r w:rsidR="00D455D0">
        <w:rPr>
          <w:szCs w:val="24"/>
        </w:rPr>
        <w:t>conclusion of such proceedings.”</w:t>
      </w:r>
      <w:r w:rsidR="00D455D0">
        <w:rPr>
          <w:rStyle w:val="FootnoteReference"/>
          <w:szCs w:val="24"/>
        </w:rPr>
        <w:footnoteReference w:id="9"/>
      </w:r>
      <w:r w:rsidR="00D455D0">
        <w:rPr>
          <w:szCs w:val="24"/>
        </w:rPr>
        <w:t xml:space="preserve">  </w:t>
      </w:r>
      <w:r w:rsidR="00A32BA3">
        <w:rPr>
          <w:szCs w:val="24"/>
        </w:rPr>
        <w:t>Consistent</w:t>
      </w:r>
      <w:r w:rsidR="00D2759C">
        <w:rPr>
          <w:szCs w:val="24"/>
        </w:rPr>
        <w:t xml:space="preserve"> with this policy, the Company </w:t>
      </w:r>
      <w:r w:rsidR="00A32BA3">
        <w:rPr>
          <w:szCs w:val="24"/>
        </w:rPr>
        <w:t>updated its pro forma NPC to reflect the most current information available</w:t>
      </w:r>
      <w:r w:rsidR="003467E7">
        <w:rPr>
          <w:szCs w:val="24"/>
        </w:rPr>
        <w:t xml:space="preserve">, including a new </w:t>
      </w:r>
      <w:r w:rsidR="003467E7" w:rsidRPr="00532B37">
        <w:rPr>
          <w:szCs w:val="24"/>
        </w:rPr>
        <w:t>forward price curve</w:t>
      </w:r>
      <w:r w:rsidR="00D2759C">
        <w:rPr>
          <w:szCs w:val="24"/>
        </w:rPr>
        <w:t>;</w:t>
      </w:r>
      <w:r w:rsidR="003467E7">
        <w:rPr>
          <w:szCs w:val="24"/>
        </w:rPr>
        <w:t xml:space="preserve"> updates to several </w:t>
      </w:r>
      <w:r w:rsidR="00D2759C">
        <w:rPr>
          <w:szCs w:val="24"/>
        </w:rPr>
        <w:t>PPAs</w:t>
      </w:r>
      <w:r w:rsidR="003467E7">
        <w:rPr>
          <w:szCs w:val="24"/>
        </w:rPr>
        <w:t xml:space="preserve"> (including QF</w:t>
      </w:r>
      <w:r w:rsidR="00D2759C">
        <w:rPr>
          <w:szCs w:val="24"/>
        </w:rPr>
        <w:t xml:space="preserve"> PPA</w:t>
      </w:r>
      <w:r w:rsidR="003467E7">
        <w:rPr>
          <w:szCs w:val="24"/>
        </w:rPr>
        <w:t>s)</w:t>
      </w:r>
      <w:r w:rsidR="00D2759C">
        <w:rPr>
          <w:szCs w:val="24"/>
        </w:rPr>
        <w:t>;</w:t>
      </w:r>
      <w:r w:rsidR="003467E7">
        <w:rPr>
          <w:szCs w:val="24"/>
        </w:rPr>
        <w:t xml:space="preserve"> fuel costs, includ</w:t>
      </w:r>
      <w:r w:rsidR="00D2759C">
        <w:rPr>
          <w:szCs w:val="24"/>
        </w:rPr>
        <w:t>ing coal and natural gas supply;</w:t>
      </w:r>
      <w:r w:rsidR="003467E7">
        <w:rPr>
          <w:szCs w:val="24"/>
        </w:rPr>
        <w:t xml:space="preserve"> and updates to gas transportation costs.  The Company’s updated NPC recommendation is required to produce the </w:t>
      </w:r>
      <w:r w:rsidR="00D2759C">
        <w:rPr>
          <w:szCs w:val="24"/>
        </w:rPr>
        <w:t>most accurate projection</w:t>
      </w:r>
      <w:r w:rsidR="003467E7">
        <w:rPr>
          <w:szCs w:val="24"/>
        </w:rPr>
        <w:t xml:space="preserve"> of </w:t>
      </w:r>
      <w:r w:rsidR="00140C5A">
        <w:rPr>
          <w:szCs w:val="24"/>
        </w:rPr>
        <w:t xml:space="preserve">west control area </w:t>
      </w:r>
      <w:r w:rsidR="003467E7">
        <w:rPr>
          <w:szCs w:val="24"/>
        </w:rPr>
        <w:t xml:space="preserve">NPC for the </w:t>
      </w:r>
      <w:r w:rsidR="00D2759C">
        <w:rPr>
          <w:szCs w:val="24"/>
        </w:rPr>
        <w:t>pro forma</w:t>
      </w:r>
      <w:r w:rsidR="003467E7">
        <w:rPr>
          <w:szCs w:val="24"/>
        </w:rPr>
        <w:t xml:space="preserve"> period in this case</w:t>
      </w:r>
      <w:r w:rsidR="00D2759C">
        <w:rPr>
          <w:szCs w:val="24"/>
        </w:rPr>
        <w:t xml:space="preserve"> (the 12 months ending March 31, 2016)</w:t>
      </w:r>
      <w:r w:rsidR="003467E7">
        <w:rPr>
          <w:szCs w:val="24"/>
        </w:rPr>
        <w:t>.</w:t>
      </w:r>
    </w:p>
    <w:p w:rsidR="00451B26" w:rsidRPr="002953C4" w:rsidRDefault="002953C4" w:rsidP="00C328B1">
      <w:pPr>
        <w:pStyle w:val="BodyTextIndent"/>
        <w:jc w:val="left"/>
        <w:rPr>
          <w:b/>
          <w:szCs w:val="24"/>
        </w:rPr>
      </w:pPr>
      <w:r w:rsidRPr="002953C4">
        <w:rPr>
          <w:b/>
          <w:szCs w:val="24"/>
        </w:rPr>
        <w:t>Q.</w:t>
      </w:r>
      <w:r w:rsidRPr="002953C4">
        <w:rPr>
          <w:b/>
          <w:szCs w:val="24"/>
        </w:rPr>
        <w:tab/>
        <w:t xml:space="preserve">What is the Company’s updated NPC recommendation? </w:t>
      </w:r>
    </w:p>
    <w:p w:rsidR="00451B26" w:rsidRDefault="002953C4" w:rsidP="00C328B1">
      <w:pPr>
        <w:pStyle w:val="BodyTextIndent"/>
        <w:jc w:val="left"/>
        <w:rPr>
          <w:szCs w:val="24"/>
        </w:rPr>
      </w:pPr>
      <w:r>
        <w:rPr>
          <w:szCs w:val="24"/>
        </w:rPr>
        <w:t>A.</w:t>
      </w:r>
      <w:r>
        <w:rPr>
          <w:szCs w:val="24"/>
        </w:rPr>
        <w:tab/>
        <w:t>T</w:t>
      </w:r>
      <w:r w:rsidR="00451B26" w:rsidRPr="0044258A">
        <w:rPr>
          <w:szCs w:val="24"/>
        </w:rPr>
        <w:t xml:space="preserve">he Company </w:t>
      </w:r>
      <w:r w:rsidR="00451B26">
        <w:rPr>
          <w:szCs w:val="24"/>
        </w:rPr>
        <w:t>increased</w:t>
      </w:r>
      <w:r w:rsidR="00451B26" w:rsidRPr="0044258A">
        <w:rPr>
          <w:szCs w:val="24"/>
        </w:rPr>
        <w:t xml:space="preserve"> its recommended </w:t>
      </w:r>
      <w:r w:rsidR="00140C5A">
        <w:rPr>
          <w:szCs w:val="24"/>
        </w:rPr>
        <w:t>west control area</w:t>
      </w:r>
      <w:r w:rsidR="00451B26" w:rsidRPr="0044258A">
        <w:rPr>
          <w:szCs w:val="24"/>
        </w:rPr>
        <w:t xml:space="preserve"> </w:t>
      </w:r>
      <w:r w:rsidR="00451B26" w:rsidRPr="006D7FEE">
        <w:rPr>
          <w:szCs w:val="24"/>
        </w:rPr>
        <w:t>NPC from $</w:t>
      </w:r>
      <w:r w:rsidR="00451B26">
        <w:rPr>
          <w:szCs w:val="24"/>
        </w:rPr>
        <w:t>568.8</w:t>
      </w:r>
      <w:r w:rsidR="00451B26" w:rsidRPr="006D7FEE">
        <w:rPr>
          <w:szCs w:val="24"/>
        </w:rPr>
        <w:t xml:space="preserve"> million to approximately $</w:t>
      </w:r>
      <w:r w:rsidR="00451B26" w:rsidRPr="0027183C">
        <w:rPr>
          <w:szCs w:val="24"/>
        </w:rPr>
        <w:t>59</w:t>
      </w:r>
      <w:r w:rsidR="0027183C">
        <w:rPr>
          <w:szCs w:val="24"/>
        </w:rPr>
        <w:t>2.7</w:t>
      </w:r>
      <w:r w:rsidR="00451B26" w:rsidRPr="00A53CCE">
        <w:rPr>
          <w:szCs w:val="24"/>
        </w:rPr>
        <w:t xml:space="preserve"> million, a</w:t>
      </w:r>
      <w:r w:rsidR="00451B26">
        <w:rPr>
          <w:szCs w:val="24"/>
        </w:rPr>
        <w:t>n increase</w:t>
      </w:r>
      <w:r w:rsidR="00451B26" w:rsidRPr="00A53CCE">
        <w:rPr>
          <w:szCs w:val="24"/>
        </w:rPr>
        <w:t xml:space="preserve"> of </w:t>
      </w:r>
      <w:r w:rsidR="00451B26" w:rsidRPr="003207EB">
        <w:rPr>
          <w:szCs w:val="24"/>
        </w:rPr>
        <w:t>$</w:t>
      </w:r>
      <w:r w:rsidR="0027183C">
        <w:rPr>
          <w:szCs w:val="24"/>
        </w:rPr>
        <w:t>23.9</w:t>
      </w:r>
      <w:r w:rsidR="00451B26" w:rsidRPr="006D7FEE">
        <w:rPr>
          <w:szCs w:val="24"/>
        </w:rPr>
        <w:t xml:space="preserve"> million</w:t>
      </w:r>
      <w:r w:rsidR="00451B26" w:rsidRPr="0044258A">
        <w:rPr>
          <w:szCs w:val="24"/>
        </w:rPr>
        <w:t>.</w:t>
      </w:r>
      <w:r w:rsidR="00451B26">
        <w:rPr>
          <w:szCs w:val="24"/>
        </w:rPr>
        <w:t xml:space="preserve">  On a Washington-allocated basis, NPC increases by </w:t>
      </w:r>
      <w:r w:rsidR="00451B26" w:rsidRPr="003207EB">
        <w:rPr>
          <w:szCs w:val="24"/>
        </w:rPr>
        <w:t xml:space="preserve">approximately </w:t>
      </w:r>
      <w:r w:rsidR="0027183C">
        <w:rPr>
          <w:szCs w:val="24"/>
        </w:rPr>
        <w:t xml:space="preserve">$5.4 </w:t>
      </w:r>
      <w:r w:rsidR="00451B26">
        <w:rPr>
          <w:szCs w:val="24"/>
        </w:rPr>
        <w:t>million to</w:t>
      </w:r>
      <w:r w:rsidR="0027183C">
        <w:rPr>
          <w:szCs w:val="24"/>
        </w:rPr>
        <w:t xml:space="preserve"> $135.6 </w:t>
      </w:r>
      <w:r w:rsidR="00451B26">
        <w:rPr>
          <w:szCs w:val="24"/>
        </w:rPr>
        <w:t xml:space="preserve">million.  The NPC report for the Company’s </w:t>
      </w:r>
      <w:r w:rsidR="00D2759C">
        <w:rPr>
          <w:szCs w:val="24"/>
        </w:rPr>
        <w:t>r</w:t>
      </w:r>
      <w:r w:rsidR="00451B26">
        <w:rPr>
          <w:szCs w:val="24"/>
        </w:rPr>
        <w:t xml:space="preserve">ebuttal filing is presented in </w:t>
      </w:r>
      <w:r w:rsidR="009D691A">
        <w:rPr>
          <w:szCs w:val="24"/>
        </w:rPr>
        <w:t>Exhibit No. GND-5</w:t>
      </w:r>
      <w:r w:rsidR="00451B26" w:rsidRPr="0027183C">
        <w:rPr>
          <w:szCs w:val="24"/>
        </w:rPr>
        <w:t>.</w:t>
      </w:r>
    </w:p>
    <w:p w:rsidR="00451B26" w:rsidRPr="0044258A" w:rsidRDefault="00451B26" w:rsidP="00C328B1">
      <w:pPr>
        <w:pStyle w:val="BodyTextIndent"/>
        <w:jc w:val="left"/>
        <w:rPr>
          <w:b/>
          <w:szCs w:val="24"/>
        </w:rPr>
      </w:pPr>
      <w:r w:rsidRPr="0044258A">
        <w:rPr>
          <w:b/>
          <w:szCs w:val="24"/>
        </w:rPr>
        <w:t>Q.</w:t>
      </w:r>
      <w:r w:rsidRPr="0044258A">
        <w:rPr>
          <w:b/>
          <w:szCs w:val="24"/>
        </w:rPr>
        <w:tab/>
      </w:r>
      <w:r>
        <w:rPr>
          <w:b/>
          <w:szCs w:val="24"/>
        </w:rPr>
        <w:t xml:space="preserve">Have you provided an exhibit that </w:t>
      </w:r>
      <w:r w:rsidRPr="0044258A">
        <w:rPr>
          <w:b/>
          <w:szCs w:val="24"/>
        </w:rPr>
        <w:t>summarize</w:t>
      </w:r>
      <w:r>
        <w:rPr>
          <w:b/>
          <w:szCs w:val="24"/>
        </w:rPr>
        <w:t>s</w:t>
      </w:r>
      <w:r w:rsidRPr="0044258A">
        <w:rPr>
          <w:b/>
          <w:szCs w:val="24"/>
        </w:rPr>
        <w:t xml:space="preserve"> the change in NPC from your direct testimony on a </w:t>
      </w:r>
      <w:r w:rsidR="00140C5A">
        <w:rPr>
          <w:b/>
          <w:szCs w:val="24"/>
        </w:rPr>
        <w:t xml:space="preserve">west control area </w:t>
      </w:r>
      <w:r w:rsidRPr="0044258A">
        <w:rPr>
          <w:b/>
          <w:szCs w:val="24"/>
        </w:rPr>
        <w:t>basis</w:t>
      </w:r>
      <w:r>
        <w:rPr>
          <w:b/>
          <w:szCs w:val="24"/>
        </w:rPr>
        <w:t>?</w:t>
      </w:r>
    </w:p>
    <w:p w:rsidR="00451B26" w:rsidRPr="00B367F4" w:rsidRDefault="00451B26" w:rsidP="00C328B1">
      <w:pPr>
        <w:pStyle w:val="BodyTextIndent"/>
        <w:jc w:val="left"/>
        <w:rPr>
          <w:szCs w:val="24"/>
        </w:rPr>
      </w:pPr>
      <w:r w:rsidRPr="0044258A">
        <w:rPr>
          <w:szCs w:val="24"/>
        </w:rPr>
        <w:t>A.</w:t>
      </w:r>
      <w:r w:rsidRPr="0044258A">
        <w:rPr>
          <w:szCs w:val="24"/>
        </w:rPr>
        <w:tab/>
      </w:r>
      <w:r>
        <w:rPr>
          <w:szCs w:val="24"/>
        </w:rPr>
        <w:t xml:space="preserve">Yes. </w:t>
      </w:r>
      <w:r w:rsidR="00BB100C">
        <w:rPr>
          <w:szCs w:val="24"/>
        </w:rPr>
        <w:t xml:space="preserve"> </w:t>
      </w:r>
      <w:r w:rsidR="009D691A">
        <w:rPr>
          <w:szCs w:val="24"/>
        </w:rPr>
        <w:t>Exhibit No. GND-6</w:t>
      </w:r>
      <w:r w:rsidRPr="0044258A">
        <w:rPr>
          <w:szCs w:val="24"/>
        </w:rPr>
        <w:t xml:space="preserve"> summarizes the impact of </w:t>
      </w:r>
      <w:r w:rsidR="00405E22">
        <w:rPr>
          <w:szCs w:val="24"/>
        </w:rPr>
        <w:t>all individual</w:t>
      </w:r>
      <w:r w:rsidRPr="0044258A">
        <w:rPr>
          <w:szCs w:val="24"/>
        </w:rPr>
        <w:t xml:space="preserve"> update</w:t>
      </w:r>
      <w:r w:rsidR="00405E22">
        <w:rPr>
          <w:szCs w:val="24"/>
        </w:rPr>
        <w:t>s</w:t>
      </w:r>
      <w:r w:rsidRPr="0044258A">
        <w:rPr>
          <w:szCs w:val="24"/>
        </w:rPr>
        <w:t xml:space="preserve"> </w:t>
      </w:r>
      <w:r>
        <w:rPr>
          <w:szCs w:val="24"/>
        </w:rPr>
        <w:t>on</w:t>
      </w:r>
      <w:r w:rsidRPr="0044258A">
        <w:rPr>
          <w:szCs w:val="24"/>
        </w:rPr>
        <w:t xml:space="preserve"> </w:t>
      </w:r>
      <w:r w:rsidR="00140C5A">
        <w:rPr>
          <w:szCs w:val="24"/>
        </w:rPr>
        <w:t>west control area</w:t>
      </w:r>
      <w:r w:rsidRPr="0044258A">
        <w:rPr>
          <w:szCs w:val="24"/>
        </w:rPr>
        <w:t xml:space="preserve"> NPC.</w:t>
      </w:r>
      <w:r w:rsidRPr="0044258A" w:rsidDel="00936D57">
        <w:rPr>
          <w:szCs w:val="24"/>
        </w:rPr>
        <w:t xml:space="preserve"> </w:t>
      </w:r>
      <w:r>
        <w:rPr>
          <w:szCs w:val="24"/>
        </w:rPr>
        <w:t xml:space="preserve"> </w:t>
      </w:r>
    </w:p>
    <w:p w:rsidR="00A32BA3" w:rsidRPr="003B08A4" w:rsidRDefault="00A32BA3" w:rsidP="00C328B1">
      <w:pPr>
        <w:spacing w:line="480" w:lineRule="auto"/>
        <w:ind w:left="720" w:hanging="720"/>
        <w:rPr>
          <w:b/>
          <w:sz w:val="24"/>
          <w:szCs w:val="24"/>
        </w:rPr>
      </w:pPr>
      <w:r w:rsidRPr="003B08A4">
        <w:rPr>
          <w:b/>
          <w:sz w:val="24"/>
          <w:szCs w:val="24"/>
        </w:rPr>
        <w:t>Q.</w:t>
      </w:r>
      <w:r w:rsidRPr="003B08A4">
        <w:rPr>
          <w:b/>
          <w:sz w:val="24"/>
          <w:szCs w:val="24"/>
        </w:rPr>
        <w:tab/>
      </w:r>
      <w:r w:rsidR="00D2759C">
        <w:rPr>
          <w:b/>
          <w:sz w:val="24"/>
          <w:szCs w:val="24"/>
        </w:rPr>
        <w:t>Please</w:t>
      </w:r>
      <w:r>
        <w:rPr>
          <w:b/>
          <w:sz w:val="24"/>
          <w:szCs w:val="24"/>
        </w:rPr>
        <w:t xml:space="preserve"> </w:t>
      </w:r>
      <w:r w:rsidR="003467E7">
        <w:rPr>
          <w:b/>
          <w:sz w:val="24"/>
          <w:szCs w:val="24"/>
        </w:rPr>
        <w:t>provide more detail on</w:t>
      </w:r>
      <w:r>
        <w:rPr>
          <w:b/>
          <w:sz w:val="24"/>
          <w:szCs w:val="24"/>
        </w:rPr>
        <w:t xml:space="preserve"> the updates included in rebuttal </w:t>
      </w:r>
      <w:r w:rsidR="003467E7">
        <w:rPr>
          <w:b/>
          <w:sz w:val="24"/>
          <w:szCs w:val="24"/>
        </w:rPr>
        <w:t>N</w:t>
      </w:r>
      <w:r>
        <w:rPr>
          <w:b/>
          <w:sz w:val="24"/>
          <w:szCs w:val="24"/>
        </w:rPr>
        <w:t>PC</w:t>
      </w:r>
      <w:r w:rsidRPr="003B08A4">
        <w:rPr>
          <w:b/>
          <w:sz w:val="24"/>
          <w:szCs w:val="24"/>
        </w:rPr>
        <w:t xml:space="preserve">? </w:t>
      </w:r>
    </w:p>
    <w:p w:rsidR="00A32BA3" w:rsidRDefault="00A32BA3" w:rsidP="00C328B1">
      <w:pPr>
        <w:spacing w:line="480" w:lineRule="auto"/>
        <w:ind w:left="720" w:hanging="720"/>
        <w:rPr>
          <w:sz w:val="24"/>
          <w:szCs w:val="24"/>
        </w:rPr>
      </w:pPr>
      <w:r>
        <w:rPr>
          <w:sz w:val="24"/>
          <w:szCs w:val="24"/>
        </w:rPr>
        <w:t>A.</w:t>
      </w:r>
      <w:r>
        <w:rPr>
          <w:sz w:val="24"/>
          <w:szCs w:val="24"/>
        </w:rPr>
        <w:tab/>
      </w:r>
      <w:r w:rsidRPr="00B367F4">
        <w:rPr>
          <w:sz w:val="24"/>
          <w:szCs w:val="24"/>
        </w:rPr>
        <w:t xml:space="preserve">The Company’s </w:t>
      </w:r>
      <w:r>
        <w:rPr>
          <w:sz w:val="24"/>
          <w:szCs w:val="24"/>
        </w:rPr>
        <w:t xml:space="preserve">rebuttal </w:t>
      </w:r>
      <w:r w:rsidRPr="00B367F4">
        <w:rPr>
          <w:sz w:val="24"/>
          <w:szCs w:val="24"/>
        </w:rPr>
        <w:t>NPC study now reflects</w:t>
      </w:r>
      <w:r>
        <w:rPr>
          <w:sz w:val="24"/>
          <w:szCs w:val="24"/>
        </w:rPr>
        <w:t>:</w:t>
      </w:r>
      <w:r w:rsidR="00405E22">
        <w:rPr>
          <w:rStyle w:val="FootnoteReference"/>
          <w:sz w:val="24"/>
          <w:szCs w:val="24"/>
        </w:rPr>
        <w:footnoteReference w:id="10"/>
      </w:r>
    </w:p>
    <w:p w:rsidR="00A32BA3" w:rsidRDefault="00D2759C" w:rsidP="0061382D">
      <w:pPr>
        <w:pStyle w:val="ListParagraph"/>
        <w:numPr>
          <w:ilvl w:val="0"/>
          <w:numId w:val="28"/>
        </w:numPr>
        <w:spacing w:after="0" w:line="480" w:lineRule="auto"/>
        <w:ind w:left="1080"/>
        <w:rPr>
          <w:rFonts w:ascii="Times New Roman" w:hAnsi="Times New Roman"/>
          <w:sz w:val="24"/>
          <w:szCs w:val="24"/>
        </w:rPr>
      </w:pPr>
      <w:r>
        <w:rPr>
          <w:rFonts w:ascii="Times New Roman" w:hAnsi="Times New Roman"/>
          <w:sz w:val="24"/>
          <w:szCs w:val="24"/>
        </w:rPr>
        <w:t>U</w:t>
      </w:r>
      <w:r w:rsidR="00A32BA3" w:rsidRPr="00EB2E4F">
        <w:rPr>
          <w:rFonts w:ascii="Times New Roman" w:hAnsi="Times New Roman"/>
          <w:sz w:val="24"/>
          <w:szCs w:val="24"/>
        </w:rPr>
        <w:t xml:space="preserve">pdated </w:t>
      </w:r>
      <w:r w:rsidR="00A32BA3">
        <w:rPr>
          <w:rFonts w:ascii="Times New Roman" w:hAnsi="Times New Roman"/>
          <w:sz w:val="24"/>
          <w:szCs w:val="24"/>
        </w:rPr>
        <w:t>tariff rates for the Chehalis natural gas lateral pipeline;</w:t>
      </w:r>
    </w:p>
    <w:p w:rsidR="00A32BA3" w:rsidRDefault="00D2759C" w:rsidP="0061382D">
      <w:pPr>
        <w:pStyle w:val="ListParagraph"/>
        <w:numPr>
          <w:ilvl w:val="0"/>
          <w:numId w:val="28"/>
        </w:numPr>
        <w:spacing w:after="0" w:line="480" w:lineRule="auto"/>
        <w:ind w:left="1080"/>
        <w:rPr>
          <w:rFonts w:ascii="Times New Roman" w:hAnsi="Times New Roman"/>
          <w:sz w:val="24"/>
          <w:szCs w:val="24"/>
        </w:rPr>
      </w:pPr>
      <w:r>
        <w:rPr>
          <w:rFonts w:ascii="Times New Roman" w:hAnsi="Times New Roman"/>
          <w:sz w:val="24"/>
          <w:szCs w:val="24"/>
        </w:rPr>
        <w:t>U</w:t>
      </w:r>
      <w:r w:rsidR="00A32BA3">
        <w:rPr>
          <w:rFonts w:ascii="Times New Roman" w:hAnsi="Times New Roman"/>
          <w:sz w:val="24"/>
          <w:szCs w:val="24"/>
        </w:rPr>
        <w:t>pdated costs for the PGE Cove purchase contract;</w:t>
      </w:r>
    </w:p>
    <w:p w:rsidR="00BB100C" w:rsidRPr="00EB2E4F" w:rsidRDefault="00D2759C" w:rsidP="0061382D">
      <w:pPr>
        <w:pStyle w:val="ListParagraph"/>
        <w:numPr>
          <w:ilvl w:val="0"/>
          <w:numId w:val="28"/>
        </w:numPr>
        <w:spacing w:after="0" w:line="480" w:lineRule="auto"/>
        <w:ind w:left="1080"/>
        <w:rPr>
          <w:sz w:val="24"/>
          <w:szCs w:val="24"/>
        </w:rPr>
      </w:pPr>
      <w:r>
        <w:rPr>
          <w:rFonts w:ascii="Times New Roman" w:hAnsi="Times New Roman"/>
          <w:sz w:val="24"/>
          <w:szCs w:val="24"/>
        </w:rPr>
        <w:t>U</w:t>
      </w:r>
      <w:r w:rsidR="00BB100C" w:rsidRPr="00B12470">
        <w:rPr>
          <w:rFonts w:ascii="Times New Roman" w:hAnsi="Times New Roman"/>
          <w:sz w:val="24"/>
          <w:szCs w:val="24"/>
        </w:rPr>
        <w:t xml:space="preserve">pdated coal </w:t>
      </w:r>
      <w:r>
        <w:rPr>
          <w:rFonts w:ascii="Times New Roman" w:hAnsi="Times New Roman"/>
          <w:sz w:val="24"/>
          <w:szCs w:val="24"/>
        </w:rPr>
        <w:t xml:space="preserve">expense </w:t>
      </w:r>
      <w:r w:rsidR="00BB100C" w:rsidRPr="00B12470">
        <w:rPr>
          <w:rFonts w:ascii="Times New Roman" w:hAnsi="Times New Roman"/>
          <w:sz w:val="24"/>
          <w:szCs w:val="24"/>
        </w:rPr>
        <w:t xml:space="preserve">reflecting changes in </w:t>
      </w:r>
      <w:r w:rsidR="00BB100C">
        <w:rPr>
          <w:rFonts w:ascii="Times New Roman" w:hAnsi="Times New Roman"/>
          <w:sz w:val="24"/>
          <w:szCs w:val="24"/>
        </w:rPr>
        <w:t xml:space="preserve">fuel supply costs and </w:t>
      </w:r>
      <w:r w:rsidR="00BB100C" w:rsidRPr="00B12470">
        <w:rPr>
          <w:rFonts w:ascii="Times New Roman" w:hAnsi="Times New Roman"/>
          <w:sz w:val="24"/>
          <w:szCs w:val="24"/>
        </w:rPr>
        <w:t xml:space="preserve">volume </w:t>
      </w:r>
      <w:r w:rsidR="00BB100C">
        <w:rPr>
          <w:rFonts w:ascii="Times New Roman" w:hAnsi="Times New Roman"/>
          <w:sz w:val="24"/>
          <w:szCs w:val="24"/>
        </w:rPr>
        <w:t>for</w:t>
      </w:r>
      <w:r w:rsidR="00BB100C" w:rsidRPr="00B12470">
        <w:rPr>
          <w:rFonts w:ascii="Times New Roman" w:hAnsi="Times New Roman"/>
          <w:sz w:val="24"/>
          <w:szCs w:val="24"/>
        </w:rPr>
        <w:t xml:space="preserve"> the </w:t>
      </w:r>
      <w:r>
        <w:rPr>
          <w:rFonts w:ascii="Times New Roman" w:hAnsi="Times New Roman"/>
          <w:sz w:val="24"/>
          <w:szCs w:val="24"/>
        </w:rPr>
        <w:t xml:space="preserve">pro forma </w:t>
      </w:r>
      <w:r w:rsidR="00BB100C" w:rsidRPr="00B12470">
        <w:rPr>
          <w:rFonts w:ascii="Times New Roman" w:hAnsi="Times New Roman"/>
          <w:sz w:val="24"/>
          <w:szCs w:val="24"/>
        </w:rPr>
        <w:t>period</w:t>
      </w:r>
      <w:r w:rsidR="00BB100C">
        <w:rPr>
          <w:rFonts w:ascii="Times New Roman" w:hAnsi="Times New Roman"/>
          <w:sz w:val="24"/>
          <w:szCs w:val="24"/>
        </w:rPr>
        <w:t>;</w:t>
      </w:r>
      <w:r w:rsidR="00BB100C" w:rsidRPr="00B12470">
        <w:rPr>
          <w:rFonts w:ascii="Times New Roman" w:hAnsi="Times New Roman"/>
          <w:sz w:val="24"/>
          <w:szCs w:val="24"/>
        </w:rPr>
        <w:t xml:space="preserve"> </w:t>
      </w:r>
    </w:p>
    <w:p w:rsidR="00A32BA3" w:rsidRPr="00936D57" w:rsidRDefault="00D2759C" w:rsidP="0061382D">
      <w:pPr>
        <w:pStyle w:val="ListParagraph"/>
        <w:numPr>
          <w:ilvl w:val="0"/>
          <w:numId w:val="28"/>
        </w:numPr>
        <w:spacing w:after="0" w:line="480" w:lineRule="auto"/>
        <w:ind w:left="1080"/>
        <w:rPr>
          <w:rFonts w:ascii="Times New Roman" w:hAnsi="Times New Roman"/>
          <w:sz w:val="24"/>
          <w:szCs w:val="24"/>
        </w:rPr>
      </w:pPr>
      <w:r>
        <w:rPr>
          <w:rFonts w:ascii="Times New Roman" w:hAnsi="Times New Roman"/>
          <w:sz w:val="24"/>
          <w:szCs w:val="24"/>
        </w:rPr>
        <w:t>U</w:t>
      </w:r>
      <w:r w:rsidR="00A32BA3" w:rsidRPr="00B12470">
        <w:rPr>
          <w:rFonts w:ascii="Times New Roman" w:hAnsi="Times New Roman"/>
          <w:sz w:val="24"/>
          <w:szCs w:val="24"/>
        </w:rPr>
        <w:t>pdated Mid-Columbia (Mid-C) hydro contract costs</w:t>
      </w:r>
      <w:r w:rsidR="00A32BA3">
        <w:rPr>
          <w:rFonts w:ascii="Times New Roman" w:hAnsi="Times New Roman"/>
          <w:sz w:val="24"/>
          <w:szCs w:val="24"/>
        </w:rPr>
        <w:t>;</w:t>
      </w:r>
    </w:p>
    <w:p w:rsidR="00A32BA3" w:rsidRPr="006C6B90" w:rsidRDefault="00D2759C" w:rsidP="0061382D">
      <w:pPr>
        <w:pStyle w:val="ListParagraph"/>
        <w:numPr>
          <w:ilvl w:val="0"/>
          <w:numId w:val="28"/>
        </w:numPr>
        <w:spacing w:after="0" w:line="480" w:lineRule="auto"/>
        <w:ind w:left="1080"/>
        <w:rPr>
          <w:rFonts w:ascii="Times New Roman" w:hAnsi="Times New Roman"/>
          <w:sz w:val="24"/>
          <w:szCs w:val="24"/>
        </w:rPr>
      </w:pPr>
      <w:r>
        <w:rPr>
          <w:rFonts w:ascii="Times New Roman" w:hAnsi="Times New Roman"/>
          <w:sz w:val="24"/>
          <w:szCs w:val="24"/>
        </w:rPr>
        <w:t>C</w:t>
      </w:r>
      <w:r w:rsidR="00A32BA3">
        <w:rPr>
          <w:rFonts w:ascii="Times New Roman" w:hAnsi="Times New Roman"/>
          <w:sz w:val="24"/>
          <w:szCs w:val="24"/>
        </w:rPr>
        <w:t>hanges to three small Oregon QF</w:t>
      </w:r>
      <w:r>
        <w:rPr>
          <w:rFonts w:ascii="Times New Roman" w:hAnsi="Times New Roman"/>
          <w:sz w:val="24"/>
          <w:szCs w:val="24"/>
        </w:rPr>
        <w:t xml:space="preserve"> PPA</w:t>
      </w:r>
      <w:r w:rsidR="00A32BA3">
        <w:rPr>
          <w:rFonts w:ascii="Times New Roman" w:hAnsi="Times New Roman"/>
          <w:sz w:val="24"/>
          <w:szCs w:val="24"/>
        </w:rPr>
        <w:t>s, including one removal, one update, and one addition;</w:t>
      </w:r>
    </w:p>
    <w:p w:rsidR="00403C42" w:rsidRPr="006433B6" w:rsidRDefault="00D2759C" w:rsidP="0061382D">
      <w:pPr>
        <w:pStyle w:val="ListParagraph"/>
        <w:numPr>
          <w:ilvl w:val="0"/>
          <w:numId w:val="28"/>
        </w:numPr>
        <w:spacing w:after="0" w:line="480" w:lineRule="auto"/>
        <w:ind w:left="1080"/>
        <w:rPr>
          <w:b/>
          <w:sz w:val="24"/>
          <w:szCs w:val="24"/>
        </w:rPr>
      </w:pPr>
      <w:r>
        <w:rPr>
          <w:rFonts w:ascii="Times New Roman" w:hAnsi="Times New Roman"/>
          <w:sz w:val="24"/>
          <w:szCs w:val="24"/>
        </w:rPr>
        <w:t>T</w:t>
      </w:r>
      <w:r w:rsidR="00A32BA3" w:rsidRPr="003467E7">
        <w:rPr>
          <w:rFonts w:ascii="Times New Roman" w:hAnsi="Times New Roman"/>
          <w:sz w:val="24"/>
          <w:szCs w:val="24"/>
        </w:rPr>
        <w:t xml:space="preserve">he Company’s September 30, 2014 official forward price curve; </w:t>
      </w:r>
    </w:p>
    <w:p w:rsidR="0027183C" w:rsidRPr="006D6D53" w:rsidRDefault="00D2759C" w:rsidP="0061382D">
      <w:pPr>
        <w:pStyle w:val="ListParagraph"/>
        <w:numPr>
          <w:ilvl w:val="0"/>
          <w:numId w:val="28"/>
        </w:numPr>
        <w:spacing w:after="0" w:line="480" w:lineRule="auto"/>
        <w:ind w:left="1080"/>
        <w:rPr>
          <w:rFonts w:ascii="Times New Roman" w:hAnsi="Times New Roman"/>
          <w:sz w:val="24"/>
          <w:szCs w:val="24"/>
        </w:rPr>
      </w:pPr>
      <w:r>
        <w:rPr>
          <w:rFonts w:ascii="Times New Roman" w:hAnsi="Times New Roman"/>
          <w:sz w:val="24"/>
          <w:szCs w:val="24"/>
        </w:rPr>
        <w:t>U</w:t>
      </w:r>
      <w:r w:rsidR="00A32BA3" w:rsidRPr="0027183C">
        <w:rPr>
          <w:rFonts w:ascii="Times New Roman" w:hAnsi="Times New Roman"/>
          <w:sz w:val="24"/>
          <w:szCs w:val="24"/>
        </w:rPr>
        <w:t>pdated short</w:t>
      </w:r>
      <w:r w:rsidR="006D6D53">
        <w:rPr>
          <w:rFonts w:ascii="Times New Roman" w:hAnsi="Times New Roman"/>
          <w:sz w:val="24"/>
          <w:szCs w:val="24"/>
        </w:rPr>
        <w:t>-</w:t>
      </w:r>
      <w:r w:rsidR="00A32BA3" w:rsidRPr="0027183C">
        <w:rPr>
          <w:rFonts w:ascii="Times New Roman" w:hAnsi="Times New Roman"/>
          <w:sz w:val="24"/>
          <w:szCs w:val="24"/>
        </w:rPr>
        <w:t>term firm transactions executed through October 1, 2014</w:t>
      </w:r>
      <w:r w:rsidR="0027183C" w:rsidRPr="0027183C">
        <w:rPr>
          <w:rFonts w:ascii="Times New Roman" w:hAnsi="Times New Roman"/>
          <w:sz w:val="24"/>
          <w:szCs w:val="24"/>
        </w:rPr>
        <w:t>; and</w:t>
      </w:r>
    </w:p>
    <w:p w:rsidR="00A32BA3" w:rsidRPr="003467E7" w:rsidRDefault="00D2759C" w:rsidP="0061382D">
      <w:pPr>
        <w:pStyle w:val="ListParagraph"/>
        <w:numPr>
          <w:ilvl w:val="0"/>
          <w:numId w:val="28"/>
        </w:numPr>
        <w:spacing w:after="0" w:line="480" w:lineRule="auto"/>
        <w:ind w:left="1080"/>
        <w:rPr>
          <w:b/>
          <w:sz w:val="24"/>
          <w:szCs w:val="24"/>
        </w:rPr>
      </w:pPr>
      <w:r>
        <w:rPr>
          <w:rFonts w:ascii="Times New Roman" w:hAnsi="Times New Roman"/>
          <w:sz w:val="24"/>
          <w:szCs w:val="24"/>
        </w:rPr>
        <w:t>R</w:t>
      </w:r>
      <w:r w:rsidR="0027183C">
        <w:rPr>
          <w:rFonts w:ascii="Times New Roman" w:hAnsi="Times New Roman"/>
          <w:sz w:val="24"/>
          <w:szCs w:val="24"/>
        </w:rPr>
        <w:t>educed wheeling expenses related to the Goodnoe Hills large generator interconnection agreement</w:t>
      </w:r>
      <w:r w:rsidR="00405E22">
        <w:rPr>
          <w:rFonts w:ascii="Times New Roman" w:hAnsi="Times New Roman"/>
          <w:sz w:val="24"/>
          <w:szCs w:val="24"/>
        </w:rPr>
        <w:t>.</w:t>
      </w:r>
    </w:p>
    <w:p w:rsidR="002953C4" w:rsidRPr="002953C4" w:rsidRDefault="002953C4" w:rsidP="00C328B1">
      <w:pPr>
        <w:pStyle w:val="BodyTextIndent"/>
        <w:jc w:val="left"/>
        <w:rPr>
          <w:b/>
          <w:szCs w:val="24"/>
        </w:rPr>
      </w:pPr>
      <w:r w:rsidRPr="002953C4">
        <w:rPr>
          <w:b/>
          <w:szCs w:val="24"/>
        </w:rPr>
        <w:t>Q.</w:t>
      </w:r>
      <w:r w:rsidRPr="002953C4">
        <w:rPr>
          <w:b/>
          <w:szCs w:val="24"/>
        </w:rPr>
        <w:tab/>
        <w:t>Please identify the main drivers of the increase in the NPC update.</w:t>
      </w:r>
    </w:p>
    <w:p w:rsidR="002953C4" w:rsidRDefault="006C63C8" w:rsidP="00C328B1">
      <w:pPr>
        <w:pStyle w:val="BodyTextIndent"/>
        <w:jc w:val="left"/>
        <w:rPr>
          <w:szCs w:val="24"/>
        </w:rPr>
      </w:pPr>
      <w:r>
        <w:rPr>
          <w:szCs w:val="24"/>
        </w:rPr>
        <w:t>A.</w:t>
      </w:r>
      <w:r>
        <w:rPr>
          <w:szCs w:val="24"/>
        </w:rPr>
        <w:tab/>
        <w:t>Compared to the Company’s initial filing, t</w:t>
      </w:r>
      <w:r w:rsidRPr="00532B37">
        <w:rPr>
          <w:szCs w:val="24"/>
        </w:rPr>
        <w:t>h</w:t>
      </w:r>
      <w:r>
        <w:rPr>
          <w:szCs w:val="24"/>
        </w:rPr>
        <w:t>e</w:t>
      </w:r>
      <w:r w:rsidRPr="00532B37">
        <w:rPr>
          <w:szCs w:val="24"/>
        </w:rPr>
        <w:t xml:space="preserve"> </w:t>
      </w:r>
      <w:r>
        <w:rPr>
          <w:szCs w:val="24"/>
        </w:rPr>
        <w:t>increase</w:t>
      </w:r>
      <w:r w:rsidRPr="00532B37">
        <w:rPr>
          <w:szCs w:val="24"/>
        </w:rPr>
        <w:t xml:space="preserve"> </w:t>
      </w:r>
      <w:r>
        <w:rPr>
          <w:szCs w:val="24"/>
        </w:rPr>
        <w:t xml:space="preserve">in NPC </w:t>
      </w:r>
      <w:r w:rsidRPr="00532B37">
        <w:rPr>
          <w:szCs w:val="24"/>
        </w:rPr>
        <w:t>is predominantly due to</w:t>
      </w:r>
      <w:r w:rsidRPr="00210E00">
        <w:rPr>
          <w:szCs w:val="24"/>
        </w:rPr>
        <w:t xml:space="preserve"> </w:t>
      </w:r>
      <w:r w:rsidRPr="00532B37">
        <w:rPr>
          <w:szCs w:val="24"/>
        </w:rPr>
        <w:t>updat</w:t>
      </w:r>
      <w:r>
        <w:rPr>
          <w:szCs w:val="24"/>
        </w:rPr>
        <w:t>ed</w:t>
      </w:r>
      <w:r w:rsidR="006D6D53">
        <w:rPr>
          <w:szCs w:val="24"/>
        </w:rPr>
        <w:t xml:space="preserve"> coal supply costs for</w:t>
      </w:r>
      <w:r>
        <w:rPr>
          <w:szCs w:val="24"/>
        </w:rPr>
        <w:t xml:space="preserve"> the Jim Bridger plant.  In summary,</w:t>
      </w:r>
      <w:r w:rsidRPr="003A1CE1">
        <w:rPr>
          <w:szCs w:val="24"/>
        </w:rPr>
        <w:t xml:space="preserve"> </w:t>
      </w:r>
      <w:r>
        <w:rPr>
          <w:szCs w:val="24"/>
        </w:rPr>
        <w:t>the Company recently concluded</w:t>
      </w:r>
      <w:r w:rsidR="006D6D53">
        <w:rPr>
          <w:szCs w:val="24"/>
        </w:rPr>
        <w:t xml:space="preserve"> negotiations with Black Butte m</w:t>
      </w:r>
      <w:r>
        <w:rPr>
          <w:szCs w:val="24"/>
        </w:rPr>
        <w:t xml:space="preserve">ine for coal supply in the rate period, reflecting a </w:t>
      </w:r>
      <w:r w:rsidR="006D6D53">
        <w:rPr>
          <w:szCs w:val="24"/>
        </w:rPr>
        <w:t>price</w:t>
      </w:r>
      <w:r>
        <w:rPr>
          <w:szCs w:val="24"/>
        </w:rPr>
        <w:t xml:space="preserve"> increase.  </w:t>
      </w:r>
      <w:r w:rsidR="003A1CE1">
        <w:rPr>
          <w:szCs w:val="24"/>
        </w:rPr>
        <w:t xml:space="preserve">At the same time, </w:t>
      </w:r>
      <w:r w:rsidR="002953C4">
        <w:rPr>
          <w:szCs w:val="24"/>
        </w:rPr>
        <w:t xml:space="preserve">the Company </w:t>
      </w:r>
      <w:r w:rsidR="002F5A9C">
        <w:rPr>
          <w:szCs w:val="24"/>
        </w:rPr>
        <w:t xml:space="preserve">now </w:t>
      </w:r>
      <w:r w:rsidR="002953C4">
        <w:rPr>
          <w:szCs w:val="24"/>
        </w:rPr>
        <w:t xml:space="preserve">projects lower production from the Bridger </w:t>
      </w:r>
      <w:r w:rsidR="006D6D53">
        <w:rPr>
          <w:szCs w:val="24"/>
        </w:rPr>
        <w:t>m</w:t>
      </w:r>
      <w:r w:rsidR="002953C4">
        <w:rPr>
          <w:szCs w:val="24"/>
        </w:rPr>
        <w:t xml:space="preserve">ine </w:t>
      </w:r>
      <w:r w:rsidR="003A1CE1">
        <w:rPr>
          <w:szCs w:val="24"/>
        </w:rPr>
        <w:t xml:space="preserve">in the rate period </w:t>
      </w:r>
      <w:r w:rsidR="002953C4">
        <w:rPr>
          <w:szCs w:val="24"/>
        </w:rPr>
        <w:t>and the need to purc</w:t>
      </w:r>
      <w:r w:rsidR="00405E22">
        <w:rPr>
          <w:szCs w:val="24"/>
        </w:rPr>
        <w:t>hase additional coal from the B</w:t>
      </w:r>
      <w:r w:rsidR="002953C4">
        <w:rPr>
          <w:szCs w:val="24"/>
        </w:rPr>
        <w:t>l</w:t>
      </w:r>
      <w:r w:rsidR="00405E22">
        <w:rPr>
          <w:szCs w:val="24"/>
        </w:rPr>
        <w:t>a</w:t>
      </w:r>
      <w:r w:rsidR="002953C4">
        <w:rPr>
          <w:szCs w:val="24"/>
        </w:rPr>
        <w:t xml:space="preserve">ck Butte </w:t>
      </w:r>
      <w:r w:rsidR="006D6D53">
        <w:rPr>
          <w:szCs w:val="24"/>
        </w:rPr>
        <w:t>m</w:t>
      </w:r>
      <w:r w:rsidR="002953C4">
        <w:rPr>
          <w:szCs w:val="24"/>
        </w:rPr>
        <w:t>ine</w:t>
      </w:r>
      <w:r w:rsidR="003A1CE1">
        <w:rPr>
          <w:szCs w:val="24"/>
        </w:rPr>
        <w:t xml:space="preserve">.  </w:t>
      </w:r>
      <w:r w:rsidR="009D691A">
        <w:rPr>
          <w:szCs w:val="24"/>
        </w:rPr>
        <w:t xml:space="preserve">Ms. </w:t>
      </w:r>
      <w:r w:rsidR="0027183C">
        <w:rPr>
          <w:szCs w:val="24"/>
        </w:rPr>
        <w:t>Cran</w:t>
      </w:r>
      <w:r w:rsidR="00B9228C">
        <w:rPr>
          <w:szCs w:val="24"/>
        </w:rPr>
        <w:t xml:space="preserve">e </w:t>
      </w:r>
      <w:r w:rsidR="003A1CE1">
        <w:rPr>
          <w:szCs w:val="24"/>
        </w:rPr>
        <w:t>provides a</w:t>
      </w:r>
      <w:r w:rsidR="002953C4">
        <w:rPr>
          <w:szCs w:val="24"/>
        </w:rPr>
        <w:t xml:space="preserve">dditional </w:t>
      </w:r>
      <w:r w:rsidR="003A1CE1">
        <w:rPr>
          <w:szCs w:val="24"/>
        </w:rPr>
        <w:t xml:space="preserve">detail </w:t>
      </w:r>
      <w:r w:rsidR="002953C4">
        <w:rPr>
          <w:szCs w:val="24"/>
        </w:rPr>
        <w:t xml:space="preserve">supporting the </w:t>
      </w:r>
      <w:r w:rsidR="003A1CE1">
        <w:rPr>
          <w:szCs w:val="24"/>
        </w:rPr>
        <w:t xml:space="preserve">Company’s </w:t>
      </w:r>
      <w:r w:rsidR="002953C4">
        <w:rPr>
          <w:szCs w:val="24"/>
        </w:rPr>
        <w:t>updated coal costs</w:t>
      </w:r>
      <w:r w:rsidR="003A1CE1">
        <w:rPr>
          <w:szCs w:val="24"/>
        </w:rPr>
        <w:t>.</w:t>
      </w:r>
      <w:r w:rsidR="002953C4">
        <w:rPr>
          <w:szCs w:val="24"/>
        </w:rPr>
        <w:t xml:space="preserve"> </w:t>
      </w:r>
    </w:p>
    <w:p w:rsidR="009D691A" w:rsidRDefault="00935020" w:rsidP="009D691A">
      <w:pPr>
        <w:widowControl w:val="0"/>
        <w:spacing w:line="480" w:lineRule="auto"/>
        <w:ind w:left="720" w:hanging="720"/>
        <w:rPr>
          <w:b/>
          <w:sz w:val="24"/>
          <w:szCs w:val="24"/>
        </w:rPr>
      </w:pPr>
      <w:r>
        <w:rPr>
          <w:b/>
          <w:sz w:val="24"/>
          <w:szCs w:val="24"/>
        </w:rPr>
        <w:t>Q.</w:t>
      </w:r>
      <w:r>
        <w:rPr>
          <w:b/>
          <w:sz w:val="24"/>
          <w:szCs w:val="24"/>
        </w:rPr>
        <w:tab/>
        <w:t xml:space="preserve">Do you believe that the </w:t>
      </w:r>
      <w:r w:rsidR="003A1CE1">
        <w:rPr>
          <w:b/>
          <w:sz w:val="24"/>
          <w:szCs w:val="24"/>
        </w:rPr>
        <w:t xml:space="preserve">NPC </w:t>
      </w:r>
      <w:r>
        <w:rPr>
          <w:b/>
          <w:sz w:val="24"/>
          <w:szCs w:val="24"/>
        </w:rPr>
        <w:t xml:space="preserve">updates </w:t>
      </w:r>
      <w:r w:rsidR="00C955A0">
        <w:rPr>
          <w:b/>
          <w:sz w:val="24"/>
          <w:szCs w:val="24"/>
        </w:rPr>
        <w:t xml:space="preserve">you are sponsoring </w:t>
      </w:r>
      <w:r>
        <w:rPr>
          <w:b/>
          <w:sz w:val="24"/>
          <w:szCs w:val="24"/>
        </w:rPr>
        <w:t>satisfy the Commission’s standards?</w:t>
      </w:r>
    </w:p>
    <w:p w:rsidR="003A1CE1" w:rsidRPr="009D691A" w:rsidRDefault="00935020" w:rsidP="009D691A">
      <w:pPr>
        <w:widowControl w:val="0"/>
        <w:spacing w:line="480" w:lineRule="auto"/>
        <w:ind w:left="720" w:hanging="720"/>
        <w:rPr>
          <w:sz w:val="24"/>
          <w:szCs w:val="24"/>
        </w:rPr>
      </w:pPr>
      <w:r w:rsidRPr="009D691A">
        <w:rPr>
          <w:sz w:val="24"/>
          <w:szCs w:val="24"/>
        </w:rPr>
        <w:t>A.</w:t>
      </w:r>
      <w:r w:rsidRPr="009D691A">
        <w:rPr>
          <w:sz w:val="24"/>
          <w:szCs w:val="24"/>
        </w:rPr>
        <w:tab/>
        <w:t>Yes.</w:t>
      </w:r>
      <w:r w:rsidR="00886CC1" w:rsidRPr="009D691A">
        <w:rPr>
          <w:sz w:val="24"/>
          <w:szCs w:val="24"/>
        </w:rPr>
        <w:t xml:space="preserve">  The updated information used in </w:t>
      </w:r>
      <w:r w:rsidR="000774BF" w:rsidRPr="009D691A">
        <w:rPr>
          <w:sz w:val="24"/>
          <w:szCs w:val="24"/>
        </w:rPr>
        <w:t xml:space="preserve">the </w:t>
      </w:r>
      <w:r w:rsidR="00886CC1" w:rsidRPr="009D691A">
        <w:rPr>
          <w:sz w:val="24"/>
          <w:szCs w:val="24"/>
        </w:rPr>
        <w:t xml:space="preserve">NPC study that underlies </w:t>
      </w:r>
      <w:r w:rsidR="00C955A0" w:rsidRPr="009D691A">
        <w:rPr>
          <w:sz w:val="24"/>
          <w:szCs w:val="24"/>
        </w:rPr>
        <w:t>my rebuttal</w:t>
      </w:r>
      <w:r w:rsidR="00886CC1" w:rsidRPr="009D691A">
        <w:rPr>
          <w:sz w:val="24"/>
          <w:szCs w:val="24"/>
        </w:rPr>
        <w:t xml:space="preserve"> testimony is indicative of the actual costs the Com</w:t>
      </w:r>
      <w:r w:rsidR="006D6D53">
        <w:rPr>
          <w:sz w:val="24"/>
          <w:szCs w:val="24"/>
        </w:rPr>
        <w:t>pany will incur during the rate-</w:t>
      </w:r>
      <w:r w:rsidR="00886CC1" w:rsidRPr="009D691A">
        <w:rPr>
          <w:sz w:val="24"/>
          <w:szCs w:val="24"/>
        </w:rPr>
        <w:t xml:space="preserve">effective period.  </w:t>
      </w:r>
    </w:p>
    <w:p w:rsidR="007D0DC1" w:rsidRDefault="003A1CE1" w:rsidP="00C328B1">
      <w:pPr>
        <w:spacing w:line="480" w:lineRule="auto"/>
        <w:ind w:left="720" w:hanging="720"/>
        <w:rPr>
          <w:b/>
          <w:sz w:val="24"/>
          <w:szCs w:val="24"/>
        </w:rPr>
      </w:pPr>
      <w:r>
        <w:rPr>
          <w:b/>
          <w:sz w:val="24"/>
          <w:szCs w:val="24"/>
        </w:rPr>
        <w:t>Q.</w:t>
      </w:r>
      <w:r w:rsidR="007D0DC1">
        <w:rPr>
          <w:b/>
          <w:sz w:val="24"/>
          <w:szCs w:val="24"/>
        </w:rPr>
        <w:tab/>
        <w:t xml:space="preserve">Will the proposed coal </w:t>
      </w:r>
      <w:r w:rsidR="00405E22">
        <w:rPr>
          <w:b/>
          <w:sz w:val="24"/>
          <w:szCs w:val="24"/>
        </w:rPr>
        <w:t>supply</w:t>
      </w:r>
      <w:r w:rsidR="0020010A">
        <w:rPr>
          <w:b/>
          <w:sz w:val="24"/>
          <w:szCs w:val="24"/>
        </w:rPr>
        <w:t xml:space="preserve"> cost</w:t>
      </w:r>
      <w:r w:rsidR="00405E22">
        <w:rPr>
          <w:b/>
          <w:sz w:val="24"/>
          <w:szCs w:val="24"/>
        </w:rPr>
        <w:t xml:space="preserve"> </w:t>
      </w:r>
      <w:r w:rsidR="007D0DC1">
        <w:rPr>
          <w:b/>
          <w:sz w:val="24"/>
          <w:szCs w:val="24"/>
        </w:rPr>
        <w:t xml:space="preserve">updates </w:t>
      </w:r>
      <w:r w:rsidR="002F5A9C">
        <w:rPr>
          <w:b/>
          <w:sz w:val="24"/>
          <w:szCs w:val="24"/>
        </w:rPr>
        <w:t xml:space="preserve">for the Jim Bridger plant </w:t>
      </w:r>
      <w:r w:rsidR="007D0DC1">
        <w:rPr>
          <w:b/>
          <w:sz w:val="24"/>
          <w:szCs w:val="24"/>
        </w:rPr>
        <w:t>further the Commission’s interest in setting NPC as closely as possible to costs reasonably expected to be incurred in the rate</w:t>
      </w:r>
      <w:r w:rsidR="006D6D53">
        <w:rPr>
          <w:b/>
          <w:sz w:val="24"/>
          <w:szCs w:val="24"/>
        </w:rPr>
        <w:t>-</w:t>
      </w:r>
      <w:r w:rsidR="007D0DC1">
        <w:rPr>
          <w:b/>
          <w:sz w:val="24"/>
          <w:szCs w:val="24"/>
        </w:rPr>
        <w:t>effective period?</w:t>
      </w:r>
    </w:p>
    <w:p w:rsidR="007D0DC1" w:rsidRDefault="007D0DC1" w:rsidP="00C328B1">
      <w:pPr>
        <w:spacing w:line="480" w:lineRule="auto"/>
        <w:ind w:left="720" w:hanging="720"/>
        <w:rPr>
          <w:sz w:val="24"/>
          <w:szCs w:val="24"/>
        </w:rPr>
      </w:pPr>
      <w:r>
        <w:rPr>
          <w:sz w:val="24"/>
          <w:szCs w:val="24"/>
        </w:rPr>
        <w:t>A.</w:t>
      </w:r>
      <w:r>
        <w:rPr>
          <w:sz w:val="24"/>
          <w:szCs w:val="24"/>
        </w:rPr>
        <w:tab/>
        <w:t xml:space="preserve">Yes.  The updated coal cost information is the best available evidence </w:t>
      </w:r>
      <w:r w:rsidR="00405E22">
        <w:rPr>
          <w:sz w:val="24"/>
          <w:szCs w:val="24"/>
        </w:rPr>
        <w:t>for the ex</w:t>
      </w:r>
      <w:r>
        <w:rPr>
          <w:sz w:val="24"/>
          <w:szCs w:val="24"/>
        </w:rPr>
        <w:t xml:space="preserve">pected level of coal </w:t>
      </w:r>
      <w:r w:rsidR="002F5A9C">
        <w:rPr>
          <w:sz w:val="24"/>
          <w:szCs w:val="24"/>
        </w:rPr>
        <w:t>supply costs for the Jim Bridger plant</w:t>
      </w:r>
      <w:r w:rsidR="006D6D53">
        <w:rPr>
          <w:sz w:val="24"/>
          <w:szCs w:val="24"/>
        </w:rPr>
        <w:t xml:space="preserve"> in the rate-</w:t>
      </w:r>
      <w:r>
        <w:rPr>
          <w:sz w:val="24"/>
          <w:szCs w:val="24"/>
        </w:rPr>
        <w:t>effective period.  Without the update, the estimated level of coal costs includ</w:t>
      </w:r>
      <w:r w:rsidR="00405E22">
        <w:rPr>
          <w:sz w:val="24"/>
          <w:szCs w:val="24"/>
        </w:rPr>
        <w:t>ed in rates will be inaccurate and w</w:t>
      </w:r>
      <w:r w:rsidR="00427BF0">
        <w:rPr>
          <w:sz w:val="24"/>
          <w:szCs w:val="24"/>
        </w:rPr>
        <w:t>ill</w:t>
      </w:r>
      <w:r w:rsidR="00405E22">
        <w:rPr>
          <w:sz w:val="24"/>
          <w:szCs w:val="24"/>
        </w:rPr>
        <w:t xml:space="preserve"> not match other costs and revenues reflected in NPC. </w:t>
      </w:r>
      <w:r w:rsidR="00CB15A5">
        <w:rPr>
          <w:sz w:val="24"/>
          <w:szCs w:val="24"/>
        </w:rPr>
        <w:t xml:space="preserve"> </w:t>
      </w:r>
    </w:p>
    <w:p w:rsidR="00CB15A5" w:rsidRPr="00CB15A5" w:rsidRDefault="00CB15A5" w:rsidP="00C328B1">
      <w:pPr>
        <w:spacing w:line="480" w:lineRule="auto"/>
        <w:ind w:left="720" w:hanging="720"/>
        <w:rPr>
          <w:b/>
          <w:sz w:val="24"/>
          <w:szCs w:val="24"/>
        </w:rPr>
      </w:pPr>
      <w:r w:rsidRPr="00CB15A5">
        <w:rPr>
          <w:b/>
          <w:sz w:val="24"/>
          <w:szCs w:val="24"/>
        </w:rPr>
        <w:t>Q.</w:t>
      </w:r>
      <w:r w:rsidRPr="00CB15A5">
        <w:rPr>
          <w:b/>
          <w:sz w:val="24"/>
          <w:szCs w:val="24"/>
        </w:rPr>
        <w:tab/>
        <w:t xml:space="preserve">Did the Company significantly under-recover its NPC in 2013? </w:t>
      </w:r>
    </w:p>
    <w:p w:rsidR="00CB15A5" w:rsidRDefault="00CB15A5" w:rsidP="00C328B1">
      <w:pPr>
        <w:spacing w:line="480" w:lineRule="auto"/>
        <w:ind w:left="720" w:hanging="720"/>
        <w:rPr>
          <w:sz w:val="24"/>
          <w:szCs w:val="24"/>
        </w:rPr>
      </w:pPr>
      <w:r>
        <w:rPr>
          <w:sz w:val="24"/>
          <w:szCs w:val="24"/>
        </w:rPr>
        <w:t>A.</w:t>
      </w:r>
      <w:r>
        <w:rPr>
          <w:sz w:val="24"/>
          <w:szCs w:val="24"/>
        </w:rPr>
        <w:tab/>
        <w:t>Yes.  On a west control area basis, the Company u</w:t>
      </w:r>
      <w:r w:rsidR="006D6D53">
        <w:rPr>
          <w:sz w:val="24"/>
          <w:szCs w:val="24"/>
        </w:rPr>
        <w:t>nder recovered its NPC by $33.2 </w:t>
      </w:r>
      <w:r>
        <w:rPr>
          <w:sz w:val="24"/>
          <w:szCs w:val="24"/>
        </w:rPr>
        <w:t>million.</w:t>
      </w:r>
      <w:r w:rsidR="00D56898">
        <w:rPr>
          <w:rStyle w:val="FootnoteReference"/>
          <w:sz w:val="24"/>
          <w:szCs w:val="24"/>
        </w:rPr>
        <w:footnoteReference w:id="11"/>
      </w:r>
      <w:r>
        <w:rPr>
          <w:sz w:val="24"/>
          <w:szCs w:val="24"/>
        </w:rPr>
        <w:t xml:space="preserve">  The Company’s NPC update is necessary to guard against a similar outcome in the rate</w:t>
      </w:r>
      <w:r w:rsidR="006D6D53">
        <w:rPr>
          <w:sz w:val="24"/>
          <w:szCs w:val="24"/>
        </w:rPr>
        <w:t>-</w:t>
      </w:r>
      <w:r w:rsidR="00427BF0">
        <w:rPr>
          <w:sz w:val="24"/>
          <w:szCs w:val="24"/>
        </w:rPr>
        <w:t xml:space="preserve">effective </w:t>
      </w:r>
      <w:r>
        <w:rPr>
          <w:sz w:val="24"/>
          <w:szCs w:val="24"/>
        </w:rPr>
        <w:t xml:space="preserve">period. </w:t>
      </w:r>
    </w:p>
    <w:p w:rsidR="00F144F5" w:rsidRPr="00F144F5" w:rsidRDefault="00F144F5" w:rsidP="00C328B1">
      <w:pPr>
        <w:spacing w:line="480" w:lineRule="auto"/>
        <w:ind w:left="720" w:hanging="720"/>
        <w:rPr>
          <w:b/>
          <w:sz w:val="24"/>
          <w:szCs w:val="24"/>
        </w:rPr>
      </w:pPr>
      <w:r w:rsidRPr="00F144F5">
        <w:rPr>
          <w:b/>
          <w:sz w:val="24"/>
          <w:szCs w:val="24"/>
        </w:rPr>
        <w:t>Q.</w:t>
      </w:r>
      <w:r w:rsidRPr="00F144F5">
        <w:rPr>
          <w:b/>
          <w:sz w:val="24"/>
          <w:szCs w:val="24"/>
        </w:rPr>
        <w:tab/>
        <w:t xml:space="preserve">Is the Company’s updating of coal costs consistent with past proceedings? </w:t>
      </w:r>
    </w:p>
    <w:p w:rsidR="009D691A" w:rsidRDefault="00F144F5" w:rsidP="009D691A">
      <w:pPr>
        <w:spacing w:line="480" w:lineRule="auto"/>
        <w:ind w:left="720" w:hanging="720"/>
        <w:rPr>
          <w:sz w:val="24"/>
          <w:szCs w:val="24"/>
        </w:rPr>
      </w:pPr>
      <w:r w:rsidRPr="00F144F5">
        <w:rPr>
          <w:sz w:val="24"/>
          <w:szCs w:val="24"/>
        </w:rPr>
        <w:t>A.</w:t>
      </w:r>
      <w:r w:rsidRPr="00F144F5">
        <w:rPr>
          <w:sz w:val="24"/>
          <w:szCs w:val="24"/>
        </w:rPr>
        <w:tab/>
        <w:t xml:space="preserve">Yes, the Company updated </w:t>
      </w:r>
      <w:r w:rsidR="003A1CE1">
        <w:rPr>
          <w:sz w:val="24"/>
          <w:szCs w:val="24"/>
        </w:rPr>
        <w:t xml:space="preserve">its </w:t>
      </w:r>
      <w:r w:rsidRPr="00F144F5">
        <w:rPr>
          <w:sz w:val="24"/>
          <w:szCs w:val="24"/>
        </w:rPr>
        <w:t xml:space="preserve">coal costs as part of the </w:t>
      </w:r>
      <w:r w:rsidR="004D3C7E">
        <w:rPr>
          <w:sz w:val="24"/>
          <w:szCs w:val="24"/>
        </w:rPr>
        <w:t>NPC</w:t>
      </w:r>
      <w:r w:rsidR="003A1CE1">
        <w:rPr>
          <w:sz w:val="24"/>
          <w:szCs w:val="24"/>
        </w:rPr>
        <w:t xml:space="preserve"> updates in its last two litigated cases, the 2010 and 2013 general rate cases.</w:t>
      </w:r>
      <w:r w:rsidR="00B23425">
        <w:rPr>
          <w:sz w:val="24"/>
          <w:szCs w:val="24"/>
        </w:rPr>
        <w:t xml:space="preserve">  In the 2010 case, Docket </w:t>
      </w:r>
    </w:p>
    <w:p w:rsidR="00293583" w:rsidRDefault="00B23425" w:rsidP="009D691A">
      <w:pPr>
        <w:spacing w:line="480" w:lineRule="auto"/>
        <w:ind w:left="720"/>
        <w:rPr>
          <w:sz w:val="24"/>
          <w:szCs w:val="24"/>
        </w:rPr>
      </w:pPr>
      <w:r>
        <w:rPr>
          <w:sz w:val="24"/>
          <w:szCs w:val="24"/>
        </w:rPr>
        <w:t>UE-100749</w:t>
      </w:r>
      <w:r w:rsidR="006D6D53">
        <w:rPr>
          <w:sz w:val="24"/>
          <w:szCs w:val="24"/>
        </w:rPr>
        <w:t>, the Company updated its third-</w:t>
      </w:r>
      <w:r>
        <w:rPr>
          <w:sz w:val="24"/>
          <w:szCs w:val="24"/>
        </w:rPr>
        <w:t>party coal contracts</w:t>
      </w:r>
      <w:r w:rsidR="002F5A9C">
        <w:rPr>
          <w:sz w:val="24"/>
          <w:szCs w:val="24"/>
        </w:rPr>
        <w:t xml:space="preserve"> and fuel volumes</w:t>
      </w:r>
      <w:r>
        <w:rPr>
          <w:sz w:val="24"/>
          <w:szCs w:val="24"/>
        </w:rPr>
        <w:t>, which resulted in a</w:t>
      </w:r>
      <w:r w:rsidR="004D3C7E">
        <w:rPr>
          <w:sz w:val="24"/>
          <w:szCs w:val="24"/>
        </w:rPr>
        <w:t>n</w:t>
      </w:r>
      <w:r>
        <w:rPr>
          <w:sz w:val="24"/>
          <w:szCs w:val="24"/>
        </w:rPr>
        <w:t xml:space="preserve"> increase in west control area NPC of approximately $1.1 million.  Similarly, in the 2013 case, Docket UE-13004</w:t>
      </w:r>
      <w:r w:rsidR="00D56898">
        <w:rPr>
          <w:sz w:val="24"/>
          <w:szCs w:val="24"/>
        </w:rPr>
        <w:t>3</w:t>
      </w:r>
      <w:r>
        <w:rPr>
          <w:sz w:val="24"/>
          <w:szCs w:val="24"/>
        </w:rPr>
        <w:t xml:space="preserve">, the Company updated coal costs to reflect changes in contract costs and fuel volume, which resulted in a decrease </w:t>
      </w:r>
      <w:r w:rsidR="006D6D53">
        <w:rPr>
          <w:sz w:val="24"/>
          <w:szCs w:val="24"/>
        </w:rPr>
        <w:t>in</w:t>
      </w:r>
      <w:r>
        <w:rPr>
          <w:sz w:val="24"/>
          <w:szCs w:val="24"/>
        </w:rPr>
        <w:t xml:space="preserve"> west control area NPC of approximately $2 million.  No party objected to these updates</w:t>
      </w:r>
      <w:r w:rsidR="006D6D53">
        <w:rPr>
          <w:sz w:val="24"/>
          <w:szCs w:val="24"/>
        </w:rPr>
        <w:t>,</w:t>
      </w:r>
      <w:r w:rsidR="004A1A7B">
        <w:rPr>
          <w:sz w:val="24"/>
          <w:szCs w:val="24"/>
        </w:rPr>
        <w:t xml:space="preserve"> and the Commission </w:t>
      </w:r>
      <w:r w:rsidR="00427BF0">
        <w:rPr>
          <w:sz w:val="24"/>
          <w:szCs w:val="24"/>
        </w:rPr>
        <w:t xml:space="preserve">approved </w:t>
      </w:r>
      <w:r w:rsidR="00CB15A5">
        <w:rPr>
          <w:sz w:val="24"/>
          <w:szCs w:val="24"/>
        </w:rPr>
        <w:t>them</w:t>
      </w:r>
      <w:r w:rsidR="004A1A7B">
        <w:rPr>
          <w:sz w:val="24"/>
          <w:szCs w:val="24"/>
        </w:rPr>
        <w:t xml:space="preserve"> in its final order</w:t>
      </w:r>
      <w:r w:rsidR="00CB15A5">
        <w:rPr>
          <w:sz w:val="24"/>
          <w:szCs w:val="24"/>
        </w:rPr>
        <w:t>s</w:t>
      </w:r>
      <w:r>
        <w:rPr>
          <w:sz w:val="24"/>
          <w:szCs w:val="24"/>
        </w:rPr>
        <w:t>.</w:t>
      </w:r>
    </w:p>
    <w:p w:rsidR="00B23425" w:rsidRDefault="00B23425" w:rsidP="00C328B1">
      <w:pPr>
        <w:spacing w:line="480" w:lineRule="auto"/>
        <w:ind w:left="720" w:hanging="720"/>
        <w:rPr>
          <w:sz w:val="24"/>
          <w:szCs w:val="24"/>
        </w:rPr>
      </w:pPr>
      <w:r>
        <w:rPr>
          <w:b/>
          <w:sz w:val="24"/>
          <w:szCs w:val="24"/>
        </w:rPr>
        <w:t>Q.</w:t>
      </w:r>
      <w:r>
        <w:rPr>
          <w:b/>
          <w:sz w:val="24"/>
          <w:szCs w:val="24"/>
        </w:rPr>
        <w:tab/>
        <w:t>Did either of the coal cost updates in the 2010 or 2013 rate cases involve an update to Bridger coal costs?</w:t>
      </w:r>
    </w:p>
    <w:p w:rsidR="00B23425" w:rsidRDefault="00B23425" w:rsidP="00C328B1">
      <w:pPr>
        <w:spacing w:line="480" w:lineRule="auto"/>
        <w:ind w:left="720" w:hanging="720"/>
        <w:rPr>
          <w:sz w:val="24"/>
          <w:szCs w:val="24"/>
        </w:rPr>
      </w:pPr>
      <w:r>
        <w:rPr>
          <w:sz w:val="24"/>
          <w:szCs w:val="24"/>
        </w:rPr>
        <w:t>A.</w:t>
      </w:r>
      <w:r>
        <w:rPr>
          <w:sz w:val="24"/>
          <w:szCs w:val="24"/>
        </w:rPr>
        <w:tab/>
        <w:t>In both cases the Bridger coal volumes were updated</w:t>
      </w:r>
      <w:r w:rsidR="0020010A">
        <w:rPr>
          <w:sz w:val="24"/>
          <w:szCs w:val="24"/>
        </w:rPr>
        <w:t xml:space="preserve"> to reflect changes in the forward curve</w:t>
      </w:r>
      <w:r>
        <w:rPr>
          <w:sz w:val="24"/>
          <w:szCs w:val="24"/>
        </w:rPr>
        <w:t>, although the</w:t>
      </w:r>
      <w:r w:rsidR="00076433">
        <w:rPr>
          <w:sz w:val="24"/>
          <w:szCs w:val="24"/>
        </w:rPr>
        <w:t xml:space="preserve"> price per ton was not</w:t>
      </w:r>
      <w:r w:rsidR="006D6D53">
        <w:rPr>
          <w:sz w:val="24"/>
          <w:szCs w:val="24"/>
        </w:rPr>
        <w:t xml:space="preserve"> updated</w:t>
      </w:r>
      <w:r>
        <w:rPr>
          <w:sz w:val="24"/>
          <w:szCs w:val="24"/>
        </w:rPr>
        <w:t xml:space="preserve">.  In this case, updating Bridger </w:t>
      </w:r>
      <w:r w:rsidR="002F5A9C">
        <w:rPr>
          <w:sz w:val="24"/>
          <w:szCs w:val="24"/>
        </w:rPr>
        <w:t xml:space="preserve">coal </w:t>
      </w:r>
      <w:r w:rsidR="00076433">
        <w:rPr>
          <w:sz w:val="24"/>
          <w:szCs w:val="24"/>
        </w:rPr>
        <w:t>pricing</w:t>
      </w:r>
      <w:r>
        <w:rPr>
          <w:sz w:val="24"/>
          <w:szCs w:val="24"/>
        </w:rPr>
        <w:t xml:space="preserve"> is reasonable because the</w:t>
      </w:r>
      <w:r w:rsidR="00076433">
        <w:rPr>
          <w:sz w:val="24"/>
          <w:szCs w:val="24"/>
        </w:rPr>
        <w:t xml:space="preserve"> updated price </w:t>
      </w:r>
      <w:r w:rsidR="002F5A9C">
        <w:rPr>
          <w:sz w:val="24"/>
          <w:szCs w:val="24"/>
        </w:rPr>
        <w:t xml:space="preserve">correlates to the </w:t>
      </w:r>
      <w:r w:rsidR="00076433">
        <w:rPr>
          <w:sz w:val="24"/>
          <w:szCs w:val="24"/>
        </w:rPr>
        <w:t xml:space="preserve">cost increase </w:t>
      </w:r>
      <w:r w:rsidR="002F5A9C">
        <w:rPr>
          <w:sz w:val="24"/>
          <w:szCs w:val="24"/>
        </w:rPr>
        <w:t xml:space="preserve">for </w:t>
      </w:r>
      <w:r w:rsidR="00427BF0">
        <w:rPr>
          <w:sz w:val="24"/>
          <w:szCs w:val="24"/>
        </w:rPr>
        <w:t xml:space="preserve">the </w:t>
      </w:r>
      <w:r w:rsidR="002F5A9C">
        <w:rPr>
          <w:sz w:val="24"/>
          <w:szCs w:val="24"/>
        </w:rPr>
        <w:t xml:space="preserve">Black Butte </w:t>
      </w:r>
      <w:r w:rsidR="006D6D53">
        <w:rPr>
          <w:sz w:val="24"/>
          <w:szCs w:val="24"/>
        </w:rPr>
        <w:t>m</w:t>
      </w:r>
      <w:r w:rsidR="00427BF0">
        <w:rPr>
          <w:sz w:val="24"/>
          <w:szCs w:val="24"/>
        </w:rPr>
        <w:t>ine</w:t>
      </w:r>
      <w:r w:rsidR="00F66A9D">
        <w:rPr>
          <w:sz w:val="24"/>
          <w:szCs w:val="24"/>
        </w:rPr>
        <w:t xml:space="preserve">, </w:t>
      </w:r>
      <w:r w:rsidR="002F5A9C">
        <w:rPr>
          <w:sz w:val="24"/>
          <w:szCs w:val="24"/>
        </w:rPr>
        <w:t xml:space="preserve">updates </w:t>
      </w:r>
      <w:r w:rsidR="0020010A">
        <w:rPr>
          <w:sz w:val="24"/>
          <w:szCs w:val="24"/>
        </w:rPr>
        <w:t>to</w:t>
      </w:r>
      <w:r w:rsidR="002F5A9C">
        <w:rPr>
          <w:sz w:val="24"/>
          <w:szCs w:val="24"/>
        </w:rPr>
        <w:t xml:space="preserve"> which the Commission has approved in the Company’s most recent cases</w:t>
      </w:r>
      <w:r w:rsidR="0020010A">
        <w:rPr>
          <w:sz w:val="24"/>
          <w:szCs w:val="24"/>
        </w:rPr>
        <w:t xml:space="preserve">, and is a result of changing </w:t>
      </w:r>
      <w:r w:rsidR="0023080B">
        <w:rPr>
          <w:sz w:val="24"/>
          <w:szCs w:val="24"/>
        </w:rPr>
        <w:t xml:space="preserve">production </w:t>
      </w:r>
      <w:r w:rsidR="0020010A">
        <w:rPr>
          <w:sz w:val="24"/>
          <w:szCs w:val="24"/>
        </w:rPr>
        <w:t xml:space="preserve">volumes </w:t>
      </w:r>
      <w:r w:rsidR="0023080B">
        <w:rPr>
          <w:sz w:val="24"/>
          <w:szCs w:val="24"/>
        </w:rPr>
        <w:t xml:space="preserve">at </w:t>
      </w:r>
      <w:r w:rsidR="0020010A">
        <w:rPr>
          <w:sz w:val="24"/>
          <w:szCs w:val="24"/>
        </w:rPr>
        <w:t>the Bridger</w:t>
      </w:r>
      <w:r w:rsidR="006D6D53">
        <w:rPr>
          <w:sz w:val="24"/>
          <w:szCs w:val="24"/>
        </w:rPr>
        <w:t xml:space="preserve"> m</w:t>
      </w:r>
      <w:r w:rsidR="0020010A">
        <w:rPr>
          <w:sz w:val="24"/>
          <w:szCs w:val="24"/>
        </w:rPr>
        <w:t>ine</w:t>
      </w:r>
      <w:r>
        <w:rPr>
          <w:sz w:val="24"/>
          <w:szCs w:val="24"/>
        </w:rPr>
        <w:t xml:space="preserve">.  </w:t>
      </w:r>
      <w:r w:rsidR="002F5A9C">
        <w:rPr>
          <w:sz w:val="24"/>
          <w:szCs w:val="24"/>
        </w:rPr>
        <w:t>A</w:t>
      </w:r>
      <w:r w:rsidR="00076433">
        <w:rPr>
          <w:sz w:val="24"/>
          <w:szCs w:val="24"/>
        </w:rPr>
        <w:t>s described in the testimony of</w:t>
      </w:r>
      <w:r w:rsidR="00293583">
        <w:rPr>
          <w:sz w:val="24"/>
          <w:szCs w:val="24"/>
        </w:rPr>
        <w:t xml:space="preserve"> </w:t>
      </w:r>
      <w:r w:rsidR="006D6D53">
        <w:rPr>
          <w:sz w:val="24"/>
          <w:szCs w:val="24"/>
        </w:rPr>
        <w:t xml:space="preserve">Ms. </w:t>
      </w:r>
      <w:r w:rsidR="00293583">
        <w:rPr>
          <w:sz w:val="24"/>
          <w:szCs w:val="24"/>
        </w:rPr>
        <w:t>Crane</w:t>
      </w:r>
      <w:r w:rsidR="00076433">
        <w:rPr>
          <w:sz w:val="24"/>
          <w:szCs w:val="24"/>
        </w:rPr>
        <w:t>, t</w:t>
      </w:r>
      <w:r>
        <w:rPr>
          <w:sz w:val="24"/>
          <w:szCs w:val="24"/>
        </w:rPr>
        <w:t xml:space="preserve">he </w:t>
      </w:r>
      <w:r w:rsidR="002F5A9C">
        <w:rPr>
          <w:sz w:val="24"/>
          <w:szCs w:val="24"/>
        </w:rPr>
        <w:t xml:space="preserve">updated </w:t>
      </w:r>
      <w:r>
        <w:rPr>
          <w:sz w:val="24"/>
          <w:szCs w:val="24"/>
        </w:rPr>
        <w:t xml:space="preserve">cost per ton of coal from both the Bridger and the Black Butte </w:t>
      </w:r>
      <w:r w:rsidR="006D6D53">
        <w:rPr>
          <w:sz w:val="24"/>
          <w:szCs w:val="24"/>
        </w:rPr>
        <w:t>m</w:t>
      </w:r>
      <w:r>
        <w:rPr>
          <w:sz w:val="24"/>
          <w:szCs w:val="24"/>
        </w:rPr>
        <w:t>ine</w:t>
      </w:r>
      <w:r w:rsidR="006D6D53">
        <w:rPr>
          <w:sz w:val="24"/>
          <w:szCs w:val="24"/>
        </w:rPr>
        <w:t>s</w:t>
      </w:r>
      <w:r>
        <w:rPr>
          <w:sz w:val="24"/>
          <w:szCs w:val="24"/>
        </w:rPr>
        <w:t xml:space="preserve"> are </w:t>
      </w:r>
      <w:r w:rsidR="00CB15A5">
        <w:rPr>
          <w:sz w:val="24"/>
          <w:szCs w:val="24"/>
        </w:rPr>
        <w:t>similar</w:t>
      </w:r>
      <w:r>
        <w:rPr>
          <w:sz w:val="24"/>
          <w:szCs w:val="24"/>
        </w:rPr>
        <w:t xml:space="preserve">, </w:t>
      </w:r>
      <w:r w:rsidR="00835C79">
        <w:rPr>
          <w:sz w:val="24"/>
          <w:szCs w:val="24"/>
        </w:rPr>
        <w:t>establishing</w:t>
      </w:r>
      <w:r>
        <w:rPr>
          <w:sz w:val="24"/>
          <w:szCs w:val="24"/>
        </w:rPr>
        <w:t xml:space="preserve"> the reasonableness of the updated Bridger coal costs.</w:t>
      </w:r>
    </w:p>
    <w:p w:rsidR="00E4208D" w:rsidRDefault="00E4208D" w:rsidP="00C328B1">
      <w:pPr>
        <w:spacing w:line="480" w:lineRule="auto"/>
        <w:ind w:left="720" w:hanging="720"/>
        <w:rPr>
          <w:sz w:val="24"/>
          <w:szCs w:val="24"/>
        </w:rPr>
      </w:pPr>
      <w:r>
        <w:rPr>
          <w:b/>
          <w:sz w:val="24"/>
          <w:szCs w:val="24"/>
        </w:rPr>
        <w:t>Q.</w:t>
      </w:r>
      <w:r>
        <w:rPr>
          <w:b/>
          <w:sz w:val="24"/>
          <w:szCs w:val="24"/>
        </w:rPr>
        <w:tab/>
        <w:t>Did the Company propose an update to Bridger coal costs in its 2011 rate case, Docket UE-111190?</w:t>
      </w:r>
    </w:p>
    <w:p w:rsidR="00E4208D" w:rsidRDefault="00D36BF6" w:rsidP="00C328B1">
      <w:pPr>
        <w:spacing w:line="480" w:lineRule="auto"/>
        <w:ind w:left="720" w:hanging="720"/>
        <w:rPr>
          <w:sz w:val="24"/>
          <w:szCs w:val="24"/>
        </w:rPr>
      </w:pPr>
      <w:r>
        <w:rPr>
          <w:sz w:val="24"/>
          <w:szCs w:val="24"/>
        </w:rPr>
        <w:t>A.</w:t>
      </w:r>
      <w:r>
        <w:rPr>
          <w:sz w:val="24"/>
          <w:szCs w:val="24"/>
        </w:rPr>
        <w:tab/>
        <w:t>Yes</w:t>
      </w:r>
      <w:r w:rsidR="00365504">
        <w:rPr>
          <w:sz w:val="24"/>
          <w:szCs w:val="24"/>
        </w:rPr>
        <w:t xml:space="preserve">.  While </w:t>
      </w:r>
      <w:r w:rsidR="00E4208D">
        <w:rPr>
          <w:sz w:val="24"/>
          <w:szCs w:val="24"/>
        </w:rPr>
        <w:t>the parties objected</w:t>
      </w:r>
      <w:r w:rsidR="00365504">
        <w:rPr>
          <w:sz w:val="24"/>
          <w:szCs w:val="24"/>
        </w:rPr>
        <w:t xml:space="preserve"> to the update, unlike this case, the 2011 rate</w:t>
      </w:r>
      <w:r w:rsidR="00965891">
        <w:rPr>
          <w:sz w:val="24"/>
          <w:szCs w:val="24"/>
        </w:rPr>
        <w:t xml:space="preserve"> case </w:t>
      </w:r>
      <w:r w:rsidR="00365504">
        <w:rPr>
          <w:sz w:val="24"/>
          <w:szCs w:val="24"/>
        </w:rPr>
        <w:t>did not include a parallel increase in third-party c</w:t>
      </w:r>
      <w:r w:rsidR="006D6D53">
        <w:rPr>
          <w:sz w:val="24"/>
          <w:szCs w:val="24"/>
        </w:rPr>
        <w:t>oal costs from the Black Butte m</w:t>
      </w:r>
      <w:r w:rsidR="00365504">
        <w:rPr>
          <w:sz w:val="24"/>
          <w:szCs w:val="24"/>
        </w:rPr>
        <w:t>ine that corroborated the reasonableness of the</w:t>
      </w:r>
      <w:r w:rsidR="006D6D53">
        <w:rPr>
          <w:sz w:val="24"/>
          <w:szCs w:val="24"/>
        </w:rPr>
        <w:t xml:space="preserve"> cost increases at the Bridger m</w:t>
      </w:r>
      <w:r w:rsidR="00365504">
        <w:rPr>
          <w:sz w:val="24"/>
          <w:szCs w:val="24"/>
        </w:rPr>
        <w:t>ine</w:t>
      </w:r>
      <w:r w:rsidR="00965891">
        <w:rPr>
          <w:sz w:val="24"/>
          <w:szCs w:val="24"/>
        </w:rPr>
        <w:t xml:space="preserve">.  </w:t>
      </w:r>
      <w:r w:rsidR="00A77199">
        <w:rPr>
          <w:sz w:val="24"/>
          <w:szCs w:val="24"/>
        </w:rPr>
        <w:t xml:space="preserve">In that case, </w:t>
      </w:r>
      <w:r w:rsidR="00E4208D">
        <w:rPr>
          <w:sz w:val="24"/>
          <w:szCs w:val="24"/>
        </w:rPr>
        <w:t>the NPC witness for the Industrial Customers of Northwest Utilities (ICNU)</w:t>
      </w:r>
      <w:r w:rsidR="00E4208D">
        <w:rPr>
          <w:szCs w:val="24"/>
        </w:rPr>
        <w:t xml:space="preserve"> </w:t>
      </w:r>
      <w:r w:rsidR="00A77199">
        <w:rPr>
          <w:sz w:val="24"/>
          <w:szCs w:val="24"/>
        </w:rPr>
        <w:t xml:space="preserve">proposed </w:t>
      </w:r>
      <w:r w:rsidR="00E4208D">
        <w:rPr>
          <w:sz w:val="24"/>
          <w:szCs w:val="24"/>
        </w:rPr>
        <w:t xml:space="preserve">that the price of coal from the Black Butte </w:t>
      </w:r>
      <w:r w:rsidR="006D6D53">
        <w:rPr>
          <w:sz w:val="24"/>
          <w:szCs w:val="24"/>
        </w:rPr>
        <w:t>m</w:t>
      </w:r>
      <w:r w:rsidR="00E4208D">
        <w:rPr>
          <w:sz w:val="24"/>
          <w:szCs w:val="24"/>
        </w:rPr>
        <w:t>ine be used to re-price Bridger coal</w:t>
      </w:r>
      <w:r w:rsidR="00A77199">
        <w:rPr>
          <w:sz w:val="24"/>
          <w:szCs w:val="24"/>
        </w:rPr>
        <w:t xml:space="preserve"> in the update</w:t>
      </w:r>
      <w:r w:rsidR="00E4208D">
        <w:rPr>
          <w:sz w:val="24"/>
          <w:szCs w:val="24"/>
        </w:rPr>
        <w:t>.</w:t>
      </w:r>
      <w:r w:rsidR="00E4208D">
        <w:rPr>
          <w:rStyle w:val="FootnoteReference"/>
          <w:sz w:val="24"/>
          <w:szCs w:val="24"/>
        </w:rPr>
        <w:footnoteReference w:id="12"/>
      </w:r>
      <w:r w:rsidR="00E4208D">
        <w:rPr>
          <w:sz w:val="24"/>
          <w:szCs w:val="24"/>
        </w:rPr>
        <w:t xml:space="preserve">  The parties ultimately settled the case </w:t>
      </w:r>
      <w:r w:rsidR="00365504">
        <w:rPr>
          <w:sz w:val="24"/>
          <w:szCs w:val="24"/>
        </w:rPr>
        <w:t>without resolving this issue</w:t>
      </w:r>
      <w:r w:rsidR="00E4208D">
        <w:rPr>
          <w:sz w:val="24"/>
          <w:szCs w:val="24"/>
        </w:rPr>
        <w:t xml:space="preserve">.  </w:t>
      </w:r>
    </w:p>
    <w:p w:rsidR="00850849" w:rsidRPr="00850849" w:rsidRDefault="00850849" w:rsidP="00C328B1">
      <w:pPr>
        <w:spacing w:line="480" w:lineRule="auto"/>
        <w:ind w:left="720" w:hanging="720"/>
        <w:rPr>
          <w:b/>
          <w:sz w:val="24"/>
          <w:szCs w:val="24"/>
        </w:rPr>
      </w:pPr>
      <w:r w:rsidRPr="00850849">
        <w:rPr>
          <w:b/>
          <w:sz w:val="24"/>
          <w:szCs w:val="24"/>
        </w:rPr>
        <w:t>Q.</w:t>
      </w:r>
      <w:r w:rsidRPr="00850849">
        <w:rPr>
          <w:b/>
          <w:sz w:val="24"/>
          <w:szCs w:val="24"/>
        </w:rPr>
        <w:tab/>
        <w:t xml:space="preserve">Did Boise participate in Docket UE-111190 as a member of ICNU? </w:t>
      </w:r>
    </w:p>
    <w:p w:rsidR="009D691A" w:rsidRDefault="00850849" w:rsidP="009D691A">
      <w:pPr>
        <w:spacing w:line="480" w:lineRule="auto"/>
        <w:ind w:left="720" w:hanging="720"/>
        <w:rPr>
          <w:sz w:val="24"/>
          <w:szCs w:val="24"/>
        </w:rPr>
      </w:pPr>
      <w:r>
        <w:rPr>
          <w:sz w:val="24"/>
          <w:szCs w:val="24"/>
        </w:rPr>
        <w:t>A.</w:t>
      </w:r>
      <w:r>
        <w:rPr>
          <w:sz w:val="24"/>
          <w:szCs w:val="24"/>
        </w:rPr>
        <w:tab/>
        <w:t xml:space="preserve">Yes.  </w:t>
      </w:r>
      <w:r w:rsidR="0047762A">
        <w:rPr>
          <w:sz w:val="24"/>
          <w:szCs w:val="24"/>
        </w:rPr>
        <w:t>Recent filings in these consolidated cases make clear that Boise has participated in Pacifi</w:t>
      </w:r>
      <w:r w:rsidR="007F59DF">
        <w:rPr>
          <w:sz w:val="24"/>
          <w:szCs w:val="24"/>
        </w:rPr>
        <w:t>c Power’s</w:t>
      </w:r>
      <w:r w:rsidR="0047762A">
        <w:rPr>
          <w:sz w:val="24"/>
          <w:szCs w:val="24"/>
        </w:rPr>
        <w:t xml:space="preserve"> Washington rate cases for many years as a member of ICNU and continues to do so.  </w:t>
      </w:r>
      <w:r>
        <w:rPr>
          <w:sz w:val="24"/>
          <w:szCs w:val="24"/>
        </w:rPr>
        <w:t>In Boise’s Petition to Intervene in Docket UE-131384, the Company’s accounting petition related to the Colstrip plant now consolidated with this case, Boise acknowledged that</w:t>
      </w:r>
      <w:r w:rsidR="00383B68">
        <w:rPr>
          <w:sz w:val="24"/>
          <w:szCs w:val="24"/>
        </w:rPr>
        <w:t xml:space="preserve"> </w:t>
      </w:r>
      <w:r>
        <w:rPr>
          <w:sz w:val="24"/>
          <w:szCs w:val="24"/>
        </w:rPr>
        <w:t xml:space="preserve">it </w:t>
      </w:r>
      <w:r w:rsidR="00D56898">
        <w:rPr>
          <w:sz w:val="24"/>
          <w:szCs w:val="24"/>
        </w:rPr>
        <w:t xml:space="preserve">had </w:t>
      </w:r>
      <w:r>
        <w:rPr>
          <w:sz w:val="24"/>
          <w:szCs w:val="24"/>
        </w:rPr>
        <w:t xml:space="preserve">participated in </w:t>
      </w:r>
      <w:r w:rsidR="00383B68">
        <w:rPr>
          <w:sz w:val="24"/>
          <w:szCs w:val="24"/>
        </w:rPr>
        <w:t>nine of Pacifi</w:t>
      </w:r>
      <w:r w:rsidR="00DF658D">
        <w:rPr>
          <w:sz w:val="24"/>
          <w:szCs w:val="24"/>
        </w:rPr>
        <w:t>c Power’s</w:t>
      </w:r>
      <w:r w:rsidR="00383B68">
        <w:rPr>
          <w:sz w:val="24"/>
          <w:szCs w:val="24"/>
        </w:rPr>
        <w:t xml:space="preserve"> Washington</w:t>
      </w:r>
      <w:r>
        <w:rPr>
          <w:sz w:val="24"/>
          <w:szCs w:val="24"/>
        </w:rPr>
        <w:t xml:space="preserve"> rate cases as a member of ICNU, </w:t>
      </w:r>
      <w:r w:rsidR="0047762A">
        <w:rPr>
          <w:sz w:val="24"/>
          <w:szCs w:val="24"/>
        </w:rPr>
        <w:t xml:space="preserve">specifically </w:t>
      </w:r>
      <w:r>
        <w:rPr>
          <w:sz w:val="24"/>
          <w:szCs w:val="24"/>
        </w:rPr>
        <w:t xml:space="preserve">including Docket </w:t>
      </w:r>
    </w:p>
    <w:p w:rsidR="00850849" w:rsidRPr="000A0916" w:rsidRDefault="00850849" w:rsidP="009D691A">
      <w:pPr>
        <w:spacing w:line="480" w:lineRule="auto"/>
        <w:ind w:left="720"/>
        <w:rPr>
          <w:sz w:val="24"/>
          <w:szCs w:val="24"/>
        </w:rPr>
      </w:pPr>
      <w:r>
        <w:rPr>
          <w:sz w:val="24"/>
          <w:szCs w:val="24"/>
        </w:rPr>
        <w:t>UE-111</w:t>
      </w:r>
      <w:r w:rsidR="0047762A">
        <w:rPr>
          <w:sz w:val="24"/>
          <w:szCs w:val="24"/>
        </w:rPr>
        <w:t>1</w:t>
      </w:r>
      <w:r>
        <w:rPr>
          <w:sz w:val="24"/>
          <w:szCs w:val="24"/>
        </w:rPr>
        <w:t>90.</w:t>
      </w:r>
      <w:r w:rsidR="00383B68">
        <w:rPr>
          <w:rStyle w:val="FootnoteReference"/>
          <w:sz w:val="24"/>
          <w:szCs w:val="24"/>
        </w:rPr>
        <w:footnoteReference w:id="13"/>
      </w:r>
      <w:r>
        <w:rPr>
          <w:sz w:val="24"/>
          <w:szCs w:val="24"/>
        </w:rPr>
        <w:t xml:space="preserve">  Similarly, </w:t>
      </w:r>
      <w:r w:rsidR="004D73AF">
        <w:rPr>
          <w:sz w:val="24"/>
          <w:szCs w:val="24"/>
        </w:rPr>
        <w:t>in April 2014</w:t>
      </w:r>
      <w:r w:rsidR="000A0916">
        <w:rPr>
          <w:sz w:val="24"/>
          <w:szCs w:val="24"/>
        </w:rPr>
        <w:t>,</w:t>
      </w:r>
      <w:r w:rsidR="004D73AF">
        <w:rPr>
          <w:sz w:val="24"/>
          <w:szCs w:val="24"/>
        </w:rPr>
        <w:t xml:space="preserve"> </w:t>
      </w:r>
      <w:r>
        <w:rPr>
          <w:sz w:val="24"/>
          <w:szCs w:val="24"/>
        </w:rPr>
        <w:t>when ICNU petitioned to intervene</w:t>
      </w:r>
      <w:r w:rsidR="0047762A">
        <w:rPr>
          <w:sz w:val="24"/>
          <w:szCs w:val="24"/>
        </w:rPr>
        <w:t xml:space="preserve"> in </w:t>
      </w:r>
      <w:r>
        <w:rPr>
          <w:sz w:val="24"/>
          <w:szCs w:val="24"/>
        </w:rPr>
        <w:t>Docket UE-140617, also consolidated with this case, it noted that it was doing so on behalf of its members</w:t>
      </w:r>
      <w:r w:rsidRPr="000C382A">
        <w:rPr>
          <w:sz w:val="24"/>
          <w:szCs w:val="24"/>
        </w:rPr>
        <w:t>,</w:t>
      </w:r>
      <w:r>
        <w:rPr>
          <w:sz w:val="24"/>
          <w:szCs w:val="24"/>
        </w:rPr>
        <w:t xml:space="preserve"> “</w:t>
      </w:r>
      <w:r w:rsidRPr="00850849">
        <w:rPr>
          <w:sz w:val="24"/>
          <w:szCs w:val="24"/>
        </w:rPr>
        <w:t>including the Packaging Corporation of America, f/k/a Boise White Paper, L.L.C. (PCA), PacifiCorp’s largest customer in Washington</w:t>
      </w:r>
      <w:r w:rsidR="000A0916" w:rsidRPr="000A0916">
        <w:rPr>
          <w:sz w:val="24"/>
          <w:szCs w:val="24"/>
        </w:rPr>
        <w:t>[,]</w:t>
      </w:r>
      <w:r w:rsidRPr="000A0916">
        <w:rPr>
          <w:sz w:val="24"/>
          <w:szCs w:val="24"/>
        </w:rPr>
        <w:t>”</w:t>
      </w:r>
      <w:r w:rsidRPr="000A0916">
        <w:rPr>
          <w:rStyle w:val="FootnoteReference"/>
          <w:sz w:val="24"/>
          <w:szCs w:val="24"/>
        </w:rPr>
        <w:footnoteReference w:id="14"/>
      </w:r>
      <w:r w:rsidR="000A0916">
        <w:rPr>
          <w:sz w:val="24"/>
          <w:szCs w:val="24"/>
        </w:rPr>
        <w:t xml:space="preserve"> and further stated</w:t>
      </w:r>
      <w:r w:rsidR="000A0916" w:rsidRPr="000A0916">
        <w:rPr>
          <w:sz w:val="24"/>
          <w:szCs w:val="24"/>
        </w:rPr>
        <w:t xml:space="preserve"> that “ICNU indirectly participated in PacifiCorp’s most recent general rate case (UE-130043) as PCA[.]”</w:t>
      </w:r>
      <w:r w:rsidR="000A0916">
        <w:rPr>
          <w:rStyle w:val="FootnoteReference"/>
          <w:sz w:val="24"/>
          <w:szCs w:val="24"/>
        </w:rPr>
        <w:footnoteReference w:id="15"/>
      </w:r>
    </w:p>
    <w:p w:rsidR="00B23425" w:rsidRDefault="00B23425" w:rsidP="00C328B1">
      <w:pPr>
        <w:spacing w:line="480" w:lineRule="auto"/>
        <w:ind w:left="720" w:hanging="720"/>
        <w:rPr>
          <w:b/>
          <w:sz w:val="24"/>
          <w:szCs w:val="24"/>
        </w:rPr>
      </w:pPr>
      <w:r>
        <w:rPr>
          <w:b/>
          <w:sz w:val="24"/>
          <w:szCs w:val="24"/>
        </w:rPr>
        <w:t>Q.</w:t>
      </w:r>
      <w:r>
        <w:rPr>
          <w:b/>
          <w:sz w:val="24"/>
          <w:szCs w:val="24"/>
        </w:rPr>
        <w:tab/>
        <w:t xml:space="preserve">Given that this update is occurring in your rebuttal testimony, does the Company object to allowing the parties an opportunity to </w:t>
      </w:r>
      <w:r w:rsidR="00076433">
        <w:rPr>
          <w:b/>
          <w:sz w:val="24"/>
          <w:szCs w:val="24"/>
        </w:rPr>
        <w:t>provide responsive testimony</w:t>
      </w:r>
      <w:r w:rsidR="00D56898">
        <w:rPr>
          <w:b/>
          <w:sz w:val="24"/>
          <w:szCs w:val="24"/>
        </w:rPr>
        <w:t xml:space="preserve"> on this issue</w:t>
      </w:r>
      <w:r w:rsidR="00076433">
        <w:rPr>
          <w:b/>
          <w:sz w:val="24"/>
          <w:szCs w:val="24"/>
        </w:rPr>
        <w:t>?</w:t>
      </w:r>
    </w:p>
    <w:p w:rsidR="003A1CE1" w:rsidRDefault="00076433" w:rsidP="00C328B1">
      <w:pPr>
        <w:spacing w:line="480" w:lineRule="auto"/>
        <w:ind w:left="720" w:hanging="720"/>
        <w:rPr>
          <w:sz w:val="24"/>
          <w:szCs w:val="24"/>
        </w:rPr>
      </w:pPr>
      <w:r>
        <w:rPr>
          <w:sz w:val="24"/>
          <w:szCs w:val="24"/>
        </w:rPr>
        <w:t>A.</w:t>
      </w:r>
      <w:r>
        <w:rPr>
          <w:sz w:val="24"/>
          <w:szCs w:val="24"/>
        </w:rPr>
        <w:tab/>
        <w:t xml:space="preserve">No.  The Company does not object to parties </w:t>
      </w:r>
      <w:r w:rsidR="00CB15A5">
        <w:rPr>
          <w:sz w:val="24"/>
          <w:szCs w:val="24"/>
        </w:rPr>
        <w:t xml:space="preserve">addressing the Company’s NPC update in </w:t>
      </w:r>
      <w:r>
        <w:rPr>
          <w:sz w:val="24"/>
          <w:szCs w:val="24"/>
        </w:rPr>
        <w:t xml:space="preserve">supplemental pre-filed testimony or </w:t>
      </w:r>
      <w:r w:rsidR="00CB15A5">
        <w:rPr>
          <w:sz w:val="24"/>
          <w:szCs w:val="24"/>
        </w:rPr>
        <w:t xml:space="preserve">in testimony </w:t>
      </w:r>
      <w:r>
        <w:rPr>
          <w:sz w:val="24"/>
          <w:szCs w:val="24"/>
        </w:rPr>
        <w:t>at the hearing</w:t>
      </w:r>
      <w:r w:rsidR="00835C79">
        <w:rPr>
          <w:sz w:val="24"/>
          <w:szCs w:val="24"/>
        </w:rPr>
        <w:t>, provided the Company has a chance to respond to this testimony</w:t>
      </w:r>
      <w:r>
        <w:rPr>
          <w:sz w:val="24"/>
          <w:szCs w:val="24"/>
        </w:rPr>
        <w:t xml:space="preserve">.  </w:t>
      </w:r>
    </w:p>
    <w:p w:rsidR="00106530" w:rsidRPr="0061382D" w:rsidRDefault="00106530" w:rsidP="0061382D">
      <w:pPr>
        <w:pStyle w:val="Heading1"/>
      </w:pPr>
      <w:bookmarkStart w:id="4" w:name="_Toc403714284"/>
      <w:r w:rsidRPr="0061382D">
        <w:t>COMPANY RESPONSES TO PROPOSED NPC ADJUSTMENTS</w:t>
      </w:r>
      <w:bookmarkEnd w:id="4"/>
    </w:p>
    <w:p w:rsidR="009D691A" w:rsidRPr="009D691A" w:rsidRDefault="009D691A" w:rsidP="009D691A">
      <w:pPr>
        <w:suppressLineNumbers/>
      </w:pPr>
    </w:p>
    <w:p w:rsidR="001F0FCC" w:rsidRPr="0061382D" w:rsidRDefault="001F0FCC" w:rsidP="0061382D">
      <w:pPr>
        <w:pStyle w:val="Heading2"/>
      </w:pPr>
      <w:bookmarkStart w:id="5" w:name="_Toc403714285"/>
      <w:r w:rsidRPr="0061382D">
        <w:t>Exclusion of California and Oregon QF</w:t>
      </w:r>
      <w:r w:rsidR="000A0916" w:rsidRPr="0061382D">
        <w:t xml:space="preserve"> PPA</w:t>
      </w:r>
      <w:r w:rsidR="00835C79" w:rsidRPr="0061382D">
        <w:t>s</w:t>
      </w:r>
      <w:bookmarkEnd w:id="5"/>
      <w:r w:rsidRPr="0061382D">
        <w:t xml:space="preserve"> </w:t>
      </w:r>
    </w:p>
    <w:p w:rsidR="001F0FCC" w:rsidRDefault="001F0FCC" w:rsidP="00C328B1">
      <w:pPr>
        <w:pStyle w:val="BodyTextIndent2"/>
        <w:tabs>
          <w:tab w:val="clear" w:pos="720"/>
        </w:tabs>
        <w:rPr>
          <w:b/>
          <w:szCs w:val="24"/>
        </w:rPr>
      </w:pPr>
      <w:r>
        <w:rPr>
          <w:b/>
          <w:szCs w:val="24"/>
        </w:rPr>
        <w:t>Q.</w:t>
      </w:r>
      <w:r>
        <w:rPr>
          <w:b/>
          <w:szCs w:val="24"/>
        </w:rPr>
        <w:tab/>
        <w:t>Does any party support the Company’s proposal to include the costs associated with Oregon and California QF</w:t>
      </w:r>
      <w:r w:rsidR="000A0916">
        <w:rPr>
          <w:b/>
          <w:szCs w:val="24"/>
        </w:rPr>
        <w:t xml:space="preserve"> PPA</w:t>
      </w:r>
      <w:r w:rsidR="00835C79">
        <w:rPr>
          <w:b/>
          <w:szCs w:val="24"/>
        </w:rPr>
        <w:t>s</w:t>
      </w:r>
      <w:r>
        <w:rPr>
          <w:b/>
          <w:szCs w:val="24"/>
        </w:rPr>
        <w:t xml:space="preserve"> in </w:t>
      </w:r>
      <w:r w:rsidR="00835C79">
        <w:rPr>
          <w:b/>
          <w:szCs w:val="24"/>
        </w:rPr>
        <w:t xml:space="preserve">west control area </w:t>
      </w:r>
      <w:r>
        <w:rPr>
          <w:b/>
          <w:szCs w:val="24"/>
        </w:rPr>
        <w:t>NPC?</w:t>
      </w:r>
    </w:p>
    <w:p w:rsidR="001F0FCC" w:rsidRDefault="001F0FCC" w:rsidP="00C328B1">
      <w:pPr>
        <w:pStyle w:val="BodyTextIndent2"/>
        <w:tabs>
          <w:tab w:val="clear" w:pos="720"/>
        </w:tabs>
        <w:rPr>
          <w:szCs w:val="24"/>
        </w:rPr>
      </w:pPr>
      <w:r>
        <w:rPr>
          <w:szCs w:val="24"/>
        </w:rPr>
        <w:t>A.</w:t>
      </w:r>
      <w:r>
        <w:rPr>
          <w:szCs w:val="24"/>
        </w:rPr>
        <w:tab/>
        <w:t xml:space="preserve">No.  Staff, Boise, and Public Counsel each reject </w:t>
      </w:r>
      <w:r w:rsidR="000A0916">
        <w:rPr>
          <w:szCs w:val="24"/>
        </w:rPr>
        <w:t xml:space="preserve">including California and </w:t>
      </w:r>
      <w:r>
        <w:rPr>
          <w:szCs w:val="24"/>
        </w:rPr>
        <w:t>Oregon and QF</w:t>
      </w:r>
      <w:r w:rsidR="000A0916">
        <w:rPr>
          <w:szCs w:val="24"/>
        </w:rPr>
        <w:t xml:space="preserve"> PPA</w:t>
      </w:r>
      <w:r w:rsidR="00835C79">
        <w:rPr>
          <w:szCs w:val="24"/>
        </w:rPr>
        <w:t>s</w:t>
      </w:r>
      <w:r>
        <w:rPr>
          <w:szCs w:val="24"/>
        </w:rPr>
        <w:t xml:space="preserve"> in </w:t>
      </w:r>
      <w:r w:rsidR="00835C79">
        <w:rPr>
          <w:szCs w:val="24"/>
        </w:rPr>
        <w:t xml:space="preserve">west control area </w:t>
      </w:r>
      <w:r>
        <w:rPr>
          <w:szCs w:val="24"/>
        </w:rPr>
        <w:t>NPC.</w:t>
      </w:r>
      <w:r>
        <w:rPr>
          <w:rStyle w:val="FootnoteReference"/>
          <w:szCs w:val="24"/>
        </w:rPr>
        <w:footnoteReference w:id="16"/>
      </w:r>
      <w:r>
        <w:rPr>
          <w:szCs w:val="24"/>
        </w:rPr>
        <w:t xml:space="preserve">  Similar to arguments made in the Company’s </w:t>
      </w:r>
      <w:r w:rsidR="000A0916">
        <w:rPr>
          <w:szCs w:val="24"/>
        </w:rPr>
        <w:t>2013</w:t>
      </w:r>
      <w:r>
        <w:rPr>
          <w:szCs w:val="24"/>
        </w:rPr>
        <w:t xml:space="preserve"> general rate case, Staff and Boise assert that allocating </w:t>
      </w:r>
      <w:r w:rsidR="00835C79">
        <w:rPr>
          <w:szCs w:val="24"/>
        </w:rPr>
        <w:t xml:space="preserve">west control area </w:t>
      </w:r>
      <w:r>
        <w:rPr>
          <w:szCs w:val="24"/>
        </w:rPr>
        <w:t>QF</w:t>
      </w:r>
      <w:r w:rsidR="000A0916">
        <w:rPr>
          <w:szCs w:val="24"/>
        </w:rPr>
        <w:t xml:space="preserve"> PPA</w:t>
      </w:r>
      <w:r w:rsidR="00835C79">
        <w:rPr>
          <w:szCs w:val="24"/>
        </w:rPr>
        <w:t>s</w:t>
      </w:r>
      <w:r>
        <w:rPr>
          <w:szCs w:val="24"/>
        </w:rPr>
        <w:t xml:space="preserve"> to Washington inappropriately requires Washington customers to pay for QF-related policy choices made by California</w:t>
      </w:r>
      <w:r w:rsidR="000A0916">
        <w:rPr>
          <w:szCs w:val="24"/>
        </w:rPr>
        <w:t xml:space="preserve"> and Oregon</w:t>
      </w:r>
      <w:r>
        <w:rPr>
          <w:szCs w:val="24"/>
        </w:rPr>
        <w:t xml:space="preserve">.  Public Counsel does not </w:t>
      </w:r>
      <w:r w:rsidR="000A0916">
        <w:rPr>
          <w:szCs w:val="24"/>
        </w:rPr>
        <w:t>address</w:t>
      </w:r>
      <w:r>
        <w:rPr>
          <w:szCs w:val="24"/>
        </w:rPr>
        <w:t xml:space="preserve"> the appropriate allocation of </w:t>
      </w:r>
      <w:r w:rsidR="000A0916">
        <w:rPr>
          <w:szCs w:val="24"/>
        </w:rPr>
        <w:t>California and Oregon QF PPAs</w:t>
      </w:r>
      <w:r>
        <w:rPr>
          <w:szCs w:val="24"/>
        </w:rPr>
        <w:t xml:space="preserve">, but indicates that Public Counsel supports the Commission’s findings in Docket UE-130043 (2013 </w:t>
      </w:r>
      <w:r w:rsidR="000A0916">
        <w:rPr>
          <w:szCs w:val="24"/>
        </w:rPr>
        <w:t>Rate Case</w:t>
      </w:r>
      <w:r>
        <w:rPr>
          <w:szCs w:val="24"/>
        </w:rPr>
        <w:t>) and removes the cost of these QF</w:t>
      </w:r>
      <w:r w:rsidR="00835C79">
        <w:rPr>
          <w:szCs w:val="24"/>
        </w:rPr>
        <w:t>s</w:t>
      </w:r>
      <w:r>
        <w:rPr>
          <w:szCs w:val="24"/>
        </w:rPr>
        <w:t xml:space="preserve"> from </w:t>
      </w:r>
      <w:r w:rsidR="00835C79">
        <w:rPr>
          <w:szCs w:val="24"/>
        </w:rPr>
        <w:t>west control area</w:t>
      </w:r>
      <w:r>
        <w:rPr>
          <w:szCs w:val="24"/>
        </w:rPr>
        <w:t xml:space="preserve"> NPC.  </w:t>
      </w:r>
    </w:p>
    <w:p w:rsidR="001F0FCC" w:rsidRDefault="001F0FCC" w:rsidP="00C328B1">
      <w:pPr>
        <w:pStyle w:val="BodyTextIndent2"/>
        <w:tabs>
          <w:tab w:val="clear" w:pos="720"/>
        </w:tabs>
        <w:rPr>
          <w:b/>
        </w:rPr>
      </w:pPr>
      <w:r>
        <w:rPr>
          <w:b/>
        </w:rPr>
        <w:t xml:space="preserve">Q. </w:t>
      </w:r>
      <w:r>
        <w:rPr>
          <w:b/>
        </w:rPr>
        <w:tab/>
        <w:t xml:space="preserve">Is the Company’s proposal in this case exactly the same as in the </w:t>
      </w:r>
      <w:r w:rsidR="00835C79">
        <w:rPr>
          <w:b/>
        </w:rPr>
        <w:t xml:space="preserve">Company’s </w:t>
      </w:r>
      <w:r>
        <w:rPr>
          <w:b/>
        </w:rPr>
        <w:t xml:space="preserve">2013 </w:t>
      </w:r>
      <w:r w:rsidR="000A0916">
        <w:rPr>
          <w:b/>
        </w:rPr>
        <w:t>Rate Case</w:t>
      </w:r>
      <w:r>
        <w:rPr>
          <w:b/>
        </w:rPr>
        <w:t>?</w:t>
      </w:r>
    </w:p>
    <w:p w:rsidR="00045D47" w:rsidRDefault="001F0FCC" w:rsidP="00C328B1">
      <w:pPr>
        <w:pStyle w:val="BodyTextIndent2"/>
        <w:tabs>
          <w:tab w:val="clear" w:pos="720"/>
        </w:tabs>
      </w:pPr>
      <w:r>
        <w:t>A.</w:t>
      </w:r>
      <w:r>
        <w:tab/>
        <w:t xml:space="preserve">No.  While the Company’s main proposal in this case is similar to the 2013 </w:t>
      </w:r>
      <w:r w:rsidR="000A0916">
        <w:t>Rate Case</w:t>
      </w:r>
      <w:r>
        <w:t xml:space="preserve"> in that </w:t>
      </w:r>
      <w:r w:rsidR="007F73DA">
        <w:t xml:space="preserve">the costs associated with </w:t>
      </w:r>
      <w:r>
        <w:t xml:space="preserve">California </w:t>
      </w:r>
      <w:r w:rsidR="000A0916">
        <w:t>and Oregon QF PPAs</w:t>
      </w:r>
      <w:r>
        <w:t xml:space="preserve"> are included in </w:t>
      </w:r>
      <w:r w:rsidR="00835C79">
        <w:t>west control area</w:t>
      </w:r>
      <w:r>
        <w:t xml:space="preserve"> NPC, the Company also provided two alternative approaches that would reasonably reflect the impact of California </w:t>
      </w:r>
      <w:r w:rsidR="007F73DA">
        <w:t xml:space="preserve">and Oregon </w:t>
      </w:r>
      <w:r>
        <w:t>QF</w:t>
      </w:r>
      <w:r w:rsidR="007F73DA">
        <w:t xml:space="preserve"> PPA</w:t>
      </w:r>
      <w:r>
        <w:t xml:space="preserve">s on NPC.  First, the Company proposed re-pricing the out-of-state QFs at Washington avoided cost prices, so that the costs associated with the QFs reflected Washington state policy choices.  </w:t>
      </w:r>
      <w:r w:rsidR="0086045C">
        <w:t xml:space="preserve">This proposal would </w:t>
      </w:r>
      <w:r w:rsidR="00A77199">
        <w:t>de</w:t>
      </w:r>
      <w:r w:rsidR="0086045C">
        <w:t xml:space="preserve">crease </w:t>
      </w:r>
      <w:r w:rsidR="00045D47">
        <w:t>Washington revenue requirement by $2.2 million</w:t>
      </w:r>
      <w:r w:rsidR="0086045C">
        <w:t xml:space="preserve">.  </w:t>
      </w:r>
      <w:r>
        <w:t>Second, the Company proposed a load decrement approach to QF pricing that would remove the costs of the out-of-state QF</w:t>
      </w:r>
      <w:r w:rsidR="007F73DA">
        <w:t xml:space="preserve"> PPA</w:t>
      </w:r>
      <w:r>
        <w:t xml:space="preserve">s and also offset each </w:t>
      </w:r>
      <w:r w:rsidR="00B07A3D">
        <w:t>west control area</w:t>
      </w:r>
      <w:r>
        <w:t xml:space="preserve"> states’ load with the QFs in that state for purposes of allocating costs and benefits under the WCA.  </w:t>
      </w:r>
      <w:r w:rsidR="0086045C">
        <w:t xml:space="preserve">This proposal would </w:t>
      </w:r>
      <w:r w:rsidR="00A77199">
        <w:t>de</w:t>
      </w:r>
      <w:r w:rsidR="0086045C">
        <w:t>crease</w:t>
      </w:r>
      <w:r w:rsidR="00045D47">
        <w:t xml:space="preserve"> Washington revenue requirement by $3.9 million</w:t>
      </w:r>
      <w:r w:rsidR="0086045C">
        <w:t xml:space="preserve">.  </w:t>
      </w:r>
      <w:r w:rsidR="00045D47">
        <w:t xml:space="preserve">The </w:t>
      </w:r>
      <w:r w:rsidR="00BB4151">
        <w:t xml:space="preserve">rebuttal </w:t>
      </w:r>
      <w:r w:rsidR="00045D47">
        <w:t xml:space="preserve">testimony of </w:t>
      </w:r>
      <w:r w:rsidR="00BB4151">
        <w:t xml:space="preserve">Ms. </w:t>
      </w:r>
      <w:r w:rsidR="00045D47">
        <w:t xml:space="preserve">Natasha </w:t>
      </w:r>
      <w:r w:rsidR="007F73DA">
        <w:t xml:space="preserve">C. </w:t>
      </w:r>
      <w:r w:rsidR="00045D47">
        <w:t xml:space="preserve">Siores provides the detailed revenue requirement impact of each proposal.  I reproduced </w:t>
      </w:r>
      <w:r w:rsidR="00BB4151">
        <w:t>her summary table</w:t>
      </w:r>
      <w:r w:rsidR="00045D47">
        <w:t xml:space="preserve"> here for ease of reference.</w:t>
      </w:r>
      <w:r w:rsidR="00BB4151">
        <w:rPr>
          <w:rStyle w:val="FootnoteReference"/>
        </w:rPr>
        <w:footnoteReference w:id="17"/>
      </w:r>
    </w:p>
    <w:p w:rsidR="00045D47" w:rsidRPr="0068392B" w:rsidRDefault="00045D47" w:rsidP="009D691A">
      <w:pPr>
        <w:pStyle w:val="BodyTextIndent2"/>
        <w:suppressLineNumbers/>
        <w:tabs>
          <w:tab w:val="clear" w:pos="720"/>
        </w:tabs>
        <w:spacing w:line="240" w:lineRule="auto"/>
        <w:jc w:val="center"/>
        <w:rPr>
          <w:b/>
        </w:rPr>
      </w:pPr>
      <w:r w:rsidRPr="0068392B">
        <w:rPr>
          <w:b/>
        </w:rPr>
        <w:t>T</w:t>
      </w:r>
      <w:r w:rsidR="007F73DA">
        <w:rPr>
          <w:b/>
        </w:rPr>
        <w:t>ABLE</w:t>
      </w:r>
      <w:r w:rsidRPr="0068392B">
        <w:rPr>
          <w:b/>
        </w:rPr>
        <w:t xml:space="preserve"> 1</w:t>
      </w:r>
    </w:p>
    <w:p w:rsidR="00045D47" w:rsidRDefault="007F73DA" w:rsidP="009D691A">
      <w:pPr>
        <w:pStyle w:val="BodyTextIndent2"/>
        <w:suppressLineNumbers/>
        <w:tabs>
          <w:tab w:val="clear" w:pos="720"/>
        </w:tabs>
        <w:jc w:val="center"/>
      </w:pPr>
      <w:r w:rsidRPr="007F73DA">
        <w:rPr>
          <w:noProof/>
        </w:rPr>
        <w:drawing>
          <wp:inline distT="0" distB="0" distL="0" distR="0" wp14:anchorId="2A526798" wp14:editId="365CF488">
            <wp:extent cx="4951562" cy="124883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4215" cy="1249505"/>
                    </a:xfrm>
                    <a:prstGeom prst="rect">
                      <a:avLst/>
                    </a:prstGeom>
                    <a:noFill/>
                    <a:ln>
                      <a:noFill/>
                    </a:ln>
                  </pic:spPr>
                </pic:pic>
              </a:graphicData>
            </a:graphic>
          </wp:inline>
        </w:drawing>
      </w:r>
    </w:p>
    <w:p w:rsidR="001F0FCC" w:rsidRDefault="001F0FCC" w:rsidP="001F0FCC">
      <w:pPr>
        <w:pStyle w:val="BodyTextIndent2"/>
        <w:tabs>
          <w:tab w:val="clear" w:pos="720"/>
        </w:tabs>
        <w:rPr>
          <w:b/>
        </w:rPr>
      </w:pPr>
      <w:r>
        <w:rPr>
          <w:b/>
        </w:rPr>
        <w:t>Q.</w:t>
      </w:r>
      <w:r>
        <w:rPr>
          <w:b/>
        </w:rPr>
        <w:tab/>
        <w:t xml:space="preserve">Did </w:t>
      </w:r>
      <w:r w:rsidR="0023080B">
        <w:rPr>
          <w:b/>
        </w:rPr>
        <w:t xml:space="preserve">the </w:t>
      </w:r>
      <w:r>
        <w:rPr>
          <w:b/>
        </w:rPr>
        <w:t>part</w:t>
      </w:r>
      <w:r w:rsidR="0023080B">
        <w:rPr>
          <w:b/>
        </w:rPr>
        <w:t>ies</w:t>
      </w:r>
      <w:r>
        <w:rPr>
          <w:b/>
        </w:rPr>
        <w:t xml:space="preserve"> address the Company’s alternative proposals?</w:t>
      </w:r>
    </w:p>
    <w:p w:rsidR="001F0FCC" w:rsidRDefault="001F0FCC" w:rsidP="001F0FCC">
      <w:pPr>
        <w:pStyle w:val="BodyTextIndent2"/>
        <w:tabs>
          <w:tab w:val="clear" w:pos="720"/>
        </w:tabs>
      </w:pPr>
      <w:r>
        <w:t>A.</w:t>
      </w:r>
      <w:r>
        <w:tab/>
        <w:t xml:space="preserve">Yes.  Both Staff and Boise </w:t>
      </w:r>
      <w:r w:rsidR="0023080B">
        <w:t xml:space="preserve">dismissed </w:t>
      </w:r>
      <w:r>
        <w:t xml:space="preserve">the Company’s alternative proposals </w:t>
      </w:r>
      <w:r w:rsidR="0023080B">
        <w:t xml:space="preserve">as inconsistent with the Commission’s decision in the 2013 </w:t>
      </w:r>
      <w:r w:rsidR="007F73DA">
        <w:t>Rate Case</w:t>
      </w:r>
      <w:r w:rsidR="0023080B">
        <w:t>.</w:t>
      </w:r>
    </w:p>
    <w:p w:rsidR="001F0FCC" w:rsidRDefault="001F0FCC" w:rsidP="001F0FCC">
      <w:pPr>
        <w:pStyle w:val="BodyTextIndent2"/>
        <w:tabs>
          <w:tab w:val="clear" w:pos="720"/>
        </w:tabs>
        <w:rPr>
          <w:szCs w:val="24"/>
        </w:rPr>
      </w:pPr>
      <w:r>
        <w:rPr>
          <w:b/>
          <w:szCs w:val="24"/>
        </w:rPr>
        <w:t>Q.</w:t>
      </w:r>
      <w:r>
        <w:rPr>
          <w:b/>
          <w:szCs w:val="24"/>
        </w:rPr>
        <w:tab/>
        <w:t xml:space="preserve">What is the parties’ primary argument </w:t>
      </w:r>
      <w:r w:rsidR="007F73DA">
        <w:rPr>
          <w:b/>
          <w:szCs w:val="24"/>
        </w:rPr>
        <w:t>against</w:t>
      </w:r>
      <w:r>
        <w:rPr>
          <w:b/>
          <w:szCs w:val="24"/>
        </w:rPr>
        <w:t xml:space="preserve"> Pacifi</w:t>
      </w:r>
      <w:r w:rsidR="00DF658D">
        <w:rPr>
          <w:b/>
          <w:szCs w:val="24"/>
        </w:rPr>
        <w:t>c Power’s</w:t>
      </w:r>
      <w:r>
        <w:rPr>
          <w:b/>
          <w:szCs w:val="24"/>
        </w:rPr>
        <w:t xml:space="preserve"> proposals?</w:t>
      </w:r>
    </w:p>
    <w:p w:rsidR="001F0FCC" w:rsidRDefault="001F0FCC" w:rsidP="001F0FCC">
      <w:pPr>
        <w:pStyle w:val="BodyTextIndent2"/>
        <w:tabs>
          <w:tab w:val="clear" w:pos="720"/>
        </w:tabs>
        <w:rPr>
          <w:szCs w:val="24"/>
        </w:rPr>
      </w:pPr>
      <w:r>
        <w:rPr>
          <w:szCs w:val="24"/>
        </w:rPr>
        <w:t>A.</w:t>
      </w:r>
      <w:r>
        <w:rPr>
          <w:szCs w:val="24"/>
        </w:rPr>
        <w:tab/>
      </w:r>
      <w:r w:rsidRPr="00DB176A">
        <w:rPr>
          <w:szCs w:val="24"/>
        </w:rPr>
        <w:t xml:space="preserve">Based on the Commission’s order in </w:t>
      </w:r>
      <w:r w:rsidR="00753069">
        <w:rPr>
          <w:szCs w:val="24"/>
        </w:rPr>
        <w:t xml:space="preserve">the </w:t>
      </w:r>
      <w:r w:rsidRPr="00DB176A">
        <w:rPr>
          <w:szCs w:val="24"/>
        </w:rPr>
        <w:t xml:space="preserve">2013 </w:t>
      </w:r>
      <w:r w:rsidR="007F73DA">
        <w:rPr>
          <w:szCs w:val="24"/>
        </w:rPr>
        <w:t>Rate Case</w:t>
      </w:r>
      <w:r w:rsidRPr="00DB176A">
        <w:rPr>
          <w:szCs w:val="24"/>
        </w:rPr>
        <w:t>, Staff and Boise argue that excluding the California</w:t>
      </w:r>
      <w:r w:rsidR="007F73DA">
        <w:rPr>
          <w:szCs w:val="24"/>
        </w:rPr>
        <w:t xml:space="preserve"> and Oregon</w:t>
      </w:r>
      <w:r w:rsidRPr="00DB176A">
        <w:rPr>
          <w:szCs w:val="24"/>
        </w:rPr>
        <w:t xml:space="preserve"> QF</w:t>
      </w:r>
      <w:r w:rsidR="007F73DA">
        <w:rPr>
          <w:szCs w:val="24"/>
        </w:rPr>
        <w:t xml:space="preserve"> PPA</w:t>
      </w:r>
      <w:r w:rsidR="00753069">
        <w:rPr>
          <w:szCs w:val="24"/>
        </w:rPr>
        <w:t>s</w:t>
      </w:r>
      <w:r w:rsidRPr="00DB176A">
        <w:rPr>
          <w:szCs w:val="24"/>
        </w:rPr>
        <w:t xml:space="preserve"> from the </w:t>
      </w:r>
      <w:r w:rsidR="007F73DA">
        <w:rPr>
          <w:szCs w:val="24"/>
        </w:rPr>
        <w:t>west control area NPC</w:t>
      </w:r>
      <w:r w:rsidRPr="00DB176A">
        <w:rPr>
          <w:szCs w:val="24"/>
        </w:rPr>
        <w:t xml:space="preserve"> is equivalent to replacing these resources with market purchases in GRID.</w:t>
      </w:r>
      <w:r w:rsidRPr="00DB176A">
        <w:rPr>
          <w:rStyle w:val="FootnoteReference"/>
          <w:szCs w:val="24"/>
        </w:rPr>
        <w:footnoteReference w:id="18"/>
      </w:r>
      <w:r w:rsidRPr="00DB176A">
        <w:rPr>
          <w:szCs w:val="24"/>
        </w:rPr>
        <w:t xml:space="preserve"> </w:t>
      </w:r>
      <w:r>
        <w:rPr>
          <w:szCs w:val="24"/>
        </w:rPr>
        <w:t xml:space="preserve"> Staff and Boise claim that re-pricing the QF</w:t>
      </w:r>
      <w:r w:rsidR="007F73DA">
        <w:rPr>
          <w:szCs w:val="24"/>
        </w:rPr>
        <w:t xml:space="preserve"> PPA</w:t>
      </w:r>
      <w:r w:rsidR="00753069">
        <w:rPr>
          <w:szCs w:val="24"/>
        </w:rPr>
        <w:t>s</w:t>
      </w:r>
      <w:r>
        <w:rPr>
          <w:szCs w:val="24"/>
        </w:rPr>
        <w:t xml:space="preserve"> at market prices protects Washington customers from policy decisions made by other states and is consistent with the cost causation principles underlying the WCA.  </w:t>
      </w:r>
    </w:p>
    <w:p w:rsidR="001F0FCC" w:rsidRPr="00DB176A" w:rsidRDefault="001F0FCC" w:rsidP="001F0FCC">
      <w:pPr>
        <w:pStyle w:val="BodyTextIndent2"/>
        <w:tabs>
          <w:tab w:val="clear" w:pos="720"/>
        </w:tabs>
        <w:rPr>
          <w:b/>
          <w:szCs w:val="24"/>
        </w:rPr>
      </w:pPr>
      <w:r>
        <w:rPr>
          <w:b/>
          <w:szCs w:val="24"/>
        </w:rPr>
        <w:t>Q.</w:t>
      </w:r>
      <w:r>
        <w:rPr>
          <w:b/>
          <w:szCs w:val="24"/>
        </w:rPr>
        <w:tab/>
      </w:r>
      <w:r w:rsidR="00753069">
        <w:rPr>
          <w:b/>
          <w:szCs w:val="24"/>
        </w:rPr>
        <w:t>I</w:t>
      </w:r>
      <w:r>
        <w:rPr>
          <w:b/>
          <w:szCs w:val="24"/>
        </w:rPr>
        <w:t>s re-pricing the out-of-state QF</w:t>
      </w:r>
      <w:r w:rsidR="007F73DA">
        <w:rPr>
          <w:b/>
          <w:szCs w:val="24"/>
        </w:rPr>
        <w:t xml:space="preserve"> PPA</w:t>
      </w:r>
      <w:r w:rsidR="00753069">
        <w:rPr>
          <w:b/>
          <w:szCs w:val="24"/>
        </w:rPr>
        <w:t>s</w:t>
      </w:r>
      <w:r>
        <w:rPr>
          <w:b/>
          <w:szCs w:val="24"/>
        </w:rPr>
        <w:t xml:space="preserve"> at current market prices consistent </w:t>
      </w:r>
      <w:r w:rsidR="00672E76">
        <w:rPr>
          <w:b/>
          <w:szCs w:val="24"/>
        </w:rPr>
        <w:t>with</w:t>
      </w:r>
      <w:r w:rsidR="00081A38">
        <w:rPr>
          <w:b/>
          <w:szCs w:val="24"/>
        </w:rPr>
        <w:t xml:space="preserve"> </w:t>
      </w:r>
      <w:r>
        <w:rPr>
          <w:b/>
          <w:szCs w:val="24"/>
        </w:rPr>
        <w:t>PURPA?</w:t>
      </w:r>
    </w:p>
    <w:p w:rsidR="001F0FCC" w:rsidRDefault="001F0FCC" w:rsidP="001F0FCC">
      <w:pPr>
        <w:pStyle w:val="BodyTextIndent2"/>
        <w:tabs>
          <w:tab w:val="clear" w:pos="720"/>
        </w:tabs>
        <w:rPr>
          <w:szCs w:val="24"/>
        </w:rPr>
      </w:pPr>
      <w:r>
        <w:rPr>
          <w:szCs w:val="24"/>
        </w:rPr>
        <w:t>A.</w:t>
      </w:r>
      <w:r>
        <w:rPr>
          <w:szCs w:val="24"/>
        </w:rPr>
        <w:tab/>
        <w:t xml:space="preserve">No.  </w:t>
      </w:r>
      <w:r w:rsidR="00753069">
        <w:rPr>
          <w:szCs w:val="24"/>
        </w:rPr>
        <w:t>It is my understanding that r</w:t>
      </w:r>
      <w:r>
        <w:rPr>
          <w:szCs w:val="24"/>
        </w:rPr>
        <w:t xml:space="preserve">e-pricing the out-of-state QF </w:t>
      </w:r>
      <w:r w:rsidR="007F73DA">
        <w:rPr>
          <w:szCs w:val="24"/>
        </w:rPr>
        <w:t>PPAs</w:t>
      </w:r>
      <w:r>
        <w:rPr>
          <w:szCs w:val="24"/>
        </w:rPr>
        <w:t xml:space="preserve"> at current spot market prices is inconsistent </w:t>
      </w:r>
      <w:r w:rsidR="00753069">
        <w:rPr>
          <w:szCs w:val="24"/>
        </w:rPr>
        <w:t xml:space="preserve">with </w:t>
      </w:r>
      <w:r>
        <w:rPr>
          <w:szCs w:val="24"/>
        </w:rPr>
        <w:t>PURPA</w:t>
      </w:r>
      <w:r w:rsidR="00753069">
        <w:rPr>
          <w:szCs w:val="24"/>
        </w:rPr>
        <w:t>’s requirement</w:t>
      </w:r>
      <w:r w:rsidR="00621500">
        <w:rPr>
          <w:szCs w:val="24"/>
        </w:rPr>
        <w:t xml:space="preserve">, </w:t>
      </w:r>
      <w:r w:rsidR="00400C2D">
        <w:rPr>
          <w:szCs w:val="24"/>
        </w:rPr>
        <w:t>as interpreted by the Commission in the Company’s Schedule 37</w:t>
      </w:r>
      <w:r w:rsidR="00E37200">
        <w:rPr>
          <w:szCs w:val="24"/>
        </w:rPr>
        <w:t xml:space="preserve">, </w:t>
      </w:r>
      <w:r w:rsidR="00753069">
        <w:rPr>
          <w:szCs w:val="24"/>
        </w:rPr>
        <w:t>that</w:t>
      </w:r>
      <w:r>
        <w:rPr>
          <w:szCs w:val="24"/>
        </w:rPr>
        <w:t xml:space="preserve"> utilities </w:t>
      </w:r>
      <w:r w:rsidR="00753069">
        <w:rPr>
          <w:szCs w:val="24"/>
        </w:rPr>
        <w:t>p</w:t>
      </w:r>
      <w:r>
        <w:rPr>
          <w:szCs w:val="24"/>
        </w:rPr>
        <w:t xml:space="preserve">urchase all energy and capacity made available by QFs at the utility’s avoided cost.  </w:t>
      </w:r>
    </w:p>
    <w:p w:rsidR="001F0FCC" w:rsidRPr="00111582" w:rsidRDefault="001F0FCC" w:rsidP="001F0FCC">
      <w:pPr>
        <w:pStyle w:val="BodyTextIndent2"/>
        <w:tabs>
          <w:tab w:val="clear" w:pos="720"/>
        </w:tabs>
        <w:rPr>
          <w:b/>
          <w:szCs w:val="24"/>
        </w:rPr>
      </w:pPr>
      <w:r>
        <w:rPr>
          <w:b/>
          <w:szCs w:val="24"/>
        </w:rPr>
        <w:t>Q.</w:t>
      </w:r>
      <w:r>
        <w:rPr>
          <w:b/>
          <w:szCs w:val="24"/>
        </w:rPr>
        <w:tab/>
        <w:t xml:space="preserve">Why is re-pricing the out-of-state QF </w:t>
      </w:r>
      <w:r w:rsidR="007F73DA">
        <w:rPr>
          <w:b/>
          <w:szCs w:val="24"/>
        </w:rPr>
        <w:t>PPAs</w:t>
      </w:r>
      <w:r>
        <w:rPr>
          <w:b/>
          <w:szCs w:val="24"/>
        </w:rPr>
        <w:t xml:space="preserve"> at current market rates inconsistent with</w:t>
      </w:r>
      <w:r w:rsidR="00E33B23">
        <w:rPr>
          <w:b/>
          <w:szCs w:val="24"/>
        </w:rPr>
        <w:t xml:space="preserve"> </w:t>
      </w:r>
      <w:r>
        <w:rPr>
          <w:b/>
          <w:szCs w:val="24"/>
        </w:rPr>
        <w:t>PURPA</w:t>
      </w:r>
      <w:r w:rsidR="00E33B23">
        <w:rPr>
          <w:b/>
          <w:szCs w:val="24"/>
        </w:rPr>
        <w:t>’s avoided cost requirements</w:t>
      </w:r>
      <w:r>
        <w:rPr>
          <w:b/>
          <w:szCs w:val="24"/>
        </w:rPr>
        <w:t>?</w:t>
      </w:r>
    </w:p>
    <w:p w:rsidR="001F0FCC" w:rsidRDefault="001F0FCC" w:rsidP="001F0FCC">
      <w:pPr>
        <w:pStyle w:val="BodyTextIndent2"/>
        <w:tabs>
          <w:tab w:val="clear" w:pos="720"/>
        </w:tabs>
        <w:rPr>
          <w:szCs w:val="24"/>
        </w:rPr>
      </w:pPr>
      <w:r>
        <w:rPr>
          <w:szCs w:val="24"/>
        </w:rPr>
        <w:t>A.</w:t>
      </w:r>
      <w:r>
        <w:rPr>
          <w:szCs w:val="24"/>
        </w:rPr>
        <w:tab/>
        <w:t xml:space="preserve">There are two primary reasons.  First, </w:t>
      </w:r>
      <w:r w:rsidR="00400C2D">
        <w:rPr>
          <w:szCs w:val="24"/>
        </w:rPr>
        <w:t xml:space="preserve">simply relying on </w:t>
      </w:r>
      <w:r>
        <w:rPr>
          <w:szCs w:val="24"/>
        </w:rPr>
        <w:t>market prices do</w:t>
      </w:r>
      <w:r w:rsidR="00400C2D">
        <w:rPr>
          <w:szCs w:val="24"/>
        </w:rPr>
        <w:t>es</w:t>
      </w:r>
      <w:r>
        <w:rPr>
          <w:szCs w:val="24"/>
        </w:rPr>
        <w:t xml:space="preserve"> not reflect Pacifi</w:t>
      </w:r>
      <w:r w:rsidR="00DF658D">
        <w:rPr>
          <w:szCs w:val="24"/>
        </w:rPr>
        <w:t>c Power’s</w:t>
      </w:r>
      <w:r>
        <w:rPr>
          <w:szCs w:val="24"/>
        </w:rPr>
        <w:t xml:space="preserve"> actual avoided costs </w:t>
      </w:r>
      <w:r w:rsidR="00010126">
        <w:rPr>
          <w:szCs w:val="24"/>
        </w:rPr>
        <w:t xml:space="preserve">as determined by the Commission </w:t>
      </w:r>
      <w:r>
        <w:rPr>
          <w:szCs w:val="24"/>
        </w:rPr>
        <w:t xml:space="preserve">because </w:t>
      </w:r>
      <w:r w:rsidR="00400C2D">
        <w:rPr>
          <w:szCs w:val="24"/>
        </w:rPr>
        <w:t xml:space="preserve">it </w:t>
      </w:r>
      <w:r>
        <w:rPr>
          <w:szCs w:val="24"/>
        </w:rPr>
        <w:t>fail</w:t>
      </w:r>
      <w:r w:rsidR="00400C2D">
        <w:rPr>
          <w:szCs w:val="24"/>
        </w:rPr>
        <w:t>s</w:t>
      </w:r>
      <w:r>
        <w:rPr>
          <w:szCs w:val="24"/>
        </w:rPr>
        <w:t xml:space="preserve"> to account for the </w:t>
      </w:r>
      <w:r w:rsidR="00400C2D">
        <w:rPr>
          <w:szCs w:val="24"/>
        </w:rPr>
        <w:t xml:space="preserve">impact of a QF on </w:t>
      </w:r>
      <w:r w:rsidR="00DF658D">
        <w:rPr>
          <w:szCs w:val="24"/>
        </w:rPr>
        <w:t>the Company</w:t>
      </w:r>
      <w:r w:rsidR="00400C2D">
        <w:rPr>
          <w:szCs w:val="24"/>
        </w:rPr>
        <w:t>’s existing resources or the QF</w:t>
      </w:r>
      <w:r w:rsidR="00C420C1">
        <w:rPr>
          <w:szCs w:val="24"/>
        </w:rPr>
        <w:t>’</w:t>
      </w:r>
      <w:r w:rsidR="00400C2D">
        <w:rPr>
          <w:szCs w:val="24"/>
        </w:rPr>
        <w:t xml:space="preserve">s ability to defer future </w:t>
      </w:r>
      <w:r>
        <w:rPr>
          <w:szCs w:val="24"/>
        </w:rPr>
        <w:t xml:space="preserve">capacity </w:t>
      </w:r>
      <w:r w:rsidR="00400C2D">
        <w:rPr>
          <w:szCs w:val="24"/>
        </w:rPr>
        <w:t>additions.</w:t>
      </w:r>
      <w:r>
        <w:rPr>
          <w:szCs w:val="24"/>
        </w:rPr>
        <w:t xml:space="preserve">  PURPA requires </w:t>
      </w:r>
      <w:r w:rsidR="00DF658D">
        <w:rPr>
          <w:szCs w:val="24"/>
        </w:rPr>
        <w:t>the Company</w:t>
      </w:r>
      <w:r>
        <w:rPr>
          <w:szCs w:val="24"/>
        </w:rPr>
        <w:t xml:space="preserve"> to purchase energy </w:t>
      </w:r>
      <w:r w:rsidRPr="00400C2D">
        <w:rPr>
          <w:szCs w:val="24"/>
        </w:rPr>
        <w:t>and capacity</w:t>
      </w:r>
      <w:r>
        <w:rPr>
          <w:szCs w:val="24"/>
        </w:rPr>
        <w:t xml:space="preserve"> made available by QFs.  </w:t>
      </w:r>
    </w:p>
    <w:p w:rsidR="00103FB7" w:rsidRPr="0044187B" w:rsidRDefault="00103FB7" w:rsidP="00103FB7">
      <w:pPr>
        <w:pStyle w:val="BodyTextIndent2"/>
      </w:pPr>
      <w:r>
        <w:rPr>
          <w:szCs w:val="24"/>
        </w:rPr>
        <w:tab/>
      </w:r>
      <w:r>
        <w:rPr>
          <w:szCs w:val="24"/>
        </w:rPr>
        <w:tab/>
      </w:r>
      <w:r w:rsidR="001F0FCC">
        <w:rPr>
          <w:szCs w:val="24"/>
        </w:rPr>
        <w:t xml:space="preserve">Second, </w:t>
      </w:r>
      <w:r>
        <w:t xml:space="preserve">the </w:t>
      </w:r>
      <w:r>
        <w:rPr>
          <w:i/>
        </w:rPr>
        <w:t xml:space="preserve">current </w:t>
      </w:r>
      <w:r>
        <w:t>market price does not accurately reflect Pacifi</w:t>
      </w:r>
      <w:r w:rsidR="00DF658D">
        <w:t>c Power’s</w:t>
      </w:r>
      <w:r>
        <w:t xml:space="preserve"> avoided cost of energy included in </w:t>
      </w:r>
      <w:r w:rsidR="00400C2D">
        <w:t xml:space="preserve">long-term </w:t>
      </w:r>
      <w:r>
        <w:t xml:space="preserve">QF PPAs that were executed years ago with avoided cost prices determined at the time of execution.  PURPA allows QFs to enter into long-term PPAs with utilities and, at the option of the QF, the avoided cost prices in those PPAs can be determined at the time the PPA is executed, not at the time that the energy is delivered to the utility.  </w:t>
      </w:r>
    </w:p>
    <w:p w:rsidR="001F0FCC" w:rsidRDefault="00103FB7" w:rsidP="00400C2D">
      <w:pPr>
        <w:pStyle w:val="BodyTextIndent2"/>
        <w:rPr>
          <w:szCs w:val="24"/>
        </w:rPr>
      </w:pPr>
      <w:r>
        <w:tab/>
      </w:r>
      <w:r>
        <w:tab/>
        <w:t>The Commission’s decision to price out-of-state QF</w:t>
      </w:r>
      <w:r w:rsidR="007F73DA">
        <w:t xml:space="preserve"> PPA</w:t>
      </w:r>
      <w:r>
        <w:t>s at the current market price ignores the Company’s obligation under PURPA to pay a fixed avoided cost price over the life of the QF PPA.</w:t>
      </w:r>
      <w:r w:rsidRPr="00AD0679">
        <w:t xml:space="preserve"> </w:t>
      </w:r>
      <w:r>
        <w:t xml:space="preserve"> Thus, even if market prices accurately reflected Pacifi</w:t>
      </w:r>
      <w:r w:rsidR="00DF658D">
        <w:t>c Power’s</w:t>
      </w:r>
      <w:r>
        <w:t xml:space="preserve"> avoided cost of energy, the relevant market prices were those that were forecast at the time the QF PPAs were executed, not current spot market prices.</w:t>
      </w:r>
    </w:p>
    <w:p w:rsidR="001F0FCC" w:rsidRDefault="001F0FCC" w:rsidP="00103FB7">
      <w:pPr>
        <w:pStyle w:val="BodyTextIndent2"/>
        <w:tabs>
          <w:tab w:val="clear" w:pos="720"/>
        </w:tabs>
        <w:rPr>
          <w:b/>
          <w:szCs w:val="24"/>
        </w:rPr>
      </w:pPr>
      <w:r>
        <w:rPr>
          <w:b/>
          <w:szCs w:val="24"/>
        </w:rPr>
        <w:t>Q.</w:t>
      </w:r>
      <w:r>
        <w:rPr>
          <w:b/>
          <w:szCs w:val="24"/>
        </w:rPr>
        <w:tab/>
        <w:t>Has the Commission recognized that avoided cost prices must account for both energy and capacity?</w:t>
      </w:r>
    </w:p>
    <w:p w:rsidR="001F0FCC" w:rsidRDefault="001F0FCC" w:rsidP="001F0FCC">
      <w:pPr>
        <w:pStyle w:val="BodyTextIndent2"/>
        <w:tabs>
          <w:tab w:val="clear" w:pos="720"/>
        </w:tabs>
        <w:rPr>
          <w:szCs w:val="24"/>
        </w:rPr>
      </w:pPr>
      <w:r>
        <w:rPr>
          <w:szCs w:val="24"/>
        </w:rPr>
        <w:t>A.</w:t>
      </w:r>
      <w:r>
        <w:rPr>
          <w:szCs w:val="24"/>
        </w:rPr>
        <w:tab/>
        <w:t>Yes.  Pacifi</w:t>
      </w:r>
      <w:r w:rsidR="00DF658D">
        <w:rPr>
          <w:szCs w:val="24"/>
        </w:rPr>
        <w:t>c Power’s</w:t>
      </w:r>
      <w:r>
        <w:rPr>
          <w:szCs w:val="24"/>
        </w:rPr>
        <w:t xml:space="preserve"> </w:t>
      </w:r>
      <w:r w:rsidR="008F6A1A">
        <w:rPr>
          <w:szCs w:val="24"/>
        </w:rPr>
        <w:t xml:space="preserve">current </w:t>
      </w:r>
      <w:r>
        <w:rPr>
          <w:szCs w:val="24"/>
        </w:rPr>
        <w:t xml:space="preserve">Schedule 37 requires the Company to pay QFs in Washington for both energy and capacity, with energy payments reflecting the Company’s incremental cost of market transactions and thermal output, and capacity payments reflecting the fixed costs associated with a simple cycle combustion turbine for three months per year.  The inclusion of capacity payments in </w:t>
      </w:r>
      <w:r w:rsidR="00E33B23">
        <w:rPr>
          <w:szCs w:val="24"/>
        </w:rPr>
        <w:t xml:space="preserve">Washington’s </w:t>
      </w:r>
      <w:r>
        <w:rPr>
          <w:szCs w:val="24"/>
        </w:rPr>
        <w:t>avoided cost</w:t>
      </w:r>
      <w:r w:rsidR="00E33B23">
        <w:rPr>
          <w:szCs w:val="24"/>
        </w:rPr>
        <w:t xml:space="preserve"> calculation</w:t>
      </w:r>
      <w:r>
        <w:rPr>
          <w:szCs w:val="24"/>
        </w:rPr>
        <w:t xml:space="preserve"> </w:t>
      </w:r>
      <w:r w:rsidR="00E33B23">
        <w:rPr>
          <w:szCs w:val="24"/>
        </w:rPr>
        <w:t>demonstrates</w:t>
      </w:r>
      <w:r>
        <w:rPr>
          <w:szCs w:val="24"/>
        </w:rPr>
        <w:t xml:space="preserve"> th</w:t>
      </w:r>
      <w:r w:rsidR="00621500">
        <w:rPr>
          <w:szCs w:val="24"/>
        </w:rPr>
        <w:t xml:space="preserve">at, in the </w:t>
      </w:r>
      <w:r w:rsidR="00C420C1">
        <w:rPr>
          <w:szCs w:val="24"/>
        </w:rPr>
        <w:t xml:space="preserve">current </w:t>
      </w:r>
      <w:r w:rsidR="00621500">
        <w:rPr>
          <w:szCs w:val="24"/>
        </w:rPr>
        <w:t>view of the Commission,</w:t>
      </w:r>
      <w:r>
        <w:rPr>
          <w:szCs w:val="24"/>
        </w:rPr>
        <w:t xml:space="preserve"> market prices alone are not equivalent to avoided cost prices.  </w:t>
      </w:r>
    </w:p>
    <w:p w:rsidR="00C54892" w:rsidRDefault="00C54892" w:rsidP="001F0FCC">
      <w:pPr>
        <w:pStyle w:val="BodyTextIndent2"/>
        <w:tabs>
          <w:tab w:val="clear" w:pos="720"/>
        </w:tabs>
        <w:rPr>
          <w:szCs w:val="24"/>
        </w:rPr>
      </w:pPr>
      <w:r>
        <w:rPr>
          <w:b/>
          <w:szCs w:val="24"/>
        </w:rPr>
        <w:t xml:space="preserve">Q. </w:t>
      </w:r>
      <w:r>
        <w:rPr>
          <w:b/>
          <w:szCs w:val="24"/>
        </w:rPr>
        <w:tab/>
        <w:t>Has Staff recognized that wind resources provide capacity value to Washington customers?</w:t>
      </w:r>
    </w:p>
    <w:p w:rsidR="00C54892" w:rsidRPr="00C54892" w:rsidRDefault="00C54892" w:rsidP="001F0FCC">
      <w:pPr>
        <w:pStyle w:val="BodyTextIndent2"/>
        <w:tabs>
          <w:tab w:val="clear" w:pos="720"/>
        </w:tabs>
        <w:rPr>
          <w:szCs w:val="24"/>
        </w:rPr>
      </w:pPr>
      <w:r>
        <w:rPr>
          <w:szCs w:val="24"/>
        </w:rPr>
        <w:t>A.</w:t>
      </w:r>
      <w:r>
        <w:rPr>
          <w:szCs w:val="24"/>
        </w:rPr>
        <w:tab/>
        <w:t xml:space="preserve">Yes.  Staff’s cost of service testimony expressly </w:t>
      </w:r>
      <w:r w:rsidR="00FD03C9">
        <w:rPr>
          <w:szCs w:val="24"/>
        </w:rPr>
        <w:t xml:space="preserve">recognizes </w:t>
      </w:r>
      <w:r>
        <w:rPr>
          <w:szCs w:val="24"/>
        </w:rPr>
        <w:t xml:space="preserve">that wind resources provide capacity to meet </w:t>
      </w:r>
      <w:r w:rsidR="004D6176">
        <w:rPr>
          <w:szCs w:val="24"/>
        </w:rPr>
        <w:t>the Company’s</w:t>
      </w:r>
      <w:r>
        <w:rPr>
          <w:szCs w:val="24"/>
        </w:rPr>
        <w:t xml:space="preserve"> peak load.</w:t>
      </w:r>
      <w:r>
        <w:rPr>
          <w:rStyle w:val="FootnoteReference"/>
          <w:szCs w:val="24"/>
        </w:rPr>
        <w:footnoteReference w:id="19"/>
      </w:r>
      <w:r w:rsidR="00FD03C9">
        <w:rPr>
          <w:szCs w:val="24"/>
        </w:rPr>
        <w:t xml:space="preserve">  As described in the cost of service testimony of Ms. Joelle R. Steward, the Company’s west control area wind resources, including the out-of-state QFs, contribute 25.4 percent of their nameplate capacity to meet</w:t>
      </w:r>
      <w:r w:rsidR="000E4873">
        <w:rPr>
          <w:szCs w:val="24"/>
        </w:rPr>
        <w:t xml:space="preserve"> total system</w:t>
      </w:r>
      <w:r w:rsidR="00FD03C9">
        <w:rPr>
          <w:szCs w:val="24"/>
        </w:rPr>
        <w:t xml:space="preserve"> </w:t>
      </w:r>
      <w:r w:rsidR="000E4873">
        <w:rPr>
          <w:szCs w:val="24"/>
        </w:rPr>
        <w:t>peak load</w:t>
      </w:r>
      <w:r w:rsidR="00F319E0">
        <w:rPr>
          <w:szCs w:val="24"/>
        </w:rPr>
        <w:t>.</w:t>
      </w:r>
      <w:r w:rsidR="00FD03C9">
        <w:rPr>
          <w:szCs w:val="24"/>
        </w:rPr>
        <w:t xml:space="preserve"> </w:t>
      </w:r>
    </w:p>
    <w:p w:rsidR="00785D07" w:rsidRDefault="001F0FCC" w:rsidP="00785D07">
      <w:pPr>
        <w:pStyle w:val="BodyTextIndent2"/>
        <w:widowControl w:val="0"/>
        <w:tabs>
          <w:tab w:val="clear" w:pos="720"/>
        </w:tabs>
        <w:rPr>
          <w:b/>
          <w:szCs w:val="24"/>
        </w:rPr>
      </w:pPr>
      <w:r>
        <w:rPr>
          <w:b/>
          <w:szCs w:val="24"/>
        </w:rPr>
        <w:t>Q.</w:t>
      </w:r>
      <w:r>
        <w:rPr>
          <w:b/>
          <w:szCs w:val="24"/>
        </w:rPr>
        <w:tab/>
        <w:t>Why is it necessary for the avoided cost price</w:t>
      </w:r>
      <w:r w:rsidR="00B27D55">
        <w:rPr>
          <w:b/>
          <w:szCs w:val="24"/>
        </w:rPr>
        <w:t>s</w:t>
      </w:r>
      <w:r>
        <w:rPr>
          <w:b/>
          <w:szCs w:val="24"/>
        </w:rPr>
        <w:t xml:space="preserve"> to account for both energy and capacity?</w:t>
      </w:r>
    </w:p>
    <w:p w:rsidR="001F0FCC" w:rsidRDefault="001F0FCC" w:rsidP="00785D07">
      <w:pPr>
        <w:pStyle w:val="BodyTextIndent2"/>
        <w:widowControl w:val="0"/>
        <w:tabs>
          <w:tab w:val="clear" w:pos="720"/>
        </w:tabs>
        <w:rPr>
          <w:szCs w:val="24"/>
        </w:rPr>
      </w:pPr>
      <w:r>
        <w:rPr>
          <w:szCs w:val="24"/>
        </w:rPr>
        <w:t>A.</w:t>
      </w:r>
      <w:r>
        <w:rPr>
          <w:szCs w:val="24"/>
        </w:rPr>
        <w:tab/>
      </w:r>
      <w:r w:rsidR="00E33B23">
        <w:rPr>
          <w:szCs w:val="24"/>
        </w:rPr>
        <w:t xml:space="preserve">It is my understanding that </w:t>
      </w:r>
      <w:r>
        <w:rPr>
          <w:szCs w:val="24"/>
        </w:rPr>
        <w:t>PURPA mandates the use of avoided cost prices to ensure customer indifference to the QF transaction.  In other words, customers should be no better or worse off because Pacifi</w:t>
      </w:r>
      <w:r w:rsidR="00DF658D">
        <w:rPr>
          <w:szCs w:val="24"/>
        </w:rPr>
        <w:t>c Power</w:t>
      </w:r>
      <w:r>
        <w:rPr>
          <w:szCs w:val="24"/>
        </w:rPr>
        <w:t xml:space="preserve"> is purchasing its energy and capacity from a QF rather than from another source.  However, if Washington customers are paying for only the energy from out-of-state QFs, Washington customers are benefiting from the capacity value provided by the QFs without paying for it.  Therefore, re-pricing the out-of-state QF PPAs at market prices does not result in customer indifference.  </w:t>
      </w:r>
    </w:p>
    <w:p w:rsidR="001F0FCC" w:rsidRDefault="001F0FCC" w:rsidP="001F0FCC">
      <w:pPr>
        <w:pStyle w:val="BodyTextIndent2"/>
        <w:tabs>
          <w:tab w:val="clear" w:pos="720"/>
        </w:tabs>
        <w:rPr>
          <w:szCs w:val="24"/>
        </w:rPr>
      </w:pPr>
      <w:r>
        <w:rPr>
          <w:b/>
          <w:szCs w:val="24"/>
        </w:rPr>
        <w:t>Q.</w:t>
      </w:r>
      <w:r>
        <w:rPr>
          <w:b/>
          <w:szCs w:val="24"/>
        </w:rPr>
        <w:tab/>
        <w:t xml:space="preserve">Has the Commission </w:t>
      </w:r>
      <w:r w:rsidR="00E33B23">
        <w:rPr>
          <w:b/>
          <w:szCs w:val="24"/>
        </w:rPr>
        <w:t xml:space="preserve">previously </w:t>
      </w:r>
      <w:r>
        <w:rPr>
          <w:b/>
          <w:szCs w:val="24"/>
        </w:rPr>
        <w:t>recognized the importance of ensuring customer indifference?</w:t>
      </w:r>
    </w:p>
    <w:p w:rsidR="001F0FCC" w:rsidRDefault="001F0FCC" w:rsidP="001F0FCC">
      <w:pPr>
        <w:pStyle w:val="BodyTextIndent2"/>
        <w:tabs>
          <w:tab w:val="clear" w:pos="720"/>
        </w:tabs>
        <w:rPr>
          <w:szCs w:val="24"/>
        </w:rPr>
      </w:pPr>
      <w:r>
        <w:rPr>
          <w:szCs w:val="24"/>
        </w:rPr>
        <w:t>A.</w:t>
      </w:r>
      <w:r>
        <w:rPr>
          <w:szCs w:val="24"/>
        </w:rPr>
        <w:tab/>
        <w:t>Yes.  The Commission has observed that “</w:t>
      </w:r>
      <w:r w:rsidR="00B27D55">
        <w:rPr>
          <w:szCs w:val="24"/>
        </w:rPr>
        <w:t>[b]</w:t>
      </w:r>
      <w:r>
        <w:rPr>
          <w:szCs w:val="24"/>
        </w:rPr>
        <w:t>y its own terms, PURPA was meant to protect the ratepayers.  Avoided cost prices should be established to be no greater than that which the ratepayers would be expected to pay without PURPA.”</w:t>
      </w:r>
      <w:r>
        <w:rPr>
          <w:rStyle w:val="FootnoteReference"/>
          <w:szCs w:val="24"/>
        </w:rPr>
        <w:footnoteReference w:id="20"/>
      </w:r>
      <w:r>
        <w:rPr>
          <w:szCs w:val="24"/>
        </w:rPr>
        <w:t xml:space="preserve">  </w:t>
      </w:r>
    </w:p>
    <w:p w:rsidR="001F0FCC" w:rsidRDefault="001F0FCC" w:rsidP="001F0FCC">
      <w:pPr>
        <w:pStyle w:val="BodyTextIndent2"/>
      </w:pPr>
      <w:r>
        <w:rPr>
          <w:b/>
        </w:rPr>
        <w:t>Q.</w:t>
      </w:r>
      <w:r>
        <w:rPr>
          <w:b/>
        </w:rPr>
        <w:tab/>
        <w:t>How do current market prices compare with the market prices at the time the QFs were executed?</w:t>
      </w:r>
    </w:p>
    <w:p w:rsidR="001F0FCC" w:rsidRPr="00210E12" w:rsidRDefault="001F0FCC" w:rsidP="001F0FCC">
      <w:pPr>
        <w:pStyle w:val="BodyTextIndent2"/>
        <w:rPr>
          <w:szCs w:val="24"/>
        </w:rPr>
      </w:pPr>
      <w:r>
        <w:t>A.</w:t>
      </w:r>
      <w:r>
        <w:tab/>
        <w:t xml:space="preserve">The majority of the out-of-state QFs were executed within the last six years.  During that time, market prices have decreased </w:t>
      </w:r>
      <w:r w:rsidR="00075CB1">
        <w:t>by more than half</w:t>
      </w:r>
      <w:r>
        <w:t>.  Thus, even if the Commission’s re-pricing method was reasonable for purposes of determining the avoided cost of energy, the contracts must be re-priced at the higher market prices that were anticipated at the time each PPA was executed</w:t>
      </w:r>
      <w:r w:rsidR="00E33B23">
        <w:t>.</w:t>
      </w:r>
      <w:r w:rsidR="00103FB7">
        <w:t xml:space="preserve"> </w:t>
      </w:r>
      <w:r w:rsidR="001118EA">
        <w:t xml:space="preserve"> </w:t>
      </w:r>
      <w:r w:rsidR="00103FB7">
        <w:t xml:space="preserve">The Company’s re-pricing </w:t>
      </w:r>
      <w:r w:rsidR="00DC53F7">
        <w:t>proposal</w:t>
      </w:r>
      <w:r w:rsidR="00103FB7">
        <w:t xml:space="preserve"> effectively captures the relevant forward prices and demonstrates the declining market prices.</w:t>
      </w:r>
    </w:p>
    <w:p w:rsidR="001F0FCC" w:rsidRDefault="001F0FCC" w:rsidP="001F0FCC">
      <w:pPr>
        <w:pStyle w:val="BodyTextIndent2"/>
        <w:tabs>
          <w:tab w:val="clear" w:pos="720"/>
        </w:tabs>
        <w:rPr>
          <w:szCs w:val="24"/>
        </w:rPr>
      </w:pPr>
      <w:r>
        <w:rPr>
          <w:b/>
          <w:szCs w:val="24"/>
        </w:rPr>
        <w:t>Q.</w:t>
      </w:r>
      <w:r>
        <w:rPr>
          <w:b/>
          <w:szCs w:val="24"/>
        </w:rPr>
        <w:tab/>
        <w:t>Staff claims that the Company provided only vague assertions regarding the benefits provided by the out-of-state QFs to Washington customers.</w:t>
      </w:r>
      <w:r>
        <w:rPr>
          <w:rStyle w:val="FootnoteReference"/>
          <w:b/>
          <w:szCs w:val="24"/>
        </w:rPr>
        <w:footnoteReference w:id="21"/>
      </w:r>
      <w:r>
        <w:rPr>
          <w:b/>
          <w:szCs w:val="24"/>
        </w:rPr>
        <w:t xml:space="preserve">  Boise claims that the Company </w:t>
      </w:r>
      <w:r w:rsidR="00B27D55">
        <w:rPr>
          <w:b/>
          <w:szCs w:val="24"/>
        </w:rPr>
        <w:t>did not</w:t>
      </w:r>
      <w:r>
        <w:rPr>
          <w:b/>
          <w:szCs w:val="24"/>
        </w:rPr>
        <w:t xml:space="preserve"> identif</w:t>
      </w:r>
      <w:r w:rsidR="00B27D55">
        <w:rPr>
          <w:b/>
          <w:szCs w:val="24"/>
        </w:rPr>
        <w:t>y</w:t>
      </w:r>
      <w:r>
        <w:rPr>
          <w:b/>
          <w:szCs w:val="24"/>
        </w:rPr>
        <w:t xml:space="preserve"> any direct benefit provided by these QFs that would support full cost recovery.</w:t>
      </w:r>
      <w:r>
        <w:rPr>
          <w:rStyle w:val="FootnoteReference"/>
          <w:b/>
          <w:szCs w:val="24"/>
        </w:rPr>
        <w:footnoteReference w:id="22"/>
      </w:r>
      <w:r>
        <w:rPr>
          <w:b/>
          <w:szCs w:val="24"/>
        </w:rPr>
        <w:t xml:space="preserve">  What benefits are provided by the out-of-state QFs?</w:t>
      </w:r>
    </w:p>
    <w:p w:rsidR="001F0FCC" w:rsidRDefault="001F0FCC" w:rsidP="001F0FCC">
      <w:pPr>
        <w:pStyle w:val="BodyTextIndent2"/>
        <w:tabs>
          <w:tab w:val="clear" w:pos="720"/>
        </w:tabs>
        <w:rPr>
          <w:szCs w:val="24"/>
        </w:rPr>
      </w:pPr>
      <w:r>
        <w:rPr>
          <w:szCs w:val="24"/>
        </w:rPr>
        <w:t>A.</w:t>
      </w:r>
      <w:r>
        <w:rPr>
          <w:szCs w:val="24"/>
        </w:rPr>
        <w:tab/>
        <w:t>In addition to providing the capacity benefits discussed above, the out-of-state QFs provide significant benefits because they are renewable, emission</w:t>
      </w:r>
      <w:r w:rsidR="001118EA">
        <w:rPr>
          <w:szCs w:val="24"/>
        </w:rPr>
        <w:t>-</w:t>
      </w:r>
      <w:r>
        <w:rPr>
          <w:szCs w:val="24"/>
        </w:rPr>
        <w:t>free generators.  Washington state policymakers have been clear that renewable generation provides significant environmental, cultural, economic, and health benefits to Washington residents.  Thus, the state has taken extensive measures to mandate and promote the development of exactly the types of resources that Staff</w:t>
      </w:r>
      <w:r w:rsidR="00B27D55">
        <w:rPr>
          <w:szCs w:val="24"/>
        </w:rPr>
        <w:t xml:space="preserve"> and Boise claim</w:t>
      </w:r>
      <w:r>
        <w:rPr>
          <w:szCs w:val="24"/>
        </w:rPr>
        <w:t xml:space="preserve"> provide no benefit to Washington. </w:t>
      </w:r>
    </w:p>
    <w:p w:rsidR="00E37200" w:rsidRPr="00664273" w:rsidRDefault="001F0FCC" w:rsidP="001F0FCC">
      <w:pPr>
        <w:pStyle w:val="BodyTextIndent2"/>
        <w:tabs>
          <w:tab w:val="clear" w:pos="720"/>
        </w:tabs>
        <w:rPr>
          <w:szCs w:val="24"/>
        </w:rPr>
      </w:pPr>
      <w:r>
        <w:rPr>
          <w:szCs w:val="24"/>
        </w:rPr>
        <w:tab/>
      </w:r>
      <w:r>
        <w:rPr>
          <w:szCs w:val="24"/>
        </w:rPr>
        <w:tab/>
        <w:t xml:space="preserve">Emission-free resources </w:t>
      </w:r>
      <w:r w:rsidR="001118EA">
        <w:rPr>
          <w:szCs w:val="24"/>
        </w:rPr>
        <w:t>may</w:t>
      </w:r>
      <w:r>
        <w:rPr>
          <w:szCs w:val="24"/>
        </w:rPr>
        <w:t xml:space="preserve"> act as a hedge against future carbon regulation, the exact nature of which is currently unknown.  In</w:t>
      </w:r>
      <w:r w:rsidR="00B27D55">
        <w:rPr>
          <w:szCs w:val="24"/>
        </w:rPr>
        <w:t xml:space="preserve"> fact</w:t>
      </w:r>
      <w:r>
        <w:rPr>
          <w:szCs w:val="24"/>
        </w:rPr>
        <w:t xml:space="preserve">, the Commission has acknowledged that future carbon regulation may have a significant impact on </w:t>
      </w:r>
      <w:r w:rsidR="00DF658D">
        <w:rPr>
          <w:szCs w:val="24"/>
        </w:rPr>
        <w:t>the Company’s</w:t>
      </w:r>
      <w:r>
        <w:rPr>
          <w:szCs w:val="24"/>
        </w:rPr>
        <w:t xml:space="preserve"> operations.</w:t>
      </w:r>
      <w:r>
        <w:rPr>
          <w:rStyle w:val="FootnoteReference"/>
          <w:szCs w:val="24"/>
        </w:rPr>
        <w:footnoteReference w:id="23"/>
      </w:r>
      <w:r>
        <w:rPr>
          <w:szCs w:val="24"/>
        </w:rPr>
        <w:t xml:space="preserve">  The </w:t>
      </w:r>
      <w:r w:rsidR="00E33B23">
        <w:rPr>
          <w:szCs w:val="24"/>
        </w:rPr>
        <w:t xml:space="preserve">out-of-state </w:t>
      </w:r>
      <w:r>
        <w:rPr>
          <w:szCs w:val="24"/>
        </w:rPr>
        <w:t>QFs,</w:t>
      </w:r>
      <w:r w:rsidRPr="00D867BD">
        <w:rPr>
          <w:szCs w:val="24"/>
        </w:rPr>
        <w:t xml:space="preserve"> </w:t>
      </w:r>
      <w:r>
        <w:rPr>
          <w:szCs w:val="24"/>
        </w:rPr>
        <w:t>like all of</w:t>
      </w:r>
      <w:r w:rsidR="00DF658D">
        <w:rPr>
          <w:szCs w:val="24"/>
        </w:rPr>
        <w:t xml:space="preserve"> the Company’s</w:t>
      </w:r>
      <w:r>
        <w:rPr>
          <w:szCs w:val="24"/>
        </w:rPr>
        <w:t xml:space="preserve"> </w:t>
      </w:r>
      <w:r w:rsidR="00E33B23">
        <w:rPr>
          <w:szCs w:val="24"/>
        </w:rPr>
        <w:t xml:space="preserve">renewable </w:t>
      </w:r>
      <w:r>
        <w:rPr>
          <w:szCs w:val="24"/>
        </w:rPr>
        <w:t xml:space="preserve">resources, will help to mitigate that impact.  </w:t>
      </w:r>
    </w:p>
    <w:p w:rsidR="001F0FCC" w:rsidRDefault="001F0FCC" w:rsidP="001F0FCC">
      <w:pPr>
        <w:pStyle w:val="BodyTextIndent2"/>
        <w:tabs>
          <w:tab w:val="clear" w:pos="720"/>
        </w:tabs>
        <w:rPr>
          <w:szCs w:val="24"/>
        </w:rPr>
      </w:pPr>
      <w:r>
        <w:rPr>
          <w:b/>
          <w:szCs w:val="24"/>
        </w:rPr>
        <w:t>Q.</w:t>
      </w:r>
      <w:r w:rsidR="00E37200">
        <w:rPr>
          <w:b/>
          <w:szCs w:val="24"/>
        </w:rPr>
        <w:tab/>
      </w:r>
      <w:r>
        <w:rPr>
          <w:b/>
          <w:szCs w:val="24"/>
        </w:rPr>
        <w:t>What other benefits are provided by the out-of-state QFs?</w:t>
      </w:r>
    </w:p>
    <w:p w:rsidR="001F0FCC" w:rsidRDefault="001F0FCC" w:rsidP="001F0FCC">
      <w:pPr>
        <w:pStyle w:val="BodyTextIndent2"/>
        <w:tabs>
          <w:tab w:val="clear" w:pos="720"/>
        </w:tabs>
        <w:rPr>
          <w:szCs w:val="24"/>
        </w:rPr>
      </w:pPr>
      <w:r>
        <w:rPr>
          <w:szCs w:val="24"/>
        </w:rPr>
        <w:t>A.</w:t>
      </w:r>
      <w:r>
        <w:rPr>
          <w:szCs w:val="24"/>
        </w:rPr>
        <w:tab/>
        <w:t xml:space="preserve">The QFs provide diversity to the Company’s resource portfolio, which can act to reduce risk.  Indeed, </w:t>
      </w:r>
      <w:r w:rsidRPr="00B410DB">
        <w:rPr>
          <w:i/>
          <w:szCs w:val="24"/>
        </w:rPr>
        <w:t>in this case</w:t>
      </w:r>
      <w:r>
        <w:rPr>
          <w:szCs w:val="24"/>
        </w:rPr>
        <w:t xml:space="preserve"> Mr. Mullins testified </w:t>
      </w:r>
      <w:r w:rsidR="00B27D55">
        <w:rPr>
          <w:szCs w:val="24"/>
        </w:rPr>
        <w:t xml:space="preserve">on behalf of Boise </w:t>
      </w:r>
      <w:r>
        <w:rPr>
          <w:szCs w:val="24"/>
        </w:rPr>
        <w:t>about the many benefits provided by wind resources, including the out-of-state QFs:</w:t>
      </w:r>
    </w:p>
    <w:p w:rsidR="001F0FCC" w:rsidRDefault="001F0FCC" w:rsidP="00B27D55">
      <w:pPr>
        <w:pStyle w:val="BodyTextIndent2"/>
        <w:tabs>
          <w:tab w:val="clear" w:pos="720"/>
        </w:tabs>
        <w:spacing w:after="240" w:line="240" w:lineRule="auto"/>
        <w:ind w:left="1440" w:right="1440" w:firstLine="0"/>
        <w:rPr>
          <w:szCs w:val="24"/>
        </w:rPr>
      </w:pPr>
      <w:r>
        <w:rPr>
          <w:szCs w:val="24"/>
        </w:rPr>
        <w:t>Portfolio diversification is one of the fundamental principles relied on by utilities in order to develop a least-cost, least-risk portfolio</w:t>
      </w:r>
      <w:r w:rsidR="00F81FDE">
        <w:rPr>
          <w:szCs w:val="24"/>
        </w:rPr>
        <w:t xml:space="preserve"> </w:t>
      </w:r>
      <w:r>
        <w:rPr>
          <w:szCs w:val="24"/>
        </w:rPr>
        <w:t>. . .</w:t>
      </w:r>
      <w:r w:rsidR="00B27D55">
        <w:rPr>
          <w:szCs w:val="24"/>
        </w:rPr>
        <w:t xml:space="preserve"> .</w:t>
      </w:r>
      <w:r>
        <w:rPr>
          <w:szCs w:val="24"/>
        </w:rPr>
        <w:t xml:space="preserve"> For purposes of utility planning, this means that a utility will benefit from procuring power supplies that are dependent on many different fuel and resource types.</w:t>
      </w:r>
      <w:r>
        <w:rPr>
          <w:rStyle w:val="FootnoteReference"/>
          <w:szCs w:val="24"/>
        </w:rPr>
        <w:footnoteReference w:id="24"/>
      </w:r>
    </w:p>
    <w:p w:rsidR="001F0FCC" w:rsidRDefault="00CD00CC" w:rsidP="001F0FCC">
      <w:pPr>
        <w:pStyle w:val="BodyTextIndent2"/>
        <w:tabs>
          <w:tab w:val="clear" w:pos="720"/>
        </w:tabs>
        <w:rPr>
          <w:szCs w:val="24"/>
        </w:rPr>
      </w:pPr>
      <w:r>
        <w:rPr>
          <w:szCs w:val="24"/>
        </w:rPr>
        <w:tab/>
        <w:t>Thus, Mr. Mullins</w:t>
      </w:r>
      <w:r w:rsidR="001F0FCC">
        <w:rPr>
          <w:szCs w:val="24"/>
        </w:rPr>
        <w:t xml:space="preserve"> concluded that </w:t>
      </w:r>
      <w:r w:rsidR="00DF658D">
        <w:rPr>
          <w:szCs w:val="24"/>
        </w:rPr>
        <w:t>the Company</w:t>
      </w:r>
      <w:r w:rsidR="001F0FCC">
        <w:rPr>
          <w:szCs w:val="24"/>
        </w:rPr>
        <w:t>’s “overall system is benefiting as a result of the diverse nature of all the resources in its portfolio.”</w:t>
      </w:r>
      <w:r w:rsidR="001F0FCC">
        <w:rPr>
          <w:rStyle w:val="FootnoteReference"/>
          <w:szCs w:val="24"/>
        </w:rPr>
        <w:footnoteReference w:id="25"/>
      </w:r>
    </w:p>
    <w:p w:rsidR="001F0FCC" w:rsidRDefault="001F0FCC" w:rsidP="001F0FCC">
      <w:pPr>
        <w:pStyle w:val="BodyTextIndent2"/>
        <w:tabs>
          <w:tab w:val="clear" w:pos="720"/>
        </w:tabs>
        <w:rPr>
          <w:szCs w:val="24"/>
        </w:rPr>
      </w:pPr>
      <w:r>
        <w:rPr>
          <w:b/>
          <w:szCs w:val="24"/>
        </w:rPr>
        <w:t>Q.</w:t>
      </w:r>
      <w:r>
        <w:rPr>
          <w:b/>
          <w:szCs w:val="24"/>
        </w:rPr>
        <w:tab/>
        <w:t xml:space="preserve">Do the QFs allow </w:t>
      </w:r>
      <w:r w:rsidR="00DF658D">
        <w:rPr>
          <w:b/>
          <w:szCs w:val="24"/>
        </w:rPr>
        <w:t>the Company</w:t>
      </w:r>
      <w:r>
        <w:rPr>
          <w:b/>
          <w:szCs w:val="24"/>
        </w:rPr>
        <w:t xml:space="preserve"> to avoid other costs?</w:t>
      </w:r>
    </w:p>
    <w:p w:rsidR="00A8668B" w:rsidRDefault="001F0FCC" w:rsidP="00A8668B">
      <w:pPr>
        <w:pStyle w:val="BodyTextIndent2"/>
        <w:tabs>
          <w:tab w:val="clear" w:pos="720"/>
        </w:tabs>
        <w:rPr>
          <w:szCs w:val="24"/>
        </w:rPr>
      </w:pPr>
      <w:r>
        <w:rPr>
          <w:szCs w:val="24"/>
        </w:rPr>
        <w:t>A.</w:t>
      </w:r>
      <w:r>
        <w:rPr>
          <w:szCs w:val="24"/>
        </w:rPr>
        <w:tab/>
        <w:t xml:space="preserve">Yes.  </w:t>
      </w:r>
      <w:r w:rsidR="00B27D55">
        <w:rPr>
          <w:szCs w:val="24"/>
        </w:rPr>
        <w:t>Without</w:t>
      </w:r>
      <w:r>
        <w:rPr>
          <w:szCs w:val="24"/>
        </w:rPr>
        <w:t xml:space="preserve"> the energy and capacity provided by the QFs, Pacifi</w:t>
      </w:r>
      <w:r w:rsidR="00DF658D">
        <w:rPr>
          <w:szCs w:val="24"/>
        </w:rPr>
        <w:t>c Power</w:t>
      </w:r>
      <w:r>
        <w:rPr>
          <w:szCs w:val="24"/>
        </w:rPr>
        <w:t xml:space="preserve"> may have had to procure additional resources.  These additional resources may or may not have been renewable</w:t>
      </w:r>
      <w:r w:rsidR="00B27D55">
        <w:rPr>
          <w:szCs w:val="24"/>
        </w:rPr>
        <w:t>, yet</w:t>
      </w:r>
      <w:r>
        <w:rPr>
          <w:szCs w:val="24"/>
        </w:rPr>
        <w:t xml:space="preserve"> under the WCA these resources would have been included in Washington rates.  </w:t>
      </w:r>
    </w:p>
    <w:p w:rsidR="001F0FCC" w:rsidRDefault="001F0FCC" w:rsidP="00A8668B">
      <w:pPr>
        <w:pStyle w:val="BodyTextIndent2"/>
        <w:widowControl w:val="0"/>
        <w:tabs>
          <w:tab w:val="clear" w:pos="720"/>
        </w:tabs>
        <w:rPr>
          <w:szCs w:val="24"/>
        </w:rPr>
      </w:pPr>
      <w:r>
        <w:rPr>
          <w:b/>
          <w:szCs w:val="24"/>
        </w:rPr>
        <w:t>Q.</w:t>
      </w:r>
      <w:r>
        <w:rPr>
          <w:b/>
          <w:szCs w:val="24"/>
        </w:rPr>
        <w:tab/>
        <w:t>Are there any other benefits provided by QFs?</w:t>
      </w:r>
    </w:p>
    <w:p w:rsidR="001F0FCC" w:rsidRDefault="001F0FCC" w:rsidP="00A8668B">
      <w:pPr>
        <w:pStyle w:val="BodyTextIndent2"/>
        <w:widowControl w:val="0"/>
        <w:tabs>
          <w:tab w:val="clear" w:pos="720"/>
        </w:tabs>
        <w:rPr>
          <w:szCs w:val="24"/>
        </w:rPr>
      </w:pPr>
      <w:r>
        <w:rPr>
          <w:szCs w:val="24"/>
        </w:rPr>
        <w:t>A.</w:t>
      </w:r>
      <w:r>
        <w:rPr>
          <w:szCs w:val="24"/>
        </w:rPr>
        <w:tab/>
        <w:t xml:space="preserve">Yes.  In a docket before the </w:t>
      </w:r>
      <w:r w:rsidR="00B27D55">
        <w:rPr>
          <w:szCs w:val="24"/>
        </w:rPr>
        <w:t>Public Utility Commission of Oregon (OPUC)</w:t>
      </w:r>
      <w:r>
        <w:rPr>
          <w:szCs w:val="24"/>
        </w:rPr>
        <w:t xml:space="preserve">, </w:t>
      </w:r>
      <w:r w:rsidR="000F4305">
        <w:rPr>
          <w:szCs w:val="24"/>
        </w:rPr>
        <w:t xml:space="preserve">Boise’s </w:t>
      </w:r>
      <w:r w:rsidR="00050F26">
        <w:rPr>
          <w:szCs w:val="24"/>
        </w:rPr>
        <w:t xml:space="preserve">energy trade </w:t>
      </w:r>
      <w:r w:rsidR="000F4305">
        <w:rPr>
          <w:szCs w:val="24"/>
        </w:rPr>
        <w:t xml:space="preserve">association </w:t>
      </w:r>
      <w:r>
        <w:rPr>
          <w:szCs w:val="24"/>
        </w:rPr>
        <w:t xml:space="preserve">ICNU submitted testimony from </w:t>
      </w:r>
      <w:r w:rsidR="00E37200">
        <w:rPr>
          <w:szCs w:val="24"/>
        </w:rPr>
        <w:t xml:space="preserve">its expert </w:t>
      </w:r>
      <w:r w:rsidR="00785D07">
        <w:rPr>
          <w:szCs w:val="24"/>
        </w:rPr>
        <w:t xml:space="preserve">Mr. </w:t>
      </w:r>
      <w:r>
        <w:rPr>
          <w:szCs w:val="24"/>
        </w:rPr>
        <w:t xml:space="preserve">Donald </w:t>
      </w:r>
      <w:r w:rsidR="00785D07">
        <w:rPr>
          <w:szCs w:val="24"/>
        </w:rPr>
        <w:t xml:space="preserve">W. </w:t>
      </w:r>
      <w:r>
        <w:rPr>
          <w:szCs w:val="24"/>
        </w:rPr>
        <w:t>Schoenbeck.  ICNU’s testimony identified 11 different benefits provided by QFs, including the following:</w:t>
      </w:r>
    </w:p>
    <w:p w:rsidR="001F0FCC" w:rsidRDefault="001F0FCC" w:rsidP="00B27D55">
      <w:pPr>
        <w:pStyle w:val="BodyTextIndent2"/>
        <w:tabs>
          <w:tab w:val="clear" w:pos="720"/>
        </w:tabs>
        <w:spacing w:after="120" w:line="240" w:lineRule="auto"/>
        <w:ind w:left="1440" w:right="1440" w:firstLine="0"/>
        <w:rPr>
          <w:szCs w:val="24"/>
        </w:rPr>
      </w:pPr>
      <w:r w:rsidRPr="001F1418">
        <w:rPr>
          <w:szCs w:val="24"/>
        </w:rPr>
        <w:t xml:space="preserve">The second benefit is reliability. </w:t>
      </w:r>
      <w:r w:rsidR="00B27D55">
        <w:rPr>
          <w:szCs w:val="24"/>
        </w:rPr>
        <w:t xml:space="preserve"> </w:t>
      </w:r>
      <w:r w:rsidRPr="001F1418">
        <w:rPr>
          <w:szCs w:val="24"/>
        </w:rPr>
        <w:t>A system of 50 smaller generators of 200 MW each is significantly more reliable than a similar size system of 20 larger generators</w:t>
      </w:r>
      <w:r>
        <w:rPr>
          <w:szCs w:val="24"/>
        </w:rPr>
        <w:t xml:space="preserve"> </w:t>
      </w:r>
      <w:r w:rsidRPr="001F1418">
        <w:rPr>
          <w:szCs w:val="24"/>
        </w:rPr>
        <w:t xml:space="preserve">of 500 MW each. </w:t>
      </w:r>
      <w:r w:rsidR="00B27D55">
        <w:rPr>
          <w:szCs w:val="24"/>
        </w:rPr>
        <w:t xml:space="preserve"> </w:t>
      </w:r>
      <w:r w:rsidRPr="001F1418">
        <w:rPr>
          <w:szCs w:val="24"/>
        </w:rPr>
        <w:t>The smaller unit system is 100 times less likely to lose 1,000 MW of</w:t>
      </w:r>
      <w:r>
        <w:rPr>
          <w:szCs w:val="24"/>
        </w:rPr>
        <w:t xml:space="preserve"> </w:t>
      </w:r>
      <w:r w:rsidRPr="001F1418">
        <w:rPr>
          <w:szCs w:val="24"/>
        </w:rPr>
        <w:t>capacity simultaneously.</w:t>
      </w:r>
    </w:p>
    <w:p w:rsidR="001F0FCC" w:rsidRDefault="00B27D55" w:rsidP="00B27D55">
      <w:pPr>
        <w:pStyle w:val="BodyTextIndent2"/>
        <w:tabs>
          <w:tab w:val="clear" w:pos="720"/>
        </w:tabs>
        <w:spacing w:line="240" w:lineRule="auto"/>
        <w:ind w:left="1440" w:right="1440" w:firstLine="0"/>
        <w:jc w:val="center"/>
        <w:rPr>
          <w:szCs w:val="24"/>
        </w:rPr>
      </w:pPr>
      <w:r w:rsidRPr="00B27D55">
        <w:rPr>
          <w:szCs w:val="24"/>
        </w:rPr>
        <w:t>*</w:t>
      </w:r>
      <w:r>
        <w:rPr>
          <w:szCs w:val="24"/>
        </w:rPr>
        <w:tab/>
        <w:t>*</w:t>
      </w:r>
      <w:r>
        <w:rPr>
          <w:szCs w:val="24"/>
        </w:rPr>
        <w:tab/>
      </w:r>
      <w:r w:rsidR="001F0FCC">
        <w:rPr>
          <w:szCs w:val="24"/>
        </w:rPr>
        <w:t>*</w:t>
      </w:r>
    </w:p>
    <w:p w:rsidR="001F0FCC" w:rsidRDefault="001F0FCC" w:rsidP="00B27D55">
      <w:pPr>
        <w:pStyle w:val="BodyTextIndent2"/>
        <w:tabs>
          <w:tab w:val="clear" w:pos="720"/>
        </w:tabs>
        <w:spacing w:after="120" w:line="240" w:lineRule="auto"/>
        <w:ind w:left="1440" w:right="1440" w:firstLine="0"/>
        <w:rPr>
          <w:szCs w:val="24"/>
        </w:rPr>
      </w:pPr>
      <w:r w:rsidRPr="001F1418">
        <w:rPr>
          <w:szCs w:val="24"/>
        </w:rPr>
        <w:t xml:space="preserve">The fourth benefit is system diversity. </w:t>
      </w:r>
      <w:r w:rsidR="00B27D55">
        <w:rPr>
          <w:szCs w:val="24"/>
        </w:rPr>
        <w:t xml:space="preserve"> </w:t>
      </w:r>
      <w:r w:rsidRPr="001F1418">
        <w:rPr>
          <w:szCs w:val="24"/>
        </w:rPr>
        <w:t>Because they distribute electrical</w:t>
      </w:r>
      <w:r>
        <w:rPr>
          <w:szCs w:val="24"/>
        </w:rPr>
        <w:t xml:space="preserve"> </w:t>
      </w:r>
      <w:r w:rsidRPr="001F1418">
        <w:rPr>
          <w:szCs w:val="24"/>
        </w:rPr>
        <w:t>generation among smaller, more efficient generating facilities, policies that promote</w:t>
      </w:r>
      <w:r>
        <w:rPr>
          <w:szCs w:val="24"/>
        </w:rPr>
        <w:t xml:space="preserve"> </w:t>
      </w:r>
      <w:r w:rsidRPr="001F1418">
        <w:rPr>
          <w:szCs w:val="24"/>
        </w:rPr>
        <w:t>cogeneration increase the reliability of an energy portfolio in the same way a diversified</w:t>
      </w:r>
      <w:r>
        <w:rPr>
          <w:szCs w:val="24"/>
        </w:rPr>
        <w:t xml:space="preserve"> </w:t>
      </w:r>
      <w:r w:rsidRPr="001F1418">
        <w:rPr>
          <w:szCs w:val="24"/>
        </w:rPr>
        <w:t>investment strategy protects investors.</w:t>
      </w:r>
    </w:p>
    <w:p w:rsidR="00B27D55" w:rsidRDefault="00B27D55" w:rsidP="00B27D55">
      <w:pPr>
        <w:pStyle w:val="BodyTextIndent2"/>
        <w:tabs>
          <w:tab w:val="clear" w:pos="720"/>
        </w:tabs>
        <w:spacing w:line="240" w:lineRule="auto"/>
        <w:ind w:left="1440" w:right="1440" w:firstLine="0"/>
        <w:jc w:val="center"/>
        <w:rPr>
          <w:szCs w:val="24"/>
        </w:rPr>
      </w:pPr>
      <w:r w:rsidRPr="00B27D55">
        <w:rPr>
          <w:szCs w:val="24"/>
        </w:rPr>
        <w:t>*</w:t>
      </w:r>
      <w:r>
        <w:rPr>
          <w:szCs w:val="24"/>
        </w:rPr>
        <w:tab/>
        <w:t>*</w:t>
      </w:r>
      <w:r>
        <w:rPr>
          <w:szCs w:val="24"/>
        </w:rPr>
        <w:tab/>
        <w:t>*</w:t>
      </w:r>
    </w:p>
    <w:p w:rsidR="001F0FCC" w:rsidRPr="001F1418" w:rsidRDefault="001F0FCC" w:rsidP="00B27D55">
      <w:pPr>
        <w:pStyle w:val="BodyTextIndent2"/>
        <w:tabs>
          <w:tab w:val="clear" w:pos="720"/>
        </w:tabs>
        <w:spacing w:after="120" w:line="240" w:lineRule="auto"/>
        <w:ind w:left="1440" w:right="1440" w:firstLine="0"/>
        <w:rPr>
          <w:szCs w:val="24"/>
        </w:rPr>
      </w:pPr>
      <w:r w:rsidRPr="001F1418">
        <w:rPr>
          <w:szCs w:val="24"/>
        </w:rPr>
        <w:t xml:space="preserve">The fifth benefit is transmission reliability. </w:t>
      </w:r>
      <w:r w:rsidR="00B27D55">
        <w:rPr>
          <w:szCs w:val="24"/>
        </w:rPr>
        <w:t xml:space="preserve"> </w:t>
      </w:r>
      <w:r w:rsidRPr="001F1418">
        <w:rPr>
          <w:szCs w:val="24"/>
        </w:rPr>
        <w:t>Cogeneration provides a</w:t>
      </w:r>
      <w:r>
        <w:rPr>
          <w:szCs w:val="24"/>
        </w:rPr>
        <w:t xml:space="preserve"> </w:t>
      </w:r>
      <w:r w:rsidRPr="001F1418">
        <w:rPr>
          <w:szCs w:val="24"/>
        </w:rPr>
        <w:t>major source of distributed generation for the electric grid which is a significant</w:t>
      </w:r>
      <w:r>
        <w:rPr>
          <w:szCs w:val="24"/>
        </w:rPr>
        <w:t xml:space="preserve"> </w:t>
      </w:r>
      <w:r w:rsidRPr="001F1418">
        <w:rPr>
          <w:szCs w:val="24"/>
        </w:rPr>
        <w:t xml:space="preserve">operating benefit. </w:t>
      </w:r>
      <w:r w:rsidR="00B27D55">
        <w:rPr>
          <w:szCs w:val="24"/>
        </w:rPr>
        <w:t xml:space="preserve"> </w:t>
      </w:r>
      <w:r w:rsidRPr="001F1418">
        <w:rPr>
          <w:szCs w:val="24"/>
        </w:rPr>
        <w:t>By providing multiple power sources throughout the state, the demand</w:t>
      </w:r>
      <w:r>
        <w:rPr>
          <w:szCs w:val="24"/>
        </w:rPr>
        <w:t xml:space="preserve"> </w:t>
      </w:r>
      <w:r w:rsidRPr="001F1418">
        <w:rPr>
          <w:szCs w:val="24"/>
        </w:rPr>
        <w:t>on the state</w:t>
      </w:r>
      <w:r w:rsidR="00F81FDE">
        <w:rPr>
          <w:szCs w:val="24"/>
        </w:rPr>
        <w:t>’</w:t>
      </w:r>
      <w:r w:rsidRPr="001F1418">
        <w:rPr>
          <w:szCs w:val="24"/>
        </w:rPr>
        <w:t>s electrical grid and the risks of losing power when centralized generating</w:t>
      </w:r>
      <w:r>
        <w:rPr>
          <w:szCs w:val="24"/>
        </w:rPr>
        <w:t xml:space="preserve"> </w:t>
      </w:r>
      <w:r w:rsidRPr="001F1418">
        <w:rPr>
          <w:szCs w:val="24"/>
        </w:rPr>
        <w:t>facilities fail is reduced.</w:t>
      </w:r>
    </w:p>
    <w:p w:rsidR="00B27D55" w:rsidRDefault="00B27D55" w:rsidP="00B27D55">
      <w:pPr>
        <w:pStyle w:val="BodyTextIndent2"/>
        <w:tabs>
          <w:tab w:val="clear" w:pos="720"/>
        </w:tabs>
        <w:spacing w:line="240" w:lineRule="auto"/>
        <w:ind w:left="1440" w:right="1440" w:firstLine="0"/>
        <w:jc w:val="center"/>
        <w:rPr>
          <w:szCs w:val="24"/>
        </w:rPr>
      </w:pPr>
      <w:r w:rsidRPr="00B27D55">
        <w:rPr>
          <w:szCs w:val="24"/>
        </w:rPr>
        <w:t>*</w:t>
      </w:r>
      <w:r>
        <w:rPr>
          <w:szCs w:val="24"/>
        </w:rPr>
        <w:tab/>
        <w:t>*</w:t>
      </w:r>
      <w:r>
        <w:rPr>
          <w:szCs w:val="24"/>
        </w:rPr>
        <w:tab/>
        <w:t>*</w:t>
      </w:r>
    </w:p>
    <w:p w:rsidR="001F0FCC" w:rsidRDefault="001F0FCC" w:rsidP="001F0FCC">
      <w:pPr>
        <w:pStyle w:val="BodyTextIndent2"/>
        <w:tabs>
          <w:tab w:val="clear" w:pos="720"/>
        </w:tabs>
        <w:spacing w:line="240" w:lineRule="auto"/>
        <w:ind w:left="1440" w:right="1440" w:firstLine="0"/>
        <w:rPr>
          <w:szCs w:val="24"/>
        </w:rPr>
      </w:pPr>
      <w:r w:rsidRPr="001F1418">
        <w:rPr>
          <w:szCs w:val="24"/>
        </w:rPr>
        <w:t xml:space="preserve">The eighth benefit is reduced transmission losses. </w:t>
      </w:r>
      <w:r w:rsidR="00B27D55">
        <w:rPr>
          <w:szCs w:val="24"/>
        </w:rPr>
        <w:t xml:space="preserve"> </w:t>
      </w:r>
      <w:r w:rsidRPr="001F1418">
        <w:rPr>
          <w:szCs w:val="24"/>
        </w:rPr>
        <w:t>Cogeneration conserves</w:t>
      </w:r>
      <w:r>
        <w:rPr>
          <w:szCs w:val="24"/>
        </w:rPr>
        <w:t xml:space="preserve"> </w:t>
      </w:r>
      <w:r w:rsidRPr="001F1418">
        <w:rPr>
          <w:szCs w:val="24"/>
        </w:rPr>
        <w:t xml:space="preserve">electricity by producing power near the places it is consumed. </w:t>
      </w:r>
      <w:r w:rsidR="00B27D55">
        <w:rPr>
          <w:szCs w:val="24"/>
        </w:rPr>
        <w:t xml:space="preserve"> </w:t>
      </w:r>
      <w:r w:rsidRPr="001F1418">
        <w:rPr>
          <w:szCs w:val="24"/>
        </w:rPr>
        <w:t>This reduces transmission</w:t>
      </w:r>
      <w:r>
        <w:rPr>
          <w:szCs w:val="24"/>
        </w:rPr>
        <w:t xml:space="preserve"> </w:t>
      </w:r>
      <w:r w:rsidRPr="001F1418">
        <w:rPr>
          <w:szCs w:val="24"/>
        </w:rPr>
        <w:t>losses and saves an additional amount of fuel from being burned.</w:t>
      </w:r>
      <w:r>
        <w:rPr>
          <w:rStyle w:val="FootnoteReference"/>
          <w:szCs w:val="24"/>
        </w:rPr>
        <w:footnoteReference w:id="26"/>
      </w:r>
    </w:p>
    <w:p w:rsidR="001F0FCC" w:rsidRDefault="001F0FCC" w:rsidP="00785D07">
      <w:pPr>
        <w:pStyle w:val="BodyTextIndent2"/>
        <w:suppressLineNumbers/>
        <w:tabs>
          <w:tab w:val="clear" w:pos="720"/>
        </w:tabs>
        <w:spacing w:line="240" w:lineRule="auto"/>
        <w:ind w:right="1440"/>
        <w:rPr>
          <w:szCs w:val="24"/>
        </w:rPr>
      </w:pPr>
    </w:p>
    <w:p w:rsidR="001F0FCC" w:rsidRDefault="001F0FCC" w:rsidP="001F0FCC">
      <w:pPr>
        <w:pStyle w:val="BodyTextIndent2"/>
        <w:tabs>
          <w:tab w:val="clear" w:pos="720"/>
        </w:tabs>
        <w:rPr>
          <w:szCs w:val="24"/>
        </w:rPr>
      </w:pPr>
      <w:r>
        <w:rPr>
          <w:b/>
          <w:szCs w:val="24"/>
        </w:rPr>
        <w:t>Q.</w:t>
      </w:r>
      <w:r>
        <w:rPr>
          <w:b/>
          <w:szCs w:val="24"/>
        </w:rPr>
        <w:tab/>
        <w:t>Boise also claims that whether or not the out-of-state QF prices are excessive is irrelevant to cost allocation under the WCA.</w:t>
      </w:r>
      <w:r>
        <w:rPr>
          <w:rStyle w:val="FootnoteReference"/>
          <w:b/>
          <w:szCs w:val="24"/>
        </w:rPr>
        <w:footnoteReference w:id="27"/>
      </w:r>
      <w:r>
        <w:rPr>
          <w:b/>
          <w:szCs w:val="24"/>
        </w:rPr>
        <w:t xml:space="preserve">  How do you respond?</w:t>
      </w:r>
    </w:p>
    <w:p w:rsidR="001F0FCC" w:rsidRPr="00F1731A" w:rsidRDefault="001F0FCC" w:rsidP="001F0FCC">
      <w:pPr>
        <w:pStyle w:val="BodyTextIndent2"/>
        <w:tabs>
          <w:tab w:val="clear" w:pos="720"/>
        </w:tabs>
        <w:rPr>
          <w:b/>
          <w:szCs w:val="24"/>
        </w:rPr>
      </w:pPr>
      <w:r>
        <w:rPr>
          <w:szCs w:val="24"/>
        </w:rPr>
        <w:t>A.</w:t>
      </w:r>
      <w:r>
        <w:rPr>
          <w:szCs w:val="24"/>
        </w:rPr>
        <w:tab/>
        <w:t>PURPA makes the QF prices extremely relevant.  PURPA requires the Company to contract with the out-of-state QFs at prices equal to Pacifi</w:t>
      </w:r>
      <w:r w:rsidR="00DF658D">
        <w:rPr>
          <w:szCs w:val="24"/>
        </w:rPr>
        <w:t>c Power’s</w:t>
      </w:r>
      <w:r>
        <w:rPr>
          <w:szCs w:val="24"/>
        </w:rPr>
        <w:t xml:space="preserve"> avoided cost.  The fact that not a single party in this case has argued that the QF </w:t>
      </w:r>
      <w:r w:rsidR="00B27D55">
        <w:rPr>
          <w:szCs w:val="24"/>
        </w:rPr>
        <w:t xml:space="preserve">PPA </w:t>
      </w:r>
      <w:r>
        <w:rPr>
          <w:szCs w:val="24"/>
        </w:rPr>
        <w:t>prices exceed Pacifi</w:t>
      </w:r>
      <w:r w:rsidR="00DF658D">
        <w:rPr>
          <w:szCs w:val="24"/>
        </w:rPr>
        <w:t>c Power</w:t>
      </w:r>
      <w:r>
        <w:rPr>
          <w:szCs w:val="24"/>
        </w:rPr>
        <w:t>’s avoided cost prices is significant because</w:t>
      </w:r>
      <w:r w:rsidR="00C457C9">
        <w:rPr>
          <w:szCs w:val="24"/>
        </w:rPr>
        <w:t>,</w:t>
      </w:r>
      <w:r>
        <w:rPr>
          <w:szCs w:val="24"/>
        </w:rPr>
        <w:t xml:space="preserve"> </w:t>
      </w:r>
      <w:r w:rsidR="00B27D55">
        <w:rPr>
          <w:szCs w:val="24"/>
        </w:rPr>
        <w:t>without</w:t>
      </w:r>
      <w:r>
        <w:rPr>
          <w:szCs w:val="24"/>
        </w:rPr>
        <w:t xml:space="preserve"> such a finding</w:t>
      </w:r>
      <w:r w:rsidR="00C457C9">
        <w:rPr>
          <w:szCs w:val="24"/>
        </w:rPr>
        <w:t>,</w:t>
      </w:r>
      <w:r>
        <w:rPr>
          <w:szCs w:val="24"/>
        </w:rPr>
        <w:t xml:space="preserve"> it is unreasonable to exclude the QF</w:t>
      </w:r>
      <w:r w:rsidR="00B27D55">
        <w:rPr>
          <w:szCs w:val="24"/>
        </w:rPr>
        <w:t xml:space="preserve"> PPA</w:t>
      </w:r>
      <w:r>
        <w:rPr>
          <w:szCs w:val="24"/>
        </w:rPr>
        <w:t>s from rates.</w:t>
      </w:r>
    </w:p>
    <w:p w:rsidR="001F0FCC" w:rsidRDefault="001F0FCC" w:rsidP="001F0FCC">
      <w:pPr>
        <w:pStyle w:val="BodyTextIndent2"/>
        <w:tabs>
          <w:tab w:val="clear" w:pos="720"/>
        </w:tabs>
        <w:rPr>
          <w:szCs w:val="24"/>
        </w:rPr>
      </w:pPr>
      <w:r>
        <w:rPr>
          <w:b/>
          <w:szCs w:val="24"/>
        </w:rPr>
        <w:t>Q.</w:t>
      </w:r>
      <w:r>
        <w:rPr>
          <w:b/>
          <w:szCs w:val="24"/>
        </w:rPr>
        <w:tab/>
        <w:t>Staff and Boise also argue that the out-of-state QF</w:t>
      </w:r>
      <w:r w:rsidR="00B27D55">
        <w:rPr>
          <w:b/>
          <w:szCs w:val="24"/>
        </w:rPr>
        <w:t xml:space="preserve"> PPA</w:t>
      </w:r>
      <w:r w:rsidR="00C457C9">
        <w:rPr>
          <w:b/>
          <w:szCs w:val="24"/>
        </w:rPr>
        <w:t xml:space="preserve"> p</w:t>
      </w:r>
      <w:r>
        <w:rPr>
          <w:b/>
          <w:szCs w:val="24"/>
        </w:rPr>
        <w:t>rices are driven by policies and decisions made by other states to encourage QF development that should not impact Washington rates.</w:t>
      </w:r>
      <w:r>
        <w:rPr>
          <w:rStyle w:val="FootnoteReference"/>
          <w:b/>
          <w:szCs w:val="24"/>
        </w:rPr>
        <w:footnoteReference w:id="28"/>
      </w:r>
      <w:r>
        <w:rPr>
          <w:b/>
          <w:szCs w:val="24"/>
        </w:rPr>
        <w:t xml:space="preserve">  Boise further claims that states have significant leeway in implementing PURPA to “set avoided cost </w:t>
      </w:r>
      <w:r w:rsidR="007377AC">
        <w:rPr>
          <w:b/>
          <w:szCs w:val="24"/>
        </w:rPr>
        <w:t xml:space="preserve">rates </w:t>
      </w:r>
      <w:r>
        <w:rPr>
          <w:b/>
          <w:szCs w:val="24"/>
        </w:rPr>
        <w:t>at higher or lower levels to reflect state renewable energy policies.”</w:t>
      </w:r>
      <w:r>
        <w:rPr>
          <w:rStyle w:val="FootnoteReference"/>
          <w:b/>
          <w:szCs w:val="24"/>
        </w:rPr>
        <w:footnoteReference w:id="29"/>
      </w:r>
      <w:r>
        <w:rPr>
          <w:b/>
          <w:szCs w:val="24"/>
        </w:rPr>
        <w:t xml:space="preserve">  How do you respond to these claims?</w:t>
      </w:r>
    </w:p>
    <w:p w:rsidR="001F0FCC" w:rsidRDefault="001F0FCC" w:rsidP="001F0FCC">
      <w:pPr>
        <w:pStyle w:val="BodyTextIndent2"/>
        <w:tabs>
          <w:tab w:val="clear" w:pos="720"/>
        </w:tabs>
        <w:rPr>
          <w:szCs w:val="24"/>
        </w:rPr>
      </w:pPr>
      <w:r>
        <w:rPr>
          <w:szCs w:val="24"/>
        </w:rPr>
        <w:t>A.</w:t>
      </w:r>
      <w:r>
        <w:rPr>
          <w:szCs w:val="24"/>
        </w:rPr>
        <w:tab/>
        <w:t xml:space="preserve">I disagree with Staff and Boise for several reasons.  First, I disagree with the implication that California </w:t>
      </w:r>
      <w:r w:rsidR="00B27D55">
        <w:rPr>
          <w:szCs w:val="24"/>
        </w:rPr>
        <w:t xml:space="preserve">and Oregon </w:t>
      </w:r>
      <w:r>
        <w:rPr>
          <w:szCs w:val="24"/>
        </w:rPr>
        <w:t>have inflated the avoided cost prices in the QF</w:t>
      </w:r>
      <w:r w:rsidR="00B27D55">
        <w:rPr>
          <w:szCs w:val="24"/>
        </w:rPr>
        <w:t xml:space="preserve"> PPA</w:t>
      </w:r>
      <w:r>
        <w:rPr>
          <w:szCs w:val="24"/>
        </w:rPr>
        <w:t xml:space="preserve">s as a reflection of those states’ renewable energy policies.  It is my understanding that states cannot set an avoided cost price that includes a “bonus” or “adder” intended to encourage renewable development.  FERC has stated: </w:t>
      </w:r>
    </w:p>
    <w:p w:rsidR="001F0FCC" w:rsidRDefault="00B27D55" w:rsidP="001F0FCC">
      <w:pPr>
        <w:pStyle w:val="BodyTextIndent2"/>
        <w:tabs>
          <w:tab w:val="clear" w:pos="720"/>
        </w:tabs>
        <w:spacing w:line="240" w:lineRule="auto"/>
        <w:ind w:left="1440" w:right="1440" w:firstLine="0"/>
      </w:pPr>
      <w:r>
        <w:t>[T]</w:t>
      </w:r>
      <w:r w:rsidR="001F0FCC">
        <w:t>the State can pursue its policy choices concerning particular generation technologies consistent with the requirements of P</w:t>
      </w:r>
      <w:bookmarkStart w:id="6" w:name="_BA_Cite_21591B_000575"/>
      <w:bookmarkEnd w:id="6"/>
      <w:r w:rsidR="001F0FCC">
        <w:t xml:space="preserve">URPA and our regulations, </w:t>
      </w:r>
      <w:r w:rsidR="001F0FCC" w:rsidRPr="00111582">
        <w:rPr>
          <w:b/>
        </w:rPr>
        <w:t>so long as such action does not result in rates above avoided cost</w:t>
      </w:r>
      <w:r w:rsidR="001F0FCC">
        <w:t>.</w:t>
      </w:r>
      <w:r w:rsidR="001F0FCC">
        <w:rPr>
          <w:rStyle w:val="FootnoteReference"/>
        </w:rPr>
        <w:footnoteReference w:id="30"/>
      </w:r>
    </w:p>
    <w:p w:rsidR="001F0FCC" w:rsidRDefault="001F0FCC" w:rsidP="00785D07">
      <w:pPr>
        <w:pStyle w:val="BodyTextIndent2"/>
        <w:suppressLineNumbers/>
        <w:tabs>
          <w:tab w:val="clear" w:pos="720"/>
        </w:tabs>
        <w:spacing w:line="240" w:lineRule="auto"/>
        <w:ind w:left="1440" w:right="1440" w:firstLine="0"/>
        <w:rPr>
          <w:szCs w:val="24"/>
        </w:rPr>
      </w:pPr>
    </w:p>
    <w:p w:rsidR="001F0FCC" w:rsidRDefault="001F0FCC" w:rsidP="001F0FCC">
      <w:pPr>
        <w:pStyle w:val="BodyTextIndent2"/>
        <w:tabs>
          <w:tab w:val="clear" w:pos="720"/>
        </w:tabs>
        <w:ind w:firstLine="0"/>
        <w:rPr>
          <w:szCs w:val="24"/>
        </w:rPr>
      </w:pPr>
      <w:r>
        <w:t>Moreover, no party to this case demonstrated or even alleged that the avoided cost prices included in the out-of-state QF</w:t>
      </w:r>
      <w:r w:rsidR="00B27D55">
        <w:t xml:space="preserve"> PPA</w:t>
      </w:r>
      <w:r>
        <w:t xml:space="preserve">s are greater than </w:t>
      </w:r>
      <w:r w:rsidR="00DF658D">
        <w:t xml:space="preserve">the Company’s </w:t>
      </w:r>
      <w:r>
        <w:t xml:space="preserve">actual avoided costs as of the time the </w:t>
      </w:r>
      <w:r w:rsidR="00B27D55">
        <w:t>PPAs</w:t>
      </w:r>
      <w:r>
        <w:t xml:space="preserve"> were executed.  Thus, there is no basis to conclude that California </w:t>
      </w:r>
      <w:r w:rsidR="00B27D55">
        <w:t xml:space="preserve">and Oregon </w:t>
      </w:r>
      <w:r>
        <w:t>are manipulating the avoided cost price</w:t>
      </w:r>
      <w:r w:rsidR="00B27D55">
        <w:t>s</w:t>
      </w:r>
      <w:r>
        <w:t xml:space="preserve"> to promote state-specific energy or environmental policies.   </w:t>
      </w:r>
    </w:p>
    <w:p w:rsidR="001F0FCC" w:rsidRDefault="001F0FCC" w:rsidP="001F0FCC">
      <w:pPr>
        <w:pStyle w:val="BodyTextIndent2"/>
        <w:tabs>
          <w:tab w:val="clear" w:pos="720"/>
        </w:tabs>
        <w:rPr>
          <w:szCs w:val="24"/>
        </w:rPr>
      </w:pPr>
      <w:r>
        <w:rPr>
          <w:szCs w:val="24"/>
        </w:rPr>
        <w:tab/>
      </w:r>
      <w:r>
        <w:rPr>
          <w:szCs w:val="24"/>
        </w:rPr>
        <w:tab/>
        <w:t>Second, it is my understanding that PURPA is specifically intended to encourage QF development.  Therefore, Staff’s and Boise’s argument has merit only if one assumes that Washington has decided to not encourage QF development, a decision that would be contrary to the fundamental purpose of PURPA</w:t>
      </w:r>
      <w:r w:rsidR="00740C3B">
        <w:rPr>
          <w:szCs w:val="24"/>
        </w:rPr>
        <w:t xml:space="preserve"> and contrary to the Commission’s prior statements.</w:t>
      </w:r>
    </w:p>
    <w:p w:rsidR="001F0FCC" w:rsidRDefault="001F0FCC" w:rsidP="00642810">
      <w:pPr>
        <w:pStyle w:val="BodyTextIndent2"/>
        <w:tabs>
          <w:tab w:val="clear" w:pos="720"/>
        </w:tabs>
        <w:ind w:firstLine="720"/>
      </w:pPr>
      <w:r>
        <w:rPr>
          <w:szCs w:val="24"/>
        </w:rPr>
        <w:t>Third, as I discuss</w:t>
      </w:r>
      <w:r w:rsidR="00C457C9">
        <w:rPr>
          <w:szCs w:val="24"/>
        </w:rPr>
        <w:t>ed previously</w:t>
      </w:r>
      <w:r>
        <w:rPr>
          <w:szCs w:val="24"/>
        </w:rPr>
        <w:t xml:space="preserve"> in my testimony, the states’ energy policies are strikingly similar and Washington has taken a decidedly regional approach to encouraging renewable energy development.  Both </w:t>
      </w:r>
      <w:r w:rsidR="00C420C1">
        <w:rPr>
          <w:szCs w:val="24"/>
        </w:rPr>
        <w:t>Oregon and Washington</w:t>
      </w:r>
      <w:r>
        <w:rPr>
          <w:szCs w:val="24"/>
        </w:rPr>
        <w:t>, for example, have used PURPA development to promote distributed generation.  Therefore, the policy differences perceived by Staff and Boise are not as extensive as they claim.</w:t>
      </w:r>
      <w:r w:rsidR="00D617AD">
        <w:rPr>
          <w:szCs w:val="24"/>
        </w:rPr>
        <w:t xml:space="preserve"> </w:t>
      </w:r>
    </w:p>
    <w:p w:rsidR="001F0FCC" w:rsidRDefault="001F0FCC" w:rsidP="001F0FCC">
      <w:pPr>
        <w:pStyle w:val="BodyTextIndent2"/>
        <w:tabs>
          <w:tab w:val="clear" w:pos="720"/>
        </w:tabs>
        <w:rPr>
          <w:szCs w:val="24"/>
        </w:rPr>
      </w:pPr>
      <w:r>
        <w:tab/>
      </w:r>
      <w:r>
        <w:tab/>
      </w:r>
      <w:r w:rsidR="00DC53F7">
        <w:rPr>
          <w:szCs w:val="24"/>
        </w:rPr>
        <w:t>Fourth</w:t>
      </w:r>
      <w:r>
        <w:rPr>
          <w:szCs w:val="24"/>
        </w:rPr>
        <w:t xml:space="preserve">, if the Commission remains concerned that the avoided cost prices </w:t>
      </w:r>
      <w:r w:rsidR="00642810">
        <w:rPr>
          <w:szCs w:val="24"/>
        </w:rPr>
        <w:t xml:space="preserve">of the </w:t>
      </w:r>
      <w:r w:rsidR="00D617AD">
        <w:rPr>
          <w:szCs w:val="24"/>
        </w:rPr>
        <w:t>California and Oregon</w:t>
      </w:r>
      <w:r w:rsidR="00642810">
        <w:rPr>
          <w:szCs w:val="24"/>
        </w:rPr>
        <w:t xml:space="preserve"> </w:t>
      </w:r>
      <w:r>
        <w:rPr>
          <w:szCs w:val="24"/>
        </w:rPr>
        <w:t>in the QF</w:t>
      </w:r>
      <w:r w:rsidR="00D617AD">
        <w:rPr>
          <w:szCs w:val="24"/>
        </w:rPr>
        <w:t xml:space="preserve"> PPA</w:t>
      </w:r>
      <w:r>
        <w:rPr>
          <w:szCs w:val="24"/>
        </w:rPr>
        <w:t xml:space="preserve">s reflect </w:t>
      </w:r>
      <w:r w:rsidR="00642810">
        <w:rPr>
          <w:szCs w:val="24"/>
        </w:rPr>
        <w:t xml:space="preserve">those </w:t>
      </w:r>
      <w:r>
        <w:rPr>
          <w:szCs w:val="24"/>
        </w:rPr>
        <w:t>states’ policy decision</w:t>
      </w:r>
      <w:r w:rsidR="00642810">
        <w:rPr>
          <w:szCs w:val="24"/>
        </w:rPr>
        <w:t>s</w:t>
      </w:r>
      <w:r>
        <w:rPr>
          <w:szCs w:val="24"/>
        </w:rPr>
        <w:t>, then the Commission should approve the Company’s alternative recommendation to re-price the QF</w:t>
      </w:r>
      <w:r w:rsidR="00D617AD">
        <w:rPr>
          <w:szCs w:val="24"/>
        </w:rPr>
        <w:t xml:space="preserve"> PPA</w:t>
      </w:r>
      <w:r>
        <w:rPr>
          <w:szCs w:val="24"/>
        </w:rPr>
        <w:t xml:space="preserve">s at avoided cost prices determined according to Washington state policy.  As described in more detail below, this re-pricing proposal effectively removes any perceived differences in PURPA implementation and results in Washington rates that </w:t>
      </w:r>
      <w:r w:rsidR="00C457C9">
        <w:rPr>
          <w:szCs w:val="24"/>
        </w:rPr>
        <w:t xml:space="preserve">indisputably </w:t>
      </w:r>
      <w:r>
        <w:rPr>
          <w:szCs w:val="24"/>
        </w:rPr>
        <w:t xml:space="preserve">reflect Washington state policy decisions.  </w:t>
      </w:r>
    </w:p>
    <w:p w:rsidR="001F0FCC" w:rsidRDefault="001F0FCC" w:rsidP="001F0FCC">
      <w:pPr>
        <w:pStyle w:val="BodyTextIndent2"/>
        <w:tabs>
          <w:tab w:val="clear" w:pos="720"/>
        </w:tabs>
        <w:rPr>
          <w:b/>
          <w:szCs w:val="24"/>
        </w:rPr>
      </w:pPr>
      <w:r>
        <w:rPr>
          <w:b/>
          <w:szCs w:val="24"/>
        </w:rPr>
        <w:t>Q.</w:t>
      </w:r>
      <w:r>
        <w:rPr>
          <w:b/>
          <w:szCs w:val="24"/>
        </w:rPr>
        <w:tab/>
        <w:t>Staff and Boise claim that the Company’s proposal is based on the “physical flow</w:t>
      </w:r>
      <w:r w:rsidR="00D617AD">
        <w:rPr>
          <w:b/>
          <w:szCs w:val="24"/>
        </w:rPr>
        <w:t xml:space="preserve"> of power” and not cost </w:t>
      </w:r>
      <w:r>
        <w:rPr>
          <w:b/>
          <w:szCs w:val="24"/>
        </w:rPr>
        <w:t>causation.</w:t>
      </w:r>
      <w:r>
        <w:rPr>
          <w:rStyle w:val="FootnoteReference"/>
          <w:b/>
          <w:szCs w:val="24"/>
        </w:rPr>
        <w:footnoteReference w:id="31"/>
      </w:r>
      <w:r>
        <w:rPr>
          <w:b/>
          <w:szCs w:val="24"/>
        </w:rPr>
        <w:t xml:space="preserve">  How do you respond?</w:t>
      </w:r>
    </w:p>
    <w:p w:rsidR="001F0FCC" w:rsidRDefault="001F0FCC" w:rsidP="001F0FCC">
      <w:pPr>
        <w:pStyle w:val="BodyTextIndent2"/>
        <w:tabs>
          <w:tab w:val="clear" w:pos="720"/>
        </w:tabs>
        <w:rPr>
          <w:szCs w:val="24"/>
        </w:rPr>
      </w:pPr>
      <w:r>
        <w:rPr>
          <w:szCs w:val="24"/>
        </w:rPr>
        <w:t>A.</w:t>
      </w:r>
      <w:r>
        <w:rPr>
          <w:szCs w:val="24"/>
        </w:rPr>
        <w:tab/>
        <w:t>I disagree with this characterization.  In my testimony</w:t>
      </w:r>
      <w:r w:rsidR="00C457C9">
        <w:rPr>
          <w:szCs w:val="24"/>
        </w:rPr>
        <w:t>,</w:t>
      </w:r>
      <w:r>
        <w:rPr>
          <w:szCs w:val="24"/>
        </w:rPr>
        <w:t xml:space="preserve"> I stress the fact that the out-of-state QFs provide energy and capacity to serve Washington customers because that fact—which is undisputed—demonstrates that Washington customers are benefiting from the QFs.  As I discuss above, if Washington customers are receiving energy and capacity from these QFs, along with all of the other benefits discussed, then it is reasonable for Washington customers to pay the full costs of the </w:t>
      </w:r>
      <w:r w:rsidR="00C457C9">
        <w:rPr>
          <w:szCs w:val="24"/>
        </w:rPr>
        <w:t>QF</w:t>
      </w:r>
      <w:r w:rsidR="00D617AD">
        <w:rPr>
          <w:szCs w:val="24"/>
        </w:rPr>
        <w:t xml:space="preserve"> PPA</w:t>
      </w:r>
      <w:r w:rsidR="00C457C9">
        <w:rPr>
          <w:szCs w:val="24"/>
        </w:rPr>
        <w:t>s</w:t>
      </w:r>
      <w:r>
        <w:rPr>
          <w:szCs w:val="24"/>
        </w:rPr>
        <w:t xml:space="preserve">.  Otherwise, Washington customers are receiving </w:t>
      </w:r>
      <w:r w:rsidR="00D617AD">
        <w:rPr>
          <w:szCs w:val="24"/>
        </w:rPr>
        <w:t xml:space="preserve">the </w:t>
      </w:r>
      <w:r>
        <w:rPr>
          <w:szCs w:val="24"/>
        </w:rPr>
        <w:t xml:space="preserve">benefits </w:t>
      </w:r>
      <w:r w:rsidR="00D617AD">
        <w:rPr>
          <w:szCs w:val="24"/>
        </w:rPr>
        <w:t>without paying the associated costs</w:t>
      </w:r>
      <w:r>
        <w:rPr>
          <w:szCs w:val="24"/>
        </w:rPr>
        <w:t xml:space="preserve">.  Thus, the Company’s proposal is consistent with principles of cost-causation.  </w:t>
      </w:r>
    </w:p>
    <w:p w:rsidR="001F0FCC" w:rsidRDefault="001F0FCC" w:rsidP="001F0FCC">
      <w:pPr>
        <w:pStyle w:val="BodyTextIndent2"/>
        <w:tabs>
          <w:tab w:val="clear" w:pos="720"/>
        </w:tabs>
        <w:rPr>
          <w:b/>
          <w:szCs w:val="24"/>
        </w:rPr>
      </w:pPr>
      <w:r>
        <w:rPr>
          <w:b/>
          <w:szCs w:val="24"/>
        </w:rPr>
        <w:t>Q.</w:t>
      </w:r>
      <w:r>
        <w:rPr>
          <w:b/>
          <w:szCs w:val="24"/>
        </w:rPr>
        <w:tab/>
        <w:t xml:space="preserve">Staff also discounts the fact that the Commission has allowed Avista </w:t>
      </w:r>
      <w:r w:rsidR="00D617AD">
        <w:rPr>
          <w:b/>
          <w:szCs w:val="24"/>
        </w:rPr>
        <w:t xml:space="preserve">Corporation d/b/a Avista </w:t>
      </w:r>
      <w:r>
        <w:rPr>
          <w:b/>
          <w:szCs w:val="24"/>
        </w:rPr>
        <w:t>Utilities (Avista) to recover the full costs of out-of-state QF</w:t>
      </w:r>
      <w:r w:rsidR="00D617AD">
        <w:rPr>
          <w:b/>
          <w:szCs w:val="24"/>
        </w:rPr>
        <w:t xml:space="preserve"> PPA</w:t>
      </w:r>
      <w:r>
        <w:rPr>
          <w:b/>
          <w:szCs w:val="24"/>
        </w:rPr>
        <w:t>s in Washington rates, claiming that the Commission has not always relied on cost causation when allocating costs across multiple states.</w:t>
      </w:r>
      <w:r>
        <w:rPr>
          <w:rStyle w:val="FootnoteReference"/>
          <w:b/>
          <w:szCs w:val="24"/>
        </w:rPr>
        <w:footnoteReference w:id="32"/>
      </w:r>
      <w:r>
        <w:rPr>
          <w:b/>
          <w:szCs w:val="24"/>
        </w:rPr>
        <w:t xml:space="preserve">  Staff claims that </w:t>
      </w:r>
      <w:r w:rsidR="00DF658D">
        <w:rPr>
          <w:b/>
          <w:szCs w:val="24"/>
        </w:rPr>
        <w:t>the Company’s</w:t>
      </w:r>
      <w:r>
        <w:rPr>
          <w:b/>
          <w:szCs w:val="24"/>
        </w:rPr>
        <w:t xml:space="preserve"> out-of-state QF</w:t>
      </w:r>
      <w:r w:rsidR="00C457C9">
        <w:rPr>
          <w:b/>
          <w:szCs w:val="24"/>
        </w:rPr>
        <w:t xml:space="preserve"> c</w:t>
      </w:r>
      <w:r>
        <w:rPr>
          <w:b/>
          <w:szCs w:val="24"/>
        </w:rPr>
        <w:t xml:space="preserve">osts are </w:t>
      </w:r>
      <w:r w:rsidR="00C86C46">
        <w:rPr>
          <w:b/>
          <w:szCs w:val="24"/>
        </w:rPr>
        <w:t>higher</w:t>
      </w:r>
      <w:r>
        <w:rPr>
          <w:b/>
          <w:szCs w:val="24"/>
        </w:rPr>
        <w:t xml:space="preserve"> than Avista’s and therefore must be situs assigned.  Do you agree?</w:t>
      </w:r>
    </w:p>
    <w:p w:rsidR="00A8668B" w:rsidRDefault="001F0FCC" w:rsidP="001F0FCC">
      <w:pPr>
        <w:pStyle w:val="BodyTextIndent2"/>
        <w:tabs>
          <w:tab w:val="clear" w:pos="720"/>
        </w:tabs>
        <w:rPr>
          <w:szCs w:val="24"/>
        </w:rPr>
      </w:pPr>
      <w:r>
        <w:rPr>
          <w:szCs w:val="24"/>
        </w:rPr>
        <w:t>A.</w:t>
      </w:r>
      <w:r>
        <w:rPr>
          <w:szCs w:val="24"/>
        </w:rPr>
        <w:tab/>
        <w:t xml:space="preserve">No.  There is no principled basis to allow one </w:t>
      </w:r>
      <w:r w:rsidR="00C86C46">
        <w:rPr>
          <w:szCs w:val="24"/>
        </w:rPr>
        <w:t xml:space="preserve">Washington </w:t>
      </w:r>
      <w:r>
        <w:rPr>
          <w:szCs w:val="24"/>
        </w:rPr>
        <w:t>utility to recover out-of-state QF costs while denying Pacifi</w:t>
      </w:r>
      <w:r w:rsidR="00DF658D">
        <w:rPr>
          <w:szCs w:val="24"/>
        </w:rPr>
        <w:t>c Power</w:t>
      </w:r>
      <w:r>
        <w:rPr>
          <w:szCs w:val="24"/>
        </w:rPr>
        <w:t xml:space="preserve"> recovery of the same types of costs.  PURPA contains no materiality threshold </w:t>
      </w:r>
      <w:r w:rsidR="00F35B9E">
        <w:rPr>
          <w:szCs w:val="24"/>
        </w:rPr>
        <w:t xml:space="preserve">governing </w:t>
      </w:r>
      <w:r>
        <w:rPr>
          <w:szCs w:val="24"/>
        </w:rPr>
        <w:t>cost recovery.  Consistency in regulation requires consistent treatment for all utilities.  Simply pointing out that Avista has had fewer out-of-state QF</w:t>
      </w:r>
      <w:r w:rsidR="00C457C9">
        <w:rPr>
          <w:szCs w:val="24"/>
        </w:rPr>
        <w:t>s</w:t>
      </w:r>
      <w:r>
        <w:rPr>
          <w:szCs w:val="24"/>
        </w:rPr>
        <w:t xml:space="preserve"> does not support differing treatment.  </w:t>
      </w:r>
    </w:p>
    <w:p w:rsidR="00A8668B" w:rsidRDefault="00A8668B" w:rsidP="00A8668B">
      <w:pPr>
        <w:pStyle w:val="BodyTextIndent2"/>
        <w:suppressLineNumbers/>
        <w:tabs>
          <w:tab w:val="clear" w:pos="720"/>
        </w:tabs>
        <w:rPr>
          <w:szCs w:val="24"/>
        </w:rPr>
      </w:pPr>
    </w:p>
    <w:p w:rsidR="00A8668B" w:rsidRDefault="00A8668B" w:rsidP="00A8668B">
      <w:pPr>
        <w:pStyle w:val="BodyTextIndent2"/>
        <w:suppressLineNumbers/>
        <w:tabs>
          <w:tab w:val="clear" w:pos="720"/>
        </w:tabs>
        <w:rPr>
          <w:szCs w:val="24"/>
        </w:rPr>
      </w:pPr>
    </w:p>
    <w:p w:rsidR="00A8668B" w:rsidRDefault="00A8668B" w:rsidP="00A8668B">
      <w:pPr>
        <w:pStyle w:val="BodyTextIndent2"/>
        <w:suppressLineNumbers/>
        <w:tabs>
          <w:tab w:val="clear" w:pos="720"/>
        </w:tabs>
        <w:rPr>
          <w:szCs w:val="24"/>
        </w:rPr>
      </w:pPr>
    </w:p>
    <w:p w:rsidR="00A8668B" w:rsidRDefault="00A8668B" w:rsidP="00A8668B">
      <w:pPr>
        <w:pStyle w:val="BodyTextIndent2"/>
        <w:suppressLineNumbers/>
        <w:tabs>
          <w:tab w:val="clear" w:pos="720"/>
        </w:tabs>
        <w:rPr>
          <w:szCs w:val="24"/>
        </w:rPr>
      </w:pPr>
    </w:p>
    <w:p w:rsidR="001F0FCC" w:rsidRDefault="001F0FCC" w:rsidP="001F0FCC">
      <w:pPr>
        <w:pStyle w:val="BodyTextIndent2"/>
        <w:tabs>
          <w:tab w:val="clear" w:pos="720"/>
        </w:tabs>
        <w:rPr>
          <w:szCs w:val="24"/>
        </w:rPr>
      </w:pPr>
      <w:r>
        <w:rPr>
          <w:b/>
          <w:szCs w:val="24"/>
        </w:rPr>
        <w:t>Q.</w:t>
      </w:r>
      <w:r>
        <w:rPr>
          <w:b/>
          <w:szCs w:val="24"/>
        </w:rPr>
        <w:tab/>
        <w:t>Staff also claims that the Commission can disregard cost causation based on the degree to which state-specific policies may be driving the avoided cost prices.  To support this claim, Staff relies on a 1983 Washington Water Power Company order regarding the allocation of costs for an Idaho QF</w:t>
      </w:r>
      <w:r w:rsidR="00F27C5E">
        <w:rPr>
          <w:b/>
          <w:szCs w:val="24"/>
        </w:rPr>
        <w:t xml:space="preserve"> PPA</w:t>
      </w:r>
      <w:r>
        <w:rPr>
          <w:b/>
          <w:szCs w:val="24"/>
        </w:rPr>
        <w:t>.</w:t>
      </w:r>
      <w:r>
        <w:rPr>
          <w:rStyle w:val="FootnoteReference"/>
          <w:b/>
          <w:szCs w:val="24"/>
        </w:rPr>
        <w:footnoteReference w:id="33"/>
      </w:r>
      <w:r>
        <w:rPr>
          <w:b/>
          <w:szCs w:val="24"/>
        </w:rPr>
        <w:t xml:space="preserve">  Does that order support Staff’s position in this case?</w:t>
      </w:r>
    </w:p>
    <w:p w:rsidR="001F0FCC" w:rsidRDefault="001F0FCC" w:rsidP="001F0FCC">
      <w:pPr>
        <w:pStyle w:val="BodyTextIndent2"/>
        <w:tabs>
          <w:tab w:val="clear" w:pos="720"/>
        </w:tabs>
        <w:rPr>
          <w:b/>
          <w:szCs w:val="24"/>
        </w:rPr>
      </w:pPr>
      <w:r>
        <w:rPr>
          <w:szCs w:val="24"/>
        </w:rPr>
        <w:t>A.</w:t>
      </w:r>
      <w:r>
        <w:rPr>
          <w:szCs w:val="24"/>
        </w:rPr>
        <w:tab/>
        <w:t>No.  Contrary to Staff’s claim that the Commission situs assigned the Idaho QF</w:t>
      </w:r>
      <w:r w:rsidR="00F27C5E">
        <w:rPr>
          <w:szCs w:val="24"/>
        </w:rPr>
        <w:t xml:space="preserve"> PPA</w:t>
      </w:r>
      <w:r>
        <w:rPr>
          <w:szCs w:val="24"/>
        </w:rPr>
        <w:t xml:space="preserve"> costs to Idaho, a careful reading of the Commission’s order shows that the Commission did not situs assign the QF costs at all.  Rather, the Commission determined that the avoided costs in the QF</w:t>
      </w:r>
      <w:r w:rsidR="00F27C5E">
        <w:rPr>
          <w:szCs w:val="24"/>
        </w:rPr>
        <w:t xml:space="preserve"> PPA</w:t>
      </w:r>
      <w:r>
        <w:rPr>
          <w:szCs w:val="24"/>
        </w:rPr>
        <w:t xml:space="preserve"> were excessive and disallowed cost recovery of the amounts that exceeded Washington Water Power’s avoided costs.  In other words, the Commission applied the Company’s alternative proposal and re-priced the QF </w:t>
      </w:r>
      <w:r w:rsidR="00F27C5E">
        <w:rPr>
          <w:szCs w:val="24"/>
        </w:rPr>
        <w:t xml:space="preserve">PPA </w:t>
      </w:r>
      <w:r>
        <w:rPr>
          <w:szCs w:val="24"/>
        </w:rPr>
        <w:t xml:space="preserve">at Washington avoided cost prices.  </w:t>
      </w:r>
    </w:p>
    <w:p w:rsidR="001F0FCC" w:rsidRDefault="001F0FCC" w:rsidP="001F0FCC">
      <w:pPr>
        <w:pStyle w:val="BodyTextIndent2"/>
        <w:tabs>
          <w:tab w:val="clear" w:pos="720"/>
        </w:tabs>
        <w:rPr>
          <w:szCs w:val="24"/>
        </w:rPr>
      </w:pPr>
      <w:r>
        <w:rPr>
          <w:b/>
          <w:szCs w:val="24"/>
        </w:rPr>
        <w:t>Q.</w:t>
      </w:r>
      <w:r>
        <w:rPr>
          <w:b/>
          <w:szCs w:val="24"/>
        </w:rPr>
        <w:tab/>
        <w:t xml:space="preserve">What is the basis for your conclusion that the Commission re-priced the QF </w:t>
      </w:r>
      <w:r w:rsidR="00F27C5E">
        <w:rPr>
          <w:b/>
          <w:szCs w:val="24"/>
        </w:rPr>
        <w:t xml:space="preserve">PPA </w:t>
      </w:r>
      <w:r>
        <w:rPr>
          <w:b/>
          <w:szCs w:val="24"/>
        </w:rPr>
        <w:t>at Washington’s avoided cost prices?</w:t>
      </w:r>
    </w:p>
    <w:p w:rsidR="001F0FCC" w:rsidRDefault="001F0FCC" w:rsidP="001F0FCC">
      <w:pPr>
        <w:pStyle w:val="BodyTextIndent2"/>
        <w:tabs>
          <w:tab w:val="clear" w:pos="720"/>
        </w:tabs>
        <w:rPr>
          <w:szCs w:val="24"/>
        </w:rPr>
      </w:pPr>
      <w:r>
        <w:rPr>
          <w:szCs w:val="24"/>
        </w:rPr>
        <w:t>A.</w:t>
      </w:r>
      <w:r>
        <w:rPr>
          <w:szCs w:val="24"/>
        </w:rPr>
        <w:tab/>
        <w:t>The issue presented in the case was whether Washington Water Power’s proposed rate revision, which would have included the full Washington-allocated costs of the QF</w:t>
      </w:r>
      <w:r w:rsidR="00F27C5E">
        <w:rPr>
          <w:szCs w:val="24"/>
        </w:rPr>
        <w:t xml:space="preserve"> PPA</w:t>
      </w:r>
      <w:r>
        <w:rPr>
          <w:szCs w:val="24"/>
        </w:rPr>
        <w:t xml:space="preserve">, was just and reasonable.  </w:t>
      </w:r>
      <w:r w:rsidR="00F27C5E">
        <w:rPr>
          <w:szCs w:val="24"/>
        </w:rPr>
        <w:t>The Commission observed that, “[i]</w:t>
      </w:r>
      <w:r>
        <w:rPr>
          <w:szCs w:val="24"/>
        </w:rPr>
        <w:t>n reaching this ultimate determination, the commission must make the underlying determination whether the proposed purchase agreement is based on a proper methodology to calculate the avoided cost as defined by federal and state laws and rules.”</w:t>
      </w:r>
      <w:r w:rsidR="002622CE">
        <w:rPr>
          <w:rStyle w:val="FootnoteReference"/>
          <w:szCs w:val="24"/>
        </w:rPr>
        <w:footnoteReference w:id="34"/>
      </w:r>
      <w:r>
        <w:rPr>
          <w:szCs w:val="24"/>
        </w:rPr>
        <w:t xml:space="preserve">  Thus, the Commission analyzed whether the avoided cost prices in the QF </w:t>
      </w:r>
      <w:r w:rsidR="00F27C5E">
        <w:rPr>
          <w:szCs w:val="24"/>
        </w:rPr>
        <w:t xml:space="preserve">PPA </w:t>
      </w:r>
      <w:r>
        <w:rPr>
          <w:szCs w:val="24"/>
        </w:rPr>
        <w:t xml:space="preserve">were consistent with PURPA.  The Commission did not simply situs assign the costs to Idaho.  </w:t>
      </w:r>
    </w:p>
    <w:p w:rsidR="001F0FCC" w:rsidRDefault="001F0FCC" w:rsidP="001F0FCC">
      <w:pPr>
        <w:pStyle w:val="BodyTextIndent2"/>
        <w:tabs>
          <w:tab w:val="clear" w:pos="720"/>
        </w:tabs>
        <w:rPr>
          <w:szCs w:val="24"/>
        </w:rPr>
      </w:pPr>
      <w:r>
        <w:rPr>
          <w:szCs w:val="24"/>
        </w:rPr>
        <w:tab/>
      </w:r>
      <w:r>
        <w:rPr>
          <w:szCs w:val="24"/>
        </w:rPr>
        <w:tab/>
        <w:t xml:space="preserve">In the Washington Water Power case, Staff concluded that the rates in the QF </w:t>
      </w:r>
      <w:r w:rsidR="00F27C5E">
        <w:rPr>
          <w:szCs w:val="24"/>
        </w:rPr>
        <w:t xml:space="preserve">PPA </w:t>
      </w:r>
      <w:r>
        <w:rPr>
          <w:szCs w:val="24"/>
        </w:rPr>
        <w:t>were higher than Washington Water Power’s avoided cost and therefore inappropriate.  The Commission agreed, concluding that the “amount to be paid under the purchase agreement is in excess of properly determined avoided costs.”</w:t>
      </w:r>
      <w:r w:rsidR="007F59DF">
        <w:rPr>
          <w:rStyle w:val="FootnoteReference"/>
          <w:szCs w:val="24"/>
        </w:rPr>
        <w:footnoteReference w:id="35"/>
      </w:r>
      <w:r>
        <w:rPr>
          <w:szCs w:val="24"/>
        </w:rPr>
        <w:t xml:space="preserve">  Thus, the Commission disallowed cost recovery of the amounts that </w:t>
      </w:r>
      <w:r w:rsidR="00F078BB">
        <w:rPr>
          <w:szCs w:val="24"/>
        </w:rPr>
        <w:t>exceeded</w:t>
      </w:r>
      <w:r>
        <w:rPr>
          <w:szCs w:val="24"/>
        </w:rPr>
        <w:t xml:space="preserve"> the avoided cost price as determined by the Commission.  Applying the same standard to this case would require approval of the Company’s Washington re-pricing proposal.</w:t>
      </w:r>
    </w:p>
    <w:p w:rsidR="001F0FCC" w:rsidRDefault="001F0FCC" w:rsidP="001F0FCC">
      <w:pPr>
        <w:pStyle w:val="BodyTextIndent2"/>
        <w:tabs>
          <w:tab w:val="clear" w:pos="720"/>
        </w:tabs>
        <w:rPr>
          <w:szCs w:val="24"/>
        </w:rPr>
      </w:pPr>
      <w:r>
        <w:rPr>
          <w:b/>
          <w:szCs w:val="24"/>
        </w:rPr>
        <w:t>Q.</w:t>
      </w:r>
      <w:r>
        <w:rPr>
          <w:b/>
          <w:szCs w:val="24"/>
        </w:rPr>
        <w:tab/>
        <w:t xml:space="preserve">Staff testifies that in the </w:t>
      </w:r>
      <w:r w:rsidRPr="00DE4B57">
        <w:rPr>
          <w:b/>
          <w:szCs w:val="24"/>
        </w:rPr>
        <w:t>Washington Water Power</w:t>
      </w:r>
      <w:r>
        <w:rPr>
          <w:b/>
          <w:szCs w:val="24"/>
        </w:rPr>
        <w:t xml:space="preserve"> case, the QF </w:t>
      </w:r>
      <w:r w:rsidR="00F27C5E">
        <w:rPr>
          <w:b/>
          <w:szCs w:val="24"/>
        </w:rPr>
        <w:t xml:space="preserve">PPA </w:t>
      </w:r>
      <w:r>
        <w:rPr>
          <w:b/>
          <w:szCs w:val="24"/>
        </w:rPr>
        <w:t>“pricing and terms were driven by Idaho state policies at the time.”</w:t>
      </w:r>
      <w:r>
        <w:rPr>
          <w:rStyle w:val="FootnoteReference"/>
          <w:b/>
          <w:szCs w:val="24"/>
        </w:rPr>
        <w:footnoteReference w:id="36"/>
      </w:r>
      <w:r>
        <w:rPr>
          <w:b/>
          <w:szCs w:val="24"/>
        </w:rPr>
        <w:t xml:space="preserve">  Do you agree with this characterization of the order?</w:t>
      </w:r>
    </w:p>
    <w:p w:rsidR="001F0FCC" w:rsidRPr="00DE4B57" w:rsidRDefault="001F0FCC" w:rsidP="001F0FCC">
      <w:pPr>
        <w:pStyle w:val="BodyTextIndent2"/>
        <w:tabs>
          <w:tab w:val="clear" w:pos="720"/>
        </w:tabs>
        <w:rPr>
          <w:szCs w:val="24"/>
        </w:rPr>
      </w:pPr>
      <w:r>
        <w:rPr>
          <w:szCs w:val="24"/>
        </w:rPr>
        <w:t>A.</w:t>
      </w:r>
      <w:r>
        <w:rPr>
          <w:szCs w:val="24"/>
        </w:rPr>
        <w:tab/>
        <w:t xml:space="preserve">No.  Nowhere in the order does it suggest that the avoided cost price in the QF </w:t>
      </w:r>
      <w:r w:rsidR="00F27C5E">
        <w:rPr>
          <w:szCs w:val="24"/>
        </w:rPr>
        <w:t xml:space="preserve">PPA </w:t>
      </w:r>
      <w:r>
        <w:rPr>
          <w:szCs w:val="24"/>
        </w:rPr>
        <w:t>was the result of Idaho state policies.  In addition, Staff testifies</w:t>
      </w:r>
      <w:r w:rsidR="00F27C5E">
        <w:rPr>
          <w:szCs w:val="24"/>
        </w:rPr>
        <w:t xml:space="preserve"> in this case</w:t>
      </w:r>
      <w:r>
        <w:rPr>
          <w:szCs w:val="24"/>
        </w:rPr>
        <w:t xml:space="preserve"> that once the Commission chose to situs assign the costs to Idaho, the Idaho commission accepted that decision.  Again, however, the Commission did not situs assign the costs to Idaho</w:t>
      </w:r>
      <w:r w:rsidR="00F27C5E">
        <w:rPr>
          <w:szCs w:val="24"/>
        </w:rPr>
        <w:t>,</w:t>
      </w:r>
      <w:r>
        <w:rPr>
          <w:szCs w:val="24"/>
        </w:rPr>
        <w:t xml:space="preserve"> and the order says nothing about how the Idaho commission responded to the Commission’s order.  </w:t>
      </w:r>
    </w:p>
    <w:p w:rsidR="001F0FCC" w:rsidRDefault="001F0FCC" w:rsidP="00A8668B">
      <w:pPr>
        <w:pStyle w:val="BodyTextIndent2"/>
        <w:widowControl w:val="0"/>
        <w:tabs>
          <w:tab w:val="clear" w:pos="720"/>
        </w:tabs>
        <w:rPr>
          <w:szCs w:val="24"/>
        </w:rPr>
      </w:pPr>
      <w:r>
        <w:rPr>
          <w:b/>
          <w:szCs w:val="24"/>
        </w:rPr>
        <w:t>Q.</w:t>
      </w:r>
      <w:r>
        <w:rPr>
          <w:b/>
          <w:szCs w:val="24"/>
        </w:rPr>
        <w:tab/>
        <w:t>Staff and Boise reject the Company’s alternative proposal to re-price the out-of-state QF</w:t>
      </w:r>
      <w:r w:rsidR="00F27C5E">
        <w:rPr>
          <w:b/>
          <w:szCs w:val="24"/>
        </w:rPr>
        <w:t xml:space="preserve"> PPA</w:t>
      </w:r>
      <w:r>
        <w:rPr>
          <w:b/>
          <w:szCs w:val="24"/>
        </w:rPr>
        <w:t>s as if they were Washington QF</w:t>
      </w:r>
      <w:r w:rsidR="00F27C5E">
        <w:rPr>
          <w:b/>
          <w:szCs w:val="24"/>
        </w:rPr>
        <w:t xml:space="preserve"> PPA</w:t>
      </w:r>
      <w:r>
        <w:rPr>
          <w:b/>
          <w:szCs w:val="24"/>
        </w:rPr>
        <w:t>s.  What is the basis for their rejection of this proposal?</w:t>
      </w:r>
    </w:p>
    <w:p w:rsidR="001F0FCC" w:rsidRPr="00A01C1A" w:rsidRDefault="001F0FCC" w:rsidP="00A8668B">
      <w:pPr>
        <w:pStyle w:val="BodyTextIndent2"/>
        <w:widowControl w:val="0"/>
        <w:tabs>
          <w:tab w:val="clear" w:pos="720"/>
        </w:tabs>
        <w:rPr>
          <w:szCs w:val="24"/>
        </w:rPr>
      </w:pPr>
      <w:r>
        <w:rPr>
          <w:szCs w:val="24"/>
        </w:rPr>
        <w:t>A.</w:t>
      </w:r>
      <w:r>
        <w:rPr>
          <w:szCs w:val="24"/>
        </w:rPr>
        <w:tab/>
      </w:r>
      <w:r w:rsidRPr="00A01C1A">
        <w:rPr>
          <w:szCs w:val="24"/>
        </w:rPr>
        <w:t>The parties argue that this proposal is inconsistent with cost causation and merely discounts the cost impact of state policy decisions made by California</w:t>
      </w:r>
      <w:r w:rsidR="00F27C5E">
        <w:rPr>
          <w:szCs w:val="24"/>
        </w:rPr>
        <w:t xml:space="preserve"> and Oregon</w:t>
      </w:r>
      <w:r w:rsidRPr="00A01C1A">
        <w:rPr>
          <w:szCs w:val="24"/>
        </w:rPr>
        <w:t>.</w:t>
      </w:r>
      <w:r w:rsidRPr="00A01C1A">
        <w:rPr>
          <w:rStyle w:val="FootnoteReference"/>
          <w:szCs w:val="24"/>
        </w:rPr>
        <w:footnoteReference w:id="37"/>
      </w:r>
      <w:r w:rsidRPr="00A01C1A">
        <w:rPr>
          <w:szCs w:val="24"/>
        </w:rPr>
        <w:t xml:space="preserve">  Boise </w:t>
      </w:r>
      <w:r>
        <w:rPr>
          <w:szCs w:val="24"/>
        </w:rPr>
        <w:t xml:space="preserve">also </w:t>
      </w:r>
      <w:r w:rsidRPr="00A01C1A">
        <w:rPr>
          <w:szCs w:val="24"/>
        </w:rPr>
        <w:t>claims that the Washington re-pricing proposal still burdens Washington customers with other states’ energy policies because there is no way to know if the out-of-state QFs would have been developed if they had been subject to Washington’s PURPA policies.</w:t>
      </w:r>
      <w:r w:rsidRPr="00A01C1A">
        <w:rPr>
          <w:rStyle w:val="FootnoteReference"/>
          <w:szCs w:val="24"/>
        </w:rPr>
        <w:footnoteReference w:id="38"/>
      </w:r>
    </w:p>
    <w:p w:rsidR="001F0FCC" w:rsidRPr="00A01C1A" w:rsidRDefault="001F0FCC" w:rsidP="001F0FCC">
      <w:pPr>
        <w:pStyle w:val="BodyTextIndent2"/>
        <w:tabs>
          <w:tab w:val="clear" w:pos="720"/>
        </w:tabs>
        <w:rPr>
          <w:b/>
          <w:szCs w:val="24"/>
        </w:rPr>
      </w:pPr>
      <w:r>
        <w:rPr>
          <w:b/>
          <w:szCs w:val="24"/>
        </w:rPr>
        <w:t>Q.</w:t>
      </w:r>
      <w:r>
        <w:rPr>
          <w:b/>
          <w:szCs w:val="24"/>
        </w:rPr>
        <w:tab/>
        <w:t>Does the Company’s re-pricing proposal require Washington customers to pay rates that reflect policy decisions made by other states?</w:t>
      </w:r>
    </w:p>
    <w:p w:rsidR="001F0FCC" w:rsidRDefault="001F0FCC" w:rsidP="001F0FCC">
      <w:pPr>
        <w:pStyle w:val="BodyTextIndent2"/>
        <w:tabs>
          <w:tab w:val="clear" w:pos="720"/>
        </w:tabs>
        <w:rPr>
          <w:szCs w:val="24"/>
        </w:rPr>
      </w:pPr>
      <w:r>
        <w:rPr>
          <w:szCs w:val="24"/>
        </w:rPr>
        <w:t>A.</w:t>
      </w:r>
      <w:r>
        <w:rPr>
          <w:szCs w:val="24"/>
        </w:rPr>
        <w:tab/>
        <w:t>No.  Re-pricing the QF</w:t>
      </w:r>
      <w:r w:rsidR="00F27C5E">
        <w:rPr>
          <w:szCs w:val="24"/>
        </w:rPr>
        <w:t xml:space="preserve"> PPA</w:t>
      </w:r>
      <w:r w:rsidR="00E02465">
        <w:rPr>
          <w:szCs w:val="24"/>
        </w:rPr>
        <w:t>s</w:t>
      </w:r>
      <w:r>
        <w:rPr>
          <w:szCs w:val="24"/>
        </w:rPr>
        <w:t xml:space="preserve"> at Washington avoided cost prices mitigates concerns that the avoided cost prices </w:t>
      </w:r>
      <w:r w:rsidR="002622CE">
        <w:rPr>
          <w:szCs w:val="24"/>
        </w:rPr>
        <w:t>for</w:t>
      </w:r>
      <w:r>
        <w:rPr>
          <w:szCs w:val="24"/>
        </w:rPr>
        <w:t xml:space="preserve"> the QF</w:t>
      </w:r>
      <w:r w:rsidR="00F27C5E">
        <w:rPr>
          <w:szCs w:val="24"/>
        </w:rPr>
        <w:t xml:space="preserve"> PPA</w:t>
      </w:r>
      <w:r>
        <w:rPr>
          <w:szCs w:val="24"/>
        </w:rPr>
        <w:t xml:space="preserve">s are driven by policy choices made by other states.  The use of the avoided cost pricing </w:t>
      </w:r>
      <w:r w:rsidR="002622CE">
        <w:rPr>
          <w:szCs w:val="24"/>
        </w:rPr>
        <w:t>for</w:t>
      </w:r>
      <w:r>
        <w:rPr>
          <w:szCs w:val="24"/>
        </w:rPr>
        <w:t xml:space="preserve"> QF</w:t>
      </w:r>
      <w:r w:rsidR="00F27C5E">
        <w:rPr>
          <w:szCs w:val="24"/>
        </w:rPr>
        <w:t xml:space="preserve"> PPA</w:t>
      </w:r>
      <w:r w:rsidR="00E02465">
        <w:rPr>
          <w:szCs w:val="24"/>
        </w:rPr>
        <w:t>s</w:t>
      </w:r>
      <w:r>
        <w:rPr>
          <w:szCs w:val="24"/>
        </w:rPr>
        <w:t xml:space="preserve"> is intended to keep customers indifferent to the QF transaction.  </w:t>
      </w:r>
      <w:r w:rsidR="00E02465">
        <w:rPr>
          <w:szCs w:val="24"/>
        </w:rPr>
        <w:t>I</w:t>
      </w:r>
      <w:r>
        <w:rPr>
          <w:szCs w:val="24"/>
        </w:rPr>
        <w:t xml:space="preserve">f the </w:t>
      </w:r>
      <w:r w:rsidR="00E02465">
        <w:rPr>
          <w:szCs w:val="24"/>
        </w:rPr>
        <w:t>QF</w:t>
      </w:r>
      <w:r w:rsidR="00F27C5E">
        <w:rPr>
          <w:szCs w:val="24"/>
        </w:rPr>
        <w:t xml:space="preserve"> PPA</w:t>
      </w:r>
      <w:r w:rsidR="00E02465">
        <w:rPr>
          <w:szCs w:val="24"/>
        </w:rPr>
        <w:t>s</w:t>
      </w:r>
      <w:r>
        <w:rPr>
          <w:szCs w:val="24"/>
        </w:rPr>
        <w:t xml:space="preserve"> are re-priced at the amount that this Commission has found will result in customer indifference, then customers will be no better or worse off than they would be </w:t>
      </w:r>
      <w:r w:rsidR="00F27C5E">
        <w:rPr>
          <w:szCs w:val="24"/>
        </w:rPr>
        <w:t>without</w:t>
      </w:r>
      <w:r>
        <w:rPr>
          <w:szCs w:val="24"/>
        </w:rPr>
        <w:t xml:space="preserve"> the QF</w:t>
      </w:r>
      <w:r w:rsidR="00F27C5E">
        <w:rPr>
          <w:szCs w:val="24"/>
        </w:rPr>
        <w:t xml:space="preserve"> PPA</w:t>
      </w:r>
      <w:r>
        <w:rPr>
          <w:szCs w:val="24"/>
        </w:rPr>
        <w:t>.  The parties’ concerns that the re-pricing proposal still reflects other state’s policy decisions has merit only if one assumes that the Commission’s avoided cost prices are excessive.  The re-pricing proposal, therefore, ensures that Washington rates reflect only the decisions of Washington policy makers.</w:t>
      </w:r>
    </w:p>
    <w:p w:rsidR="001F0FCC" w:rsidRDefault="001F0FCC" w:rsidP="001F0FCC">
      <w:pPr>
        <w:pStyle w:val="BodyTextIndent2"/>
        <w:tabs>
          <w:tab w:val="clear" w:pos="720"/>
        </w:tabs>
        <w:rPr>
          <w:szCs w:val="24"/>
        </w:rPr>
      </w:pPr>
      <w:r>
        <w:rPr>
          <w:b/>
          <w:szCs w:val="24"/>
        </w:rPr>
        <w:t>Q.</w:t>
      </w:r>
      <w:r>
        <w:rPr>
          <w:b/>
          <w:szCs w:val="24"/>
        </w:rPr>
        <w:tab/>
        <w:t xml:space="preserve">Doesn’t the fact that customers rates will increase by </w:t>
      </w:r>
      <w:r w:rsidRPr="002622CE">
        <w:rPr>
          <w:b/>
          <w:szCs w:val="24"/>
        </w:rPr>
        <w:t>$7.</w:t>
      </w:r>
      <w:r w:rsidR="002622CE">
        <w:rPr>
          <w:b/>
          <w:szCs w:val="24"/>
        </w:rPr>
        <w:t>6</w:t>
      </w:r>
      <w:r>
        <w:rPr>
          <w:b/>
          <w:szCs w:val="24"/>
        </w:rPr>
        <w:t xml:space="preserve"> million under your re-pricing alternative suggest that the parties’ concern has merit?</w:t>
      </w:r>
    </w:p>
    <w:p w:rsidR="001F0FCC" w:rsidRDefault="001F0FCC" w:rsidP="001F0FCC">
      <w:pPr>
        <w:pStyle w:val="BodyTextIndent2"/>
        <w:tabs>
          <w:tab w:val="clear" w:pos="720"/>
        </w:tabs>
        <w:rPr>
          <w:szCs w:val="24"/>
        </w:rPr>
      </w:pPr>
      <w:r>
        <w:rPr>
          <w:szCs w:val="24"/>
        </w:rPr>
        <w:t>A.</w:t>
      </w:r>
      <w:r>
        <w:rPr>
          <w:szCs w:val="24"/>
        </w:rPr>
        <w:tab/>
        <w:t xml:space="preserve">No.  The fact that customer rates will increase if they pay </w:t>
      </w:r>
      <w:r w:rsidR="00F27C5E">
        <w:rPr>
          <w:szCs w:val="24"/>
        </w:rPr>
        <w:t xml:space="preserve">the </w:t>
      </w:r>
      <w:r>
        <w:rPr>
          <w:szCs w:val="24"/>
        </w:rPr>
        <w:t xml:space="preserve">avoided cost prices determined by the Commission suggests that situs </w:t>
      </w:r>
      <w:r w:rsidR="00F27C5E">
        <w:rPr>
          <w:szCs w:val="24"/>
        </w:rPr>
        <w:t xml:space="preserve">assignment of California and Oregon QF PPAs </w:t>
      </w:r>
      <w:r>
        <w:rPr>
          <w:szCs w:val="24"/>
        </w:rPr>
        <w:t xml:space="preserve">has allowed Washington customers to receive benefits for which they have not paid.  </w:t>
      </w:r>
    </w:p>
    <w:p w:rsidR="001F0FCC" w:rsidRDefault="001F0FCC" w:rsidP="001F0FCC">
      <w:pPr>
        <w:pStyle w:val="BodyTextIndent2"/>
        <w:tabs>
          <w:tab w:val="clear" w:pos="720"/>
        </w:tabs>
        <w:rPr>
          <w:b/>
          <w:szCs w:val="24"/>
        </w:rPr>
      </w:pPr>
      <w:r>
        <w:rPr>
          <w:b/>
          <w:szCs w:val="24"/>
        </w:rPr>
        <w:t>Q.</w:t>
      </w:r>
      <w:r>
        <w:rPr>
          <w:b/>
          <w:szCs w:val="24"/>
        </w:rPr>
        <w:tab/>
        <w:t>Is there any precedent for this type of re-pricing?</w:t>
      </w:r>
    </w:p>
    <w:p w:rsidR="001F0FCC" w:rsidRDefault="001F0FCC" w:rsidP="001F0FCC">
      <w:pPr>
        <w:pStyle w:val="BodyTextIndent2"/>
        <w:tabs>
          <w:tab w:val="clear" w:pos="720"/>
        </w:tabs>
        <w:rPr>
          <w:szCs w:val="24"/>
        </w:rPr>
      </w:pPr>
      <w:r>
        <w:rPr>
          <w:szCs w:val="24"/>
        </w:rPr>
        <w:t>A.</w:t>
      </w:r>
      <w:r>
        <w:rPr>
          <w:szCs w:val="24"/>
        </w:rPr>
        <w:tab/>
        <w:t>Yes.  As discussed above, the Co</w:t>
      </w:r>
      <w:r w:rsidR="00F27C5E">
        <w:rPr>
          <w:szCs w:val="24"/>
        </w:rPr>
        <w:t>mmission used</w:t>
      </w:r>
      <w:r>
        <w:rPr>
          <w:szCs w:val="24"/>
        </w:rPr>
        <w:t xml:space="preserve"> this approach in the 1983 Washington Water Power case relied on by Staff.  It is also my understanding that the North Carolina Utilities Commission (NCUC) took this same approach to a QF </w:t>
      </w:r>
      <w:r w:rsidR="00F27C5E">
        <w:rPr>
          <w:szCs w:val="24"/>
        </w:rPr>
        <w:t xml:space="preserve">PPA </w:t>
      </w:r>
      <w:r>
        <w:rPr>
          <w:szCs w:val="24"/>
        </w:rPr>
        <w:t xml:space="preserve">that was approved by the Virginia State Corporation Commission (VSCC).  The NCUC analyzed the QF </w:t>
      </w:r>
      <w:r w:rsidR="00F27C5E">
        <w:rPr>
          <w:szCs w:val="24"/>
        </w:rPr>
        <w:t xml:space="preserve">PPA </w:t>
      </w:r>
      <w:r>
        <w:rPr>
          <w:szCs w:val="24"/>
        </w:rPr>
        <w:t>and concluded that the pricing exceeded the utility’s actual avoided costs.</w:t>
      </w:r>
      <w:r>
        <w:rPr>
          <w:rStyle w:val="FootnoteReference"/>
        </w:rPr>
        <w:footnoteReference w:id="39"/>
      </w:r>
      <w:r>
        <w:rPr>
          <w:szCs w:val="24"/>
        </w:rPr>
        <w:t xml:space="preserve">  The NCUC therefore denied cost recovery of the amount that the NCUC found to be greater than the utility’s avoided costs.  It is my understanding that on judicial review, the North Carolina Supreme Court affirmed the NCUC’s order, concluding that the disallowance “does not violate P</w:t>
      </w:r>
      <w:bookmarkStart w:id="8" w:name="_BA_Cite_21591B_000615"/>
      <w:bookmarkEnd w:id="8"/>
      <w:r>
        <w:rPr>
          <w:szCs w:val="24"/>
        </w:rPr>
        <w:t xml:space="preserve">URPA to the extent it only excludes the amount </w:t>
      </w:r>
      <w:r>
        <w:rPr>
          <w:i/>
          <w:szCs w:val="24"/>
        </w:rPr>
        <w:t>above</w:t>
      </w:r>
      <w:r>
        <w:rPr>
          <w:szCs w:val="24"/>
        </w:rPr>
        <w:t xml:space="preserve"> avoided costs.”</w:t>
      </w:r>
      <w:r>
        <w:rPr>
          <w:rStyle w:val="FootnoteReference"/>
          <w:szCs w:val="24"/>
        </w:rPr>
        <w:footnoteReference w:id="40"/>
      </w:r>
      <w:r>
        <w:rPr>
          <w:szCs w:val="24"/>
        </w:rPr>
        <w:t xml:space="preserve">  </w:t>
      </w:r>
    </w:p>
    <w:p w:rsidR="001F0FCC" w:rsidRDefault="001F0FCC" w:rsidP="001F0FCC">
      <w:pPr>
        <w:pStyle w:val="BodyTextIndent2"/>
        <w:tabs>
          <w:tab w:val="clear" w:pos="720"/>
        </w:tabs>
        <w:rPr>
          <w:szCs w:val="24"/>
        </w:rPr>
      </w:pPr>
      <w:r>
        <w:rPr>
          <w:szCs w:val="24"/>
        </w:rPr>
        <w:tab/>
      </w:r>
      <w:r>
        <w:rPr>
          <w:szCs w:val="24"/>
        </w:rPr>
        <w:tab/>
        <w:t>I also understand that the OPUC approved a stipulation for Idaho Power Company that required Idaho Power to re-price its Idaho QF PPAs to reflect Oregon’s non-levelized pricing policy.</w:t>
      </w:r>
      <w:r>
        <w:rPr>
          <w:rStyle w:val="FootnoteReference"/>
          <w:szCs w:val="24"/>
        </w:rPr>
        <w:footnoteReference w:id="41"/>
      </w:r>
      <w:r>
        <w:rPr>
          <w:szCs w:val="24"/>
        </w:rPr>
        <w:t xml:space="preserve">  </w:t>
      </w:r>
    </w:p>
    <w:p w:rsidR="001F0FCC" w:rsidRDefault="001F0FCC" w:rsidP="00A8668B">
      <w:pPr>
        <w:pStyle w:val="BodyTextIndent2"/>
        <w:widowControl w:val="0"/>
        <w:tabs>
          <w:tab w:val="clear" w:pos="720"/>
        </w:tabs>
        <w:rPr>
          <w:szCs w:val="24"/>
        </w:rPr>
      </w:pPr>
      <w:r>
        <w:rPr>
          <w:b/>
          <w:szCs w:val="24"/>
        </w:rPr>
        <w:t>Q.</w:t>
      </w:r>
      <w:r>
        <w:rPr>
          <w:b/>
          <w:szCs w:val="24"/>
        </w:rPr>
        <w:tab/>
        <w:t>Has any party alleged that the Washington avoided cost prices used in the re-pricing alternative proposal do not accurately reflect the Commission’s avoided cost prices in effect at the time the out-of-state QFs were executed?</w:t>
      </w:r>
    </w:p>
    <w:p w:rsidR="00A8668B" w:rsidRDefault="001F0FCC" w:rsidP="00A8668B">
      <w:pPr>
        <w:pStyle w:val="BodyTextIndent2"/>
        <w:widowControl w:val="0"/>
        <w:tabs>
          <w:tab w:val="clear" w:pos="720"/>
        </w:tabs>
        <w:rPr>
          <w:szCs w:val="24"/>
        </w:rPr>
      </w:pPr>
      <w:r>
        <w:rPr>
          <w:szCs w:val="24"/>
        </w:rPr>
        <w:t>A.</w:t>
      </w:r>
      <w:r>
        <w:rPr>
          <w:szCs w:val="24"/>
        </w:rPr>
        <w:tab/>
        <w:t xml:space="preserve">No.  </w:t>
      </w:r>
      <w:r w:rsidR="00E02465">
        <w:rPr>
          <w:szCs w:val="24"/>
        </w:rPr>
        <w:t>T</w:t>
      </w:r>
      <w:r>
        <w:rPr>
          <w:szCs w:val="24"/>
        </w:rPr>
        <w:t xml:space="preserve">here is no basis in the record to conclude that the re-pricing does not reflect the </w:t>
      </w:r>
    </w:p>
    <w:p w:rsidR="00A8668B" w:rsidRDefault="00A8668B" w:rsidP="00F319E0">
      <w:pPr>
        <w:pStyle w:val="BodyTextIndent2"/>
        <w:widowControl w:val="0"/>
        <w:suppressLineNumbers/>
        <w:tabs>
          <w:tab w:val="clear" w:pos="720"/>
        </w:tabs>
        <w:rPr>
          <w:szCs w:val="24"/>
        </w:rPr>
      </w:pPr>
    </w:p>
    <w:p w:rsidR="0061382D" w:rsidRPr="00A510E0" w:rsidRDefault="001F0FCC" w:rsidP="00A8668B">
      <w:pPr>
        <w:pStyle w:val="BodyTextIndent2"/>
        <w:widowControl w:val="0"/>
        <w:tabs>
          <w:tab w:val="clear" w:pos="720"/>
        </w:tabs>
        <w:ind w:firstLine="0"/>
        <w:rPr>
          <w:szCs w:val="24"/>
        </w:rPr>
      </w:pPr>
      <w:r>
        <w:rPr>
          <w:szCs w:val="24"/>
        </w:rPr>
        <w:t>costs that would have been incurred if the out-of-state QF</w:t>
      </w:r>
      <w:r w:rsidR="00185B38">
        <w:rPr>
          <w:szCs w:val="24"/>
        </w:rPr>
        <w:t xml:space="preserve"> PPA</w:t>
      </w:r>
      <w:r>
        <w:rPr>
          <w:szCs w:val="24"/>
        </w:rPr>
        <w:t>s had been executed in Washington.</w:t>
      </w:r>
    </w:p>
    <w:p w:rsidR="0061382D" w:rsidRPr="0061382D" w:rsidRDefault="001F0FCC" w:rsidP="001F0FCC">
      <w:pPr>
        <w:pStyle w:val="BodyTextIndent2"/>
        <w:tabs>
          <w:tab w:val="clear" w:pos="720"/>
        </w:tabs>
        <w:rPr>
          <w:b/>
          <w:szCs w:val="24"/>
        </w:rPr>
      </w:pPr>
      <w:r>
        <w:rPr>
          <w:b/>
          <w:szCs w:val="24"/>
        </w:rPr>
        <w:t>Q.</w:t>
      </w:r>
      <w:r>
        <w:rPr>
          <w:b/>
          <w:szCs w:val="24"/>
        </w:rPr>
        <w:tab/>
        <w:t>Staff and Boise both reject the Company’s alternative load decrement proposal because they claim it is based on power flows, not cost causation.</w:t>
      </w:r>
      <w:r>
        <w:rPr>
          <w:rStyle w:val="FootnoteReference"/>
          <w:b/>
          <w:szCs w:val="24"/>
        </w:rPr>
        <w:footnoteReference w:id="42"/>
      </w:r>
      <w:r>
        <w:rPr>
          <w:b/>
          <w:szCs w:val="24"/>
        </w:rPr>
        <w:t xml:space="preserve">  How do you respond?</w:t>
      </w:r>
    </w:p>
    <w:p w:rsidR="001F0FCC" w:rsidRDefault="001F0FCC" w:rsidP="001F0FCC">
      <w:pPr>
        <w:pStyle w:val="BodyTextIndent2"/>
        <w:tabs>
          <w:tab w:val="clear" w:pos="720"/>
        </w:tabs>
        <w:rPr>
          <w:szCs w:val="24"/>
        </w:rPr>
      </w:pPr>
      <w:r>
        <w:rPr>
          <w:szCs w:val="24"/>
        </w:rPr>
        <w:t>A.</w:t>
      </w:r>
      <w:r>
        <w:rPr>
          <w:szCs w:val="24"/>
        </w:rPr>
        <w:tab/>
        <w:t xml:space="preserve">The load decrement approach is consistent with cost causation.  </w:t>
      </w:r>
      <w:r w:rsidR="00185B38">
        <w:rPr>
          <w:szCs w:val="24"/>
        </w:rPr>
        <w:t>No party disputes that</w:t>
      </w:r>
      <w:r>
        <w:rPr>
          <w:szCs w:val="24"/>
        </w:rPr>
        <w:t xml:space="preserve"> the out-of-state QFs serve Washington customers.  Washington customers</w:t>
      </w:r>
      <w:r w:rsidR="00185B38">
        <w:rPr>
          <w:szCs w:val="24"/>
        </w:rPr>
        <w:t>, however,</w:t>
      </w:r>
      <w:r>
        <w:rPr>
          <w:szCs w:val="24"/>
        </w:rPr>
        <w:t xml:space="preserve"> are not paying their fair share of the costs by paying only </w:t>
      </w:r>
      <w:r w:rsidR="002622CE">
        <w:rPr>
          <w:szCs w:val="24"/>
        </w:rPr>
        <w:t>current</w:t>
      </w:r>
      <w:r>
        <w:rPr>
          <w:szCs w:val="24"/>
        </w:rPr>
        <w:t xml:space="preserve"> market prices.  The load decrement alternative is intended to account for this fact by allocating additional costs to Washington to reflect the benefits Washington customers receive.  </w:t>
      </w:r>
    </w:p>
    <w:p w:rsidR="001F0FCC" w:rsidRDefault="001F0FCC" w:rsidP="001F0FCC">
      <w:pPr>
        <w:pStyle w:val="BodyTextIndent2"/>
        <w:tabs>
          <w:tab w:val="clear" w:pos="720"/>
        </w:tabs>
        <w:rPr>
          <w:szCs w:val="24"/>
        </w:rPr>
      </w:pPr>
      <w:r>
        <w:rPr>
          <w:b/>
          <w:szCs w:val="24"/>
        </w:rPr>
        <w:t>Q.</w:t>
      </w:r>
      <w:r>
        <w:rPr>
          <w:b/>
          <w:szCs w:val="24"/>
        </w:rPr>
        <w:tab/>
        <w:t xml:space="preserve">Boise claims that the load decrement approach is unreasonable because it would assign more transmission costs to Washington customers even though the presence of QFs in California </w:t>
      </w:r>
      <w:r w:rsidR="00185B38">
        <w:rPr>
          <w:b/>
          <w:szCs w:val="24"/>
        </w:rPr>
        <w:t xml:space="preserve">and Oregon </w:t>
      </w:r>
      <w:r>
        <w:rPr>
          <w:b/>
          <w:szCs w:val="24"/>
        </w:rPr>
        <w:t>does not reduce those states’ use of the Company’s transmission network.</w:t>
      </w:r>
      <w:r>
        <w:rPr>
          <w:rStyle w:val="FootnoteReference"/>
          <w:b/>
          <w:szCs w:val="24"/>
        </w:rPr>
        <w:footnoteReference w:id="43"/>
      </w:r>
      <w:r>
        <w:rPr>
          <w:b/>
          <w:szCs w:val="24"/>
        </w:rPr>
        <w:t xml:space="preserve">  Does this claim have merit?</w:t>
      </w:r>
    </w:p>
    <w:p w:rsidR="00573168" w:rsidRPr="00A8668B" w:rsidRDefault="001F0FCC" w:rsidP="00A8668B">
      <w:pPr>
        <w:pStyle w:val="BodyTextIndent2"/>
        <w:tabs>
          <w:tab w:val="clear" w:pos="720"/>
        </w:tabs>
        <w:rPr>
          <w:szCs w:val="24"/>
        </w:rPr>
      </w:pPr>
      <w:r>
        <w:rPr>
          <w:szCs w:val="24"/>
        </w:rPr>
        <w:t>A.</w:t>
      </w:r>
      <w:r>
        <w:rPr>
          <w:szCs w:val="24"/>
        </w:rPr>
        <w:tab/>
        <w:t xml:space="preserve">No.  </w:t>
      </w:r>
      <w:r w:rsidR="00185B38">
        <w:rPr>
          <w:szCs w:val="24"/>
        </w:rPr>
        <w:t xml:space="preserve">Again, no party disputes that </w:t>
      </w:r>
      <w:r>
        <w:rPr>
          <w:szCs w:val="24"/>
        </w:rPr>
        <w:t xml:space="preserve">the QFs located in California </w:t>
      </w:r>
      <w:r w:rsidR="00185B38">
        <w:rPr>
          <w:szCs w:val="24"/>
        </w:rPr>
        <w:t xml:space="preserve">and Oregon </w:t>
      </w:r>
      <w:r>
        <w:rPr>
          <w:szCs w:val="24"/>
        </w:rPr>
        <w:t xml:space="preserve">serve Washington customers.  As discussed above, Boise’s trade group, ICNU, previously testified before the OPUC that distributed generation, like the out-of-state QFs, typically decreases the need for transmission because the electricity is generated closer to load.  This is particularly true </w:t>
      </w:r>
      <w:r w:rsidR="00185B38">
        <w:rPr>
          <w:szCs w:val="24"/>
        </w:rPr>
        <w:t>for</w:t>
      </w:r>
      <w:r>
        <w:rPr>
          <w:szCs w:val="24"/>
        </w:rPr>
        <w:t xml:space="preserve"> the out-of-state QFs because they are typically located closer to California </w:t>
      </w:r>
      <w:r w:rsidR="00185B38">
        <w:rPr>
          <w:szCs w:val="24"/>
        </w:rPr>
        <w:t xml:space="preserve">and Oregon </w:t>
      </w:r>
      <w:r>
        <w:rPr>
          <w:szCs w:val="24"/>
        </w:rPr>
        <w:t>load and therefore u</w:t>
      </w:r>
      <w:r w:rsidR="00185B38">
        <w:rPr>
          <w:szCs w:val="24"/>
        </w:rPr>
        <w:t>s</w:t>
      </w:r>
      <w:r>
        <w:rPr>
          <w:szCs w:val="24"/>
        </w:rPr>
        <w:t>e less transmission to serve that load.  So it is reasonable to credit out-of-state customers for reduced transmission usage due to the QF development in those states.</w:t>
      </w:r>
    </w:p>
    <w:p w:rsidR="001F0FCC" w:rsidRPr="003B6AB8" w:rsidRDefault="001F0FCC" w:rsidP="001F0FCC">
      <w:pPr>
        <w:pStyle w:val="BodyTextIndent2"/>
        <w:tabs>
          <w:tab w:val="clear" w:pos="720"/>
        </w:tabs>
        <w:rPr>
          <w:b/>
          <w:szCs w:val="24"/>
        </w:rPr>
      </w:pPr>
      <w:r>
        <w:rPr>
          <w:b/>
          <w:szCs w:val="24"/>
        </w:rPr>
        <w:t>Q.</w:t>
      </w:r>
      <w:r>
        <w:rPr>
          <w:b/>
          <w:szCs w:val="24"/>
        </w:rPr>
        <w:tab/>
        <w:t>Boise claims that it would be unjust, unreasonable, and illegal to include the costs of the out-of-state QF</w:t>
      </w:r>
      <w:r w:rsidR="00185B38">
        <w:rPr>
          <w:b/>
          <w:szCs w:val="24"/>
        </w:rPr>
        <w:t xml:space="preserve"> PPA</w:t>
      </w:r>
      <w:r>
        <w:rPr>
          <w:b/>
          <w:szCs w:val="24"/>
        </w:rPr>
        <w:t>s in rates, in part, because the Commission does not have jurisdiction over the QFs.</w:t>
      </w:r>
      <w:r>
        <w:rPr>
          <w:rStyle w:val="FootnoteReference"/>
          <w:b/>
          <w:szCs w:val="24"/>
        </w:rPr>
        <w:footnoteReference w:id="44"/>
      </w:r>
      <w:r>
        <w:rPr>
          <w:b/>
          <w:szCs w:val="24"/>
        </w:rPr>
        <w:t xml:space="preserve">  Is it your understanding that the Commission must have jurisdiction over PPA counterparties to allow cost recovery of the PPA</w:t>
      </w:r>
      <w:r w:rsidR="00185B38">
        <w:rPr>
          <w:b/>
          <w:szCs w:val="24"/>
        </w:rPr>
        <w:t>s</w:t>
      </w:r>
      <w:r>
        <w:rPr>
          <w:b/>
          <w:szCs w:val="24"/>
        </w:rPr>
        <w:t xml:space="preserve"> in rates?</w:t>
      </w:r>
    </w:p>
    <w:p w:rsidR="001F0FCC" w:rsidRPr="00F1731A" w:rsidRDefault="001F0FCC" w:rsidP="001F0FCC">
      <w:pPr>
        <w:pStyle w:val="BodyTextIndent2"/>
        <w:tabs>
          <w:tab w:val="clear" w:pos="720"/>
        </w:tabs>
        <w:rPr>
          <w:szCs w:val="24"/>
        </w:rPr>
      </w:pPr>
      <w:r>
        <w:rPr>
          <w:szCs w:val="24"/>
        </w:rPr>
        <w:t>A.</w:t>
      </w:r>
      <w:r>
        <w:rPr>
          <w:szCs w:val="24"/>
        </w:rPr>
        <w:tab/>
        <w:t xml:space="preserve">No.  </w:t>
      </w:r>
      <w:r w:rsidR="00185B38">
        <w:rPr>
          <w:szCs w:val="24"/>
        </w:rPr>
        <w:t>M</w:t>
      </w:r>
      <w:r>
        <w:rPr>
          <w:szCs w:val="24"/>
        </w:rPr>
        <w:t>ost, if not all, of the Company’s long-term PPAs are with</w:t>
      </w:r>
      <w:r w:rsidR="00185B38">
        <w:rPr>
          <w:szCs w:val="24"/>
        </w:rPr>
        <w:t xml:space="preserve"> counter</w:t>
      </w:r>
      <w:r>
        <w:rPr>
          <w:szCs w:val="24"/>
        </w:rPr>
        <w:t xml:space="preserve">parties that are not public utilities regulated by the </w:t>
      </w:r>
      <w:r w:rsidR="00185B38">
        <w:rPr>
          <w:szCs w:val="24"/>
        </w:rPr>
        <w:t>C</w:t>
      </w:r>
      <w:r>
        <w:rPr>
          <w:szCs w:val="24"/>
        </w:rPr>
        <w:t>ommission.  Nevertheless, the costs of these PPAs are regularly recovered in rates.  In addition, PURPA specifically exempts QFs from regulation by state utility commission</w:t>
      </w:r>
      <w:r w:rsidR="00185B38">
        <w:rPr>
          <w:szCs w:val="24"/>
        </w:rPr>
        <w:t>s</w:t>
      </w:r>
      <w:r>
        <w:rPr>
          <w:szCs w:val="24"/>
        </w:rPr>
        <w:t xml:space="preserve">. </w:t>
      </w:r>
    </w:p>
    <w:p w:rsidR="00F36687" w:rsidRPr="006679FB" w:rsidRDefault="00F36687" w:rsidP="00F36687">
      <w:pPr>
        <w:pStyle w:val="BodyTextIndent2"/>
        <w:tabs>
          <w:tab w:val="clear" w:pos="720"/>
        </w:tabs>
        <w:rPr>
          <w:b/>
        </w:rPr>
      </w:pPr>
      <w:r w:rsidRPr="006679FB">
        <w:rPr>
          <w:b/>
        </w:rPr>
        <w:t>Q.</w:t>
      </w:r>
      <w:r w:rsidRPr="006679FB">
        <w:rPr>
          <w:b/>
        </w:rPr>
        <w:tab/>
        <w:t xml:space="preserve">What </w:t>
      </w:r>
      <w:r w:rsidR="00185B38">
        <w:rPr>
          <w:b/>
        </w:rPr>
        <w:t xml:space="preserve">is the Company’s recommended treatment of the costs associated with </w:t>
      </w:r>
      <w:r w:rsidRPr="006679FB">
        <w:rPr>
          <w:b/>
        </w:rPr>
        <w:t>California and Oregon QF</w:t>
      </w:r>
      <w:r w:rsidR="00185B38">
        <w:rPr>
          <w:b/>
        </w:rPr>
        <w:t xml:space="preserve"> PPA</w:t>
      </w:r>
      <w:r w:rsidR="00E02465">
        <w:rPr>
          <w:b/>
        </w:rPr>
        <w:t>s</w:t>
      </w:r>
      <w:r w:rsidRPr="006679FB">
        <w:rPr>
          <w:b/>
        </w:rPr>
        <w:t xml:space="preserve"> in </w:t>
      </w:r>
      <w:r w:rsidR="00B07A3D">
        <w:rPr>
          <w:b/>
        </w:rPr>
        <w:t>west control area</w:t>
      </w:r>
      <w:r w:rsidRPr="006679FB">
        <w:rPr>
          <w:b/>
        </w:rPr>
        <w:t xml:space="preserve"> </w:t>
      </w:r>
      <w:r w:rsidR="001C4F60">
        <w:rPr>
          <w:b/>
        </w:rPr>
        <w:t>NPC</w:t>
      </w:r>
      <w:r w:rsidRPr="006679FB">
        <w:rPr>
          <w:b/>
        </w:rPr>
        <w:t>?</w:t>
      </w:r>
    </w:p>
    <w:p w:rsidR="00F36687" w:rsidRDefault="00F36687" w:rsidP="00F36687">
      <w:pPr>
        <w:pStyle w:val="BodyTextIndent2"/>
        <w:tabs>
          <w:tab w:val="clear" w:pos="720"/>
        </w:tabs>
        <w:rPr>
          <w:szCs w:val="24"/>
        </w:rPr>
      </w:pPr>
      <w:r>
        <w:t>A.</w:t>
      </w:r>
      <w:r>
        <w:tab/>
        <w:t>The Company recommend</w:t>
      </w:r>
      <w:r w:rsidR="001C518B">
        <w:t>s</w:t>
      </w:r>
      <w:r>
        <w:t xml:space="preserve"> that </w:t>
      </w:r>
      <w:r w:rsidR="001C518B">
        <w:t xml:space="preserve">the Commission allow the Company to include </w:t>
      </w:r>
      <w:r w:rsidR="00185B38">
        <w:t xml:space="preserve">the costs of </w:t>
      </w:r>
      <w:r>
        <w:t>California and Oregon QF</w:t>
      </w:r>
      <w:r w:rsidR="001C518B">
        <w:t xml:space="preserve"> </w:t>
      </w:r>
      <w:r w:rsidR="00185B38">
        <w:t>PPAs</w:t>
      </w:r>
      <w:r>
        <w:t xml:space="preserve"> in </w:t>
      </w:r>
      <w:r w:rsidR="00753069">
        <w:t xml:space="preserve">west control area </w:t>
      </w:r>
      <w:r w:rsidR="001C518B">
        <w:t>NPC</w:t>
      </w:r>
      <w:r w:rsidR="00CB36C2">
        <w:t xml:space="preserve"> in the same manner as all other </w:t>
      </w:r>
      <w:r w:rsidR="00753069">
        <w:t xml:space="preserve">west control area </w:t>
      </w:r>
      <w:r w:rsidR="00CB36C2">
        <w:t>generation resources</w:t>
      </w:r>
      <w:r w:rsidR="001C518B">
        <w:t>,</w:t>
      </w:r>
      <w:r>
        <w:t xml:space="preserve"> with a portion of the costs </w:t>
      </w:r>
      <w:r w:rsidRPr="005D5F36">
        <w:rPr>
          <w:szCs w:val="24"/>
        </w:rPr>
        <w:t xml:space="preserve">allocated to Washington customers.  </w:t>
      </w:r>
      <w:r w:rsidR="00185B38">
        <w:rPr>
          <w:szCs w:val="24"/>
        </w:rPr>
        <w:t>A</w:t>
      </w:r>
      <w:r w:rsidR="009E6D59">
        <w:rPr>
          <w:szCs w:val="24"/>
        </w:rPr>
        <w:t>lternative</w:t>
      </w:r>
      <w:r w:rsidR="00185B38">
        <w:rPr>
          <w:szCs w:val="24"/>
        </w:rPr>
        <w:t>ly</w:t>
      </w:r>
      <w:r w:rsidR="009E6D59">
        <w:rPr>
          <w:szCs w:val="24"/>
        </w:rPr>
        <w:t xml:space="preserve">, the Company proposes the out-of-state QF PPAs be re-priced using Washington avoided cost prices and then included in the determination of </w:t>
      </w:r>
      <w:r w:rsidR="00753069">
        <w:rPr>
          <w:szCs w:val="24"/>
        </w:rPr>
        <w:t>west control area</w:t>
      </w:r>
      <w:r w:rsidR="009E6D59">
        <w:rPr>
          <w:szCs w:val="24"/>
        </w:rPr>
        <w:t xml:space="preserve"> NPC or that the Commission adopt the proposed load decrement adjustment.  </w:t>
      </w:r>
    </w:p>
    <w:p w:rsidR="00363CE2" w:rsidRPr="00573168" w:rsidRDefault="00363CE2" w:rsidP="00573168">
      <w:pPr>
        <w:pStyle w:val="Heading2"/>
      </w:pPr>
      <w:bookmarkStart w:id="10" w:name="_Toc403714286"/>
      <w:r w:rsidRPr="00573168">
        <w:t>Energy Imbalance Market</w:t>
      </w:r>
      <w:bookmarkEnd w:id="10"/>
    </w:p>
    <w:p w:rsidR="00363CE2" w:rsidRPr="005D5F36" w:rsidRDefault="00363CE2" w:rsidP="00363CE2">
      <w:pPr>
        <w:spacing w:line="480" w:lineRule="auto"/>
        <w:ind w:left="720" w:hanging="720"/>
        <w:rPr>
          <w:b/>
          <w:sz w:val="24"/>
          <w:szCs w:val="24"/>
        </w:rPr>
      </w:pPr>
      <w:r>
        <w:rPr>
          <w:b/>
          <w:sz w:val="24"/>
          <w:szCs w:val="24"/>
        </w:rPr>
        <w:t>Q.</w:t>
      </w:r>
      <w:r>
        <w:rPr>
          <w:b/>
          <w:sz w:val="24"/>
          <w:szCs w:val="24"/>
        </w:rPr>
        <w:tab/>
      </w:r>
      <w:r w:rsidRPr="005D5F36">
        <w:rPr>
          <w:b/>
          <w:sz w:val="24"/>
          <w:szCs w:val="24"/>
        </w:rPr>
        <w:t>Please describe Boise</w:t>
      </w:r>
      <w:r>
        <w:rPr>
          <w:b/>
          <w:sz w:val="24"/>
          <w:szCs w:val="24"/>
        </w:rPr>
        <w:t xml:space="preserve">’s adjustment </w:t>
      </w:r>
      <w:r w:rsidR="00427BF0">
        <w:rPr>
          <w:b/>
          <w:sz w:val="24"/>
          <w:szCs w:val="24"/>
        </w:rPr>
        <w:t>t</w:t>
      </w:r>
      <w:r>
        <w:rPr>
          <w:b/>
          <w:sz w:val="24"/>
          <w:szCs w:val="24"/>
        </w:rPr>
        <w:t xml:space="preserve">o NPC related to the </w:t>
      </w:r>
      <w:r w:rsidRPr="005D5F36">
        <w:rPr>
          <w:b/>
          <w:sz w:val="24"/>
          <w:szCs w:val="24"/>
        </w:rPr>
        <w:t>EIM</w:t>
      </w:r>
      <w:r>
        <w:rPr>
          <w:b/>
          <w:sz w:val="24"/>
          <w:szCs w:val="24"/>
        </w:rPr>
        <w:t xml:space="preserve">. </w:t>
      </w:r>
    </w:p>
    <w:p w:rsidR="00363CE2" w:rsidRDefault="00363CE2" w:rsidP="00363CE2">
      <w:pPr>
        <w:spacing w:line="480" w:lineRule="auto"/>
        <w:ind w:left="720" w:hanging="720"/>
        <w:rPr>
          <w:sz w:val="24"/>
          <w:szCs w:val="24"/>
        </w:rPr>
      </w:pPr>
      <w:r w:rsidRPr="005D5F36">
        <w:rPr>
          <w:sz w:val="24"/>
          <w:szCs w:val="24"/>
        </w:rPr>
        <w:t>A.</w:t>
      </w:r>
      <w:r w:rsidRPr="005D5F36">
        <w:rPr>
          <w:sz w:val="24"/>
          <w:szCs w:val="24"/>
        </w:rPr>
        <w:tab/>
      </w:r>
      <w:r w:rsidR="00005ACA">
        <w:rPr>
          <w:sz w:val="24"/>
          <w:szCs w:val="24"/>
        </w:rPr>
        <w:t>Boise</w:t>
      </w:r>
      <w:r w:rsidRPr="005D5F36">
        <w:rPr>
          <w:sz w:val="24"/>
          <w:szCs w:val="24"/>
        </w:rPr>
        <w:t xml:space="preserve"> proposes </w:t>
      </w:r>
      <w:r>
        <w:rPr>
          <w:sz w:val="24"/>
          <w:szCs w:val="24"/>
        </w:rPr>
        <w:t>to reduce Washington NPC by more than $5 million based on the Company’s participation in</w:t>
      </w:r>
      <w:r w:rsidRPr="005D5F36">
        <w:rPr>
          <w:sz w:val="24"/>
          <w:szCs w:val="24"/>
        </w:rPr>
        <w:t xml:space="preserve"> </w:t>
      </w:r>
      <w:r>
        <w:rPr>
          <w:sz w:val="24"/>
          <w:szCs w:val="24"/>
        </w:rPr>
        <w:t xml:space="preserve">the </w:t>
      </w:r>
      <w:r w:rsidRPr="005D5F36">
        <w:rPr>
          <w:sz w:val="24"/>
          <w:szCs w:val="24"/>
        </w:rPr>
        <w:t>EIM</w:t>
      </w:r>
      <w:r w:rsidR="000F4305">
        <w:rPr>
          <w:sz w:val="24"/>
          <w:szCs w:val="24"/>
        </w:rPr>
        <w:t>, while also including certain EIM-related costs</w:t>
      </w:r>
      <w:r w:rsidRPr="005D5F36">
        <w:rPr>
          <w:sz w:val="24"/>
          <w:szCs w:val="24"/>
        </w:rPr>
        <w:t xml:space="preserve">. </w:t>
      </w:r>
      <w:r>
        <w:rPr>
          <w:sz w:val="24"/>
          <w:szCs w:val="24"/>
        </w:rPr>
        <w:t xml:space="preserve"> </w:t>
      </w:r>
      <w:r w:rsidR="00005ACA">
        <w:rPr>
          <w:sz w:val="24"/>
          <w:szCs w:val="24"/>
        </w:rPr>
        <w:t>Boise</w:t>
      </w:r>
      <w:r>
        <w:rPr>
          <w:sz w:val="24"/>
          <w:szCs w:val="24"/>
        </w:rPr>
        <w:t xml:space="preserve"> proposed this NPC reduction </w:t>
      </w:r>
      <w:r w:rsidR="000F4305">
        <w:rPr>
          <w:sz w:val="24"/>
          <w:szCs w:val="24"/>
        </w:rPr>
        <w:t xml:space="preserve">in October 2014 </w:t>
      </w:r>
      <w:r>
        <w:rPr>
          <w:sz w:val="24"/>
          <w:szCs w:val="24"/>
        </w:rPr>
        <w:t>before the EIM even beg</w:t>
      </w:r>
      <w:r w:rsidR="00427BF0">
        <w:rPr>
          <w:sz w:val="24"/>
          <w:szCs w:val="24"/>
        </w:rPr>
        <w:t>a</w:t>
      </w:r>
      <w:r>
        <w:rPr>
          <w:sz w:val="24"/>
          <w:szCs w:val="24"/>
        </w:rPr>
        <w:t xml:space="preserve">n </w:t>
      </w:r>
      <w:r w:rsidR="00427BF0">
        <w:rPr>
          <w:sz w:val="24"/>
          <w:szCs w:val="24"/>
        </w:rPr>
        <w:t xml:space="preserve">actual </w:t>
      </w:r>
      <w:r w:rsidR="005A255B">
        <w:rPr>
          <w:sz w:val="24"/>
          <w:szCs w:val="24"/>
        </w:rPr>
        <w:t xml:space="preserve">binding </w:t>
      </w:r>
      <w:r>
        <w:rPr>
          <w:sz w:val="24"/>
          <w:szCs w:val="24"/>
        </w:rPr>
        <w:t>operations</w:t>
      </w:r>
      <w:r w:rsidR="000F4305">
        <w:rPr>
          <w:sz w:val="24"/>
          <w:szCs w:val="24"/>
        </w:rPr>
        <w:t xml:space="preserve"> in November 2014</w:t>
      </w:r>
      <w:r>
        <w:rPr>
          <w:sz w:val="24"/>
          <w:szCs w:val="24"/>
        </w:rPr>
        <w:t xml:space="preserve">. </w:t>
      </w:r>
      <w:r w:rsidR="00427BF0">
        <w:rPr>
          <w:sz w:val="24"/>
          <w:szCs w:val="24"/>
        </w:rPr>
        <w:t xml:space="preserve"> T</w:t>
      </w:r>
      <w:r>
        <w:rPr>
          <w:sz w:val="24"/>
          <w:szCs w:val="24"/>
        </w:rPr>
        <w:t>he adjustment is highly speculative</w:t>
      </w:r>
      <w:r w:rsidR="000F4305">
        <w:rPr>
          <w:sz w:val="24"/>
          <w:szCs w:val="24"/>
        </w:rPr>
        <w:t>, especially under the WCA,</w:t>
      </w:r>
      <w:r>
        <w:rPr>
          <w:sz w:val="24"/>
          <w:szCs w:val="24"/>
        </w:rPr>
        <w:t xml:space="preserve"> and improper under Washington’s known and measurable standard.  </w:t>
      </w:r>
    </w:p>
    <w:p w:rsidR="00B30140" w:rsidRPr="00573168" w:rsidRDefault="002622CE" w:rsidP="00573168">
      <w:pPr>
        <w:pStyle w:val="Heading2"/>
        <w:rPr>
          <w:i/>
        </w:rPr>
      </w:pPr>
      <w:bookmarkStart w:id="11" w:name="_Toc403714287"/>
      <w:r w:rsidRPr="00573168">
        <w:rPr>
          <w:i/>
        </w:rPr>
        <w:t>EIM Background and Status</w:t>
      </w:r>
      <w:bookmarkEnd w:id="11"/>
    </w:p>
    <w:p w:rsidR="00363CE2" w:rsidRPr="004B4FD3" w:rsidRDefault="00363CE2" w:rsidP="00363CE2">
      <w:pPr>
        <w:spacing w:line="480" w:lineRule="auto"/>
        <w:ind w:left="720" w:hanging="720"/>
        <w:rPr>
          <w:b/>
          <w:sz w:val="24"/>
          <w:szCs w:val="24"/>
        </w:rPr>
      </w:pPr>
      <w:r w:rsidRPr="004B4FD3">
        <w:rPr>
          <w:b/>
          <w:sz w:val="24"/>
          <w:szCs w:val="24"/>
        </w:rPr>
        <w:t>Q.</w:t>
      </w:r>
      <w:r w:rsidRPr="004B4FD3">
        <w:rPr>
          <w:b/>
          <w:sz w:val="24"/>
          <w:szCs w:val="24"/>
        </w:rPr>
        <w:tab/>
        <w:t xml:space="preserve">What is the EIM? </w:t>
      </w:r>
    </w:p>
    <w:p w:rsidR="00363CE2" w:rsidRPr="00DA6A43" w:rsidRDefault="00363CE2" w:rsidP="00363CE2">
      <w:pPr>
        <w:spacing w:line="480" w:lineRule="auto"/>
        <w:ind w:left="720" w:hanging="720"/>
        <w:rPr>
          <w:sz w:val="24"/>
          <w:szCs w:val="24"/>
        </w:rPr>
      </w:pPr>
      <w:r>
        <w:rPr>
          <w:sz w:val="24"/>
          <w:szCs w:val="24"/>
        </w:rPr>
        <w:t>A.</w:t>
      </w:r>
      <w:r>
        <w:rPr>
          <w:sz w:val="24"/>
          <w:szCs w:val="24"/>
        </w:rPr>
        <w:tab/>
      </w:r>
      <w:r w:rsidRPr="00DA6A43">
        <w:rPr>
          <w:sz w:val="24"/>
          <w:szCs w:val="24"/>
        </w:rPr>
        <w:t xml:space="preserve">The EIM is a </w:t>
      </w:r>
      <w:r w:rsidR="008E2572">
        <w:rPr>
          <w:sz w:val="24"/>
          <w:szCs w:val="24"/>
        </w:rPr>
        <w:t>real</w:t>
      </w:r>
      <w:r w:rsidR="00185B38">
        <w:rPr>
          <w:sz w:val="24"/>
          <w:szCs w:val="24"/>
        </w:rPr>
        <w:t>-</w:t>
      </w:r>
      <w:r w:rsidR="008E2572">
        <w:rPr>
          <w:sz w:val="24"/>
          <w:szCs w:val="24"/>
        </w:rPr>
        <w:t>time</w:t>
      </w:r>
      <w:r w:rsidRPr="00DA6A43">
        <w:rPr>
          <w:sz w:val="24"/>
          <w:szCs w:val="24"/>
        </w:rPr>
        <w:t xml:space="preserve"> market administered by a single market operator, </w:t>
      </w:r>
      <w:r w:rsidRPr="004B4FD3">
        <w:rPr>
          <w:sz w:val="24"/>
          <w:szCs w:val="24"/>
        </w:rPr>
        <w:t>the CAISO</w:t>
      </w:r>
      <w:r w:rsidRPr="00DA6A43">
        <w:rPr>
          <w:sz w:val="24"/>
          <w:szCs w:val="24"/>
        </w:rPr>
        <w:t>.  The EIM uses an economic dispatch model to issue instructions to participating generating resources to meet the load for the entire EIM footprint</w:t>
      </w:r>
      <w:r>
        <w:rPr>
          <w:sz w:val="24"/>
          <w:szCs w:val="24"/>
        </w:rPr>
        <w:t xml:space="preserve">.  </w:t>
      </w:r>
      <w:r w:rsidRPr="00DA6A43">
        <w:rPr>
          <w:sz w:val="24"/>
          <w:szCs w:val="24"/>
        </w:rPr>
        <w:t xml:space="preserve">By participating in the EIM, </w:t>
      </w:r>
      <w:r w:rsidR="004116FB">
        <w:rPr>
          <w:sz w:val="24"/>
          <w:szCs w:val="24"/>
        </w:rPr>
        <w:t>the Company</w:t>
      </w:r>
      <w:r w:rsidRPr="00DA6A43">
        <w:rPr>
          <w:sz w:val="24"/>
          <w:szCs w:val="24"/>
        </w:rPr>
        <w:t xml:space="preserve"> expands the CAISO’s security-constrained, least-cost dispatch for most of California to include PacifiCorp’s six-state platform, including additional portions of California, as well as Idaho, Oregon, Utah, Washington, and Wyoming.</w:t>
      </w:r>
    </w:p>
    <w:p w:rsidR="00363CE2" w:rsidRPr="006463A4" w:rsidRDefault="00363CE2" w:rsidP="00363CE2">
      <w:pPr>
        <w:spacing w:line="480" w:lineRule="auto"/>
        <w:ind w:left="720" w:hanging="720"/>
        <w:rPr>
          <w:b/>
          <w:sz w:val="24"/>
          <w:szCs w:val="24"/>
        </w:rPr>
      </w:pPr>
      <w:r w:rsidRPr="006463A4">
        <w:rPr>
          <w:b/>
          <w:sz w:val="24"/>
          <w:szCs w:val="24"/>
        </w:rPr>
        <w:t>Q.</w:t>
      </w:r>
      <w:r w:rsidRPr="006463A4">
        <w:rPr>
          <w:b/>
          <w:sz w:val="24"/>
          <w:szCs w:val="24"/>
        </w:rPr>
        <w:tab/>
        <w:t xml:space="preserve">When did the CAISO and PacifiCorp initiate the EIM? </w:t>
      </w:r>
    </w:p>
    <w:p w:rsidR="00363CE2" w:rsidRDefault="00363CE2" w:rsidP="00363CE2">
      <w:pPr>
        <w:spacing w:line="480" w:lineRule="auto"/>
        <w:ind w:left="720" w:hanging="720"/>
        <w:rPr>
          <w:sz w:val="24"/>
          <w:szCs w:val="24"/>
          <w:lang w:val="en"/>
        </w:rPr>
      </w:pPr>
      <w:r>
        <w:rPr>
          <w:sz w:val="24"/>
          <w:szCs w:val="24"/>
        </w:rPr>
        <w:t>A.</w:t>
      </w:r>
      <w:r>
        <w:rPr>
          <w:sz w:val="24"/>
          <w:szCs w:val="24"/>
        </w:rPr>
        <w:tab/>
      </w:r>
      <w:r w:rsidRPr="006463A4">
        <w:rPr>
          <w:sz w:val="24"/>
          <w:szCs w:val="24"/>
        </w:rPr>
        <w:t xml:space="preserve">In February 2013, PacifiCorp and </w:t>
      </w:r>
      <w:r>
        <w:rPr>
          <w:sz w:val="24"/>
          <w:szCs w:val="24"/>
        </w:rPr>
        <w:t xml:space="preserve">the CAISO </w:t>
      </w:r>
      <w:r w:rsidRPr="006463A4">
        <w:rPr>
          <w:sz w:val="24"/>
          <w:szCs w:val="24"/>
        </w:rPr>
        <w:t xml:space="preserve">announced </w:t>
      </w:r>
      <w:r>
        <w:rPr>
          <w:sz w:val="24"/>
          <w:szCs w:val="24"/>
        </w:rPr>
        <w:t xml:space="preserve">a memorandum of understanding on the </w:t>
      </w:r>
      <w:r w:rsidRPr="006463A4">
        <w:rPr>
          <w:sz w:val="24"/>
          <w:szCs w:val="24"/>
        </w:rPr>
        <w:t>EIM</w:t>
      </w:r>
      <w:r>
        <w:rPr>
          <w:sz w:val="24"/>
          <w:szCs w:val="24"/>
        </w:rPr>
        <w:t xml:space="preserve">, </w:t>
      </w:r>
      <w:r w:rsidRPr="00510B94">
        <w:rPr>
          <w:sz w:val="24"/>
          <w:szCs w:val="24"/>
          <w:lang w:val="en"/>
        </w:rPr>
        <w:t>culminat</w:t>
      </w:r>
      <w:r>
        <w:rPr>
          <w:sz w:val="24"/>
          <w:szCs w:val="24"/>
          <w:lang w:val="en"/>
        </w:rPr>
        <w:t>ing</w:t>
      </w:r>
      <w:r w:rsidRPr="00510B94">
        <w:rPr>
          <w:sz w:val="24"/>
          <w:szCs w:val="24"/>
          <w:lang w:val="en"/>
        </w:rPr>
        <w:t xml:space="preserve"> work that began in fall 2012 when the Western Interstate Energy Board’s </w:t>
      </w:r>
      <w:r>
        <w:rPr>
          <w:sz w:val="24"/>
          <w:szCs w:val="24"/>
          <w:lang w:val="en"/>
        </w:rPr>
        <w:t>PUC EIM</w:t>
      </w:r>
      <w:r w:rsidRPr="00510B94">
        <w:rPr>
          <w:sz w:val="24"/>
          <w:szCs w:val="24"/>
          <w:lang w:val="en"/>
        </w:rPr>
        <w:t xml:space="preserve"> Group (composed of utility commissioners from 12 states</w:t>
      </w:r>
      <w:r>
        <w:rPr>
          <w:sz w:val="24"/>
          <w:szCs w:val="24"/>
          <w:lang w:val="en"/>
        </w:rPr>
        <w:t>, including Washington</w:t>
      </w:r>
      <w:r w:rsidRPr="00510B94">
        <w:rPr>
          <w:sz w:val="24"/>
          <w:szCs w:val="24"/>
          <w:lang w:val="en"/>
        </w:rPr>
        <w:t xml:space="preserve">) </w:t>
      </w:r>
      <w:r>
        <w:rPr>
          <w:sz w:val="24"/>
          <w:szCs w:val="24"/>
          <w:lang w:val="en"/>
        </w:rPr>
        <w:t>requested</w:t>
      </w:r>
      <w:r w:rsidRPr="00510B94">
        <w:rPr>
          <w:sz w:val="24"/>
          <w:szCs w:val="24"/>
          <w:lang w:val="en"/>
        </w:rPr>
        <w:t xml:space="preserve"> proposal</w:t>
      </w:r>
      <w:r>
        <w:rPr>
          <w:sz w:val="24"/>
          <w:szCs w:val="24"/>
          <w:lang w:val="en"/>
        </w:rPr>
        <w:t>s</w:t>
      </w:r>
      <w:r w:rsidRPr="00510B94">
        <w:rPr>
          <w:sz w:val="24"/>
          <w:szCs w:val="24"/>
          <w:lang w:val="en"/>
        </w:rPr>
        <w:t xml:space="preserve"> for a real-time imbalance market.</w:t>
      </w:r>
    </w:p>
    <w:p w:rsidR="00363CE2" w:rsidRPr="00011906" w:rsidRDefault="00363CE2" w:rsidP="00363CE2">
      <w:pPr>
        <w:spacing w:line="480" w:lineRule="auto"/>
        <w:ind w:left="720" w:hanging="720"/>
        <w:rPr>
          <w:b/>
          <w:sz w:val="24"/>
          <w:szCs w:val="24"/>
        </w:rPr>
      </w:pPr>
      <w:r w:rsidRPr="00011906">
        <w:rPr>
          <w:b/>
          <w:sz w:val="24"/>
          <w:szCs w:val="24"/>
        </w:rPr>
        <w:t>Q.</w:t>
      </w:r>
      <w:r w:rsidRPr="00011906">
        <w:rPr>
          <w:b/>
          <w:sz w:val="24"/>
          <w:szCs w:val="24"/>
        </w:rPr>
        <w:tab/>
        <w:t xml:space="preserve">Why did </w:t>
      </w:r>
      <w:r w:rsidR="004116FB">
        <w:rPr>
          <w:b/>
          <w:sz w:val="24"/>
          <w:szCs w:val="24"/>
        </w:rPr>
        <w:t>the Company</w:t>
      </w:r>
      <w:r w:rsidRPr="00011906">
        <w:rPr>
          <w:b/>
          <w:sz w:val="24"/>
          <w:szCs w:val="24"/>
        </w:rPr>
        <w:t xml:space="preserve"> decide to move forward with the CAISO to participate in the EIM? </w:t>
      </w:r>
    </w:p>
    <w:p w:rsidR="00363CE2" w:rsidRDefault="00363CE2" w:rsidP="00363CE2">
      <w:pPr>
        <w:spacing w:line="480" w:lineRule="auto"/>
        <w:ind w:left="720" w:hanging="720"/>
        <w:rPr>
          <w:sz w:val="24"/>
          <w:szCs w:val="24"/>
        </w:rPr>
      </w:pPr>
      <w:r>
        <w:rPr>
          <w:sz w:val="24"/>
          <w:szCs w:val="24"/>
        </w:rPr>
        <w:t>A.</w:t>
      </w:r>
      <w:r>
        <w:rPr>
          <w:sz w:val="24"/>
          <w:szCs w:val="24"/>
        </w:rPr>
        <w:tab/>
        <w:t>De</w:t>
      </w:r>
      <w:r w:rsidRPr="00DA6A43">
        <w:rPr>
          <w:sz w:val="24"/>
          <w:szCs w:val="24"/>
        </w:rPr>
        <w:t xml:space="preserve">veloping the EIM using the CAISO’s </w:t>
      </w:r>
      <w:r w:rsidRPr="00510B94">
        <w:rPr>
          <w:sz w:val="24"/>
          <w:szCs w:val="24"/>
          <w:lang w:val="en"/>
        </w:rPr>
        <w:t xml:space="preserve">proven state-of-the-art technology and </w:t>
      </w:r>
      <w:r>
        <w:rPr>
          <w:sz w:val="24"/>
          <w:szCs w:val="24"/>
          <w:lang w:val="en"/>
        </w:rPr>
        <w:t xml:space="preserve">large </w:t>
      </w:r>
      <w:r w:rsidRPr="00510B94">
        <w:rPr>
          <w:sz w:val="24"/>
          <w:szCs w:val="24"/>
          <w:lang w:val="en"/>
        </w:rPr>
        <w:t xml:space="preserve">market </w:t>
      </w:r>
      <w:r>
        <w:rPr>
          <w:sz w:val="24"/>
          <w:szCs w:val="24"/>
          <w:lang w:val="en"/>
        </w:rPr>
        <w:t xml:space="preserve">platform </w:t>
      </w:r>
      <w:r>
        <w:rPr>
          <w:sz w:val="24"/>
          <w:szCs w:val="24"/>
        </w:rPr>
        <w:t>was m</w:t>
      </w:r>
      <w:r w:rsidRPr="00DA6A43">
        <w:rPr>
          <w:sz w:val="24"/>
          <w:szCs w:val="24"/>
        </w:rPr>
        <w:t>ore cost-effective, more efficient, and involve</w:t>
      </w:r>
      <w:r>
        <w:rPr>
          <w:sz w:val="24"/>
          <w:szCs w:val="24"/>
        </w:rPr>
        <w:t>d</w:t>
      </w:r>
      <w:r w:rsidRPr="00DA6A43">
        <w:rPr>
          <w:sz w:val="24"/>
          <w:szCs w:val="24"/>
        </w:rPr>
        <w:t xml:space="preserve"> less risk than creat</w:t>
      </w:r>
      <w:r>
        <w:rPr>
          <w:sz w:val="24"/>
          <w:szCs w:val="24"/>
        </w:rPr>
        <w:t>ing</w:t>
      </w:r>
      <w:r w:rsidRPr="00DA6A43">
        <w:rPr>
          <w:sz w:val="24"/>
          <w:szCs w:val="24"/>
        </w:rPr>
        <w:t xml:space="preserve"> a</w:t>
      </w:r>
      <w:r>
        <w:rPr>
          <w:sz w:val="24"/>
          <w:szCs w:val="24"/>
        </w:rPr>
        <w:t>n entirely</w:t>
      </w:r>
      <w:r w:rsidRPr="00DA6A43">
        <w:rPr>
          <w:sz w:val="24"/>
          <w:szCs w:val="24"/>
        </w:rPr>
        <w:t xml:space="preserve"> new</w:t>
      </w:r>
      <w:r>
        <w:rPr>
          <w:sz w:val="24"/>
          <w:szCs w:val="24"/>
        </w:rPr>
        <w:t xml:space="preserve"> model</w:t>
      </w:r>
      <w:r w:rsidRPr="00DA6A43">
        <w:rPr>
          <w:sz w:val="24"/>
          <w:szCs w:val="24"/>
        </w:rPr>
        <w:t xml:space="preserve">.  </w:t>
      </w:r>
    </w:p>
    <w:p w:rsidR="00573168" w:rsidRDefault="00573168" w:rsidP="00573168">
      <w:pPr>
        <w:suppressLineNumbers/>
        <w:spacing w:line="480" w:lineRule="auto"/>
        <w:ind w:left="720" w:hanging="720"/>
        <w:rPr>
          <w:sz w:val="24"/>
          <w:szCs w:val="24"/>
        </w:rPr>
      </w:pPr>
    </w:p>
    <w:p w:rsidR="00363CE2" w:rsidRPr="001F0AFA" w:rsidRDefault="00363CE2" w:rsidP="00363CE2">
      <w:pPr>
        <w:spacing w:line="480" w:lineRule="auto"/>
        <w:ind w:left="720" w:hanging="720"/>
        <w:rPr>
          <w:b/>
          <w:sz w:val="24"/>
          <w:szCs w:val="24"/>
        </w:rPr>
      </w:pPr>
      <w:r w:rsidRPr="001F0AFA">
        <w:rPr>
          <w:b/>
          <w:sz w:val="24"/>
          <w:szCs w:val="24"/>
        </w:rPr>
        <w:t>Q.</w:t>
      </w:r>
      <w:r w:rsidRPr="001F0AFA">
        <w:rPr>
          <w:b/>
          <w:sz w:val="24"/>
          <w:szCs w:val="24"/>
        </w:rPr>
        <w:tab/>
        <w:t xml:space="preserve">What benefits does PacifiCorp </w:t>
      </w:r>
      <w:r>
        <w:rPr>
          <w:b/>
          <w:sz w:val="24"/>
          <w:szCs w:val="24"/>
        </w:rPr>
        <w:t xml:space="preserve">hope </w:t>
      </w:r>
      <w:r w:rsidRPr="001F0AFA">
        <w:rPr>
          <w:b/>
          <w:sz w:val="24"/>
          <w:szCs w:val="24"/>
        </w:rPr>
        <w:t xml:space="preserve">to achieve for customers from the EIM? </w:t>
      </w:r>
    </w:p>
    <w:p w:rsidR="00363CE2" w:rsidRPr="00DA6A43" w:rsidRDefault="00363CE2" w:rsidP="00363CE2">
      <w:pPr>
        <w:spacing w:line="480" w:lineRule="auto"/>
        <w:ind w:left="720" w:hanging="720"/>
        <w:rPr>
          <w:sz w:val="24"/>
          <w:szCs w:val="24"/>
        </w:rPr>
      </w:pPr>
      <w:r>
        <w:rPr>
          <w:sz w:val="24"/>
          <w:szCs w:val="24"/>
        </w:rPr>
        <w:t>A.</w:t>
      </w:r>
      <w:r>
        <w:rPr>
          <w:sz w:val="24"/>
          <w:szCs w:val="24"/>
        </w:rPr>
        <w:tab/>
      </w:r>
      <w:r w:rsidRPr="00DA6A43">
        <w:rPr>
          <w:sz w:val="24"/>
          <w:szCs w:val="24"/>
        </w:rPr>
        <w:t xml:space="preserve">The </w:t>
      </w:r>
      <w:r>
        <w:rPr>
          <w:sz w:val="24"/>
          <w:szCs w:val="24"/>
        </w:rPr>
        <w:t xml:space="preserve">expected </w:t>
      </w:r>
      <w:r w:rsidRPr="00DA6A43">
        <w:rPr>
          <w:sz w:val="24"/>
          <w:szCs w:val="24"/>
        </w:rPr>
        <w:t xml:space="preserve">benefits of an EIM include (1) the economic efficiency of an automated </w:t>
      </w:r>
      <w:r w:rsidR="00255846">
        <w:rPr>
          <w:sz w:val="24"/>
          <w:szCs w:val="24"/>
        </w:rPr>
        <w:t xml:space="preserve">five and </w:t>
      </w:r>
      <w:r w:rsidR="00777C7E">
        <w:rPr>
          <w:sz w:val="24"/>
          <w:szCs w:val="24"/>
        </w:rPr>
        <w:t>15</w:t>
      </w:r>
      <w:r w:rsidR="00255846">
        <w:rPr>
          <w:sz w:val="24"/>
          <w:szCs w:val="24"/>
        </w:rPr>
        <w:t xml:space="preserve"> minute </w:t>
      </w:r>
      <w:r w:rsidRPr="00DA6A43">
        <w:rPr>
          <w:sz w:val="24"/>
          <w:szCs w:val="24"/>
        </w:rPr>
        <w:t>dispatch, (2) savings due to diversity of loads and variable resources in the expanded footprint, and (3) reduced operational risk from enhanced system reliability.</w:t>
      </w:r>
      <w:r>
        <w:rPr>
          <w:sz w:val="24"/>
          <w:szCs w:val="24"/>
        </w:rPr>
        <w:t xml:space="preserve">  The EIM should</w:t>
      </w:r>
      <w:r w:rsidRPr="00DA6A43">
        <w:rPr>
          <w:sz w:val="24"/>
          <w:szCs w:val="24"/>
        </w:rPr>
        <w:t xml:space="preserve"> enhance </w:t>
      </w:r>
      <w:r w:rsidR="00185B38">
        <w:rPr>
          <w:sz w:val="24"/>
          <w:szCs w:val="24"/>
        </w:rPr>
        <w:t>reliability,</w:t>
      </w:r>
      <w:r w:rsidRPr="00DA6A43">
        <w:rPr>
          <w:sz w:val="24"/>
          <w:szCs w:val="24"/>
        </w:rPr>
        <w:t xml:space="preserve"> more efficiently integrate renewable resources, and reduce costs for customers. </w:t>
      </w:r>
    </w:p>
    <w:p w:rsidR="00363CE2" w:rsidRPr="001F0AFA" w:rsidRDefault="00363CE2" w:rsidP="00363CE2">
      <w:pPr>
        <w:spacing w:line="480" w:lineRule="auto"/>
        <w:ind w:left="720" w:hanging="720"/>
        <w:rPr>
          <w:b/>
          <w:sz w:val="24"/>
          <w:szCs w:val="24"/>
        </w:rPr>
      </w:pPr>
      <w:r w:rsidRPr="001F0AFA">
        <w:rPr>
          <w:b/>
          <w:sz w:val="24"/>
          <w:szCs w:val="24"/>
        </w:rPr>
        <w:t>Q.</w:t>
      </w:r>
      <w:r w:rsidRPr="001F0AFA">
        <w:rPr>
          <w:b/>
          <w:sz w:val="24"/>
          <w:szCs w:val="24"/>
        </w:rPr>
        <w:tab/>
        <w:t xml:space="preserve">Are the EIM’s benefits a function of the size </w:t>
      </w:r>
      <w:r>
        <w:rPr>
          <w:b/>
          <w:sz w:val="24"/>
          <w:szCs w:val="24"/>
        </w:rPr>
        <w:t xml:space="preserve">and scope </w:t>
      </w:r>
      <w:r w:rsidRPr="001F0AFA">
        <w:rPr>
          <w:b/>
          <w:sz w:val="24"/>
          <w:szCs w:val="24"/>
        </w:rPr>
        <w:t xml:space="preserve">of its footprint? </w:t>
      </w:r>
    </w:p>
    <w:p w:rsidR="00363CE2" w:rsidRDefault="00363CE2" w:rsidP="00363CE2">
      <w:pPr>
        <w:spacing w:line="480" w:lineRule="auto"/>
        <w:ind w:left="720" w:hanging="720"/>
        <w:rPr>
          <w:sz w:val="24"/>
          <w:szCs w:val="24"/>
        </w:rPr>
      </w:pPr>
      <w:r>
        <w:rPr>
          <w:sz w:val="24"/>
          <w:szCs w:val="24"/>
        </w:rPr>
        <w:t>A.</w:t>
      </w:r>
      <w:r>
        <w:rPr>
          <w:sz w:val="24"/>
          <w:szCs w:val="24"/>
        </w:rPr>
        <w:tab/>
        <w:t xml:space="preserve">Yes.  The EIM’s viability and benefits come from combining </w:t>
      </w:r>
      <w:r w:rsidR="004116FB">
        <w:rPr>
          <w:sz w:val="24"/>
          <w:szCs w:val="24"/>
        </w:rPr>
        <w:t>the Company</w:t>
      </w:r>
      <w:r>
        <w:rPr>
          <w:sz w:val="24"/>
          <w:szCs w:val="24"/>
        </w:rPr>
        <w:t xml:space="preserve">’s transmission system, now the largest system owned by a single entity in the </w:t>
      </w:r>
      <w:r w:rsidR="00185B38">
        <w:rPr>
          <w:sz w:val="24"/>
          <w:szCs w:val="24"/>
        </w:rPr>
        <w:t>w</w:t>
      </w:r>
      <w:r>
        <w:rPr>
          <w:sz w:val="24"/>
          <w:szCs w:val="24"/>
        </w:rPr>
        <w:t xml:space="preserve">est, with the CAISO’s system, which covers most of California.  The benefits of the EIM are expected to increase as new utilities join, and NV Energy is slated to join the EIM in late 2015.  Conversely, if PacifiCorp or the CAISO limited their participation in the EIM, its viability and benefits would be diminished.  </w:t>
      </w:r>
    </w:p>
    <w:p w:rsidR="00363CE2" w:rsidRPr="00166949" w:rsidRDefault="00363CE2" w:rsidP="00363CE2">
      <w:pPr>
        <w:spacing w:line="480" w:lineRule="auto"/>
        <w:ind w:left="720" w:hanging="720"/>
        <w:rPr>
          <w:b/>
          <w:sz w:val="24"/>
          <w:szCs w:val="24"/>
        </w:rPr>
      </w:pPr>
      <w:r w:rsidRPr="00166949">
        <w:rPr>
          <w:b/>
          <w:sz w:val="24"/>
          <w:szCs w:val="24"/>
        </w:rPr>
        <w:t>Q.</w:t>
      </w:r>
      <w:r w:rsidRPr="00166949">
        <w:rPr>
          <w:b/>
          <w:sz w:val="24"/>
          <w:szCs w:val="24"/>
        </w:rPr>
        <w:tab/>
        <w:t>What is the current status of EIM implementation?</w:t>
      </w:r>
    </w:p>
    <w:p w:rsidR="00363CE2" w:rsidRDefault="00363CE2" w:rsidP="00363CE2">
      <w:pPr>
        <w:spacing w:line="480" w:lineRule="auto"/>
        <w:ind w:left="720" w:hanging="720"/>
        <w:rPr>
          <w:sz w:val="24"/>
          <w:szCs w:val="24"/>
          <w:lang w:val="en"/>
        </w:rPr>
      </w:pPr>
      <w:r>
        <w:rPr>
          <w:sz w:val="24"/>
          <w:szCs w:val="24"/>
        </w:rPr>
        <w:t>A.</w:t>
      </w:r>
      <w:r>
        <w:rPr>
          <w:sz w:val="24"/>
          <w:szCs w:val="24"/>
        </w:rPr>
        <w:tab/>
        <w:t xml:space="preserve">The EIM had a “soft start” on October 1, 2014.  </w:t>
      </w:r>
      <w:r w:rsidRPr="00510B94">
        <w:rPr>
          <w:sz w:val="24"/>
          <w:szCs w:val="24"/>
          <w:lang w:val="en"/>
        </w:rPr>
        <w:t xml:space="preserve">After running </w:t>
      </w:r>
      <w:r>
        <w:rPr>
          <w:sz w:val="24"/>
          <w:szCs w:val="24"/>
          <w:lang w:val="en"/>
        </w:rPr>
        <w:t xml:space="preserve">the </w:t>
      </w:r>
      <w:r w:rsidRPr="00510B94">
        <w:rPr>
          <w:sz w:val="24"/>
          <w:szCs w:val="24"/>
          <w:lang w:val="en"/>
        </w:rPr>
        <w:t>EIM for a month under non-binding conditions, the market became financially binding on November 1</w:t>
      </w:r>
      <w:r>
        <w:rPr>
          <w:sz w:val="24"/>
          <w:szCs w:val="24"/>
          <w:lang w:val="en"/>
        </w:rPr>
        <w:t>, 2014</w:t>
      </w:r>
      <w:r w:rsidRPr="00510B94">
        <w:rPr>
          <w:sz w:val="24"/>
          <w:szCs w:val="24"/>
          <w:lang w:val="en"/>
        </w:rPr>
        <w:t>.</w:t>
      </w:r>
    </w:p>
    <w:p w:rsidR="007F59DF" w:rsidRPr="00573168" w:rsidRDefault="007F59DF" w:rsidP="00573168">
      <w:pPr>
        <w:pStyle w:val="Heading2"/>
        <w:rPr>
          <w:i/>
        </w:rPr>
      </w:pPr>
      <w:bookmarkStart w:id="12" w:name="_Toc403714288"/>
      <w:r w:rsidRPr="00573168">
        <w:rPr>
          <w:i/>
          <w:lang w:val="en"/>
        </w:rPr>
        <w:t>General Objections to EIM Benefit Imputation</w:t>
      </w:r>
      <w:bookmarkEnd w:id="12"/>
    </w:p>
    <w:p w:rsidR="00363CE2" w:rsidRPr="00166949" w:rsidRDefault="00363CE2" w:rsidP="00363CE2">
      <w:pPr>
        <w:spacing w:line="480" w:lineRule="auto"/>
        <w:ind w:left="720" w:hanging="720"/>
        <w:rPr>
          <w:b/>
          <w:sz w:val="24"/>
          <w:szCs w:val="24"/>
        </w:rPr>
      </w:pPr>
      <w:r w:rsidRPr="00166949">
        <w:rPr>
          <w:b/>
          <w:sz w:val="24"/>
          <w:szCs w:val="24"/>
        </w:rPr>
        <w:t>Q.</w:t>
      </w:r>
      <w:r w:rsidRPr="00166949">
        <w:rPr>
          <w:b/>
          <w:sz w:val="24"/>
          <w:szCs w:val="24"/>
        </w:rPr>
        <w:tab/>
        <w:t xml:space="preserve">Did the Company include EIM costs </w:t>
      </w:r>
      <w:r>
        <w:rPr>
          <w:b/>
          <w:sz w:val="24"/>
          <w:szCs w:val="24"/>
        </w:rPr>
        <w:t>or forecasted NPC benefits in this case</w:t>
      </w:r>
      <w:r w:rsidRPr="00166949">
        <w:rPr>
          <w:b/>
          <w:sz w:val="24"/>
          <w:szCs w:val="24"/>
        </w:rPr>
        <w:t xml:space="preserve">? </w:t>
      </w:r>
    </w:p>
    <w:p w:rsidR="00363CE2" w:rsidRDefault="00363CE2" w:rsidP="00363CE2">
      <w:pPr>
        <w:spacing w:line="480" w:lineRule="auto"/>
        <w:ind w:left="720" w:hanging="720"/>
        <w:rPr>
          <w:sz w:val="24"/>
          <w:szCs w:val="24"/>
        </w:rPr>
      </w:pPr>
      <w:r>
        <w:rPr>
          <w:sz w:val="24"/>
          <w:szCs w:val="24"/>
        </w:rPr>
        <w:t>A.</w:t>
      </w:r>
      <w:r>
        <w:rPr>
          <w:sz w:val="24"/>
          <w:szCs w:val="24"/>
        </w:rPr>
        <w:tab/>
        <w:t xml:space="preserve">No.  As stated in my direct testimony, the Company did not include EIM costs or benefits in this case.  While EIM costs for the rate period are generally ascertainable, it is impossible at this point to accurately project the amount of offsetting benefits in the rate period.  Following Washington’s known and measurable standard and its adherence to the matching principle, the Company elected to exclude both EIM costs and benefits from this case.  For this reason, the Company did not include a request for a prudence determination for </w:t>
      </w:r>
      <w:r w:rsidR="00D6775A">
        <w:rPr>
          <w:sz w:val="24"/>
          <w:szCs w:val="24"/>
        </w:rPr>
        <w:t xml:space="preserve">its participation in </w:t>
      </w:r>
      <w:r>
        <w:rPr>
          <w:sz w:val="24"/>
          <w:szCs w:val="24"/>
        </w:rPr>
        <w:t xml:space="preserve">the EIM in this case.  </w:t>
      </w:r>
    </w:p>
    <w:p w:rsidR="00363CE2" w:rsidRDefault="00363CE2" w:rsidP="00185B38">
      <w:pPr>
        <w:keepNext/>
        <w:spacing w:line="480" w:lineRule="auto"/>
        <w:ind w:left="720" w:hanging="720"/>
        <w:rPr>
          <w:b/>
          <w:sz w:val="24"/>
          <w:szCs w:val="24"/>
        </w:rPr>
      </w:pPr>
      <w:r w:rsidRPr="00051697">
        <w:rPr>
          <w:b/>
          <w:sz w:val="24"/>
          <w:szCs w:val="24"/>
        </w:rPr>
        <w:t>Q.</w:t>
      </w:r>
      <w:r w:rsidRPr="00051697">
        <w:rPr>
          <w:b/>
          <w:sz w:val="24"/>
          <w:szCs w:val="24"/>
        </w:rPr>
        <w:tab/>
      </w:r>
      <w:r>
        <w:rPr>
          <w:b/>
          <w:sz w:val="24"/>
          <w:szCs w:val="24"/>
        </w:rPr>
        <w:t xml:space="preserve">Why can’t the Company project EIM benefits for the rate period? </w:t>
      </w:r>
    </w:p>
    <w:p w:rsidR="00363CE2" w:rsidRDefault="00363CE2" w:rsidP="00363CE2">
      <w:pPr>
        <w:tabs>
          <w:tab w:val="left" w:pos="1020"/>
        </w:tabs>
        <w:spacing w:line="480" w:lineRule="auto"/>
        <w:ind w:left="720" w:hanging="720"/>
        <w:rPr>
          <w:sz w:val="24"/>
          <w:szCs w:val="24"/>
        </w:rPr>
      </w:pPr>
      <w:r w:rsidRPr="00785D07">
        <w:rPr>
          <w:sz w:val="24"/>
          <w:szCs w:val="24"/>
        </w:rPr>
        <w:t>A.</w:t>
      </w:r>
      <w:r>
        <w:rPr>
          <w:b/>
          <w:sz w:val="24"/>
          <w:szCs w:val="24"/>
        </w:rPr>
        <w:t xml:space="preserve"> </w:t>
      </w:r>
      <w:r>
        <w:rPr>
          <w:b/>
          <w:sz w:val="24"/>
          <w:szCs w:val="24"/>
        </w:rPr>
        <w:tab/>
      </w:r>
      <w:r w:rsidRPr="00510B94">
        <w:rPr>
          <w:sz w:val="24"/>
          <w:szCs w:val="24"/>
          <w:lang w:val="en"/>
        </w:rPr>
        <w:t xml:space="preserve">The </w:t>
      </w:r>
      <w:r>
        <w:rPr>
          <w:sz w:val="24"/>
          <w:szCs w:val="24"/>
          <w:lang w:val="en"/>
        </w:rPr>
        <w:t xml:space="preserve">EIM’s </w:t>
      </w:r>
      <w:r w:rsidRPr="00510B94">
        <w:rPr>
          <w:sz w:val="24"/>
          <w:szCs w:val="24"/>
          <w:lang w:val="en"/>
        </w:rPr>
        <w:t xml:space="preserve">real-time market is the first of its kind in the </w:t>
      </w:r>
      <w:r w:rsidR="00185B38">
        <w:rPr>
          <w:sz w:val="24"/>
          <w:szCs w:val="24"/>
          <w:lang w:val="en"/>
        </w:rPr>
        <w:t>w</w:t>
      </w:r>
      <w:r w:rsidRPr="00510B94">
        <w:rPr>
          <w:sz w:val="24"/>
          <w:szCs w:val="24"/>
          <w:lang w:val="en"/>
        </w:rPr>
        <w:t>est.</w:t>
      </w:r>
      <w:r>
        <w:rPr>
          <w:sz w:val="24"/>
          <w:szCs w:val="24"/>
          <w:lang w:val="en"/>
        </w:rPr>
        <w:t xml:space="preserve">  T</w:t>
      </w:r>
      <w:r>
        <w:rPr>
          <w:sz w:val="24"/>
          <w:szCs w:val="24"/>
        </w:rPr>
        <w:t xml:space="preserve">he EIM is unlike other forecast items in this case because there is no actual or analogous historical data on which to base an economic forecast for ratemaking purposes.  In addition, given the EIM’s new and untested nature, the Company expects that a reasonable ramp-up </w:t>
      </w:r>
      <w:r w:rsidR="00390440">
        <w:rPr>
          <w:sz w:val="24"/>
          <w:szCs w:val="24"/>
        </w:rPr>
        <w:t xml:space="preserve">period will be </w:t>
      </w:r>
      <w:r>
        <w:rPr>
          <w:sz w:val="24"/>
          <w:szCs w:val="24"/>
        </w:rPr>
        <w:t xml:space="preserve">required before EIM benefits are fully realized.  </w:t>
      </w:r>
    </w:p>
    <w:p w:rsidR="00363CE2" w:rsidRPr="009B4B37" w:rsidRDefault="00363CE2" w:rsidP="00363CE2">
      <w:pPr>
        <w:tabs>
          <w:tab w:val="left" w:pos="1020"/>
        </w:tabs>
        <w:spacing w:line="480" w:lineRule="auto"/>
        <w:ind w:left="720" w:hanging="720"/>
        <w:rPr>
          <w:b/>
          <w:sz w:val="24"/>
          <w:szCs w:val="24"/>
        </w:rPr>
      </w:pPr>
      <w:r w:rsidRPr="009B4B37">
        <w:rPr>
          <w:b/>
          <w:sz w:val="24"/>
          <w:szCs w:val="24"/>
        </w:rPr>
        <w:t>Q.</w:t>
      </w:r>
      <w:r w:rsidRPr="009B4B37">
        <w:rPr>
          <w:b/>
          <w:sz w:val="24"/>
          <w:szCs w:val="24"/>
        </w:rPr>
        <w:tab/>
        <w:t xml:space="preserve">Does the EIM report upon which </w:t>
      </w:r>
      <w:r w:rsidR="00005ACA">
        <w:rPr>
          <w:b/>
          <w:sz w:val="24"/>
          <w:szCs w:val="24"/>
        </w:rPr>
        <w:t>Boise</w:t>
      </w:r>
      <w:r w:rsidRPr="009B4B37">
        <w:rPr>
          <w:b/>
          <w:sz w:val="24"/>
          <w:szCs w:val="24"/>
        </w:rPr>
        <w:t xml:space="preserve"> relies for </w:t>
      </w:r>
      <w:r w:rsidR="008E5493">
        <w:rPr>
          <w:b/>
          <w:sz w:val="24"/>
          <w:szCs w:val="24"/>
        </w:rPr>
        <w:t>its</w:t>
      </w:r>
      <w:r w:rsidRPr="009B4B37">
        <w:rPr>
          <w:b/>
          <w:sz w:val="24"/>
          <w:szCs w:val="24"/>
        </w:rPr>
        <w:t xml:space="preserve"> adjustment in this case analyze the EIM’s benefits after the 2015-2016 start-up period? </w:t>
      </w:r>
    </w:p>
    <w:p w:rsidR="00363CE2" w:rsidRPr="009B4B37" w:rsidRDefault="00363CE2" w:rsidP="00363CE2">
      <w:pPr>
        <w:tabs>
          <w:tab w:val="left" w:pos="1020"/>
        </w:tabs>
        <w:spacing w:line="480" w:lineRule="auto"/>
        <w:ind w:left="720" w:hanging="720"/>
        <w:rPr>
          <w:b/>
          <w:sz w:val="24"/>
          <w:szCs w:val="24"/>
        </w:rPr>
      </w:pPr>
      <w:r>
        <w:rPr>
          <w:sz w:val="24"/>
          <w:szCs w:val="24"/>
        </w:rPr>
        <w:t>A.</w:t>
      </w:r>
      <w:r>
        <w:rPr>
          <w:sz w:val="24"/>
          <w:szCs w:val="24"/>
        </w:rPr>
        <w:tab/>
        <w:t xml:space="preserve">Yes.  </w:t>
      </w:r>
      <w:r w:rsidR="00005ACA">
        <w:rPr>
          <w:sz w:val="24"/>
          <w:szCs w:val="24"/>
        </w:rPr>
        <w:t>Boise</w:t>
      </w:r>
      <w:r>
        <w:rPr>
          <w:sz w:val="24"/>
          <w:szCs w:val="24"/>
        </w:rPr>
        <w:t>’</w:t>
      </w:r>
      <w:r w:rsidR="00005ACA">
        <w:rPr>
          <w:sz w:val="24"/>
          <w:szCs w:val="24"/>
        </w:rPr>
        <w:t>s</w:t>
      </w:r>
      <w:r>
        <w:rPr>
          <w:sz w:val="24"/>
          <w:szCs w:val="24"/>
        </w:rPr>
        <w:t xml:space="preserve"> adjustments are almost exclusively based on the E3 Report, which analyzes EIM benefits </w:t>
      </w:r>
      <w:r w:rsidRPr="009B4B37">
        <w:rPr>
          <w:sz w:val="24"/>
          <w:szCs w:val="24"/>
        </w:rPr>
        <w:t xml:space="preserve">beginning in 2017.  </w:t>
      </w:r>
      <w:r w:rsidR="00D00DFE">
        <w:rPr>
          <w:sz w:val="24"/>
          <w:szCs w:val="24"/>
        </w:rPr>
        <w:t xml:space="preserve">The E3 Report was issued in March 2013, based on </w:t>
      </w:r>
      <w:r w:rsidR="00BE03DC">
        <w:rPr>
          <w:sz w:val="24"/>
          <w:szCs w:val="24"/>
        </w:rPr>
        <w:t xml:space="preserve">dated </w:t>
      </w:r>
      <w:r w:rsidR="008E5493">
        <w:rPr>
          <w:sz w:val="24"/>
          <w:szCs w:val="24"/>
        </w:rPr>
        <w:t>information and assumptions</w:t>
      </w:r>
      <w:r w:rsidR="00D00DFE">
        <w:rPr>
          <w:sz w:val="24"/>
          <w:szCs w:val="24"/>
        </w:rPr>
        <w:t>.</w:t>
      </w:r>
    </w:p>
    <w:p w:rsidR="00363CE2" w:rsidRPr="00051697" w:rsidRDefault="00363CE2" w:rsidP="00363CE2">
      <w:pPr>
        <w:spacing w:line="480" w:lineRule="auto"/>
        <w:ind w:left="720" w:hanging="720"/>
        <w:rPr>
          <w:b/>
          <w:sz w:val="24"/>
          <w:szCs w:val="24"/>
        </w:rPr>
      </w:pPr>
      <w:r>
        <w:rPr>
          <w:b/>
          <w:sz w:val="24"/>
          <w:szCs w:val="24"/>
        </w:rPr>
        <w:t>Q.</w:t>
      </w:r>
      <w:r>
        <w:rPr>
          <w:b/>
          <w:sz w:val="24"/>
          <w:szCs w:val="24"/>
        </w:rPr>
        <w:tab/>
      </w:r>
      <w:r w:rsidRPr="00051697">
        <w:rPr>
          <w:b/>
          <w:sz w:val="24"/>
          <w:szCs w:val="24"/>
        </w:rPr>
        <w:t xml:space="preserve">Does Washington’s use of the WCA further complicate the projection and assignment of EIM costs and benefits to Washington? </w:t>
      </w:r>
    </w:p>
    <w:p w:rsidR="008E5493" w:rsidRDefault="00363CE2" w:rsidP="00783649">
      <w:pPr>
        <w:spacing w:line="480" w:lineRule="auto"/>
        <w:ind w:left="720" w:hanging="720"/>
        <w:rPr>
          <w:sz w:val="24"/>
          <w:szCs w:val="24"/>
        </w:rPr>
      </w:pPr>
      <w:r>
        <w:rPr>
          <w:sz w:val="24"/>
          <w:szCs w:val="24"/>
        </w:rPr>
        <w:t>A.</w:t>
      </w:r>
      <w:r>
        <w:rPr>
          <w:sz w:val="24"/>
          <w:szCs w:val="24"/>
        </w:rPr>
        <w:tab/>
        <w:t xml:space="preserve">Yes.  The WCA requires a second set of speculative projections regarding the potential costs and benefits during the start-up phase of a hypothetical EIM limited to PacifiCorp’s west control area.  Even assuming an EIM using only one of </w:t>
      </w:r>
      <w:r w:rsidR="004116FB">
        <w:rPr>
          <w:sz w:val="24"/>
          <w:szCs w:val="24"/>
        </w:rPr>
        <w:t>the Company</w:t>
      </w:r>
      <w:r>
        <w:rPr>
          <w:sz w:val="24"/>
          <w:szCs w:val="24"/>
        </w:rPr>
        <w:t xml:space="preserve">’s balancing </w:t>
      </w:r>
      <w:r w:rsidR="00CC732A">
        <w:rPr>
          <w:sz w:val="24"/>
          <w:szCs w:val="24"/>
        </w:rPr>
        <w:t xml:space="preserve">authority </w:t>
      </w:r>
      <w:r>
        <w:rPr>
          <w:sz w:val="24"/>
          <w:szCs w:val="24"/>
        </w:rPr>
        <w:t>area</w:t>
      </w:r>
      <w:r w:rsidR="00CC732A">
        <w:rPr>
          <w:sz w:val="24"/>
          <w:szCs w:val="24"/>
        </w:rPr>
        <w:t>s</w:t>
      </w:r>
      <w:r>
        <w:rPr>
          <w:sz w:val="24"/>
          <w:szCs w:val="24"/>
        </w:rPr>
        <w:t xml:space="preserve"> was viable, because the </w:t>
      </w:r>
      <w:r w:rsidR="007F5539">
        <w:rPr>
          <w:sz w:val="24"/>
          <w:szCs w:val="24"/>
        </w:rPr>
        <w:t xml:space="preserve">expected benefits </w:t>
      </w:r>
      <w:r>
        <w:rPr>
          <w:sz w:val="24"/>
          <w:szCs w:val="24"/>
        </w:rPr>
        <w:t xml:space="preserve">of the EIM </w:t>
      </w:r>
      <w:r w:rsidR="007F5539">
        <w:rPr>
          <w:sz w:val="24"/>
          <w:szCs w:val="24"/>
        </w:rPr>
        <w:t>are</w:t>
      </w:r>
      <w:r>
        <w:rPr>
          <w:sz w:val="24"/>
          <w:szCs w:val="24"/>
        </w:rPr>
        <w:t xml:space="preserve"> correlated to its </w:t>
      </w:r>
      <w:r w:rsidR="007F5539">
        <w:rPr>
          <w:sz w:val="24"/>
          <w:szCs w:val="24"/>
        </w:rPr>
        <w:t>scale</w:t>
      </w:r>
      <w:r>
        <w:rPr>
          <w:sz w:val="24"/>
          <w:szCs w:val="24"/>
        </w:rPr>
        <w:t>, a hypothetical WCA-only EIM will produce proportion</w:t>
      </w:r>
      <w:r w:rsidR="00185B38">
        <w:rPr>
          <w:sz w:val="24"/>
          <w:szCs w:val="24"/>
        </w:rPr>
        <w:t>ately less benefits than a full-</w:t>
      </w:r>
      <w:r>
        <w:rPr>
          <w:sz w:val="24"/>
          <w:szCs w:val="24"/>
        </w:rPr>
        <w:t xml:space="preserve">system EIM.  </w:t>
      </w:r>
    </w:p>
    <w:p w:rsidR="00363CE2" w:rsidRDefault="008E5493" w:rsidP="00783649">
      <w:pPr>
        <w:spacing w:line="480" w:lineRule="auto"/>
        <w:ind w:left="720" w:hanging="720"/>
        <w:rPr>
          <w:sz w:val="24"/>
          <w:szCs w:val="24"/>
        </w:rPr>
      </w:pPr>
      <w:r>
        <w:rPr>
          <w:sz w:val="24"/>
          <w:szCs w:val="24"/>
        </w:rPr>
        <w:tab/>
      </w:r>
      <w:r>
        <w:rPr>
          <w:sz w:val="24"/>
          <w:szCs w:val="24"/>
        </w:rPr>
        <w:tab/>
        <w:t>In addition, t</w:t>
      </w:r>
      <w:r w:rsidR="00363CE2">
        <w:rPr>
          <w:sz w:val="24"/>
          <w:szCs w:val="24"/>
        </w:rPr>
        <w:t xml:space="preserve">he benefits of the EIM and the manner in which it will deploy the Company’s </w:t>
      </w:r>
      <w:r w:rsidR="00CA7C65">
        <w:rPr>
          <w:sz w:val="24"/>
          <w:szCs w:val="24"/>
        </w:rPr>
        <w:t xml:space="preserve">integrated system resources </w:t>
      </w:r>
      <w:r w:rsidR="00363CE2">
        <w:rPr>
          <w:sz w:val="24"/>
          <w:szCs w:val="24"/>
        </w:rPr>
        <w:t>call</w:t>
      </w:r>
      <w:r w:rsidR="00CA7C65">
        <w:rPr>
          <w:sz w:val="24"/>
          <w:szCs w:val="24"/>
        </w:rPr>
        <w:t>s</w:t>
      </w:r>
      <w:r w:rsidR="00363CE2">
        <w:rPr>
          <w:sz w:val="24"/>
          <w:szCs w:val="24"/>
        </w:rPr>
        <w:t xml:space="preserve"> into question the fundamental assumptions underlying the WCA.  </w:t>
      </w:r>
      <w:r w:rsidR="00B668F0">
        <w:rPr>
          <w:sz w:val="24"/>
          <w:szCs w:val="24"/>
        </w:rPr>
        <w:t xml:space="preserve">The premise of the WCA is that the resources in the east control area provide </w:t>
      </w:r>
      <w:r w:rsidR="00935F79">
        <w:rPr>
          <w:sz w:val="24"/>
          <w:szCs w:val="24"/>
        </w:rPr>
        <w:t xml:space="preserve">little to no </w:t>
      </w:r>
      <w:r w:rsidR="00B668F0">
        <w:rPr>
          <w:sz w:val="24"/>
          <w:szCs w:val="24"/>
        </w:rPr>
        <w:t>direct</w:t>
      </w:r>
      <w:r w:rsidR="00935F79">
        <w:rPr>
          <w:sz w:val="24"/>
          <w:szCs w:val="24"/>
        </w:rPr>
        <w:t xml:space="preserve"> or</w:t>
      </w:r>
      <w:r w:rsidR="00B668F0">
        <w:rPr>
          <w:sz w:val="24"/>
          <w:szCs w:val="24"/>
        </w:rPr>
        <w:t xml:space="preserve"> indirect benefits to Washington.  The EIM, however, will produce benefits based on the optimization of the Company’s entire system</w:t>
      </w:r>
      <w:r w:rsidR="0032263C">
        <w:rPr>
          <w:sz w:val="24"/>
          <w:szCs w:val="24"/>
        </w:rPr>
        <w:t>—</w:t>
      </w:r>
      <w:r w:rsidR="00B668F0">
        <w:rPr>
          <w:sz w:val="24"/>
          <w:szCs w:val="24"/>
        </w:rPr>
        <w:t xml:space="preserve">both west and east control area resources.  Given that the Commission has concluded that the east-side resources provide </w:t>
      </w:r>
      <w:r w:rsidR="00935F79">
        <w:rPr>
          <w:sz w:val="24"/>
          <w:szCs w:val="24"/>
        </w:rPr>
        <w:t xml:space="preserve">no </w:t>
      </w:r>
      <w:r w:rsidR="00B668F0">
        <w:rPr>
          <w:sz w:val="24"/>
          <w:szCs w:val="24"/>
        </w:rPr>
        <w:t xml:space="preserve">benefits to Washington, it is reasonable to also conclude that the optimization of those resources through the EIM provide </w:t>
      </w:r>
      <w:r>
        <w:rPr>
          <w:sz w:val="24"/>
          <w:szCs w:val="24"/>
        </w:rPr>
        <w:t>no</w:t>
      </w:r>
      <w:r w:rsidR="00B668F0">
        <w:rPr>
          <w:sz w:val="24"/>
          <w:szCs w:val="24"/>
        </w:rPr>
        <w:t xml:space="preserve"> benefits to Washington.</w:t>
      </w:r>
      <w:r w:rsidR="00043D47">
        <w:rPr>
          <w:sz w:val="24"/>
          <w:szCs w:val="24"/>
        </w:rPr>
        <w:t xml:space="preserve"> </w:t>
      </w:r>
      <w:r w:rsidR="00783649">
        <w:rPr>
          <w:sz w:val="24"/>
          <w:szCs w:val="24"/>
        </w:rPr>
        <w:t xml:space="preserve"> </w:t>
      </w:r>
      <w:r w:rsidR="00E06E33">
        <w:rPr>
          <w:sz w:val="24"/>
          <w:szCs w:val="24"/>
        </w:rPr>
        <w:t>Thus, t</w:t>
      </w:r>
      <w:r>
        <w:rPr>
          <w:sz w:val="24"/>
          <w:szCs w:val="24"/>
        </w:rPr>
        <w:t xml:space="preserve">he imputation of EIM benefits in this case </w:t>
      </w:r>
      <w:r w:rsidR="00050F26">
        <w:rPr>
          <w:sz w:val="24"/>
          <w:szCs w:val="24"/>
        </w:rPr>
        <w:t xml:space="preserve">is </w:t>
      </w:r>
      <w:r w:rsidR="00585309">
        <w:rPr>
          <w:sz w:val="24"/>
          <w:szCs w:val="24"/>
        </w:rPr>
        <w:t>incompatible with</w:t>
      </w:r>
      <w:r w:rsidR="00050F26">
        <w:rPr>
          <w:sz w:val="24"/>
          <w:szCs w:val="24"/>
        </w:rPr>
        <w:t xml:space="preserve"> the </w:t>
      </w:r>
      <w:r>
        <w:rPr>
          <w:sz w:val="24"/>
          <w:szCs w:val="24"/>
        </w:rPr>
        <w:t xml:space="preserve">WCA. </w:t>
      </w:r>
      <w:r w:rsidR="00DE5B87">
        <w:rPr>
          <w:sz w:val="24"/>
          <w:szCs w:val="24"/>
        </w:rPr>
        <w:t xml:space="preserve"> </w:t>
      </w:r>
      <w:r w:rsidR="00363CE2">
        <w:rPr>
          <w:sz w:val="24"/>
          <w:szCs w:val="24"/>
        </w:rPr>
        <w:t xml:space="preserve">  </w:t>
      </w:r>
    </w:p>
    <w:p w:rsidR="00363CE2" w:rsidRDefault="00363CE2" w:rsidP="00363CE2">
      <w:pPr>
        <w:spacing w:line="480" w:lineRule="auto"/>
        <w:ind w:left="720" w:hanging="720"/>
        <w:rPr>
          <w:b/>
          <w:sz w:val="24"/>
          <w:szCs w:val="24"/>
        </w:rPr>
      </w:pPr>
      <w:r w:rsidRPr="00363CE2">
        <w:rPr>
          <w:b/>
          <w:sz w:val="24"/>
          <w:szCs w:val="24"/>
        </w:rPr>
        <w:t>Q.</w:t>
      </w:r>
      <w:r w:rsidRPr="00363CE2">
        <w:rPr>
          <w:b/>
          <w:sz w:val="24"/>
          <w:szCs w:val="24"/>
        </w:rPr>
        <w:tab/>
        <w:t xml:space="preserve">Is the Company’s approach to the EIM in this case </w:t>
      </w:r>
      <w:r w:rsidR="00B56E69">
        <w:rPr>
          <w:b/>
          <w:sz w:val="24"/>
          <w:szCs w:val="24"/>
        </w:rPr>
        <w:t xml:space="preserve">generally </w:t>
      </w:r>
      <w:r w:rsidRPr="00363CE2">
        <w:rPr>
          <w:b/>
          <w:sz w:val="24"/>
          <w:szCs w:val="24"/>
        </w:rPr>
        <w:t xml:space="preserve">similar to the approach adopted in other jurisdictions? </w:t>
      </w:r>
    </w:p>
    <w:p w:rsidR="00390440" w:rsidRDefault="00363CE2" w:rsidP="00390440">
      <w:pPr>
        <w:spacing w:line="480" w:lineRule="auto"/>
        <w:ind w:left="720" w:hanging="720"/>
        <w:rPr>
          <w:sz w:val="24"/>
          <w:szCs w:val="24"/>
        </w:rPr>
      </w:pPr>
      <w:r w:rsidRPr="00390440">
        <w:rPr>
          <w:sz w:val="24"/>
          <w:szCs w:val="24"/>
        </w:rPr>
        <w:t>A.</w:t>
      </w:r>
      <w:r w:rsidRPr="00390440">
        <w:rPr>
          <w:sz w:val="24"/>
          <w:szCs w:val="24"/>
        </w:rPr>
        <w:tab/>
        <w:t>Yes.</w:t>
      </w:r>
      <w:r>
        <w:rPr>
          <w:b/>
          <w:sz w:val="24"/>
          <w:szCs w:val="24"/>
        </w:rPr>
        <w:t xml:space="preserve"> </w:t>
      </w:r>
      <w:r w:rsidR="00390440">
        <w:rPr>
          <w:b/>
          <w:sz w:val="24"/>
          <w:szCs w:val="24"/>
        </w:rPr>
        <w:t xml:space="preserve"> </w:t>
      </w:r>
      <w:r w:rsidR="00390440" w:rsidRPr="005D5F36">
        <w:rPr>
          <w:sz w:val="24"/>
          <w:szCs w:val="24"/>
        </w:rPr>
        <w:t xml:space="preserve">In Oregon, the Company and intervenors agreed to set EIM benefits included in NPC for Oregon in 2015 equal to EIM costs.  </w:t>
      </w:r>
      <w:r w:rsidR="00390440">
        <w:rPr>
          <w:sz w:val="24"/>
          <w:szCs w:val="24"/>
        </w:rPr>
        <w:t xml:space="preserve">In that case, Mr. Mullins was the witness for </w:t>
      </w:r>
      <w:r w:rsidR="00050F26">
        <w:rPr>
          <w:sz w:val="24"/>
          <w:szCs w:val="24"/>
        </w:rPr>
        <w:t xml:space="preserve">Boise’s energy trade association </w:t>
      </w:r>
      <w:r w:rsidR="00390440">
        <w:rPr>
          <w:sz w:val="24"/>
          <w:szCs w:val="24"/>
        </w:rPr>
        <w:t>ICNU and testified that the Oregon EIM settlement was reasonable given the difficulty of quantifying EIM benefits in 2015.</w:t>
      </w:r>
      <w:r w:rsidR="0099326D">
        <w:rPr>
          <w:rStyle w:val="FootnoteReference"/>
          <w:sz w:val="24"/>
          <w:szCs w:val="24"/>
        </w:rPr>
        <w:footnoteReference w:id="45"/>
      </w:r>
      <w:r w:rsidR="00390440">
        <w:rPr>
          <w:sz w:val="24"/>
          <w:szCs w:val="24"/>
        </w:rPr>
        <w:t xml:space="preserve">  </w:t>
      </w:r>
      <w:r w:rsidR="00613F45">
        <w:rPr>
          <w:sz w:val="24"/>
          <w:szCs w:val="24"/>
        </w:rPr>
        <w:t xml:space="preserve">The Company’s proposal here </w:t>
      </w:r>
      <w:r w:rsidR="00050F26">
        <w:rPr>
          <w:sz w:val="24"/>
          <w:szCs w:val="24"/>
        </w:rPr>
        <w:t xml:space="preserve">effectively </w:t>
      </w:r>
      <w:r w:rsidR="00613F45">
        <w:rPr>
          <w:sz w:val="24"/>
          <w:szCs w:val="24"/>
        </w:rPr>
        <w:t>produces the same result as the Oregon settlement supported by Mr. Mullins.</w:t>
      </w:r>
    </w:p>
    <w:p w:rsidR="00390440" w:rsidRPr="005D5F36" w:rsidRDefault="00390440" w:rsidP="00390440">
      <w:pPr>
        <w:spacing w:line="480" w:lineRule="auto"/>
        <w:ind w:left="720" w:hanging="720"/>
        <w:rPr>
          <w:sz w:val="24"/>
          <w:szCs w:val="24"/>
        </w:rPr>
      </w:pPr>
      <w:r>
        <w:rPr>
          <w:sz w:val="24"/>
          <w:szCs w:val="24"/>
        </w:rPr>
        <w:tab/>
      </w:r>
      <w:r>
        <w:rPr>
          <w:sz w:val="24"/>
          <w:szCs w:val="24"/>
        </w:rPr>
        <w:tab/>
      </w:r>
      <w:r w:rsidRPr="005D5F36">
        <w:rPr>
          <w:sz w:val="24"/>
          <w:szCs w:val="24"/>
        </w:rPr>
        <w:t xml:space="preserve">In Utah, the Company and intervenors agreed to a settlement where EIM benefits were </w:t>
      </w:r>
      <w:r w:rsidR="00B56E69">
        <w:rPr>
          <w:sz w:val="24"/>
          <w:szCs w:val="24"/>
        </w:rPr>
        <w:t xml:space="preserve">excluded from </w:t>
      </w:r>
      <w:r w:rsidRPr="005D5F36">
        <w:rPr>
          <w:sz w:val="24"/>
          <w:szCs w:val="24"/>
        </w:rPr>
        <w:t xml:space="preserve">NPC </w:t>
      </w:r>
      <w:r w:rsidR="0023604E" w:rsidRPr="005D5F36">
        <w:rPr>
          <w:sz w:val="24"/>
          <w:szCs w:val="24"/>
        </w:rPr>
        <w:t>and allowed</w:t>
      </w:r>
      <w:r w:rsidR="00E06E33">
        <w:rPr>
          <w:sz w:val="24"/>
          <w:szCs w:val="24"/>
        </w:rPr>
        <w:t xml:space="preserve"> to pass</w:t>
      </w:r>
      <w:r w:rsidR="00B56E69">
        <w:rPr>
          <w:sz w:val="24"/>
          <w:szCs w:val="24"/>
        </w:rPr>
        <w:t xml:space="preserve"> through the </w:t>
      </w:r>
      <w:r w:rsidR="00DF5C01">
        <w:rPr>
          <w:sz w:val="24"/>
          <w:szCs w:val="24"/>
        </w:rPr>
        <w:t>Company’s</w:t>
      </w:r>
      <w:r w:rsidR="00B56E69">
        <w:rPr>
          <w:sz w:val="24"/>
          <w:szCs w:val="24"/>
        </w:rPr>
        <w:t xml:space="preserve"> </w:t>
      </w:r>
      <w:r w:rsidR="0032263C">
        <w:rPr>
          <w:sz w:val="24"/>
          <w:szCs w:val="24"/>
        </w:rPr>
        <w:t>energy b</w:t>
      </w:r>
      <w:r w:rsidRPr="005D5F36">
        <w:rPr>
          <w:sz w:val="24"/>
          <w:szCs w:val="24"/>
        </w:rPr>
        <w:t xml:space="preserve">alancing </w:t>
      </w:r>
      <w:r w:rsidR="0032263C">
        <w:rPr>
          <w:sz w:val="24"/>
          <w:szCs w:val="24"/>
        </w:rPr>
        <w:t>a</w:t>
      </w:r>
      <w:r w:rsidRPr="005D5F36">
        <w:rPr>
          <w:sz w:val="24"/>
          <w:szCs w:val="24"/>
        </w:rPr>
        <w:t>ccount</w:t>
      </w:r>
      <w:r w:rsidR="00B56E69">
        <w:rPr>
          <w:sz w:val="24"/>
          <w:szCs w:val="24"/>
        </w:rPr>
        <w:t>.</w:t>
      </w:r>
    </w:p>
    <w:p w:rsidR="00363CE2" w:rsidRPr="00363CE2" w:rsidRDefault="00B56E69" w:rsidP="00363CE2">
      <w:pPr>
        <w:spacing w:line="480" w:lineRule="auto"/>
        <w:ind w:left="720" w:hanging="720"/>
        <w:rPr>
          <w:b/>
          <w:sz w:val="24"/>
          <w:szCs w:val="24"/>
        </w:rPr>
      </w:pPr>
      <w:r>
        <w:rPr>
          <w:b/>
          <w:sz w:val="24"/>
          <w:szCs w:val="24"/>
        </w:rPr>
        <w:t>Q.</w:t>
      </w:r>
      <w:r>
        <w:rPr>
          <w:b/>
          <w:sz w:val="24"/>
          <w:szCs w:val="24"/>
        </w:rPr>
        <w:tab/>
        <w:t xml:space="preserve">What are the specific EIM benefits alleged by </w:t>
      </w:r>
      <w:r w:rsidR="00005ACA">
        <w:rPr>
          <w:b/>
          <w:sz w:val="24"/>
          <w:szCs w:val="24"/>
        </w:rPr>
        <w:t>Boise</w:t>
      </w:r>
      <w:r>
        <w:rPr>
          <w:b/>
          <w:sz w:val="24"/>
          <w:szCs w:val="24"/>
        </w:rPr>
        <w:t>?</w:t>
      </w:r>
    </w:p>
    <w:p w:rsidR="00363CE2" w:rsidRPr="005D5F36" w:rsidRDefault="00B56E69" w:rsidP="00363CE2">
      <w:pPr>
        <w:spacing w:line="480" w:lineRule="auto"/>
        <w:ind w:left="720" w:hanging="720"/>
        <w:rPr>
          <w:sz w:val="24"/>
          <w:szCs w:val="24"/>
        </w:rPr>
      </w:pPr>
      <w:r>
        <w:rPr>
          <w:sz w:val="24"/>
          <w:szCs w:val="24"/>
        </w:rPr>
        <w:t>A.</w:t>
      </w:r>
      <w:r>
        <w:rPr>
          <w:sz w:val="24"/>
          <w:szCs w:val="24"/>
        </w:rPr>
        <w:tab/>
      </w:r>
      <w:r w:rsidR="00005ACA">
        <w:rPr>
          <w:sz w:val="24"/>
          <w:szCs w:val="24"/>
        </w:rPr>
        <w:t>Boise</w:t>
      </w:r>
      <w:r>
        <w:rPr>
          <w:sz w:val="24"/>
          <w:szCs w:val="24"/>
        </w:rPr>
        <w:t xml:space="preserve"> alleges four distinct types of benefits, t</w:t>
      </w:r>
      <w:r w:rsidR="00363CE2" w:rsidRPr="005D5F36">
        <w:rPr>
          <w:sz w:val="24"/>
          <w:szCs w:val="24"/>
        </w:rPr>
        <w:t xml:space="preserve">hree of </w:t>
      </w:r>
      <w:r>
        <w:rPr>
          <w:sz w:val="24"/>
          <w:szCs w:val="24"/>
        </w:rPr>
        <w:t xml:space="preserve">which </w:t>
      </w:r>
      <w:r w:rsidR="00363CE2" w:rsidRPr="005D5F36">
        <w:rPr>
          <w:sz w:val="24"/>
          <w:szCs w:val="24"/>
        </w:rPr>
        <w:t xml:space="preserve">were identified in </w:t>
      </w:r>
      <w:r>
        <w:rPr>
          <w:sz w:val="24"/>
          <w:szCs w:val="24"/>
        </w:rPr>
        <w:t xml:space="preserve">the </w:t>
      </w:r>
      <w:r w:rsidR="00363CE2" w:rsidRPr="005D5F36">
        <w:rPr>
          <w:sz w:val="24"/>
          <w:szCs w:val="24"/>
        </w:rPr>
        <w:t>E3</w:t>
      </w:r>
      <w:r w:rsidR="0032263C">
        <w:rPr>
          <w:sz w:val="24"/>
          <w:szCs w:val="24"/>
        </w:rPr>
        <w:t> </w:t>
      </w:r>
      <w:r>
        <w:rPr>
          <w:sz w:val="24"/>
          <w:szCs w:val="24"/>
        </w:rPr>
        <w:t xml:space="preserve">report: </w:t>
      </w:r>
      <w:r w:rsidR="00363CE2" w:rsidRPr="005D5F36">
        <w:rPr>
          <w:sz w:val="24"/>
          <w:szCs w:val="24"/>
        </w:rPr>
        <w:t xml:space="preserve">inter-regional dispatch, intra-regional dispatch, and reserve diversity. </w:t>
      </w:r>
      <w:r>
        <w:rPr>
          <w:sz w:val="24"/>
          <w:szCs w:val="24"/>
        </w:rPr>
        <w:t xml:space="preserve"> </w:t>
      </w:r>
      <w:r w:rsidR="00005ACA">
        <w:rPr>
          <w:sz w:val="24"/>
          <w:szCs w:val="24"/>
        </w:rPr>
        <w:t>Boise</w:t>
      </w:r>
      <w:r w:rsidR="00363CE2" w:rsidRPr="005D5F36">
        <w:rPr>
          <w:sz w:val="24"/>
          <w:szCs w:val="24"/>
        </w:rPr>
        <w:t xml:space="preserve"> included an additional category</w:t>
      </w:r>
      <w:r>
        <w:rPr>
          <w:sz w:val="24"/>
          <w:szCs w:val="24"/>
        </w:rPr>
        <w:t xml:space="preserve"> called “</w:t>
      </w:r>
      <w:r w:rsidR="00363CE2" w:rsidRPr="005D5F36">
        <w:rPr>
          <w:sz w:val="24"/>
          <w:szCs w:val="24"/>
        </w:rPr>
        <w:t>within-hour dispatch.</w:t>
      </w:r>
      <w:r>
        <w:rPr>
          <w:sz w:val="24"/>
          <w:szCs w:val="24"/>
        </w:rPr>
        <w:t>”</w:t>
      </w:r>
      <w:r w:rsidR="00363CE2" w:rsidRPr="005D5F36">
        <w:rPr>
          <w:sz w:val="24"/>
          <w:szCs w:val="24"/>
        </w:rPr>
        <w:t xml:space="preserve">  Boise’s combined EIM adjustments reduce </w:t>
      </w:r>
      <w:r w:rsidR="00B30140">
        <w:rPr>
          <w:sz w:val="24"/>
          <w:szCs w:val="24"/>
        </w:rPr>
        <w:t xml:space="preserve">west control area </w:t>
      </w:r>
      <w:r w:rsidR="0032263C">
        <w:rPr>
          <w:sz w:val="24"/>
          <w:szCs w:val="24"/>
        </w:rPr>
        <w:t>NPC by $21.8 million, or $5.1 </w:t>
      </w:r>
      <w:r w:rsidR="00363CE2" w:rsidRPr="005D5F36">
        <w:rPr>
          <w:sz w:val="24"/>
          <w:szCs w:val="24"/>
        </w:rPr>
        <w:t>million on a Washington-allocated basis.</w:t>
      </w:r>
    </w:p>
    <w:p w:rsidR="00363CE2" w:rsidRPr="005D5F36" w:rsidRDefault="00363CE2" w:rsidP="00363CE2">
      <w:pPr>
        <w:spacing w:line="480" w:lineRule="auto"/>
        <w:ind w:left="720" w:hanging="720"/>
        <w:rPr>
          <w:b/>
          <w:sz w:val="24"/>
          <w:szCs w:val="24"/>
        </w:rPr>
      </w:pPr>
      <w:r w:rsidRPr="005D5F36">
        <w:rPr>
          <w:b/>
          <w:sz w:val="24"/>
          <w:szCs w:val="24"/>
        </w:rPr>
        <w:t>Q.</w:t>
      </w:r>
      <w:r w:rsidRPr="005D5F36">
        <w:rPr>
          <w:sz w:val="24"/>
          <w:szCs w:val="24"/>
        </w:rPr>
        <w:tab/>
      </w:r>
      <w:r w:rsidRPr="005D5F36">
        <w:rPr>
          <w:b/>
          <w:sz w:val="24"/>
          <w:szCs w:val="24"/>
        </w:rPr>
        <w:t xml:space="preserve">Do you have an overarching criticism of </w:t>
      </w:r>
      <w:r w:rsidR="00005ACA">
        <w:rPr>
          <w:b/>
          <w:sz w:val="24"/>
          <w:szCs w:val="24"/>
        </w:rPr>
        <w:t>Boise’s</w:t>
      </w:r>
      <w:r w:rsidRPr="005D5F36">
        <w:rPr>
          <w:b/>
          <w:sz w:val="24"/>
          <w:szCs w:val="24"/>
        </w:rPr>
        <w:t xml:space="preserve"> proposed adjustments to NPC for EIM benefits?</w:t>
      </w:r>
    </w:p>
    <w:p w:rsidR="00363CE2" w:rsidRPr="005D5F36" w:rsidRDefault="00363CE2" w:rsidP="00363CE2">
      <w:pPr>
        <w:spacing w:line="480" w:lineRule="auto"/>
        <w:ind w:left="720" w:hanging="720"/>
        <w:rPr>
          <w:sz w:val="24"/>
          <w:szCs w:val="24"/>
        </w:rPr>
      </w:pPr>
      <w:r w:rsidRPr="005D5F36">
        <w:rPr>
          <w:sz w:val="24"/>
          <w:szCs w:val="24"/>
        </w:rPr>
        <w:t>A.</w:t>
      </w:r>
      <w:r w:rsidRPr="005D5F36">
        <w:rPr>
          <w:sz w:val="24"/>
          <w:szCs w:val="24"/>
        </w:rPr>
        <w:tab/>
        <w:t xml:space="preserve">Yes.  Boise relies primarily on the results of the E3 </w:t>
      </w:r>
      <w:r w:rsidR="004D6176">
        <w:rPr>
          <w:sz w:val="24"/>
          <w:szCs w:val="24"/>
        </w:rPr>
        <w:t>Report</w:t>
      </w:r>
      <w:r w:rsidRPr="005D5F36">
        <w:rPr>
          <w:sz w:val="24"/>
          <w:szCs w:val="24"/>
        </w:rPr>
        <w:t xml:space="preserve"> without regard to its applicability to the specific </w:t>
      </w:r>
      <w:r w:rsidR="0032263C">
        <w:rPr>
          <w:sz w:val="24"/>
          <w:szCs w:val="24"/>
        </w:rPr>
        <w:t>pro forma</w:t>
      </w:r>
      <w:r w:rsidRPr="005D5F36">
        <w:rPr>
          <w:sz w:val="24"/>
          <w:szCs w:val="24"/>
        </w:rPr>
        <w:t xml:space="preserve"> period in this case or the WCA methodology.  The adjustments include benefits </w:t>
      </w:r>
      <w:r w:rsidR="0032263C">
        <w:rPr>
          <w:sz w:val="24"/>
          <w:szCs w:val="24"/>
        </w:rPr>
        <w:t xml:space="preserve">that </w:t>
      </w:r>
      <w:r w:rsidRPr="005D5F36">
        <w:rPr>
          <w:sz w:val="24"/>
          <w:szCs w:val="24"/>
        </w:rPr>
        <w:t>are already reflected to some extent in the Company’s existing forecast</w:t>
      </w:r>
      <w:r w:rsidR="00846FDE">
        <w:rPr>
          <w:sz w:val="24"/>
          <w:szCs w:val="24"/>
        </w:rPr>
        <w:t xml:space="preserve">.  </w:t>
      </w:r>
      <w:r w:rsidR="0023604E">
        <w:rPr>
          <w:sz w:val="24"/>
          <w:szCs w:val="24"/>
        </w:rPr>
        <w:t>Furthermore, Boise’s adjustments reflect a reduction in imbalance costs that are not included in the GRID model forecast or customers’ rates to begin with.</w:t>
      </w:r>
    </w:p>
    <w:p w:rsidR="00363CE2" w:rsidRPr="005D5F36" w:rsidRDefault="00363CE2" w:rsidP="00363CE2">
      <w:pPr>
        <w:spacing w:line="480" w:lineRule="auto"/>
        <w:ind w:left="720" w:hanging="720"/>
        <w:rPr>
          <w:b/>
          <w:sz w:val="24"/>
          <w:szCs w:val="24"/>
        </w:rPr>
      </w:pPr>
      <w:r w:rsidRPr="005D5F36">
        <w:rPr>
          <w:b/>
          <w:sz w:val="24"/>
          <w:szCs w:val="24"/>
        </w:rPr>
        <w:t>Q.</w:t>
      </w:r>
      <w:r w:rsidRPr="005D5F36">
        <w:rPr>
          <w:sz w:val="24"/>
          <w:szCs w:val="24"/>
        </w:rPr>
        <w:tab/>
      </w:r>
      <w:r w:rsidRPr="005D5F36">
        <w:rPr>
          <w:b/>
          <w:sz w:val="24"/>
          <w:szCs w:val="24"/>
        </w:rPr>
        <w:t xml:space="preserve">Is the E3 </w:t>
      </w:r>
      <w:r w:rsidR="004D6176">
        <w:rPr>
          <w:b/>
          <w:sz w:val="24"/>
          <w:szCs w:val="24"/>
        </w:rPr>
        <w:t>Report</w:t>
      </w:r>
      <w:r w:rsidR="0032263C">
        <w:rPr>
          <w:b/>
          <w:sz w:val="24"/>
          <w:szCs w:val="24"/>
        </w:rPr>
        <w:t>, on</w:t>
      </w:r>
      <w:r w:rsidRPr="005D5F36">
        <w:rPr>
          <w:b/>
          <w:sz w:val="24"/>
          <w:szCs w:val="24"/>
        </w:rPr>
        <w:t xml:space="preserve"> which the Company based its decision to pursue the EIM</w:t>
      </w:r>
      <w:r w:rsidR="0032263C">
        <w:rPr>
          <w:b/>
          <w:sz w:val="24"/>
          <w:szCs w:val="24"/>
        </w:rPr>
        <w:t>,</w:t>
      </w:r>
      <w:r w:rsidRPr="005D5F36">
        <w:rPr>
          <w:b/>
          <w:sz w:val="24"/>
          <w:szCs w:val="24"/>
        </w:rPr>
        <w:t xml:space="preserve"> appropriate for use in ratemaking?</w:t>
      </w:r>
    </w:p>
    <w:p w:rsidR="00050F26" w:rsidRDefault="00363CE2" w:rsidP="005E1EA7">
      <w:pPr>
        <w:spacing w:line="480" w:lineRule="auto"/>
        <w:ind w:left="720" w:hanging="720"/>
        <w:rPr>
          <w:sz w:val="24"/>
          <w:szCs w:val="24"/>
        </w:rPr>
      </w:pPr>
      <w:r w:rsidRPr="005D5F36">
        <w:rPr>
          <w:sz w:val="24"/>
          <w:szCs w:val="24"/>
        </w:rPr>
        <w:t>A.</w:t>
      </w:r>
      <w:r w:rsidRPr="005D5F36">
        <w:rPr>
          <w:sz w:val="24"/>
          <w:szCs w:val="24"/>
        </w:rPr>
        <w:tab/>
        <w:t>No.</w:t>
      </w:r>
      <w:r w:rsidR="00B56E69">
        <w:rPr>
          <w:sz w:val="24"/>
          <w:szCs w:val="24"/>
        </w:rPr>
        <w:t xml:space="preserve">  </w:t>
      </w:r>
      <w:r w:rsidRPr="005D5F36">
        <w:rPr>
          <w:sz w:val="24"/>
          <w:szCs w:val="24"/>
        </w:rPr>
        <w:t xml:space="preserve">The Company used the E3 </w:t>
      </w:r>
      <w:r w:rsidR="004D6176">
        <w:rPr>
          <w:sz w:val="24"/>
          <w:szCs w:val="24"/>
        </w:rPr>
        <w:t>Report</w:t>
      </w:r>
      <w:r w:rsidRPr="005D5F36">
        <w:rPr>
          <w:sz w:val="24"/>
          <w:szCs w:val="24"/>
        </w:rPr>
        <w:t xml:space="preserve"> to </w:t>
      </w:r>
      <w:r w:rsidR="00733426">
        <w:rPr>
          <w:sz w:val="24"/>
          <w:szCs w:val="24"/>
        </w:rPr>
        <w:t>ve</w:t>
      </w:r>
      <w:r w:rsidR="0032263C">
        <w:rPr>
          <w:sz w:val="24"/>
          <w:szCs w:val="24"/>
        </w:rPr>
        <w:t xml:space="preserve">rify that the EIM would be cost </w:t>
      </w:r>
      <w:r w:rsidR="00733426">
        <w:rPr>
          <w:sz w:val="24"/>
          <w:szCs w:val="24"/>
        </w:rPr>
        <w:t>effective, not as a study to quantify its near-term benefits</w:t>
      </w:r>
      <w:r w:rsidR="005A255B">
        <w:rPr>
          <w:sz w:val="24"/>
          <w:szCs w:val="24"/>
        </w:rPr>
        <w:t xml:space="preserve"> for ratemaking</w:t>
      </w:r>
      <w:r w:rsidR="00733426">
        <w:rPr>
          <w:sz w:val="24"/>
          <w:szCs w:val="24"/>
        </w:rPr>
        <w:t>.  T</w:t>
      </w:r>
      <w:r w:rsidRPr="005D5F36">
        <w:rPr>
          <w:sz w:val="24"/>
          <w:szCs w:val="24"/>
        </w:rPr>
        <w:t xml:space="preserve">he E3 </w:t>
      </w:r>
      <w:r w:rsidR="004D6176">
        <w:rPr>
          <w:sz w:val="24"/>
          <w:szCs w:val="24"/>
        </w:rPr>
        <w:t>Report</w:t>
      </w:r>
      <w:r w:rsidRPr="005D5F36">
        <w:rPr>
          <w:sz w:val="24"/>
          <w:szCs w:val="24"/>
        </w:rPr>
        <w:t xml:space="preserve"> is based on a WECC-wide forecast for 2017, with corresponding loads and market prices, though the benefits are adjusted to 2012 dollars.  The benefits determined by the E3 </w:t>
      </w:r>
      <w:r w:rsidR="004D6176">
        <w:rPr>
          <w:sz w:val="24"/>
          <w:szCs w:val="24"/>
        </w:rPr>
        <w:t>Report</w:t>
      </w:r>
      <w:r w:rsidRPr="005D5F36">
        <w:rPr>
          <w:sz w:val="24"/>
          <w:szCs w:val="24"/>
        </w:rPr>
        <w:t xml:space="preserve"> are thus dependent on the costs of system operation in 2017 and do not reflect costs included in the Company’s forecasted NPC.  Differences include essential assumptions no party would accept for use in GRID in this rate case including different test period, forward price curves, transmission topology, and differences in the underlying production dispatch model and associated model architecture.</w:t>
      </w:r>
      <w:r w:rsidR="005E1EA7">
        <w:rPr>
          <w:sz w:val="24"/>
          <w:szCs w:val="24"/>
        </w:rPr>
        <w:t xml:space="preserve">  </w:t>
      </w:r>
    </w:p>
    <w:p w:rsidR="005E1EA7" w:rsidRPr="005D5F36" w:rsidRDefault="00050F26" w:rsidP="005E1EA7">
      <w:pPr>
        <w:spacing w:line="480" w:lineRule="auto"/>
        <w:ind w:left="720" w:hanging="720"/>
        <w:rPr>
          <w:sz w:val="24"/>
          <w:szCs w:val="24"/>
        </w:rPr>
      </w:pPr>
      <w:r>
        <w:rPr>
          <w:sz w:val="24"/>
          <w:szCs w:val="24"/>
        </w:rPr>
        <w:tab/>
      </w:r>
      <w:r>
        <w:rPr>
          <w:sz w:val="24"/>
          <w:szCs w:val="24"/>
        </w:rPr>
        <w:tab/>
      </w:r>
      <w:r w:rsidR="005E1EA7">
        <w:rPr>
          <w:sz w:val="24"/>
          <w:szCs w:val="24"/>
        </w:rPr>
        <w:t xml:space="preserve">In this way, the E3 </w:t>
      </w:r>
      <w:r w:rsidR="004D6176">
        <w:rPr>
          <w:sz w:val="24"/>
          <w:szCs w:val="24"/>
        </w:rPr>
        <w:t>Report</w:t>
      </w:r>
      <w:r w:rsidR="005E1EA7">
        <w:rPr>
          <w:sz w:val="24"/>
          <w:szCs w:val="24"/>
        </w:rPr>
        <w:t xml:space="preserve"> is comparable to an Integrated Resource Plan, which is</w:t>
      </w:r>
      <w:r w:rsidR="00920220">
        <w:rPr>
          <w:sz w:val="24"/>
          <w:szCs w:val="24"/>
        </w:rPr>
        <w:t xml:space="preserve"> a planning study that is not</w:t>
      </w:r>
      <w:r w:rsidR="005E1EA7">
        <w:rPr>
          <w:sz w:val="24"/>
          <w:szCs w:val="24"/>
        </w:rPr>
        <w:t xml:space="preserve"> used for ratemaking.  </w:t>
      </w:r>
      <w:r>
        <w:rPr>
          <w:sz w:val="24"/>
          <w:szCs w:val="24"/>
        </w:rPr>
        <w:t>I</w:t>
      </w:r>
      <w:r w:rsidR="005E1EA7">
        <w:rPr>
          <w:sz w:val="24"/>
          <w:szCs w:val="24"/>
        </w:rPr>
        <w:t>n the Commission’s November 2013 letter acknowledging the Company’s 2013 Integrated Resource Plan, the Commission specifically recognized that “</w:t>
      </w:r>
      <w:r w:rsidR="005E1EA7" w:rsidRPr="005E1EA7">
        <w:rPr>
          <w:sz w:val="24"/>
          <w:szCs w:val="24"/>
        </w:rPr>
        <w:t xml:space="preserve">it is too early in the process for the Company to project the exact impacts that the EIM will have on </w:t>
      </w:r>
      <w:r w:rsidR="009A4C7A">
        <w:rPr>
          <w:sz w:val="24"/>
          <w:szCs w:val="24"/>
        </w:rPr>
        <w:t>[PacifiCorp’s]</w:t>
      </w:r>
      <w:r w:rsidR="005E1EA7" w:rsidRPr="005E1EA7">
        <w:rPr>
          <w:sz w:val="24"/>
          <w:szCs w:val="24"/>
        </w:rPr>
        <w:t xml:space="preserve"> strategy and its ratepayers</w:t>
      </w:r>
      <w:r w:rsidR="005E1EA7">
        <w:rPr>
          <w:sz w:val="24"/>
          <w:szCs w:val="24"/>
        </w:rPr>
        <w:t>.”</w:t>
      </w:r>
      <w:r w:rsidR="005E1EA7">
        <w:rPr>
          <w:rStyle w:val="FootnoteReference"/>
          <w:sz w:val="24"/>
          <w:szCs w:val="24"/>
        </w:rPr>
        <w:footnoteReference w:id="46"/>
      </w:r>
    </w:p>
    <w:p w:rsidR="00363CE2" w:rsidRPr="005D5F36" w:rsidRDefault="00363CE2" w:rsidP="00363CE2">
      <w:pPr>
        <w:spacing w:line="480" w:lineRule="auto"/>
        <w:ind w:left="720" w:hanging="720"/>
        <w:rPr>
          <w:b/>
          <w:sz w:val="24"/>
          <w:szCs w:val="24"/>
        </w:rPr>
      </w:pPr>
      <w:r w:rsidRPr="005D5F36">
        <w:rPr>
          <w:b/>
          <w:sz w:val="24"/>
          <w:szCs w:val="24"/>
        </w:rPr>
        <w:t>Q.</w:t>
      </w:r>
      <w:r w:rsidRPr="005D5F36">
        <w:rPr>
          <w:sz w:val="24"/>
          <w:szCs w:val="24"/>
        </w:rPr>
        <w:tab/>
      </w:r>
      <w:r w:rsidRPr="005D5F36">
        <w:rPr>
          <w:b/>
          <w:sz w:val="24"/>
          <w:szCs w:val="24"/>
        </w:rPr>
        <w:t xml:space="preserve">Boise contends the Company should use its best forecast in establishing NPC for the </w:t>
      </w:r>
      <w:r w:rsidR="0032263C">
        <w:rPr>
          <w:b/>
          <w:sz w:val="24"/>
          <w:szCs w:val="24"/>
        </w:rPr>
        <w:t>pro forma</w:t>
      </w:r>
      <w:r w:rsidRPr="005D5F36">
        <w:rPr>
          <w:b/>
          <w:sz w:val="24"/>
          <w:szCs w:val="24"/>
        </w:rPr>
        <w:t xml:space="preserve"> period.  Do you agree?</w:t>
      </w:r>
    </w:p>
    <w:p w:rsidR="00363CE2" w:rsidRPr="005D5F36" w:rsidRDefault="00363CE2" w:rsidP="00363CE2">
      <w:pPr>
        <w:spacing w:line="480" w:lineRule="auto"/>
        <w:rPr>
          <w:sz w:val="24"/>
          <w:szCs w:val="24"/>
        </w:rPr>
      </w:pPr>
      <w:r w:rsidRPr="005D5F36">
        <w:rPr>
          <w:sz w:val="24"/>
          <w:szCs w:val="24"/>
        </w:rPr>
        <w:t>A.</w:t>
      </w:r>
      <w:r w:rsidRPr="005D5F36">
        <w:rPr>
          <w:sz w:val="24"/>
          <w:szCs w:val="24"/>
        </w:rPr>
        <w:tab/>
        <w:t>Yes.</w:t>
      </w:r>
    </w:p>
    <w:p w:rsidR="00363CE2" w:rsidRPr="005D5F36" w:rsidRDefault="00363CE2" w:rsidP="00363CE2">
      <w:pPr>
        <w:spacing w:line="480" w:lineRule="auto"/>
        <w:ind w:left="720" w:hanging="720"/>
        <w:rPr>
          <w:b/>
          <w:sz w:val="24"/>
          <w:szCs w:val="24"/>
        </w:rPr>
      </w:pPr>
      <w:r w:rsidRPr="005D5F36">
        <w:rPr>
          <w:b/>
          <w:sz w:val="24"/>
          <w:szCs w:val="24"/>
        </w:rPr>
        <w:t>Q.</w:t>
      </w:r>
      <w:r w:rsidRPr="005D5F36">
        <w:rPr>
          <w:sz w:val="24"/>
          <w:szCs w:val="24"/>
        </w:rPr>
        <w:tab/>
      </w:r>
      <w:r w:rsidRPr="005D5F36">
        <w:rPr>
          <w:b/>
          <w:sz w:val="24"/>
          <w:szCs w:val="24"/>
        </w:rPr>
        <w:t xml:space="preserve">Will all of the resources that were assumed to be bid into the EIM in 2017 in the E3 </w:t>
      </w:r>
      <w:r w:rsidR="004D6176">
        <w:rPr>
          <w:b/>
          <w:sz w:val="24"/>
          <w:szCs w:val="24"/>
        </w:rPr>
        <w:t>Report</w:t>
      </w:r>
      <w:r w:rsidRPr="005D5F36">
        <w:rPr>
          <w:b/>
          <w:sz w:val="24"/>
          <w:szCs w:val="24"/>
        </w:rPr>
        <w:t xml:space="preserve"> be available to be bid into the EIM during the </w:t>
      </w:r>
      <w:r w:rsidR="0032263C">
        <w:rPr>
          <w:b/>
          <w:sz w:val="24"/>
          <w:szCs w:val="24"/>
        </w:rPr>
        <w:t>pro forma</w:t>
      </w:r>
      <w:r w:rsidRPr="005D5F36">
        <w:rPr>
          <w:b/>
          <w:sz w:val="24"/>
          <w:szCs w:val="24"/>
        </w:rPr>
        <w:t xml:space="preserve"> period?</w:t>
      </w:r>
    </w:p>
    <w:p w:rsidR="00363CE2" w:rsidRDefault="00785D07" w:rsidP="0032263C">
      <w:pPr>
        <w:spacing w:line="480" w:lineRule="auto"/>
        <w:ind w:left="720" w:hanging="720"/>
        <w:rPr>
          <w:sz w:val="24"/>
          <w:szCs w:val="24"/>
        </w:rPr>
      </w:pPr>
      <w:r>
        <w:rPr>
          <w:sz w:val="24"/>
          <w:szCs w:val="24"/>
        </w:rPr>
        <w:t>A.</w:t>
      </w:r>
      <w:r>
        <w:rPr>
          <w:sz w:val="24"/>
          <w:szCs w:val="24"/>
        </w:rPr>
        <w:tab/>
      </w:r>
      <w:r w:rsidR="00363CE2" w:rsidRPr="005D5F36">
        <w:rPr>
          <w:sz w:val="24"/>
          <w:szCs w:val="24"/>
        </w:rPr>
        <w:t>No.  The majority of natural gas resources, some wind resources</w:t>
      </w:r>
      <w:r w:rsidR="0032263C">
        <w:rPr>
          <w:sz w:val="24"/>
          <w:szCs w:val="24"/>
        </w:rPr>
        <w:t>,</w:t>
      </w:r>
      <w:r w:rsidR="00363CE2" w:rsidRPr="005D5F36">
        <w:rPr>
          <w:sz w:val="24"/>
          <w:szCs w:val="24"/>
        </w:rPr>
        <w:t xml:space="preserve"> and some coal resources were available to be bid into the EIM beginning November 1, 2014.  Additional resources will be available to be bid into the EIM as planned outages occur during 2015 and 2016 and required upgrades can be completed.</w:t>
      </w:r>
      <w:r w:rsidR="000C6D01">
        <w:rPr>
          <w:sz w:val="24"/>
          <w:szCs w:val="24"/>
        </w:rPr>
        <w:t xml:space="preserve">  </w:t>
      </w:r>
      <w:r w:rsidR="000C1F9C">
        <w:rPr>
          <w:sz w:val="24"/>
          <w:szCs w:val="24"/>
        </w:rPr>
        <w:t xml:space="preserve">Exhibit </w:t>
      </w:r>
      <w:r w:rsidR="0032263C">
        <w:rPr>
          <w:sz w:val="24"/>
          <w:szCs w:val="24"/>
        </w:rPr>
        <w:t>No. </w:t>
      </w:r>
      <w:r w:rsidR="00E9654F">
        <w:rPr>
          <w:sz w:val="24"/>
          <w:szCs w:val="24"/>
        </w:rPr>
        <w:t>GND-7</w:t>
      </w:r>
      <w:r w:rsidR="000C1F9C">
        <w:rPr>
          <w:sz w:val="24"/>
          <w:szCs w:val="24"/>
        </w:rPr>
        <w:t xml:space="preserve"> identifies the resources that were available to bid into the EIM as of November 1</w:t>
      </w:r>
      <w:r w:rsidR="00846FDE">
        <w:rPr>
          <w:sz w:val="24"/>
          <w:szCs w:val="24"/>
        </w:rPr>
        <w:t>1</w:t>
      </w:r>
      <w:r w:rsidR="000C1F9C">
        <w:rPr>
          <w:sz w:val="24"/>
          <w:szCs w:val="24"/>
        </w:rPr>
        <w:t xml:space="preserve">, 2014. </w:t>
      </w:r>
      <w:r w:rsidR="000C6D01">
        <w:rPr>
          <w:sz w:val="24"/>
          <w:szCs w:val="24"/>
        </w:rPr>
        <w:t xml:space="preserve"> </w:t>
      </w:r>
      <w:r w:rsidR="000C1F9C">
        <w:rPr>
          <w:sz w:val="24"/>
          <w:szCs w:val="24"/>
        </w:rPr>
        <w:t xml:space="preserve">As seen </w:t>
      </w:r>
      <w:r w:rsidR="000C6D01">
        <w:rPr>
          <w:sz w:val="24"/>
          <w:szCs w:val="24"/>
        </w:rPr>
        <w:t>in the e</w:t>
      </w:r>
      <w:r w:rsidR="000C1F9C">
        <w:rPr>
          <w:sz w:val="24"/>
          <w:szCs w:val="24"/>
        </w:rPr>
        <w:t>xhibit, the majority of the resources are not included in the west control area.</w:t>
      </w:r>
    </w:p>
    <w:p w:rsidR="00F319E0" w:rsidRDefault="00F319E0" w:rsidP="00F319E0">
      <w:pPr>
        <w:suppressLineNumbers/>
        <w:spacing w:line="480" w:lineRule="auto"/>
        <w:ind w:left="720" w:hanging="720"/>
        <w:rPr>
          <w:sz w:val="24"/>
          <w:szCs w:val="24"/>
        </w:rPr>
      </w:pPr>
    </w:p>
    <w:p w:rsidR="00363CE2" w:rsidRPr="005D5F36" w:rsidRDefault="00363CE2" w:rsidP="00363CE2">
      <w:pPr>
        <w:spacing w:line="480" w:lineRule="auto"/>
        <w:ind w:left="720" w:hanging="720"/>
        <w:rPr>
          <w:b/>
          <w:sz w:val="24"/>
          <w:szCs w:val="24"/>
        </w:rPr>
      </w:pPr>
      <w:r w:rsidRPr="005D5F36">
        <w:rPr>
          <w:b/>
          <w:sz w:val="24"/>
          <w:szCs w:val="24"/>
        </w:rPr>
        <w:t>Q.</w:t>
      </w:r>
      <w:r w:rsidRPr="005D5F36">
        <w:rPr>
          <w:sz w:val="24"/>
          <w:szCs w:val="24"/>
        </w:rPr>
        <w:tab/>
      </w:r>
      <w:r w:rsidRPr="005D5F36">
        <w:rPr>
          <w:b/>
          <w:sz w:val="24"/>
          <w:szCs w:val="24"/>
        </w:rPr>
        <w:t xml:space="preserve">What is the Company’s best forecast of EIM benefits for the </w:t>
      </w:r>
      <w:r w:rsidR="0032263C">
        <w:rPr>
          <w:b/>
          <w:sz w:val="24"/>
          <w:szCs w:val="24"/>
        </w:rPr>
        <w:t>pro forma</w:t>
      </w:r>
      <w:r w:rsidRPr="005D5F36">
        <w:rPr>
          <w:b/>
          <w:sz w:val="24"/>
          <w:szCs w:val="24"/>
        </w:rPr>
        <w:t xml:space="preserve"> period</w:t>
      </w:r>
      <w:r w:rsidR="00733426">
        <w:rPr>
          <w:b/>
          <w:sz w:val="24"/>
          <w:szCs w:val="24"/>
        </w:rPr>
        <w:t>?</w:t>
      </w:r>
    </w:p>
    <w:p w:rsidR="00363CE2" w:rsidRPr="005D5F36" w:rsidRDefault="00363CE2" w:rsidP="00363CE2">
      <w:pPr>
        <w:spacing w:line="480" w:lineRule="auto"/>
        <w:ind w:left="720" w:hanging="720"/>
        <w:rPr>
          <w:sz w:val="24"/>
          <w:szCs w:val="24"/>
        </w:rPr>
      </w:pPr>
      <w:r w:rsidRPr="005D5F36">
        <w:rPr>
          <w:sz w:val="24"/>
          <w:szCs w:val="24"/>
        </w:rPr>
        <w:t>A.</w:t>
      </w:r>
      <w:r w:rsidRPr="005D5F36">
        <w:rPr>
          <w:sz w:val="24"/>
          <w:szCs w:val="24"/>
        </w:rPr>
        <w:tab/>
        <w:t xml:space="preserve">The Company does not have a good forecast of EIM benefits based on known and measurable data comparable to other inputs into the GRID model used to </w:t>
      </w:r>
      <w:r w:rsidR="0032263C">
        <w:rPr>
          <w:sz w:val="24"/>
          <w:szCs w:val="24"/>
        </w:rPr>
        <w:t>project</w:t>
      </w:r>
      <w:r w:rsidRPr="005D5F36">
        <w:rPr>
          <w:sz w:val="24"/>
          <w:szCs w:val="24"/>
        </w:rPr>
        <w:t xml:space="preserve"> NPC in base rates.</w:t>
      </w:r>
    </w:p>
    <w:p w:rsidR="00363CE2" w:rsidRPr="005D5F36" w:rsidRDefault="00363CE2" w:rsidP="00363CE2">
      <w:pPr>
        <w:spacing w:line="480" w:lineRule="auto"/>
        <w:ind w:left="720" w:hanging="720"/>
        <w:rPr>
          <w:b/>
          <w:sz w:val="24"/>
          <w:szCs w:val="24"/>
        </w:rPr>
      </w:pPr>
      <w:r w:rsidRPr="005D5F36">
        <w:rPr>
          <w:b/>
          <w:sz w:val="24"/>
          <w:szCs w:val="24"/>
        </w:rPr>
        <w:t>Q.</w:t>
      </w:r>
      <w:r w:rsidRPr="005D5F36">
        <w:rPr>
          <w:sz w:val="24"/>
          <w:szCs w:val="24"/>
        </w:rPr>
        <w:tab/>
      </w:r>
      <w:r w:rsidRPr="005D5F36">
        <w:rPr>
          <w:b/>
          <w:sz w:val="24"/>
          <w:szCs w:val="24"/>
        </w:rPr>
        <w:t xml:space="preserve">Apart from modeling debates, </w:t>
      </w:r>
      <w:r w:rsidR="0032263C">
        <w:rPr>
          <w:b/>
          <w:sz w:val="24"/>
          <w:szCs w:val="24"/>
        </w:rPr>
        <w:t>what else should the Commission consider in deciding whether to include</w:t>
      </w:r>
      <w:r w:rsidRPr="005D5F36">
        <w:rPr>
          <w:b/>
          <w:sz w:val="24"/>
          <w:szCs w:val="24"/>
        </w:rPr>
        <w:t xml:space="preserve"> EIM benefits in rates?</w:t>
      </w:r>
    </w:p>
    <w:p w:rsidR="00733426" w:rsidRDefault="00363CE2" w:rsidP="00363CE2">
      <w:pPr>
        <w:spacing w:line="480" w:lineRule="auto"/>
        <w:ind w:left="720" w:hanging="720"/>
        <w:rPr>
          <w:sz w:val="24"/>
          <w:szCs w:val="24"/>
        </w:rPr>
      </w:pPr>
      <w:r w:rsidRPr="005D5F36">
        <w:rPr>
          <w:sz w:val="24"/>
          <w:szCs w:val="24"/>
        </w:rPr>
        <w:t>A.</w:t>
      </w:r>
      <w:r w:rsidRPr="005D5F36">
        <w:rPr>
          <w:sz w:val="24"/>
          <w:szCs w:val="24"/>
        </w:rPr>
        <w:tab/>
      </w:r>
      <w:r w:rsidR="00733426">
        <w:rPr>
          <w:sz w:val="24"/>
          <w:szCs w:val="24"/>
        </w:rPr>
        <w:t>As noted above, t</w:t>
      </w:r>
      <w:r w:rsidRPr="005D5F36">
        <w:rPr>
          <w:sz w:val="24"/>
          <w:szCs w:val="24"/>
        </w:rPr>
        <w:t xml:space="preserve">here is further upside potential in the form of lower costs and enhanced reliability for customers if other balancing authorities join the EIM.  If the Commission’s action in this proceeding is perceived to be a penalty to the Company for taking an innovative leadership action to reduce customer costs, the likelihood </w:t>
      </w:r>
      <w:r w:rsidR="0032263C">
        <w:rPr>
          <w:sz w:val="24"/>
          <w:szCs w:val="24"/>
        </w:rPr>
        <w:t xml:space="preserve">of other utilities joining the EIM, </w:t>
      </w:r>
      <w:r w:rsidRPr="005D5F36">
        <w:rPr>
          <w:sz w:val="24"/>
          <w:szCs w:val="24"/>
        </w:rPr>
        <w:t>or at least speed at which other utilities join</w:t>
      </w:r>
      <w:r w:rsidR="0032263C">
        <w:rPr>
          <w:sz w:val="24"/>
          <w:szCs w:val="24"/>
        </w:rPr>
        <w:t>,</w:t>
      </w:r>
      <w:r w:rsidRPr="005D5F36">
        <w:rPr>
          <w:sz w:val="24"/>
          <w:szCs w:val="24"/>
        </w:rPr>
        <w:t xml:space="preserve"> </w:t>
      </w:r>
      <w:r w:rsidR="0032263C" w:rsidRPr="005D5F36">
        <w:rPr>
          <w:sz w:val="24"/>
          <w:szCs w:val="24"/>
        </w:rPr>
        <w:t>will diminish</w:t>
      </w:r>
      <w:r w:rsidR="0032263C">
        <w:rPr>
          <w:sz w:val="24"/>
          <w:szCs w:val="24"/>
        </w:rPr>
        <w:t xml:space="preserve">, thereby diminishing the likelihood of </w:t>
      </w:r>
      <w:r w:rsidRPr="005D5F36">
        <w:rPr>
          <w:sz w:val="24"/>
          <w:szCs w:val="24"/>
        </w:rPr>
        <w:t>increase</w:t>
      </w:r>
      <w:r w:rsidR="0032263C">
        <w:rPr>
          <w:sz w:val="24"/>
          <w:szCs w:val="24"/>
        </w:rPr>
        <w:t>d</w:t>
      </w:r>
      <w:r w:rsidRPr="005D5F36">
        <w:rPr>
          <w:sz w:val="24"/>
          <w:szCs w:val="24"/>
        </w:rPr>
        <w:t xml:space="preserve"> benefits.  Imputing benefits into rates that exceed a reasonable known and measurable standard would be viewed by any utility as a penalty and would provide a strong disincentive to utilities seeking innovative ways to reduce their costs.</w:t>
      </w:r>
    </w:p>
    <w:p w:rsidR="00363CE2" w:rsidRPr="005D5F36" w:rsidRDefault="00363CE2" w:rsidP="00363CE2">
      <w:pPr>
        <w:spacing w:line="480" w:lineRule="auto"/>
        <w:ind w:left="720" w:hanging="720"/>
        <w:rPr>
          <w:b/>
          <w:sz w:val="24"/>
          <w:szCs w:val="24"/>
        </w:rPr>
      </w:pPr>
      <w:r w:rsidRPr="005D5F36">
        <w:rPr>
          <w:b/>
          <w:sz w:val="24"/>
          <w:szCs w:val="24"/>
        </w:rPr>
        <w:t>Q.</w:t>
      </w:r>
      <w:r w:rsidRPr="005D5F36">
        <w:rPr>
          <w:sz w:val="24"/>
          <w:szCs w:val="24"/>
        </w:rPr>
        <w:tab/>
      </w:r>
      <w:r w:rsidRPr="005D5F36">
        <w:rPr>
          <w:b/>
          <w:sz w:val="24"/>
          <w:szCs w:val="24"/>
        </w:rPr>
        <w:t>Is it reasonable to make line-by-line adjustments</w:t>
      </w:r>
      <w:r w:rsidR="0032263C">
        <w:rPr>
          <w:b/>
          <w:sz w:val="24"/>
          <w:szCs w:val="24"/>
        </w:rPr>
        <w:t xml:space="preserve"> to the various items in the E3 </w:t>
      </w:r>
      <w:r w:rsidR="004D6176">
        <w:rPr>
          <w:b/>
          <w:sz w:val="24"/>
          <w:szCs w:val="24"/>
        </w:rPr>
        <w:t>Report</w:t>
      </w:r>
      <w:r w:rsidRPr="005D5F36">
        <w:rPr>
          <w:b/>
          <w:sz w:val="24"/>
          <w:szCs w:val="24"/>
        </w:rPr>
        <w:t xml:space="preserve"> to adjust for the uncertainty and non-matching aspects of the E3 </w:t>
      </w:r>
      <w:r w:rsidR="004D6176">
        <w:rPr>
          <w:b/>
          <w:sz w:val="24"/>
          <w:szCs w:val="24"/>
        </w:rPr>
        <w:t>Report</w:t>
      </w:r>
      <w:r w:rsidRPr="005D5F36">
        <w:rPr>
          <w:b/>
          <w:sz w:val="24"/>
          <w:szCs w:val="24"/>
        </w:rPr>
        <w:t xml:space="preserve"> to the rate case?</w:t>
      </w:r>
    </w:p>
    <w:p w:rsidR="00363CE2" w:rsidRDefault="00363CE2" w:rsidP="00363CE2">
      <w:pPr>
        <w:spacing w:line="480" w:lineRule="auto"/>
        <w:ind w:left="720" w:hanging="720"/>
        <w:rPr>
          <w:sz w:val="24"/>
          <w:szCs w:val="24"/>
        </w:rPr>
      </w:pPr>
      <w:r w:rsidRPr="005D5F36">
        <w:rPr>
          <w:sz w:val="24"/>
          <w:szCs w:val="24"/>
        </w:rPr>
        <w:t>A.</w:t>
      </w:r>
      <w:r w:rsidRPr="005D5F36">
        <w:rPr>
          <w:sz w:val="24"/>
          <w:szCs w:val="24"/>
        </w:rPr>
        <w:tab/>
        <w:t xml:space="preserve">No. </w:t>
      </w:r>
      <w:r w:rsidR="0032263C">
        <w:rPr>
          <w:sz w:val="24"/>
          <w:szCs w:val="24"/>
        </w:rPr>
        <w:t xml:space="preserve"> </w:t>
      </w:r>
      <w:r w:rsidRPr="005D5F36">
        <w:rPr>
          <w:sz w:val="24"/>
          <w:szCs w:val="24"/>
        </w:rPr>
        <w:t xml:space="preserve">The Company does not support using a discounted approach to the E3 </w:t>
      </w:r>
      <w:r w:rsidR="004D6176">
        <w:rPr>
          <w:sz w:val="24"/>
          <w:szCs w:val="24"/>
        </w:rPr>
        <w:t>Report</w:t>
      </w:r>
      <w:r w:rsidRPr="005D5F36">
        <w:rPr>
          <w:sz w:val="24"/>
          <w:szCs w:val="24"/>
        </w:rPr>
        <w:t xml:space="preserve"> to arrive at an appropriate forecast of EIM benefits </w:t>
      </w:r>
      <w:r w:rsidR="0032263C">
        <w:rPr>
          <w:sz w:val="24"/>
          <w:szCs w:val="24"/>
        </w:rPr>
        <w:t xml:space="preserve">to use in setting </w:t>
      </w:r>
      <w:r w:rsidRPr="005D5F36">
        <w:rPr>
          <w:sz w:val="24"/>
          <w:szCs w:val="24"/>
        </w:rPr>
        <w:t xml:space="preserve">in rates.  Any judgment applied to arrive at a discount would necessarily be highly subjective.  Nonetheless, the Company provides additional discussion of risks and uncertainties associated with the line items in the E3 </w:t>
      </w:r>
      <w:r w:rsidR="004D6176">
        <w:rPr>
          <w:sz w:val="24"/>
          <w:szCs w:val="24"/>
        </w:rPr>
        <w:t>Report</w:t>
      </w:r>
      <w:r w:rsidRPr="005D5F36">
        <w:rPr>
          <w:sz w:val="24"/>
          <w:szCs w:val="24"/>
        </w:rPr>
        <w:t xml:space="preserve"> to further support the Company’s p</w:t>
      </w:r>
      <w:r w:rsidR="00054552">
        <w:rPr>
          <w:sz w:val="24"/>
          <w:szCs w:val="24"/>
        </w:rPr>
        <w:t xml:space="preserve">osition against imputation of forecast </w:t>
      </w:r>
      <w:r w:rsidR="00733426">
        <w:rPr>
          <w:sz w:val="24"/>
          <w:szCs w:val="24"/>
        </w:rPr>
        <w:t>EIM benefits</w:t>
      </w:r>
      <w:r w:rsidR="00054552">
        <w:rPr>
          <w:sz w:val="24"/>
          <w:szCs w:val="24"/>
        </w:rPr>
        <w:t xml:space="preserve"> in this case</w:t>
      </w:r>
      <w:r w:rsidR="00733426">
        <w:rPr>
          <w:sz w:val="24"/>
          <w:szCs w:val="24"/>
        </w:rPr>
        <w:t>.</w:t>
      </w:r>
    </w:p>
    <w:p w:rsidR="00363CE2" w:rsidRPr="00B56E69" w:rsidRDefault="00363CE2" w:rsidP="0032263C">
      <w:pPr>
        <w:keepNext/>
        <w:spacing w:line="480" w:lineRule="auto"/>
        <w:ind w:left="720" w:hanging="720"/>
        <w:rPr>
          <w:b/>
          <w:sz w:val="24"/>
          <w:szCs w:val="24"/>
        </w:rPr>
      </w:pPr>
      <w:r w:rsidRPr="00B56E69">
        <w:rPr>
          <w:b/>
          <w:sz w:val="24"/>
          <w:szCs w:val="24"/>
        </w:rPr>
        <w:t>Q.</w:t>
      </w:r>
      <w:r w:rsidRPr="00B56E69">
        <w:rPr>
          <w:b/>
          <w:sz w:val="24"/>
          <w:szCs w:val="24"/>
        </w:rPr>
        <w:tab/>
      </w:r>
      <w:r w:rsidR="00054552">
        <w:rPr>
          <w:b/>
          <w:sz w:val="24"/>
          <w:szCs w:val="24"/>
        </w:rPr>
        <w:t>Are the</w:t>
      </w:r>
      <w:r w:rsidR="004D6176">
        <w:rPr>
          <w:b/>
          <w:sz w:val="24"/>
          <w:szCs w:val="24"/>
        </w:rPr>
        <w:t>r</w:t>
      </w:r>
      <w:r w:rsidR="00054552">
        <w:rPr>
          <w:b/>
          <w:sz w:val="24"/>
          <w:szCs w:val="24"/>
        </w:rPr>
        <w:t xml:space="preserve">e </w:t>
      </w:r>
      <w:r>
        <w:rPr>
          <w:b/>
          <w:sz w:val="24"/>
          <w:szCs w:val="24"/>
        </w:rPr>
        <w:t xml:space="preserve">other studies </w:t>
      </w:r>
      <w:r w:rsidR="00054552">
        <w:rPr>
          <w:b/>
          <w:sz w:val="24"/>
          <w:szCs w:val="24"/>
        </w:rPr>
        <w:t xml:space="preserve">that </w:t>
      </w:r>
      <w:r w:rsidR="000C6D01">
        <w:rPr>
          <w:b/>
          <w:sz w:val="24"/>
          <w:szCs w:val="24"/>
        </w:rPr>
        <w:t xml:space="preserve">could </w:t>
      </w:r>
      <w:r>
        <w:rPr>
          <w:b/>
          <w:sz w:val="24"/>
          <w:szCs w:val="24"/>
        </w:rPr>
        <w:t xml:space="preserve">provide </w:t>
      </w:r>
      <w:r w:rsidR="00F725C6">
        <w:rPr>
          <w:b/>
          <w:sz w:val="24"/>
          <w:szCs w:val="24"/>
        </w:rPr>
        <w:t xml:space="preserve">insight </w:t>
      </w:r>
      <w:r>
        <w:rPr>
          <w:b/>
          <w:sz w:val="24"/>
          <w:szCs w:val="24"/>
        </w:rPr>
        <w:t xml:space="preserve">on </w:t>
      </w:r>
      <w:r w:rsidR="00054552">
        <w:rPr>
          <w:b/>
          <w:sz w:val="24"/>
          <w:szCs w:val="24"/>
        </w:rPr>
        <w:t>expected</w:t>
      </w:r>
      <w:r>
        <w:rPr>
          <w:b/>
          <w:sz w:val="24"/>
          <w:szCs w:val="24"/>
        </w:rPr>
        <w:t xml:space="preserve"> EIM benefits</w:t>
      </w:r>
      <w:r w:rsidR="00054552">
        <w:rPr>
          <w:b/>
          <w:sz w:val="24"/>
          <w:szCs w:val="24"/>
        </w:rPr>
        <w:t>?</w:t>
      </w:r>
    </w:p>
    <w:p w:rsidR="00363CE2" w:rsidRPr="005D5F36" w:rsidRDefault="00363CE2" w:rsidP="00363CE2">
      <w:pPr>
        <w:spacing w:line="480" w:lineRule="auto"/>
        <w:ind w:left="720" w:hanging="720"/>
        <w:rPr>
          <w:sz w:val="24"/>
          <w:szCs w:val="24"/>
        </w:rPr>
      </w:pPr>
      <w:r>
        <w:rPr>
          <w:sz w:val="24"/>
          <w:szCs w:val="24"/>
        </w:rPr>
        <w:t>A.</w:t>
      </w:r>
      <w:r>
        <w:rPr>
          <w:sz w:val="24"/>
          <w:szCs w:val="24"/>
        </w:rPr>
        <w:tab/>
      </w:r>
      <w:r w:rsidR="00733426">
        <w:rPr>
          <w:sz w:val="24"/>
          <w:szCs w:val="24"/>
        </w:rPr>
        <w:t xml:space="preserve">No.  </w:t>
      </w:r>
      <w:r>
        <w:rPr>
          <w:sz w:val="24"/>
          <w:szCs w:val="24"/>
        </w:rPr>
        <w:t xml:space="preserve">Boise </w:t>
      </w:r>
      <w:r w:rsidRPr="007F0FA5">
        <w:rPr>
          <w:sz w:val="24"/>
          <w:szCs w:val="24"/>
        </w:rPr>
        <w:t>cites a S</w:t>
      </w:r>
      <w:r w:rsidR="00733426">
        <w:rPr>
          <w:sz w:val="24"/>
          <w:szCs w:val="24"/>
        </w:rPr>
        <w:t>outhwest Power Pool (S</w:t>
      </w:r>
      <w:r w:rsidRPr="007F0FA5">
        <w:rPr>
          <w:sz w:val="24"/>
          <w:szCs w:val="24"/>
        </w:rPr>
        <w:t>PP</w:t>
      </w:r>
      <w:r w:rsidR="00733426">
        <w:rPr>
          <w:sz w:val="24"/>
          <w:szCs w:val="24"/>
        </w:rPr>
        <w:t>)</w:t>
      </w:r>
      <w:r w:rsidRPr="007F0FA5">
        <w:rPr>
          <w:sz w:val="24"/>
          <w:szCs w:val="24"/>
        </w:rPr>
        <w:t xml:space="preserve"> study that found first-year SPP EIM benefits were 20</w:t>
      </w:r>
      <w:r w:rsidR="00733426">
        <w:rPr>
          <w:sz w:val="24"/>
          <w:szCs w:val="24"/>
        </w:rPr>
        <w:t xml:space="preserve"> percent</w:t>
      </w:r>
      <w:r w:rsidRPr="007F0FA5">
        <w:rPr>
          <w:sz w:val="24"/>
          <w:szCs w:val="24"/>
        </w:rPr>
        <w:t xml:space="preserve"> higher than forecast.</w:t>
      </w:r>
      <w:r w:rsidR="00D10EB5">
        <w:rPr>
          <w:rStyle w:val="FootnoteReference"/>
          <w:sz w:val="24"/>
          <w:szCs w:val="24"/>
        </w:rPr>
        <w:footnoteReference w:id="47"/>
      </w:r>
      <w:r w:rsidRPr="007F0FA5">
        <w:rPr>
          <w:sz w:val="24"/>
          <w:szCs w:val="24"/>
        </w:rPr>
        <w:t xml:space="preserve">  </w:t>
      </w:r>
      <w:r w:rsidR="00733426">
        <w:rPr>
          <w:sz w:val="24"/>
          <w:szCs w:val="24"/>
        </w:rPr>
        <w:t>But t</w:t>
      </w:r>
      <w:r w:rsidRPr="007F0FA5">
        <w:rPr>
          <w:sz w:val="24"/>
          <w:szCs w:val="24"/>
        </w:rPr>
        <w:t>he study summary indicates</w:t>
      </w:r>
      <w:r w:rsidR="0032263C">
        <w:rPr>
          <w:sz w:val="24"/>
          <w:szCs w:val="24"/>
        </w:rPr>
        <w:t>—</w:t>
      </w:r>
      <w:r w:rsidRPr="007F0FA5">
        <w:rPr>
          <w:sz w:val="24"/>
          <w:szCs w:val="24"/>
        </w:rPr>
        <w:t xml:space="preserve">and </w:t>
      </w:r>
      <w:r w:rsidR="00005ACA">
        <w:rPr>
          <w:sz w:val="24"/>
          <w:szCs w:val="24"/>
        </w:rPr>
        <w:t>Boise</w:t>
      </w:r>
      <w:r w:rsidRPr="007F0FA5">
        <w:rPr>
          <w:sz w:val="24"/>
          <w:szCs w:val="24"/>
        </w:rPr>
        <w:t xml:space="preserve"> neglects to mention</w:t>
      </w:r>
      <w:r w:rsidR="0032263C">
        <w:rPr>
          <w:sz w:val="24"/>
          <w:szCs w:val="24"/>
        </w:rPr>
        <w:t>—</w:t>
      </w:r>
      <w:r w:rsidRPr="007F0FA5">
        <w:rPr>
          <w:sz w:val="24"/>
          <w:szCs w:val="24"/>
        </w:rPr>
        <w:t>that this was primarily attributed to higher gas prices than were assumed in the forecast.</w:t>
      </w:r>
      <w:r>
        <w:rPr>
          <w:sz w:val="24"/>
          <w:szCs w:val="24"/>
        </w:rPr>
        <w:t xml:space="preserve">  </w:t>
      </w:r>
      <w:r w:rsidR="0032263C">
        <w:rPr>
          <w:sz w:val="24"/>
          <w:szCs w:val="24"/>
        </w:rPr>
        <w:t>Thus</w:t>
      </w:r>
      <w:r>
        <w:rPr>
          <w:sz w:val="24"/>
          <w:szCs w:val="24"/>
        </w:rPr>
        <w:t xml:space="preserve">, to the extent market prices, hydro conditions, resource availability, transfer capability, and loads differ from the levels assumed in the E3 </w:t>
      </w:r>
      <w:r w:rsidR="00E06E33">
        <w:rPr>
          <w:sz w:val="24"/>
          <w:szCs w:val="24"/>
        </w:rPr>
        <w:t>Report</w:t>
      </w:r>
      <w:r>
        <w:rPr>
          <w:sz w:val="24"/>
          <w:szCs w:val="24"/>
        </w:rPr>
        <w:t>, the EIM benefits will be impacted.</w:t>
      </w:r>
    </w:p>
    <w:p w:rsidR="00363CE2" w:rsidRPr="00573168" w:rsidRDefault="00B30140" w:rsidP="00573168">
      <w:pPr>
        <w:pStyle w:val="Heading2"/>
        <w:rPr>
          <w:i/>
        </w:rPr>
      </w:pPr>
      <w:bookmarkStart w:id="13" w:name="_Toc403714289"/>
      <w:r w:rsidRPr="00573168">
        <w:rPr>
          <w:i/>
        </w:rPr>
        <w:t xml:space="preserve">Objections to Imputing Benefits for EIM </w:t>
      </w:r>
      <w:r w:rsidR="0032263C" w:rsidRPr="00573168">
        <w:rPr>
          <w:i/>
        </w:rPr>
        <w:t>Inter-R</w:t>
      </w:r>
      <w:r w:rsidR="00363CE2" w:rsidRPr="00573168">
        <w:rPr>
          <w:i/>
        </w:rPr>
        <w:t>egional Dispatch</w:t>
      </w:r>
      <w:bookmarkStart w:id="14" w:name="EIM_cont_interintraregional_dispatch"/>
      <w:bookmarkEnd w:id="14"/>
      <w:bookmarkEnd w:id="13"/>
    </w:p>
    <w:p w:rsidR="00363CE2" w:rsidRDefault="00363CE2" w:rsidP="00363CE2">
      <w:pPr>
        <w:spacing w:line="480" w:lineRule="auto"/>
        <w:ind w:left="720" w:hanging="720"/>
        <w:rPr>
          <w:b/>
          <w:sz w:val="24"/>
        </w:rPr>
      </w:pPr>
      <w:r>
        <w:rPr>
          <w:b/>
          <w:sz w:val="24"/>
        </w:rPr>
        <w:t>Q.</w:t>
      </w:r>
      <w:r>
        <w:tab/>
      </w:r>
      <w:r>
        <w:rPr>
          <w:b/>
          <w:sz w:val="24"/>
        </w:rPr>
        <w:t xml:space="preserve">What inter-regional dispatch benefits </w:t>
      </w:r>
      <w:r w:rsidR="00DF5C01">
        <w:rPr>
          <w:b/>
          <w:sz w:val="24"/>
        </w:rPr>
        <w:t xml:space="preserve">are </w:t>
      </w:r>
      <w:r>
        <w:rPr>
          <w:b/>
          <w:sz w:val="24"/>
        </w:rPr>
        <w:t>contemplated in the EIM?</w:t>
      </w:r>
    </w:p>
    <w:p w:rsidR="00363CE2" w:rsidRDefault="00363CE2" w:rsidP="00363CE2">
      <w:pPr>
        <w:spacing w:line="480" w:lineRule="auto"/>
        <w:ind w:left="720" w:hanging="720"/>
        <w:rPr>
          <w:sz w:val="24"/>
        </w:rPr>
      </w:pPr>
      <w:r>
        <w:rPr>
          <w:sz w:val="24"/>
        </w:rPr>
        <w:t>A.</w:t>
      </w:r>
      <w:r>
        <w:tab/>
      </w:r>
      <w:r>
        <w:rPr>
          <w:sz w:val="24"/>
        </w:rPr>
        <w:t>Inter-regional dispatch reflects the value of energy transactions between the CAISO and PacifiCorp.  As a result of the EIM, CAISO and PacifiCorp are expected to be able to transact more frequently u</w:t>
      </w:r>
      <w:r w:rsidR="0032263C">
        <w:rPr>
          <w:sz w:val="24"/>
        </w:rPr>
        <w:t>si</w:t>
      </w:r>
      <w:r>
        <w:rPr>
          <w:sz w:val="24"/>
        </w:rPr>
        <w:t>ng transmission capacity between CAISO and PacifiCorp at the California</w:t>
      </w:r>
      <w:r w:rsidR="0032263C">
        <w:rPr>
          <w:sz w:val="24"/>
        </w:rPr>
        <w:t>-</w:t>
      </w:r>
      <w:r>
        <w:rPr>
          <w:sz w:val="24"/>
        </w:rPr>
        <w:t xml:space="preserve">Oregon </w:t>
      </w:r>
      <w:r w:rsidR="0032263C">
        <w:rPr>
          <w:sz w:val="24"/>
        </w:rPr>
        <w:t>Intertie (COI)</w:t>
      </w:r>
      <w:r>
        <w:rPr>
          <w:sz w:val="24"/>
        </w:rPr>
        <w:t>.  Inter-regional dispatch benefits result when CAISO and PacifiCorp can transact at a higher sale price and lower purchase price with each other than is available from their internal resources.  The Company would be both a buyer and a seller at different times, depending on system conditions.</w:t>
      </w:r>
    </w:p>
    <w:p w:rsidR="00363CE2" w:rsidRDefault="00363CE2" w:rsidP="00363CE2">
      <w:pPr>
        <w:spacing w:line="480" w:lineRule="auto"/>
        <w:ind w:left="720" w:hanging="720"/>
      </w:pPr>
      <w:r>
        <w:tab/>
      </w:r>
      <w:r>
        <w:tab/>
      </w:r>
      <w:r>
        <w:rPr>
          <w:sz w:val="24"/>
        </w:rPr>
        <w:t xml:space="preserve">Inter-regional benefits are highly dependent upon transfer capability between the CAISO and PacifiCorp. </w:t>
      </w:r>
      <w:r w:rsidR="00054552">
        <w:rPr>
          <w:sz w:val="24"/>
        </w:rPr>
        <w:t xml:space="preserve"> </w:t>
      </w:r>
      <w:r>
        <w:rPr>
          <w:sz w:val="24"/>
        </w:rPr>
        <w:t xml:space="preserve">The E3 </w:t>
      </w:r>
      <w:r w:rsidR="004D6176">
        <w:rPr>
          <w:sz w:val="24"/>
        </w:rPr>
        <w:t>Report</w:t>
      </w:r>
      <w:r>
        <w:rPr>
          <w:sz w:val="24"/>
        </w:rPr>
        <w:t xml:space="preserve"> evaluat</w:t>
      </w:r>
      <w:r w:rsidR="0032263C">
        <w:rPr>
          <w:sz w:val="24"/>
        </w:rPr>
        <w:t>ed benefits from a range of 100 </w:t>
      </w:r>
      <w:r>
        <w:rPr>
          <w:sz w:val="24"/>
        </w:rPr>
        <w:t xml:space="preserve">MW to 800 MW of bi-directional </w:t>
      </w:r>
      <w:r w:rsidR="000202D4">
        <w:rPr>
          <w:sz w:val="24"/>
        </w:rPr>
        <w:t>five</w:t>
      </w:r>
      <w:r w:rsidR="00054552">
        <w:rPr>
          <w:sz w:val="24"/>
        </w:rPr>
        <w:t xml:space="preserve">-minute dynamic </w:t>
      </w:r>
      <w:r>
        <w:rPr>
          <w:sz w:val="24"/>
        </w:rPr>
        <w:t xml:space="preserve">transfer capability between CAISO and PacifiCorp at the </w:t>
      </w:r>
      <w:r w:rsidR="0032263C">
        <w:rPr>
          <w:sz w:val="24"/>
        </w:rPr>
        <w:t>COI</w:t>
      </w:r>
      <w:r>
        <w:rPr>
          <w:sz w:val="24"/>
        </w:rPr>
        <w:t xml:space="preserve">.  </w:t>
      </w:r>
      <w:r w:rsidR="00CC732A">
        <w:rPr>
          <w:sz w:val="24"/>
        </w:rPr>
        <w:t xml:space="preserve">In practice, due to constraints imposed by the Bonneville Power Administration, who is the path operator on the north side of COI, the EIM transfers result from a combination of five-minute and 15-minute market instructions.  </w:t>
      </w:r>
      <w:r>
        <w:rPr>
          <w:sz w:val="24"/>
        </w:rPr>
        <w:t>Currently</w:t>
      </w:r>
      <w:r w:rsidR="00CC732A">
        <w:rPr>
          <w:sz w:val="24"/>
        </w:rPr>
        <w:t xml:space="preserve"> and temporarily</w:t>
      </w:r>
      <w:r>
        <w:rPr>
          <w:sz w:val="24"/>
        </w:rPr>
        <w:t xml:space="preserve">, however, this transfer capability </w:t>
      </w:r>
      <w:r w:rsidR="006F0746">
        <w:rPr>
          <w:sz w:val="24"/>
        </w:rPr>
        <w:t xml:space="preserve">has been </w:t>
      </w:r>
      <w:r>
        <w:rPr>
          <w:sz w:val="24"/>
        </w:rPr>
        <w:t xml:space="preserve">limited </w:t>
      </w:r>
      <w:r w:rsidR="00054552">
        <w:rPr>
          <w:sz w:val="24"/>
        </w:rPr>
        <w:t xml:space="preserve">to </w:t>
      </w:r>
      <w:r w:rsidR="00F75FD1">
        <w:rPr>
          <w:sz w:val="24"/>
        </w:rPr>
        <w:t>15-minute</w:t>
      </w:r>
      <w:r>
        <w:rPr>
          <w:sz w:val="24"/>
        </w:rPr>
        <w:t xml:space="preserve"> EIM transfers on a basis up to approximately 400 MW bi-directional</w:t>
      </w:r>
      <w:r w:rsidR="00054552">
        <w:rPr>
          <w:sz w:val="24"/>
        </w:rPr>
        <w:t>.</w:t>
      </w:r>
      <w:r>
        <w:rPr>
          <w:rStyle w:val="FootnoteReference"/>
          <w:sz w:val="24"/>
        </w:rPr>
        <w:footnoteReference w:id="48"/>
      </w:r>
      <w:r>
        <w:t xml:space="preserve"> </w:t>
      </w:r>
      <w:r w:rsidR="00054552">
        <w:t xml:space="preserve"> </w:t>
      </w:r>
      <w:r w:rsidR="00054552">
        <w:rPr>
          <w:sz w:val="24"/>
        </w:rPr>
        <w:t>T</w:t>
      </w:r>
      <w:r>
        <w:rPr>
          <w:sz w:val="24"/>
        </w:rPr>
        <w:t xml:space="preserve">hese 15-minute transfers are not as valuable as </w:t>
      </w:r>
      <w:r w:rsidR="00AE7C03">
        <w:rPr>
          <w:sz w:val="24"/>
        </w:rPr>
        <w:t>five</w:t>
      </w:r>
      <w:r>
        <w:rPr>
          <w:sz w:val="24"/>
        </w:rPr>
        <w:t>-minute dynamic transfers</w:t>
      </w:r>
      <w:r w:rsidR="00054552">
        <w:rPr>
          <w:sz w:val="24"/>
        </w:rPr>
        <w:t xml:space="preserve"> and do not correlate to the E3 </w:t>
      </w:r>
      <w:r w:rsidR="004D6176">
        <w:rPr>
          <w:sz w:val="24"/>
        </w:rPr>
        <w:t>Report</w:t>
      </w:r>
      <w:r w:rsidR="00054552">
        <w:rPr>
          <w:sz w:val="24"/>
        </w:rPr>
        <w:t xml:space="preserve"> as </w:t>
      </w:r>
      <w:r w:rsidR="00005ACA">
        <w:rPr>
          <w:sz w:val="24"/>
        </w:rPr>
        <w:t>Boise</w:t>
      </w:r>
      <w:r w:rsidR="00054552">
        <w:rPr>
          <w:sz w:val="24"/>
        </w:rPr>
        <w:t xml:space="preserve"> suggests</w:t>
      </w:r>
      <w:r>
        <w:rPr>
          <w:sz w:val="24"/>
        </w:rPr>
        <w:t>.</w:t>
      </w:r>
    </w:p>
    <w:p w:rsidR="00363CE2" w:rsidRDefault="00363CE2" w:rsidP="00363CE2">
      <w:pPr>
        <w:spacing w:line="480" w:lineRule="auto"/>
        <w:ind w:left="720" w:hanging="720"/>
        <w:rPr>
          <w:b/>
          <w:sz w:val="24"/>
        </w:rPr>
      </w:pPr>
      <w:r>
        <w:rPr>
          <w:b/>
          <w:sz w:val="24"/>
        </w:rPr>
        <w:t>Q.</w:t>
      </w:r>
      <w:r>
        <w:tab/>
      </w:r>
      <w:r w:rsidR="00220F8A">
        <w:rPr>
          <w:b/>
          <w:sz w:val="24"/>
        </w:rPr>
        <w:t>Does the Company’s pro forma</w:t>
      </w:r>
      <w:r>
        <w:rPr>
          <w:b/>
          <w:sz w:val="24"/>
        </w:rPr>
        <w:t xml:space="preserve"> NPC already reflect certain inter-regional dispatch benefits?</w:t>
      </w:r>
    </w:p>
    <w:p w:rsidR="00363CE2" w:rsidRDefault="00363CE2" w:rsidP="00363CE2">
      <w:pPr>
        <w:pStyle w:val="BodyTextIndent2"/>
        <w:tabs>
          <w:tab w:val="clear" w:pos="720"/>
        </w:tabs>
      </w:pPr>
      <w:r>
        <w:t>A.</w:t>
      </w:r>
      <w:r>
        <w:tab/>
        <w:t xml:space="preserve">Yes.  The Company’s filing includes </w:t>
      </w:r>
      <w:r w:rsidRPr="000C6D01">
        <w:t>10</w:t>
      </w:r>
      <w:r w:rsidR="00563DBA" w:rsidRPr="000C6D01">
        <w:t>8</w:t>
      </w:r>
      <w:r w:rsidRPr="000C6D01">
        <w:t xml:space="preserve"> aMW </w:t>
      </w:r>
      <w:r>
        <w:t xml:space="preserve">of transactions delivered to the California-Oregon Border (COB) market and </w:t>
      </w:r>
      <w:r w:rsidRPr="000C6D01">
        <w:t>2</w:t>
      </w:r>
      <w:r w:rsidR="00DF4679" w:rsidRPr="000C6D01">
        <w:t xml:space="preserve">0 </w:t>
      </w:r>
      <w:r w:rsidRPr="000C6D01">
        <w:t>aMW</w:t>
      </w:r>
      <w:r>
        <w:t xml:space="preserve"> of transactions received from the COB market.  These transactions use the same transmission capacity contemplated for inter-regional transfers in the E3 </w:t>
      </w:r>
      <w:r w:rsidR="004D6176">
        <w:t>Report</w:t>
      </w:r>
      <w:r>
        <w:t>.  The majority of the transactions reflect system balancing decisions by the GRID model, which optimizes the dispatch of PacifiCorp generation against market transactions, much like what will occur under the EIM.</w:t>
      </w:r>
    </w:p>
    <w:p w:rsidR="00363CE2" w:rsidRPr="00F55A6F" w:rsidRDefault="00363CE2" w:rsidP="00363CE2">
      <w:pPr>
        <w:pStyle w:val="BodyTextIndent2"/>
        <w:tabs>
          <w:tab w:val="clear" w:pos="720"/>
        </w:tabs>
        <w:rPr>
          <w:b/>
        </w:rPr>
      </w:pPr>
      <w:r w:rsidRPr="00F55A6F">
        <w:rPr>
          <w:b/>
        </w:rPr>
        <w:t>Q.</w:t>
      </w:r>
      <w:r w:rsidRPr="00F55A6F">
        <w:rPr>
          <w:b/>
        </w:rPr>
        <w:tab/>
        <w:t>Do you agree with Boise’s proposal to allocate the inter-regional dispatch savings between the Company’s west and east control areas in proportion to the load of each control area?</w:t>
      </w:r>
      <w:r w:rsidR="00393E4B">
        <w:rPr>
          <w:rStyle w:val="FootnoteReference"/>
          <w:b/>
        </w:rPr>
        <w:footnoteReference w:id="49"/>
      </w:r>
    </w:p>
    <w:p w:rsidR="00363CE2" w:rsidRDefault="00363CE2" w:rsidP="00363CE2">
      <w:pPr>
        <w:pStyle w:val="BodyTextIndent2"/>
        <w:tabs>
          <w:tab w:val="clear" w:pos="720"/>
        </w:tabs>
      </w:pPr>
      <w:r>
        <w:t>A.</w:t>
      </w:r>
      <w:r>
        <w:tab/>
        <w:t xml:space="preserve">No.  The inter-regional dispatch benefit has no direct relationship to load, as it is a result of changes in generation dispatch and associated market transactions.  The Company’s </w:t>
      </w:r>
      <w:r w:rsidR="00220F8A">
        <w:t>e</w:t>
      </w:r>
      <w:r>
        <w:t xml:space="preserve">ast </w:t>
      </w:r>
      <w:r w:rsidR="00220F8A">
        <w:t>c</w:t>
      </w:r>
      <w:r>
        <w:t xml:space="preserve">ontrol </w:t>
      </w:r>
      <w:r w:rsidR="00220F8A">
        <w:t>a</w:t>
      </w:r>
      <w:r>
        <w:t xml:space="preserve">rea has more dispatchable generation with a range of fuel costs </w:t>
      </w:r>
      <w:r w:rsidR="00220F8A">
        <w:t>from low-cost coal through high-</w:t>
      </w:r>
      <w:r>
        <w:t>heat</w:t>
      </w:r>
      <w:r w:rsidR="00220F8A">
        <w:t>-</w:t>
      </w:r>
      <w:r>
        <w:t>rate peaking</w:t>
      </w:r>
      <w:r w:rsidR="00220F8A">
        <w:t xml:space="preserve"> gas plants.  As a result, the e</w:t>
      </w:r>
      <w:r>
        <w:t xml:space="preserve">ast </w:t>
      </w:r>
      <w:r w:rsidR="00220F8A">
        <w:t>c</w:t>
      </w:r>
      <w:r>
        <w:t xml:space="preserve">ontrol </w:t>
      </w:r>
      <w:r w:rsidR="00220F8A">
        <w:t>a</w:t>
      </w:r>
      <w:r>
        <w:t>rea will frequently have some units that are close to the system incremental cost and could benefit from EIM dispatch.</w:t>
      </w:r>
      <w:r w:rsidR="00435B40">
        <w:t xml:space="preserve">  On a </w:t>
      </w:r>
      <w:r w:rsidR="000C6D01">
        <w:t>t</w:t>
      </w:r>
      <w:r w:rsidR="00220F8A">
        <w:t>otal-</w:t>
      </w:r>
      <w:r w:rsidR="000C6D01">
        <w:t>c</w:t>
      </w:r>
      <w:r w:rsidR="00435B40">
        <w:t xml:space="preserve">ompany basis, </w:t>
      </w:r>
      <w:r w:rsidR="000850B9">
        <w:t>46</w:t>
      </w:r>
      <w:r w:rsidR="00220F8A">
        <w:t> </w:t>
      </w:r>
      <w:r w:rsidR="000C1F9C">
        <w:t>percent</w:t>
      </w:r>
      <w:r w:rsidR="00435B40">
        <w:t xml:space="preserve"> </w:t>
      </w:r>
      <w:r w:rsidR="000850B9" w:rsidRPr="000850B9">
        <w:t>of the Company’s resource need for 2015 is expected to be met by generation currently being dispatched within the EIM</w:t>
      </w:r>
      <w:r w:rsidR="000850B9">
        <w:t>.</w:t>
      </w:r>
      <w:r>
        <w:t xml:space="preserve">  </w:t>
      </w:r>
      <w:r w:rsidR="000850B9" w:rsidRPr="000850B9">
        <w:t xml:space="preserve">The </w:t>
      </w:r>
      <w:r w:rsidR="00220F8A">
        <w:t xml:space="preserve">west control area </w:t>
      </w:r>
      <w:r w:rsidR="000850B9" w:rsidRPr="000850B9">
        <w:t xml:space="preserve">is more heavily dependent on market transactions, so there may be fewer opportunities for EIM redispatch of </w:t>
      </w:r>
      <w:r w:rsidR="00220F8A">
        <w:t>west control area</w:t>
      </w:r>
      <w:r w:rsidR="000850B9" w:rsidRPr="000850B9">
        <w:t xml:space="preserve"> resources.  Only 24 percent of the Company’s </w:t>
      </w:r>
      <w:r w:rsidR="00220F8A">
        <w:t xml:space="preserve">west control area </w:t>
      </w:r>
      <w:r w:rsidR="000850B9" w:rsidRPr="000850B9">
        <w:t xml:space="preserve">resource need in the </w:t>
      </w:r>
      <w:r w:rsidR="00220F8A">
        <w:t>pro forma</w:t>
      </w:r>
      <w:r w:rsidR="000850B9" w:rsidRPr="000850B9">
        <w:t xml:space="preserve"> period is expected to be met by generation dispatched within the EIM.  </w:t>
      </w:r>
      <w:r>
        <w:t>In addition, Boise’s</w:t>
      </w:r>
      <w:r w:rsidRPr="009E3492">
        <w:t xml:space="preserve"> </w:t>
      </w:r>
      <w:r>
        <w:t xml:space="preserve">adjustment is based solely on the E3 </w:t>
      </w:r>
      <w:r w:rsidR="004D6176">
        <w:t>Report</w:t>
      </w:r>
      <w:r>
        <w:t xml:space="preserve"> outcome, and does not incorporate the associated transaction volumes or any generation impacts in the GRID model, so it is unclear how the benefits are expected to materialize.  Since it is lacking a concrete demonstration of the expected benefits, this </w:t>
      </w:r>
      <w:r w:rsidR="00054552">
        <w:t xml:space="preserve">aspect of </w:t>
      </w:r>
      <w:r w:rsidR="00005ACA">
        <w:t>Boise’s</w:t>
      </w:r>
      <w:r w:rsidR="00054552">
        <w:t xml:space="preserve"> </w:t>
      </w:r>
      <w:r>
        <w:t xml:space="preserve">adjustment is clearly not known and measurable and should be rejected. </w:t>
      </w:r>
    </w:p>
    <w:p w:rsidR="00363CE2" w:rsidRPr="00573168" w:rsidRDefault="00B30140" w:rsidP="00573168">
      <w:pPr>
        <w:pStyle w:val="Heading2"/>
        <w:rPr>
          <w:bCs/>
          <w:i/>
          <w:iCs/>
        </w:rPr>
      </w:pPr>
      <w:bookmarkStart w:id="15" w:name="_Toc403714290"/>
      <w:r w:rsidRPr="00573168">
        <w:rPr>
          <w:bCs/>
          <w:i/>
          <w:iCs/>
        </w:rPr>
        <w:t xml:space="preserve">Objections to Imputing Benefits for EIM </w:t>
      </w:r>
      <w:r w:rsidR="00363CE2" w:rsidRPr="00573168">
        <w:rPr>
          <w:bCs/>
          <w:i/>
          <w:iCs/>
        </w:rPr>
        <w:t>Intra-</w:t>
      </w:r>
      <w:r w:rsidR="00220F8A" w:rsidRPr="00573168">
        <w:rPr>
          <w:bCs/>
          <w:i/>
          <w:iCs/>
        </w:rPr>
        <w:t>R</w:t>
      </w:r>
      <w:r w:rsidR="00363CE2" w:rsidRPr="00573168">
        <w:rPr>
          <w:bCs/>
          <w:i/>
          <w:iCs/>
        </w:rPr>
        <w:t>egional Dispatch</w:t>
      </w:r>
      <w:bookmarkEnd w:id="15"/>
    </w:p>
    <w:p w:rsidR="00363CE2" w:rsidRDefault="00363CE2" w:rsidP="00363CE2">
      <w:pPr>
        <w:spacing w:line="480" w:lineRule="auto"/>
        <w:ind w:left="720" w:hanging="720"/>
        <w:rPr>
          <w:b/>
          <w:sz w:val="24"/>
        </w:rPr>
      </w:pPr>
      <w:r>
        <w:rPr>
          <w:b/>
          <w:sz w:val="24"/>
        </w:rPr>
        <w:t>Q.</w:t>
      </w:r>
      <w:r>
        <w:tab/>
      </w:r>
      <w:r>
        <w:rPr>
          <w:b/>
          <w:sz w:val="24"/>
        </w:rPr>
        <w:t xml:space="preserve">How was the intra-regional dispatch benefit calculated in the E3 </w:t>
      </w:r>
      <w:r w:rsidR="004D6176">
        <w:rPr>
          <w:b/>
          <w:sz w:val="24"/>
        </w:rPr>
        <w:t>Report</w:t>
      </w:r>
      <w:r>
        <w:rPr>
          <w:b/>
          <w:sz w:val="24"/>
        </w:rPr>
        <w:t>?</w:t>
      </w:r>
    </w:p>
    <w:p w:rsidR="00363CE2" w:rsidRDefault="00363CE2" w:rsidP="00363CE2">
      <w:pPr>
        <w:spacing w:line="480" w:lineRule="auto"/>
        <w:ind w:left="720" w:hanging="720"/>
        <w:rPr>
          <w:sz w:val="24"/>
        </w:rPr>
      </w:pPr>
      <w:r>
        <w:rPr>
          <w:sz w:val="24"/>
        </w:rPr>
        <w:t>A.</w:t>
      </w:r>
      <w:r>
        <w:tab/>
      </w:r>
      <w:r w:rsidR="00220F8A">
        <w:rPr>
          <w:sz w:val="24"/>
        </w:rPr>
        <w:t>Before</w:t>
      </w:r>
      <w:r>
        <w:rPr>
          <w:sz w:val="24"/>
        </w:rPr>
        <w:t xml:space="preserve"> April 1, 2009, the CAISO operated under zonal pricing, with units committed based on the zonal prices </w:t>
      </w:r>
      <w:r w:rsidR="00220F8A">
        <w:rPr>
          <w:sz w:val="24"/>
        </w:rPr>
        <w:t>that</w:t>
      </w:r>
      <w:r>
        <w:rPr>
          <w:sz w:val="24"/>
        </w:rPr>
        <w:t xml:space="preserve"> ignored transmission constraints, but dispatched based on the actual transmission capability.  Starting on April 1, 2009, the CAISO operated with nodal pricing, with both commitment and dispatch decisions based on actual transmission capabilities.  A study</w:t>
      </w:r>
      <w:r>
        <w:t xml:space="preserve"> </w:t>
      </w:r>
      <w:r>
        <w:rPr>
          <w:sz w:val="24"/>
        </w:rPr>
        <w:t>of the market outcomes before and after the transition found an estimated annual cost reduction of $105 million as a result of the transition to nodal pricing.</w:t>
      </w:r>
      <w:r w:rsidR="00AB232C">
        <w:rPr>
          <w:rStyle w:val="FootnoteReference"/>
          <w:sz w:val="24"/>
        </w:rPr>
        <w:footnoteReference w:id="50"/>
      </w:r>
      <w:r>
        <w:rPr>
          <w:sz w:val="24"/>
        </w:rPr>
        <w:t xml:space="preserve">  To estimate the savings to </w:t>
      </w:r>
      <w:r w:rsidR="004116FB">
        <w:rPr>
          <w:sz w:val="24"/>
        </w:rPr>
        <w:t>the Company</w:t>
      </w:r>
      <w:r>
        <w:rPr>
          <w:sz w:val="24"/>
        </w:rPr>
        <w:t xml:space="preserve">, the E3 </w:t>
      </w:r>
      <w:r w:rsidR="004D6176">
        <w:rPr>
          <w:sz w:val="24"/>
        </w:rPr>
        <w:t>Report</w:t>
      </w:r>
      <w:r>
        <w:rPr>
          <w:sz w:val="24"/>
        </w:rPr>
        <w:t xml:space="preserve"> pro</w:t>
      </w:r>
      <w:r w:rsidR="00220F8A">
        <w:rPr>
          <w:sz w:val="24"/>
        </w:rPr>
        <w:t>-</w:t>
      </w:r>
      <w:r>
        <w:rPr>
          <w:sz w:val="24"/>
        </w:rPr>
        <w:t>rated the result based on the CAISO peak load at the time of the study and the Company’s peak load in 2017.</w:t>
      </w:r>
    </w:p>
    <w:p w:rsidR="00363CE2" w:rsidRDefault="00363CE2" w:rsidP="00363CE2">
      <w:pPr>
        <w:spacing w:line="480" w:lineRule="auto"/>
        <w:ind w:left="720" w:hanging="720"/>
        <w:rPr>
          <w:b/>
          <w:sz w:val="24"/>
        </w:rPr>
      </w:pPr>
      <w:r>
        <w:rPr>
          <w:b/>
          <w:sz w:val="24"/>
        </w:rPr>
        <w:t>Q.</w:t>
      </w:r>
      <w:r>
        <w:tab/>
      </w:r>
      <w:r>
        <w:rPr>
          <w:b/>
          <w:sz w:val="24"/>
        </w:rPr>
        <w:t>Is the CAISO system comparable to the Company’s system?</w:t>
      </w:r>
    </w:p>
    <w:p w:rsidR="00363CE2" w:rsidRDefault="00363CE2" w:rsidP="00363CE2">
      <w:pPr>
        <w:spacing w:line="480" w:lineRule="auto"/>
        <w:ind w:left="720" w:hanging="720"/>
        <w:rPr>
          <w:sz w:val="24"/>
        </w:rPr>
      </w:pPr>
      <w:r>
        <w:rPr>
          <w:sz w:val="24"/>
        </w:rPr>
        <w:t>A.</w:t>
      </w:r>
      <w:r>
        <w:tab/>
      </w:r>
      <w:r>
        <w:rPr>
          <w:sz w:val="24"/>
        </w:rPr>
        <w:t xml:space="preserve">No.  In 2009, the CAISO system had 258 </w:t>
      </w:r>
      <w:r w:rsidR="00054552">
        <w:rPr>
          <w:sz w:val="24"/>
        </w:rPr>
        <w:t xml:space="preserve">natural </w:t>
      </w:r>
      <w:r>
        <w:rPr>
          <w:sz w:val="24"/>
        </w:rPr>
        <w:t>gas generators, wher</w:t>
      </w:r>
      <w:r w:rsidR="00220F8A">
        <w:rPr>
          <w:sz w:val="24"/>
        </w:rPr>
        <w:t>eas the Company has just twelve</w:t>
      </w:r>
      <w:r>
        <w:rPr>
          <w:sz w:val="24"/>
        </w:rPr>
        <w:t xml:space="preserve">, </w:t>
      </w:r>
      <w:r w:rsidR="00435B40">
        <w:rPr>
          <w:sz w:val="24"/>
        </w:rPr>
        <w:t xml:space="preserve">only three of which are in the </w:t>
      </w:r>
      <w:r w:rsidR="00220F8A">
        <w:rPr>
          <w:sz w:val="24"/>
        </w:rPr>
        <w:t>west control area</w:t>
      </w:r>
      <w:r>
        <w:rPr>
          <w:sz w:val="24"/>
        </w:rPr>
        <w:t xml:space="preserve">.  </w:t>
      </w:r>
      <w:r w:rsidR="00220F8A">
        <w:rPr>
          <w:sz w:val="24"/>
        </w:rPr>
        <w:t>That represents just one</w:t>
      </w:r>
      <w:r>
        <w:rPr>
          <w:sz w:val="24"/>
        </w:rPr>
        <w:t xml:space="preserve"> percent as many </w:t>
      </w:r>
      <w:r w:rsidR="00054552">
        <w:rPr>
          <w:sz w:val="24"/>
        </w:rPr>
        <w:t xml:space="preserve">natural </w:t>
      </w:r>
      <w:r>
        <w:rPr>
          <w:sz w:val="24"/>
        </w:rPr>
        <w:t xml:space="preserve">gas plants </w:t>
      </w:r>
      <w:r w:rsidR="00C402ED">
        <w:rPr>
          <w:sz w:val="24"/>
        </w:rPr>
        <w:t>i</w:t>
      </w:r>
      <w:r>
        <w:rPr>
          <w:sz w:val="24"/>
        </w:rPr>
        <w:t xml:space="preserve">n the </w:t>
      </w:r>
      <w:r w:rsidR="00220F8A">
        <w:rPr>
          <w:sz w:val="24"/>
        </w:rPr>
        <w:t>west control area</w:t>
      </w:r>
      <w:r w:rsidR="00C402ED">
        <w:rPr>
          <w:sz w:val="24"/>
        </w:rPr>
        <w:t xml:space="preserve"> </w:t>
      </w:r>
      <w:r>
        <w:rPr>
          <w:sz w:val="24"/>
        </w:rPr>
        <w:t>compared to the CAISO, so pro</w:t>
      </w:r>
      <w:r w:rsidR="00220F8A">
        <w:rPr>
          <w:sz w:val="24"/>
        </w:rPr>
        <w:t>-</w:t>
      </w:r>
      <w:r>
        <w:rPr>
          <w:sz w:val="24"/>
        </w:rPr>
        <w:t xml:space="preserve">rating the estimated benefits of dispatching those gas plants based on a </w:t>
      </w:r>
      <w:r w:rsidR="00220F8A">
        <w:rPr>
          <w:sz w:val="24"/>
        </w:rPr>
        <w:t>west control area</w:t>
      </w:r>
      <w:r w:rsidR="00C402ED">
        <w:rPr>
          <w:sz w:val="24"/>
        </w:rPr>
        <w:t xml:space="preserve"> </w:t>
      </w:r>
      <w:r>
        <w:rPr>
          <w:sz w:val="24"/>
        </w:rPr>
        <w:t xml:space="preserve">load share of </w:t>
      </w:r>
      <w:r w:rsidR="00220F8A">
        <w:rPr>
          <w:sz w:val="24"/>
        </w:rPr>
        <w:t>approximately seven</w:t>
      </w:r>
      <w:r w:rsidR="00C402ED">
        <w:rPr>
          <w:sz w:val="24"/>
        </w:rPr>
        <w:t xml:space="preserve"> </w:t>
      </w:r>
      <w:r>
        <w:rPr>
          <w:sz w:val="24"/>
        </w:rPr>
        <w:t>percent</w:t>
      </w:r>
      <w:r>
        <w:t xml:space="preserve"> </w:t>
      </w:r>
      <w:r w:rsidR="00AF476A">
        <w:rPr>
          <w:sz w:val="24"/>
        </w:rPr>
        <w:t>likely ov</w:t>
      </w:r>
      <w:r>
        <w:rPr>
          <w:sz w:val="24"/>
        </w:rPr>
        <w:t>erstate</w:t>
      </w:r>
      <w:r w:rsidR="00AF476A">
        <w:rPr>
          <w:sz w:val="24"/>
        </w:rPr>
        <w:t>s</w:t>
      </w:r>
      <w:r>
        <w:rPr>
          <w:sz w:val="24"/>
        </w:rPr>
        <w:t xml:space="preserve"> the potential benefits.  </w:t>
      </w:r>
    </w:p>
    <w:p w:rsidR="00363CE2" w:rsidRDefault="00363CE2" w:rsidP="00363CE2">
      <w:pPr>
        <w:spacing w:line="480" w:lineRule="auto"/>
        <w:ind w:left="720" w:hanging="720"/>
        <w:rPr>
          <w:b/>
          <w:sz w:val="24"/>
        </w:rPr>
      </w:pPr>
      <w:r>
        <w:rPr>
          <w:b/>
          <w:sz w:val="24"/>
        </w:rPr>
        <w:t>Q.</w:t>
      </w:r>
      <w:r>
        <w:tab/>
      </w:r>
      <w:r>
        <w:rPr>
          <w:b/>
          <w:sz w:val="24"/>
        </w:rPr>
        <w:t xml:space="preserve">Does the Company’s </w:t>
      </w:r>
      <w:r w:rsidR="00220F8A">
        <w:rPr>
          <w:b/>
          <w:sz w:val="24"/>
        </w:rPr>
        <w:t>pro forma</w:t>
      </w:r>
      <w:r>
        <w:rPr>
          <w:b/>
          <w:sz w:val="24"/>
        </w:rPr>
        <w:t xml:space="preserve"> NPC incorporate the costs of zonal pricing, i.e. ignoring transmission constraints?</w:t>
      </w:r>
    </w:p>
    <w:p w:rsidR="00363CE2" w:rsidRDefault="00363CE2" w:rsidP="00363CE2">
      <w:pPr>
        <w:spacing w:line="480" w:lineRule="auto"/>
        <w:ind w:left="720" w:hanging="720"/>
        <w:rPr>
          <w:sz w:val="24"/>
        </w:rPr>
      </w:pPr>
      <w:r>
        <w:rPr>
          <w:sz w:val="24"/>
        </w:rPr>
        <w:t>A.</w:t>
      </w:r>
      <w:r>
        <w:tab/>
      </w:r>
      <w:r>
        <w:rPr>
          <w:sz w:val="24"/>
        </w:rPr>
        <w:t xml:space="preserve">No.  The Company’s </w:t>
      </w:r>
      <w:r w:rsidR="00220F8A">
        <w:rPr>
          <w:sz w:val="24"/>
        </w:rPr>
        <w:t xml:space="preserve">pro forma NPC </w:t>
      </w:r>
      <w:r>
        <w:rPr>
          <w:sz w:val="24"/>
        </w:rPr>
        <w:t xml:space="preserve">are developed using the GRID model, which already employs nodal dispatch.  As with </w:t>
      </w:r>
      <w:r w:rsidR="007F5539">
        <w:rPr>
          <w:sz w:val="24"/>
        </w:rPr>
        <w:t xml:space="preserve">the model used in the </w:t>
      </w:r>
      <w:r>
        <w:rPr>
          <w:sz w:val="24"/>
        </w:rPr>
        <w:t>E3</w:t>
      </w:r>
      <w:r w:rsidR="007F5539">
        <w:rPr>
          <w:sz w:val="24"/>
        </w:rPr>
        <w:t xml:space="preserve"> Report</w:t>
      </w:r>
      <w:r>
        <w:rPr>
          <w:sz w:val="24"/>
        </w:rPr>
        <w:t xml:space="preserve">, GRID assumes perfectly efficient operations: subject to transmission constraints, in every hour the lowest cost resources will be dispatched.  In addition, the Company’s gas plant “screening” process optimizes the commitment of each gas unit based on its actual contribution to system costs, accounting for the nodal value at the point of delivery, rather than based on prices at a potentially distant regional market point.  Therefore, the Company’s </w:t>
      </w:r>
      <w:r w:rsidR="00F236A6">
        <w:rPr>
          <w:sz w:val="24"/>
        </w:rPr>
        <w:t xml:space="preserve">pro forma NPC </w:t>
      </w:r>
      <w:r>
        <w:rPr>
          <w:sz w:val="24"/>
        </w:rPr>
        <w:t xml:space="preserve">already incorporates intra-regional dispatch savings compared to the Company’s actual operations.  Boise’s criticism of the Company’s current generator dispatch practices is irrelevant </w:t>
      </w:r>
      <w:r w:rsidR="00F236A6">
        <w:rPr>
          <w:sz w:val="24"/>
        </w:rPr>
        <w:t>because</w:t>
      </w:r>
      <w:r>
        <w:rPr>
          <w:sz w:val="24"/>
        </w:rPr>
        <w:t xml:space="preserve"> the costs associated with those practices are not reflected in the Company’s </w:t>
      </w:r>
      <w:r w:rsidR="00F236A6">
        <w:rPr>
          <w:sz w:val="24"/>
        </w:rPr>
        <w:t xml:space="preserve">pro forma </w:t>
      </w:r>
      <w:r>
        <w:rPr>
          <w:sz w:val="24"/>
        </w:rPr>
        <w:t xml:space="preserve">NPC.  While the Company may experience benefits from EIM in its actual operations, those benefits will only bring actual costs closer to the ideal dispatch calculated in the GRID model. </w:t>
      </w:r>
    </w:p>
    <w:p w:rsidR="00363CE2" w:rsidRDefault="00363CE2" w:rsidP="00363CE2">
      <w:pPr>
        <w:spacing w:line="480" w:lineRule="auto"/>
        <w:ind w:left="720" w:hanging="720"/>
        <w:rPr>
          <w:b/>
          <w:sz w:val="24"/>
        </w:rPr>
      </w:pPr>
      <w:r>
        <w:rPr>
          <w:b/>
          <w:sz w:val="24"/>
        </w:rPr>
        <w:t>Q.</w:t>
      </w:r>
      <w:r>
        <w:tab/>
      </w:r>
      <w:r>
        <w:rPr>
          <w:b/>
          <w:sz w:val="24"/>
        </w:rPr>
        <w:t>What evidence does Boise provide in support of its intra-regional dispatch adjustment?</w:t>
      </w:r>
    </w:p>
    <w:p w:rsidR="00573168" w:rsidRDefault="00363CE2" w:rsidP="00363CE2">
      <w:pPr>
        <w:pStyle w:val="BodyTextIndent2"/>
        <w:tabs>
          <w:tab w:val="clear" w:pos="720"/>
        </w:tabs>
      </w:pPr>
      <w:r>
        <w:t>A.</w:t>
      </w:r>
      <w:r>
        <w:tab/>
        <w:t xml:space="preserve">Boise provides no evidence related to the changes in the Company’s commitment and dispatch practice as a result of EIM implementation.  Instead, </w:t>
      </w:r>
      <w:r w:rsidR="00005ACA">
        <w:t>Boise</w:t>
      </w:r>
      <w:r>
        <w:t xml:space="preserve"> calculates the benefits of allowing the GRID model to make unlimited system balancing sales at the COB and Mid-Columbia markets.</w:t>
      </w:r>
      <w:r w:rsidR="00C25407">
        <w:rPr>
          <w:rStyle w:val="FootnoteReference"/>
        </w:rPr>
        <w:footnoteReference w:id="51"/>
      </w:r>
      <w:r>
        <w:t xml:space="preserve">  </w:t>
      </w:r>
      <w:r w:rsidR="008F6B67">
        <w:t xml:space="preserve">Increasing market transactions between CAISO and the Company is irrelevant to intra-regional benefits since they are unaffected by the transfer capability between CAISO and the Company. </w:t>
      </w:r>
      <w:r w:rsidR="00515A95">
        <w:t xml:space="preserve"> </w:t>
      </w:r>
      <w:r>
        <w:t xml:space="preserve">Initially, the Company only anticipates EIM interchange at COB, so it is unclear why </w:t>
      </w:r>
      <w:r w:rsidR="00005ACA">
        <w:t>Boise</w:t>
      </w:r>
      <w:r>
        <w:t xml:space="preserve"> expects the EIM to create opportunities for additional bilateral transactions at other market hubs.  While NV Energy has expressed interest in joining the EIM, no other parties have made commitments to join and it is unlikely another party could enter the EIM </w:t>
      </w:r>
      <w:r w:rsidR="00F236A6">
        <w:t>before</w:t>
      </w:r>
      <w:r>
        <w:t xml:space="preserve"> the </w:t>
      </w:r>
      <w:r w:rsidR="00F236A6">
        <w:t xml:space="preserve">end of </w:t>
      </w:r>
      <w:r>
        <w:t xml:space="preserve">the </w:t>
      </w:r>
      <w:r w:rsidR="00F236A6">
        <w:t>pro forma</w:t>
      </w:r>
      <w:r>
        <w:t xml:space="preserve"> period in this proceeding.  Even if an additional party join</w:t>
      </w:r>
      <w:r w:rsidR="009B2F5B">
        <w:t>s</w:t>
      </w:r>
      <w:r>
        <w:t xml:space="preserve"> the EIM, the Company would receive inter-regional dispatch benefits as a result of additional transaction opportunities, not intra-regional dispatch benefits.</w:t>
      </w:r>
    </w:p>
    <w:p w:rsidR="00363CE2" w:rsidRPr="00B56E69" w:rsidRDefault="00363CE2" w:rsidP="00573168">
      <w:pPr>
        <w:pStyle w:val="BodyTextIndent2"/>
        <w:widowControl w:val="0"/>
        <w:tabs>
          <w:tab w:val="clear" w:pos="720"/>
        </w:tabs>
        <w:rPr>
          <w:b/>
        </w:rPr>
      </w:pPr>
      <w:r w:rsidRPr="00B56E69">
        <w:rPr>
          <w:b/>
        </w:rPr>
        <w:t>Q.</w:t>
      </w:r>
      <w:r w:rsidRPr="00B56E69">
        <w:rPr>
          <w:b/>
        </w:rPr>
        <w:tab/>
        <w:t>Please summarize your position regarding the intra-regional dispatch adjustment.</w:t>
      </w:r>
    </w:p>
    <w:p w:rsidR="00363CE2" w:rsidRDefault="00363CE2" w:rsidP="00573168">
      <w:pPr>
        <w:pStyle w:val="BodyTextIndent2"/>
        <w:widowControl w:val="0"/>
        <w:tabs>
          <w:tab w:val="clear" w:pos="720"/>
        </w:tabs>
      </w:pPr>
      <w:r>
        <w:t>A.</w:t>
      </w:r>
      <w:r>
        <w:tab/>
        <w:t>Boise’s</w:t>
      </w:r>
      <w:r w:rsidRPr="009E3492">
        <w:t xml:space="preserve"> </w:t>
      </w:r>
      <w:r>
        <w:t xml:space="preserve">intra-regional dispatch adjustment has little relation to the cost savings by the same name calculated in the E3 </w:t>
      </w:r>
      <w:r w:rsidR="004D6176">
        <w:t>Report</w:t>
      </w:r>
      <w:r>
        <w:t xml:space="preserve">.  The E3 </w:t>
      </w:r>
      <w:r w:rsidR="004D6176">
        <w:t>Report</w:t>
      </w:r>
      <w:r>
        <w:t xml:space="preserve"> found fuel cost savings as a result of using more efficient generators and accounting for transmission constraints in the decision to start up a resource, both of which are already accounted for in the Company’s </w:t>
      </w:r>
      <w:r w:rsidR="009B2F5B">
        <w:t>pro forma NPC</w:t>
      </w:r>
      <w:r>
        <w:t xml:space="preserve">.  Boise found cost savings by allowing for unlimited market transactions up to transmission limits, which better describes the inter-regional dispatch adjustment described above.  Boise presents no evidence that unlimited market transactions are reasonable, double-counts the benefits of increased market transactions, and provides no evidence that the Company’s forecasted intra-regional dispatch costs are overstated, either with or without EIM.  For those reasons </w:t>
      </w:r>
      <w:r w:rsidR="00F236A6">
        <w:t>Boise’s</w:t>
      </w:r>
      <w:r>
        <w:t xml:space="preserve"> adjustment should be rejected.</w:t>
      </w:r>
    </w:p>
    <w:p w:rsidR="00363CE2" w:rsidRPr="00573168" w:rsidRDefault="00B30140" w:rsidP="00573168">
      <w:pPr>
        <w:pStyle w:val="Heading2"/>
        <w:rPr>
          <w:bCs/>
          <w:i/>
          <w:iCs/>
        </w:rPr>
      </w:pPr>
      <w:bookmarkStart w:id="16" w:name="_Toc403714291"/>
      <w:r w:rsidRPr="00573168">
        <w:rPr>
          <w:bCs/>
          <w:i/>
          <w:iCs/>
        </w:rPr>
        <w:t xml:space="preserve">Objections to Imputing Benefits for EIM </w:t>
      </w:r>
      <w:r w:rsidR="00363CE2" w:rsidRPr="00573168">
        <w:rPr>
          <w:bCs/>
          <w:i/>
          <w:iCs/>
        </w:rPr>
        <w:t>Reserve Diversity</w:t>
      </w:r>
      <w:bookmarkEnd w:id="16"/>
      <w:r w:rsidR="00363CE2" w:rsidRPr="00573168">
        <w:rPr>
          <w:bCs/>
          <w:i/>
          <w:iCs/>
        </w:rPr>
        <w:t xml:space="preserve"> </w:t>
      </w:r>
    </w:p>
    <w:p w:rsidR="00363CE2" w:rsidRDefault="00363CE2" w:rsidP="00363CE2">
      <w:pPr>
        <w:spacing w:line="480" w:lineRule="auto"/>
        <w:ind w:left="720" w:hanging="720"/>
        <w:rPr>
          <w:b/>
          <w:sz w:val="24"/>
        </w:rPr>
      </w:pPr>
      <w:r>
        <w:rPr>
          <w:b/>
          <w:sz w:val="24"/>
        </w:rPr>
        <w:t>Q.</w:t>
      </w:r>
      <w:r>
        <w:tab/>
      </w:r>
      <w:r>
        <w:rPr>
          <w:b/>
          <w:sz w:val="24"/>
        </w:rPr>
        <w:t>What are the benefits of flexible reserve diversity as contemplated in the EIM?</w:t>
      </w:r>
    </w:p>
    <w:p w:rsidR="00363CE2" w:rsidRDefault="00363CE2" w:rsidP="00363CE2">
      <w:pPr>
        <w:spacing w:line="480" w:lineRule="auto"/>
        <w:ind w:left="720" w:hanging="720"/>
        <w:rPr>
          <w:sz w:val="24"/>
        </w:rPr>
      </w:pPr>
      <w:r>
        <w:rPr>
          <w:sz w:val="24"/>
        </w:rPr>
        <w:t>A.</w:t>
      </w:r>
      <w:r>
        <w:tab/>
      </w:r>
      <w:r>
        <w:rPr>
          <w:sz w:val="24"/>
        </w:rPr>
        <w:t>Flexibility reserve benefits reflect the benefit of reduced flexibility reserve requirements over the combined EIM footprint.  Like inter-regional benefits, flexibility reserve benefits are highly dependent upon transfer capability between the CAISO and PacifiCorp.</w:t>
      </w:r>
    </w:p>
    <w:p w:rsidR="00363CE2" w:rsidRDefault="00363CE2" w:rsidP="009539FD">
      <w:pPr>
        <w:spacing w:line="480" w:lineRule="auto"/>
        <w:ind w:left="720" w:hanging="720"/>
        <w:rPr>
          <w:b/>
          <w:sz w:val="24"/>
        </w:rPr>
      </w:pPr>
      <w:r>
        <w:rPr>
          <w:b/>
          <w:sz w:val="24"/>
        </w:rPr>
        <w:t>Q.</w:t>
      </w:r>
      <w:r>
        <w:tab/>
      </w:r>
      <w:r>
        <w:rPr>
          <w:b/>
          <w:sz w:val="24"/>
        </w:rPr>
        <w:t xml:space="preserve">How is the flexibility reserve diversity benefit allocated in the E3 </w:t>
      </w:r>
      <w:r w:rsidR="004D6176">
        <w:rPr>
          <w:b/>
          <w:sz w:val="24"/>
        </w:rPr>
        <w:t>Report</w:t>
      </w:r>
      <w:r>
        <w:rPr>
          <w:b/>
          <w:sz w:val="24"/>
        </w:rPr>
        <w:t>?</w:t>
      </w:r>
    </w:p>
    <w:p w:rsidR="00363CE2" w:rsidRDefault="00363CE2" w:rsidP="00363CE2">
      <w:pPr>
        <w:spacing w:line="480" w:lineRule="auto"/>
        <w:ind w:left="720" w:hanging="720"/>
        <w:rPr>
          <w:sz w:val="24"/>
        </w:rPr>
      </w:pPr>
      <w:r>
        <w:rPr>
          <w:sz w:val="24"/>
        </w:rPr>
        <w:t>A.</w:t>
      </w:r>
      <w:r>
        <w:tab/>
      </w:r>
      <w:r>
        <w:rPr>
          <w:sz w:val="24"/>
        </w:rPr>
        <w:t>The Company’s share of the flexibility reserve diversity benefit is allocated based on the ratio of the Company’s stand</w:t>
      </w:r>
      <w:r w:rsidR="00F236A6">
        <w:rPr>
          <w:sz w:val="24"/>
        </w:rPr>
        <w:t>-</w:t>
      </w:r>
      <w:r>
        <w:rPr>
          <w:sz w:val="24"/>
        </w:rPr>
        <w:t xml:space="preserve">alone reserve requirement to the </w:t>
      </w:r>
      <w:r w:rsidR="006F6BBE">
        <w:rPr>
          <w:sz w:val="24"/>
        </w:rPr>
        <w:t xml:space="preserve">total </w:t>
      </w:r>
      <w:r>
        <w:rPr>
          <w:sz w:val="24"/>
        </w:rPr>
        <w:t>reserve requirement of the Company and</w:t>
      </w:r>
      <w:r w:rsidR="006F0746">
        <w:rPr>
          <w:sz w:val="24"/>
        </w:rPr>
        <w:t xml:space="preserve"> the</w:t>
      </w:r>
      <w:r>
        <w:rPr>
          <w:sz w:val="24"/>
        </w:rPr>
        <w:t xml:space="preserve"> CAISO</w:t>
      </w:r>
      <w:r w:rsidR="006F6BBE">
        <w:rPr>
          <w:sz w:val="24"/>
        </w:rPr>
        <w:t xml:space="preserve"> </w:t>
      </w:r>
      <w:r w:rsidR="00F236A6">
        <w:rPr>
          <w:sz w:val="24"/>
        </w:rPr>
        <w:t>without</w:t>
      </w:r>
      <w:r w:rsidR="006F6BBE">
        <w:rPr>
          <w:sz w:val="24"/>
        </w:rPr>
        <w:t xml:space="preserve"> the EIM</w:t>
      </w:r>
      <w:r>
        <w:rPr>
          <w:sz w:val="24"/>
        </w:rPr>
        <w:t>.</w:t>
      </w:r>
    </w:p>
    <w:p w:rsidR="00363CE2" w:rsidRDefault="00363CE2" w:rsidP="00363CE2">
      <w:pPr>
        <w:spacing w:line="480" w:lineRule="auto"/>
        <w:ind w:left="720" w:hanging="720"/>
        <w:rPr>
          <w:b/>
          <w:sz w:val="24"/>
        </w:rPr>
      </w:pPr>
      <w:r>
        <w:rPr>
          <w:b/>
          <w:sz w:val="24"/>
        </w:rPr>
        <w:t>Q.</w:t>
      </w:r>
      <w:r>
        <w:tab/>
      </w:r>
      <w:r>
        <w:rPr>
          <w:b/>
          <w:sz w:val="24"/>
        </w:rPr>
        <w:t xml:space="preserve">How much flexibility reserve diversity benefit did the E3 </w:t>
      </w:r>
      <w:r w:rsidR="004D6176">
        <w:rPr>
          <w:b/>
          <w:sz w:val="24"/>
        </w:rPr>
        <w:t>Report</w:t>
      </w:r>
      <w:r>
        <w:rPr>
          <w:b/>
          <w:sz w:val="24"/>
        </w:rPr>
        <w:t xml:space="preserve"> predict?</w:t>
      </w:r>
    </w:p>
    <w:p w:rsidR="00363CE2" w:rsidRDefault="00363CE2" w:rsidP="00363CE2">
      <w:pPr>
        <w:spacing w:line="480" w:lineRule="auto"/>
        <w:ind w:left="720" w:hanging="720"/>
        <w:rPr>
          <w:sz w:val="24"/>
        </w:rPr>
      </w:pPr>
      <w:r>
        <w:rPr>
          <w:sz w:val="24"/>
        </w:rPr>
        <w:t>A.</w:t>
      </w:r>
      <w:r>
        <w:tab/>
      </w:r>
      <w:r>
        <w:rPr>
          <w:sz w:val="24"/>
        </w:rPr>
        <w:t xml:space="preserve">According to the E3 </w:t>
      </w:r>
      <w:r w:rsidR="004D6176">
        <w:rPr>
          <w:sz w:val="24"/>
        </w:rPr>
        <w:t>Report</w:t>
      </w:r>
      <w:r>
        <w:rPr>
          <w:sz w:val="24"/>
        </w:rPr>
        <w:t xml:space="preserve">, PacifiCorp’s flexibility reserve requirements will be reduced by 19 MW under the 100 MW transfer capability scenario, and by 78 MW under the 400 MW transfer capability scenario.  These values reflected the E3 </w:t>
      </w:r>
      <w:r w:rsidR="004D6176">
        <w:rPr>
          <w:sz w:val="24"/>
        </w:rPr>
        <w:t>Report</w:t>
      </w:r>
      <w:r>
        <w:rPr>
          <w:sz w:val="24"/>
        </w:rPr>
        <w:t xml:space="preserve"> assumption that only 80</w:t>
      </w:r>
      <w:r w:rsidR="00FB7775">
        <w:rPr>
          <w:sz w:val="24"/>
        </w:rPr>
        <w:t xml:space="preserve"> percent</w:t>
      </w:r>
      <w:r>
        <w:rPr>
          <w:sz w:val="24"/>
        </w:rPr>
        <w:t xml:space="preserve"> of the theoretical reserve savings could be achieved given the</w:t>
      </w:r>
      <w:r w:rsidR="00F236A6">
        <w:rPr>
          <w:sz w:val="24"/>
        </w:rPr>
        <w:t xml:space="preserve"> five</w:t>
      </w:r>
      <w:r>
        <w:rPr>
          <w:sz w:val="24"/>
        </w:rPr>
        <w:t>-minute granularity of the EIM market.  Reserves needed over shorter time frames would have to be provided with internal resources.</w:t>
      </w:r>
    </w:p>
    <w:p w:rsidR="009C50D9" w:rsidRDefault="00A8668B" w:rsidP="009C50D9">
      <w:pPr>
        <w:widowControl w:val="0"/>
        <w:spacing w:line="480" w:lineRule="auto"/>
        <w:ind w:left="720" w:hanging="720"/>
        <w:rPr>
          <w:b/>
          <w:sz w:val="24"/>
        </w:rPr>
      </w:pPr>
      <w:r>
        <w:rPr>
          <w:b/>
          <w:sz w:val="24"/>
        </w:rPr>
        <w:t>Q.</w:t>
      </w:r>
      <w:r>
        <w:rPr>
          <w:b/>
          <w:sz w:val="24"/>
        </w:rPr>
        <w:tab/>
      </w:r>
      <w:r w:rsidR="00363CE2">
        <w:rPr>
          <w:b/>
          <w:sz w:val="24"/>
        </w:rPr>
        <w:t xml:space="preserve">Are </w:t>
      </w:r>
      <w:r w:rsidR="00363CE2" w:rsidRPr="00B56E69">
        <w:rPr>
          <w:b/>
          <w:sz w:val="24"/>
        </w:rPr>
        <w:t>flexibility reserve diversity benefit</w:t>
      </w:r>
      <w:r w:rsidR="00363CE2">
        <w:rPr>
          <w:b/>
          <w:sz w:val="24"/>
        </w:rPr>
        <w:t>s</w:t>
      </w:r>
      <w:r w:rsidR="00363CE2" w:rsidRPr="00B56E69">
        <w:rPr>
          <w:b/>
          <w:sz w:val="24"/>
        </w:rPr>
        <w:t xml:space="preserve"> currently expected to be lower than predicted in the E3 </w:t>
      </w:r>
      <w:r w:rsidR="004D4853">
        <w:rPr>
          <w:b/>
          <w:sz w:val="24"/>
        </w:rPr>
        <w:t>Report</w:t>
      </w:r>
      <w:r w:rsidR="00363CE2" w:rsidRPr="00B56E69">
        <w:rPr>
          <w:b/>
          <w:sz w:val="24"/>
        </w:rPr>
        <w:t>?</w:t>
      </w:r>
    </w:p>
    <w:p w:rsidR="00363CE2" w:rsidRDefault="00363CE2" w:rsidP="00F236A6">
      <w:pPr>
        <w:widowControl w:val="0"/>
        <w:spacing w:line="480" w:lineRule="auto"/>
        <w:ind w:left="720" w:hanging="720"/>
        <w:rPr>
          <w:sz w:val="24"/>
        </w:rPr>
      </w:pPr>
      <w:r>
        <w:rPr>
          <w:sz w:val="24"/>
        </w:rPr>
        <w:t>A.</w:t>
      </w:r>
      <w:r>
        <w:rPr>
          <w:sz w:val="24"/>
        </w:rPr>
        <w:tab/>
        <w:t>Yes.  At present, most of the Company’s EIM tr</w:t>
      </w:r>
      <w:r w:rsidR="009C50D9">
        <w:rPr>
          <w:sz w:val="24"/>
        </w:rPr>
        <w:t>ansfer rights only allow for 15-</w:t>
      </w:r>
      <w:r>
        <w:rPr>
          <w:sz w:val="24"/>
        </w:rPr>
        <w:t xml:space="preserve">minute static transfers, so the reserve diversity savings will be lower than with </w:t>
      </w:r>
      <w:r w:rsidR="009C50D9">
        <w:rPr>
          <w:sz w:val="24"/>
        </w:rPr>
        <w:t>five</w:t>
      </w:r>
      <w:r>
        <w:rPr>
          <w:sz w:val="24"/>
        </w:rPr>
        <w:t xml:space="preserve">-minute transfers </w:t>
      </w:r>
      <w:r w:rsidR="00F236A6">
        <w:rPr>
          <w:sz w:val="24"/>
        </w:rPr>
        <w:t>that</w:t>
      </w:r>
      <w:r>
        <w:rPr>
          <w:sz w:val="24"/>
        </w:rPr>
        <w:t xml:space="preserve"> form the basis of the E3 estimate.</w:t>
      </w:r>
    </w:p>
    <w:p w:rsidR="00363CE2" w:rsidRPr="00B56E69" w:rsidRDefault="00363CE2" w:rsidP="00363CE2">
      <w:pPr>
        <w:spacing w:line="480" w:lineRule="auto"/>
        <w:ind w:left="720" w:hanging="720"/>
        <w:rPr>
          <w:b/>
          <w:sz w:val="24"/>
        </w:rPr>
      </w:pPr>
      <w:r w:rsidRPr="00B56E69">
        <w:rPr>
          <w:b/>
          <w:sz w:val="24"/>
        </w:rPr>
        <w:t>Q.</w:t>
      </w:r>
      <w:r w:rsidRPr="00B56E69">
        <w:rPr>
          <w:b/>
          <w:sz w:val="24"/>
        </w:rPr>
        <w:tab/>
        <w:t>How much flexibility reserve savings does Boise predict</w:t>
      </w:r>
      <w:r>
        <w:rPr>
          <w:b/>
          <w:sz w:val="24"/>
        </w:rPr>
        <w:t xml:space="preserve"> for the </w:t>
      </w:r>
      <w:r w:rsidR="00F236A6">
        <w:rPr>
          <w:b/>
          <w:sz w:val="24"/>
        </w:rPr>
        <w:t>west control area</w:t>
      </w:r>
      <w:r w:rsidRPr="00B56E69">
        <w:rPr>
          <w:b/>
          <w:sz w:val="24"/>
        </w:rPr>
        <w:t>?</w:t>
      </w:r>
    </w:p>
    <w:p w:rsidR="00363CE2" w:rsidRDefault="00363CE2" w:rsidP="00363CE2">
      <w:pPr>
        <w:spacing w:line="480" w:lineRule="auto"/>
        <w:ind w:left="720" w:hanging="720"/>
        <w:rPr>
          <w:sz w:val="24"/>
        </w:rPr>
      </w:pPr>
      <w:r>
        <w:rPr>
          <w:sz w:val="24"/>
        </w:rPr>
        <w:t>A.</w:t>
      </w:r>
      <w:r>
        <w:rPr>
          <w:sz w:val="24"/>
        </w:rPr>
        <w:tab/>
        <w:t>Boise assumed that 100</w:t>
      </w:r>
      <w:r w:rsidR="00AF476A">
        <w:rPr>
          <w:sz w:val="24"/>
        </w:rPr>
        <w:t xml:space="preserve"> percent</w:t>
      </w:r>
      <w:r>
        <w:rPr>
          <w:sz w:val="24"/>
        </w:rPr>
        <w:t xml:space="preserve"> of the theoretical reserve savings would be achieved and allocated these benefits to the </w:t>
      </w:r>
      <w:r w:rsidR="00F236A6">
        <w:rPr>
          <w:sz w:val="24"/>
        </w:rPr>
        <w:t>west control area</w:t>
      </w:r>
      <w:r>
        <w:rPr>
          <w:sz w:val="24"/>
        </w:rPr>
        <w:t xml:space="preserve"> based on the ratio of </w:t>
      </w:r>
      <w:r w:rsidR="00F236A6">
        <w:rPr>
          <w:sz w:val="24"/>
        </w:rPr>
        <w:t>west control area</w:t>
      </w:r>
      <w:r>
        <w:rPr>
          <w:sz w:val="24"/>
        </w:rPr>
        <w:t xml:space="preserve"> load to system load.</w:t>
      </w:r>
      <w:r w:rsidR="003D1C74">
        <w:rPr>
          <w:rStyle w:val="FootnoteReference"/>
          <w:sz w:val="24"/>
        </w:rPr>
        <w:footnoteReference w:id="52"/>
      </w:r>
    </w:p>
    <w:p w:rsidR="00363CE2" w:rsidRPr="00F55A6F" w:rsidRDefault="00363CE2" w:rsidP="00363CE2">
      <w:pPr>
        <w:pStyle w:val="BodyTextIndent2"/>
        <w:tabs>
          <w:tab w:val="clear" w:pos="720"/>
        </w:tabs>
        <w:rPr>
          <w:b/>
        </w:rPr>
      </w:pPr>
      <w:r w:rsidRPr="00F55A6F">
        <w:rPr>
          <w:b/>
        </w:rPr>
        <w:t>Q.</w:t>
      </w:r>
      <w:r w:rsidRPr="00F55A6F">
        <w:rPr>
          <w:b/>
        </w:rPr>
        <w:tab/>
        <w:t xml:space="preserve">Is it appropriate to allocate flexible reserve benefits to the </w:t>
      </w:r>
      <w:r w:rsidR="00F236A6">
        <w:rPr>
          <w:b/>
        </w:rPr>
        <w:t>west control area</w:t>
      </w:r>
      <w:r w:rsidRPr="00F55A6F">
        <w:rPr>
          <w:b/>
        </w:rPr>
        <w:t xml:space="preserve"> based on load?</w:t>
      </w:r>
    </w:p>
    <w:p w:rsidR="00363CE2" w:rsidRDefault="00363CE2" w:rsidP="00363CE2">
      <w:pPr>
        <w:pStyle w:val="BodyTextIndent2"/>
        <w:tabs>
          <w:tab w:val="clear" w:pos="720"/>
        </w:tabs>
      </w:pPr>
      <w:r>
        <w:t>A.</w:t>
      </w:r>
      <w:r>
        <w:tab/>
        <w:t xml:space="preserve">No.  This overstates the total reserve savings and overstates the savings </w:t>
      </w:r>
      <w:r w:rsidR="00F236A6">
        <w:t>that</w:t>
      </w:r>
      <w:r>
        <w:t xml:space="preserve"> w</w:t>
      </w:r>
      <w:r w:rsidR="00F236A6">
        <w:t xml:space="preserve">ill </w:t>
      </w:r>
      <w:r>
        <w:t xml:space="preserve">be allocated to the </w:t>
      </w:r>
      <w:r w:rsidR="00F236A6">
        <w:t>west control area</w:t>
      </w:r>
      <w:r>
        <w:t xml:space="preserve">.  The E3 </w:t>
      </w:r>
      <w:r w:rsidR="004D4853">
        <w:t>Report</w:t>
      </w:r>
      <w:r>
        <w:t xml:space="preserve"> and CAISO EIM business practice allocate the flexibility reserve benefit based on the reserve need under indep</w:t>
      </w:r>
      <w:r w:rsidR="00F236A6">
        <w:t>endent operation.  Because the e</w:t>
      </w:r>
      <w:r>
        <w:t xml:space="preserve">ast </w:t>
      </w:r>
      <w:r w:rsidR="00F236A6">
        <w:t>c</w:t>
      </w:r>
      <w:r>
        <w:t xml:space="preserve">ontrol </w:t>
      </w:r>
      <w:r w:rsidR="00F236A6">
        <w:t>a</w:t>
      </w:r>
      <w:r>
        <w:t>rea has more wind resources, it has a relatively larger share of the flexibility reserve requirement and would be allocated a larger share of the flexibility reserve benefit.</w:t>
      </w:r>
    </w:p>
    <w:p w:rsidR="00363CE2" w:rsidRPr="00573168" w:rsidRDefault="00B30140" w:rsidP="00573168">
      <w:pPr>
        <w:pStyle w:val="Heading2"/>
        <w:rPr>
          <w:bCs/>
          <w:i/>
          <w:iCs/>
        </w:rPr>
      </w:pPr>
      <w:bookmarkStart w:id="17" w:name="_Toc403714292"/>
      <w:r w:rsidRPr="00573168">
        <w:rPr>
          <w:bCs/>
          <w:i/>
          <w:iCs/>
        </w:rPr>
        <w:t xml:space="preserve">Objections to Imputing Benefits for </w:t>
      </w:r>
      <w:r w:rsidR="00363CE2" w:rsidRPr="00573168">
        <w:rPr>
          <w:bCs/>
          <w:i/>
          <w:iCs/>
        </w:rPr>
        <w:t>Within-Hour Dispatch</w:t>
      </w:r>
      <w:bookmarkEnd w:id="17"/>
    </w:p>
    <w:p w:rsidR="00363CE2" w:rsidRDefault="00363CE2" w:rsidP="00090C26">
      <w:pPr>
        <w:keepNext/>
        <w:spacing w:line="480" w:lineRule="auto"/>
        <w:ind w:left="720" w:hanging="720"/>
        <w:rPr>
          <w:b/>
          <w:sz w:val="24"/>
        </w:rPr>
      </w:pPr>
      <w:r>
        <w:rPr>
          <w:b/>
          <w:sz w:val="24"/>
        </w:rPr>
        <w:t>Q.</w:t>
      </w:r>
      <w:r>
        <w:tab/>
      </w:r>
      <w:r>
        <w:rPr>
          <w:b/>
          <w:sz w:val="24"/>
        </w:rPr>
        <w:t>Please describe Boise’s within-hour dispatch benefit adjustment.</w:t>
      </w:r>
    </w:p>
    <w:p w:rsidR="00363CE2" w:rsidRDefault="00363CE2" w:rsidP="00363CE2">
      <w:pPr>
        <w:spacing w:line="480" w:lineRule="auto"/>
        <w:ind w:left="720" w:hanging="720"/>
        <w:rPr>
          <w:sz w:val="24"/>
        </w:rPr>
      </w:pPr>
      <w:r>
        <w:rPr>
          <w:sz w:val="24"/>
        </w:rPr>
        <w:t>A.</w:t>
      </w:r>
      <w:r>
        <w:tab/>
      </w:r>
      <w:r>
        <w:rPr>
          <w:sz w:val="24"/>
        </w:rPr>
        <w:t xml:space="preserve">Boise reduces the regulating reserves in the </w:t>
      </w:r>
      <w:r w:rsidR="00090C26">
        <w:rPr>
          <w:sz w:val="24"/>
        </w:rPr>
        <w:t>pro forma</w:t>
      </w:r>
      <w:r>
        <w:rPr>
          <w:sz w:val="24"/>
        </w:rPr>
        <w:t xml:space="preserve"> period to the 30-minute level projected in the Company’s 2012 Wind Integration Study (Wind Study).</w:t>
      </w:r>
      <w:r w:rsidR="00624FA2">
        <w:rPr>
          <w:rStyle w:val="FootnoteReference"/>
          <w:sz w:val="24"/>
        </w:rPr>
        <w:footnoteReference w:id="53"/>
      </w:r>
      <w:r>
        <w:rPr>
          <w:sz w:val="24"/>
        </w:rPr>
        <w:t xml:space="preserve">  This red</w:t>
      </w:r>
      <w:r w:rsidR="00090C26">
        <w:rPr>
          <w:sz w:val="24"/>
        </w:rPr>
        <w:t>uces the reserves held for the west control area</w:t>
      </w:r>
      <w:r>
        <w:rPr>
          <w:sz w:val="24"/>
        </w:rPr>
        <w:t xml:space="preserve"> by 30 percent, or </w:t>
      </w:r>
      <w:r w:rsidR="00356307">
        <w:rPr>
          <w:sz w:val="24"/>
        </w:rPr>
        <w:t>53</w:t>
      </w:r>
      <w:r>
        <w:rPr>
          <w:sz w:val="24"/>
        </w:rPr>
        <w:t xml:space="preserve"> MW. </w:t>
      </w:r>
      <w:r w:rsidR="00AF476A">
        <w:rPr>
          <w:sz w:val="24"/>
        </w:rPr>
        <w:t xml:space="preserve"> </w:t>
      </w:r>
      <w:r w:rsidR="00005ACA">
        <w:rPr>
          <w:sz w:val="24"/>
        </w:rPr>
        <w:t>Boise</w:t>
      </w:r>
      <w:r>
        <w:rPr>
          <w:sz w:val="24"/>
        </w:rPr>
        <w:t xml:space="preserve"> claims this to be the within-hour dispatch benefit adjustment.</w:t>
      </w:r>
    </w:p>
    <w:p w:rsidR="004F63AD" w:rsidRPr="006433B6" w:rsidRDefault="004F63AD" w:rsidP="00363CE2">
      <w:pPr>
        <w:spacing w:line="480" w:lineRule="auto"/>
        <w:ind w:left="720" w:hanging="720"/>
        <w:rPr>
          <w:b/>
          <w:sz w:val="24"/>
        </w:rPr>
      </w:pPr>
      <w:r w:rsidRPr="006433B6">
        <w:rPr>
          <w:b/>
          <w:sz w:val="24"/>
        </w:rPr>
        <w:t>Q.</w:t>
      </w:r>
      <w:r w:rsidRPr="006433B6">
        <w:rPr>
          <w:b/>
          <w:sz w:val="24"/>
        </w:rPr>
        <w:tab/>
      </w:r>
      <w:r w:rsidR="0078413A">
        <w:rPr>
          <w:b/>
          <w:sz w:val="24"/>
        </w:rPr>
        <w:t>First, p</w:t>
      </w:r>
      <w:r w:rsidRPr="006433B6">
        <w:rPr>
          <w:b/>
          <w:sz w:val="24"/>
        </w:rPr>
        <w:t xml:space="preserve">lease describe the basic calculation errors </w:t>
      </w:r>
      <w:r w:rsidR="00356307" w:rsidRPr="006433B6">
        <w:rPr>
          <w:b/>
          <w:sz w:val="24"/>
        </w:rPr>
        <w:t>in Boise’s adjustment.</w:t>
      </w:r>
    </w:p>
    <w:p w:rsidR="00356307" w:rsidRDefault="009539FD" w:rsidP="00363CE2">
      <w:pPr>
        <w:spacing w:line="480" w:lineRule="auto"/>
        <w:ind w:left="720" w:hanging="720"/>
        <w:rPr>
          <w:sz w:val="24"/>
        </w:rPr>
      </w:pPr>
      <w:r>
        <w:rPr>
          <w:sz w:val="24"/>
        </w:rPr>
        <w:t>A.</w:t>
      </w:r>
      <w:r>
        <w:rPr>
          <w:sz w:val="24"/>
        </w:rPr>
        <w:tab/>
      </w:r>
      <w:r w:rsidR="00356307">
        <w:rPr>
          <w:sz w:val="24"/>
        </w:rPr>
        <w:t>Boise’s calculation removes a portion of the frequency response reserves associated with WECC standard BAL-003-1.  These reserves cover frequency variation, rather than energy imbalance, and thus will not be impacted by a shorter balancing interval.  Boise’s calculation also overstates the reserve savings by double-counting the March reserve requirement, which is the highest of any month.</w:t>
      </w:r>
      <w:r w:rsidR="0078413A">
        <w:rPr>
          <w:sz w:val="24"/>
        </w:rPr>
        <w:t xml:space="preserve">  </w:t>
      </w:r>
    </w:p>
    <w:p w:rsidR="00363CE2" w:rsidRDefault="00363CE2" w:rsidP="00363CE2">
      <w:pPr>
        <w:spacing w:line="480" w:lineRule="auto"/>
        <w:ind w:left="720" w:hanging="720"/>
        <w:rPr>
          <w:b/>
          <w:sz w:val="24"/>
        </w:rPr>
      </w:pPr>
      <w:r>
        <w:rPr>
          <w:b/>
          <w:sz w:val="24"/>
        </w:rPr>
        <w:t>Q.</w:t>
      </w:r>
      <w:r>
        <w:tab/>
      </w:r>
      <w:r w:rsidR="00AF476A">
        <w:rPr>
          <w:b/>
          <w:sz w:val="24"/>
        </w:rPr>
        <w:t xml:space="preserve">Please explain the </w:t>
      </w:r>
      <w:r w:rsidR="009539FD">
        <w:rPr>
          <w:b/>
          <w:sz w:val="24"/>
        </w:rPr>
        <w:t xml:space="preserve">additional </w:t>
      </w:r>
      <w:r w:rsidR="00AF476A">
        <w:rPr>
          <w:b/>
          <w:sz w:val="24"/>
        </w:rPr>
        <w:t xml:space="preserve">problem </w:t>
      </w:r>
      <w:r w:rsidR="009539FD">
        <w:rPr>
          <w:b/>
          <w:sz w:val="24"/>
        </w:rPr>
        <w:t>with</w:t>
      </w:r>
      <w:r w:rsidR="00AF476A">
        <w:rPr>
          <w:b/>
          <w:sz w:val="24"/>
        </w:rPr>
        <w:t xml:space="preserve"> </w:t>
      </w:r>
      <w:r w:rsidR="00005ACA">
        <w:rPr>
          <w:b/>
          <w:sz w:val="24"/>
        </w:rPr>
        <w:t>Boise’s</w:t>
      </w:r>
      <w:r>
        <w:rPr>
          <w:b/>
          <w:sz w:val="24"/>
        </w:rPr>
        <w:t xml:space="preserve"> proposed adjustment</w:t>
      </w:r>
      <w:r w:rsidR="00AF476A">
        <w:rPr>
          <w:b/>
          <w:sz w:val="24"/>
        </w:rPr>
        <w:t>.</w:t>
      </w:r>
    </w:p>
    <w:p w:rsidR="00363CE2" w:rsidRDefault="00363CE2" w:rsidP="00363CE2">
      <w:pPr>
        <w:spacing w:line="480" w:lineRule="auto"/>
        <w:ind w:left="720" w:hanging="720"/>
        <w:rPr>
          <w:sz w:val="24"/>
        </w:rPr>
      </w:pPr>
      <w:r>
        <w:rPr>
          <w:sz w:val="24"/>
        </w:rPr>
        <w:t>A.</w:t>
      </w:r>
      <w:r>
        <w:tab/>
      </w:r>
      <w:r w:rsidR="00005ACA">
        <w:rPr>
          <w:sz w:val="24"/>
        </w:rPr>
        <w:t>Boise’s</w:t>
      </w:r>
      <w:r>
        <w:rPr>
          <w:sz w:val="24"/>
        </w:rPr>
        <w:t xml:space="preserve"> proposed within-hour dispatch benefit adjustment is fatally flawed because it </w:t>
      </w:r>
      <w:r w:rsidR="00DF5C01">
        <w:rPr>
          <w:sz w:val="24"/>
        </w:rPr>
        <w:t>repeatedly</w:t>
      </w:r>
      <w:r w:rsidR="00AF476A">
        <w:rPr>
          <w:sz w:val="24"/>
        </w:rPr>
        <w:t xml:space="preserve"> counts the same benefits</w:t>
      </w:r>
      <w:r w:rsidR="00FB7775">
        <w:rPr>
          <w:sz w:val="24"/>
        </w:rPr>
        <w:t xml:space="preserve"> that are already captured in the three categories previously described</w:t>
      </w:r>
      <w:r>
        <w:rPr>
          <w:sz w:val="24"/>
        </w:rPr>
        <w:t>.</w:t>
      </w:r>
    </w:p>
    <w:p w:rsidR="00363CE2" w:rsidRPr="00BE06AE" w:rsidRDefault="00005ACA" w:rsidP="00573168">
      <w:pPr>
        <w:numPr>
          <w:ilvl w:val="0"/>
          <w:numId w:val="38"/>
        </w:numPr>
        <w:spacing w:line="480" w:lineRule="auto"/>
        <w:ind w:left="1080"/>
      </w:pPr>
      <w:r>
        <w:rPr>
          <w:sz w:val="24"/>
        </w:rPr>
        <w:t>Boise</w:t>
      </w:r>
      <w:r w:rsidR="00363CE2">
        <w:rPr>
          <w:sz w:val="24"/>
        </w:rPr>
        <w:t>’</w:t>
      </w:r>
      <w:r>
        <w:rPr>
          <w:sz w:val="24"/>
        </w:rPr>
        <w:t>s</w:t>
      </w:r>
      <w:r w:rsidR="00363CE2">
        <w:rPr>
          <w:sz w:val="24"/>
        </w:rPr>
        <w:t xml:space="preserve"> within-hour dispatch adjustment is derived by using capacity held for reserves to make additional market transactions.  These are the same reserves addressed in the inter-regional dispatch and flexibility reserve adjustments also proposed by </w:t>
      </w:r>
      <w:r>
        <w:rPr>
          <w:sz w:val="24"/>
        </w:rPr>
        <w:t>Boise</w:t>
      </w:r>
      <w:r w:rsidR="00363CE2">
        <w:rPr>
          <w:sz w:val="24"/>
        </w:rPr>
        <w:t xml:space="preserve">.  By taking one result from the E3 </w:t>
      </w:r>
      <w:r w:rsidR="00E06E33">
        <w:rPr>
          <w:sz w:val="24"/>
        </w:rPr>
        <w:t>Report</w:t>
      </w:r>
      <w:r w:rsidR="00363CE2">
        <w:rPr>
          <w:sz w:val="24"/>
        </w:rPr>
        <w:t xml:space="preserve"> and a second result using the same components from GRID, </w:t>
      </w:r>
      <w:r>
        <w:rPr>
          <w:sz w:val="24"/>
        </w:rPr>
        <w:t>Boise</w:t>
      </w:r>
      <w:r w:rsidR="00363CE2">
        <w:rPr>
          <w:sz w:val="24"/>
        </w:rPr>
        <w:t xml:space="preserve"> has double-counted the associated benefits.</w:t>
      </w:r>
    </w:p>
    <w:p w:rsidR="0033685B" w:rsidRDefault="0033685B" w:rsidP="00207C6B">
      <w:pPr>
        <w:numPr>
          <w:ilvl w:val="0"/>
          <w:numId w:val="38"/>
        </w:numPr>
        <w:spacing w:line="480" w:lineRule="auto"/>
        <w:ind w:left="1080"/>
      </w:pPr>
      <w:r>
        <w:rPr>
          <w:sz w:val="24"/>
        </w:rPr>
        <w:t xml:space="preserve">The flexibility reserve savings in the E3 </w:t>
      </w:r>
      <w:r w:rsidR="00E06E33">
        <w:rPr>
          <w:sz w:val="24"/>
        </w:rPr>
        <w:t>Report</w:t>
      </w:r>
      <w:r>
        <w:rPr>
          <w:sz w:val="24"/>
        </w:rPr>
        <w:t xml:space="preserve"> are dependent on the level of reserves required.  If the Company’s reserve requirement were reduced, as proposed in Boise’s within-hour dispatch adjustment, the total flexibility reserve savings, and the Company’s share of those savings, would also be reduced.</w:t>
      </w:r>
    </w:p>
    <w:p w:rsidR="00363CE2" w:rsidRDefault="00DF5C01" w:rsidP="00207C6B">
      <w:pPr>
        <w:numPr>
          <w:ilvl w:val="0"/>
          <w:numId w:val="38"/>
        </w:numPr>
        <w:spacing w:line="480" w:lineRule="auto"/>
        <w:ind w:left="1080"/>
      </w:pPr>
      <w:r>
        <w:rPr>
          <w:sz w:val="24"/>
        </w:rPr>
        <w:t xml:space="preserve">The adjustment </w:t>
      </w:r>
      <w:r w:rsidR="00363CE2">
        <w:rPr>
          <w:sz w:val="24"/>
        </w:rPr>
        <w:t xml:space="preserve">double-counts </w:t>
      </w:r>
      <w:r w:rsidR="00BE06AE">
        <w:rPr>
          <w:sz w:val="24"/>
        </w:rPr>
        <w:t xml:space="preserve">benefits </w:t>
      </w:r>
      <w:r w:rsidR="00363CE2">
        <w:rPr>
          <w:sz w:val="24"/>
        </w:rPr>
        <w:t>because the intra-regional benefits are based on the operation of an hourly market compared to the operation of a five-minute market based on CAISO’s experience in 2009.</w:t>
      </w:r>
    </w:p>
    <w:p w:rsidR="00207C6B" w:rsidRDefault="00363CE2" w:rsidP="00207C6B">
      <w:pPr>
        <w:widowControl w:val="0"/>
        <w:spacing w:line="480" w:lineRule="auto"/>
        <w:ind w:left="720" w:hanging="720"/>
        <w:rPr>
          <w:b/>
          <w:sz w:val="24"/>
        </w:rPr>
      </w:pPr>
      <w:r w:rsidRPr="00DF5C01">
        <w:rPr>
          <w:b/>
          <w:sz w:val="24"/>
        </w:rPr>
        <w:t>Q.</w:t>
      </w:r>
      <w:r w:rsidRPr="00DF5C01">
        <w:rPr>
          <w:b/>
        </w:rPr>
        <w:tab/>
      </w:r>
      <w:r w:rsidR="00DF5C01" w:rsidRPr="00DF5C01">
        <w:rPr>
          <w:b/>
          <w:sz w:val="24"/>
        </w:rPr>
        <w:t>Are within-hour savings even applicable to GRID?</w:t>
      </w:r>
    </w:p>
    <w:p w:rsidR="00363CE2" w:rsidRDefault="00DF5C01" w:rsidP="009B2F5B">
      <w:pPr>
        <w:widowControl w:val="0"/>
        <w:spacing w:line="480" w:lineRule="auto"/>
        <w:ind w:left="720" w:hanging="720"/>
        <w:rPr>
          <w:sz w:val="24"/>
        </w:rPr>
      </w:pPr>
      <w:r w:rsidRPr="00DF5C01">
        <w:rPr>
          <w:sz w:val="24"/>
        </w:rPr>
        <w:t>A.</w:t>
      </w:r>
      <w:r w:rsidRPr="00DF5C01">
        <w:rPr>
          <w:sz w:val="24"/>
        </w:rPr>
        <w:tab/>
        <w:t xml:space="preserve">No.  </w:t>
      </w:r>
      <w:r>
        <w:rPr>
          <w:sz w:val="24"/>
        </w:rPr>
        <w:t>The GRID model does not incl</w:t>
      </w:r>
      <w:r w:rsidR="00D36732">
        <w:rPr>
          <w:sz w:val="24"/>
        </w:rPr>
        <w:t>ude the costs of within-hour re</w:t>
      </w:r>
      <w:r>
        <w:rPr>
          <w:sz w:val="24"/>
        </w:rPr>
        <w:t>dispatch, and therefore within-hour savings</w:t>
      </w:r>
      <w:r w:rsidR="00BE06AE">
        <w:rPr>
          <w:sz w:val="24"/>
        </w:rPr>
        <w:t xml:space="preserve"> are inapplicable to GRID</w:t>
      </w:r>
      <w:r>
        <w:rPr>
          <w:sz w:val="24"/>
        </w:rPr>
        <w:t>.  G</w:t>
      </w:r>
      <w:r w:rsidR="00363CE2">
        <w:rPr>
          <w:sz w:val="24"/>
        </w:rPr>
        <w:t>RID is an hourly model that assumes there are no changes in loads and resources within the hour.</w:t>
      </w:r>
    </w:p>
    <w:p w:rsidR="00363CE2" w:rsidRDefault="00363CE2" w:rsidP="00363CE2">
      <w:pPr>
        <w:spacing w:line="480" w:lineRule="auto"/>
        <w:ind w:left="720" w:hanging="720"/>
        <w:rPr>
          <w:b/>
          <w:sz w:val="24"/>
        </w:rPr>
      </w:pPr>
      <w:r>
        <w:rPr>
          <w:b/>
          <w:sz w:val="24"/>
        </w:rPr>
        <w:t>Q.</w:t>
      </w:r>
      <w:r>
        <w:tab/>
      </w:r>
      <w:r>
        <w:rPr>
          <w:b/>
          <w:sz w:val="24"/>
        </w:rPr>
        <w:t>How does the Company balance its system under current operations?</w:t>
      </w:r>
    </w:p>
    <w:p w:rsidR="00363CE2" w:rsidRDefault="00363CE2" w:rsidP="00363CE2">
      <w:pPr>
        <w:spacing w:line="480" w:lineRule="auto"/>
        <w:ind w:left="720" w:hanging="720"/>
        <w:rPr>
          <w:sz w:val="24"/>
        </w:rPr>
      </w:pPr>
      <w:r>
        <w:rPr>
          <w:sz w:val="24"/>
        </w:rPr>
        <w:t>A.</w:t>
      </w:r>
      <w:r>
        <w:tab/>
      </w:r>
      <w:r>
        <w:rPr>
          <w:sz w:val="24"/>
        </w:rPr>
        <w:t xml:space="preserve">Under the current hourly scheduling process, the Company must finalize its balancing transactions with other market participants </w:t>
      </w:r>
      <w:r w:rsidR="00D36732">
        <w:rPr>
          <w:sz w:val="24"/>
        </w:rPr>
        <w:t>before</w:t>
      </w:r>
      <w:r>
        <w:rPr>
          <w:sz w:val="24"/>
        </w:rPr>
        <w:t xml:space="preserve"> the hour.  Other than a short transition period in the first and last </w:t>
      </w:r>
      <w:r w:rsidR="00207C6B">
        <w:rPr>
          <w:sz w:val="24"/>
        </w:rPr>
        <w:t>10</w:t>
      </w:r>
      <w:r>
        <w:rPr>
          <w:sz w:val="24"/>
        </w:rPr>
        <w:t xml:space="preserve"> minutes of the hour, those transaction volumes are fixed for the entire hour.  As a result, the Company must dispatch its own resources to offset any changes in loads or variable generation across the hour.  If load is increasing, the Company will need to back down its generation in the start of the hour and dispatch additional generation at the end of the hour.  Because the lowest cost resources are dispatched first, lower cost resources will be backed down in the start of the hour, and higher cost resources will be dispatched up at the end of the hour.  </w:t>
      </w:r>
      <w:r w:rsidR="00DF5C01">
        <w:rPr>
          <w:sz w:val="24"/>
        </w:rPr>
        <w:t>L</w:t>
      </w:r>
      <w:r>
        <w:rPr>
          <w:sz w:val="24"/>
        </w:rPr>
        <w:t xml:space="preserve">oad and variable generation vary continuously, </w:t>
      </w:r>
      <w:r w:rsidR="00DF5C01">
        <w:rPr>
          <w:sz w:val="24"/>
        </w:rPr>
        <w:t xml:space="preserve">and </w:t>
      </w:r>
      <w:r>
        <w:rPr>
          <w:sz w:val="24"/>
        </w:rPr>
        <w:t>every hour will have both periods that are above the hourly average and periods that are below the hourly average.</w:t>
      </w:r>
    </w:p>
    <w:p w:rsidR="00363CE2" w:rsidRDefault="00363CE2" w:rsidP="00363CE2">
      <w:pPr>
        <w:spacing w:line="480" w:lineRule="auto"/>
        <w:ind w:left="720" w:hanging="720"/>
        <w:rPr>
          <w:b/>
          <w:sz w:val="24"/>
        </w:rPr>
      </w:pPr>
      <w:r>
        <w:rPr>
          <w:b/>
          <w:sz w:val="24"/>
        </w:rPr>
        <w:t>Q.</w:t>
      </w:r>
      <w:r>
        <w:tab/>
      </w:r>
      <w:r>
        <w:rPr>
          <w:b/>
          <w:sz w:val="24"/>
        </w:rPr>
        <w:t>How would the EIM impact within-hour dispatch?</w:t>
      </w:r>
    </w:p>
    <w:p w:rsidR="00363CE2" w:rsidRDefault="00363CE2" w:rsidP="00363CE2">
      <w:pPr>
        <w:spacing w:line="480" w:lineRule="auto"/>
        <w:ind w:left="720" w:hanging="720"/>
        <w:rPr>
          <w:sz w:val="24"/>
        </w:rPr>
      </w:pPr>
      <w:r>
        <w:rPr>
          <w:sz w:val="24"/>
        </w:rPr>
        <w:t>A.</w:t>
      </w:r>
      <w:r>
        <w:tab/>
      </w:r>
      <w:r w:rsidR="00184023">
        <w:rPr>
          <w:sz w:val="24"/>
        </w:rPr>
        <w:t>The EIM re-dispatches the Company’s resources as well as the CAISO resources every five minutes to optimally serve the combined PacifiCorp and CAISO load,  subject to the EIM transmission limits.</w:t>
      </w:r>
    </w:p>
    <w:p w:rsidR="00363CE2" w:rsidRDefault="00363CE2" w:rsidP="00363CE2">
      <w:pPr>
        <w:spacing w:line="480" w:lineRule="auto"/>
        <w:ind w:left="720" w:hanging="720"/>
        <w:rPr>
          <w:b/>
          <w:sz w:val="24"/>
        </w:rPr>
      </w:pPr>
      <w:r>
        <w:rPr>
          <w:b/>
          <w:sz w:val="24"/>
        </w:rPr>
        <w:t>Q.</w:t>
      </w:r>
      <w:r>
        <w:tab/>
      </w:r>
      <w:r>
        <w:rPr>
          <w:b/>
          <w:sz w:val="24"/>
        </w:rPr>
        <w:t>What is the net result of within-hour EIM dispatch?</w:t>
      </w:r>
    </w:p>
    <w:p w:rsidR="00363CE2" w:rsidRDefault="00363CE2" w:rsidP="00363CE2">
      <w:pPr>
        <w:spacing w:line="480" w:lineRule="auto"/>
        <w:ind w:left="720" w:hanging="720"/>
        <w:rPr>
          <w:sz w:val="24"/>
        </w:rPr>
      </w:pPr>
      <w:r>
        <w:rPr>
          <w:sz w:val="24"/>
        </w:rPr>
        <w:t>A.</w:t>
      </w:r>
      <w:r>
        <w:tab/>
      </w:r>
      <w:r w:rsidR="00ED417C" w:rsidRPr="00E732C4">
        <w:rPr>
          <w:sz w:val="24"/>
        </w:rPr>
        <w:t xml:space="preserve">PacifiCorp resources that are </w:t>
      </w:r>
      <w:r w:rsidR="00ED417C">
        <w:rPr>
          <w:sz w:val="24"/>
        </w:rPr>
        <w:t>lower cost than CAISO resources would be dispatched to a greater extent resulting in EIM transfers from PacifiCorp to CAISO, and PacifiCorp resources that are higher cost than CAISO resources would not be dispatched as much resulting in EIM transfers from CAISO to PacifiCorp.</w:t>
      </w:r>
    </w:p>
    <w:p w:rsidR="00363CE2" w:rsidRDefault="00363CE2" w:rsidP="00363CE2">
      <w:pPr>
        <w:spacing w:line="480" w:lineRule="auto"/>
        <w:ind w:left="720" w:hanging="720"/>
        <w:rPr>
          <w:b/>
          <w:sz w:val="24"/>
        </w:rPr>
      </w:pPr>
      <w:r>
        <w:rPr>
          <w:b/>
          <w:sz w:val="24"/>
        </w:rPr>
        <w:t>Q.</w:t>
      </w:r>
      <w:r>
        <w:tab/>
      </w:r>
      <w:r>
        <w:rPr>
          <w:b/>
          <w:sz w:val="24"/>
        </w:rPr>
        <w:t>How does this net result compare to the modeled results in GRID?</w:t>
      </w:r>
    </w:p>
    <w:p w:rsidR="00363CE2" w:rsidRDefault="00363CE2" w:rsidP="001E3108">
      <w:pPr>
        <w:spacing w:line="480" w:lineRule="auto"/>
        <w:ind w:left="720" w:hanging="720"/>
        <w:rPr>
          <w:sz w:val="24"/>
        </w:rPr>
      </w:pPr>
      <w:r>
        <w:rPr>
          <w:sz w:val="24"/>
        </w:rPr>
        <w:t>A.</w:t>
      </w:r>
      <w:r>
        <w:tab/>
      </w:r>
      <w:r w:rsidR="001E3108">
        <w:rPr>
          <w:sz w:val="24"/>
        </w:rPr>
        <w:t xml:space="preserve">This result mimics the result calculated by GRID.  As described earlier, </w:t>
      </w:r>
      <w:r w:rsidR="001E3108" w:rsidRPr="00E732C4">
        <w:rPr>
          <w:sz w:val="24"/>
        </w:rPr>
        <w:t>the GRID model already includes transactions at the COB market, which use the same transmission capacity contemplated for transfers to and from CAISO in the E3</w:t>
      </w:r>
      <w:r w:rsidR="00D36732">
        <w:rPr>
          <w:sz w:val="24"/>
        </w:rPr>
        <w:t> </w:t>
      </w:r>
      <w:r w:rsidR="0043669D">
        <w:rPr>
          <w:sz w:val="24"/>
        </w:rPr>
        <w:t>Report</w:t>
      </w:r>
      <w:r w:rsidR="00207C6B">
        <w:rPr>
          <w:sz w:val="24"/>
        </w:rPr>
        <w:t>.</w:t>
      </w:r>
      <w:r w:rsidR="001E3108" w:rsidRPr="00E732C4">
        <w:rPr>
          <w:sz w:val="24"/>
        </w:rPr>
        <w:t xml:space="preserve">  The majority of the transactions reflect system balancing decisions by the GRID model, which optimizes the dispatch of PacifiCorp generation against market transactions, much like what will occur under the EIM.  Because GRID has unchanging load across each hour, it is </w:t>
      </w:r>
      <w:r w:rsidR="001E3108">
        <w:rPr>
          <w:sz w:val="24"/>
        </w:rPr>
        <w:t>comparable to dispatching thermal resources and market transactions across twelve identica</w:t>
      </w:r>
      <w:r w:rsidR="00D36732">
        <w:rPr>
          <w:sz w:val="24"/>
        </w:rPr>
        <w:t>l five-minute blocks in an hour—</w:t>
      </w:r>
      <w:r w:rsidR="001E3108">
        <w:rPr>
          <w:sz w:val="24"/>
        </w:rPr>
        <w:t>since the load is identical, the results are identical.  Because GRID is able to balance the precise load across each time period using market transactions, it already reflects the benefits of within-hour market transactions.  To reflect the Company’s current operations, i.e. without intra-hour market transactions, GRID would need to have fixed market transactions for the entire hour and have any variation in load or variable resources over each hour met by dispatching generation resources.</w:t>
      </w:r>
    </w:p>
    <w:p w:rsidR="00363CE2" w:rsidRDefault="00363CE2" w:rsidP="00363CE2">
      <w:pPr>
        <w:spacing w:line="480" w:lineRule="auto"/>
        <w:ind w:left="720" w:hanging="720"/>
        <w:rPr>
          <w:b/>
          <w:sz w:val="24"/>
        </w:rPr>
      </w:pPr>
      <w:r>
        <w:rPr>
          <w:b/>
          <w:sz w:val="24"/>
        </w:rPr>
        <w:t>Q.</w:t>
      </w:r>
      <w:r>
        <w:tab/>
      </w:r>
      <w:r>
        <w:rPr>
          <w:b/>
          <w:sz w:val="24"/>
        </w:rPr>
        <w:t xml:space="preserve">What do you recommend </w:t>
      </w:r>
      <w:r w:rsidR="00D36732">
        <w:rPr>
          <w:b/>
          <w:sz w:val="24"/>
        </w:rPr>
        <w:t>regarding</w:t>
      </w:r>
      <w:r>
        <w:rPr>
          <w:b/>
          <w:sz w:val="24"/>
        </w:rPr>
        <w:t xml:space="preserve"> within-hour EIM dispatch benefits?</w:t>
      </w:r>
    </w:p>
    <w:p w:rsidR="00363CE2" w:rsidRDefault="00363CE2" w:rsidP="00363CE2">
      <w:pPr>
        <w:pStyle w:val="BodyTextIndent2"/>
        <w:tabs>
          <w:tab w:val="clear" w:pos="720"/>
        </w:tabs>
      </w:pPr>
      <w:r>
        <w:t>A.</w:t>
      </w:r>
      <w:r>
        <w:tab/>
      </w:r>
      <w:r w:rsidR="00005ACA">
        <w:t>Boise’s</w:t>
      </w:r>
      <w:r>
        <w:t xml:space="preserve"> proposed within-hour adjustment should be rejected because it double counts, is overstated, and is intended to remove costs from GRID that were never included in the first place. </w:t>
      </w:r>
    </w:p>
    <w:p w:rsidR="00363CE2" w:rsidRPr="00573168" w:rsidRDefault="00714499" w:rsidP="00573168">
      <w:pPr>
        <w:pStyle w:val="Heading2"/>
        <w:rPr>
          <w:bCs/>
          <w:i/>
          <w:iCs/>
        </w:rPr>
      </w:pPr>
      <w:bookmarkStart w:id="18" w:name="_Toc403714293"/>
      <w:r w:rsidRPr="00573168">
        <w:rPr>
          <w:bCs/>
          <w:i/>
          <w:iCs/>
        </w:rPr>
        <w:t xml:space="preserve">Other </w:t>
      </w:r>
      <w:r w:rsidR="00B30140" w:rsidRPr="00573168">
        <w:rPr>
          <w:bCs/>
          <w:i/>
          <w:iCs/>
        </w:rPr>
        <w:t>Objections to Imputing EIM Benefit</w:t>
      </w:r>
      <w:r w:rsidR="00363CE2" w:rsidRPr="00573168">
        <w:rPr>
          <w:bCs/>
          <w:i/>
          <w:iCs/>
        </w:rPr>
        <w:t>s</w:t>
      </w:r>
      <w:bookmarkEnd w:id="18"/>
      <w:r w:rsidR="00D36732" w:rsidRPr="00573168">
        <w:rPr>
          <w:bCs/>
          <w:i/>
          <w:iCs/>
        </w:rPr>
        <w:t xml:space="preserve"> </w:t>
      </w:r>
    </w:p>
    <w:p w:rsidR="00363CE2" w:rsidRDefault="00363CE2" w:rsidP="00363CE2">
      <w:pPr>
        <w:spacing w:line="480" w:lineRule="auto"/>
        <w:ind w:left="720" w:hanging="720"/>
        <w:rPr>
          <w:b/>
          <w:sz w:val="24"/>
        </w:rPr>
      </w:pPr>
      <w:r>
        <w:rPr>
          <w:b/>
          <w:sz w:val="24"/>
        </w:rPr>
        <w:t>Q.</w:t>
      </w:r>
      <w:r>
        <w:tab/>
      </w:r>
      <w:r>
        <w:rPr>
          <w:b/>
          <w:sz w:val="24"/>
        </w:rPr>
        <w:t xml:space="preserve">Considering all of the non-matching aspects of the E3 </w:t>
      </w:r>
      <w:r w:rsidR="00E06E33">
        <w:rPr>
          <w:b/>
          <w:sz w:val="24"/>
        </w:rPr>
        <w:t>Report</w:t>
      </w:r>
      <w:r>
        <w:rPr>
          <w:b/>
          <w:sz w:val="24"/>
        </w:rPr>
        <w:t xml:space="preserve"> to the </w:t>
      </w:r>
      <w:r w:rsidR="00D36732">
        <w:rPr>
          <w:b/>
          <w:sz w:val="24"/>
        </w:rPr>
        <w:t>pro forma</w:t>
      </w:r>
      <w:r>
        <w:rPr>
          <w:b/>
          <w:sz w:val="24"/>
        </w:rPr>
        <w:t xml:space="preserve"> NPC calculated using GRID, is it reasonable to impute EIM benefits as proposed by Boise? </w:t>
      </w:r>
    </w:p>
    <w:p w:rsidR="00363CE2" w:rsidRDefault="00363CE2" w:rsidP="00363CE2">
      <w:pPr>
        <w:pStyle w:val="BodyTextIndent2"/>
        <w:tabs>
          <w:tab w:val="clear" w:pos="720"/>
        </w:tabs>
      </w:pPr>
      <w:r>
        <w:t>A.</w:t>
      </w:r>
      <w:r>
        <w:tab/>
        <w:t xml:space="preserve">No.  </w:t>
      </w:r>
      <w:r w:rsidR="0043669D">
        <w:t>As noted above, imputation of EIM benefits cannot be reconciled with the rationale underlying the WCA.  In addition, g</w:t>
      </w:r>
      <w:r>
        <w:t xml:space="preserve">iven the restrictions on </w:t>
      </w:r>
      <w:r w:rsidR="006E6410">
        <w:t>five</w:t>
      </w:r>
      <w:r>
        <w:t xml:space="preserve">-minute dynamic transfer capability, the benefits expected in the </w:t>
      </w:r>
      <w:r w:rsidR="00D36732">
        <w:t>pro forma</w:t>
      </w:r>
      <w:r>
        <w:t xml:space="preserve"> period in this case would most closely correspond to the low range of benefits in the E3 </w:t>
      </w:r>
      <w:r w:rsidR="00E06E33">
        <w:t>Report</w:t>
      </w:r>
      <w:r>
        <w:t xml:space="preserve"> assuming 100 MW of transfer capability.  The total benefits for the year 2017 under that scenario are $10.5 million, consisting of $7.0 million for inter-regional dispatch, $2.3 million for intra-regional dispatch, and $1.2 million for flexibility reserves.  That amount would need to be further reduced to reflect a phased-in ability for the Company’s generating units to bid into the EIM as compared to the same assumption in the E3 </w:t>
      </w:r>
      <w:r w:rsidR="00E06E33">
        <w:t>Report</w:t>
      </w:r>
      <w:r>
        <w:t>.</w:t>
      </w:r>
    </w:p>
    <w:p w:rsidR="00363CE2" w:rsidRDefault="00E06E33" w:rsidP="00363CE2">
      <w:pPr>
        <w:pStyle w:val="BodyTextIndent2"/>
        <w:tabs>
          <w:tab w:val="clear" w:pos="720"/>
        </w:tabs>
        <w:ind w:firstLine="720"/>
      </w:pPr>
      <w:r>
        <w:t>T</w:t>
      </w:r>
      <w:r w:rsidR="00363CE2">
        <w:t xml:space="preserve">he E3 </w:t>
      </w:r>
      <w:r>
        <w:t>Report</w:t>
      </w:r>
      <w:r w:rsidR="00363CE2">
        <w:t xml:space="preserve"> does not reflect matching assumptions in this rate case including a different </w:t>
      </w:r>
      <w:r w:rsidR="00714499">
        <w:t xml:space="preserve">test </w:t>
      </w:r>
      <w:r w:rsidR="00363CE2">
        <w:t xml:space="preserve">period, forward price curves, transmission topology, and differences in the underlying production dispatch model and associated model architecture.  Furthermore, the purpose and design of the EIM is to optimize the Company’s system dispatch across its entire footprint, not just the </w:t>
      </w:r>
      <w:r w:rsidR="00D36732">
        <w:t>west control area</w:t>
      </w:r>
      <w:r w:rsidR="00363CE2">
        <w:t>.  Considering these facts and other points I have made in my rebuttal testim</w:t>
      </w:r>
      <w:r w:rsidR="00D36732">
        <w:t>ony, I </w:t>
      </w:r>
      <w:r w:rsidR="00363CE2">
        <w:t>conclude that the Company</w:t>
      </w:r>
      <w:r w:rsidR="00D36732">
        <w:t>’</w:t>
      </w:r>
      <w:r w:rsidR="00363CE2">
        <w:t>s proposal to exclude the benefits, and also the costs, of EIM from this case is reasonable.</w:t>
      </w:r>
    </w:p>
    <w:p w:rsidR="00DD7839" w:rsidRDefault="00D36732" w:rsidP="00573168">
      <w:pPr>
        <w:pStyle w:val="Heading2"/>
      </w:pPr>
      <w:bookmarkStart w:id="19" w:name="_Toc403714294"/>
      <w:r>
        <w:t>Inter-H</w:t>
      </w:r>
      <w:r w:rsidR="00DD7839">
        <w:t>our Integration</w:t>
      </w:r>
      <w:bookmarkEnd w:id="19"/>
      <w:r w:rsidR="00DD7839">
        <w:t xml:space="preserve"> </w:t>
      </w:r>
      <w:bookmarkStart w:id="20" w:name="System_Balancing_Wind_Int_WIEC_Adj_4"/>
      <w:bookmarkEnd w:id="20"/>
    </w:p>
    <w:p w:rsidR="00DD7839" w:rsidRDefault="00DD7839" w:rsidP="00DD7839">
      <w:pPr>
        <w:spacing w:line="480" w:lineRule="auto"/>
        <w:ind w:left="720" w:hanging="720"/>
        <w:rPr>
          <w:b/>
          <w:sz w:val="24"/>
        </w:rPr>
      </w:pPr>
      <w:r>
        <w:rPr>
          <w:b/>
          <w:sz w:val="24"/>
        </w:rPr>
        <w:t>Q.</w:t>
      </w:r>
      <w:r>
        <w:tab/>
      </w:r>
      <w:r>
        <w:rPr>
          <w:b/>
          <w:sz w:val="24"/>
        </w:rPr>
        <w:t xml:space="preserve">Please explain Boise’s adjustment related to inter-hour integration of wind and load.  </w:t>
      </w:r>
    </w:p>
    <w:p w:rsidR="00DD7839" w:rsidRDefault="00DD7839" w:rsidP="00DD7839">
      <w:pPr>
        <w:spacing w:line="480" w:lineRule="auto"/>
        <w:ind w:left="720" w:hanging="720"/>
        <w:rPr>
          <w:sz w:val="24"/>
        </w:rPr>
      </w:pPr>
      <w:r>
        <w:rPr>
          <w:sz w:val="24"/>
        </w:rPr>
        <w:t>A.</w:t>
      </w:r>
      <w:r>
        <w:tab/>
      </w:r>
      <w:r>
        <w:rPr>
          <w:sz w:val="24"/>
        </w:rPr>
        <w:t>Boise argues that the new methodology for including the shape of wind generation in GRID already reflects actual hour-to-hour variability and that calculating inter-hour integration costs outside of GRID means that the Company is double-counting the inter-hour integration costs in the NPC.</w:t>
      </w:r>
      <w:r w:rsidR="00511C7F">
        <w:rPr>
          <w:rStyle w:val="FootnoteReference"/>
          <w:sz w:val="24"/>
        </w:rPr>
        <w:footnoteReference w:id="54"/>
      </w:r>
      <w:r>
        <w:rPr>
          <w:sz w:val="24"/>
        </w:rPr>
        <w:t xml:space="preserve">  Boise argues the same rationale applies to the hourly load forecast included in GRID, and that the inter-hour load integration costs should also be removed.    </w:t>
      </w:r>
    </w:p>
    <w:p w:rsidR="00DD7839" w:rsidRDefault="00DD7839" w:rsidP="00DD7839">
      <w:pPr>
        <w:spacing w:line="480" w:lineRule="auto"/>
        <w:ind w:left="720" w:hanging="720"/>
        <w:rPr>
          <w:b/>
          <w:sz w:val="24"/>
        </w:rPr>
      </w:pPr>
      <w:r>
        <w:rPr>
          <w:b/>
          <w:sz w:val="24"/>
        </w:rPr>
        <w:t>Q.</w:t>
      </w:r>
      <w:r>
        <w:tab/>
      </w:r>
      <w:r>
        <w:rPr>
          <w:b/>
          <w:sz w:val="24"/>
        </w:rPr>
        <w:t>How does Boise describe system balancing wind integration?</w:t>
      </w:r>
    </w:p>
    <w:p w:rsidR="00DD7839" w:rsidRDefault="00DD7839" w:rsidP="00DD7839">
      <w:pPr>
        <w:spacing w:line="480" w:lineRule="auto"/>
        <w:ind w:left="720" w:hanging="720"/>
        <w:rPr>
          <w:sz w:val="24"/>
        </w:rPr>
      </w:pPr>
      <w:r>
        <w:rPr>
          <w:sz w:val="24"/>
        </w:rPr>
        <w:t>A.</w:t>
      </w:r>
      <w:r>
        <w:tab/>
      </w:r>
      <w:r w:rsidR="00005ACA">
        <w:rPr>
          <w:sz w:val="24"/>
        </w:rPr>
        <w:t>Boise</w:t>
      </w:r>
      <w:r>
        <w:rPr>
          <w:sz w:val="24"/>
        </w:rPr>
        <w:t xml:space="preserve"> describes system balancing wind integration costs as the system costs associated with the hour-to-hour variability in wind output.</w:t>
      </w:r>
      <w:r w:rsidR="00511C7F">
        <w:rPr>
          <w:rStyle w:val="FootnoteReference"/>
          <w:sz w:val="24"/>
        </w:rPr>
        <w:footnoteReference w:id="55"/>
      </w:r>
      <w:r>
        <w:rPr>
          <w:sz w:val="24"/>
        </w:rPr>
        <w:t xml:space="preserve">  </w:t>
      </w:r>
      <w:r w:rsidR="00511C7F">
        <w:rPr>
          <w:sz w:val="24"/>
        </w:rPr>
        <w:t xml:space="preserve">Boise </w:t>
      </w:r>
      <w:r>
        <w:rPr>
          <w:sz w:val="24"/>
        </w:rPr>
        <w:t xml:space="preserve">claims that the increase in NPC due to introducing wind variability is the same as the inter-hour integration cost added to NPC by the Company.  </w:t>
      </w:r>
    </w:p>
    <w:p w:rsidR="00DD7839" w:rsidRDefault="00DD7839" w:rsidP="00714499">
      <w:pPr>
        <w:keepNext/>
        <w:spacing w:line="480" w:lineRule="auto"/>
        <w:ind w:left="720" w:hanging="720"/>
        <w:rPr>
          <w:b/>
          <w:sz w:val="24"/>
        </w:rPr>
      </w:pPr>
      <w:r>
        <w:rPr>
          <w:b/>
          <w:sz w:val="24"/>
        </w:rPr>
        <w:t>Q.</w:t>
      </w:r>
      <w:r>
        <w:rPr>
          <w:b/>
          <w:sz w:val="24"/>
        </w:rPr>
        <w:tab/>
        <w:t>Do you agree that the increase in NPC due to wind variability is the same as inter-hour integration?</w:t>
      </w:r>
    </w:p>
    <w:p w:rsidR="00DD7839" w:rsidRPr="00DD7839" w:rsidRDefault="00DD7839" w:rsidP="00DD7839">
      <w:pPr>
        <w:spacing w:line="480" w:lineRule="auto"/>
        <w:ind w:left="720" w:hanging="720"/>
        <w:rPr>
          <w:sz w:val="24"/>
        </w:rPr>
      </w:pPr>
      <w:r>
        <w:rPr>
          <w:sz w:val="24"/>
        </w:rPr>
        <w:t xml:space="preserve">A. </w:t>
      </w:r>
      <w:r>
        <w:rPr>
          <w:sz w:val="24"/>
        </w:rPr>
        <w:tab/>
        <w:t xml:space="preserve">No.  </w:t>
      </w:r>
      <w:r w:rsidR="00005ACA">
        <w:rPr>
          <w:sz w:val="24"/>
        </w:rPr>
        <w:t>Boise’s</w:t>
      </w:r>
      <w:r w:rsidR="00106530">
        <w:rPr>
          <w:sz w:val="24"/>
        </w:rPr>
        <w:t xml:space="preserve"> basic assumptions underlying this adjustment are flawed and the adjustment </w:t>
      </w:r>
      <w:r w:rsidR="00714499">
        <w:rPr>
          <w:sz w:val="24"/>
        </w:rPr>
        <w:t>is meritless</w:t>
      </w:r>
      <w:r w:rsidR="00106530">
        <w:rPr>
          <w:sz w:val="24"/>
        </w:rPr>
        <w:t xml:space="preserve">. </w:t>
      </w:r>
    </w:p>
    <w:p w:rsidR="00DD7839" w:rsidRDefault="00DD7839" w:rsidP="00DD7839">
      <w:pPr>
        <w:spacing w:line="480" w:lineRule="auto"/>
        <w:ind w:left="720" w:hanging="720"/>
        <w:rPr>
          <w:b/>
          <w:sz w:val="24"/>
        </w:rPr>
      </w:pPr>
      <w:r>
        <w:rPr>
          <w:b/>
          <w:sz w:val="24"/>
        </w:rPr>
        <w:t>Q.</w:t>
      </w:r>
      <w:r>
        <w:tab/>
      </w:r>
      <w:r>
        <w:rPr>
          <w:b/>
          <w:sz w:val="24"/>
        </w:rPr>
        <w:t xml:space="preserve">Can you please further explain </w:t>
      </w:r>
      <w:r w:rsidR="00FA6B55">
        <w:rPr>
          <w:b/>
          <w:sz w:val="24"/>
        </w:rPr>
        <w:t xml:space="preserve">the cost of inter-hour wind integration?  </w:t>
      </w:r>
    </w:p>
    <w:p w:rsidR="00FA6B55" w:rsidRDefault="00DD7839" w:rsidP="00DD7839">
      <w:pPr>
        <w:spacing w:line="480" w:lineRule="auto"/>
        <w:ind w:left="720" w:hanging="720"/>
      </w:pPr>
      <w:r>
        <w:rPr>
          <w:sz w:val="24"/>
        </w:rPr>
        <w:t>A.</w:t>
      </w:r>
      <w:r>
        <w:tab/>
      </w:r>
      <w:r w:rsidR="00FA6B55" w:rsidRPr="00FA6B55">
        <w:rPr>
          <w:sz w:val="24"/>
          <w:szCs w:val="24"/>
        </w:rPr>
        <w:t>Yes.</w:t>
      </w:r>
      <w:r w:rsidR="00FA6B55">
        <w:t xml:space="preserve">  </w:t>
      </w:r>
      <w:r>
        <w:rPr>
          <w:sz w:val="24"/>
        </w:rPr>
        <w:t>The Company must commit generation resources (</w:t>
      </w:r>
      <w:r>
        <w:rPr>
          <w:i/>
          <w:sz w:val="24"/>
        </w:rPr>
        <w:t>i.e.,</w:t>
      </w:r>
      <w:r>
        <w:rPr>
          <w:sz w:val="24"/>
        </w:rPr>
        <w:t xml:space="preserve"> select start</w:t>
      </w:r>
      <w:r w:rsidR="00714499">
        <w:rPr>
          <w:sz w:val="24"/>
        </w:rPr>
        <w:t>-</w:t>
      </w:r>
      <w:r>
        <w:rPr>
          <w:sz w:val="24"/>
        </w:rPr>
        <w:t xml:space="preserve">up and shutdown times for the next day), based on a forecast of load and wind generation and considering wholesale market prices, but must dispatch those resources to balance the actual load and wind conditions that occur in real time.  In the </w:t>
      </w:r>
      <w:r w:rsidR="00FA6B55">
        <w:rPr>
          <w:sz w:val="24"/>
        </w:rPr>
        <w:t>Company’s Wind Study</w:t>
      </w:r>
      <w:r w:rsidR="00E02465">
        <w:rPr>
          <w:sz w:val="24"/>
        </w:rPr>
        <w:t>,</w:t>
      </w:r>
      <w:r>
        <w:rPr>
          <w:sz w:val="24"/>
        </w:rPr>
        <w:t xml:space="preserve"> this inter-hour</w:t>
      </w:r>
      <w:r w:rsidR="00FA6B55">
        <w:rPr>
          <w:sz w:val="24"/>
        </w:rPr>
        <w:t xml:space="preserve"> integration,</w:t>
      </w:r>
      <w:r>
        <w:rPr>
          <w:sz w:val="24"/>
        </w:rPr>
        <w:t xml:space="preserve"> or system balancing</w:t>
      </w:r>
      <w:r w:rsidR="00FA6B55">
        <w:rPr>
          <w:sz w:val="24"/>
        </w:rPr>
        <w:t>,</w:t>
      </w:r>
      <w:r>
        <w:rPr>
          <w:sz w:val="24"/>
        </w:rPr>
        <w:t xml:space="preserve"> cost is calculated by comparing the NPC from two studies.  In the first study, the economic unit commitment is determined including the day-ahead forecast and the system is balanced around the forecast wind output.  In the second study, the economic units’ commitment remains based on the day-ahead forecast, but the system must balance around the actual wind output.  Costs are higher in the second study because the unit commitment is optimized against wind output that is different from what actually occurs.  The Wind Study determined this cost to be 36 cents (in 2012 dollars) per megawatt-hour of wind generation and this cost is added to the Company’s NPC results.</w:t>
      </w:r>
      <w:r w:rsidR="00FA6B55">
        <w:rPr>
          <w:rStyle w:val="FootnoteReference"/>
          <w:sz w:val="24"/>
        </w:rPr>
        <w:footnoteReference w:id="56"/>
      </w:r>
    </w:p>
    <w:p w:rsidR="00DD7839" w:rsidRDefault="00DD7839" w:rsidP="008C7C5C">
      <w:pPr>
        <w:keepNext/>
        <w:spacing w:line="480" w:lineRule="auto"/>
        <w:ind w:left="720" w:hanging="720"/>
        <w:rPr>
          <w:b/>
          <w:sz w:val="24"/>
        </w:rPr>
      </w:pPr>
      <w:r>
        <w:rPr>
          <w:b/>
          <w:sz w:val="24"/>
        </w:rPr>
        <w:t>Q.</w:t>
      </w:r>
      <w:r>
        <w:tab/>
      </w:r>
      <w:r>
        <w:rPr>
          <w:b/>
          <w:sz w:val="24"/>
        </w:rPr>
        <w:t>Is the hour-to-hour variability included in the Company’s wind generation forecast the same issue as measured by the Wind Study?</w:t>
      </w:r>
    </w:p>
    <w:p w:rsidR="00DD7839" w:rsidRDefault="00DD7839" w:rsidP="00DD7839">
      <w:pPr>
        <w:spacing w:line="480" w:lineRule="auto"/>
        <w:ind w:left="720" w:hanging="720"/>
      </w:pPr>
      <w:r>
        <w:rPr>
          <w:sz w:val="24"/>
        </w:rPr>
        <w:t>A.</w:t>
      </w:r>
      <w:r>
        <w:tab/>
      </w:r>
      <w:r>
        <w:rPr>
          <w:sz w:val="24"/>
        </w:rPr>
        <w:t xml:space="preserve">No.  The Wind Study measures the impact </w:t>
      </w:r>
      <w:r w:rsidR="00FA6B55">
        <w:rPr>
          <w:sz w:val="24"/>
        </w:rPr>
        <w:t xml:space="preserve">of </w:t>
      </w:r>
      <w:r>
        <w:rPr>
          <w:sz w:val="24"/>
        </w:rPr>
        <w:t xml:space="preserve">committing generation resources considering a forecast of wind generation and then dispatching those resources when actual generation is different than forecast.  The Company’s filed GRID study uses the same wind shape to determine unit commitment and final dispatch, so the costs associated with less-than-optimal day-ahead unit commitment are not included in the GRID model.  Clearly, </w:t>
      </w:r>
      <w:r w:rsidR="00005ACA">
        <w:rPr>
          <w:sz w:val="24"/>
        </w:rPr>
        <w:t>Boise’s</w:t>
      </w:r>
      <w:r>
        <w:rPr>
          <w:sz w:val="24"/>
        </w:rPr>
        <w:t xml:space="preserve"> claim that the cost of using the actual wind shape during each hour in GRID, rather than using a less volatile shape, is the same as including costs borne from committing generation resources against forecasted load and wind generation and then dispatching generation resources under actual load and wind conditions as they occur in real time is incorrect.</w:t>
      </w:r>
    </w:p>
    <w:p w:rsidR="00DD7839" w:rsidRDefault="00DD7839" w:rsidP="00FA6B55">
      <w:pPr>
        <w:spacing w:line="480" w:lineRule="auto"/>
        <w:ind w:left="720" w:hanging="720"/>
        <w:rPr>
          <w:b/>
          <w:sz w:val="24"/>
        </w:rPr>
      </w:pPr>
      <w:r>
        <w:rPr>
          <w:b/>
          <w:sz w:val="24"/>
        </w:rPr>
        <w:t>Q.</w:t>
      </w:r>
      <w:r>
        <w:tab/>
      </w:r>
      <w:r>
        <w:rPr>
          <w:b/>
          <w:sz w:val="24"/>
        </w:rPr>
        <w:t>Is it appropriate to include both inter-hour integration costs and an hourly wind shape?</w:t>
      </w:r>
    </w:p>
    <w:p w:rsidR="00DD7839" w:rsidRDefault="00DD7839" w:rsidP="00FA6B55">
      <w:pPr>
        <w:spacing w:line="480" w:lineRule="auto"/>
        <w:ind w:left="720" w:hanging="720"/>
        <w:rPr>
          <w:sz w:val="24"/>
        </w:rPr>
      </w:pPr>
      <w:r>
        <w:rPr>
          <w:sz w:val="24"/>
        </w:rPr>
        <w:t>A.</w:t>
      </w:r>
      <w:r>
        <w:tab/>
      </w:r>
      <w:r>
        <w:rPr>
          <w:sz w:val="24"/>
        </w:rPr>
        <w:t xml:space="preserve">Yes.  </w:t>
      </w:r>
      <w:r w:rsidR="00465271">
        <w:rPr>
          <w:sz w:val="24"/>
        </w:rPr>
        <w:t>As describe above, t</w:t>
      </w:r>
      <w:r>
        <w:rPr>
          <w:sz w:val="24"/>
        </w:rPr>
        <w:t>he Company’s filed GRID study uses the same wind shape to determine unit commitment and final dispatch, so the costs associated with less-than-optimal day-ahead unit commitment are not included within the GRID model.  Therefore the Company’s continued application of this cost outside of the GRID model is appropriate and is in keeping with the basis for these expenses in the 2012 Wind Study.</w:t>
      </w:r>
    </w:p>
    <w:p w:rsidR="00FA6B55" w:rsidRDefault="00FA6B55" w:rsidP="008C7C5C">
      <w:pPr>
        <w:keepNext/>
        <w:spacing w:line="480" w:lineRule="auto"/>
        <w:ind w:left="720" w:hanging="720"/>
        <w:rPr>
          <w:b/>
          <w:sz w:val="24"/>
        </w:rPr>
      </w:pPr>
      <w:r>
        <w:rPr>
          <w:b/>
          <w:sz w:val="24"/>
        </w:rPr>
        <w:t>Q.</w:t>
      </w:r>
      <w:r>
        <w:tab/>
      </w:r>
      <w:r>
        <w:rPr>
          <w:b/>
          <w:sz w:val="24"/>
        </w:rPr>
        <w:t>Are inter-hour load integration costs derived in the same manner as system balancing wind integration costs?</w:t>
      </w:r>
    </w:p>
    <w:p w:rsidR="00FA6B55" w:rsidRDefault="00FA6B55" w:rsidP="00FA6B55">
      <w:pPr>
        <w:spacing w:line="480" w:lineRule="auto"/>
        <w:ind w:left="720" w:hanging="720"/>
        <w:rPr>
          <w:b/>
          <w:sz w:val="24"/>
        </w:rPr>
      </w:pPr>
      <w:r w:rsidRPr="00FA6B55">
        <w:rPr>
          <w:sz w:val="24"/>
        </w:rPr>
        <w:t>A.</w:t>
      </w:r>
      <w:r w:rsidRPr="00FA6B55">
        <w:tab/>
      </w:r>
      <w:r w:rsidRPr="00FA6B55">
        <w:rPr>
          <w:sz w:val="24"/>
        </w:rPr>
        <w:t>Yes</w:t>
      </w:r>
      <w:r>
        <w:rPr>
          <w:sz w:val="24"/>
        </w:rPr>
        <w:t>.  Both of these costs result from the unpredictable nature of load and wind on a day-ahead basis and committing generation resources against a forecast and then dispatching generation resources under actual conditions.  The Wind Study accounted for the inter-hour integration costs associated with load using the same methodology as for wind, by calculating unit commitment based on the day-ahead load forecast, and system costs based on the actual load.</w:t>
      </w:r>
    </w:p>
    <w:p w:rsidR="00FA6B55" w:rsidRDefault="00FA6B55" w:rsidP="00FA6B55">
      <w:pPr>
        <w:spacing w:line="480" w:lineRule="auto"/>
        <w:ind w:left="720" w:hanging="720"/>
        <w:rPr>
          <w:b/>
          <w:sz w:val="24"/>
        </w:rPr>
      </w:pPr>
      <w:r>
        <w:rPr>
          <w:b/>
          <w:sz w:val="24"/>
        </w:rPr>
        <w:t>Q.</w:t>
      </w:r>
      <w:r>
        <w:tab/>
      </w:r>
      <w:r>
        <w:rPr>
          <w:b/>
          <w:sz w:val="24"/>
        </w:rPr>
        <w:t>Do costs caused by variations between day-ahead and actual wind and those caused by load impact the Company’s system differently?</w:t>
      </w:r>
    </w:p>
    <w:p w:rsidR="00FA6B55" w:rsidRDefault="00FA6B55" w:rsidP="00FA6B55">
      <w:pPr>
        <w:spacing w:line="480" w:lineRule="auto"/>
        <w:ind w:left="720" w:hanging="720"/>
        <w:rPr>
          <w:sz w:val="24"/>
        </w:rPr>
      </w:pPr>
      <w:r>
        <w:rPr>
          <w:sz w:val="24"/>
        </w:rPr>
        <w:t>A.</w:t>
      </w:r>
      <w:r>
        <w:tab/>
      </w:r>
      <w:r>
        <w:rPr>
          <w:sz w:val="24"/>
        </w:rPr>
        <w:t>No.  An increase in load and a decrease in wind generation in the same area both require additional generation or replacement market power, and both impact the level of reserves the Company is required to hold.</w:t>
      </w:r>
    </w:p>
    <w:p w:rsidR="00FA6B55" w:rsidRDefault="00FA6B55" w:rsidP="00FA6B55">
      <w:pPr>
        <w:spacing w:line="480" w:lineRule="auto"/>
        <w:ind w:left="720" w:hanging="720"/>
        <w:rPr>
          <w:b/>
          <w:sz w:val="24"/>
        </w:rPr>
      </w:pPr>
      <w:r>
        <w:rPr>
          <w:b/>
          <w:sz w:val="24"/>
        </w:rPr>
        <w:t>Q.</w:t>
      </w:r>
      <w:r>
        <w:tab/>
      </w:r>
      <w:r>
        <w:rPr>
          <w:b/>
          <w:sz w:val="24"/>
        </w:rPr>
        <w:t xml:space="preserve">Is this the first time </w:t>
      </w:r>
      <w:r w:rsidR="008C7C5C">
        <w:rPr>
          <w:b/>
          <w:sz w:val="24"/>
        </w:rPr>
        <w:t xml:space="preserve">the Company included </w:t>
      </w:r>
      <w:r>
        <w:rPr>
          <w:b/>
          <w:sz w:val="24"/>
        </w:rPr>
        <w:t>inter-hour load integration charges in NPC?</w:t>
      </w:r>
    </w:p>
    <w:p w:rsidR="00FA6B55" w:rsidRDefault="00FA6B55" w:rsidP="00FA6B55">
      <w:pPr>
        <w:spacing w:line="480" w:lineRule="auto"/>
        <w:ind w:left="720" w:hanging="720"/>
        <w:rPr>
          <w:sz w:val="24"/>
        </w:rPr>
      </w:pPr>
      <w:r>
        <w:rPr>
          <w:sz w:val="24"/>
        </w:rPr>
        <w:t>A.</w:t>
      </w:r>
      <w:r>
        <w:tab/>
      </w:r>
      <w:r>
        <w:rPr>
          <w:sz w:val="24"/>
        </w:rPr>
        <w:t>No.  In the 2010 Wind Integration Study, the reported system balancing cost for wind reflected the cost of day-ahead forecast errors for both wind and load.  The costs associated with both wind and load errors were divided by the wind generation in the study resulting in a total cost averaging $0.86 per megawatt-hour of wind generation.</w:t>
      </w:r>
      <w:r>
        <w:rPr>
          <w:rStyle w:val="FootnoteReference"/>
          <w:sz w:val="24"/>
        </w:rPr>
        <w:footnoteReference w:id="57"/>
      </w:r>
      <w:r>
        <w:t xml:space="preserve"> </w:t>
      </w:r>
      <w:r w:rsidR="0043669D">
        <w:t xml:space="preserve"> </w:t>
      </w:r>
      <w:r>
        <w:rPr>
          <w:sz w:val="24"/>
        </w:rPr>
        <w:t xml:space="preserve">This issue was identified in stakeholder comments on the 2010 Wind Integration Study, and in the 2012 Wind Study the methodology was revised to distinguish between wind and load, which resulted in the lower inter-hour wind integration cost of $0.36 per megawatt-hour.  </w:t>
      </w:r>
      <w:r w:rsidR="008C7C5C">
        <w:rPr>
          <w:sz w:val="24"/>
        </w:rPr>
        <w:t>Because</w:t>
      </w:r>
      <w:r>
        <w:rPr>
          <w:sz w:val="24"/>
        </w:rPr>
        <w:t xml:space="preserve"> the 2010 Wind Integration Study results were used in </w:t>
      </w:r>
      <w:r w:rsidR="008C7C5C">
        <w:rPr>
          <w:sz w:val="24"/>
        </w:rPr>
        <w:t>D</w:t>
      </w:r>
      <w:r w:rsidR="004E6353">
        <w:rPr>
          <w:sz w:val="24"/>
        </w:rPr>
        <w:t xml:space="preserve">ocket </w:t>
      </w:r>
      <w:r w:rsidR="005F46CF">
        <w:rPr>
          <w:sz w:val="24"/>
        </w:rPr>
        <w:t>UE-111190,</w:t>
      </w:r>
      <w:r>
        <w:rPr>
          <w:sz w:val="24"/>
        </w:rPr>
        <w:t xml:space="preserve"> inter-hour costs for load have already been reflected in rates in the past.</w:t>
      </w:r>
    </w:p>
    <w:p w:rsidR="004F0B8E" w:rsidRPr="00573168" w:rsidRDefault="002545AC" w:rsidP="00573168">
      <w:pPr>
        <w:pStyle w:val="Heading1"/>
      </w:pPr>
      <w:r>
        <w:tab/>
      </w:r>
      <w:bookmarkStart w:id="21" w:name="_Toc403714295"/>
      <w:r w:rsidR="009F59CF" w:rsidRPr="00573168">
        <w:t>RENEWABLE RESOURCE TRACKING MECHANISM</w:t>
      </w:r>
      <w:bookmarkEnd w:id="21"/>
      <w:r w:rsidRPr="00573168">
        <w:t xml:space="preserve"> </w:t>
      </w:r>
    </w:p>
    <w:p w:rsidR="003C7F4E" w:rsidRPr="003C7F4E" w:rsidRDefault="003C7F4E" w:rsidP="003C7F4E">
      <w:pPr>
        <w:suppressLineNumbers/>
      </w:pPr>
    </w:p>
    <w:p w:rsidR="00065D05" w:rsidRDefault="00065D05" w:rsidP="00065D05">
      <w:pPr>
        <w:pStyle w:val="BodyTextIndent2"/>
        <w:rPr>
          <w:b/>
          <w:szCs w:val="24"/>
        </w:rPr>
      </w:pPr>
      <w:r>
        <w:rPr>
          <w:b/>
          <w:szCs w:val="24"/>
        </w:rPr>
        <w:t>Q.</w:t>
      </w:r>
      <w:r>
        <w:rPr>
          <w:b/>
          <w:szCs w:val="24"/>
        </w:rPr>
        <w:tab/>
        <w:t>Please summarize the Company’s proposed RRTM.</w:t>
      </w:r>
    </w:p>
    <w:p w:rsidR="00065D05" w:rsidRDefault="00065D05" w:rsidP="00065D05">
      <w:pPr>
        <w:pStyle w:val="BodyTextIndent2"/>
        <w:rPr>
          <w:szCs w:val="24"/>
        </w:rPr>
      </w:pPr>
      <w:r>
        <w:rPr>
          <w:szCs w:val="24"/>
        </w:rPr>
        <w:t>A.</w:t>
      </w:r>
      <w:r>
        <w:rPr>
          <w:szCs w:val="24"/>
        </w:rPr>
        <w:tab/>
        <w:t>The RRTM is designed to allow the Company to recover the costs incurred to comply with the EIA, as provided by RCW 19.285.050(2).</w:t>
      </w:r>
      <w:r w:rsidR="00CA7DBF">
        <w:rPr>
          <w:rStyle w:val="FootnoteReference"/>
          <w:szCs w:val="24"/>
        </w:rPr>
        <w:footnoteReference w:id="58"/>
      </w:r>
      <w:r>
        <w:rPr>
          <w:szCs w:val="24"/>
        </w:rPr>
        <w:t xml:space="preserve">  Consistent with Washington state policy, since the enactment of the EIA, the Company has added significant new wind resources </w:t>
      </w:r>
      <w:r w:rsidR="008C7C5C">
        <w:rPr>
          <w:szCs w:val="24"/>
        </w:rPr>
        <w:t>in</w:t>
      </w:r>
      <w:r>
        <w:rPr>
          <w:szCs w:val="24"/>
        </w:rPr>
        <w:t xml:space="preserve"> its west control area.  The intermittent nature of these new wind resources created volatility in the Company’s NPC that would not exist </w:t>
      </w:r>
      <w:r w:rsidR="008C7C5C">
        <w:rPr>
          <w:szCs w:val="24"/>
        </w:rPr>
        <w:t xml:space="preserve">without </w:t>
      </w:r>
      <w:r>
        <w:rPr>
          <w:szCs w:val="24"/>
        </w:rPr>
        <w:t>the</w:t>
      </w:r>
      <w:r w:rsidR="00BE06AE">
        <w:rPr>
          <w:szCs w:val="24"/>
        </w:rPr>
        <w:t>se resources</w:t>
      </w:r>
      <w:r>
        <w:rPr>
          <w:szCs w:val="24"/>
        </w:rPr>
        <w:t xml:space="preserve">.  To address this volatility, the Company proposed an RRTM that would allow a dollar-for-dollar true up of forecast to actual wind generation.  The RRTM ensures that customers pay the actual costs associated with the energy they consume and eliminates barriers to further renewable energy development, in furtherance of Washington state policy.  </w:t>
      </w:r>
    </w:p>
    <w:p w:rsidR="00065D05" w:rsidRDefault="00065D05" w:rsidP="00065D05">
      <w:pPr>
        <w:pStyle w:val="BodyTextIndent2"/>
        <w:rPr>
          <w:szCs w:val="24"/>
        </w:rPr>
      </w:pPr>
      <w:r>
        <w:rPr>
          <w:b/>
          <w:szCs w:val="24"/>
        </w:rPr>
        <w:t>Q.</w:t>
      </w:r>
      <w:r>
        <w:rPr>
          <w:b/>
          <w:szCs w:val="24"/>
        </w:rPr>
        <w:tab/>
        <w:t>Do parties support the Company’s proposed RRTM?</w:t>
      </w:r>
    </w:p>
    <w:p w:rsidR="00065D05" w:rsidRDefault="00065D05" w:rsidP="00065D05">
      <w:pPr>
        <w:pStyle w:val="BodyTextIndent2"/>
        <w:rPr>
          <w:szCs w:val="24"/>
        </w:rPr>
      </w:pPr>
      <w:r>
        <w:rPr>
          <w:szCs w:val="24"/>
        </w:rPr>
        <w:t>A.</w:t>
      </w:r>
      <w:r>
        <w:rPr>
          <w:szCs w:val="24"/>
        </w:rPr>
        <w:tab/>
        <w:t>No.  Parties’ criticisms are similar, focusing largely on the lack of dead bands and sharing bands and the fact that the RRTM is narrowly focused on only intermittent renewable resources.  In addition, even though Staff rejec</w:t>
      </w:r>
      <w:r w:rsidR="008C7C5C">
        <w:rPr>
          <w:szCs w:val="24"/>
        </w:rPr>
        <w:t xml:space="preserve">ts the proposed RRTM, Staff </w:t>
      </w:r>
      <w:r>
        <w:rPr>
          <w:szCs w:val="24"/>
        </w:rPr>
        <w:t>proposed a PCAM</w:t>
      </w:r>
      <w:r w:rsidR="008C7C5C">
        <w:rPr>
          <w:szCs w:val="24"/>
        </w:rPr>
        <w:t xml:space="preserve"> as an alternative</w:t>
      </w:r>
      <w:r>
        <w:rPr>
          <w:szCs w:val="24"/>
        </w:rPr>
        <w:t xml:space="preserve">.   </w:t>
      </w:r>
    </w:p>
    <w:p w:rsidR="00106530" w:rsidRDefault="00106530" w:rsidP="008C7C5C">
      <w:pPr>
        <w:pStyle w:val="BodyTextIndent2"/>
        <w:keepNext/>
        <w:rPr>
          <w:szCs w:val="24"/>
        </w:rPr>
      </w:pPr>
      <w:r w:rsidRPr="00106530">
        <w:rPr>
          <w:b/>
          <w:szCs w:val="24"/>
        </w:rPr>
        <w:t>Q.</w:t>
      </w:r>
      <w:r w:rsidRPr="00106530">
        <w:rPr>
          <w:b/>
          <w:szCs w:val="24"/>
        </w:rPr>
        <w:tab/>
        <w:t>Please respond to the Staff’s proposed PCAM</w:t>
      </w:r>
      <w:r>
        <w:rPr>
          <w:szCs w:val="24"/>
        </w:rPr>
        <w:t xml:space="preserve">. </w:t>
      </w:r>
    </w:p>
    <w:p w:rsidR="007B1B29" w:rsidRDefault="00106530" w:rsidP="00065D05">
      <w:pPr>
        <w:pStyle w:val="BodyTextIndent2"/>
        <w:rPr>
          <w:szCs w:val="24"/>
        </w:rPr>
      </w:pPr>
      <w:r>
        <w:rPr>
          <w:szCs w:val="24"/>
        </w:rPr>
        <w:t>A.</w:t>
      </w:r>
      <w:r>
        <w:rPr>
          <w:szCs w:val="24"/>
        </w:rPr>
        <w:tab/>
        <w:t>The Company appreciates Staff</w:t>
      </w:r>
      <w:r w:rsidR="00A966ED">
        <w:rPr>
          <w:szCs w:val="24"/>
        </w:rPr>
        <w:t xml:space="preserve"> making a</w:t>
      </w:r>
      <w:r>
        <w:rPr>
          <w:szCs w:val="24"/>
        </w:rPr>
        <w:t xml:space="preserve"> PCAM</w:t>
      </w:r>
      <w:r w:rsidR="00A966ED">
        <w:rPr>
          <w:szCs w:val="24"/>
        </w:rPr>
        <w:t xml:space="preserve"> proposal</w:t>
      </w:r>
      <w:r>
        <w:rPr>
          <w:szCs w:val="24"/>
        </w:rPr>
        <w:t xml:space="preserve"> in recognition of the fact that </w:t>
      </w:r>
      <w:r w:rsidR="00A966ED">
        <w:rPr>
          <w:szCs w:val="24"/>
        </w:rPr>
        <w:t>the Company</w:t>
      </w:r>
      <w:r>
        <w:rPr>
          <w:szCs w:val="24"/>
        </w:rPr>
        <w:t xml:space="preserve"> is the only </w:t>
      </w:r>
      <w:r w:rsidR="00A966ED">
        <w:rPr>
          <w:szCs w:val="24"/>
        </w:rPr>
        <w:t xml:space="preserve">energy </w:t>
      </w:r>
      <w:r>
        <w:rPr>
          <w:szCs w:val="24"/>
        </w:rPr>
        <w:t xml:space="preserve">utility in Washington without such a mechanism.  </w:t>
      </w:r>
      <w:r w:rsidR="00E14E96">
        <w:rPr>
          <w:szCs w:val="24"/>
        </w:rPr>
        <w:t>But Staff’s PCAM does not address the under-recove</w:t>
      </w:r>
      <w:r w:rsidR="008C7C5C">
        <w:rPr>
          <w:szCs w:val="24"/>
        </w:rPr>
        <w:t>ry of renewable resource costs or</w:t>
      </w:r>
      <w:r w:rsidR="00E14E96">
        <w:rPr>
          <w:szCs w:val="24"/>
        </w:rPr>
        <w:t xml:space="preserve"> negate the need for the RRTM.  </w:t>
      </w:r>
      <w:r w:rsidR="00050F26">
        <w:rPr>
          <w:szCs w:val="24"/>
        </w:rPr>
        <w:t>T</w:t>
      </w:r>
      <w:r>
        <w:rPr>
          <w:szCs w:val="24"/>
        </w:rPr>
        <w:t xml:space="preserve">he Company </w:t>
      </w:r>
      <w:r w:rsidR="00A966ED">
        <w:rPr>
          <w:szCs w:val="24"/>
        </w:rPr>
        <w:t>can</w:t>
      </w:r>
      <w:r>
        <w:rPr>
          <w:szCs w:val="24"/>
        </w:rPr>
        <w:t>not accept Staff’s</w:t>
      </w:r>
      <w:r w:rsidR="00A966ED">
        <w:rPr>
          <w:szCs w:val="24"/>
        </w:rPr>
        <w:t xml:space="preserve"> proposed</w:t>
      </w:r>
      <w:r>
        <w:rPr>
          <w:szCs w:val="24"/>
        </w:rPr>
        <w:t xml:space="preserve"> PCAM </w:t>
      </w:r>
      <w:r w:rsidR="00E14E96">
        <w:rPr>
          <w:szCs w:val="24"/>
        </w:rPr>
        <w:t xml:space="preserve">in lieu of the RRTM </w:t>
      </w:r>
      <w:r w:rsidR="0003599E">
        <w:rPr>
          <w:szCs w:val="24"/>
        </w:rPr>
        <w:t>because it insufficiently addresses the issues facing the Company, including the significant variability and unpredictability of renewable generation</w:t>
      </w:r>
      <w:r w:rsidR="00DF4A01">
        <w:rPr>
          <w:szCs w:val="24"/>
        </w:rPr>
        <w:t>.</w:t>
      </w:r>
    </w:p>
    <w:p w:rsidR="00065D05" w:rsidRDefault="00065D05" w:rsidP="00065D05">
      <w:pPr>
        <w:pStyle w:val="BodyTextIndent2"/>
        <w:rPr>
          <w:szCs w:val="24"/>
        </w:rPr>
      </w:pPr>
      <w:r>
        <w:rPr>
          <w:b/>
          <w:szCs w:val="24"/>
        </w:rPr>
        <w:t>Q.</w:t>
      </w:r>
      <w:r>
        <w:rPr>
          <w:b/>
          <w:szCs w:val="24"/>
        </w:rPr>
        <w:tab/>
      </w:r>
      <w:r w:rsidR="00D61B3A">
        <w:rPr>
          <w:b/>
          <w:szCs w:val="24"/>
        </w:rPr>
        <w:t xml:space="preserve">Are </w:t>
      </w:r>
      <w:r>
        <w:rPr>
          <w:b/>
          <w:szCs w:val="24"/>
        </w:rPr>
        <w:t>the Company’s proposed RRTM and a PCAM incompatible with one another?</w:t>
      </w:r>
    </w:p>
    <w:p w:rsidR="00A966ED" w:rsidRDefault="00065D05" w:rsidP="00065D05">
      <w:pPr>
        <w:pStyle w:val="BodyTextIndent2"/>
        <w:rPr>
          <w:szCs w:val="24"/>
        </w:rPr>
      </w:pPr>
      <w:r>
        <w:rPr>
          <w:szCs w:val="24"/>
        </w:rPr>
        <w:t>A.</w:t>
      </w:r>
      <w:r>
        <w:rPr>
          <w:szCs w:val="24"/>
        </w:rPr>
        <w:tab/>
        <w:t>No</w:t>
      </w:r>
      <w:r w:rsidR="00E14E96">
        <w:rPr>
          <w:szCs w:val="24"/>
        </w:rPr>
        <w:t xml:space="preserve">t necessarily.  For example, the </w:t>
      </w:r>
      <w:r w:rsidR="008C7C5C">
        <w:rPr>
          <w:szCs w:val="24"/>
        </w:rPr>
        <w:t>OPUC</w:t>
      </w:r>
      <w:r w:rsidR="00E14E96">
        <w:rPr>
          <w:szCs w:val="24"/>
        </w:rPr>
        <w:t xml:space="preserve"> just opened a</w:t>
      </w:r>
      <w:r w:rsidR="006D2460">
        <w:rPr>
          <w:szCs w:val="24"/>
        </w:rPr>
        <w:t xml:space="preserve"> generic</w:t>
      </w:r>
      <w:r w:rsidR="00E14E96">
        <w:rPr>
          <w:szCs w:val="24"/>
        </w:rPr>
        <w:t xml:space="preserve"> investigation </w:t>
      </w:r>
      <w:r w:rsidR="008C7C5C">
        <w:rPr>
          <w:szCs w:val="24"/>
        </w:rPr>
        <w:t>into</w:t>
      </w:r>
      <w:r w:rsidR="00E14E96">
        <w:rPr>
          <w:szCs w:val="24"/>
        </w:rPr>
        <w:t xml:space="preserve"> the reasonableness of </w:t>
      </w:r>
      <w:r w:rsidR="006C63C8">
        <w:rPr>
          <w:szCs w:val="24"/>
        </w:rPr>
        <w:t>treating</w:t>
      </w:r>
      <w:r w:rsidR="00E14E96">
        <w:rPr>
          <w:szCs w:val="24"/>
        </w:rPr>
        <w:t xml:space="preserve"> the variable costs of renewable resources </w:t>
      </w:r>
      <w:r w:rsidR="006C63C8">
        <w:rPr>
          <w:szCs w:val="24"/>
        </w:rPr>
        <w:t>differently than other variable power costs under utility PCAMs.</w:t>
      </w:r>
      <w:r w:rsidR="007807B3">
        <w:rPr>
          <w:rStyle w:val="FootnoteReference"/>
          <w:szCs w:val="24"/>
        </w:rPr>
        <w:footnoteReference w:id="59"/>
      </w:r>
      <w:r w:rsidR="006C63C8">
        <w:rPr>
          <w:szCs w:val="24"/>
        </w:rPr>
        <w:t xml:space="preserve">  In that case, both PacifiCorp and Portland General Electric</w:t>
      </w:r>
      <w:r w:rsidR="008C7C5C">
        <w:rPr>
          <w:szCs w:val="24"/>
        </w:rPr>
        <w:t xml:space="preserve"> Company</w:t>
      </w:r>
      <w:r w:rsidR="006C63C8">
        <w:rPr>
          <w:szCs w:val="24"/>
        </w:rPr>
        <w:t xml:space="preserve"> are urging the </w:t>
      </w:r>
      <w:r w:rsidR="008C7C5C">
        <w:rPr>
          <w:szCs w:val="24"/>
        </w:rPr>
        <w:t>OPUC</w:t>
      </w:r>
      <w:r w:rsidR="006C63C8">
        <w:rPr>
          <w:szCs w:val="24"/>
        </w:rPr>
        <w:t xml:space="preserve"> to adopt an RRTM-type mechanism to operate in tandem with the companies’ PCAMs.  </w:t>
      </w:r>
      <w:r w:rsidR="00E14E96">
        <w:rPr>
          <w:szCs w:val="24"/>
        </w:rPr>
        <w:t xml:space="preserve"> </w:t>
      </w:r>
    </w:p>
    <w:p w:rsidR="00065D05" w:rsidRDefault="00065D05" w:rsidP="00065D05">
      <w:pPr>
        <w:pStyle w:val="BodyTextIndent2"/>
        <w:rPr>
          <w:szCs w:val="24"/>
        </w:rPr>
      </w:pPr>
      <w:r>
        <w:rPr>
          <w:b/>
          <w:szCs w:val="24"/>
        </w:rPr>
        <w:t>Q.</w:t>
      </w:r>
      <w:r>
        <w:rPr>
          <w:b/>
          <w:szCs w:val="24"/>
        </w:rPr>
        <w:tab/>
        <w:t>Parties recommend that the Commission reject the RRTM for lack of dead bands or sharing bands that the Commission has required for PCAMs.</w:t>
      </w:r>
      <w:r>
        <w:rPr>
          <w:rStyle w:val="FootnoteReference"/>
          <w:b/>
          <w:szCs w:val="24"/>
        </w:rPr>
        <w:footnoteReference w:id="60"/>
      </w:r>
      <w:r>
        <w:rPr>
          <w:b/>
          <w:szCs w:val="24"/>
        </w:rPr>
        <w:t xml:space="preserve">  How do you respond?</w:t>
      </w:r>
    </w:p>
    <w:p w:rsidR="00065D05" w:rsidRDefault="00065D05" w:rsidP="00065D05">
      <w:pPr>
        <w:pStyle w:val="BodyTextIndent2"/>
        <w:rPr>
          <w:szCs w:val="24"/>
        </w:rPr>
      </w:pPr>
      <w:r>
        <w:rPr>
          <w:szCs w:val="24"/>
        </w:rPr>
        <w:t>A.</w:t>
      </w:r>
      <w:r>
        <w:rPr>
          <w:szCs w:val="24"/>
        </w:rPr>
        <w:tab/>
        <w:t>The RRTM is not intended to be a PCAM, although the RRTM and a PCAM can be complementary to one another.  Therefore, the policies that the Commission has announced for PCAMs, which address a much broader category of costs, should not apply to the more narrowly tailored RRTM.  The RRTM focuses on those resources that were procured specifically to further Washington state energy policy and reduce greenhouse gas emissions and resources that exhibit significant variability that is entirely outside the Company’s control.  The lack of sharing and dead bands ensures that the RRTM advances state energy policy and promotes renewable development by allowing full cost recovery for renewable resources used to serve Washington customers.</w:t>
      </w:r>
    </w:p>
    <w:p w:rsidR="00065D05" w:rsidRDefault="00065D05" w:rsidP="00065D05">
      <w:pPr>
        <w:pStyle w:val="BodyTextIndent2"/>
        <w:rPr>
          <w:szCs w:val="24"/>
        </w:rPr>
      </w:pPr>
      <w:r>
        <w:rPr>
          <w:b/>
          <w:szCs w:val="24"/>
        </w:rPr>
        <w:t>Q.</w:t>
      </w:r>
      <w:r>
        <w:rPr>
          <w:b/>
          <w:szCs w:val="24"/>
        </w:rPr>
        <w:tab/>
        <w:t>How does the RRTM further Washington state energy policy?</w:t>
      </w:r>
    </w:p>
    <w:p w:rsidR="00065D05" w:rsidRDefault="00065D05" w:rsidP="00065D05">
      <w:pPr>
        <w:pStyle w:val="BodyTextIndent"/>
        <w:jc w:val="left"/>
        <w:rPr>
          <w:szCs w:val="24"/>
        </w:rPr>
      </w:pPr>
      <w:r>
        <w:rPr>
          <w:szCs w:val="24"/>
        </w:rPr>
        <w:t>A.</w:t>
      </w:r>
      <w:r>
        <w:rPr>
          <w:szCs w:val="24"/>
        </w:rPr>
        <w:tab/>
      </w:r>
      <w:r w:rsidR="00D61B3A">
        <w:rPr>
          <w:szCs w:val="24"/>
        </w:rPr>
        <w:t xml:space="preserve">As outlined above, </w:t>
      </w:r>
      <w:r>
        <w:rPr>
          <w:szCs w:val="24"/>
        </w:rPr>
        <w:t>Washington has made a concerted effort to promote the development of renewable resources in Washington and the Pacific Northwest.  Consistent with these policies, the RRTM promotes renewable development by mitigating the cost-recovery concerns that arise due to the inherent variability of many renewable resources.  With the RRTM</w:t>
      </w:r>
      <w:r w:rsidR="00D61B3A">
        <w:rPr>
          <w:szCs w:val="24"/>
        </w:rPr>
        <w:t>,</w:t>
      </w:r>
      <w:r>
        <w:rPr>
          <w:szCs w:val="24"/>
        </w:rPr>
        <w:t xml:space="preserve"> </w:t>
      </w:r>
      <w:r w:rsidR="004D6176">
        <w:rPr>
          <w:szCs w:val="24"/>
        </w:rPr>
        <w:t>the Company</w:t>
      </w:r>
      <w:r>
        <w:rPr>
          <w:szCs w:val="24"/>
        </w:rPr>
        <w:t xml:space="preserve"> will be well positioned to continue to </w:t>
      </w:r>
      <w:r w:rsidR="008C7C5C">
        <w:rPr>
          <w:szCs w:val="24"/>
        </w:rPr>
        <w:t>develop</w:t>
      </w:r>
      <w:r>
        <w:rPr>
          <w:szCs w:val="24"/>
        </w:rPr>
        <w:t xml:space="preserve"> its renewable generation portfolio to provide clean, carbon-free electricity to Washington customers.  </w:t>
      </w:r>
    </w:p>
    <w:p w:rsidR="00065D05" w:rsidRDefault="00065D05" w:rsidP="00065D05">
      <w:pPr>
        <w:pStyle w:val="BodyTextIndent2"/>
        <w:rPr>
          <w:szCs w:val="24"/>
        </w:rPr>
      </w:pPr>
      <w:r>
        <w:rPr>
          <w:b/>
          <w:szCs w:val="24"/>
        </w:rPr>
        <w:t>Q.</w:t>
      </w:r>
      <w:r>
        <w:rPr>
          <w:b/>
          <w:szCs w:val="24"/>
        </w:rPr>
        <w:tab/>
        <w:t>Staff observes that the Commission has consistently required dead bands and sharing bands to encourage a utility to effectively manage its NPC and keep power costs low.</w:t>
      </w:r>
      <w:r>
        <w:rPr>
          <w:rStyle w:val="FootnoteReference"/>
          <w:b/>
          <w:szCs w:val="24"/>
        </w:rPr>
        <w:footnoteReference w:id="61"/>
      </w:r>
      <w:r>
        <w:rPr>
          <w:b/>
          <w:szCs w:val="24"/>
        </w:rPr>
        <w:t xml:space="preserve">  Will the lack of dead bands and sharing bands eliminate the Company’s incentives to effectively manage its NPC?</w:t>
      </w:r>
    </w:p>
    <w:p w:rsidR="00065D05" w:rsidRPr="0017043D" w:rsidRDefault="00065D05" w:rsidP="00065D05">
      <w:pPr>
        <w:pStyle w:val="BodyTextIndent2"/>
        <w:rPr>
          <w:szCs w:val="24"/>
        </w:rPr>
      </w:pPr>
      <w:r>
        <w:rPr>
          <w:szCs w:val="24"/>
        </w:rPr>
        <w:t>A.</w:t>
      </w:r>
      <w:r>
        <w:rPr>
          <w:szCs w:val="24"/>
        </w:rPr>
        <w:tab/>
        <w:t xml:space="preserve">No.  The justification for dead bands and sharing bands does not apply to the renewable resources subject to the RRTM because the variability exhibited by wind resources is out of the Company’s control.  The Company cannot control when or to what extent the wind will blow and therefore cannot exercise operational control over these resources to mitigate the costs incurred when the wind blows more or less than expected.  Therefore, applying dead bands and sharing bands to the RRTM </w:t>
      </w:r>
      <w:r w:rsidR="00D61B3A">
        <w:rPr>
          <w:szCs w:val="24"/>
        </w:rPr>
        <w:t>is not justified</w:t>
      </w:r>
      <w:r>
        <w:rPr>
          <w:szCs w:val="24"/>
        </w:rPr>
        <w:t>.</w:t>
      </w:r>
    </w:p>
    <w:p w:rsidR="00065D05" w:rsidRDefault="00065D05" w:rsidP="00065D05">
      <w:pPr>
        <w:pStyle w:val="BodyTextIndent2"/>
      </w:pPr>
      <w:r>
        <w:rPr>
          <w:b/>
        </w:rPr>
        <w:t>Q.</w:t>
      </w:r>
      <w:r>
        <w:rPr>
          <w:b/>
        </w:rPr>
        <w:tab/>
        <w:t xml:space="preserve">Even if the Company cannot control the level of wind generation, can the Company control other aspects of its overall NPC through, for example, integrated resource planning, hedging, or dispatch of other resources to mitigate the impact of wind variability? </w:t>
      </w:r>
      <w:r>
        <w:tab/>
      </w:r>
    </w:p>
    <w:p w:rsidR="00065D05" w:rsidRPr="007F39CA" w:rsidRDefault="00065D05" w:rsidP="00065D05">
      <w:pPr>
        <w:pStyle w:val="BodyTextIndent2"/>
        <w:rPr>
          <w:szCs w:val="24"/>
        </w:rPr>
      </w:pPr>
      <w:r>
        <w:t>A.</w:t>
      </w:r>
      <w:r>
        <w:tab/>
        <w:t xml:space="preserve">Yes, but the control the Company can exercise does not mitigate the unpredictability of wind generation.  It is true that the Company can control many aspects of its overall resource portfolio and system operations to efficiently manage NPC.  And it is certainly true that the Company actively and efficiently operates its system to respond to the minute-by-minute changes in wind generation as they occur.  However, even the most efficient system operation cannot entirely mitigate the risks and costs associated with the variable and unpredictable nature of wind generation.  This is particularly true when rates are set based on forecast wind generation that, as demonstrated in my direct testimony, varies significantly from actual wind generation.  </w:t>
      </w:r>
    </w:p>
    <w:p w:rsidR="00065D05" w:rsidRDefault="00065D05" w:rsidP="00065D05">
      <w:pPr>
        <w:pStyle w:val="BodyTextIndent2"/>
      </w:pPr>
      <w:r w:rsidRPr="00791ED0">
        <w:rPr>
          <w:b/>
          <w:szCs w:val="24"/>
        </w:rPr>
        <w:t>Q.</w:t>
      </w:r>
      <w:r w:rsidRPr="00791ED0">
        <w:rPr>
          <w:b/>
          <w:szCs w:val="24"/>
        </w:rPr>
        <w:tab/>
      </w:r>
      <w:r>
        <w:rPr>
          <w:b/>
          <w:szCs w:val="24"/>
        </w:rPr>
        <w:t>Boise claims that the Company’s overall system benefits from wind generation even though it is unpredictable and variable because the wind resources provide fuel diversity to the Company’s resource portfolio.</w:t>
      </w:r>
      <w:r>
        <w:rPr>
          <w:rStyle w:val="FootnoteReference"/>
          <w:b/>
          <w:szCs w:val="24"/>
        </w:rPr>
        <w:footnoteReference w:id="62"/>
      </w:r>
      <w:r>
        <w:rPr>
          <w:b/>
          <w:szCs w:val="24"/>
        </w:rPr>
        <w:t xml:space="preserve">  Do you agree</w:t>
      </w:r>
      <w:r w:rsidRPr="00465C24">
        <w:rPr>
          <w:b/>
          <w:szCs w:val="24"/>
        </w:rPr>
        <w:t>?</w:t>
      </w:r>
    </w:p>
    <w:p w:rsidR="00065D05" w:rsidRDefault="00065D05" w:rsidP="00065D05">
      <w:pPr>
        <w:pStyle w:val="BodyTextIndent2"/>
      </w:pPr>
      <w:r>
        <w:t>A.</w:t>
      </w:r>
      <w:r>
        <w:tab/>
        <w:t>Yes.  The Company does not dispute that wind resources provide valuable resource diversity to the Company’s portfolio and benefit Washington customers, but that is not the issue that the RRTM is intended to address.  The fact is that the Company has procured and will continue to procure significant wind resources specifically to comply with state energy policy.  To account for th</w:t>
      </w:r>
      <w:r w:rsidR="00D61B3A">
        <w:t>e</w:t>
      </w:r>
      <w:r>
        <w:t xml:space="preserve"> introduction of significant amounts of variable, intermittent generation</w:t>
      </w:r>
      <w:r w:rsidR="00D61B3A">
        <w:t>,</w:t>
      </w:r>
      <w:r>
        <w:t xml:space="preserve"> the RRTM is designed to allow the Company to recover all its prudently incurred costs—no more and no less.  For this reason, the risks and benefits due to wind generation variability, caused in large part by Washington’s renewable resource procurement requirements, will fall equally—and fairly—on customers and shareholders.  In this way, the RRTM ensures that Washington customers receive the full benefits and pay the full costs associated with the wind generation.  </w:t>
      </w:r>
    </w:p>
    <w:p w:rsidR="00065D05" w:rsidRPr="001C438F" w:rsidRDefault="00065D05" w:rsidP="00065D05">
      <w:pPr>
        <w:pStyle w:val="BodyTextIndent2"/>
        <w:rPr>
          <w:szCs w:val="24"/>
        </w:rPr>
      </w:pPr>
      <w:r>
        <w:rPr>
          <w:b/>
          <w:szCs w:val="24"/>
        </w:rPr>
        <w:t>Q.</w:t>
      </w:r>
      <w:r>
        <w:rPr>
          <w:b/>
          <w:szCs w:val="24"/>
        </w:rPr>
        <w:tab/>
        <w:t>Staff also claims that the variation in renewable generation is “nothing more than normal market and weather variation, which the Commission does not include in PCAMs.”</w:t>
      </w:r>
      <w:r>
        <w:rPr>
          <w:rStyle w:val="FootnoteReference"/>
          <w:b/>
          <w:szCs w:val="24"/>
        </w:rPr>
        <w:footnoteReference w:id="63"/>
      </w:r>
      <w:r>
        <w:rPr>
          <w:b/>
          <w:szCs w:val="24"/>
        </w:rPr>
        <w:t xml:space="preserve">  How do you respond? </w:t>
      </w:r>
    </w:p>
    <w:p w:rsidR="00065D05" w:rsidRDefault="00065D05" w:rsidP="00065D05">
      <w:pPr>
        <w:pStyle w:val="BodyTextIndent2"/>
        <w:rPr>
          <w:szCs w:val="24"/>
        </w:rPr>
      </w:pPr>
      <w:r>
        <w:rPr>
          <w:szCs w:val="24"/>
        </w:rPr>
        <w:t>A.</w:t>
      </w:r>
      <w:r>
        <w:rPr>
          <w:szCs w:val="24"/>
        </w:rPr>
        <w:tab/>
        <w:t>The Company does not dispute that the Commission has</w:t>
      </w:r>
      <w:r w:rsidR="00D61B3A">
        <w:rPr>
          <w:szCs w:val="24"/>
        </w:rPr>
        <w:t xml:space="preserve"> previously</w:t>
      </w:r>
      <w:r>
        <w:rPr>
          <w:szCs w:val="24"/>
        </w:rPr>
        <w:t xml:space="preserve"> stated that PCAMs are intended to capture extraordinary, not normal, power cost variability.</w:t>
      </w:r>
      <w:r>
        <w:rPr>
          <w:rStyle w:val="FootnoteReference"/>
          <w:szCs w:val="24"/>
        </w:rPr>
        <w:footnoteReference w:id="64"/>
      </w:r>
      <w:r>
        <w:rPr>
          <w:szCs w:val="24"/>
        </w:rPr>
        <w:t xml:space="preserve">  However, the risks associated with the Company’s renewable resources are risks created by state energy policy encouraging and requiring the development of renewable resources.  Therefore, it is reasonable for Washington customers to assume the risk and costs created by Washington policy-makers.  </w:t>
      </w:r>
    </w:p>
    <w:p w:rsidR="00065D05" w:rsidRPr="00E52A91" w:rsidRDefault="00065D05" w:rsidP="00065D05">
      <w:pPr>
        <w:pStyle w:val="BodyTextIndent2"/>
        <w:rPr>
          <w:b/>
          <w:szCs w:val="24"/>
        </w:rPr>
      </w:pPr>
      <w:r>
        <w:rPr>
          <w:b/>
          <w:szCs w:val="24"/>
        </w:rPr>
        <w:t>Q.</w:t>
      </w:r>
      <w:r>
        <w:rPr>
          <w:b/>
          <w:szCs w:val="24"/>
        </w:rPr>
        <w:tab/>
        <w:t>Staff claims that the majority of the variation the Company claims is due to wind generation is actually due to variation in market prices.</w:t>
      </w:r>
      <w:r>
        <w:rPr>
          <w:rStyle w:val="FootnoteReference"/>
          <w:b/>
          <w:szCs w:val="24"/>
        </w:rPr>
        <w:footnoteReference w:id="65"/>
      </w:r>
      <w:r>
        <w:rPr>
          <w:b/>
          <w:szCs w:val="24"/>
        </w:rPr>
        <w:t xml:space="preserve">  Boise makes a similar point.</w:t>
      </w:r>
      <w:r>
        <w:rPr>
          <w:rStyle w:val="FootnoteReference"/>
          <w:b/>
          <w:szCs w:val="24"/>
        </w:rPr>
        <w:footnoteReference w:id="66"/>
      </w:r>
      <w:r>
        <w:rPr>
          <w:b/>
          <w:szCs w:val="24"/>
        </w:rPr>
        <w:t xml:space="preserve">  How do you respond?</w:t>
      </w:r>
    </w:p>
    <w:p w:rsidR="00065D05" w:rsidRDefault="00065D05" w:rsidP="00065D05">
      <w:pPr>
        <w:pStyle w:val="BodyTextIndent2"/>
      </w:pPr>
      <w:r>
        <w:rPr>
          <w:szCs w:val="24"/>
        </w:rPr>
        <w:t>A.</w:t>
      </w:r>
      <w:r>
        <w:rPr>
          <w:szCs w:val="24"/>
        </w:rPr>
        <w:tab/>
        <w:t xml:space="preserve">The RRTM must account for market variability because that variability is an integral component of the cost variability associated with intermittent wind resources.  The RRTM calculates the difference between the value of wind modeled in the Company’s forecast NPC and the actual value of wind based on actual generation and actual market conditions.  </w:t>
      </w:r>
      <w:r w:rsidR="00A54974">
        <w:rPr>
          <w:szCs w:val="24"/>
        </w:rPr>
        <w:t>T</w:t>
      </w:r>
      <w:r>
        <w:rPr>
          <w:szCs w:val="24"/>
        </w:rPr>
        <w:t xml:space="preserve">here is nothing unreasonable about </w:t>
      </w:r>
      <w:r w:rsidR="00A54974">
        <w:rPr>
          <w:szCs w:val="24"/>
        </w:rPr>
        <w:t xml:space="preserve">factoring in market price changes </w:t>
      </w:r>
      <w:r>
        <w:rPr>
          <w:szCs w:val="24"/>
        </w:rPr>
        <w:t xml:space="preserve">because that is the most accurate way to calculate the NPC impact of variations in wind generation.  And even if market variability is a component of the overall RRTM calculation, market prices, like wind generation, are outside the Company’s control.  Indeed, Staff has previously testified that </w:t>
      </w:r>
      <w:r>
        <w:t>t</w:t>
      </w:r>
      <w:r w:rsidRPr="007A1592">
        <w:t xml:space="preserve">he </w:t>
      </w:r>
      <w:r>
        <w:t>“</w:t>
      </w:r>
      <w:r w:rsidRPr="007A1592">
        <w:t xml:space="preserve">Company has no control of either the sales </w:t>
      </w:r>
      <w:r>
        <w:t xml:space="preserve">prices </w:t>
      </w:r>
      <w:r w:rsidRPr="007A1592">
        <w:t xml:space="preserve">or purchase prices related to economy market energy transactions </w:t>
      </w:r>
      <w:r>
        <w:t xml:space="preserve">it needs to make in order to </w:t>
      </w:r>
      <w:r w:rsidRPr="007A1592">
        <w:t>address hydro-generation variability o</w:t>
      </w:r>
      <w:r>
        <w:t>r</w:t>
      </w:r>
      <w:r w:rsidRPr="007A1592">
        <w:t xml:space="preserve"> short-term changes in customer load.</w:t>
      </w:r>
      <w:r>
        <w:t>”</w:t>
      </w:r>
      <w:r>
        <w:rPr>
          <w:rStyle w:val="FootnoteReference"/>
        </w:rPr>
        <w:footnoteReference w:id="67"/>
      </w:r>
      <w:r w:rsidRPr="007A1592">
        <w:t xml:space="preserve">  </w:t>
      </w:r>
      <w:r>
        <w:t>Again, t</w:t>
      </w:r>
      <w:r>
        <w:rPr>
          <w:szCs w:val="24"/>
        </w:rPr>
        <w:t>he RRTM is designed to ensure that customers pay the cost of the generation used to serve them, no more and no less</w:t>
      </w:r>
      <w:r w:rsidR="009075E3">
        <w:rPr>
          <w:szCs w:val="24"/>
        </w:rPr>
        <w:t>,</w:t>
      </w:r>
      <w:r>
        <w:rPr>
          <w:szCs w:val="24"/>
        </w:rPr>
        <w:t xml:space="preserve"> and therefore it must accurately value wind generation to do so.</w:t>
      </w:r>
    </w:p>
    <w:p w:rsidR="00065D05" w:rsidRDefault="00065D05" w:rsidP="00573168">
      <w:pPr>
        <w:pStyle w:val="BodyTextIndent2"/>
        <w:widowControl w:val="0"/>
        <w:rPr>
          <w:szCs w:val="24"/>
        </w:rPr>
      </w:pPr>
      <w:r>
        <w:rPr>
          <w:b/>
          <w:szCs w:val="24"/>
        </w:rPr>
        <w:t>Q.</w:t>
      </w:r>
      <w:r>
        <w:rPr>
          <w:b/>
          <w:szCs w:val="24"/>
        </w:rPr>
        <w:tab/>
        <w:t>Boise claims that the Company’s wind generation variability from year to year is not great enough to warrant the RRTM and that wind variability is, in fact, less than hydro variability.</w:t>
      </w:r>
      <w:r>
        <w:rPr>
          <w:rStyle w:val="FootnoteReference"/>
          <w:b/>
          <w:szCs w:val="24"/>
        </w:rPr>
        <w:footnoteReference w:id="68"/>
      </w:r>
      <w:r>
        <w:rPr>
          <w:b/>
          <w:szCs w:val="24"/>
        </w:rPr>
        <w:t xml:space="preserve">  How do you respond?</w:t>
      </w:r>
    </w:p>
    <w:p w:rsidR="00065D05" w:rsidRDefault="00065D05" w:rsidP="00573168">
      <w:pPr>
        <w:pStyle w:val="BodyTextIndent2"/>
        <w:widowControl w:val="0"/>
        <w:rPr>
          <w:szCs w:val="24"/>
        </w:rPr>
      </w:pPr>
      <w:r>
        <w:rPr>
          <w:szCs w:val="24"/>
        </w:rPr>
        <w:t>A.</w:t>
      </w:r>
      <w:r>
        <w:rPr>
          <w:szCs w:val="24"/>
        </w:rPr>
        <w:tab/>
      </w:r>
      <w:r w:rsidR="00005ACA">
        <w:rPr>
          <w:szCs w:val="24"/>
        </w:rPr>
        <w:t>Boise’s</w:t>
      </w:r>
      <w:r>
        <w:rPr>
          <w:szCs w:val="24"/>
        </w:rPr>
        <w:t xml:space="preserve"> analysis is incomplete because the RRTM is intended to address variability from forecasts to actuals, not variability from year-to-year.  As I demonstrated in my direct testimony, the variability of forecast to actual generation is significant.</w:t>
      </w:r>
      <w:r>
        <w:rPr>
          <w:rStyle w:val="FootnoteReference"/>
          <w:szCs w:val="24"/>
        </w:rPr>
        <w:footnoteReference w:id="69"/>
      </w:r>
      <w:r>
        <w:rPr>
          <w:szCs w:val="24"/>
        </w:rPr>
        <w:t xml:space="preserve">  </w:t>
      </w:r>
    </w:p>
    <w:p w:rsidR="00065D05" w:rsidRDefault="00065D05" w:rsidP="00065D05">
      <w:pPr>
        <w:pStyle w:val="BodyTextIndent2"/>
        <w:rPr>
          <w:szCs w:val="24"/>
        </w:rPr>
      </w:pPr>
      <w:r>
        <w:rPr>
          <w:szCs w:val="24"/>
        </w:rPr>
        <w:tab/>
      </w:r>
      <w:r>
        <w:rPr>
          <w:szCs w:val="24"/>
        </w:rPr>
        <w:tab/>
        <w:t>In addition, the comparison of wind to hydro variability misses the mark because wind is more unpredictable than hydro.  While it is certainly difficult to forecast hydro generation over the course of a year, there is predictability to the shape of hydro seasonally that is not present with wind.  Wind generation can change from minute to minute</w:t>
      </w:r>
      <w:r w:rsidR="009075E3">
        <w:rPr>
          <w:szCs w:val="24"/>
        </w:rPr>
        <w:t>,</w:t>
      </w:r>
      <w:r>
        <w:rPr>
          <w:szCs w:val="24"/>
        </w:rPr>
        <w:t xml:space="preserve"> and because the majority of the Company’s wind resources in the west control area are located in the same general area, there is </w:t>
      </w:r>
      <w:r w:rsidR="006D2460">
        <w:rPr>
          <w:szCs w:val="24"/>
        </w:rPr>
        <w:t>little</w:t>
      </w:r>
      <w:r>
        <w:rPr>
          <w:szCs w:val="24"/>
        </w:rPr>
        <w:t xml:space="preserve"> geographic diversity to mitigate changing wind conditions.  </w:t>
      </w:r>
    </w:p>
    <w:p w:rsidR="00065D05" w:rsidRDefault="00065D05" w:rsidP="00065D05">
      <w:pPr>
        <w:pStyle w:val="BodyTextIndent2"/>
        <w:rPr>
          <w:szCs w:val="24"/>
        </w:rPr>
      </w:pPr>
      <w:r>
        <w:rPr>
          <w:b/>
          <w:szCs w:val="24"/>
        </w:rPr>
        <w:t>Q.</w:t>
      </w:r>
      <w:r>
        <w:rPr>
          <w:b/>
          <w:szCs w:val="24"/>
        </w:rPr>
        <w:tab/>
        <w:t>Has Boise previously acknowledged the difficulty in forecasting wind generation?</w:t>
      </w:r>
    </w:p>
    <w:p w:rsidR="00065D05" w:rsidRDefault="00065D05" w:rsidP="00065D05">
      <w:pPr>
        <w:pStyle w:val="BodyTextIndent2"/>
        <w:rPr>
          <w:b/>
          <w:szCs w:val="24"/>
        </w:rPr>
      </w:pPr>
      <w:r>
        <w:rPr>
          <w:szCs w:val="24"/>
        </w:rPr>
        <w:t>A.</w:t>
      </w:r>
      <w:r>
        <w:rPr>
          <w:szCs w:val="24"/>
        </w:rPr>
        <w:tab/>
        <w:t xml:space="preserve">Yes.  In the Company’s last general rate case, Docket UE-130043, Boise’s NPC witness </w:t>
      </w:r>
      <w:r w:rsidR="003C7F4E">
        <w:rPr>
          <w:szCs w:val="24"/>
        </w:rPr>
        <w:t xml:space="preserve">Mr. </w:t>
      </w:r>
      <w:r>
        <w:rPr>
          <w:szCs w:val="24"/>
        </w:rPr>
        <w:t>Michael Deen testified that</w:t>
      </w:r>
      <w:r>
        <w:t>, “Forecasting normalized annual generation for large-scale wind projects in the United States is very much a science still in development . . . it is clear that wind power resources can display a high level of variability in inter-annual generation.”</w:t>
      </w:r>
      <w:r>
        <w:rPr>
          <w:rStyle w:val="FootnoteReference"/>
        </w:rPr>
        <w:footnoteReference w:id="70"/>
      </w:r>
      <w:r>
        <w:t xml:space="preserve">  </w:t>
      </w:r>
    </w:p>
    <w:p w:rsidR="00065D05" w:rsidRDefault="00065D05" w:rsidP="00065D05">
      <w:pPr>
        <w:pStyle w:val="BodyTextIndent2"/>
        <w:rPr>
          <w:b/>
          <w:szCs w:val="24"/>
        </w:rPr>
      </w:pPr>
      <w:r>
        <w:rPr>
          <w:b/>
          <w:szCs w:val="24"/>
        </w:rPr>
        <w:t>Q.</w:t>
      </w:r>
      <w:r>
        <w:rPr>
          <w:b/>
          <w:szCs w:val="24"/>
        </w:rPr>
        <w:tab/>
        <w:t>Staff and Boise claim that the RRTM is too narrow and should be rejected because there is uncertainty associated with all aspects of the Company’s NPC and it is unreasonable to single out only renewable resources.</w:t>
      </w:r>
      <w:r>
        <w:rPr>
          <w:rStyle w:val="FootnoteReference"/>
          <w:b/>
          <w:szCs w:val="24"/>
        </w:rPr>
        <w:footnoteReference w:id="71"/>
      </w:r>
      <w:r>
        <w:rPr>
          <w:b/>
          <w:szCs w:val="24"/>
        </w:rPr>
        <w:t xml:space="preserve">  </w:t>
      </w:r>
      <w:r w:rsidR="00A54974">
        <w:rPr>
          <w:b/>
          <w:szCs w:val="24"/>
        </w:rPr>
        <w:t xml:space="preserve">Please respond. </w:t>
      </w:r>
    </w:p>
    <w:p w:rsidR="00065D05" w:rsidRDefault="00065D05" w:rsidP="00065D05">
      <w:pPr>
        <w:pStyle w:val="BodyTextIndent2"/>
        <w:rPr>
          <w:szCs w:val="24"/>
        </w:rPr>
      </w:pPr>
      <w:r>
        <w:rPr>
          <w:szCs w:val="24"/>
        </w:rPr>
        <w:t>A.</w:t>
      </w:r>
      <w:r>
        <w:rPr>
          <w:szCs w:val="24"/>
        </w:rPr>
        <w:tab/>
        <w:t xml:space="preserve">I agree that there is uncertainty and variability related to many aspects of the Company’s NPC.  However, the difficulty of accurately forecasting wind generation is greater than the difficulty of forecasting many other aspects of the Company’s NPC.  And, unlike many other variables impacting the Company’s NPC, the wind variability is a direct result of Washington </w:t>
      </w:r>
      <w:r w:rsidR="00A54974">
        <w:rPr>
          <w:szCs w:val="24"/>
        </w:rPr>
        <w:t>laws and</w:t>
      </w:r>
      <w:r>
        <w:rPr>
          <w:szCs w:val="24"/>
        </w:rPr>
        <w:t xml:space="preserve"> policies encouraging and requiring the Company to procure specific types of resources.  </w:t>
      </w:r>
    </w:p>
    <w:p w:rsidR="00065D05" w:rsidRPr="00301607" w:rsidRDefault="00065D05" w:rsidP="00065D05">
      <w:pPr>
        <w:pStyle w:val="BodyTextIndent2"/>
        <w:rPr>
          <w:szCs w:val="24"/>
        </w:rPr>
      </w:pPr>
      <w:r>
        <w:rPr>
          <w:szCs w:val="24"/>
        </w:rPr>
        <w:tab/>
      </w:r>
      <w:r>
        <w:rPr>
          <w:szCs w:val="24"/>
        </w:rPr>
        <w:tab/>
        <w:t>I would also note that in past dockets, ICNU proposed a PCAM that would address only hydro variability, much in the same way that the RRTM addresses only renewable variability.</w:t>
      </w:r>
      <w:r>
        <w:rPr>
          <w:rStyle w:val="FootnoteReference"/>
          <w:szCs w:val="24"/>
        </w:rPr>
        <w:footnoteReference w:id="72"/>
      </w:r>
      <w:r>
        <w:rPr>
          <w:szCs w:val="24"/>
        </w:rPr>
        <w:t xml:space="preserve">  Although ICNU’s hydro-only PCAM was not adopted by the Commission, it supports the Company’s view that a cost adjustment mechanism that is narrowly focused on particular resources is reasonable.  </w:t>
      </w:r>
    </w:p>
    <w:p w:rsidR="00065D05" w:rsidRDefault="00065D05" w:rsidP="00065D05">
      <w:pPr>
        <w:pStyle w:val="BodyTextIndent2"/>
        <w:rPr>
          <w:b/>
          <w:szCs w:val="24"/>
        </w:rPr>
      </w:pPr>
      <w:r>
        <w:rPr>
          <w:b/>
          <w:szCs w:val="24"/>
        </w:rPr>
        <w:t>Q.</w:t>
      </w:r>
      <w:r>
        <w:rPr>
          <w:b/>
          <w:szCs w:val="24"/>
        </w:rPr>
        <w:tab/>
        <w:t>Boise also quotes a brief filed by the Company in Oregon claiming that the Company cannot isolate the impact of wind generation from its overall NPC.</w:t>
      </w:r>
      <w:r>
        <w:rPr>
          <w:rStyle w:val="FootnoteReference"/>
          <w:b/>
          <w:szCs w:val="24"/>
        </w:rPr>
        <w:footnoteReference w:id="73"/>
      </w:r>
      <w:r>
        <w:rPr>
          <w:b/>
          <w:szCs w:val="24"/>
        </w:rPr>
        <w:t xml:space="preserve">  Does Boise’s testimony accurately portray the Company’s argument in the Oregon proceeding?</w:t>
      </w:r>
    </w:p>
    <w:p w:rsidR="00065D05" w:rsidRPr="00316C90" w:rsidRDefault="00065D05" w:rsidP="00065D05">
      <w:pPr>
        <w:pStyle w:val="BodyTextIndent2"/>
        <w:rPr>
          <w:szCs w:val="24"/>
        </w:rPr>
      </w:pPr>
      <w:r>
        <w:rPr>
          <w:szCs w:val="24"/>
        </w:rPr>
        <w:t>A.</w:t>
      </w:r>
      <w:r>
        <w:rPr>
          <w:szCs w:val="24"/>
        </w:rPr>
        <w:tab/>
        <w:t>No.  Boise failed to provide the full excerpt from the record in Oregon.  Specifically, in the Oregon proceeding, I testified that the Company could not “isolate</w:t>
      </w:r>
      <w:r w:rsidRPr="00316C90">
        <w:rPr>
          <w:szCs w:val="24"/>
        </w:rPr>
        <w:t xml:space="preserve"> and quantify the </w:t>
      </w:r>
      <w:r w:rsidRPr="00316C90">
        <w:rPr>
          <w:szCs w:val="24"/>
          <w:u w:val="single"/>
        </w:rPr>
        <w:t>exact</w:t>
      </w:r>
      <w:r w:rsidRPr="00316C90">
        <w:rPr>
          <w:szCs w:val="24"/>
        </w:rPr>
        <w:t xml:space="preserve"> NPC impacts associated with the renewable generation</w:t>
      </w:r>
      <w:r>
        <w:rPr>
          <w:szCs w:val="24"/>
        </w:rPr>
        <w:t>.”</w:t>
      </w:r>
      <w:r>
        <w:rPr>
          <w:rStyle w:val="FootnoteReference"/>
          <w:szCs w:val="24"/>
        </w:rPr>
        <w:footnoteReference w:id="74"/>
      </w:r>
      <w:r>
        <w:rPr>
          <w:szCs w:val="24"/>
        </w:rPr>
        <w:t xml:space="preserve">  I then testified that the risks associated with increased renewable generation resulting from RPS obligations can be measured “</w:t>
      </w:r>
      <w:r w:rsidRPr="00316C90">
        <w:rPr>
          <w:szCs w:val="24"/>
        </w:rPr>
        <w:t>based on variances in wind</w:t>
      </w:r>
      <w:r>
        <w:rPr>
          <w:szCs w:val="24"/>
        </w:rPr>
        <w:t xml:space="preserve"> </w:t>
      </w:r>
      <w:r w:rsidRPr="00316C90">
        <w:rPr>
          <w:szCs w:val="24"/>
        </w:rPr>
        <w:t>output and market prices actually experienced</w:t>
      </w:r>
      <w:r>
        <w:rPr>
          <w:szCs w:val="24"/>
        </w:rPr>
        <w:t>,”</w:t>
      </w:r>
      <w:r>
        <w:rPr>
          <w:rStyle w:val="FootnoteReference"/>
          <w:szCs w:val="24"/>
        </w:rPr>
        <w:footnoteReference w:id="75"/>
      </w:r>
      <w:r w:rsidRPr="00316C90">
        <w:rPr>
          <w:szCs w:val="24"/>
        </w:rPr>
        <w:t xml:space="preserve"> </w:t>
      </w:r>
      <w:r>
        <w:rPr>
          <w:szCs w:val="24"/>
        </w:rPr>
        <w:t>which is th</w:t>
      </w:r>
      <w:r w:rsidR="009075E3">
        <w:rPr>
          <w:szCs w:val="24"/>
        </w:rPr>
        <w:t xml:space="preserve">e same methodology the Company </w:t>
      </w:r>
      <w:r>
        <w:rPr>
          <w:szCs w:val="24"/>
        </w:rPr>
        <w:t xml:space="preserve">proposed for its RRTM.  </w:t>
      </w:r>
    </w:p>
    <w:p w:rsidR="00065D05" w:rsidRDefault="00065D05" w:rsidP="00065D05">
      <w:pPr>
        <w:pStyle w:val="BodyTextIndent2"/>
        <w:rPr>
          <w:b/>
          <w:szCs w:val="24"/>
        </w:rPr>
      </w:pPr>
      <w:r>
        <w:rPr>
          <w:b/>
          <w:szCs w:val="24"/>
        </w:rPr>
        <w:t>Q.</w:t>
      </w:r>
      <w:r>
        <w:rPr>
          <w:b/>
          <w:szCs w:val="24"/>
        </w:rPr>
        <w:tab/>
        <w:t xml:space="preserve">Parties </w:t>
      </w:r>
      <w:r w:rsidRPr="00F34C60">
        <w:rPr>
          <w:b/>
          <w:szCs w:val="24"/>
        </w:rPr>
        <w:t>also claim that the Company’s proposed RRTM could allow it to surcharge customers for variations in wind generation even when the Company’s overall NPC were less than forecast.</w:t>
      </w:r>
      <w:r>
        <w:rPr>
          <w:rStyle w:val="FootnoteReference"/>
          <w:b/>
          <w:szCs w:val="24"/>
        </w:rPr>
        <w:footnoteReference w:id="76"/>
      </w:r>
      <w:r>
        <w:rPr>
          <w:b/>
          <w:szCs w:val="24"/>
        </w:rPr>
        <w:t xml:space="preserve">  How do you respond?</w:t>
      </w:r>
    </w:p>
    <w:p w:rsidR="007807B3" w:rsidRDefault="00065D05" w:rsidP="007807B3">
      <w:pPr>
        <w:pStyle w:val="BodyTextIndent2"/>
        <w:rPr>
          <w:szCs w:val="24"/>
        </w:rPr>
      </w:pPr>
      <w:r>
        <w:rPr>
          <w:szCs w:val="24"/>
        </w:rPr>
        <w:t>A.</w:t>
      </w:r>
      <w:r>
        <w:rPr>
          <w:szCs w:val="24"/>
        </w:rPr>
        <w:tab/>
      </w:r>
      <w:r w:rsidR="00C66E2F">
        <w:rPr>
          <w:szCs w:val="24"/>
        </w:rPr>
        <w:t>While this concern seems mostly theoretical given</w:t>
      </w:r>
      <w:r w:rsidR="009075E3">
        <w:rPr>
          <w:szCs w:val="24"/>
        </w:rPr>
        <w:t xml:space="preserve"> the Company’s consistent under-</w:t>
      </w:r>
      <w:r w:rsidR="00C66E2F">
        <w:rPr>
          <w:szCs w:val="24"/>
        </w:rPr>
        <w:t>recovery of NPC in Washington,</w:t>
      </w:r>
      <w:r>
        <w:rPr>
          <w:szCs w:val="24"/>
        </w:rPr>
        <w:t xml:space="preserve"> the Company </w:t>
      </w:r>
      <w:r w:rsidR="00C66E2F">
        <w:rPr>
          <w:szCs w:val="24"/>
        </w:rPr>
        <w:t xml:space="preserve">is willing to </w:t>
      </w:r>
      <w:r>
        <w:rPr>
          <w:szCs w:val="24"/>
        </w:rPr>
        <w:t>modif</w:t>
      </w:r>
      <w:r w:rsidR="00C66E2F">
        <w:rPr>
          <w:szCs w:val="24"/>
        </w:rPr>
        <w:t>y</w:t>
      </w:r>
      <w:r>
        <w:rPr>
          <w:szCs w:val="24"/>
        </w:rPr>
        <w:t xml:space="preserve"> its RRTM </w:t>
      </w:r>
      <w:r w:rsidR="00C66E2F">
        <w:rPr>
          <w:szCs w:val="24"/>
        </w:rPr>
        <w:t>to</w:t>
      </w:r>
      <w:r>
        <w:rPr>
          <w:szCs w:val="24"/>
        </w:rPr>
        <w:t xml:space="preserve"> cap the potential customer charges to ensure that the Company recovers no more than its actual NPC in any particular year.  In this way, the Company could never recover more than its actual NP</w:t>
      </w:r>
      <w:r w:rsidR="00106530">
        <w:rPr>
          <w:szCs w:val="24"/>
        </w:rPr>
        <w:t xml:space="preserve">C.  This cap makes the RRTM </w:t>
      </w:r>
      <w:r>
        <w:rPr>
          <w:szCs w:val="24"/>
        </w:rPr>
        <w:t xml:space="preserve">more restrictive than Staff’s proposed PCAM, which would allow the Company to recover more than its actual NPC after application </w:t>
      </w:r>
      <w:r w:rsidR="00CC683C">
        <w:rPr>
          <w:szCs w:val="24"/>
        </w:rPr>
        <w:t>of the sharing and dead bands.</w:t>
      </w:r>
    </w:p>
    <w:p w:rsidR="00636B91" w:rsidRPr="00573168" w:rsidRDefault="009075E3" w:rsidP="00573168">
      <w:pPr>
        <w:pStyle w:val="Heading1"/>
      </w:pPr>
      <w:bookmarkStart w:id="22" w:name="_Toc403714296"/>
      <w:r w:rsidRPr="00573168">
        <w:t xml:space="preserve">LOW </w:t>
      </w:r>
      <w:r w:rsidR="00636B91" w:rsidRPr="00573168">
        <w:t>HYDRO DEFERRAL</w:t>
      </w:r>
      <w:bookmarkEnd w:id="22"/>
    </w:p>
    <w:p w:rsidR="003C7F4E" w:rsidRPr="003C7F4E" w:rsidRDefault="003C7F4E" w:rsidP="003C7F4E">
      <w:pPr>
        <w:suppressLineNumbers/>
      </w:pPr>
    </w:p>
    <w:p w:rsidR="00636B91" w:rsidRPr="00AC531F" w:rsidRDefault="00636B91" w:rsidP="00636B91">
      <w:pPr>
        <w:pStyle w:val="BodyTextIndent2"/>
        <w:keepNext/>
        <w:rPr>
          <w:b/>
          <w:szCs w:val="24"/>
        </w:rPr>
      </w:pPr>
      <w:r w:rsidRPr="00AC531F">
        <w:rPr>
          <w:b/>
          <w:szCs w:val="24"/>
        </w:rPr>
        <w:t>Q.</w:t>
      </w:r>
      <w:r w:rsidRPr="00AC531F">
        <w:rPr>
          <w:b/>
          <w:szCs w:val="24"/>
        </w:rPr>
        <w:tab/>
        <w:t xml:space="preserve">Please </w:t>
      </w:r>
      <w:r w:rsidR="009075E3">
        <w:rPr>
          <w:b/>
          <w:szCs w:val="24"/>
        </w:rPr>
        <w:t>describe the Company’s deferred accounting request related to low hydro conditions</w:t>
      </w:r>
      <w:r w:rsidRPr="00AC531F">
        <w:rPr>
          <w:b/>
          <w:szCs w:val="24"/>
        </w:rPr>
        <w:t>.</w:t>
      </w:r>
    </w:p>
    <w:p w:rsidR="00636B91" w:rsidRDefault="00636B91" w:rsidP="00636B91">
      <w:pPr>
        <w:pStyle w:val="BodyTextIndent2"/>
        <w:keepNext/>
        <w:tabs>
          <w:tab w:val="clear" w:pos="720"/>
        </w:tabs>
        <w:rPr>
          <w:color w:val="000000" w:themeColor="text1"/>
          <w:szCs w:val="24"/>
        </w:rPr>
      </w:pPr>
      <w:r w:rsidRPr="003C7F4E">
        <w:rPr>
          <w:szCs w:val="24"/>
        </w:rPr>
        <w:t>A.</w:t>
      </w:r>
      <w:r w:rsidRPr="00AC531F">
        <w:rPr>
          <w:b/>
          <w:szCs w:val="24"/>
        </w:rPr>
        <w:tab/>
      </w:r>
      <w:r w:rsidRPr="00AC531F">
        <w:rPr>
          <w:szCs w:val="24"/>
        </w:rPr>
        <w:t>The Company filed an application with the Commission on January 17, 2014</w:t>
      </w:r>
      <w:r w:rsidR="009075E3">
        <w:rPr>
          <w:szCs w:val="24"/>
        </w:rPr>
        <w:t>,</w:t>
      </w:r>
      <w:r w:rsidRPr="00AC531F">
        <w:rPr>
          <w:szCs w:val="24"/>
        </w:rPr>
        <w:t xml:space="preserve"> </w:t>
      </w:r>
      <w:r w:rsidR="009075E3">
        <w:rPr>
          <w:szCs w:val="24"/>
        </w:rPr>
        <w:t>seeking</w:t>
      </w:r>
      <w:r w:rsidRPr="00AC531F">
        <w:rPr>
          <w:szCs w:val="24"/>
        </w:rPr>
        <w:t xml:space="preserve"> authorization to defer for </w:t>
      </w:r>
      <w:r w:rsidR="009075E3">
        <w:rPr>
          <w:szCs w:val="24"/>
        </w:rPr>
        <w:t xml:space="preserve">later </w:t>
      </w:r>
      <w:r w:rsidRPr="00AC531F">
        <w:rPr>
          <w:szCs w:val="24"/>
        </w:rPr>
        <w:t xml:space="preserve">ratemaking treatment costs associated with significant variances in actual hydro generation and hydro generation in rates due to abnormal weather conditions and water availability.  </w:t>
      </w:r>
    </w:p>
    <w:p w:rsidR="00636B91" w:rsidRDefault="00636B91" w:rsidP="00636B91">
      <w:pPr>
        <w:pStyle w:val="BodyTextIndent2"/>
        <w:keepNext/>
        <w:tabs>
          <w:tab w:val="clear" w:pos="720"/>
        </w:tabs>
        <w:rPr>
          <w:b/>
        </w:rPr>
      </w:pPr>
      <w:r>
        <w:rPr>
          <w:b/>
        </w:rPr>
        <w:t>Q.</w:t>
      </w:r>
      <w:r>
        <w:rPr>
          <w:b/>
        </w:rPr>
        <w:tab/>
        <w:t>Do</w:t>
      </w:r>
      <w:r w:rsidR="0089471B">
        <w:rPr>
          <w:b/>
        </w:rPr>
        <w:t xml:space="preserve"> the other parties </w:t>
      </w:r>
      <w:r>
        <w:rPr>
          <w:b/>
        </w:rPr>
        <w:t xml:space="preserve">support the Company’s </w:t>
      </w:r>
      <w:r w:rsidR="009075E3">
        <w:rPr>
          <w:b/>
        </w:rPr>
        <w:t>low hydro deferral?</w:t>
      </w:r>
    </w:p>
    <w:p w:rsidR="00636B91" w:rsidRDefault="00636B91" w:rsidP="0089471B">
      <w:pPr>
        <w:pStyle w:val="BodyTextIndent2"/>
        <w:keepNext/>
        <w:tabs>
          <w:tab w:val="clear" w:pos="720"/>
        </w:tabs>
      </w:pPr>
      <w:r>
        <w:t>A.</w:t>
      </w:r>
      <w:r>
        <w:tab/>
        <w:t>No.  Staff calculates the hydro generation variance for 2014 as within 2.9 percent of hydro generation included in rates and</w:t>
      </w:r>
      <w:r w:rsidRPr="000D0DED">
        <w:t xml:space="preserve"> </w:t>
      </w:r>
      <w:r>
        <w:t>claims this is within an acceptable range; however an “acceptable range” is left undefined.</w:t>
      </w:r>
      <w:r w:rsidR="00D76B30">
        <w:rPr>
          <w:rStyle w:val="FootnoteReference"/>
        </w:rPr>
        <w:footnoteReference w:id="77"/>
      </w:r>
      <w:r>
        <w:t xml:space="preserve">  </w:t>
      </w:r>
      <w:r w:rsidR="00D76B30">
        <w:t>Public Counsel argues that it is not appropriate to defer a s</w:t>
      </w:r>
      <w:r w:rsidR="00534939">
        <w:t>e</w:t>
      </w:r>
      <w:r w:rsidR="00D76B30">
        <w:t>lect portion of NPC variances between rate cases.</w:t>
      </w:r>
      <w:r w:rsidR="00D76B30">
        <w:rPr>
          <w:rStyle w:val="FootnoteReference"/>
        </w:rPr>
        <w:footnoteReference w:id="78"/>
      </w:r>
      <w:r w:rsidR="00534939">
        <w:t xml:space="preserve">  Boise rejects the low hydro deferral, arguing that hydro conditions are “about normal” and the deferral is one sided.</w:t>
      </w:r>
      <w:r w:rsidR="00534939">
        <w:rPr>
          <w:rStyle w:val="FootnoteReference"/>
        </w:rPr>
        <w:footnoteReference w:id="79"/>
      </w:r>
    </w:p>
    <w:p w:rsidR="00534939" w:rsidRDefault="00534939" w:rsidP="00534939">
      <w:pPr>
        <w:pStyle w:val="BodyTextIndent2"/>
        <w:keepNext/>
        <w:tabs>
          <w:tab w:val="clear" w:pos="720"/>
        </w:tabs>
        <w:rPr>
          <w:b/>
          <w:szCs w:val="24"/>
        </w:rPr>
      </w:pPr>
      <w:r w:rsidRPr="000F02FA">
        <w:rPr>
          <w:b/>
          <w:szCs w:val="24"/>
        </w:rPr>
        <w:t>Q.</w:t>
      </w:r>
      <w:r>
        <w:rPr>
          <w:b/>
          <w:szCs w:val="24"/>
        </w:rPr>
        <w:tab/>
        <w:t xml:space="preserve">How do you respond?   </w:t>
      </w:r>
    </w:p>
    <w:p w:rsidR="00573168" w:rsidRDefault="00534939" w:rsidP="00573168">
      <w:pPr>
        <w:pStyle w:val="BodyTextIndent2"/>
        <w:tabs>
          <w:tab w:val="clear" w:pos="720"/>
        </w:tabs>
      </w:pPr>
      <w:r>
        <w:rPr>
          <w:szCs w:val="24"/>
        </w:rPr>
        <w:t>A.</w:t>
      </w:r>
      <w:r>
        <w:rPr>
          <w:szCs w:val="24"/>
        </w:rPr>
        <w:tab/>
        <w:t>Hydro resources provide customers with the benefit of a zero-net-power-cost generating resource.  When actual hydro generation is less than the hydro generation in rates it must be replaced by either purchasing power or increased thermal generation.  Due to abnormal hydro conditions beginning in late 2013 and continuing in 2014, the Company has been incurring replacement power costs caused by the variance in hydro generation</w:t>
      </w:r>
      <w:r>
        <w:t>.  Without the deferral, the Company would absorb the costs resulting from unpredictable weather outside of the Company’s control.</w:t>
      </w:r>
    </w:p>
    <w:p w:rsidR="00573168" w:rsidRDefault="00636B91" w:rsidP="00573168">
      <w:pPr>
        <w:pStyle w:val="BodyTextIndent2"/>
        <w:tabs>
          <w:tab w:val="clear" w:pos="720"/>
        </w:tabs>
      </w:pPr>
      <w:r>
        <w:rPr>
          <w:b/>
        </w:rPr>
        <w:t>Q.</w:t>
      </w:r>
      <w:r>
        <w:rPr>
          <w:b/>
        </w:rPr>
        <w:tab/>
        <w:t>How do y</w:t>
      </w:r>
      <w:r w:rsidRPr="004F1FEF">
        <w:rPr>
          <w:b/>
          <w:szCs w:val="24"/>
        </w:rPr>
        <w:t>ou respond to Staff’s comment that “</w:t>
      </w:r>
      <w:r>
        <w:rPr>
          <w:b/>
          <w:szCs w:val="24"/>
        </w:rPr>
        <w:t>[the Company]</w:t>
      </w:r>
      <w:r w:rsidRPr="004F1FEF">
        <w:rPr>
          <w:b/>
          <w:szCs w:val="24"/>
        </w:rPr>
        <w:t xml:space="preserve"> is compensated for “abnormal” hydro variances in net power costs and needs no special accounting treatment</w:t>
      </w:r>
      <w:r>
        <w:rPr>
          <w:b/>
          <w:szCs w:val="24"/>
        </w:rPr>
        <w:t>”?</w:t>
      </w:r>
    </w:p>
    <w:p w:rsidR="00C10EE0" w:rsidRPr="00573168" w:rsidRDefault="00636B91" w:rsidP="00573168">
      <w:pPr>
        <w:pStyle w:val="BodyTextIndent2"/>
        <w:tabs>
          <w:tab w:val="clear" w:pos="720"/>
        </w:tabs>
      </w:pPr>
      <w:r>
        <w:rPr>
          <w:szCs w:val="24"/>
        </w:rPr>
        <w:t>A.</w:t>
      </w:r>
      <w:r>
        <w:rPr>
          <w:szCs w:val="24"/>
        </w:rPr>
        <w:tab/>
      </w:r>
      <w:r w:rsidR="00F40A14">
        <w:rPr>
          <w:szCs w:val="24"/>
        </w:rPr>
        <w:t xml:space="preserve">Staff’s comment is misguided as it </w:t>
      </w:r>
      <w:r w:rsidR="008937FE">
        <w:rPr>
          <w:szCs w:val="24"/>
        </w:rPr>
        <w:t xml:space="preserve">incorrectly </w:t>
      </w:r>
      <w:r w:rsidR="00F40A14">
        <w:rPr>
          <w:szCs w:val="24"/>
        </w:rPr>
        <w:t>account</w:t>
      </w:r>
      <w:r w:rsidR="008937FE">
        <w:rPr>
          <w:szCs w:val="24"/>
        </w:rPr>
        <w:t>s</w:t>
      </w:r>
      <w:r w:rsidR="00F40A14">
        <w:rPr>
          <w:szCs w:val="24"/>
        </w:rPr>
        <w:t xml:space="preserve"> for</w:t>
      </w:r>
      <w:r w:rsidR="008937FE">
        <w:rPr>
          <w:szCs w:val="24"/>
        </w:rPr>
        <w:t xml:space="preserve"> the development of</w:t>
      </w:r>
      <w:r w:rsidR="00F40A14">
        <w:rPr>
          <w:szCs w:val="24"/>
        </w:rPr>
        <w:t xml:space="preserve"> hydro generation levels in the Company’s </w:t>
      </w:r>
      <w:r w:rsidR="0089471B">
        <w:rPr>
          <w:szCs w:val="24"/>
        </w:rPr>
        <w:t xml:space="preserve">pro forma </w:t>
      </w:r>
      <w:r w:rsidR="008937FE">
        <w:rPr>
          <w:szCs w:val="24"/>
        </w:rPr>
        <w:t>NPC</w:t>
      </w:r>
      <w:r w:rsidR="00F40A14">
        <w:rPr>
          <w:szCs w:val="24"/>
        </w:rPr>
        <w:t xml:space="preserve">.  </w:t>
      </w:r>
      <w:r>
        <w:rPr>
          <w:color w:val="000000" w:themeColor="text1"/>
          <w:szCs w:val="24"/>
        </w:rPr>
        <w:t xml:space="preserve">For the purpose of setting rates, the Company uses a single-year </w:t>
      </w:r>
      <w:r w:rsidR="008937FE">
        <w:rPr>
          <w:color w:val="000000" w:themeColor="text1"/>
          <w:szCs w:val="24"/>
        </w:rPr>
        <w:t xml:space="preserve">of </w:t>
      </w:r>
      <w:r w:rsidR="0089471B">
        <w:rPr>
          <w:color w:val="000000" w:themeColor="text1"/>
          <w:szCs w:val="24"/>
        </w:rPr>
        <w:t>median-</w:t>
      </w:r>
      <w:r w:rsidR="0023229E">
        <w:rPr>
          <w:color w:val="000000" w:themeColor="text1"/>
          <w:szCs w:val="24"/>
        </w:rPr>
        <w:t xml:space="preserve">hydro generation levels.  </w:t>
      </w:r>
      <w:r w:rsidR="00F40A14">
        <w:rPr>
          <w:color w:val="000000" w:themeColor="text1"/>
          <w:szCs w:val="24"/>
        </w:rPr>
        <w:t>O</w:t>
      </w:r>
      <w:r w:rsidR="0023229E">
        <w:rPr>
          <w:color w:val="000000" w:themeColor="text1"/>
          <w:szCs w:val="24"/>
        </w:rPr>
        <w:t xml:space="preserve">ther </w:t>
      </w:r>
      <w:r w:rsidR="00F40A14">
        <w:rPr>
          <w:color w:val="000000" w:themeColor="text1"/>
          <w:szCs w:val="24"/>
        </w:rPr>
        <w:t xml:space="preserve">Washington </w:t>
      </w:r>
      <w:r w:rsidR="0023229E">
        <w:rPr>
          <w:color w:val="000000" w:themeColor="text1"/>
          <w:szCs w:val="24"/>
        </w:rPr>
        <w:t xml:space="preserve">utilities </w:t>
      </w:r>
      <w:r w:rsidR="00F40A14">
        <w:rPr>
          <w:color w:val="000000" w:themeColor="text1"/>
          <w:szCs w:val="24"/>
        </w:rPr>
        <w:t>set rates based on the average costs in 4</w:t>
      </w:r>
      <w:r w:rsidR="0023229E">
        <w:rPr>
          <w:color w:val="000000" w:themeColor="text1"/>
          <w:szCs w:val="24"/>
        </w:rPr>
        <w:t>0 or more historical water years</w:t>
      </w:r>
      <w:r w:rsidR="0089471B">
        <w:rPr>
          <w:color w:val="000000" w:themeColor="text1"/>
          <w:szCs w:val="24"/>
        </w:rPr>
        <w:t>, which reflects th</w:t>
      </w:r>
      <w:r w:rsidR="00F40A14">
        <w:rPr>
          <w:color w:val="000000" w:themeColor="text1"/>
          <w:szCs w:val="24"/>
        </w:rPr>
        <w:t xml:space="preserve">e costs and benefits of the variance in hydro generation in the historical data set.  However, the Company’s </w:t>
      </w:r>
      <w:r w:rsidR="00534939">
        <w:rPr>
          <w:color w:val="000000" w:themeColor="text1"/>
          <w:szCs w:val="24"/>
        </w:rPr>
        <w:t xml:space="preserve">hydro generation </w:t>
      </w:r>
      <w:r w:rsidR="00F40A14">
        <w:rPr>
          <w:color w:val="000000" w:themeColor="text1"/>
          <w:szCs w:val="24"/>
        </w:rPr>
        <w:t xml:space="preserve">forecast, based on a </w:t>
      </w:r>
      <w:r>
        <w:rPr>
          <w:color w:val="000000" w:themeColor="text1"/>
          <w:szCs w:val="24"/>
        </w:rPr>
        <w:t>median water year</w:t>
      </w:r>
      <w:r w:rsidR="00F40A14">
        <w:rPr>
          <w:color w:val="000000" w:themeColor="text1"/>
          <w:szCs w:val="24"/>
        </w:rPr>
        <w:t>,</w:t>
      </w:r>
      <w:r>
        <w:rPr>
          <w:color w:val="000000" w:themeColor="text1"/>
          <w:szCs w:val="24"/>
        </w:rPr>
        <w:t xml:space="preserve"> does not account for </w:t>
      </w:r>
      <w:r w:rsidR="00F40A14">
        <w:rPr>
          <w:color w:val="000000" w:themeColor="text1"/>
          <w:szCs w:val="24"/>
        </w:rPr>
        <w:t xml:space="preserve">any of the costs or benefits associated with </w:t>
      </w:r>
      <w:r>
        <w:rPr>
          <w:color w:val="000000" w:themeColor="text1"/>
          <w:szCs w:val="24"/>
        </w:rPr>
        <w:t>year-to-year variability.</w:t>
      </w:r>
    </w:p>
    <w:p w:rsidR="00534939" w:rsidRPr="00534939" w:rsidRDefault="00534939" w:rsidP="00636B91">
      <w:pPr>
        <w:pStyle w:val="BodyTextIndent2"/>
        <w:keepNext/>
        <w:tabs>
          <w:tab w:val="clear" w:pos="720"/>
        </w:tabs>
        <w:rPr>
          <w:b/>
          <w:color w:val="000000" w:themeColor="text1"/>
          <w:szCs w:val="24"/>
        </w:rPr>
      </w:pPr>
      <w:r w:rsidRPr="00534939">
        <w:rPr>
          <w:b/>
          <w:szCs w:val="24"/>
        </w:rPr>
        <w:t>Q.</w:t>
      </w:r>
      <w:r w:rsidRPr="00534939">
        <w:rPr>
          <w:b/>
          <w:color w:val="000000" w:themeColor="text1"/>
          <w:szCs w:val="24"/>
        </w:rPr>
        <w:tab/>
        <w:t>Have you updated the costs of replacement power associated with low hydro conditions?</w:t>
      </w:r>
    </w:p>
    <w:p w:rsidR="00534939" w:rsidRDefault="00534939" w:rsidP="00534939">
      <w:pPr>
        <w:pStyle w:val="BodyTextIndent2"/>
        <w:tabs>
          <w:tab w:val="clear" w:pos="720"/>
        </w:tabs>
        <w:rPr>
          <w:color w:val="000000" w:themeColor="text1"/>
          <w:szCs w:val="24"/>
        </w:rPr>
      </w:pPr>
      <w:r>
        <w:rPr>
          <w:szCs w:val="24"/>
        </w:rPr>
        <w:t>A.</w:t>
      </w:r>
      <w:r>
        <w:rPr>
          <w:color w:val="000000" w:themeColor="text1"/>
          <w:szCs w:val="24"/>
        </w:rPr>
        <w:tab/>
        <w:t xml:space="preserve">Yes.  Attached as Confidential Exhibit No. GND-8C is the Company’s fifth supplement response to Public Counsel Data Request 2 in the low hydro deferral docket (Docket UE-140094).  The response provides actual excess NPC associated with low hydro conditions through September 2014, as well as an updated projection through December 2014.  Based on this updated data, </w:t>
      </w:r>
      <w:r w:rsidR="00F319E0">
        <w:rPr>
          <w:color w:val="000000" w:themeColor="text1"/>
          <w:szCs w:val="24"/>
        </w:rPr>
        <w:t>hydro generation for all of 2014 is approximately 7.6 percent lower than the amount in rates.</w:t>
      </w:r>
      <w:r w:rsidR="00F319E0">
        <w:rPr>
          <w:rStyle w:val="FootnoteReference"/>
          <w:color w:val="000000" w:themeColor="text1"/>
          <w:szCs w:val="24"/>
        </w:rPr>
        <w:footnoteReference w:id="80"/>
      </w:r>
      <w:r w:rsidR="00F319E0">
        <w:rPr>
          <w:color w:val="000000" w:themeColor="text1"/>
          <w:szCs w:val="24"/>
        </w:rPr>
        <w:t xml:space="preserve">  Accordingly, </w:t>
      </w:r>
      <w:r>
        <w:rPr>
          <w:color w:val="000000" w:themeColor="text1"/>
          <w:szCs w:val="24"/>
        </w:rPr>
        <w:t>the Company request</w:t>
      </w:r>
      <w:r w:rsidR="00F319E0">
        <w:rPr>
          <w:color w:val="000000" w:themeColor="text1"/>
          <w:szCs w:val="24"/>
        </w:rPr>
        <w:t>s</w:t>
      </w:r>
      <w:r>
        <w:rPr>
          <w:color w:val="000000" w:themeColor="text1"/>
          <w:szCs w:val="24"/>
        </w:rPr>
        <w:t xml:space="preserve"> amortization of approximately $2.4 million in Washington-allocated excess NPC.  The Company’s deferral request is also discussed in the rebuttal testimony of Ms. Siores.</w:t>
      </w:r>
    </w:p>
    <w:p w:rsidR="00C10EE0" w:rsidRDefault="00C10EE0" w:rsidP="00573168">
      <w:pPr>
        <w:pStyle w:val="Heading1"/>
        <w:spacing w:line="480" w:lineRule="auto"/>
      </w:pPr>
      <w:bookmarkStart w:id="23" w:name="_Toc403714297"/>
      <w:r w:rsidRPr="00171D95">
        <w:t>THERMAL OUTAGE MODELING</w:t>
      </w:r>
      <w:bookmarkEnd w:id="23"/>
    </w:p>
    <w:p w:rsidR="00C10EE0" w:rsidRPr="004103DD" w:rsidRDefault="00C10EE0" w:rsidP="00C10EE0">
      <w:pPr>
        <w:pStyle w:val="BodyTextIndent2"/>
        <w:rPr>
          <w:b/>
          <w:szCs w:val="24"/>
        </w:rPr>
      </w:pPr>
      <w:r w:rsidRPr="004103DD">
        <w:rPr>
          <w:b/>
          <w:szCs w:val="24"/>
        </w:rPr>
        <w:t>Q.</w:t>
      </w:r>
      <w:r w:rsidRPr="004103DD">
        <w:rPr>
          <w:b/>
          <w:szCs w:val="24"/>
        </w:rPr>
        <w:tab/>
        <w:t xml:space="preserve">What does Boise recommend </w:t>
      </w:r>
      <w:r w:rsidR="00534939">
        <w:rPr>
          <w:b/>
          <w:szCs w:val="24"/>
        </w:rPr>
        <w:t>regarding</w:t>
      </w:r>
      <w:r w:rsidRPr="004103DD">
        <w:rPr>
          <w:b/>
          <w:szCs w:val="24"/>
        </w:rPr>
        <w:t xml:space="preserve"> certain outages at Chehalis and Colstrip</w:t>
      </w:r>
      <w:r>
        <w:rPr>
          <w:b/>
          <w:szCs w:val="24"/>
        </w:rPr>
        <w:t xml:space="preserve"> Unit 4</w:t>
      </w:r>
      <w:r w:rsidRPr="004103DD">
        <w:rPr>
          <w:b/>
          <w:szCs w:val="24"/>
        </w:rPr>
        <w:t>?</w:t>
      </w:r>
    </w:p>
    <w:p w:rsidR="00C10EE0" w:rsidRDefault="00C10EE0" w:rsidP="00C10EE0">
      <w:pPr>
        <w:pStyle w:val="BodyTextIndent2"/>
        <w:rPr>
          <w:szCs w:val="24"/>
        </w:rPr>
      </w:pPr>
      <w:r>
        <w:rPr>
          <w:szCs w:val="24"/>
        </w:rPr>
        <w:t>A.</w:t>
      </w:r>
      <w:r>
        <w:rPr>
          <w:szCs w:val="24"/>
        </w:rPr>
        <w:tab/>
        <w:t>Boise claims that two outage events, one at Chehalis and one at Colstrip Unit 4, were the result of impru</w:t>
      </w:r>
      <w:r w:rsidR="00275C0C">
        <w:rPr>
          <w:szCs w:val="24"/>
        </w:rPr>
        <w:t>dent operations and recommends</w:t>
      </w:r>
      <w:r>
        <w:rPr>
          <w:szCs w:val="24"/>
        </w:rPr>
        <w:t xml:space="preserve"> disallowance of the related costs.  For Chehalis, Boise recommends removing the outage from the four-year historical average outage rate used to determine </w:t>
      </w:r>
      <w:r w:rsidR="00534939">
        <w:rPr>
          <w:szCs w:val="24"/>
        </w:rPr>
        <w:t xml:space="preserve">pro forma </w:t>
      </w:r>
      <w:r>
        <w:rPr>
          <w:szCs w:val="24"/>
        </w:rPr>
        <w:t>NPC.  For Colstrip Unit 4, Boise recommends the Commission reject the Company’s application for deferred accounting and recovery of related costs.</w:t>
      </w:r>
    </w:p>
    <w:p w:rsidR="00D03EF8" w:rsidRDefault="00D03EF8" w:rsidP="00D03EF8">
      <w:pPr>
        <w:pStyle w:val="BodyTextIndent2"/>
        <w:suppressLineNumbers/>
        <w:rPr>
          <w:szCs w:val="24"/>
        </w:rPr>
      </w:pPr>
    </w:p>
    <w:p w:rsidR="007348AA" w:rsidRDefault="00C10EE0" w:rsidP="007348AA">
      <w:pPr>
        <w:pStyle w:val="BodyTextIndent2"/>
        <w:widowControl w:val="0"/>
        <w:rPr>
          <w:b/>
          <w:szCs w:val="24"/>
        </w:rPr>
      </w:pPr>
      <w:r w:rsidRPr="004103DD">
        <w:rPr>
          <w:b/>
          <w:szCs w:val="24"/>
        </w:rPr>
        <w:t>Q.</w:t>
      </w:r>
      <w:r w:rsidRPr="004103DD">
        <w:rPr>
          <w:b/>
          <w:szCs w:val="24"/>
        </w:rPr>
        <w:tab/>
        <w:t>How does the Company respond to the allegations that the outages were the result of imprudent operations?</w:t>
      </w:r>
    </w:p>
    <w:p w:rsidR="00573168" w:rsidRDefault="007348AA" w:rsidP="00D03EF8">
      <w:pPr>
        <w:pStyle w:val="BodyTextIndent2"/>
        <w:widowControl w:val="0"/>
        <w:rPr>
          <w:szCs w:val="24"/>
        </w:rPr>
      </w:pPr>
      <w:r w:rsidRPr="007348AA">
        <w:rPr>
          <w:szCs w:val="24"/>
        </w:rPr>
        <w:t>A.</w:t>
      </w:r>
      <w:r>
        <w:rPr>
          <w:b/>
          <w:szCs w:val="24"/>
        </w:rPr>
        <w:tab/>
      </w:r>
      <w:r w:rsidR="00C10EE0">
        <w:rPr>
          <w:szCs w:val="24"/>
        </w:rPr>
        <w:t xml:space="preserve">Boise’s allegations are incorrect.  </w:t>
      </w:r>
      <w:r w:rsidR="00534939">
        <w:rPr>
          <w:szCs w:val="24"/>
        </w:rPr>
        <w:t xml:space="preserve">In his rebuttal testimony, </w:t>
      </w:r>
      <w:r>
        <w:rPr>
          <w:szCs w:val="24"/>
        </w:rPr>
        <w:t xml:space="preserve">Mr. </w:t>
      </w:r>
      <w:r w:rsidR="00C10EE0">
        <w:rPr>
          <w:szCs w:val="24"/>
        </w:rPr>
        <w:t xml:space="preserve">Dana </w:t>
      </w:r>
      <w:r w:rsidR="005203BB">
        <w:rPr>
          <w:szCs w:val="24"/>
        </w:rPr>
        <w:t xml:space="preserve">M. </w:t>
      </w:r>
      <w:r w:rsidR="00C10EE0">
        <w:rPr>
          <w:szCs w:val="24"/>
        </w:rPr>
        <w:t xml:space="preserve">Ralston </w:t>
      </w:r>
    </w:p>
    <w:p w:rsidR="00C10EE0" w:rsidRDefault="00C10EE0" w:rsidP="00573168">
      <w:pPr>
        <w:pStyle w:val="BodyTextIndent2"/>
        <w:widowControl w:val="0"/>
        <w:ind w:firstLine="0"/>
        <w:rPr>
          <w:szCs w:val="24"/>
        </w:rPr>
      </w:pPr>
      <w:r>
        <w:rPr>
          <w:szCs w:val="24"/>
        </w:rPr>
        <w:t xml:space="preserve">provides evidence demonstrating the outages at Chehalis and Colstrip Unit 4 occurred despite prudent plant operation.  </w:t>
      </w:r>
    </w:p>
    <w:p w:rsidR="00C10EE0" w:rsidRPr="004103DD" w:rsidRDefault="00C10EE0" w:rsidP="00C10EE0">
      <w:pPr>
        <w:pStyle w:val="BodyTextIndent2"/>
        <w:rPr>
          <w:b/>
          <w:szCs w:val="24"/>
        </w:rPr>
      </w:pPr>
      <w:r w:rsidRPr="004103DD">
        <w:rPr>
          <w:b/>
          <w:szCs w:val="24"/>
        </w:rPr>
        <w:t>Q.</w:t>
      </w:r>
      <w:r w:rsidRPr="004103DD">
        <w:rPr>
          <w:b/>
          <w:szCs w:val="24"/>
        </w:rPr>
        <w:tab/>
        <w:t xml:space="preserve">What are the implications </w:t>
      </w:r>
      <w:r w:rsidR="00275C0C">
        <w:rPr>
          <w:b/>
          <w:szCs w:val="24"/>
        </w:rPr>
        <w:t>for</w:t>
      </w:r>
      <w:r w:rsidRPr="004103DD">
        <w:rPr>
          <w:b/>
          <w:szCs w:val="24"/>
        </w:rPr>
        <w:t xml:space="preserve"> cost recovery if the Chehalis outage is removed from the average?</w:t>
      </w:r>
    </w:p>
    <w:p w:rsidR="00C10EE0" w:rsidRDefault="00C10EE0" w:rsidP="00C10EE0">
      <w:pPr>
        <w:pStyle w:val="BodyTextIndent2"/>
        <w:rPr>
          <w:szCs w:val="24"/>
        </w:rPr>
      </w:pPr>
      <w:r>
        <w:rPr>
          <w:szCs w:val="24"/>
        </w:rPr>
        <w:t>A,</w:t>
      </w:r>
      <w:r>
        <w:rPr>
          <w:szCs w:val="24"/>
        </w:rPr>
        <w:tab/>
        <w:t>The Company u</w:t>
      </w:r>
      <w:r w:rsidR="00275C0C">
        <w:rPr>
          <w:szCs w:val="24"/>
        </w:rPr>
        <w:t>s</w:t>
      </w:r>
      <w:r>
        <w:rPr>
          <w:szCs w:val="24"/>
        </w:rPr>
        <w:t>es a four-year historical average outage rate at each plant to determine the</w:t>
      </w:r>
      <w:r w:rsidR="00275C0C">
        <w:rPr>
          <w:szCs w:val="24"/>
        </w:rPr>
        <w:t xml:space="preserve"> plant availability during the pro forma</w:t>
      </w:r>
      <w:r>
        <w:rPr>
          <w:szCs w:val="24"/>
        </w:rPr>
        <w:t xml:space="preserve"> period used to determine NPC in rates.  If outage events such as th</w:t>
      </w:r>
      <w:r w:rsidR="00275C0C">
        <w:rPr>
          <w:szCs w:val="24"/>
        </w:rPr>
        <w:t>o</w:t>
      </w:r>
      <w:r>
        <w:rPr>
          <w:szCs w:val="24"/>
        </w:rPr>
        <w:t xml:space="preserve">se at Chehalis and Colstrip Unit 4 are not included in the historical average, the Company will have no way to recover the cost of such events </w:t>
      </w:r>
      <w:r w:rsidR="00275C0C">
        <w:rPr>
          <w:szCs w:val="24"/>
        </w:rPr>
        <w:t>without</w:t>
      </w:r>
      <w:r>
        <w:rPr>
          <w:szCs w:val="24"/>
        </w:rPr>
        <w:t xml:space="preserve"> some kind of deferral mechanism, even when the outages are determined to be prudent. </w:t>
      </w:r>
    </w:p>
    <w:p w:rsidR="00C10EE0" w:rsidRPr="004103DD" w:rsidRDefault="00C10EE0" w:rsidP="00C10EE0">
      <w:pPr>
        <w:pStyle w:val="BodyTextIndent2"/>
        <w:rPr>
          <w:b/>
          <w:szCs w:val="24"/>
        </w:rPr>
      </w:pPr>
      <w:r w:rsidRPr="004103DD">
        <w:rPr>
          <w:b/>
          <w:szCs w:val="24"/>
        </w:rPr>
        <w:t>Q.</w:t>
      </w:r>
      <w:r w:rsidRPr="004103DD">
        <w:rPr>
          <w:b/>
          <w:szCs w:val="24"/>
        </w:rPr>
        <w:tab/>
      </w:r>
      <w:r>
        <w:rPr>
          <w:b/>
          <w:szCs w:val="24"/>
        </w:rPr>
        <w:t>How h</w:t>
      </w:r>
      <w:r w:rsidRPr="004103DD">
        <w:rPr>
          <w:b/>
          <w:szCs w:val="24"/>
        </w:rPr>
        <w:t xml:space="preserve">ave you addressed this situation </w:t>
      </w:r>
      <w:r w:rsidR="00275C0C">
        <w:rPr>
          <w:b/>
          <w:szCs w:val="24"/>
        </w:rPr>
        <w:t>for</w:t>
      </w:r>
      <w:r w:rsidRPr="004103DD">
        <w:rPr>
          <w:b/>
          <w:szCs w:val="24"/>
        </w:rPr>
        <w:t xml:space="preserve"> the Colstrip outage?</w:t>
      </w:r>
    </w:p>
    <w:p w:rsidR="00C10EE0" w:rsidRDefault="00C10EE0" w:rsidP="00C10EE0">
      <w:pPr>
        <w:pStyle w:val="BodyTextIndent2"/>
        <w:rPr>
          <w:szCs w:val="24"/>
        </w:rPr>
      </w:pPr>
      <w:r>
        <w:rPr>
          <w:szCs w:val="24"/>
        </w:rPr>
        <w:t>A.</w:t>
      </w:r>
      <w:r>
        <w:rPr>
          <w:szCs w:val="24"/>
        </w:rPr>
        <w:tab/>
        <w:t xml:space="preserve">Due to the anticipated length of the Colstrip outage, the Company filed its request for deferred accounting treatment of the replacement power costs.  In conjunction with deferred accounting treatment, the average outage rate used in the general rate case for Colstrip Unit 4 is set at a normalized, lower level that does not reflect the outage in question.  </w:t>
      </w:r>
    </w:p>
    <w:p w:rsidR="00C10EE0" w:rsidRPr="005430F8" w:rsidRDefault="00C10EE0" w:rsidP="00C10EE0">
      <w:pPr>
        <w:pStyle w:val="BodyTextIndent2"/>
        <w:rPr>
          <w:b/>
          <w:szCs w:val="24"/>
        </w:rPr>
      </w:pPr>
      <w:r w:rsidRPr="005430F8">
        <w:rPr>
          <w:b/>
          <w:szCs w:val="24"/>
        </w:rPr>
        <w:t>Q.</w:t>
      </w:r>
      <w:r w:rsidRPr="005430F8">
        <w:rPr>
          <w:b/>
          <w:szCs w:val="24"/>
        </w:rPr>
        <w:tab/>
        <w:t xml:space="preserve">What about the Chehalis outage?  </w:t>
      </w:r>
    </w:p>
    <w:p w:rsidR="00C10EE0" w:rsidRDefault="00275C0C" w:rsidP="00C10EE0">
      <w:pPr>
        <w:pStyle w:val="BodyTextIndent2"/>
        <w:rPr>
          <w:szCs w:val="24"/>
        </w:rPr>
      </w:pPr>
      <w:r>
        <w:rPr>
          <w:szCs w:val="24"/>
        </w:rPr>
        <w:t>A.</w:t>
      </w:r>
      <w:r>
        <w:rPr>
          <w:szCs w:val="24"/>
        </w:rPr>
        <w:tab/>
        <w:t xml:space="preserve">In this case, if the </w:t>
      </w:r>
      <w:r w:rsidR="00C10EE0">
        <w:rPr>
          <w:szCs w:val="24"/>
        </w:rPr>
        <w:t xml:space="preserve">Chehalis </w:t>
      </w:r>
      <w:r>
        <w:rPr>
          <w:szCs w:val="24"/>
        </w:rPr>
        <w:t xml:space="preserve">outage </w:t>
      </w:r>
      <w:r w:rsidR="00C10EE0">
        <w:rPr>
          <w:szCs w:val="24"/>
        </w:rPr>
        <w:t xml:space="preserve">is removed from the average outage calculation, the Company will </w:t>
      </w:r>
      <w:r>
        <w:rPr>
          <w:szCs w:val="24"/>
        </w:rPr>
        <w:t xml:space="preserve">not </w:t>
      </w:r>
      <w:r w:rsidR="00C10EE0">
        <w:rPr>
          <w:szCs w:val="24"/>
        </w:rPr>
        <w:t xml:space="preserve">recover the net power cost impact of the outage.  </w:t>
      </w:r>
    </w:p>
    <w:p w:rsidR="00D03EF8" w:rsidRDefault="00D03EF8" w:rsidP="00D03EF8">
      <w:pPr>
        <w:pStyle w:val="BodyTextIndent2"/>
        <w:suppressLineNumbers/>
        <w:rPr>
          <w:szCs w:val="24"/>
        </w:rPr>
      </w:pPr>
    </w:p>
    <w:p w:rsidR="007348AA" w:rsidRDefault="00C10EE0" w:rsidP="007348AA">
      <w:pPr>
        <w:pStyle w:val="BodyTextIndent2"/>
        <w:widowControl w:val="0"/>
        <w:rPr>
          <w:b/>
          <w:szCs w:val="24"/>
        </w:rPr>
      </w:pPr>
      <w:r w:rsidRPr="004103DD">
        <w:rPr>
          <w:b/>
          <w:szCs w:val="24"/>
        </w:rPr>
        <w:t>Q.</w:t>
      </w:r>
      <w:r w:rsidRPr="004103DD">
        <w:rPr>
          <w:b/>
          <w:szCs w:val="24"/>
        </w:rPr>
        <w:tab/>
        <w:t xml:space="preserve">Has </w:t>
      </w:r>
      <w:r>
        <w:rPr>
          <w:b/>
          <w:szCs w:val="24"/>
        </w:rPr>
        <w:t xml:space="preserve">Staff previously agreed that deferred accounting was </w:t>
      </w:r>
      <w:r w:rsidR="002C3CD7">
        <w:rPr>
          <w:b/>
          <w:szCs w:val="24"/>
        </w:rPr>
        <w:t xml:space="preserve">an </w:t>
      </w:r>
      <w:r>
        <w:rPr>
          <w:b/>
          <w:szCs w:val="24"/>
        </w:rPr>
        <w:t xml:space="preserve">appropriate </w:t>
      </w:r>
      <w:r w:rsidR="002C3CD7">
        <w:rPr>
          <w:b/>
          <w:szCs w:val="24"/>
        </w:rPr>
        <w:t xml:space="preserve">option </w:t>
      </w:r>
      <w:r>
        <w:rPr>
          <w:b/>
          <w:szCs w:val="24"/>
        </w:rPr>
        <w:t>if prudent forced outages are normalized out of the forced outage rate?</w:t>
      </w:r>
    </w:p>
    <w:p w:rsidR="00C10EE0" w:rsidRPr="004103DD" w:rsidRDefault="00C10EE0" w:rsidP="007348AA">
      <w:pPr>
        <w:pStyle w:val="BodyTextIndent2"/>
        <w:widowControl w:val="0"/>
        <w:rPr>
          <w:szCs w:val="24"/>
        </w:rPr>
      </w:pPr>
      <w:r w:rsidRPr="004103DD">
        <w:rPr>
          <w:szCs w:val="24"/>
        </w:rPr>
        <w:t>A.</w:t>
      </w:r>
      <w:r w:rsidRPr="004103DD">
        <w:rPr>
          <w:szCs w:val="24"/>
        </w:rPr>
        <w:tab/>
      </w:r>
      <w:r>
        <w:rPr>
          <w:szCs w:val="24"/>
        </w:rPr>
        <w:t xml:space="preserve">Yes. </w:t>
      </w:r>
      <w:r w:rsidR="007348AA">
        <w:rPr>
          <w:szCs w:val="24"/>
        </w:rPr>
        <w:t xml:space="preserve"> </w:t>
      </w:r>
      <w:r>
        <w:rPr>
          <w:szCs w:val="24"/>
        </w:rPr>
        <w:t>As I described in my direct testimony, i</w:t>
      </w:r>
      <w:r w:rsidRPr="004103DD">
        <w:rPr>
          <w:szCs w:val="24"/>
        </w:rPr>
        <w:t xml:space="preserve">n Docket UE-100749, the Commission approved an adjustment to limit the forced outage rate to eight percent for Colstrip Unit 4.  In that case, the Company included a seven-month outage at the plant during 2009 in the 48-month historical average, increasing the calculated outage rate used in GRID.  The Commission determined that the extended outage should not be included in the historical average because the result was less predictive of what may occur in the future.  </w:t>
      </w:r>
      <w:r>
        <w:rPr>
          <w:szCs w:val="24"/>
        </w:rPr>
        <w:t>In that case, Staff recognized that reducing t</w:t>
      </w:r>
      <w:r w:rsidR="00275C0C">
        <w:rPr>
          <w:szCs w:val="24"/>
        </w:rPr>
        <w:t xml:space="preserve">he outage rate would limit cost </w:t>
      </w:r>
      <w:r>
        <w:rPr>
          <w:szCs w:val="24"/>
        </w:rPr>
        <w:t>recovery for the incident, and Staff supported the idea of using deferred accounting to achieve recovery.</w:t>
      </w:r>
      <w:r w:rsidR="002C3CD7">
        <w:rPr>
          <w:rStyle w:val="FootnoteReference"/>
          <w:szCs w:val="24"/>
        </w:rPr>
        <w:footnoteReference w:id="81"/>
      </w:r>
      <w:r>
        <w:rPr>
          <w:szCs w:val="24"/>
        </w:rPr>
        <w:t xml:space="preserve">  </w:t>
      </w:r>
      <w:r w:rsidR="00275C0C">
        <w:rPr>
          <w:szCs w:val="24"/>
        </w:rPr>
        <w:t>Ms. Siores provides additional testimony on the Colstrip deferred accounting request in her rebuttal testimony.</w:t>
      </w:r>
    </w:p>
    <w:p w:rsidR="00C10EE0" w:rsidRPr="004103DD" w:rsidRDefault="00C10EE0" w:rsidP="00C10EE0">
      <w:pPr>
        <w:pStyle w:val="BodyTextIndent2"/>
        <w:rPr>
          <w:b/>
          <w:szCs w:val="24"/>
        </w:rPr>
      </w:pPr>
      <w:r w:rsidRPr="004103DD">
        <w:rPr>
          <w:b/>
          <w:szCs w:val="24"/>
        </w:rPr>
        <w:t>Q.</w:t>
      </w:r>
      <w:r w:rsidRPr="004103DD">
        <w:rPr>
          <w:b/>
          <w:szCs w:val="24"/>
        </w:rPr>
        <w:tab/>
        <w:t xml:space="preserve">If deferred accounting is not approved for the Colstrip Unit 4 outage, </w:t>
      </w:r>
      <w:r>
        <w:rPr>
          <w:b/>
          <w:szCs w:val="24"/>
        </w:rPr>
        <w:t>should the Company’s forced outage rate be adjusted to include this outage</w:t>
      </w:r>
      <w:r w:rsidR="00275C0C">
        <w:rPr>
          <w:b/>
          <w:szCs w:val="24"/>
        </w:rPr>
        <w:t>?</w:t>
      </w:r>
    </w:p>
    <w:p w:rsidR="00C10EE0" w:rsidRPr="00753069" w:rsidRDefault="00C10EE0" w:rsidP="00C10EE0">
      <w:pPr>
        <w:pStyle w:val="BodyTextIndent2"/>
        <w:rPr>
          <w:szCs w:val="24"/>
        </w:rPr>
      </w:pPr>
      <w:r>
        <w:rPr>
          <w:szCs w:val="24"/>
        </w:rPr>
        <w:t>A.</w:t>
      </w:r>
      <w:r>
        <w:rPr>
          <w:szCs w:val="24"/>
        </w:rPr>
        <w:tab/>
        <w:t xml:space="preserve">Yes.  </w:t>
      </w:r>
      <w:r w:rsidRPr="003817AA">
        <w:rPr>
          <w:szCs w:val="24"/>
        </w:rPr>
        <w:t>In the current filing, the 48-month historical outa</w:t>
      </w:r>
      <w:r w:rsidR="00275C0C">
        <w:rPr>
          <w:szCs w:val="24"/>
        </w:rPr>
        <w:t xml:space="preserve">ge rate for Colstrip Unit 4 is </w:t>
      </w:r>
      <w:r w:rsidRPr="003817AA">
        <w:rPr>
          <w:szCs w:val="24"/>
        </w:rPr>
        <w:t xml:space="preserve">influenced by </w:t>
      </w:r>
      <w:r w:rsidR="00275C0C">
        <w:rPr>
          <w:szCs w:val="24"/>
        </w:rPr>
        <w:t>the</w:t>
      </w:r>
      <w:r w:rsidRPr="003817AA">
        <w:rPr>
          <w:szCs w:val="24"/>
        </w:rPr>
        <w:t xml:space="preserve"> extended forced outage</w:t>
      </w:r>
      <w:r w:rsidR="00275C0C">
        <w:rPr>
          <w:szCs w:val="24"/>
        </w:rPr>
        <w:t xml:space="preserve"> in </w:t>
      </w:r>
      <w:r w:rsidRPr="003817AA">
        <w:rPr>
          <w:szCs w:val="24"/>
        </w:rPr>
        <w:t>2013</w:t>
      </w:r>
      <w:r>
        <w:rPr>
          <w:szCs w:val="24"/>
        </w:rPr>
        <w:t>; however, t</w:t>
      </w:r>
      <w:r w:rsidRPr="003817AA">
        <w:rPr>
          <w:szCs w:val="24"/>
        </w:rPr>
        <w:t>he Company limit</w:t>
      </w:r>
      <w:r>
        <w:rPr>
          <w:szCs w:val="24"/>
        </w:rPr>
        <w:t>ed</w:t>
      </w:r>
      <w:r w:rsidRPr="003817AA">
        <w:rPr>
          <w:szCs w:val="24"/>
        </w:rPr>
        <w:t xml:space="preserve"> </w:t>
      </w:r>
      <w:r>
        <w:rPr>
          <w:szCs w:val="24"/>
        </w:rPr>
        <w:t xml:space="preserve">the </w:t>
      </w:r>
      <w:r w:rsidRPr="003817AA">
        <w:rPr>
          <w:szCs w:val="24"/>
        </w:rPr>
        <w:t xml:space="preserve">outage rate </w:t>
      </w:r>
      <w:r>
        <w:rPr>
          <w:szCs w:val="24"/>
        </w:rPr>
        <w:t xml:space="preserve">used for NPC </w:t>
      </w:r>
      <w:r w:rsidRPr="003817AA">
        <w:rPr>
          <w:szCs w:val="24"/>
        </w:rPr>
        <w:t>to</w:t>
      </w:r>
      <w:r w:rsidRPr="00AC1972">
        <w:rPr>
          <w:szCs w:val="24"/>
        </w:rPr>
        <w:t xml:space="preserve"> eight percent.  </w:t>
      </w:r>
      <w:r>
        <w:rPr>
          <w:szCs w:val="24"/>
        </w:rPr>
        <w:t xml:space="preserve">If the Company’s request for deferred accounting is rejected, the historical outage rate for Colstrip Unit 4 should be increased to reflect actual plant operations. </w:t>
      </w:r>
    </w:p>
    <w:p w:rsidR="00D03EF8" w:rsidRDefault="00D03EF8" w:rsidP="00D03EF8">
      <w:pPr>
        <w:pStyle w:val="Heading1"/>
        <w:suppressLineNumbers/>
      </w:pPr>
      <w:bookmarkStart w:id="24" w:name="_Toc403714298"/>
    </w:p>
    <w:p w:rsidR="00D03EF8" w:rsidRPr="00D03EF8" w:rsidRDefault="00D03EF8" w:rsidP="00D03EF8">
      <w:pPr>
        <w:suppressLineNumbers/>
      </w:pPr>
    </w:p>
    <w:p w:rsidR="00140C5A" w:rsidRPr="00573168" w:rsidRDefault="00140C5A" w:rsidP="00C97532">
      <w:pPr>
        <w:pStyle w:val="Heading1"/>
        <w:spacing w:line="480" w:lineRule="auto"/>
      </w:pPr>
      <w:r w:rsidRPr="00573168">
        <w:t>ACCEPTED ADJUSTMENT</w:t>
      </w:r>
      <w:bookmarkEnd w:id="24"/>
    </w:p>
    <w:p w:rsidR="005203BB" w:rsidRDefault="00140C5A" w:rsidP="00C97532">
      <w:pPr>
        <w:pStyle w:val="BodyTextIndent2"/>
        <w:widowControl w:val="0"/>
        <w:tabs>
          <w:tab w:val="clear" w:pos="720"/>
        </w:tabs>
        <w:rPr>
          <w:b/>
          <w:szCs w:val="24"/>
        </w:rPr>
      </w:pPr>
      <w:r w:rsidRPr="0044258A">
        <w:rPr>
          <w:b/>
          <w:szCs w:val="24"/>
        </w:rPr>
        <w:t>Q.</w:t>
      </w:r>
      <w:r w:rsidRPr="0044258A">
        <w:rPr>
          <w:b/>
          <w:szCs w:val="24"/>
        </w:rPr>
        <w:tab/>
        <w:t xml:space="preserve">Does the Company accept </w:t>
      </w:r>
      <w:r>
        <w:rPr>
          <w:b/>
          <w:szCs w:val="24"/>
        </w:rPr>
        <w:t xml:space="preserve">Boise’s adjustment </w:t>
      </w:r>
      <w:r w:rsidRPr="00140C5A">
        <w:rPr>
          <w:b/>
          <w:szCs w:val="24"/>
        </w:rPr>
        <w:t>related to network integration transmission service</w:t>
      </w:r>
      <w:r w:rsidR="0044321B">
        <w:rPr>
          <w:b/>
          <w:szCs w:val="24"/>
        </w:rPr>
        <w:t>, or NITS,</w:t>
      </w:r>
      <w:r w:rsidR="00701450">
        <w:rPr>
          <w:b/>
          <w:szCs w:val="24"/>
        </w:rPr>
        <w:t xml:space="preserve"> from BPA</w:t>
      </w:r>
      <w:r w:rsidRPr="00140C5A">
        <w:rPr>
          <w:b/>
          <w:szCs w:val="24"/>
        </w:rPr>
        <w:t>?</w:t>
      </w:r>
    </w:p>
    <w:p w:rsidR="00140C5A" w:rsidRDefault="00140C5A" w:rsidP="00C97532">
      <w:pPr>
        <w:pStyle w:val="BodyTextIndent2"/>
        <w:tabs>
          <w:tab w:val="clear" w:pos="720"/>
        </w:tabs>
        <w:rPr>
          <w:szCs w:val="24"/>
        </w:rPr>
      </w:pPr>
      <w:r w:rsidRPr="0044258A">
        <w:rPr>
          <w:szCs w:val="24"/>
        </w:rPr>
        <w:t>A.</w:t>
      </w:r>
      <w:r w:rsidRPr="0044258A">
        <w:rPr>
          <w:szCs w:val="24"/>
        </w:rPr>
        <w:tab/>
        <w:t>Yes</w:t>
      </w:r>
      <w:r>
        <w:rPr>
          <w:szCs w:val="24"/>
        </w:rPr>
        <w:t>, in part</w:t>
      </w:r>
      <w:r w:rsidRPr="0044258A">
        <w:rPr>
          <w:szCs w:val="24"/>
        </w:rPr>
        <w:t xml:space="preserve">.  </w:t>
      </w:r>
      <w:r>
        <w:rPr>
          <w:szCs w:val="24"/>
        </w:rPr>
        <w:t>T</w:t>
      </w:r>
      <w:r w:rsidRPr="0044258A">
        <w:rPr>
          <w:szCs w:val="24"/>
        </w:rPr>
        <w:t>he Company accepts</w:t>
      </w:r>
      <w:r>
        <w:rPr>
          <w:szCs w:val="24"/>
        </w:rPr>
        <w:t xml:space="preserve"> in concept </w:t>
      </w:r>
      <w:r w:rsidR="00701450">
        <w:rPr>
          <w:szCs w:val="24"/>
        </w:rPr>
        <w:t xml:space="preserve">Boise’s </w:t>
      </w:r>
      <w:r>
        <w:rPr>
          <w:szCs w:val="24"/>
        </w:rPr>
        <w:t xml:space="preserve">adjustment to reduce wheeling expenses related to </w:t>
      </w:r>
      <w:r w:rsidR="00701450">
        <w:rPr>
          <w:szCs w:val="24"/>
        </w:rPr>
        <w:t xml:space="preserve">BPA </w:t>
      </w:r>
      <w:r>
        <w:rPr>
          <w:szCs w:val="24"/>
        </w:rPr>
        <w:t xml:space="preserve">NITS.  </w:t>
      </w:r>
      <w:r w:rsidR="00701450">
        <w:rPr>
          <w:szCs w:val="24"/>
        </w:rPr>
        <w:t xml:space="preserve">But </w:t>
      </w:r>
      <w:r>
        <w:rPr>
          <w:szCs w:val="24"/>
        </w:rPr>
        <w:t>Boise’s proposed calculations to determine BPA NITS expense for the forecast period are flawed and overstate the required adjustment.</w:t>
      </w:r>
    </w:p>
    <w:p w:rsidR="00F40A14" w:rsidRDefault="009131EA" w:rsidP="00C97532">
      <w:pPr>
        <w:pStyle w:val="BodyTextIndent2"/>
        <w:tabs>
          <w:tab w:val="clear" w:pos="720"/>
        </w:tabs>
        <w:rPr>
          <w:b/>
          <w:szCs w:val="24"/>
        </w:rPr>
      </w:pPr>
      <w:r>
        <w:rPr>
          <w:b/>
          <w:szCs w:val="24"/>
        </w:rPr>
        <w:t>Q.</w:t>
      </w:r>
      <w:r>
        <w:rPr>
          <w:b/>
          <w:szCs w:val="24"/>
        </w:rPr>
        <w:tab/>
        <w:t>What are the BPA NITS wheeling expenses?</w:t>
      </w:r>
    </w:p>
    <w:p w:rsidR="009131EA" w:rsidRDefault="009131EA" w:rsidP="00C97532">
      <w:pPr>
        <w:pStyle w:val="BodyTextIndent2"/>
        <w:tabs>
          <w:tab w:val="clear" w:pos="720"/>
        </w:tabs>
        <w:rPr>
          <w:szCs w:val="24"/>
        </w:rPr>
      </w:pPr>
      <w:r w:rsidRPr="008937FE">
        <w:rPr>
          <w:szCs w:val="24"/>
        </w:rPr>
        <w:t>A.</w:t>
      </w:r>
      <w:r w:rsidRPr="008937FE">
        <w:rPr>
          <w:szCs w:val="24"/>
        </w:rPr>
        <w:tab/>
      </w:r>
      <w:r>
        <w:rPr>
          <w:szCs w:val="24"/>
        </w:rPr>
        <w:t xml:space="preserve">Some of the Company’s </w:t>
      </w:r>
      <w:r w:rsidR="00B865A2">
        <w:rPr>
          <w:szCs w:val="24"/>
        </w:rPr>
        <w:t>west control area</w:t>
      </w:r>
      <w:r>
        <w:rPr>
          <w:szCs w:val="24"/>
        </w:rPr>
        <w:t xml:space="preserve"> retail loads are served using BPA’s transmission system, rather than </w:t>
      </w:r>
      <w:r w:rsidR="00EF78C8">
        <w:rPr>
          <w:szCs w:val="24"/>
        </w:rPr>
        <w:t xml:space="preserve">exclusively using </w:t>
      </w:r>
      <w:r>
        <w:rPr>
          <w:szCs w:val="24"/>
        </w:rPr>
        <w:t>Company-owned transmission assets.</w:t>
      </w:r>
      <w:r w:rsidR="00B865A2">
        <w:rPr>
          <w:szCs w:val="24"/>
        </w:rPr>
        <w:t xml:space="preserve"> </w:t>
      </w:r>
      <w:r w:rsidR="00275C0C">
        <w:rPr>
          <w:szCs w:val="24"/>
        </w:rPr>
        <w:t xml:space="preserve"> </w:t>
      </w:r>
      <w:r w:rsidR="00B865A2">
        <w:rPr>
          <w:szCs w:val="24"/>
        </w:rPr>
        <w:t xml:space="preserve">BPA charges </w:t>
      </w:r>
      <w:r w:rsidR="0044321B">
        <w:rPr>
          <w:szCs w:val="24"/>
        </w:rPr>
        <w:t xml:space="preserve">for NITS </w:t>
      </w:r>
      <w:r w:rsidR="00B865A2">
        <w:rPr>
          <w:szCs w:val="24"/>
        </w:rPr>
        <w:t xml:space="preserve">based on a customer’s load during the hour of BPA’s transmission system peak in each month. </w:t>
      </w:r>
      <w:r w:rsidR="0044321B">
        <w:rPr>
          <w:szCs w:val="24"/>
        </w:rPr>
        <w:t xml:space="preserve"> </w:t>
      </w:r>
      <w:r w:rsidR="00895119">
        <w:rPr>
          <w:szCs w:val="24"/>
        </w:rPr>
        <w:t>The rate</w:t>
      </w:r>
      <w:r w:rsidR="00EF78C8">
        <w:rPr>
          <w:szCs w:val="24"/>
        </w:rPr>
        <w:t>s</w:t>
      </w:r>
      <w:r w:rsidR="00895119">
        <w:rPr>
          <w:szCs w:val="24"/>
        </w:rPr>
        <w:t xml:space="preserve"> charged by BPA </w:t>
      </w:r>
      <w:r w:rsidR="00EF78C8">
        <w:rPr>
          <w:szCs w:val="24"/>
        </w:rPr>
        <w:t xml:space="preserve">for this service </w:t>
      </w:r>
      <w:r w:rsidR="00895119">
        <w:rPr>
          <w:szCs w:val="24"/>
        </w:rPr>
        <w:t>w</w:t>
      </w:r>
      <w:r w:rsidR="00B865A2">
        <w:rPr>
          <w:szCs w:val="24"/>
        </w:rPr>
        <w:t>ere</w:t>
      </w:r>
      <w:r w:rsidR="00895119">
        <w:rPr>
          <w:szCs w:val="24"/>
        </w:rPr>
        <w:t xml:space="preserve"> last updated in October 2013 as part of BPA’s </w:t>
      </w:r>
      <w:r w:rsidR="00EF78C8">
        <w:rPr>
          <w:szCs w:val="24"/>
        </w:rPr>
        <w:t>most recent</w:t>
      </w:r>
      <w:r w:rsidR="00895119">
        <w:rPr>
          <w:szCs w:val="24"/>
        </w:rPr>
        <w:t xml:space="preserve"> rate case.</w:t>
      </w:r>
    </w:p>
    <w:p w:rsidR="00B865A2" w:rsidRPr="00B865A2" w:rsidRDefault="00B865A2" w:rsidP="00C97532">
      <w:pPr>
        <w:pStyle w:val="BodyTextIndent2"/>
        <w:tabs>
          <w:tab w:val="clear" w:pos="720"/>
        </w:tabs>
        <w:rPr>
          <w:b/>
          <w:szCs w:val="24"/>
        </w:rPr>
      </w:pPr>
      <w:r w:rsidRPr="00B865A2">
        <w:rPr>
          <w:b/>
          <w:szCs w:val="24"/>
        </w:rPr>
        <w:t>Q.</w:t>
      </w:r>
      <w:r w:rsidRPr="00B865A2">
        <w:rPr>
          <w:b/>
          <w:szCs w:val="24"/>
        </w:rPr>
        <w:tab/>
        <w:t>How did the Company calculate BPA NITS expense in its initial filing?</w:t>
      </w:r>
    </w:p>
    <w:p w:rsidR="00B865A2" w:rsidRPr="008937FE" w:rsidRDefault="0023604E" w:rsidP="00C97532">
      <w:pPr>
        <w:pStyle w:val="BodyTextIndent2"/>
        <w:tabs>
          <w:tab w:val="clear" w:pos="720"/>
        </w:tabs>
        <w:rPr>
          <w:szCs w:val="24"/>
        </w:rPr>
      </w:pPr>
      <w:r>
        <w:rPr>
          <w:szCs w:val="24"/>
        </w:rPr>
        <w:t>A.</w:t>
      </w:r>
      <w:r>
        <w:rPr>
          <w:szCs w:val="24"/>
        </w:rPr>
        <w:tab/>
        <w:t>The Company applied the current BPA rates to its forecasted load at the time of its non-coincident peak during the</w:t>
      </w:r>
      <w:r w:rsidR="00275C0C">
        <w:rPr>
          <w:szCs w:val="24"/>
        </w:rPr>
        <w:t xml:space="preserve"> pro forma</w:t>
      </w:r>
      <w:r>
        <w:rPr>
          <w:szCs w:val="24"/>
        </w:rPr>
        <w:t xml:space="preserve"> period for each load pocket served with BPA NITS.</w:t>
      </w:r>
    </w:p>
    <w:p w:rsidR="00140C5A" w:rsidRDefault="00140C5A" w:rsidP="00C97532">
      <w:pPr>
        <w:pStyle w:val="BodyTextIndent2"/>
        <w:tabs>
          <w:tab w:val="clear" w:pos="720"/>
        </w:tabs>
        <w:rPr>
          <w:szCs w:val="24"/>
        </w:rPr>
      </w:pPr>
      <w:r>
        <w:rPr>
          <w:b/>
          <w:szCs w:val="24"/>
        </w:rPr>
        <w:t>Q.</w:t>
      </w:r>
      <w:r>
        <w:rPr>
          <w:b/>
          <w:szCs w:val="24"/>
        </w:rPr>
        <w:tab/>
        <w:t>Please describe Boise’s proposed adjustment related to BPA NITS expense.</w:t>
      </w:r>
    </w:p>
    <w:p w:rsidR="00C97532" w:rsidRDefault="00140C5A" w:rsidP="00C97532">
      <w:pPr>
        <w:pStyle w:val="BodyTextIndent2"/>
        <w:rPr>
          <w:szCs w:val="24"/>
        </w:rPr>
      </w:pPr>
      <w:r>
        <w:rPr>
          <w:szCs w:val="24"/>
        </w:rPr>
        <w:t>A.</w:t>
      </w:r>
      <w:r>
        <w:rPr>
          <w:szCs w:val="24"/>
        </w:rPr>
        <w:tab/>
        <w:t>Boise’s adjustment calculates the Company’s BPA NITS expense based on the average of the Company’s forecasted BPA NITS loads in four hours per month.  The hours selected match the day of the month and the hour from the actual BPA transmission system peak from each of the last four years.</w:t>
      </w:r>
    </w:p>
    <w:p w:rsidR="00D03EF8" w:rsidRDefault="00D03EF8" w:rsidP="00C97532">
      <w:pPr>
        <w:pStyle w:val="BodyTextIndent2"/>
        <w:suppressLineNumbers/>
        <w:rPr>
          <w:szCs w:val="24"/>
        </w:rPr>
      </w:pPr>
    </w:p>
    <w:p w:rsidR="00140C5A" w:rsidRPr="00753069" w:rsidRDefault="00140C5A" w:rsidP="00140C5A">
      <w:pPr>
        <w:pStyle w:val="BodyTextIndent2"/>
        <w:rPr>
          <w:b/>
          <w:szCs w:val="24"/>
        </w:rPr>
      </w:pPr>
      <w:r w:rsidRPr="00753069">
        <w:rPr>
          <w:b/>
          <w:szCs w:val="24"/>
        </w:rPr>
        <w:t>Q.</w:t>
      </w:r>
      <w:r w:rsidRPr="00753069">
        <w:rPr>
          <w:b/>
          <w:szCs w:val="24"/>
        </w:rPr>
        <w:tab/>
      </w:r>
      <w:r w:rsidR="00340FCD">
        <w:rPr>
          <w:b/>
          <w:szCs w:val="24"/>
        </w:rPr>
        <w:t xml:space="preserve">Do you agree with Boise’s proposed method to approximate BPA NITS expense? </w:t>
      </w:r>
    </w:p>
    <w:p w:rsidR="006953EC" w:rsidRDefault="00140C5A" w:rsidP="00140C5A">
      <w:pPr>
        <w:pStyle w:val="BodyTextIndent2"/>
        <w:rPr>
          <w:szCs w:val="24"/>
        </w:rPr>
      </w:pPr>
      <w:r>
        <w:rPr>
          <w:szCs w:val="24"/>
        </w:rPr>
        <w:t>A.</w:t>
      </w:r>
      <w:r>
        <w:rPr>
          <w:szCs w:val="24"/>
        </w:rPr>
        <w:tab/>
      </w:r>
      <w:r w:rsidR="00340FCD">
        <w:rPr>
          <w:szCs w:val="24"/>
        </w:rPr>
        <w:t>No.  Boise’s proposed adjustment is an overly complicated attempt to forecast the time of BPA transmiss</w:t>
      </w:r>
      <w:r w:rsidR="00275C0C">
        <w:rPr>
          <w:szCs w:val="24"/>
        </w:rPr>
        <w:t>ion system peak during the rate-</w:t>
      </w:r>
      <w:r w:rsidR="00340FCD">
        <w:rPr>
          <w:szCs w:val="24"/>
        </w:rPr>
        <w:t xml:space="preserve">effective period.  </w:t>
      </w:r>
      <w:r>
        <w:rPr>
          <w:szCs w:val="24"/>
        </w:rPr>
        <w:t xml:space="preserve">There are two primary flaws in Boise’s proposed </w:t>
      </w:r>
      <w:r w:rsidR="00340FCD">
        <w:rPr>
          <w:szCs w:val="24"/>
        </w:rPr>
        <w:t>method</w:t>
      </w:r>
      <w:r>
        <w:rPr>
          <w:szCs w:val="24"/>
        </w:rPr>
        <w:t xml:space="preserve">.  </w:t>
      </w:r>
      <w:r w:rsidR="00340FCD">
        <w:rPr>
          <w:szCs w:val="24"/>
        </w:rPr>
        <w:t xml:space="preserve">First, under Boise’s methodology, </w:t>
      </w:r>
      <w:r w:rsidR="00275C0C">
        <w:rPr>
          <w:szCs w:val="24"/>
        </w:rPr>
        <w:t>23 </w:t>
      </w:r>
      <w:r w:rsidR="00340FCD">
        <w:rPr>
          <w:szCs w:val="24"/>
        </w:rPr>
        <w:t xml:space="preserve">percent of the BPA system peaks in the forecast period occur on Sunday.  </w:t>
      </w:r>
      <w:r>
        <w:rPr>
          <w:szCs w:val="24"/>
        </w:rPr>
        <w:t>In the last 48 months, the BPA system peak only occur</w:t>
      </w:r>
      <w:r w:rsidR="004B58E8">
        <w:rPr>
          <w:szCs w:val="24"/>
        </w:rPr>
        <w:t>red on a Sunday once, or about two</w:t>
      </w:r>
      <w:r w:rsidR="00636B91">
        <w:rPr>
          <w:szCs w:val="24"/>
        </w:rPr>
        <w:t xml:space="preserve"> percent</w:t>
      </w:r>
      <w:r>
        <w:rPr>
          <w:szCs w:val="24"/>
        </w:rPr>
        <w:t xml:space="preserve"> of the time.  </w:t>
      </w:r>
      <w:r>
        <w:rPr>
          <w:szCs w:val="24"/>
        </w:rPr>
        <w:tab/>
      </w:r>
    </w:p>
    <w:p w:rsidR="00140C5A" w:rsidRDefault="006953EC" w:rsidP="00140C5A">
      <w:pPr>
        <w:pStyle w:val="BodyTextIndent2"/>
        <w:rPr>
          <w:szCs w:val="24"/>
        </w:rPr>
      </w:pPr>
      <w:r>
        <w:rPr>
          <w:szCs w:val="24"/>
        </w:rPr>
        <w:tab/>
      </w:r>
      <w:r w:rsidR="00140C5A">
        <w:rPr>
          <w:szCs w:val="24"/>
        </w:rPr>
        <w:tab/>
        <w:t xml:space="preserve">The second flaw with Boise’s methodology is that it ignores weather, which is the biggest driver of peak loads.  The Company’s </w:t>
      </w:r>
      <w:r w:rsidR="00275C0C">
        <w:rPr>
          <w:szCs w:val="24"/>
        </w:rPr>
        <w:t>pro forma NPC</w:t>
      </w:r>
      <w:r w:rsidR="00140C5A">
        <w:rPr>
          <w:szCs w:val="24"/>
        </w:rPr>
        <w:t xml:space="preserve"> is based on normal weather, with a shape representing the range of expected temperatures in each month.  The co</w:t>
      </w:r>
      <w:r w:rsidR="00275C0C">
        <w:rPr>
          <w:szCs w:val="24"/>
        </w:rPr>
        <w:t>ldest days in the winter months</w:t>
      </w:r>
      <w:r w:rsidR="00140C5A">
        <w:rPr>
          <w:szCs w:val="24"/>
        </w:rPr>
        <w:t xml:space="preserve"> and the hottest days in the summer months have the highest loads.  The BPA system and the Company’s BPA NITS </w:t>
      </w:r>
      <w:r w:rsidR="00171D95">
        <w:rPr>
          <w:szCs w:val="24"/>
        </w:rPr>
        <w:t xml:space="preserve">loads </w:t>
      </w:r>
      <w:r w:rsidR="00140C5A">
        <w:rPr>
          <w:szCs w:val="24"/>
        </w:rPr>
        <w:t xml:space="preserve">are both located </w:t>
      </w:r>
      <w:r w:rsidR="00275C0C">
        <w:rPr>
          <w:szCs w:val="24"/>
        </w:rPr>
        <w:t>in the Pacific Northwest</w:t>
      </w:r>
      <w:r w:rsidR="00140C5A">
        <w:rPr>
          <w:szCs w:val="24"/>
        </w:rPr>
        <w:t xml:space="preserve"> and experience similar weather.</w:t>
      </w:r>
      <w:r w:rsidR="004B58E8">
        <w:rPr>
          <w:szCs w:val="24"/>
        </w:rPr>
        <w:t xml:space="preserve">  This weather varies from year-to-</w:t>
      </w:r>
      <w:r w:rsidR="00140C5A">
        <w:rPr>
          <w:szCs w:val="24"/>
        </w:rPr>
        <w:t>year, thus the day of the peak does not provide insight into the timing of the BPA system peak in other periods.  Because the day of the month has little to do with the weather, Boise’s method is effectively basing the costs on loads from random days in the forecast period.</w:t>
      </w:r>
    </w:p>
    <w:p w:rsidR="00ED2B97" w:rsidRDefault="00ED2B97" w:rsidP="00D76B30">
      <w:pPr>
        <w:pStyle w:val="BodyTextIndent2"/>
        <w:keepNext/>
        <w:rPr>
          <w:b/>
          <w:szCs w:val="24"/>
        </w:rPr>
      </w:pPr>
      <w:r>
        <w:rPr>
          <w:b/>
          <w:szCs w:val="24"/>
        </w:rPr>
        <w:t>Q.</w:t>
      </w:r>
      <w:r>
        <w:rPr>
          <w:b/>
          <w:szCs w:val="24"/>
        </w:rPr>
        <w:tab/>
        <w:t>Is the impact of Boise’s adjustment reasonable?</w:t>
      </w:r>
    </w:p>
    <w:p w:rsidR="00ED2B97" w:rsidRDefault="00ED2B97" w:rsidP="00ED2B97">
      <w:pPr>
        <w:pStyle w:val="BodyTextIndent2"/>
        <w:rPr>
          <w:szCs w:val="24"/>
        </w:rPr>
      </w:pPr>
      <w:r>
        <w:rPr>
          <w:szCs w:val="24"/>
        </w:rPr>
        <w:t>A.</w:t>
      </w:r>
      <w:r>
        <w:rPr>
          <w:szCs w:val="24"/>
        </w:rPr>
        <w:tab/>
        <w:t>No.  Boise’s proposed BPA NITS wheeling expense forecast is lower than the 2013 actual levels.  This result is particularly unreasonable considering that in October 2013 BPA implemented a rate increase, raising the NITS rates by 9.3</w:t>
      </w:r>
      <w:r w:rsidR="0044321B">
        <w:rPr>
          <w:szCs w:val="24"/>
        </w:rPr>
        <w:t xml:space="preserve"> percent</w:t>
      </w:r>
      <w:r>
        <w:rPr>
          <w:szCs w:val="24"/>
        </w:rPr>
        <w:t xml:space="preserve">.  </w:t>
      </w:r>
    </w:p>
    <w:p w:rsidR="00C97532" w:rsidRDefault="00C97532" w:rsidP="00C97532">
      <w:pPr>
        <w:pStyle w:val="BodyTextIndent2"/>
        <w:suppressLineNumbers/>
        <w:rPr>
          <w:szCs w:val="24"/>
        </w:rPr>
      </w:pPr>
    </w:p>
    <w:p w:rsidR="0044321B" w:rsidRPr="006433B6" w:rsidRDefault="0044321B" w:rsidP="0044321B">
      <w:pPr>
        <w:pStyle w:val="BodyTextIndent2"/>
        <w:rPr>
          <w:b/>
          <w:szCs w:val="24"/>
        </w:rPr>
      </w:pPr>
      <w:r w:rsidRPr="006433B6">
        <w:rPr>
          <w:b/>
          <w:szCs w:val="24"/>
        </w:rPr>
        <w:t>Q.</w:t>
      </w:r>
      <w:r w:rsidRPr="006433B6">
        <w:rPr>
          <w:b/>
          <w:szCs w:val="24"/>
        </w:rPr>
        <w:tab/>
        <w:t xml:space="preserve">Please describe the adjustment the Company </w:t>
      </w:r>
      <w:r w:rsidR="00275C0C">
        <w:rPr>
          <w:b/>
          <w:szCs w:val="24"/>
        </w:rPr>
        <w:t>incorporated in its r</w:t>
      </w:r>
      <w:r w:rsidRPr="006433B6">
        <w:rPr>
          <w:b/>
          <w:szCs w:val="24"/>
        </w:rPr>
        <w:t xml:space="preserve">ebuttal </w:t>
      </w:r>
      <w:r>
        <w:rPr>
          <w:b/>
          <w:szCs w:val="24"/>
        </w:rPr>
        <w:t xml:space="preserve">NPC </w:t>
      </w:r>
      <w:r w:rsidR="00275C0C">
        <w:rPr>
          <w:b/>
          <w:szCs w:val="24"/>
        </w:rPr>
        <w:t>update</w:t>
      </w:r>
      <w:r w:rsidRPr="006433B6">
        <w:rPr>
          <w:b/>
          <w:szCs w:val="24"/>
        </w:rPr>
        <w:t>.</w:t>
      </w:r>
    </w:p>
    <w:p w:rsidR="0044321B" w:rsidRDefault="0044321B" w:rsidP="0044321B">
      <w:pPr>
        <w:pStyle w:val="BodyTextIndent2"/>
        <w:rPr>
          <w:szCs w:val="24"/>
        </w:rPr>
      </w:pPr>
      <w:r>
        <w:rPr>
          <w:szCs w:val="24"/>
        </w:rPr>
        <w:t>A.</w:t>
      </w:r>
      <w:r>
        <w:rPr>
          <w:szCs w:val="24"/>
        </w:rPr>
        <w:tab/>
        <w:t xml:space="preserve">The historical BPA NITS wheeling expenses for 2013 reflect nine months of BPA’s old rates in January through September, and three months of the current rates which took effect in October 2013.  The Company’s rebuttal </w:t>
      </w:r>
      <w:r w:rsidR="00275C0C">
        <w:rPr>
          <w:szCs w:val="24"/>
        </w:rPr>
        <w:t>update</w:t>
      </w:r>
      <w:r>
        <w:rPr>
          <w:szCs w:val="24"/>
        </w:rPr>
        <w:t xml:space="preserve"> adjusts the historical expenses for January through September to account for the change from BPA’s old </w:t>
      </w:r>
      <w:r w:rsidR="00275C0C">
        <w:rPr>
          <w:szCs w:val="24"/>
        </w:rPr>
        <w:t>rates to its current rates</w:t>
      </w:r>
      <w:r>
        <w:rPr>
          <w:szCs w:val="24"/>
        </w:rPr>
        <w:t xml:space="preserve"> and includes expenses for October through December at the actual levels.</w:t>
      </w:r>
    </w:p>
    <w:p w:rsidR="00653E9A" w:rsidRPr="00ED2B97" w:rsidRDefault="00653E9A" w:rsidP="00140C5A">
      <w:pPr>
        <w:pStyle w:val="BodyTextIndent2"/>
        <w:rPr>
          <w:b/>
          <w:szCs w:val="24"/>
        </w:rPr>
      </w:pPr>
      <w:r w:rsidRPr="00ED2B97">
        <w:rPr>
          <w:b/>
          <w:szCs w:val="24"/>
        </w:rPr>
        <w:t>Q.</w:t>
      </w:r>
      <w:r w:rsidRPr="00ED2B97">
        <w:rPr>
          <w:b/>
          <w:szCs w:val="24"/>
        </w:rPr>
        <w:tab/>
        <w:t xml:space="preserve">Are there any other factors that could contribute to higher BPA NITS expense in the </w:t>
      </w:r>
      <w:r w:rsidR="00275C0C">
        <w:rPr>
          <w:b/>
          <w:szCs w:val="24"/>
        </w:rPr>
        <w:t>pro forma</w:t>
      </w:r>
      <w:r w:rsidRPr="00ED2B97">
        <w:rPr>
          <w:b/>
          <w:szCs w:val="24"/>
        </w:rPr>
        <w:t xml:space="preserve"> period?</w:t>
      </w:r>
    </w:p>
    <w:p w:rsidR="00DC736A" w:rsidRDefault="00653E9A" w:rsidP="00DC736A">
      <w:pPr>
        <w:pStyle w:val="BodyTextIndent2"/>
        <w:rPr>
          <w:szCs w:val="24"/>
        </w:rPr>
      </w:pPr>
      <w:r>
        <w:rPr>
          <w:szCs w:val="24"/>
        </w:rPr>
        <w:t>A.</w:t>
      </w:r>
      <w:r>
        <w:rPr>
          <w:szCs w:val="24"/>
        </w:rPr>
        <w:tab/>
        <w:t>Yes.</w:t>
      </w:r>
      <w:r w:rsidR="00DC736A">
        <w:rPr>
          <w:szCs w:val="24"/>
        </w:rPr>
        <w:t xml:space="preserve">  BPA’s current rates are in effect through September 2015, </w:t>
      </w:r>
      <w:r w:rsidR="00A91B95">
        <w:rPr>
          <w:szCs w:val="24"/>
        </w:rPr>
        <w:t xml:space="preserve">six months into </w:t>
      </w:r>
      <w:r w:rsidR="00DC736A">
        <w:rPr>
          <w:szCs w:val="24"/>
        </w:rPr>
        <w:t xml:space="preserve">the </w:t>
      </w:r>
      <w:r w:rsidR="00275C0C">
        <w:rPr>
          <w:szCs w:val="24"/>
        </w:rPr>
        <w:t>pro forma</w:t>
      </w:r>
      <w:r w:rsidR="00DC736A">
        <w:rPr>
          <w:szCs w:val="24"/>
        </w:rPr>
        <w:t xml:space="preserve"> period in this case.  BPA has projected that N</w:t>
      </w:r>
      <w:r w:rsidR="00171D95">
        <w:rPr>
          <w:szCs w:val="24"/>
        </w:rPr>
        <w:t>ITS</w:t>
      </w:r>
      <w:r w:rsidR="00DC736A">
        <w:rPr>
          <w:szCs w:val="24"/>
        </w:rPr>
        <w:t xml:space="preserve"> rates may increase by 9.7</w:t>
      </w:r>
      <w:r w:rsidR="00275C0C">
        <w:rPr>
          <w:szCs w:val="24"/>
        </w:rPr>
        <w:t> </w:t>
      </w:r>
      <w:r w:rsidR="0044321B">
        <w:rPr>
          <w:szCs w:val="24"/>
        </w:rPr>
        <w:t>percent</w:t>
      </w:r>
      <w:r w:rsidR="00DC736A">
        <w:rPr>
          <w:szCs w:val="24"/>
        </w:rPr>
        <w:t xml:space="preserve"> in October 2015.</w:t>
      </w:r>
      <w:r w:rsidR="00DC736A">
        <w:rPr>
          <w:rStyle w:val="FootnoteReference"/>
          <w:szCs w:val="24"/>
        </w:rPr>
        <w:footnoteReference w:id="82"/>
      </w:r>
      <w:r w:rsidR="00275C0C">
        <w:rPr>
          <w:szCs w:val="24"/>
        </w:rPr>
        <w:t xml:space="preserve">  Because</w:t>
      </w:r>
      <w:r w:rsidR="00DC736A">
        <w:rPr>
          <w:szCs w:val="24"/>
        </w:rPr>
        <w:t xml:space="preserve"> the Company’s request in this case does not include any future BPA rate increases, there is a significant potential for higher BPA NITS expense.</w:t>
      </w:r>
    </w:p>
    <w:p w:rsidR="00140C5A" w:rsidRPr="00D25816" w:rsidRDefault="00140C5A" w:rsidP="00DC736A">
      <w:pPr>
        <w:pStyle w:val="BodyTextIndent2"/>
        <w:rPr>
          <w:b/>
          <w:szCs w:val="24"/>
        </w:rPr>
      </w:pPr>
      <w:r w:rsidRPr="00D25816">
        <w:rPr>
          <w:b/>
          <w:szCs w:val="24"/>
        </w:rPr>
        <w:t>Q.</w:t>
      </w:r>
      <w:r w:rsidRPr="00D25816">
        <w:rPr>
          <w:b/>
          <w:szCs w:val="24"/>
        </w:rPr>
        <w:tab/>
      </w:r>
      <w:r>
        <w:rPr>
          <w:b/>
          <w:szCs w:val="24"/>
        </w:rPr>
        <w:t xml:space="preserve">How should the BPA NITS expense be calculated for the </w:t>
      </w:r>
      <w:r w:rsidR="00275C0C">
        <w:rPr>
          <w:b/>
          <w:szCs w:val="24"/>
        </w:rPr>
        <w:t xml:space="preserve">pro forma </w:t>
      </w:r>
      <w:r>
        <w:rPr>
          <w:b/>
          <w:szCs w:val="24"/>
        </w:rPr>
        <w:t>period</w:t>
      </w:r>
      <w:r w:rsidRPr="00D25816">
        <w:rPr>
          <w:b/>
          <w:szCs w:val="24"/>
        </w:rPr>
        <w:t>?</w:t>
      </w:r>
    </w:p>
    <w:p w:rsidR="00140C5A" w:rsidRDefault="00140C5A" w:rsidP="00140C5A">
      <w:pPr>
        <w:pStyle w:val="BodyTextIndent2"/>
        <w:rPr>
          <w:szCs w:val="24"/>
        </w:rPr>
      </w:pPr>
      <w:r>
        <w:rPr>
          <w:szCs w:val="24"/>
        </w:rPr>
        <w:t>A.</w:t>
      </w:r>
      <w:r>
        <w:rPr>
          <w:szCs w:val="24"/>
        </w:rPr>
        <w:tab/>
      </w:r>
      <w:r w:rsidR="00FB2421">
        <w:rPr>
          <w:szCs w:val="24"/>
        </w:rPr>
        <w:t>Adjusting the historical expense for the BPA rate c</w:t>
      </w:r>
      <w:r w:rsidR="00275C0C">
        <w:rPr>
          <w:szCs w:val="24"/>
        </w:rPr>
        <w:t>hange which occurred on October </w:t>
      </w:r>
      <w:r w:rsidR="00FB2421">
        <w:rPr>
          <w:szCs w:val="24"/>
        </w:rPr>
        <w:t>1, 2013</w:t>
      </w:r>
      <w:r w:rsidR="0051216A">
        <w:rPr>
          <w:szCs w:val="24"/>
        </w:rPr>
        <w:t>,</w:t>
      </w:r>
      <w:r w:rsidR="00FB2421">
        <w:rPr>
          <w:szCs w:val="24"/>
        </w:rPr>
        <w:t xml:space="preserve"> is straightforward and reasonably captures the actual historical relationship between the Company’s BPA NITS loads and BPA’s transmission system peak.</w:t>
      </w:r>
      <w:r w:rsidR="00ED2B97">
        <w:rPr>
          <w:szCs w:val="24"/>
        </w:rPr>
        <w:t xml:space="preserve">  </w:t>
      </w:r>
      <w:r>
        <w:rPr>
          <w:szCs w:val="24"/>
        </w:rPr>
        <w:t xml:space="preserve">This adjustment results in a reduction to </w:t>
      </w:r>
      <w:r w:rsidR="00753069">
        <w:rPr>
          <w:szCs w:val="24"/>
        </w:rPr>
        <w:t xml:space="preserve">west control area </w:t>
      </w:r>
      <w:r>
        <w:rPr>
          <w:szCs w:val="24"/>
        </w:rPr>
        <w:t xml:space="preserve">NPC of </w:t>
      </w:r>
      <w:r w:rsidRPr="00ED2B97">
        <w:rPr>
          <w:szCs w:val="24"/>
        </w:rPr>
        <w:t>$0.8</w:t>
      </w:r>
      <w:r w:rsidR="00275C0C">
        <w:rPr>
          <w:szCs w:val="24"/>
        </w:rPr>
        <w:t> </w:t>
      </w:r>
      <w:r>
        <w:rPr>
          <w:szCs w:val="24"/>
        </w:rPr>
        <w:t xml:space="preserve">million. </w:t>
      </w:r>
    </w:p>
    <w:p w:rsidR="00C97532" w:rsidRDefault="00C97532" w:rsidP="00C97532">
      <w:pPr>
        <w:pStyle w:val="BodyTextIndent2"/>
        <w:suppressLineNumbers/>
        <w:rPr>
          <w:szCs w:val="24"/>
        </w:rPr>
      </w:pPr>
    </w:p>
    <w:p w:rsidR="00BA01E1" w:rsidRPr="0044258A" w:rsidRDefault="00BA01E1" w:rsidP="001618C2">
      <w:pPr>
        <w:pStyle w:val="BodyTextIndent2"/>
        <w:rPr>
          <w:b/>
          <w:szCs w:val="24"/>
        </w:rPr>
      </w:pPr>
      <w:r w:rsidRPr="0044258A">
        <w:rPr>
          <w:b/>
          <w:szCs w:val="24"/>
        </w:rPr>
        <w:t>Q.</w:t>
      </w:r>
      <w:r w:rsidRPr="0044258A">
        <w:rPr>
          <w:b/>
          <w:szCs w:val="24"/>
        </w:rPr>
        <w:tab/>
        <w:t xml:space="preserve">Does this conclude your rebuttal testimony? </w:t>
      </w:r>
    </w:p>
    <w:p w:rsidR="00BA01E1" w:rsidRPr="0044258A" w:rsidRDefault="00BB2C5F" w:rsidP="00D46FDC">
      <w:pPr>
        <w:pStyle w:val="BodyTextIndent2"/>
        <w:rPr>
          <w:szCs w:val="24"/>
        </w:rPr>
      </w:pPr>
      <w:r>
        <w:rPr>
          <w:szCs w:val="24"/>
        </w:rPr>
        <w:t>A.</w:t>
      </w:r>
      <w:r>
        <w:rPr>
          <w:szCs w:val="24"/>
        </w:rPr>
        <w:tab/>
        <w:t>Yes</w:t>
      </w:r>
      <w:r w:rsidR="00BA01E1" w:rsidRPr="0044258A">
        <w:rPr>
          <w:szCs w:val="24"/>
        </w:rPr>
        <w:t>.</w:t>
      </w:r>
    </w:p>
    <w:sectPr w:rsidR="00BA01E1" w:rsidRPr="0044258A" w:rsidSect="007457F9">
      <w:headerReference w:type="default" r:id="rId16"/>
      <w:footerReference w:type="default" r:id="rId17"/>
      <w:pgSz w:w="12240" w:h="15840" w:code="1"/>
      <w:pgMar w:top="1440" w:right="144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F8" w:rsidRDefault="00D03EF8">
      <w:r>
        <w:separator/>
      </w:r>
    </w:p>
  </w:endnote>
  <w:endnote w:type="continuationSeparator" w:id="0">
    <w:p w:rsidR="00D03EF8" w:rsidRDefault="00D0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F8" w:rsidRDefault="00D03E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F8" w:rsidRPr="004F1FD8" w:rsidRDefault="00D03EF8" w:rsidP="00EB2E4F">
    <w:pPr>
      <w:pStyle w:val="Footer"/>
      <w:tabs>
        <w:tab w:val="right" w:pos="4320"/>
      </w:tabs>
      <w:rPr>
        <w:sz w:val="24"/>
        <w:szCs w:val="24"/>
      </w:rPr>
    </w:pPr>
    <w:r w:rsidRPr="004F1FD8">
      <w:rPr>
        <w:sz w:val="24"/>
        <w:szCs w:val="24"/>
      </w:rPr>
      <w:t>Rebuttal Testimony of Gregory N. Duvall</w:t>
    </w:r>
    <w:r>
      <w:rPr>
        <w:sz w:val="24"/>
        <w:szCs w:val="24"/>
      </w:rPr>
      <w:t xml:space="preserve"> </w:t>
    </w:r>
    <w:r>
      <w:rPr>
        <w:sz w:val="24"/>
        <w:szCs w:val="24"/>
      </w:rPr>
      <w:tab/>
    </w:r>
    <w:r>
      <w:rPr>
        <w:sz w:val="24"/>
        <w:szCs w:val="24"/>
      </w:rPr>
      <w:tab/>
      <w:t>Exhibit No. GND-4T</w:t>
    </w:r>
    <w:r>
      <w:rPr>
        <w:sz w:val="24"/>
        <w:szCs w:val="24"/>
      </w:rPr>
      <w:tab/>
    </w:r>
    <w:r>
      <w:rPr>
        <w:sz w:val="24"/>
        <w:szCs w:val="24"/>
      </w:rPr>
      <w:tab/>
      <w:t>Page 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F8" w:rsidRDefault="00D03E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F8" w:rsidRDefault="00D03EF8" w:rsidP="0055781F">
    <w:pPr>
      <w:pStyle w:val="Footer"/>
      <w:tabs>
        <w:tab w:val="clear" w:pos="8640"/>
        <w:tab w:val="right" w:pos="4320"/>
        <w:tab w:val="right" w:pos="9000"/>
      </w:tabs>
      <w:rPr>
        <w:sz w:val="24"/>
        <w:szCs w:val="24"/>
      </w:rPr>
    </w:pPr>
    <w:r w:rsidRPr="004F1FD8">
      <w:rPr>
        <w:sz w:val="24"/>
        <w:szCs w:val="24"/>
      </w:rPr>
      <w:t>Rebuttal Testimony of Gregory N. Duvall</w:t>
    </w:r>
    <w:r>
      <w:rPr>
        <w:sz w:val="24"/>
        <w:szCs w:val="24"/>
      </w:rPr>
      <w:t xml:space="preserve"> </w:t>
    </w:r>
    <w:r>
      <w:rPr>
        <w:sz w:val="24"/>
        <w:szCs w:val="24"/>
      </w:rPr>
      <w:tab/>
    </w:r>
    <w:r>
      <w:rPr>
        <w:sz w:val="24"/>
        <w:szCs w:val="24"/>
      </w:rPr>
      <w:tab/>
      <w:t>Exhibit No. GND-4T</w:t>
    </w:r>
  </w:p>
  <w:p w:rsidR="00D03EF8" w:rsidRPr="004F1FD8" w:rsidRDefault="00D03EF8" w:rsidP="0055781F">
    <w:pPr>
      <w:pStyle w:val="Footer"/>
      <w:tabs>
        <w:tab w:val="clear" w:pos="8640"/>
        <w:tab w:val="right" w:pos="4320"/>
        <w:tab w:val="right" w:pos="9000"/>
      </w:tabs>
      <w:rPr>
        <w:sz w:val="24"/>
        <w:szCs w:val="24"/>
      </w:rPr>
    </w:pPr>
    <w:r>
      <w:rPr>
        <w:sz w:val="24"/>
        <w:szCs w:val="24"/>
      </w:rPr>
      <w:tab/>
    </w:r>
    <w:r>
      <w:rPr>
        <w:sz w:val="24"/>
        <w:szCs w:val="24"/>
      </w:rPr>
      <w:tab/>
      <w:t xml:space="preserve">Page </w:t>
    </w:r>
    <w:r w:rsidRPr="007457F9">
      <w:rPr>
        <w:sz w:val="24"/>
        <w:szCs w:val="24"/>
      </w:rPr>
      <w:fldChar w:fldCharType="begin"/>
    </w:r>
    <w:r w:rsidRPr="007457F9">
      <w:rPr>
        <w:sz w:val="24"/>
        <w:szCs w:val="24"/>
      </w:rPr>
      <w:instrText xml:space="preserve"> PAGE   \* MERGEFORMAT </w:instrText>
    </w:r>
    <w:r w:rsidRPr="007457F9">
      <w:rPr>
        <w:sz w:val="24"/>
        <w:szCs w:val="24"/>
      </w:rPr>
      <w:fldChar w:fldCharType="separate"/>
    </w:r>
    <w:r w:rsidR="00057D4D">
      <w:rPr>
        <w:noProof/>
        <w:sz w:val="24"/>
        <w:szCs w:val="24"/>
      </w:rPr>
      <w:t>1</w:t>
    </w:r>
    <w:r w:rsidRPr="007457F9">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F8" w:rsidRDefault="00D03EF8">
      <w:r>
        <w:separator/>
      </w:r>
    </w:p>
  </w:footnote>
  <w:footnote w:type="continuationSeparator" w:id="0">
    <w:p w:rsidR="00D03EF8" w:rsidRDefault="00D03EF8">
      <w:r>
        <w:continuationSeparator/>
      </w:r>
    </w:p>
  </w:footnote>
  <w:footnote w:id="1">
    <w:p w:rsidR="00D03EF8" w:rsidRDefault="00D03EF8">
      <w:pPr>
        <w:pStyle w:val="FootnoteText"/>
      </w:pPr>
      <w:r>
        <w:rPr>
          <w:rStyle w:val="FootnoteReference"/>
        </w:rPr>
        <w:footnoteRef/>
      </w:r>
      <w:r>
        <w:t xml:space="preserve"> Pacific Power’s Response to Staff data request 89.</w:t>
      </w:r>
    </w:p>
  </w:footnote>
  <w:footnote w:id="2">
    <w:p w:rsidR="00D03EF8" w:rsidRDefault="00D03EF8" w:rsidP="00FE4E24">
      <w:pPr>
        <w:pStyle w:val="FootnoteText"/>
      </w:pPr>
      <w:r>
        <w:rPr>
          <w:rStyle w:val="FootnoteReference"/>
        </w:rPr>
        <w:footnoteRef/>
      </w:r>
      <w:r>
        <w:t xml:space="preserve"> RCW 19.285.020 (EIA provides that Washington should increase the use of “renewable energy facilities”).  </w:t>
      </w:r>
      <w:r w:rsidRPr="00A869DD">
        <w:t xml:space="preserve">Laws of 2013, ch. 61 (amending the definition of “eligible renewable resource” in RCW 19.285.030, effective July 28, 2013).  Now, </w:t>
      </w:r>
      <w:r w:rsidRPr="00A869DD">
        <w:fldChar w:fldCharType="begin"/>
      </w:r>
      <w:r w:rsidRPr="00A869DD">
        <w:instrText xml:space="preserve"> ADDIN BA \xc &lt;@st&gt; \xl 18 \s KBKQKB000053 \l "RCW 19.285.030(11)" </w:instrText>
      </w:r>
      <w:r w:rsidRPr="00A869DD">
        <w:fldChar w:fldCharType="end"/>
      </w:r>
      <w:r w:rsidRPr="00A869DD">
        <w:t xml:space="preserve">RCW 19.285.030(12)(a) and (e) define “eligible renewable resource” to include facilities located in the Pacific Northwest </w:t>
      </w:r>
      <w:r>
        <w:t>as well as</w:t>
      </w:r>
      <w:r w:rsidRPr="00A869DD">
        <w:t xml:space="preserve"> facilities in other states where the qualifying utility has a renewable resource and serves retail customers.</w:t>
      </w:r>
    </w:p>
  </w:footnote>
  <w:footnote w:id="3">
    <w:p w:rsidR="00D03EF8" w:rsidRDefault="00D03EF8" w:rsidP="00010C67">
      <w:pPr>
        <w:pStyle w:val="FootnoteText"/>
      </w:pPr>
      <w:r>
        <w:rPr>
          <w:rStyle w:val="FootnoteReference"/>
        </w:rPr>
        <w:footnoteRef/>
      </w:r>
      <w:r>
        <w:t xml:space="preserve"> RCW 80.80.005(1)(d).</w:t>
      </w:r>
    </w:p>
  </w:footnote>
  <w:footnote w:id="4">
    <w:p w:rsidR="00D03EF8" w:rsidRDefault="00D03EF8" w:rsidP="00010C67">
      <w:pPr>
        <w:pStyle w:val="FootnoteText"/>
      </w:pPr>
      <w:r>
        <w:rPr>
          <w:rStyle w:val="FootnoteReference"/>
        </w:rPr>
        <w:footnoteRef/>
      </w:r>
      <w:r>
        <w:t xml:space="preserve"> RCW 70.235.005(1). </w:t>
      </w:r>
    </w:p>
  </w:footnote>
  <w:footnote w:id="5">
    <w:p w:rsidR="00D03EF8" w:rsidRDefault="00D03EF8" w:rsidP="00010C67">
      <w:pPr>
        <w:pStyle w:val="FootnoteText"/>
      </w:pPr>
      <w:r>
        <w:rPr>
          <w:rStyle w:val="FootnoteReference"/>
        </w:rPr>
        <w:footnoteRef/>
      </w:r>
      <w:r>
        <w:t xml:space="preserve"> RCW 43.21F.010(3).</w:t>
      </w:r>
    </w:p>
  </w:footnote>
  <w:footnote w:id="6">
    <w:p w:rsidR="00D03EF8" w:rsidRDefault="00D03EF8" w:rsidP="00513952">
      <w:pPr>
        <w:pStyle w:val="FootnoteText"/>
      </w:pPr>
      <w:r>
        <w:rPr>
          <w:rStyle w:val="FootnoteReference"/>
        </w:rPr>
        <w:footnoteRef/>
      </w:r>
      <w:r>
        <w:t xml:space="preserve"> Laws of 2013, ch. 6.</w:t>
      </w:r>
    </w:p>
  </w:footnote>
  <w:footnote w:id="7">
    <w:p w:rsidR="00D03EF8" w:rsidRPr="00774FC1" w:rsidRDefault="00D03EF8" w:rsidP="00A310DC">
      <w:pPr>
        <w:pStyle w:val="FootnoteText"/>
      </w:pPr>
      <w:r w:rsidRPr="00774FC1">
        <w:rPr>
          <w:rStyle w:val="FootnoteReference"/>
        </w:rPr>
        <w:footnoteRef/>
      </w:r>
      <w:r w:rsidRPr="00774FC1">
        <w:t xml:space="preserve"> </w:t>
      </w:r>
      <w:r>
        <w:t xml:space="preserve">Pacific Coast Action Plan on Climate and Energy at 1 (Oct. 28, 2013).  A copy of this plan is included as </w:t>
      </w:r>
      <w:r w:rsidRPr="00CB205A">
        <w:t>Exhibit No. RBD-4</w:t>
      </w:r>
      <w:r>
        <w:t xml:space="preserve"> to Mr. Dalley’s rebuttal testimony.</w:t>
      </w:r>
    </w:p>
  </w:footnote>
  <w:footnote w:id="8">
    <w:p w:rsidR="00D03EF8" w:rsidRPr="00774FC1" w:rsidRDefault="00D03EF8" w:rsidP="00B13548">
      <w:pPr>
        <w:pStyle w:val="FootnoteText"/>
      </w:pPr>
      <w:r w:rsidRPr="00774FC1">
        <w:rPr>
          <w:rStyle w:val="FootnoteReference"/>
        </w:rPr>
        <w:footnoteRef/>
      </w:r>
      <w:r w:rsidRPr="00774FC1">
        <w:t xml:space="preserve"> Executive Order 14-04 at 2 (Apr. 29, 2014).  </w:t>
      </w:r>
    </w:p>
  </w:footnote>
  <w:footnote w:id="9">
    <w:p w:rsidR="00D03EF8" w:rsidRDefault="00D03EF8" w:rsidP="00D455D0">
      <w:pPr>
        <w:pStyle w:val="FootnoteText"/>
      </w:pPr>
      <w:r>
        <w:rPr>
          <w:rStyle w:val="FootnoteReference"/>
        </w:rPr>
        <w:footnoteRef/>
      </w:r>
      <w:r>
        <w:t xml:space="preserve"> </w:t>
      </w:r>
      <w:r w:rsidRPr="00D62D70">
        <w:rPr>
          <w:i/>
        </w:rPr>
        <w:t>Wash. Utils. &amp; Transp. Comm’n v. Puget Sound Energy, Inc</w:t>
      </w:r>
      <w:r w:rsidRPr="00BF650A">
        <w:t xml:space="preserve">., Docket </w:t>
      </w:r>
      <w:r>
        <w:t xml:space="preserve">No. </w:t>
      </w:r>
      <w:r w:rsidRPr="00BF650A">
        <w:t xml:space="preserve">UE-060266, Order 08 </w:t>
      </w:r>
      <w:r>
        <w:t xml:space="preserve">¶ 102 </w:t>
      </w:r>
      <w:r w:rsidRPr="00BF650A">
        <w:t>(Jan. 5, 2007).</w:t>
      </w:r>
    </w:p>
  </w:footnote>
  <w:footnote w:id="10">
    <w:p w:rsidR="00D03EF8" w:rsidRDefault="00D03EF8">
      <w:pPr>
        <w:pStyle w:val="FootnoteText"/>
      </w:pPr>
      <w:r>
        <w:rPr>
          <w:rStyle w:val="FootnoteReference"/>
        </w:rPr>
        <w:footnoteRef/>
      </w:r>
      <w:r>
        <w:t xml:space="preserve"> </w:t>
      </w:r>
      <w:r w:rsidRPr="00405E22">
        <w:t xml:space="preserve">The Company’s rebuttal NPC </w:t>
      </w:r>
      <w:r>
        <w:t xml:space="preserve">also </w:t>
      </w:r>
      <w:r w:rsidRPr="00405E22">
        <w:t>includes one minor correction to the price assumed for the Dou</w:t>
      </w:r>
      <w:r>
        <w:t>glas County Forest Products QF PPA</w:t>
      </w:r>
      <w:r w:rsidRPr="00405E22">
        <w:t>.  The impact of the correction is a reduction to west control area NPC of $2,729.</w:t>
      </w:r>
      <w:r>
        <w:t xml:space="preserve"> </w:t>
      </w:r>
    </w:p>
  </w:footnote>
  <w:footnote w:id="11">
    <w:p w:rsidR="00D03EF8" w:rsidRDefault="00D03EF8">
      <w:pPr>
        <w:pStyle w:val="FootnoteText"/>
      </w:pPr>
      <w:r w:rsidRPr="000E4715">
        <w:rPr>
          <w:rStyle w:val="FootnoteReference"/>
        </w:rPr>
        <w:footnoteRef/>
      </w:r>
      <w:r w:rsidRPr="000E4715">
        <w:t xml:space="preserve"> Testimony of David C. Gomez, Exhibit No. DCG-5CT.</w:t>
      </w:r>
      <w:r>
        <w:t xml:space="preserve"> </w:t>
      </w:r>
    </w:p>
  </w:footnote>
  <w:footnote w:id="12">
    <w:p w:rsidR="00D03EF8" w:rsidRDefault="00D03EF8" w:rsidP="00E4208D">
      <w:pPr>
        <w:pStyle w:val="FootnoteText"/>
      </w:pPr>
      <w:r>
        <w:rPr>
          <w:rStyle w:val="FootnoteReference"/>
        </w:rPr>
        <w:footnoteRef/>
      </w:r>
      <w:r>
        <w:t xml:space="preserve"> </w:t>
      </w:r>
      <w:r>
        <w:rPr>
          <w:i/>
        </w:rPr>
        <w:t xml:space="preserve">Wash. Utils. &amp; Transp. Comm’n v. PacifiCorp, </w:t>
      </w:r>
      <w:r>
        <w:t>Docket No. UE-111190, Responsive Testimony of Donald W. Schoenbeck, Exhibit No. DWS-1CT at 3 (“The majority of coal supplied to the Jim Bridger plant comes from an affiliated mine. Adequate time has not been provided to assess the reasonableness of the Company’s coal price updates. As a placeholder, ICNU recommends the updated price from the third party supplier be used as a price cap on the allowable Jim Bridger coal costs. This recommendation reduces the claimed revenue increase by $1.6 million.”)</w:t>
      </w:r>
    </w:p>
  </w:footnote>
  <w:footnote w:id="13">
    <w:p w:rsidR="00D03EF8" w:rsidRDefault="00D03EF8">
      <w:pPr>
        <w:pStyle w:val="FootnoteText"/>
      </w:pPr>
      <w:r>
        <w:rPr>
          <w:rStyle w:val="FootnoteReference"/>
        </w:rPr>
        <w:footnoteRef/>
      </w:r>
      <w:r>
        <w:t xml:space="preserve"> </w:t>
      </w:r>
      <w:r>
        <w:rPr>
          <w:i/>
        </w:rPr>
        <w:t xml:space="preserve">See Wash. Utils. &amp; Transp. Comm’n v. PacifiCorp, </w:t>
      </w:r>
      <w:r>
        <w:t xml:space="preserve">Docket No. UE-131384, Petition to Intervene of Boise White Paper, L.L.C. at 2 (Jan. 13, 2014) (“Boise directly participated in PacifiCorp’s most recent general rate case and has participated, as a member of the Industrial Customers of Northwest Utilities, in other PacifiCorp rate proceedings, including UE-991832, UE-032065, UE-050684, UE-060669, UE-061546, UE-080220, UE-090205, UE-100749, and UE 111190.”) </w:t>
      </w:r>
    </w:p>
  </w:footnote>
  <w:footnote w:id="14">
    <w:p w:rsidR="00D03EF8" w:rsidRPr="008E7E55" w:rsidRDefault="00D03EF8" w:rsidP="00850849">
      <w:pPr>
        <w:pStyle w:val="FootnoteText"/>
        <w:rPr>
          <w:b/>
        </w:rPr>
      </w:pPr>
      <w:r>
        <w:rPr>
          <w:rStyle w:val="FootnoteReference"/>
        </w:rPr>
        <w:footnoteRef/>
      </w:r>
      <w:r>
        <w:t xml:space="preserve"> </w:t>
      </w:r>
      <w:r>
        <w:rPr>
          <w:i/>
        </w:rPr>
        <w:t xml:space="preserve">See Wash. Utils. &amp; Transp. Comm’n v. PacifiCorp, </w:t>
      </w:r>
      <w:r>
        <w:t xml:space="preserve">Docket No. UE-140617, Petition to Intervene and Opposition of the Industrial Customers of Northwest Utilities, ¶ 3 (Apr. 25, 2014). </w:t>
      </w:r>
    </w:p>
  </w:footnote>
  <w:footnote w:id="15">
    <w:p w:rsidR="00D03EF8" w:rsidRDefault="00D03EF8">
      <w:pPr>
        <w:pStyle w:val="FootnoteText"/>
      </w:pPr>
      <w:r>
        <w:rPr>
          <w:rStyle w:val="FootnoteReference"/>
        </w:rPr>
        <w:footnoteRef/>
      </w:r>
      <w:r>
        <w:t xml:space="preserve"> </w:t>
      </w:r>
      <w:r w:rsidRPr="000A0916">
        <w:rPr>
          <w:i/>
        </w:rPr>
        <w:t>Id</w:t>
      </w:r>
      <w:r>
        <w:t>., ¶ 4.</w:t>
      </w:r>
    </w:p>
  </w:footnote>
  <w:footnote w:id="16">
    <w:p w:rsidR="00D03EF8" w:rsidRPr="003B6AB8" w:rsidRDefault="00D03EF8" w:rsidP="001F0FCC">
      <w:pPr>
        <w:pStyle w:val="FootnoteText"/>
        <w:rPr>
          <w:i/>
        </w:rPr>
      </w:pPr>
      <w:r>
        <w:rPr>
          <w:rStyle w:val="FootnoteReference"/>
        </w:rPr>
        <w:footnoteRef/>
      </w:r>
      <w:r>
        <w:t xml:space="preserve"> </w:t>
      </w:r>
      <w:r>
        <w:rPr>
          <w:i/>
        </w:rPr>
        <w:t xml:space="preserve">See </w:t>
      </w:r>
      <w:r>
        <w:t>Testimony of David C. Gomez, Exhibit No. DCG-1CT at 9-10; Responsive Testimony of Bradley G. Mullins, Exhibit No. BGM-1CT at 23.</w:t>
      </w:r>
    </w:p>
  </w:footnote>
  <w:footnote w:id="17">
    <w:p w:rsidR="00D03EF8" w:rsidRDefault="00D03EF8">
      <w:pPr>
        <w:pStyle w:val="FootnoteText"/>
      </w:pPr>
      <w:r w:rsidRPr="009176AF">
        <w:rPr>
          <w:rStyle w:val="FootnoteReference"/>
        </w:rPr>
        <w:footnoteRef/>
      </w:r>
      <w:r w:rsidRPr="009176AF">
        <w:t xml:space="preserve"> Rebuttal Testimony of Natasha Siores, Exhibit No. NCS-12.</w:t>
      </w:r>
    </w:p>
  </w:footnote>
  <w:footnote w:id="18">
    <w:p w:rsidR="00D03EF8" w:rsidRPr="00BD1493" w:rsidRDefault="00D03EF8" w:rsidP="001F0FCC">
      <w:pPr>
        <w:pStyle w:val="FootnoteText"/>
      </w:pPr>
      <w:r>
        <w:rPr>
          <w:rStyle w:val="FootnoteReference"/>
        </w:rPr>
        <w:footnoteRef/>
      </w:r>
      <w:r>
        <w:t xml:space="preserve"> </w:t>
      </w:r>
      <w:r>
        <w:rPr>
          <w:i/>
        </w:rPr>
        <w:t>See</w:t>
      </w:r>
      <w:r>
        <w:t>,</w:t>
      </w:r>
      <w:r>
        <w:rPr>
          <w:i/>
        </w:rPr>
        <w:t xml:space="preserve"> e.g.</w:t>
      </w:r>
      <w:r>
        <w:t>,</w:t>
      </w:r>
      <w:r>
        <w:rPr>
          <w:i/>
        </w:rPr>
        <w:t xml:space="preserve"> </w:t>
      </w:r>
      <w:r>
        <w:t xml:space="preserve">Testimony of David C. Gomez, Exhibit No. DCG-1CT </w:t>
      </w:r>
      <w:r w:rsidRPr="007716D5">
        <w:t xml:space="preserve">at </w:t>
      </w:r>
      <w:r>
        <w:t>11; Responsive Testimony of Bradley G. Mullins, Exhibit No. BGM-1CT at 25-26.</w:t>
      </w:r>
    </w:p>
  </w:footnote>
  <w:footnote w:id="19">
    <w:p w:rsidR="00D03EF8" w:rsidRDefault="00D03EF8">
      <w:pPr>
        <w:pStyle w:val="FootnoteText"/>
      </w:pPr>
      <w:r>
        <w:rPr>
          <w:rStyle w:val="FootnoteReference"/>
        </w:rPr>
        <w:footnoteRef/>
      </w:r>
      <w:r>
        <w:t xml:space="preserve"> Testimony of Jeremy B. Twitchell, Exhibit No. JBT-1T at 15-16.</w:t>
      </w:r>
    </w:p>
  </w:footnote>
  <w:footnote w:id="20">
    <w:p w:rsidR="00D03EF8" w:rsidRPr="00472211" w:rsidRDefault="00D03EF8" w:rsidP="001F0FCC">
      <w:pPr>
        <w:pStyle w:val="FootnoteText"/>
      </w:pPr>
      <w:r w:rsidRPr="00BB7A19">
        <w:rPr>
          <w:rStyle w:val="FootnoteReference"/>
        </w:rPr>
        <w:footnoteRef/>
      </w:r>
      <w:r w:rsidRPr="00BB7A19">
        <w:t xml:space="preserve"> </w:t>
      </w:r>
      <w:r w:rsidRPr="00BB7A19">
        <w:rPr>
          <w:i/>
        </w:rPr>
        <w:t>Spokane Energy, Inc. v. Wash. Water Power Co.</w:t>
      </w:r>
      <w:r w:rsidRPr="00BB7A19">
        <w:t>, Cause No. U-86-114, 1987 WL 1498338 (Apr. 22, 1987).</w:t>
      </w:r>
    </w:p>
  </w:footnote>
  <w:footnote w:id="21">
    <w:p w:rsidR="00D03EF8" w:rsidRDefault="00D03EF8" w:rsidP="001F0FCC">
      <w:pPr>
        <w:pStyle w:val="FootnoteText"/>
      </w:pPr>
      <w:r>
        <w:rPr>
          <w:rStyle w:val="FootnoteReference"/>
        </w:rPr>
        <w:footnoteRef/>
      </w:r>
      <w:r>
        <w:t xml:space="preserve"> Testimony of David C. Gomez, Exhibit No. DCG-1CT at 9.</w:t>
      </w:r>
    </w:p>
  </w:footnote>
  <w:footnote w:id="22">
    <w:p w:rsidR="00D03EF8" w:rsidRDefault="00D03EF8" w:rsidP="001F0FCC">
      <w:pPr>
        <w:pStyle w:val="FootnoteText"/>
      </w:pPr>
      <w:r>
        <w:rPr>
          <w:rStyle w:val="FootnoteReference"/>
        </w:rPr>
        <w:footnoteRef/>
      </w:r>
      <w:r>
        <w:t xml:space="preserve"> Responsive Testimony of Bradley G. Mullins, Exhibit No. BGM-1CT at 26.</w:t>
      </w:r>
    </w:p>
  </w:footnote>
  <w:footnote w:id="23">
    <w:p w:rsidR="00D03EF8" w:rsidRPr="0063010B" w:rsidRDefault="00D03EF8" w:rsidP="001F0FCC">
      <w:pPr>
        <w:pStyle w:val="FootnoteText"/>
        <w:rPr>
          <w:i/>
        </w:rPr>
      </w:pPr>
      <w:r>
        <w:rPr>
          <w:rStyle w:val="FootnoteReference"/>
        </w:rPr>
        <w:footnoteRef/>
      </w:r>
      <w:r>
        <w:t xml:space="preserve"> </w:t>
      </w:r>
      <w:r>
        <w:rPr>
          <w:i/>
        </w:rPr>
        <w:t>See</w:t>
      </w:r>
      <w:r>
        <w:t>,</w:t>
      </w:r>
      <w:r>
        <w:rPr>
          <w:i/>
        </w:rPr>
        <w:t xml:space="preserve"> e.g.</w:t>
      </w:r>
      <w:r>
        <w:t>,</w:t>
      </w:r>
      <w:r>
        <w:rPr>
          <w:i/>
        </w:rPr>
        <w:t xml:space="preserve"> </w:t>
      </w:r>
      <w:r w:rsidRPr="0063010B">
        <w:rPr>
          <w:i/>
        </w:rPr>
        <w:t>PacifiCorp’s 2013 El</w:t>
      </w:r>
      <w:r>
        <w:rPr>
          <w:i/>
        </w:rPr>
        <w:t>ectric Integrated Resource Plan</w:t>
      </w:r>
      <w:r w:rsidRPr="0063010B">
        <w:t xml:space="preserve">, Docket </w:t>
      </w:r>
      <w:r>
        <w:t xml:space="preserve">No. </w:t>
      </w:r>
      <w:r w:rsidRPr="0063010B">
        <w:t>UE-120416</w:t>
      </w:r>
      <w:r>
        <w:t>, Commission Acknowledgement Letter (Nov. 25, 2013).</w:t>
      </w:r>
    </w:p>
  </w:footnote>
  <w:footnote w:id="24">
    <w:p w:rsidR="00D03EF8" w:rsidRDefault="00D03EF8" w:rsidP="001F0FCC">
      <w:pPr>
        <w:pStyle w:val="FootnoteText"/>
      </w:pPr>
      <w:r>
        <w:rPr>
          <w:rStyle w:val="FootnoteReference"/>
        </w:rPr>
        <w:footnoteRef/>
      </w:r>
      <w:r>
        <w:t xml:space="preserve"> Responsive Testimony of Bradley G. Mullins, Exhibit No. BGM-1CT at 57.</w:t>
      </w:r>
    </w:p>
  </w:footnote>
  <w:footnote w:id="25">
    <w:p w:rsidR="00D03EF8" w:rsidRDefault="00D03EF8" w:rsidP="001F0FCC">
      <w:pPr>
        <w:pStyle w:val="FootnoteText"/>
      </w:pPr>
      <w:r>
        <w:rPr>
          <w:rStyle w:val="FootnoteReference"/>
        </w:rPr>
        <w:footnoteRef/>
      </w:r>
      <w:r>
        <w:t xml:space="preserve"> </w:t>
      </w:r>
      <w:r w:rsidRPr="00B27D55">
        <w:rPr>
          <w:i/>
        </w:rPr>
        <w:t>Id</w:t>
      </w:r>
      <w:r>
        <w:t>. at 58.</w:t>
      </w:r>
    </w:p>
  </w:footnote>
  <w:footnote w:id="26">
    <w:p w:rsidR="00D03EF8" w:rsidRPr="001F1418" w:rsidRDefault="00D03EF8" w:rsidP="001F0FCC">
      <w:pPr>
        <w:pStyle w:val="FootnoteText"/>
      </w:pPr>
      <w:r>
        <w:rPr>
          <w:rStyle w:val="FootnoteReference"/>
        </w:rPr>
        <w:footnoteRef/>
      </w:r>
      <w:r>
        <w:t xml:space="preserve"> </w:t>
      </w:r>
      <w:r>
        <w:rPr>
          <w:i/>
        </w:rPr>
        <w:t>Investigation Relating to Electric Utility Purchases from Qualifying Facilities</w:t>
      </w:r>
      <w:r>
        <w:t xml:space="preserve">, OPUC Docket No. UM 1129, Direct Testimony of Donald W. Schoenbeck on Behalf of the Industrial Customers of Northwest Utilities at 6-7 (Aug. 3, 2004).  </w:t>
      </w:r>
    </w:p>
  </w:footnote>
  <w:footnote w:id="27">
    <w:p w:rsidR="00D03EF8" w:rsidRDefault="00D03EF8" w:rsidP="001F0FCC">
      <w:pPr>
        <w:pStyle w:val="FootnoteText"/>
      </w:pPr>
      <w:r>
        <w:rPr>
          <w:rStyle w:val="FootnoteReference"/>
        </w:rPr>
        <w:footnoteRef/>
      </w:r>
      <w:r>
        <w:t xml:space="preserve"> Responsive Testimony of Bradley G. Mullins, Exhibit No. BGM-1CT at 26.</w:t>
      </w:r>
    </w:p>
  </w:footnote>
  <w:footnote w:id="28">
    <w:p w:rsidR="00D03EF8" w:rsidRDefault="00D03EF8" w:rsidP="001F0FCC">
      <w:pPr>
        <w:pStyle w:val="FootnoteText"/>
      </w:pPr>
      <w:r>
        <w:rPr>
          <w:rStyle w:val="FootnoteReference"/>
        </w:rPr>
        <w:footnoteRef/>
      </w:r>
      <w:r>
        <w:t xml:space="preserve"> Testimony of David C. Gomez, Exhibit No. DCG-1CT at 9-10; Responsive Testimony of Bradley G. Mullins, Exhibit No. BGM-1CT at 24.</w:t>
      </w:r>
    </w:p>
  </w:footnote>
  <w:footnote w:id="29">
    <w:p w:rsidR="00D03EF8" w:rsidRDefault="00D03EF8" w:rsidP="001F0FCC">
      <w:pPr>
        <w:pStyle w:val="FootnoteText"/>
      </w:pPr>
      <w:r>
        <w:rPr>
          <w:rStyle w:val="FootnoteReference"/>
        </w:rPr>
        <w:footnoteRef/>
      </w:r>
      <w:r>
        <w:t xml:space="preserve"> Responsive Testimony of Bradley G. Mullins, Exhibit No. BGM-1CT at 27.</w:t>
      </w:r>
    </w:p>
  </w:footnote>
  <w:footnote w:id="30">
    <w:p w:rsidR="00D03EF8" w:rsidRDefault="00D03EF8" w:rsidP="001F0FCC">
      <w:pPr>
        <w:pStyle w:val="FootnoteText"/>
      </w:pPr>
      <w:r>
        <w:rPr>
          <w:rStyle w:val="FootnoteReference"/>
        </w:rPr>
        <w:footnoteRef/>
      </w:r>
      <w:r>
        <w:t xml:space="preserve"> </w:t>
      </w:r>
      <w:r>
        <w:rPr>
          <w:i/>
        </w:rPr>
        <w:t>Re So. Calif. Edison Co.</w:t>
      </w:r>
      <w:r>
        <w:t>, 70 F.E.R.C. ¶ 61,215 at 61,676 (1995) (emphasis added).</w:t>
      </w:r>
    </w:p>
  </w:footnote>
  <w:footnote w:id="31">
    <w:p w:rsidR="00D03EF8" w:rsidRDefault="00D03EF8" w:rsidP="001F0FCC">
      <w:pPr>
        <w:pStyle w:val="FootnoteText"/>
      </w:pPr>
      <w:r>
        <w:rPr>
          <w:rStyle w:val="FootnoteReference"/>
        </w:rPr>
        <w:footnoteRef/>
      </w:r>
      <w:r>
        <w:t xml:space="preserve"> Testimony of David C. Gomez, Exhibit No. DCG-1CT at 10; Responsive Testimony of Bradley G. Mullins, Exhibit No. BGM-1CT at 25.</w:t>
      </w:r>
    </w:p>
  </w:footnote>
  <w:footnote w:id="32">
    <w:p w:rsidR="00D03EF8" w:rsidRDefault="00D03EF8" w:rsidP="001F0FCC">
      <w:pPr>
        <w:pStyle w:val="FootnoteText"/>
      </w:pPr>
      <w:r>
        <w:rPr>
          <w:rStyle w:val="FootnoteReference"/>
        </w:rPr>
        <w:footnoteRef/>
      </w:r>
      <w:r>
        <w:t xml:space="preserve"> Testimony of David C. Gomez, Exhibit No. DCG-1CT at 13.</w:t>
      </w:r>
    </w:p>
  </w:footnote>
  <w:footnote w:id="33">
    <w:p w:rsidR="00D03EF8" w:rsidRPr="00EB195B" w:rsidRDefault="00D03EF8" w:rsidP="001F0FCC">
      <w:pPr>
        <w:pStyle w:val="FootnoteText"/>
      </w:pPr>
      <w:r>
        <w:rPr>
          <w:rStyle w:val="FootnoteReference"/>
        </w:rPr>
        <w:footnoteRef/>
      </w:r>
      <w:r>
        <w:t xml:space="preserve"> Testimony of David C. Gomez, Exhibit No. DCG-1CT at 10 (citing </w:t>
      </w:r>
      <w:r>
        <w:rPr>
          <w:i/>
        </w:rPr>
        <w:t>Wash. Utils. &amp; Transp. Comm’n v. Wash. Water Power Co.</w:t>
      </w:r>
      <w:r>
        <w:t>, Cause No. U-83-14, Second Suppl. Order, 56 P.U.R.4th 615 (Nov. 9, 1983)).</w:t>
      </w:r>
    </w:p>
  </w:footnote>
  <w:footnote w:id="34">
    <w:p w:rsidR="00D03EF8" w:rsidRDefault="00D03EF8">
      <w:pPr>
        <w:pStyle w:val="FootnoteText"/>
      </w:pPr>
      <w:r>
        <w:rPr>
          <w:rStyle w:val="FootnoteReference"/>
        </w:rPr>
        <w:footnoteRef/>
      </w:r>
      <w:r>
        <w:t xml:space="preserve"> </w:t>
      </w:r>
      <w:r>
        <w:rPr>
          <w:i/>
        </w:rPr>
        <w:t>Wash. Utils. &amp; Transp. Comm’n v. Wash. Water Power Co.</w:t>
      </w:r>
      <w:r>
        <w:t>, Cause No. U-83-14, Second Suppl. Order, 56 P.U.R.4th 615, 1983 WL 909042 at 2 (Nov. 9, 1983).</w:t>
      </w:r>
    </w:p>
  </w:footnote>
  <w:footnote w:id="35">
    <w:p w:rsidR="00D03EF8" w:rsidRDefault="00D03EF8">
      <w:pPr>
        <w:pStyle w:val="FootnoteText"/>
      </w:pPr>
      <w:r>
        <w:rPr>
          <w:rStyle w:val="FootnoteReference"/>
        </w:rPr>
        <w:footnoteRef/>
      </w:r>
      <w:r>
        <w:t xml:space="preserve"> </w:t>
      </w:r>
      <w:r w:rsidRPr="007F59DF">
        <w:rPr>
          <w:i/>
        </w:rPr>
        <w:t>Id</w:t>
      </w:r>
      <w:r>
        <w:t xml:space="preserve">. at 8. </w:t>
      </w:r>
    </w:p>
  </w:footnote>
  <w:footnote w:id="36">
    <w:p w:rsidR="00D03EF8" w:rsidRDefault="00D03EF8" w:rsidP="001F0FCC">
      <w:pPr>
        <w:pStyle w:val="FootnoteText"/>
      </w:pPr>
      <w:r>
        <w:rPr>
          <w:rStyle w:val="FootnoteReference"/>
        </w:rPr>
        <w:footnoteRef/>
      </w:r>
      <w:r>
        <w:t xml:space="preserve"> Testimony of David C. Gomez, Exhibit No. DCG-1CT at 13 n. 24.</w:t>
      </w:r>
    </w:p>
  </w:footnote>
  <w:footnote w:id="37">
    <w:p w:rsidR="00D03EF8" w:rsidRDefault="00D03EF8" w:rsidP="001F0FCC">
      <w:pPr>
        <w:pStyle w:val="FootnoteText"/>
      </w:pPr>
      <w:r>
        <w:rPr>
          <w:rStyle w:val="FootnoteReference"/>
        </w:rPr>
        <w:footnoteRef/>
      </w:r>
      <w:r>
        <w:t xml:space="preserve"> Testimony of David C. Gomez, Exhibit No. DCG-1CT at 15-16; Responsive Testimony of Bradley G. Mullins, Exhibit No. BGM-1CT at 29-30.</w:t>
      </w:r>
    </w:p>
  </w:footnote>
  <w:footnote w:id="38">
    <w:p w:rsidR="00D03EF8" w:rsidRDefault="00D03EF8" w:rsidP="001F0FCC">
      <w:pPr>
        <w:pStyle w:val="FootnoteText"/>
      </w:pPr>
      <w:r>
        <w:rPr>
          <w:rStyle w:val="FootnoteReference"/>
        </w:rPr>
        <w:footnoteRef/>
      </w:r>
      <w:r>
        <w:t xml:space="preserve"> Responsive Testimony of Bradley G. Mullins, Exhibit No. BGM-1CT at 30.</w:t>
      </w:r>
    </w:p>
  </w:footnote>
  <w:footnote w:id="39">
    <w:p w:rsidR="00D03EF8" w:rsidRDefault="00D03EF8" w:rsidP="001F0FCC">
      <w:pPr>
        <w:pStyle w:val="FootnoteText"/>
      </w:pPr>
      <w:r>
        <w:rPr>
          <w:rStyle w:val="FootnoteReference"/>
        </w:rPr>
        <w:footnoteRef/>
      </w:r>
      <w:r>
        <w:t xml:space="preserve"> </w:t>
      </w:r>
      <w:r>
        <w:rPr>
          <w:i/>
        </w:rPr>
        <w:t>R</w:t>
      </w:r>
      <w:bookmarkStart w:id="7" w:name="_BA_Cite_21591B_000093"/>
      <w:bookmarkEnd w:id="7"/>
      <w:r>
        <w:rPr>
          <w:i/>
        </w:rPr>
        <w:t>e N. Carolina Power</w:t>
      </w:r>
      <w:r>
        <w:t xml:space="preserve">, E-22, SUB 333, 1993 WL 216264 (Feb. 26, 1993) </w:t>
      </w:r>
      <w:r>
        <w:rPr>
          <w:i/>
        </w:rPr>
        <w:t>aff’d sub nom. N. Carolina Power</w:t>
      </w:r>
      <w:r>
        <w:t>, 450 S.E.2d 896.</w:t>
      </w:r>
    </w:p>
  </w:footnote>
  <w:footnote w:id="40">
    <w:p w:rsidR="00D03EF8" w:rsidRDefault="00D03EF8" w:rsidP="001F0FCC">
      <w:pPr>
        <w:pStyle w:val="FootnoteText"/>
      </w:pPr>
      <w:r>
        <w:rPr>
          <w:rStyle w:val="FootnoteReference"/>
        </w:rPr>
        <w:footnoteRef/>
      </w:r>
      <w:r>
        <w:t xml:space="preserve"> </w:t>
      </w:r>
      <w:r>
        <w:rPr>
          <w:i/>
        </w:rPr>
        <w:t>S</w:t>
      </w:r>
      <w:bookmarkStart w:id="9" w:name="_BA_Cite_21591B_000091"/>
      <w:bookmarkEnd w:id="9"/>
      <w:r>
        <w:rPr>
          <w:i/>
        </w:rPr>
        <w:t>tate ex rel. Utilities Comm’n v. N. Carolina Power</w:t>
      </w:r>
      <w:r>
        <w:t xml:space="preserve">, 338 N.C. 412, 450 S.E.2d 896, 900 (1994).  Importantly, as I discuss above, since this case, FERC has been clear that PURPA prohibits inflating the avoided cost price as the VSCC apparently did to promote state policies. </w:t>
      </w:r>
    </w:p>
  </w:footnote>
  <w:footnote w:id="41">
    <w:p w:rsidR="00D03EF8" w:rsidRPr="002065B8" w:rsidRDefault="00D03EF8" w:rsidP="001F0FCC">
      <w:pPr>
        <w:pStyle w:val="FootnoteText"/>
      </w:pPr>
      <w:r>
        <w:rPr>
          <w:rStyle w:val="FootnoteReference"/>
        </w:rPr>
        <w:footnoteRef/>
      </w:r>
      <w:r>
        <w:t xml:space="preserve"> </w:t>
      </w:r>
      <w:r>
        <w:rPr>
          <w:i/>
        </w:rPr>
        <w:t>Re Idaho Power Co.</w:t>
      </w:r>
      <w:r>
        <w:t>, Docket No. UE 257, Order No. 13-166 (May 6, 2013).</w:t>
      </w:r>
    </w:p>
  </w:footnote>
  <w:footnote w:id="42">
    <w:p w:rsidR="00D03EF8" w:rsidRDefault="00D03EF8" w:rsidP="001F0FCC">
      <w:pPr>
        <w:pStyle w:val="FootnoteText"/>
      </w:pPr>
      <w:r>
        <w:rPr>
          <w:rStyle w:val="FootnoteReference"/>
        </w:rPr>
        <w:footnoteRef/>
      </w:r>
      <w:r>
        <w:t xml:space="preserve"> Testimony of David C. Gomez, Exhibit No. DCG-1CT at 15; Responsive Testimony of Bradley G. Mullins, Exhibit No. BGM-1CT at 29.</w:t>
      </w:r>
    </w:p>
  </w:footnote>
  <w:footnote w:id="43">
    <w:p w:rsidR="00D03EF8" w:rsidRDefault="00D03EF8" w:rsidP="001F0FCC">
      <w:pPr>
        <w:pStyle w:val="FootnoteText"/>
      </w:pPr>
      <w:r>
        <w:rPr>
          <w:rStyle w:val="FootnoteReference"/>
        </w:rPr>
        <w:footnoteRef/>
      </w:r>
      <w:r>
        <w:t xml:space="preserve"> Responsive Testimony of Bradley G. Mullins, Exhibit No. BGM-1CT at 29.</w:t>
      </w:r>
    </w:p>
  </w:footnote>
  <w:footnote w:id="44">
    <w:p w:rsidR="00D03EF8" w:rsidRDefault="00D03EF8" w:rsidP="001F0FCC">
      <w:pPr>
        <w:pStyle w:val="FootnoteText"/>
      </w:pPr>
      <w:r>
        <w:rPr>
          <w:rStyle w:val="FootnoteReference"/>
        </w:rPr>
        <w:footnoteRef/>
      </w:r>
      <w:r>
        <w:t xml:space="preserve"> Responsive Testimony of Bradley G. Mullins, Exhibit No. BGM-1CT at 25.</w:t>
      </w:r>
    </w:p>
  </w:footnote>
  <w:footnote w:id="45">
    <w:p w:rsidR="00D03EF8" w:rsidRDefault="00D03EF8">
      <w:pPr>
        <w:pStyle w:val="FootnoteText"/>
      </w:pPr>
      <w:r>
        <w:rPr>
          <w:rStyle w:val="FootnoteReference"/>
        </w:rPr>
        <w:footnoteRef/>
      </w:r>
      <w:r>
        <w:t xml:space="preserve"> </w:t>
      </w:r>
      <w:r w:rsidRPr="0032263C">
        <w:rPr>
          <w:i/>
        </w:rPr>
        <w:t>In r</w:t>
      </w:r>
      <w:r>
        <w:rPr>
          <w:i/>
        </w:rPr>
        <w:t xml:space="preserve">e </w:t>
      </w:r>
      <w:r w:rsidRPr="004B5C73">
        <w:rPr>
          <w:i/>
        </w:rPr>
        <w:t>PacifiCorp</w:t>
      </w:r>
      <w:r>
        <w:t xml:space="preserve">, OPUC Docket Nos. UE 287 and UM 1689, </w:t>
      </w:r>
      <w:r w:rsidRPr="004B5C73">
        <w:t>Joint</w:t>
      </w:r>
      <w:r>
        <w:t xml:space="preserve"> Testimony in Support of Stipulation at 8, 12 (Aug. 14, 2014) (“</w:t>
      </w:r>
      <w:r w:rsidRPr="00F2303F">
        <w:rPr>
          <w:snapToGrid w:val="0"/>
        </w:rPr>
        <w:t>The Settling Parties agree that, at this time, the costs and benefits associated with the EIM are difficult to predict with certainty.  As an interim approach, the Settling Parties agree that it is reasonable to offset EIM costs and benefits in 2015 NPC</w:t>
      </w:r>
      <w:r>
        <w:rPr>
          <w:snapToGrid w:val="0"/>
        </w:rPr>
        <w:t>….</w:t>
      </w:r>
      <w:r w:rsidRPr="00092593">
        <w:t xml:space="preserve"> </w:t>
      </w:r>
      <w:r>
        <w:t>[O]</w:t>
      </w:r>
      <w:r w:rsidRPr="00F2303F">
        <w:t>ffsetting the costs and benefits associated with the EIM appropriately balances possible risks and benefits during the first full year of the EIM’s operation</w:t>
      </w:r>
      <w:r>
        <w:t>.”).</w:t>
      </w:r>
      <w:r w:rsidRPr="00F2303F">
        <w:rPr>
          <w:snapToGrid w:val="0"/>
        </w:rPr>
        <w:t xml:space="preserve">  </w:t>
      </w:r>
      <w:r>
        <w:t xml:space="preserve"> </w:t>
      </w:r>
    </w:p>
  </w:footnote>
  <w:footnote w:id="46">
    <w:p w:rsidR="00D03EF8" w:rsidRDefault="00D03EF8">
      <w:pPr>
        <w:pStyle w:val="FootnoteText"/>
      </w:pPr>
      <w:r>
        <w:rPr>
          <w:rStyle w:val="FootnoteReference"/>
        </w:rPr>
        <w:footnoteRef/>
      </w:r>
      <w:r>
        <w:t xml:space="preserve"> </w:t>
      </w:r>
      <w:r w:rsidRPr="0063010B">
        <w:rPr>
          <w:i/>
        </w:rPr>
        <w:t>PacifiCorp’s 2013 El</w:t>
      </w:r>
      <w:r>
        <w:rPr>
          <w:i/>
        </w:rPr>
        <w:t>ectric Integrated Resource Plan</w:t>
      </w:r>
      <w:r w:rsidRPr="0063010B">
        <w:t xml:space="preserve">, Docket </w:t>
      </w:r>
      <w:r>
        <w:t xml:space="preserve">No. </w:t>
      </w:r>
      <w:r w:rsidRPr="0063010B">
        <w:t>UE-120416</w:t>
      </w:r>
      <w:r>
        <w:t>, Commission Acknowledgement Letter (Nov. 25, 2013).</w:t>
      </w:r>
    </w:p>
  </w:footnote>
  <w:footnote w:id="47">
    <w:p w:rsidR="00D03EF8" w:rsidRDefault="00D03EF8">
      <w:pPr>
        <w:pStyle w:val="FootnoteText"/>
      </w:pPr>
      <w:r>
        <w:rPr>
          <w:rStyle w:val="FootnoteReference"/>
        </w:rPr>
        <w:footnoteRef/>
      </w:r>
      <w:r>
        <w:t xml:space="preserve"> Responsive Testimony of Bradley G. Mullins, Exhibit No. BGM-1CT at 34.</w:t>
      </w:r>
    </w:p>
  </w:footnote>
  <w:footnote w:id="48">
    <w:p w:rsidR="00D03EF8" w:rsidRDefault="00D03EF8" w:rsidP="00363CE2">
      <w:pPr>
        <w:pStyle w:val="FootnoteText"/>
      </w:pPr>
      <w:r>
        <w:rPr>
          <w:rStyle w:val="FootnoteReference"/>
        </w:rPr>
        <w:footnoteRef/>
      </w:r>
      <w:r>
        <w:t xml:space="preserve"> Up to 432 MW southbound and 331 MW northbound for the combination of five-minute dynamic and 15</w:t>
      </w:r>
      <w:r>
        <w:noBreakHyphen/>
        <w:t>minute static scheduling.  These values are further limited at times due to planned and unplanned transmission outages.</w:t>
      </w:r>
    </w:p>
  </w:footnote>
  <w:footnote w:id="49">
    <w:p w:rsidR="00D03EF8" w:rsidRDefault="00D03EF8">
      <w:pPr>
        <w:pStyle w:val="FootnoteText"/>
      </w:pPr>
      <w:r>
        <w:rPr>
          <w:rStyle w:val="FootnoteReference"/>
        </w:rPr>
        <w:footnoteRef/>
      </w:r>
      <w:r>
        <w:t xml:space="preserve"> Responsive Testimony of Bradley G. Mullins, Exhibit No. BGM-1CT at 35.</w:t>
      </w:r>
    </w:p>
  </w:footnote>
  <w:footnote w:id="50">
    <w:p w:rsidR="00D03EF8" w:rsidRPr="00377D3E" w:rsidRDefault="00D03EF8" w:rsidP="00AB232C">
      <w:pPr>
        <w:pStyle w:val="FootnoteText"/>
      </w:pPr>
      <w:r>
        <w:rPr>
          <w:rStyle w:val="FootnoteReference"/>
        </w:rPr>
        <w:footnoteRef/>
      </w:r>
      <w:r>
        <w:t xml:space="preserve"> </w:t>
      </w:r>
      <w:r w:rsidRPr="00377D3E">
        <w:t xml:space="preserve">Frank A. Wolak, 2011, “Measuring the Benefits of Greater Spatial Granularity in Short-Term Pricing in Wholesale Electricity Markets, </w:t>
      </w:r>
      <w:r w:rsidRPr="00377D3E">
        <w:rPr>
          <w:i/>
        </w:rPr>
        <w:t xml:space="preserve">American Economic Review </w:t>
      </w:r>
      <w:r w:rsidRPr="00377D3E">
        <w:t xml:space="preserve">101: 247-252.  Accessed </w:t>
      </w:r>
      <w:r>
        <w:t>November 13, 20</w:t>
      </w:r>
      <w:r w:rsidRPr="00377D3E">
        <w:t xml:space="preserve">14: </w:t>
      </w:r>
      <w:hyperlink r:id="rId1" w:history="1">
        <w:r w:rsidRPr="00590266">
          <w:rPr>
            <w:rStyle w:val="Hyperlink"/>
            <w:u w:color="0000FF"/>
          </w:rPr>
          <w:t>http://web.stanford.edu/group/fwolak/cgibin/sites/default/files/files/benefits_of_spatial_granularity_aer_wolak.pdf</w:t>
        </w:r>
      </w:hyperlink>
      <w:r>
        <w:rPr>
          <w:color w:val="0000FF"/>
          <w:u w:val="single" w:color="0000FF"/>
        </w:rPr>
        <w:t xml:space="preserve"> </w:t>
      </w:r>
    </w:p>
  </w:footnote>
  <w:footnote w:id="51">
    <w:p w:rsidR="00D03EF8" w:rsidRDefault="00D03EF8">
      <w:pPr>
        <w:pStyle w:val="FootnoteText"/>
      </w:pPr>
      <w:r>
        <w:rPr>
          <w:rStyle w:val="FootnoteReference"/>
        </w:rPr>
        <w:footnoteRef/>
      </w:r>
      <w:r>
        <w:t xml:space="preserve"> Responsive Testimony of Bradley G. Mullins, Exhibit No. BGM-1CT at 39.</w:t>
      </w:r>
    </w:p>
  </w:footnote>
  <w:footnote w:id="52">
    <w:p w:rsidR="00D03EF8" w:rsidRDefault="00D03EF8">
      <w:pPr>
        <w:pStyle w:val="FootnoteText"/>
      </w:pPr>
      <w:r>
        <w:rPr>
          <w:rStyle w:val="FootnoteReference"/>
        </w:rPr>
        <w:footnoteRef/>
      </w:r>
      <w:r>
        <w:t xml:space="preserve"> Responsive Testimony of Bradley G. Mullins, Exhibit No. BGM-1CT at 40-42.</w:t>
      </w:r>
    </w:p>
  </w:footnote>
  <w:footnote w:id="53">
    <w:p w:rsidR="00D03EF8" w:rsidRDefault="00D03EF8">
      <w:pPr>
        <w:pStyle w:val="FootnoteText"/>
      </w:pPr>
      <w:r>
        <w:rPr>
          <w:rStyle w:val="FootnoteReference"/>
        </w:rPr>
        <w:footnoteRef/>
      </w:r>
      <w:r>
        <w:t xml:space="preserve"> Responsive Testimony of Bradley G. Mullins, Exhibit No. BGM-1CT at 42-43.</w:t>
      </w:r>
    </w:p>
  </w:footnote>
  <w:footnote w:id="54">
    <w:p w:rsidR="00D03EF8" w:rsidRDefault="00D03EF8">
      <w:pPr>
        <w:pStyle w:val="FootnoteText"/>
      </w:pPr>
      <w:r>
        <w:rPr>
          <w:rStyle w:val="FootnoteReference"/>
        </w:rPr>
        <w:footnoteRef/>
      </w:r>
      <w:r>
        <w:t xml:space="preserve"> Responsive Testimony of Bradley G. Mullins, Exhibit No. BGM-1CT at 47.</w:t>
      </w:r>
    </w:p>
  </w:footnote>
  <w:footnote w:id="55">
    <w:p w:rsidR="00D03EF8" w:rsidRDefault="00D03EF8">
      <w:pPr>
        <w:pStyle w:val="FootnoteText"/>
      </w:pPr>
      <w:r>
        <w:rPr>
          <w:rStyle w:val="FootnoteReference"/>
        </w:rPr>
        <w:footnoteRef/>
      </w:r>
      <w:r>
        <w:t xml:space="preserve"> </w:t>
      </w:r>
      <w:r>
        <w:rPr>
          <w:i/>
        </w:rPr>
        <w:t>Id</w:t>
      </w:r>
      <w:r>
        <w:t>.</w:t>
      </w:r>
    </w:p>
  </w:footnote>
  <w:footnote w:id="56">
    <w:p w:rsidR="00D03EF8" w:rsidRDefault="00D03EF8">
      <w:pPr>
        <w:pStyle w:val="FootnoteText"/>
      </w:pPr>
      <w:r>
        <w:rPr>
          <w:rStyle w:val="FootnoteReference"/>
        </w:rPr>
        <w:footnoteRef/>
      </w:r>
      <w:r>
        <w:t xml:space="preserve"> PacifiCorp 2013 Integrated Resource Plan, Volume II, Appendix H—Wind Integration Study, Table H.2.  Available online at: </w:t>
      </w:r>
      <w:r>
        <w:rPr>
          <w:color w:val="0000FF"/>
          <w:u w:val="single" w:color="0000FF"/>
        </w:rPr>
        <w:t>www.pacificorp.com/content/dam/pacificorp/doc/Energy_Sources/Integrated_Resource_Plan/2013IRP/PacifiCorp-2013IRP_Vol2-Appendices_4-30-13.pdf</w:t>
      </w:r>
    </w:p>
  </w:footnote>
  <w:footnote w:id="57">
    <w:p w:rsidR="00D03EF8" w:rsidRDefault="00D03EF8">
      <w:pPr>
        <w:pStyle w:val="FootnoteText"/>
      </w:pPr>
      <w:r>
        <w:rPr>
          <w:rStyle w:val="FootnoteReference"/>
        </w:rPr>
        <w:footnoteRef/>
      </w:r>
      <w:r>
        <w:t xml:space="preserve"> PacifiCorp 2013 Integrated Resource Plan, Volume II, Appendix H - Wind Integration Study.  Table H.2.  Available online at: </w:t>
      </w:r>
      <w:r>
        <w:rPr>
          <w:color w:val="0000FF"/>
          <w:u w:val="single" w:color="0000FF"/>
        </w:rPr>
        <w:t>www.pacificorp.com/content/dam/pacificorp/doc/Energy_Sources/Integrated_Resource_Plan/2013IRP/PacifiCorp-2013IRP_Vol2-Appendices_4-30-13.pdf</w:t>
      </w:r>
    </w:p>
  </w:footnote>
  <w:footnote w:id="58">
    <w:p w:rsidR="00D03EF8" w:rsidRDefault="00D03EF8">
      <w:pPr>
        <w:pStyle w:val="FootnoteText"/>
      </w:pPr>
      <w:r>
        <w:rPr>
          <w:rStyle w:val="FootnoteReference"/>
        </w:rPr>
        <w:footnoteRef/>
      </w:r>
      <w:r>
        <w:t xml:space="preserve"> RCW 19.285.050(2) provides that an “investor-owned utility is entitled to recover all prudently incurred costs associated with compliance with this chapter.”</w:t>
      </w:r>
    </w:p>
  </w:footnote>
  <w:footnote w:id="59">
    <w:p w:rsidR="00D03EF8" w:rsidRDefault="00D03EF8" w:rsidP="002A1544">
      <w:r>
        <w:rPr>
          <w:rStyle w:val="FootnoteReference"/>
        </w:rPr>
        <w:footnoteRef/>
      </w:r>
      <w:r>
        <w:t xml:space="preserve"> </w:t>
      </w:r>
      <w:r>
        <w:rPr>
          <w:i/>
          <w:iCs/>
        </w:rPr>
        <w:t>See In the Matter of</w:t>
      </w:r>
      <w:r w:rsidRPr="002A1544">
        <w:rPr>
          <w:i/>
          <w:iCs/>
        </w:rPr>
        <w:t xml:space="preserve"> Portland General Elec. Co. and PacifiCorp</w:t>
      </w:r>
      <w:r w:rsidRPr="002A1544">
        <w:t xml:space="preserve"> </w:t>
      </w:r>
      <w:r w:rsidRPr="002A1544">
        <w:rPr>
          <w:i/>
          <w:iCs/>
        </w:rPr>
        <w:t>Request for a Generic Power Cost Adjustment Mechanism Investigation</w:t>
      </w:r>
      <w:r w:rsidRPr="002A1544">
        <w:t xml:space="preserve">, Docket </w:t>
      </w:r>
      <w:r>
        <w:t xml:space="preserve">No. </w:t>
      </w:r>
      <w:r w:rsidRPr="002A1544">
        <w:t xml:space="preserve">UM 1662, Public Utility Commission of Oregon Staff Report  ( Nov. 5, 2014) (“Staff recommends that the Commission open an investigation into the treatment of variable costs that are a direct result of compliance with [Oregon’s RPS].”).  The OPUC adopted staff’s recommendation and opened the investigation at its November 12, 2014 public meeting.  The OPUC staff’s report is available online at:  </w:t>
      </w:r>
      <w:hyperlink r:id="rId2" w:history="1">
        <w:r w:rsidRPr="002A1544">
          <w:rPr>
            <w:rStyle w:val="Hyperlink"/>
            <w:color w:val="auto"/>
          </w:rPr>
          <w:t>http://edocs.puc.state.or.us/efdocs/HAU/um1662hau16726.pdf</w:t>
        </w:r>
      </w:hyperlink>
      <w:r w:rsidRPr="002A1544">
        <w:t xml:space="preserve">. </w:t>
      </w:r>
    </w:p>
  </w:footnote>
  <w:footnote w:id="60">
    <w:p w:rsidR="00D03EF8" w:rsidRDefault="00D03EF8" w:rsidP="00065D05">
      <w:pPr>
        <w:pStyle w:val="FootnoteText"/>
      </w:pPr>
      <w:r>
        <w:rPr>
          <w:rStyle w:val="FootnoteReference"/>
        </w:rPr>
        <w:footnoteRef/>
      </w:r>
      <w:r>
        <w:t xml:space="preserve"> </w:t>
      </w:r>
      <w:r>
        <w:rPr>
          <w:i/>
        </w:rPr>
        <w:t>See e.g.</w:t>
      </w:r>
      <w:r>
        <w:t xml:space="preserve"> Testimony of Jeremy B. Twitchell, Exhibit No. JBT-1T at 6-7; Responsive Testimony of Bradley Mullins, Exhibit No. BGM-1CT at 60.</w:t>
      </w:r>
    </w:p>
  </w:footnote>
  <w:footnote w:id="61">
    <w:p w:rsidR="00D03EF8" w:rsidRDefault="00D03EF8" w:rsidP="00065D05">
      <w:pPr>
        <w:pStyle w:val="FootnoteText"/>
      </w:pPr>
      <w:r>
        <w:rPr>
          <w:rStyle w:val="FootnoteReference"/>
        </w:rPr>
        <w:footnoteRef/>
      </w:r>
      <w:r>
        <w:t xml:space="preserve"> Testimony of Jeremy B. Twitchell, Exhibit No. JBT-1T at 8.</w:t>
      </w:r>
    </w:p>
  </w:footnote>
  <w:footnote w:id="62">
    <w:p w:rsidR="00D03EF8" w:rsidRDefault="00D03EF8" w:rsidP="00065D05">
      <w:pPr>
        <w:pStyle w:val="FootnoteText"/>
      </w:pPr>
      <w:r>
        <w:rPr>
          <w:rStyle w:val="FootnoteReference"/>
        </w:rPr>
        <w:footnoteRef/>
      </w:r>
      <w:r>
        <w:t xml:space="preserve"> Responsive Testimony of Bradley G. Mullins, Exhibit No. BGM-1CT at 57-58.</w:t>
      </w:r>
    </w:p>
  </w:footnote>
  <w:footnote w:id="63">
    <w:p w:rsidR="00D03EF8" w:rsidRDefault="00D03EF8" w:rsidP="00065D05">
      <w:pPr>
        <w:pStyle w:val="FootnoteText"/>
      </w:pPr>
      <w:r>
        <w:rPr>
          <w:rStyle w:val="FootnoteReference"/>
        </w:rPr>
        <w:footnoteRef/>
      </w:r>
      <w:r>
        <w:t xml:space="preserve"> Testimony of Jeremy B. Twitchell, Exhibit No. JBT-1T at 7.</w:t>
      </w:r>
    </w:p>
  </w:footnote>
  <w:footnote w:id="64">
    <w:p w:rsidR="00D03EF8" w:rsidRPr="00F07954" w:rsidRDefault="00D03EF8" w:rsidP="00065D05">
      <w:pPr>
        <w:pStyle w:val="FootnoteText"/>
      </w:pPr>
      <w:r>
        <w:rPr>
          <w:rStyle w:val="FootnoteReference"/>
        </w:rPr>
        <w:footnoteRef/>
      </w:r>
      <w:r>
        <w:t xml:space="preserve"> </w:t>
      </w:r>
      <w:r>
        <w:rPr>
          <w:i/>
        </w:rPr>
        <w:t>See, e.g.</w:t>
      </w:r>
      <w:r>
        <w:t xml:space="preserve"> </w:t>
      </w:r>
      <w:r>
        <w:rPr>
          <w:i/>
        </w:rPr>
        <w:t xml:space="preserve">Wash. Utils. &amp; Transp. Comm’n v. </w:t>
      </w:r>
      <w:r w:rsidRPr="00377D3E">
        <w:rPr>
          <w:i/>
        </w:rPr>
        <w:t>PacifiCorp</w:t>
      </w:r>
      <w:r>
        <w:t xml:space="preserve">, </w:t>
      </w:r>
      <w:r w:rsidRPr="00377D3E">
        <w:t>Docket</w:t>
      </w:r>
      <w:r>
        <w:t xml:space="preserve"> No. UE-130043, Order 05 ¶ 172 (Dec. 4, 2013).</w:t>
      </w:r>
    </w:p>
  </w:footnote>
  <w:footnote w:id="65">
    <w:p w:rsidR="00D03EF8" w:rsidRDefault="00D03EF8" w:rsidP="00065D05">
      <w:pPr>
        <w:pStyle w:val="FootnoteText"/>
      </w:pPr>
      <w:r>
        <w:rPr>
          <w:rStyle w:val="FootnoteReference"/>
        </w:rPr>
        <w:footnoteRef/>
      </w:r>
      <w:r>
        <w:t xml:space="preserve"> Testimony of Jeremy B. Twitchell, Exhibit No. JBT-1T at 10.</w:t>
      </w:r>
    </w:p>
  </w:footnote>
  <w:footnote w:id="66">
    <w:p w:rsidR="00D03EF8" w:rsidRDefault="00D03EF8" w:rsidP="00065D05">
      <w:pPr>
        <w:pStyle w:val="FootnoteText"/>
      </w:pPr>
      <w:r>
        <w:rPr>
          <w:rStyle w:val="FootnoteReference"/>
        </w:rPr>
        <w:footnoteRef/>
      </w:r>
      <w:r>
        <w:t xml:space="preserve"> Responsive Testimony of Bradley G. Mullins, Exhibit No. BGM-1CT at 58.</w:t>
      </w:r>
    </w:p>
  </w:footnote>
  <w:footnote w:id="67">
    <w:p w:rsidR="00D03EF8" w:rsidRDefault="00D03EF8" w:rsidP="00065D05">
      <w:pPr>
        <w:pStyle w:val="FootnoteText"/>
      </w:pPr>
      <w:r>
        <w:rPr>
          <w:rStyle w:val="FootnoteReference"/>
        </w:rPr>
        <w:footnoteRef/>
      </w:r>
      <w:r>
        <w:t xml:space="preserve"> </w:t>
      </w:r>
      <w:r>
        <w:rPr>
          <w:i/>
        </w:rPr>
        <w:t xml:space="preserve">Wash. Utils. &amp; Transp. Comm’n v. </w:t>
      </w:r>
      <w:r w:rsidRPr="00377D3E">
        <w:rPr>
          <w:i/>
        </w:rPr>
        <w:t>PacifiCorp</w:t>
      </w:r>
      <w:r>
        <w:t xml:space="preserve">, </w:t>
      </w:r>
      <w:r w:rsidRPr="00377D3E">
        <w:t>Docket</w:t>
      </w:r>
      <w:r>
        <w:t xml:space="preserve"> No. UE-061546, Testimony of Alan P. Buckley, Exhibit No. APB-1T at 33:1-3 (Feb. 16, 2007).</w:t>
      </w:r>
    </w:p>
  </w:footnote>
  <w:footnote w:id="68">
    <w:p w:rsidR="00D03EF8" w:rsidRDefault="00D03EF8" w:rsidP="00065D05">
      <w:pPr>
        <w:pStyle w:val="FootnoteText"/>
      </w:pPr>
      <w:r>
        <w:rPr>
          <w:rStyle w:val="FootnoteReference"/>
        </w:rPr>
        <w:footnoteRef/>
      </w:r>
      <w:r>
        <w:t xml:space="preserve"> Responsive Testimony of Bradley G. Mullins, Exhibit No. BGM-1CT at 54-55. </w:t>
      </w:r>
    </w:p>
  </w:footnote>
  <w:footnote w:id="69">
    <w:p w:rsidR="00D03EF8" w:rsidRDefault="00D03EF8" w:rsidP="00065D05">
      <w:pPr>
        <w:pStyle w:val="FootnoteText"/>
      </w:pPr>
      <w:r>
        <w:rPr>
          <w:rStyle w:val="FootnoteReference"/>
        </w:rPr>
        <w:footnoteRef/>
      </w:r>
      <w:r>
        <w:t xml:space="preserve"> Direct Testimony of Gregory N. Duvall, Exhibit No. GND-1CT at 42 Table 7.</w:t>
      </w:r>
    </w:p>
  </w:footnote>
  <w:footnote w:id="70">
    <w:p w:rsidR="00D03EF8" w:rsidRDefault="00D03EF8" w:rsidP="00065D05">
      <w:pPr>
        <w:pStyle w:val="FootnoteText"/>
      </w:pPr>
      <w:r>
        <w:rPr>
          <w:rStyle w:val="FootnoteReference"/>
        </w:rPr>
        <w:footnoteRef/>
      </w:r>
      <w:r>
        <w:t xml:space="preserve"> </w:t>
      </w:r>
      <w:r>
        <w:rPr>
          <w:i/>
        </w:rPr>
        <w:t xml:space="preserve">Wash. Utils. &amp; Transp. Comm’n v. PacifiCorp, </w:t>
      </w:r>
      <w:r>
        <w:fldChar w:fldCharType="begin"/>
      </w:r>
      <w:r>
        <w:instrText xml:space="preserve"> ADDIN BA \xc &lt;@$id&gt; \xl 9 \s ID </w:instrText>
      </w:r>
      <w:r>
        <w:fldChar w:fldCharType="end"/>
      </w:r>
      <w:r>
        <w:t>Docket No. UE-130043, Responsive Testimony of Michael C. Deen on behalf of Boise White Paper, LLC, Exhibit No. MCD-1CT at 9:4-6 (June 21, 2013).</w:t>
      </w:r>
    </w:p>
  </w:footnote>
  <w:footnote w:id="71">
    <w:p w:rsidR="00D03EF8" w:rsidRDefault="00D03EF8" w:rsidP="00065D05">
      <w:pPr>
        <w:pStyle w:val="FootnoteText"/>
      </w:pPr>
      <w:r>
        <w:rPr>
          <w:rStyle w:val="FootnoteReference"/>
        </w:rPr>
        <w:footnoteRef/>
      </w:r>
      <w:r>
        <w:t xml:space="preserve"> Testimony of Jeremy B. Twitchell, Exhibit No. JBT-1T at 12; Responsive Testimony of Bradley G. Mullins, Exhibit No. BGM-1CT at 55.</w:t>
      </w:r>
    </w:p>
  </w:footnote>
  <w:footnote w:id="72">
    <w:p w:rsidR="00D03EF8" w:rsidRDefault="00D03EF8" w:rsidP="00065D05">
      <w:pPr>
        <w:pStyle w:val="FootnoteText"/>
      </w:pPr>
      <w:r>
        <w:rPr>
          <w:rStyle w:val="FootnoteReference"/>
        </w:rPr>
        <w:footnoteRef/>
      </w:r>
      <w:r>
        <w:t xml:space="preserve"> </w:t>
      </w:r>
      <w:r>
        <w:rPr>
          <w:i/>
        </w:rPr>
        <w:t xml:space="preserve">Wash. Utils. &amp; Transp. Comm’n v. </w:t>
      </w:r>
      <w:r w:rsidRPr="0047414D">
        <w:rPr>
          <w:i/>
        </w:rPr>
        <w:t>PacifiCorp</w:t>
      </w:r>
      <w:r>
        <w:t xml:space="preserve">, </w:t>
      </w:r>
      <w:r w:rsidRPr="0047414D">
        <w:t>Docket</w:t>
      </w:r>
      <w:r>
        <w:t xml:space="preserve"> No. UE-061546, Order 08 ¶ 62 (June 21, 2007) (“. . . ICNU recommends that the Commission approve a PCAM that is focused narrowly on variability of hydro-generation . . .”; </w:t>
      </w:r>
      <w:r>
        <w:rPr>
          <w:i/>
        </w:rPr>
        <w:t xml:space="preserve">Wash. Utils. &amp; Transp. Comm’n v. </w:t>
      </w:r>
      <w:r w:rsidRPr="00377D3E">
        <w:rPr>
          <w:i/>
        </w:rPr>
        <w:t>PacifiCorp</w:t>
      </w:r>
      <w:r>
        <w:t xml:space="preserve">, </w:t>
      </w:r>
      <w:r w:rsidRPr="00377D3E">
        <w:t>Docket</w:t>
      </w:r>
      <w:r>
        <w:t xml:space="preserve"> No. UE-061546, Direct Testimony of Randall J. Falkenberg, Exhibit No. RJF-1T at 69-72 (Feb. 16, 2007).</w:t>
      </w:r>
    </w:p>
  </w:footnote>
  <w:footnote w:id="73">
    <w:p w:rsidR="00D03EF8" w:rsidRDefault="00D03EF8" w:rsidP="00065D05">
      <w:pPr>
        <w:pStyle w:val="FootnoteText"/>
      </w:pPr>
      <w:r>
        <w:rPr>
          <w:rStyle w:val="FootnoteReference"/>
        </w:rPr>
        <w:footnoteRef/>
      </w:r>
      <w:r>
        <w:t xml:space="preserve"> Responsive Testimony of Bradley G. Mullins, Exhibit No. BGM-1CT at 56.  </w:t>
      </w:r>
    </w:p>
  </w:footnote>
  <w:footnote w:id="74">
    <w:p w:rsidR="00D03EF8" w:rsidRDefault="00D03EF8" w:rsidP="00065D05">
      <w:pPr>
        <w:pStyle w:val="FootnoteText"/>
      </w:pPr>
      <w:r>
        <w:rPr>
          <w:rStyle w:val="FootnoteReference"/>
        </w:rPr>
        <w:footnoteRef/>
      </w:r>
      <w:r>
        <w:t xml:space="preserve"> </w:t>
      </w:r>
      <w:r>
        <w:rPr>
          <w:i/>
        </w:rPr>
        <w:t xml:space="preserve">In re </w:t>
      </w:r>
      <w:r w:rsidRPr="00054C3A">
        <w:rPr>
          <w:i/>
        </w:rPr>
        <w:t>PacifiCorp</w:t>
      </w:r>
      <w:r>
        <w:t xml:space="preserve">, OPUC Docket No. </w:t>
      </w:r>
      <w:r w:rsidRPr="00054C3A">
        <w:t>UE</w:t>
      </w:r>
      <w:r>
        <w:t xml:space="preserve"> 246, Exhibit PAC/2200, Duvall/2 (Sept. 5, 2012).</w:t>
      </w:r>
    </w:p>
  </w:footnote>
  <w:footnote w:id="75">
    <w:p w:rsidR="00D03EF8" w:rsidRDefault="00D03EF8" w:rsidP="00065D05">
      <w:pPr>
        <w:pStyle w:val="FootnoteText"/>
      </w:pPr>
      <w:r>
        <w:rPr>
          <w:rStyle w:val="FootnoteReference"/>
        </w:rPr>
        <w:footnoteRef/>
      </w:r>
      <w:r>
        <w:t xml:space="preserve"> </w:t>
      </w:r>
      <w:r w:rsidR="00CD00CC">
        <w:rPr>
          <w:i/>
        </w:rPr>
        <w:t>Id.</w:t>
      </w:r>
    </w:p>
  </w:footnote>
  <w:footnote w:id="76">
    <w:p w:rsidR="00D03EF8" w:rsidRDefault="00D03EF8" w:rsidP="00065D05">
      <w:pPr>
        <w:pStyle w:val="FootnoteText"/>
      </w:pPr>
      <w:r>
        <w:rPr>
          <w:rStyle w:val="FootnoteReference"/>
        </w:rPr>
        <w:footnoteRef/>
      </w:r>
      <w:r>
        <w:t xml:space="preserve"> </w:t>
      </w:r>
      <w:r>
        <w:rPr>
          <w:i/>
        </w:rPr>
        <w:t xml:space="preserve">See e.g. </w:t>
      </w:r>
      <w:r>
        <w:t>Revised Testimony of Donna M. Ramas, Exhibit No. DMR-1CT at 39.</w:t>
      </w:r>
    </w:p>
  </w:footnote>
  <w:footnote w:id="77">
    <w:p w:rsidR="00D03EF8" w:rsidRDefault="00D03EF8">
      <w:pPr>
        <w:pStyle w:val="FootnoteText"/>
      </w:pPr>
      <w:r>
        <w:rPr>
          <w:rStyle w:val="FootnoteReference"/>
        </w:rPr>
        <w:footnoteRef/>
      </w:r>
      <w:r>
        <w:t xml:space="preserve"> Testimony of David C. Gomez, Exhibit No. DCG-1CT at 16-18.</w:t>
      </w:r>
    </w:p>
  </w:footnote>
  <w:footnote w:id="78">
    <w:p w:rsidR="00D03EF8" w:rsidRDefault="00D03EF8">
      <w:pPr>
        <w:pStyle w:val="FootnoteText"/>
      </w:pPr>
      <w:r>
        <w:rPr>
          <w:rStyle w:val="FootnoteReference"/>
        </w:rPr>
        <w:footnoteRef/>
      </w:r>
      <w:r>
        <w:t xml:space="preserve"> Revised Testimony of Donna M. Ramas, Exhibit No. DMR-1CT at 42-45.</w:t>
      </w:r>
    </w:p>
  </w:footnote>
  <w:footnote w:id="79">
    <w:p w:rsidR="00D03EF8" w:rsidRDefault="00D03EF8">
      <w:pPr>
        <w:pStyle w:val="FootnoteText"/>
      </w:pPr>
      <w:r>
        <w:rPr>
          <w:rStyle w:val="FootnoteReference"/>
        </w:rPr>
        <w:footnoteRef/>
      </w:r>
      <w:r>
        <w:t xml:space="preserve"> Responsive Testimony of Bradley G. Mullins, Exhibit No. BGM-1CT at 67-68.</w:t>
      </w:r>
    </w:p>
  </w:footnote>
  <w:footnote w:id="80">
    <w:p w:rsidR="00D03EF8" w:rsidRDefault="00D03EF8">
      <w:pPr>
        <w:pStyle w:val="FootnoteText"/>
      </w:pPr>
      <w:r>
        <w:rPr>
          <w:rStyle w:val="FootnoteReference"/>
        </w:rPr>
        <w:footnoteRef/>
      </w:r>
      <w:r>
        <w:t xml:space="preserve"> The 2.9 percent calculated by Mr. Gomez is based on actual hydro generation through August 2014 and excludes the first 17 days of January, consistent with the Company’s deferred accounting application.  Including actual hydro generation through September and an updated balance of year forecast increases the 2.9 percent to 5.3 percent.</w:t>
      </w:r>
    </w:p>
  </w:footnote>
  <w:footnote w:id="81">
    <w:p w:rsidR="00D03EF8" w:rsidRDefault="00D03EF8" w:rsidP="007807B3">
      <w:pPr>
        <w:autoSpaceDE w:val="0"/>
        <w:autoSpaceDN w:val="0"/>
        <w:adjustRightInd w:val="0"/>
      </w:pPr>
      <w:r>
        <w:rPr>
          <w:rStyle w:val="FootnoteReference"/>
        </w:rPr>
        <w:footnoteRef/>
      </w:r>
      <w:r>
        <w:t xml:space="preserve"> </w:t>
      </w:r>
      <w:r>
        <w:rPr>
          <w:i/>
        </w:rPr>
        <w:t xml:space="preserve">Wash. Utils. &amp; Transp. Comm’n v. PacifiCorp, </w:t>
      </w:r>
      <w:r>
        <w:t>Docket No. UE-100749, Buckley, Transcript 584:3-10 (Jan. 26, 2011) (“</w:t>
      </w:r>
      <w:r w:rsidRPr="007807B3">
        <w:t>For the case of PacifiCorp, which</w:t>
      </w:r>
      <w:r>
        <w:t xml:space="preserve"> </w:t>
      </w:r>
      <w:r w:rsidRPr="007807B3">
        <w:t>does not have any kind of power cost mechanism, then I</w:t>
      </w:r>
      <w:r>
        <w:t>’</w:t>
      </w:r>
      <w:r w:rsidRPr="007807B3">
        <w:t>m</w:t>
      </w:r>
      <w:r>
        <w:t xml:space="preserve"> </w:t>
      </w:r>
      <w:r w:rsidRPr="007807B3">
        <w:t>proposing it could be done through an accounting petition or some other method, which is really very similar if not the</w:t>
      </w:r>
      <w:r>
        <w:t xml:space="preserve"> same as what we’ve already done with—</w:t>
      </w:r>
      <w:r w:rsidRPr="007807B3">
        <w:t>I believe it was the</w:t>
      </w:r>
      <w:r>
        <w:t xml:space="preserve"> </w:t>
      </w:r>
      <w:r w:rsidRPr="007807B3">
        <w:t>kind of anomalous hydro generation outages back during the</w:t>
      </w:r>
      <w:r>
        <w:t xml:space="preserve"> </w:t>
      </w:r>
      <w:r w:rsidRPr="007807B3">
        <w:t>energy crisis there was some deferred power costs that the</w:t>
      </w:r>
      <w:r>
        <w:t xml:space="preserve"> </w:t>
      </w:r>
      <w:r w:rsidRPr="007807B3">
        <w:t>Company filed for recovery of.</w:t>
      </w:r>
      <w:r>
        <w:t xml:space="preserve">”). </w:t>
      </w:r>
    </w:p>
  </w:footnote>
  <w:footnote w:id="82">
    <w:p w:rsidR="00D03EF8" w:rsidRPr="00DC736A" w:rsidRDefault="00D03EF8">
      <w:pPr>
        <w:pStyle w:val="FootnoteText"/>
      </w:pPr>
      <w:r>
        <w:rPr>
          <w:rStyle w:val="FootnoteReference"/>
        </w:rPr>
        <w:footnoteRef/>
      </w:r>
      <w:r>
        <w:t xml:space="preserve"> BPA Presentation: </w:t>
      </w:r>
      <w:r w:rsidRPr="006433B6">
        <w:rPr>
          <w:i/>
        </w:rPr>
        <w:t>Building the Framework for the 2014 Integrated Program Review</w:t>
      </w:r>
      <w:r w:rsidRPr="00DC736A">
        <w:t xml:space="preserve">.  Available online at: </w:t>
      </w:r>
      <w:hyperlink r:id="rId3" w:history="1">
        <w:r w:rsidRPr="00DC736A">
          <w:rPr>
            <w:rStyle w:val="Hyperlink"/>
          </w:rPr>
          <w:t>www.bpa.gov/Finance/FinancialPublicProcesses/IPR/2014IPRDocuments/Building%20the%20Framework%20for%20the%20IPR%201.8.2014.pdf</w:t>
        </w:r>
      </w:hyperlink>
      <w:r>
        <w:t>, accessed November 10,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F8" w:rsidRDefault="00D03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F8" w:rsidRPr="001D73CF" w:rsidRDefault="00D03EF8" w:rsidP="001D73CF">
    <w:pPr>
      <w:pStyle w:val="Header"/>
      <w:jc w:val="right"/>
      <w:rPr>
        <w:sz w:val="24"/>
        <w:szCs w:val="24"/>
      </w:rPr>
    </w:pPr>
  </w:p>
  <w:p w:rsidR="00D03EF8" w:rsidRDefault="00D03EF8"/>
  <w:p w:rsidR="00D03EF8" w:rsidRDefault="00D03EF8"/>
  <w:p w:rsidR="00D03EF8" w:rsidRDefault="00D03EF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F8" w:rsidRDefault="00D03E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F8" w:rsidRDefault="00D03E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0FC"/>
    <w:multiLevelType w:val="hybridMultilevel"/>
    <w:tmpl w:val="D97AAE2C"/>
    <w:lvl w:ilvl="0" w:tplc="6DE8D2E8">
      <w:start w:val="1"/>
      <w:numFmt w:val="bullet"/>
      <w:lvlText w:val=""/>
      <w:lvlJc w:val="left"/>
      <w:pPr>
        <w:tabs>
          <w:tab w:val="num" w:pos="1296"/>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25B0F63"/>
    <w:multiLevelType w:val="hybridMultilevel"/>
    <w:tmpl w:val="B15C8FA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D223A0"/>
    <w:multiLevelType w:val="singleLevel"/>
    <w:tmpl w:val="F71CA934"/>
    <w:lvl w:ilvl="0">
      <w:start w:val="1"/>
      <w:numFmt w:val="upperLetter"/>
      <w:lvlText w:val="%1."/>
      <w:lvlJc w:val="left"/>
      <w:pPr>
        <w:tabs>
          <w:tab w:val="num" w:pos="720"/>
        </w:tabs>
        <w:ind w:left="720" w:hanging="720"/>
      </w:pPr>
      <w:rPr>
        <w:rFonts w:cs="Times New Roman" w:hint="default"/>
        <w:b w:val="0"/>
      </w:rPr>
    </w:lvl>
  </w:abstractNum>
  <w:abstractNum w:abstractNumId="3">
    <w:nsid w:val="0503626B"/>
    <w:multiLevelType w:val="hybridMultilevel"/>
    <w:tmpl w:val="CA802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931F85"/>
    <w:multiLevelType w:val="hybridMultilevel"/>
    <w:tmpl w:val="E154E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9C63373"/>
    <w:multiLevelType w:val="hybridMultilevel"/>
    <w:tmpl w:val="12161C5A"/>
    <w:lvl w:ilvl="0" w:tplc="6DE8D2E8">
      <w:start w:val="1"/>
      <w:numFmt w:val="bullet"/>
      <w:lvlText w:val=""/>
      <w:lvlJc w:val="left"/>
      <w:pPr>
        <w:tabs>
          <w:tab w:val="num" w:pos="2016"/>
        </w:tabs>
        <w:ind w:left="2160" w:hanging="72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0A5C20FA"/>
    <w:multiLevelType w:val="singleLevel"/>
    <w:tmpl w:val="AF387CFA"/>
    <w:lvl w:ilvl="0">
      <w:start w:val="17"/>
      <w:numFmt w:val="upperLetter"/>
      <w:lvlText w:val="%1."/>
      <w:lvlJc w:val="left"/>
      <w:pPr>
        <w:tabs>
          <w:tab w:val="num" w:pos="720"/>
        </w:tabs>
        <w:ind w:left="720" w:hanging="720"/>
      </w:pPr>
      <w:rPr>
        <w:rFonts w:cs="Times New Roman" w:hint="default"/>
      </w:rPr>
    </w:lvl>
  </w:abstractNum>
  <w:abstractNum w:abstractNumId="7">
    <w:nsid w:val="0F2772B9"/>
    <w:multiLevelType w:val="hybridMultilevel"/>
    <w:tmpl w:val="C50281E6"/>
    <w:lvl w:ilvl="0" w:tplc="2E9427D6">
      <w:start w:val="1"/>
      <w:numFmt w:val="upperLetter"/>
      <w:lvlText w:val="%1."/>
      <w:lvlJc w:val="left"/>
      <w:pPr>
        <w:ind w:left="900" w:hanging="54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D450ECE"/>
    <w:multiLevelType w:val="hybridMultilevel"/>
    <w:tmpl w:val="6CB4A4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D451B34"/>
    <w:multiLevelType w:val="hybridMultilevel"/>
    <w:tmpl w:val="1FD8E182"/>
    <w:lvl w:ilvl="0" w:tplc="62167EC0">
      <w:start w:val="1"/>
      <w:numFmt w:val="bullet"/>
      <w:lvlText w:val=""/>
      <w:lvlJc w:val="left"/>
      <w:pPr>
        <w:ind w:left="1845" w:hanging="360"/>
      </w:pPr>
      <w:rPr>
        <w:rFonts w:ascii="Wingdings" w:eastAsia="Times New Roman" w:hAnsi="Wingdings" w:hint="default"/>
      </w:rPr>
    </w:lvl>
    <w:lvl w:ilvl="1" w:tplc="04090003" w:tentative="1">
      <w:start w:val="1"/>
      <w:numFmt w:val="bullet"/>
      <w:lvlText w:val="o"/>
      <w:lvlJc w:val="left"/>
      <w:pPr>
        <w:ind w:left="2565" w:hanging="360"/>
      </w:pPr>
      <w:rPr>
        <w:rFonts w:ascii="Courier New" w:hAnsi="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nsid w:val="20DD73AB"/>
    <w:multiLevelType w:val="hybridMultilevel"/>
    <w:tmpl w:val="2EFC040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2FF4574"/>
    <w:multiLevelType w:val="hybridMultilevel"/>
    <w:tmpl w:val="7ADE28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3774582"/>
    <w:multiLevelType w:val="hybridMultilevel"/>
    <w:tmpl w:val="BE68390E"/>
    <w:lvl w:ilvl="0" w:tplc="1AA69A42">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B6622A4"/>
    <w:multiLevelType w:val="hybridMultilevel"/>
    <w:tmpl w:val="59F21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AD1816"/>
    <w:multiLevelType w:val="hybridMultilevel"/>
    <w:tmpl w:val="E83AB348"/>
    <w:lvl w:ilvl="0" w:tplc="851295DC">
      <w:start w:val="1"/>
      <w:numFmt w:val="bullet"/>
      <w:lvlText w:val=""/>
      <w:lvlJc w:val="left"/>
      <w:pPr>
        <w:ind w:hanging="360"/>
      </w:pPr>
      <w:rPr>
        <w:rFonts w:ascii="Symbol" w:hAnsi="Symbol" w:cs="Symbol" w:hint="default"/>
        <w:sz w:val="24"/>
        <w:szCs w:val="24"/>
      </w:rPr>
    </w:lvl>
    <w:lvl w:ilvl="1" w:tplc="C322955C">
      <w:numFmt w:val="decimal"/>
      <w:lvlText w:val=""/>
      <w:lvlJc w:val="left"/>
    </w:lvl>
    <w:lvl w:ilvl="2" w:tplc="70F62870">
      <w:numFmt w:val="decimal"/>
      <w:lvlText w:val=""/>
      <w:lvlJc w:val="left"/>
    </w:lvl>
    <w:lvl w:ilvl="3" w:tplc="DC9AB614">
      <w:numFmt w:val="decimal"/>
      <w:lvlText w:val=""/>
      <w:lvlJc w:val="left"/>
    </w:lvl>
    <w:lvl w:ilvl="4" w:tplc="8ED4EA6E">
      <w:numFmt w:val="decimal"/>
      <w:lvlText w:val=""/>
      <w:lvlJc w:val="left"/>
    </w:lvl>
    <w:lvl w:ilvl="5" w:tplc="04DE2F50">
      <w:numFmt w:val="decimal"/>
      <w:lvlText w:val=""/>
      <w:lvlJc w:val="left"/>
    </w:lvl>
    <w:lvl w:ilvl="6" w:tplc="8E5E114C">
      <w:numFmt w:val="decimal"/>
      <w:lvlText w:val=""/>
      <w:lvlJc w:val="left"/>
    </w:lvl>
    <w:lvl w:ilvl="7" w:tplc="0980E652">
      <w:numFmt w:val="decimal"/>
      <w:lvlText w:val=""/>
      <w:lvlJc w:val="left"/>
    </w:lvl>
    <w:lvl w:ilvl="8" w:tplc="7E1EC9D4">
      <w:numFmt w:val="decimal"/>
      <w:lvlText w:val=""/>
      <w:lvlJc w:val="left"/>
    </w:lvl>
  </w:abstractNum>
  <w:abstractNum w:abstractNumId="15">
    <w:nsid w:val="2D3A4233"/>
    <w:multiLevelType w:val="hybridMultilevel"/>
    <w:tmpl w:val="C900B75A"/>
    <w:lvl w:ilvl="0" w:tplc="400EAB66">
      <w:start w:val="1"/>
      <w:numFmt w:val="decimal"/>
      <w:lvlText w:val="%1"/>
      <w:lvlJc w:val="left"/>
      <w:pPr>
        <w:tabs>
          <w:tab w:val="num" w:pos="720"/>
        </w:tabs>
        <w:ind w:left="720" w:hanging="720"/>
      </w:pPr>
      <w:rPr>
        <w:rFonts w:ascii="Times New Roman" w:hAnsi="Times New Roman" w:cs="Times New Roman" w:hint="default"/>
        <w:b w:val="0"/>
        <w:i/>
        <w:spacing w:val="6"/>
        <w:sz w:val="20"/>
        <w:szCs w:val="25"/>
        <w:vertAlign w:val="baseline"/>
      </w:rPr>
    </w:lvl>
    <w:lvl w:ilvl="1" w:tplc="3594E306">
      <w:start w:val="1"/>
      <w:numFmt w:val="upperLetter"/>
      <w:lvlText w:val="%2."/>
      <w:lvlJc w:val="left"/>
      <w:pPr>
        <w:tabs>
          <w:tab w:val="num" w:pos="1440"/>
        </w:tabs>
        <w:ind w:left="1440" w:hanging="360"/>
      </w:pPr>
    </w:lvl>
    <w:lvl w:ilvl="2" w:tplc="5C6644E2">
      <w:start w:val="1"/>
      <w:numFmt w:val="decimal"/>
      <w:lvlText w:val="%3."/>
      <w:lvlJc w:val="left"/>
      <w:pPr>
        <w:tabs>
          <w:tab w:val="num" w:pos="2340"/>
        </w:tabs>
        <w:ind w:left="2340" w:hanging="360"/>
      </w:pPr>
    </w:lvl>
    <w:lvl w:ilvl="3" w:tplc="FC1C7BD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1ECA6D5E">
      <w:start w:val="1"/>
      <w:numFmt w:val="lowerRoman"/>
      <w:lvlText w:val="(%6)"/>
      <w:lvlJc w:val="left"/>
      <w:pPr>
        <w:ind w:left="4860" w:hanging="72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17E7ABD"/>
    <w:multiLevelType w:val="multilevel"/>
    <w:tmpl w:val="BAC822C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7">
    <w:nsid w:val="31820EB7"/>
    <w:multiLevelType w:val="hybridMultilevel"/>
    <w:tmpl w:val="4F54D3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4304238"/>
    <w:multiLevelType w:val="hybridMultilevel"/>
    <w:tmpl w:val="3B78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349E4187"/>
    <w:multiLevelType w:val="hybridMultilevel"/>
    <w:tmpl w:val="785CDB96"/>
    <w:lvl w:ilvl="0" w:tplc="00D8A61E">
      <w:start w:val="1"/>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3B2961FA"/>
    <w:multiLevelType w:val="hybridMultilevel"/>
    <w:tmpl w:val="0E38DB00"/>
    <w:lvl w:ilvl="0" w:tplc="3698B128">
      <w:start w:val="1"/>
      <w:numFmt w:val="bullet"/>
      <w:lvlText w:val=""/>
      <w:lvlJc w:val="left"/>
      <w:pPr>
        <w:tabs>
          <w:tab w:val="num" w:pos="720"/>
        </w:tabs>
        <w:ind w:left="720" w:firstLine="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E11DE1"/>
    <w:multiLevelType w:val="hybridMultilevel"/>
    <w:tmpl w:val="EB56C34A"/>
    <w:lvl w:ilvl="0" w:tplc="6CD6D8A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4D26DB1"/>
    <w:multiLevelType w:val="hybridMultilevel"/>
    <w:tmpl w:val="5966EEF8"/>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4E665E5"/>
    <w:multiLevelType w:val="hybridMultilevel"/>
    <w:tmpl w:val="C0A65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9052F8"/>
    <w:multiLevelType w:val="hybridMultilevel"/>
    <w:tmpl w:val="828EF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75F4A1E"/>
    <w:multiLevelType w:val="hybridMultilevel"/>
    <w:tmpl w:val="2ED64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1E3056"/>
    <w:multiLevelType w:val="hybridMultilevel"/>
    <w:tmpl w:val="78A6F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FD203C5"/>
    <w:multiLevelType w:val="hybridMultilevel"/>
    <w:tmpl w:val="17AA48EA"/>
    <w:lvl w:ilvl="0" w:tplc="04090015">
      <w:start w:val="17"/>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53D71C3C"/>
    <w:multiLevelType w:val="hybridMultilevel"/>
    <w:tmpl w:val="CEA2BA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6747138"/>
    <w:multiLevelType w:val="hybridMultilevel"/>
    <w:tmpl w:val="E076AED6"/>
    <w:lvl w:ilvl="0" w:tplc="754084AA">
      <w:start w:val="17"/>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5B405D07"/>
    <w:multiLevelType w:val="singleLevel"/>
    <w:tmpl w:val="4E883D2A"/>
    <w:lvl w:ilvl="0">
      <w:start w:val="17"/>
      <w:numFmt w:val="upperLetter"/>
      <w:lvlText w:val="%1."/>
      <w:lvlJc w:val="left"/>
      <w:pPr>
        <w:tabs>
          <w:tab w:val="num" w:pos="720"/>
        </w:tabs>
        <w:ind w:left="720" w:hanging="720"/>
      </w:pPr>
      <w:rPr>
        <w:rFonts w:cs="Times New Roman" w:hint="default"/>
      </w:rPr>
    </w:lvl>
  </w:abstractNum>
  <w:abstractNum w:abstractNumId="31">
    <w:nsid w:val="5D597461"/>
    <w:multiLevelType w:val="multilevel"/>
    <w:tmpl w:val="785CDB9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2">
    <w:nsid w:val="5E07752A"/>
    <w:multiLevelType w:val="hybridMultilevel"/>
    <w:tmpl w:val="2E606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757A1D"/>
    <w:multiLevelType w:val="hybridMultilevel"/>
    <w:tmpl w:val="1DC2E1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48E6A59"/>
    <w:multiLevelType w:val="hybridMultilevel"/>
    <w:tmpl w:val="3A40054E"/>
    <w:lvl w:ilvl="0" w:tplc="18E67064">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0703D8E"/>
    <w:multiLevelType w:val="hybridMultilevel"/>
    <w:tmpl w:val="6F9C3DD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nsid w:val="737F2065"/>
    <w:multiLevelType w:val="hybridMultilevel"/>
    <w:tmpl w:val="564889D4"/>
    <w:lvl w:ilvl="0" w:tplc="84E4B8D4">
      <w:start w:val="1"/>
      <w:numFmt w:val="upperLetter"/>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7">
    <w:nsid w:val="768763E1"/>
    <w:multiLevelType w:val="hybridMultilevel"/>
    <w:tmpl w:val="D8584E7E"/>
    <w:lvl w:ilvl="0" w:tplc="6DE8D2E8">
      <w:start w:val="1"/>
      <w:numFmt w:val="bullet"/>
      <w:lvlText w:val=""/>
      <w:lvlJc w:val="left"/>
      <w:pPr>
        <w:tabs>
          <w:tab w:val="num" w:pos="1296"/>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7C21FE6"/>
    <w:multiLevelType w:val="hybridMultilevel"/>
    <w:tmpl w:val="D38C5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9602830"/>
    <w:multiLevelType w:val="hybridMultilevel"/>
    <w:tmpl w:val="1AB60598"/>
    <w:lvl w:ilvl="0" w:tplc="04090015">
      <w:start w:val="17"/>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2"/>
  </w:num>
  <w:num w:numId="3">
    <w:abstractNumId w:val="32"/>
  </w:num>
  <w:num w:numId="4">
    <w:abstractNumId w:val="9"/>
  </w:num>
  <w:num w:numId="5">
    <w:abstractNumId w:val="6"/>
  </w:num>
  <w:num w:numId="6">
    <w:abstractNumId w:val="22"/>
  </w:num>
  <w:num w:numId="7">
    <w:abstractNumId w:val="1"/>
  </w:num>
  <w:num w:numId="8">
    <w:abstractNumId w:val="39"/>
  </w:num>
  <w:num w:numId="9">
    <w:abstractNumId w:val="10"/>
  </w:num>
  <w:num w:numId="10">
    <w:abstractNumId w:val="20"/>
  </w:num>
  <w:num w:numId="11">
    <w:abstractNumId w:val="12"/>
  </w:num>
  <w:num w:numId="12">
    <w:abstractNumId w:val="34"/>
  </w:num>
  <w:num w:numId="13">
    <w:abstractNumId w:val="19"/>
  </w:num>
  <w:num w:numId="14">
    <w:abstractNumId w:val="31"/>
  </w:num>
  <w:num w:numId="15">
    <w:abstractNumId w:val="5"/>
  </w:num>
  <w:num w:numId="16">
    <w:abstractNumId w:val="37"/>
  </w:num>
  <w:num w:numId="17">
    <w:abstractNumId w:val="0"/>
  </w:num>
  <w:num w:numId="18">
    <w:abstractNumId w:val="29"/>
  </w:num>
  <w:num w:numId="19">
    <w:abstractNumId w:val="36"/>
  </w:num>
  <w:num w:numId="20">
    <w:abstractNumId w:val="27"/>
  </w:num>
  <w:num w:numId="21">
    <w:abstractNumId w:val="7"/>
  </w:num>
  <w:num w:numId="22">
    <w:abstractNumId w:val="3"/>
  </w:num>
  <w:num w:numId="23">
    <w:abstractNumId w:val="16"/>
  </w:num>
  <w:num w:numId="24">
    <w:abstractNumId w:val="24"/>
  </w:num>
  <w:num w:numId="25">
    <w:abstractNumId w:val="38"/>
  </w:num>
  <w:num w:numId="26">
    <w:abstractNumId w:val="13"/>
  </w:num>
  <w:num w:numId="27">
    <w:abstractNumId w:val="33"/>
  </w:num>
  <w:num w:numId="28">
    <w:abstractNumId w:val="11"/>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1"/>
  </w:num>
  <w:num w:numId="32">
    <w:abstractNumId w:val="26"/>
  </w:num>
  <w:num w:numId="33">
    <w:abstractNumId w:val="35"/>
  </w:num>
  <w:num w:numId="34">
    <w:abstractNumId w:val="18"/>
  </w:num>
  <w:num w:numId="35">
    <w:abstractNumId w:val="8"/>
  </w:num>
  <w:num w:numId="36">
    <w:abstractNumId w:val="23"/>
  </w:num>
  <w:num w:numId="37">
    <w:abstractNumId w:val="28"/>
  </w:num>
  <w:num w:numId="38">
    <w:abstractNumId w:val="14"/>
  </w:num>
  <w:num w:numId="39">
    <w:abstractNumId w:val="1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AA"/>
    <w:rsid w:val="000008FC"/>
    <w:rsid w:val="0000164C"/>
    <w:rsid w:val="000040F7"/>
    <w:rsid w:val="000041B4"/>
    <w:rsid w:val="00004F5E"/>
    <w:rsid w:val="000053FB"/>
    <w:rsid w:val="00005945"/>
    <w:rsid w:val="00005ACA"/>
    <w:rsid w:val="0000639F"/>
    <w:rsid w:val="00006E3E"/>
    <w:rsid w:val="00007A46"/>
    <w:rsid w:val="00007B25"/>
    <w:rsid w:val="0001009A"/>
    <w:rsid w:val="00010126"/>
    <w:rsid w:val="000102B8"/>
    <w:rsid w:val="00010C67"/>
    <w:rsid w:val="00011305"/>
    <w:rsid w:val="000115C1"/>
    <w:rsid w:val="000116D8"/>
    <w:rsid w:val="00011906"/>
    <w:rsid w:val="000127DC"/>
    <w:rsid w:val="00012B0A"/>
    <w:rsid w:val="000130E5"/>
    <w:rsid w:val="0001391E"/>
    <w:rsid w:val="00013E22"/>
    <w:rsid w:val="0001550A"/>
    <w:rsid w:val="00015BA0"/>
    <w:rsid w:val="0001737E"/>
    <w:rsid w:val="00020146"/>
    <w:rsid w:val="000202D4"/>
    <w:rsid w:val="00020AF7"/>
    <w:rsid w:val="00020F27"/>
    <w:rsid w:val="00021D40"/>
    <w:rsid w:val="00023395"/>
    <w:rsid w:val="00025F11"/>
    <w:rsid w:val="000269DC"/>
    <w:rsid w:val="0002726E"/>
    <w:rsid w:val="000274E5"/>
    <w:rsid w:val="00027AB7"/>
    <w:rsid w:val="00030240"/>
    <w:rsid w:val="000321E4"/>
    <w:rsid w:val="0003599E"/>
    <w:rsid w:val="0003724A"/>
    <w:rsid w:val="000378C2"/>
    <w:rsid w:val="00037C4F"/>
    <w:rsid w:val="00040451"/>
    <w:rsid w:val="00041178"/>
    <w:rsid w:val="00043D47"/>
    <w:rsid w:val="00044774"/>
    <w:rsid w:val="00045A7C"/>
    <w:rsid w:val="00045D47"/>
    <w:rsid w:val="0004640E"/>
    <w:rsid w:val="00046510"/>
    <w:rsid w:val="00046560"/>
    <w:rsid w:val="00046A54"/>
    <w:rsid w:val="00047124"/>
    <w:rsid w:val="00047FB8"/>
    <w:rsid w:val="0005091E"/>
    <w:rsid w:val="00050F26"/>
    <w:rsid w:val="0005103B"/>
    <w:rsid w:val="00051692"/>
    <w:rsid w:val="00051697"/>
    <w:rsid w:val="0005240F"/>
    <w:rsid w:val="000524E7"/>
    <w:rsid w:val="0005253D"/>
    <w:rsid w:val="00052A75"/>
    <w:rsid w:val="0005339B"/>
    <w:rsid w:val="000535A6"/>
    <w:rsid w:val="000535BF"/>
    <w:rsid w:val="00054552"/>
    <w:rsid w:val="00054A0B"/>
    <w:rsid w:val="00054C3A"/>
    <w:rsid w:val="00055119"/>
    <w:rsid w:val="00056E27"/>
    <w:rsid w:val="000570E5"/>
    <w:rsid w:val="0005730F"/>
    <w:rsid w:val="00057D4D"/>
    <w:rsid w:val="00061175"/>
    <w:rsid w:val="000620B0"/>
    <w:rsid w:val="00062B6D"/>
    <w:rsid w:val="00063A7E"/>
    <w:rsid w:val="000644B7"/>
    <w:rsid w:val="00064B64"/>
    <w:rsid w:val="00065D05"/>
    <w:rsid w:val="00066069"/>
    <w:rsid w:val="00067311"/>
    <w:rsid w:val="00067D1E"/>
    <w:rsid w:val="0007148D"/>
    <w:rsid w:val="00071680"/>
    <w:rsid w:val="00071D85"/>
    <w:rsid w:val="00071E06"/>
    <w:rsid w:val="000727C8"/>
    <w:rsid w:val="00072D57"/>
    <w:rsid w:val="00072D9E"/>
    <w:rsid w:val="00073117"/>
    <w:rsid w:val="00074240"/>
    <w:rsid w:val="000746A3"/>
    <w:rsid w:val="00075184"/>
    <w:rsid w:val="000753A1"/>
    <w:rsid w:val="00075CB1"/>
    <w:rsid w:val="00075E98"/>
    <w:rsid w:val="00076433"/>
    <w:rsid w:val="00076D0A"/>
    <w:rsid w:val="00076D2F"/>
    <w:rsid w:val="000774BF"/>
    <w:rsid w:val="000774F8"/>
    <w:rsid w:val="000775F2"/>
    <w:rsid w:val="000811B0"/>
    <w:rsid w:val="000816E9"/>
    <w:rsid w:val="00081841"/>
    <w:rsid w:val="00081A38"/>
    <w:rsid w:val="00081E44"/>
    <w:rsid w:val="00081ED5"/>
    <w:rsid w:val="00082060"/>
    <w:rsid w:val="00082A4F"/>
    <w:rsid w:val="000832AC"/>
    <w:rsid w:val="00083411"/>
    <w:rsid w:val="00084110"/>
    <w:rsid w:val="000850B9"/>
    <w:rsid w:val="00085476"/>
    <w:rsid w:val="000856BD"/>
    <w:rsid w:val="00085EF4"/>
    <w:rsid w:val="00086084"/>
    <w:rsid w:val="00087220"/>
    <w:rsid w:val="000877B6"/>
    <w:rsid w:val="00087CB2"/>
    <w:rsid w:val="000903F8"/>
    <w:rsid w:val="00090C26"/>
    <w:rsid w:val="00090D69"/>
    <w:rsid w:val="000917C1"/>
    <w:rsid w:val="00092026"/>
    <w:rsid w:val="00092028"/>
    <w:rsid w:val="0009213F"/>
    <w:rsid w:val="00092593"/>
    <w:rsid w:val="00093228"/>
    <w:rsid w:val="0009444D"/>
    <w:rsid w:val="000953AC"/>
    <w:rsid w:val="000959FA"/>
    <w:rsid w:val="000A0916"/>
    <w:rsid w:val="000A0CAE"/>
    <w:rsid w:val="000A15FD"/>
    <w:rsid w:val="000A1C3F"/>
    <w:rsid w:val="000A2B03"/>
    <w:rsid w:val="000A2BAD"/>
    <w:rsid w:val="000A4B6D"/>
    <w:rsid w:val="000A4B80"/>
    <w:rsid w:val="000A6DA3"/>
    <w:rsid w:val="000A70BF"/>
    <w:rsid w:val="000A721C"/>
    <w:rsid w:val="000A770A"/>
    <w:rsid w:val="000B04E9"/>
    <w:rsid w:val="000B2382"/>
    <w:rsid w:val="000B2413"/>
    <w:rsid w:val="000B2FFB"/>
    <w:rsid w:val="000B32B0"/>
    <w:rsid w:val="000B3757"/>
    <w:rsid w:val="000B43E7"/>
    <w:rsid w:val="000B4AC0"/>
    <w:rsid w:val="000B6DB2"/>
    <w:rsid w:val="000B79BE"/>
    <w:rsid w:val="000C167F"/>
    <w:rsid w:val="000C1F9C"/>
    <w:rsid w:val="000C25E5"/>
    <w:rsid w:val="000C382A"/>
    <w:rsid w:val="000C38DF"/>
    <w:rsid w:val="000C5B68"/>
    <w:rsid w:val="000C5FCC"/>
    <w:rsid w:val="000C675E"/>
    <w:rsid w:val="000C6D01"/>
    <w:rsid w:val="000C7B49"/>
    <w:rsid w:val="000D0DED"/>
    <w:rsid w:val="000D12EC"/>
    <w:rsid w:val="000D1358"/>
    <w:rsid w:val="000D14E6"/>
    <w:rsid w:val="000D347C"/>
    <w:rsid w:val="000D35F0"/>
    <w:rsid w:val="000D3FEE"/>
    <w:rsid w:val="000D5325"/>
    <w:rsid w:val="000D5BC6"/>
    <w:rsid w:val="000D67B6"/>
    <w:rsid w:val="000D7E3D"/>
    <w:rsid w:val="000E1116"/>
    <w:rsid w:val="000E112C"/>
    <w:rsid w:val="000E1469"/>
    <w:rsid w:val="000E1581"/>
    <w:rsid w:val="000E3569"/>
    <w:rsid w:val="000E4398"/>
    <w:rsid w:val="000E4715"/>
    <w:rsid w:val="000E4873"/>
    <w:rsid w:val="000E4D7C"/>
    <w:rsid w:val="000E532B"/>
    <w:rsid w:val="000E790F"/>
    <w:rsid w:val="000E7CEB"/>
    <w:rsid w:val="000F02FA"/>
    <w:rsid w:val="000F0CA1"/>
    <w:rsid w:val="000F0F24"/>
    <w:rsid w:val="000F0FE2"/>
    <w:rsid w:val="000F113C"/>
    <w:rsid w:val="000F2E0B"/>
    <w:rsid w:val="000F389A"/>
    <w:rsid w:val="000F3963"/>
    <w:rsid w:val="000F4013"/>
    <w:rsid w:val="000F4305"/>
    <w:rsid w:val="000F43CD"/>
    <w:rsid w:val="000F4542"/>
    <w:rsid w:val="000F5599"/>
    <w:rsid w:val="000F71E6"/>
    <w:rsid w:val="000F7731"/>
    <w:rsid w:val="00101087"/>
    <w:rsid w:val="001012AE"/>
    <w:rsid w:val="00101E3B"/>
    <w:rsid w:val="00101F9A"/>
    <w:rsid w:val="001024DA"/>
    <w:rsid w:val="001031C8"/>
    <w:rsid w:val="00103FB7"/>
    <w:rsid w:val="001041D7"/>
    <w:rsid w:val="00104375"/>
    <w:rsid w:val="001054E6"/>
    <w:rsid w:val="00105DA0"/>
    <w:rsid w:val="00106530"/>
    <w:rsid w:val="00107C69"/>
    <w:rsid w:val="00107E99"/>
    <w:rsid w:val="001111DE"/>
    <w:rsid w:val="001118EA"/>
    <w:rsid w:val="00112197"/>
    <w:rsid w:val="001131E5"/>
    <w:rsid w:val="00113201"/>
    <w:rsid w:val="001154B7"/>
    <w:rsid w:val="001179FC"/>
    <w:rsid w:val="00117A59"/>
    <w:rsid w:val="001200B3"/>
    <w:rsid w:val="0012130D"/>
    <w:rsid w:val="00121E5C"/>
    <w:rsid w:val="00122826"/>
    <w:rsid w:val="001228FD"/>
    <w:rsid w:val="001238AA"/>
    <w:rsid w:val="00124F73"/>
    <w:rsid w:val="001259B7"/>
    <w:rsid w:val="00125F0A"/>
    <w:rsid w:val="00126381"/>
    <w:rsid w:val="001265AF"/>
    <w:rsid w:val="00126E60"/>
    <w:rsid w:val="0012754B"/>
    <w:rsid w:val="001278EC"/>
    <w:rsid w:val="00127AAA"/>
    <w:rsid w:val="00127BA4"/>
    <w:rsid w:val="00130384"/>
    <w:rsid w:val="0013053A"/>
    <w:rsid w:val="00131064"/>
    <w:rsid w:val="00131506"/>
    <w:rsid w:val="00132593"/>
    <w:rsid w:val="001327C7"/>
    <w:rsid w:val="00133288"/>
    <w:rsid w:val="001339B3"/>
    <w:rsid w:val="001342F6"/>
    <w:rsid w:val="00134CB0"/>
    <w:rsid w:val="00135187"/>
    <w:rsid w:val="00135B11"/>
    <w:rsid w:val="001363B3"/>
    <w:rsid w:val="00136B59"/>
    <w:rsid w:val="00137763"/>
    <w:rsid w:val="00137DC1"/>
    <w:rsid w:val="00140994"/>
    <w:rsid w:val="00140C28"/>
    <w:rsid w:val="00140C5A"/>
    <w:rsid w:val="00140F95"/>
    <w:rsid w:val="0014354F"/>
    <w:rsid w:val="00143930"/>
    <w:rsid w:val="001461BE"/>
    <w:rsid w:val="001466A8"/>
    <w:rsid w:val="00146E95"/>
    <w:rsid w:val="001471E9"/>
    <w:rsid w:val="00147931"/>
    <w:rsid w:val="00147F13"/>
    <w:rsid w:val="0015026D"/>
    <w:rsid w:val="001507CC"/>
    <w:rsid w:val="00152C6B"/>
    <w:rsid w:val="001536DE"/>
    <w:rsid w:val="00153E9B"/>
    <w:rsid w:val="0015410F"/>
    <w:rsid w:val="00154D16"/>
    <w:rsid w:val="001550AC"/>
    <w:rsid w:val="00155936"/>
    <w:rsid w:val="00155AEB"/>
    <w:rsid w:val="00155D11"/>
    <w:rsid w:val="00157D28"/>
    <w:rsid w:val="00157D5D"/>
    <w:rsid w:val="001609B3"/>
    <w:rsid w:val="001618B7"/>
    <w:rsid w:val="001618C2"/>
    <w:rsid w:val="001622F4"/>
    <w:rsid w:val="00163029"/>
    <w:rsid w:val="001648AF"/>
    <w:rsid w:val="0016685F"/>
    <w:rsid w:val="00166949"/>
    <w:rsid w:val="00166957"/>
    <w:rsid w:val="001670E3"/>
    <w:rsid w:val="00167121"/>
    <w:rsid w:val="00167C0D"/>
    <w:rsid w:val="0017082E"/>
    <w:rsid w:val="00170D1D"/>
    <w:rsid w:val="00170E41"/>
    <w:rsid w:val="0017188F"/>
    <w:rsid w:val="00171D95"/>
    <w:rsid w:val="00172AEC"/>
    <w:rsid w:val="00174AF9"/>
    <w:rsid w:val="001764DF"/>
    <w:rsid w:val="00177994"/>
    <w:rsid w:val="00177D8A"/>
    <w:rsid w:val="00180470"/>
    <w:rsid w:val="00180755"/>
    <w:rsid w:val="00180FBA"/>
    <w:rsid w:val="00180FE1"/>
    <w:rsid w:val="001829EF"/>
    <w:rsid w:val="00183A8D"/>
    <w:rsid w:val="00184023"/>
    <w:rsid w:val="001856A9"/>
    <w:rsid w:val="001857E1"/>
    <w:rsid w:val="00185B38"/>
    <w:rsid w:val="001862C2"/>
    <w:rsid w:val="001867A7"/>
    <w:rsid w:val="00187F0B"/>
    <w:rsid w:val="00191E49"/>
    <w:rsid w:val="00191E67"/>
    <w:rsid w:val="001929CA"/>
    <w:rsid w:val="001936BB"/>
    <w:rsid w:val="001939E3"/>
    <w:rsid w:val="00193BA7"/>
    <w:rsid w:val="00193F46"/>
    <w:rsid w:val="00193F99"/>
    <w:rsid w:val="001944AA"/>
    <w:rsid w:val="00195625"/>
    <w:rsid w:val="001958A8"/>
    <w:rsid w:val="00197924"/>
    <w:rsid w:val="00197A02"/>
    <w:rsid w:val="00197A17"/>
    <w:rsid w:val="001A16A1"/>
    <w:rsid w:val="001A2E3C"/>
    <w:rsid w:val="001A2E3F"/>
    <w:rsid w:val="001A2F8D"/>
    <w:rsid w:val="001A33D1"/>
    <w:rsid w:val="001A3957"/>
    <w:rsid w:val="001A463A"/>
    <w:rsid w:val="001A482A"/>
    <w:rsid w:val="001A66AB"/>
    <w:rsid w:val="001A6C72"/>
    <w:rsid w:val="001A704C"/>
    <w:rsid w:val="001A72EB"/>
    <w:rsid w:val="001B1415"/>
    <w:rsid w:val="001B2860"/>
    <w:rsid w:val="001B2CD5"/>
    <w:rsid w:val="001B2E34"/>
    <w:rsid w:val="001B469C"/>
    <w:rsid w:val="001B4799"/>
    <w:rsid w:val="001B5948"/>
    <w:rsid w:val="001B5F41"/>
    <w:rsid w:val="001B706E"/>
    <w:rsid w:val="001B719B"/>
    <w:rsid w:val="001B7886"/>
    <w:rsid w:val="001C0097"/>
    <w:rsid w:val="001C1478"/>
    <w:rsid w:val="001C1EC2"/>
    <w:rsid w:val="001C26EB"/>
    <w:rsid w:val="001C2AED"/>
    <w:rsid w:val="001C2B5D"/>
    <w:rsid w:val="001C2C60"/>
    <w:rsid w:val="001C39D0"/>
    <w:rsid w:val="001C39DE"/>
    <w:rsid w:val="001C3C95"/>
    <w:rsid w:val="001C3CB9"/>
    <w:rsid w:val="001C4CDA"/>
    <w:rsid w:val="001C4F60"/>
    <w:rsid w:val="001C518B"/>
    <w:rsid w:val="001C537E"/>
    <w:rsid w:val="001C7B6B"/>
    <w:rsid w:val="001C7C2C"/>
    <w:rsid w:val="001D0AC2"/>
    <w:rsid w:val="001D0E2F"/>
    <w:rsid w:val="001D1186"/>
    <w:rsid w:val="001D1DB6"/>
    <w:rsid w:val="001D201F"/>
    <w:rsid w:val="001D38F5"/>
    <w:rsid w:val="001D3B33"/>
    <w:rsid w:val="001D3B8A"/>
    <w:rsid w:val="001D5130"/>
    <w:rsid w:val="001D5C12"/>
    <w:rsid w:val="001D6823"/>
    <w:rsid w:val="001D6AC3"/>
    <w:rsid w:val="001D6F00"/>
    <w:rsid w:val="001D73CF"/>
    <w:rsid w:val="001D7D59"/>
    <w:rsid w:val="001E03B7"/>
    <w:rsid w:val="001E075C"/>
    <w:rsid w:val="001E0A82"/>
    <w:rsid w:val="001E12CE"/>
    <w:rsid w:val="001E1CD7"/>
    <w:rsid w:val="001E2297"/>
    <w:rsid w:val="001E28CD"/>
    <w:rsid w:val="001E3108"/>
    <w:rsid w:val="001E3216"/>
    <w:rsid w:val="001E442F"/>
    <w:rsid w:val="001E5208"/>
    <w:rsid w:val="001E5CE0"/>
    <w:rsid w:val="001E5D03"/>
    <w:rsid w:val="001E60ED"/>
    <w:rsid w:val="001E6AD2"/>
    <w:rsid w:val="001E6B78"/>
    <w:rsid w:val="001E761A"/>
    <w:rsid w:val="001E7F24"/>
    <w:rsid w:val="001F07DB"/>
    <w:rsid w:val="001F07FF"/>
    <w:rsid w:val="001F0AFA"/>
    <w:rsid w:val="001F0FCC"/>
    <w:rsid w:val="001F1B37"/>
    <w:rsid w:val="001F1F85"/>
    <w:rsid w:val="001F2729"/>
    <w:rsid w:val="001F2BB3"/>
    <w:rsid w:val="001F2CBD"/>
    <w:rsid w:val="001F4BFB"/>
    <w:rsid w:val="001F54B0"/>
    <w:rsid w:val="001F5989"/>
    <w:rsid w:val="001F6E39"/>
    <w:rsid w:val="002000B4"/>
    <w:rsid w:val="0020010A"/>
    <w:rsid w:val="0020070B"/>
    <w:rsid w:val="00200761"/>
    <w:rsid w:val="00200AE3"/>
    <w:rsid w:val="00200C0B"/>
    <w:rsid w:val="00202715"/>
    <w:rsid w:val="0020292A"/>
    <w:rsid w:val="002034B4"/>
    <w:rsid w:val="00203788"/>
    <w:rsid w:val="00203B4C"/>
    <w:rsid w:val="002045FF"/>
    <w:rsid w:val="0020590F"/>
    <w:rsid w:val="00205E42"/>
    <w:rsid w:val="002070CA"/>
    <w:rsid w:val="00207C6B"/>
    <w:rsid w:val="00210000"/>
    <w:rsid w:val="00210988"/>
    <w:rsid w:val="00210C3A"/>
    <w:rsid w:val="00210E00"/>
    <w:rsid w:val="00210E12"/>
    <w:rsid w:val="00211CB4"/>
    <w:rsid w:val="00212D3E"/>
    <w:rsid w:val="0021325A"/>
    <w:rsid w:val="002141CE"/>
    <w:rsid w:val="00214CFA"/>
    <w:rsid w:val="00214F99"/>
    <w:rsid w:val="0021510B"/>
    <w:rsid w:val="0021711E"/>
    <w:rsid w:val="00217830"/>
    <w:rsid w:val="00217CB9"/>
    <w:rsid w:val="00220C61"/>
    <w:rsid w:val="00220F8A"/>
    <w:rsid w:val="00222BC6"/>
    <w:rsid w:val="0022427F"/>
    <w:rsid w:val="002242B8"/>
    <w:rsid w:val="0022442D"/>
    <w:rsid w:val="00226343"/>
    <w:rsid w:val="00230113"/>
    <w:rsid w:val="00230369"/>
    <w:rsid w:val="0023080B"/>
    <w:rsid w:val="00230C61"/>
    <w:rsid w:val="0023158D"/>
    <w:rsid w:val="0023229E"/>
    <w:rsid w:val="00233595"/>
    <w:rsid w:val="00234401"/>
    <w:rsid w:val="002352BD"/>
    <w:rsid w:val="002359C2"/>
    <w:rsid w:val="0023604E"/>
    <w:rsid w:val="002368B8"/>
    <w:rsid w:val="00237D8D"/>
    <w:rsid w:val="00237E33"/>
    <w:rsid w:val="002400FF"/>
    <w:rsid w:val="00240C8A"/>
    <w:rsid w:val="0024105B"/>
    <w:rsid w:val="00241987"/>
    <w:rsid w:val="00241BD1"/>
    <w:rsid w:val="00241C77"/>
    <w:rsid w:val="00241E43"/>
    <w:rsid w:val="00242E9E"/>
    <w:rsid w:val="00242EB0"/>
    <w:rsid w:val="00243C8B"/>
    <w:rsid w:val="00243F60"/>
    <w:rsid w:val="00244054"/>
    <w:rsid w:val="0024446F"/>
    <w:rsid w:val="00244525"/>
    <w:rsid w:val="002456EE"/>
    <w:rsid w:val="0024638F"/>
    <w:rsid w:val="002477CA"/>
    <w:rsid w:val="00250A9B"/>
    <w:rsid w:val="00250CFE"/>
    <w:rsid w:val="00251D3F"/>
    <w:rsid w:val="00251EDE"/>
    <w:rsid w:val="00253C03"/>
    <w:rsid w:val="0025409E"/>
    <w:rsid w:val="002545AC"/>
    <w:rsid w:val="002555C6"/>
    <w:rsid w:val="002556AD"/>
    <w:rsid w:val="00255846"/>
    <w:rsid w:val="00255B13"/>
    <w:rsid w:val="00257466"/>
    <w:rsid w:val="00257909"/>
    <w:rsid w:val="00257AC8"/>
    <w:rsid w:val="00260649"/>
    <w:rsid w:val="00260AD2"/>
    <w:rsid w:val="00260D08"/>
    <w:rsid w:val="00260E47"/>
    <w:rsid w:val="0026152A"/>
    <w:rsid w:val="00261B24"/>
    <w:rsid w:val="002622CE"/>
    <w:rsid w:val="00262357"/>
    <w:rsid w:val="00262787"/>
    <w:rsid w:val="00262BF9"/>
    <w:rsid w:val="00262FA8"/>
    <w:rsid w:val="0026375E"/>
    <w:rsid w:val="00263ABA"/>
    <w:rsid w:val="00264582"/>
    <w:rsid w:val="00265A3D"/>
    <w:rsid w:val="00265D60"/>
    <w:rsid w:val="00265E8A"/>
    <w:rsid w:val="00266378"/>
    <w:rsid w:val="00266532"/>
    <w:rsid w:val="00266863"/>
    <w:rsid w:val="00266B26"/>
    <w:rsid w:val="00266DE0"/>
    <w:rsid w:val="00267180"/>
    <w:rsid w:val="00270710"/>
    <w:rsid w:val="00270A63"/>
    <w:rsid w:val="00270B6A"/>
    <w:rsid w:val="0027183C"/>
    <w:rsid w:val="00271B57"/>
    <w:rsid w:val="0027367F"/>
    <w:rsid w:val="0027427F"/>
    <w:rsid w:val="00275360"/>
    <w:rsid w:val="0027587D"/>
    <w:rsid w:val="00275C0C"/>
    <w:rsid w:val="00276E25"/>
    <w:rsid w:val="002775F3"/>
    <w:rsid w:val="00277BDA"/>
    <w:rsid w:val="00277D6F"/>
    <w:rsid w:val="0028027B"/>
    <w:rsid w:val="00281637"/>
    <w:rsid w:val="0028373A"/>
    <w:rsid w:val="00283EDB"/>
    <w:rsid w:val="00284471"/>
    <w:rsid w:val="00285023"/>
    <w:rsid w:val="002856CC"/>
    <w:rsid w:val="002860B3"/>
    <w:rsid w:val="00286518"/>
    <w:rsid w:val="00286BB9"/>
    <w:rsid w:val="002876BF"/>
    <w:rsid w:val="0029146F"/>
    <w:rsid w:val="00291654"/>
    <w:rsid w:val="00291657"/>
    <w:rsid w:val="00291796"/>
    <w:rsid w:val="00292832"/>
    <w:rsid w:val="00292FD7"/>
    <w:rsid w:val="00293583"/>
    <w:rsid w:val="00293C69"/>
    <w:rsid w:val="00293D0D"/>
    <w:rsid w:val="00294CC0"/>
    <w:rsid w:val="002953C4"/>
    <w:rsid w:val="00295BFD"/>
    <w:rsid w:val="00297383"/>
    <w:rsid w:val="00297845"/>
    <w:rsid w:val="00297F72"/>
    <w:rsid w:val="002A0140"/>
    <w:rsid w:val="002A02AD"/>
    <w:rsid w:val="002A02D0"/>
    <w:rsid w:val="002A1335"/>
    <w:rsid w:val="002A1544"/>
    <w:rsid w:val="002A16D0"/>
    <w:rsid w:val="002A2099"/>
    <w:rsid w:val="002A248A"/>
    <w:rsid w:val="002A2576"/>
    <w:rsid w:val="002A2E62"/>
    <w:rsid w:val="002A43FE"/>
    <w:rsid w:val="002A5623"/>
    <w:rsid w:val="002A567C"/>
    <w:rsid w:val="002A59D2"/>
    <w:rsid w:val="002A6316"/>
    <w:rsid w:val="002A6850"/>
    <w:rsid w:val="002A6A99"/>
    <w:rsid w:val="002A713C"/>
    <w:rsid w:val="002B00D7"/>
    <w:rsid w:val="002B1E1D"/>
    <w:rsid w:val="002B276D"/>
    <w:rsid w:val="002B432D"/>
    <w:rsid w:val="002B604D"/>
    <w:rsid w:val="002B65A2"/>
    <w:rsid w:val="002B7EA7"/>
    <w:rsid w:val="002C051F"/>
    <w:rsid w:val="002C0B4A"/>
    <w:rsid w:val="002C1C56"/>
    <w:rsid w:val="002C1D21"/>
    <w:rsid w:val="002C1DFC"/>
    <w:rsid w:val="002C2CE3"/>
    <w:rsid w:val="002C2DF1"/>
    <w:rsid w:val="002C34D1"/>
    <w:rsid w:val="002C3833"/>
    <w:rsid w:val="002C3CD7"/>
    <w:rsid w:val="002C3DDD"/>
    <w:rsid w:val="002C4AD7"/>
    <w:rsid w:val="002C53E5"/>
    <w:rsid w:val="002C552D"/>
    <w:rsid w:val="002C5733"/>
    <w:rsid w:val="002C689A"/>
    <w:rsid w:val="002C6BAA"/>
    <w:rsid w:val="002C789B"/>
    <w:rsid w:val="002D27A9"/>
    <w:rsid w:val="002D2C0C"/>
    <w:rsid w:val="002D2FE1"/>
    <w:rsid w:val="002D311E"/>
    <w:rsid w:val="002D342E"/>
    <w:rsid w:val="002D34EC"/>
    <w:rsid w:val="002D3AB0"/>
    <w:rsid w:val="002D46C8"/>
    <w:rsid w:val="002D65EA"/>
    <w:rsid w:val="002D6880"/>
    <w:rsid w:val="002D6B21"/>
    <w:rsid w:val="002D7639"/>
    <w:rsid w:val="002D7A57"/>
    <w:rsid w:val="002E0BDA"/>
    <w:rsid w:val="002E241E"/>
    <w:rsid w:val="002E26EB"/>
    <w:rsid w:val="002E27B7"/>
    <w:rsid w:val="002E2845"/>
    <w:rsid w:val="002E30A8"/>
    <w:rsid w:val="002E31D5"/>
    <w:rsid w:val="002E4A78"/>
    <w:rsid w:val="002E540B"/>
    <w:rsid w:val="002E5DA8"/>
    <w:rsid w:val="002E6367"/>
    <w:rsid w:val="002E77DB"/>
    <w:rsid w:val="002F0814"/>
    <w:rsid w:val="002F0F26"/>
    <w:rsid w:val="002F1570"/>
    <w:rsid w:val="002F1769"/>
    <w:rsid w:val="002F1FA5"/>
    <w:rsid w:val="002F21A4"/>
    <w:rsid w:val="002F27FA"/>
    <w:rsid w:val="002F2D35"/>
    <w:rsid w:val="002F426D"/>
    <w:rsid w:val="002F509B"/>
    <w:rsid w:val="002F588B"/>
    <w:rsid w:val="002F5A9B"/>
    <w:rsid w:val="002F5A9C"/>
    <w:rsid w:val="002F5C82"/>
    <w:rsid w:val="002F5E10"/>
    <w:rsid w:val="002F703D"/>
    <w:rsid w:val="00301BB6"/>
    <w:rsid w:val="00301E40"/>
    <w:rsid w:val="00301E5F"/>
    <w:rsid w:val="00302341"/>
    <w:rsid w:val="0030276E"/>
    <w:rsid w:val="0030279D"/>
    <w:rsid w:val="003039DF"/>
    <w:rsid w:val="00305122"/>
    <w:rsid w:val="00305EA8"/>
    <w:rsid w:val="00306DE1"/>
    <w:rsid w:val="00307502"/>
    <w:rsid w:val="00310742"/>
    <w:rsid w:val="00311005"/>
    <w:rsid w:val="00311EF7"/>
    <w:rsid w:val="003121AF"/>
    <w:rsid w:val="0031232D"/>
    <w:rsid w:val="003147BF"/>
    <w:rsid w:val="003151F0"/>
    <w:rsid w:val="00315327"/>
    <w:rsid w:val="00315FB8"/>
    <w:rsid w:val="00316E36"/>
    <w:rsid w:val="00316EB7"/>
    <w:rsid w:val="00317450"/>
    <w:rsid w:val="00317FAB"/>
    <w:rsid w:val="00320024"/>
    <w:rsid w:val="003203B2"/>
    <w:rsid w:val="0032067F"/>
    <w:rsid w:val="003207EB"/>
    <w:rsid w:val="003219F9"/>
    <w:rsid w:val="00321D5E"/>
    <w:rsid w:val="00321EDA"/>
    <w:rsid w:val="0032263C"/>
    <w:rsid w:val="003239C5"/>
    <w:rsid w:val="003244D2"/>
    <w:rsid w:val="00324B66"/>
    <w:rsid w:val="0032673C"/>
    <w:rsid w:val="003300CA"/>
    <w:rsid w:val="003308DB"/>
    <w:rsid w:val="00332E3E"/>
    <w:rsid w:val="00334F7A"/>
    <w:rsid w:val="0033685B"/>
    <w:rsid w:val="00336B47"/>
    <w:rsid w:val="00336EF8"/>
    <w:rsid w:val="00337F01"/>
    <w:rsid w:val="00340DC6"/>
    <w:rsid w:val="00340FCD"/>
    <w:rsid w:val="003414EF"/>
    <w:rsid w:val="00341FE5"/>
    <w:rsid w:val="0034205B"/>
    <w:rsid w:val="00343B15"/>
    <w:rsid w:val="0034434B"/>
    <w:rsid w:val="0034525B"/>
    <w:rsid w:val="00346550"/>
    <w:rsid w:val="00346553"/>
    <w:rsid w:val="003467E7"/>
    <w:rsid w:val="00346970"/>
    <w:rsid w:val="00347C61"/>
    <w:rsid w:val="00347CB2"/>
    <w:rsid w:val="00350102"/>
    <w:rsid w:val="003517C6"/>
    <w:rsid w:val="00351FBD"/>
    <w:rsid w:val="00352888"/>
    <w:rsid w:val="003528B8"/>
    <w:rsid w:val="00352A41"/>
    <w:rsid w:val="00353CEE"/>
    <w:rsid w:val="003547C4"/>
    <w:rsid w:val="00354A63"/>
    <w:rsid w:val="00354BE3"/>
    <w:rsid w:val="0035513B"/>
    <w:rsid w:val="00355602"/>
    <w:rsid w:val="003556B1"/>
    <w:rsid w:val="00356307"/>
    <w:rsid w:val="0035636C"/>
    <w:rsid w:val="003564F2"/>
    <w:rsid w:val="003566F6"/>
    <w:rsid w:val="0035672C"/>
    <w:rsid w:val="00356769"/>
    <w:rsid w:val="003569B1"/>
    <w:rsid w:val="00356D13"/>
    <w:rsid w:val="0036004F"/>
    <w:rsid w:val="00360BBB"/>
    <w:rsid w:val="00361617"/>
    <w:rsid w:val="00361EAF"/>
    <w:rsid w:val="00361F36"/>
    <w:rsid w:val="00362E9C"/>
    <w:rsid w:val="00363346"/>
    <w:rsid w:val="00363877"/>
    <w:rsid w:val="003638EA"/>
    <w:rsid w:val="00363CE2"/>
    <w:rsid w:val="00364653"/>
    <w:rsid w:val="00365504"/>
    <w:rsid w:val="003668F5"/>
    <w:rsid w:val="00366EEA"/>
    <w:rsid w:val="0036700B"/>
    <w:rsid w:val="00367AB9"/>
    <w:rsid w:val="00371A92"/>
    <w:rsid w:val="0037298F"/>
    <w:rsid w:val="00372DA2"/>
    <w:rsid w:val="0037339F"/>
    <w:rsid w:val="003756DB"/>
    <w:rsid w:val="00375BB7"/>
    <w:rsid w:val="00375C10"/>
    <w:rsid w:val="00375FA9"/>
    <w:rsid w:val="003762A3"/>
    <w:rsid w:val="003766AB"/>
    <w:rsid w:val="00376896"/>
    <w:rsid w:val="00376BDA"/>
    <w:rsid w:val="00377AE5"/>
    <w:rsid w:val="00377B6F"/>
    <w:rsid w:val="00377C65"/>
    <w:rsid w:val="00377CFD"/>
    <w:rsid w:val="0038024E"/>
    <w:rsid w:val="00381244"/>
    <w:rsid w:val="003823B8"/>
    <w:rsid w:val="00382642"/>
    <w:rsid w:val="00383B68"/>
    <w:rsid w:val="00383BF9"/>
    <w:rsid w:val="00384CF9"/>
    <w:rsid w:val="003860C1"/>
    <w:rsid w:val="0038620F"/>
    <w:rsid w:val="003871E9"/>
    <w:rsid w:val="0038752E"/>
    <w:rsid w:val="00390440"/>
    <w:rsid w:val="0039082D"/>
    <w:rsid w:val="00390AB2"/>
    <w:rsid w:val="00391EE5"/>
    <w:rsid w:val="00391FFB"/>
    <w:rsid w:val="003926C7"/>
    <w:rsid w:val="00393064"/>
    <w:rsid w:val="00393192"/>
    <w:rsid w:val="0039383B"/>
    <w:rsid w:val="00393C66"/>
    <w:rsid w:val="00393E01"/>
    <w:rsid w:val="00393E4B"/>
    <w:rsid w:val="00394F83"/>
    <w:rsid w:val="003960AD"/>
    <w:rsid w:val="00397016"/>
    <w:rsid w:val="003970AD"/>
    <w:rsid w:val="00397284"/>
    <w:rsid w:val="00397A88"/>
    <w:rsid w:val="003A05CE"/>
    <w:rsid w:val="003A0679"/>
    <w:rsid w:val="003A14BC"/>
    <w:rsid w:val="003A1B6E"/>
    <w:rsid w:val="003A1CE1"/>
    <w:rsid w:val="003A2231"/>
    <w:rsid w:val="003A3716"/>
    <w:rsid w:val="003A422C"/>
    <w:rsid w:val="003A435E"/>
    <w:rsid w:val="003A43E2"/>
    <w:rsid w:val="003A4D22"/>
    <w:rsid w:val="003A50FB"/>
    <w:rsid w:val="003A5455"/>
    <w:rsid w:val="003A5603"/>
    <w:rsid w:val="003A725B"/>
    <w:rsid w:val="003A7310"/>
    <w:rsid w:val="003A7A39"/>
    <w:rsid w:val="003B08A4"/>
    <w:rsid w:val="003B2AB9"/>
    <w:rsid w:val="003B3BE7"/>
    <w:rsid w:val="003B5CE2"/>
    <w:rsid w:val="003C034C"/>
    <w:rsid w:val="003C03EA"/>
    <w:rsid w:val="003C0A22"/>
    <w:rsid w:val="003C0B6C"/>
    <w:rsid w:val="003C0FE8"/>
    <w:rsid w:val="003C11A4"/>
    <w:rsid w:val="003C142F"/>
    <w:rsid w:val="003C2497"/>
    <w:rsid w:val="003C3B5D"/>
    <w:rsid w:val="003C74B8"/>
    <w:rsid w:val="003C7B53"/>
    <w:rsid w:val="003C7F4E"/>
    <w:rsid w:val="003D02E9"/>
    <w:rsid w:val="003D0A65"/>
    <w:rsid w:val="003D108B"/>
    <w:rsid w:val="003D161C"/>
    <w:rsid w:val="003D1A85"/>
    <w:rsid w:val="003D1C74"/>
    <w:rsid w:val="003D20B4"/>
    <w:rsid w:val="003D259F"/>
    <w:rsid w:val="003D2614"/>
    <w:rsid w:val="003D312F"/>
    <w:rsid w:val="003D3A4F"/>
    <w:rsid w:val="003D40F0"/>
    <w:rsid w:val="003D46F5"/>
    <w:rsid w:val="003D4D8E"/>
    <w:rsid w:val="003D5239"/>
    <w:rsid w:val="003D56F6"/>
    <w:rsid w:val="003D5809"/>
    <w:rsid w:val="003D6498"/>
    <w:rsid w:val="003D6D39"/>
    <w:rsid w:val="003E074C"/>
    <w:rsid w:val="003E1027"/>
    <w:rsid w:val="003E162F"/>
    <w:rsid w:val="003E1B35"/>
    <w:rsid w:val="003E26AF"/>
    <w:rsid w:val="003E2F98"/>
    <w:rsid w:val="003E42A4"/>
    <w:rsid w:val="003E45E8"/>
    <w:rsid w:val="003E504F"/>
    <w:rsid w:val="003E58BA"/>
    <w:rsid w:val="003E5CB7"/>
    <w:rsid w:val="003E5F65"/>
    <w:rsid w:val="003E647A"/>
    <w:rsid w:val="003E708A"/>
    <w:rsid w:val="003E7457"/>
    <w:rsid w:val="003E781E"/>
    <w:rsid w:val="003E7FBB"/>
    <w:rsid w:val="003F1800"/>
    <w:rsid w:val="003F1FB1"/>
    <w:rsid w:val="003F2A2A"/>
    <w:rsid w:val="003F2D3C"/>
    <w:rsid w:val="003F316E"/>
    <w:rsid w:val="003F3D4E"/>
    <w:rsid w:val="003F4916"/>
    <w:rsid w:val="003F496D"/>
    <w:rsid w:val="003F5471"/>
    <w:rsid w:val="003F6703"/>
    <w:rsid w:val="003F678B"/>
    <w:rsid w:val="003F6995"/>
    <w:rsid w:val="003F75CF"/>
    <w:rsid w:val="003F75F2"/>
    <w:rsid w:val="00400153"/>
    <w:rsid w:val="00400C2D"/>
    <w:rsid w:val="00401230"/>
    <w:rsid w:val="0040139A"/>
    <w:rsid w:val="00402388"/>
    <w:rsid w:val="00402499"/>
    <w:rsid w:val="00402889"/>
    <w:rsid w:val="004035B3"/>
    <w:rsid w:val="00403679"/>
    <w:rsid w:val="00403746"/>
    <w:rsid w:val="00403C42"/>
    <w:rsid w:val="00403D2D"/>
    <w:rsid w:val="00404509"/>
    <w:rsid w:val="00404E58"/>
    <w:rsid w:val="00405721"/>
    <w:rsid w:val="00405E22"/>
    <w:rsid w:val="0040636E"/>
    <w:rsid w:val="004064EE"/>
    <w:rsid w:val="004066F9"/>
    <w:rsid w:val="00407502"/>
    <w:rsid w:val="00407577"/>
    <w:rsid w:val="0041071F"/>
    <w:rsid w:val="004116FB"/>
    <w:rsid w:val="00412556"/>
    <w:rsid w:val="0041304A"/>
    <w:rsid w:val="00413EBF"/>
    <w:rsid w:val="0041459D"/>
    <w:rsid w:val="00414E68"/>
    <w:rsid w:val="00416EE1"/>
    <w:rsid w:val="00417243"/>
    <w:rsid w:val="00420602"/>
    <w:rsid w:val="004215C6"/>
    <w:rsid w:val="00421F87"/>
    <w:rsid w:val="0042319D"/>
    <w:rsid w:val="0042359A"/>
    <w:rsid w:val="00423D4D"/>
    <w:rsid w:val="00425B87"/>
    <w:rsid w:val="00426B04"/>
    <w:rsid w:val="00426BFF"/>
    <w:rsid w:val="00427046"/>
    <w:rsid w:val="00427524"/>
    <w:rsid w:val="00427BF0"/>
    <w:rsid w:val="0043072A"/>
    <w:rsid w:val="00430FCD"/>
    <w:rsid w:val="004316B0"/>
    <w:rsid w:val="00431BE9"/>
    <w:rsid w:val="00431C92"/>
    <w:rsid w:val="00432138"/>
    <w:rsid w:val="004323B0"/>
    <w:rsid w:val="00432CFF"/>
    <w:rsid w:val="00433FF7"/>
    <w:rsid w:val="004348B9"/>
    <w:rsid w:val="004349A7"/>
    <w:rsid w:val="00434FE3"/>
    <w:rsid w:val="00435439"/>
    <w:rsid w:val="00435915"/>
    <w:rsid w:val="00435B40"/>
    <w:rsid w:val="00436430"/>
    <w:rsid w:val="0043669D"/>
    <w:rsid w:val="00436A0B"/>
    <w:rsid w:val="00436E0D"/>
    <w:rsid w:val="004378B5"/>
    <w:rsid w:val="00437B40"/>
    <w:rsid w:val="00437B47"/>
    <w:rsid w:val="004404B0"/>
    <w:rsid w:val="00441A6E"/>
    <w:rsid w:val="00441FEC"/>
    <w:rsid w:val="0044258A"/>
    <w:rsid w:val="0044321B"/>
    <w:rsid w:val="00443480"/>
    <w:rsid w:val="00444672"/>
    <w:rsid w:val="00445F2B"/>
    <w:rsid w:val="00447434"/>
    <w:rsid w:val="00447FA4"/>
    <w:rsid w:val="00450696"/>
    <w:rsid w:val="00451B26"/>
    <w:rsid w:val="004523EC"/>
    <w:rsid w:val="00452999"/>
    <w:rsid w:val="00453B8A"/>
    <w:rsid w:val="004548A3"/>
    <w:rsid w:val="00455068"/>
    <w:rsid w:val="00455921"/>
    <w:rsid w:val="0045592A"/>
    <w:rsid w:val="004559F4"/>
    <w:rsid w:val="00455BEE"/>
    <w:rsid w:val="0045645E"/>
    <w:rsid w:val="00457AC6"/>
    <w:rsid w:val="00460642"/>
    <w:rsid w:val="00460811"/>
    <w:rsid w:val="00460AFD"/>
    <w:rsid w:val="00460BFE"/>
    <w:rsid w:val="004610CD"/>
    <w:rsid w:val="00461D47"/>
    <w:rsid w:val="00462365"/>
    <w:rsid w:val="004637E8"/>
    <w:rsid w:val="00463D43"/>
    <w:rsid w:val="00463E5A"/>
    <w:rsid w:val="0046433C"/>
    <w:rsid w:val="00465271"/>
    <w:rsid w:val="00465584"/>
    <w:rsid w:val="00465DF0"/>
    <w:rsid w:val="004662B3"/>
    <w:rsid w:val="004666A0"/>
    <w:rsid w:val="00470815"/>
    <w:rsid w:val="00471466"/>
    <w:rsid w:val="00471A40"/>
    <w:rsid w:val="004723C9"/>
    <w:rsid w:val="00472813"/>
    <w:rsid w:val="00473F5D"/>
    <w:rsid w:val="0047414D"/>
    <w:rsid w:val="00475278"/>
    <w:rsid w:val="00475337"/>
    <w:rsid w:val="00475806"/>
    <w:rsid w:val="00475D2F"/>
    <w:rsid w:val="0047660B"/>
    <w:rsid w:val="00476EBF"/>
    <w:rsid w:val="0047762A"/>
    <w:rsid w:val="00477BE3"/>
    <w:rsid w:val="0048072E"/>
    <w:rsid w:val="004817BC"/>
    <w:rsid w:val="004817FD"/>
    <w:rsid w:val="00482446"/>
    <w:rsid w:val="00482885"/>
    <w:rsid w:val="0048314B"/>
    <w:rsid w:val="00483586"/>
    <w:rsid w:val="00483BB6"/>
    <w:rsid w:val="00484A56"/>
    <w:rsid w:val="00484CEA"/>
    <w:rsid w:val="004869CB"/>
    <w:rsid w:val="00487142"/>
    <w:rsid w:val="0048756D"/>
    <w:rsid w:val="0048788F"/>
    <w:rsid w:val="004879AC"/>
    <w:rsid w:val="00490AE6"/>
    <w:rsid w:val="0049262C"/>
    <w:rsid w:val="0049405D"/>
    <w:rsid w:val="00494566"/>
    <w:rsid w:val="00494CF7"/>
    <w:rsid w:val="004952DC"/>
    <w:rsid w:val="004954ED"/>
    <w:rsid w:val="00495B59"/>
    <w:rsid w:val="0049655C"/>
    <w:rsid w:val="00496812"/>
    <w:rsid w:val="0049742D"/>
    <w:rsid w:val="004976E4"/>
    <w:rsid w:val="00497CBE"/>
    <w:rsid w:val="004A0462"/>
    <w:rsid w:val="004A0D0B"/>
    <w:rsid w:val="004A1A7B"/>
    <w:rsid w:val="004A2F26"/>
    <w:rsid w:val="004A5535"/>
    <w:rsid w:val="004A5BB3"/>
    <w:rsid w:val="004A5E0D"/>
    <w:rsid w:val="004A6E21"/>
    <w:rsid w:val="004A70F4"/>
    <w:rsid w:val="004A73A0"/>
    <w:rsid w:val="004A7694"/>
    <w:rsid w:val="004A770B"/>
    <w:rsid w:val="004A773F"/>
    <w:rsid w:val="004B0092"/>
    <w:rsid w:val="004B0463"/>
    <w:rsid w:val="004B07D5"/>
    <w:rsid w:val="004B08D4"/>
    <w:rsid w:val="004B0B0D"/>
    <w:rsid w:val="004B196B"/>
    <w:rsid w:val="004B3410"/>
    <w:rsid w:val="004B35A5"/>
    <w:rsid w:val="004B3752"/>
    <w:rsid w:val="004B395A"/>
    <w:rsid w:val="004B49EB"/>
    <w:rsid w:val="004B4FD3"/>
    <w:rsid w:val="004B58E8"/>
    <w:rsid w:val="004B5C73"/>
    <w:rsid w:val="004B61B6"/>
    <w:rsid w:val="004B68B2"/>
    <w:rsid w:val="004B7691"/>
    <w:rsid w:val="004B7982"/>
    <w:rsid w:val="004B7A08"/>
    <w:rsid w:val="004B7D1F"/>
    <w:rsid w:val="004B7D4D"/>
    <w:rsid w:val="004C0256"/>
    <w:rsid w:val="004C09C8"/>
    <w:rsid w:val="004C0A69"/>
    <w:rsid w:val="004C1048"/>
    <w:rsid w:val="004C10FE"/>
    <w:rsid w:val="004C1271"/>
    <w:rsid w:val="004C1735"/>
    <w:rsid w:val="004C3999"/>
    <w:rsid w:val="004C4600"/>
    <w:rsid w:val="004C4895"/>
    <w:rsid w:val="004C4B21"/>
    <w:rsid w:val="004C4D10"/>
    <w:rsid w:val="004C5013"/>
    <w:rsid w:val="004C5236"/>
    <w:rsid w:val="004C6803"/>
    <w:rsid w:val="004C7016"/>
    <w:rsid w:val="004C73F1"/>
    <w:rsid w:val="004C7F00"/>
    <w:rsid w:val="004D17EB"/>
    <w:rsid w:val="004D2A0E"/>
    <w:rsid w:val="004D2CBE"/>
    <w:rsid w:val="004D3C7E"/>
    <w:rsid w:val="004D411C"/>
    <w:rsid w:val="004D4302"/>
    <w:rsid w:val="004D4853"/>
    <w:rsid w:val="004D4908"/>
    <w:rsid w:val="004D4D4E"/>
    <w:rsid w:val="004D6176"/>
    <w:rsid w:val="004D61E2"/>
    <w:rsid w:val="004D6F93"/>
    <w:rsid w:val="004D7358"/>
    <w:rsid w:val="004D73AF"/>
    <w:rsid w:val="004D7CF4"/>
    <w:rsid w:val="004E0EDA"/>
    <w:rsid w:val="004E0F72"/>
    <w:rsid w:val="004E0FF6"/>
    <w:rsid w:val="004E248E"/>
    <w:rsid w:val="004E2500"/>
    <w:rsid w:val="004E303B"/>
    <w:rsid w:val="004E45AD"/>
    <w:rsid w:val="004E48DC"/>
    <w:rsid w:val="004E4E9E"/>
    <w:rsid w:val="004E54EE"/>
    <w:rsid w:val="004E5F32"/>
    <w:rsid w:val="004E6353"/>
    <w:rsid w:val="004E7171"/>
    <w:rsid w:val="004E7638"/>
    <w:rsid w:val="004F0B8E"/>
    <w:rsid w:val="004F1169"/>
    <w:rsid w:val="004F1FD8"/>
    <w:rsid w:val="004F1FEF"/>
    <w:rsid w:val="004F20E9"/>
    <w:rsid w:val="004F2441"/>
    <w:rsid w:val="004F3287"/>
    <w:rsid w:val="004F3B5F"/>
    <w:rsid w:val="004F63AD"/>
    <w:rsid w:val="004F6425"/>
    <w:rsid w:val="004F7F91"/>
    <w:rsid w:val="00500AC8"/>
    <w:rsid w:val="00501B6F"/>
    <w:rsid w:val="0050315C"/>
    <w:rsid w:val="005037C4"/>
    <w:rsid w:val="00503A42"/>
    <w:rsid w:val="005040D3"/>
    <w:rsid w:val="00504989"/>
    <w:rsid w:val="00505C9E"/>
    <w:rsid w:val="00510E9C"/>
    <w:rsid w:val="00511C7F"/>
    <w:rsid w:val="00511EC7"/>
    <w:rsid w:val="0051216A"/>
    <w:rsid w:val="00512C24"/>
    <w:rsid w:val="00512C90"/>
    <w:rsid w:val="00513952"/>
    <w:rsid w:val="00513CC9"/>
    <w:rsid w:val="005146A8"/>
    <w:rsid w:val="0051481E"/>
    <w:rsid w:val="00514CF0"/>
    <w:rsid w:val="00515007"/>
    <w:rsid w:val="00515519"/>
    <w:rsid w:val="00515A95"/>
    <w:rsid w:val="00516EC7"/>
    <w:rsid w:val="005203BB"/>
    <w:rsid w:val="0052273B"/>
    <w:rsid w:val="00524389"/>
    <w:rsid w:val="00525059"/>
    <w:rsid w:val="00525670"/>
    <w:rsid w:val="0052629E"/>
    <w:rsid w:val="00527FFA"/>
    <w:rsid w:val="005308CE"/>
    <w:rsid w:val="00530C66"/>
    <w:rsid w:val="00530D70"/>
    <w:rsid w:val="00530D87"/>
    <w:rsid w:val="005319E0"/>
    <w:rsid w:val="00532B37"/>
    <w:rsid w:val="005335BC"/>
    <w:rsid w:val="00533A2D"/>
    <w:rsid w:val="0053412E"/>
    <w:rsid w:val="00534653"/>
    <w:rsid w:val="00534939"/>
    <w:rsid w:val="00534978"/>
    <w:rsid w:val="00536D09"/>
    <w:rsid w:val="005373FC"/>
    <w:rsid w:val="00537E6C"/>
    <w:rsid w:val="00541055"/>
    <w:rsid w:val="0054131C"/>
    <w:rsid w:val="00541383"/>
    <w:rsid w:val="00541438"/>
    <w:rsid w:val="00542BFC"/>
    <w:rsid w:val="005430F8"/>
    <w:rsid w:val="0054369D"/>
    <w:rsid w:val="005440B7"/>
    <w:rsid w:val="00544F54"/>
    <w:rsid w:val="005456B3"/>
    <w:rsid w:val="005467FE"/>
    <w:rsid w:val="0055011D"/>
    <w:rsid w:val="00550201"/>
    <w:rsid w:val="005517BB"/>
    <w:rsid w:val="00552077"/>
    <w:rsid w:val="005525BB"/>
    <w:rsid w:val="00553833"/>
    <w:rsid w:val="0055448A"/>
    <w:rsid w:val="00555481"/>
    <w:rsid w:val="00555BC8"/>
    <w:rsid w:val="005574B2"/>
    <w:rsid w:val="0055781F"/>
    <w:rsid w:val="00557A86"/>
    <w:rsid w:val="005607EE"/>
    <w:rsid w:val="00560F09"/>
    <w:rsid w:val="00560F74"/>
    <w:rsid w:val="005612CC"/>
    <w:rsid w:val="00561714"/>
    <w:rsid w:val="00561E7F"/>
    <w:rsid w:val="0056235F"/>
    <w:rsid w:val="00562BAD"/>
    <w:rsid w:val="00562CA6"/>
    <w:rsid w:val="005633F3"/>
    <w:rsid w:val="0056398F"/>
    <w:rsid w:val="00563DBA"/>
    <w:rsid w:val="00563F24"/>
    <w:rsid w:val="00565CE9"/>
    <w:rsid w:val="00565FBA"/>
    <w:rsid w:val="0056645C"/>
    <w:rsid w:val="00566C5A"/>
    <w:rsid w:val="00566D3C"/>
    <w:rsid w:val="005673E5"/>
    <w:rsid w:val="00570945"/>
    <w:rsid w:val="00570AEC"/>
    <w:rsid w:val="0057120A"/>
    <w:rsid w:val="005712FD"/>
    <w:rsid w:val="00572E1B"/>
    <w:rsid w:val="00573168"/>
    <w:rsid w:val="005737C7"/>
    <w:rsid w:val="00573C6E"/>
    <w:rsid w:val="00573EA5"/>
    <w:rsid w:val="0057406A"/>
    <w:rsid w:val="00574C1A"/>
    <w:rsid w:val="00574DEB"/>
    <w:rsid w:val="005750D9"/>
    <w:rsid w:val="005753D5"/>
    <w:rsid w:val="00576226"/>
    <w:rsid w:val="005764A0"/>
    <w:rsid w:val="005776C6"/>
    <w:rsid w:val="00577825"/>
    <w:rsid w:val="00577ECE"/>
    <w:rsid w:val="005803E0"/>
    <w:rsid w:val="00580AAA"/>
    <w:rsid w:val="00581481"/>
    <w:rsid w:val="00581F5E"/>
    <w:rsid w:val="00581FF7"/>
    <w:rsid w:val="00582319"/>
    <w:rsid w:val="005827EE"/>
    <w:rsid w:val="00582E0B"/>
    <w:rsid w:val="00583B4A"/>
    <w:rsid w:val="005842F6"/>
    <w:rsid w:val="005847E5"/>
    <w:rsid w:val="00584F60"/>
    <w:rsid w:val="00585309"/>
    <w:rsid w:val="005864FC"/>
    <w:rsid w:val="005865F8"/>
    <w:rsid w:val="005876D3"/>
    <w:rsid w:val="00587A70"/>
    <w:rsid w:val="005907D4"/>
    <w:rsid w:val="0059127B"/>
    <w:rsid w:val="00591709"/>
    <w:rsid w:val="005925F4"/>
    <w:rsid w:val="0059357E"/>
    <w:rsid w:val="00593B83"/>
    <w:rsid w:val="00594410"/>
    <w:rsid w:val="00594C4F"/>
    <w:rsid w:val="00595459"/>
    <w:rsid w:val="005959B9"/>
    <w:rsid w:val="00597102"/>
    <w:rsid w:val="00597D23"/>
    <w:rsid w:val="00597E2D"/>
    <w:rsid w:val="005A1640"/>
    <w:rsid w:val="005A21D2"/>
    <w:rsid w:val="005A255B"/>
    <w:rsid w:val="005A272C"/>
    <w:rsid w:val="005A2C1F"/>
    <w:rsid w:val="005A3506"/>
    <w:rsid w:val="005A4504"/>
    <w:rsid w:val="005A4A6C"/>
    <w:rsid w:val="005A4D92"/>
    <w:rsid w:val="005A5017"/>
    <w:rsid w:val="005A5268"/>
    <w:rsid w:val="005A6385"/>
    <w:rsid w:val="005A6762"/>
    <w:rsid w:val="005A69C9"/>
    <w:rsid w:val="005A7284"/>
    <w:rsid w:val="005A75B9"/>
    <w:rsid w:val="005A789C"/>
    <w:rsid w:val="005B228E"/>
    <w:rsid w:val="005B22F0"/>
    <w:rsid w:val="005B2C57"/>
    <w:rsid w:val="005B3182"/>
    <w:rsid w:val="005B3B39"/>
    <w:rsid w:val="005B3FCE"/>
    <w:rsid w:val="005B42A6"/>
    <w:rsid w:val="005B4483"/>
    <w:rsid w:val="005B4596"/>
    <w:rsid w:val="005B467E"/>
    <w:rsid w:val="005B68AD"/>
    <w:rsid w:val="005B762C"/>
    <w:rsid w:val="005B7BEF"/>
    <w:rsid w:val="005C0FD8"/>
    <w:rsid w:val="005C20E8"/>
    <w:rsid w:val="005C26A1"/>
    <w:rsid w:val="005C2D1B"/>
    <w:rsid w:val="005C3314"/>
    <w:rsid w:val="005C3492"/>
    <w:rsid w:val="005C3542"/>
    <w:rsid w:val="005C3D12"/>
    <w:rsid w:val="005C3D29"/>
    <w:rsid w:val="005C4613"/>
    <w:rsid w:val="005C68C9"/>
    <w:rsid w:val="005C6A96"/>
    <w:rsid w:val="005C7D7A"/>
    <w:rsid w:val="005C7D80"/>
    <w:rsid w:val="005D019D"/>
    <w:rsid w:val="005D06A2"/>
    <w:rsid w:val="005D0AA0"/>
    <w:rsid w:val="005D1F6A"/>
    <w:rsid w:val="005D20DF"/>
    <w:rsid w:val="005D2773"/>
    <w:rsid w:val="005D3139"/>
    <w:rsid w:val="005D403F"/>
    <w:rsid w:val="005D5F36"/>
    <w:rsid w:val="005D6A2C"/>
    <w:rsid w:val="005D6A31"/>
    <w:rsid w:val="005D6AE6"/>
    <w:rsid w:val="005E055B"/>
    <w:rsid w:val="005E0E8B"/>
    <w:rsid w:val="005E1039"/>
    <w:rsid w:val="005E1098"/>
    <w:rsid w:val="005E13C9"/>
    <w:rsid w:val="005E1D2B"/>
    <w:rsid w:val="005E1EA7"/>
    <w:rsid w:val="005E23A0"/>
    <w:rsid w:val="005E2E6B"/>
    <w:rsid w:val="005E33C6"/>
    <w:rsid w:val="005E4022"/>
    <w:rsid w:val="005E5018"/>
    <w:rsid w:val="005E5337"/>
    <w:rsid w:val="005E5488"/>
    <w:rsid w:val="005E5C40"/>
    <w:rsid w:val="005F15BB"/>
    <w:rsid w:val="005F1915"/>
    <w:rsid w:val="005F2076"/>
    <w:rsid w:val="005F3169"/>
    <w:rsid w:val="005F448C"/>
    <w:rsid w:val="005F46CF"/>
    <w:rsid w:val="005F4834"/>
    <w:rsid w:val="005F5718"/>
    <w:rsid w:val="005F7484"/>
    <w:rsid w:val="005F7D80"/>
    <w:rsid w:val="0060079D"/>
    <w:rsid w:val="00600CEE"/>
    <w:rsid w:val="00600DFA"/>
    <w:rsid w:val="00601240"/>
    <w:rsid w:val="00601E0F"/>
    <w:rsid w:val="006040B9"/>
    <w:rsid w:val="00604291"/>
    <w:rsid w:val="00605E8A"/>
    <w:rsid w:val="00606AA3"/>
    <w:rsid w:val="0060773A"/>
    <w:rsid w:val="00607E23"/>
    <w:rsid w:val="00610442"/>
    <w:rsid w:val="00611442"/>
    <w:rsid w:val="00611B54"/>
    <w:rsid w:val="00611FFE"/>
    <w:rsid w:val="00612E7E"/>
    <w:rsid w:val="00613240"/>
    <w:rsid w:val="0061382D"/>
    <w:rsid w:val="00613C42"/>
    <w:rsid w:val="00613F45"/>
    <w:rsid w:val="00614153"/>
    <w:rsid w:val="00614655"/>
    <w:rsid w:val="0061492F"/>
    <w:rsid w:val="006167E2"/>
    <w:rsid w:val="00621253"/>
    <w:rsid w:val="00621500"/>
    <w:rsid w:val="00621ED3"/>
    <w:rsid w:val="00621EE7"/>
    <w:rsid w:val="00622F9C"/>
    <w:rsid w:val="00623280"/>
    <w:rsid w:val="00623F9E"/>
    <w:rsid w:val="00624C1A"/>
    <w:rsid w:val="00624FA2"/>
    <w:rsid w:val="00625E81"/>
    <w:rsid w:val="0062613F"/>
    <w:rsid w:val="00626571"/>
    <w:rsid w:val="0062684C"/>
    <w:rsid w:val="0062789B"/>
    <w:rsid w:val="006278D2"/>
    <w:rsid w:val="006278E5"/>
    <w:rsid w:val="00627BB4"/>
    <w:rsid w:val="0063009B"/>
    <w:rsid w:val="00630345"/>
    <w:rsid w:val="006303CD"/>
    <w:rsid w:val="00630F6A"/>
    <w:rsid w:val="006311DE"/>
    <w:rsid w:val="00631653"/>
    <w:rsid w:val="00631717"/>
    <w:rsid w:val="006326C0"/>
    <w:rsid w:val="00632935"/>
    <w:rsid w:val="0063379C"/>
    <w:rsid w:val="00633E10"/>
    <w:rsid w:val="00634088"/>
    <w:rsid w:val="0063467E"/>
    <w:rsid w:val="00635039"/>
    <w:rsid w:val="0063513D"/>
    <w:rsid w:val="00636B91"/>
    <w:rsid w:val="006373CC"/>
    <w:rsid w:val="00637B7D"/>
    <w:rsid w:val="00640D29"/>
    <w:rsid w:val="00641194"/>
    <w:rsid w:val="00642534"/>
    <w:rsid w:val="00642810"/>
    <w:rsid w:val="00643367"/>
    <w:rsid w:val="006433B6"/>
    <w:rsid w:val="00643528"/>
    <w:rsid w:val="0064364A"/>
    <w:rsid w:val="006437BC"/>
    <w:rsid w:val="0064420E"/>
    <w:rsid w:val="00644BB9"/>
    <w:rsid w:val="00644D41"/>
    <w:rsid w:val="00644F62"/>
    <w:rsid w:val="006451F8"/>
    <w:rsid w:val="006455F4"/>
    <w:rsid w:val="006463A4"/>
    <w:rsid w:val="006466D3"/>
    <w:rsid w:val="0064773A"/>
    <w:rsid w:val="00647B7D"/>
    <w:rsid w:val="006505EF"/>
    <w:rsid w:val="00650DEF"/>
    <w:rsid w:val="006510B6"/>
    <w:rsid w:val="006512E7"/>
    <w:rsid w:val="00652309"/>
    <w:rsid w:val="00652677"/>
    <w:rsid w:val="00652E4E"/>
    <w:rsid w:val="006535DE"/>
    <w:rsid w:val="00653678"/>
    <w:rsid w:val="006539DB"/>
    <w:rsid w:val="00653E9A"/>
    <w:rsid w:val="006548F3"/>
    <w:rsid w:val="0065608F"/>
    <w:rsid w:val="00656477"/>
    <w:rsid w:val="00656CFE"/>
    <w:rsid w:val="0065715B"/>
    <w:rsid w:val="00657730"/>
    <w:rsid w:val="0066027F"/>
    <w:rsid w:val="00660509"/>
    <w:rsid w:val="00661E62"/>
    <w:rsid w:val="0066264A"/>
    <w:rsid w:val="00663235"/>
    <w:rsid w:val="00663AE5"/>
    <w:rsid w:val="00663B3E"/>
    <w:rsid w:val="00664057"/>
    <w:rsid w:val="00665CF9"/>
    <w:rsid w:val="00665EA9"/>
    <w:rsid w:val="006679FB"/>
    <w:rsid w:val="00667CD5"/>
    <w:rsid w:val="00670646"/>
    <w:rsid w:val="00670AF2"/>
    <w:rsid w:val="0067107C"/>
    <w:rsid w:val="00671CEC"/>
    <w:rsid w:val="00672608"/>
    <w:rsid w:val="00672E76"/>
    <w:rsid w:val="00673C4E"/>
    <w:rsid w:val="00676013"/>
    <w:rsid w:val="006766D1"/>
    <w:rsid w:val="00676824"/>
    <w:rsid w:val="00677367"/>
    <w:rsid w:val="00677DE5"/>
    <w:rsid w:val="00681115"/>
    <w:rsid w:val="00681C68"/>
    <w:rsid w:val="00681E48"/>
    <w:rsid w:val="00682323"/>
    <w:rsid w:val="00682707"/>
    <w:rsid w:val="006827ED"/>
    <w:rsid w:val="00682D76"/>
    <w:rsid w:val="00682F71"/>
    <w:rsid w:val="0068398E"/>
    <w:rsid w:val="00683E4D"/>
    <w:rsid w:val="00683F1C"/>
    <w:rsid w:val="006840B8"/>
    <w:rsid w:val="006843AD"/>
    <w:rsid w:val="006846DA"/>
    <w:rsid w:val="00684CE5"/>
    <w:rsid w:val="00685E09"/>
    <w:rsid w:val="00686375"/>
    <w:rsid w:val="00686501"/>
    <w:rsid w:val="006867BF"/>
    <w:rsid w:val="0068684C"/>
    <w:rsid w:val="00687FC5"/>
    <w:rsid w:val="00690776"/>
    <w:rsid w:val="0069092D"/>
    <w:rsid w:val="006912CE"/>
    <w:rsid w:val="00691459"/>
    <w:rsid w:val="00691FFD"/>
    <w:rsid w:val="006948D2"/>
    <w:rsid w:val="00694D58"/>
    <w:rsid w:val="006953EC"/>
    <w:rsid w:val="00695599"/>
    <w:rsid w:val="00695820"/>
    <w:rsid w:val="00695836"/>
    <w:rsid w:val="00695D5F"/>
    <w:rsid w:val="00696CAB"/>
    <w:rsid w:val="006A027C"/>
    <w:rsid w:val="006A0705"/>
    <w:rsid w:val="006A08EC"/>
    <w:rsid w:val="006A1766"/>
    <w:rsid w:val="006A194D"/>
    <w:rsid w:val="006A1DD8"/>
    <w:rsid w:val="006A22EF"/>
    <w:rsid w:val="006A27A3"/>
    <w:rsid w:val="006A3F10"/>
    <w:rsid w:val="006A417F"/>
    <w:rsid w:val="006A41E8"/>
    <w:rsid w:val="006A54AE"/>
    <w:rsid w:val="006A5966"/>
    <w:rsid w:val="006A633A"/>
    <w:rsid w:val="006A69BB"/>
    <w:rsid w:val="006A7E0D"/>
    <w:rsid w:val="006B09B1"/>
    <w:rsid w:val="006B0EA2"/>
    <w:rsid w:val="006B2291"/>
    <w:rsid w:val="006B24AD"/>
    <w:rsid w:val="006B3F44"/>
    <w:rsid w:val="006B4429"/>
    <w:rsid w:val="006B453A"/>
    <w:rsid w:val="006B46B6"/>
    <w:rsid w:val="006B5172"/>
    <w:rsid w:val="006B5206"/>
    <w:rsid w:val="006B5B5A"/>
    <w:rsid w:val="006B64C9"/>
    <w:rsid w:val="006B6C93"/>
    <w:rsid w:val="006B76B6"/>
    <w:rsid w:val="006B7CCB"/>
    <w:rsid w:val="006C1B26"/>
    <w:rsid w:val="006C2BBE"/>
    <w:rsid w:val="006C3071"/>
    <w:rsid w:val="006C39B1"/>
    <w:rsid w:val="006C4877"/>
    <w:rsid w:val="006C48BE"/>
    <w:rsid w:val="006C4A3D"/>
    <w:rsid w:val="006C530B"/>
    <w:rsid w:val="006C53A4"/>
    <w:rsid w:val="006C5618"/>
    <w:rsid w:val="006C63C8"/>
    <w:rsid w:val="006C6592"/>
    <w:rsid w:val="006C6AB3"/>
    <w:rsid w:val="006C6B12"/>
    <w:rsid w:val="006C6B90"/>
    <w:rsid w:val="006D1C85"/>
    <w:rsid w:val="006D1CDD"/>
    <w:rsid w:val="006D1DF6"/>
    <w:rsid w:val="006D1F21"/>
    <w:rsid w:val="006D2204"/>
    <w:rsid w:val="006D23A5"/>
    <w:rsid w:val="006D2460"/>
    <w:rsid w:val="006D2750"/>
    <w:rsid w:val="006D293B"/>
    <w:rsid w:val="006D328D"/>
    <w:rsid w:val="006D6D53"/>
    <w:rsid w:val="006D6F87"/>
    <w:rsid w:val="006D7FEE"/>
    <w:rsid w:val="006E0270"/>
    <w:rsid w:val="006E07AE"/>
    <w:rsid w:val="006E0CCE"/>
    <w:rsid w:val="006E12D6"/>
    <w:rsid w:val="006E2560"/>
    <w:rsid w:val="006E2DDA"/>
    <w:rsid w:val="006E3860"/>
    <w:rsid w:val="006E43F7"/>
    <w:rsid w:val="006E4802"/>
    <w:rsid w:val="006E5B99"/>
    <w:rsid w:val="006E624C"/>
    <w:rsid w:val="006E6410"/>
    <w:rsid w:val="006E674E"/>
    <w:rsid w:val="006E77B6"/>
    <w:rsid w:val="006E7CF7"/>
    <w:rsid w:val="006F0448"/>
    <w:rsid w:val="006F0746"/>
    <w:rsid w:val="006F1835"/>
    <w:rsid w:val="006F25BA"/>
    <w:rsid w:val="006F271B"/>
    <w:rsid w:val="006F29FB"/>
    <w:rsid w:val="006F2C38"/>
    <w:rsid w:val="006F2E16"/>
    <w:rsid w:val="006F3336"/>
    <w:rsid w:val="006F4940"/>
    <w:rsid w:val="006F5B07"/>
    <w:rsid w:val="006F5FFC"/>
    <w:rsid w:val="006F6717"/>
    <w:rsid w:val="006F67B2"/>
    <w:rsid w:val="006F6BBE"/>
    <w:rsid w:val="006F6DC0"/>
    <w:rsid w:val="006F74B9"/>
    <w:rsid w:val="006F786E"/>
    <w:rsid w:val="006F78E3"/>
    <w:rsid w:val="006F7A35"/>
    <w:rsid w:val="007002EF"/>
    <w:rsid w:val="00701260"/>
    <w:rsid w:val="007013C2"/>
    <w:rsid w:val="00701450"/>
    <w:rsid w:val="00702199"/>
    <w:rsid w:val="0070530A"/>
    <w:rsid w:val="00706881"/>
    <w:rsid w:val="00706990"/>
    <w:rsid w:val="0070731A"/>
    <w:rsid w:val="00707E21"/>
    <w:rsid w:val="00711149"/>
    <w:rsid w:val="0071161A"/>
    <w:rsid w:val="007116D8"/>
    <w:rsid w:val="0071300E"/>
    <w:rsid w:val="00713478"/>
    <w:rsid w:val="007139E3"/>
    <w:rsid w:val="00714499"/>
    <w:rsid w:val="007155AF"/>
    <w:rsid w:val="00715A90"/>
    <w:rsid w:val="00716BCD"/>
    <w:rsid w:val="007209A8"/>
    <w:rsid w:val="00720A1E"/>
    <w:rsid w:val="00720C29"/>
    <w:rsid w:val="00721B72"/>
    <w:rsid w:val="00721BC0"/>
    <w:rsid w:val="00721BE6"/>
    <w:rsid w:val="00721F80"/>
    <w:rsid w:val="00722233"/>
    <w:rsid w:val="00723ED6"/>
    <w:rsid w:val="00724293"/>
    <w:rsid w:val="00725118"/>
    <w:rsid w:val="00726E0C"/>
    <w:rsid w:val="00726F5C"/>
    <w:rsid w:val="0072799D"/>
    <w:rsid w:val="00727B01"/>
    <w:rsid w:val="00727BB2"/>
    <w:rsid w:val="007318CD"/>
    <w:rsid w:val="007319E8"/>
    <w:rsid w:val="007322C5"/>
    <w:rsid w:val="00732406"/>
    <w:rsid w:val="00732728"/>
    <w:rsid w:val="00732C4D"/>
    <w:rsid w:val="0073340F"/>
    <w:rsid w:val="00733426"/>
    <w:rsid w:val="007348AA"/>
    <w:rsid w:val="007349E0"/>
    <w:rsid w:val="00734E2E"/>
    <w:rsid w:val="007355F0"/>
    <w:rsid w:val="00736D07"/>
    <w:rsid w:val="00737742"/>
    <w:rsid w:val="007377AC"/>
    <w:rsid w:val="007402D5"/>
    <w:rsid w:val="00740C3B"/>
    <w:rsid w:val="00743DB9"/>
    <w:rsid w:val="00743F1E"/>
    <w:rsid w:val="0074447A"/>
    <w:rsid w:val="00744EBF"/>
    <w:rsid w:val="0074543B"/>
    <w:rsid w:val="007457F9"/>
    <w:rsid w:val="00745D11"/>
    <w:rsid w:val="0074611F"/>
    <w:rsid w:val="00746888"/>
    <w:rsid w:val="00746A69"/>
    <w:rsid w:val="00747A19"/>
    <w:rsid w:val="007505D6"/>
    <w:rsid w:val="00750D78"/>
    <w:rsid w:val="00751176"/>
    <w:rsid w:val="007518C0"/>
    <w:rsid w:val="00753069"/>
    <w:rsid w:val="00753B5A"/>
    <w:rsid w:val="00754412"/>
    <w:rsid w:val="00757315"/>
    <w:rsid w:val="00757EC9"/>
    <w:rsid w:val="00757FFC"/>
    <w:rsid w:val="007603B8"/>
    <w:rsid w:val="00760B68"/>
    <w:rsid w:val="00761014"/>
    <w:rsid w:val="00762648"/>
    <w:rsid w:val="00762E53"/>
    <w:rsid w:val="007638D9"/>
    <w:rsid w:val="00763E76"/>
    <w:rsid w:val="00764AEF"/>
    <w:rsid w:val="00765E08"/>
    <w:rsid w:val="007667A8"/>
    <w:rsid w:val="00767F14"/>
    <w:rsid w:val="0077012C"/>
    <w:rsid w:val="00771003"/>
    <w:rsid w:val="007716D5"/>
    <w:rsid w:val="00771760"/>
    <w:rsid w:val="00772D97"/>
    <w:rsid w:val="00772DE4"/>
    <w:rsid w:val="007732B7"/>
    <w:rsid w:val="00773754"/>
    <w:rsid w:val="00773E6F"/>
    <w:rsid w:val="00774B40"/>
    <w:rsid w:val="00774E58"/>
    <w:rsid w:val="0077520E"/>
    <w:rsid w:val="00775592"/>
    <w:rsid w:val="00776355"/>
    <w:rsid w:val="007765B7"/>
    <w:rsid w:val="00777C7E"/>
    <w:rsid w:val="007807A5"/>
    <w:rsid w:val="007807B3"/>
    <w:rsid w:val="00780E9D"/>
    <w:rsid w:val="0078103E"/>
    <w:rsid w:val="00781389"/>
    <w:rsid w:val="00781764"/>
    <w:rsid w:val="00781819"/>
    <w:rsid w:val="00782C6F"/>
    <w:rsid w:val="007832CF"/>
    <w:rsid w:val="00783649"/>
    <w:rsid w:val="0078413A"/>
    <w:rsid w:val="0078423F"/>
    <w:rsid w:val="0078490F"/>
    <w:rsid w:val="00785D07"/>
    <w:rsid w:val="00785D0C"/>
    <w:rsid w:val="00785FFC"/>
    <w:rsid w:val="007861A2"/>
    <w:rsid w:val="00786C1F"/>
    <w:rsid w:val="00787AB5"/>
    <w:rsid w:val="007904E9"/>
    <w:rsid w:val="00791D8A"/>
    <w:rsid w:val="0079339F"/>
    <w:rsid w:val="00793587"/>
    <w:rsid w:val="007947A3"/>
    <w:rsid w:val="00794859"/>
    <w:rsid w:val="007948D4"/>
    <w:rsid w:val="007949C7"/>
    <w:rsid w:val="00794D70"/>
    <w:rsid w:val="0079646B"/>
    <w:rsid w:val="007974D4"/>
    <w:rsid w:val="00797775"/>
    <w:rsid w:val="00797C34"/>
    <w:rsid w:val="007A01CA"/>
    <w:rsid w:val="007A08A1"/>
    <w:rsid w:val="007A0DC9"/>
    <w:rsid w:val="007A1734"/>
    <w:rsid w:val="007A229D"/>
    <w:rsid w:val="007A246E"/>
    <w:rsid w:val="007A259B"/>
    <w:rsid w:val="007A2F2B"/>
    <w:rsid w:val="007A3424"/>
    <w:rsid w:val="007A3A99"/>
    <w:rsid w:val="007A44D9"/>
    <w:rsid w:val="007A4512"/>
    <w:rsid w:val="007A45CA"/>
    <w:rsid w:val="007A5365"/>
    <w:rsid w:val="007A5DB1"/>
    <w:rsid w:val="007A5FE8"/>
    <w:rsid w:val="007A670A"/>
    <w:rsid w:val="007B0608"/>
    <w:rsid w:val="007B1425"/>
    <w:rsid w:val="007B1B29"/>
    <w:rsid w:val="007B1DEB"/>
    <w:rsid w:val="007B241C"/>
    <w:rsid w:val="007B38DE"/>
    <w:rsid w:val="007B3943"/>
    <w:rsid w:val="007B3C47"/>
    <w:rsid w:val="007B3EC5"/>
    <w:rsid w:val="007B49E2"/>
    <w:rsid w:val="007B5FF6"/>
    <w:rsid w:val="007B6449"/>
    <w:rsid w:val="007B7750"/>
    <w:rsid w:val="007C045F"/>
    <w:rsid w:val="007C0D79"/>
    <w:rsid w:val="007C202E"/>
    <w:rsid w:val="007C2087"/>
    <w:rsid w:val="007C2258"/>
    <w:rsid w:val="007C29D7"/>
    <w:rsid w:val="007C31E5"/>
    <w:rsid w:val="007C409C"/>
    <w:rsid w:val="007C4153"/>
    <w:rsid w:val="007C55DC"/>
    <w:rsid w:val="007C5FDF"/>
    <w:rsid w:val="007C6BBA"/>
    <w:rsid w:val="007C784B"/>
    <w:rsid w:val="007D021E"/>
    <w:rsid w:val="007D03C1"/>
    <w:rsid w:val="007D0DC1"/>
    <w:rsid w:val="007D12AB"/>
    <w:rsid w:val="007D29E7"/>
    <w:rsid w:val="007D2BD7"/>
    <w:rsid w:val="007D3229"/>
    <w:rsid w:val="007D4951"/>
    <w:rsid w:val="007D502D"/>
    <w:rsid w:val="007D52C0"/>
    <w:rsid w:val="007D6398"/>
    <w:rsid w:val="007D6811"/>
    <w:rsid w:val="007D6A24"/>
    <w:rsid w:val="007D6E59"/>
    <w:rsid w:val="007D718D"/>
    <w:rsid w:val="007D7539"/>
    <w:rsid w:val="007D7E08"/>
    <w:rsid w:val="007E0625"/>
    <w:rsid w:val="007E0C48"/>
    <w:rsid w:val="007E10AA"/>
    <w:rsid w:val="007E1CF5"/>
    <w:rsid w:val="007E20A8"/>
    <w:rsid w:val="007E2226"/>
    <w:rsid w:val="007E2730"/>
    <w:rsid w:val="007E4E08"/>
    <w:rsid w:val="007E4FA9"/>
    <w:rsid w:val="007E59EA"/>
    <w:rsid w:val="007E5F4D"/>
    <w:rsid w:val="007E70C6"/>
    <w:rsid w:val="007E7EF0"/>
    <w:rsid w:val="007F0FA5"/>
    <w:rsid w:val="007F1176"/>
    <w:rsid w:val="007F1A84"/>
    <w:rsid w:val="007F1D63"/>
    <w:rsid w:val="007F3A4D"/>
    <w:rsid w:val="007F40A7"/>
    <w:rsid w:val="007F5539"/>
    <w:rsid w:val="007F59DF"/>
    <w:rsid w:val="007F5D03"/>
    <w:rsid w:val="007F6684"/>
    <w:rsid w:val="007F68B4"/>
    <w:rsid w:val="007F6974"/>
    <w:rsid w:val="007F71F5"/>
    <w:rsid w:val="007F73DA"/>
    <w:rsid w:val="007F79F8"/>
    <w:rsid w:val="007F7F07"/>
    <w:rsid w:val="008000EC"/>
    <w:rsid w:val="00800588"/>
    <w:rsid w:val="00800ACB"/>
    <w:rsid w:val="00801146"/>
    <w:rsid w:val="0080405F"/>
    <w:rsid w:val="00804B48"/>
    <w:rsid w:val="008061EC"/>
    <w:rsid w:val="008071CE"/>
    <w:rsid w:val="00807269"/>
    <w:rsid w:val="00807800"/>
    <w:rsid w:val="0081018A"/>
    <w:rsid w:val="008107B5"/>
    <w:rsid w:val="008110B1"/>
    <w:rsid w:val="00812D58"/>
    <w:rsid w:val="00813770"/>
    <w:rsid w:val="00813C91"/>
    <w:rsid w:val="008143DF"/>
    <w:rsid w:val="0081451B"/>
    <w:rsid w:val="00814732"/>
    <w:rsid w:val="00814CCE"/>
    <w:rsid w:val="00814E09"/>
    <w:rsid w:val="008156F2"/>
    <w:rsid w:val="00815729"/>
    <w:rsid w:val="00815EB8"/>
    <w:rsid w:val="00817479"/>
    <w:rsid w:val="008178C3"/>
    <w:rsid w:val="00820AD8"/>
    <w:rsid w:val="00820CBE"/>
    <w:rsid w:val="0082120A"/>
    <w:rsid w:val="008213EF"/>
    <w:rsid w:val="008216ED"/>
    <w:rsid w:val="00821814"/>
    <w:rsid w:val="00821D00"/>
    <w:rsid w:val="00822D39"/>
    <w:rsid w:val="00822DC8"/>
    <w:rsid w:val="00823130"/>
    <w:rsid w:val="00823EE4"/>
    <w:rsid w:val="00824313"/>
    <w:rsid w:val="00824B67"/>
    <w:rsid w:val="00824D72"/>
    <w:rsid w:val="008253B7"/>
    <w:rsid w:val="00826AE8"/>
    <w:rsid w:val="00826F21"/>
    <w:rsid w:val="00827055"/>
    <w:rsid w:val="00827361"/>
    <w:rsid w:val="00827614"/>
    <w:rsid w:val="0082783C"/>
    <w:rsid w:val="00827F33"/>
    <w:rsid w:val="00830AE2"/>
    <w:rsid w:val="00830B7A"/>
    <w:rsid w:val="00831966"/>
    <w:rsid w:val="0083221B"/>
    <w:rsid w:val="00832D48"/>
    <w:rsid w:val="00833163"/>
    <w:rsid w:val="008333C9"/>
    <w:rsid w:val="00833B2D"/>
    <w:rsid w:val="00834016"/>
    <w:rsid w:val="0083409F"/>
    <w:rsid w:val="008342F4"/>
    <w:rsid w:val="008349D8"/>
    <w:rsid w:val="00834EFB"/>
    <w:rsid w:val="00835C79"/>
    <w:rsid w:val="008368D7"/>
    <w:rsid w:val="00837CC0"/>
    <w:rsid w:val="008404B4"/>
    <w:rsid w:val="00840875"/>
    <w:rsid w:val="00840BEE"/>
    <w:rsid w:val="00841B31"/>
    <w:rsid w:val="0084343B"/>
    <w:rsid w:val="0084401C"/>
    <w:rsid w:val="0084430C"/>
    <w:rsid w:val="00844508"/>
    <w:rsid w:val="008469A1"/>
    <w:rsid w:val="00846FDE"/>
    <w:rsid w:val="00847E74"/>
    <w:rsid w:val="00850705"/>
    <w:rsid w:val="00850849"/>
    <w:rsid w:val="008515F0"/>
    <w:rsid w:val="00851C1B"/>
    <w:rsid w:val="00852246"/>
    <w:rsid w:val="0085262D"/>
    <w:rsid w:val="00852BB1"/>
    <w:rsid w:val="008531F4"/>
    <w:rsid w:val="00853219"/>
    <w:rsid w:val="00853464"/>
    <w:rsid w:val="00853BFF"/>
    <w:rsid w:val="00854AE5"/>
    <w:rsid w:val="00854BB0"/>
    <w:rsid w:val="00854D46"/>
    <w:rsid w:val="00854DEB"/>
    <w:rsid w:val="00855F74"/>
    <w:rsid w:val="0085601F"/>
    <w:rsid w:val="00856284"/>
    <w:rsid w:val="008565C7"/>
    <w:rsid w:val="00856897"/>
    <w:rsid w:val="00857008"/>
    <w:rsid w:val="008577F5"/>
    <w:rsid w:val="00857908"/>
    <w:rsid w:val="0086045C"/>
    <w:rsid w:val="00860824"/>
    <w:rsid w:val="008610B1"/>
    <w:rsid w:val="00861862"/>
    <w:rsid w:val="008618AC"/>
    <w:rsid w:val="0086295C"/>
    <w:rsid w:val="00863D2F"/>
    <w:rsid w:val="00863E83"/>
    <w:rsid w:val="008645D2"/>
    <w:rsid w:val="00865DFF"/>
    <w:rsid w:val="00865FE0"/>
    <w:rsid w:val="008669C4"/>
    <w:rsid w:val="00867B31"/>
    <w:rsid w:val="00867D4F"/>
    <w:rsid w:val="00870E9A"/>
    <w:rsid w:val="00870EAC"/>
    <w:rsid w:val="00870FF1"/>
    <w:rsid w:val="00871D82"/>
    <w:rsid w:val="00872102"/>
    <w:rsid w:val="008723B7"/>
    <w:rsid w:val="008729F8"/>
    <w:rsid w:val="00873CA5"/>
    <w:rsid w:val="00875A57"/>
    <w:rsid w:val="00875F5F"/>
    <w:rsid w:val="0087637A"/>
    <w:rsid w:val="00876729"/>
    <w:rsid w:val="00880142"/>
    <w:rsid w:val="008815B0"/>
    <w:rsid w:val="0088233A"/>
    <w:rsid w:val="00882455"/>
    <w:rsid w:val="0088276B"/>
    <w:rsid w:val="00883415"/>
    <w:rsid w:val="00883883"/>
    <w:rsid w:val="0088434F"/>
    <w:rsid w:val="0088520B"/>
    <w:rsid w:val="00885B1D"/>
    <w:rsid w:val="00886512"/>
    <w:rsid w:val="00886939"/>
    <w:rsid w:val="0088693D"/>
    <w:rsid w:val="00886CC1"/>
    <w:rsid w:val="00886E94"/>
    <w:rsid w:val="00890106"/>
    <w:rsid w:val="00891B26"/>
    <w:rsid w:val="00891DB0"/>
    <w:rsid w:val="00892501"/>
    <w:rsid w:val="00892683"/>
    <w:rsid w:val="00892A11"/>
    <w:rsid w:val="00892D9F"/>
    <w:rsid w:val="008937FE"/>
    <w:rsid w:val="00893E5E"/>
    <w:rsid w:val="00894700"/>
    <w:rsid w:val="0089471B"/>
    <w:rsid w:val="00894A0A"/>
    <w:rsid w:val="00895119"/>
    <w:rsid w:val="0089749C"/>
    <w:rsid w:val="008976B6"/>
    <w:rsid w:val="00897C21"/>
    <w:rsid w:val="008A0198"/>
    <w:rsid w:val="008A14D8"/>
    <w:rsid w:val="008A15BF"/>
    <w:rsid w:val="008A20E9"/>
    <w:rsid w:val="008A20FA"/>
    <w:rsid w:val="008A488D"/>
    <w:rsid w:val="008A588D"/>
    <w:rsid w:val="008A6211"/>
    <w:rsid w:val="008A653C"/>
    <w:rsid w:val="008A6C9B"/>
    <w:rsid w:val="008A70F1"/>
    <w:rsid w:val="008B01A8"/>
    <w:rsid w:val="008B1098"/>
    <w:rsid w:val="008B23B5"/>
    <w:rsid w:val="008B23E1"/>
    <w:rsid w:val="008B2CA9"/>
    <w:rsid w:val="008B3267"/>
    <w:rsid w:val="008B3478"/>
    <w:rsid w:val="008B3610"/>
    <w:rsid w:val="008B380A"/>
    <w:rsid w:val="008B4BED"/>
    <w:rsid w:val="008B718A"/>
    <w:rsid w:val="008B791D"/>
    <w:rsid w:val="008C21B8"/>
    <w:rsid w:val="008C2908"/>
    <w:rsid w:val="008C3AD6"/>
    <w:rsid w:val="008C4A30"/>
    <w:rsid w:val="008C4EFF"/>
    <w:rsid w:val="008C4F30"/>
    <w:rsid w:val="008C5D2C"/>
    <w:rsid w:val="008C5E55"/>
    <w:rsid w:val="008C6279"/>
    <w:rsid w:val="008C6689"/>
    <w:rsid w:val="008C69C0"/>
    <w:rsid w:val="008C7799"/>
    <w:rsid w:val="008C77C3"/>
    <w:rsid w:val="008C7C5C"/>
    <w:rsid w:val="008D00C3"/>
    <w:rsid w:val="008D0A09"/>
    <w:rsid w:val="008D0D7B"/>
    <w:rsid w:val="008D0E0A"/>
    <w:rsid w:val="008D1490"/>
    <w:rsid w:val="008D19CB"/>
    <w:rsid w:val="008D1A52"/>
    <w:rsid w:val="008D201D"/>
    <w:rsid w:val="008D29E3"/>
    <w:rsid w:val="008D3410"/>
    <w:rsid w:val="008D356C"/>
    <w:rsid w:val="008D367C"/>
    <w:rsid w:val="008D404C"/>
    <w:rsid w:val="008D43C4"/>
    <w:rsid w:val="008D4C07"/>
    <w:rsid w:val="008D51F9"/>
    <w:rsid w:val="008D5235"/>
    <w:rsid w:val="008D5635"/>
    <w:rsid w:val="008D5CF1"/>
    <w:rsid w:val="008D5D11"/>
    <w:rsid w:val="008D68DB"/>
    <w:rsid w:val="008D7335"/>
    <w:rsid w:val="008D7D4E"/>
    <w:rsid w:val="008E0A27"/>
    <w:rsid w:val="008E0C49"/>
    <w:rsid w:val="008E1084"/>
    <w:rsid w:val="008E2572"/>
    <w:rsid w:val="008E2605"/>
    <w:rsid w:val="008E2CED"/>
    <w:rsid w:val="008E2D06"/>
    <w:rsid w:val="008E2DFA"/>
    <w:rsid w:val="008E369B"/>
    <w:rsid w:val="008E4322"/>
    <w:rsid w:val="008E4C19"/>
    <w:rsid w:val="008E5493"/>
    <w:rsid w:val="008E59B1"/>
    <w:rsid w:val="008E6DB4"/>
    <w:rsid w:val="008E7D93"/>
    <w:rsid w:val="008E7E55"/>
    <w:rsid w:val="008F08CB"/>
    <w:rsid w:val="008F0A04"/>
    <w:rsid w:val="008F0C3F"/>
    <w:rsid w:val="008F1BB2"/>
    <w:rsid w:val="008F2922"/>
    <w:rsid w:val="008F2DCB"/>
    <w:rsid w:val="008F36E7"/>
    <w:rsid w:val="008F3AAD"/>
    <w:rsid w:val="008F46F3"/>
    <w:rsid w:val="008F5B77"/>
    <w:rsid w:val="008F6A1A"/>
    <w:rsid w:val="008F6B67"/>
    <w:rsid w:val="008F7294"/>
    <w:rsid w:val="008F760E"/>
    <w:rsid w:val="008F79DB"/>
    <w:rsid w:val="009004DD"/>
    <w:rsid w:val="00900D59"/>
    <w:rsid w:val="00900DD2"/>
    <w:rsid w:val="00901107"/>
    <w:rsid w:val="00901415"/>
    <w:rsid w:val="009015BE"/>
    <w:rsid w:val="00902C9B"/>
    <w:rsid w:val="009032DF"/>
    <w:rsid w:val="00903F6D"/>
    <w:rsid w:val="009042DD"/>
    <w:rsid w:val="00904BEA"/>
    <w:rsid w:val="00904C11"/>
    <w:rsid w:val="00904DB2"/>
    <w:rsid w:val="00905948"/>
    <w:rsid w:val="00905A07"/>
    <w:rsid w:val="00905C78"/>
    <w:rsid w:val="00906466"/>
    <w:rsid w:val="009075E3"/>
    <w:rsid w:val="00911314"/>
    <w:rsid w:val="009131EA"/>
    <w:rsid w:val="009134DF"/>
    <w:rsid w:val="00915639"/>
    <w:rsid w:val="009160A5"/>
    <w:rsid w:val="00916D56"/>
    <w:rsid w:val="00916E0B"/>
    <w:rsid w:val="00916F6E"/>
    <w:rsid w:val="009176AF"/>
    <w:rsid w:val="0091773B"/>
    <w:rsid w:val="0092007B"/>
    <w:rsid w:val="00920220"/>
    <w:rsid w:val="00920427"/>
    <w:rsid w:val="00921000"/>
    <w:rsid w:val="009220A1"/>
    <w:rsid w:val="00922625"/>
    <w:rsid w:val="0092267B"/>
    <w:rsid w:val="00922DF7"/>
    <w:rsid w:val="009232A7"/>
    <w:rsid w:val="0092498F"/>
    <w:rsid w:val="00925873"/>
    <w:rsid w:val="0092652A"/>
    <w:rsid w:val="00926A39"/>
    <w:rsid w:val="009273BF"/>
    <w:rsid w:val="00927ACD"/>
    <w:rsid w:val="00927F4F"/>
    <w:rsid w:val="00927F96"/>
    <w:rsid w:val="00931123"/>
    <w:rsid w:val="00933F91"/>
    <w:rsid w:val="009344A7"/>
    <w:rsid w:val="00935020"/>
    <w:rsid w:val="00935B5C"/>
    <w:rsid w:val="00935DCB"/>
    <w:rsid w:val="00935F79"/>
    <w:rsid w:val="00936D57"/>
    <w:rsid w:val="00936FC6"/>
    <w:rsid w:val="0093735A"/>
    <w:rsid w:val="009378FE"/>
    <w:rsid w:val="009415A3"/>
    <w:rsid w:val="00941AC6"/>
    <w:rsid w:val="00942051"/>
    <w:rsid w:val="009432B7"/>
    <w:rsid w:val="009443B5"/>
    <w:rsid w:val="009452F0"/>
    <w:rsid w:val="009453F6"/>
    <w:rsid w:val="00946806"/>
    <w:rsid w:val="00946B20"/>
    <w:rsid w:val="00947F95"/>
    <w:rsid w:val="00950895"/>
    <w:rsid w:val="0095114E"/>
    <w:rsid w:val="00952EDE"/>
    <w:rsid w:val="0095342B"/>
    <w:rsid w:val="009539FD"/>
    <w:rsid w:val="009542B8"/>
    <w:rsid w:val="009546C8"/>
    <w:rsid w:val="00955E24"/>
    <w:rsid w:val="009569A0"/>
    <w:rsid w:val="009569DE"/>
    <w:rsid w:val="00956FE9"/>
    <w:rsid w:val="0095720B"/>
    <w:rsid w:val="009574C0"/>
    <w:rsid w:val="00957DF4"/>
    <w:rsid w:val="00957E10"/>
    <w:rsid w:val="0096015C"/>
    <w:rsid w:val="009609C0"/>
    <w:rsid w:val="00961EB1"/>
    <w:rsid w:val="0096297D"/>
    <w:rsid w:val="00962CE3"/>
    <w:rsid w:val="00963C26"/>
    <w:rsid w:val="00963F9D"/>
    <w:rsid w:val="00964256"/>
    <w:rsid w:val="00964946"/>
    <w:rsid w:val="00965351"/>
    <w:rsid w:val="009654CF"/>
    <w:rsid w:val="00965891"/>
    <w:rsid w:val="00965CE4"/>
    <w:rsid w:val="009667FF"/>
    <w:rsid w:val="00966A3D"/>
    <w:rsid w:val="00966F94"/>
    <w:rsid w:val="00967170"/>
    <w:rsid w:val="00967E4F"/>
    <w:rsid w:val="00970292"/>
    <w:rsid w:val="00970987"/>
    <w:rsid w:val="00970DCB"/>
    <w:rsid w:val="00971083"/>
    <w:rsid w:val="009715E3"/>
    <w:rsid w:val="0097169E"/>
    <w:rsid w:val="009717D8"/>
    <w:rsid w:val="00971837"/>
    <w:rsid w:val="00971C3A"/>
    <w:rsid w:val="009723FB"/>
    <w:rsid w:val="009726F3"/>
    <w:rsid w:val="00972747"/>
    <w:rsid w:val="00973164"/>
    <w:rsid w:val="0097468A"/>
    <w:rsid w:val="00975A5D"/>
    <w:rsid w:val="0097607C"/>
    <w:rsid w:val="00977CCB"/>
    <w:rsid w:val="00980108"/>
    <w:rsid w:val="00980592"/>
    <w:rsid w:val="009809DE"/>
    <w:rsid w:val="00981C91"/>
    <w:rsid w:val="00981F29"/>
    <w:rsid w:val="00982723"/>
    <w:rsid w:val="009837D9"/>
    <w:rsid w:val="00985A2F"/>
    <w:rsid w:val="00985C6F"/>
    <w:rsid w:val="00986E45"/>
    <w:rsid w:val="0098781F"/>
    <w:rsid w:val="009904C7"/>
    <w:rsid w:val="009920C3"/>
    <w:rsid w:val="00992687"/>
    <w:rsid w:val="00992FE3"/>
    <w:rsid w:val="0099326D"/>
    <w:rsid w:val="00993D9C"/>
    <w:rsid w:val="009970AF"/>
    <w:rsid w:val="009A0E0B"/>
    <w:rsid w:val="009A10DE"/>
    <w:rsid w:val="009A1552"/>
    <w:rsid w:val="009A25AC"/>
    <w:rsid w:val="009A29B4"/>
    <w:rsid w:val="009A3289"/>
    <w:rsid w:val="009A33CA"/>
    <w:rsid w:val="009A3B9D"/>
    <w:rsid w:val="009A4902"/>
    <w:rsid w:val="009A4996"/>
    <w:rsid w:val="009A4A58"/>
    <w:rsid w:val="009A4C7A"/>
    <w:rsid w:val="009A6007"/>
    <w:rsid w:val="009A6F74"/>
    <w:rsid w:val="009A7005"/>
    <w:rsid w:val="009A7434"/>
    <w:rsid w:val="009A79C1"/>
    <w:rsid w:val="009A7F48"/>
    <w:rsid w:val="009B2075"/>
    <w:rsid w:val="009B225E"/>
    <w:rsid w:val="009B2F5B"/>
    <w:rsid w:val="009B311A"/>
    <w:rsid w:val="009B4CDC"/>
    <w:rsid w:val="009B4DB9"/>
    <w:rsid w:val="009B4F71"/>
    <w:rsid w:val="009B55A2"/>
    <w:rsid w:val="009B5D2E"/>
    <w:rsid w:val="009B63F3"/>
    <w:rsid w:val="009B65B5"/>
    <w:rsid w:val="009B65B9"/>
    <w:rsid w:val="009B6FFF"/>
    <w:rsid w:val="009C040A"/>
    <w:rsid w:val="009C1A11"/>
    <w:rsid w:val="009C1A5E"/>
    <w:rsid w:val="009C2217"/>
    <w:rsid w:val="009C2319"/>
    <w:rsid w:val="009C3C59"/>
    <w:rsid w:val="009C50D9"/>
    <w:rsid w:val="009C5114"/>
    <w:rsid w:val="009C5874"/>
    <w:rsid w:val="009C58D4"/>
    <w:rsid w:val="009C77F8"/>
    <w:rsid w:val="009D040E"/>
    <w:rsid w:val="009D0B3E"/>
    <w:rsid w:val="009D0EAF"/>
    <w:rsid w:val="009D0FEF"/>
    <w:rsid w:val="009D15C6"/>
    <w:rsid w:val="009D1892"/>
    <w:rsid w:val="009D2059"/>
    <w:rsid w:val="009D2EA5"/>
    <w:rsid w:val="009D406B"/>
    <w:rsid w:val="009D4686"/>
    <w:rsid w:val="009D51C3"/>
    <w:rsid w:val="009D58B5"/>
    <w:rsid w:val="009D6262"/>
    <w:rsid w:val="009D691A"/>
    <w:rsid w:val="009D7204"/>
    <w:rsid w:val="009D751E"/>
    <w:rsid w:val="009E0361"/>
    <w:rsid w:val="009E04B2"/>
    <w:rsid w:val="009E0DF4"/>
    <w:rsid w:val="009E0F02"/>
    <w:rsid w:val="009E1D69"/>
    <w:rsid w:val="009E2116"/>
    <w:rsid w:val="009E2567"/>
    <w:rsid w:val="009E3191"/>
    <w:rsid w:val="009E3DE2"/>
    <w:rsid w:val="009E50DC"/>
    <w:rsid w:val="009E5126"/>
    <w:rsid w:val="009E5D12"/>
    <w:rsid w:val="009E6267"/>
    <w:rsid w:val="009E6D59"/>
    <w:rsid w:val="009E6D94"/>
    <w:rsid w:val="009E7027"/>
    <w:rsid w:val="009E729C"/>
    <w:rsid w:val="009E79CF"/>
    <w:rsid w:val="009E7BC2"/>
    <w:rsid w:val="009E7C77"/>
    <w:rsid w:val="009F00FF"/>
    <w:rsid w:val="009F074A"/>
    <w:rsid w:val="009F0E2B"/>
    <w:rsid w:val="009F148C"/>
    <w:rsid w:val="009F1E7B"/>
    <w:rsid w:val="009F1E92"/>
    <w:rsid w:val="009F207C"/>
    <w:rsid w:val="009F25B3"/>
    <w:rsid w:val="009F2F25"/>
    <w:rsid w:val="009F3272"/>
    <w:rsid w:val="009F3EDE"/>
    <w:rsid w:val="009F5440"/>
    <w:rsid w:val="009F549B"/>
    <w:rsid w:val="009F59CF"/>
    <w:rsid w:val="009F5B4C"/>
    <w:rsid w:val="009F5CC7"/>
    <w:rsid w:val="009F5DE9"/>
    <w:rsid w:val="009F60DB"/>
    <w:rsid w:val="009F687A"/>
    <w:rsid w:val="009F6D0E"/>
    <w:rsid w:val="009F737E"/>
    <w:rsid w:val="009F7625"/>
    <w:rsid w:val="009F77A7"/>
    <w:rsid w:val="00A0076C"/>
    <w:rsid w:val="00A00E82"/>
    <w:rsid w:val="00A02633"/>
    <w:rsid w:val="00A03391"/>
    <w:rsid w:val="00A046E0"/>
    <w:rsid w:val="00A04A24"/>
    <w:rsid w:val="00A0561F"/>
    <w:rsid w:val="00A05637"/>
    <w:rsid w:val="00A059CE"/>
    <w:rsid w:val="00A07DAA"/>
    <w:rsid w:val="00A07EE9"/>
    <w:rsid w:val="00A07F26"/>
    <w:rsid w:val="00A1045C"/>
    <w:rsid w:val="00A11146"/>
    <w:rsid w:val="00A1316C"/>
    <w:rsid w:val="00A13BA7"/>
    <w:rsid w:val="00A14756"/>
    <w:rsid w:val="00A1508A"/>
    <w:rsid w:val="00A150C4"/>
    <w:rsid w:val="00A15360"/>
    <w:rsid w:val="00A154A2"/>
    <w:rsid w:val="00A15AC3"/>
    <w:rsid w:val="00A16BBA"/>
    <w:rsid w:val="00A16C54"/>
    <w:rsid w:val="00A17055"/>
    <w:rsid w:val="00A171E4"/>
    <w:rsid w:val="00A17785"/>
    <w:rsid w:val="00A209B2"/>
    <w:rsid w:val="00A20BCE"/>
    <w:rsid w:val="00A22A83"/>
    <w:rsid w:val="00A23583"/>
    <w:rsid w:val="00A24759"/>
    <w:rsid w:val="00A24C27"/>
    <w:rsid w:val="00A24F9F"/>
    <w:rsid w:val="00A24FE9"/>
    <w:rsid w:val="00A252F4"/>
    <w:rsid w:val="00A255D3"/>
    <w:rsid w:val="00A267EB"/>
    <w:rsid w:val="00A26833"/>
    <w:rsid w:val="00A27614"/>
    <w:rsid w:val="00A27D15"/>
    <w:rsid w:val="00A27E4F"/>
    <w:rsid w:val="00A30663"/>
    <w:rsid w:val="00A30DB7"/>
    <w:rsid w:val="00A310DC"/>
    <w:rsid w:val="00A3118F"/>
    <w:rsid w:val="00A312FB"/>
    <w:rsid w:val="00A31361"/>
    <w:rsid w:val="00A3299B"/>
    <w:rsid w:val="00A32AE2"/>
    <w:rsid w:val="00A32B5C"/>
    <w:rsid w:val="00A32BA3"/>
    <w:rsid w:val="00A32E92"/>
    <w:rsid w:val="00A330DC"/>
    <w:rsid w:val="00A355A2"/>
    <w:rsid w:val="00A359A0"/>
    <w:rsid w:val="00A35D61"/>
    <w:rsid w:val="00A35E19"/>
    <w:rsid w:val="00A36784"/>
    <w:rsid w:val="00A369D4"/>
    <w:rsid w:val="00A374EA"/>
    <w:rsid w:val="00A37656"/>
    <w:rsid w:val="00A37A76"/>
    <w:rsid w:val="00A406CA"/>
    <w:rsid w:val="00A40F6B"/>
    <w:rsid w:val="00A421FD"/>
    <w:rsid w:val="00A42B6F"/>
    <w:rsid w:val="00A42B9E"/>
    <w:rsid w:val="00A4339B"/>
    <w:rsid w:val="00A433E5"/>
    <w:rsid w:val="00A43547"/>
    <w:rsid w:val="00A4371E"/>
    <w:rsid w:val="00A44D0E"/>
    <w:rsid w:val="00A45498"/>
    <w:rsid w:val="00A46352"/>
    <w:rsid w:val="00A46B3D"/>
    <w:rsid w:val="00A47005"/>
    <w:rsid w:val="00A47215"/>
    <w:rsid w:val="00A47EB2"/>
    <w:rsid w:val="00A501B5"/>
    <w:rsid w:val="00A50DDF"/>
    <w:rsid w:val="00A52F1C"/>
    <w:rsid w:val="00A53A12"/>
    <w:rsid w:val="00A53CCE"/>
    <w:rsid w:val="00A53D10"/>
    <w:rsid w:val="00A5409A"/>
    <w:rsid w:val="00A54220"/>
    <w:rsid w:val="00A54382"/>
    <w:rsid w:val="00A54854"/>
    <w:rsid w:val="00A54974"/>
    <w:rsid w:val="00A55578"/>
    <w:rsid w:val="00A55D75"/>
    <w:rsid w:val="00A56A73"/>
    <w:rsid w:val="00A56C44"/>
    <w:rsid w:val="00A57C83"/>
    <w:rsid w:val="00A60E00"/>
    <w:rsid w:val="00A61641"/>
    <w:rsid w:val="00A61BB2"/>
    <w:rsid w:val="00A6376C"/>
    <w:rsid w:val="00A63F5D"/>
    <w:rsid w:val="00A6460A"/>
    <w:rsid w:val="00A64F84"/>
    <w:rsid w:val="00A65B47"/>
    <w:rsid w:val="00A66744"/>
    <w:rsid w:val="00A66DC1"/>
    <w:rsid w:val="00A70B51"/>
    <w:rsid w:val="00A716A3"/>
    <w:rsid w:val="00A71FF0"/>
    <w:rsid w:val="00A721E3"/>
    <w:rsid w:val="00A728C8"/>
    <w:rsid w:val="00A72D1E"/>
    <w:rsid w:val="00A73A9F"/>
    <w:rsid w:val="00A73D6C"/>
    <w:rsid w:val="00A73F1E"/>
    <w:rsid w:val="00A75A0C"/>
    <w:rsid w:val="00A764D4"/>
    <w:rsid w:val="00A7656B"/>
    <w:rsid w:val="00A77199"/>
    <w:rsid w:val="00A77418"/>
    <w:rsid w:val="00A77989"/>
    <w:rsid w:val="00A77F77"/>
    <w:rsid w:val="00A8027F"/>
    <w:rsid w:val="00A8089D"/>
    <w:rsid w:val="00A80C82"/>
    <w:rsid w:val="00A8176D"/>
    <w:rsid w:val="00A82657"/>
    <w:rsid w:val="00A82787"/>
    <w:rsid w:val="00A8385F"/>
    <w:rsid w:val="00A83C7F"/>
    <w:rsid w:val="00A847BE"/>
    <w:rsid w:val="00A8668B"/>
    <w:rsid w:val="00A86892"/>
    <w:rsid w:val="00A86FC5"/>
    <w:rsid w:val="00A8705A"/>
    <w:rsid w:val="00A874FA"/>
    <w:rsid w:val="00A9053E"/>
    <w:rsid w:val="00A91B95"/>
    <w:rsid w:val="00A92107"/>
    <w:rsid w:val="00A92CA5"/>
    <w:rsid w:val="00A930FE"/>
    <w:rsid w:val="00A9465D"/>
    <w:rsid w:val="00A94777"/>
    <w:rsid w:val="00A949FB"/>
    <w:rsid w:val="00A9600A"/>
    <w:rsid w:val="00A966ED"/>
    <w:rsid w:val="00A979A5"/>
    <w:rsid w:val="00AA001D"/>
    <w:rsid w:val="00AA222D"/>
    <w:rsid w:val="00AA25F1"/>
    <w:rsid w:val="00AA2B8A"/>
    <w:rsid w:val="00AA2F1E"/>
    <w:rsid w:val="00AA31BE"/>
    <w:rsid w:val="00AA31CB"/>
    <w:rsid w:val="00AA365A"/>
    <w:rsid w:val="00AA375F"/>
    <w:rsid w:val="00AA39F5"/>
    <w:rsid w:val="00AA5705"/>
    <w:rsid w:val="00AA5961"/>
    <w:rsid w:val="00AA657B"/>
    <w:rsid w:val="00AA6FF0"/>
    <w:rsid w:val="00AA727F"/>
    <w:rsid w:val="00AA7980"/>
    <w:rsid w:val="00AA7B1A"/>
    <w:rsid w:val="00AB0122"/>
    <w:rsid w:val="00AB06F9"/>
    <w:rsid w:val="00AB07D6"/>
    <w:rsid w:val="00AB0845"/>
    <w:rsid w:val="00AB13BD"/>
    <w:rsid w:val="00AB1F9A"/>
    <w:rsid w:val="00AB232C"/>
    <w:rsid w:val="00AB2A84"/>
    <w:rsid w:val="00AB3214"/>
    <w:rsid w:val="00AB3359"/>
    <w:rsid w:val="00AB3752"/>
    <w:rsid w:val="00AB3AD1"/>
    <w:rsid w:val="00AB3C36"/>
    <w:rsid w:val="00AB3E8F"/>
    <w:rsid w:val="00AB3FFC"/>
    <w:rsid w:val="00AB4C87"/>
    <w:rsid w:val="00AB6CF0"/>
    <w:rsid w:val="00AB6F89"/>
    <w:rsid w:val="00AB7180"/>
    <w:rsid w:val="00AB75FF"/>
    <w:rsid w:val="00AB76B7"/>
    <w:rsid w:val="00AC16CA"/>
    <w:rsid w:val="00AC17F0"/>
    <w:rsid w:val="00AC2ADF"/>
    <w:rsid w:val="00AC3DD3"/>
    <w:rsid w:val="00AC531F"/>
    <w:rsid w:val="00AC55AC"/>
    <w:rsid w:val="00AC5990"/>
    <w:rsid w:val="00AC59ED"/>
    <w:rsid w:val="00AC5B84"/>
    <w:rsid w:val="00AC5D65"/>
    <w:rsid w:val="00AC6068"/>
    <w:rsid w:val="00AC61DE"/>
    <w:rsid w:val="00AC70B2"/>
    <w:rsid w:val="00AC78D0"/>
    <w:rsid w:val="00AD0679"/>
    <w:rsid w:val="00AD1095"/>
    <w:rsid w:val="00AD1F9D"/>
    <w:rsid w:val="00AD2139"/>
    <w:rsid w:val="00AD23B9"/>
    <w:rsid w:val="00AD2669"/>
    <w:rsid w:val="00AD2CE6"/>
    <w:rsid w:val="00AD3011"/>
    <w:rsid w:val="00AD3EEB"/>
    <w:rsid w:val="00AD4172"/>
    <w:rsid w:val="00AD4A32"/>
    <w:rsid w:val="00AD4E09"/>
    <w:rsid w:val="00AD538D"/>
    <w:rsid w:val="00AD5D0B"/>
    <w:rsid w:val="00AD5EA0"/>
    <w:rsid w:val="00AD6D6C"/>
    <w:rsid w:val="00AD6F57"/>
    <w:rsid w:val="00AE0CCF"/>
    <w:rsid w:val="00AE0F66"/>
    <w:rsid w:val="00AE13DC"/>
    <w:rsid w:val="00AE20F1"/>
    <w:rsid w:val="00AE2320"/>
    <w:rsid w:val="00AE3210"/>
    <w:rsid w:val="00AE33EF"/>
    <w:rsid w:val="00AE389A"/>
    <w:rsid w:val="00AE3E7F"/>
    <w:rsid w:val="00AE45AF"/>
    <w:rsid w:val="00AE530C"/>
    <w:rsid w:val="00AE5515"/>
    <w:rsid w:val="00AE6165"/>
    <w:rsid w:val="00AE7322"/>
    <w:rsid w:val="00AE734D"/>
    <w:rsid w:val="00AE7C03"/>
    <w:rsid w:val="00AE7CA8"/>
    <w:rsid w:val="00AE7DD3"/>
    <w:rsid w:val="00AF0B28"/>
    <w:rsid w:val="00AF23E0"/>
    <w:rsid w:val="00AF2C24"/>
    <w:rsid w:val="00AF36B7"/>
    <w:rsid w:val="00AF3F07"/>
    <w:rsid w:val="00AF476A"/>
    <w:rsid w:val="00AF4C77"/>
    <w:rsid w:val="00AF4CB0"/>
    <w:rsid w:val="00AF4E32"/>
    <w:rsid w:val="00AF621C"/>
    <w:rsid w:val="00AF65A9"/>
    <w:rsid w:val="00AF7FA8"/>
    <w:rsid w:val="00B00465"/>
    <w:rsid w:val="00B00D92"/>
    <w:rsid w:val="00B01987"/>
    <w:rsid w:val="00B01C69"/>
    <w:rsid w:val="00B01CBF"/>
    <w:rsid w:val="00B02197"/>
    <w:rsid w:val="00B027CE"/>
    <w:rsid w:val="00B02820"/>
    <w:rsid w:val="00B03D87"/>
    <w:rsid w:val="00B04C89"/>
    <w:rsid w:val="00B04DF4"/>
    <w:rsid w:val="00B05D95"/>
    <w:rsid w:val="00B05EAE"/>
    <w:rsid w:val="00B06BAA"/>
    <w:rsid w:val="00B06D53"/>
    <w:rsid w:val="00B06E02"/>
    <w:rsid w:val="00B07711"/>
    <w:rsid w:val="00B07A3D"/>
    <w:rsid w:val="00B07AA3"/>
    <w:rsid w:val="00B07D7C"/>
    <w:rsid w:val="00B07E5C"/>
    <w:rsid w:val="00B07F3B"/>
    <w:rsid w:val="00B10009"/>
    <w:rsid w:val="00B10DA2"/>
    <w:rsid w:val="00B11177"/>
    <w:rsid w:val="00B1224F"/>
    <w:rsid w:val="00B12470"/>
    <w:rsid w:val="00B12721"/>
    <w:rsid w:val="00B127C4"/>
    <w:rsid w:val="00B13507"/>
    <w:rsid w:val="00B13548"/>
    <w:rsid w:val="00B13743"/>
    <w:rsid w:val="00B13D4C"/>
    <w:rsid w:val="00B15684"/>
    <w:rsid w:val="00B15B0D"/>
    <w:rsid w:val="00B1622E"/>
    <w:rsid w:val="00B16468"/>
    <w:rsid w:val="00B16EA5"/>
    <w:rsid w:val="00B17048"/>
    <w:rsid w:val="00B174B9"/>
    <w:rsid w:val="00B20192"/>
    <w:rsid w:val="00B2048F"/>
    <w:rsid w:val="00B204B2"/>
    <w:rsid w:val="00B207B8"/>
    <w:rsid w:val="00B20BE8"/>
    <w:rsid w:val="00B21C93"/>
    <w:rsid w:val="00B230C6"/>
    <w:rsid w:val="00B23425"/>
    <w:rsid w:val="00B2422C"/>
    <w:rsid w:val="00B2463A"/>
    <w:rsid w:val="00B24FE4"/>
    <w:rsid w:val="00B269DF"/>
    <w:rsid w:val="00B26B95"/>
    <w:rsid w:val="00B26E9D"/>
    <w:rsid w:val="00B270B7"/>
    <w:rsid w:val="00B27550"/>
    <w:rsid w:val="00B27B13"/>
    <w:rsid w:val="00B27D55"/>
    <w:rsid w:val="00B27FEC"/>
    <w:rsid w:val="00B30140"/>
    <w:rsid w:val="00B30AF9"/>
    <w:rsid w:val="00B30D62"/>
    <w:rsid w:val="00B3153E"/>
    <w:rsid w:val="00B31723"/>
    <w:rsid w:val="00B33B6B"/>
    <w:rsid w:val="00B33EFE"/>
    <w:rsid w:val="00B341C1"/>
    <w:rsid w:val="00B34ACC"/>
    <w:rsid w:val="00B34E51"/>
    <w:rsid w:val="00B3504A"/>
    <w:rsid w:val="00B35AD5"/>
    <w:rsid w:val="00B35FAB"/>
    <w:rsid w:val="00B35FC8"/>
    <w:rsid w:val="00B367F4"/>
    <w:rsid w:val="00B36E8B"/>
    <w:rsid w:val="00B372F0"/>
    <w:rsid w:val="00B40A02"/>
    <w:rsid w:val="00B410F5"/>
    <w:rsid w:val="00B41732"/>
    <w:rsid w:val="00B4215A"/>
    <w:rsid w:val="00B424C1"/>
    <w:rsid w:val="00B43C4E"/>
    <w:rsid w:val="00B444ED"/>
    <w:rsid w:val="00B44CA9"/>
    <w:rsid w:val="00B44D1E"/>
    <w:rsid w:val="00B44FEC"/>
    <w:rsid w:val="00B4504F"/>
    <w:rsid w:val="00B45496"/>
    <w:rsid w:val="00B4735C"/>
    <w:rsid w:val="00B47387"/>
    <w:rsid w:val="00B47B00"/>
    <w:rsid w:val="00B47F3D"/>
    <w:rsid w:val="00B524C7"/>
    <w:rsid w:val="00B534F1"/>
    <w:rsid w:val="00B53DC0"/>
    <w:rsid w:val="00B54991"/>
    <w:rsid w:val="00B54C9A"/>
    <w:rsid w:val="00B55334"/>
    <w:rsid w:val="00B56E69"/>
    <w:rsid w:val="00B5764B"/>
    <w:rsid w:val="00B578D3"/>
    <w:rsid w:val="00B57BF3"/>
    <w:rsid w:val="00B61739"/>
    <w:rsid w:val="00B6183A"/>
    <w:rsid w:val="00B61C21"/>
    <w:rsid w:val="00B6371A"/>
    <w:rsid w:val="00B638BD"/>
    <w:rsid w:val="00B64F4F"/>
    <w:rsid w:val="00B64F6A"/>
    <w:rsid w:val="00B651F0"/>
    <w:rsid w:val="00B65370"/>
    <w:rsid w:val="00B655A3"/>
    <w:rsid w:val="00B6583B"/>
    <w:rsid w:val="00B65F6B"/>
    <w:rsid w:val="00B668F0"/>
    <w:rsid w:val="00B66C04"/>
    <w:rsid w:val="00B66F3A"/>
    <w:rsid w:val="00B70A7C"/>
    <w:rsid w:val="00B70C12"/>
    <w:rsid w:val="00B70C47"/>
    <w:rsid w:val="00B70C69"/>
    <w:rsid w:val="00B7177F"/>
    <w:rsid w:val="00B71BEA"/>
    <w:rsid w:val="00B72807"/>
    <w:rsid w:val="00B72A5A"/>
    <w:rsid w:val="00B73152"/>
    <w:rsid w:val="00B73986"/>
    <w:rsid w:val="00B74DE5"/>
    <w:rsid w:val="00B74E2F"/>
    <w:rsid w:val="00B75DB3"/>
    <w:rsid w:val="00B76819"/>
    <w:rsid w:val="00B770EF"/>
    <w:rsid w:val="00B7788D"/>
    <w:rsid w:val="00B77D61"/>
    <w:rsid w:val="00B77E6A"/>
    <w:rsid w:val="00B80196"/>
    <w:rsid w:val="00B812DE"/>
    <w:rsid w:val="00B8152B"/>
    <w:rsid w:val="00B816B8"/>
    <w:rsid w:val="00B82258"/>
    <w:rsid w:val="00B82461"/>
    <w:rsid w:val="00B82523"/>
    <w:rsid w:val="00B82DAF"/>
    <w:rsid w:val="00B84411"/>
    <w:rsid w:val="00B860B2"/>
    <w:rsid w:val="00B865A2"/>
    <w:rsid w:val="00B870FF"/>
    <w:rsid w:val="00B87464"/>
    <w:rsid w:val="00B875BD"/>
    <w:rsid w:val="00B87926"/>
    <w:rsid w:val="00B90EE1"/>
    <w:rsid w:val="00B912E6"/>
    <w:rsid w:val="00B9228C"/>
    <w:rsid w:val="00B930ED"/>
    <w:rsid w:val="00B94650"/>
    <w:rsid w:val="00B9483C"/>
    <w:rsid w:val="00B95CFA"/>
    <w:rsid w:val="00B95D18"/>
    <w:rsid w:val="00B96895"/>
    <w:rsid w:val="00B96D9A"/>
    <w:rsid w:val="00B971C2"/>
    <w:rsid w:val="00B97FFA"/>
    <w:rsid w:val="00BA01E1"/>
    <w:rsid w:val="00BA0795"/>
    <w:rsid w:val="00BA0A20"/>
    <w:rsid w:val="00BA12DA"/>
    <w:rsid w:val="00BA1473"/>
    <w:rsid w:val="00BA1762"/>
    <w:rsid w:val="00BA3101"/>
    <w:rsid w:val="00BA38A4"/>
    <w:rsid w:val="00BA3C52"/>
    <w:rsid w:val="00BA4588"/>
    <w:rsid w:val="00BA47FA"/>
    <w:rsid w:val="00BA4A4F"/>
    <w:rsid w:val="00BA548E"/>
    <w:rsid w:val="00BA5B1E"/>
    <w:rsid w:val="00BA5BC4"/>
    <w:rsid w:val="00BA723F"/>
    <w:rsid w:val="00BB04C7"/>
    <w:rsid w:val="00BB075D"/>
    <w:rsid w:val="00BB0871"/>
    <w:rsid w:val="00BB100C"/>
    <w:rsid w:val="00BB1768"/>
    <w:rsid w:val="00BB1B84"/>
    <w:rsid w:val="00BB2298"/>
    <w:rsid w:val="00BB2B4C"/>
    <w:rsid w:val="00BB2C5F"/>
    <w:rsid w:val="00BB2E3D"/>
    <w:rsid w:val="00BB3793"/>
    <w:rsid w:val="00BB38B1"/>
    <w:rsid w:val="00BB3E54"/>
    <w:rsid w:val="00BB4151"/>
    <w:rsid w:val="00BB5AED"/>
    <w:rsid w:val="00BB5CC4"/>
    <w:rsid w:val="00BB73E7"/>
    <w:rsid w:val="00BB75AB"/>
    <w:rsid w:val="00BB7A19"/>
    <w:rsid w:val="00BC066D"/>
    <w:rsid w:val="00BC1430"/>
    <w:rsid w:val="00BC2D26"/>
    <w:rsid w:val="00BC3810"/>
    <w:rsid w:val="00BC3F6A"/>
    <w:rsid w:val="00BC4BBE"/>
    <w:rsid w:val="00BC5F56"/>
    <w:rsid w:val="00BC79EE"/>
    <w:rsid w:val="00BD003F"/>
    <w:rsid w:val="00BD0072"/>
    <w:rsid w:val="00BD02C6"/>
    <w:rsid w:val="00BD060C"/>
    <w:rsid w:val="00BD1DE6"/>
    <w:rsid w:val="00BD3262"/>
    <w:rsid w:val="00BD37DA"/>
    <w:rsid w:val="00BD3858"/>
    <w:rsid w:val="00BD4911"/>
    <w:rsid w:val="00BD6CC2"/>
    <w:rsid w:val="00BD6FB6"/>
    <w:rsid w:val="00BD7FBB"/>
    <w:rsid w:val="00BE03DC"/>
    <w:rsid w:val="00BE06AE"/>
    <w:rsid w:val="00BE06C7"/>
    <w:rsid w:val="00BE0833"/>
    <w:rsid w:val="00BE084C"/>
    <w:rsid w:val="00BE08F9"/>
    <w:rsid w:val="00BE1B0E"/>
    <w:rsid w:val="00BE2741"/>
    <w:rsid w:val="00BE3738"/>
    <w:rsid w:val="00BE398A"/>
    <w:rsid w:val="00BE632A"/>
    <w:rsid w:val="00BE68CA"/>
    <w:rsid w:val="00BE78BC"/>
    <w:rsid w:val="00BE7B45"/>
    <w:rsid w:val="00BE7E74"/>
    <w:rsid w:val="00BF08EC"/>
    <w:rsid w:val="00BF2184"/>
    <w:rsid w:val="00BF24D6"/>
    <w:rsid w:val="00BF2A23"/>
    <w:rsid w:val="00BF4A8C"/>
    <w:rsid w:val="00BF4B15"/>
    <w:rsid w:val="00BF4B3E"/>
    <w:rsid w:val="00BF4D17"/>
    <w:rsid w:val="00BF4E4A"/>
    <w:rsid w:val="00BF4EBA"/>
    <w:rsid w:val="00BF5F98"/>
    <w:rsid w:val="00BF6089"/>
    <w:rsid w:val="00BF60B6"/>
    <w:rsid w:val="00BF650A"/>
    <w:rsid w:val="00BF72F7"/>
    <w:rsid w:val="00BF7936"/>
    <w:rsid w:val="00C00303"/>
    <w:rsid w:val="00C00BD8"/>
    <w:rsid w:val="00C01AA6"/>
    <w:rsid w:val="00C02031"/>
    <w:rsid w:val="00C02343"/>
    <w:rsid w:val="00C02901"/>
    <w:rsid w:val="00C02CD8"/>
    <w:rsid w:val="00C02E2A"/>
    <w:rsid w:val="00C02E2F"/>
    <w:rsid w:val="00C02E5B"/>
    <w:rsid w:val="00C02E76"/>
    <w:rsid w:val="00C0353A"/>
    <w:rsid w:val="00C0371A"/>
    <w:rsid w:val="00C03BA6"/>
    <w:rsid w:val="00C049A7"/>
    <w:rsid w:val="00C054D2"/>
    <w:rsid w:val="00C06213"/>
    <w:rsid w:val="00C06A7D"/>
    <w:rsid w:val="00C07D5C"/>
    <w:rsid w:val="00C10539"/>
    <w:rsid w:val="00C107C9"/>
    <w:rsid w:val="00C10B94"/>
    <w:rsid w:val="00C10EE0"/>
    <w:rsid w:val="00C1156E"/>
    <w:rsid w:val="00C1213E"/>
    <w:rsid w:val="00C124A5"/>
    <w:rsid w:val="00C124EA"/>
    <w:rsid w:val="00C1343F"/>
    <w:rsid w:val="00C1355C"/>
    <w:rsid w:val="00C13BCD"/>
    <w:rsid w:val="00C143DD"/>
    <w:rsid w:val="00C146F3"/>
    <w:rsid w:val="00C162D7"/>
    <w:rsid w:val="00C16A85"/>
    <w:rsid w:val="00C172C3"/>
    <w:rsid w:val="00C17675"/>
    <w:rsid w:val="00C17E0D"/>
    <w:rsid w:val="00C20F7D"/>
    <w:rsid w:val="00C2116E"/>
    <w:rsid w:val="00C211D4"/>
    <w:rsid w:val="00C21F2E"/>
    <w:rsid w:val="00C21FC4"/>
    <w:rsid w:val="00C220E0"/>
    <w:rsid w:val="00C236ED"/>
    <w:rsid w:val="00C23A58"/>
    <w:rsid w:val="00C2474B"/>
    <w:rsid w:val="00C2517F"/>
    <w:rsid w:val="00C25407"/>
    <w:rsid w:val="00C27287"/>
    <w:rsid w:val="00C277EA"/>
    <w:rsid w:val="00C3034B"/>
    <w:rsid w:val="00C31097"/>
    <w:rsid w:val="00C31497"/>
    <w:rsid w:val="00C31745"/>
    <w:rsid w:val="00C317D8"/>
    <w:rsid w:val="00C31FD3"/>
    <w:rsid w:val="00C3202A"/>
    <w:rsid w:val="00C328B1"/>
    <w:rsid w:val="00C329EB"/>
    <w:rsid w:val="00C32EFD"/>
    <w:rsid w:val="00C33852"/>
    <w:rsid w:val="00C34202"/>
    <w:rsid w:val="00C35749"/>
    <w:rsid w:val="00C35785"/>
    <w:rsid w:val="00C35C32"/>
    <w:rsid w:val="00C35C45"/>
    <w:rsid w:val="00C35D16"/>
    <w:rsid w:val="00C37019"/>
    <w:rsid w:val="00C37225"/>
    <w:rsid w:val="00C3774D"/>
    <w:rsid w:val="00C379F6"/>
    <w:rsid w:val="00C40229"/>
    <w:rsid w:val="00C402ED"/>
    <w:rsid w:val="00C40585"/>
    <w:rsid w:val="00C40DCA"/>
    <w:rsid w:val="00C420C1"/>
    <w:rsid w:val="00C425DF"/>
    <w:rsid w:val="00C43BE7"/>
    <w:rsid w:val="00C44D38"/>
    <w:rsid w:val="00C450F9"/>
    <w:rsid w:val="00C457C9"/>
    <w:rsid w:val="00C45B65"/>
    <w:rsid w:val="00C4654D"/>
    <w:rsid w:val="00C46B35"/>
    <w:rsid w:val="00C46D6B"/>
    <w:rsid w:val="00C50212"/>
    <w:rsid w:val="00C510AD"/>
    <w:rsid w:val="00C52ED6"/>
    <w:rsid w:val="00C54073"/>
    <w:rsid w:val="00C54532"/>
    <w:rsid w:val="00C54718"/>
    <w:rsid w:val="00C54892"/>
    <w:rsid w:val="00C548F1"/>
    <w:rsid w:val="00C54B1D"/>
    <w:rsid w:val="00C54C35"/>
    <w:rsid w:val="00C54D49"/>
    <w:rsid w:val="00C55F1B"/>
    <w:rsid w:val="00C569AB"/>
    <w:rsid w:val="00C56AC8"/>
    <w:rsid w:val="00C56E3C"/>
    <w:rsid w:val="00C5738B"/>
    <w:rsid w:val="00C57FDF"/>
    <w:rsid w:val="00C60FC9"/>
    <w:rsid w:val="00C622B4"/>
    <w:rsid w:val="00C6278C"/>
    <w:rsid w:val="00C62D51"/>
    <w:rsid w:val="00C6395C"/>
    <w:rsid w:val="00C63B52"/>
    <w:rsid w:val="00C63C34"/>
    <w:rsid w:val="00C643E4"/>
    <w:rsid w:val="00C6454C"/>
    <w:rsid w:val="00C64782"/>
    <w:rsid w:val="00C655D0"/>
    <w:rsid w:val="00C65E15"/>
    <w:rsid w:val="00C66118"/>
    <w:rsid w:val="00C662A7"/>
    <w:rsid w:val="00C6681F"/>
    <w:rsid w:val="00C66B52"/>
    <w:rsid w:val="00C66D01"/>
    <w:rsid w:val="00C66E2F"/>
    <w:rsid w:val="00C67560"/>
    <w:rsid w:val="00C679C0"/>
    <w:rsid w:val="00C679D0"/>
    <w:rsid w:val="00C67DB4"/>
    <w:rsid w:val="00C710F5"/>
    <w:rsid w:val="00C71652"/>
    <w:rsid w:val="00C72C4A"/>
    <w:rsid w:val="00C7420A"/>
    <w:rsid w:val="00C744C0"/>
    <w:rsid w:val="00C744D2"/>
    <w:rsid w:val="00C75AE5"/>
    <w:rsid w:val="00C7660B"/>
    <w:rsid w:val="00C7699C"/>
    <w:rsid w:val="00C76FBC"/>
    <w:rsid w:val="00C775A0"/>
    <w:rsid w:val="00C77B5C"/>
    <w:rsid w:val="00C77C5A"/>
    <w:rsid w:val="00C8085E"/>
    <w:rsid w:val="00C808B3"/>
    <w:rsid w:val="00C80914"/>
    <w:rsid w:val="00C8143D"/>
    <w:rsid w:val="00C829AE"/>
    <w:rsid w:val="00C831AE"/>
    <w:rsid w:val="00C84498"/>
    <w:rsid w:val="00C848CE"/>
    <w:rsid w:val="00C863AA"/>
    <w:rsid w:val="00C86C25"/>
    <w:rsid w:val="00C86C46"/>
    <w:rsid w:val="00C86FDC"/>
    <w:rsid w:val="00C87306"/>
    <w:rsid w:val="00C87496"/>
    <w:rsid w:val="00C90047"/>
    <w:rsid w:val="00C90356"/>
    <w:rsid w:val="00C9285C"/>
    <w:rsid w:val="00C92943"/>
    <w:rsid w:val="00C92A85"/>
    <w:rsid w:val="00C92B4A"/>
    <w:rsid w:val="00C92C24"/>
    <w:rsid w:val="00C938B6"/>
    <w:rsid w:val="00C94BEF"/>
    <w:rsid w:val="00C94E39"/>
    <w:rsid w:val="00C954EF"/>
    <w:rsid w:val="00C955A0"/>
    <w:rsid w:val="00C95E96"/>
    <w:rsid w:val="00C960EB"/>
    <w:rsid w:val="00C96301"/>
    <w:rsid w:val="00C966BB"/>
    <w:rsid w:val="00C974B6"/>
    <w:rsid w:val="00C97532"/>
    <w:rsid w:val="00C97926"/>
    <w:rsid w:val="00C97A6A"/>
    <w:rsid w:val="00CA0247"/>
    <w:rsid w:val="00CA0A24"/>
    <w:rsid w:val="00CA0C72"/>
    <w:rsid w:val="00CA0EAE"/>
    <w:rsid w:val="00CA18E3"/>
    <w:rsid w:val="00CA1D02"/>
    <w:rsid w:val="00CA2FD7"/>
    <w:rsid w:val="00CA34BA"/>
    <w:rsid w:val="00CA4971"/>
    <w:rsid w:val="00CA5AE1"/>
    <w:rsid w:val="00CA6B40"/>
    <w:rsid w:val="00CA795C"/>
    <w:rsid w:val="00CA7C65"/>
    <w:rsid w:val="00CA7DBF"/>
    <w:rsid w:val="00CB1195"/>
    <w:rsid w:val="00CB15A5"/>
    <w:rsid w:val="00CB36C2"/>
    <w:rsid w:val="00CB3840"/>
    <w:rsid w:val="00CB4084"/>
    <w:rsid w:val="00CB467D"/>
    <w:rsid w:val="00CB49E3"/>
    <w:rsid w:val="00CB4FA7"/>
    <w:rsid w:val="00CB50F1"/>
    <w:rsid w:val="00CB52F2"/>
    <w:rsid w:val="00CB549A"/>
    <w:rsid w:val="00CB593F"/>
    <w:rsid w:val="00CB7379"/>
    <w:rsid w:val="00CB7E10"/>
    <w:rsid w:val="00CC06BE"/>
    <w:rsid w:val="00CC06C0"/>
    <w:rsid w:val="00CC0F5A"/>
    <w:rsid w:val="00CC187A"/>
    <w:rsid w:val="00CC1B66"/>
    <w:rsid w:val="00CC1CB9"/>
    <w:rsid w:val="00CC31A7"/>
    <w:rsid w:val="00CC3848"/>
    <w:rsid w:val="00CC3D90"/>
    <w:rsid w:val="00CC4436"/>
    <w:rsid w:val="00CC4651"/>
    <w:rsid w:val="00CC4B49"/>
    <w:rsid w:val="00CC4E59"/>
    <w:rsid w:val="00CC4F5B"/>
    <w:rsid w:val="00CC5185"/>
    <w:rsid w:val="00CC5582"/>
    <w:rsid w:val="00CC57B2"/>
    <w:rsid w:val="00CC5933"/>
    <w:rsid w:val="00CC6197"/>
    <w:rsid w:val="00CC6598"/>
    <w:rsid w:val="00CC683C"/>
    <w:rsid w:val="00CC732A"/>
    <w:rsid w:val="00CC7D7A"/>
    <w:rsid w:val="00CD00CC"/>
    <w:rsid w:val="00CD0411"/>
    <w:rsid w:val="00CD077B"/>
    <w:rsid w:val="00CD10FE"/>
    <w:rsid w:val="00CD1C1E"/>
    <w:rsid w:val="00CD276F"/>
    <w:rsid w:val="00CD2AE0"/>
    <w:rsid w:val="00CD2F55"/>
    <w:rsid w:val="00CD345B"/>
    <w:rsid w:val="00CD369E"/>
    <w:rsid w:val="00CD417F"/>
    <w:rsid w:val="00CD47C5"/>
    <w:rsid w:val="00CD49E4"/>
    <w:rsid w:val="00CD4CA6"/>
    <w:rsid w:val="00CD51F4"/>
    <w:rsid w:val="00CD5C97"/>
    <w:rsid w:val="00CD6E40"/>
    <w:rsid w:val="00CD7396"/>
    <w:rsid w:val="00CD74BB"/>
    <w:rsid w:val="00CD765D"/>
    <w:rsid w:val="00CD788E"/>
    <w:rsid w:val="00CE03D4"/>
    <w:rsid w:val="00CE0738"/>
    <w:rsid w:val="00CE11AF"/>
    <w:rsid w:val="00CE13B6"/>
    <w:rsid w:val="00CE22C0"/>
    <w:rsid w:val="00CE2316"/>
    <w:rsid w:val="00CE2E0A"/>
    <w:rsid w:val="00CE3400"/>
    <w:rsid w:val="00CE38CF"/>
    <w:rsid w:val="00CE38D3"/>
    <w:rsid w:val="00CE419F"/>
    <w:rsid w:val="00CE53D1"/>
    <w:rsid w:val="00CE53DB"/>
    <w:rsid w:val="00CE5ED8"/>
    <w:rsid w:val="00CE6BDB"/>
    <w:rsid w:val="00CE751A"/>
    <w:rsid w:val="00CF169E"/>
    <w:rsid w:val="00CF209C"/>
    <w:rsid w:val="00CF20AF"/>
    <w:rsid w:val="00CF2426"/>
    <w:rsid w:val="00CF2ED1"/>
    <w:rsid w:val="00CF36F8"/>
    <w:rsid w:val="00CF37AA"/>
    <w:rsid w:val="00CF457B"/>
    <w:rsid w:val="00CF497A"/>
    <w:rsid w:val="00CF559B"/>
    <w:rsid w:val="00CF5625"/>
    <w:rsid w:val="00CF56C4"/>
    <w:rsid w:val="00CF5909"/>
    <w:rsid w:val="00CF6AC6"/>
    <w:rsid w:val="00CF6B3F"/>
    <w:rsid w:val="00CF6E8F"/>
    <w:rsid w:val="00CF7B3C"/>
    <w:rsid w:val="00D006F9"/>
    <w:rsid w:val="00D0071B"/>
    <w:rsid w:val="00D00DFE"/>
    <w:rsid w:val="00D01858"/>
    <w:rsid w:val="00D01D5C"/>
    <w:rsid w:val="00D033F2"/>
    <w:rsid w:val="00D03EF8"/>
    <w:rsid w:val="00D0417C"/>
    <w:rsid w:val="00D04376"/>
    <w:rsid w:val="00D045B2"/>
    <w:rsid w:val="00D045FB"/>
    <w:rsid w:val="00D047E6"/>
    <w:rsid w:val="00D04F1B"/>
    <w:rsid w:val="00D06477"/>
    <w:rsid w:val="00D0668F"/>
    <w:rsid w:val="00D06A39"/>
    <w:rsid w:val="00D06ED7"/>
    <w:rsid w:val="00D07345"/>
    <w:rsid w:val="00D10EB5"/>
    <w:rsid w:val="00D11114"/>
    <w:rsid w:val="00D12CBB"/>
    <w:rsid w:val="00D13027"/>
    <w:rsid w:val="00D1340C"/>
    <w:rsid w:val="00D14075"/>
    <w:rsid w:val="00D14790"/>
    <w:rsid w:val="00D14CE5"/>
    <w:rsid w:val="00D16A8E"/>
    <w:rsid w:val="00D16FFB"/>
    <w:rsid w:val="00D1777B"/>
    <w:rsid w:val="00D1780F"/>
    <w:rsid w:val="00D20F13"/>
    <w:rsid w:val="00D21BC9"/>
    <w:rsid w:val="00D22EA3"/>
    <w:rsid w:val="00D22F74"/>
    <w:rsid w:val="00D233A8"/>
    <w:rsid w:val="00D233DC"/>
    <w:rsid w:val="00D236CD"/>
    <w:rsid w:val="00D24367"/>
    <w:rsid w:val="00D247B1"/>
    <w:rsid w:val="00D2531A"/>
    <w:rsid w:val="00D2548F"/>
    <w:rsid w:val="00D25816"/>
    <w:rsid w:val="00D25B7F"/>
    <w:rsid w:val="00D26917"/>
    <w:rsid w:val="00D2759C"/>
    <w:rsid w:val="00D31180"/>
    <w:rsid w:val="00D3133D"/>
    <w:rsid w:val="00D3142D"/>
    <w:rsid w:val="00D323EA"/>
    <w:rsid w:val="00D32444"/>
    <w:rsid w:val="00D327C7"/>
    <w:rsid w:val="00D32954"/>
    <w:rsid w:val="00D32E82"/>
    <w:rsid w:val="00D33F85"/>
    <w:rsid w:val="00D342E6"/>
    <w:rsid w:val="00D34387"/>
    <w:rsid w:val="00D352B1"/>
    <w:rsid w:val="00D3545D"/>
    <w:rsid w:val="00D356AE"/>
    <w:rsid w:val="00D35DFF"/>
    <w:rsid w:val="00D36732"/>
    <w:rsid w:val="00D36B84"/>
    <w:rsid w:val="00D36BF6"/>
    <w:rsid w:val="00D3725B"/>
    <w:rsid w:val="00D37783"/>
    <w:rsid w:val="00D37F6A"/>
    <w:rsid w:val="00D40989"/>
    <w:rsid w:val="00D4160D"/>
    <w:rsid w:val="00D41870"/>
    <w:rsid w:val="00D418CC"/>
    <w:rsid w:val="00D41E63"/>
    <w:rsid w:val="00D4206E"/>
    <w:rsid w:val="00D42D32"/>
    <w:rsid w:val="00D432D6"/>
    <w:rsid w:val="00D44831"/>
    <w:rsid w:val="00D44CAD"/>
    <w:rsid w:val="00D450B0"/>
    <w:rsid w:val="00D455D0"/>
    <w:rsid w:val="00D46C06"/>
    <w:rsid w:val="00D46FDC"/>
    <w:rsid w:val="00D47324"/>
    <w:rsid w:val="00D50544"/>
    <w:rsid w:val="00D51351"/>
    <w:rsid w:val="00D51983"/>
    <w:rsid w:val="00D51AEF"/>
    <w:rsid w:val="00D533B4"/>
    <w:rsid w:val="00D539D3"/>
    <w:rsid w:val="00D56898"/>
    <w:rsid w:val="00D5745F"/>
    <w:rsid w:val="00D577A6"/>
    <w:rsid w:val="00D57F65"/>
    <w:rsid w:val="00D57F70"/>
    <w:rsid w:val="00D601FE"/>
    <w:rsid w:val="00D60C78"/>
    <w:rsid w:val="00D617AD"/>
    <w:rsid w:val="00D61B3A"/>
    <w:rsid w:val="00D61FAB"/>
    <w:rsid w:val="00D62D70"/>
    <w:rsid w:val="00D63561"/>
    <w:rsid w:val="00D636A8"/>
    <w:rsid w:val="00D63782"/>
    <w:rsid w:val="00D63C5D"/>
    <w:rsid w:val="00D63FDB"/>
    <w:rsid w:val="00D64A43"/>
    <w:rsid w:val="00D671F9"/>
    <w:rsid w:val="00D6775A"/>
    <w:rsid w:val="00D67FD3"/>
    <w:rsid w:val="00D7052A"/>
    <w:rsid w:val="00D70964"/>
    <w:rsid w:val="00D7123D"/>
    <w:rsid w:val="00D7354F"/>
    <w:rsid w:val="00D745C0"/>
    <w:rsid w:val="00D74D5E"/>
    <w:rsid w:val="00D766AF"/>
    <w:rsid w:val="00D76B30"/>
    <w:rsid w:val="00D80C05"/>
    <w:rsid w:val="00D81602"/>
    <w:rsid w:val="00D830D8"/>
    <w:rsid w:val="00D8394E"/>
    <w:rsid w:val="00D84483"/>
    <w:rsid w:val="00D84B47"/>
    <w:rsid w:val="00D8506E"/>
    <w:rsid w:val="00D850AA"/>
    <w:rsid w:val="00D86238"/>
    <w:rsid w:val="00D90E04"/>
    <w:rsid w:val="00D91F30"/>
    <w:rsid w:val="00D927BB"/>
    <w:rsid w:val="00D92C39"/>
    <w:rsid w:val="00D937DD"/>
    <w:rsid w:val="00D94163"/>
    <w:rsid w:val="00D94438"/>
    <w:rsid w:val="00D95350"/>
    <w:rsid w:val="00D95BA0"/>
    <w:rsid w:val="00D95EFB"/>
    <w:rsid w:val="00D9649D"/>
    <w:rsid w:val="00D97F36"/>
    <w:rsid w:val="00DA0983"/>
    <w:rsid w:val="00DA0A2D"/>
    <w:rsid w:val="00DA0EAA"/>
    <w:rsid w:val="00DA18E4"/>
    <w:rsid w:val="00DA1BD6"/>
    <w:rsid w:val="00DA3649"/>
    <w:rsid w:val="00DA3655"/>
    <w:rsid w:val="00DA3EE3"/>
    <w:rsid w:val="00DA3FF4"/>
    <w:rsid w:val="00DA4642"/>
    <w:rsid w:val="00DA470B"/>
    <w:rsid w:val="00DA5ED7"/>
    <w:rsid w:val="00DA60D0"/>
    <w:rsid w:val="00DA6A43"/>
    <w:rsid w:val="00DA6AEB"/>
    <w:rsid w:val="00DA76F0"/>
    <w:rsid w:val="00DB014B"/>
    <w:rsid w:val="00DB0644"/>
    <w:rsid w:val="00DB1008"/>
    <w:rsid w:val="00DB2FEE"/>
    <w:rsid w:val="00DB371C"/>
    <w:rsid w:val="00DB3ABF"/>
    <w:rsid w:val="00DB467B"/>
    <w:rsid w:val="00DB4CE3"/>
    <w:rsid w:val="00DB525D"/>
    <w:rsid w:val="00DB5956"/>
    <w:rsid w:val="00DB5F3A"/>
    <w:rsid w:val="00DB60A8"/>
    <w:rsid w:val="00DB6402"/>
    <w:rsid w:val="00DB6412"/>
    <w:rsid w:val="00DB6F36"/>
    <w:rsid w:val="00DB7D11"/>
    <w:rsid w:val="00DC0529"/>
    <w:rsid w:val="00DC1290"/>
    <w:rsid w:val="00DC1BFA"/>
    <w:rsid w:val="00DC2893"/>
    <w:rsid w:val="00DC2936"/>
    <w:rsid w:val="00DC3FD8"/>
    <w:rsid w:val="00DC4DC8"/>
    <w:rsid w:val="00DC4E15"/>
    <w:rsid w:val="00DC53F7"/>
    <w:rsid w:val="00DC5822"/>
    <w:rsid w:val="00DC6B67"/>
    <w:rsid w:val="00DC736A"/>
    <w:rsid w:val="00DC745B"/>
    <w:rsid w:val="00DC7C52"/>
    <w:rsid w:val="00DC7E6D"/>
    <w:rsid w:val="00DD1A6E"/>
    <w:rsid w:val="00DD1B21"/>
    <w:rsid w:val="00DD26E1"/>
    <w:rsid w:val="00DD2868"/>
    <w:rsid w:val="00DD3241"/>
    <w:rsid w:val="00DD3558"/>
    <w:rsid w:val="00DD3D3E"/>
    <w:rsid w:val="00DD3D56"/>
    <w:rsid w:val="00DD4237"/>
    <w:rsid w:val="00DD4DA6"/>
    <w:rsid w:val="00DD57E8"/>
    <w:rsid w:val="00DD668F"/>
    <w:rsid w:val="00DD6C12"/>
    <w:rsid w:val="00DD6C85"/>
    <w:rsid w:val="00DD7839"/>
    <w:rsid w:val="00DD7F1F"/>
    <w:rsid w:val="00DE0CFB"/>
    <w:rsid w:val="00DE1292"/>
    <w:rsid w:val="00DE17EA"/>
    <w:rsid w:val="00DE18C6"/>
    <w:rsid w:val="00DE2D44"/>
    <w:rsid w:val="00DE37F7"/>
    <w:rsid w:val="00DE41B9"/>
    <w:rsid w:val="00DE4F23"/>
    <w:rsid w:val="00DE5203"/>
    <w:rsid w:val="00DE5916"/>
    <w:rsid w:val="00DE5B87"/>
    <w:rsid w:val="00DE620B"/>
    <w:rsid w:val="00DF0DA4"/>
    <w:rsid w:val="00DF1121"/>
    <w:rsid w:val="00DF1873"/>
    <w:rsid w:val="00DF1930"/>
    <w:rsid w:val="00DF1C93"/>
    <w:rsid w:val="00DF3C0A"/>
    <w:rsid w:val="00DF4679"/>
    <w:rsid w:val="00DF48DC"/>
    <w:rsid w:val="00DF4A01"/>
    <w:rsid w:val="00DF4D46"/>
    <w:rsid w:val="00DF4D93"/>
    <w:rsid w:val="00DF51AC"/>
    <w:rsid w:val="00DF57A2"/>
    <w:rsid w:val="00DF5A7E"/>
    <w:rsid w:val="00DF5C01"/>
    <w:rsid w:val="00DF658D"/>
    <w:rsid w:val="00DF6CD5"/>
    <w:rsid w:val="00DF7E88"/>
    <w:rsid w:val="00DF7F38"/>
    <w:rsid w:val="00E01649"/>
    <w:rsid w:val="00E02465"/>
    <w:rsid w:val="00E03362"/>
    <w:rsid w:val="00E036ED"/>
    <w:rsid w:val="00E05DF9"/>
    <w:rsid w:val="00E06E33"/>
    <w:rsid w:val="00E070EE"/>
    <w:rsid w:val="00E078F3"/>
    <w:rsid w:val="00E0796B"/>
    <w:rsid w:val="00E07C71"/>
    <w:rsid w:val="00E10A4E"/>
    <w:rsid w:val="00E10D93"/>
    <w:rsid w:val="00E10E28"/>
    <w:rsid w:val="00E10ED4"/>
    <w:rsid w:val="00E1109B"/>
    <w:rsid w:val="00E128C3"/>
    <w:rsid w:val="00E134EF"/>
    <w:rsid w:val="00E13E76"/>
    <w:rsid w:val="00E13F4C"/>
    <w:rsid w:val="00E14447"/>
    <w:rsid w:val="00E14DAD"/>
    <w:rsid w:val="00E14E96"/>
    <w:rsid w:val="00E15AF5"/>
    <w:rsid w:val="00E16C0D"/>
    <w:rsid w:val="00E17247"/>
    <w:rsid w:val="00E20FC1"/>
    <w:rsid w:val="00E2187D"/>
    <w:rsid w:val="00E21DB1"/>
    <w:rsid w:val="00E21E5F"/>
    <w:rsid w:val="00E22625"/>
    <w:rsid w:val="00E22831"/>
    <w:rsid w:val="00E24540"/>
    <w:rsid w:val="00E25146"/>
    <w:rsid w:val="00E269DD"/>
    <w:rsid w:val="00E3046F"/>
    <w:rsid w:val="00E30F20"/>
    <w:rsid w:val="00E32020"/>
    <w:rsid w:val="00E322B2"/>
    <w:rsid w:val="00E32545"/>
    <w:rsid w:val="00E32F69"/>
    <w:rsid w:val="00E33B23"/>
    <w:rsid w:val="00E344D7"/>
    <w:rsid w:val="00E34EF3"/>
    <w:rsid w:val="00E36458"/>
    <w:rsid w:val="00E367DA"/>
    <w:rsid w:val="00E37200"/>
    <w:rsid w:val="00E375CF"/>
    <w:rsid w:val="00E37F0D"/>
    <w:rsid w:val="00E37F81"/>
    <w:rsid w:val="00E403AF"/>
    <w:rsid w:val="00E4100E"/>
    <w:rsid w:val="00E4165F"/>
    <w:rsid w:val="00E41C88"/>
    <w:rsid w:val="00E4208D"/>
    <w:rsid w:val="00E42B56"/>
    <w:rsid w:val="00E4317C"/>
    <w:rsid w:val="00E44C09"/>
    <w:rsid w:val="00E453C8"/>
    <w:rsid w:val="00E46ECF"/>
    <w:rsid w:val="00E4727B"/>
    <w:rsid w:val="00E472AD"/>
    <w:rsid w:val="00E47E64"/>
    <w:rsid w:val="00E508D2"/>
    <w:rsid w:val="00E50FB5"/>
    <w:rsid w:val="00E513AE"/>
    <w:rsid w:val="00E520DE"/>
    <w:rsid w:val="00E52107"/>
    <w:rsid w:val="00E5237E"/>
    <w:rsid w:val="00E524A7"/>
    <w:rsid w:val="00E534DE"/>
    <w:rsid w:val="00E53772"/>
    <w:rsid w:val="00E53DBE"/>
    <w:rsid w:val="00E53EB8"/>
    <w:rsid w:val="00E53FCA"/>
    <w:rsid w:val="00E5478D"/>
    <w:rsid w:val="00E54941"/>
    <w:rsid w:val="00E551C3"/>
    <w:rsid w:val="00E55907"/>
    <w:rsid w:val="00E55E00"/>
    <w:rsid w:val="00E563E2"/>
    <w:rsid w:val="00E56663"/>
    <w:rsid w:val="00E56726"/>
    <w:rsid w:val="00E5694B"/>
    <w:rsid w:val="00E57D63"/>
    <w:rsid w:val="00E57D6F"/>
    <w:rsid w:val="00E57E63"/>
    <w:rsid w:val="00E61392"/>
    <w:rsid w:val="00E621E6"/>
    <w:rsid w:val="00E62675"/>
    <w:rsid w:val="00E62FB8"/>
    <w:rsid w:val="00E63476"/>
    <w:rsid w:val="00E6460C"/>
    <w:rsid w:val="00E647EA"/>
    <w:rsid w:val="00E656C6"/>
    <w:rsid w:val="00E66082"/>
    <w:rsid w:val="00E66415"/>
    <w:rsid w:val="00E67591"/>
    <w:rsid w:val="00E67941"/>
    <w:rsid w:val="00E67975"/>
    <w:rsid w:val="00E6799E"/>
    <w:rsid w:val="00E67FBF"/>
    <w:rsid w:val="00E704E7"/>
    <w:rsid w:val="00E7086A"/>
    <w:rsid w:val="00E711EB"/>
    <w:rsid w:val="00E7134A"/>
    <w:rsid w:val="00E71CAA"/>
    <w:rsid w:val="00E71CC7"/>
    <w:rsid w:val="00E73289"/>
    <w:rsid w:val="00E73BB5"/>
    <w:rsid w:val="00E7432E"/>
    <w:rsid w:val="00E74EAC"/>
    <w:rsid w:val="00E75879"/>
    <w:rsid w:val="00E7644C"/>
    <w:rsid w:val="00E76656"/>
    <w:rsid w:val="00E7675E"/>
    <w:rsid w:val="00E76B47"/>
    <w:rsid w:val="00E76D3B"/>
    <w:rsid w:val="00E77918"/>
    <w:rsid w:val="00E80383"/>
    <w:rsid w:val="00E8145B"/>
    <w:rsid w:val="00E82EDC"/>
    <w:rsid w:val="00E83106"/>
    <w:rsid w:val="00E83421"/>
    <w:rsid w:val="00E83DBC"/>
    <w:rsid w:val="00E83E8E"/>
    <w:rsid w:val="00E84DEB"/>
    <w:rsid w:val="00E8573D"/>
    <w:rsid w:val="00E86186"/>
    <w:rsid w:val="00E86F02"/>
    <w:rsid w:val="00E879BF"/>
    <w:rsid w:val="00E87B8E"/>
    <w:rsid w:val="00E87BE6"/>
    <w:rsid w:val="00E90204"/>
    <w:rsid w:val="00E91246"/>
    <w:rsid w:val="00E91B47"/>
    <w:rsid w:val="00E91E68"/>
    <w:rsid w:val="00E91E9C"/>
    <w:rsid w:val="00E92CAE"/>
    <w:rsid w:val="00E94357"/>
    <w:rsid w:val="00E949F5"/>
    <w:rsid w:val="00E950ED"/>
    <w:rsid w:val="00E96084"/>
    <w:rsid w:val="00E9654F"/>
    <w:rsid w:val="00E96748"/>
    <w:rsid w:val="00E967AB"/>
    <w:rsid w:val="00E97323"/>
    <w:rsid w:val="00E9743D"/>
    <w:rsid w:val="00E97672"/>
    <w:rsid w:val="00E979F7"/>
    <w:rsid w:val="00E97C60"/>
    <w:rsid w:val="00EA0723"/>
    <w:rsid w:val="00EA151C"/>
    <w:rsid w:val="00EA15B5"/>
    <w:rsid w:val="00EA3177"/>
    <w:rsid w:val="00EA397A"/>
    <w:rsid w:val="00EA444D"/>
    <w:rsid w:val="00EA46DD"/>
    <w:rsid w:val="00EA4E3C"/>
    <w:rsid w:val="00EA531F"/>
    <w:rsid w:val="00EA5A30"/>
    <w:rsid w:val="00EA6958"/>
    <w:rsid w:val="00EA7A2B"/>
    <w:rsid w:val="00EB106B"/>
    <w:rsid w:val="00EB2C16"/>
    <w:rsid w:val="00EB2E4E"/>
    <w:rsid w:val="00EB2E4F"/>
    <w:rsid w:val="00EB3098"/>
    <w:rsid w:val="00EB3328"/>
    <w:rsid w:val="00EB34D7"/>
    <w:rsid w:val="00EB4105"/>
    <w:rsid w:val="00EB5D24"/>
    <w:rsid w:val="00EB61E6"/>
    <w:rsid w:val="00EB68B3"/>
    <w:rsid w:val="00EB7CA8"/>
    <w:rsid w:val="00EC0968"/>
    <w:rsid w:val="00EC0B72"/>
    <w:rsid w:val="00EC0D4E"/>
    <w:rsid w:val="00EC24BB"/>
    <w:rsid w:val="00EC2B42"/>
    <w:rsid w:val="00EC30AD"/>
    <w:rsid w:val="00EC366B"/>
    <w:rsid w:val="00EC39C6"/>
    <w:rsid w:val="00EC3C96"/>
    <w:rsid w:val="00EC455E"/>
    <w:rsid w:val="00EC489A"/>
    <w:rsid w:val="00EC5A5E"/>
    <w:rsid w:val="00ED04A0"/>
    <w:rsid w:val="00ED0E35"/>
    <w:rsid w:val="00ED1266"/>
    <w:rsid w:val="00ED255D"/>
    <w:rsid w:val="00ED2A28"/>
    <w:rsid w:val="00ED2B97"/>
    <w:rsid w:val="00ED2CCA"/>
    <w:rsid w:val="00ED3E45"/>
    <w:rsid w:val="00ED417C"/>
    <w:rsid w:val="00ED5147"/>
    <w:rsid w:val="00ED5A0E"/>
    <w:rsid w:val="00ED6D59"/>
    <w:rsid w:val="00ED78C4"/>
    <w:rsid w:val="00ED7916"/>
    <w:rsid w:val="00EE0B76"/>
    <w:rsid w:val="00EE1046"/>
    <w:rsid w:val="00EE1640"/>
    <w:rsid w:val="00EE1DC7"/>
    <w:rsid w:val="00EE1E73"/>
    <w:rsid w:val="00EE1FE4"/>
    <w:rsid w:val="00EE3BA4"/>
    <w:rsid w:val="00EE5177"/>
    <w:rsid w:val="00EE562F"/>
    <w:rsid w:val="00EE5FA8"/>
    <w:rsid w:val="00EE608B"/>
    <w:rsid w:val="00EE6C1F"/>
    <w:rsid w:val="00EE7174"/>
    <w:rsid w:val="00EE7DF9"/>
    <w:rsid w:val="00EE7F51"/>
    <w:rsid w:val="00EF0FA9"/>
    <w:rsid w:val="00EF332D"/>
    <w:rsid w:val="00EF4290"/>
    <w:rsid w:val="00EF4642"/>
    <w:rsid w:val="00EF517D"/>
    <w:rsid w:val="00EF593E"/>
    <w:rsid w:val="00EF6451"/>
    <w:rsid w:val="00EF6D78"/>
    <w:rsid w:val="00EF78C8"/>
    <w:rsid w:val="00EF7F78"/>
    <w:rsid w:val="00F01EC6"/>
    <w:rsid w:val="00F0261D"/>
    <w:rsid w:val="00F0341D"/>
    <w:rsid w:val="00F03BCC"/>
    <w:rsid w:val="00F0417E"/>
    <w:rsid w:val="00F04D7C"/>
    <w:rsid w:val="00F051CE"/>
    <w:rsid w:val="00F05547"/>
    <w:rsid w:val="00F069A2"/>
    <w:rsid w:val="00F06FA2"/>
    <w:rsid w:val="00F078BB"/>
    <w:rsid w:val="00F10C75"/>
    <w:rsid w:val="00F11671"/>
    <w:rsid w:val="00F118EA"/>
    <w:rsid w:val="00F13CA1"/>
    <w:rsid w:val="00F14354"/>
    <w:rsid w:val="00F144F5"/>
    <w:rsid w:val="00F1458F"/>
    <w:rsid w:val="00F14FCA"/>
    <w:rsid w:val="00F152EF"/>
    <w:rsid w:val="00F1533B"/>
    <w:rsid w:val="00F1593A"/>
    <w:rsid w:val="00F16078"/>
    <w:rsid w:val="00F16578"/>
    <w:rsid w:val="00F166EA"/>
    <w:rsid w:val="00F16D84"/>
    <w:rsid w:val="00F16DD9"/>
    <w:rsid w:val="00F17940"/>
    <w:rsid w:val="00F17A7C"/>
    <w:rsid w:val="00F202C3"/>
    <w:rsid w:val="00F2213A"/>
    <w:rsid w:val="00F225A7"/>
    <w:rsid w:val="00F22671"/>
    <w:rsid w:val="00F22A34"/>
    <w:rsid w:val="00F236A6"/>
    <w:rsid w:val="00F24C93"/>
    <w:rsid w:val="00F24FEA"/>
    <w:rsid w:val="00F25B40"/>
    <w:rsid w:val="00F25BD1"/>
    <w:rsid w:val="00F260AE"/>
    <w:rsid w:val="00F26154"/>
    <w:rsid w:val="00F2688B"/>
    <w:rsid w:val="00F271C9"/>
    <w:rsid w:val="00F2720E"/>
    <w:rsid w:val="00F2731D"/>
    <w:rsid w:val="00F277D2"/>
    <w:rsid w:val="00F278D3"/>
    <w:rsid w:val="00F2798F"/>
    <w:rsid w:val="00F27C5E"/>
    <w:rsid w:val="00F307E6"/>
    <w:rsid w:val="00F318F5"/>
    <w:rsid w:val="00F319E0"/>
    <w:rsid w:val="00F323BC"/>
    <w:rsid w:val="00F329EC"/>
    <w:rsid w:val="00F33EE1"/>
    <w:rsid w:val="00F3428F"/>
    <w:rsid w:val="00F34484"/>
    <w:rsid w:val="00F34C99"/>
    <w:rsid w:val="00F351F5"/>
    <w:rsid w:val="00F353BE"/>
    <w:rsid w:val="00F3595B"/>
    <w:rsid w:val="00F35B9E"/>
    <w:rsid w:val="00F35CBB"/>
    <w:rsid w:val="00F364EF"/>
    <w:rsid w:val="00F36687"/>
    <w:rsid w:val="00F4003E"/>
    <w:rsid w:val="00F40A14"/>
    <w:rsid w:val="00F42044"/>
    <w:rsid w:val="00F42A16"/>
    <w:rsid w:val="00F442CD"/>
    <w:rsid w:val="00F46C10"/>
    <w:rsid w:val="00F46C32"/>
    <w:rsid w:val="00F4771E"/>
    <w:rsid w:val="00F47BD3"/>
    <w:rsid w:val="00F52058"/>
    <w:rsid w:val="00F524D5"/>
    <w:rsid w:val="00F52695"/>
    <w:rsid w:val="00F527D6"/>
    <w:rsid w:val="00F5315C"/>
    <w:rsid w:val="00F5319C"/>
    <w:rsid w:val="00F537FD"/>
    <w:rsid w:val="00F53BE5"/>
    <w:rsid w:val="00F54D4F"/>
    <w:rsid w:val="00F55641"/>
    <w:rsid w:val="00F55A6F"/>
    <w:rsid w:val="00F6050A"/>
    <w:rsid w:val="00F6095F"/>
    <w:rsid w:val="00F60AAE"/>
    <w:rsid w:val="00F61EC6"/>
    <w:rsid w:val="00F64622"/>
    <w:rsid w:val="00F64829"/>
    <w:rsid w:val="00F64898"/>
    <w:rsid w:val="00F648A4"/>
    <w:rsid w:val="00F64F60"/>
    <w:rsid w:val="00F6500D"/>
    <w:rsid w:val="00F65DDF"/>
    <w:rsid w:val="00F661E7"/>
    <w:rsid w:val="00F6688E"/>
    <w:rsid w:val="00F66A9D"/>
    <w:rsid w:val="00F66BF4"/>
    <w:rsid w:val="00F67E61"/>
    <w:rsid w:val="00F70408"/>
    <w:rsid w:val="00F709F7"/>
    <w:rsid w:val="00F70F2D"/>
    <w:rsid w:val="00F7136B"/>
    <w:rsid w:val="00F71915"/>
    <w:rsid w:val="00F71CAD"/>
    <w:rsid w:val="00F72409"/>
    <w:rsid w:val="00F725C6"/>
    <w:rsid w:val="00F72633"/>
    <w:rsid w:val="00F73169"/>
    <w:rsid w:val="00F73277"/>
    <w:rsid w:val="00F73508"/>
    <w:rsid w:val="00F74343"/>
    <w:rsid w:val="00F7523B"/>
    <w:rsid w:val="00F7535F"/>
    <w:rsid w:val="00F75473"/>
    <w:rsid w:val="00F75715"/>
    <w:rsid w:val="00F75971"/>
    <w:rsid w:val="00F75A55"/>
    <w:rsid w:val="00F75AAF"/>
    <w:rsid w:val="00F75FD1"/>
    <w:rsid w:val="00F76651"/>
    <w:rsid w:val="00F77275"/>
    <w:rsid w:val="00F77B0A"/>
    <w:rsid w:val="00F77B26"/>
    <w:rsid w:val="00F77DD1"/>
    <w:rsid w:val="00F80D29"/>
    <w:rsid w:val="00F81EB9"/>
    <w:rsid w:val="00F81FDE"/>
    <w:rsid w:val="00F83199"/>
    <w:rsid w:val="00F83225"/>
    <w:rsid w:val="00F84D32"/>
    <w:rsid w:val="00F85173"/>
    <w:rsid w:val="00F85F18"/>
    <w:rsid w:val="00F8622B"/>
    <w:rsid w:val="00F86617"/>
    <w:rsid w:val="00F8738B"/>
    <w:rsid w:val="00F877CC"/>
    <w:rsid w:val="00F87825"/>
    <w:rsid w:val="00F87E41"/>
    <w:rsid w:val="00F87F40"/>
    <w:rsid w:val="00F90804"/>
    <w:rsid w:val="00F90CC9"/>
    <w:rsid w:val="00F91116"/>
    <w:rsid w:val="00F92F3E"/>
    <w:rsid w:val="00F931E0"/>
    <w:rsid w:val="00F93B42"/>
    <w:rsid w:val="00F93B52"/>
    <w:rsid w:val="00F93CCF"/>
    <w:rsid w:val="00F9470A"/>
    <w:rsid w:val="00F94F3D"/>
    <w:rsid w:val="00F97351"/>
    <w:rsid w:val="00F97397"/>
    <w:rsid w:val="00FA0AF2"/>
    <w:rsid w:val="00FA0FB3"/>
    <w:rsid w:val="00FA2706"/>
    <w:rsid w:val="00FA2B9E"/>
    <w:rsid w:val="00FA32D9"/>
    <w:rsid w:val="00FA3861"/>
    <w:rsid w:val="00FA465C"/>
    <w:rsid w:val="00FA4789"/>
    <w:rsid w:val="00FA503E"/>
    <w:rsid w:val="00FA50B9"/>
    <w:rsid w:val="00FA59AD"/>
    <w:rsid w:val="00FA5E49"/>
    <w:rsid w:val="00FA67BC"/>
    <w:rsid w:val="00FA6B55"/>
    <w:rsid w:val="00FA6F28"/>
    <w:rsid w:val="00FA7A0C"/>
    <w:rsid w:val="00FA7F7A"/>
    <w:rsid w:val="00FB0816"/>
    <w:rsid w:val="00FB0E38"/>
    <w:rsid w:val="00FB1083"/>
    <w:rsid w:val="00FB1FFC"/>
    <w:rsid w:val="00FB2421"/>
    <w:rsid w:val="00FB2C8F"/>
    <w:rsid w:val="00FB32FE"/>
    <w:rsid w:val="00FB4C2B"/>
    <w:rsid w:val="00FB6882"/>
    <w:rsid w:val="00FB748E"/>
    <w:rsid w:val="00FB7775"/>
    <w:rsid w:val="00FC4099"/>
    <w:rsid w:val="00FC490F"/>
    <w:rsid w:val="00FC4B25"/>
    <w:rsid w:val="00FC501B"/>
    <w:rsid w:val="00FC600F"/>
    <w:rsid w:val="00FC6327"/>
    <w:rsid w:val="00FC674E"/>
    <w:rsid w:val="00FC7172"/>
    <w:rsid w:val="00FC7D7F"/>
    <w:rsid w:val="00FD011C"/>
    <w:rsid w:val="00FD03C9"/>
    <w:rsid w:val="00FD0B45"/>
    <w:rsid w:val="00FD0E6D"/>
    <w:rsid w:val="00FD1E42"/>
    <w:rsid w:val="00FD2CD2"/>
    <w:rsid w:val="00FD3C92"/>
    <w:rsid w:val="00FD3D51"/>
    <w:rsid w:val="00FD3F4E"/>
    <w:rsid w:val="00FD4BC6"/>
    <w:rsid w:val="00FD5851"/>
    <w:rsid w:val="00FE0056"/>
    <w:rsid w:val="00FE08E9"/>
    <w:rsid w:val="00FE2415"/>
    <w:rsid w:val="00FE2AC4"/>
    <w:rsid w:val="00FE30C1"/>
    <w:rsid w:val="00FE3184"/>
    <w:rsid w:val="00FE319A"/>
    <w:rsid w:val="00FE400F"/>
    <w:rsid w:val="00FE4E24"/>
    <w:rsid w:val="00FE5AA9"/>
    <w:rsid w:val="00FE73D6"/>
    <w:rsid w:val="00FE79C1"/>
    <w:rsid w:val="00FF100A"/>
    <w:rsid w:val="00FF11D2"/>
    <w:rsid w:val="00FF2E26"/>
    <w:rsid w:val="00FF347E"/>
    <w:rsid w:val="00FF46BC"/>
    <w:rsid w:val="00FF4791"/>
    <w:rsid w:val="00FF519C"/>
    <w:rsid w:val="00FF639C"/>
    <w:rsid w:val="00FF6502"/>
    <w:rsid w:val="00FF6AD8"/>
    <w:rsid w:val="00FF7132"/>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annotation text" w:locked="1" w:semiHidden="0" w:unhideWhenUsed="0"/>
    <w:lsdException w:name="header" w:uiPriority="0"/>
    <w:lsdException w:name="caption" w:locked="1" w:uiPriority="0" w:qFormat="1"/>
    <w:lsdException w:name="footnote reference" w:locked="1" w:semiHidden="0" w:uiPriority="0" w:unhideWhenUsed="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AA"/>
  </w:style>
  <w:style w:type="paragraph" w:styleId="Heading1">
    <w:name w:val="heading 1"/>
    <w:basedOn w:val="Normal"/>
    <w:next w:val="Normal"/>
    <w:link w:val="Heading1Char"/>
    <w:qFormat/>
    <w:locked/>
    <w:rsid w:val="00C328B1"/>
    <w:pPr>
      <w:keepNext/>
      <w:keepLines/>
      <w:jc w:val="center"/>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uiPriority w:val="99"/>
    <w:qFormat/>
    <w:rsid w:val="00DA0EAA"/>
    <w:pPr>
      <w:keepNext/>
      <w:tabs>
        <w:tab w:val="left" w:pos="720"/>
      </w:tabs>
      <w:spacing w:line="480" w:lineRule="auto"/>
      <w:outlineLvl w:val="1"/>
    </w:pPr>
    <w:rPr>
      <w:b/>
      <w:sz w:val="24"/>
    </w:rPr>
  </w:style>
  <w:style w:type="paragraph" w:styleId="Heading5">
    <w:name w:val="heading 5"/>
    <w:basedOn w:val="Normal"/>
    <w:next w:val="Normal"/>
    <w:link w:val="Heading5Char"/>
    <w:semiHidden/>
    <w:unhideWhenUsed/>
    <w:qFormat/>
    <w:locked/>
    <w:rsid w:val="00FE4E2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E1027"/>
    <w:rPr>
      <w:rFonts w:ascii="Cambria" w:hAnsi="Cambria" w:cs="Times New Roman"/>
      <w:b/>
      <w:bCs/>
      <w:i/>
      <w:iCs/>
      <w:sz w:val="28"/>
      <w:szCs w:val="28"/>
    </w:rPr>
  </w:style>
  <w:style w:type="paragraph" w:styleId="BalloonText">
    <w:name w:val="Balloon Text"/>
    <w:basedOn w:val="Normal"/>
    <w:link w:val="BalloonTextChar"/>
    <w:uiPriority w:val="99"/>
    <w:semiHidden/>
    <w:rsid w:val="00074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027"/>
    <w:rPr>
      <w:rFonts w:ascii="Tahoma" w:hAnsi="Tahoma" w:cs="Tahoma"/>
      <w:sz w:val="16"/>
      <w:szCs w:val="16"/>
    </w:rPr>
  </w:style>
  <w:style w:type="character" w:styleId="LineNumber">
    <w:name w:val="line number"/>
    <w:basedOn w:val="DefaultParagraphFont"/>
    <w:uiPriority w:val="99"/>
    <w:rsid w:val="00DA0EAA"/>
    <w:rPr>
      <w:rFonts w:ascii="Times New Roman" w:hAnsi="Times New Roman" w:cs="Times New Roman"/>
      <w:sz w:val="24"/>
    </w:rPr>
  </w:style>
  <w:style w:type="paragraph" w:styleId="BodyTextIndent">
    <w:name w:val="Body Text Indent"/>
    <w:basedOn w:val="Normal"/>
    <w:link w:val="BodyTextIndentChar"/>
    <w:rsid w:val="00DA0EAA"/>
    <w:pPr>
      <w:tabs>
        <w:tab w:val="left" w:pos="720"/>
      </w:tabs>
      <w:spacing w:line="480" w:lineRule="auto"/>
      <w:ind w:left="720" w:hanging="720"/>
      <w:jc w:val="both"/>
    </w:pPr>
    <w:rPr>
      <w:sz w:val="24"/>
    </w:rPr>
  </w:style>
  <w:style w:type="character" w:customStyle="1" w:styleId="BodyTextIndentChar">
    <w:name w:val="Body Text Indent Char"/>
    <w:basedOn w:val="DefaultParagraphFont"/>
    <w:link w:val="BodyTextIndent"/>
    <w:locked/>
    <w:rsid w:val="003E1027"/>
    <w:rPr>
      <w:rFonts w:cs="Times New Roman"/>
      <w:sz w:val="20"/>
      <w:szCs w:val="20"/>
    </w:rPr>
  </w:style>
  <w:style w:type="paragraph" w:styleId="BodyTextIndent2">
    <w:name w:val="Body Text Indent 2"/>
    <w:basedOn w:val="Normal"/>
    <w:link w:val="BodyTextIndent2Char"/>
    <w:uiPriority w:val="99"/>
    <w:rsid w:val="00DA0EAA"/>
    <w:pPr>
      <w:tabs>
        <w:tab w:val="left" w:pos="720"/>
      </w:tabs>
      <w:spacing w:line="480" w:lineRule="auto"/>
      <w:ind w:left="720" w:hanging="720"/>
    </w:pPr>
    <w:rPr>
      <w:sz w:val="24"/>
    </w:rPr>
  </w:style>
  <w:style w:type="character" w:customStyle="1" w:styleId="BodyTextIndent2Char">
    <w:name w:val="Body Text Indent 2 Char"/>
    <w:basedOn w:val="DefaultParagraphFont"/>
    <w:link w:val="BodyTextIndent2"/>
    <w:uiPriority w:val="99"/>
    <w:locked/>
    <w:rsid w:val="003E1027"/>
    <w:rPr>
      <w:rFonts w:cs="Times New Roman"/>
      <w:sz w:val="20"/>
      <w:szCs w:val="20"/>
    </w:rPr>
  </w:style>
  <w:style w:type="paragraph" w:styleId="DocumentMap">
    <w:name w:val="Document Map"/>
    <w:basedOn w:val="Normal"/>
    <w:link w:val="DocumentMapChar"/>
    <w:uiPriority w:val="99"/>
    <w:semiHidden/>
    <w:rsid w:val="00A77F7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E1027"/>
    <w:rPr>
      <w:rFonts w:ascii="Tahoma" w:hAnsi="Tahoma" w:cs="Tahoma"/>
      <w:sz w:val="16"/>
      <w:szCs w:val="16"/>
    </w:rPr>
  </w:style>
  <w:style w:type="paragraph" w:styleId="Closing">
    <w:name w:val="Closing"/>
    <w:basedOn w:val="Normal"/>
    <w:link w:val="ClosingChar"/>
    <w:uiPriority w:val="99"/>
    <w:rsid w:val="001944AA"/>
    <w:pPr>
      <w:ind w:left="4320"/>
    </w:pPr>
  </w:style>
  <w:style w:type="character" w:customStyle="1" w:styleId="ClosingChar">
    <w:name w:val="Closing Char"/>
    <w:basedOn w:val="DefaultParagraphFont"/>
    <w:link w:val="Closing"/>
    <w:uiPriority w:val="99"/>
    <w:semiHidden/>
    <w:locked/>
    <w:rsid w:val="003E1027"/>
    <w:rPr>
      <w:rFonts w:cs="Times New Roman"/>
      <w:sz w:val="20"/>
      <w:szCs w:val="20"/>
    </w:rPr>
  </w:style>
  <w:style w:type="paragraph" w:styleId="BodyText3">
    <w:name w:val="Body Text 3"/>
    <w:basedOn w:val="Normal"/>
    <w:link w:val="BodyText3Char"/>
    <w:uiPriority w:val="99"/>
    <w:rsid w:val="003D161C"/>
    <w:pPr>
      <w:spacing w:after="120"/>
    </w:pPr>
    <w:rPr>
      <w:sz w:val="16"/>
      <w:szCs w:val="16"/>
    </w:rPr>
  </w:style>
  <w:style w:type="character" w:customStyle="1" w:styleId="BodyText3Char">
    <w:name w:val="Body Text 3 Char"/>
    <w:basedOn w:val="DefaultParagraphFont"/>
    <w:link w:val="BodyText3"/>
    <w:uiPriority w:val="99"/>
    <w:semiHidden/>
    <w:locked/>
    <w:rsid w:val="003E1027"/>
    <w:rPr>
      <w:rFonts w:cs="Times New Roman"/>
      <w:sz w:val="16"/>
      <w:szCs w:val="16"/>
    </w:rPr>
  </w:style>
  <w:style w:type="character" w:styleId="CommentReference">
    <w:name w:val="annotation reference"/>
    <w:basedOn w:val="DefaultParagraphFont"/>
    <w:uiPriority w:val="99"/>
    <w:semiHidden/>
    <w:rsid w:val="00074240"/>
    <w:rPr>
      <w:rFonts w:cs="Times New Roman"/>
      <w:sz w:val="16"/>
      <w:szCs w:val="16"/>
    </w:rPr>
  </w:style>
  <w:style w:type="paragraph" w:styleId="CommentText">
    <w:name w:val="annotation text"/>
    <w:basedOn w:val="Normal"/>
    <w:link w:val="CommentTextChar"/>
    <w:uiPriority w:val="99"/>
    <w:rsid w:val="00074240"/>
  </w:style>
  <w:style w:type="character" w:customStyle="1" w:styleId="CommentTextChar">
    <w:name w:val="Comment Text Char"/>
    <w:basedOn w:val="DefaultParagraphFont"/>
    <w:link w:val="CommentText"/>
    <w:uiPriority w:val="99"/>
    <w:locked/>
    <w:rsid w:val="00072D57"/>
    <w:rPr>
      <w:rFonts w:cs="Times New Roman"/>
      <w:lang w:val="en-US" w:eastAsia="en-US" w:bidi="ar-SA"/>
    </w:rPr>
  </w:style>
  <w:style w:type="paragraph" w:styleId="CommentSubject">
    <w:name w:val="annotation subject"/>
    <w:basedOn w:val="CommentText"/>
    <w:next w:val="CommentText"/>
    <w:link w:val="CommentSubjectChar"/>
    <w:uiPriority w:val="99"/>
    <w:semiHidden/>
    <w:rsid w:val="00074240"/>
    <w:rPr>
      <w:b/>
      <w:bCs/>
    </w:rPr>
  </w:style>
  <w:style w:type="character" w:customStyle="1" w:styleId="CommentSubjectChar">
    <w:name w:val="Comment Subject Char"/>
    <w:basedOn w:val="CommentTextChar"/>
    <w:link w:val="CommentSubject"/>
    <w:uiPriority w:val="99"/>
    <w:semiHidden/>
    <w:locked/>
    <w:rsid w:val="003E1027"/>
    <w:rPr>
      <w:rFonts w:cs="Times New Roman"/>
      <w:b/>
      <w:bCs/>
      <w:sz w:val="20"/>
      <w:szCs w:val="20"/>
      <w:lang w:val="en-US" w:eastAsia="en-US" w:bidi="ar-SA"/>
    </w:rPr>
  </w:style>
  <w:style w:type="paragraph" w:styleId="Header">
    <w:name w:val="header"/>
    <w:basedOn w:val="Normal"/>
    <w:link w:val="HeaderChar"/>
    <w:rsid w:val="001C1EC2"/>
    <w:pPr>
      <w:tabs>
        <w:tab w:val="center" w:pos="4320"/>
        <w:tab w:val="right" w:pos="8640"/>
      </w:tabs>
    </w:pPr>
  </w:style>
  <w:style w:type="character" w:customStyle="1" w:styleId="HeaderChar">
    <w:name w:val="Header Char"/>
    <w:basedOn w:val="DefaultParagraphFont"/>
    <w:link w:val="Header"/>
    <w:semiHidden/>
    <w:locked/>
    <w:rsid w:val="003E1027"/>
    <w:rPr>
      <w:rFonts w:cs="Times New Roman"/>
      <w:sz w:val="20"/>
      <w:szCs w:val="20"/>
    </w:rPr>
  </w:style>
  <w:style w:type="paragraph" w:styleId="Footer">
    <w:name w:val="footer"/>
    <w:basedOn w:val="Normal"/>
    <w:link w:val="FooterChar"/>
    <w:uiPriority w:val="99"/>
    <w:rsid w:val="001C1EC2"/>
    <w:pPr>
      <w:tabs>
        <w:tab w:val="center" w:pos="4320"/>
        <w:tab w:val="right" w:pos="8640"/>
      </w:tabs>
    </w:pPr>
  </w:style>
  <w:style w:type="character" w:customStyle="1" w:styleId="FooterChar">
    <w:name w:val="Footer Char"/>
    <w:basedOn w:val="DefaultParagraphFont"/>
    <w:link w:val="Footer"/>
    <w:uiPriority w:val="99"/>
    <w:semiHidden/>
    <w:locked/>
    <w:rsid w:val="003E1027"/>
    <w:rPr>
      <w:rFonts w:cs="Times New Roman"/>
      <w:sz w:val="20"/>
      <w:szCs w:val="20"/>
    </w:rPr>
  </w:style>
  <w:style w:type="character" w:styleId="PageNumber">
    <w:name w:val="page number"/>
    <w:basedOn w:val="DefaultParagraphFont"/>
    <w:uiPriority w:val="99"/>
    <w:rsid w:val="001C1EC2"/>
    <w:rPr>
      <w:rFonts w:cs="Times New Roman"/>
    </w:rPr>
  </w:style>
  <w:style w:type="table" w:styleId="TableGrid">
    <w:name w:val="Table Grid"/>
    <w:basedOn w:val="TableNormal"/>
    <w:uiPriority w:val="99"/>
    <w:rsid w:val="0017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uiPriority w:val="99"/>
    <w:rsid w:val="00EE7174"/>
    <w:pPr>
      <w:spacing w:after="160" w:line="240" w:lineRule="exact"/>
    </w:pPr>
    <w:rPr>
      <w:rFonts w:ascii="Verdana" w:hAnsi="Verdana"/>
    </w:rPr>
  </w:style>
  <w:style w:type="paragraph" w:styleId="BodyTextIndent3">
    <w:name w:val="Body Text Indent 3"/>
    <w:basedOn w:val="Normal"/>
    <w:link w:val="BodyTextIndent3Char"/>
    <w:uiPriority w:val="99"/>
    <w:rsid w:val="00BD003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E1027"/>
    <w:rPr>
      <w:rFonts w:cs="Times New Roman"/>
      <w:sz w:val="16"/>
      <w:szCs w:val="16"/>
    </w:rPr>
  </w:style>
  <w:style w:type="paragraph" w:customStyle="1" w:styleId="CharCharCharCharCharChar">
    <w:name w:val="Char Char Char Char Char Char"/>
    <w:basedOn w:val="Normal"/>
    <w:uiPriority w:val="99"/>
    <w:rsid w:val="0028373A"/>
    <w:pPr>
      <w:widowControl w:val="0"/>
      <w:adjustRightInd w:val="0"/>
      <w:spacing w:after="160" w:line="240" w:lineRule="exact"/>
      <w:jc w:val="both"/>
      <w:textAlignment w:val="baseline"/>
    </w:pPr>
    <w:rPr>
      <w:rFonts w:ascii="Verdana" w:hAnsi="Verdana"/>
    </w:rPr>
  </w:style>
  <w:style w:type="paragraph" w:customStyle="1" w:styleId="CharChar">
    <w:name w:val="Char Char"/>
    <w:basedOn w:val="Normal"/>
    <w:uiPriority w:val="99"/>
    <w:rsid w:val="007D7539"/>
    <w:pPr>
      <w:widowControl w:val="0"/>
      <w:adjustRightInd w:val="0"/>
      <w:spacing w:after="160" w:line="240" w:lineRule="exact"/>
      <w:jc w:val="both"/>
      <w:textAlignment w:val="baseline"/>
    </w:pPr>
    <w:rPr>
      <w:rFonts w:ascii="Verdana" w:hAnsi="Verdana"/>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ALTS FOOTNOTE Char,fn"/>
    <w:basedOn w:val="Normal"/>
    <w:link w:val="FootnoteTextChar"/>
    <w:qFormat/>
    <w:rsid w:val="0024446F"/>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locked/>
    <w:rsid w:val="003E1027"/>
    <w:rPr>
      <w:rFonts w:cs="Times New Roman"/>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qFormat/>
    <w:rsid w:val="0024446F"/>
    <w:rPr>
      <w:rFonts w:cs="Times New Roman"/>
      <w:vertAlign w:val="superscript"/>
    </w:rPr>
  </w:style>
  <w:style w:type="paragraph" w:styleId="ListParagraph">
    <w:name w:val="List Paragraph"/>
    <w:basedOn w:val="Normal"/>
    <w:uiPriority w:val="34"/>
    <w:qFormat/>
    <w:rsid w:val="00632935"/>
    <w:pPr>
      <w:spacing w:after="200" w:line="276" w:lineRule="auto"/>
      <w:ind w:left="720"/>
      <w:contextualSpacing/>
    </w:pPr>
    <w:rPr>
      <w:rFonts w:ascii="Calibri" w:hAnsi="Calibri"/>
      <w:sz w:val="22"/>
      <w:szCs w:val="22"/>
    </w:rPr>
  </w:style>
  <w:style w:type="paragraph" w:styleId="BodyText2">
    <w:name w:val="Body Text 2"/>
    <w:basedOn w:val="Normal"/>
    <w:link w:val="BodyText2Char"/>
    <w:uiPriority w:val="99"/>
    <w:rsid w:val="00632935"/>
    <w:pPr>
      <w:spacing w:after="120" w:line="480" w:lineRule="auto"/>
    </w:pPr>
    <w:rPr>
      <w:rFonts w:ascii="Calibri" w:hAnsi="Calibri"/>
      <w:sz w:val="22"/>
      <w:szCs w:val="22"/>
    </w:rPr>
  </w:style>
  <w:style w:type="character" w:customStyle="1" w:styleId="BodyText2Char">
    <w:name w:val="Body Text 2 Char"/>
    <w:basedOn w:val="DefaultParagraphFont"/>
    <w:link w:val="BodyText2"/>
    <w:uiPriority w:val="99"/>
    <w:locked/>
    <w:rsid w:val="00632935"/>
    <w:rPr>
      <w:rFonts w:ascii="Calibri" w:eastAsia="Times New Roman" w:hAnsi="Calibri" w:cs="Times New Roman"/>
      <w:sz w:val="22"/>
      <w:szCs w:val="22"/>
    </w:rPr>
  </w:style>
  <w:style w:type="table" w:customStyle="1" w:styleId="LightList1">
    <w:name w:val="Light List1"/>
    <w:basedOn w:val="TableNormal"/>
    <w:uiPriority w:val="99"/>
    <w:rsid w:val="00632935"/>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harChar10">
    <w:name w:val="Char Char10"/>
    <w:basedOn w:val="DefaultParagraphFont"/>
    <w:uiPriority w:val="99"/>
    <w:semiHidden/>
    <w:rsid w:val="00C02901"/>
    <w:rPr>
      <w:rFonts w:cs="Times New Roman"/>
      <w:sz w:val="20"/>
      <w:szCs w:val="20"/>
    </w:rPr>
  </w:style>
  <w:style w:type="paragraph" w:styleId="Revision">
    <w:name w:val="Revision"/>
    <w:hidden/>
    <w:uiPriority w:val="99"/>
    <w:semiHidden/>
    <w:rsid w:val="00EA46DD"/>
  </w:style>
  <w:style w:type="paragraph" w:customStyle="1" w:styleId="CharCharCharCharCharChar0">
    <w:name w:val="Char Char Char Char Char Char"/>
    <w:basedOn w:val="Normal"/>
    <w:rsid w:val="00C1343F"/>
    <w:pPr>
      <w:widowControl w:val="0"/>
      <w:adjustRightInd w:val="0"/>
      <w:spacing w:after="160" w:line="240" w:lineRule="exact"/>
      <w:jc w:val="both"/>
      <w:textAlignment w:val="baseline"/>
    </w:pPr>
    <w:rPr>
      <w:rFonts w:ascii="Verdana" w:hAnsi="Verdana"/>
    </w:rPr>
  </w:style>
  <w:style w:type="paragraph" w:styleId="EndnoteText">
    <w:name w:val="endnote text"/>
    <w:basedOn w:val="Normal"/>
    <w:link w:val="EndnoteTextChar"/>
    <w:uiPriority w:val="99"/>
    <w:semiHidden/>
    <w:unhideWhenUsed/>
    <w:rsid w:val="005633F3"/>
  </w:style>
  <w:style w:type="character" w:customStyle="1" w:styleId="EndnoteTextChar">
    <w:name w:val="Endnote Text Char"/>
    <w:basedOn w:val="DefaultParagraphFont"/>
    <w:link w:val="EndnoteText"/>
    <w:uiPriority w:val="99"/>
    <w:semiHidden/>
    <w:rsid w:val="005633F3"/>
  </w:style>
  <w:style w:type="character" w:styleId="EndnoteReference">
    <w:name w:val="endnote reference"/>
    <w:basedOn w:val="DefaultParagraphFont"/>
    <w:uiPriority w:val="99"/>
    <w:semiHidden/>
    <w:unhideWhenUsed/>
    <w:rsid w:val="005633F3"/>
    <w:rPr>
      <w:vertAlign w:val="superscript"/>
    </w:rPr>
  </w:style>
  <w:style w:type="paragraph" w:customStyle="1" w:styleId="Default">
    <w:name w:val="Default"/>
    <w:rsid w:val="00D342E6"/>
    <w:pPr>
      <w:autoSpaceDE w:val="0"/>
      <w:autoSpaceDN w:val="0"/>
      <w:adjustRightInd w:val="0"/>
    </w:pPr>
    <w:rPr>
      <w:color w:val="000000"/>
      <w:sz w:val="24"/>
      <w:szCs w:val="24"/>
    </w:rPr>
  </w:style>
  <w:style w:type="paragraph" w:customStyle="1" w:styleId="testimony">
    <w:name w:val="testimony"/>
    <w:basedOn w:val="Normal"/>
    <w:rsid w:val="00465DF0"/>
    <w:pPr>
      <w:tabs>
        <w:tab w:val="left" w:pos="720"/>
        <w:tab w:val="left" w:pos="2160"/>
      </w:tabs>
      <w:spacing w:line="440" w:lineRule="atLeast"/>
      <w:ind w:hanging="360"/>
    </w:pPr>
    <w:rPr>
      <w:rFonts w:ascii="Times" w:hAnsi="Times"/>
      <w:sz w:val="24"/>
    </w:rPr>
  </w:style>
  <w:style w:type="paragraph" w:styleId="BodyText">
    <w:name w:val="Body Text"/>
    <w:basedOn w:val="Normal"/>
    <w:link w:val="BodyTextChar"/>
    <w:uiPriority w:val="99"/>
    <w:semiHidden/>
    <w:unhideWhenUsed/>
    <w:rsid w:val="00A359A0"/>
    <w:pPr>
      <w:spacing w:after="120"/>
    </w:pPr>
  </w:style>
  <w:style w:type="character" w:customStyle="1" w:styleId="BodyTextChar">
    <w:name w:val="Body Text Char"/>
    <w:basedOn w:val="DefaultParagraphFont"/>
    <w:link w:val="BodyText"/>
    <w:uiPriority w:val="99"/>
    <w:semiHidden/>
    <w:rsid w:val="00A359A0"/>
  </w:style>
  <w:style w:type="character" w:customStyle="1" w:styleId="apple-converted-space">
    <w:name w:val="apple-converted-space"/>
    <w:basedOn w:val="DefaultParagraphFont"/>
    <w:rsid w:val="00611442"/>
  </w:style>
  <w:style w:type="character" w:customStyle="1" w:styleId="Heading1Char">
    <w:name w:val="Heading 1 Char"/>
    <w:basedOn w:val="DefaultParagraphFont"/>
    <w:link w:val="Heading1"/>
    <w:rsid w:val="00C328B1"/>
    <w:rPr>
      <w:rFonts w:ascii="Times New Roman Bold" w:eastAsiaTheme="majorEastAsia" w:hAnsi="Times New Roman Bold" w:cstheme="majorBidi"/>
      <w:b/>
      <w:bCs/>
      <w:caps/>
      <w:sz w:val="24"/>
      <w:szCs w:val="28"/>
    </w:rPr>
  </w:style>
  <w:style w:type="character" w:styleId="Hyperlink">
    <w:name w:val="Hyperlink"/>
    <w:basedOn w:val="DefaultParagraphFont"/>
    <w:uiPriority w:val="99"/>
    <w:rsid w:val="0026152A"/>
    <w:rPr>
      <w:color w:val="0000FF"/>
      <w:u w:val="single"/>
    </w:rPr>
  </w:style>
  <w:style w:type="character" w:customStyle="1" w:styleId="Heading5Char">
    <w:name w:val="Heading 5 Char"/>
    <w:basedOn w:val="DefaultParagraphFont"/>
    <w:link w:val="Heading5"/>
    <w:uiPriority w:val="99"/>
    <w:rsid w:val="00FE4E24"/>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597D23"/>
    <w:rPr>
      <w:color w:val="800080" w:themeColor="followedHyperlink"/>
      <w:u w:val="single"/>
    </w:rPr>
  </w:style>
  <w:style w:type="paragraph" w:styleId="TOCHeading">
    <w:name w:val="TOC Heading"/>
    <w:basedOn w:val="Heading1"/>
    <w:next w:val="Normal"/>
    <w:uiPriority w:val="39"/>
    <w:semiHidden/>
    <w:unhideWhenUsed/>
    <w:qFormat/>
    <w:rsid w:val="004116FB"/>
    <w:pPr>
      <w:spacing w:before="480" w:line="276" w:lineRule="auto"/>
      <w:jc w:val="left"/>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locked/>
    <w:rsid w:val="004116FB"/>
    <w:pPr>
      <w:spacing w:after="100"/>
    </w:pPr>
  </w:style>
  <w:style w:type="paragraph" w:styleId="TOC2">
    <w:name w:val="toc 2"/>
    <w:basedOn w:val="Normal"/>
    <w:next w:val="Normal"/>
    <w:autoRedefine/>
    <w:uiPriority w:val="39"/>
    <w:locked/>
    <w:rsid w:val="00573168"/>
    <w:pPr>
      <w:tabs>
        <w:tab w:val="right" w:leader="dot" w:pos="8990"/>
      </w:tabs>
      <w:spacing w:after="10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annotation text" w:locked="1" w:semiHidden="0" w:unhideWhenUsed="0"/>
    <w:lsdException w:name="header" w:uiPriority="0"/>
    <w:lsdException w:name="caption" w:locked="1" w:uiPriority="0" w:qFormat="1"/>
    <w:lsdException w:name="footnote reference" w:locked="1" w:semiHidden="0" w:uiPriority="0" w:unhideWhenUsed="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AA"/>
  </w:style>
  <w:style w:type="paragraph" w:styleId="Heading1">
    <w:name w:val="heading 1"/>
    <w:basedOn w:val="Normal"/>
    <w:next w:val="Normal"/>
    <w:link w:val="Heading1Char"/>
    <w:qFormat/>
    <w:locked/>
    <w:rsid w:val="00C328B1"/>
    <w:pPr>
      <w:keepNext/>
      <w:keepLines/>
      <w:jc w:val="center"/>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uiPriority w:val="99"/>
    <w:qFormat/>
    <w:rsid w:val="00DA0EAA"/>
    <w:pPr>
      <w:keepNext/>
      <w:tabs>
        <w:tab w:val="left" w:pos="720"/>
      </w:tabs>
      <w:spacing w:line="480" w:lineRule="auto"/>
      <w:outlineLvl w:val="1"/>
    </w:pPr>
    <w:rPr>
      <w:b/>
      <w:sz w:val="24"/>
    </w:rPr>
  </w:style>
  <w:style w:type="paragraph" w:styleId="Heading5">
    <w:name w:val="heading 5"/>
    <w:basedOn w:val="Normal"/>
    <w:next w:val="Normal"/>
    <w:link w:val="Heading5Char"/>
    <w:semiHidden/>
    <w:unhideWhenUsed/>
    <w:qFormat/>
    <w:locked/>
    <w:rsid w:val="00FE4E2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E1027"/>
    <w:rPr>
      <w:rFonts w:ascii="Cambria" w:hAnsi="Cambria" w:cs="Times New Roman"/>
      <w:b/>
      <w:bCs/>
      <w:i/>
      <w:iCs/>
      <w:sz w:val="28"/>
      <w:szCs w:val="28"/>
    </w:rPr>
  </w:style>
  <w:style w:type="paragraph" w:styleId="BalloonText">
    <w:name w:val="Balloon Text"/>
    <w:basedOn w:val="Normal"/>
    <w:link w:val="BalloonTextChar"/>
    <w:uiPriority w:val="99"/>
    <w:semiHidden/>
    <w:rsid w:val="00074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027"/>
    <w:rPr>
      <w:rFonts w:ascii="Tahoma" w:hAnsi="Tahoma" w:cs="Tahoma"/>
      <w:sz w:val="16"/>
      <w:szCs w:val="16"/>
    </w:rPr>
  </w:style>
  <w:style w:type="character" w:styleId="LineNumber">
    <w:name w:val="line number"/>
    <w:basedOn w:val="DefaultParagraphFont"/>
    <w:uiPriority w:val="99"/>
    <w:rsid w:val="00DA0EAA"/>
    <w:rPr>
      <w:rFonts w:ascii="Times New Roman" w:hAnsi="Times New Roman" w:cs="Times New Roman"/>
      <w:sz w:val="24"/>
    </w:rPr>
  </w:style>
  <w:style w:type="paragraph" w:styleId="BodyTextIndent">
    <w:name w:val="Body Text Indent"/>
    <w:basedOn w:val="Normal"/>
    <w:link w:val="BodyTextIndentChar"/>
    <w:rsid w:val="00DA0EAA"/>
    <w:pPr>
      <w:tabs>
        <w:tab w:val="left" w:pos="720"/>
      </w:tabs>
      <w:spacing w:line="480" w:lineRule="auto"/>
      <w:ind w:left="720" w:hanging="720"/>
      <w:jc w:val="both"/>
    </w:pPr>
    <w:rPr>
      <w:sz w:val="24"/>
    </w:rPr>
  </w:style>
  <w:style w:type="character" w:customStyle="1" w:styleId="BodyTextIndentChar">
    <w:name w:val="Body Text Indent Char"/>
    <w:basedOn w:val="DefaultParagraphFont"/>
    <w:link w:val="BodyTextIndent"/>
    <w:locked/>
    <w:rsid w:val="003E1027"/>
    <w:rPr>
      <w:rFonts w:cs="Times New Roman"/>
      <w:sz w:val="20"/>
      <w:szCs w:val="20"/>
    </w:rPr>
  </w:style>
  <w:style w:type="paragraph" w:styleId="BodyTextIndent2">
    <w:name w:val="Body Text Indent 2"/>
    <w:basedOn w:val="Normal"/>
    <w:link w:val="BodyTextIndent2Char"/>
    <w:uiPriority w:val="99"/>
    <w:rsid w:val="00DA0EAA"/>
    <w:pPr>
      <w:tabs>
        <w:tab w:val="left" w:pos="720"/>
      </w:tabs>
      <w:spacing w:line="480" w:lineRule="auto"/>
      <w:ind w:left="720" w:hanging="720"/>
    </w:pPr>
    <w:rPr>
      <w:sz w:val="24"/>
    </w:rPr>
  </w:style>
  <w:style w:type="character" w:customStyle="1" w:styleId="BodyTextIndent2Char">
    <w:name w:val="Body Text Indent 2 Char"/>
    <w:basedOn w:val="DefaultParagraphFont"/>
    <w:link w:val="BodyTextIndent2"/>
    <w:uiPriority w:val="99"/>
    <w:locked/>
    <w:rsid w:val="003E1027"/>
    <w:rPr>
      <w:rFonts w:cs="Times New Roman"/>
      <w:sz w:val="20"/>
      <w:szCs w:val="20"/>
    </w:rPr>
  </w:style>
  <w:style w:type="paragraph" w:styleId="DocumentMap">
    <w:name w:val="Document Map"/>
    <w:basedOn w:val="Normal"/>
    <w:link w:val="DocumentMapChar"/>
    <w:uiPriority w:val="99"/>
    <w:semiHidden/>
    <w:rsid w:val="00A77F7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E1027"/>
    <w:rPr>
      <w:rFonts w:ascii="Tahoma" w:hAnsi="Tahoma" w:cs="Tahoma"/>
      <w:sz w:val="16"/>
      <w:szCs w:val="16"/>
    </w:rPr>
  </w:style>
  <w:style w:type="paragraph" w:styleId="Closing">
    <w:name w:val="Closing"/>
    <w:basedOn w:val="Normal"/>
    <w:link w:val="ClosingChar"/>
    <w:uiPriority w:val="99"/>
    <w:rsid w:val="001944AA"/>
    <w:pPr>
      <w:ind w:left="4320"/>
    </w:pPr>
  </w:style>
  <w:style w:type="character" w:customStyle="1" w:styleId="ClosingChar">
    <w:name w:val="Closing Char"/>
    <w:basedOn w:val="DefaultParagraphFont"/>
    <w:link w:val="Closing"/>
    <w:uiPriority w:val="99"/>
    <w:semiHidden/>
    <w:locked/>
    <w:rsid w:val="003E1027"/>
    <w:rPr>
      <w:rFonts w:cs="Times New Roman"/>
      <w:sz w:val="20"/>
      <w:szCs w:val="20"/>
    </w:rPr>
  </w:style>
  <w:style w:type="paragraph" w:styleId="BodyText3">
    <w:name w:val="Body Text 3"/>
    <w:basedOn w:val="Normal"/>
    <w:link w:val="BodyText3Char"/>
    <w:uiPriority w:val="99"/>
    <w:rsid w:val="003D161C"/>
    <w:pPr>
      <w:spacing w:after="120"/>
    </w:pPr>
    <w:rPr>
      <w:sz w:val="16"/>
      <w:szCs w:val="16"/>
    </w:rPr>
  </w:style>
  <w:style w:type="character" w:customStyle="1" w:styleId="BodyText3Char">
    <w:name w:val="Body Text 3 Char"/>
    <w:basedOn w:val="DefaultParagraphFont"/>
    <w:link w:val="BodyText3"/>
    <w:uiPriority w:val="99"/>
    <w:semiHidden/>
    <w:locked/>
    <w:rsid w:val="003E1027"/>
    <w:rPr>
      <w:rFonts w:cs="Times New Roman"/>
      <w:sz w:val="16"/>
      <w:szCs w:val="16"/>
    </w:rPr>
  </w:style>
  <w:style w:type="character" w:styleId="CommentReference">
    <w:name w:val="annotation reference"/>
    <w:basedOn w:val="DefaultParagraphFont"/>
    <w:uiPriority w:val="99"/>
    <w:semiHidden/>
    <w:rsid w:val="00074240"/>
    <w:rPr>
      <w:rFonts w:cs="Times New Roman"/>
      <w:sz w:val="16"/>
      <w:szCs w:val="16"/>
    </w:rPr>
  </w:style>
  <w:style w:type="paragraph" w:styleId="CommentText">
    <w:name w:val="annotation text"/>
    <w:basedOn w:val="Normal"/>
    <w:link w:val="CommentTextChar"/>
    <w:uiPriority w:val="99"/>
    <w:rsid w:val="00074240"/>
  </w:style>
  <w:style w:type="character" w:customStyle="1" w:styleId="CommentTextChar">
    <w:name w:val="Comment Text Char"/>
    <w:basedOn w:val="DefaultParagraphFont"/>
    <w:link w:val="CommentText"/>
    <w:uiPriority w:val="99"/>
    <w:locked/>
    <w:rsid w:val="00072D57"/>
    <w:rPr>
      <w:rFonts w:cs="Times New Roman"/>
      <w:lang w:val="en-US" w:eastAsia="en-US" w:bidi="ar-SA"/>
    </w:rPr>
  </w:style>
  <w:style w:type="paragraph" w:styleId="CommentSubject">
    <w:name w:val="annotation subject"/>
    <w:basedOn w:val="CommentText"/>
    <w:next w:val="CommentText"/>
    <w:link w:val="CommentSubjectChar"/>
    <w:uiPriority w:val="99"/>
    <w:semiHidden/>
    <w:rsid w:val="00074240"/>
    <w:rPr>
      <w:b/>
      <w:bCs/>
    </w:rPr>
  </w:style>
  <w:style w:type="character" w:customStyle="1" w:styleId="CommentSubjectChar">
    <w:name w:val="Comment Subject Char"/>
    <w:basedOn w:val="CommentTextChar"/>
    <w:link w:val="CommentSubject"/>
    <w:uiPriority w:val="99"/>
    <w:semiHidden/>
    <w:locked/>
    <w:rsid w:val="003E1027"/>
    <w:rPr>
      <w:rFonts w:cs="Times New Roman"/>
      <w:b/>
      <w:bCs/>
      <w:sz w:val="20"/>
      <w:szCs w:val="20"/>
      <w:lang w:val="en-US" w:eastAsia="en-US" w:bidi="ar-SA"/>
    </w:rPr>
  </w:style>
  <w:style w:type="paragraph" w:styleId="Header">
    <w:name w:val="header"/>
    <w:basedOn w:val="Normal"/>
    <w:link w:val="HeaderChar"/>
    <w:rsid w:val="001C1EC2"/>
    <w:pPr>
      <w:tabs>
        <w:tab w:val="center" w:pos="4320"/>
        <w:tab w:val="right" w:pos="8640"/>
      </w:tabs>
    </w:pPr>
  </w:style>
  <w:style w:type="character" w:customStyle="1" w:styleId="HeaderChar">
    <w:name w:val="Header Char"/>
    <w:basedOn w:val="DefaultParagraphFont"/>
    <w:link w:val="Header"/>
    <w:semiHidden/>
    <w:locked/>
    <w:rsid w:val="003E1027"/>
    <w:rPr>
      <w:rFonts w:cs="Times New Roman"/>
      <w:sz w:val="20"/>
      <w:szCs w:val="20"/>
    </w:rPr>
  </w:style>
  <w:style w:type="paragraph" w:styleId="Footer">
    <w:name w:val="footer"/>
    <w:basedOn w:val="Normal"/>
    <w:link w:val="FooterChar"/>
    <w:uiPriority w:val="99"/>
    <w:rsid w:val="001C1EC2"/>
    <w:pPr>
      <w:tabs>
        <w:tab w:val="center" w:pos="4320"/>
        <w:tab w:val="right" w:pos="8640"/>
      </w:tabs>
    </w:pPr>
  </w:style>
  <w:style w:type="character" w:customStyle="1" w:styleId="FooterChar">
    <w:name w:val="Footer Char"/>
    <w:basedOn w:val="DefaultParagraphFont"/>
    <w:link w:val="Footer"/>
    <w:uiPriority w:val="99"/>
    <w:semiHidden/>
    <w:locked/>
    <w:rsid w:val="003E1027"/>
    <w:rPr>
      <w:rFonts w:cs="Times New Roman"/>
      <w:sz w:val="20"/>
      <w:szCs w:val="20"/>
    </w:rPr>
  </w:style>
  <w:style w:type="character" w:styleId="PageNumber">
    <w:name w:val="page number"/>
    <w:basedOn w:val="DefaultParagraphFont"/>
    <w:uiPriority w:val="99"/>
    <w:rsid w:val="001C1EC2"/>
    <w:rPr>
      <w:rFonts w:cs="Times New Roman"/>
    </w:rPr>
  </w:style>
  <w:style w:type="table" w:styleId="TableGrid">
    <w:name w:val="Table Grid"/>
    <w:basedOn w:val="TableNormal"/>
    <w:uiPriority w:val="99"/>
    <w:rsid w:val="0017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uiPriority w:val="99"/>
    <w:rsid w:val="00EE7174"/>
    <w:pPr>
      <w:spacing w:after="160" w:line="240" w:lineRule="exact"/>
    </w:pPr>
    <w:rPr>
      <w:rFonts w:ascii="Verdana" w:hAnsi="Verdana"/>
    </w:rPr>
  </w:style>
  <w:style w:type="paragraph" w:styleId="BodyTextIndent3">
    <w:name w:val="Body Text Indent 3"/>
    <w:basedOn w:val="Normal"/>
    <w:link w:val="BodyTextIndent3Char"/>
    <w:uiPriority w:val="99"/>
    <w:rsid w:val="00BD003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E1027"/>
    <w:rPr>
      <w:rFonts w:cs="Times New Roman"/>
      <w:sz w:val="16"/>
      <w:szCs w:val="16"/>
    </w:rPr>
  </w:style>
  <w:style w:type="paragraph" w:customStyle="1" w:styleId="CharCharCharCharCharChar">
    <w:name w:val="Char Char Char Char Char Char"/>
    <w:basedOn w:val="Normal"/>
    <w:uiPriority w:val="99"/>
    <w:rsid w:val="0028373A"/>
    <w:pPr>
      <w:widowControl w:val="0"/>
      <w:adjustRightInd w:val="0"/>
      <w:spacing w:after="160" w:line="240" w:lineRule="exact"/>
      <w:jc w:val="both"/>
      <w:textAlignment w:val="baseline"/>
    </w:pPr>
    <w:rPr>
      <w:rFonts w:ascii="Verdana" w:hAnsi="Verdana"/>
    </w:rPr>
  </w:style>
  <w:style w:type="paragraph" w:customStyle="1" w:styleId="CharChar">
    <w:name w:val="Char Char"/>
    <w:basedOn w:val="Normal"/>
    <w:uiPriority w:val="99"/>
    <w:rsid w:val="007D7539"/>
    <w:pPr>
      <w:widowControl w:val="0"/>
      <w:adjustRightInd w:val="0"/>
      <w:spacing w:after="160" w:line="240" w:lineRule="exact"/>
      <w:jc w:val="both"/>
      <w:textAlignment w:val="baseline"/>
    </w:pPr>
    <w:rPr>
      <w:rFonts w:ascii="Verdana" w:hAnsi="Verdana"/>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ALTS FOOTNOTE Char,fn"/>
    <w:basedOn w:val="Normal"/>
    <w:link w:val="FootnoteTextChar"/>
    <w:qFormat/>
    <w:rsid w:val="0024446F"/>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locked/>
    <w:rsid w:val="003E1027"/>
    <w:rPr>
      <w:rFonts w:cs="Times New Roman"/>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qFormat/>
    <w:rsid w:val="0024446F"/>
    <w:rPr>
      <w:rFonts w:cs="Times New Roman"/>
      <w:vertAlign w:val="superscript"/>
    </w:rPr>
  </w:style>
  <w:style w:type="paragraph" w:styleId="ListParagraph">
    <w:name w:val="List Paragraph"/>
    <w:basedOn w:val="Normal"/>
    <w:uiPriority w:val="34"/>
    <w:qFormat/>
    <w:rsid w:val="00632935"/>
    <w:pPr>
      <w:spacing w:after="200" w:line="276" w:lineRule="auto"/>
      <w:ind w:left="720"/>
      <w:contextualSpacing/>
    </w:pPr>
    <w:rPr>
      <w:rFonts w:ascii="Calibri" w:hAnsi="Calibri"/>
      <w:sz w:val="22"/>
      <w:szCs w:val="22"/>
    </w:rPr>
  </w:style>
  <w:style w:type="paragraph" w:styleId="BodyText2">
    <w:name w:val="Body Text 2"/>
    <w:basedOn w:val="Normal"/>
    <w:link w:val="BodyText2Char"/>
    <w:uiPriority w:val="99"/>
    <w:rsid w:val="00632935"/>
    <w:pPr>
      <w:spacing w:after="120" w:line="480" w:lineRule="auto"/>
    </w:pPr>
    <w:rPr>
      <w:rFonts w:ascii="Calibri" w:hAnsi="Calibri"/>
      <w:sz w:val="22"/>
      <w:szCs w:val="22"/>
    </w:rPr>
  </w:style>
  <w:style w:type="character" w:customStyle="1" w:styleId="BodyText2Char">
    <w:name w:val="Body Text 2 Char"/>
    <w:basedOn w:val="DefaultParagraphFont"/>
    <w:link w:val="BodyText2"/>
    <w:uiPriority w:val="99"/>
    <w:locked/>
    <w:rsid w:val="00632935"/>
    <w:rPr>
      <w:rFonts w:ascii="Calibri" w:eastAsia="Times New Roman" w:hAnsi="Calibri" w:cs="Times New Roman"/>
      <w:sz w:val="22"/>
      <w:szCs w:val="22"/>
    </w:rPr>
  </w:style>
  <w:style w:type="table" w:customStyle="1" w:styleId="LightList1">
    <w:name w:val="Light List1"/>
    <w:basedOn w:val="TableNormal"/>
    <w:uiPriority w:val="99"/>
    <w:rsid w:val="00632935"/>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harChar10">
    <w:name w:val="Char Char10"/>
    <w:basedOn w:val="DefaultParagraphFont"/>
    <w:uiPriority w:val="99"/>
    <w:semiHidden/>
    <w:rsid w:val="00C02901"/>
    <w:rPr>
      <w:rFonts w:cs="Times New Roman"/>
      <w:sz w:val="20"/>
      <w:szCs w:val="20"/>
    </w:rPr>
  </w:style>
  <w:style w:type="paragraph" w:styleId="Revision">
    <w:name w:val="Revision"/>
    <w:hidden/>
    <w:uiPriority w:val="99"/>
    <w:semiHidden/>
    <w:rsid w:val="00EA46DD"/>
  </w:style>
  <w:style w:type="paragraph" w:customStyle="1" w:styleId="CharCharCharCharCharChar0">
    <w:name w:val="Char Char Char Char Char Char"/>
    <w:basedOn w:val="Normal"/>
    <w:rsid w:val="00C1343F"/>
    <w:pPr>
      <w:widowControl w:val="0"/>
      <w:adjustRightInd w:val="0"/>
      <w:spacing w:after="160" w:line="240" w:lineRule="exact"/>
      <w:jc w:val="both"/>
      <w:textAlignment w:val="baseline"/>
    </w:pPr>
    <w:rPr>
      <w:rFonts w:ascii="Verdana" w:hAnsi="Verdana"/>
    </w:rPr>
  </w:style>
  <w:style w:type="paragraph" w:styleId="EndnoteText">
    <w:name w:val="endnote text"/>
    <w:basedOn w:val="Normal"/>
    <w:link w:val="EndnoteTextChar"/>
    <w:uiPriority w:val="99"/>
    <w:semiHidden/>
    <w:unhideWhenUsed/>
    <w:rsid w:val="005633F3"/>
  </w:style>
  <w:style w:type="character" w:customStyle="1" w:styleId="EndnoteTextChar">
    <w:name w:val="Endnote Text Char"/>
    <w:basedOn w:val="DefaultParagraphFont"/>
    <w:link w:val="EndnoteText"/>
    <w:uiPriority w:val="99"/>
    <w:semiHidden/>
    <w:rsid w:val="005633F3"/>
  </w:style>
  <w:style w:type="character" w:styleId="EndnoteReference">
    <w:name w:val="endnote reference"/>
    <w:basedOn w:val="DefaultParagraphFont"/>
    <w:uiPriority w:val="99"/>
    <w:semiHidden/>
    <w:unhideWhenUsed/>
    <w:rsid w:val="005633F3"/>
    <w:rPr>
      <w:vertAlign w:val="superscript"/>
    </w:rPr>
  </w:style>
  <w:style w:type="paragraph" w:customStyle="1" w:styleId="Default">
    <w:name w:val="Default"/>
    <w:rsid w:val="00D342E6"/>
    <w:pPr>
      <w:autoSpaceDE w:val="0"/>
      <w:autoSpaceDN w:val="0"/>
      <w:adjustRightInd w:val="0"/>
    </w:pPr>
    <w:rPr>
      <w:color w:val="000000"/>
      <w:sz w:val="24"/>
      <w:szCs w:val="24"/>
    </w:rPr>
  </w:style>
  <w:style w:type="paragraph" w:customStyle="1" w:styleId="testimony">
    <w:name w:val="testimony"/>
    <w:basedOn w:val="Normal"/>
    <w:rsid w:val="00465DF0"/>
    <w:pPr>
      <w:tabs>
        <w:tab w:val="left" w:pos="720"/>
        <w:tab w:val="left" w:pos="2160"/>
      </w:tabs>
      <w:spacing w:line="440" w:lineRule="atLeast"/>
      <w:ind w:hanging="360"/>
    </w:pPr>
    <w:rPr>
      <w:rFonts w:ascii="Times" w:hAnsi="Times"/>
      <w:sz w:val="24"/>
    </w:rPr>
  </w:style>
  <w:style w:type="paragraph" w:styleId="BodyText">
    <w:name w:val="Body Text"/>
    <w:basedOn w:val="Normal"/>
    <w:link w:val="BodyTextChar"/>
    <w:uiPriority w:val="99"/>
    <w:semiHidden/>
    <w:unhideWhenUsed/>
    <w:rsid w:val="00A359A0"/>
    <w:pPr>
      <w:spacing w:after="120"/>
    </w:pPr>
  </w:style>
  <w:style w:type="character" w:customStyle="1" w:styleId="BodyTextChar">
    <w:name w:val="Body Text Char"/>
    <w:basedOn w:val="DefaultParagraphFont"/>
    <w:link w:val="BodyText"/>
    <w:uiPriority w:val="99"/>
    <w:semiHidden/>
    <w:rsid w:val="00A359A0"/>
  </w:style>
  <w:style w:type="character" w:customStyle="1" w:styleId="apple-converted-space">
    <w:name w:val="apple-converted-space"/>
    <w:basedOn w:val="DefaultParagraphFont"/>
    <w:rsid w:val="00611442"/>
  </w:style>
  <w:style w:type="character" w:customStyle="1" w:styleId="Heading1Char">
    <w:name w:val="Heading 1 Char"/>
    <w:basedOn w:val="DefaultParagraphFont"/>
    <w:link w:val="Heading1"/>
    <w:rsid w:val="00C328B1"/>
    <w:rPr>
      <w:rFonts w:ascii="Times New Roman Bold" w:eastAsiaTheme="majorEastAsia" w:hAnsi="Times New Roman Bold" w:cstheme="majorBidi"/>
      <w:b/>
      <w:bCs/>
      <w:caps/>
      <w:sz w:val="24"/>
      <w:szCs w:val="28"/>
    </w:rPr>
  </w:style>
  <w:style w:type="character" w:styleId="Hyperlink">
    <w:name w:val="Hyperlink"/>
    <w:basedOn w:val="DefaultParagraphFont"/>
    <w:uiPriority w:val="99"/>
    <w:rsid w:val="0026152A"/>
    <w:rPr>
      <w:color w:val="0000FF"/>
      <w:u w:val="single"/>
    </w:rPr>
  </w:style>
  <w:style w:type="character" w:customStyle="1" w:styleId="Heading5Char">
    <w:name w:val="Heading 5 Char"/>
    <w:basedOn w:val="DefaultParagraphFont"/>
    <w:link w:val="Heading5"/>
    <w:uiPriority w:val="99"/>
    <w:rsid w:val="00FE4E24"/>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597D23"/>
    <w:rPr>
      <w:color w:val="800080" w:themeColor="followedHyperlink"/>
      <w:u w:val="single"/>
    </w:rPr>
  </w:style>
  <w:style w:type="paragraph" w:styleId="TOCHeading">
    <w:name w:val="TOC Heading"/>
    <w:basedOn w:val="Heading1"/>
    <w:next w:val="Normal"/>
    <w:uiPriority w:val="39"/>
    <w:semiHidden/>
    <w:unhideWhenUsed/>
    <w:qFormat/>
    <w:rsid w:val="004116FB"/>
    <w:pPr>
      <w:spacing w:before="480" w:line="276" w:lineRule="auto"/>
      <w:jc w:val="left"/>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locked/>
    <w:rsid w:val="004116FB"/>
    <w:pPr>
      <w:spacing w:after="100"/>
    </w:pPr>
  </w:style>
  <w:style w:type="paragraph" w:styleId="TOC2">
    <w:name w:val="toc 2"/>
    <w:basedOn w:val="Normal"/>
    <w:next w:val="Normal"/>
    <w:autoRedefine/>
    <w:uiPriority w:val="39"/>
    <w:locked/>
    <w:rsid w:val="00573168"/>
    <w:pPr>
      <w:tabs>
        <w:tab w:val="right" w:leader="dot" w:pos="8990"/>
      </w:tabs>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37840">
      <w:bodyDiv w:val="1"/>
      <w:marLeft w:val="0"/>
      <w:marRight w:val="0"/>
      <w:marTop w:val="0"/>
      <w:marBottom w:val="0"/>
      <w:divBdr>
        <w:top w:val="none" w:sz="0" w:space="0" w:color="auto"/>
        <w:left w:val="none" w:sz="0" w:space="0" w:color="auto"/>
        <w:bottom w:val="none" w:sz="0" w:space="0" w:color="auto"/>
        <w:right w:val="none" w:sz="0" w:space="0" w:color="auto"/>
      </w:divBdr>
    </w:div>
    <w:div w:id="300771785">
      <w:bodyDiv w:val="1"/>
      <w:marLeft w:val="0"/>
      <w:marRight w:val="0"/>
      <w:marTop w:val="0"/>
      <w:marBottom w:val="0"/>
      <w:divBdr>
        <w:top w:val="none" w:sz="0" w:space="0" w:color="auto"/>
        <w:left w:val="none" w:sz="0" w:space="0" w:color="auto"/>
        <w:bottom w:val="none" w:sz="0" w:space="0" w:color="auto"/>
        <w:right w:val="none" w:sz="0" w:space="0" w:color="auto"/>
      </w:divBdr>
    </w:div>
    <w:div w:id="464665303">
      <w:bodyDiv w:val="1"/>
      <w:marLeft w:val="0"/>
      <w:marRight w:val="0"/>
      <w:marTop w:val="0"/>
      <w:marBottom w:val="0"/>
      <w:divBdr>
        <w:top w:val="none" w:sz="0" w:space="0" w:color="auto"/>
        <w:left w:val="none" w:sz="0" w:space="0" w:color="auto"/>
        <w:bottom w:val="none" w:sz="0" w:space="0" w:color="auto"/>
        <w:right w:val="none" w:sz="0" w:space="0" w:color="auto"/>
      </w:divBdr>
    </w:div>
    <w:div w:id="594172636">
      <w:bodyDiv w:val="1"/>
      <w:marLeft w:val="0"/>
      <w:marRight w:val="0"/>
      <w:marTop w:val="0"/>
      <w:marBottom w:val="0"/>
      <w:divBdr>
        <w:top w:val="none" w:sz="0" w:space="0" w:color="auto"/>
        <w:left w:val="none" w:sz="0" w:space="0" w:color="auto"/>
        <w:bottom w:val="none" w:sz="0" w:space="0" w:color="auto"/>
        <w:right w:val="none" w:sz="0" w:space="0" w:color="auto"/>
      </w:divBdr>
    </w:div>
    <w:div w:id="865559003">
      <w:bodyDiv w:val="1"/>
      <w:marLeft w:val="0"/>
      <w:marRight w:val="0"/>
      <w:marTop w:val="0"/>
      <w:marBottom w:val="0"/>
      <w:divBdr>
        <w:top w:val="none" w:sz="0" w:space="0" w:color="auto"/>
        <w:left w:val="none" w:sz="0" w:space="0" w:color="auto"/>
        <w:bottom w:val="none" w:sz="0" w:space="0" w:color="auto"/>
        <w:right w:val="none" w:sz="0" w:space="0" w:color="auto"/>
      </w:divBdr>
    </w:div>
    <w:div w:id="925068458">
      <w:bodyDiv w:val="1"/>
      <w:marLeft w:val="0"/>
      <w:marRight w:val="0"/>
      <w:marTop w:val="0"/>
      <w:marBottom w:val="0"/>
      <w:divBdr>
        <w:top w:val="none" w:sz="0" w:space="0" w:color="auto"/>
        <w:left w:val="none" w:sz="0" w:space="0" w:color="auto"/>
        <w:bottom w:val="none" w:sz="0" w:space="0" w:color="auto"/>
        <w:right w:val="none" w:sz="0" w:space="0" w:color="auto"/>
      </w:divBdr>
    </w:div>
    <w:div w:id="940990734">
      <w:bodyDiv w:val="1"/>
      <w:marLeft w:val="0"/>
      <w:marRight w:val="0"/>
      <w:marTop w:val="0"/>
      <w:marBottom w:val="0"/>
      <w:divBdr>
        <w:top w:val="none" w:sz="0" w:space="0" w:color="auto"/>
        <w:left w:val="none" w:sz="0" w:space="0" w:color="auto"/>
        <w:bottom w:val="none" w:sz="0" w:space="0" w:color="auto"/>
        <w:right w:val="none" w:sz="0" w:space="0" w:color="auto"/>
      </w:divBdr>
    </w:div>
    <w:div w:id="1111438071">
      <w:bodyDiv w:val="1"/>
      <w:marLeft w:val="0"/>
      <w:marRight w:val="0"/>
      <w:marTop w:val="0"/>
      <w:marBottom w:val="0"/>
      <w:divBdr>
        <w:top w:val="none" w:sz="0" w:space="0" w:color="auto"/>
        <w:left w:val="none" w:sz="0" w:space="0" w:color="auto"/>
        <w:bottom w:val="none" w:sz="0" w:space="0" w:color="auto"/>
        <w:right w:val="none" w:sz="0" w:space="0" w:color="auto"/>
      </w:divBdr>
    </w:div>
    <w:div w:id="1274442069">
      <w:bodyDiv w:val="1"/>
      <w:marLeft w:val="0"/>
      <w:marRight w:val="0"/>
      <w:marTop w:val="0"/>
      <w:marBottom w:val="0"/>
      <w:divBdr>
        <w:top w:val="none" w:sz="0" w:space="0" w:color="auto"/>
        <w:left w:val="none" w:sz="0" w:space="0" w:color="auto"/>
        <w:bottom w:val="none" w:sz="0" w:space="0" w:color="auto"/>
        <w:right w:val="none" w:sz="0" w:space="0" w:color="auto"/>
      </w:divBdr>
    </w:div>
    <w:div w:id="1284340340">
      <w:bodyDiv w:val="1"/>
      <w:marLeft w:val="0"/>
      <w:marRight w:val="0"/>
      <w:marTop w:val="0"/>
      <w:marBottom w:val="0"/>
      <w:divBdr>
        <w:top w:val="none" w:sz="0" w:space="0" w:color="auto"/>
        <w:left w:val="none" w:sz="0" w:space="0" w:color="auto"/>
        <w:bottom w:val="none" w:sz="0" w:space="0" w:color="auto"/>
        <w:right w:val="none" w:sz="0" w:space="0" w:color="auto"/>
      </w:divBdr>
    </w:div>
    <w:div w:id="1316495435">
      <w:bodyDiv w:val="1"/>
      <w:marLeft w:val="0"/>
      <w:marRight w:val="0"/>
      <w:marTop w:val="0"/>
      <w:marBottom w:val="0"/>
      <w:divBdr>
        <w:top w:val="none" w:sz="0" w:space="0" w:color="auto"/>
        <w:left w:val="none" w:sz="0" w:space="0" w:color="auto"/>
        <w:bottom w:val="none" w:sz="0" w:space="0" w:color="auto"/>
        <w:right w:val="none" w:sz="0" w:space="0" w:color="auto"/>
      </w:divBdr>
    </w:div>
    <w:div w:id="1336032910">
      <w:bodyDiv w:val="1"/>
      <w:marLeft w:val="0"/>
      <w:marRight w:val="0"/>
      <w:marTop w:val="0"/>
      <w:marBottom w:val="0"/>
      <w:divBdr>
        <w:top w:val="none" w:sz="0" w:space="0" w:color="auto"/>
        <w:left w:val="none" w:sz="0" w:space="0" w:color="auto"/>
        <w:bottom w:val="none" w:sz="0" w:space="0" w:color="auto"/>
        <w:right w:val="none" w:sz="0" w:space="0" w:color="auto"/>
      </w:divBdr>
    </w:div>
    <w:div w:id="1356535601">
      <w:bodyDiv w:val="1"/>
      <w:marLeft w:val="0"/>
      <w:marRight w:val="0"/>
      <w:marTop w:val="0"/>
      <w:marBottom w:val="0"/>
      <w:divBdr>
        <w:top w:val="none" w:sz="0" w:space="0" w:color="auto"/>
        <w:left w:val="none" w:sz="0" w:space="0" w:color="auto"/>
        <w:bottom w:val="none" w:sz="0" w:space="0" w:color="auto"/>
        <w:right w:val="none" w:sz="0" w:space="0" w:color="auto"/>
      </w:divBdr>
    </w:div>
    <w:div w:id="1383097997">
      <w:bodyDiv w:val="1"/>
      <w:marLeft w:val="0"/>
      <w:marRight w:val="0"/>
      <w:marTop w:val="0"/>
      <w:marBottom w:val="0"/>
      <w:divBdr>
        <w:top w:val="none" w:sz="0" w:space="0" w:color="auto"/>
        <w:left w:val="none" w:sz="0" w:space="0" w:color="auto"/>
        <w:bottom w:val="none" w:sz="0" w:space="0" w:color="auto"/>
        <w:right w:val="none" w:sz="0" w:space="0" w:color="auto"/>
      </w:divBdr>
    </w:div>
    <w:div w:id="1453860086">
      <w:bodyDiv w:val="1"/>
      <w:marLeft w:val="0"/>
      <w:marRight w:val="0"/>
      <w:marTop w:val="0"/>
      <w:marBottom w:val="0"/>
      <w:divBdr>
        <w:top w:val="none" w:sz="0" w:space="0" w:color="auto"/>
        <w:left w:val="none" w:sz="0" w:space="0" w:color="auto"/>
        <w:bottom w:val="none" w:sz="0" w:space="0" w:color="auto"/>
        <w:right w:val="none" w:sz="0" w:space="0" w:color="auto"/>
      </w:divBdr>
    </w:div>
    <w:div w:id="1453934818">
      <w:marLeft w:val="0"/>
      <w:marRight w:val="0"/>
      <w:marTop w:val="0"/>
      <w:marBottom w:val="0"/>
      <w:divBdr>
        <w:top w:val="none" w:sz="0" w:space="0" w:color="auto"/>
        <w:left w:val="none" w:sz="0" w:space="0" w:color="auto"/>
        <w:bottom w:val="none" w:sz="0" w:space="0" w:color="auto"/>
        <w:right w:val="none" w:sz="0" w:space="0" w:color="auto"/>
      </w:divBdr>
    </w:div>
    <w:div w:id="1453934819">
      <w:marLeft w:val="0"/>
      <w:marRight w:val="0"/>
      <w:marTop w:val="0"/>
      <w:marBottom w:val="0"/>
      <w:divBdr>
        <w:top w:val="none" w:sz="0" w:space="0" w:color="auto"/>
        <w:left w:val="none" w:sz="0" w:space="0" w:color="auto"/>
        <w:bottom w:val="none" w:sz="0" w:space="0" w:color="auto"/>
        <w:right w:val="none" w:sz="0" w:space="0" w:color="auto"/>
      </w:divBdr>
    </w:div>
    <w:div w:id="1453934822">
      <w:marLeft w:val="0"/>
      <w:marRight w:val="0"/>
      <w:marTop w:val="0"/>
      <w:marBottom w:val="0"/>
      <w:divBdr>
        <w:top w:val="none" w:sz="0" w:space="0" w:color="auto"/>
        <w:left w:val="none" w:sz="0" w:space="0" w:color="auto"/>
        <w:bottom w:val="none" w:sz="0" w:space="0" w:color="auto"/>
        <w:right w:val="none" w:sz="0" w:space="0" w:color="auto"/>
      </w:divBdr>
      <w:divsChild>
        <w:div w:id="1453934820">
          <w:marLeft w:val="0"/>
          <w:marRight w:val="0"/>
          <w:marTop w:val="0"/>
          <w:marBottom w:val="0"/>
          <w:divBdr>
            <w:top w:val="none" w:sz="0" w:space="0" w:color="auto"/>
            <w:left w:val="none" w:sz="0" w:space="0" w:color="auto"/>
            <w:bottom w:val="none" w:sz="0" w:space="0" w:color="auto"/>
            <w:right w:val="none" w:sz="0" w:space="0" w:color="auto"/>
          </w:divBdr>
        </w:div>
        <w:div w:id="1453934821">
          <w:marLeft w:val="0"/>
          <w:marRight w:val="0"/>
          <w:marTop w:val="0"/>
          <w:marBottom w:val="0"/>
          <w:divBdr>
            <w:top w:val="none" w:sz="0" w:space="0" w:color="auto"/>
            <w:left w:val="none" w:sz="0" w:space="0" w:color="auto"/>
            <w:bottom w:val="none" w:sz="0" w:space="0" w:color="auto"/>
            <w:right w:val="none" w:sz="0" w:space="0" w:color="auto"/>
          </w:divBdr>
        </w:div>
      </w:divsChild>
    </w:div>
    <w:div w:id="1453934823">
      <w:marLeft w:val="0"/>
      <w:marRight w:val="0"/>
      <w:marTop w:val="0"/>
      <w:marBottom w:val="0"/>
      <w:divBdr>
        <w:top w:val="none" w:sz="0" w:space="0" w:color="auto"/>
        <w:left w:val="none" w:sz="0" w:space="0" w:color="auto"/>
        <w:bottom w:val="none" w:sz="0" w:space="0" w:color="auto"/>
        <w:right w:val="none" w:sz="0" w:space="0" w:color="auto"/>
      </w:divBdr>
    </w:div>
    <w:div w:id="1577131815">
      <w:bodyDiv w:val="1"/>
      <w:marLeft w:val="0"/>
      <w:marRight w:val="0"/>
      <w:marTop w:val="0"/>
      <w:marBottom w:val="0"/>
      <w:divBdr>
        <w:top w:val="none" w:sz="0" w:space="0" w:color="auto"/>
        <w:left w:val="none" w:sz="0" w:space="0" w:color="auto"/>
        <w:bottom w:val="none" w:sz="0" w:space="0" w:color="auto"/>
        <w:right w:val="none" w:sz="0" w:space="0" w:color="auto"/>
      </w:divBdr>
    </w:div>
    <w:div w:id="1682119549">
      <w:bodyDiv w:val="1"/>
      <w:marLeft w:val="0"/>
      <w:marRight w:val="0"/>
      <w:marTop w:val="0"/>
      <w:marBottom w:val="0"/>
      <w:divBdr>
        <w:top w:val="none" w:sz="0" w:space="0" w:color="auto"/>
        <w:left w:val="none" w:sz="0" w:space="0" w:color="auto"/>
        <w:bottom w:val="none" w:sz="0" w:space="0" w:color="auto"/>
        <w:right w:val="none" w:sz="0" w:space="0" w:color="auto"/>
      </w:divBdr>
    </w:div>
    <w:div w:id="1772820848">
      <w:bodyDiv w:val="1"/>
      <w:marLeft w:val="0"/>
      <w:marRight w:val="0"/>
      <w:marTop w:val="0"/>
      <w:marBottom w:val="0"/>
      <w:divBdr>
        <w:top w:val="none" w:sz="0" w:space="0" w:color="auto"/>
        <w:left w:val="none" w:sz="0" w:space="0" w:color="auto"/>
        <w:bottom w:val="none" w:sz="0" w:space="0" w:color="auto"/>
        <w:right w:val="none" w:sz="0" w:space="0" w:color="auto"/>
      </w:divBdr>
    </w:div>
    <w:div w:id="1792750731">
      <w:bodyDiv w:val="1"/>
      <w:marLeft w:val="0"/>
      <w:marRight w:val="0"/>
      <w:marTop w:val="0"/>
      <w:marBottom w:val="0"/>
      <w:divBdr>
        <w:top w:val="none" w:sz="0" w:space="0" w:color="auto"/>
        <w:left w:val="none" w:sz="0" w:space="0" w:color="auto"/>
        <w:bottom w:val="none" w:sz="0" w:space="0" w:color="auto"/>
        <w:right w:val="none" w:sz="0" w:space="0" w:color="auto"/>
      </w:divBdr>
    </w:div>
    <w:div w:id="1859008339">
      <w:bodyDiv w:val="1"/>
      <w:marLeft w:val="0"/>
      <w:marRight w:val="0"/>
      <w:marTop w:val="0"/>
      <w:marBottom w:val="0"/>
      <w:divBdr>
        <w:top w:val="none" w:sz="0" w:space="0" w:color="auto"/>
        <w:left w:val="none" w:sz="0" w:space="0" w:color="auto"/>
        <w:bottom w:val="none" w:sz="0" w:space="0" w:color="auto"/>
        <w:right w:val="none" w:sz="0" w:space="0" w:color="auto"/>
      </w:divBdr>
    </w:div>
    <w:div w:id="1888565150">
      <w:bodyDiv w:val="1"/>
      <w:marLeft w:val="0"/>
      <w:marRight w:val="0"/>
      <w:marTop w:val="0"/>
      <w:marBottom w:val="0"/>
      <w:divBdr>
        <w:top w:val="none" w:sz="0" w:space="0" w:color="auto"/>
        <w:left w:val="none" w:sz="0" w:space="0" w:color="auto"/>
        <w:bottom w:val="none" w:sz="0" w:space="0" w:color="auto"/>
        <w:right w:val="none" w:sz="0" w:space="0" w:color="auto"/>
      </w:divBdr>
    </w:div>
    <w:div w:id="1924415892">
      <w:bodyDiv w:val="1"/>
      <w:marLeft w:val="0"/>
      <w:marRight w:val="0"/>
      <w:marTop w:val="0"/>
      <w:marBottom w:val="0"/>
      <w:divBdr>
        <w:top w:val="none" w:sz="0" w:space="0" w:color="auto"/>
        <w:left w:val="none" w:sz="0" w:space="0" w:color="auto"/>
        <w:bottom w:val="none" w:sz="0" w:space="0" w:color="auto"/>
        <w:right w:val="none" w:sz="0" w:space="0" w:color="auto"/>
      </w:divBdr>
    </w:div>
    <w:div w:id="205661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bpa.gov/Finance/FinancialPublicProcesses/IPR/2014IPRDocuments/Building%20the%20Framework%20for%20the%20IPR%201.8.2014.pdf" TargetMode="External"/><Relationship Id="rId2" Type="http://schemas.openxmlformats.org/officeDocument/2006/relationships/hyperlink" Target="http://edocs.puc.state.or.us/efdocs/HAU/um1662hau16726.pdf" TargetMode="External"/><Relationship Id="rId1" Type="http://schemas.openxmlformats.org/officeDocument/2006/relationships/hyperlink" Target="http://web.stanford.edu/group/fwolak/cgibin/sites/default/files/files/benefits_of_spatial_granularity_aer_wola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67F4D-3A67-4FD4-8E3F-FE5A615A00D8}"/>
</file>

<file path=customXml/itemProps2.xml><?xml version="1.0" encoding="utf-8"?>
<ds:datastoreItem xmlns:ds="http://schemas.openxmlformats.org/officeDocument/2006/customXml" ds:itemID="{C0665BA4-D375-4ED3-BA1F-4B2C5F34D0AC}"/>
</file>

<file path=customXml/itemProps3.xml><?xml version="1.0" encoding="utf-8"?>
<ds:datastoreItem xmlns:ds="http://schemas.openxmlformats.org/officeDocument/2006/customXml" ds:itemID="{5DF78072-D388-4E97-80CB-9F5899227A86}"/>
</file>

<file path=customXml/itemProps4.xml><?xml version="1.0" encoding="utf-8"?>
<ds:datastoreItem xmlns:ds="http://schemas.openxmlformats.org/officeDocument/2006/customXml" ds:itemID="{CCE3CEF8-7E46-404F-9483-8F100D14E6F4}"/>
</file>

<file path=customXml/itemProps5.xml><?xml version="1.0" encoding="utf-8"?>
<ds:datastoreItem xmlns:ds="http://schemas.openxmlformats.org/officeDocument/2006/customXml" ds:itemID="{99A0D3EE-3B4E-4F07-99C3-3A72743E0685}"/>
</file>

<file path=docProps/app.xml><?xml version="1.0" encoding="utf-8"?>
<Properties xmlns="http://schemas.openxmlformats.org/officeDocument/2006/extended-properties" xmlns:vt="http://schemas.openxmlformats.org/officeDocument/2006/docPropsVTypes">
  <Template>Normal.dotm</Template>
  <TotalTime>0</TotalTime>
  <Pages>68</Pages>
  <Words>16109</Words>
  <Characters>87761</Characters>
  <Application>Microsoft Office Word</Application>
  <DocSecurity>0</DocSecurity>
  <Lines>731</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2014-11-14T15:47:00Z</dcterms:created>
  <dcterms:modified xsi:type="dcterms:W3CDTF">2014-11-14T20:31:00Z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