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Pr="005A18A0" w:rsidRDefault="00914F08">
      <w:pPr>
        <w:tabs>
          <w:tab w:val="left" w:pos="1260"/>
        </w:tabs>
        <w:spacing w:line="480" w:lineRule="auto"/>
        <w:ind w:firstLine="720"/>
        <w:jc w:val="center"/>
        <w:rPr>
          <w:b/>
        </w:rP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BE55C8" w:rsidRDefault="00BE55C8" w:rsidP="00BE55C8">
      <w:pPr>
        <w:tabs>
          <w:tab w:val="left" w:pos="1260"/>
        </w:tabs>
        <w:spacing w:line="480" w:lineRule="auto"/>
        <w:ind w:left="-270"/>
        <w:jc w:val="center"/>
      </w:pPr>
    </w:p>
    <w:p w:rsidR="00BE55C8" w:rsidRPr="005540EB" w:rsidRDefault="00BE55C8" w:rsidP="00BE55C8">
      <w:pPr>
        <w:tabs>
          <w:tab w:val="left" w:pos="1260"/>
        </w:tabs>
        <w:spacing w:line="480" w:lineRule="auto"/>
        <w:ind w:left="-270"/>
        <w:jc w:val="center"/>
      </w:pPr>
      <w:r w:rsidRPr="005540EB">
        <w:t>DOCKET NO</w:t>
      </w:r>
      <w:r>
        <w:t>S</w:t>
      </w:r>
      <w:r w:rsidRPr="005540EB">
        <w:t>. UE-</w:t>
      </w:r>
      <w:r>
        <w:t>120436 &amp;</w:t>
      </w:r>
      <w:r w:rsidRPr="005540EB">
        <w:t xml:space="preserve"> UG-</w:t>
      </w:r>
      <w:r>
        <w:t>120437</w:t>
      </w:r>
    </w:p>
    <w:p w:rsidR="00914F08" w:rsidRDefault="00914F08" w:rsidP="000F6CFB">
      <w:pPr>
        <w:tabs>
          <w:tab w:val="left" w:pos="1260"/>
        </w:tabs>
        <w:spacing w:line="480" w:lineRule="auto"/>
        <w:ind w:left="-270"/>
        <w:jc w:val="center"/>
      </w:pPr>
      <w:r w:rsidRPr="005540EB">
        <w:t>DOCKET NO</w:t>
      </w:r>
      <w:r w:rsidR="0046767F">
        <w:t>S</w:t>
      </w:r>
      <w:r w:rsidRPr="005540EB">
        <w:t xml:space="preserve">. </w:t>
      </w:r>
      <w:r w:rsidR="00131A33" w:rsidRPr="005540EB">
        <w:t>UE-</w:t>
      </w:r>
      <w:r w:rsidR="00F85036">
        <w:t>1</w:t>
      </w:r>
      <w:r w:rsidR="00A4037C">
        <w:t>1</w:t>
      </w:r>
      <w:r w:rsidR="00127C71">
        <w:t>0876</w:t>
      </w:r>
      <w:r w:rsidR="0046767F">
        <w:t xml:space="preserve"> &amp;</w:t>
      </w:r>
      <w:r w:rsidR="00131A33" w:rsidRPr="005540EB">
        <w:t xml:space="preserve"> UG-</w:t>
      </w:r>
      <w:r w:rsidR="00F85036">
        <w:t>1</w:t>
      </w:r>
      <w:r w:rsidR="00A4037C">
        <w:t>1</w:t>
      </w:r>
      <w:r w:rsidR="00127C71">
        <w:t>0877</w:t>
      </w:r>
    </w:p>
    <w:p w:rsidR="0046767F" w:rsidRPr="005540EB" w:rsidRDefault="0046767F"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p>
    <w:p w:rsidR="00914F08" w:rsidRPr="005540EB" w:rsidRDefault="00AC5626" w:rsidP="000F6CFB">
      <w:pPr>
        <w:tabs>
          <w:tab w:val="left" w:pos="1260"/>
        </w:tabs>
        <w:spacing w:line="480" w:lineRule="auto"/>
        <w:ind w:left="-270"/>
        <w:jc w:val="center"/>
      </w:pPr>
      <w:r>
        <w:t>REBUTTAL</w:t>
      </w:r>
      <w:r w:rsidR="00914F08" w:rsidRPr="005540EB">
        <w:t xml:space="preserve"> TESTIMONY OF</w:t>
      </w:r>
    </w:p>
    <w:p w:rsidR="00914F08" w:rsidRPr="005540EB" w:rsidRDefault="00376502" w:rsidP="000F6CFB">
      <w:pPr>
        <w:tabs>
          <w:tab w:val="left" w:pos="1260"/>
        </w:tabs>
        <w:spacing w:line="480" w:lineRule="auto"/>
        <w:ind w:left="-270"/>
        <w:jc w:val="center"/>
      </w:pPr>
      <w:r>
        <w:t>KELLY O. NORWOOD</w:t>
      </w:r>
    </w:p>
    <w:p w:rsidR="00914F08" w:rsidRDefault="00914F08" w:rsidP="000F6CFB">
      <w:pPr>
        <w:tabs>
          <w:tab w:val="left" w:pos="1260"/>
        </w:tabs>
        <w:spacing w:line="480" w:lineRule="auto"/>
        <w:ind w:left="-270"/>
        <w:jc w:val="center"/>
      </w:pPr>
      <w:r w:rsidRPr="005540EB">
        <w:t>REPRESENTING AVISTA CORPORATION</w:t>
      </w:r>
    </w:p>
    <w:p w:rsidR="00914F08" w:rsidRPr="005540EB" w:rsidRDefault="000334C5" w:rsidP="000334C5">
      <w:pPr>
        <w:tabs>
          <w:tab w:val="left" w:pos="1260"/>
        </w:tabs>
        <w:spacing w:line="480" w:lineRule="auto"/>
        <w:ind w:left="-270"/>
        <w:jc w:val="center"/>
      </w:pPr>
      <w:r>
        <w:t>IN SUPPORT OF MULTIPARTY SETTLEMENT</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376502" w:rsidRPr="00E16D52" w:rsidRDefault="00376502" w:rsidP="00376502">
      <w:pPr>
        <w:pStyle w:val="TestBody"/>
        <w:tabs>
          <w:tab w:val="left" w:pos="1440"/>
        </w:tabs>
        <w:spacing w:line="480" w:lineRule="auto"/>
        <w:ind w:left="0" w:firstLine="720"/>
        <w:rPr>
          <w:rFonts w:ascii="Times New Roman" w:hAnsi="Times New Roman" w:cs="Times New Roman"/>
          <w:b/>
          <w:bCs/>
        </w:rPr>
      </w:pPr>
      <w:r w:rsidRPr="00E16D52">
        <w:rPr>
          <w:rFonts w:ascii="Times New Roman" w:hAnsi="Times New Roman" w:cs="Times New Roman"/>
          <w:b/>
          <w:bCs/>
        </w:rPr>
        <w:t>Q.</w:t>
      </w:r>
      <w:r w:rsidRPr="00E16D52">
        <w:rPr>
          <w:rFonts w:ascii="Times New Roman" w:hAnsi="Times New Roman" w:cs="Times New Roman"/>
          <w:b/>
          <w:bCs/>
        </w:rPr>
        <w:tab/>
        <w:t>Please state your name, employer and business address.</w:t>
      </w:r>
    </w:p>
    <w:p w:rsidR="004F0603" w:rsidRPr="00E16D52" w:rsidRDefault="00376502" w:rsidP="00C9610E">
      <w:pPr>
        <w:pStyle w:val="TestBody"/>
        <w:tabs>
          <w:tab w:val="left" w:pos="1440"/>
        </w:tabs>
        <w:spacing w:line="480" w:lineRule="auto"/>
        <w:ind w:left="0" w:firstLine="720"/>
        <w:rPr>
          <w:rFonts w:ascii="Times New Roman" w:hAnsi="Times New Roman" w:cs="Times New Roman"/>
        </w:rPr>
      </w:pPr>
      <w:r w:rsidRPr="00E16D52">
        <w:rPr>
          <w:rFonts w:ascii="Times New Roman" w:hAnsi="Times New Roman" w:cs="Times New Roman"/>
        </w:rPr>
        <w:t>A.</w:t>
      </w:r>
      <w:r w:rsidRPr="00E16D52">
        <w:rPr>
          <w:rFonts w:ascii="Times New Roman" w:hAnsi="Times New Roman" w:cs="Times New Roman"/>
        </w:rPr>
        <w:tab/>
        <w:t>My name is Kelly O. Norwood and I am employed as the Vice President of State and Federal Regulation for Avista Utilities (Company or Avista), at 1411 East Mission Avenue, Spokane, Washington.</w:t>
      </w:r>
    </w:p>
    <w:p w:rsidR="00805965" w:rsidRPr="00E16D52" w:rsidRDefault="00805965" w:rsidP="00805965">
      <w:pPr>
        <w:pStyle w:val="TestBody"/>
        <w:tabs>
          <w:tab w:val="left" w:pos="1440"/>
        </w:tabs>
        <w:spacing w:line="480" w:lineRule="auto"/>
        <w:ind w:left="0" w:firstLine="720"/>
        <w:rPr>
          <w:rFonts w:ascii="Times New Roman" w:hAnsi="Times New Roman" w:cs="Times New Roman"/>
          <w:b/>
        </w:rPr>
      </w:pPr>
      <w:r w:rsidRPr="00E16D52">
        <w:rPr>
          <w:rFonts w:ascii="Times New Roman" w:hAnsi="Times New Roman" w:cs="Times New Roman"/>
          <w:b/>
        </w:rPr>
        <w:t>Q.</w:t>
      </w:r>
      <w:r w:rsidRPr="00E16D52">
        <w:rPr>
          <w:rFonts w:ascii="Times New Roman" w:hAnsi="Times New Roman" w:cs="Times New Roman"/>
          <w:b/>
        </w:rPr>
        <w:tab/>
        <w:t>Have you previously provided testimony in these Dockets?</w:t>
      </w:r>
    </w:p>
    <w:p w:rsidR="00805965" w:rsidRPr="00E16D52" w:rsidRDefault="00805965" w:rsidP="00805965">
      <w:pPr>
        <w:tabs>
          <w:tab w:val="left" w:pos="1440"/>
        </w:tabs>
        <w:suppressAutoHyphens/>
        <w:spacing w:line="480" w:lineRule="auto"/>
        <w:ind w:firstLine="720"/>
        <w:jc w:val="both"/>
      </w:pPr>
      <w:r w:rsidRPr="00E16D52">
        <w:t>A.</w:t>
      </w:r>
      <w:r w:rsidRPr="00E16D52">
        <w:tab/>
        <w:t>Yes.  I have sponsored Exhibit Nos.__</w:t>
      </w:r>
      <w:proofErr w:type="gramStart"/>
      <w:r w:rsidRPr="00E16D52">
        <w:t>_(</w:t>
      </w:r>
      <w:proofErr w:type="gramEnd"/>
      <w:r w:rsidRPr="00E16D52">
        <w:t xml:space="preserve">KON-1T) through (KON-5), and Exhibit No ___ (KON-6T) which were filed as part of the Company’s direct and cross-answering case, as well as the Joint Testimony in support of the Multiparty Settlement </w:t>
      </w:r>
      <w:r w:rsidR="00E16D52">
        <w:t>Exhibit No. __</w:t>
      </w:r>
      <w:proofErr w:type="gramStart"/>
      <w:r w:rsidR="00E16D52">
        <w:t>_</w:t>
      </w:r>
      <w:r w:rsidRPr="00E16D52">
        <w:t>(</w:t>
      </w:r>
      <w:proofErr w:type="gramEnd"/>
      <w:r w:rsidR="00E16D52">
        <w:t>T</w:t>
      </w:r>
      <w:r w:rsidRPr="00E16D52">
        <w:t>).</w:t>
      </w:r>
    </w:p>
    <w:p w:rsidR="00805965" w:rsidRPr="00E16D52" w:rsidRDefault="00805965" w:rsidP="00805965">
      <w:pPr>
        <w:pStyle w:val="P106"/>
        <w:jc w:val="both"/>
        <w:rPr>
          <w:rFonts w:ascii="Times New Roman" w:hAnsi="Times New Roman" w:cs="Times New Roman"/>
        </w:rPr>
      </w:pPr>
      <w:r w:rsidRPr="00E16D52">
        <w:rPr>
          <w:rStyle w:val="T11"/>
          <w:rFonts w:ascii="Times New Roman" w:hAnsi="Times New Roman" w:cs="Times New Roman"/>
        </w:rPr>
        <w:t>Q.</w:t>
      </w:r>
      <w:r w:rsidRPr="00E16D52">
        <w:rPr>
          <w:rStyle w:val="T11"/>
          <w:rFonts w:ascii="Times New Roman" w:hAnsi="Times New Roman" w:cs="Times New Roman"/>
        </w:rPr>
        <w:tab/>
        <w:t>Are you sponsoring any Exhibits with this testimony?</w:t>
      </w:r>
    </w:p>
    <w:p w:rsidR="00805965" w:rsidRPr="00E16D52" w:rsidRDefault="00805965" w:rsidP="00805965">
      <w:pPr>
        <w:spacing w:line="480" w:lineRule="auto"/>
        <w:ind w:firstLine="720"/>
        <w:jc w:val="both"/>
      </w:pPr>
      <w:r w:rsidRPr="00E16D52">
        <w:t>A.</w:t>
      </w:r>
      <w:r w:rsidRPr="00E16D52">
        <w:tab/>
        <w:t xml:space="preserve">Yes. </w:t>
      </w:r>
      <w:r w:rsidR="00E16D52">
        <w:t xml:space="preserve"> I am sponsoring Exhibit No. __</w:t>
      </w:r>
      <w:proofErr w:type="gramStart"/>
      <w:r w:rsidR="00E16D52">
        <w:t>_(</w:t>
      </w:r>
      <w:proofErr w:type="gramEnd"/>
      <w:r w:rsidR="00E16D52">
        <w:t>KON-</w:t>
      </w:r>
      <w:r w:rsidR="00CF32F6">
        <w:t>8</w:t>
      </w:r>
      <w:r w:rsidR="00E16D52">
        <w:t>)</w:t>
      </w:r>
      <w:r w:rsidR="00E16D52" w:rsidRPr="00E16D52">
        <w:t xml:space="preserve"> </w:t>
      </w:r>
      <w:r w:rsidR="00E16D52">
        <w:t xml:space="preserve">which </w:t>
      </w:r>
      <w:r w:rsidR="000334C5">
        <w:t xml:space="preserve">is a summary of </w:t>
      </w:r>
      <w:r w:rsidR="00E16D52">
        <w:t xml:space="preserve">information related to the Company’s voluntary severance plan.  </w:t>
      </w:r>
    </w:p>
    <w:p w:rsidR="00805965" w:rsidRPr="00E16D52" w:rsidRDefault="00805965" w:rsidP="00805965">
      <w:pPr>
        <w:pStyle w:val="P84"/>
        <w:ind w:left="0"/>
        <w:jc w:val="both"/>
        <w:rPr>
          <w:rFonts w:ascii="Times New Roman" w:hAnsi="Times New Roman" w:cs="Times New Roman"/>
        </w:rPr>
      </w:pPr>
      <w:r w:rsidRPr="00E16D52">
        <w:rPr>
          <w:rFonts w:ascii="Times New Roman" w:hAnsi="Times New Roman" w:cs="Times New Roman"/>
        </w:rPr>
        <w:tab/>
      </w:r>
      <w:r w:rsidRPr="00E16D52">
        <w:rPr>
          <w:rFonts w:ascii="Times New Roman" w:hAnsi="Times New Roman" w:cs="Times New Roman"/>
        </w:rPr>
        <w:tab/>
        <w:t xml:space="preserve">Q.  </w:t>
      </w:r>
      <w:r w:rsidRPr="00E16D52">
        <w:rPr>
          <w:rFonts w:ascii="Times New Roman" w:hAnsi="Times New Roman" w:cs="Times New Roman"/>
        </w:rPr>
        <w:tab/>
        <w:t>What is the purpose of your rebuttal testimony in this matter?</w:t>
      </w:r>
    </w:p>
    <w:p w:rsidR="006D242F" w:rsidRDefault="00805965" w:rsidP="00CF32F6">
      <w:pPr>
        <w:pStyle w:val="P31"/>
        <w:tabs>
          <w:tab w:val="clear" w:pos="810"/>
          <w:tab w:val="left" w:pos="720"/>
        </w:tabs>
        <w:ind w:firstLine="0"/>
        <w:jc w:val="both"/>
        <w:rPr>
          <w:rFonts w:ascii="Times New Roman" w:hAnsi="Times New Roman" w:cs="Times New Roman"/>
        </w:rPr>
      </w:pPr>
      <w:r w:rsidRPr="00E16D52">
        <w:rPr>
          <w:rFonts w:ascii="Times New Roman" w:hAnsi="Times New Roman" w:cs="Times New Roman"/>
        </w:rPr>
        <w:tab/>
        <w:t xml:space="preserve">A.  </w:t>
      </w:r>
      <w:r w:rsidRPr="00E16D52">
        <w:rPr>
          <w:rFonts w:ascii="Times New Roman" w:hAnsi="Times New Roman" w:cs="Times New Roman"/>
        </w:rPr>
        <w:tab/>
        <w:t>The purpose of my testimony is to respond to the testimony filed by the Public Counsel Section of the Washington Office of Attorney General (“Public Counsel”), related to the Settlement Agreement</w:t>
      </w:r>
      <w:r w:rsidR="00B43057">
        <w:rPr>
          <w:rFonts w:ascii="Times New Roman" w:hAnsi="Times New Roman" w:cs="Times New Roman"/>
        </w:rPr>
        <w:t xml:space="preserve">.  My rebuttal testimony will address, among other things, why the Settlement Agreement is in the public interest, and why </w:t>
      </w:r>
      <w:r w:rsidR="005766C8">
        <w:rPr>
          <w:rFonts w:ascii="Times New Roman" w:hAnsi="Times New Roman" w:cs="Times New Roman"/>
        </w:rPr>
        <w:t>the approach used</w:t>
      </w:r>
      <w:r w:rsidR="00B43057">
        <w:rPr>
          <w:rFonts w:ascii="Times New Roman" w:hAnsi="Times New Roman" w:cs="Times New Roman"/>
        </w:rPr>
        <w:t xml:space="preserve"> is consistent with other settlements approved by this Commission.  </w:t>
      </w:r>
      <w:r w:rsidR="005766C8">
        <w:rPr>
          <w:rFonts w:ascii="Times New Roman" w:hAnsi="Times New Roman" w:cs="Times New Roman"/>
        </w:rPr>
        <w:t>I will explain why it is supported by the evidence, and</w:t>
      </w:r>
      <w:r w:rsidR="00B43057">
        <w:rPr>
          <w:rFonts w:ascii="Times New Roman" w:hAnsi="Times New Roman" w:cs="Times New Roman"/>
        </w:rPr>
        <w:t xml:space="preserve"> will provide background information on the Company’s announced cost cutting measures, including </w:t>
      </w:r>
      <w:r w:rsidR="004727BE">
        <w:rPr>
          <w:rFonts w:ascii="Times New Roman" w:hAnsi="Times New Roman" w:cs="Times New Roman"/>
        </w:rPr>
        <w:t xml:space="preserve">adopting </w:t>
      </w:r>
      <w:r w:rsidR="00B43057">
        <w:rPr>
          <w:rFonts w:ascii="Times New Roman" w:hAnsi="Times New Roman" w:cs="Times New Roman"/>
        </w:rPr>
        <w:t>a voluntary severance plan.  Finally I will address other issues raised by Public Counsel related to certain expenses</w:t>
      </w:r>
      <w:r w:rsidR="005766C8">
        <w:rPr>
          <w:rFonts w:ascii="Times New Roman" w:hAnsi="Times New Roman" w:cs="Times New Roman"/>
        </w:rPr>
        <w:t>,</w:t>
      </w:r>
      <w:r w:rsidR="00B43057">
        <w:rPr>
          <w:rFonts w:ascii="Times New Roman" w:hAnsi="Times New Roman" w:cs="Times New Roman"/>
        </w:rPr>
        <w:t xml:space="preserve"> including executive compensation, the early implementation of rates agreed to in the Settlement, </w:t>
      </w:r>
      <w:r w:rsidR="00B43057">
        <w:rPr>
          <w:rFonts w:ascii="Times New Roman" w:hAnsi="Times New Roman" w:cs="Times New Roman"/>
        </w:rPr>
        <w:lastRenderedPageBreak/>
        <w:t>return on equity</w:t>
      </w:r>
      <w:r w:rsidR="00B20310">
        <w:rPr>
          <w:rFonts w:ascii="Times New Roman" w:hAnsi="Times New Roman" w:cs="Times New Roman"/>
        </w:rPr>
        <w:t>, and accounting for renewable energy credits</w:t>
      </w:r>
      <w:r w:rsidR="00B4305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p>
    <w:p w:rsidR="00805965" w:rsidRDefault="006D242F" w:rsidP="00CF32F6">
      <w:pPr>
        <w:pStyle w:val="P31"/>
        <w:tabs>
          <w:tab w:val="clear" w:pos="810"/>
          <w:tab w:val="left" w:pos="720"/>
        </w:tabs>
        <w:ind w:firstLine="0"/>
        <w:jc w:val="both"/>
        <w:rPr>
          <w:rFonts w:ascii="Times New Roman" w:hAnsi="Times New Roman" w:cs="Times New Roman"/>
          <w:b/>
        </w:rPr>
      </w:pPr>
      <w:r>
        <w:rPr>
          <w:rFonts w:ascii="Times New Roman" w:hAnsi="Times New Roman" w:cs="Times New Roman"/>
        </w:rPr>
        <w:tab/>
      </w:r>
      <w:r w:rsidR="00805965">
        <w:rPr>
          <w:rFonts w:ascii="Times New Roman" w:hAnsi="Times New Roman" w:cs="Times New Roman"/>
          <w:b/>
        </w:rPr>
        <w:t>Q.</w:t>
      </w:r>
      <w:r w:rsidR="00805965">
        <w:rPr>
          <w:rFonts w:ascii="Times New Roman" w:hAnsi="Times New Roman" w:cs="Times New Roman"/>
          <w:b/>
        </w:rPr>
        <w:tab/>
      </w:r>
      <w:proofErr w:type="gramStart"/>
      <w:r w:rsidR="00805965">
        <w:rPr>
          <w:rFonts w:ascii="Times New Roman" w:hAnsi="Times New Roman" w:cs="Times New Roman"/>
          <w:b/>
        </w:rPr>
        <w:t>Notwithstanding</w:t>
      </w:r>
      <w:proofErr w:type="gramEnd"/>
      <w:r w:rsidR="00805965">
        <w:rPr>
          <w:rFonts w:ascii="Times New Roman" w:hAnsi="Times New Roman" w:cs="Times New Roman"/>
          <w:b/>
        </w:rPr>
        <w:t xml:space="preserve"> Public Counsel’s objections, why is this Settlement in the public interest?</w:t>
      </w:r>
    </w:p>
    <w:p w:rsidR="00805965" w:rsidRDefault="00805965" w:rsidP="00805965">
      <w:pPr>
        <w:pStyle w:val="P31"/>
        <w:ind w:firstLine="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w:t>
      </w:r>
      <w:r>
        <w:rPr>
          <w:rFonts w:ascii="Times New Roman" w:hAnsi="Times New Roman" w:cs="Times New Roman"/>
        </w:rPr>
        <w:tab/>
        <w:t xml:space="preserve">The Multiparty Settlement is in the “public interest” for </w:t>
      </w:r>
      <w:r w:rsidR="005766C8">
        <w:rPr>
          <w:rFonts w:ascii="Times New Roman" w:hAnsi="Times New Roman" w:cs="Times New Roman"/>
        </w:rPr>
        <w:t>several</w:t>
      </w:r>
      <w:r>
        <w:rPr>
          <w:rFonts w:ascii="Times New Roman" w:hAnsi="Times New Roman" w:cs="Times New Roman"/>
        </w:rPr>
        <w:t xml:space="preserve"> reasons, which include: </w:t>
      </w:r>
    </w:p>
    <w:p w:rsidR="00805965" w:rsidRDefault="00805965" w:rsidP="00805965">
      <w:pPr>
        <w:pStyle w:val="P31"/>
        <w:numPr>
          <w:ilvl w:val="0"/>
          <w:numId w:val="50"/>
        </w:numPr>
        <w:tabs>
          <w:tab w:val="clear" w:pos="1440"/>
          <w:tab w:val="left" w:pos="1260"/>
        </w:tabs>
        <w:spacing w:line="240" w:lineRule="auto"/>
        <w:ind w:left="806" w:firstLine="0"/>
        <w:jc w:val="both"/>
        <w:rPr>
          <w:rFonts w:ascii="Times New Roman" w:hAnsi="Times New Roman" w:cs="Times New Roman"/>
        </w:rPr>
      </w:pPr>
      <w:r>
        <w:rPr>
          <w:rFonts w:ascii="Times New Roman" w:hAnsi="Times New Roman" w:cs="Times New Roman"/>
        </w:rPr>
        <w:t xml:space="preserve">It occurred after the exchange of voluminous discovery over an extended period of nearly six months, which served to fully inform the parties of the issues, as well as after the </w:t>
      </w:r>
      <w:proofErr w:type="spellStart"/>
      <w:r>
        <w:rPr>
          <w:rFonts w:ascii="Times New Roman" w:hAnsi="Times New Roman" w:cs="Times New Roman"/>
        </w:rPr>
        <w:t>prefiling</w:t>
      </w:r>
      <w:proofErr w:type="spellEnd"/>
      <w:r>
        <w:rPr>
          <w:rFonts w:ascii="Times New Roman" w:hAnsi="Times New Roman" w:cs="Times New Roman"/>
        </w:rPr>
        <w:t xml:space="preserve"> of staff/</w:t>
      </w:r>
      <w:proofErr w:type="spellStart"/>
      <w:r>
        <w:rPr>
          <w:rFonts w:ascii="Times New Roman" w:hAnsi="Times New Roman" w:cs="Times New Roman"/>
        </w:rPr>
        <w:t>intervenor</w:t>
      </w:r>
      <w:proofErr w:type="spellEnd"/>
      <w:r>
        <w:rPr>
          <w:rFonts w:ascii="Times New Roman" w:hAnsi="Times New Roman" w:cs="Times New Roman"/>
        </w:rPr>
        <w:t xml:space="preserve"> testimony which framed the remaining issues.</w:t>
      </w:r>
    </w:p>
    <w:p w:rsidR="00805965" w:rsidRDefault="00805965" w:rsidP="00805965">
      <w:pPr>
        <w:pStyle w:val="P31"/>
        <w:numPr>
          <w:ilvl w:val="0"/>
          <w:numId w:val="50"/>
        </w:numPr>
        <w:tabs>
          <w:tab w:val="clear" w:pos="1440"/>
          <w:tab w:val="left" w:pos="1260"/>
        </w:tabs>
        <w:spacing w:line="240" w:lineRule="auto"/>
        <w:ind w:left="806" w:firstLine="0"/>
        <w:jc w:val="both"/>
        <w:rPr>
          <w:rFonts w:ascii="Times New Roman" w:hAnsi="Times New Roman" w:cs="Times New Roman"/>
        </w:rPr>
      </w:pPr>
      <w:r>
        <w:rPr>
          <w:rFonts w:ascii="Times New Roman" w:hAnsi="Times New Roman" w:cs="Times New Roman"/>
        </w:rPr>
        <w:t xml:space="preserve">It was the product of the give-and-take of negotiation that produced an “end result” that is just and reasonable. </w:t>
      </w:r>
    </w:p>
    <w:p w:rsidR="00805965" w:rsidRDefault="00805965" w:rsidP="00805965">
      <w:pPr>
        <w:pStyle w:val="P31"/>
        <w:numPr>
          <w:ilvl w:val="0"/>
          <w:numId w:val="50"/>
        </w:numPr>
        <w:tabs>
          <w:tab w:val="clear" w:pos="1440"/>
          <w:tab w:val="left" w:pos="1260"/>
        </w:tabs>
        <w:spacing w:line="240" w:lineRule="auto"/>
        <w:ind w:left="806" w:firstLine="0"/>
        <w:jc w:val="both"/>
        <w:rPr>
          <w:rFonts w:ascii="Times New Roman" w:hAnsi="Times New Roman" w:cs="Times New Roman"/>
        </w:rPr>
      </w:pPr>
      <w:r>
        <w:rPr>
          <w:rFonts w:ascii="Times New Roman" w:hAnsi="Times New Roman" w:cs="Times New Roman"/>
        </w:rPr>
        <w:t>It is supported by the evidence, demonstrating the continuing rate pressure brought about by necessary expenditures and investment, the costs of which are not offset by a growth in sales margins.</w:t>
      </w:r>
    </w:p>
    <w:p w:rsidR="00805965" w:rsidRDefault="00805965" w:rsidP="00805965">
      <w:pPr>
        <w:pStyle w:val="P31"/>
        <w:numPr>
          <w:ilvl w:val="0"/>
          <w:numId w:val="50"/>
        </w:numPr>
        <w:tabs>
          <w:tab w:val="clear" w:pos="1440"/>
          <w:tab w:val="left" w:pos="1170"/>
        </w:tabs>
        <w:spacing w:line="240" w:lineRule="auto"/>
        <w:ind w:left="806" w:firstLine="0"/>
        <w:jc w:val="both"/>
        <w:rPr>
          <w:rFonts w:ascii="Times New Roman" w:hAnsi="Times New Roman" w:cs="Times New Roman"/>
        </w:rPr>
      </w:pPr>
      <w:r>
        <w:rPr>
          <w:rFonts w:ascii="Times New Roman" w:hAnsi="Times New Roman" w:cs="Times New Roman"/>
        </w:rPr>
        <w:t xml:space="preserve">The Settlement enjoys broad-based support from a variety of constituencies, including </w:t>
      </w:r>
      <w:r w:rsidR="00531B38">
        <w:rPr>
          <w:rFonts w:ascii="Times New Roman" w:hAnsi="Times New Roman" w:cs="Times New Roman"/>
        </w:rPr>
        <w:t>industrial energy users</w:t>
      </w:r>
      <w:r w:rsidR="00891C90">
        <w:rPr>
          <w:rFonts w:ascii="Times New Roman" w:hAnsi="Times New Roman" w:cs="Times New Roman"/>
        </w:rPr>
        <w:t xml:space="preserve"> </w:t>
      </w:r>
      <w:r>
        <w:rPr>
          <w:rFonts w:ascii="Times New Roman" w:hAnsi="Times New Roman" w:cs="Times New Roman"/>
        </w:rPr>
        <w:t xml:space="preserve">(ICNU/NWIGU), as well as those with limited income (The Energy Project), serving to address their </w:t>
      </w:r>
      <w:r w:rsidR="000334C5">
        <w:rPr>
          <w:rFonts w:ascii="Times New Roman" w:hAnsi="Times New Roman" w:cs="Times New Roman"/>
        </w:rPr>
        <w:t xml:space="preserve">specific </w:t>
      </w:r>
      <w:r>
        <w:rPr>
          <w:rFonts w:ascii="Times New Roman" w:hAnsi="Times New Roman" w:cs="Times New Roman"/>
        </w:rPr>
        <w:t>needs</w:t>
      </w:r>
      <w:r w:rsidR="00024C98">
        <w:rPr>
          <w:rFonts w:ascii="Times New Roman" w:hAnsi="Times New Roman" w:cs="Times New Roman"/>
        </w:rPr>
        <w:t>,</w:t>
      </w:r>
      <w:r>
        <w:rPr>
          <w:rFonts w:ascii="Times New Roman" w:hAnsi="Times New Roman" w:cs="Times New Roman"/>
        </w:rPr>
        <w:t xml:space="preserve"> and the Staff of the Commission representing all customers.</w:t>
      </w:r>
    </w:p>
    <w:p w:rsidR="00805965" w:rsidRDefault="00805965" w:rsidP="00805965">
      <w:pPr>
        <w:pStyle w:val="P31"/>
        <w:numPr>
          <w:ilvl w:val="0"/>
          <w:numId w:val="50"/>
        </w:numPr>
        <w:tabs>
          <w:tab w:val="left" w:pos="1170"/>
        </w:tabs>
        <w:spacing w:line="240" w:lineRule="auto"/>
        <w:ind w:left="806" w:firstLine="0"/>
        <w:jc w:val="both"/>
        <w:rPr>
          <w:rFonts w:ascii="Times New Roman" w:hAnsi="Times New Roman" w:cs="Times New Roman"/>
        </w:rPr>
      </w:pPr>
      <w:r>
        <w:rPr>
          <w:rFonts w:ascii="Times New Roman" w:hAnsi="Times New Roman" w:cs="Times New Roman"/>
        </w:rPr>
        <w:t xml:space="preserve">The Settlement provides </w:t>
      </w:r>
      <w:r w:rsidR="00531B38">
        <w:rPr>
          <w:rFonts w:ascii="Times New Roman" w:hAnsi="Times New Roman" w:cs="Times New Roman"/>
        </w:rPr>
        <w:t xml:space="preserve">base </w:t>
      </w:r>
      <w:r>
        <w:rPr>
          <w:rFonts w:ascii="Times New Roman" w:hAnsi="Times New Roman" w:cs="Times New Roman"/>
        </w:rPr>
        <w:t>rate certainty over the next two years (2013/2014), which will benefit all customers, as they plan and budget for their needs.</w:t>
      </w:r>
    </w:p>
    <w:p w:rsidR="00805965" w:rsidRDefault="00805965" w:rsidP="00805965">
      <w:pPr>
        <w:pStyle w:val="P31"/>
        <w:numPr>
          <w:ilvl w:val="0"/>
          <w:numId w:val="50"/>
        </w:numPr>
        <w:tabs>
          <w:tab w:val="clear" w:pos="1440"/>
          <w:tab w:val="left" w:pos="1170"/>
        </w:tabs>
        <w:spacing w:line="240" w:lineRule="auto"/>
        <w:ind w:left="806" w:firstLine="0"/>
        <w:jc w:val="both"/>
        <w:rPr>
          <w:rFonts w:ascii="Times New Roman" w:hAnsi="Times New Roman" w:cs="Times New Roman"/>
        </w:rPr>
      </w:pPr>
      <w:r>
        <w:rPr>
          <w:rFonts w:ascii="Times New Roman" w:hAnsi="Times New Roman" w:cs="Times New Roman"/>
        </w:rPr>
        <w:t>It will prohibit Avista from filing to make effective a change in base rates prior to 2015, thereby breaking the yearly cycle of rate filings.</w:t>
      </w:r>
    </w:p>
    <w:p w:rsidR="00805965" w:rsidRDefault="00805965" w:rsidP="00805965">
      <w:pPr>
        <w:pStyle w:val="P31"/>
        <w:numPr>
          <w:ilvl w:val="0"/>
          <w:numId w:val="50"/>
        </w:numPr>
        <w:tabs>
          <w:tab w:val="clear" w:pos="1440"/>
          <w:tab w:val="left" w:pos="1170"/>
        </w:tabs>
        <w:spacing w:line="240" w:lineRule="auto"/>
        <w:ind w:left="806" w:firstLine="0"/>
        <w:jc w:val="both"/>
        <w:rPr>
          <w:rFonts w:ascii="Times New Roman" w:hAnsi="Times New Roman" w:cs="Times New Roman"/>
        </w:rPr>
      </w:pPr>
      <w:r>
        <w:rPr>
          <w:rFonts w:ascii="Times New Roman" w:hAnsi="Times New Roman" w:cs="Times New Roman"/>
        </w:rPr>
        <w:t>The impact of the base rate increases in 2013 and 2014 of 3% will be mitigated, in part, by the use of ERM deferral balances that might not have been otherwise returned to customers unless and until the ERM “trigger” was reached.</w:t>
      </w:r>
    </w:p>
    <w:p w:rsidR="00805965" w:rsidRDefault="00805965" w:rsidP="00805965">
      <w:pPr>
        <w:pStyle w:val="P31"/>
        <w:numPr>
          <w:ilvl w:val="0"/>
          <w:numId w:val="50"/>
        </w:numPr>
        <w:tabs>
          <w:tab w:val="left" w:pos="1170"/>
        </w:tabs>
        <w:spacing w:line="240" w:lineRule="auto"/>
        <w:ind w:left="806" w:firstLine="0"/>
        <w:jc w:val="both"/>
        <w:rPr>
          <w:rFonts w:ascii="Times New Roman" w:hAnsi="Times New Roman" w:cs="Times New Roman"/>
        </w:rPr>
      </w:pPr>
      <w:r>
        <w:rPr>
          <w:rFonts w:ascii="Times New Roman" w:hAnsi="Times New Roman" w:cs="Times New Roman"/>
        </w:rPr>
        <w:t xml:space="preserve">The “stay-out” provision preventing a change in base rates until 2015 will further challenge Avista to manage its costs in order to have the possibility of approaching the agreed-upon return on equity; indeed, </w:t>
      </w:r>
      <w:r w:rsidR="005766C8">
        <w:rPr>
          <w:rFonts w:ascii="Times New Roman" w:hAnsi="Times New Roman" w:cs="Times New Roman"/>
        </w:rPr>
        <w:t>the Company</w:t>
      </w:r>
      <w:r>
        <w:rPr>
          <w:rFonts w:ascii="Times New Roman" w:hAnsi="Times New Roman" w:cs="Times New Roman"/>
        </w:rPr>
        <w:t xml:space="preserve"> is already aggressively pursuing further cost savings</w:t>
      </w:r>
      <w:r w:rsidR="005766C8">
        <w:rPr>
          <w:rFonts w:ascii="Times New Roman" w:hAnsi="Times New Roman" w:cs="Times New Roman"/>
        </w:rPr>
        <w:t>,</w:t>
      </w:r>
      <w:r>
        <w:rPr>
          <w:rFonts w:ascii="Times New Roman" w:hAnsi="Times New Roman" w:cs="Times New Roman"/>
        </w:rPr>
        <w:t xml:space="preserve"> </w:t>
      </w:r>
      <w:r w:rsidR="00891C90">
        <w:rPr>
          <w:rFonts w:ascii="Times New Roman" w:hAnsi="Times New Roman" w:cs="Times New Roman"/>
        </w:rPr>
        <w:t xml:space="preserve">such as </w:t>
      </w:r>
      <w:r>
        <w:rPr>
          <w:rFonts w:ascii="Times New Roman" w:hAnsi="Times New Roman" w:cs="Times New Roman"/>
        </w:rPr>
        <w:t xml:space="preserve">through its recently-announced </w:t>
      </w:r>
      <w:r w:rsidR="001846C4">
        <w:rPr>
          <w:rFonts w:ascii="Times New Roman" w:hAnsi="Times New Roman" w:cs="Times New Roman"/>
        </w:rPr>
        <w:t xml:space="preserve">voluntary severance </w:t>
      </w:r>
      <w:r>
        <w:rPr>
          <w:rFonts w:ascii="Times New Roman" w:hAnsi="Times New Roman" w:cs="Times New Roman"/>
        </w:rPr>
        <w:t>program.</w:t>
      </w:r>
    </w:p>
    <w:p w:rsidR="00805965" w:rsidRDefault="00805965" w:rsidP="00805965">
      <w:pPr>
        <w:pStyle w:val="P31"/>
        <w:numPr>
          <w:ilvl w:val="0"/>
          <w:numId w:val="50"/>
        </w:numPr>
        <w:tabs>
          <w:tab w:val="left" w:pos="1170"/>
        </w:tabs>
        <w:spacing w:line="240" w:lineRule="auto"/>
        <w:ind w:left="806" w:firstLine="0"/>
        <w:jc w:val="both"/>
        <w:rPr>
          <w:rFonts w:ascii="Times New Roman" w:hAnsi="Times New Roman" w:cs="Times New Roman"/>
        </w:rPr>
      </w:pPr>
      <w:r>
        <w:rPr>
          <w:rFonts w:ascii="Times New Roman" w:hAnsi="Times New Roman" w:cs="Times New Roman"/>
        </w:rPr>
        <w:t xml:space="preserve">Finally, as I will discuss </w:t>
      </w:r>
      <w:r w:rsidR="005766C8">
        <w:rPr>
          <w:rFonts w:ascii="Times New Roman" w:hAnsi="Times New Roman" w:cs="Times New Roman"/>
        </w:rPr>
        <w:t>later in</w:t>
      </w:r>
      <w:r>
        <w:rPr>
          <w:rFonts w:ascii="Times New Roman" w:hAnsi="Times New Roman" w:cs="Times New Roman"/>
        </w:rPr>
        <w:t xml:space="preserve"> my testimony, in order to allay any concerns that Avista might somehow “over</w:t>
      </w:r>
      <w:r w:rsidR="000334C5">
        <w:rPr>
          <w:rFonts w:ascii="Times New Roman" w:hAnsi="Times New Roman" w:cs="Times New Roman"/>
        </w:rPr>
        <w:t>-</w:t>
      </w:r>
      <w:r>
        <w:rPr>
          <w:rFonts w:ascii="Times New Roman" w:hAnsi="Times New Roman" w:cs="Times New Roman"/>
        </w:rPr>
        <w:t>earn” during the 2013/2014 rate-effective period, Avista would agree to refund back to customers any earnings that exceed the 9.8% agreed-upon ROE during the 2013 and 2014 rate-effective period</w:t>
      </w:r>
      <w:r w:rsidR="001846C4">
        <w:rPr>
          <w:rFonts w:ascii="Times New Roman" w:hAnsi="Times New Roman" w:cs="Times New Roman"/>
        </w:rPr>
        <w:t>s</w:t>
      </w:r>
      <w:r>
        <w:rPr>
          <w:rFonts w:ascii="Times New Roman" w:hAnsi="Times New Roman" w:cs="Times New Roman"/>
        </w:rPr>
        <w:t>, based on filed Commission Basis Reports (</w:t>
      </w:r>
      <w:r w:rsidR="00891C90">
        <w:rPr>
          <w:rFonts w:ascii="Times New Roman" w:hAnsi="Times New Roman" w:cs="Times New Roman"/>
        </w:rPr>
        <w:t>“</w:t>
      </w:r>
      <w:r w:rsidR="000334C5">
        <w:rPr>
          <w:rFonts w:ascii="Times New Roman" w:hAnsi="Times New Roman" w:cs="Times New Roman"/>
        </w:rPr>
        <w:t>CBR</w:t>
      </w:r>
      <w:r w:rsidR="00891C90">
        <w:rPr>
          <w:rFonts w:ascii="Times New Roman" w:hAnsi="Times New Roman" w:cs="Times New Roman"/>
        </w:rPr>
        <w:t>”</w:t>
      </w:r>
      <w:r>
        <w:rPr>
          <w:rFonts w:ascii="Times New Roman" w:hAnsi="Times New Roman" w:cs="Times New Roman"/>
        </w:rPr>
        <w:t>).</w:t>
      </w:r>
    </w:p>
    <w:p w:rsidR="00805965" w:rsidRPr="003F3462" w:rsidRDefault="00805965" w:rsidP="00805965">
      <w:pPr>
        <w:pStyle w:val="P31"/>
        <w:spacing w:line="240" w:lineRule="auto"/>
        <w:ind w:left="806" w:firstLine="0"/>
        <w:jc w:val="both"/>
        <w:rPr>
          <w:rFonts w:ascii="Times New Roman" w:hAnsi="Times New Roman" w:cs="Times New Roman"/>
        </w:rPr>
      </w:pPr>
    </w:p>
    <w:p w:rsidR="00805965" w:rsidRDefault="00805965" w:rsidP="00805965">
      <w:pPr>
        <w:pStyle w:val="P106"/>
        <w:jc w:val="both"/>
        <w:rPr>
          <w:rStyle w:val="T11"/>
          <w:rFonts w:ascii="Times New Roman" w:hAnsi="Times New Roman" w:cs="Times New Roman"/>
        </w:rPr>
      </w:pPr>
      <w:r w:rsidRPr="00726FE9">
        <w:rPr>
          <w:rStyle w:val="T11"/>
          <w:rFonts w:ascii="Times New Roman" w:hAnsi="Times New Roman" w:cs="Times New Roman"/>
        </w:rPr>
        <w:t>Q.</w:t>
      </w:r>
      <w:r w:rsidRPr="00726FE9">
        <w:rPr>
          <w:rStyle w:val="T11"/>
          <w:rFonts w:ascii="Times New Roman" w:hAnsi="Times New Roman" w:cs="Times New Roman"/>
        </w:rPr>
        <w:tab/>
      </w:r>
      <w:r>
        <w:rPr>
          <w:rStyle w:val="T11"/>
          <w:rFonts w:ascii="Times New Roman" w:hAnsi="Times New Roman" w:cs="Times New Roman"/>
        </w:rPr>
        <w:t>Witnesses for Public Counsel express concern regarding the “black box” nature of the Settlement Stipulation, and that some of their proposed adjustments were not specifically addressed in the Settlement Stipulation.</w:t>
      </w:r>
      <w:r>
        <w:rPr>
          <w:rStyle w:val="FootnoteReference"/>
          <w:rFonts w:ascii="Times New Roman" w:hAnsi="Times New Roman"/>
          <w:b/>
        </w:rPr>
        <w:footnoteReference w:id="1"/>
      </w:r>
      <w:r>
        <w:rPr>
          <w:rStyle w:val="T11"/>
          <w:rFonts w:ascii="Times New Roman" w:hAnsi="Times New Roman" w:cs="Times New Roman"/>
        </w:rPr>
        <w:t xml:space="preserve">  What is the Company’s response to this testimony?</w:t>
      </w:r>
    </w:p>
    <w:p w:rsidR="00805965" w:rsidRDefault="00805965" w:rsidP="00805965">
      <w:pPr>
        <w:pStyle w:val="P106"/>
        <w:jc w:val="both"/>
        <w:rPr>
          <w:rStyle w:val="T11"/>
          <w:rFonts w:ascii="Times New Roman" w:hAnsi="Times New Roman" w:cs="Times New Roman"/>
          <w:b w:val="0"/>
        </w:rPr>
      </w:pPr>
      <w:r w:rsidRPr="000647FA">
        <w:rPr>
          <w:rStyle w:val="T11"/>
          <w:rFonts w:ascii="Times New Roman" w:hAnsi="Times New Roman" w:cs="Times New Roman"/>
          <w:b w:val="0"/>
        </w:rPr>
        <w:t>A.</w:t>
      </w:r>
      <w:r w:rsidRPr="000647FA">
        <w:rPr>
          <w:rStyle w:val="T11"/>
          <w:rFonts w:ascii="Times New Roman" w:hAnsi="Times New Roman" w:cs="Times New Roman"/>
          <w:b w:val="0"/>
        </w:rPr>
        <w:tab/>
      </w:r>
      <w:r>
        <w:rPr>
          <w:rStyle w:val="T11"/>
          <w:rFonts w:ascii="Times New Roman" w:hAnsi="Times New Roman" w:cs="Times New Roman"/>
          <w:b w:val="0"/>
        </w:rPr>
        <w:t xml:space="preserve">Settlement agreements presented to the </w:t>
      </w:r>
      <w:r w:rsidR="00891C90">
        <w:rPr>
          <w:rStyle w:val="T11"/>
          <w:rFonts w:ascii="Times New Roman" w:hAnsi="Times New Roman" w:cs="Times New Roman"/>
          <w:b w:val="0"/>
        </w:rPr>
        <w:t xml:space="preserve">Commission </w:t>
      </w:r>
      <w:r>
        <w:rPr>
          <w:rStyle w:val="T11"/>
          <w:rFonts w:ascii="Times New Roman" w:hAnsi="Times New Roman" w:cs="Times New Roman"/>
          <w:b w:val="0"/>
        </w:rPr>
        <w:t>often have a “black box” nature to them.  The Commission has on many occasions previously expressed its view</w:t>
      </w:r>
      <w:r w:rsidR="005766C8">
        <w:rPr>
          <w:rStyle w:val="T11"/>
          <w:rFonts w:ascii="Times New Roman" w:hAnsi="Times New Roman" w:cs="Times New Roman"/>
          <w:b w:val="0"/>
        </w:rPr>
        <w:t xml:space="preserve"> on</w:t>
      </w:r>
      <w:r>
        <w:rPr>
          <w:rStyle w:val="T11"/>
          <w:rFonts w:ascii="Times New Roman" w:hAnsi="Times New Roman" w:cs="Times New Roman"/>
          <w:b w:val="0"/>
        </w:rPr>
        <w:t>, and support of, settle</w:t>
      </w:r>
      <w:r w:rsidR="001B32C8">
        <w:rPr>
          <w:rStyle w:val="T11"/>
          <w:rFonts w:ascii="Times New Roman" w:hAnsi="Times New Roman" w:cs="Times New Roman"/>
          <w:b w:val="0"/>
        </w:rPr>
        <w:t>ments that involve a “black box</w:t>
      </w:r>
      <w:r>
        <w:rPr>
          <w:rStyle w:val="T11"/>
          <w:rFonts w:ascii="Times New Roman" w:hAnsi="Times New Roman" w:cs="Times New Roman"/>
          <w:b w:val="0"/>
        </w:rPr>
        <w:t>”.  For example, the PacifiCorp Docket No. UE-032065 involved a multi-party settlement that was not supported by the Industrial Customers of Northwest Utilities (ICNU) and Public Counsel.  In Order No. 06, dated October 27, 2004, in that Docket, on page 26, paragraph 61, the Commission stated as follows:</w:t>
      </w:r>
    </w:p>
    <w:p w:rsidR="00805965" w:rsidRDefault="00805965" w:rsidP="00805965">
      <w:pPr>
        <w:pStyle w:val="P106"/>
        <w:spacing w:line="240" w:lineRule="auto"/>
        <w:ind w:left="720" w:hanging="720"/>
        <w:jc w:val="both"/>
        <w:rPr>
          <w:rStyle w:val="T11"/>
          <w:rFonts w:ascii="Times New Roman" w:hAnsi="Times New Roman" w:cs="Times New Roman"/>
          <w:b w:val="0"/>
        </w:rPr>
      </w:pPr>
      <w:r>
        <w:rPr>
          <w:rStyle w:val="T11"/>
          <w:rFonts w:ascii="Times New Roman" w:hAnsi="Times New Roman" w:cs="Times New Roman"/>
          <w:b w:val="0"/>
        </w:rPr>
        <w:tab/>
      </w:r>
      <w:r w:rsidR="000334C5">
        <w:rPr>
          <w:rStyle w:val="T11"/>
          <w:rFonts w:ascii="Times New Roman" w:hAnsi="Times New Roman" w:cs="Times New Roman"/>
          <w:b w:val="0"/>
        </w:rPr>
        <w:t>“</w:t>
      </w:r>
      <w:r>
        <w:rPr>
          <w:rStyle w:val="T11"/>
          <w:rFonts w:ascii="Times New Roman" w:hAnsi="Times New Roman" w:cs="Times New Roman"/>
          <w:b w:val="0"/>
        </w:rPr>
        <w:t xml:space="preserve">ICNU developed through cross-examination and Public Counsel argues on brief that the settlement, in this sense, has a “black box” character.  </w:t>
      </w:r>
      <w:r w:rsidRPr="0012193D">
        <w:rPr>
          <w:rStyle w:val="T11"/>
          <w:rFonts w:ascii="Times New Roman" w:hAnsi="Times New Roman" w:cs="Times New Roman"/>
          <w:b w:val="0"/>
          <w:u w:val="single"/>
        </w:rPr>
        <w:t>This implied criticism ignores the fact that all settlements have a so-called black box quality to one degree or another – they are by nature compromises of more extreme positions that are supported by evidence and advocacy.</w:t>
      </w:r>
      <w:r>
        <w:rPr>
          <w:rStyle w:val="T11"/>
          <w:rFonts w:ascii="Times New Roman" w:hAnsi="Times New Roman" w:cs="Times New Roman"/>
          <w:b w:val="0"/>
        </w:rPr>
        <w:t xml:space="preserve">  In addition, as do many settlements presented to the Commission, the Settlement Agreement here includes a disclaimer that:</w:t>
      </w:r>
    </w:p>
    <w:p w:rsidR="00805965" w:rsidRDefault="00805965" w:rsidP="00805965">
      <w:pPr>
        <w:pStyle w:val="P106"/>
        <w:spacing w:line="240" w:lineRule="auto"/>
        <w:ind w:left="720" w:hanging="720"/>
        <w:jc w:val="both"/>
        <w:rPr>
          <w:rStyle w:val="T11"/>
          <w:rFonts w:ascii="Times New Roman" w:hAnsi="Times New Roman" w:cs="Times New Roman"/>
          <w:b w:val="0"/>
        </w:rPr>
      </w:pPr>
    </w:p>
    <w:p w:rsidR="00805965" w:rsidRDefault="00805965" w:rsidP="00805965">
      <w:pPr>
        <w:pStyle w:val="P106"/>
        <w:spacing w:line="240" w:lineRule="auto"/>
        <w:ind w:left="1260" w:hanging="1260"/>
        <w:jc w:val="both"/>
        <w:rPr>
          <w:rStyle w:val="T11"/>
          <w:rFonts w:ascii="Times New Roman" w:hAnsi="Times New Roman" w:cs="Times New Roman"/>
          <w:b w:val="0"/>
        </w:rPr>
      </w:pPr>
      <w:r>
        <w:rPr>
          <w:rStyle w:val="T11"/>
          <w:rFonts w:ascii="Times New Roman" w:hAnsi="Times New Roman" w:cs="Times New Roman"/>
          <w:b w:val="0"/>
        </w:rPr>
        <w:tab/>
      </w:r>
      <w:r>
        <w:rPr>
          <w:rStyle w:val="T11"/>
          <w:rFonts w:ascii="Times New Roman" w:hAnsi="Times New Roman" w:cs="Times New Roman"/>
          <w:b w:val="0"/>
        </w:rPr>
        <w:tab/>
        <w:t xml:space="preserve">By executing this Settlement Agreement, no party shall be deemed to have approved, admitted or consented to the facts, principles, methods or theories employed in arriving at the terms of this Settlement Agreement, </w:t>
      </w:r>
      <w:r w:rsidR="005766C8">
        <w:rPr>
          <w:rStyle w:val="T11"/>
          <w:rFonts w:ascii="Times New Roman" w:hAnsi="Times New Roman" w:cs="Times New Roman"/>
          <w:b w:val="0"/>
        </w:rPr>
        <w:t xml:space="preserve">nor </w:t>
      </w:r>
      <w:r>
        <w:rPr>
          <w:rStyle w:val="T11"/>
          <w:rFonts w:ascii="Times New Roman" w:hAnsi="Times New Roman" w:cs="Times New Roman"/>
          <w:b w:val="0"/>
        </w:rPr>
        <w:t xml:space="preserve">shall any Party be deemed to have agreed that any provision of this Settlement Agreement is appropriate for resolving issues in </w:t>
      </w:r>
      <w:r w:rsidR="000334C5">
        <w:rPr>
          <w:rStyle w:val="T11"/>
          <w:rFonts w:ascii="Times New Roman" w:hAnsi="Times New Roman" w:cs="Times New Roman"/>
          <w:b w:val="0"/>
        </w:rPr>
        <w:t xml:space="preserve">any </w:t>
      </w:r>
      <w:r>
        <w:rPr>
          <w:rStyle w:val="T11"/>
          <w:rFonts w:ascii="Times New Roman" w:hAnsi="Times New Roman" w:cs="Times New Roman"/>
          <w:b w:val="0"/>
        </w:rPr>
        <w:t>other proceeding.</w:t>
      </w:r>
    </w:p>
    <w:p w:rsidR="00805965" w:rsidRDefault="00805965" w:rsidP="00805965">
      <w:pPr>
        <w:pStyle w:val="P106"/>
        <w:spacing w:line="240" w:lineRule="auto"/>
        <w:ind w:left="1260" w:hanging="1260"/>
        <w:jc w:val="both"/>
        <w:rPr>
          <w:rStyle w:val="T11"/>
          <w:rFonts w:ascii="Times New Roman" w:hAnsi="Times New Roman" w:cs="Times New Roman"/>
          <w:b w:val="0"/>
        </w:rPr>
      </w:pPr>
    </w:p>
    <w:p w:rsidR="00805965" w:rsidRDefault="00805965" w:rsidP="00805965">
      <w:pPr>
        <w:pStyle w:val="P106"/>
        <w:spacing w:line="240" w:lineRule="auto"/>
        <w:ind w:left="720" w:hanging="720"/>
        <w:jc w:val="both"/>
        <w:rPr>
          <w:rStyle w:val="T11"/>
          <w:rFonts w:ascii="Times New Roman" w:hAnsi="Times New Roman" w:cs="Times New Roman"/>
          <w:b w:val="0"/>
        </w:rPr>
      </w:pPr>
      <w:r>
        <w:rPr>
          <w:rStyle w:val="T11"/>
          <w:rFonts w:ascii="Times New Roman" w:hAnsi="Times New Roman" w:cs="Times New Roman"/>
          <w:b w:val="0"/>
        </w:rPr>
        <w:tab/>
        <w:t xml:space="preserve">For these reasons, except to the extent they help us understand the compromise nature of the parties’ agreement to an overall revenue requirement, and to give us insight into things the settling parties considered in arriving at their compromise, </w:t>
      </w:r>
      <w:r w:rsidRPr="00176E7A">
        <w:rPr>
          <w:rStyle w:val="T11"/>
          <w:rFonts w:ascii="Times New Roman" w:hAnsi="Times New Roman" w:cs="Times New Roman"/>
          <w:b w:val="0"/>
          <w:u w:val="single"/>
        </w:rPr>
        <w:t>close scrutiny of the individual adjustments is not required</w:t>
      </w:r>
      <w:r>
        <w:rPr>
          <w:rStyle w:val="T11"/>
          <w:rFonts w:ascii="Times New Roman" w:hAnsi="Times New Roman" w:cs="Times New Roman"/>
          <w:b w:val="0"/>
        </w:rPr>
        <w:t>.  (</w:t>
      </w:r>
      <w:proofErr w:type="gramStart"/>
      <w:r>
        <w:rPr>
          <w:rStyle w:val="T11"/>
          <w:rFonts w:ascii="Times New Roman" w:hAnsi="Times New Roman" w:cs="Times New Roman"/>
          <w:b w:val="0"/>
        </w:rPr>
        <w:t>emphasis</w:t>
      </w:r>
      <w:proofErr w:type="gramEnd"/>
      <w:r>
        <w:rPr>
          <w:rStyle w:val="T11"/>
          <w:rFonts w:ascii="Times New Roman" w:hAnsi="Times New Roman" w:cs="Times New Roman"/>
          <w:b w:val="0"/>
        </w:rPr>
        <w:t xml:space="preserve"> added) (</w:t>
      </w:r>
      <w:proofErr w:type="gramStart"/>
      <w:r>
        <w:rPr>
          <w:rStyle w:val="T11"/>
          <w:rFonts w:ascii="Times New Roman" w:hAnsi="Times New Roman" w:cs="Times New Roman"/>
          <w:b w:val="0"/>
        </w:rPr>
        <w:t>footnotes</w:t>
      </w:r>
      <w:proofErr w:type="gramEnd"/>
      <w:r>
        <w:rPr>
          <w:rStyle w:val="T11"/>
          <w:rFonts w:ascii="Times New Roman" w:hAnsi="Times New Roman" w:cs="Times New Roman"/>
          <w:b w:val="0"/>
        </w:rPr>
        <w:t xml:space="preserve"> omitted)</w:t>
      </w:r>
      <w:r w:rsidR="000334C5">
        <w:rPr>
          <w:rStyle w:val="T11"/>
          <w:rFonts w:ascii="Times New Roman" w:hAnsi="Times New Roman" w:cs="Times New Roman"/>
          <w:b w:val="0"/>
        </w:rPr>
        <w:t>”</w:t>
      </w:r>
    </w:p>
    <w:p w:rsidR="00805965" w:rsidRDefault="00805965" w:rsidP="00805965">
      <w:pPr>
        <w:pStyle w:val="P106"/>
        <w:jc w:val="both"/>
        <w:rPr>
          <w:rStyle w:val="T11"/>
          <w:rFonts w:ascii="Times New Roman" w:hAnsi="Times New Roman" w:cs="Times New Roman"/>
          <w:b w:val="0"/>
        </w:rPr>
      </w:pPr>
    </w:p>
    <w:p w:rsidR="00805965" w:rsidRDefault="00805965" w:rsidP="00805965">
      <w:pPr>
        <w:pStyle w:val="P106"/>
        <w:jc w:val="both"/>
        <w:rPr>
          <w:rStyle w:val="T11"/>
          <w:rFonts w:ascii="Times New Roman" w:hAnsi="Times New Roman" w:cs="Times New Roman"/>
          <w:b w:val="0"/>
        </w:rPr>
      </w:pPr>
      <w:r>
        <w:rPr>
          <w:rStyle w:val="T11"/>
          <w:rFonts w:ascii="Times New Roman" w:hAnsi="Times New Roman" w:cs="Times New Roman"/>
          <w:b w:val="0"/>
        </w:rPr>
        <w:t>In a footnote to this portion of Order No. 06 (</w:t>
      </w:r>
      <w:r w:rsidR="000334C5">
        <w:rPr>
          <w:rStyle w:val="T11"/>
          <w:rFonts w:ascii="Times New Roman" w:hAnsi="Times New Roman" w:cs="Times New Roman"/>
          <w:b w:val="0"/>
        </w:rPr>
        <w:t xml:space="preserve">footnote </w:t>
      </w:r>
      <w:r>
        <w:rPr>
          <w:rStyle w:val="T11"/>
          <w:rFonts w:ascii="Times New Roman" w:hAnsi="Times New Roman" w:cs="Times New Roman"/>
          <w:b w:val="0"/>
        </w:rPr>
        <w:t>52, page 27), the Commission noted that:</w:t>
      </w:r>
    </w:p>
    <w:p w:rsidR="00805965" w:rsidRDefault="00805965" w:rsidP="00805965">
      <w:pPr>
        <w:pStyle w:val="P106"/>
        <w:spacing w:line="240" w:lineRule="auto"/>
        <w:ind w:left="720" w:hanging="720"/>
        <w:jc w:val="both"/>
        <w:rPr>
          <w:rStyle w:val="T11"/>
          <w:rFonts w:ascii="Times New Roman" w:hAnsi="Times New Roman" w:cs="Times New Roman"/>
          <w:b w:val="0"/>
        </w:rPr>
      </w:pPr>
      <w:r>
        <w:rPr>
          <w:rStyle w:val="T11"/>
          <w:rFonts w:ascii="Times New Roman" w:hAnsi="Times New Roman" w:cs="Times New Roman"/>
          <w:b w:val="0"/>
        </w:rPr>
        <w:tab/>
      </w:r>
      <w:r w:rsidR="000334C5">
        <w:rPr>
          <w:rStyle w:val="T11"/>
          <w:rFonts w:ascii="Times New Roman" w:hAnsi="Times New Roman" w:cs="Times New Roman"/>
          <w:b w:val="0"/>
        </w:rPr>
        <w:t>“</w:t>
      </w:r>
      <w:r>
        <w:rPr>
          <w:rStyle w:val="T11"/>
          <w:rFonts w:ascii="Times New Roman" w:hAnsi="Times New Roman" w:cs="Times New Roman"/>
          <w:b w:val="0"/>
        </w:rPr>
        <w:t>Public Counsel and ICNU have been parties to many settlements presented to, and approved by, the Commission, including settlements that lack even the level of analytical detail presented here.</w:t>
      </w:r>
      <w:r w:rsidR="000334C5">
        <w:rPr>
          <w:rStyle w:val="T11"/>
          <w:rFonts w:ascii="Times New Roman" w:hAnsi="Times New Roman" w:cs="Times New Roman"/>
          <w:b w:val="0"/>
        </w:rPr>
        <w:t>”</w:t>
      </w:r>
    </w:p>
    <w:p w:rsidR="00805965" w:rsidRDefault="00805965" w:rsidP="00805965">
      <w:pPr>
        <w:pStyle w:val="P106"/>
        <w:jc w:val="both"/>
        <w:rPr>
          <w:rStyle w:val="T11"/>
          <w:rFonts w:ascii="Times New Roman" w:hAnsi="Times New Roman" w:cs="Times New Roman"/>
          <w:b w:val="0"/>
        </w:rPr>
      </w:pPr>
    </w:p>
    <w:p w:rsidR="00805965" w:rsidRDefault="00805965" w:rsidP="00805965">
      <w:pPr>
        <w:pStyle w:val="P106"/>
        <w:jc w:val="both"/>
        <w:rPr>
          <w:rStyle w:val="T11"/>
          <w:rFonts w:ascii="Times New Roman" w:hAnsi="Times New Roman" w:cs="Times New Roman"/>
          <w:b w:val="0"/>
        </w:rPr>
      </w:pPr>
      <w:r>
        <w:rPr>
          <w:rStyle w:val="T11"/>
          <w:rFonts w:ascii="Times New Roman" w:hAnsi="Times New Roman" w:cs="Times New Roman"/>
          <w:b w:val="0"/>
        </w:rPr>
        <w:t xml:space="preserve">The Commission went on to state, in this same Order, on page 27, in paragraph 62. </w:t>
      </w:r>
      <w:proofErr w:type="gramStart"/>
      <w:r>
        <w:rPr>
          <w:rStyle w:val="T11"/>
          <w:rFonts w:ascii="Times New Roman" w:hAnsi="Times New Roman" w:cs="Times New Roman"/>
          <w:b w:val="0"/>
        </w:rPr>
        <w:t>that</w:t>
      </w:r>
      <w:proofErr w:type="gramEnd"/>
      <w:r>
        <w:rPr>
          <w:rStyle w:val="T11"/>
          <w:rFonts w:ascii="Times New Roman" w:hAnsi="Times New Roman" w:cs="Times New Roman"/>
          <w:b w:val="0"/>
        </w:rPr>
        <w:t>:</w:t>
      </w:r>
    </w:p>
    <w:p w:rsidR="00805965" w:rsidRDefault="00805965" w:rsidP="00805965">
      <w:pPr>
        <w:pStyle w:val="P106"/>
        <w:spacing w:line="240" w:lineRule="auto"/>
        <w:ind w:left="720" w:hanging="720"/>
        <w:jc w:val="both"/>
        <w:rPr>
          <w:rStyle w:val="T11"/>
          <w:rFonts w:ascii="Times New Roman" w:hAnsi="Times New Roman" w:cs="Times New Roman"/>
          <w:b w:val="0"/>
        </w:rPr>
      </w:pPr>
      <w:r>
        <w:rPr>
          <w:rStyle w:val="T11"/>
          <w:rFonts w:ascii="Times New Roman" w:hAnsi="Times New Roman" w:cs="Times New Roman"/>
          <w:b w:val="0"/>
        </w:rPr>
        <w:tab/>
      </w:r>
      <w:r w:rsidR="000334C5">
        <w:rPr>
          <w:rStyle w:val="T11"/>
          <w:rFonts w:ascii="Times New Roman" w:hAnsi="Times New Roman" w:cs="Times New Roman"/>
          <w:b w:val="0"/>
        </w:rPr>
        <w:t>“</w:t>
      </w:r>
      <w:r>
        <w:rPr>
          <w:rStyle w:val="T11"/>
          <w:rFonts w:ascii="Times New Roman" w:hAnsi="Times New Roman" w:cs="Times New Roman"/>
          <w:b w:val="0"/>
        </w:rPr>
        <w:t>Ratemaking is not an exact science.  As our Supreme Court has observed:  “[t]he economic judgments required in rate proceedings are often hopelessly complex and do not admit of a single correct result.” (</w:t>
      </w:r>
      <w:proofErr w:type="gramStart"/>
      <w:r>
        <w:rPr>
          <w:rStyle w:val="T11"/>
          <w:rFonts w:ascii="Times New Roman" w:hAnsi="Times New Roman" w:cs="Times New Roman"/>
          <w:b w:val="0"/>
        </w:rPr>
        <w:t>footnote</w:t>
      </w:r>
      <w:proofErr w:type="gramEnd"/>
      <w:r>
        <w:rPr>
          <w:rStyle w:val="T11"/>
          <w:rFonts w:ascii="Times New Roman" w:hAnsi="Times New Roman" w:cs="Times New Roman"/>
          <w:b w:val="0"/>
        </w:rPr>
        <w:t xml:space="preserve"> omitted) Thus, while Public Counsel and ICNU would have us make different adjustments, or assign different values to certain of the adjustments made in the Settlement Agreement, we are confident in our judgment, made on the basis of the record before us, that the overall result in terms of revenue requirement is reasonable and well supported by the evidence.</w:t>
      </w:r>
      <w:r w:rsidR="000334C5">
        <w:rPr>
          <w:rStyle w:val="T11"/>
          <w:rFonts w:ascii="Times New Roman" w:hAnsi="Times New Roman" w:cs="Times New Roman"/>
          <w:b w:val="0"/>
        </w:rPr>
        <w:t>”</w:t>
      </w:r>
      <w:r>
        <w:rPr>
          <w:rStyle w:val="T11"/>
          <w:rFonts w:ascii="Times New Roman" w:hAnsi="Times New Roman" w:cs="Times New Roman"/>
          <w:b w:val="0"/>
        </w:rPr>
        <w:t xml:space="preserve"> </w:t>
      </w:r>
    </w:p>
    <w:p w:rsidR="00805965" w:rsidRPr="000647FA" w:rsidRDefault="00805965" w:rsidP="00805965">
      <w:pPr>
        <w:pStyle w:val="P106"/>
        <w:jc w:val="both"/>
        <w:rPr>
          <w:rFonts w:ascii="Times New Roman" w:hAnsi="Times New Roman" w:cs="Times New Roman"/>
          <w:b/>
        </w:rPr>
      </w:pPr>
    </w:p>
    <w:p w:rsidR="00805965" w:rsidRPr="00561A94" w:rsidRDefault="00805965" w:rsidP="00805965">
      <w:pPr>
        <w:pStyle w:val="P31"/>
        <w:jc w:val="both"/>
        <w:rPr>
          <w:rFonts w:ascii="Times New Roman" w:hAnsi="Times New Roman" w:cs="Times New Roman"/>
          <w:b/>
        </w:rPr>
      </w:pPr>
      <w:r w:rsidRPr="00561A94">
        <w:rPr>
          <w:rFonts w:ascii="Times New Roman" w:hAnsi="Times New Roman" w:cs="Times New Roman"/>
          <w:b/>
        </w:rPr>
        <w:t>Q.</w:t>
      </w:r>
      <w:r w:rsidRPr="00561A94">
        <w:rPr>
          <w:rFonts w:ascii="Times New Roman" w:hAnsi="Times New Roman" w:cs="Times New Roman"/>
          <w:b/>
        </w:rPr>
        <w:tab/>
        <w:t>Have these same issues been addressed in other orders of the Commission?</w:t>
      </w:r>
    </w:p>
    <w:p w:rsidR="00805965" w:rsidRDefault="00805965" w:rsidP="00805965">
      <w:pPr>
        <w:pStyle w:val="P31"/>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Another example is in the Avista Docket Nos. </w:t>
      </w:r>
      <w:proofErr w:type="gramStart"/>
      <w:r>
        <w:rPr>
          <w:rFonts w:ascii="Times New Roman" w:hAnsi="Times New Roman" w:cs="Times New Roman"/>
        </w:rPr>
        <w:t>UE-050482 and UG-050483, where a multi-party settlement agreement was presented to the Commission for its consideration.</w:t>
      </w:r>
      <w:proofErr w:type="gramEnd"/>
      <w:r>
        <w:rPr>
          <w:rFonts w:ascii="Times New Roman" w:hAnsi="Times New Roman" w:cs="Times New Roman"/>
        </w:rPr>
        <w:t xml:space="preserve">  All parties supported the settlement agreement except Public Counsel and ICNU.  The following discussion was included in the Commission’s Order No. 05, dated December 21, 2005, beginning in paragraph 28 on page 13:</w:t>
      </w:r>
    </w:p>
    <w:p w:rsidR="00805965" w:rsidRDefault="00805965" w:rsidP="00805965">
      <w:pPr>
        <w:pStyle w:val="P31"/>
        <w:spacing w:line="240" w:lineRule="auto"/>
        <w:ind w:left="720" w:hanging="720"/>
        <w:jc w:val="both"/>
        <w:rPr>
          <w:rFonts w:ascii="Times New Roman" w:hAnsi="Times New Roman" w:cs="Times New Roman"/>
        </w:rPr>
      </w:pPr>
      <w:r>
        <w:rPr>
          <w:rFonts w:ascii="Times New Roman" w:hAnsi="Times New Roman" w:cs="Times New Roman"/>
        </w:rPr>
        <w:tab/>
      </w:r>
      <w:r w:rsidR="000334C5">
        <w:rPr>
          <w:rFonts w:ascii="Times New Roman" w:hAnsi="Times New Roman" w:cs="Times New Roman"/>
        </w:rPr>
        <w:t>“</w:t>
      </w:r>
      <w:r>
        <w:rPr>
          <w:rFonts w:ascii="Times New Roman" w:hAnsi="Times New Roman" w:cs="Times New Roman"/>
        </w:rPr>
        <w:t xml:space="preserve">Both Staff and Avista address ICNU’s and Public Counsel’s criticisms of the settlement process with discussions of prior proceedings in which the Commission has approved contested settlements, including the recent PacifiCorp proceeding, where the Commission approved a multiparty, </w:t>
      </w:r>
      <w:proofErr w:type="spellStart"/>
      <w:r>
        <w:rPr>
          <w:rFonts w:ascii="Times New Roman" w:hAnsi="Times New Roman" w:cs="Times New Roman"/>
        </w:rPr>
        <w:t>nonunanimous</w:t>
      </w:r>
      <w:proofErr w:type="spellEnd"/>
      <w:r>
        <w:rPr>
          <w:rFonts w:ascii="Times New Roman" w:hAnsi="Times New Roman" w:cs="Times New Roman"/>
        </w:rPr>
        <w:t xml:space="preserve"> settlement agreement, subject to conditions, as a reasonable resolution of PacifiCorp’s request for a general increase in electric rates.  Staff observes:</w:t>
      </w:r>
    </w:p>
    <w:p w:rsidR="00805965" w:rsidRDefault="00805965" w:rsidP="00805965">
      <w:pPr>
        <w:pStyle w:val="P31"/>
        <w:spacing w:line="240" w:lineRule="auto"/>
        <w:ind w:left="720" w:hanging="720"/>
        <w:jc w:val="both"/>
        <w:rPr>
          <w:rFonts w:ascii="Times New Roman" w:hAnsi="Times New Roman" w:cs="Times New Roman"/>
        </w:rPr>
      </w:pPr>
    </w:p>
    <w:p w:rsidR="00805965" w:rsidRPr="00F81580" w:rsidRDefault="00805965" w:rsidP="00805965">
      <w:pPr>
        <w:pStyle w:val="P31"/>
        <w:spacing w:line="240" w:lineRule="auto"/>
        <w:ind w:left="1267" w:hanging="12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In the </w:t>
      </w:r>
      <w:r w:rsidRPr="00F81580">
        <w:rPr>
          <w:rFonts w:ascii="Times New Roman" w:hAnsi="Times New Roman" w:cs="Times New Roman"/>
          <w:i/>
        </w:rPr>
        <w:t>PacifiCorp</w:t>
      </w:r>
      <w:r>
        <w:rPr>
          <w:rFonts w:ascii="Times New Roman" w:hAnsi="Times New Roman" w:cs="Times New Roman"/>
        </w:rPr>
        <w:t xml:space="preserve"> case, as in this one, the proposed settlement was opposed by both Public Counsel, and ICNU.  Among other contentions, </w:t>
      </w:r>
      <w:r w:rsidRPr="00F81580">
        <w:rPr>
          <w:rFonts w:ascii="Times New Roman" w:hAnsi="Times New Roman" w:cs="Times New Roman"/>
          <w:u w:val="single"/>
        </w:rPr>
        <w:t>those parties argued that the Commission was required to analyze and approve every individual adjustment that comprised the overall revenue requirement in the parties’ settlement agreement, even though that agreement clearly was the product of negotiation and compromise.  The Commission disagreed.</w:t>
      </w:r>
      <w:r>
        <w:rPr>
          <w:rFonts w:ascii="Times New Roman" w:hAnsi="Times New Roman" w:cs="Times New Roman"/>
          <w:u w:val="single"/>
        </w:rPr>
        <w:t xml:space="preserve">  </w:t>
      </w:r>
      <w:r w:rsidRPr="00F81580">
        <w:rPr>
          <w:rFonts w:ascii="Times New Roman" w:hAnsi="Times New Roman" w:cs="Times New Roman"/>
        </w:rPr>
        <w:t>(</w:t>
      </w:r>
      <w:proofErr w:type="gramStart"/>
      <w:r w:rsidRPr="00F81580">
        <w:rPr>
          <w:rFonts w:ascii="Times New Roman" w:hAnsi="Times New Roman" w:cs="Times New Roman"/>
        </w:rPr>
        <w:t>emphasis</w:t>
      </w:r>
      <w:proofErr w:type="gramEnd"/>
      <w:r w:rsidRPr="00F81580">
        <w:rPr>
          <w:rFonts w:ascii="Times New Roman" w:hAnsi="Times New Roman" w:cs="Times New Roman"/>
        </w:rPr>
        <w:t xml:space="preserve"> added)</w:t>
      </w:r>
    </w:p>
    <w:p w:rsidR="00805965" w:rsidRDefault="00805965" w:rsidP="00805965">
      <w:pPr>
        <w:pStyle w:val="P31"/>
        <w:spacing w:line="240" w:lineRule="auto"/>
        <w:ind w:left="1267" w:hanging="1267"/>
        <w:jc w:val="both"/>
        <w:rPr>
          <w:rFonts w:ascii="Times New Roman" w:hAnsi="Times New Roman" w:cs="Times New Roman"/>
        </w:rPr>
      </w:pPr>
    </w:p>
    <w:p w:rsidR="00805965" w:rsidRDefault="00805965" w:rsidP="00805965">
      <w:pPr>
        <w:pStyle w:val="P31"/>
        <w:spacing w:line="240" w:lineRule="auto"/>
        <w:ind w:left="1267" w:hanging="12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The Commission noted that the settlement agreement must be viewed as a whole, with a view to whether the “overall result in terms of revenue requirement is reasonable and well supported by the evidence.”</w:t>
      </w:r>
    </w:p>
    <w:p w:rsidR="00805965" w:rsidRDefault="00805965" w:rsidP="00805965">
      <w:pPr>
        <w:pStyle w:val="P31"/>
        <w:spacing w:line="240" w:lineRule="auto"/>
        <w:ind w:left="1267" w:hanging="1267"/>
        <w:jc w:val="both"/>
        <w:rPr>
          <w:rFonts w:ascii="Times New Roman" w:hAnsi="Times New Roman" w:cs="Times New Roman"/>
        </w:rPr>
      </w:pPr>
    </w:p>
    <w:p w:rsidR="00805965" w:rsidRDefault="00805965" w:rsidP="00805965">
      <w:pPr>
        <w:pStyle w:val="P31"/>
        <w:spacing w:line="240" w:lineRule="auto"/>
        <w:ind w:left="1267" w:hanging="1267"/>
        <w:jc w:val="both"/>
        <w:rPr>
          <w:rFonts w:ascii="Times New Roman" w:hAnsi="Times New Roman" w:cs="Times New Roman"/>
        </w:rPr>
      </w:pPr>
      <w:r>
        <w:rPr>
          <w:rFonts w:ascii="Times New Roman" w:hAnsi="Times New Roman" w:cs="Times New Roman"/>
        </w:rPr>
        <w:tab/>
        <w:t>Staff further observes:</w:t>
      </w:r>
    </w:p>
    <w:p w:rsidR="00805965" w:rsidRDefault="00805965" w:rsidP="00805965">
      <w:pPr>
        <w:pStyle w:val="P31"/>
        <w:spacing w:line="240" w:lineRule="auto"/>
        <w:ind w:left="1267" w:hanging="1267"/>
        <w:jc w:val="both"/>
        <w:rPr>
          <w:rFonts w:ascii="Times New Roman" w:hAnsi="Times New Roman" w:cs="Times New Roman"/>
        </w:rPr>
      </w:pPr>
    </w:p>
    <w:p w:rsidR="00805965" w:rsidRDefault="00805965" w:rsidP="00F76FDE">
      <w:pPr>
        <w:pStyle w:val="P31"/>
        <w:spacing w:line="240" w:lineRule="auto"/>
        <w:ind w:left="1267" w:hanging="12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334C5">
        <w:rPr>
          <w:rFonts w:ascii="Times New Roman" w:hAnsi="Times New Roman" w:cs="Times New Roman"/>
        </w:rPr>
        <w:t>“</w:t>
      </w:r>
      <w:r>
        <w:rPr>
          <w:rFonts w:ascii="Times New Roman" w:hAnsi="Times New Roman" w:cs="Times New Roman"/>
        </w:rPr>
        <w:t xml:space="preserve">As in this case, the parties in </w:t>
      </w:r>
      <w:r w:rsidRPr="00F81580">
        <w:rPr>
          <w:rFonts w:ascii="Times New Roman" w:hAnsi="Times New Roman" w:cs="Times New Roman"/>
          <w:i/>
        </w:rPr>
        <w:t>PacifiCorp</w:t>
      </w:r>
      <w:r>
        <w:rPr>
          <w:rFonts w:ascii="Times New Roman" w:hAnsi="Times New Roman" w:cs="Times New Roman"/>
        </w:rPr>
        <w:t xml:space="preserve"> included several individual revenue requirement adjustments as a part of the negotiated settlement.  Public Counsel and ICNU argued that because these were essentially “a means to an end,” – items that were a product of compromise, and hence not necessarily derived by mathematical formulas – that the settlement was somehow a “black box” that must be rejected.  Again, the Commission disagreed:  “This implied criticism ignores that fact that all settlements have a so-called black box quality to one degree or another – they are by nature compromises of more extreme positions that are supported by evidence and advocacy.”  (</w:t>
      </w:r>
      <w:proofErr w:type="gramStart"/>
      <w:r>
        <w:rPr>
          <w:rFonts w:ascii="Times New Roman" w:hAnsi="Times New Roman" w:cs="Times New Roman"/>
        </w:rPr>
        <w:t>footnotes</w:t>
      </w:r>
      <w:proofErr w:type="gramEnd"/>
      <w:r>
        <w:rPr>
          <w:rFonts w:ascii="Times New Roman" w:hAnsi="Times New Roman" w:cs="Times New Roman"/>
        </w:rPr>
        <w:t xml:space="preserve"> omitted)</w:t>
      </w:r>
    </w:p>
    <w:p w:rsidR="00805965" w:rsidRDefault="00805965" w:rsidP="00805965">
      <w:pPr>
        <w:pStyle w:val="P31"/>
        <w:ind w:firstLine="1260"/>
        <w:jc w:val="both"/>
        <w:rPr>
          <w:rFonts w:ascii="Times New Roman" w:hAnsi="Times New Roman" w:cs="Times New Roman"/>
        </w:rPr>
      </w:pPr>
    </w:p>
    <w:p w:rsidR="00805965" w:rsidRDefault="00805965" w:rsidP="00805965">
      <w:pPr>
        <w:pStyle w:val="P31"/>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Is the Commission bound by, or limited to, certain methods or mathematical formulas in arriving at its decision regarding appropriate retail rates?</w:t>
      </w:r>
    </w:p>
    <w:p w:rsidR="00805965" w:rsidRPr="00AF0F02" w:rsidRDefault="00805965" w:rsidP="00805965">
      <w:pPr>
        <w:pStyle w:val="P31"/>
        <w:jc w:val="both"/>
        <w:rPr>
          <w:rFonts w:ascii="Times New Roman" w:hAnsi="Times New Roman" w:cs="Times New Roman"/>
        </w:rPr>
      </w:pPr>
      <w:r w:rsidRPr="00AF0F02">
        <w:rPr>
          <w:rFonts w:ascii="Times New Roman" w:hAnsi="Times New Roman" w:cs="Times New Roman"/>
        </w:rPr>
        <w:t>A.</w:t>
      </w:r>
      <w:r w:rsidRPr="00AF0F02">
        <w:rPr>
          <w:rFonts w:ascii="Times New Roman" w:hAnsi="Times New Roman" w:cs="Times New Roman"/>
        </w:rPr>
        <w:tab/>
        <w:t xml:space="preserve">No.  </w:t>
      </w:r>
      <w:r>
        <w:rPr>
          <w:rFonts w:ascii="Times New Roman" w:hAnsi="Times New Roman" w:cs="Times New Roman"/>
        </w:rPr>
        <w:t>RCW 80.28.010(1) (Duties as to Rates, Services, and Facilities) provides that “all charges made, demanded or received by any gas company, electrical company . . . shall be just, fair, reasonable and sufficient.” (See also RCW 80.28</w:t>
      </w:r>
      <w:r w:rsidR="00531B38">
        <w:rPr>
          <w:rFonts w:ascii="Times New Roman" w:hAnsi="Times New Roman" w:cs="Times New Roman"/>
        </w:rPr>
        <w:t>.</w:t>
      </w:r>
      <w:r>
        <w:rPr>
          <w:rFonts w:ascii="Times New Roman" w:hAnsi="Times New Roman" w:cs="Times New Roman"/>
        </w:rPr>
        <w:t xml:space="preserve">020) As the Supreme Court explained in the </w:t>
      </w:r>
      <w:r w:rsidRPr="00AF0F02">
        <w:rPr>
          <w:rFonts w:ascii="Times New Roman" w:hAnsi="Times New Roman" w:cs="Times New Roman"/>
          <w:u w:val="single"/>
        </w:rPr>
        <w:t>Hope Natural Gas</w:t>
      </w:r>
      <w:r>
        <w:rPr>
          <w:rFonts w:ascii="Times New Roman" w:hAnsi="Times New Roman" w:cs="Times New Roman"/>
        </w:rPr>
        <w:t xml:space="preserve"> case, the requirement that rates be “fair, just and reasonable” </w:t>
      </w:r>
      <w:r w:rsidRPr="00026686">
        <w:rPr>
          <w:rFonts w:ascii="Times New Roman" w:hAnsi="Times New Roman" w:cs="Times New Roman"/>
          <w:u w:val="single"/>
        </w:rPr>
        <w:t>does not define a method</w:t>
      </w:r>
      <w:r>
        <w:rPr>
          <w:rFonts w:ascii="Times New Roman" w:hAnsi="Times New Roman" w:cs="Times New Roman"/>
        </w:rPr>
        <w:t xml:space="preserve"> by which rates are to be calculated; instead, the fixing of fair, just and reasonable rates involves a balancing of investor and consumer interests.</w:t>
      </w:r>
      <w:r>
        <w:rPr>
          <w:rStyle w:val="FootnoteReference"/>
          <w:rFonts w:ascii="Times New Roman" w:hAnsi="Times New Roman"/>
        </w:rPr>
        <w:footnoteReference w:id="2"/>
      </w:r>
      <w:r>
        <w:rPr>
          <w:rFonts w:ascii="Times New Roman" w:hAnsi="Times New Roman" w:cs="Times New Roman"/>
        </w:rPr>
        <w:t xml:space="preserve">  Simply put, the “end result” must be reasonable.  These standards have been incorporated into RCW 80.28.010 and 80.28.020.  </w:t>
      </w:r>
    </w:p>
    <w:p w:rsidR="00805965" w:rsidRDefault="00805965" w:rsidP="00805965">
      <w:pPr>
        <w:pStyle w:val="P31"/>
        <w:jc w:val="both"/>
        <w:rPr>
          <w:rFonts w:ascii="Times New Roman" w:hAnsi="Times New Roman" w:cs="Times New Roman"/>
        </w:rPr>
      </w:pPr>
      <w:r w:rsidRPr="009B72E1">
        <w:rPr>
          <w:rFonts w:ascii="Times New Roman" w:hAnsi="Times New Roman" w:cs="Times New Roman"/>
        </w:rPr>
        <w:t xml:space="preserve">The Commission specifically addressed the importance of this “end result” in </w:t>
      </w:r>
      <w:r>
        <w:rPr>
          <w:rFonts w:ascii="Times New Roman" w:hAnsi="Times New Roman" w:cs="Times New Roman"/>
        </w:rPr>
        <w:t xml:space="preserve">its Order No. 05, dated January 12, 2007, in Cascade Natural Gas Docket No. </w:t>
      </w:r>
      <w:proofErr w:type="gramStart"/>
      <w:r>
        <w:rPr>
          <w:rFonts w:ascii="Times New Roman" w:hAnsi="Times New Roman" w:cs="Times New Roman"/>
        </w:rPr>
        <w:t>UG-060256.</w:t>
      </w:r>
      <w:proofErr w:type="gramEnd"/>
      <w:r>
        <w:rPr>
          <w:rFonts w:ascii="Times New Roman" w:hAnsi="Times New Roman" w:cs="Times New Roman"/>
        </w:rPr>
        <w:t xml:space="preserve">  In that Docket, which again involved a multi-party settlement, Public Counsel took issue with the lack of detail surrounding rate of return in the settlement agreement, and recommended that, “the Commission should either set-aside Staff and Company representations regarding cost of capital or ‘reopen’ the Settlement to ensure that it is reasonable.” (</w:t>
      </w:r>
      <w:r>
        <w:rPr>
          <w:rFonts w:ascii="Times New Roman" w:hAnsi="Times New Roman" w:cs="Times New Roman"/>
          <w:u w:val="single"/>
        </w:rPr>
        <w:t>Id</w:t>
      </w:r>
      <w:r>
        <w:rPr>
          <w:rFonts w:ascii="Times New Roman" w:hAnsi="Times New Roman" w:cs="Times New Roman"/>
        </w:rPr>
        <w:t>. at p</w:t>
      </w:r>
      <w:r w:rsidR="009040A1">
        <w:rPr>
          <w:rFonts w:ascii="Times New Roman" w:hAnsi="Times New Roman" w:cs="Times New Roman"/>
        </w:rPr>
        <w:t xml:space="preserve">.20) </w:t>
      </w:r>
      <w:r>
        <w:rPr>
          <w:rFonts w:ascii="Times New Roman" w:hAnsi="Times New Roman" w:cs="Times New Roman"/>
        </w:rPr>
        <w:t>(</w:t>
      </w:r>
      <w:proofErr w:type="gramStart"/>
      <w:r>
        <w:rPr>
          <w:rFonts w:ascii="Times New Roman" w:hAnsi="Times New Roman" w:cs="Times New Roman"/>
        </w:rPr>
        <w:t>footnote</w:t>
      </w:r>
      <w:proofErr w:type="gramEnd"/>
      <w:r>
        <w:rPr>
          <w:rFonts w:ascii="Times New Roman" w:hAnsi="Times New Roman" w:cs="Times New Roman"/>
        </w:rPr>
        <w:t xml:space="preserve"> omitted)  The Commission’s response, at page </w:t>
      </w:r>
      <w:r w:rsidR="009040A1">
        <w:rPr>
          <w:rFonts w:ascii="Times New Roman" w:hAnsi="Times New Roman" w:cs="Times New Roman"/>
        </w:rPr>
        <w:t xml:space="preserve">20, </w:t>
      </w:r>
      <w:r>
        <w:rPr>
          <w:rFonts w:ascii="Times New Roman" w:hAnsi="Times New Roman" w:cs="Times New Roman"/>
        </w:rPr>
        <w:t>was as follows:</w:t>
      </w:r>
    </w:p>
    <w:p w:rsidR="00805965" w:rsidRPr="009B72E1" w:rsidRDefault="00805965" w:rsidP="00805965">
      <w:pPr>
        <w:pStyle w:val="P31"/>
        <w:spacing w:line="240" w:lineRule="auto"/>
        <w:ind w:left="720" w:hanging="720"/>
        <w:jc w:val="both"/>
        <w:rPr>
          <w:rFonts w:ascii="Times New Roman" w:hAnsi="Times New Roman" w:cs="Times New Roman"/>
        </w:rPr>
      </w:pPr>
      <w:r>
        <w:rPr>
          <w:rFonts w:ascii="Times New Roman" w:hAnsi="Times New Roman" w:cs="Times New Roman"/>
        </w:rPr>
        <w:tab/>
      </w:r>
      <w:r w:rsidR="005766C8">
        <w:rPr>
          <w:rFonts w:ascii="Times New Roman" w:hAnsi="Times New Roman" w:cs="Times New Roman"/>
        </w:rPr>
        <w:t>“</w:t>
      </w:r>
      <w:r>
        <w:rPr>
          <w:rFonts w:ascii="Times New Roman" w:hAnsi="Times New Roman" w:cs="Times New Roman"/>
        </w:rPr>
        <w:t xml:space="preserve">We address each of these contentions in turn, having previously identified our standards for reviewing settlements.  First, </w:t>
      </w:r>
      <w:r w:rsidR="00531B38">
        <w:rPr>
          <w:rFonts w:ascii="Times New Roman" w:hAnsi="Times New Roman" w:cs="Times New Roman"/>
        </w:rPr>
        <w:t xml:space="preserve">[by] </w:t>
      </w:r>
      <w:r>
        <w:rPr>
          <w:rFonts w:ascii="Times New Roman" w:hAnsi="Times New Roman" w:cs="Times New Roman"/>
        </w:rPr>
        <w:t xml:space="preserve">their nature, settlements are the product of negotiation and therefore </w:t>
      </w:r>
      <w:r w:rsidRPr="00FE0690">
        <w:rPr>
          <w:rFonts w:ascii="Times New Roman" w:hAnsi="Times New Roman" w:cs="Times New Roman"/>
          <w:u w:val="single"/>
        </w:rPr>
        <w:t>are often opaque as to some of the methods, details and calculations</w:t>
      </w:r>
      <w:r w:rsidRPr="00FE0690">
        <w:rPr>
          <w:rFonts w:ascii="Times New Roman" w:hAnsi="Times New Roman" w:cs="Times New Roman"/>
        </w:rPr>
        <w:t xml:space="preserve"> that produce a result on which the parties can agree</w:t>
      </w:r>
      <w:r>
        <w:rPr>
          <w:rFonts w:ascii="Times New Roman" w:hAnsi="Times New Roman" w:cs="Times New Roman"/>
        </w:rPr>
        <w:t xml:space="preserve">.  A settlement can take many forms.  In some cases the Commission has determined that an agreed adjustment to revenue requirement is acceptable even if it does not identify a specific rate of return.  In other cases, the Commission has approved settlements that include a rate of return but no detail concerning capital structure or the cost for the equity and debt components of capitalization.  In still other examples, approved settlements have been explicit about all of the components of the cost of capital.  In all of these examples, it was the </w:t>
      </w:r>
      <w:r w:rsidRPr="00FE0690">
        <w:rPr>
          <w:rFonts w:ascii="Times New Roman" w:hAnsi="Times New Roman" w:cs="Times New Roman"/>
          <w:u w:val="single"/>
        </w:rPr>
        <w:t>end result</w:t>
      </w:r>
      <w:r>
        <w:rPr>
          <w:rFonts w:ascii="Times New Roman" w:hAnsi="Times New Roman" w:cs="Times New Roman"/>
        </w:rPr>
        <w:t xml:space="preserve"> of the proposed settlement’s terms and revenue requirement that mattered, </w:t>
      </w:r>
      <w:r w:rsidRPr="00024C98">
        <w:rPr>
          <w:rFonts w:ascii="Times New Roman" w:hAnsi="Times New Roman" w:cs="Times New Roman"/>
          <w:u w:val="single"/>
        </w:rPr>
        <w:t>not the specific detail about how the result was achieved</w:t>
      </w:r>
      <w:r>
        <w:rPr>
          <w:rFonts w:ascii="Times New Roman" w:hAnsi="Times New Roman" w:cs="Times New Roman"/>
        </w:rPr>
        <w:t>.  We conclude that the lack of detail concerning cost of capital in this proposed settlement does not preclude its being a fair and reasonable resolution of the case, or prevent us from performing our statutory function of setting fair, just, reasonable and sufficient rates.</w:t>
      </w:r>
      <w:r w:rsidR="005766C8">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emphasis</w:t>
      </w:r>
      <w:proofErr w:type="gramEnd"/>
      <w:r>
        <w:rPr>
          <w:rFonts w:ascii="Times New Roman" w:hAnsi="Times New Roman" w:cs="Times New Roman"/>
        </w:rPr>
        <w:t xml:space="preserve"> added) (</w:t>
      </w:r>
      <w:proofErr w:type="gramStart"/>
      <w:r>
        <w:rPr>
          <w:rFonts w:ascii="Times New Roman" w:hAnsi="Times New Roman" w:cs="Times New Roman"/>
        </w:rPr>
        <w:t>footnotes</w:t>
      </w:r>
      <w:proofErr w:type="gramEnd"/>
      <w:r>
        <w:rPr>
          <w:rFonts w:ascii="Times New Roman" w:hAnsi="Times New Roman" w:cs="Times New Roman"/>
        </w:rPr>
        <w:t xml:space="preserve"> omitted)</w:t>
      </w:r>
    </w:p>
    <w:p w:rsidR="00805965" w:rsidRDefault="00805965" w:rsidP="00805965">
      <w:pPr>
        <w:pStyle w:val="P31"/>
        <w:ind w:firstLine="0"/>
        <w:jc w:val="both"/>
        <w:rPr>
          <w:rFonts w:ascii="Times New Roman" w:hAnsi="Times New Roman" w:cs="Times New Roman"/>
          <w:b/>
        </w:rPr>
      </w:pPr>
    </w:p>
    <w:p w:rsidR="00805965" w:rsidRDefault="00805965" w:rsidP="00805965">
      <w:pPr>
        <w:pStyle w:val="P31"/>
        <w:jc w:val="both"/>
        <w:rPr>
          <w:rFonts w:ascii="Times New Roman" w:hAnsi="Times New Roman" w:cs="Times New Roman"/>
        </w:rPr>
      </w:pPr>
      <w:r w:rsidRPr="009A7A19">
        <w:rPr>
          <w:rFonts w:ascii="Times New Roman" w:hAnsi="Times New Roman" w:cs="Times New Roman"/>
        </w:rPr>
        <w:t xml:space="preserve">The Multiparty Settlement in this case satisfies the requirements of Washington statutes, </w:t>
      </w:r>
      <w:r>
        <w:rPr>
          <w:rFonts w:ascii="Times New Roman" w:hAnsi="Times New Roman" w:cs="Times New Roman"/>
        </w:rPr>
        <w:t>prior US Supreme Court rulings, and is consistent with prior Commission decisions, in that the Settlement strikes an appropriate “balance” and produces an “end result” that is well within “an acceptable range of possible outcomes.”  (</w:t>
      </w:r>
      <w:r w:rsidRPr="00A06CF0">
        <w:rPr>
          <w:rFonts w:ascii="Times New Roman" w:hAnsi="Times New Roman" w:cs="Times New Roman"/>
          <w:u w:val="single"/>
        </w:rPr>
        <w:t>See</w:t>
      </w:r>
      <w:r>
        <w:rPr>
          <w:rFonts w:ascii="Times New Roman" w:hAnsi="Times New Roman" w:cs="Times New Roman"/>
        </w:rPr>
        <w:t xml:space="preserve"> </w:t>
      </w:r>
      <w:r w:rsidRPr="00A06CF0">
        <w:rPr>
          <w:rFonts w:ascii="Times New Roman" w:hAnsi="Times New Roman" w:cs="Times New Roman"/>
          <w:u w:val="single"/>
        </w:rPr>
        <w:t>e.g.,</w:t>
      </w:r>
      <w:r>
        <w:rPr>
          <w:rFonts w:ascii="Times New Roman" w:hAnsi="Times New Roman" w:cs="Times New Roman"/>
        </w:rPr>
        <w:t xml:space="preserve"> Utilities and Transp. </w:t>
      </w:r>
      <w:proofErr w:type="spellStart"/>
      <w:r>
        <w:rPr>
          <w:rFonts w:ascii="Times New Roman" w:hAnsi="Times New Roman" w:cs="Times New Roman"/>
        </w:rPr>
        <w:t>Comm’n</w:t>
      </w:r>
      <w:proofErr w:type="spellEnd"/>
      <w:r>
        <w:rPr>
          <w:rFonts w:ascii="Times New Roman" w:hAnsi="Times New Roman" w:cs="Times New Roman"/>
        </w:rPr>
        <w:t xml:space="preserve"> v. PacifiCorp, d/b/a Pacific Power &amp; Light Co., Docket UE-080220, Order 05 (October 8, 2008) at </w:t>
      </w:r>
      <w:proofErr w:type="spellStart"/>
      <w:r>
        <w:rPr>
          <w:rFonts w:ascii="Times New Roman" w:hAnsi="Times New Roman" w:cs="Times New Roman"/>
        </w:rPr>
        <w:t>para</w:t>
      </w:r>
      <w:proofErr w:type="spellEnd"/>
      <w:r>
        <w:rPr>
          <w:rFonts w:ascii="Times New Roman" w:hAnsi="Times New Roman" w:cs="Times New Roman"/>
        </w:rPr>
        <w:t>. 31.)</w:t>
      </w:r>
    </w:p>
    <w:p w:rsidR="00805965" w:rsidRDefault="00805965" w:rsidP="00805965">
      <w:pPr>
        <w:pStyle w:val="P31"/>
        <w:jc w:val="both"/>
        <w:rPr>
          <w:rFonts w:ascii="Times New Roman" w:hAnsi="Times New Roman" w:cs="Times New Roman"/>
        </w:rPr>
      </w:pPr>
      <w:r>
        <w:rPr>
          <w:rFonts w:ascii="Times New Roman" w:hAnsi="Times New Roman" w:cs="Times New Roman"/>
        </w:rPr>
        <w:t xml:space="preserve">The Settlement </w:t>
      </w:r>
      <w:r w:rsidR="00180508">
        <w:rPr>
          <w:rFonts w:ascii="Times New Roman" w:hAnsi="Times New Roman" w:cs="Times New Roman"/>
        </w:rPr>
        <w:t xml:space="preserve">in this matter </w:t>
      </w:r>
      <w:r>
        <w:rPr>
          <w:rFonts w:ascii="Times New Roman" w:hAnsi="Times New Roman" w:cs="Times New Roman"/>
        </w:rPr>
        <w:t>occurred after extensive discovery and the filing of responsive testimony of all parties</w:t>
      </w:r>
      <w:r w:rsidRPr="00153521">
        <w:rPr>
          <w:rFonts w:ascii="Times New Roman" w:hAnsi="Times New Roman" w:cs="Times New Roman"/>
          <w:b/>
        </w:rPr>
        <w:t xml:space="preserve">.  </w:t>
      </w:r>
      <w:r>
        <w:rPr>
          <w:rFonts w:ascii="Times New Roman" w:hAnsi="Times New Roman" w:cs="Times New Roman"/>
        </w:rPr>
        <w:t>Therefore, t</w:t>
      </w:r>
      <w:r w:rsidRPr="00153521">
        <w:rPr>
          <w:rFonts w:ascii="Times New Roman" w:hAnsi="Times New Roman" w:cs="Times New Roman"/>
        </w:rPr>
        <w:t xml:space="preserve">he Settling Parties had before them the pre-filed testimony of Public Counsel </w:t>
      </w:r>
      <w:proofErr w:type="gramStart"/>
      <w:r w:rsidRPr="00153521">
        <w:rPr>
          <w:rFonts w:ascii="Times New Roman" w:hAnsi="Times New Roman" w:cs="Times New Roman"/>
        </w:rPr>
        <w:t>witnesses</w:t>
      </w:r>
      <w:proofErr w:type="gramEnd"/>
      <w:r w:rsidRPr="00153521">
        <w:rPr>
          <w:rFonts w:ascii="Times New Roman" w:hAnsi="Times New Roman" w:cs="Times New Roman"/>
        </w:rPr>
        <w:t xml:space="preserve"> and </w:t>
      </w:r>
      <w:r>
        <w:rPr>
          <w:rFonts w:ascii="Times New Roman" w:hAnsi="Times New Roman" w:cs="Times New Roman"/>
        </w:rPr>
        <w:t>all of the issues raised by those witnesses</w:t>
      </w:r>
      <w:r w:rsidRPr="00153521">
        <w:rPr>
          <w:rFonts w:ascii="Times New Roman" w:hAnsi="Times New Roman" w:cs="Times New Roman"/>
        </w:rPr>
        <w:t xml:space="preserve">.  </w:t>
      </w:r>
      <w:r>
        <w:rPr>
          <w:rFonts w:ascii="Times New Roman" w:hAnsi="Times New Roman" w:cs="Times New Roman"/>
        </w:rPr>
        <w:t>While the Settlement Agreement does not specifically identify and address separately each of the issues raised by Public Counsel</w:t>
      </w:r>
      <w:r w:rsidRPr="00153521">
        <w:rPr>
          <w:rFonts w:ascii="Times New Roman" w:hAnsi="Times New Roman" w:cs="Times New Roman"/>
        </w:rPr>
        <w:t xml:space="preserve">, </w:t>
      </w:r>
      <w:r>
        <w:rPr>
          <w:rFonts w:ascii="Times New Roman" w:hAnsi="Times New Roman" w:cs="Times New Roman"/>
        </w:rPr>
        <w:t xml:space="preserve">all of their issues were taken into consideration in developing </w:t>
      </w:r>
      <w:r w:rsidRPr="00153521">
        <w:rPr>
          <w:rFonts w:ascii="Times New Roman" w:hAnsi="Times New Roman" w:cs="Times New Roman"/>
        </w:rPr>
        <w:t>the final agreed-upon revenue requirement</w:t>
      </w:r>
      <w:r>
        <w:rPr>
          <w:rFonts w:ascii="Times New Roman" w:hAnsi="Times New Roman" w:cs="Times New Roman"/>
        </w:rPr>
        <w:t xml:space="preserve">.  </w:t>
      </w:r>
    </w:p>
    <w:p w:rsidR="001846C4" w:rsidRDefault="001846C4" w:rsidP="000334C5">
      <w:pPr>
        <w:pStyle w:val="Heading5"/>
        <w:rPr>
          <w:rStyle w:val="PageNumber"/>
          <w:u w:val="single"/>
        </w:rPr>
      </w:pPr>
    </w:p>
    <w:p w:rsidR="000334C5" w:rsidRDefault="000334C5" w:rsidP="000334C5">
      <w:pPr>
        <w:pStyle w:val="Heading5"/>
        <w:rPr>
          <w:b w:val="0"/>
        </w:rPr>
      </w:pPr>
      <w:r w:rsidRPr="005540EB">
        <w:rPr>
          <w:rStyle w:val="PageNumber"/>
          <w:u w:val="single"/>
        </w:rPr>
        <w:t>I</w:t>
      </w:r>
      <w:r>
        <w:rPr>
          <w:rStyle w:val="PageNumber"/>
          <w:u w:val="single"/>
        </w:rPr>
        <w:t>I</w:t>
      </w:r>
      <w:r w:rsidRPr="005540EB">
        <w:rPr>
          <w:rStyle w:val="PageNumber"/>
          <w:u w:val="single"/>
        </w:rPr>
        <w:t xml:space="preserve">.     </w:t>
      </w:r>
      <w:r>
        <w:rPr>
          <w:rStyle w:val="PageNumber"/>
          <w:u w:val="single"/>
        </w:rPr>
        <w:t>THE SETTLEMENT IS SUPPORTED BY THE EVIDENCE</w:t>
      </w:r>
    </w:p>
    <w:p w:rsidR="00153521" w:rsidRDefault="00F2593C" w:rsidP="00153521">
      <w:pPr>
        <w:pStyle w:val="P31"/>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What is the Company’s response to the claims of Public Counsel </w:t>
      </w:r>
      <w:proofErr w:type="gramStart"/>
      <w:r>
        <w:rPr>
          <w:rFonts w:ascii="Times New Roman" w:hAnsi="Times New Roman" w:cs="Times New Roman"/>
          <w:b/>
        </w:rPr>
        <w:t>witnesses</w:t>
      </w:r>
      <w:proofErr w:type="gramEnd"/>
      <w:r>
        <w:rPr>
          <w:rFonts w:ascii="Times New Roman" w:hAnsi="Times New Roman" w:cs="Times New Roman"/>
          <w:b/>
        </w:rPr>
        <w:t xml:space="preserve"> that the revenue increases in the Settlement Agreement are not supported by appropriate evidence in the record?</w:t>
      </w:r>
    </w:p>
    <w:p w:rsidR="00AE56DA" w:rsidRDefault="00F2593C" w:rsidP="00153521">
      <w:pPr>
        <w:pStyle w:val="P31"/>
        <w:jc w:val="both"/>
        <w:rPr>
          <w:rFonts w:ascii="Times New Roman" w:hAnsi="Times New Roman" w:cs="Times New Roman"/>
        </w:rPr>
      </w:pPr>
      <w:r w:rsidRPr="00F2593C">
        <w:rPr>
          <w:rFonts w:ascii="Times New Roman" w:hAnsi="Times New Roman" w:cs="Times New Roman"/>
        </w:rPr>
        <w:t>A.</w:t>
      </w:r>
      <w:r w:rsidRPr="00F2593C">
        <w:rPr>
          <w:rFonts w:ascii="Times New Roman" w:hAnsi="Times New Roman" w:cs="Times New Roman"/>
        </w:rPr>
        <w:tab/>
      </w:r>
      <w:r w:rsidR="001B1D39">
        <w:rPr>
          <w:rFonts w:ascii="Times New Roman" w:hAnsi="Times New Roman" w:cs="Times New Roman"/>
        </w:rPr>
        <w:t>A significant amount of information has been provided to the parties for the record that dem</w:t>
      </w:r>
      <w:r w:rsidR="00AE56DA">
        <w:rPr>
          <w:rFonts w:ascii="Times New Roman" w:hAnsi="Times New Roman" w:cs="Times New Roman"/>
        </w:rPr>
        <w:t>onstrates a need for rate increases</w:t>
      </w:r>
      <w:r w:rsidR="001B1D39">
        <w:rPr>
          <w:rFonts w:ascii="Times New Roman" w:hAnsi="Times New Roman" w:cs="Times New Roman"/>
        </w:rPr>
        <w:t xml:space="preserve"> in excess of the amount</w:t>
      </w:r>
      <w:r w:rsidR="00AE56DA">
        <w:rPr>
          <w:rFonts w:ascii="Times New Roman" w:hAnsi="Times New Roman" w:cs="Times New Roman"/>
        </w:rPr>
        <w:t>s</w:t>
      </w:r>
      <w:r w:rsidR="001B1D39">
        <w:rPr>
          <w:rFonts w:ascii="Times New Roman" w:hAnsi="Times New Roman" w:cs="Times New Roman"/>
        </w:rPr>
        <w:t xml:space="preserve"> includ</w:t>
      </w:r>
      <w:r w:rsidR="00AE56DA">
        <w:rPr>
          <w:rFonts w:ascii="Times New Roman" w:hAnsi="Times New Roman" w:cs="Times New Roman"/>
        </w:rPr>
        <w:t>ed in the Settlement Agreement for 2013 and 2014.</w:t>
      </w:r>
      <w:r w:rsidR="001B1D39">
        <w:rPr>
          <w:rFonts w:ascii="Times New Roman" w:hAnsi="Times New Roman" w:cs="Times New Roman"/>
        </w:rPr>
        <w:t xml:space="preserve"> </w:t>
      </w:r>
    </w:p>
    <w:p w:rsidR="001846C4" w:rsidRPr="00BD72AC" w:rsidRDefault="00A317AB" w:rsidP="00BD72AC">
      <w:pPr>
        <w:pStyle w:val="P31"/>
        <w:jc w:val="both"/>
        <w:rPr>
          <w:rFonts w:ascii="Times New Roman" w:hAnsi="Times New Roman" w:cs="Times New Roman"/>
        </w:rPr>
      </w:pPr>
      <w:r>
        <w:rPr>
          <w:rFonts w:ascii="Times New Roman" w:hAnsi="Times New Roman" w:cs="Times New Roman"/>
        </w:rPr>
        <w:t xml:space="preserve">First, the combined revenue increases for 2013 and 2014 </w:t>
      </w:r>
      <w:r w:rsidR="003F392E">
        <w:rPr>
          <w:rFonts w:ascii="Times New Roman" w:hAnsi="Times New Roman" w:cs="Times New Roman"/>
        </w:rPr>
        <w:t xml:space="preserve">in the Settlement Agreement </w:t>
      </w:r>
      <w:r>
        <w:rPr>
          <w:rFonts w:ascii="Times New Roman" w:hAnsi="Times New Roman" w:cs="Times New Roman"/>
        </w:rPr>
        <w:t>of $34.35 million</w:t>
      </w:r>
      <w:r>
        <w:rPr>
          <w:rStyle w:val="FootnoteReference"/>
          <w:rFonts w:ascii="Times New Roman" w:hAnsi="Times New Roman"/>
        </w:rPr>
        <w:footnoteReference w:id="3"/>
      </w:r>
      <w:r w:rsidR="006B0AA9">
        <w:rPr>
          <w:rFonts w:ascii="Times New Roman" w:hAnsi="Times New Roman" w:cs="Times New Roman"/>
        </w:rPr>
        <w:t xml:space="preserve"> represents </w:t>
      </w:r>
      <w:r w:rsidR="001B32C8">
        <w:rPr>
          <w:rFonts w:ascii="Times New Roman" w:hAnsi="Times New Roman" w:cs="Times New Roman"/>
        </w:rPr>
        <w:t>approximately 6</w:t>
      </w:r>
      <w:r w:rsidR="00567843">
        <w:rPr>
          <w:rFonts w:ascii="Times New Roman" w:hAnsi="Times New Roman" w:cs="Times New Roman"/>
        </w:rPr>
        <w:t>4</w:t>
      </w:r>
      <w:r>
        <w:rPr>
          <w:rFonts w:ascii="Times New Roman" w:hAnsi="Times New Roman" w:cs="Times New Roman"/>
        </w:rPr>
        <w:t xml:space="preserve">% of the Company’s </w:t>
      </w:r>
      <w:r w:rsidR="005766C8">
        <w:rPr>
          <w:rFonts w:ascii="Times New Roman" w:hAnsi="Times New Roman" w:cs="Times New Roman"/>
        </w:rPr>
        <w:t xml:space="preserve">justified need for rate relief </w:t>
      </w:r>
      <w:r w:rsidR="006B0AA9">
        <w:rPr>
          <w:rFonts w:ascii="Times New Roman" w:hAnsi="Times New Roman" w:cs="Times New Roman"/>
        </w:rPr>
        <w:t>in these Dockets</w:t>
      </w:r>
      <w:r w:rsidR="005766C8">
        <w:rPr>
          <w:rFonts w:ascii="Times New Roman" w:hAnsi="Times New Roman" w:cs="Times New Roman"/>
        </w:rPr>
        <w:t xml:space="preserve"> of $53.3 million, reflecting</w:t>
      </w:r>
      <w:r w:rsidR="006B0AA9">
        <w:rPr>
          <w:rFonts w:ascii="Times New Roman" w:hAnsi="Times New Roman" w:cs="Times New Roman"/>
        </w:rPr>
        <w:t xml:space="preserve"> corrections and updated information provided to the parties</w:t>
      </w:r>
      <w:r w:rsidR="005766C8">
        <w:rPr>
          <w:rFonts w:ascii="Times New Roman" w:hAnsi="Times New Roman" w:cs="Times New Roman"/>
        </w:rPr>
        <w:t>.  This i</w:t>
      </w:r>
      <w:r w:rsidR="00AA7101">
        <w:rPr>
          <w:rFonts w:ascii="Times New Roman" w:hAnsi="Times New Roman" w:cs="Times New Roman"/>
        </w:rPr>
        <w:t xml:space="preserve">s shown in the Illustration </w:t>
      </w:r>
      <w:r w:rsidR="00D87060">
        <w:rPr>
          <w:rFonts w:ascii="Times New Roman" w:hAnsi="Times New Roman" w:cs="Times New Roman"/>
        </w:rPr>
        <w:t xml:space="preserve">No. </w:t>
      </w:r>
      <w:r w:rsidR="00AA7101">
        <w:rPr>
          <w:rFonts w:ascii="Times New Roman" w:hAnsi="Times New Roman" w:cs="Times New Roman"/>
        </w:rPr>
        <w:t>1</w:t>
      </w:r>
      <w:r w:rsidR="006B0AA9">
        <w:rPr>
          <w:rFonts w:ascii="Times New Roman" w:hAnsi="Times New Roman" w:cs="Times New Roman"/>
        </w:rPr>
        <w:t xml:space="preserve"> below</w:t>
      </w:r>
      <w:r w:rsidR="00AF4BC7">
        <w:rPr>
          <w:rStyle w:val="FootnoteReference"/>
          <w:rFonts w:ascii="Times New Roman" w:hAnsi="Times New Roman"/>
        </w:rPr>
        <w:footnoteReference w:id="4"/>
      </w:r>
      <w:r w:rsidR="006B0AA9">
        <w:rPr>
          <w:rFonts w:ascii="Times New Roman" w:hAnsi="Times New Roman" w:cs="Times New Roman"/>
        </w:rPr>
        <w:t xml:space="preserve">.  It is important to recognize that </w:t>
      </w:r>
      <w:r w:rsidR="00BB21B2">
        <w:rPr>
          <w:rFonts w:ascii="Times New Roman" w:hAnsi="Times New Roman" w:cs="Times New Roman"/>
        </w:rPr>
        <w:t>the</w:t>
      </w:r>
      <w:r w:rsidR="006B0AA9">
        <w:rPr>
          <w:rFonts w:ascii="Times New Roman" w:hAnsi="Times New Roman" w:cs="Times New Roman"/>
        </w:rPr>
        <w:t xml:space="preserve"> </w:t>
      </w:r>
      <w:r w:rsidR="006D242F">
        <w:rPr>
          <w:rFonts w:ascii="Times New Roman" w:hAnsi="Times New Roman" w:cs="Times New Roman"/>
        </w:rPr>
        <w:t xml:space="preserve">actual </w:t>
      </w:r>
      <w:r w:rsidR="005766C8">
        <w:rPr>
          <w:rFonts w:ascii="Times New Roman" w:hAnsi="Times New Roman" w:cs="Times New Roman"/>
        </w:rPr>
        <w:t xml:space="preserve">need for rate relief </w:t>
      </w:r>
      <w:r w:rsidR="006B0AA9">
        <w:rPr>
          <w:rFonts w:ascii="Times New Roman" w:hAnsi="Times New Roman" w:cs="Times New Roman"/>
        </w:rPr>
        <w:t xml:space="preserve">of </w:t>
      </w:r>
      <w:r w:rsidR="001B32C8">
        <w:rPr>
          <w:rFonts w:ascii="Times New Roman" w:hAnsi="Times New Roman" w:cs="Times New Roman"/>
        </w:rPr>
        <w:t>$5</w:t>
      </w:r>
      <w:r w:rsidR="001846C4">
        <w:rPr>
          <w:rFonts w:ascii="Times New Roman" w:hAnsi="Times New Roman" w:cs="Times New Roman"/>
        </w:rPr>
        <w:t>3.3</w:t>
      </w:r>
      <w:r w:rsidR="001B32C8">
        <w:rPr>
          <w:rFonts w:ascii="Times New Roman" w:hAnsi="Times New Roman" w:cs="Times New Roman"/>
        </w:rPr>
        <w:t xml:space="preserve"> </w:t>
      </w:r>
      <w:r w:rsidR="006B0AA9">
        <w:rPr>
          <w:rFonts w:ascii="Times New Roman" w:hAnsi="Times New Roman" w:cs="Times New Roman"/>
        </w:rPr>
        <w:t xml:space="preserve">million is related solely to the 2013 rate year.  </w:t>
      </w:r>
      <w:r w:rsidR="001846C4">
        <w:rPr>
          <w:b/>
          <w:u w:val="single"/>
        </w:rPr>
        <w:br w:type="page"/>
      </w:r>
    </w:p>
    <w:p w:rsidR="00AA7101" w:rsidRPr="00D87060" w:rsidRDefault="00AA7101" w:rsidP="00AA7101">
      <w:pPr>
        <w:pStyle w:val="P31"/>
        <w:spacing w:line="240" w:lineRule="auto"/>
        <w:ind w:firstLine="0"/>
        <w:jc w:val="both"/>
        <w:rPr>
          <w:rFonts w:ascii="Times New Roman" w:hAnsi="Times New Roman" w:cs="Times New Roman"/>
          <w:b/>
          <w:u w:val="single"/>
        </w:rPr>
      </w:pPr>
      <w:r w:rsidRPr="00D87060">
        <w:rPr>
          <w:rFonts w:ascii="Times New Roman" w:hAnsi="Times New Roman" w:cs="Times New Roman"/>
          <w:b/>
          <w:u w:val="single"/>
        </w:rPr>
        <w:t xml:space="preserve">Illustration </w:t>
      </w:r>
      <w:r w:rsidR="00D87060">
        <w:rPr>
          <w:rFonts w:ascii="Times New Roman" w:hAnsi="Times New Roman" w:cs="Times New Roman"/>
          <w:b/>
          <w:u w:val="single"/>
        </w:rPr>
        <w:t xml:space="preserve">No. </w:t>
      </w:r>
      <w:r w:rsidRPr="00D87060">
        <w:rPr>
          <w:rFonts w:ascii="Times New Roman" w:hAnsi="Times New Roman" w:cs="Times New Roman"/>
          <w:b/>
          <w:u w:val="single"/>
        </w:rPr>
        <w:t>1</w:t>
      </w:r>
      <w:r w:rsidR="00D87060">
        <w:rPr>
          <w:rFonts w:ascii="Times New Roman" w:hAnsi="Times New Roman" w:cs="Times New Roman"/>
          <w:b/>
          <w:u w:val="single"/>
        </w:rPr>
        <w:t>:</w:t>
      </w:r>
      <w:r w:rsidRPr="00D87060">
        <w:rPr>
          <w:rFonts w:ascii="Times New Roman" w:hAnsi="Times New Roman" w:cs="Times New Roman"/>
          <w:b/>
          <w:u w:val="single"/>
        </w:rPr>
        <w:t xml:space="preserve"> </w:t>
      </w:r>
      <w:r w:rsidR="006D242F">
        <w:rPr>
          <w:rFonts w:ascii="Times New Roman" w:hAnsi="Times New Roman" w:cs="Times New Roman"/>
          <w:b/>
          <w:u w:val="single"/>
        </w:rPr>
        <w:t>Actual Need for Rate Relief in 2013</w:t>
      </w:r>
    </w:p>
    <w:p w:rsidR="00D87060" w:rsidRDefault="00D87060" w:rsidP="00AA7101">
      <w:pPr>
        <w:pStyle w:val="P31"/>
        <w:spacing w:line="240" w:lineRule="auto"/>
        <w:ind w:firstLine="0"/>
        <w:jc w:val="both"/>
        <w:rPr>
          <w:rFonts w:ascii="Times New Roman" w:hAnsi="Times New Roman" w:cs="Times New Roman"/>
          <w:b/>
        </w:rPr>
      </w:pPr>
    </w:p>
    <w:p w:rsidR="00BC6B5C" w:rsidRPr="00D87060" w:rsidRDefault="00D87060" w:rsidP="00AA7101">
      <w:pPr>
        <w:pStyle w:val="P31"/>
        <w:spacing w:line="240" w:lineRule="auto"/>
        <w:ind w:firstLine="0"/>
        <w:jc w:val="both"/>
        <w:rPr>
          <w:rFonts w:ascii="Times New Roman" w:hAnsi="Times New Roman" w:cs="Times New Roman"/>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A7101" w:rsidRPr="00D87060">
        <w:rPr>
          <w:rFonts w:ascii="Times New Roman" w:hAnsi="Times New Roman" w:cs="Times New Roman"/>
          <w:u w:val="single"/>
        </w:rPr>
        <w:t>($Millions)</w:t>
      </w:r>
    </w:p>
    <w:p w:rsidR="00AA7101" w:rsidRPr="00DF0984" w:rsidRDefault="00AA7101" w:rsidP="009E7D25">
      <w:pPr>
        <w:pStyle w:val="BodyText"/>
        <w:tabs>
          <w:tab w:val="center" w:pos="5760"/>
          <w:tab w:val="center" w:pos="7920"/>
        </w:tabs>
        <w:spacing w:line="240" w:lineRule="auto"/>
        <w:ind w:left="540" w:right="86" w:hanging="540"/>
        <w:jc w:val="both"/>
        <w:rPr>
          <w:u w:val="single"/>
        </w:rPr>
      </w:pPr>
      <w:r>
        <w:rPr>
          <w:b w:val="0"/>
        </w:rPr>
        <w:tab/>
      </w:r>
      <w:r>
        <w:rPr>
          <w:b w:val="0"/>
        </w:rPr>
        <w:tab/>
      </w:r>
      <w:r w:rsidRPr="00D87060">
        <w:rPr>
          <w:b w:val="0"/>
          <w:u w:val="single"/>
        </w:rPr>
        <w:t>Electric</w:t>
      </w:r>
      <w:r w:rsidRPr="00D87060">
        <w:rPr>
          <w:b w:val="0"/>
        </w:rPr>
        <w:tab/>
      </w:r>
      <w:r w:rsidRPr="00D87060">
        <w:rPr>
          <w:b w:val="0"/>
          <w:u w:val="single"/>
        </w:rPr>
        <w:t>Natural Gas</w:t>
      </w:r>
    </w:p>
    <w:p w:rsidR="00AA7101" w:rsidRPr="00E738FA" w:rsidRDefault="00AA7101" w:rsidP="009E7D25">
      <w:pPr>
        <w:pStyle w:val="BodyText"/>
        <w:tabs>
          <w:tab w:val="center" w:pos="5760"/>
          <w:tab w:val="center" w:pos="7920"/>
        </w:tabs>
        <w:spacing w:line="240" w:lineRule="auto"/>
        <w:ind w:left="540" w:right="86" w:hanging="540"/>
        <w:jc w:val="both"/>
      </w:pPr>
      <w:r w:rsidRPr="00E738FA">
        <w:t>Original Filing</w:t>
      </w:r>
      <w:r w:rsidRPr="00E738FA">
        <w:tab/>
        <w:t>$41.0</w:t>
      </w:r>
      <w:r w:rsidR="001B32C8">
        <w:tab/>
        <w:t>$10.09</w:t>
      </w:r>
    </w:p>
    <w:p w:rsidR="00AA7101" w:rsidRDefault="00AA7101" w:rsidP="009E7D25">
      <w:pPr>
        <w:pStyle w:val="BodyText"/>
        <w:tabs>
          <w:tab w:val="center" w:pos="5760"/>
          <w:tab w:val="center" w:pos="7920"/>
        </w:tabs>
        <w:spacing w:line="240" w:lineRule="auto"/>
        <w:ind w:left="540" w:right="86" w:hanging="540"/>
        <w:jc w:val="both"/>
        <w:rPr>
          <w:b w:val="0"/>
        </w:rPr>
      </w:pPr>
      <w:r>
        <w:rPr>
          <w:b w:val="0"/>
        </w:rPr>
        <w:t>Updated Power Supply</w:t>
      </w:r>
      <w:r>
        <w:rPr>
          <w:b w:val="0"/>
        </w:rPr>
        <w:tab/>
        <w:t>(5.4)</w:t>
      </w:r>
    </w:p>
    <w:p w:rsidR="00AA7101" w:rsidRDefault="00AA7101" w:rsidP="009E7D25">
      <w:pPr>
        <w:pStyle w:val="BodyText"/>
        <w:tabs>
          <w:tab w:val="center" w:pos="5760"/>
          <w:tab w:val="center" w:pos="7920"/>
        </w:tabs>
        <w:spacing w:line="240" w:lineRule="auto"/>
        <w:ind w:left="540" w:right="86" w:hanging="540"/>
        <w:jc w:val="both"/>
        <w:rPr>
          <w:b w:val="0"/>
        </w:rPr>
      </w:pPr>
      <w:r>
        <w:rPr>
          <w:b w:val="0"/>
        </w:rPr>
        <w:t>FIT/DFIT Correction</w:t>
      </w:r>
      <w:r>
        <w:rPr>
          <w:b w:val="0"/>
        </w:rPr>
        <w:tab/>
        <w:t>(3.0)</w:t>
      </w:r>
      <w:r w:rsidR="001B32C8">
        <w:rPr>
          <w:b w:val="0"/>
        </w:rPr>
        <w:tab/>
        <w:t>(0.03)</w:t>
      </w:r>
    </w:p>
    <w:p w:rsidR="001846C4" w:rsidRDefault="001846C4" w:rsidP="009E7D25">
      <w:pPr>
        <w:pStyle w:val="BodyText"/>
        <w:tabs>
          <w:tab w:val="center" w:pos="5760"/>
          <w:tab w:val="center" w:pos="7920"/>
        </w:tabs>
        <w:spacing w:line="240" w:lineRule="auto"/>
        <w:ind w:left="540" w:right="86" w:hanging="540"/>
        <w:jc w:val="both"/>
        <w:rPr>
          <w:b w:val="0"/>
        </w:rPr>
      </w:pPr>
      <w:r>
        <w:rPr>
          <w:b w:val="0"/>
        </w:rPr>
        <w:t>JP Deferral Amortization Correction</w:t>
      </w:r>
      <w:r>
        <w:rPr>
          <w:b w:val="0"/>
        </w:rPr>
        <w:tab/>
      </w:r>
      <w:r>
        <w:rPr>
          <w:b w:val="0"/>
        </w:rPr>
        <w:tab/>
        <w:t>0.47</w:t>
      </w:r>
    </w:p>
    <w:p w:rsidR="00AA7101" w:rsidRDefault="00AA7101" w:rsidP="009E7D25">
      <w:pPr>
        <w:pStyle w:val="BodyText"/>
        <w:tabs>
          <w:tab w:val="center" w:pos="5760"/>
          <w:tab w:val="center" w:pos="7920"/>
        </w:tabs>
        <w:spacing w:line="240" w:lineRule="auto"/>
        <w:ind w:left="540" w:right="86" w:hanging="540"/>
        <w:jc w:val="both"/>
        <w:rPr>
          <w:b w:val="0"/>
        </w:rPr>
      </w:pPr>
      <w:r>
        <w:rPr>
          <w:b w:val="0"/>
        </w:rPr>
        <w:t>Transmission Revenue Correction</w:t>
      </w:r>
      <w:r>
        <w:rPr>
          <w:b w:val="0"/>
        </w:rPr>
        <w:tab/>
        <w:t>1.1</w:t>
      </w:r>
    </w:p>
    <w:p w:rsidR="00AA7101" w:rsidRDefault="00AA7101" w:rsidP="009E7D25">
      <w:pPr>
        <w:pStyle w:val="BodyText"/>
        <w:tabs>
          <w:tab w:val="center" w:pos="5760"/>
          <w:tab w:val="center" w:pos="7920"/>
        </w:tabs>
        <w:spacing w:line="240" w:lineRule="auto"/>
        <w:ind w:left="540" w:right="86" w:hanging="540"/>
        <w:jc w:val="both"/>
        <w:rPr>
          <w:b w:val="0"/>
          <w:u w:val="single"/>
        </w:rPr>
      </w:pPr>
      <w:r>
        <w:rPr>
          <w:b w:val="0"/>
        </w:rPr>
        <w:t>Updated Attrition Adjustment</w:t>
      </w:r>
      <w:r>
        <w:rPr>
          <w:b w:val="0"/>
        </w:rPr>
        <w:tab/>
      </w:r>
      <w:r w:rsidRPr="00DF0984">
        <w:rPr>
          <w:b w:val="0"/>
          <w:u w:val="single"/>
        </w:rPr>
        <w:t>8.2</w:t>
      </w:r>
      <w:r w:rsidR="001B32C8" w:rsidRPr="001B32C8">
        <w:rPr>
          <w:b w:val="0"/>
        </w:rPr>
        <w:tab/>
      </w:r>
      <w:r w:rsidR="001B32C8">
        <w:rPr>
          <w:b w:val="0"/>
          <w:u w:val="single"/>
        </w:rPr>
        <w:t>0.</w:t>
      </w:r>
      <w:r w:rsidR="001846C4">
        <w:rPr>
          <w:b w:val="0"/>
          <w:u w:val="single"/>
        </w:rPr>
        <w:t>88</w:t>
      </w:r>
    </w:p>
    <w:p w:rsidR="00AA7101" w:rsidRDefault="00AA7101" w:rsidP="009E7D25">
      <w:pPr>
        <w:pStyle w:val="BodyText"/>
        <w:tabs>
          <w:tab w:val="center" w:pos="5760"/>
          <w:tab w:val="center" w:pos="7920"/>
        </w:tabs>
        <w:spacing w:line="240" w:lineRule="auto"/>
        <w:ind w:left="540" w:right="86" w:hanging="540"/>
        <w:jc w:val="both"/>
      </w:pPr>
      <w:r w:rsidRPr="00E738FA">
        <w:t xml:space="preserve">    Adjusted Total </w:t>
      </w:r>
      <w:r w:rsidRPr="00E738FA">
        <w:tab/>
        <w:t>$41.9</w:t>
      </w:r>
      <w:r w:rsidR="001B32C8">
        <w:tab/>
      </w:r>
      <w:r w:rsidR="001B32C8" w:rsidRPr="00E738FA">
        <w:t>$</w:t>
      </w:r>
      <w:r w:rsidR="001846C4">
        <w:t>11.4</w:t>
      </w:r>
    </w:p>
    <w:p w:rsidR="009E7D25" w:rsidRDefault="009E7D25" w:rsidP="009E7D25">
      <w:pPr>
        <w:pStyle w:val="BodyText"/>
        <w:tabs>
          <w:tab w:val="center" w:pos="5760"/>
          <w:tab w:val="center" w:pos="7920"/>
        </w:tabs>
        <w:spacing w:line="240" w:lineRule="auto"/>
        <w:ind w:left="270" w:right="86" w:hanging="270"/>
        <w:jc w:val="both"/>
      </w:pPr>
      <w:r>
        <w:tab/>
      </w:r>
    </w:p>
    <w:p w:rsidR="009E7D25" w:rsidRDefault="009E7D25" w:rsidP="009E7D25">
      <w:pPr>
        <w:pStyle w:val="BodyText"/>
        <w:tabs>
          <w:tab w:val="center" w:pos="5760"/>
          <w:tab w:val="center" w:pos="6840"/>
          <w:tab w:val="center" w:pos="7920"/>
        </w:tabs>
        <w:spacing w:line="240" w:lineRule="auto"/>
        <w:ind w:left="270" w:right="86" w:hanging="270"/>
        <w:jc w:val="both"/>
      </w:pPr>
      <w:r>
        <w:tab/>
        <w:t>Combined Electric/Natural Gas Total</w:t>
      </w:r>
      <w:r w:rsidR="001846C4">
        <w:tab/>
      </w:r>
      <w:r w:rsidR="001846C4">
        <w:tab/>
        <w:t>$53.3</w:t>
      </w:r>
    </w:p>
    <w:p w:rsidR="009E7D25" w:rsidRDefault="009E7D25" w:rsidP="009E7D25">
      <w:pPr>
        <w:pStyle w:val="BodyText"/>
        <w:tabs>
          <w:tab w:val="center" w:pos="5760"/>
          <w:tab w:val="center" w:pos="6840"/>
          <w:tab w:val="center" w:pos="7920"/>
        </w:tabs>
        <w:spacing w:line="240" w:lineRule="auto"/>
        <w:ind w:left="270" w:right="86" w:hanging="270"/>
        <w:jc w:val="both"/>
      </w:pPr>
    </w:p>
    <w:p w:rsidR="009E7D25" w:rsidRPr="00E738FA" w:rsidRDefault="009E7D25" w:rsidP="009E7D25">
      <w:pPr>
        <w:pStyle w:val="BodyText"/>
        <w:tabs>
          <w:tab w:val="center" w:pos="5760"/>
          <w:tab w:val="center" w:pos="6840"/>
          <w:tab w:val="center" w:pos="7920"/>
        </w:tabs>
        <w:spacing w:line="240" w:lineRule="auto"/>
        <w:ind w:left="270" w:right="86" w:hanging="270"/>
        <w:jc w:val="both"/>
      </w:pPr>
      <w:r>
        <w:tab/>
        <w:t xml:space="preserve">2013/2014 </w:t>
      </w:r>
      <w:r w:rsidR="00A7433F">
        <w:t xml:space="preserve">Settlement </w:t>
      </w:r>
      <w:r>
        <w:t>Revenue Increases</w:t>
      </w:r>
      <w:r w:rsidR="001846C4">
        <w:tab/>
      </w:r>
      <w:r w:rsidR="001846C4">
        <w:tab/>
        <w:t>$34.35</w:t>
      </w:r>
    </w:p>
    <w:p w:rsidR="00F2593C" w:rsidRDefault="00F2593C" w:rsidP="00CF32F6">
      <w:pPr>
        <w:pStyle w:val="P31"/>
        <w:ind w:firstLine="0"/>
        <w:jc w:val="both"/>
        <w:rPr>
          <w:rFonts w:ascii="Times New Roman" w:hAnsi="Times New Roman" w:cs="Times New Roman"/>
          <w:b/>
        </w:rPr>
      </w:pPr>
    </w:p>
    <w:p w:rsidR="0090529A" w:rsidRDefault="000A0959" w:rsidP="00CF32F6">
      <w:pPr>
        <w:pStyle w:val="BodyText"/>
        <w:spacing w:line="480" w:lineRule="auto"/>
        <w:ind w:firstLine="720"/>
        <w:jc w:val="both"/>
        <w:rPr>
          <w:b w:val="0"/>
        </w:rPr>
      </w:pPr>
      <w:r w:rsidRPr="0090529A">
        <w:rPr>
          <w:b w:val="0"/>
        </w:rPr>
        <w:t>As Avista explained in the Joint Testimony supporting the Settlement Stipulation</w:t>
      </w:r>
      <w:r w:rsidR="00A37604">
        <w:rPr>
          <w:b w:val="0"/>
        </w:rPr>
        <w:t>,</w:t>
      </w:r>
      <w:r w:rsidRPr="0090529A">
        <w:rPr>
          <w:b w:val="0"/>
        </w:rPr>
        <w:t xml:space="preserve"> the revenue increase requests </w:t>
      </w:r>
      <w:r w:rsidR="001F724E">
        <w:rPr>
          <w:b w:val="0"/>
        </w:rPr>
        <w:t xml:space="preserve">in the table </w:t>
      </w:r>
      <w:r w:rsidRPr="0090529A">
        <w:rPr>
          <w:b w:val="0"/>
        </w:rPr>
        <w:t>above are</w:t>
      </w:r>
      <w:r>
        <w:t xml:space="preserve"> </w:t>
      </w:r>
      <w:r w:rsidR="0090529A" w:rsidRPr="00440307">
        <w:rPr>
          <w:b w:val="0"/>
          <w:u w:val="single"/>
        </w:rPr>
        <w:t>prior to</w:t>
      </w:r>
      <w:r w:rsidR="0090529A">
        <w:rPr>
          <w:b w:val="0"/>
        </w:rPr>
        <w:t xml:space="preserve"> consideration of the need for additional revenue increases in 2014.  Avista provided information demonstrating the need for additional rate relief for 2014.  </w:t>
      </w:r>
      <w:r w:rsidR="00A37604">
        <w:rPr>
          <w:b w:val="0"/>
        </w:rPr>
        <w:t>The information</w:t>
      </w:r>
      <w:r w:rsidR="0090529A">
        <w:rPr>
          <w:b w:val="0"/>
        </w:rPr>
        <w:t xml:space="preserve"> show</w:t>
      </w:r>
      <w:r w:rsidR="00A37604">
        <w:rPr>
          <w:b w:val="0"/>
        </w:rPr>
        <w:t>ed</w:t>
      </w:r>
      <w:r w:rsidR="0090529A">
        <w:rPr>
          <w:b w:val="0"/>
        </w:rPr>
        <w:t xml:space="preserve"> that Net Plant Investment and Non-Fuel O&amp;M will continue to increase at a much faster pace than </w:t>
      </w:r>
      <w:r w:rsidR="00180508">
        <w:rPr>
          <w:b w:val="0"/>
        </w:rPr>
        <w:t xml:space="preserve">kWh </w:t>
      </w:r>
      <w:r w:rsidR="0090529A">
        <w:rPr>
          <w:b w:val="0"/>
        </w:rPr>
        <w:t>Sales and Therm Sales for 2014 and beyond, which will require additional rate increases for 2014 and future years.</w:t>
      </w:r>
      <w:r w:rsidR="008142FB">
        <w:rPr>
          <w:rStyle w:val="FootnoteReference"/>
          <w:b w:val="0"/>
        </w:rPr>
        <w:footnoteReference w:id="5"/>
      </w:r>
      <w:r w:rsidR="0090529A">
        <w:rPr>
          <w:b w:val="0"/>
        </w:rPr>
        <w:t xml:space="preserve">  </w:t>
      </w:r>
    </w:p>
    <w:p w:rsidR="00F2593C" w:rsidRDefault="000B550B" w:rsidP="00CF32F6">
      <w:pPr>
        <w:pStyle w:val="P31"/>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Has this Commission previously approved a multi-year rate plan</w:t>
      </w:r>
      <w:r w:rsidR="005F3735">
        <w:rPr>
          <w:rFonts w:ascii="Times New Roman" w:hAnsi="Times New Roman" w:cs="Times New Roman"/>
          <w:b/>
        </w:rPr>
        <w:t xml:space="preserve"> that extend</w:t>
      </w:r>
      <w:r w:rsidR="00C36442">
        <w:rPr>
          <w:rFonts w:ascii="Times New Roman" w:hAnsi="Times New Roman" w:cs="Times New Roman"/>
          <w:b/>
        </w:rPr>
        <w:t>s</w:t>
      </w:r>
      <w:r w:rsidR="005F3735">
        <w:rPr>
          <w:rFonts w:ascii="Times New Roman" w:hAnsi="Times New Roman" w:cs="Times New Roman"/>
          <w:b/>
        </w:rPr>
        <w:t xml:space="preserve"> beyond the upcoming rate year</w:t>
      </w:r>
      <w:r w:rsidR="007814BE">
        <w:rPr>
          <w:rFonts w:ascii="Times New Roman" w:hAnsi="Times New Roman" w:cs="Times New Roman"/>
          <w:b/>
        </w:rPr>
        <w:t>?</w:t>
      </w:r>
    </w:p>
    <w:p w:rsidR="007814BE" w:rsidRDefault="007814BE" w:rsidP="00CF32F6">
      <w:pPr>
        <w:pStyle w:val="P31"/>
        <w:jc w:val="both"/>
        <w:rPr>
          <w:rFonts w:ascii="Times New Roman" w:hAnsi="Times New Roman" w:cs="Times New Roman"/>
        </w:rPr>
      </w:pPr>
      <w:r w:rsidRPr="007814BE">
        <w:rPr>
          <w:rFonts w:ascii="Times New Roman" w:hAnsi="Times New Roman" w:cs="Times New Roman"/>
        </w:rPr>
        <w:t>A.</w:t>
      </w:r>
      <w:r w:rsidRPr="007814BE">
        <w:rPr>
          <w:rFonts w:ascii="Times New Roman" w:hAnsi="Times New Roman" w:cs="Times New Roman"/>
        </w:rPr>
        <w:tab/>
      </w:r>
      <w:r>
        <w:rPr>
          <w:rFonts w:ascii="Times New Roman" w:hAnsi="Times New Roman" w:cs="Times New Roman"/>
        </w:rPr>
        <w:t xml:space="preserve">Yes.  </w:t>
      </w:r>
      <w:proofErr w:type="gramStart"/>
      <w:r>
        <w:rPr>
          <w:rFonts w:ascii="Times New Roman" w:hAnsi="Times New Roman" w:cs="Times New Roman"/>
        </w:rPr>
        <w:t>In the Commission’s Third Supplemental Order</w:t>
      </w:r>
      <w:r w:rsidR="00E27335">
        <w:rPr>
          <w:rFonts w:ascii="Times New Roman" w:hAnsi="Times New Roman" w:cs="Times New Roman"/>
        </w:rPr>
        <w:t xml:space="preserve">, dated </w:t>
      </w:r>
      <w:r w:rsidR="00180508">
        <w:rPr>
          <w:rFonts w:ascii="Times New Roman" w:hAnsi="Times New Roman" w:cs="Times New Roman"/>
        </w:rPr>
        <w:t xml:space="preserve">August 9, </w:t>
      </w:r>
      <w:r w:rsidR="00E27335">
        <w:rPr>
          <w:rFonts w:ascii="Times New Roman" w:hAnsi="Times New Roman" w:cs="Times New Roman"/>
        </w:rPr>
        <w:t>2000,</w:t>
      </w:r>
      <w:r>
        <w:rPr>
          <w:rFonts w:ascii="Times New Roman" w:hAnsi="Times New Roman" w:cs="Times New Roman"/>
        </w:rPr>
        <w:t xml:space="preserve"> in Docket No.</w:t>
      </w:r>
      <w:proofErr w:type="gramEnd"/>
      <w:r>
        <w:rPr>
          <w:rFonts w:ascii="Times New Roman" w:hAnsi="Times New Roman" w:cs="Times New Roman"/>
        </w:rPr>
        <w:t xml:space="preserve"> UE-991832</w:t>
      </w:r>
      <w:r w:rsidR="000334C5">
        <w:rPr>
          <w:rFonts w:ascii="Times New Roman" w:hAnsi="Times New Roman" w:cs="Times New Roman"/>
        </w:rPr>
        <w:t>,</w:t>
      </w:r>
      <w:r>
        <w:rPr>
          <w:rFonts w:ascii="Times New Roman" w:hAnsi="Times New Roman" w:cs="Times New Roman"/>
        </w:rPr>
        <w:t xml:space="preserve"> the UTC approved a five-year rate plan for PacifiCorp.</w:t>
      </w:r>
      <w:r w:rsidR="00E27335">
        <w:rPr>
          <w:rFonts w:ascii="Times New Roman" w:hAnsi="Times New Roman" w:cs="Times New Roman"/>
        </w:rPr>
        <w:t xml:space="preserve">  The approved plan included base rate increases for each year of a three-year period, followed by two years of no general rate increases.</w:t>
      </w:r>
      <w:r w:rsidR="00C75671">
        <w:rPr>
          <w:rFonts w:ascii="Times New Roman" w:hAnsi="Times New Roman" w:cs="Times New Roman"/>
        </w:rPr>
        <w:t xml:space="preserve">  On page 19 of the Order, paragraph 50, the Commission stated that:</w:t>
      </w:r>
    </w:p>
    <w:p w:rsidR="00C75671" w:rsidRDefault="00643EC3" w:rsidP="00643EC3">
      <w:pPr>
        <w:pStyle w:val="P31"/>
        <w:spacing w:line="240" w:lineRule="auto"/>
        <w:ind w:left="720" w:hanging="720"/>
        <w:jc w:val="both"/>
        <w:rPr>
          <w:rFonts w:ascii="Times New Roman" w:hAnsi="Times New Roman" w:cs="Times New Roman"/>
        </w:rPr>
      </w:pPr>
      <w:r>
        <w:rPr>
          <w:rFonts w:ascii="Times New Roman" w:hAnsi="Times New Roman" w:cs="Times New Roman"/>
        </w:rPr>
        <w:tab/>
      </w:r>
      <w:r w:rsidR="005766C8">
        <w:rPr>
          <w:rFonts w:ascii="Times New Roman" w:hAnsi="Times New Roman" w:cs="Times New Roman"/>
        </w:rPr>
        <w:t>“</w:t>
      </w:r>
      <w:r w:rsidR="00C75671">
        <w:rPr>
          <w:rFonts w:ascii="Times New Roman" w:hAnsi="Times New Roman" w:cs="Times New Roman"/>
        </w:rPr>
        <w:t xml:space="preserve">The cumulative effect on customers under the settlement is a rate increase that is approximately one-half what PacifiCorp requested by its filing.  In addition, the small increase under the settlement is more gradual than would have been the case under PacifiCorp’s as-filed request that would have phased in the increases over two years, not three.  The cumulative </w:t>
      </w:r>
      <w:r w:rsidR="00210ABA">
        <w:rPr>
          <w:rFonts w:ascii="Times New Roman" w:hAnsi="Times New Roman" w:cs="Times New Roman"/>
        </w:rPr>
        <w:t xml:space="preserve">increase in rates at the third year under the settlement, results </w:t>
      </w:r>
      <w:r w:rsidR="00BD33F9">
        <w:rPr>
          <w:rFonts w:ascii="Times New Roman" w:hAnsi="Times New Roman" w:cs="Times New Roman"/>
        </w:rPr>
        <w:t>in</w:t>
      </w:r>
      <w:r w:rsidR="00210ABA">
        <w:rPr>
          <w:rFonts w:ascii="Times New Roman" w:hAnsi="Times New Roman" w:cs="Times New Roman"/>
        </w:rPr>
        <w:t xml:space="preserve"> the customers experiencing less of an increase as of January 1, 2003, than what PacifiCorp proposed in its filing to implement November 1, 2000.</w:t>
      </w:r>
      <w:r w:rsidR="005766C8">
        <w:rPr>
          <w:rFonts w:ascii="Times New Roman" w:hAnsi="Times New Roman" w:cs="Times New Roman"/>
        </w:rPr>
        <w:t>”</w:t>
      </w:r>
    </w:p>
    <w:p w:rsidR="00210ABA" w:rsidRDefault="00210ABA" w:rsidP="00091192">
      <w:pPr>
        <w:pStyle w:val="P31"/>
        <w:jc w:val="both"/>
        <w:rPr>
          <w:rFonts w:ascii="Times New Roman" w:hAnsi="Times New Roman" w:cs="Times New Roman"/>
        </w:rPr>
      </w:pPr>
    </w:p>
    <w:p w:rsidR="00F2593C" w:rsidRDefault="00FC006A" w:rsidP="00FC006A">
      <w:pPr>
        <w:pStyle w:val="P31"/>
        <w:jc w:val="both"/>
        <w:rPr>
          <w:rFonts w:ascii="Times New Roman" w:hAnsi="Times New Roman" w:cs="Times New Roman"/>
        </w:rPr>
      </w:pPr>
      <w:r>
        <w:rPr>
          <w:rFonts w:ascii="Times New Roman" w:hAnsi="Times New Roman" w:cs="Times New Roman"/>
        </w:rPr>
        <w:t xml:space="preserve">In a similar manner, the combined rate increases over the next two years </w:t>
      </w:r>
      <w:r w:rsidR="0006217D">
        <w:rPr>
          <w:rFonts w:ascii="Times New Roman" w:hAnsi="Times New Roman" w:cs="Times New Roman"/>
        </w:rPr>
        <w:t xml:space="preserve">for </w:t>
      </w:r>
      <w:r w:rsidR="005766C8">
        <w:rPr>
          <w:rFonts w:ascii="Times New Roman" w:hAnsi="Times New Roman" w:cs="Times New Roman"/>
        </w:rPr>
        <w:t xml:space="preserve">both </w:t>
      </w:r>
      <w:r w:rsidR="0006217D">
        <w:rPr>
          <w:rFonts w:ascii="Times New Roman" w:hAnsi="Times New Roman" w:cs="Times New Roman"/>
        </w:rPr>
        <w:t xml:space="preserve">2013 and 2014 </w:t>
      </w:r>
      <w:r w:rsidR="00531B38">
        <w:rPr>
          <w:rFonts w:ascii="Times New Roman" w:hAnsi="Times New Roman" w:cs="Times New Roman"/>
        </w:rPr>
        <w:t>are</w:t>
      </w:r>
      <w:r>
        <w:rPr>
          <w:rFonts w:ascii="Times New Roman" w:hAnsi="Times New Roman" w:cs="Times New Roman"/>
        </w:rPr>
        <w:t xml:space="preserve"> well below the Company’s request for 2013</w:t>
      </w:r>
      <w:r w:rsidR="005766C8">
        <w:rPr>
          <w:rFonts w:ascii="Times New Roman" w:hAnsi="Times New Roman" w:cs="Times New Roman"/>
        </w:rPr>
        <w:t>, even standing alone</w:t>
      </w:r>
      <w:r w:rsidR="000334C5">
        <w:rPr>
          <w:rFonts w:ascii="Times New Roman" w:hAnsi="Times New Roman" w:cs="Times New Roman"/>
        </w:rPr>
        <w:t>.  It will also</w:t>
      </w:r>
      <w:r w:rsidR="000B550B" w:rsidRPr="007814BE">
        <w:rPr>
          <w:rFonts w:ascii="Times New Roman" w:hAnsi="Times New Roman" w:cs="Times New Roman"/>
        </w:rPr>
        <w:t xml:space="preserve"> provide </w:t>
      </w:r>
      <w:r w:rsidR="00BD33F9">
        <w:rPr>
          <w:rFonts w:ascii="Times New Roman" w:hAnsi="Times New Roman" w:cs="Times New Roman"/>
        </w:rPr>
        <w:t>base-</w:t>
      </w:r>
      <w:r w:rsidR="000B550B" w:rsidRPr="007814BE">
        <w:rPr>
          <w:rFonts w:ascii="Times New Roman" w:hAnsi="Times New Roman" w:cs="Times New Roman"/>
        </w:rPr>
        <w:t>rate certainty for customers over the next two years.</w:t>
      </w:r>
    </w:p>
    <w:p w:rsidR="00DD0733" w:rsidRDefault="00DD0733" w:rsidP="00DD0733">
      <w:pPr>
        <w:pStyle w:val="P31"/>
        <w:jc w:val="both"/>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00BD33F9">
        <w:rPr>
          <w:rFonts w:ascii="Times New Roman" w:hAnsi="Times New Roman" w:cs="Times New Roman"/>
          <w:b/>
        </w:rPr>
        <w:t xml:space="preserve">Is there additional information </w:t>
      </w:r>
      <w:r w:rsidR="005565E5">
        <w:rPr>
          <w:rFonts w:ascii="Times New Roman" w:hAnsi="Times New Roman" w:cs="Times New Roman"/>
          <w:b/>
        </w:rPr>
        <w:t>available in the record</w:t>
      </w:r>
      <w:r w:rsidR="00BD33F9">
        <w:rPr>
          <w:rFonts w:ascii="Times New Roman" w:hAnsi="Times New Roman" w:cs="Times New Roman"/>
          <w:b/>
        </w:rPr>
        <w:t xml:space="preserve"> that supports</w:t>
      </w:r>
      <w:r>
        <w:rPr>
          <w:rFonts w:ascii="Times New Roman" w:hAnsi="Times New Roman" w:cs="Times New Roman"/>
          <w:b/>
        </w:rPr>
        <w:t xml:space="preserve"> the need for the 2013 and 2014 revenue increases?</w:t>
      </w:r>
    </w:p>
    <w:p w:rsidR="00024C98" w:rsidRDefault="00DD0733" w:rsidP="00FC006A">
      <w:pPr>
        <w:pStyle w:val="P31"/>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70ECB">
        <w:rPr>
          <w:rFonts w:ascii="Times New Roman" w:hAnsi="Times New Roman" w:cs="Times New Roman"/>
        </w:rPr>
        <w:t xml:space="preserve">Yes.  </w:t>
      </w:r>
      <w:r w:rsidR="000F753A">
        <w:rPr>
          <w:rFonts w:ascii="Times New Roman" w:hAnsi="Times New Roman" w:cs="Times New Roman"/>
        </w:rPr>
        <w:t>In its original filing</w:t>
      </w:r>
      <w:r w:rsidR="000334C5">
        <w:rPr>
          <w:rFonts w:ascii="Times New Roman" w:hAnsi="Times New Roman" w:cs="Times New Roman"/>
        </w:rPr>
        <w:t>,</w:t>
      </w:r>
      <w:r w:rsidR="000F753A">
        <w:rPr>
          <w:rFonts w:ascii="Times New Roman" w:hAnsi="Times New Roman" w:cs="Times New Roman"/>
        </w:rPr>
        <w:t xml:space="preserve"> Avista submitted </w:t>
      </w:r>
      <w:r w:rsidR="00103D09">
        <w:rPr>
          <w:rFonts w:ascii="Times New Roman" w:hAnsi="Times New Roman" w:cs="Times New Roman"/>
        </w:rPr>
        <w:t>a comprehensive Attrition Study, sponsored by Dr. Mark Lowry</w:t>
      </w:r>
      <w:r w:rsidR="00DC6F65">
        <w:rPr>
          <w:rFonts w:ascii="Times New Roman" w:hAnsi="Times New Roman" w:cs="Times New Roman"/>
        </w:rPr>
        <w:t xml:space="preserve"> (see Exhibit No. </w:t>
      </w:r>
      <w:proofErr w:type="gramStart"/>
      <w:r w:rsidR="00DC6F65">
        <w:rPr>
          <w:rFonts w:ascii="Times New Roman" w:hAnsi="Times New Roman" w:cs="Times New Roman"/>
        </w:rPr>
        <w:t>___MNL-1T</w:t>
      </w:r>
      <w:r w:rsidR="00024C98">
        <w:rPr>
          <w:rFonts w:ascii="Times New Roman" w:hAnsi="Times New Roman" w:cs="Times New Roman"/>
        </w:rPr>
        <w:t>)</w:t>
      </w:r>
      <w:r w:rsidR="00DC6F65">
        <w:rPr>
          <w:rFonts w:ascii="Times New Roman" w:hAnsi="Times New Roman" w:cs="Times New Roman"/>
        </w:rPr>
        <w:t>)</w:t>
      </w:r>
      <w:r w:rsidR="00103D09">
        <w:rPr>
          <w:rFonts w:ascii="Times New Roman" w:hAnsi="Times New Roman" w:cs="Times New Roman"/>
        </w:rPr>
        <w:t>.</w:t>
      </w:r>
      <w:proofErr w:type="gramEnd"/>
      <w:r w:rsidR="000F753A">
        <w:rPr>
          <w:rFonts w:ascii="Times New Roman" w:hAnsi="Times New Roman" w:cs="Times New Roman"/>
        </w:rPr>
        <w:t xml:space="preserve">  This study was developed independent</w:t>
      </w:r>
      <w:r w:rsidR="00DC6F65">
        <w:rPr>
          <w:rFonts w:ascii="Times New Roman" w:hAnsi="Times New Roman" w:cs="Times New Roman"/>
        </w:rPr>
        <w:t>ly</w:t>
      </w:r>
      <w:r w:rsidR="000F753A">
        <w:rPr>
          <w:rFonts w:ascii="Times New Roman" w:hAnsi="Times New Roman" w:cs="Times New Roman"/>
        </w:rPr>
        <w:t xml:space="preserve"> from the traditional pro forma ratemaking adjustments, and was based on the historical trends of operations and maintenance (O&amp;M) costs, and net plant investment, as compared to the growth in retail revenue.</w:t>
      </w:r>
      <w:r w:rsidR="00C10EB4">
        <w:rPr>
          <w:rFonts w:ascii="Times New Roman" w:hAnsi="Times New Roman" w:cs="Times New Roman"/>
        </w:rPr>
        <w:t xml:space="preserve">  The study revealed a continuing attrition</w:t>
      </w:r>
      <w:r w:rsidR="0077014C">
        <w:rPr>
          <w:rFonts w:ascii="Times New Roman" w:hAnsi="Times New Roman" w:cs="Times New Roman"/>
        </w:rPr>
        <w:t>,</w:t>
      </w:r>
      <w:r w:rsidR="00C10EB4">
        <w:rPr>
          <w:rFonts w:ascii="Times New Roman" w:hAnsi="Times New Roman" w:cs="Times New Roman"/>
        </w:rPr>
        <w:t xml:space="preserve"> or regulatory lag</w:t>
      </w:r>
      <w:r w:rsidR="0077014C">
        <w:rPr>
          <w:rFonts w:ascii="Times New Roman" w:hAnsi="Times New Roman" w:cs="Times New Roman"/>
        </w:rPr>
        <w:t>, problem</w:t>
      </w:r>
      <w:r w:rsidR="00C10EB4">
        <w:rPr>
          <w:rFonts w:ascii="Times New Roman" w:hAnsi="Times New Roman" w:cs="Times New Roman"/>
        </w:rPr>
        <w:t xml:space="preserve"> resulting in historical earned ROEs well below the authorized level.  And the study demonstrated that this revenue short-fall will continue if </w:t>
      </w:r>
      <w:r w:rsidR="00E67B50">
        <w:rPr>
          <w:rFonts w:ascii="Times New Roman" w:hAnsi="Times New Roman" w:cs="Times New Roman"/>
        </w:rPr>
        <w:t>this mismatch of the growth in utility costs and revenues is not reflected in the ratem</w:t>
      </w:r>
      <w:r w:rsidR="0077014C">
        <w:rPr>
          <w:rFonts w:ascii="Times New Roman" w:hAnsi="Times New Roman" w:cs="Times New Roman"/>
        </w:rPr>
        <w:t>aking process in some way, whether through a specific attrition adjustment or some other means.</w:t>
      </w:r>
    </w:p>
    <w:p w:rsidR="00DD0733" w:rsidRDefault="00C10EB4" w:rsidP="00FC006A">
      <w:pPr>
        <w:pStyle w:val="P31"/>
        <w:jc w:val="both"/>
        <w:rPr>
          <w:rFonts w:ascii="Times New Roman" w:hAnsi="Times New Roman" w:cs="Times New Roman"/>
        </w:rPr>
      </w:pPr>
      <w:r>
        <w:rPr>
          <w:rFonts w:ascii="Times New Roman" w:hAnsi="Times New Roman" w:cs="Times New Roman"/>
        </w:rPr>
        <w:t>The attrition study supports a</w:t>
      </w:r>
      <w:r w:rsidR="00E6299D">
        <w:rPr>
          <w:rFonts w:ascii="Times New Roman" w:hAnsi="Times New Roman" w:cs="Times New Roman"/>
        </w:rPr>
        <w:t>n</w:t>
      </w:r>
      <w:r>
        <w:rPr>
          <w:rFonts w:ascii="Times New Roman" w:hAnsi="Times New Roman" w:cs="Times New Roman"/>
        </w:rPr>
        <w:t xml:space="preserve"> </w:t>
      </w:r>
      <w:r w:rsidR="00E6299D">
        <w:rPr>
          <w:rFonts w:ascii="Times New Roman" w:hAnsi="Times New Roman" w:cs="Times New Roman"/>
        </w:rPr>
        <w:t xml:space="preserve">electric </w:t>
      </w:r>
      <w:r w:rsidR="00035368">
        <w:rPr>
          <w:rFonts w:ascii="Times New Roman" w:hAnsi="Times New Roman" w:cs="Times New Roman"/>
        </w:rPr>
        <w:t>revenue increase</w:t>
      </w:r>
      <w:r>
        <w:rPr>
          <w:rFonts w:ascii="Times New Roman" w:hAnsi="Times New Roman" w:cs="Times New Roman"/>
        </w:rPr>
        <w:t xml:space="preserve"> for 2013</w:t>
      </w:r>
      <w:r w:rsidR="00B366E4">
        <w:rPr>
          <w:rFonts w:ascii="Times New Roman" w:hAnsi="Times New Roman" w:cs="Times New Roman"/>
        </w:rPr>
        <w:t xml:space="preserve"> of $41 million</w:t>
      </w:r>
      <w:r w:rsidR="00E6299D">
        <w:rPr>
          <w:rStyle w:val="FootnoteReference"/>
          <w:rFonts w:ascii="Times New Roman" w:hAnsi="Times New Roman"/>
        </w:rPr>
        <w:footnoteReference w:id="6"/>
      </w:r>
      <w:r w:rsidR="00E6299D">
        <w:rPr>
          <w:rFonts w:ascii="Times New Roman" w:hAnsi="Times New Roman" w:cs="Times New Roman"/>
        </w:rPr>
        <w:t>, which is</w:t>
      </w:r>
      <w:r>
        <w:rPr>
          <w:rFonts w:ascii="Times New Roman" w:hAnsi="Times New Roman" w:cs="Times New Roman"/>
        </w:rPr>
        <w:t xml:space="preserve"> well above </w:t>
      </w:r>
      <w:r w:rsidR="0077014C">
        <w:rPr>
          <w:rFonts w:ascii="Times New Roman" w:hAnsi="Times New Roman" w:cs="Times New Roman"/>
        </w:rPr>
        <w:t xml:space="preserve">the 2013 </w:t>
      </w:r>
      <w:r w:rsidR="00BA4DEE">
        <w:rPr>
          <w:rFonts w:ascii="Times New Roman" w:hAnsi="Times New Roman" w:cs="Times New Roman"/>
        </w:rPr>
        <w:t xml:space="preserve">electric </w:t>
      </w:r>
      <w:r w:rsidR="0077014C">
        <w:rPr>
          <w:rFonts w:ascii="Times New Roman" w:hAnsi="Times New Roman" w:cs="Times New Roman"/>
        </w:rPr>
        <w:t>revenue increase</w:t>
      </w:r>
      <w:r w:rsidR="00BA4DEE">
        <w:rPr>
          <w:rFonts w:ascii="Times New Roman" w:hAnsi="Times New Roman" w:cs="Times New Roman"/>
        </w:rPr>
        <w:t xml:space="preserve"> of $13.65 million</w:t>
      </w:r>
      <w:r w:rsidR="00E6299D">
        <w:rPr>
          <w:rFonts w:ascii="Times New Roman" w:hAnsi="Times New Roman" w:cs="Times New Roman"/>
        </w:rPr>
        <w:t xml:space="preserve">.  The natural gas attrition study </w:t>
      </w:r>
      <w:r w:rsidR="00025488">
        <w:rPr>
          <w:rFonts w:ascii="Times New Roman" w:hAnsi="Times New Roman" w:cs="Times New Roman"/>
        </w:rPr>
        <w:t>supports</w:t>
      </w:r>
      <w:r w:rsidR="006A4F9C">
        <w:rPr>
          <w:rFonts w:ascii="Times New Roman" w:hAnsi="Times New Roman" w:cs="Times New Roman"/>
        </w:rPr>
        <w:t xml:space="preserve"> </w:t>
      </w:r>
      <w:r w:rsidR="00E6299D">
        <w:rPr>
          <w:rFonts w:ascii="Times New Roman" w:hAnsi="Times New Roman" w:cs="Times New Roman"/>
        </w:rPr>
        <w:t xml:space="preserve">a rate increase of </w:t>
      </w:r>
      <w:r w:rsidR="001B32C8">
        <w:rPr>
          <w:rFonts w:ascii="Times New Roman" w:hAnsi="Times New Roman" w:cs="Times New Roman"/>
        </w:rPr>
        <w:t>$10.</w:t>
      </w:r>
      <w:r w:rsidR="00D739DA">
        <w:rPr>
          <w:rFonts w:ascii="Times New Roman" w:hAnsi="Times New Roman" w:cs="Times New Roman"/>
        </w:rPr>
        <w:t>4</w:t>
      </w:r>
      <w:r w:rsidR="001B32C8">
        <w:rPr>
          <w:rFonts w:ascii="Times New Roman" w:hAnsi="Times New Roman" w:cs="Times New Roman"/>
        </w:rPr>
        <w:t xml:space="preserve"> million </w:t>
      </w:r>
      <w:r w:rsidR="00E6299D">
        <w:rPr>
          <w:rFonts w:ascii="Times New Roman" w:hAnsi="Times New Roman" w:cs="Times New Roman"/>
        </w:rPr>
        <w:t>for 2013, compared with</w:t>
      </w:r>
      <w:r w:rsidR="00BA4DEE">
        <w:rPr>
          <w:rFonts w:ascii="Times New Roman" w:hAnsi="Times New Roman" w:cs="Times New Roman"/>
        </w:rPr>
        <w:t xml:space="preserve"> the natural gas revenue increase of $5.3 million</w:t>
      </w:r>
      <w:r w:rsidR="00E6299D">
        <w:rPr>
          <w:rFonts w:ascii="Times New Roman" w:hAnsi="Times New Roman" w:cs="Times New Roman"/>
        </w:rPr>
        <w:t xml:space="preserve"> in the Settlement Stipulation</w:t>
      </w:r>
      <w:r w:rsidR="00BA4DEE">
        <w:rPr>
          <w:rFonts w:ascii="Times New Roman" w:hAnsi="Times New Roman" w:cs="Times New Roman"/>
        </w:rPr>
        <w:t>.</w:t>
      </w:r>
      <w:r w:rsidR="00E6299D">
        <w:rPr>
          <w:rStyle w:val="FootnoteReference"/>
          <w:rFonts w:ascii="Times New Roman" w:hAnsi="Times New Roman"/>
        </w:rPr>
        <w:footnoteReference w:id="7"/>
      </w:r>
    </w:p>
    <w:p w:rsidR="007D6B40" w:rsidRPr="001B32C8" w:rsidRDefault="00B6077D" w:rsidP="00FC006A">
      <w:pPr>
        <w:pStyle w:val="P31"/>
        <w:jc w:val="both"/>
        <w:rPr>
          <w:rFonts w:ascii="Times New Roman" w:hAnsi="Times New Roman" w:cs="Times New Roman"/>
        </w:rPr>
      </w:pPr>
      <w:r w:rsidRPr="001B32C8">
        <w:rPr>
          <w:rFonts w:ascii="Times New Roman" w:hAnsi="Times New Roman" w:cs="Times New Roman"/>
        </w:rPr>
        <w:t>Furthermore, if we were to reduce the attrition analys</w:t>
      </w:r>
      <w:r w:rsidR="00531B38">
        <w:rPr>
          <w:rFonts w:ascii="Times New Roman" w:hAnsi="Times New Roman" w:cs="Times New Roman"/>
        </w:rPr>
        <w:t>e</w:t>
      </w:r>
      <w:r w:rsidRPr="001B32C8">
        <w:rPr>
          <w:rFonts w:ascii="Times New Roman" w:hAnsi="Times New Roman" w:cs="Times New Roman"/>
        </w:rPr>
        <w:t xml:space="preserve">s for 2013 to reflect the 9.8% ROE and 47% equity layer in the Settlement, it would reduce the need for an electric revenue increase from $41 million to $29 million, and the natural gas increase from </w:t>
      </w:r>
      <w:r w:rsidR="001B32C8" w:rsidRPr="001B32C8">
        <w:rPr>
          <w:rFonts w:ascii="Times New Roman" w:hAnsi="Times New Roman" w:cs="Times New Roman"/>
        </w:rPr>
        <w:t>$</w:t>
      </w:r>
      <w:r w:rsidR="001B32C8">
        <w:rPr>
          <w:rFonts w:ascii="Times New Roman" w:hAnsi="Times New Roman" w:cs="Times New Roman"/>
        </w:rPr>
        <w:t>10.</w:t>
      </w:r>
      <w:r w:rsidR="00D739DA">
        <w:rPr>
          <w:rFonts w:ascii="Times New Roman" w:hAnsi="Times New Roman" w:cs="Times New Roman"/>
        </w:rPr>
        <w:t>4</w:t>
      </w:r>
      <w:r w:rsidR="001B32C8" w:rsidRPr="001B32C8">
        <w:rPr>
          <w:rFonts w:ascii="Times New Roman" w:hAnsi="Times New Roman" w:cs="Times New Roman"/>
        </w:rPr>
        <w:t xml:space="preserve"> </w:t>
      </w:r>
      <w:r w:rsidRPr="001B32C8">
        <w:rPr>
          <w:rFonts w:ascii="Times New Roman" w:hAnsi="Times New Roman" w:cs="Times New Roman"/>
        </w:rPr>
        <w:t xml:space="preserve">million to </w:t>
      </w:r>
      <w:r w:rsidR="001B32C8" w:rsidRPr="001B32C8">
        <w:rPr>
          <w:rFonts w:ascii="Times New Roman" w:hAnsi="Times New Roman" w:cs="Times New Roman"/>
        </w:rPr>
        <w:t>$</w:t>
      </w:r>
      <w:r w:rsidR="001B32C8">
        <w:rPr>
          <w:rFonts w:ascii="Times New Roman" w:hAnsi="Times New Roman" w:cs="Times New Roman"/>
        </w:rPr>
        <w:t>8.</w:t>
      </w:r>
      <w:r w:rsidR="00D739DA">
        <w:rPr>
          <w:rFonts w:ascii="Times New Roman" w:hAnsi="Times New Roman" w:cs="Times New Roman"/>
        </w:rPr>
        <w:t>3</w:t>
      </w:r>
      <w:r w:rsidR="001B32C8" w:rsidRPr="001B32C8">
        <w:rPr>
          <w:rFonts w:ascii="Times New Roman" w:hAnsi="Times New Roman" w:cs="Times New Roman"/>
        </w:rPr>
        <w:t xml:space="preserve"> </w:t>
      </w:r>
      <w:r w:rsidRPr="001B32C8">
        <w:rPr>
          <w:rFonts w:ascii="Times New Roman" w:hAnsi="Times New Roman" w:cs="Times New Roman"/>
        </w:rPr>
        <w:t>million.</w:t>
      </w:r>
      <w:r w:rsidRPr="001B32C8">
        <w:rPr>
          <w:rStyle w:val="FootnoteReference"/>
          <w:rFonts w:ascii="Times New Roman" w:hAnsi="Times New Roman"/>
        </w:rPr>
        <w:footnoteReference w:id="8"/>
      </w:r>
      <w:r w:rsidRPr="001B32C8">
        <w:rPr>
          <w:rFonts w:ascii="Times New Roman" w:hAnsi="Times New Roman" w:cs="Times New Roman"/>
        </w:rPr>
        <w:t xml:space="preserve">  This calculation of the total need for electric and natural gas rate relief of </w:t>
      </w:r>
      <w:r w:rsidR="001B32C8" w:rsidRPr="001B32C8">
        <w:rPr>
          <w:rFonts w:ascii="Times New Roman" w:hAnsi="Times New Roman" w:cs="Times New Roman"/>
        </w:rPr>
        <w:t>$</w:t>
      </w:r>
      <w:r w:rsidR="001B32C8">
        <w:rPr>
          <w:rFonts w:ascii="Times New Roman" w:hAnsi="Times New Roman" w:cs="Times New Roman"/>
        </w:rPr>
        <w:t>37.</w:t>
      </w:r>
      <w:r w:rsidR="00D739DA">
        <w:rPr>
          <w:rFonts w:ascii="Times New Roman" w:hAnsi="Times New Roman" w:cs="Times New Roman"/>
        </w:rPr>
        <w:t>3</w:t>
      </w:r>
      <w:r w:rsidR="001B32C8" w:rsidRPr="001B32C8">
        <w:rPr>
          <w:rFonts w:ascii="Times New Roman" w:hAnsi="Times New Roman" w:cs="Times New Roman"/>
        </w:rPr>
        <w:t xml:space="preserve"> </w:t>
      </w:r>
      <w:r w:rsidRPr="001B32C8">
        <w:rPr>
          <w:rFonts w:ascii="Times New Roman" w:hAnsi="Times New Roman" w:cs="Times New Roman"/>
        </w:rPr>
        <w:t xml:space="preserve">million is </w:t>
      </w:r>
      <w:r w:rsidR="00DC6F65">
        <w:rPr>
          <w:rFonts w:ascii="Times New Roman" w:hAnsi="Times New Roman" w:cs="Times New Roman"/>
        </w:rPr>
        <w:t>still</w:t>
      </w:r>
      <w:r w:rsidRPr="001B32C8">
        <w:rPr>
          <w:rFonts w:ascii="Times New Roman" w:hAnsi="Times New Roman" w:cs="Times New Roman"/>
        </w:rPr>
        <w:t xml:space="preserve"> well above the combined electric and natural gas increase in the Settlement for 2013 of $18.95 million.</w:t>
      </w:r>
    </w:p>
    <w:p w:rsidR="000A1485" w:rsidRPr="001B32C8" w:rsidRDefault="00B6077D" w:rsidP="00FC006A">
      <w:pPr>
        <w:pStyle w:val="P31"/>
        <w:jc w:val="both"/>
        <w:rPr>
          <w:rFonts w:ascii="Times New Roman" w:hAnsi="Times New Roman" w:cs="Times New Roman"/>
        </w:rPr>
      </w:pPr>
      <w:r w:rsidRPr="001B32C8">
        <w:rPr>
          <w:rFonts w:ascii="Times New Roman" w:hAnsi="Times New Roman" w:cs="Times New Roman"/>
        </w:rPr>
        <w:t>With regard to 2014, a simple extension of the trend analysis in the Attrition Study to 2014 from 2013 would show a need for an incremental electric revenue increase of approximately $14</w:t>
      </w:r>
      <w:r w:rsidR="00D739DA">
        <w:rPr>
          <w:rFonts w:ascii="Times New Roman" w:hAnsi="Times New Roman" w:cs="Times New Roman"/>
        </w:rPr>
        <w:t>.5</w:t>
      </w:r>
      <w:r w:rsidRPr="001B32C8">
        <w:rPr>
          <w:rFonts w:ascii="Times New Roman" w:hAnsi="Times New Roman" w:cs="Times New Roman"/>
        </w:rPr>
        <w:t xml:space="preserve"> million for 2014.  The trend analysis for 2013 shows an electric revenue need of $29 million, using the cost of capital in the Settlement, as explained above.  This $29 million represents the incremental revenue need for the two-year period from 2011 to 2013.  </w:t>
      </w:r>
      <w:r w:rsidR="00DC6F65">
        <w:rPr>
          <w:rFonts w:ascii="Times New Roman" w:hAnsi="Times New Roman" w:cs="Times New Roman"/>
        </w:rPr>
        <w:t xml:space="preserve">If we </w:t>
      </w:r>
      <w:r w:rsidR="00024C98">
        <w:rPr>
          <w:rFonts w:ascii="Times New Roman" w:hAnsi="Times New Roman" w:cs="Times New Roman"/>
        </w:rPr>
        <w:t>apply</w:t>
      </w:r>
      <w:r w:rsidRPr="001B32C8">
        <w:rPr>
          <w:rFonts w:ascii="Times New Roman" w:hAnsi="Times New Roman" w:cs="Times New Roman"/>
        </w:rPr>
        <w:t xml:space="preserve"> this same trend of revenues, expenses and rate base for one additional period, from 2013 to 2014, the incremental </w:t>
      </w:r>
      <w:r w:rsidR="00024C98" w:rsidRPr="00024C98">
        <w:rPr>
          <w:rFonts w:ascii="Times New Roman" w:hAnsi="Times New Roman" w:cs="Times New Roman"/>
          <w:u w:val="single"/>
        </w:rPr>
        <w:t>electric</w:t>
      </w:r>
      <w:r w:rsidR="00024C98">
        <w:rPr>
          <w:rFonts w:ascii="Times New Roman" w:hAnsi="Times New Roman" w:cs="Times New Roman"/>
        </w:rPr>
        <w:t xml:space="preserve"> </w:t>
      </w:r>
      <w:r w:rsidRPr="001B32C8">
        <w:rPr>
          <w:rFonts w:ascii="Times New Roman" w:hAnsi="Times New Roman" w:cs="Times New Roman"/>
        </w:rPr>
        <w:t xml:space="preserve">revenue need for 2014 is $14.5 million, i.e., one-half of the two-year change from 2011 to </w:t>
      </w:r>
      <w:r w:rsidR="00B41A6C">
        <w:rPr>
          <w:rFonts w:ascii="Times New Roman" w:hAnsi="Times New Roman" w:cs="Times New Roman"/>
        </w:rPr>
        <w:t>2013</w:t>
      </w:r>
      <w:r w:rsidRPr="001B32C8">
        <w:rPr>
          <w:rFonts w:ascii="Times New Roman" w:hAnsi="Times New Roman" w:cs="Times New Roman"/>
        </w:rPr>
        <w:t xml:space="preserve">.  The incremental </w:t>
      </w:r>
      <w:r w:rsidRPr="00024C98">
        <w:rPr>
          <w:rFonts w:ascii="Times New Roman" w:hAnsi="Times New Roman" w:cs="Times New Roman"/>
          <w:u w:val="single"/>
        </w:rPr>
        <w:t>natural gas</w:t>
      </w:r>
      <w:r w:rsidRPr="001B32C8">
        <w:rPr>
          <w:rFonts w:ascii="Times New Roman" w:hAnsi="Times New Roman" w:cs="Times New Roman"/>
        </w:rPr>
        <w:t xml:space="preserve"> revenue need </w:t>
      </w:r>
      <w:r w:rsidR="00531B38">
        <w:rPr>
          <w:rFonts w:ascii="Times New Roman" w:hAnsi="Times New Roman" w:cs="Times New Roman"/>
        </w:rPr>
        <w:t>from 2013 to 2014</w:t>
      </w:r>
      <w:r w:rsidRPr="001B32C8">
        <w:rPr>
          <w:rFonts w:ascii="Times New Roman" w:hAnsi="Times New Roman" w:cs="Times New Roman"/>
        </w:rPr>
        <w:t xml:space="preserve"> would be </w:t>
      </w:r>
      <w:r w:rsidR="001B32C8" w:rsidRPr="001B32C8">
        <w:rPr>
          <w:rFonts w:ascii="Times New Roman" w:hAnsi="Times New Roman" w:cs="Times New Roman"/>
        </w:rPr>
        <w:t>$</w:t>
      </w:r>
      <w:r w:rsidR="001B32C8">
        <w:rPr>
          <w:rFonts w:ascii="Times New Roman" w:hAnsi="Times New Roman" w:cs="Times New Roman"/>
        </w:rPr>
        <w:t>4.2</w:t>
      </w:r>
      <w:r w:rsidR="001B32C8" w:rsidRPr="001B32C8">
        <w:rPr>
          <w:rFonts w:ascii="Times New Roman" w:hAnsi="Times New Roman" w:cs="Times New Roman"/>
        </w:rPr>
        <w:t xml:space="preserve"> </w:t>
      </w:r>
      <w:r w:rsidRPr="001B32C8">
        <w:rPr>
          <w:rFonts w:ascii="Times New Roman" w:hAnsi="Times New Roman" w:cs="Times New Roman"/>
        </w:rPr>
        <w:t xml:space="preserve">million.  </w:t>
      </w:r>
    </w:p>
    <w:p w:rsidR="0029770C" w:rsidRDefault="00B6077D" w:rsidP="00FC006A">
      <w:pPr>
        <w:pStyle w:val="P31"/>
        <w:jc w:val="both"/>
        <w:rPr>
          <w:rFonts w:ascii="Times New Roman" w:hAnsi="Times New Roman" w:cs="Times New Roman"/>
        </w:rPr>
      </w:pPr>
      <w:r w:rsidRPr="001B32C8">
        <w:rPr>
          <w:rFonts w:ascii="Times New Roman" w:hAnsi="Times New Roman" w:cs="Times New Roman"/>
        </w:rPr>
        <w:t xml:space="preserve">Therefore, the attrition analysis would show a total combined incremental electric and natural gas revenue need for 2013 and 2014 of </w:t>
      </w:r>
      <w:r w:rsidR="001B32C8" w:rsidRPr="001B32C8">
        <w:rPr>
          <w:rFonts w:ascii="Times New Roman" w:hAnsi="Times New Roman" w:cs="Times New Roman"/>
        </w:rPr>
        <w:t>$</w:t>
      </w:r>
      <w:r w:rsidR="00D739DA">
        <w:rPr>
          <w:rFonts w:ascii="Times New Roman" w:hAnsi="Times New Roman" w:cs="Times New Roman"/>
        </w:rPr>
        <w:t>56.0</w:t>
      </w:r>
      <w:r w:rsidR="001B32C8" w:rsidRPr="001B32C8">
        <w:rPr>
          <w:rFonts w:ascii="Times New Roman" w:hAnsi="Times New Roman" w:cs="Times New Roman"/>
        </w:rPr>
        <w:t xml:space="preserve"> </w:t>
      </w:r>
      <w:r w:rsidRPr="001B32C8">
        <w:rPr>
          <w:rFonts w:ascii="Times New Roman" w:hAnsi="Times New Roman" w:cs="Times New Roman"/>
        </w:rPr>
        <w:t>million</w:t>
      </w:r>
      <w:r w:rsidR="00D739DA">
        <w:rPr>
          <w:rStyle w:val="FootnoteReference"/>
          <w:rFonts w:ascii="Times New Roman" w:hAnsi="Times New Roman"/>
        </w:rPr>
        <w:footnoteReference w:id="9"/>
      </w:r>
      <w:r w:rsidRPr="001B32C8">
        <w:rPr>
          <w:rFonts w:ascii="Times New Roman" w:hAnsi="Times New Roman" w:cs="Times New Roman"/>
        </w:rPr>
        <w:t xml:space="preserve">, </w:t>
      </w:r>
      <w:r w:rsidR="00DC6F65">
        <w:rPr>
          <w:rFonts w:ascii="Times New Roman" w:hAnsi="Times New Roman" w:cs="Times New Roman"/>
        </w:rPr>
        <w:t xml:space="preserve">even </w:t>
      </w:r>
      <w:r w:rsidRPr="001B32C8">
        <w:rPr>
          <w:rFonts w:ascii="Times New Roman" w:hAnsi="Times New Roman" w:cs="Times New Roman"/>
        </w:rPr>
        <w:t xml:space="preserve">using the cost of capital in the Settlement, which is well above the total revenue increases in the Settlement of </w:t>
      </w:r>
      <w:r w:rsidR="001B32C8" w:rsidRPr="001B32C8">
        <w:rPr>
          <w:rFonts w:ascii="Times New Roman" w:hAnsi="Times New Roman" w:cs="Times New Roman"/>
        </w:rPr>
        <w:t>$</w:t>
      </w:r>
      <w:r w:rsidR="001B32C8">
        <w:rPr>
          <w:rFonts w:ascii="Times New Roman" w:hAnsi="Times New Roman" w:cs="Times New Roman"/>
        </w:rPr>
        <w:t>34.35</w:t>
      </w:r>
      <w:r w:rsidR="001B32C8" w:rsidRPr="001B32C8">
        <w:rPr>
          <w:rFonts w:ascii="Times New Roman" w:hAnsi="Times New Roman" w:cs="Times New Roman"/>
        </w:rPr>
        <w:t xml:space="preserve"> </w:t>
      </w:r>
      <w:r w:rsidRPr="001B32C8">
        <w:rPr>
          <w:rFonts w:ascii="Times New Roman" w:hAnsi="Times New Roman" w:cs="Times New Roman"/>
        </w:rPr>
        <w:t>million for the two years.</w:t>
      </w:r>
    </w:p>
    <w:p w:rsidR="00310B20" w:rsidRDefault="00310B20" w:rsidP="00FC006A">
      <w:pPr>
        <w:pStyle w:val="P31"/>
        <w:jc w:val="both"/>
        <w:rPr>
          <w:rFonts w:ascii="Times New Roman" w:hAnsi="Times New Roman" w:cs="Times New Roman"/>
          <w:b/>
        </w:rPr>
      </w:pPr>
      <w:r w:rsidRPr="00310B20">
        <w:rPr>
          <w:rFonts w:ascii="Times New Roman" w:hAnsi="Times New Roman" w:cs="Times New Roman"/>
          <w:b/>
        </w:rPr>
        <w:t>Q.</w:t>
      </w:r>
      <w:r w:rsidRPr="00310B20">
        <w:rPr>
          <w:rFonts w:ascii="Times New Roman" w:hAnsi="Times New Roman" w:cs="Times New Roman"/>
          <w:b/>
        </w:rPr>
        <w:tab/>
      </w:r>
      <w:proofErr w:type="gramStart"/>
      <w:r w:rsidR="00777F82">
        <w:rPr>
          <w:rFonts w:ascii="Times New Roman" w:hAnsi="Times New Roman" w:cs="Times New Roman"/>
          <w:b/>
        </w:rPr>
        <w:t>On</w:t>
      </w:r>
      <w:proofErr w:type="gramEnd"/>
      <w:r w:rsidR="00777F82">
        <w:rPr>
          <w:rFonts w:ascii="Times New Roman" w:hAnsi="Times New Roman" w:cs="Times New Roman"/>
          <w:b/>
        </w:rPr>
        <w:t xml:space="preserve"> page 6, line 6, of Mr. Dittmer’s testimony (Exhibit No. ____ (JRD-12CT)), he states that, “The agreed upon electric operations revenue increases include a substantial implicit attrition adjustment.”  Do you agree with this testimony?</w:t>
      </w:r>
    </w:p>
    <w:p w:rsidR="002B69F8" w:rsidRDefault="00777F82" w:rsidP="00700EB6">
      <w:pPr>
        <w:spacing w:line="480" w:lineRule="auto"/>
        <w:ind w:firstLine="720"/>
        <w:jc w:val="both"/>
      </w:pPr>
      <w:r w:rsidRPr="00777F82">
        <w:t>A.</w:t>
      </w:r>
      <w:r w:rsidRPr="00777F82">
        <w:tab/>
        <w:t xml:space="preserve">No.  </w:t>
      </w:r>
      <w:r w:rsidR="00700EB6" w:rsidRPr="004D700E">
        <w:t xml:space="preserve">The Stipulation </w:t>
      </w:r>
      <w:r w:rsidR="00700EB6">
        <w:t xml:space="preserve">explicitly </w:t>
      </w:r>
      <w:r w:rsidR="00700EB6" w:rsidRPr="004D700E">
        <w:t>state</w:t>
      </w:r>
      <w:r w:rsidR="00700EB6">
        <w:t>s that the Settling Parties did</w:t>
      </w:r>
      <w:r w:rsidR="00700EB6" w:rsidRPr="004D700E">
        <w:t xml:space="preserve"> not agree to a specific att</w:t>
      </w:r>
      <w:r w:rsidR="00584C61">
        <w:t>rition allowance, but did take</w:t>
      </w:r>
      <w:r w:rsidR="00700EB6" w:rsidRPr="004D700E">
        <w:t xml:space="preserve"> into account the respective litigation positions </w:t>
      </w:r>
      <w:r w:rsidR="00453A4B">
        <w:t>of the parties in reaching a</w:t>
      </w:r>
      <w:r w:rsidR="00700EB6" w:rsidRPr="004D700E">
        <w:t>greement.  In addition, the Settling Parties agreed that the Se</w:t>
      </w:r>
      <w:r w:rsidR="0047361F">
        <w:t>ttlement Stipulation represents</w:t>
      </w:r>
      <w:r w:rsidR="00700EB6" w:rsidRPr="004D700E">
        <w:t xml:space="preserve"> a compromise in the positions of the Settling Parties and no Settling Party shall be deemed to have accepted or consented to the facts, principles, methods or theories employed in arriving </w:t>
      </w:r>
      <w:r w:rsidR="00584C61">
        <w:t>at the Settlement Stipulation.</w:t>
      </w:r>
      <w:r w:rsidR="0061789A">
        <w:t xml:space="preserve">  </w:t>
      </w:r>
      <w:r w:rsidR="000334C5">
        <w:t xml:space="preserve">(See </w:t>
      </w:r>
      <w:proofErr w:type="spellStart"/>
      <w:r w:rsidR="000334C5">
        <w:t>para</w:t>
      </w:r>
      <w:proofErr w:type="spellEnd"/>
      <w:r w:rsidR="000334C5">
        <w:t>. 24 of the Multiparty Settlement Stipulation)</w:t>
      </w:r>
    </w:p>
    <w:p w:rsidR="00700EB6" w:rsidRPr="004D700E" w:rsidRDefault="00700EB6" w:rsidP="00700EB6">
      <w:pPr>
        <w:spacing w:line="480" w:lineRule="auto"/>
        <w:ind w:firstLine="720"/>
        <w:jc w:val="both"/>
      </w:pPr>
      <w:r>
        <w:t xml:space="preserve">While Public Counsel </w:t>
      </w:r>
      <w:r w:rsidR="000334C5">
        <w:t>W</w:t>
      </w:r>
      <w:r>
        <w:t>itness Mr. Dittmer</w:t>
      </w:r>
      <w:r w:rsidR="003D560A">
        <w:t>, in Exhibit No. __</w:t>
      </w:r>
      <w:proofErr w:type="gramStart"/>
      <w:r w:rsidR="003D560A">
        <w:t>_(</w:t>
      </w:r>
      <w:proofErr w:type="gramEnd"/>
      <w:r w:rsidR="003D560A">
        <w:t>JRD-12T),</w:t>
      </w:r>
      <w:r>
        <w:t xml:space="preserve"> attempts to back into the revenue requirement agreed to by the Settling Parties, using the various parties' positions described in their pre-filed </w:t>
      </w:r>
      <w:r w:rsidR="00B0120B">
        <w:t xml:space="preserve">litigation </w:t>
      </w:r>
      <w:r>
        <w:t xml:space="preserve">testimony, his analysis does not factor in the give and take </w:t>
      </w:r>
      <w:r w:rsidR="003D560A">
        <w:t>that occurs in the development of a settlement agreement</w:t>
      </w:r>
      <w:r>
        <w:t>.</w:t>
      </w:r>
    </w:p>
    <w:p w:rsidR="002B59E9" w:rsidRDefault="00700EB6" w:rsidP="00700EB6">
      <w:pPr>
        <w:spacing w:line="480" w:lineRule="auto"/>
        <w:ind w:firstLine="720"/>
        <w:jc w:val="both"/>
      </w:pPr>
      <w:proofErr w:type="gramStart"/>
      <w:r w:rsidRPr="004D700E">
        <w:t>In my initial pre-filed testimony (Exhibit No.</w:t>
      </w:r>
      <w:proofErr w:type="gramEnd"/>
      <w:r w:rsidRPr="004D700E">
        <w:t xml:space="preserve"> __</w:t>
      </w:r>
      <w:proofErr w:type="gramStart"/>
      <w:r w:rsidRPr="004D700E">
        <w:t>_(</w:t>
      </w:r>
      <w:proofErr w:type="gramEnd"/>
      <w:r w:rsidRPr="004D700E">
        <w:t xml:space="preserve">KON-1T)), I discussed at length the under-earning that the Company has been experiencing in </w:t>
      </w:r>
      <w:r w:rsidR="00531B38">
        <w:t>the</w:t>
      </w:r>
      <w:r w:rsidRPr="004D700E">
        <w:t xml:space="preserve"> Washington jurisdiction for the past several y</w:t>
      </w:r>
      <w:r w:rsidR="002B69F8">
        <w:t xml:space="preserve">ears.  In that testimony, I </w:t>
      </w:r>
      <w:r w:rsidRPr="004D700E">
        <w:t>presented some of the specific indicators and objective measures that showed the nature and extent of the revenue shortfall.  The Company also provided an attrition study prepared by Company witness Dr. Lowry (Exhibit No. __</w:t>
      </w:r>
      <w:proofErr w:type="gramStart"/>
      <w:r w:rsidRPr="004D700E">
        <w:t>_(</w:t>
      </w:r>
      <w:proofErr w:type="gramEnd"/>
      <w:r>
        <w:t>MNL</w:t>
      </w:r>
      <w:r w:rsidRPr="004D700E">
        <w:t>-1T)), which provided more detail regarding the changes in Avista’s utility costs, net plant investment, and revenues over time.  And lastly, Company witness Ms. Andrews provided a third analysis (Exhibit No. ___(EMA-1T)), th</w:t>
      </w:r>
      <w:r>
        <w:t>r</w:t>
      </w:r>
      <w:r w:rsidR="002B69F8">
        <w:t xml:space="preserve">ough the use of </w:t>
      </w:r>
      <w:r w:rsidRPr="004D700E">
        <w:t>adjustments which presented</w:t>
      </w:r>
      <w:r w:rsidR="00E91F4A">
        <w:t xml:space="preserve"> an independent</w:t>
      </w:r>
      <w:r w:rsidRPr="004D700E">
        <w:t xml:space="preserve"> “cross-check” on the reasonableness of Dr. Lowry’s overall attrition-adjusted revenue requirement.  All three of these methods </w:t>
      </w:r>
      <w:r w:rsidR="00DC6F65">
        <w:t xml:space="preserve">independently </w:t>
      </w:r>
      <w:r w:rsidRPr="004D700E">
        <w:t>dem</w:t>
      </w:r>
      <w:r w:rsidR="001A127E">
        <w:t>onstrate</w:t>
      </w:r>
      <w:r w:rsidRPr="004D700E">
        <w:t xml:space="preserve"> </w:t>
      </w:r>
      <w:r w:rsidR="001A127E">
        <w:t>a</w:t>
      </w:r>
      <w:r w:rsidRPr="004D700E">
        <w:t xml:space="preserve"> need for rate relief</w:t>
      </w:r>
      <w:r w:rsidR="001A127E">
        <w:t xml:space="preserve"> above </w:t>
      </w:r>
      <w:r w:rsidR="00DC6F65">
        <w:t>that provided in the Settlement</w:t>
      </w:r>
      <w:r w:rsidR="001A127E">
        <w:t>.</w:t>
      </w:r>
    </w:p>
    <w:p w:rsidR="002B59E9" w:rsidRDefault="002B59E9" w:rsidP="00700EB6">
      <w:pPr>
        <w:spacing w:line="480" w:lineRule="auto"/>
        <w:ind w:firstLine="720"/>
        <w:jc w:val="both"/>
      </w:pPr>
      <w:r>
        <w:t xml:space="preserve">With regard to the term “attrition,” Mr. Ken Elgin provided a definition on page 64 of his testimony (Exhibit No. ___ (KLE-1T)) in </w:t>
      </w:r>
      <w:r w:rsidR="009040A1">
        <w:t xml:space="preserve">Puget Sound Energy </w:t>
      </w:r>
      <w:r w:rsidR="00E91F4A">
        <w:t xml:space="preserve">(PSE) </w:t>
      </w:r>
      <w:r>
        <w:t>Dockets UE-111048 and UG-111049</w:t>
      </w:r>
      <w:r w:rsidR="00B0120B">
        <w:t>,</w:t>
      </w:r>
      <w:r>
        <w:t xml:space="preserve"> as follows:  </w:t>
      </w:r>
    </w:p>
    <w:p w:rsidR="00D87060" w:rsidRDefault="002B59E9" w:rsidP="002B59E9">
      <w:pPr>
        <w:ind w:left="720" w:hanging="720"/>
        <w:jc w:val="both"/>
      </w:pPr>
      <w:r>
        <w:tab/>
        <w:t>The term [attrition] typically is used to refer to the erosion of a company’s rate of return over time when the historical test period relationship in revenues, expense and rate base accepted by the Commission</w:t>
      </w:r>
      <w:r w:rsidR="00CF16F9">
        <w:t xml:space="preserve"> in a rate case does not hold during </w:t>
      </w:r>
      <w:r>
        <w:t>a future rate year.</w:t>
      </w:r>
    </w:p>
    <w:p w:rsidR="002B59E9" w:rsidRDefault="002B59E9" w:rsidP="00D87060">
      <w:pPr>
        <w:ind w:left="720" w:hanging="720"/>
        <w:jc w:val="both"/>
      </w:pPr>
    </w:p>
    <w:p w:rsidR="00700EB6" w:rsidRPr="004D700E" w:rsidRDefault="00AA14E8" w:rsidP="00700EB6">
      <w:pPr>
        <w:spacing w:line="480" w:lineRule="auto"/>
        <w:ind w:firstLine="720"/>
        <w:jc w:val="both"/>
      </w:pPr>
      <w:r>
        <w:t>The issue of “attrition” has been referred to using a number of “labels” including</w:t>
      </w:r>
      <w:r w:rsidR="004D5E40">
        <w:t>,</w:t>
      </w:r>
      <w:r>
        <w:t xml:space="preserve"> among others, earnings erosion, revenue short-fall, under-earning, regulatory lag, etc.  </w:t>
      </w:r>
      <w:r w:rsidR="00700EB6" w:rsidRPr="004D700E">
        <w:t xml:space="preserve">The </w:t>
      </w:r>
      <w:r>
        <w:t>Settlement Agreement</w:t>
      </w:r>
      <w:r w:rsidR="00700EB6" w:rsidRPr="004D700E">
        <w:t xml:space="preserve"> was a means to address the rate relief necessary to address the under-earning the Company is experiencing without identify</w:t>
      </w:r>
      <w:r w:rsidR="00700EB6">
        <w:t>ing</w:t>
      </w:r>
      <w:r>
        <w:t>, or agreeing to, a specific methodology</w:t>
      </w:r>
      <w:r w:rsidR="00E91F4A">
        <w:t xml:space="preserve">, </w:t>
      </w:r>
      <w:r w:rsidR="00E91F4A" w:rsidRPr="00E91F4A">
        <w:rPr>
          <w:u w:val="single"/>
        </w:rPr>
        <w:t>per se</w:t>
      </w:r>
      <w:r w:rsidR="00E91F4A">
        <w:t xml:space="preserve">, </w:t>
      </w:r>
      <w:r w:rsidR="00B0120B">
        <w:t>for doing so</w:t>
      </w:r>
      <w:r>
        <w:t>.</w:t>
      </w:r>
      <w:r w:rsidR="00B21B27">
        <w:t xml:space="preserve">  </w:t>
      </w:r>
      <w:r w:rsidR="00F1471D">
        <w:t>But the Settling Parties agreed that there is a demonstrated need for the revenue increases included in the Settlement</w:t>
      </w:r>
      <w:r w:rsidR="00B0120B">
        <w:t>, irrespective of the method employed</w:t>
      </w:r>
      <w:r w:rsidR="00F1471D">
        <w:t>.</w:t>
      </w:r>
    </w:p>
    <w:p w:rsidR="00700EB6" w:rsidRPr="004D700E" w:rsidRDefault="00700EB6" w:rsidP="00700EB6">
      <w:pPr>
        <w:spacing w:line="480" w:lineRule="auto"/>
        <w:ind w:firstLine="720"/>
        <w:jc w:val="both"/>
        <w:rPr>
          <w:b/>
        </w:rPr>
      </w:pPr>
      <w:r w:rsidRPr="004D700E">
        <w:rPr>
          <w:b/>
        </w:rPr>
        <w:t>Q.</w:t>
      </w:r>
      <w:r w:rsidRPr="004D700E">
        <w:rPr>
          <w:b/>
        </w:rPr>
        <w:tab/>
        <w:t>Did the Commission require the Company to present an attrition adjustment?</w:t>
      </w:r>
    </w:p>
    <w:p w:rsidR="00777F82" w:rsidRPr="00777F82" w:rsidRDefault="00700EB6" w:rsidP="00700EB6">
      <w:pPr>
        <w:pStyle w:val="P31"/>
        <w:jc w:val="both"/>
        <w:rPr>
          <w:rFonts w:ascii="Times New Roman" w:hAnsi="Times New Roman" w:cs="Times New Roman"/>
        </w:rPr>
      </w:pPr>
      <w:r w:rsidRPr="004D700E">
        <w:rPr>
          <w:rFonts w:ascii="Times New Roman" w:hAnsi="Times New Roman" w:cs="Times New Roman"/>
          <w:szCs w:val="24"/>
        </w:rPr>
        <w:t>A.</w:t>
      </w:r>
      <w:r w:rsidRPr="004D700E">
        <w:rPr>
          <w:rFonts w:ascii="Times New Roman" w:hAnsi="Times New Roman" w:cs="Times New Roman"/>
          <w:szCs w:val="24"/>
        </w:rPr>
        <w:tab/>
        <w:t>No, the Company was not required to present an attrition adjustment in this case.  The Company was aware t</w:t>
      </w:r>
      <w:r w:rsidR="00D1154F">
        <w:rPr>
          <w:rFonts w:ascii="Times New Roman" w:hAnsi="Times New Roman" w:cs="Times New Roman"/>
          <w:szCs w:val="24"/>
        </w:rPr>
        <w:t>hat the Commission had identified</w:t>
      </w:r>
      <w:r w:rsidR="009B0E47">
        <w:rPr>
          <w:rFonts w:ascii="Times New Roman" w:hAnsi="Times New Roman" w:cs="Times New Roman"/>
          <w:szCs w:val="24"/>
        </w:rPr>
        <w:t>,</w:t>
      </w:r>
      <w:r w:rsidRPr="004D700E">
        <w:rPr>
          <w:rFonts w:ascii="Times New Roman" w:hAnsi="Times New Roman" w:cs="Times New Roman"/>
          <w:szCs w:val="24"/>
        </w:rPr>
        <w:t xml:space="preserve"> in the last PSE general rate case order</w:t>
      </w:r>
      <w:r w:rsidR="009B0E47">
        <w:rPr>
          <w:rFonts w:ascii="Times New Roman" w:hAnsi="Times New Roman" w:cs="Times New Roman"/>
          <w:szCs w:val="24"/>
        </w:rPr>
        <w:t>,</w:t>
      </w:r>
      <w:r w:rsidRPr="004D700E">
        <w:rPr>
          <w:rFonts w:ascii="Times New Roman" w:hAnsi="Times New Roman" w:cs="Times New Roman"/>
          <w:szCs w:val="24"/>
        </w:rPr>
        <w:t xml:space="preserve"> an attrition allowan</w:t>
      </w:r>
      <w:r w:rsidR="00D1154F">
        <w:rPr>
          <w:rFonts w:ascii="Times New Roman" w:hAnsi="Times New Roman" w:cs="Times New Roman"/>
          <w:szCs w:val="24"/>
        </w:rPr>
        <w:t xml:space="preserve">ce, based on an attrition study, </w:t>
      </w:r>
      <w:r w:rsidRPr="004D700E">
        <w:rPr>
          <w:rFonts w:ascii="Times New Roman" w:hAnsi="Times New Roman" w:cs="Times New Roman"/>
          <w:szCs w:val="24"/>
        </w:rPr>
        <w:t>as one method the Commission would co</w:t>
      </w:r>
      <w:r w:rsidR="00AB447F">
        <w:rPr>
          <w:rFonts w:ascii="Times New Roman" w:hAnsi="Times New Roman" w:cs="Times New Roman"/>
          <w:szCs w:val="24"/>
        </w:rPr>
        <w:t xml:space="preserve">nsider to address </w:t>
      </w:r>
      <w:r w:rsidR="00D1154F">
        <w:rPr>
          <w:rFonts w:ascii="Times New Roman" w:hAnsi="Times New Roman" w:cs="Times New Roman"/>
          <w:szCs w:val="24"/>
        </w:rPr>
        <w:t xml:space="preserve">the persistent </w:t>
      </w:r>
      <w:r w:rsidR="00AB447F">
        <w:rPr>
          <w:rFonts w:ascii="Times New Roman" w:hAnsi="Times New Roman" w:cs="Times New Roman"/>
          <w:szCs w:val="24"/>
        </w:rPr>
        <w:t>under-earning</w:t>
      </w:r>
      <w:r w:rsidR="00AC5FE0">
        <w:rPr>
          <w:rFonts w:ascii="Times New Roman" w:hAnsi="Times New Roman" w:cs="Times New Roman"/>
          <w:szCs w:val="24"/>
        </w:rPr>
        <w:t>.  Avista i</w:t>
      </w:r>
      <w:r w:rsidRPr="004D700E">
        <w:rPr>
          <w:rFonts w:ascii="Times New Roman" w:hAnsi="Times New Roman" w:cs="Times New Roman"/>
          <w:szCs w:val="24"/>
        </w:rPr>
        <w:t xml:space="preserve">s also aware </w:t>
      </w:r>
      <w:r w:rsidR="00D35F8A">
        <w:rPr>
          <w:rFonts w:ascii="Times New Roman" w:hAnsi="Times New Roman" w:cs="Times New Roman"/>
          <w:szCs w:val="24"/>
        </w:rPr>
        <w:t xml:space="preserve">that the Commission </w:t>
      </w:r>
      <w:r w:rsidRPr="004D700E">
        <w:rPr>
          <w:rFonts w:ascii="Times New Roman" w:hAnsi="Times New Roman" w:cs="Times New Roman"/>
          <w:szCs w:val="24"/>
        </w:rPr>
        <w:t>discussed a number of other methods in that order</w:t>
      </w:r>
      <w:r w:rsidR="00D35F8A">
        <w:rPr>
          <w:rFonts w:ascii="Times New Roman" w:hAnsi="Times New Roman" w:cs="Times New Roman"/>
          <w:szCs w:val="24"/>
        </w:rPr>
        <w:t xml:space="preserve"> to address attrition</w:t>
      </w:r>
      <w:r w:rsidRPr="004D700E">
        <w:rPr>
          <w:rFonts w:ascii="Times New Roman" w:hAnsi="Times New Roman" w:cs="Times New Roman"/>
          <w:szCs w:val="24"/>
        </w:rPr>
        <w:t>, including the use of pro forma adjustments</w:t>
      </w:r>
      <w:r w:rsidR="00D35F8A">
        <w:rPr>
          <w:rFonts w:ascii="Times New Roman" w:hAnsi="Times New Roman" w:cs="Times New Roman"/>
          <w:szCs w:val="24"/>
        </w:rPr>
        <w:t xml:space="preserve"> and an</w:t>
      </w:r>
      <w:r>
        <w:rPr>
          <w:rFonts w:ascii="Times New Roman" w:hAnsi="Times New Roman" w:cs="Times New Roman"/>
          <w:szCs w:val="24"/>
        </w:rPr>
        <w:t xml:space="preserve"> upward adjustment to the equity share in the capital structure</w:t>
      </w:r>
      <w:r w:rsidR="009B0E47">
        <w:rPr>
          <w:rFonts w:ascii="Times New Roman" w:hAnsi="Times New Roman" w:cs="Times New Roman"/>
          <w:szCs w:val="24"/>
        </w:rPr>
        <w:t>.  The</w:t>
      </w:r>
      <w:r w:rsidRPr="004D700E">
        <w:rPr>
          <w:rFonts w:ascii="Times New Roman" w:hAnsi="Times New Roman" w:cs="Times New Roman"/>
          <w:szCs w:val="24"/>
        </w:rPr>
        <w:t xml:space="preserve"> Company </w:t>
      </w:r>
      <w:r w:rsidR="009B0E47">
        <w:rPr>
          <w:rFonts w:ascii="Times New Roman" w:hAnsi="Times New Roman" w:cs="Times New Roman"/>
          <w:szCs w:val="24"/>
        </w:rPr>
        <w:t>provided</w:t>
      </w:r>
      <w:r w:rsidR="00D35F8A">
        <w:rPr>
          <w:rFonts w:ascii="Times New Roman" w:hAnsi="Times New Roman" w:cs="Times New Roman"/>
          <w:szCs w:val="24"/>
        </w:rPr>
        <w:t xml:space="preserve"> an attriti</w:t>
      </w:r>
      <w:r w:rsidR="009B0E47">
        <w:rPr>
          <w:rFonts w:ascii="Times New Roman" w:hAnsi="Times New Roman" w:cs="Times New Roman"/>
          <w:szCs w:val="24"/>
        </w:rPr>
        <w:t>on study</w:t>
      </w:r>
      <w:r w:rsidRPr="004D700E">
        <w:rPr>
          <w:rFonts w:ascii="Times New Roman" w:hAnsi="Times New Roman" w:cs="Times New Roman"/>
          <w:szCs w:val="24"/>
        </w:rPr>
        <w:t xml:space="preserve"> in this case, </w:t>
      </w:r>
      <w:r w:rsidR="009B0E47">
        <w:rPr>
          <w:rFonts w:ascii="Times New Roman" w:hAnsi="Times New Roman" w:cs="Times New Roman"/>
          <w:szCs w:val="24"/>
        </w:rPr>
        <w:t>as well as</w:t>
      </w:r>
      <w:r w:rsidRPr="004D700E">
        <w:rPr>
          <w:rFonts w:ascii="Times New Roman" w:hAnsi="Times New Roman" w:cs="Times New Roman"/>
          <w:szCs w:val="24"/>
        </w:rPr>
        <w:t xml:space="preserve"> other analyses</w:t>
      </w:r>
      <w:r w:rsidR="00583C07">
        <w:rPr>
          <w:rFonts w:ascii="Times New Roman" w:hAnsi="Times New Roman" w:cs="Times New Roman"/>
          <w:szCs w:val="24"/>
        </w:rPr>
        <w:t>,</w:t>
      </w:r>
      <w:r w:rsidRPr="004D700E">
        <w:rPr>
          <w:rFonts w:ascii="Times New Roman" w:hAnsi="Times New Roman" w:cs="Times New Roman"/>
          <w:szCs w:val="24"/>
        </w:rPr>
        <w:t xml:space="preserve"> demonstrating the need for rate relief to address its under-earning, </w:t>
      </w:r>
      <w:r w:rsidR="009B0E47">
        <w:rPr>
          <w:rFonts w:ascii="Times New Roman" w:hAnsi="Times New Roman" w:cs="Times New Roman"/>
          <w:szCs w:val="24"/>
        </w:rPr>
        <w:t>and we believe it is not necessary for</w:t>
      </w:r>
      <w:r w:rsidRPr="004D700E">
        <w:rPr>
          <w:rFonts w:ascii="Times New Roman" w:hAnsi="Times New Roman" w:cs="Times New Roman"/>
          <w:szCs w:val="24"/>
        </w:rPr>
        <w:t xml:space="preserve"> the Commission </w:t>
      </w:r>
      <w:r w:rsidR="009B0E47">
        <w:rPr>
          <w:rFonts w:ascii="Times New Roman" w:hAnsi="Times New Roman" w:cs="Times New Roman"/>
          <w:szCs w:val="24"/>
        </w:rPr>
        <w:t xml:space="preserve">to make a ruling in this case on a specific </w:t>
      </w:r>
      <w:r w:rsidRPr="004D700E">
        <w:rPr>
          <w:rFonts w:ascii="Times New Roman" w:hAnsi="Times New Roman" w:cs="Times New Roman"/>
          <w:szCs w:val="24"/>
        </w:rPr>
        <w:t xml:space="preserve">attrition </w:t>
      </w:r>
      <w:r w:rsidR="009B0E47">
        <w:rPr>
          <w:rFonts w:ascii="Times New Roman" w:hAnsi="Times New Roman" w:cs="Times New Roman"/>
          <w:szCs w:val="24"/>
        </w:rPr>
        <w:t>allowance</w:t>
      </w:r>
      <w:r w:rsidR="00AC5FE0">
        <w:rPr>
          <w:rFonts w:ascii="Times New Roman" w:hAnsi="Times New Roman" w:cs="Times New Roman"/>
          <w:szCs w:val="24"/>
        </w:rPr>
        <w:t>, because there are multiple approaches or methods to address the same issue.</w:t>
      </w:r>
    </w:p>
    <w:p w:rsidR="00310B20" w:rsidRPr="00055C64" w:rsidRDefault="00055C64" w:rsidP="00FC006A">
      <w:pPr>
        <w:pStyle w:val="P31"/>
        <w:jc w:val="both"/>
        <w:rPr>
          <w:rFonts w:ascii="Times New Roman" w:hAnsi="Times New Roman" w:cs="Times New Roman"/>
          <w:b/>
        </w:rPr>
      </w:pPr>
      <w:r w:rsidRPr="00055C64">
        <w:rPr>
          <w:rFonts w:ascii="Times New Roman" w:hAnsi="Times New Roman" w:cs="Times New Roman"/>
          <w:b/>
        </w:rPr>
        <w:t>Q.</w:t>
      </w:r>
      <w:r w:rsidRPr="00055C64">
        <w:rPr>
          <w:rFonts w:ascii="Times New Roman" w:hAnsi="Times New Roman" w:cs="Times New Roman"/>
          <w:b/>
        </w:rPr>
        <w:tab/>
        <w:t>Is there other information in the record that either supports or confirms the need for the revenue increases in the Settlement Agreement?</w:t>
      </w:r>
    </w:p>
    <w:p w:rsidR="00D87060" w:rsidRDefault="00641472" w:rsidP="00641472">
      <w:pPr>
        <w:pStyle w:val="P31"/>
        <w:jc w:val="both"/>
        <w:rPr>
          <w:rFonts w:ascii="Times New Roman" w:hAnsi="Times New Roman" w:cs="Times New Roman"/>
        </w:rPr>
      </w:pPr>
      <w:r w:rsidRPr="00641472">
        <w:rPr>
          <w:rFonts w:ascii="Times New Roman" w:hAnsi="Times New Roman" w:cs="Times New Roman"/>
        </w:rPr>
        <w:t>A.</w:t>
      </w:r>
      <w:r w:rsidRPr="00641472">
        <w:rPr>
          <w:rFonts w:ascii="Times New Roman" w:hAnsi="Times New Roman" w:cs="Times New Roman"/>
        </w:rPr>
        <w:tab/>
      </w:r>
      <w:r w:rsidR="00055C64">
        <w:rPr>
          <w:rFonts w:ascii="Times New Roman" w:hAnsi="Times New Roman" w:cs="Times New Roman"/>
        </w:rPr>
        <w:t>Yes.  As noted above, i</w:t>
      </w:r>
      <w:r w:rsidR="00C32AD1">
        <w:rPr>
          <w:rFonts w:ascii="Times New Roman" w:hAnsi="Times New Roman" w:cs="Times New Roman"/>
        </w:rPr>
        <w:t xml:space="preserve">n my pre-filed direct testimony (Exhibit No. ____ (KON-1T)), beginning on page 7, I discussed the persistent revenue short-fall the Company has experienced for the past five years.  As part of that discussion, I provided the bar chart </w:t>
      </w:r>
      <w:r w:rsidR="00D87060">
        <w:rPr>
          <w:rFonts w:ascii="Times New Roman" w:hAnsi="Times New Roman" w:cs="Times New Roman"/>
        </w:rPr>
        <w:t xml:space="preserve">(Illustration No. 2) </w:t>
      </w:r>
      <w:r w:rsidR="00C32AD1">
        <w:rPr>
          <w:rFonts w:ascii="Times New Roman" w:hAnsi="Times New Roman" w:cs="Times New Roman"/>
        </w:rPr>
        <w:t>reproduced below.</w:t>
      </w:r>
    </w:p>
    <w:p w:rsidR="00956E3C" w:rsidRPr="00D87060" w:rsidRDefault="00956E3C" w:rsidP="00956E3C">
      <w:pPr>
        <w:pStyle w:val="BodyTextIndent"/>
        <w:tabs>
          <w:tab w:val="left" w:pos="1440"/>
        </w:tabs>
        <w:jc w:val="both"/>
        <w:rPr>
          <w:rStyle w:val="LineNumber"/>
          <w:b/>
          <w:bCs/>
          <w:u w:val="single"/>
        </w:rPr>
      </w:pPr>
      <w:r w:rsidRPr="00D87060">
        <w:rPr>
          <w:rStyle w:val="LineNumber"/>
          <w:b/>
          <w:u w:val="single"/>
        </w:rPr>
        <w:t xml:space="preserve">Illustration No. </w:t>
      </w:r>
      <w:r w:rsidR="00D87060">
        <w:rPr>
          <w:rStyle w:val="LineNumber"/>
          <w:b/>
          <w:u w:val="single"/>
        </w:rPr>
        <w:t>2:</w:t>
      </w:r>
    </w:p>
    <w:p w:rsidR="00956E3C" w:rsidRDefault="00956E3C" w:rsidP="00956E3C">
      <w:pPr>
        <w:pStyle w:val="BodyTextIndent"/>
        <w:tabs>
          <w:tab w:val="left" w:pos="1440"/>
        </w:tabs>
        <w:ind w:firstLine="360"/>
        <w:jc w:val="both"/>
        <w:rPr>
          <w:rStyle w:val="LineNumber"/>
          <w:b/>
          <w:bCs/>
        </w:rPr>
      </w:pPr>
      <w:r>
        <w:rPr>
          <w:b/>
          <w:bCs/>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209550</wp:posOffset>
            </wp:positionV>
            <wp:extent cx="5747385" cy="2708275"/>
            <wp:effectExtent l="19050" t="0" r="24765"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956E3C" w:rsidRDefault="00956E3C" w:rsidP="00956E3C">
      <w:pPr>
        <w:pStyle w:val="BodyTextIndent"/>
        <w:tabs>
          <w:tab w:val="left" w:pos="1440"/>
        </w:tabs>
        <w:ind w:firstLine="360"/>
        <w:jc w:val="both"/>
        <w:rPr>
          <w:rStyle w:val="LineNumber"/>
          <w:b/>
          <w:bCs/>
        </w:rPr>
      </w:pPr>
    </w:p>
    <w:p w:rsidR="00C32AD1" w:rsidRDefault="00C32AD1" w:rsidP="00641472">
      <w:pPr>
        <w:pStyle w:val="P31"/>
        <w:jc w:val="both"/>
        <w:rPr>
          <w:rFonts w:ascii="Times New Roman" w:hAnsi="Times New Roman" w:cs="Times New Roman"/>
        </w:rPr>
      </w:pPr>
    </w:p>
    <w:p w:rsidR="00956E3C" w:rsidRDefault="00956E3C" w:rsidP="00641472">
      <w:pPr>
        <w:pStyle w:val="P31"/>
        <w:jc w:val="both"/>
        <w:rPr>
          <w:rFonts w:ascii="Times New Roman" w:hAnsi="Times New Roman" w:cs="Times New Roman"/>
        </w:rPr>
      </w:pPr>
    </w:p>
    <w:p w:rsidR="00956E3C" w:rsidRDefault="00956E3C" w:rsidP="00641472">
      <w:pPr>
        <w:pStyle w:val="P31"/>
        <w:jc w:val="both"/>
        <w:rPr>
          <w:rFonts w:ascii="Times New Roman" w:hAnsi="Times New Roman" w:cs="Times New Roman"/>
        </w:rPr>
      </w:pPr>
    </w:p>
    <w:p w:rsidR="004335B9" w:rsidRDefault="004335B9">
      <w:pPr>
        <w:autoSpaceDE/>
        <w:autoSpaceDN/>
        <w:rPr>
          <w:rStyle w:val="LineNumber"/>
        </w:rPr>
      </w:pPr>
      <w:r>
        <w:rPr>
          <w:rStyle w:val="LineNumber"/>
        </w:rPr>
        <w:br w:type="page"/>
      </w:r>
    </w:p>
    <w:p w:rsidR="001B1D4C" w:rsidRDefault="00D87060" w:rsidP="00816D5D">
      <w:pPr>
        <w:pStyle w:val="P31"/>
        <w:jc w:val="both"/>
        <w:rPr>
          <w:rStyle w:val="LineNumber"/>
        </w:rPr>
      </w:pPr>
      <w:r>
        <w:rPr>
          <w:rStyle w:val="LineNumber"/>
        </w:rPr>
        <w:t>Illustration No. 2</w:t>
      </w:r>
      <w:r w:rsidR="00F12849" w:rsidRPr="00B952E0">
        <w:rPr>
          <w:rStyle w:val="LineNumber"/>
        </w:rPr>
        <w:t xml:space="preserve"> shows Avista’s earned return on equity (ROE) each year from 2007 to 2011 for our combined electric and natural gas operations in the State of Washington, under n</w:t>
      </w:r>
      <w:r w:rsidR="00F12849">
        <w:rPr>
          <w:rStyle w:val="LineNumber"/>
        </w:rPr>
        <w:t>ormalized operating conditions.</w:t>
      </w:r>
      <w:r w:rsidR="00F12849">
        <w:rPr>
          <w:rStyle w:val="FootnoteReference"/>
          <w:rFonts w:ascii="Times New Roman" w:hAnsi="Times New Roman"/>
          <w:szCs w:val="24"/>
        </w:rPr>
        <w:footnoteReference w:id="10"/>
      </w:r>
      <w:r w:rsidR="00816D5D">
        <w:rPr>
          <w:rStyle w:val="LineNumber"/>
        </w:rPr>
        <w:t xml:space="preserve">  As I explained in my pre-filed direct testimony, based on the most recent ROEs authorized by the Commission, which would range from 9.8% to 10.2%, the Company is experiencing a short-fall in its earned ROE of at least 200 basis points.   This annual revenue shortfall of 200 basis points of ROE for Avista’s Washington utility operations is approximately $21 million.</w:t>
      </w:r>
      <w:r w:rsidR="00816D5D">
        <w:rPr>
          <w:rStyle w:val="FootnoteReference"/>
          <w:rFonts w:ascii="Times New Roman" w:hAnsi="Times New Roman"/>
        </w:rPr>
        <w:footnoteReference w:id="11"/>
      </w:r>
      <w:r w:rsidR="00816D5D">
        <w:rPr>
          <w:rStyle w:val="LineNumber"/>
        </w:rPr>
        <w:t xml:space="preserve">  </w:t>
      </w:r>
    </w:p>
    <w:p w:rsidR="005A357C" w:rsidRDefault="001B1D4C" w:rsidP="00816D5D">
      <w:pPr>
        <w:pStyle w:val="P31"/>
        <w:jc w:val="both"/>
        <w:rPr>
          <w:rStyle w:val="LineNumber"/>
        </w:rPr>
      </w:pPr>
      <w:r>
        <w:rPr>
          <w:rStyle w:val="LineNumber"/>
        </w:rPr>
        <w:t xml:space="preserve">What this means is the Company needs a revenue increase of $21 million to address the revenue short-fall that </w:t>
      </w:r>
      <w:r w:rsidR="005739D2">
        <w:rPr>
          <w:rStyle w:val="LineNumber"/>
        </w:rPr>
        <w:t xml:space="preserve">is </w:t>
      </w:r>
      <w:r w:rsidR="005739D2" w:rsidRPr="00DC6F65">
        <w:rPr>
          <w:rStyle w:val="LineNumber"/>
          <w:u w:val="single"/>
        </w:rPr>
        <w:t>already</w:t>
      </w:r>
      <w:r w:rsidR="005739D2">
        <w:rPr>
          <w:rStyle w:val="LineNumber"/>
        </w:rPr>
        <w:t xml:space="preserve"> occurring, </w:t>
      </w:r>
      <w:r w:rsidR="005739D2" w:rsidRPr="00DC6F65">
        <w:rPr>
          <w:rStyle w:val="LineNumber"/>
          <w:u w:val="single"/>
        </w:rPr>
        <w:t>prior</w:t>
      </w:r>
      <w:r w:rsidR="005739D2">
        <w:rPr>
          <w:rStyle w:val="LineNumber"/>
        </w:rPr>
        <w:t xml:space="preserve"> to considering the incremental revenue increases that are needed for 2013 and 2014.  All of the available data, whether historical or prosp</w:t>
      </w:r>
      <w:r w:rsidR="001B059A">
        <w:rPr>
          <w:rStyle w:val="LineNumber"/>
        </w:rPr>
        <w:t>ective, shows that</w:t>
      </w:r>
      <w:r w:rsidR="005739D2">
        <w:rPr>
          <w:rStyle w:val="LineNumber"/>
        </w:rPr>
        <w:t xml:space="preserve"> net plant investmen</w:t>
      </w:r>
      <w:r w:rsidR="00BD40CE">
        <w:rPr>
          <w:rStyle w:val="LineNumber"/>
        </w:rPr>
        <w:t xml:space="preserve">t </w:t>
      </w:r>
      <w:r w:rsidR="00447B20">
        <w:rPr>
          <w:rStyle w:val="LineNumber"/>
        </w:rPr>
        <w:t>and operating expenses</w:t>
      </w:r>
      <w:r w:rsidR="001B059A">
        <w:rPr>
          <w:rStyle w:val="LineNumber"/>
        </w:rPr>
        <w:t xml:space="preserve"> are growing at a much faster pace than retail revenues, which means that additional revenue increases are needed over an</w:t>
      </w:r>
      <w:r w:rsidR="001E3402">
        <w:rPr>
          <w:rStyle w:val="LineNumber"/>
        </w:rPr>
        <w:t>d</w:t>
      </w:r>
      <w:r w:rsidR="001B059A">
        <w:rPr>
          <w:rStyle w:val="LineNumber"/>
        </w:rPr>
        <w:t xml:space="preserve"> above the $21 million</w:t>
      </w:r>
      <w:r w:rsidR="005766C8">
        <w:rPr>
          <w:rStyle w:val="LineNumber"/>
        </w:rPr>
        <w:t>,</w:t>
      </w:r>
      <w:r w:rsidR="00531B38">
        <w:rPr>
          <w:rStyle w:val="LineNumber"/>
        </w:rPr>
        <w:t xml:space="preserve"> as we explained in the Joint Testimony Supporting the Settlement.</w:t>
      </w:r>
    </w:p>
    <w:p w:rsidR="00D9386C" w:rsidRDefault="001B1774" w:rsidP="00816D5D">
      <w:pPr>
        <w:pStyle w:val="P31"/>
        <w:jc w:val="both"/>
        <w:rPr>
          <w:rStyle w:val="LineNumber"/>
          <w:b/>
        </w:rPr>
      </w:pPr>
      <w:r w:rsidRPr="001316F4">
        <w:rPr>
          <w:rStyle w:val="LineNumber"/>
          <w:b/>
        </w:rPr>
        <w:t>Q.</w:t>
      </w:r>
      <w:r w:rsidRPr="001316F4">
        <w:rPr>
          <w:rStyle w:val="LineNumber"/>
          <w:b/>
        </w:rPr>
        <w:tab/>
        <w:t xml:space="preserve">On page 19 of his testimony, Mr. Dittmer </w:t>
      </w:r>
      <w:r w:rsidR="001316F4" w:rsidRPr="001316F4">
        <w:rPr>
          <w:rStyle w:val="LineNumber"/>
          <w:b/>
        </w:rPr>
        <w:t xml:space="preserve">addresses the financial forecast information provided by the Company.  </w:t>
      </w:r>
      <w:r w:rsidR="001316F4">
        <w:rPr>
          <w:rStyle w:val="LineNumber"/>
          <w:b/>
        </w:rPr>
        <w:t>Is this information supportive of the revenue increases in the Settlement Agreement for 2013 and 2014?</w:t>
      </w:r>
    </w:p>
    <w:p w:rsidR="001316F4" w:rsidRDefault="001316F4" w:rsidP="00816D5D">
      <w:pPr>
        <w:pStyle w:val="P31"/>
        <w:jc w:val="both"/>
        <w:rPr>
          <w:rStyle w:val="LineNumber"/>
        </w:rPr>
      </w:pPr>
      <w:r w:rsidRPr="001316F4">
        <w:rPr>
          <w:rStyle w:val="LineNumber"/>
        </w:rPr>
        <w:t>A.</w:t>
      </w:r>
      <w:r w:rsidRPr="001316F4">
        <w:rPr>
          <w:rStyle w:val="LineNumber"/>
        </w:rPr>
        <w:tab/>
        <w:t xml:space="preserve">Yes.  </w:t>
      </w:r>
      <w:r w:rsidR="008446B3">
        <w:rPr>
          <w:rStyle w:val="LineNumber"/>
        </w:rPr>
        <w:t>Mr. Dittmer references Avista’s response to UTC Staff Data Request No. 137,</w:t>
      </w:r>
      <w:r w:rsidR="00FB5C2E">
        <w:rPr>
          <w:rStyle w:val="LineNumber"/>
        </w:rPr>
        <w:t xml:space="preserve"> which was provided to all parties on May 22, 2012.  T</w:t>
      </w:r>
      <w:r w:rsidR="008446B3">
        <w:rPr>
          <w:rStyle w:val="LineNumber"/>
        </w:rPr>
        <w:t xml:space="preserve">he </w:t>
      </w:r>
      <w:r w:rsidR="00FB5C2E">
        <w:rPr>
          <w:rStyle w:val="LineNumber"/>
        </w:rPr>
        <w:t>response includes</w:t>
      </w:r>
      <w:r w:rsidR="008446B3">
        <w:rPr>
          <w:rStyle w:val="LineNumber"/>
        </w:rPr>
        <w:t xml:space="preserve"> Avista</w:t>
      </w:r>
      <w:r w:rsidR="00FB5C2E">
        <w:rPr>
          <w:rStyle w:val="LineNumber"/>
        </w:rPr>
        <w:t>’s</w:t>
      </w:r>
      <w:r w:rsidR="008446B3">
        <w:rPr>
          <w:rStyle w:val="LineNumber"/>
        </w:rPr>
        <w:t xml:space="preserve"> financial forecast for the period </w:t>
      </w:r>
      <w:r w:rsidR="00FB5C2E">
        <w:rPr>
          <w:rStyle w:val="LineNumber"/>
        </w:rPr>
        <w:t>2012 to 2016.  The forecast shows a need for retail revenue increases totaling $49 million</w:t>
      </w:r>
      <w:r w:rsidR="00587AC9">
        <w:rPr>
          <w:rStyle w:val="LineNumber"/>
        </w:rPr>
        <w:t>, on a system basis,</w:t>
      </w:r>
      <w:r w:rsidR="00FB5C2E">
        <w:rPr>
          <w:rStyle w:val="LineNumber"/>
        </w:rPr>
        <w:t xml:space="preserve"> for the combined </w:t>
      </w:r>
      <w:r w:rsidR="00587AC9">
        <w:rPr>
          <w:rStyle w:val="LineNumber"/>
        </w:rPr>
        <w:t>2013 and 2014 two-year period, as compared to the $34.35 million in the Settlement Agreement.</w:t>
      </w:r>
    </w:p>
    <w:p w:rsidR="00587AC9" w:rsidRDefault="00587AC9" w:rsidP="00816D5D">
      <w:pPr>
        <w:pStyle w:val="P31"/>
        <w:jc w:val="both"/>
        <w:rPr>
          <w:rStyle w:val="LineNumber"/>
          <w:b/>
        </w:rPr>
      </w:pPr>
      <w:r w:rsidRPr="00745873">
        <w:rPr>
          <w:rStyle w:val="LineNumber"/>
          <w:b/>
        </w:rPr>
        <w:t>Q.</w:t>
      </w:r>
      <w:r w:rsidRPr="00745873">
        <w:rPr>
          <w:rStyle w:val="LineNumber"/>
          <w:b/>
        </w:rPr>
        <w:tab/>
        <w:t>How do we know</w:t>
      </w:r>
      <w:r w:rsidR="00745873" w:rsidRPr="00745873">
        <w:rPr>
          <w:rStyle w:val="LineNumber"/>
          <w:b/>
        </w:rPr>
        <w:t xml:space="preserve"> </w:t>
      </w:r>
      <w:r w:rsidR="00745873">
        <w:rPr>
          <w:rStyle w:val="LineNumber"/>
          <w:b/>
        </w:rPr>
        <w:t>that the majority of the $49 million retail revenue increase needs to occur in the State of Washington?</w:t>
      </w:r>
    </w:p>
    <w:p w:rsidR="00591DAC" w:rsidRDefault="00745873" w:rsidP="00816D5D">
      <w:pPr>
        <w:pStyle w:val="P31"/>
        <w:jc w:val="both"/>
        <w:rPr>
          <w:rStyle w:val="LineNumber"/>
        </w:rPr>
      </w:pPr>
      <w:r w:rsidRPr="00745873">
        <w:rPr>
          <w:rStyle w:val="LineNumber"/>
        </w:rPr>
        <w:t>A.</w:t>
      </w:r>
      <w:r w:rsidRPr="00745873">
        <w:rPr>
          <w:rStyle w:val="LineNumber"/>
        </w:rPr>
        <w:tab/>
      </w:r>
      <w:r w:rsidR="00654568">
        <w:rPr>
          <w:rStyle w:val="LineNumber"/>
        </w:rPr>
        <w:t>In my original pre-filed testimony in this case (Exhibit No. ____ (KON-1T)), beginning on page 12, I testified that we are not experiencing the same kind of revenue short-fall</w:t>
      </w:r>
      <w:r w:rsidR="00BC0518">
        <w:rPr>
          <w:rStyle w:val="LineNumber"/>
        </w:rPr>
        <w:t xml:space="preserve"> in Idaho and Oregon that we are in Washington, and explained some of the reasons why in the fol</w:t>
      </w:r>
      <w:r w:rsidR="00F71AB7">
        <w:rPr>
          <w:rStyle w:val="LineNumber"/>
        </w:rPr>
        <w:t>lowing pages of that testimony.</w:t>
      </w:r>
      <w:r w:rsidR="00896130">
        <w:rPr>
          <w:rStyle w:val="LineNumber"/>
        </w:rPr>
        <w:t xml:space="preserve">  </w:t>
      </w:r>
    </w:p>
    <w:p w:rsidR="00591DAC" w:rsidRDefault="00896130" w:rsidP="00816D5D">
      <w:pPr>
        <w:pStyle w:val="P31"/>
        <w:jc w:val="both"/>
        <w:rPr>
          <w:rStyle w:val="LineNumber"/>
        </w:rPr>
      </w:pPr>
      <w:r>
        <w:rPr>
          <w:rStyle w:val="LineNumber"/>
        </w:rPr>
        <w:t>In addition, the</w:t>
      </w:r>
      <w:r w:rsidR="00F71AB7">
        <w:rPr>
          <w:rStyle w:val="LineNumber"/>
        </w:rPr>
        <w:t xml:space="preserve"> response to UTC Staff Data Request No. 379C, provide</w:t>
      </w:r>
      <w:r w:rsidR="009040A1">
        <w:rPr>
          <w:rStyle w:val="LineNumber"/>
        </w:rPr>
        <w:t>d</w:t>
      </w:r>
      <w:r w:rsidR="00F71AB7">
        <w:rPr>
          <w:rStyle w:val="LineNumber"/>
        </w:rPr>
        <w:t xml:space="preserve"> to all parties on August 1, 2012, </w:t>
      </w:r>
      <w:r>
        <w:rPr>
          <w:rStyle w:val="LineNumber"/>
        </w:rPr>
        <w:t>showed the actual earned return on equity for Idaho and Oregon</w:t>
      </w:r>
      <w:r w:rsidR="001A3702">
        <w:rPr>
          <w:rStyle w:val="FootnoteReference"/>
          <w:rFonts w:ascii="Times New Roman" w:hAnsi="Times New Roman"/>
          <w:szCs w:val="24"/>
        </w:rPr>
        <w:footnoteReference w:id="12"/>
      </w:r>
      <w:r>
        <w:rPr>
          <w:rStyle w:val="LineNumber"/>
        </w:rPr>
        <w:t xml:space="preserve"> for 2011 of </w:t>
      </w:r>
      <w:r w:rsidR="00E91F4A">
        <w:rPr>
          <w:rStyle w:val="LineNumber"/>
        </w:rPr>
        <w:t xml:space="preserve">approximately </w:t>
      </w:r>
      <w:r>
        <w:rPr>
          <w:rStyle w:val="LineNumber"/>
        </w:rPr>
        <w:t xml:space="preserve">10%, and the earned return on equity for Washington for 2011 of </w:t>
      </w:r>
      <w:r w:rsidR="00E91F4A">
        <w:rPr>
          <w:rStyle w:val="LineNumber"/>
        </w:rPr>
        <w:t>approximately</w:t>
      </w:r>
      <w:r>
        <w:rPr>
          <w:rStyle w:val="LineNumber"/>
        </w:rPr>
        <w:t xml:space="preserve"> 7%.</w:t>
      </w:r>
      <w:r w:rsidR="001A3702">
        <w:rPr>
          <w:rStyle w:val="LineNumber"/>
        </w:rPr>
        <w:t xml:space="preserve">  </w:t>
      </w:r>
    </w:p>
    <w:p w:rsidR="00F71AB7" w:rsidRDefault="00896130" w:rsidP="00816D5D">
      <w:pPr>
        <w:pStyle w:val="P31"/>
        <w:jc w:val="both"/>
        <w:rPr>
          <w:rStyle w:val="LineNumber"/>
        </w:rPr>
      </w:pPr>
      <w:r>
        <w:rPr>
          <w:rStyle w:val="LineNumber"/>
        </w:rPr>
        <w:t>And finally, Avista f</w:t>
      </w:r>
      <w:r w:rsidR="00611D9B">
        <w:rPr>
          <w:rStyle w:val="LineNumber"/>
        </w:rPr>
        <w:t>iles its Results of Operations R</w:t>
      </w:r>
      <w:r>
        <w:rPr>
          <w:rStyle w:val="LineNumber"/>
        </w:rPr>
        <w:t xml:space="preserve">eport </w:t>
      </w:r>
      <w:r w:rsidR="00611D9B">
        <w:rPr>
          <w:rStyle w:val="LineNumber"/>
        </w:rPr>
        <w:t xml:space="preserve">(ROO Report) </w:t>
      </w:r>
      <w:r>
        <w:rPr>
          <w:rStyle w:val="LineNumber"/>
        </w:rPr>
        <w:t xml:space="preserve">with the WUTC each quarter, which is posted on the Commission’s web site.  </w:t>
      </w:r>
      <w:r w:rsidR="00611D9B">
        <w:rPr>
          <w:rStyle w:val="LineNumber"/>
        </w:rPr>
        <w:t xml:space="preserve">The ROO Report for the 12-months ended June 2012 was posted by the WUTC on August 9, 2012.   That Report shows a </w:t>
      </w:r>
      <w:r w:rsidR="00611D9B" w:rsidRPr="00D104D6">
        <w:rPr>
          <w:rStyle w:val="LineNumber"/>
          <w:u w:val="single"/>
        </w:rPr>
        <w:t>rate of return</w:t>
      </w:r>
      <w:r w:rsidR="00611D9B">
        <w:rPr>
          <w:rStyle w:val="LineNumber"/>
        </w:rPr>
        <w:t xml:space="preserve"> of 6.8% for Washington electric operations, and 8.0% for Idaho electric operations for the 12-months ended June 2012.</w:t>
      </w:r>
      <w:r w:rsidR="00012431" w:rsidRPr="00012431">
        <w:rPr>
          <w:rStyle w:val="FootnoteReference"/>
          <w:rFonts w:ascii="Times New Roman" w:hAnsi="Times New Roman"/>
          <w:szCs w:val="24"/>
        </w:rPr>
        <w:t xml:space="preserve"> </w:t>
      </w:r>
      <w:r w:rsidR="00012431">
        <w:rPr>
          <w:rStyle w:val="FootnoteReference"/>
          <w:rFonts w:ascii="Times New Roman" w:hAnsi="Times New Roman"/>
          <w:szCs w:val="24"/>
        </w:rPr>
        <w:footnoteReference w:id="13"/>
      </w:r>
    </w:p>
    <w:p w:rsidR="00DC6F65" w:rsidRDefault="00F71AB7" w:rsidP="00816D5D">
      <w:pPr>
        <w:pStyle w:val="P31"/>
        <w:jc w:val="both"/>
        <w:rPr>
          <w:rStyle w:val="LineNumber"/>
        </w:rPr>
      </w:pPr>
      <w:r>
        <w:rPr>
          <w:rStyle w:val="LineNumber"/>
        </w:rPr>
        <w:t xml:space="preserve">Therefore, the </w:t>
      </w:r>
      <w:r w:rsidR="00B0120B">
        <w:rPr>
          <w:rStyle w:val="LineNumber"/>
        </w:rPr>
        <w:t xml:space="preserve">relative </w:t>
      </w:r>
      <w:r w:rsidR="00611D9B">
        <w:rPr>
          <w:rStyle w:val="LineNumber"/>
        </w:rPr>
        <w:t xml:space="preserve">need for </w:t>
      </w:r>
      <w:r>
        <w:rPr>
          <w:rStyle w:val="LineNumber"/>
        </w:rPr>
        <w:t xml:space="preserve">revenue increases in Idaho and Oregon for 2013 and 2014 </w:t>
      </w:r>
      <w:r w:rsidR="00E00C1D">
        <w:rPr>
          <w:rStyle w:val="LineNumber"/>
        </w:rPr>
        <w:t>are</w:t>
      </w:r>
      <w:r>
        <w:rPr>
          <w:rStyle w:val="LineNumber"/>
        </w:rPr>
        <w:t xml:space="preserve"> small compared with that in Washington.  </w:t>
      </w:r>
    </w:p>
    <w:p w:rsidR="00C86BF6" w:rsidRPr="00163B38" w:rsidRDefault="00B0120B" w:rsidP="00C86BF6">
      <w:pPr>
        <w:pStyle w:val="Heading4"/>
        <w:rPr>
          <w:rStyle w:val="PageNumber"/>
          <w:u w:val="single"/>
        </w:rPr>
      </w:pPr>
      <w:r>
        <w:rPr>
          <w:rStyle w:val="PageNumber"/>
          <w:u w:val="single"/>
        </w:rPr>
        <w:t>III</w:t>
      </w:r>
      <w:proofErr w:type="gramStart"/>
      <w:r>
        <w:rPr>
          <w:rStyle w:val="PageNumber"/>
          <w:u w:val="single"/>
        </w:rPr>
        <w:t xml:space="preserve">.  </w:t>
      </w:r>
      <w:r w:rsidR="00C86BF6" w:rsidRPr="00B43057">
        <w:rPr>
          <w:rStyle w:val="PageNumber"/>
          <w:u w:val="single"/>
        </w:rPr>
        <w:t>V</w:t>
      </w:r>
      <w:r w:rsidR="00C86BF6">
        <w:rPr>
          <w:rStyle w:val="PageNumber"/>
          <w:u w:val="single"/>
        </w:rPr>
        <w:t>OLUNTARY</w:t>
      </w:r>
      <w:proofErr w:type="gramEnd"/>
      <w:r w:rsidR="00C86BF6">
        <w:rPr>
          <w:rStyle w:val="PageNumber"/>
          <w:u w:val="single"/>
        </w:rPr>
        <w:t xml:space="preserve"> SEVERANCE &amp; </w:t>
      </w:r>
      <w:r>
        <w:rPr>
          <w:rStyle w:val="PageNumber"/>
          <w:u w:val="single"/>
        </w:rPr>
        <w:t xml:space="preserve">IMPACT OF </w:t>
      </w:r>
      <w:r w:rsidR="00C86BF6">
        <w:rPr>
          <w:rStyle w:val="PageNumber"/>
          <w:u w:val="single"/>
        </w:rPr>
        <w:t>COST CUTTING INITIATIVES</w:t>
      </w:r>
    </w:p>
    <w:p w:rsidR="00C86BF6" w:rsidRDefault="00C86BF6" w:rsidP="00C86BF6">
      <w:pPr>
        <w:pStyle w:val="Heading4"/>
        <w:tabs>
          <w:tab w:val="clear" w:pos="1260"/>
          <w:tab w:val="left" w:pos="720"/>
        </w:tabs>
        <w:ind w:left="0" w:firstLine="0"/>
        <w:jc w:val="both"/>
      </w:pPr>
      <w:r>
        <w:tab/>
        <w:t>Q.</w:t>
      </w:r>
      <w:r>
        <w:tab/>
        <w:t xml:space="preserve">What were the circumstances that led the Company to announce $14 million </w:t>
      </w:r>
      <w:r w:rsidRPr="00EC6C08">
        <w:t>in O&amp;M/A&amp;G cost reductions</w:t>
      </w:r>
      <w:r>
        <w:t>, including the voluntary severance plan,</w:t>
      </w:r>
      <w:r w:rsidRPr="00EC6C08">
        <w:t xml:space="preserve"> </w:t>
      </w:r>
      <w:r>
        <w:t>f</w:t>
      </w:r>
      <w:r w:rsidRPr="00EC6C08">
        <w:t>or 2013</w:t>
      </w:r>
      <w:r>
        <w:t>?</w:t>
      </w:r>
    </w:p>
    <w:p w:rsidR="00C86BF6" w:rsidRDefault="00C86BF6" w:rsidP="00C86BF6">
      <w:pPr>
        <w:spacing w:line="480" w:lineRule="auto"/>
        <w:jc w:val="both"/>
      </w:pPr>
      <w:r>
        <w:t xml:space="preserve"> </w:t>
      </w:r>
      <w:r>
        <w:tab/>
        <w:t>A.</w:t>
      </w:r>
      <w:r>
        <w:tab/>
      </w:r>
      <w:r w:rsidRPr="007C5077">
        <w:t xml:space="preserve">The decision to </w:t>
      </w:r>
      <w:r w:rsidR="00B0120B">
        <w:t>pursue an</w:t>
      </w:r>
      <w:r>
        <w:t xml:space="preserve"> estimated </w:t>
      </w:r>
      <w:r w:rsidRPr="00C23F37">
        <w:t>$14 million</w:t>
      </w:r>
      <w:r>
        <w:t xml:space="preserve"> in O&amp;M/A&amp;G cost reductions for 2013, that included </w:t>
      </w:r>
      <w:r w:rsidRPr="007C5077">
        <w:t>a voluntary severance plan</w:t>
      </w:r>
      <w:r w:rsidR="00E91F4A">
        <w:t>,</w:t>
      </w:r>
      <w:r w:rsidRPr="007C5077">
        <w:t xml:space="preserve"> was made by senior management </w:t>
      </w:r>
      <w:r w:rsidRPr="00ED572B">
        <w:rPr>
          <w:u w:val="single"/>
        </w:rPr>
        <w:t>after</w:t>
      </w:r>
      <w:r w:rsidRPr="007C5077">
        <w:t xml:space="preserve"> the </w:t>
      </w:r>
      <w:r w:rsidR="00011C3C">
        <w:t>s</w:t>
      </w:r>
      <w:r w:rsidR="00B0120B">
        <w:t>ettlement-in-</w:t>
      </w:r>
      <w:r w:rsidR="00011C3C">
        <w:t>p</w:t>
      </w:r>
      <w:r w:rsidR="00B0120B">
        <w:t>rinciple was reached</w:t>
      </w:r>
      <w:r w:rsidR="00531B38">
        <w:t>.  At that time</w:t>
      </w:r>
      <w:r w:rsidR="00011C3C">
        <w:t>,</w:t>
      </w:r>
      <w:r w:rsidRPr="007C5077">
        <w:t xml:space="preserve"> management knew the amount of revenue that would be available in 2013 and 2014</w:t>
      </w:r>
      <w:r w:rsidR="00B0120B">
        <w:t xml:space="preserve"> to cover increased costs for that period</w:t>
      </w:r>
      <w:r w:rsidR="00DC6F65">
        <w:t>,</w:t>
      </w:r>
      <w:r w:rsidR="00B0120B">
        <w:t xml:space="preserve"> </w:t>
      </w:r>
      <w:r w:rsidRPr="007C5077">
        <w:t xml:space="preserve">if </w:t>
      </w:r>
      <w:r w:rsidR="00B0120B">
        <w:t xml:space="preserve">the Settlement were </w:t>
      </w:r>
      <w:r w:rsidRPr="007C5077">
        <w:t>approved by the Commission</w:t>
      </w:r>
      <w:r w:rsidR="00B0120B">
        <w:t>.</w:t>
      </w:r>
      <w:r>
        <w:t xml:space="preserve">  </w:t>
      </w:r>
      <w:r w:rsidRPr="007C5077">
        <w:t xml:space="preserve">In fact, the </w:t>
      </w:r>
      <w:r w:rsidRPr="00FA2C4A">
        <w:t>decision to enter into the Settlement</w:t>
      </w:r>
      <w:r w:rsidRPr="007C5077">
        <w:t xml:space="preserve"> by the Company was made with the knowledge that the only way the Settlement would work for Avista (i.e., provide a reasonable opportunity to earn a fair return) would be for Avista to make aggressive, incremental cuts to its costs for 2013 and 2014.  </w:t>
      </w:r>
    </w:p>
    <w:p w:rsidR="00531B38" w:rsidRDefault="00C86BF6" w:rsidP="00C86BF6">
      <w:pPr>
        <w:spacing w:line="480" w:lineRule="auto"/>
        <w:jc w:val="both"/>
      </w:pPr>
      <w:r>
        <w:tab/>
        <w:t xml:space="preserve">As I stated in the Avista </w:t>
      </w:r>
      <w:r w:rsidR="00B0120B">
        <w:t xml:space="preserve">statement of position contained within </w:t>
      </w:r>
      <w:r>
        <w:t>the Joint Testimony (Exhibit No.__</w:t>
      </w:r>
      <w:proofErr w:type="gramStart"/>
      <w:r>
        <w:t>_(</w:t>
      </w:r>
      <w:proofErr w:type="gramEnd"/>
      <w:r>
        <w:t xml:space="preserve">T)) filed with the Settlement Stipulation, </w:t>
      </w:r>
      <w:r w:rsidR="00531B38">
        <w:t xml:space="preserve">on page 21:  </w:t>
      </w:r>
    </w:p>
    <w:p w:rsidR="00531B38" w:rsidRDefault="00531B38" w:rsidP="00E50A8B">
      <w:pPr>
        <w:ind w:left="720"/>
        <w:jc w:val="both"/>
      </w:pPr>
      <w:r w:rsidRPr="00531B38">
        <w:t xml:space="preserve">The Settlement, together with Avista’s aggressive management of the growth in utility costs going forward, will provide the opportunity for the Company to earn returns in 2013 and 2014 much closer to the Commission-authorized rate of return, as compared to prior years.  I will emphasize, however, that the revenue increases from the Settlement Stipulation will provide a sufficient earnings opportunity for Avista </w:t>
      </w:r>
      <w:r w:rsidRPr="00E50A8B">
        <w:rPr>
          <w:u w:val="single"/>
        </w:rPr>
        <w:t>only with the implementation of additional, aggressive cost management measures that the Company will undertake going forward</w:t>
      </w:r>
      <w:r w:rsidRPr="00531B38">
        <w:t>.</w:t>
      </w:r>
      <w:r w:rsidR="00E50A8B">
        <w:t xml:space="preserve"> (</w:t>
      </w:r>
      <w:proofErr w:type="gramStart"/>
      <w:r w:rsidR="00E50A8B">
        <w:t>emphasis</w:t>
      </w:r>
      <w:proofErr w:type="gramEnd"/>
      <w:r w:rsidR="00E50A8B">
        <w:t xml:space="preserve"> added)</w:t>
      </w:r>
    </w:p>
    <w:p w:rsidR="00531B38" w:rsidRDefault="00531B38" w:rsidP="00C86BF6">
      <w:pPr>
        <w:spacing w:line="480" w:lineRule="auto"/>
        <w:jc w:val="both"/>
      </w:pPr>
    </w:p>
    <w:p w:rsidR="00C86BF6" w:rsidRPr="003536FC" w:rsidRDefault="00C86BF6" w:rsidP="00C86BF6">
      <w:pPr>
        <w:pStyle w:val="Heading4"/>
        <w:tabs>
          <w:tab w:val="clear" w:pos="1260"/>
          <w:tab w:val="left" w:pos="720"/>
        </w:tabs>
        <w:ind w:left="0" w:firstLine="0"/>
        <w:jc w:val="both"/>
      </w:pPr>
      <w:r>
        <w:tab/>
      </w:r>
      <w:r w:rsidRPr="003536FC">
        <w:t>Q.</w:t>
      </w:r>
      <w:r w:rsidRPr="003536FC">
        <w:tab/>
      </w:r>
      <w:r>
        <w:t xml:space="preserve">Mr. Dittmer states that the Settling Parties were not aware of the Company’s plans to institute the voluntary severance </w:t>
      </w:r>
      <w:r w:rsidR="004727BE">
        <w:t>program</w:t>
      </w:r>
      <w:r>
        <w:t xml:space="preserve"> at the time settlement was reached.  Were the Settling Parties aware?</w:t>
      </w:r>
    </w:p>
    <w:p w:rsidR="00C86BF6" w:rsidRDefault="00C86BF6" w:rsidP="00BE55C8">
      <w:pPr>
        <w:spacing w:line="480" w:lineRule="auto"/>
        <w:jc w:val="both"/>
      </w:pPr>
      <w:r>
        <w:t xml:space="preserve"> </w:t>
      </w:r>
      <w:r>
        <w:tab/>
        <w:t>A.</w:t>
      </w:r>
      <w:r>
        <w:tab/>
        <w:t xml:space="preserve">No, they were not, as the decision to implement the </w:t>
      </w:r>
      <w:r w:rsidR="00C0507E">
        <w:t>specific</w:t>
      </w:r>
      <w:r>
        <w:t xml:space="preserve"> cost reduction effort</w:t>
      </w:r>
      <w:r w:rsidR="004727BE">
        <w:t xml:space="preserve"> </w:t>
      </w:r>
      <w:r>
        <w:t xml:space="preserve">was made after the </w:t>
      </w:r>
      <w:r w:rsidR="00C0507E">
        <w:t xml:space="preserve">general </w:t>
      </w:r>
      <w:r>
        <w:t xml:space="preserve">terms of the Settlement were known.  </w:t>
      </w:r>
      <w:r w:rsidRPr="007C5077">
        <w:t xml:space="preserve">The decision to initiate </w:t>
      </w:r>
      <w:r>
        <w:t xml:space="preserve">the </w:t>
      </w:r>
      <w:r w:rsidRPr="007C5077">
        <w:t>voluntary severance p</w:t>
      </w:r>
      <w:r w:rsidR="004727BE">
        <w:t>rogram</w:t>
      </w:r>
      <w:r w:rsidRPr="007C5077">
        <w:t xml:space="preserve"> was based on an assessment by the Company that the revenue increases</w:t>
      </w:r>
      <w:r w:rsidR="00D739DA">
        <w:t xml:space="preserve"> in the Settlement</w:t>
      </w:r>
      <w:r>
        <w:t>, if</w:t>
      </w:r>
      <w:r w:rsidRPr="007C5077">
        <w:t xml:space="preserve"> approved by the Commission in this proceeding</w:t>
      </w:r>
      <w:r w:rsidR="00D739DA">
        <w:t xml:space="preserve">, </w:t>
      </w:r>
      <w:r w:rsidRPr="007C5077">
        <w:t>would not provide sufficient revenues to allow Avista to earn a rate of return</w:t>
      </w:r>
      <w:r w:rsidR="00E50A8B" w:rsidRPr="00E50A8B">
        <w:t xml:space="preserve"> </w:t>
      </w:r>
      <w:r w:rsidR="00E50A8B" w:rsidRPr="007C5077">
        <w:t xml:space="preserve">close to that </w:t>
      </w:r>
      <w:r w:rsidR="00E50A8B">
        <w:t>which was agreed to in the Settlement</w:t>
      </w:r>
      <w:r w:rsidRPr="007C5077">
        <w:t xml:space="preserve"> during the 2013 rate period.  </w:t>
      </w:r>
      <w:r w:rsidR="00BE55C8" w:rsidRPr="00BE55C8">
        <w:rPr>
          <w:bCs/>
        </w:rPr>
        <w:t>M</w:t>
      </w:r>
      <w:r>
        <w:t xml:space="preserve">aterial changes to the Company’s actual and forecasted revenues and </w:t>
      </w:r>
      <w:r w:rsidR="00E91F4A">
        <w:t>expenses</w:t>
      </w:r>
      <w:r>
        <w:t xml:space="preserve"> occurred after Avista filed this general rate case.  </w:t>
      </w:r>
      <w:r w:rsidRPr="006D77ED">
        <w:t xml:space="preserve">  </w:t>
      </w:r>
    </w:p>
    <w:p w:rsidR="00C86BF6" w:rsidRDefault="00C86BF6" w:rsidP="00C86BF6">
      <w:pPr>
        <w:pStyle w:val="Heading4"/>
        <w:tabs>
          <w:tab w:val="clear" w:pos="1260"/>
          <w:tab w:val="left" w:pos="720"/>
        </w:tabs>
        <w:ind w:left="0" w:firstLine="0"/>
        <w:jc w:val="both"/>
      </w:pPr>
      <w:r>
        <w:tab/>
        <w:t>Q.</w:t>
      </w:r>
      <w:r>
        <w:tab/>
        <w:t>What are the changes</w:t>
      </w:r>
      <w:r w:rsidR="00CF32F6">
        <w:t xml:space="preserve"> that occurred to revenues and expense</w:t>
      </w:r>
      <w:r>
        <w:t>s after the Company filed its general rate case?</w:t>
      </w:r>
    </w:p>
    <w:p w:rsidR="00D87060" w:rsidRPr="00BD72AC" w:rsidRDefault="00C86BF6" w:rsidP="00BD72AC">
      <w:pPr>
        <w:spacing w:line="480" w:lineRule="auto"/>
        <w:jc w:val="both"/>
      </w:pPr>
      <w:r>
        <w:t xml:space="preserve"> </w:t>
      </w:r>
      <w:r>
        <w:tab/>
        <w:t>A.</w:t>
      </w:r>
      <w:r>
        <w:tab/>
        <w:t xml:space="preserve">Illustration </w:t>
      </w:r>
      <w:r w:rsidR="00D87060">
        <w:t>No. 3</w:t>
      </w:r>
      <w:r>
        <w:t xml:space="preserve"> below, which was provided in the Company’s response to Public Counsel’s Data Request 427,</w:t>
      </w:r>
      <w:r w:rsidRPr="007C5077">
        <w:t xml:space="preserve"> shows the growth in Avista’s total system O&amp;M/A&amp;G expenses for the period 2011 to 2013, based on the</w:t>
      </w:r>
      <w:r w:rsidR="00E50A8B">
        <w:t xml:space="preserve"> two financial forecasts developed in 2012.  The </w:t>
      </w:r>
      <w:r w:rsidR="00E91F4A">
        <w:t>yellow</w:t>
      </w:r>
      <w:r w:rsidR="00E50A8B">
        <w:t xml:space="preserve"> line in the graph below reflects the growth in </w:t>
      </w:r>
      <w:r w:rsidR="00CF32F6" w:rsidRPr="007C5077">
        <w:t xml:space="preserve">O&amp;M/A&amp;G </w:t>
      </w:r>
      <w:r w:rsidR="00E50A8B">
        <w:t>from 2011 to 2013 in the</w:t>
      </w:r>
      <w:r w:rsidRPr="007C5077">
        <w:t xml:space="preserve"> financial forecast at the time the Company filed its Washington general rate case (February 29, 2012 financial forecast</w:t>
      </w:r>
      <w:r w:rsidR="00E50A8B">
        <w:t xml:space="preserve">).  The green line reflects the significant increase in expected </w:t>
      </w:r>
      <w:r w:rsidR="00CF32F6" w:rsidRPr="007C5077">
        <w:t xml:space="preserve">O&amp;M/A&amp;G </w:t>
      </w:r>
      <w:r w:rsidR="00E50A8B">
        <w:t xml:space="preserve">costs for the same time period </w:t>
      </w:r>
      <w:r w:rsidRPr="007C5077">
        <w:t>in the updated financial forecast (August 21, 2012 financial forecast).</w:t>
      </w:r>
      <w:r>
        <w:rPr>
          <w:rStyle w:val="FootnoteReference"/>
        </w:rPr>
        <w:footnoteReference w:id="14"/>
      </w:r>
      <w:r w:rsidRPr="007C5077">
        <w:t xml:space="preserve">  </w:t>
      </w:r>
      <w:r w:rsidR="00D87060">
        <w:rPr>
          <w:b/>
          <w:u w:val="single"/>
        </w:rPr>
        <w:br w:type="page"/>
      </w:r>
    </w:p>
    <w:p w:rsidR="00C86BF6" w:rsidRPr="00FA2C4A" w:rsidRDefault="00C86BF6" w:rsidP="00C86BF6">
      <w:pPr>
        <w:spacing w:line="480" w:lineRule="auto"/>
        <w:jc w:val="both"/>
        <w:rPr>
          <w:b/>
          <w:u w:val="single"/>
        </w:rPr>
      </w:pPr>
      <w:r w:rsidRPr="00FA2C4A">
        <w:rPr>
          <w:b/>
          <w:u w:val="single"/>
        </w:rPr>
        <w:t xml:space="preserve">Illustration </w:t>
      </w:r>
      <w:r w:rsidR="00D87060">
        <w:rPr>
          <w:b/>
          <w:u w:val="single"/>
        </w:rPr>
        <w:t>No. 3</w:t>
      </w:r>
      <w:r w:rsidRPr="00FA2C4A">
        <w:rPr>
          <w:b/>
          <w:u w:val="single"/>
        </w:rPr>
        <w:t>:</w:t>
      </w:r>
    </w:p>
    <w:p w:rsidR="00C86BF6" w:rsidRDefault="00C84CF9" w:rsidP="00C86BF6">
      <w:pPr>
        <w:spacing w:line="480" w:lineRule="auto"/>
        <w:jc w:val="both"/>
      </w:pPr>
      <w:r w:rsidRPr="00C84CF9">
        <w:rPr>
          <w:noProof/>
        </w:rPr>
        <w:drawing>
          <wp:anchor distT="0" distB="0" distL="114300" distR="114300" simplePos="0" relativeHeight="251666432" behindDoc="1" locked="0" layoutInCell="1" allowOverlap="1">
            <wp:simplePos x="0" y="0"/>
            <wp:positionH relativeFrom="column">
              <wp:posOffset>-74115</wp:posOffset>
            </wp:positionH>
            <wp:positionV relativeFrom="paragraph">
              <wp:posOffset>3163</wp:posOffset>
            </wp:positionV>
            <wp:extent cx="5954611" cy="3226279"/>
            <wp:effectExtent l="19050" t="0" r="8039"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54611" cy="3226279"/>
                    </a:xfrm>
                    <a:prstGeom prst="rect">
                      <a:avLst/>
                    </a:prstGeom>
                    <a:noFill/>
                    <a:ln w="9525">
                      <a:noFill/>
                      <a:miter lim="800000"/>
                      <a:headEnd/>
                      <a:tailEnd/>
                    </a:ln>
                  </pic:spPr>
                </pic:pic>
              </a:graphicData>
            </a:graphic>
          </wp:anchor>
        </w:drawing>
      </w:r>
    </w:p>
    <w:p w:rsidR="00C86BF6" w:rsidRDefault="00C86BF6" w:rsidP="00C86BF6">
      <w:pPr>
        <w:spacing w:line="480" w:lineRule="auto"/>
        <w:jc w:val="both"/>
      </w:pPr>
    </w:p>
    <w:p w:rsidR="00C86BF6" w:rsidRDefault="00C86BF6" w:rsidP="00C86BF6">
      <w:pPr>
        <w:spacing w:line="480" w:lineRule="auto"/>
        <w:jc w:val="both"/>
      </w:pPr>
    </w:p>
    <w:p w:rsidR="00C86BF6" w:rsidRDefault="00C86BF6" w:rsidP="00C86BF6">
      <w:pPr>
        <w:spacing w:line="480" w:lineRule="auto"/>
        <w:jc w:val="both"/>
      </w:pPr>
      <w:r>
        <w:tab/>
      </w:r>
    </w:p>
    <w:p w:rsidR="00C86BF6" w:rsidRDefault="00C86BF6" w:rsidP="00C86BF6">
      <w:pPr>
        <w:spacing w:line="480" w:lineRule="auto"/>
        <w:jc w:val="both"/>
      </w:pPr>
    </w:p>
    <w:p w:rsidR="00C86BF6" w:rsidRDefault="00C86BF6" w:rsidP="00C86BF6">
      <w:pPr>
        <w:spacing w:line="480" w:lineRule="auto"/>
        <w:jc w:val="both"/>
      </w:pPr>
    </w:p>
    <w:p w:rsidR="00C86BF6" w:rsidRDefault="00C86BF6" w:rsidP="00C86BF6">
      <w:pPr>
        <w:spacing w:line="480" w:lineRule="auto"/>
        <w:jc w:val="both"/>
      </w:pPr>
    </w:p>
    <w:p w:rsidR="00C86BF6" w:rsidRDefault="00C86BF6" w:rsidP="00C86BF6">
      <w:pPr>
        <w:spacing w:line="480" w:lineRule="auto"/>
        <w:jc w:val="both"/>
      </w:pPr>
    </w:p>
    <w:p w:rsidR="00C86BF6" w:rsidRDefault="00C86BF6" w:rsidP="00C86BF6">
      <w:pPr>
        <w:spacing w:line="480" w:lineRule="auto"/>
        <w:jc w:val="both"/>
      </w:pPr>
    </w:p>
    <w:p w:rsidR="00C84CF9" w:rsidRDefault="00C86BF6" w:rsidP="00C86BF6">
      <w:pPr>
        <w:spacing w:line="480" w:lineRule="auto"/>
        <w:jc w:val="both"/>
      </w:pPr>
      <w:r>
        <w:tab/>
      </w:r>
    </w:p>
    <w:p w:rsidR="00C86BF6" w:rsidRDefault="00C86BF6" w:rsidP="00C86BF6">
      <w:pPr>
        <w:spacing w:line="480" w:lineRule="auto"/>
        <w:jc w:val="both"/>
      </w:pPr>
      <w:r>
        <w:tab/>
      </w:r>
      <w:r w:rsidR="004727BE">
        <w:t>In the forecast, u</w:t>
      </w:r>
      <w:r w:rsidRPr="006D77ED">
        <w:t xml:space="preserve">pdated utility operating expenses </w:t>
      </w:r>
      <w:r w:rsidR="00E50A8B">
        <w:t xml:space="preserve">increased </w:t>
      </w:r>
      <w:r>
        <w:t xml:space="preserve">approximately $14 million in 2013 </w:t>
      </w:r>
      <w:r w:rsidRPr="006D77ED">
        <w:t xml:space="preserve">due, in part, to items such as pension expense, post-retirement medical costs, and power plant O&amp;M costs.  The continued decline in interest rates is causing growth in the expense we incur related to our future pension and post-retirement medical obligations.  </w:t>
      </w:r>
    </w:p>
    <w:p w:rsidR="00C86BF6" w:rsidRDefault="00C86BF6" w:rsidP="00C86BF6">
      <w:pPr>
        <w:spacing w:line="480" w:lineRule="auto"/>
        <w:jc w:val="both"/>
      </w:pPr>
      <w:r>
        <w:tab/>
      </w:r>
      <w:r w:rsidRPr="007C5077">
        <w:t xml:space="preserve">The </w:t>
      </w:r>
      <w:r w:rsidR="00E50A8B">
        <w:t xml:space="preserve">blue and </w:t>
      </w:r>
      <w:r w:rsidR="00E91F4A">
        <w:t>black</w:t>
      </w:r>
      <w:r w:rsidR="00E50A8B">
        <w:t xml:space="preserve"> lines on the </w:t>
      </w:r>
      <w:r w:rsidRPr="007C5077">
        <w:t xml:space="preserve">graph show the change in total utility kilowatt-hour sales for 2011 to 2013, from the 2011 retail load forecast, and </w:t>
      </w:r>
      <w:r w:rsidR="00CF32F6">
        <w:t>t</w:t>
      </w:r>
      <w:r w:rsidRPr="007C5077">
        <w:t xml:space="preserve">he </w:t>
      </w:r>
      <w:r w:rsidR="006D7229">
        <w:t xml:space="preserve">more </w:t>
      </w:r>
      <w:r w:rsidRPr="007C5077">
        <w:t>recent 2012 load forecast</w:t>
      </w:r>
      <w:r w:rsidR="00CF32F6">
        <w:t>, respectively</w:t>
      </w:r>
      <w:r w:rsidRPr="007C5077">
        <w:t xml:space="preserve">.  </w:t>
      </w:r>
      <w:r w:rsidRPr="006D77ED">
        <w:t xml:space="preserve">The revised load forecast </w:t>
      </w:r>
      <w:r w:rsidR="00E50A8B">
        <w:t>reflects</w:t>
      </w:r>
      <w:r w:rsidR="00E50A8B" w:rsidRPr="006D77ED">
        <w:t xml:space="preserve"> </w:t>
      </w:r>
      <w:r w:rsidRPr="006D77ED">
        <w:t xml:space="preserve">a reduction in retail revenue in 2013 </w:t>
      </w:r>
      <w:r>
        <w:t>of approximately $8 million</w:t>
      </w:r>
      <w:r w:rsidR="00E50A8B">
        <w:t xml:space="preserve"> as compared to the prior forecast</w:t>
      </w:r>
      <w:r>
        <w:t xml:space="preserve">, </w:t>
      </w:r>
      <w:r w:rsidRPr="006D77ED">
        <w:t>due primarily to an expectation that the recovery in the economy will not occur as quickly as we had previously expected</w:t>
      </w:r>
      <w:r w:rsidR="00E50A8B">
        <w:t>.</w:t>
      </w:r>
      <w:r>
        <w:t xml:space="preserve">  </w:t>
      </w:r>
      <w:r w:rsidRPr="007C5077">
        <w:t xml:space="preserve">The graph illustrates the reduction in </w:t>
      </w:r>
      <w:r>
        <w:t>kWh</w:t>
      </w:r>
      <w:r w:rsidRPr="007C5077">
        <w:t xml:space="preserve"> sales reflected in the recent forecast.  Therefore, since the Company filed its general rate case, expenses for 2013 increased significantly, </w:t>
      </w:r>
      <w:r>
        <w:t>while kWh</w:t>
      </w:r>
      <w:r w:rsidRPr="007C5077">
        <w:t xml:space="preserve"> sales for 2013 decreased</w:t>
      </w:r>
      <w:r w:rsidR="00E50A8B">
        <w:t xml:space="preserve"> significantly</w:t>
      </w:r>
      <w:r>
        <w:t xml:space="preserve">.  </w:t>
      </w:r>
    </w:p>
    <w:p w:rsidR="00E50A8B" w:rsidRDefault="00E50A8B" w:rsidP="00C86BF6">
      <w:pPr>
        <w:spacing w:line="480" w:lineRule="auto"/>
        <w:jc w:val="both"/>
      </w:pPr>
      <w:r>
        <w:tab/>
        <w:t xml:space="preserve">This level of increase in expenses for 2013 and the expected lower growth in revenues for 2013 </w:t>
      </w:r>
      <w:r w:rsidR="006D7229">
        <w:t>were</w:t>
      </w:r>
      <w:r>
        <w:t xml:space="preserve"> not reflected in the Company’s original rate case filing in April 2012.  </w:t>
      </w:r>
      <w:r w:rsidR="00011C3C">
        <w:t>Moreover,</w:t>
      </w:r>
      <w:r>
        <w:t xml:space="preserve"> these changes were generally not reflected in the revenue requirement recommendations to the Commission in the response testimony filed by the non-Avista parties on September 19</w:t>
      </w:r>
      <w:r w:rsidRPr="00E50A8B">
        <w:rPr>
          <w:vertAlign w:val="superscript"/>
        </w:rPr>
        <w:t>th</w:t>
      </w:r>
      <w:r>
        <w:t>.</w:t>
      </w:r>
    </w:p>
    <w:p w:rsidR="00E50A8B" w:rsidRDefault="00E50A8B" w:rsidP="00C86BF6">
      <w:pPr>
        <w:spacing w:line="480" w:lineRule="auto"/>
        <w:jc w:val="both"/>
      </w:pPr>
      <w:r>
        <w:tab/>
        <w:t>Following the unproductive settlement discussions on October 3</w:t>
      </w:r>
      <w:r w:rsidRPr="00E50A8B">
        <w:rPr>
          <w:vertAlign w:val="superscript"/>
        </w:rPr>
        <w:t>rd</w:t>
      </w:r>
      <w:r>
        <w:t>, the Company had serious concerns that the revenue increases from the Washington rate case, whether by settlement or litigation, would not provide sufficient revenues in 2013 to cover the increased costs and provide a reasonable return.  The Company began in earnest to consider options to aggressively cut costs for 2013 and beyond, with the goal that the combination of the aggressive cost cuts and the rate increase</w:t>
      </w:r>
      <w:r w:rsidR="006D7229">
        <w:t>s</w:t>
      </w:r>
      <w:r>
        <w:t xml:space="preserve"> from this rate case would provide the opportunity to earn a reasonable return in 2013.</w:t>
      </w:r>
    </w:p>
    <w:p w:rsidR="00E20428" w:rsidRDefault="00E20428" w:rsidP="00E20428">
      <w:pPr>
        <w:spacing w:line="480" w:lineRule="auto"/>
        <w:jc w:val="both"/>
      </w:pPr>
      <w:r>
        <w:tab/>
        <w:t xml:space="preserve">The senior officers of Avista first met to discuss a voluntary severance </w:t>
      </w:r>
      <w:r w:rsidR="00CF32F6">
        <w:t xml:space="preserve">type </w:t>
      </w:r>
      <w:r>
        <w:t xml:space="preserve">plan on Friday, October 12, 2012.  The full officer </w:t>
      </w:r>
      <w:proofErr w:type="gramStart"/>
      <w:r>
        <w:t>group met to review, discuss</w:t>
      </w:r>
      <w:proofErr w:type="gramEnd"/>
      <w:r>
        <w:t>, and agree on next steps on October 15, 17, and 19.  The final decision to move forward with a voluntary severance program was approved by the full officer group on October 19, 2012</w:t>
      </w:r>
      <w:r w:rsidR="00011C3C">
        <w:t xml:space="preserve"> – the same day that the Multiparty Settlement was filed with the Commission</w:t>
      </w:r>
      <w:r>
        <w:t>.  A special meeting of the Compensation and Organization Committee of the Board of Directors was held on Monday</w:t>
      </w:r>
      <w:r w:rsidR="006D7229">
        <w:t xml:space="preserve"> morning</w:t>
      </w:r>
      <w:r>
        <w:t>, October 22, 2012</w:t>
      </w:r>
      <w:r w:rsidR="006D7229">
        <w:t>, where</w:t>
      </w:r>
      <w:r>
        <w:t xml:space="preserve"> the Voluntary Severance Incentive </w:t>
      </w:r>
      <w:r w:rsidR="004727BE">
        <w:t>Program</w:t>
      </w:r>
      <w:r>
        <w:t xml:space="preserve"> (VSIP) </w:t>
      </w:r>
      <w:r w:rsidR="006D7229">
        <w:t>was approved</w:t>
      </w:r>
      <w:r>
        <w:t xml:space="preserve">. Avista’s offering of the VSIP was then communicated to the Company’s employees on </w:t>
      </w:r>
      <w:r w:rsidR="006D7229">
        <w:t xml:space="preserve">that same day, </w:t>
      </w:r>
      <w:r>
        <w:t>Monday</w:t>
      </w:r>
      <w:r w:rsidR="00CF32F6">
        <w:t>,</w:t>
      </w:r>
      <w:r>
        <w:t xml:space="preserve"> October 22, 2012.  </w:t>
      </w:r>
    </w:p>
    <w:p w:rsidR="00E20428" w:rsidRPr="00E20428" w:rsidRDefault="00C86BF6" w:rsidP="00C86BF6">
      <w:pPr>
        <w:spacing w:line="480" w:lineRule="auto"/>
        <w:jc w:val="both"/>
        <w:rPr>
          <w:b/>
        </w:rPr>
      </w:pPr>
      <w:r>
        <w:tab/>
      </w:r>
      <w:r w:rsidR="00E20428" w:rsidRPr="00E20428">
        <w:rPr>
          <w:b/>
        </w:rPr>
        <w:t>Q.</w:t>
      </w:r>
      <w:r w:rsidR="00E20428" w:rsidRPr="00E20428">
        <w:rPr>
          <w:b/>
        </w:rPr>
        <w:tab/>
      </w:r>
      <w:r w:rsidR="00E20428">
        <w:rPr>
          <w:b/>
        </w:rPr>
        <w:t>What was the planned level of cost-cuts targeted by the Company</w:t>
      </w:r>
      <w:r w:rsidR="00E20428" w:rsidRPr="00E20428">
        <w:rPr>
          <w:b/>
        </w:rPr>
        <w:t>?</w:t>
      </w:r>
    </w:p>
    <w:p w:rsidR="00C86BF6" w:rsidRDefault="00E20428" w:rsidP="00C86BF6">
      <w:pPr>
        <w:spacing w:line="480" w:lineRule="auto"/>
        <w:jc w:val="both"/>
      </w:pPr>
      <w:r>
        <w:tab/>
        <w:t>A.</w:t>
      </w:r>
      <w:r>
        <w:tab/>
      </w:r>
      <w:r w:rsidR="00C86BF6">
        <w:t xml:space="preserve">Illustration </w:t>
      </w:r>
      <w:r w:rsidR="00D87060">
        <w:t>No. 4</w:t>
      </w:r>
      <w:r w:rsidR="00C86BF6" w:rsidRPr="007C5077">
        <w:t xml:space="preserve"> below </w:t>
      </w:r>
      <w:r w:rsidR="00C324ED">
        <w:t>shows</w:t>
      </w:r>
      <w:r w:rsidR="00C86BF6" w:rsidRPr="007C5077">
        <w:t xml:space="preserve"> the </w:t>
      </w:r>
      <w:r>
        <w:t>targeted</w:t>
      </w:r>
      <w:r w:rsidR="00C86BF6" w:rsidRPr="007C5077">
        <w:t xml:space="preserve"> reduction in </w:t>
      </w:r>
      <w:r>
        <w:t xml:space="preserve">non-fuel </w:t>
      </w:r>
      <w:r w:rsidR="00C86BF6" w:rsidRPr="007C5077">
        <w:t xml:space="preserve">O&amp;M/A&amp;G expenses for 2013 of $14 million, on a system basis, that the Company announced.  The savings that </w:t>
      </w:r>
      <w:r w:rsidR="00C324ED">
        <w:t>will</w:t>
      </w:r>
      <w:r w:rsidR="00C86BF6" w:rsidRPr="007C5077">
        <w:t xml:space="preserve"> be realized from the </w:t>
      </w:r>
      <w:r w:rsidR="004727BE">
        <w:t>VSIP</w:t>
      </w:r>
      <w:r w:rsidR="00C86BF6">
        <w:t xml:space="preserve"> </w:t>
      </w:r>
      <w:r w:rsidR="00C86BF6" w:rsidRPr="007C5077">
        <w:t xml:space="preserve">will be a part of the $14 million.  </w:t>
      </w:r>
      <w:r>
        <w:t>As</w:t>
      </w:r>
      <w:r w:rsidR="00C86BF6" w:rsidRPr="007C5077">
        <w:t xml:space="preserve"> the graph illustrates, the $14 million </w:t>
      </w:r>
      <w:r w:rsidR="00CF32F6">
        <w:t xml:space="preserve">planned reduction </w:t>
      </w:r>
      <w:r w:rsidR="00C86BF6" w:rsidRPr="007C5077">
        <w:t>in expense</w:t>
      </w:r>
      <w:r w:rsidR="00CF32F6">
        <w:t xml:space="preserve"> </w:t>
      </w:r>
      <w:r w:rsidR="00C86BF6" w:rsidRPr="00ED572B">
        <w:rPr>
          <w:u w:val="single"/>
        </w:rPr>
        <w:t>will not</w:t>
      </w:r>
      <w:r w:rsidR="00C86BF6" w:rsidRPr="007C5077">
        <w:t xml:space="preserve"> reduce O&amp;M/A&amp;G costs below the level in 2011 or 2012, but it will slow the growth in expenses.  </w:t>
      </w:r>
    </w:p>
    <w:p w:rsidR="00C86BF6" w:rsidRPr="00FA2C4A" w:rsidRDefault="00C86BF6" w:rsidP="00C86BF6">
      <w:pPr>
        <w:spacing w:line="480" w:lineRule="auto"/>
        <w:jc w:val="both"/>
        <w:rPr>
          <w:b/>
          <w:u w:val="single"/>
        </w:rPr>
      </w:pPr>
      <w:r w:rsidRPr="00FA2C4A">
        <w:rPr>
          <w:b/>
          <w:u w:val="single"/>
        </w:rPr>
        <w:t xml:space="preserve">Illustration </w:t>
      </w:r>
      <w:r w:rsidR="00D87060">
        <w:rPr>
          <w:b/>
          <w:u w:val="single"/>
        </w:rPr>
        <w:t>No. 4</w:t>
      </w:r>
      <w:r w:rsidRPr="00FA2C4A">
        <w:rPr>
          <w:b/>
          <w:u w:val="single"/>
        </w:rPr>
        <w:t>:</w:t>
      </w:r>
    </w:p>
    <w:p w:rsidR="00C86BF6" w:rsidRDefault="00577649" w:rsidP="00C86BF6">
      <w:pPr>
        <w:tabs>
          <w:tab w:val="left" w:pos="720"/>
        </w:tabs>
        <w:spacing w:line="480" w:lineRule="auto"/>
        <w:jc w:val="both"/>
      </w:pPr>
      <w:r w:rsidRPr="00577649">
        <w:rPr>
          <w:noProof/>
        </w:rPr>
        <w:drawing>
          <wp:anchor distT="0" distB="0" distL="114300" distR="114300" simplePos="0" relativeHeight="251667456" behindDoc="1" locked="0" layoutInCell="1" allowOverlap="1">
            <wp:simplePos x="0" y="0"/>
            <wp:positionH relativeFrom="column">
              <wp:posOffset>20775</wp:posOffset>
            </wp:positionH>
            <wp:positionV relativeFrom="paragraph">
              <wp:posOffset>-3738</wp:posOffset>
            </wp:positionV>
            <wp:extent cx="6145924" cy="3347049"/>
            <wp:effectExtent l="19050" t="0" r="7226"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48025" cy="3348193"/>
                    </a:xfrm>
                    <a:prstGeom prst="rect">
                      <a:avLst/>
                    </a:prstGeom>
                    <a:noFill/>
                    <a:ln w="9525">
                      <a:noFill/>
                      <a:miter lim="800000"/>
                      <a:headEnd/>
                      <a:tailEnd/>
                    </a:ln>
                  </pic:spPr>
                </pic:pic>
              </a:graphicData>
            </a:graphic>
          </wp:anchor>
        </w:drawing>
      </w:r>
    </w:p>
    <w:p w:rsidR="00C86BF6" w:rsidRDefault="00C86BF6" w:rsidP="00C86BF6">
      <w:pPr>
        <w:tabs>
          <w:tab w:val="left" w:pos="6480"/>
        </w:tabs>
        <w:spacing w:line="480" w:lineRule="auto"/>
        <w:jc w:val="both"/>
      </w:pPr>
    </w:p>
    <w:p w:rsidR="00C86BF6" w:rsidRDefault="00C86BF6" w:rsidP="00C86BF6">
      <w:pPr>
        <w:tabs>
          <w:tab w:val="left" w:pos="6480"/>
        </w:tabs>
        <w:spacing w:line="480" w:lineRule="auto"/>
        <w:jc w:val="both"/>
      </w:pPr>
    </w:p>
    <w:p w:rsidR="00C86BF6" w:rsidRDefault="00C86BF6" w:rsidP="00C86BF6">
      <w:pPr>
        <w:tabs>
          <w:tab w:val="left" w:pos="6480"/>
        </w:tabs>
        <w:spacing w:line="480" w:lineRule="auto"/>
        <w:jc w:val="both"/>
      </w:pPr>
    </w:p>
    <w:p w:rsidR="00C86BF6" w:rsidRDefault="00C86BF6" w:rsidP="00C86BF6">
      <w:pPr>
        <w:tabs>
          <w:tab w:val="left" w:pos="6480"/>
        </w:tabs>
        <w:spacing w:line="480" w:lineRule="auto"/>
        <w:jc w:val="both"/>
      </w:pPr>
    </w:p>
    <w:p w:rsidR="00C86BF6" w:rsidRDefault="00C86BF6" w:rsidP="00C86BF6">
      <w:pPr>
        <w:tabs>
          <w:tab w:val="left" w:pos="6480"/>
        </w:tabs>
        <w:spacing w:line="480" w:lineRule="auto"/>
        <w:jc w:val="both"/>
      </w:pPr>
    </w:p>
    <w:p w:rsidR="00C86BF6" w:rsidRPr="007C5077" w:rsidRDefault="00C86BF6" w:rsidP="00C86BF6">
      <w:pPr>
        <w:tabs>
          <w:tab w:val="left" w:pos="6480"/>
        </w:tabs>
        <w:spacing w:line="480" w:lineRule="auto"/>
        <w:jc w:val="both"/>
      </w:pPr>
    </w:p>
    <w:p w:rsidR="00C86BF6" w:rsidRDefault="00C86BF6" w:rsidP="00C86BF6">
      <w:pPr>
        <w:tabs>
          <w:tab w:val="left" w:pos="6480"/>
        </w:tabs>
        <w:spacing w:line="480" w:lineRule="auto"/>
        <w:ind w:left="1620" w:hanging="630"/>
        <w:jc w:val="both"/>
      </w:pPr>
    </w:p>
    <w:p w:rsidR="00C86BF6" w:rsidRDefault="00C86BF6" w:rsidP="00C86BF6">
      <w:pPr>
        <w:tabs>
          <w:tab w:val="left" w:pos="6480"/>
        </w:tabs>
        <w:spacing w:line="480" w:lineRule="auto"/>
        <w:ind w:left="1620" w:hanging="630"/>
        <w:jc w:val="both"/>
      </w:pPr>
    </w:p>
    <w:p w:rsidR="00C86BF6" w:rsidRDefault="00C86BF6" w:rsidP="00C86BF6">
      <w:pPr>
        <w:tabs>
          <w:tab w:val="left" w:pos="6480"/>
        </w:tabs>
        <w:spacing w:line="480" w:lineRule="auto"/>
        <w:ind w:left="1620" w:hanging="630"/>
        <w:jc w:val="both"/>
      </w:pPr>
    </w:p>
    <w:p w:rsidR="00C86BF6" w:rsidRPr="003536FC" w:rsidRDefault="00C86BF6" w:rsidP="00C86BF6">
      <w:pPr>
        <w:pStyle w:val="Heading4"/>
        <w:tabs>
          <w:tab w:val="clear" w:pos="1260"/>
          <w:tab w:val="left" w:pos="720"/>
        </w:tabs>
        <w:ind w:left="0" w:firstLine="0"/>
        <w:jc w:val="both"/>
      </w:pPr>
      <w:r>
        <w:tab/>
      </w:r>
      <w:r w:rsidRPr="003536FC">
        <w:t>Q.</w:t>
      </w:r>
      <w:r w:rsidRPr="003536FC">
        <w:tab/>
      </w:r>
      <w:r>
        <w:t xml:space="preserve">If the Settlement is approved by the Commission, and the Company is able to realize </w:t>
      </w:r>
      <w:r w:rsidR="00CF32F6">
        <w:t>the</w:t>
      </w:r>
      <w:r>
        <w:t xml:space="preserve"> $14 million in costs savings measures, what is the Company’s earnings opportunity for 2013 for its electric operations</w:t>
      </w:r>
      <w:r w:rsidRPr="003536FC">
        <w:t>?</w:t>
      </w:r>
    </w:p>
    <w:p w:rsidR="00E20428" w:rsidRDefault="00C86BF6" w:rsidP="00C86BF6">
      <w:pPr>
        <w:spacing w:line="480" w:lineRule="auto"/>
        <w:jc w:val="both"/>
      </w:pPr>
      <w:r>
        <w:t xml:space="preserve"> </w:t>
      </w:r>
      <w:r>
        <w:tab/>
        <w:t>A.</w:t>
      </w:r>
      <w:r>
        <w:tab/>
      </w:r>
      <w:r w:rsidR="00E20428">
        <w:t>I</w:t>
      </w:r>
      <w:r>
        <w:t xml:space="preserve">f the Settlement is approved by the Commission, Avista will have the opportunity to earn </w:t>
      </w:r>
      <w:r w:rsidR="00CF32F6">
        <w:t xml:space="preserve">an </w:t>
      </w:r>
      <w:r>
        <w:t>8.45%</w:t>
      </w:r>
      <w:r w:rsidR="00CF32F6">
        <w:t xml:space="preserve"> ROE</w:t>
      </w:r>
      <w:r>
        <w:t xml:space="preserve"> in 2013</w:t>
      </w:r>
      <w:r w:rsidR="00E20428">
        <w:t xml:space="preserve"> as shown in the Table below</w:t>
      </w:r>
      <w:r>
        <w:t xml:space="preserve"> – still well below the agreed-upon ROE of 9.8%.  </w:t>
      </w:r>
    </w:p>
    <w:p w:rsidR="00E20428" w:rsidRPr="00FA2C4A" w:rsidRDefault="00E20428" w:rsidP="00E20428">
      <w:pPr>
        <w:spacing w:line="480" w:lineRule="auto"/>
        <w:jc w:val="both"/>
        <w:rPr>
          <w:b/>
          <w:u w:val="single"/>
        </w:rPr>
      </w:pPr>
      <w:r w:rsidRPr="00FA2C4A">
        <w:rPr>
          <w:b/>
          <w:u w:val="single"/>
        </w:rPr>
        <w:t xml:space="preserve">Illustration </w:t>
      </w:r>
      <w:r>
        <w:rPr>
          <w:b/>
          <w:u w:val="single"/>
        </w:rPr>
        <w:t>No. 5</w:t>
      </w:r>
      <w:r w:rsidRPr="00FA2C4A">
        <w:rPr>
          <w:b/>
          <w:u w:val="single"/>
        </w:rPr>
        <w:t>:</w:t>
      </w:r>
      <w:r w:rsidR="006D242F">
        <w:rPr>
          <w:b/>
          <w:u w:val="single"/>
        </w:rPr>
        <w:t xml:space="preserve"> Earnings Opportunity in 2013 with Settlement</w:t>
      </w:r>
    </w:p>
    <w:p w:rsidR="00E20428" w:rsidRPr="0013466D" w:rsidRDefault="00E20428" w:rsidP="00E20428">
      <w:pPr>
        <w:pStyle w:val="BodyText"/>
        <w:tabs>
          <w:tab w:val="left" w:pos="2250"/>
          <w:tab w:val="left" w:pos="5670"/>
          <w:tab w:val="center" w:pos="6300"/>
          <w:tab w:val="center" w:pos="6840"/>
          <w:tab w:val="right" w:pos="8010"/>
          <w:tab w:val="left" w:pos="8280"/>
          <w:tab w:val="center" w:pos="9000"/>
        </w:tabs>
        <w:spacing w:line="240" w:lineRule="auto"/>
        <w:ind w:right="86"/>
        <w:jc w:val="both"/>
        <w:rPr>
          <w:b w:val="0"/>
          <w:u w:val="single"/>
        </w:rPr>
      </w:pPr>
      <w:r w:rsidRPr="007C5077">
        <w:tab/>
      </w:r>
      <w:r w:rsidRPr="007C5077">
        <w:tab/>
      </w:r>
      <w:r w:rsidRPr="0013466D">
        <w:rPr>
          <w:b w:val="0"/>
          <w:u w:val="single"/>
        </w:rPr>
        <w:tab/>
      </w:r>
      <w:r w:rsidRPr="0013466D">
        <w:rPr>
          <w:b w:val="0"/>
          <w:u w:val="single"/>
        </w:rPr>
        <w:tab/>
        <w:t>$Millions</w:t>
      </w:r>
      <w:r w:rsidRPr="0013466D">
        <w:rPr>
          <w:b w:val="0"/>
          <w:u w:val="single"/>
        </w:rPr>
        <w:tab/>
      </w:r>
    </w:p>
    <w:p w:rsidR="00E20428" w:rsidRPr="0013466D" w:rsidRDefault="00E20428" w:rsidP="00E20428">
      <w:pPr>
        <w:pStyle w:val="BodyText"/>
        <w:tabs>
          <w:tab w:val="left" w:pos="2250"/>
          <w:tab w:val="center" w:pos="6300"/>
          <w:tab w:val="center" w:pos="7740"/>
          <w:tab w:val="left" w:pos="8280"/>
          <w:tab w:val="center" w:pos="9000"/>
          <w:tab w:val="right" w:pos="9360"/>
        </w:tabs>
        <w:spacing w:line="240" w:lineRule="auto"/>
        <w:ind w:right="86"/>
        <w:jc w:val="both"/>
        <w:rPr>
          <w:b w:val="0"/>
        </w:rPr>
      </w:pPr>
      <w:r w:rsidRPr="0013466D">
        <w:rPr>
          <w:b w:val="0"/>
        </w:rPr>
        <w:tab/>
      </w:r>
      <w:r w:rsidRPr="0013466D">
        <w:rPr>
          <w:b w:val="0"/>
        </w:rPr>
        <w:tab/>
        <w:t>Revenue</w:t>
      </w:r>
    </w:p>
    <w:p w:rsidR="00E20428" w:rsidRPr="0013466D" w:rsidRDefault="00E20428" w:rsidP="00E20428">
      <w:pPr>
        <w:pStyle w:val="BodyText"/>
        <w:tabs>
          <w:tab w:val="left" w:pos="2250"/>
          <w:tab w:val="center" w:pos="6300"/>
          <w:tab w:val="center" w:pos="7740"/>
          <w:tab w:val="left" w:pos="8280"/>
          <w:tab w:val="center" w:pos="9000"/>
          <w:tab w:val="right" w:pos="9360"/>
        </w:tabs>
        <w:spacing w:line="240" w:lineRule="auto"/>
        <w:ind w:right="86"/>
        <w:jc w:val="both"/>
        <w:rPr>
          <w:b w:val="0"/>
          <w:u w:val="single"/>
        </w:rPr>
      </w:pPr>
      <w:r w:rsidRPr="0013466D">
        <w:rPr>
          <w:b w:val="0"/>
        </w:rPr>
        <w:tab/>
      </w:r>
      <w:r w:rsidRPr="0013466D">
        <w:rPr>
          <w:b w:val="0"/>
        </w:rPr>
        <w:tab/>
      </w:r>
      <w:r w:rsidRPr="0013466D">
        <w:rPr>
          <w:b w:val="0"/>
          <w:u w:val="single"/>
        </w:rPr>
        <w:t>Requirement</w:t>
      </w:r>
      <w:r w:rsidRPr="0013466D">
        <w:rPr>
          <w:b w:val="0"/>
        </w:rPr>
        <w:tab/>
      </w:r>
      <w:r w:rsidRPr="0013466D">
        <w:rPr>
          <w:b w:val="0"/>
          <w:u w:val="single"/>
        </w:rPr>
        <w:t>NOI</w:t>
      </w:r>
      <w:r w:rsidRPr="0013466D">
        <w:rPr>
          <w:b w:val="0"/>
        </w:rPr>
        <w:tab/>
      </w:r>
      <w:r w:rsidRPr="0013466D">
        <w:rPr>
          <w:b w:val="0"/>
        </w:rPr>
        <w:tab/>
      </w:r>
      <w:r w:rsidRPr="0013466D">
        <w:rPr>
          <w:b w:val="0"/>
          <w:u w:val="single"/>
        </w:rPr>
        <w:t>ROE</w:t>
      </w:r>
    </w:p>
    <w:p w:rsidR="00E20428" w:rsidRPr="007C5077" w:rsidRDefault="00E20428" w:rsidP="00E20428">
      <w:pPr>
        <w:pStyle w:val="BodyText"/>
        <w:tabs>
          <w:tab w:val="left" w:pos="2250"/>
          <w:tab w:val="left" w:pos="2880"/>
          <w:tab w:val="left" w:pos="6030"/>
          <w:tab w:val="center" w:pos="6300"/>
          <w:tab w:val="center" w:pos="7740"/>
          <w:tab w:val="left" w:pos="8280"/>
          <w:tab w:val="center" w:pos="9000"/>
          <w:tab w:val="right" w:pos="9360"/>
        </w:tabs>
        <w:spacing w:line="240" w:lineRule="auto"/>
        <w:ind w:right="86" w:firstLine="720"/>
        <w:jc w:val="both"/>
        <w:rPr>
          <w:b w:val="0"/>
        </w:rPr>
      </w:pPr>
      <w:r w:rsidRPr="007C5077">
        <w:t>Original Filing</w:t>
      </w:r>
      <w:r w:rsidRPr="007C5077">
        <w:tab/>
      </w:r>
      <w:r w:rsidRPr="007C5077">
        <w:tab/>
      </w:r>
      <w:r w:rsidRPr="007C5077">
        <w:tab/>
        <w:t>$41.0</w:t>
      </w:r>
      <w:r w:rsidRPr="007C5077">
        <w:tab/>
      </w:r>
      <w:r w:rsidR="003063D4">
        <w:t>$79</w:t>
      </w:r>
      <w:r w:rsidR="000B59F0">
        <w:t>.4</w:t>
      </w:r>
      <w:r w:rsidRPr="007C5077">
        <w:tab/>
      </w:r>
      <w:r w:rsidRPr="007C5077">
        <w:tab/>
        <w:t>10.90%</w:t>
      </w:r>
    </w:p>
    <w:p w:rsidR="00E20428" w:rsidRPr="0013466D" w:rsidRDefault="00E20428" w:rsidP="00E20428">
      <w:pPr>
        <w:pStyle w:val="BodyText"/>
        <w:tabs>
          <w:tab w:val="left" w:pos="2250"/>
          <w:tab w:val="left" w:pos="2880"/>
          <w:tab w:val="left" w:pos="6030"/>
          <w:tab w:val="center" w:pos="6300"/>
          <w:tab w:val="center" w:pos="7740"/>
          <w:tab w:val="left" w:pos="8280"/>
          <w:tab w:val="center" w:pos="9000"/>
          <w:tab w:val="right" w:pos="9360"/>
        </w:tabs>
        <w:spacing w:line="240" w:lineRule="auto"/>
        <w:ind w:right="86" w:firstLine="720"/>
        <w:jc w:val="both"/>
        <w:rPr>
          <w:b w:val="0"/>
        </w:rPr>
      </w:pPr>
      <w:r w:rsidRPr="0013466D">
        <w:rPr>
          <w:b w:val="0"/>
        </w:rPr>
        <w:t>Updated Power Supply</w:t>
      </w:r>
      <w:r w:rsidRPr="0013466D">
        <w:rPr>
          <w:b w:val="0"/>
        </w:rPr>
        <w:tab/>
      </w:r>
      <w:r w:rsidRPr="0013466D">
        <w:rPr>
          <w:b w:val="0"/>
        </w:rPr>
        <w:tab/>
        <w:t>(5.4)</w:t>
      </w:r>
      <w:r w:rsidRPr="0013466D">
        <w:rPr>
          <w:b w:val="0"/>
        </w:rPr>
        <w:tab/>
      </w:r>
    </w:p>
    <w:p w:rsidR="00E20428" w:rsidRPr="0013466D" w:rsidRDefault="00E20428" w:rsidP="00E20428">
      <w:pPr>
        <w:pStyle w:val="BodyText"/>
        <w:tabs>
          <w:tab w:val="left" w:pos="2250"/>
          <w:tab w:val="left" w:pos="2880"/>
          <w:tab w:val="left" w:pos="6030"/>
          <w:tab w:val="center" w:pos="6300"/>
          <w:tab w:val="center" w:pos="7740"/>
          <w:tab w:val="left" w:pos="8280"/>
          <w:tab w:val="center" w:pos="9000"/>
          <w:tab w:val="right" w:pos="9360"/>
        </w:tabs>
        <w:spacing w:line="240" w:lineRule="auto"/>
        <w:ind w:right="86" w:firstLine="720"/>
        <w:jc w:val="both"/>
        <w:rPr>
          <w:b w:val="0"/>
        </w:rPr>
      </w:pPr>
      <w:r w:rsidRPr="0013466D">
        <w:rPr>
          <w:b w:val="0"/>
        </w:rPr>
        <w:t>FIT/DFIT Correction</w:t>
      </w:r>
      <w:r w:rsidRPr="0013466D">
        <w:rPr>
          <w:b w:val="0"/>
        </w:rPr>
        <w:tab/>
      </w:r>
      <w:r w:rsidRPr="0013466D">
        <w:rPr>
          <w:b w:val="0"/>
        </w:rPr>
        <w:tab/>
        <w:t xml:space="preserve"> (3.0)</w:t>
      </w:r>
    </w:p>
    <w:p w:rsidR="00E20428" w:rsidRPr="0013466D" w:rsidRDefault="00E20428" w:rsidP="00E20428">
      <w:pPr>
        <w:pStyle w:val="BodyText"/>
        <w:tabs>
          <w:tab w:val="left" w:pos="2250"/>
          <w:tab w:val="left" w:pos="2880"/>
          <w:tab w:val="left" w:pos="6030"/>
          <w:tab w:val="center" w:pos="6300"/>
          <w:tab w:val="center" w:pos="7740"/>
          <w:tab w:val="left" w:pos="8280"/>
          <w:tab w:val="center" w:pos="9000"/>
          <w:tab w:val="right" w:pos="9360"/>
        </w:tabs>
        <w:spacing w:line="240" w:lineRule="auto"/>
        <w:ind w:right="86" w:firstLine="720"/>
        <w:jc w:val="both"/>
        <w:rPr>
          <w:b w:val="0"/>
        </w:rPr>
      </w:pPr>
      <w:r w:rsidRPr="0013466D">
        <w:rPr>
          <w:b w:val="0"/>
        </w:rPr>
        <w:t>Transmission Revenue Correction</w:t>
      </w:r>
      <w:r w:rsidRPr="0013466D">
        <w:rPr>
          <w:b w:val="0"/>
        </w:rPr>
        <w:tab/>
      </w:r>
      <w:r w:rsidRPr="0013466D">
        <w:rPr>
          <w:b w:val="0"/>
        </w:rPr>
        <w:tab/>
        <w:t>1.1</w:t>
      </w:r>
    </w:p>
    <w:p w:rsidR="00E20428" w:rsidRPr="0013466D" w:rsidRDefault="00E20428" w:rsidP="00E20428">
      <w:pPr>
        <w:pStyle w:val="BodyText"/>
        <w:tabs>
          <w:tab w:val="left" w:pos="2250"/>
          <w:tab w:val="left" w:pos="2880"/>
          <w:tab w:val="left" w:pos="6030"/>
          <w:tab w:val="center" w:pos="6300"/>
          <w:tab w:val="right" w:pos="6570"/>
          <w:tab w:val="center" w:pos="7740"/>
          <w:tab w:val="left" w:pos="8730"/>
          <w:tab w:val="center" w:pos="9000"/>
          <w:tab w:val="right" w:pos="9360"/>
        </w:tabs>
        <w:spacing w:line="240" w:lineRule="auto"/>
        <w:ind w:right="86" w:firstLine="720"/>
        <w:jc w:val="both"/>
        <w:rPr>
          <w:b w:val="0"/>
          <w:u w:val="single"/>
        </w:rPr>
      </w:pPr>
      <w:r w:rsidRPr="0013466D">
        <w:rPr>
          <w:b w:val="0"/>
        </w:rPr>
        <w:t>Updated Attrition Adjustment</w:t>
      </w:r>
      <w:r w:rsidRPr="0013466D">
        <w:rPr>
          <w:b w:val="0"/>
        </w:rPr>
        <w:tab/>
      </w:r>
      <w:r w:rsidRPr="0013466D">
        <w:rPr>
          <w:b w:val="0"/>
          <w:u w:val="single"/>
        </w:rPr>
        <w:tab/>
        <w:t>8.2</w:t>
      </w:r>
      <w:r w:rsidRPr="0013466D">
        <w:rPr>
          <w:b w:val="0"/>
          <w:u w:val="single"/>
        </w:rPr>
        <w:tab/>
      </w:r>
      <w:r w:rsidRPr="0013466D">
        <w:rPr>
          <w:b w:val="0"/>
        </w:rPr>
        <w:tab/>
      </w:r>
      <w:r w:rsidRPr="0013466D">
        <w:rPr>
          <w:b w:val="0"/>
        </w:rPr>
        <w:tab/>
      </w:r>
      <w:r w:rsidRPr="0013466D">
        <w:rPr>
          <w:b w:val="0"/>
          <w:u w:val="single"/>
        </w:rPr>
        <w:tab/>
      </w:r>
      <w:r w:rsidRPr="0013466D">
        <w:rPr>
          <w:b w:val="0"/>
          <w:u w:val="single"/>
        </w:rPr>
        <w:tab/>
      </w:r>
    </w:p>
    <w:p w:rsidR="00E20428" w:rsidRPr="0013466D" w:rsidRDefault="00E20428" w:rsidP="00E20428">
      <w:pPr>
        <w:pStyle w:val="BodyText"/>
        <w:tabs>
          <w:tab w:val="left" w:pos="2250"/>
          <w:tab w:val="left" w:pos="2880"/>
          <w:tab w:val="left" w:pos="6030"/>
          <w:tab w:val="center" w:pos="6300"/>
          <w:tab w:val="center" w:pos="7740"/>
          <w:tab w:val="left" w:pos="8280"/>
          <w:tab w:val="center" w:pos="9090"/>
          <w:tab w:val="right" w:pos="9360"/>
        </w:tabs>
        <w:spacing w:line="240" w:lineRule="auto"/>
        <w:ind w:right="86" w:firstLine="720"/>
        <w:jc w:val="both"/>
        <w:rPr>
          <w:b w:val="0"/>
        </w:rPr>
      </w:pPr>
      <w:r w:rsidRPr="0013466D">
        <w:rPr>
          <w:b w:val="0"/>
        </w:rPr>
        <w:t xml:space="preserve">  Subtotal </w:t>
      </w:r>
      <w:r w:rsidRPr="0013466D">
        <w:rPr>
          <w:b w:val="0"/>
        </w:rPr>
        <w:tab/>
      </w:r>
      <w:r w:rsidRPr="0013466D">
        <w:rPr>
          <w:b w:val="0"/>
        </w:rPr>
        <w:tab/>
      </w:r>
      <w:r w:rsidRPr="0013466D">
        <w:rPr>
          <w:b w:val="0"/>
        </w:rPr>
        <w:tab/>
        <w:t>$41.9</w:t>
      </w:r>
      <w:r w:rsidRPr="0013466D">
        <w:rPr>
          <w:b w:val="0"/>
        </w:rPr>
        <w:tab/>
      </w:r>
      <w:r w:rsidRPr="0013466D">
        <w:rPr>
          <w:b w:val="0"/>
        </w:rPr>
        <w:tab/>
      </w:r>
      <w:r w:rsidRPr="0013466D">
        <w:rPr>
          <w:b w:val="0"/>
        </w:rPr>
        <w:tab/>
        <w:t>10.9</w:t>
      </w:r>
      <w:r>
        <w:rPr>
          <w:b w:val="0"/>
        </w:rPr>
        <w:t>0</w:t>
      </w:r>
      <w:r w:rsidRPr="0013466D">
        <w:rPr>
          <w:b w:val="0"/>
        </w:rPr>
        <w:t>%</w:t>
      </w:r>
    </w:p>
    <w:p w:rsidR="00E20428" w:rsidRPr="0013466D" w:rsidRDefault="00E20428" w:rsidP="00E20428">
      <w:pPr>
        <w:pStyle w:val="BodyText"/>
        <w:tabs>
          <w:tab w:val="left" w:pos="2250"/>
          <w:tab w:val="left" w:pos="2880"/>
          <w:tab w:val="left" w:pos="6030"/>
          <w:tab w:val="center" w:pos="6300"/>
          <w:tab w:val="center" w:pos="7740"/>
          <w:tab w:val="left" w:pos="8280"/>
          <w:tab w:val="center" w:pos="9090"/>
          <w:tab w:val="right" w:pos="9360"/>
        </w:tabs>
        <w:spacing w:line="240" w:lineRule="auto"/>
        <w:ind w:right="86" w:firstLine="720"/>
        <w:jc w:val="both"/>
      </w:pPr>
      <w:r w:rsidRPr="0013466D">
        <w:t>Adjustments to Reflect Settlement</w:t>
      </w:r>
      <w:r w:rsidRPr="0013466D">
        <w:tab/>
      </w:r>
    </w:p>
    <w:p w:rsidR="00E20428" w:rsidRPr="0013466D" w:rsidRDefault="00E20428" w:rsidP="00E20428">
      <w:pPr>
        <w:pStyle w:val="BodyText"/>
        <w:tabs>
          <w:tab w:val="left" w:pos="2250"/>
          <w:tab w:val="left" w:pos="2880"/>
          <w:tab w:val="left" w:pos="6030"/>
          <w:tab w:val="center" w:pos="6300"/>
          <w:tab w:val="center" w:pos="7740"/>
          <w:tab w:val="left" w:pos="8280"/>
          <w:tab w:val="center" w:pos="9090"/>
          <w:tab w:val="right" w:pos="9360"/>
        </w:tabs>
        <w:spacing w:line="240" w:lineRule="auto"/>
        <w:ind w:right="86" w:firstLine="720"/>
        <w:jc w:val="both"/>
        <w:rPr>
          <w:b w:val="0"/>
        </w:rPr>
      </w:pPr>
      <w:r w:rsidRPr="0013466D">
        <w:rPr>
          <w:b w:val="0"/>
        </w:rPr>
        <w:t>Revised Cost of Capital</w:t>
      </w:r>
      <w:r w:rsidRPr="0013466D">
        <w:rPr>
          <w:b w:val="0"/>
        </w:rPr>
        <w:tab/>
        <w:t>(12.2)</w:t>
      </w:r>
      <w:r w:rsidRPr="0013466D">
        <w:rPr>
          <w:b w:val="0"/>
        </w:rPr>
        <w:tab/>
        <w:t xml:space="preserve">        </w:t>
      </w:r>
      <w:r w:rsidRPr="0013466D">
        <w:rPr>
          <w:b w:val="0"/>
        </w:rPr>
        <w:tab/>
      </w:r>
      <w:r w:rsidRPr="0013466D">
        <w:rPr>
          <w:b w:val="0"/>
        </w:rPr>
        <w:tab/>
        <w:t>(1.1</w:t>
      </w:r>
      <w:r>
        <w:rPr>
          <w:b w:val="0"/>
        </w:rPr>
        <w:t>0</w:t>
      </w:r>
      <w:r w:rsidRPr="0013466D">
        <w:rPr>
          <w:b w:val="0"/>
        </w:rPr>
        <w:t>%)</w:t>
      </w:r>
    </w:p>
    <w:p w:rsidR="00E20428" w:rsidRPr="0013466D" w:rsidRDefault="00E20428" w:rsidP="00E20428">
      <w:pPr>
        <w:pStyle w:val="BodyText"/>
        <w:tabs>
          <w:tab w:val="left" w:pos="2250"/>
          <w:tab w:val="left" w:pos="2880"/>
          <w:tab w:val="left" w:pos="6030"/>
          <w:tab w:val="center" w:pos="6300"/>
          <w:tab w:val="center" w:pos="7740"/>
          <w:tab w:val="left" w:pos="8280"/>
          <w:tab w:val="center" w:pos="9090"/>
          <w:tab w:val="right" w:pos="9360"/>
        </w:tabs>
        <w:spacing w:line="240" w:lineRule="auto"/>
        <w:ind w:right="86" w:firstLine="720"/>
        <w:jc w:val="both"/>
        <w:rPr>
          <w:b w:val="0"/>
        </w:rPr>
      </w:pPr>
      <w:r w:rsidRPr="0013466D">
        <w:rPr>
          <w:b w:val="0"/>
        </w:rPr>
        <w:t>Eliminate Retail Revenue Credit Adj.</w:t>
      </w:r>
      <w:r w:rsidRPr="0013466D">
        <w:rPr>
          <w:b w:val="0"/>
        </w:rPr>
        <w:tab/>
      </w:r>
      <w:r w:rsidRPr="0013466D">
        <w:rPr>
          <w:b w:val="0"/>
        </w:rPr>
        <w:tab/>
        <w:t xml:space="preserve"> (3.6)</w:t>
      </w:r>
    </w:p>
    <w:p w:rsidR="00E20428" w:rsidRPr="0013466D" w:rsidRDefault="00E20428" w:rsidP="00E20428">
      <w:pPr>
        <w:pStyle w:val="BodyText"/>
        <w:tabs>
          <w:tab w:val="left" w:pos="2250"/>
          <w:tab w:val="left" w:pos="2880"/>
          <w:tab w:val="left" w:pos="6030"/>
          <w:tab w:val="center" w:pos="6300"/>
          <w:tab w:val="center" w:pos="7740"/>
          <w:tab w:val="left" w:pos="8280"/>
          <w:tab w:val="center" w:pos="9090"/>
          <w:tab w:val="right" w:pos="9360"/>
        </w:tabs>
        <w:spacing w:line="240" w:lineRule="auto"/>
        <w:ind w:right="86" w:firstLine="720"/>
        <w:jc w:val="both"/>
        <w:rPr>
          <w:b w:val="0"/>
          <w:u w:val="single"/>
        </w:rPr>
      </w:pPr>
      <w:r w:rsidRPr="0013466D">
        <w:rPr>
          <w:b w:val="0"/>
        </w:rPr>
        <w:t>Other Black Box Adjustments</w:t>
      </w:r>
      <w:r w:rsidRPr="0013466D">
        <w:rPr>
          <w:b w:val="0"/>
        </w:rPr>
        <w:tab/>
      </w:r>
      <w:r w:rsidRPr="0013466D">
        <w:rPr>
          <w:b w:val="0"/>
          <w:u w:val="single"/>
        </w:rPr>
        <w:t>(12.5)</w:t>
      </w:r>
      <w:r w:rsidRPr="0013466D">
        <w:rPr>
          <w:b w:val="0"/>
        </w:rPr>
        <w:tab/>
      </w:r>
      <w:r w:rsidR="008B4769">
        <w:rPr>
          <w:b w:val="0"/>
        </w:rPr>
        <w:t xml:space="preserve">   </w:t>
      </w:r>
      <w:r w:rsidR="003063D4">
        <w:rPr>
          <w:b w:val="0"/>
        </w:rPr>
        <w:t>(7.8)</w:t>
      </w:r>
      <w:r w:rsidRPr="0013466D">
        <w:rPr>
          <w:b w:val="0"/>
        </w:rPr>
        <w:tab/>
      </w:r>
      <w:r w:rsidRPr="0013466D">
        <w:rPr>
          <w:b w:val="0"/>
        </w:rPr>
        <w:tab/>
      </w:r>
      <w:r w:rsidRPr="0013466D">
        <w:rPr>
          <w:b w:val="0"/>
          <w:u w:val="single"/>
        </w:rPr>
        <w:t xml:space="preserve"> (1.35%)</w:t>
      </w:r>
    </w:p>
    <w:p w:rsidR="00E20428" w:rsidRDefault="00E20428" w:rsidP="00E20428">
      <w:pPr>
        <w:pStyle w:val="BodyText"/>
        <w:tabs>
          <w:tab w:val="left" w:pos="2250"/>
          <w:tab w:val="left" w:pos="2880"/>
          <w:tab w:val="left" w:pos="6030"/>
          <w:tab w:val="center" w:pos="6300"/>
          <w:tab w:val="center" w:pos="7740"/>
          <w:tab w:val="left" w:pos="8280"/>
          <w:tab w:val="center" w:pos="9090"/>
          <w:tab w:val="right" w:pos="9360"/>
        </w:tabs>
        <w:spacing w:line="240" w:lineRule="auto"/>
        <w:ind w:right="86" w:firstLine="720"/>
        <w:jc w:val="both"/>
      </w:pPr>
      <w:r w:rsidRPr="007C5077">
        <w:t>Settlement Agreement</w:t>
      </w:r>
      <w:r w:rsidRPr="007C5077">
        <w:tab/>
        <w:t>$13.7</w:t>
      </w:r>
      <w:r w:rsidRPr="007C5077">
        <w:tab/>
      </w:r>
      <w:r>
        <w:tab/>
      </w:r>
      <w:r>
        <w:tab/>
      </w:r>
      <w:r w:rsidRPr="007C5077">
        <w:t>8.45%</w:t>
      </w:r>
      <w:r w:rsidRPr="007C5077">
        <w:tab/>
      </w:r>
    </w:p>
    <w:p w:rsidR="00E20428" w:rsidRDefault="00E20428" w:rsidP="00C86BF6">
      <w:pPr>
        <w:spacing w:line="480" w:lineRule="auto"/>
        <w:jc w:val="both"/>
      </w:pPr>
    </w:p>
    <w:p w:rsidR="00C86BF6" w:rsidRPr="00DB0D20" w:rsidRDefault="00E20428" w:rsidP="00C86BF6">
      <w:pPr>
        <w:spacing w:line="480" w:lineRule="auto"/>
        <w:jc w:val="both"/>
        <w:rPr>
          <w:b/>
        </w:rPr>
      </w:pPr>
      <w:r>
        <w:tab/>
      </w:r>
      <w:r w:rsidR="00C86BF6" w:rsidRPr="007C5077">
        <w:t xml:space="preserve">In order for Avista to have the opportunity to earn above the 8.45% ROE in 2013 in its Washington electric operations, it must immediately implement </w:t>
      </w:r>
      <w:r w:rsidR="000426D8">
        <w:t xml:space="preserve">the </w:t>
      </w:r>
      <w:r w:rsidR="00C86BF6" w:rsidRPr="007C5077">
        <w:t>aggressive cost-cutting measures</w:t>
      </w:r>
      <w:r w:rsidR="000426D8">
        <w:t xml:space="preserve"> that we have announced</w:t>
      </w:r>
      <w:r w:rsidR="00C86BF6" w:rsidRPr="007C5077">
        <w:t>.  An expense reduction of $1 million (pre-tax), applicable to Avista’s Washington electric operations, would improve the Washington electric ROE by 0.11%</w:t>
      </w:r>
      <w:r w:rsidR="00C86BF6">
        <w:t>;</w:t>
      </w:r>
      <w:r w:rsidR="00C86BF6" w:rsidRPr="007C5077">
        <w:t xml:space="preserve"> </w:t>
      </w:r>
      <w:r w:rsidR="00C86BF6">
        <w:t xml:space="preserve">in other words, </w:t>
      </w:r>
      <w:r w:rsidR="00C86BF6" w:rsidRPr="007C5077">
        <w:t>the 8.45% ROE would move to 8.56%</w:t>
      </w:r>
      <w:r w:rsidR="00C324ED">
        <w:rPr>
          <w:rStyle w:val="FootnoteReference"/>
        </w:rPr>
        <w:footnoteReference w:id="15"/>
      </w:r>
      <w:r w:rsidR="00C86BF6" w:rsidRPr="007C5077">
        <w:t>.  Avista’s Washington electric operations represent approximately 48% of its total system utility operations. Avista has announced plans to reduce system O&amp;M</w:t>
      </w:r>
      <w:r w:rsidR="00CF32F6">
        <w:t>/A&amp;G</w:t>
      </w:r>
      <w:r w:rsidR="00C86BF6" w:rsidRPr="007C5077">
        <w:t xml:space="preserve"> costs by $14 million, which would be about $6.7 million applicable to Washington electric.  The revenue from the Settlement, together with the planned expense reductions, would provide a Washington electric </w:t>
      </w:r>
      <w:r w:rsidR="00C86BF6" w:rsidRPr="00C324ED">
        <w:t>ROE opportunity of approximately 9.2%.</w:t>
      </w:r>
      <w:r w:rsidR="00C86BF6" w:rsidRPr="007C5077">
        <w:t xml:space="preserve">  This would be below the 9.8% ROE in the Settlement, but would be an improvement to the historical earned ROE in Washington of approximately 8</w:t>
      </w:r>
      <w:r w:rsidR="00C86BF6">
        <w:t>.0</w:t>
      </w:r>
      <w:r w:rsidR="00C86BF6" w:rsidRPr="007C5077">
        <w:t>%.</w:t>
      </w:r>
    </w:p>
    <w:p w:rsidR="00C86BF6" w:rsidRDefault="00C86BF6" w:rsidP="00C86BF6">
      <w:pPr>
        <w:pStyle w:val="BodyText"/>
        <w:tabs>
          <w:tab w:val="left" w:pos="1440"/>
          <w:tab w:val="left" w:pos="2880"/>
          <w:tab w:val="left" w:pos="6030"/>
          <w:tab w:val="center" w:pos="6300"/>
          <w:tab w:val="center" w:pos="7740"/>
          <w:tab w:val="left" w:pos="8280"/>
          <w:tab w:val="center" w:pos="9090"/>
          <w:tab w:val="right" w:pos="9360"/>
        </w:tabs>
        <w:spacing w:line="480" w:lineRule="auto"/>
        <w:ind w:right="86" w:firstLine="720"/>
        <w:jc w:val="both"/>
      </w:pPr>
      <w:r>
        <w:t>Q.</w:t>
      </w:r>
      <w:r>
        <w:tab/>
      </w:r>
      <w:r w:rsidR="00CF32F6">
        <w:t>P</w:t>
      </w:r>
      <w:r>
        <w:t xml:space="preserve">lease provide </w:t>
      </w:r>
      <w:r w:rsidR="000426D8">
        <w:t xml:space="preserve">a brief </w:t>
      </w:r>
      <w:r>
        <w:t>overview of the VSIP?</w:t>
      </w:r>
    </w:p>
    <w:p w:rsidR="00CF32F6" w:rsidRDefault="00C86BF6" w:rsidP="00C86BF6">
      <w:pPr>
        <w:pStyle w:val="BodyText"/>
        <w:tabs>
          <w:tab w:val="left" w:pos="1440"/>
          <w:tab w:val="left" w:pos="2880"/>
          <w:tab w:val="left" w:pos="6030"/>
          <w:tab w:val="center" w:pos="6300"/>
          <w:tab w:val="center" w:pos="7740"/>
          <w:tab w:val="left" w:pos="8280"/>
          <w:tab w:val="center" w:pos="9090"/>
          <w:tab w:val="right" w:pos="9360"/>
        </w:tabs>
        <w:spacing w:line="480" w:lineRule="auto"/>
        <w:ind w:right="86" w:firstLine="720"/>
        <w:jc w:val="both"/>
        <w:rPr>
          <w:b w:val="0"/>
        </w:rPr>
      </w:pPr>
      <w:r>
        <w:rPr>
          <w:b w:val="0"/>
        </w:rPr>
        <w:t>A.</w:t>
      </w:r>
      <w:r>
        <w:rPr>
          <w:b w:val="0"/>
        </w:rPr>
        <w:tab/>
        <w:t xml:space="preserve">As Avista </w:t>
      </w:r>
      <w:r w:rsidR="00C0507E">
        <w:rPr>
          <w:b w:val="0"/>
        </w:rPr>
        <w:t>explained</w:t>
      </w:r>
      <w:r>
        <w:rPr>
          <w:b w:val="0"/>
        </w:rPr>
        <w:t xml:space="preserve"> in its response to Public Counsel’s Data Request 427, i</w:t>
      </w:r>
      <w:r w:rsidRPr="00C23F37">
        <w:rPr>
          <w:b w:val="0"/>
        </w:rPr>
        <w:t xml:space="preserve">n general, all employees of Avista Corp. (excluding its subsidiaries) who are not covered by a collective bargaining agreement are eligible to participate in the </w:t>
      </w:r>
      <w:r w:rsidR="004727BE">
        <w:rPr>
          <w:b w:val="0"/>
        </w:rPr>
        <w:t>VSIP</w:t>
      </w:r>
      <w:r w:rsidRPr="00C23F37">
        <w:rPr>
          <w:b w:val="0"/>
        </w:rPr>
        <w:t>.  The VSIP is designed as a “Double Yes” program.   Eligible employees will have until Friday</w:t>
      </w:r>
      <w:r w:rsidR="000426D8">
        <w:rPr>
          <w:b w:val="0"/>
        </w:rPr>
        <w:t>,</w:t>
      </w:r>
      <w:r w:rsidRPr="00C23F37">
        <w:rPr>
          <w:b w:val="0"/>
        </w:rPr>
        <w:t xml:space="preserve"> December 14, 2012 to </w:t>
      </w:r>
      <w:r w:rsidR="004727BE">
        <w:rPr>
          <w:b w:val="0"/>
        </w:rPr>
        <w:t>elect</w:t>
      </w:r>
      <w:r>
        <w:rPr>
          <w:b w:val="0"/>
        </w:rPr>
        <w:t xml:space="preserve"> to </w:t>
      </w:r>
      <w:r w:rsidRPr="00C23F37">
        <w:rPr>
          <w:b w:val="0"/>
        </w:rPr>
        <w:t xml:space="preserve">voluntarily leave the </w:t>
      </w:r>
      <w:r>
        <w:rPr>
          <w:b w:val="0"/>
        </w:rPr>
        <w:t>C</w:t>
      </w:r>
      <w:r w:rsidRPr="00C23F37">
        <w:rPr>
          <w:b w:val="0"/>
        </w:rPr>
        <w:t>ompany</w:t>
      </w:r>
      <w:r>
        <w:rPr>
          <w:b w:val="0"/>
        </w:rPr>
        <w:t xml:space="preserve"> effective January 1, 2013 </w:t>
      </w:r>
      <w:r w:rsidRPr="00C23F37">
        <w:rPr>
          <w:b w:val="0"/>
        </w:rPr>
        <w:t xml:space="preserve">(which constitutes the </w:t>
      </w:r>
      <w:r>
        <w:rPr>
          <w:b w:val="0"/>
        </w:rPr>
        <w:t>“</w:t>
      </w:r>
      <w:r w:rsidRPr="00C23F37">
        <w:rPr>
          <w:b w:val="0"/>
        </w:rPr>
        <w:t>1st Yes</w:t>
      </w:r>
      <w:r>
        <w:rPr>
          <w:b w:val="0"/>
        </w:rPr>
        <w:t>”</w:t>
      </w:r>
      <w:r w:rsidRPr="00C23F37">
        <w:rPr>
          <w:b w:val="0"/>
        </w:rPr>
        <w:t>).  After weighing short and long term business needs, critical skill sets, and the ability to accommodate departure requests, the Company</w:t>
      </w:r>
      <w:r>
        <w:rPr>
          <w:b w:val="0"/>
        </w:rPr>
        <w:t>’s</w:t>
      </w:r>
      <w:r w:rsidRPr="00C23F37">
        <w:rPr>
          <w:b w:val="0"/>
        </w:rPr>
        <w:t xml:space="preserve"> management will decide which employee requests will be approved (constituting the </w:t>
      </w:r>
      <w:r>
        <w:rPr>
          <w:b w:val="0"/>
        </w:rPr>
        <w:t>“</w:t>
      </w:r>
      <w:r w:rsidRPr="00C23F37">
        <w:rPr>
          <w:b w:val="0"/>
        </w:rPr>
        <w:t>2nd Yes</w:t>
      </w:r>
      <w:r>
        <w:rPr>
          <w:b w:val="0"/>
        </w:rPr>
        <w:t>”</w:t>
      </w:r>
      <w:r w:rsidRPr="00C23F37">
        <w:rPr>
          <w:b w:val="0"/>
        </w:rPr>
        <w:t xml:space="preserve"> of the “Double Yes” approach).  </w:t>
      </w:r>
    </w:p>
    <w:p w:rsidR="000426D8" w:rsidRDefault="00C86BF6" w:rsidP="00CF32F6">
      <w:pPr>
        <w:pStyle w:val="BodyText"/>
        <w:tabs>
          <w:tab w:val="left" w:pos="1440"/>
          <w:tab w:val="left" w:pos="2880"/>
          <w:tab w:val="left" w:pos="6030"/>
          <w:tab w:val="center" w:pos="6300"/>
          <w:tab w:val="center" w:pos="7740"/>
          <w:tab w:val="left" w:pos="8280"/>
          <w:tab w:val="center" w:pos="9090"/>
          <w:tab w:val="right" w:pos="9360"/>
        </w:tabs>
        <w:spacing w:line="480" w:lineRule="auto"/>
        <w:ind w:right="86" w:firstLine="720"/>
        <w:jc w:val="both"/>
        <w:rPr>
          <w:b w:val="0"/>
        </w:rPr>
      </w:pPr>
      <w:r w:rsidRPr="00C23F37">
        <w:rPr>
          <w:b w:val="0"/>
        </w:rPr>
        <w:t xml:space="preserve">Each participant in the </w:t>
      </w:r>
      <w:r w:rsidR="004727BE">
        <w:rPr>
          <w:b w:val="0"/>
        </w:rPr>
        <w:t>VSIP</w:t>
      </w:r>
      <w:r w:rsidRPr="00C23F37">
        <w:rPr>
          <w:b w:val="0"/>
        </w:rPr>
        <w:t xml:space="preserve"> will be entitled to receive severance pay</w:t>
      </w:r>
      <w:r w:rsidR="00043442">
        <w:rPr>
          <w:b w:val="0"/>
        </w:rPr>
        <w:t>,</w:t>
      </w:r>
      <w:r w:rsidRPr="00C23F37">
        <w:rPr>
          <w:b w:val="0"/>
        </w:rPr>
        <w:t xml:space="preserve"> determined based on the participant’s years of service and base pay as of December 31, 2012</w:t>
      </w:r>
      <w:r>
        <w:rPr>
          <w:b w:val="0"/>
        </w:rPr>
        <w:t xml:space="preserve">.  </w:t>
      </w:r>
      <w:r w:rsidR="00C0507E">
        <w:rPr>
          <w:b w:val="0"/>
        </w:rPr>
        <w:t xml:space="preserve">A summary of </w:t>
      </w:r>
      <w:r w:rsidR="004727BE">
        <w:rPr>
          <w:b w:val="0"/>
        </w:rPr>
        <w:t>P</w:t>
      </w:r>
      <w:r w:rsidR="00C0507E">
        <w:rPr>
          <w:b w:val="0"/>
        </w:rPr>
        <w:t xml:space="preserve">lan </w:t>
      </w:r>
      <w:r>
        <w:rPr>
          <w:b w:val="0"/>
        </w:rPr>
        <w:t>eligibility documentation mailed to employees is provided as Exhibit No.__</w:t>
      </w:r>
      <w:proofErr w:type="gramStart"/>
      <w:r>
        <w:rPr>
          <w:b w:val="0"/>
        </w:rPr>
        <w:t>_(</w:t>
      </w:r>
      <w:proofErr w:type="gramEnd"/>
      <w:r>
        <w:rPr>
          <w:b w:val="0"/>
        </w:rPr>
        <w:t>KON-</w:t>
      </w:r>
      <w:r w:rsidR="00CF32F6">
        <w:rPr>
          <w:b w:val="0"/>
        </w:rPr>
        <w:t>8</w:t>
      </w:r>
      <w:r>
        <w:rPr>
          <w:b w:val="0"/>
        </w:rPr>
        <w:t xml:space="preserve">).  </w:t>
      </w:r>
      <w:r w:rsidRPr="00C23F37">
        <w:rPr>
          <w:b w:val="0"/>
        </w:rPr>
        <w:t xml:space="preserve">All </w:t>
      </w:r>
      <w:r w:rsidR="001846C4">
        <w:rPr>
          <w:b w:val="0"/>
        </w:rPr>
        <w:t>employee reductions</w:t>
      </w:r>
      <w:r w:rsidR="001846C4" w:rsidRPr="00C23F37">
        <w:rPr>
          <w:b w:val="0"/>
        </w:rPr>
        <w:t xml:space="preserve"> </w:t>
      </w:r>
      <w:r w:rsidRPr="00C23F37">
        <w:rPr>
          <w:b w:val="0"/>
        </w:rPr>
        <w:t xml:space="preserve">under the </w:t>
      </w:r>
      <w:r>
        <w:rPr>
          <w:b w:val="0"/>
        </w:rPr>
        <w:t>VSIP</w:t>
      </w:r>
      <w:r w:rsidRPr="00C23F37">
        <w:rPr>
          <w:b w:val="0"/>
        </w:rPr>
        <w:t xml:space="preserve"> are expected to be completed by December 31, 2012.  </w:t>
      </w:r>
      <w:r>
        <w:rPr>
          <w:b w:val="0"/>
        </w:rPr>
        <w:t xml:space="preserve">Because this </w:t>
      </w:r>
      <w:r w:rsidR="004727BE">
        <w:rPr>
          <w:b w:val="0"/>
        </w:rPr>
        <w:t xml:space="preserve">Plan </w:t>
      </w:r>
      <w:r>
        <w:rPr>
          <w:b w:val="0"/>
        </w:rPr>
        <w:t xml:space="preserve">is </w:t>
      </w:r>
      <w:r w:rsidR="004727BE">
        <w:rPr>
          <w:b w:val="0"/>
        </w:rPr>
        <w:t>v</w:t>
      </w:r>
      <w:r>
        <w:rPr>
          <w:b w:val="0"/>
        </w:rPr>
        <w:t xml:space="preserve">oluntary, </w:t>
      </w:r>
      <w:r w:rsidRPr="00C23F37">
        <w:rPr>
          <w:b w:val="0"/>
        </w:rPr>
        <w:t>the level of participation is unknown at this time</w:t>
      </w:r>
      <w:r w:rsidR="000426D8">
        <w:rPr>
          <w:b w:val="0"/>
        </w:rPr>
        <w:t>,</w:t>
      </w:r>
      <w:r>
        <w:rPr>
          <w:b w:val="0"/>
        </w:rPr>
        <w:t xml:space="preserve"> and we cannot estimate the level of cost savings that will be realized</w:t>
      </w:r>
      <w:r w:rsidRPr="00C23F37">
        <w:rPr>
          <w:b w:val="0"/>
        </w:rPr>
        <w:t xml:space="preserve">. The </w:t>
      </w:r>
      <w:r w:rsidR="004727BE">
        <w:rPr>
          <w:b w:val="0"/>
        </w:rPr>
        <w:t>P</w:t>
      </w:r>
      <w:r w:rsidRPr="00C23F37">
        <w:rPr>
          <w:b w:val="0"/>
        </w:rPr>
        <w:t>lan costs, which will be expensed in the fourth quarter of 2012</w:t>
      </w:r>
      <w:r w:rsidR="00C0507E">
        <w:rPr>
          <w:b w:val="0"/>
        </w:rPr>
        <w:t>,</w:t>
      </w:r>
      <w:r w:rsidRPr="00C23F37">
        <w:rPr>
          <w:b w:val="0"/>
        </w:rPr>
        <w:t xml:space="preserve"> </w:t>
      </w:r>
      <w:r>
        <w:rPr>
          <w:b w:val="0"/>
        </w:rPr>
        <w:t xml:space="preserve">also </w:t>
      </w:r>
      <w:r w:rsidRPr="00C23F37">
        <w:rPr>
          <w:b w:val="0"/>
        </w:rPr>
        <w:t xml:space="preserve">cannot be estimated at this time. </w:t>
      </w:r>
      <w:r w:rsidR="000426D8">
        <w:rPr>
          <w:b w:val="0"/>
        </w:rPr>
        <w:t xml:space="preserve"> </w:t>
      </w:r>
      <w:r w:rsidR="000426D8" w:rsidRPr="000426D8">
        <w:rPr>
          <w:b w:val="0"/>
        </w:rPr>
        <w:t>T</w:t>
      </w:r>
      <w:r w:rsidR="000426D8" w:rsidRPr="00C23F37">
        <w:rPr>
          <w:b w:val="0"/>
        </w:rPr>
        <w:t xml:space="preserve">he savings that will be realized from the </w:t>
      </w:r>
      <w:r w:rsidR="004727BE">
        <w:rPr>
          <w:b w:val="0"/>
        </w:rPr>
        <w:t>VSIP</w:t>
      </w:r>
      <w:r w:rsidR="000426D8">
        <w:rPr>
          <w:b w:val="0"/>
        </w:rPr>
        <w:t xml:space="preserve"> </w:t>
      </w:r>
      <w:r w:rsidR="000426D8" w:rsidRPr="00C23F37">
        <w:rPr>
          <w:b w:val="0"/>
        </w:rPr>
        <w:t xml:space="preserve">will be a part </w:t>
      </w:r>
      <w:r w:rsidR="000426D8">
        <w:rPr>
          <w:b w:val="0"/>
        </w:rPr>
        <w:t>of</w:t>
      </w:r>
      <w:r w:rsidR="000426D8" w:rsidRPr="00C23F37">
        <w:rPr>
          <w:b w:val="0"/>
        </w:rPr>
        <w:t xml:space="preserve"> </w:t>
      </w:r>
      <w:r w:rsidR="00C324ED">
        <w:rPr>
          <w:b w:val="0"/>
        </w:rPr>
        <w:t>the</w:t>
      </w:r>
      <w:r w:rsidR="000426D8">
        <w:rPr>
          <w:b w:val="0"/>
        </w:rPr>
        <w:t xml:space="preserve"> </w:t>
      </w:r>
      <w:r w:rsidR="00C324ED">
        <w:rPr>
          <w:b w:val="0"/>
        </w:rPr>
        <w:t>planne</w:t>
      </w:r>
      <w:r w:rsidR="000426D8">
        <w:rPr>
          <w:b w:val="0"/>
        </w:rPr>
        <w:t xml:space="preserve">d </w:t>
      </w:r>
      <w:r w:rsidR="000426D8" w:rsidRPr="00C23F37">
        <w:rPr>
          <w:b w:val="0"/>
        </w:rPr>
        <w:t>$14 million</w:t>
      </w:r>
      <w:r w:rsidR="000426D8">
        <w:rPr>
          <w:b w:val="0"/>
        </w:rPr>
        <w:t xml:space="preserve"> in O&amp;M/A&amp;G cost reductions </w:t>
      </w:r>
      <w:r w:rsidR="00C324ED">
        <w:rPr>
          <w:b w:val="0"/>
        </w:rPr>
        <w:t>for</w:t>
      </w:r>
      <w:r w:rsidR="000426D8">
        <w:rPr>
          <w:b w:val="0"/>
        </w:rPr>
        <w:t xml:space="preserve"> 2013</w:t>
      </w:r>
      <w:r w:rsidR="000426D8" w:rsidRPr="00C23F37">
        <w:rPr>
          <w:b w:val="0"/>
        </w:rPr>
        <w:t xml:space="preserve">.  </w:t>
      </w:r>
    </w:p>
    <w:p w:rsidR="00C86BF6" w:rsidRDefault="00C86BF6" w:rsidP="00C86BF6">
      <w:pPr>
        <w:pStyle w:val="Heading4"/>
        <w:tabs>
          <w:tab w:val="clear" w:pos="1260"/>
          <w:tab w:val="left" w:pos="720"/>
        </w:tabs>
        <w:ind w:left="0" w:firstLine="0"/>
        <w:jc w:val="both"/>
      </w:pPr>
      <w:r>
        <w:tab/>
        <w:t>Q.</w:t>
      </w:r>
      <w:r>
        <w:tab/>
        <w:t xml:space="preserve">If the Commission is concerned that the Company may </w:t>
      </w:r>
      <w:r w:rsidR="0039020D">
        <w:t xml:space="preserve">earn more than the </w:t>
      </w:r>
      <w:r w:rsidR="00C0507E">
        <w:t xml:space="preserve">agreed-upon </w:t>
      </w:r>
      <w:r w:rsidR="0039020D">
        <w:t>9.8% return on equity (ROE) in the Settlement</w:t>
      </w:r>
      <w:r>
        <w:t xml:space="preserve"> in 2013 or 2014, if it approves the Settlement, what further </w:t>
      </w:r>
      <w:r w:rsidR="00C0507E">
        <w:t xml:space="preserve">conditions </w:t>
      </w:r>
      <w:r>
        <w:t>would the Company agree to?</w:t>
      </w:r>
    </w:p>
    <w:p w:rsidR="0039020D" w:rsidRDefault="00C86BF6" w:rsidP="00286572">
      <w:pPr>
        <w:spacing w:line="480" w:lineRule="auto"/>
        <w:jc w:val="both"/>
      </w:pPr>
      <w:r>
        <w:t xml:space="preserve"> </w:t>
      </w:r>
      <w:r>
        <w:tab/>
        <w:t>A.</w:t>
      </w:r>
      <w:r>
        <w:tab/>
      </w:r>
      <w:r w:rsidR="0039020D">
        <w:t xml:space="preserve">The Company would agree to an after-the-fact earnings test, in conjunction with the Settlement Agreement, and would agree to </w:t>
      </w:r>
      <w:r w:rsidR="0039020D" w:rsidRPr="00C0507E">
        <w:rPr>
          <w:u w:val="single"/>
        </w:rPr>
        <w:t>refund</w:t>
      </w:r>
      <w:r w:rsidR="0039020D">
        <w:t xml:space="preserve"> to customers any ear</w:t>
      </w:r>
      <w:r w:rsidR="0074245C">
        <w:t xml:space="preserve">nings in </w:t>
      </w:r>
      <w:r w:rsidR="0074245C" w:rsidRPr="00C0507E">
        <w:rPr>
          <w:u w:val="single"/>
        </w:rPr>
        <w:t>excess</w:t>
      </w:r>
      <w:r w:rsidR="0074245C">
        <w:t xml:space="preserve"> of the 9.8% ROE for each of the years 2013 and 2014.</w:t>
      </w:r>
      <w:r w:rsidR="00C0507E">
        <w:t xml:space="preserve">  This should further allay any concerns that the base rate relief in 2013 and 2014, together with any additional cost-cutting, may allow the Company to exceed its authorized return.</w:t>
      </w:r>
    </w:p>
    <w:p w:rsidR="00796838" w:rsidRDefault="007A14C4" w:rsidP="007A14C4">
      <w:pPr>
        <w:spacing w:line="480" w:lineRule="auto"/>
        <w:ind w:firstLine="720"/>
        <w:jc w:val="both"/>
      </w:pPr>
      <w:r>
        <w:t>The Commission Basis Reports</w:t>
      </w:r>
      <w:r w:rsidR="009040A1">
        <w:t xml:space="preserve"> (“CBR”)</w:t>
      </w:r>
      <w:r>
        <w:t xml:space="preserve"> that the Company already files every year</w:t>
      </w:r>
      <w:r w:rsidR="00796838">
        <w:t>,</w:t>
      </w:r>
      <w:r>
        <w:t xml:space="preserve"> provide a framework for the earnings test.  </w:t>
      </w:r>
      <w:r w:rsidR="00286572">
        <w:t xml:space="preserve">Avista is required to file its Commission Basis Reports </w:t>
      </w:r>
      <w:r>
        <w:t>by April 30</w:t>
      </w:r>
      <w:r w:rsidR="00796838">
        <w:rPr>
          <w:vertAlign w:val="superscript"/>
        </w:rPr>
        <w:t xml:space="preserve"> </w:t>
      </w:r>
      <w:r w:rsidR="00796838">
        <w:t>each year to show what the electric and natural gas earnings for the prior calendar year would have been under normal operating conditions.</w:t>
      </w:r>
    </w:p>
    <w:p w:rsidR="0099570D" w:rsidRDefault="00796838" w:rsidP="007A14C4">
      <w:pPr>
        <w:spacing w:line="480" w:lineRule="auto"/>
        <w:ind w:firstLine="720"/>
        <w:jc w:val="both"/>
      </w:pPr>
      <w:r>
        <w:t xml:space="preserve">If the electric </w:t>
      </w:r>
      <w:r w:rsidR="00D97C84">
        <w:t>or</w:t>
      </w:r>
      <w:r>
        <w:t xml:space="preserve"> natural gas earnings in</w:t>
      </w:r>
      <w:r w:rsidR="00286572">
        <w:t xml:space="preserve"> the CBR</w:t>
      </w:r>
      <w:r w:rsidR="00C0507E">
        <w:t>s</w:t>
      </w:r>
      <w:r w:rsidR="00286572">
        <w:t xml:space="preserve"> for calendar year</w:t>
      </w:r>
      <w:r>
        <w:t>s 2013 or 2014 are</w:t>
      </w:r>
      <w:r w:rsidR="00286572">
        <w:t xml:space="preserve"> greater than </w:t>
      </w:r>
      <w:r>
        <w:t xml:space="preserve">a </w:t>
      </w:r>
      <w:r w:rsidR="00286572">
        <w:t>9.8%</w:t>
      </w:r>
      <w:r>
        <w:t xml:space="preserve"> ROE</w:t>
      </w:r>
      <w:r w:rsidR="00286572">
        <w:t xml:space="preserve">, the Company </w:t>
      </w:r>
      <w:r>
        <w:t>would</w:t>
      </w:r>
      <w:r w:rsidR="00286572">
        <w:t xml:space="preserve"> return </w:t>
      </w:r>
      <w:r>
        <w:t>any earnings above the 9.8%</w:t>
      </w:r>
      <w:r w:rsidR="00624091">
        <w:t xml:space="preserve"> to customers.  WAC 480-100-257 (electric) and WAC 480-90-257 (natural gas) already provide instruction on the manner in which t</w:t>
      </w:r>
      <w:r w:rsidR="008932A3">
        <w:t xml:space="preserve">he normalizing and restating adjustments </w:t>
      </w:r>
      <w:r w:rsidR="00624091">
        <w:t>are to be done.</w:t>
      </w:r>
      <w:r w:rsidR="00286572">
        <w:t xml:space="preserve"> </w:t>
      </w:r>
    </w:p>
    <w:p w:rsidR="00F2593C" w:rsidRDefault="008C7447" w:rsidP="001D24FB">
      <w:pPr>
        <w:spacing w:line="480" w:lineRule="auto"/>
        <w:ind w:firstLine="720"/>
        <w:jc w:val="both"/>
      </w:pPr>
      <w:r>
        <w:t xml:space="preserve">If the CBR shows earnings in excess of 9.8%, the Company would make a tariff filing at the same time as it files the CBR to return any overearnings to customers.  The proposed effective date of the tariff filing would be July 1st.  </w:t>
      </w:r>
      <w:r w:rsidR="00D97C84">
        <w:t>T</w:t>
      </w:r>
      <w:r w:rsidR="0099570D">
        <w:t>he Company would not oppose a</w:t>
      </w:r>
      <w:r w:rsidR="00C0507E">
        <w:t xml:space="preserve"> reasonable</w:t>
      </w:r>
      <w:r w:rsidR="00286572">
        <w:t xml:space="preserve"> request for an extension of time</w:t>
      </w:r>
      <w:r>
        <w:t xml:space="preserve"> to review such reports.  </w:t>
      </w:r>
      <w:r w:rsidR="00286572">
        <w:t>The rate spread for the tariff filing would be on a uniform percentage basis to the rate schedule</w:t>
      </w:r>
      <w:r>
        <w:t xml:space="preserve">s, and </w:t>
      </w:r>
      <w:r w:rsidR="00286572">
        <w:t>on a uniform percentage basis to the blocks</w:t>
      </w:r>
      <w:r w:rsidR="000426D8">
        <w:t xml:space="preserve"> within each schedule</w:t>
      </w:r>
      <w:r w:rsidR="00286572">
        <w:t>.</w:t>
      </w:r>
    </w:p>
    <w:p w:rsidR="005625A3" w:rsidRPr="00163B38" w:rsidRDefault="005625A3" w:rsidP="005625A3">
      <w:pPr>
        <w:pStyle w:val="Heading4"/>
        <w:rPr>
          <w:rStyle w:val="PageNumber"/>
          <w:u w:val="single"/>
        </w:rPr>
      </w:pPr>
      <w:r>
        <w:rPr>
          <w:rStyle w:val="PageNumber"/>
          <w:u w:val="single"/>
        </w:rPr>
        <w:t>IV.      OTHER ISSUES</w:t>
      </w:r>
    </w:p>
    <w:p w:rsidR="00DC6F65" w:rsidRPr="005617CF" w:rsidRDefault="00DC6F65" w:rsidP="00DC6F65">
      <w:pPr>
        <w:pStyle w:val="Question"/>
        <w:spacing w:before="0" w:line="480" w:lineRule="auto"/>
        <w:jc w:val="both"/>
        <w:rPr>
          <w:rFonts w:ascii="Times New Roman" w:hAnsi="Times New Roman"/>
        </w:rPr>
      </w:pPr>
      <w:r w:rsidRPr="005617CF">
        <w:rPr>
          <w:rFonts w:ascii="Times New Roman" w:hAnsi="Times New Roman"/>
        </w:rPr>
        <w:t>Q.</w:t>
      </w:r>
      <w:r w:rsidRPr="005617CF">
        <w:rPr>
          <w:rFonts w:ascii="Times New Roman" w:hAnsi="Times New Roman"/>
        </w:rPr>
        <w:tab/>
        <w:t>What is Avista's response to Public Counsel's testimony on the return on equity (ROE) the parties agreed to in the Stipulation?</w:t>
      </w:r>
    </w:p>
    <w:p w:rsidR="00DC6F65" w:rsidRPr="005617CF" w:rsidRDefault="00DC6F65" w:rsidP="00DC6F65">
      <w:pPr>
        <w:pStyle w:val="Question"/>
        <w:spacing w:before="0" w:line="480" w:lineRule="auto"/>
        <w:jc w:val="both"/>
        <w:rPr>
          <w:rFonts w:ascii="Times New Roman" w:hAnsi="Times New Roman"/>
          <w:b w:val="0"/>
        </w:rPr>
      </w:pPr>
      <w:r w:rsidRPr="005617CF">
        <w:rPr>
          <w:rFonts w:ascii="Times New Roman" w:hAnsi="Times New Roman"/>
          <w:b w:val="0"/>
        </w:rPr>
        <w:t>A.</w:t>
      </w:r>
      <w:r w:rsidRPr="005617CF">
        <w:rPr>
          <w:rFonts w:ascii="Times New Roman" w:hAnsi="Times New Roman"/>
          <w:b w:val="0"/>
        </w:rPr>
        <w:tab/>
        <w:t xml:space="preserve">It should be noted that Public Counsel witness Mr. Dittmer states, "I am not offering any independent opinion as to the appropriate cost of common equity in the proceeding."  </w:t>
      </w:r>
      <w:proofErr w:type="gramStart"/>
      <w:r w:rsidRPr="005617CF">
        <w:rPr>
          <w:rFonts w:ascii="Times New Roman" w:hAnsi="Times New Roman"/>
          <w:b w:val="0"/>
        </w:rPr>
        <w:t>(Page 22, line 10 of Exhibit No.</w:t>
      </w:r>
      <w:proofErr w:type="gramEnd"/>
      <w:r w:rsidRPr="005617CF">
        <w:rPr>
          <w:rFonts w:ascii="Times New Roman" w:hAnsi="Times New Roman"/>
          <w:b w:val="0"/>
        </w:rPr>
        <w:t xml:space="preserve"> __</w:t>
      </w:r>
      <w:proofErr w:type="gramStart"/>
      <w:r w:rsidRPr="005617CF">
        <w:rPr>
          <w:rFonts w:ascii="Times New Roman" w:hAnsi="Times New Roman"/>
          <w:b w:val="0"/>
        </w:rPr>
        <w:t>_(</w:t>
      </w:r>
      <w:proofErr w:type="gramEnd"/>
      <w:r w:rsidRPr="005617CF">
        <w:rPr>
          <w:rFonts w:ascii="Times New Roman" w:hAnsi="Times New Roman"/>
          <w:b w:val="0"/>
        </w:rPr>
        <w:t xml:space="preserve">JRD-12T)).  While he presents observations and concerns regarding the reasonableness of the agreed upon ROE, his testimony should be considered in light of the fact that he has not offered an opinion as to an appropriate ROE.  </w:t>
      </w:r>
    </w:p>
    <w:p w:rsidR="00DC6F65" w:rsidRPr="005617CF" w:rsidRDefault="00DC6F65" w:rsidP="00DC6F65">
      <w:pPr>
        <w:pStyle w:val="Question"/>
        <w:spacing w:before="0" w:line="480" w:lineRule="auto"/>
        <w:jc w:val="both"/>
        <w:rPr>
          <w:rFonts w:ascii="Times New Roman" w:hAnsi="Times New Roman"/>
          <w:b w:val="0"/>
        </w:rPr>
      </w:pPr>
      <w:r w:rsidRPr="005617CF">
        <w:rPr>
          <w:rFonts w:ascii="Times New Roman" w:hAnsi="Times New Roman"/>
          <w:b w:val="0"/>
        </w:rPr>
        <w:t xml:space="preserve">The ROE agreed to by the parties represents a compromise by all parties and was agreed to as part of the give and take process of settlement negotiations.  Concessions were made by all parties in many areas, including the ROE.  For </w:t>
      </w:r>
      <w:r>
        <w:rPr>
          <w:rFonts w:ascii="Times New Roman" w:hAnsi="Times New Roman"/>
          <w:b w:val="0"/>
        </w:rPr>
        <w:t>its part, Avista would not have agreed to a 9.8% ROE and a 47% equity ratio, were it not for concessions in other areas and an agreement on the overall revenue requirement</w:t>
      </w:r>
      <w:r w:rsidRPr="005617CF">
        <w:rPr>
          <w:rFonts w:ascii="Times New Roman" w:hAnsi="Times New Roman"/>
          <w:b w:val="0"/>
        </w:rPr>
        <w:t>.</w:t>
      </w:r>
    </w:p>
    <w:p w:rsidR="00DC6F65" w:rsidRPr="005617CF" w:rsidRDefault="00DC6F65" w:rsidP="00DC6F65">
      <w:pPr>
        <w:pStyle w:val="Answer0"/>
        <w:jc w:val="both"/>
        <w:rPr>
          <w:rFonts w:ascii="Times New Roman" w:hAnsi="Times New Roman"/>
        </w:rPr>
      </w:pPr>
      <w:r w:rsidRPr="005617CF">
        <w:rPr>
          <w:rFonts w:ascii="Times New Roman" w:hAnsi="Times New Roman"/>
        </w:rPr>
        <w:t>The reference to the ROEs approved in the last general rate cases for PSE and PacifiCorp</w:t>
      </w:r>
      <w:r>
        <w:rPr>
          <w:rFonts w:ascii="Times New Roman" w:hAnsi="Times New Roman"/>
        </w:rPr>
        <w:t>,</w:t>
      </w:r>
      <w:r w:rsidRPr="005617CF">
        <w:rPr>
          <w:rFonts w:ascii="Times New Roman" w:hAnsi="Times New Roman"/>
        </w:rPr>
        <w:t xml:space="preserve"> in the Joint Testimony supporting the Stipulation</w:t>
      </w:r>
      <w:r>
        <w:rPr>
          <w:rFonts w:ascii="Times New Roman" w:hAnsi="Times New Roman"/>
        </w:rPr>
        <w:t>,</w:t>
      </w:r>
      <w:r w:rsidRPr="005617CF">
        <w:rPr>
          <w:rFonts w:ascii="Times New Roman" w:hAnsi="Times New Roman"/>
        </w:rPr>
        <w:t xml:space="preserve"> was to provide a general point of reference.  The Company agrees there are differences between those companies and Avista.  As explained by Company witness Dr. Avera (Exhibit No. __</w:t>
      </w:r>
      <w:proofErr w:type="gramStart"/>
      <w:r w:rsidRPr="005617CF">
        <w:rPr>
          <w:rFonts w:ascii="Times New Roman" w:hAnsi="Times New Roman"/>
        </w:rPr>
        <w:t>_(</w:t>
      </w:r>
      <w:proofErr w:type="gramEnd"/>
      <w:r w:rsidRPr="005617CF">
        <w:rPr>
          <w:rFonts w:ascii="Times New Roman" w:hAnsi="Times New Roman"/>
        </w:rPr>
        <w:t>WEA-1T)), Avista's relatively small size supports a higher return for investors.  And mechanisms like the Power Cost Only Rate Case (PCORC) approved for Puget Sound Energy may also warrant a higher ROE for utilities that do not have such mechanisms.  The ROE and equity components are part of the integrated settlement package, which taken together provides an end result that is in the public interest.</w:t>
      </w:r>
    </w:p>
    <w:p w:rsidR="00DC6F65" w:rsidRPr="0012315B" w:rsidRDefault="00DC6F65" w:rsidP="00DC6F65">
      <w:pPr>
        <w:pStyle w:val="Question"/>
        <w:spacing w:line="480" w:lineRule="auto"/>
        <w:jc w:val="both"/>
        <w:rPr>
          <w:rFonts w:ascii="Times New Roman" w:hAnsi="Times New Roman"/>
        </w:rPr>
      </w:pPr>
      <w:bookmarkStart w:id="0" w:name="_Toc473452454"/>
      <w:r w:rsidRPr="00662EAE">
        <w:rPr>
          <w:rFonts w:ascii="Times New Roman" w:hAnsi="Times New Roman"/>
        </w:rPr>
        <w:t>Q.</w:t>
      </w:r>
      <w:r w:rsidRPr="00662EAE">
        <w:rPr>
          <w:rFonts w:ascii="Times New Roman" w:hAnsi="Times New Roman"/>
        </w:rPr>
        <w:tab/>
      </w:r>
      <w:r>
        <w:rPr>
          <w:rFonts w:ascii="Times New Roman" w:hAnsi="Times New Roman"/>
        </w:rPr>
        <w:t xml:space="preserve">In </w:t>
      </w:r>
      <w:r w:rsidR="00011C3C">
        <w:rPr>
          <w:rFonts w:ascii="Times New Roman" w:hAnsi="Times New Roman"/>
        </w:rPr>
        <w:t>its</w:t>
      </w:r>
      <w:r>
        <w:rPr>
          <w:rFonts w:ascii="Times New Roman" w:hAnsi="Times New Roman"/>
        </w:rPr>
        <w:t xml:space="preserve"> testimony, Public Counsel recommended that Avista </w:t>
      </w:r>
      <w:r w:rsidRPr="0012315B">
        <w:rPr>
          <w:rFonts w:ascii="Times New Roman" w:hAnsi="Times New Roman"/>
        </w:rPr>
        <w:t xml:space="preserve">provide a full accounting </w:t>
      </w:r>
      <w:r>
        <w:rPr>
          <w:rFonts w:ascii="Times New Roman" w:hAnsi="Times New Roman"/>
        </w:rPr>
        <w:t xml:space="preserve">of renewal energy credit (REC) revenue, </w:t>
      </w:r>
      <w:r w:rsidRPr="0012315B">
        <w:rPr>
          <w:rFonts w:ascii="Times New Roman" w:hAnsi="Times New Roman"/>
        </w:rPr>
        <w:t>and return 100 percent of these revenues to customers as bill credits.</w:t>
      </w:r>
      <w:r>
        <w:rPr>
          <w:rStyle w:val="FootnoteReference"/>
        </w:rPr>
        <w:footnoteReference w:id="16"/>
      </w:r>
      <w:r>
        <w:rPr>
          <w:rFonts w:ascii="Times New Roman" w:hAnsi="Times New Roman"/>
        </w:rPr>
        <w:t xml:space="preserve">  What is the effect of Avista’s current accounting for REC revenues in 2012?  </w:t>
      </w:r>
    </w:p>
    <w:p w:rsidR="00DC6F65" w:rsidRPr="00F35121" w:rsidRDefault="00DC6F65" w:rsidP="00DC6F65">
      <w:pPr>
        <w:pStyle w:val="Answer0"/>
        <w:jc w:val="both"/>
        <w:rPr>
          <w:rFonts w:ascii="Times New Roman" w:hAnsi="Times New Roman"/>
        </w:rPr>
      </w:pPr>
      <w:r w:rsidRPr="0012315B">
        <w:rPr>
          <w:rFonts w:ascii="Times New Roman" w:hAnsi="Times New Roman"/>
        </w:rPr>
        <w:t>A.</w:t>
      </w:r>
      <w:r w:rsidRPr="0012315B">
        <w:rPr>
          <w:rFonts w:ascii="Times New Roman" w:hAnsi="Times New Roman"/>
        </w:rPr>
        <w:tab/>
      </w:r>
      <w:r w:rsidRPr="00F35121">
        <w:rPr>
          <w:rFonts w:ascii="Times New Roman" w:hAnsi="Times New Roman"/>
        </w:rPr>
        <w:t xml:space="preserve">Base rates effective January 1, 2012, that were established in Avista's last general rate case, had $4,077,485 of REC revenues (Washington share) credited to customers.  The Company estimates that total Washington REC revenues in 2012 will be $4,359,665.  Therefore, Washington REC revenues will exceed the amount of REC revenues in base rates by $282,180.  Ninety percent or $253,962, of the REC revenues received in excess of the base amount will be deferred for the benefit of customers in the ERM.  The remaining ten percent or $28,218 will be retained by the Company.  Therefore, </w:t>
      </w:r>
      <w:r w:rsidRPr="00C324ED">
        <w:rPr>
          <w:rFonts w:ascii="Times New Roman" w:hAnsi="Times New Roman"/>
          <w:u w:val="single"/>
        </w:rPr>
        <w:t>customers will receive the benefit of</w:t>
      </w:r>
      <w:r w:rsidRPr="00F35121">
        <w:rPr>
          <w:rFonts w:ascii="Times New Roman" w:hAnsi="Times New Roman"/>
        </w:rPr>
        <w:t xml:space="preserve"> $4,331,447 of the total REC revenues of $4,359,665, which represents </w:t>
      </w:r>
      <w:r w:rsidRPr="00C324ED">
        <w:rPr>
          <w:rFonts w:ascii="Times New Roman" w:hAnsi="Times New Roman"/>
          <w:u w:val="single"/>
        </w:rPr>
        <w:t>99.35% of total REC revenues for 2012</w:t>
      </w:r>
      <w:r w:rsidRPr="00F35121">
        <w:rPr>
          <w:rFonts w:ascii="Times New Roman" w:hAnsi="Times New Roman"/>
        </w:rPr>
        <w:t xml:space="preserve">.  </w:t>
      </w:r>
    </w:p>
    <w:p w:rsidR="00DC6F65" w:rsidRPr="00F35121" w:rsidRDefault="00DC6F65" w:rsidP="00DC6F65">
      <w:pPr>
        <w:pStyle w:val="Answer0"/>
        <w:jc w:val="both"/>
        <w:rPr>
          <w:rFonts w:ascii="Times New Roman" w:hAnsi="Times New Roman"/>
        </w:rPr>
      </w:pPr>
      <w:r w:rsidRPr="00F35121">
        <w:rPr>
          <w:rFonts w:ascii="Times New Roman" w:hAnsi="Times New Roman"/>
        </w:rPr>
        <w:t xml:space="preserve">Beginning January 1, </w:t>
      </w:r>
      <w:r>
        <w:rPr>
          <w:rFonts w:ascii="Times New Roman" w:hAnsi="Times New Roman"/>
        </w:rPr>
        <w:t>2013</w:t>
      </w:r>
      <w:r w:rsidRPr="00F35121">
        <w:rPr>
          <w:rFonts w:ascii="Times New Roman" w:hAnsi="Times New Roman"/>
        </w:rPr>
        <w:t>, under the Settlement Agreement, 100% of the REC revenues would be credited to customers</w:t>
      </w:r>
      <w:r w:rsidR="00BE55C8">
        <w:rPr>
          <w:rFonts w:ascii="Times New Roman" w:hAnsi="Times New Roman"/>
        </w:rPr>
        <w:t xml:space="preserve"> </w:t>
      </w:r>
      <w:r w:rsidRPr="00F35121">
        <w:rPr>
          <w:rFonts w:ascii="Times New Roman" w:hAnsi="Times New Roman"/>
        </w:rPr>
        <w:t xml:space="preserve">through base retail rates </w:t>
      </w:r>
      <w:r w:rsidR="00BE55C8">
        <w:rPr>
          <w:rFonts w:ascii="Times New Roman" w:hAnsi="Times New Roman"/>
        </w:rPr>
        <w:t xml:space="preserve">together with </w:t>
      </w:r>
      <w:r w:rsidRPr="00F35121">
        <w:rPr>
          <w:rFonts w:ascii="Times New Roman" w:hAnsi="Times New Roman"/>
        </w:rPr>
        <w:t>deferral</w:t>
      </w:r>
      <w:r w:rsidR="00BE55C8">
        <w:rPr>
          <w:rFonts w:ascii="Times New Roman" w:hAnsi="Times New Roman"/>
        </w:rPr>
        <w:t xml:space="preserve"> </w:t>
      </w:r>
      <w:r w:rsidR="00C324ED">
        <w:rPr>
          <w:rFonts w:ascii="Times New Roman" w:hAnsi="Times New Roman"/>
        </w:rPr>
        <w:t>of</w:t>
      </w:r>
      <w:r w:rsidR="00BE55C8">
        <w:rPr>
          <w:rFonts w:ascii="Times New Roman" w:hAnsi="Times New Roman"/>
        </w:rPr>
        <w:t xml:space="preserve"> 100% of the difference between actual and authorized REC revenues</w:t>
      </w:r>
      <w:r w:rsidRPr="00F35121">
        <w:rPr>
          <w:rFonts w:ascii="Times New Roman" w:hAnsi="Times New Roman"/>
        </w:rPr>
        <w:t>.</w:t>
      </w:r>
    </w:p>
    <w:p w:rsidR="00DC6F65" w:rsidRPr="00F35121" w:rsidRDefault="00DC6F65" w:rsidP="00DC6F65">
      <w:pPr>
        <w:pStyle w:val="Answer0"/>
        <w:jc w:val="both"/>
        <w:rPr>
          <w:rFonts w:ascii="Times New Roman" w:hAnsi="Times New Roman"/>
          <w:b/>
        </w:rPr>
      </w:pPr>
      <w:r w:rsidRPr="00F35121">
        <w:rPr>
          <w:rFonts w:ascii="Times New Roman" w:hAnsi="Times New Roman"/>
          <w:b/>
        </w:rPr>
        <w:t>Q.</w:t>
      </w:r>
      <w:r w:rsidRPr="00F35121">
        <w:rPr>
          <w:rFonts w:ascii="Times New Roman" w:hAnsi="Times New Roman"/>
          <w:b/>
        </w:rPr>
        <w:tab/>
        <w:t>Please summarize the accounting for REC revenues in 2013, as agreed to by the parties in the Stipulation.</w:t>
      </w:r>
    </w:p>
    <w:p w:rsidR="00DC6F65" w:rsidRPr="00662EAE" w:rsidRDefault="00DC6F65" w:rsidP="00DC6F65">
      <w:pPr>
        <w:pStyle w:val="Question"/>
        <w:spacing w:line="480" w:lineRule="auto"/>
        <w:jc w:val="both"/>
        <w:rPr>
          <w:rFonts w:ascii="Times New Roman" w:hAnsi="Times New Roman"/>
          <w:b w:val="0"/>
        </w:rPr>
      </w:pPr>
      <w:r w:rsidRPr="00F35121">
        <w:rPr>
          <w:rFonts w:ascii="Times New Roman" w:hAnsi="Times New Roman"/>
          <w:b w:val="0"/>
        </w:rPr>
        <w:t>A.</w:t>
      </w:r>
      <w:r w:rsidRPr="00F35121">
        <w:rPr>
          <w:rFonts w:ascii="Times New Roman" w:hAnsi="Times New Roman"/>
          <w:b w:val="0"/>
        </w:rPr>
        <w:tab/>
        <w:t>Base rates that would become effective January 1, 2013, under the Settlement Agreement, includes $3,410,297 of REC revenues (Washington share) credited to customers.  Beginning on January 1,</w:t>
      </w:r>
      <w:r>
        <w:rPr>
          <w:rFonts w:ascii="Times New Roman" w:hAnsi="Times New Roman"/>
          <w:b w:val="0"/>
        </w:rPr>
        <w:t xml:space="preserve"> 2013</w:t>
      </w:r>
      <w:r w:rsidR="00011C3C">
        <w:rPr>
          <w:rFonts w:ascii="Times New Roman" w:hAnsi="Times New Roman"/>
          <w:b w:val="0"/>
        </w:rPr>
        <w:t>,</w:t>
      </w:r>
      <w:r w:rsidRPr="00662EAE">
        <w:rPr>
          <w:rFonts w:ascii="Times New Roman" w:hAnsi="Times New Roman"/>
          <w:b w:val="0"/>
        </w:rPr>
        <w:t xml:space="preserve"> Avista will track separately and defer 100 percent of </w:t>
      </w:r>
      <w:r w:rsidR="00A80D5B">
        <w:rPr>
          <w:rFonts w:ascii="Times New Roman" w:hAnsi="Times New Roman"/>
          <w:b w:val="0"/>
        </w:rPr>
        <w:t xml:space="preserve">the difference between actual and authorized REC revenues.  </w:t>
      </w:r>
      <w:r w:rsidRPr="00662EAE">
        <w:rPr>
          <w:rFonts w:ascii="Times New Roman" w:hAnsi="Times New Roman"/>
          <w:b w:val="0"/>
        </w:rPr>
        <w:t>This deferral will be for the benefit of customers and not subject to any dead</w:t>
      </w:r>
      <w:r>
        <w:rPr>
          <w:rFonts w:ascii="Times New Roman" w:hAnsi="Times New Roman"/>
          <w:b w:val="0"/>
        </w:rPr>
        <w:t>-</w:t>
      </w:r>
      <w:r w:rsidRPr="00662EAE">
        <w:rPr>
          <w:rFonts w:ascii="Times New Roman" w:hAnsi="Times New Roman"/>
          <w:b w:val="0"/>
        </w:rPr>
        <w:t xml:space="preserve">band or sharing percentage.  </w:t>
      </w:r>
    </w:p>
    <w:p w:rsidR="00DC6F65" w:rsidRPr="00662EAE" w:rsidRDefault="00DC6F65" w:rsidP="00DC6F65">
      <w:pPr>
        <w:pStyle w:val="Question"/>
        <w:spacing w:line="480" w:lineRule="auto"/>
        <w:jc w:val="both"/>
        <w:rPr>
          <w:rFonts w:ascii="Times New Roman" w:hAnsi="Times New Roman"/>
        </w:rPr>
      </w:pPr>
      <w:r w:rsidRPr="00662EAE">
        <w:rPr>
          <w:rFonts w:ascii="Times New Roman" w:hAnsi="Times New Roman"/>
        </w:rPr>
        <w:t>Q.</w:t>
      </w:r>
      <w:r w:rsidRPr="00662EAE">
        <w:rPr>
          <w:rFonts w:ascii="Times New Roman" w:hAnsi="Times New Roman"/>
        </w:rPr>
        <w:tab/>
      </w:r>
      <w:r>
        <w:rPr>
          <w:rFonts w:ascii="Times New Roman" w:hAnsi="Times New Roman"/>
        </w:rPr>
        <w:t>Why is this</w:t>
      </w:r>
      <w:r w:rsidRPr="00662EAE">
        <w:rPr>
          <w:rFonts w:ascii="Times New Roman" w:hAnsi="Times New Roman"/>
        </w:rPr>
        <w:t xml:space="preserve"> accounting treatment for REC revenues </w:t>
      </w:r>
      <w:r>
        <w:rPr>
          <w:rFonts w:ascii="Times New Roman" w:hAnsi="Times New Roman"/>
        </w:rPr>
        <w:t xml:space="preserve">in the Settlement beginning </w:t>
      </w:r>
      <w:r w:rsidRPr="00662EAE">
        <w:rPr>
          <w:rFonts w:ascii="Times New Roman" w:hAnsi="Times New Roman"/>
        </w:rPr>
        <w:t xml:space="preserve">in 2013 </w:t>
      </w:r>
      <w:r>
        <w:rPr>
          <w:rFonts w:ascii="Times New Roman" w:hAnsi="Times New Roman"/>
        </w:rPr>
        <w:t>better than Public Counsel's proposal?</w:t>
      </w:r>
    </w:p>
    <w:p w:rsidR="00DC6F65" w:rsidRDefault="00DC6F65" w:rsidP="00DC6F65">
      <w:pPr>
        <w:pStyle w:val="Answer0"/>
        <w:jc w:val="both"/>
        <w:rPr>
          <w:rFonts w:ascii="Times New Roman" w:hAnsi="Times New Roman"/>
        </w:rPr>
      </w:pPr>
      <w:r>
        <w:rPr>
          <w:rFonts w:ascii="Times New Roman" w:hAnsi="Times New Roman"/>
        </w:rPr>
        <w:t>A.</w:t>
      </w:r>
      <w:r>
        <w:rPr>
          <w:rFonts w:ascii="Times New Roman" w:hAnsi="Times New Roman"/>
        </w:rPr>
        <w:tab/>
        <w:t xml:space="preserve">On page 14, line 4 of Ms. </w:t>
      </w:r>
      <w:proofErr w:type="spellStart"/>
      <w:r>
        <w:rPr>
          <w:rFonts w:ascii="Times New Roman" w:hAnsi="Times New Roman"/>
        </w:rPr>
        <w:t>Daeschel’s</w:t>
      </w:r>
      <w:proofErr w:type="spellEnd"/>
      <w:r>
        <w:rPr>
          <w:rFonts w:ascii="Times New Roman" w:hAnsi="Times New Roman"/>
        </w:rPr>
        <w:t xml:space="preserve"> testimony, she makes the following recommendation:</w:t>
      </w:r>
    </w:p>
    <w:p w:rsidR="00DC6F65" w:rsidRDefault="00DC6F65" w:rsidP="00DC6F65">
      <w:pPr>
        <w:pStyle w:val="Answer0"/>
        <w:spacing w:line="240" w:lineRule="auto"/>
        <w:ind w:left="720" w:hanging="720"/>
        <w:jc w:val="both"/>
        <w:rPr>
          <w:rFonts w:ascii="Times New Roman" w:hAnsi="Times New Roman"/>
        </w:rPr>
      </w:pPr>
      <w:r>
        <w:rPr>
          <w:rFonts w:ascii="Times New Roman" w:hAnsi="Times New Roman"/>
        </w:rPr>
        <w:tab/>
        <w:t>Beginning January 1, 2013, Public Counsel recommends that Avista defer all REC revenues in a separate tracker outside of the ERM and return 100 percent of these proceeds to customers annually as bill credits.</w:t>
      </w:r>
    </w:p>
    <w:p w:rsidR="00DC6F65" w:rsidRDefault="00DC6F65" w:rsidP="00DC6F65">
      <w:pPr>
        <w:pStyle w:val="Answer0"/>
        <w:spacing w:line="240" w:lineRule="auto"/>
        <w:ind w:left="720" w:hanging="720"/>
        <w:jc w:val="both"/>
        <w:rPr>
          <w:rFonts w:ascii="Times New Roman" w:hAnsi="Times New Roman"/>
        </w:rPr>
      </w:pPr>
    </w:p>
    <w:p w:rsidR="00DC6F65" w:rsidRPr="00BD72AC" w:rsidRDefault="00DC6F65" w:rsidP="00DC6F65">
      <w:pPr>
        <w:pStyle w:val="Answer0"/>
        <w:tabs>
          <w:tab w:val="clear" w:pos="1440"/>
        </w:tabs>
        <w:ind w:firstLine="0"/>
        <w:jc w:val="both"/>
        <w:rPr>
          <w:rFonts w:ascii="Times New Roman" w:hAnsi="Times New Roman"/>
        </w:rPr>
      </w:pPr>
      <w:r>
        <w:rPr>
          <w:rFonts w:ascii="Times New Roman" w:hAnsi="Times New Roman"/>
        </w:rPr>
        <w:tab/>
      </w:r>
      <w:r w:rsidRPr="00BD72AC">
        <w:rPr>
          <w:rFonts w:ascii="Times New Roman" w:hAnsi="Times New Roman"/>
        </w:rPr>
        <w:t xml:space="preserve">It appears that Public Counsel is recommending that REC revenues be removed from base retail rates and deferred separately in a tracker.  </w:t>
      </w:r>
      <w:proofErr w:type="gramStart"/>
      <w:r w:rsidRPr="00BD72AC">
        <w:rPr>
          <w:rFonts w:ascii="Times New Roman" w:hAnsi="Times New Roman"/>
        </w:rPr>
        <w:t>Effective January 1, 2013, under the REC proposal in the Settlement Agreement, customers' base rates are reduced by the $3,410,297 of REC revenues (Washington share) that have been factored into the Stipulation.</w:t>
      </w:r>
      <w:proofErr w:type="gramEnd"/>
      <w:r w:rsidRPr="00BD72AC">
        <w:rPr>
          <w:rFonts w:ascii="Times New Roman" w:hAnsi="Times New Roman"/>
        </w:rPr>
        <w:t xml:space="preserve">  The effect of Public Counsel's proposal would be to have the base rates on January 1, 2013 higher than they otherwise would be (by excluding the benefit of REC revenues), and then provide a bill credit to customers beginning sometime in 2014 for the 2013 REC revenues.  The REC proposal in the Settlement provides the benefit of the RECS to customers immediately, and any difference between the </w:t>
      </w:r>
      <w:proofErr w:type="gramStart"/>
      <w:r w:rsidRPr="00BD72AC">
        <w:rPr>
          <w:rFonts w:ascii="Times New Roman" w:hAnsi="Times New Roman"/>
        </w:rPr>
        <w:t>amount</w:t>
      </w:r>
      <w:proofErr w:type="gramEnd"/>
      <w:r w:rsidRPr="00BD72AC">
        <w:rPr>
          <w:rFonts w:ascii="Times New Roman" w:hAnsi="Times New Roman"/>
        </w:rPr>
        <w:t xml:space="preserve"> credited to customers in base rates</w:t>
      </w:r>
      <w:r>
        <w:rPr>
          <w:rFonts w:ascii="Times New Roman" w:hAnsi="Times New Roman"/>
        </w:rPr>
        <w:t>,</w:t>
      </w:r>
      <w:r w:rsidRPr="00BD72AC">
        <w:rPr>
          <w:rFonts w:ascii="Times New Roman" w:hAnsi="Times New Roman"/>
        </w:rPr>
        <w:t xml:space="preserve"> versus the actual revenues</w:t>
      </w:r>
      <w:r>
        <w:rPr>
          <w:rFonts w:ascii="Times New Roman" w:hAnsi="Times New Roman"/>
        </w:rPr>
        <w:t>,</w:t>
      </w:r>
      <w:r w:rsidRPr="00BD72AC">
        <w:rPr>
          <w:rFonts w:ascii="Times New Roman" w:hAnsi="Times New Roman"/>
        </w:rPr>
        <w:t xml:space="preserve"> would be deferred at 100% for the benefit of customers.  </w:t>
      </w:r>
    </w:p>
    <w:p w:rsidR="00DC6F65" w:rsidRPr="005617CF" w:rsidRDefault="00DC6F65" w:rsidP="00DC6F65">
      <w:pPr>
        <w:pStyle w:val="Question"/>
        <w:spacing w:before="0" w:line="480" w:lineRule="auto"/>
        <w:jc w:val="both"/>
        <w:rPr>
          <w:rFonts w:ascii="Times New Roman" w:hAnsi="Times New Roman"/>
        </w:rPr>
      </w:pPr>
      <w:r w:rsidRPr="005617CF">
        <w:rPr>
          <w:rFonts w:ascii="Times New Roman" w:hAnsi="Times New Roman"/>
        </w:rPr>
        <w:t>Q.</w:t>
      </w:r>
      <w:r w:rsidRPr="005617CF">
        <w:rPr>
          <w:rFonts w:ascii="Times New Roman" w:hAnsi="Times New Roman"/>
        </w:rPr>
        <w:tab/>
        <w:t xml:space="preserve">What is Avista’s response to Public Counsel’s testimony, beginning on page 6, line 15 of Ms. </w:t>
      </w:r>
      <w:proofErr w:type="spellStart"/>
      <w:r w:rsidRPr="005617CF">
        <w:rPr>
          <w:rFonts w:ascii="Times New Roman" w:hAnsi="Times New Roman"/>
        </w:rPr>
        <w:t>Daeschel’s</w:t>
      </w:r>
      <w:proofErr w:type="spellEnd"/>
      <w:r w:rsidRPr="005617CF">
        <w:rPr>
          <w:rFonts w:ascii="Times New Roman" w:hAnsi="Times New Roman"/>
        </w:rPr>
        <w:t xml:space="preserve"> Exhibit No. ____ (LD-1CT), regarding the effective date for new rates in the Stipulation?</w:t>
      </w:r>
    </w:p>
    <w:p w:rsidR="004335B9" w:rsidRPr="00A80D5B" w:rsidRDefault="00DC6F65" w:rsidP="00A80D5B">
      <w:pPr>
        <w:pStyle w:val="Question"/>
        <w:spacing w:before="0" w:line="480" w:lineRule="auto"/>
        <w:jc w:val="both"/>
        <w:rPr>
          <w:rFonts w:ascii="Times New Roman" w:hAnsi="Times New Roman"/>
          <w:b w:val="0"/>
        </w:rPr>
      </w:pPr>
      <w:r w:rsidRPr="005617CF">
        <w:rPr>
          <w:rFonts w:ascii="Times New Roman" w:hAnsi="Times New Roman"/>
          <w:b w:val="0"/>
        </w:rPr>
        <w:t>A.</w:t>
      </w:r>
      <w:r w:rsidRPr="005617CF">
        <w:rPr>
          <w:rFonts w:ascii="Times New Roman" w:hAnsi="Times New Roman"/>
          <w:b w:val="0"/>
        </w:rPr>
        <w:tab/>
        <w:t xml:space="preserve">The proposed effective date was an </w:t>
      </w:r>
      <w:r w:rsidRPr="00B0120B">
        <w:rPr>
          <w:rFonts w:ascii="Times New Roman" w:hAnsi="Times New Roman"/>
          <w:b w:val="0"/>
          <w:u w:val="single"/>
        </w:rPr>
        <w:t>integral</w:t>
      </w:r>
      <w:r w:rsidRPr="005617CF">
        <w:rPr>
          <w:rFonts w:ascii="Times New Roman" w:hAnsi="Times New Roman"/>
          <w:b w:val="0"/>
        </w:rPr>
        <w:t xml:space="preserve"> part of the settlement and was one of the trade-offs made on a variety of issues by the Settling Parties.  The information provided by the Company in this case supports the need for immediate rate relief to address the under-earning that Avista is continuing to experience right now.  </w:t>
      </w:r>
      <w:r w:rsidRPr="00A80D5B">
        <w:rPr>
          <w:rFonts w:ascii="Times New Roman" w:hAnsi="Times New Roman"/>
          <w:b w:val="0"/>
        </w:rPr>
        <w:t>In addition, the eleven-month statutory period is the maximum time period to determine new retail rates are fair, just, reasonable and sufficient.</w:t>
      </w:r>
      <w:bookmarkEnd w:id="0"/>
      <w:r w:rsidRPr="00A80D5B">
        <w:rPr>
          <w:rFonts w:ascii="Times New Roman" w:hAnsi="Times New Roman"/>
          <w:b w:val="0"/>
        </w:rPr>
        <w:t xml:space="preserve">  The eleven-month period, in and of itself, does not carry with it any implication that new retail rates are not reasonable or appropriate prior to that time.</w:t>
      </w:r>
    </w:p>
    <w:p w:rsidR="00601181" w:rsidRDefault="00601181" w:rsidP="004335B9">
      <w:pPr>
        <w:spacing w:line="480" w:lineRule="auto"/>
      </w:pPr>
    </w:p>
    <w:p w:rsidR="004335B9" w:rsidRPr="004335B9" w:rsidRDefault="005625A3" w:rsidP="004335B9">
      <w:pPr>
        <w:spacing w:line="480" w:lineRule="auto"/>
        <w:jc w:val="center"/>
        <w:rPr>
          <w:b/>
        </w:rPr>
      </w:pPr>
      <w:r w:rsidRPr="004335B9">
        <w:rPr>
          <w:rStyle w:val="PageNumber"/>
          <w:b/>
          <w:u w:val="single"/>
        </w:rPr>
        <w:t>V.      A&amp;G EXPENSES</w:t>
      </w:r>
    </w:p>
    <w:p w:rsidR="004335B9" w:rsidRDefault="004335B9" w:rsidP="004335B9">
      <w:pPr>
        <w:spacing w:line="480" w:lineRule="auto"/>
        <w:jc w:val="both"/>
        <w:rPr>
          <w:b/>
        </w:rPr>
      </w:pPr>
      <w:r>
        <w:rPr>
          <w:b/>
        </w:rPr>
        <w:tab/>
      </w:r>
      <w:r w:rsidR="002819BE" w:rsidRPr="004335B9">
        <w:rPr>
          <w:b/>
        </w:rPr>
        <w:t>Q.</w:t>
      </w:r>
      <w:r w:rsidR="002819BE" w:rsidRPr="004335B9">
        <w:rPr>
          <w:b/>
        </w:rPr>
        <w:tab/>
        <w:t xml:space="preserve">Public Counsel witnesses argue that the Multiparty Settlement does not take into consideration a </w:t>
      </w:r>
      <w:r w:rsidR="00B20310" w:rsidRPr="004335B9">
        <w:rPr>
          <w:b/>
        </w:rPr>
        <w:t xml:space="preserve">proposed </w:t>
      </w:r>
      <w:r w:rsidR="002819BE" w:rsidRPr="004335B9">
        <w:rPr>
          <w:b/>
        </w:rPr>
        <w:t>reduction to other expenses, such as various administrative and general (A&amp;G) expenses related to officer compensation and incentives, corrections for reclassification of non-utility transactions related to dues, charitable donations, etc.  Do you agree with these assertions?</w:t>
      </w:r>
      <w:r>
        <w:rPr>
          <w:b/>
        </w:rPr>
        <w:t xml:space="preserve">  </w:t>
      </w:r>
    </w:p>
    <w:p w:rsidR="002819BE" w:rsidRPr="004335B9" w:rsidRDefault="002819BE" w:rsidP="004335B9">
      <w:pPr>
        <w:spacing w:line="480" w:lineRule="auto"/>
        <w:jc w:val="both"/>
      </w:pPr>
      <w:r w:rsidRPr="004335B9">
        <w:t xml:space="preserve"> </w:t>
      </w:r>
      <w:r w:rsidRPr="004335B9">
        <w:tab/>
        <w:t>A.</w:t>
      </w:r>
      <w:r w:rsidRPr="004335B9">
        <w:tab/>
        <w:t xml:space="preserve">No, I do not. While I will briefly </w:t>
      </w:r>
      <w:r w:rsidR="00B20310" w:rsidRPr="004335B9">
        <w:t>address some</w:t>
      </w:r>
      <w:r w:rsidRPr="004335B9">
        <w:t xml:space="preserve"> of the specific issues raised by Public Counsel below in order to de</w:t>
      </w:r>
      <w:r w:rsidR="00C0507E" w:rsidRPr="004335B9">
        <w:t>monstrate that Public Counsel’s concerns</w:t>
      </w:r>
      <w:r w:rsidRPr="004335B9">
        <w:t xml:space="preserve"> are misplaced, the more important point is that the relative merits of </w:t>
      </w:r>
      <w:r w:rsidR="00B20310" w:rsidRPr="004335B9">
        <w:t xml:space="preserve">all of their </w:t>
      </w:r>
      <w:r w:rsidRPr="004335B9">
        <w:t xml:space="preserve">issues </w:t>
      </w:r>
      <w:r w:rsidR="00B20310" w:rsidRPr="004335B9">
        <w:t xml:space="preserve">were taken </w:t>
      </w:r>
      <w:r w:rsidRPr="004335B9">
        <w:t xml:space="preserve">into account when arriving at the Multiparty Settlement.  </w:t>
      </w:r>
    </w:p>
    <w:p w:rsidR="002819BE" w:rsidRDefault="002819BE" w:rsidP="002819BE">
      <w:pPr>
        <w:pStyle w:val="Heading4"/>
        <w:jc w:val="both"/>
        <w:rPr>
          <w:u w:val="single"/>
        </w:rPr>
      </w:pPr>
      <w:r>
        <w:rPr>
          <w:u w:val="single"/>
        </w:rPr>
        <w:t>Executive Compensation</w:t>
      </w:r>
      <w:bookmarkStart w:id="1" w:name="OLE_LINK1"/>
      <w:bookmarkStart w:id="2" w:name="OLE_LINK2"/>
    </w:p>
    <w:p w:rsidR="002819BE" w:rsidRDefault="002819BE" w:rsidP="002819BE">
      <w:pPr>
        <w:pStyle w:val="Heading4"/>
        <w:tabs>
          <w:tab w:val="clear" w:pos="1260"/>
          <w:tab w:val="left" w:pos="720"/>
          <w:tab w:val="left" w:pos="1440"/>
        </w:tabs>
        <w:ind w:left="0" w:firstLine="0"/>
        <w:jc w:val="both"/>
      </w:pPr>
      <w:r>
        <w:tab/>
        <w:t>Q.</w:t>
      </w:r>
      <w:r>
        <w:tab/>
      </w:r>
      <w:r w:rsidR="005625A3">
        <w:t>What is Avista’s response to Public Counsel’s testimony regarding executive compensation</w:t>
      </w:r>
      <w:r>
        <w:t>?</w:t>
      </w:r>
    </w:p>
    <w:p w:rsidR="002819BE" w:rsidRDefault="002819BE" w:rsidP="002819BE">
      <w:pPr>
        <w:spacing w:line="480" w:lineRule="auto"/>
        <w:jc w:val="both"/>
        <w:rPr>
          <w:bCs/>
        </w:rPr>
      </w:pPr>
      <w:r>
        <w:tab/>
      </w:r>
      <w:r w:rsidRPr="00306F3E">
        <w:rPr>
          <w:bCs/>
        </w:rPr>
        <w:t>A.</w:t>
      </w:r>
      <w:r w:rsidRPr="00306F3E">
        <w:rPr>
          <w:bCs/>
        </w:rPr>
        <w:tab/>
        <w:t xml:space="preserve">In Avista’s last general rate case proceeding, Dockets UE-110876 &amp; UG-110877, the Commission ordered the Company </w:t>
      </w:r>
      <w:r>
        <w:rPr>
          <w:bCs/>
        </w:rPr>
        <w:t xml:space="preserve">to file, by February 29, 2012, a “Review of Executive Officer Compensation” report describing current executive compensation, how levels of executive compensation are set, and why the existing levels of executive compensation are appropriate for recovery in utility rates.  The </w:t>
      </w:r>
      <w:r w:rsidR="00B20310">
        <w:rPr>
          <w:bCs/>
        </w:rPr>
        <w:t xml:space="preserve">information was filed with the Commission on February 29, 2012, and provided to all parties; and updated </w:t>
      </w:r>
      <w:r>
        <w:rPr>
          <w:bCs/>
        </w:rPr>
        <w:t>information is included in the record of this proceeding</w:t>
      </w:r>
      <w:r w:rsidR="00011C3C">
        <w:rPr>
          <w:bCs/>
        </w:rPr>
        <w:t xml:space="preserve">.  The views of the Settling Parties on this issue </w:t>
      </w:r>
      <w:r w:rsidR="00A80D5B">
        <w:rPr>
          <w:bCs/>
        </w:rPr>
        <w:t>were</w:t>
      </w:r>
      <w:r w:rsidR="00011C3C">
        <w:rPr>
          <w:bCs/>
        </w:rPr>
        <w:t xml:space="preserve"> factored into the end result of</w:t>
      </w:r>
      <w:r>
        <w:rPr>
          <w:bCs/>
        </w:rPr>
        <w:t xml:space="preserve"> the Multiparty Settlement</w:t>
      </w:r>
      <w:r w:rsidR="00011C3C">
        <w:rPr>
          <w:bCs/>
        </w:rPr>
        <w:t>.</w:t>
      </w:r>
    </w:p>
    <w:p w:rsidR="00B20310" w:rsidRDefault="00B20310" w:rsidP="002819BE">
      <w:pPr>
        <w:spacing w:line="480" w:lineRule="auto"/>
        <w:jc w:val="both"/>
        <w:rPr>
          <w:bCs/>
        </w:rPr>
      </w:pPr>
      <w:r>
        <w:rPr>
          <w:bCs/>
        </w:rPr>
        <w:tab/>
        <w:t xml:space="preserve">Both Mr. Coppola and Ms. Daeschel provide quotes of comments from customers regarding executive compensation.  The customer quote on Page 8 of Ms. </w:t>
      </w:r>
      <w:proofErr w:type="spellStart"/>
      <w:r>
        <w:rPr>
          <w:bCs/>
        </w:rPr>
        <w:t>Daeschel’s</w:t>
      </w:r>
      <w:proofErr w:type="spellEnd"/>
      <w:r>
        <w:rPr>
          <w:bCs/>
        </w:rPr>
        <w:t xml:space="preserve"> testimony (Exhibit No.__</w:t>
      </w:r>
      <w:proofErr w:type="gramStart"/>
      <w:r>
        <w:rPr>
          <w:bCs/>
        </w:rPr>
        <w:t>_(</w:t>
      </w:r>
      <w:proofErr w:type="gramEnd"/>
      <w:r>
        <w:rPr>
          <w:bCs/>
        </w:rPr>
        <w:t>LD-1CT))</w:t>
      </w:r>
      <w:r w:rsidR="00011C3C">
        <w:rPr>
          <w:bCs/>
        </w:rPr>
        <w:t xml:space="preserve"> </w:t>
      </w:r>
      <w:r>
        <w:rPr>
          <w:bCs/>
        </w:rPr>
        <w:t>refers to the executive compensation “at the ratepayers expense”.  Th</w:t>
      </w:r>
      <w:r w:rsidR="00011C3C">
        <w:rPr>
          <w:bCs/>
        </w:rPr>
        <w:t>is</w:t>
      </w:r>
      <w:r>
        <w:rPr>
          <w:bCs/>
        </w:rPr>
        <w:t xml:space="preserve"> quotes leave the impression that all executive compensation is included in the retail rates paid by customers, which we all know is not true.</w:t>
      </w:r>
    </w:p>
    <w:p w:rsidR="00B20310" w:rsidRDefault="00B20310" w:rsidP="002819BE">
      <w:pPr>
        <w:spacing w:line="480" w:lineRule="auto"/>
        <w:jc w:val="both"/>
        <w:rPr>
          <w:bCs/>
        </w:rPr>
      </w:pPr>
      <w:r>
        <w:rPr>
          <w:bCs/>
        </w:rPr>
        <w:tab/>
        <w:t>The issue of executive compensation to be paid by customers has been specifically addressed in prior cases before this Commission.  The prior decisions of this Commission have excluded executive compensation based specifically on shareholder value, or the earnings of the Company, as well as compensation related to time spent on non-utility operations.</w:t>
      </w:r>
      <w:r w:rsidR="00F5669C">
        <w:rPr>
          <w:bCs/>
        </w:rPr>
        <w:t xml:space="preserve">  The initial filing by the Company reflected these principles, by removing long-term incentive payments and </w:t>
      </w:r>
      <w:r w:rsidR="00A80D5B">
        <w:rPr>
          <w:bCs/>
        </w:rPr>
        <w:t xml:space="preserve">appropriately </w:t>
      </w:r>
      <w:r w:rsidR="00F5669C">
        <w:rPr>
          <w:bCs/>
        </w:rPr>
        <w:t>allocating other compensation between utility and non-utility operations.</w:t>
      </w:r>
    </w:p>
    <w:p w:rsidR="001846C4" w:rsidRDefault="00B20310" w:rsidP="00BD72AC">
      <w:pPr>
        <w:spacing w:line="480" w:lineRule="auto"/>
        <w:ind w:firstLine="720"/>
        <w:jc w:val="both"/>
        <w:rPr>
          <w:bCs/>
        </w:rPr>
      </w:pPr>
      <w:r>
        <w:rPr>
          <w:bCs/>
        </w:rPr>
        <w:t>T</w:t>
      </w:r>
      <w:r w:rsidR="002819BE">
        <w:rPr>
          <w:bCs/>
        </w:rPr>
        <w:t>he following table shows the amount of executive compensation included in the Company’s original filing:</w:t>
      </w:r>
    </w:p>
    <w:p w:rsidR="002819BE" w:rsidRDefault="00C0507E" w:rsidP="002819BE">
      <w:pPr>
        <w:spacing w:line="480" w:lineRule="auto"/>
        <w:ind w:firstLine="720"/>
        <w:jc w:val="both"/>
        <w:rPr>
          <w:bCs/>
        </w:rPr>
      </w:pPr>
      <w:r w:rsidRPr="00C0507E">
        <w:rPr>
          <w:noProof/>
        </w:rPr>
        <w:drawing>
          <wp:anchor distT="0" distB="0" distL="114300" distR="114300" simplePos="0" relativeHeight="251663360" behindDoc="1" locked="0" layoutInCell="1" allowOverlap="1">
            <wp:simplePos x="0" y="0"/>
            <wp:positionH relativeFrom="column">
              <wp:posOffset>150247</wp:posOffset>
            </wp:positionH>
            <wp:positionV relativeFrom="paragraph">
              <wp:posOffset>1988</wp:posOffset>
            </wp:positionV>
            <wp:extent cx="5330908" cy="3315694"/>
            <wp:effectExtent l="19050" t="0" r="3092"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30908" cy="3315694"/>
                    </a:xfrm>
                    <a:prstGeom prst="rect">
                      <a:avLst/>
                    </a:prstGeom>
                    <a:noFill/>
                    <a:ln w="9525">
                      <a:noFill/>
                      <a:miter lim="800000"/>
                      <a:headEnd/>
                      <a:tailEnd/>
                    </a:ln>
                  </pic:spPr>
                </pic:pic>
              </a:graphicData>
            </a:graphic>
          </wp:anchor>
        </w:drawing>
      </w: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rPr>
      </w:pPr>
    </w:p>
    <w:p w:rsidR="002819BE" w:rsidRDefault="002819BE" w:rsidP="002819BE">
      <w:pPr>
        <w:spacing w:line="480" w:lineRule="auto"/>
        <w:ind w:firstLine="720"/>
        <w:jc w:val="both"/>
        <w:rPr>
          <w:bCs/>
          <w:highlight w:val="yellow"/>
        </w:rPr>
      </w:pPr>
    </w:p>
    <w:p w:rsidR="002819BE" w:rsidRDefault="002819BE" w:rsidP="002819BE">
      <w:pPr>
        <w:spacing w:line="480" w:lineRule="auto"/>
        <w:ind w:firstLine="720"/>
        <w:jc w:val="both"/>
        <w:rPr>
          <w:bCs/>
        </w:rPr>
      </w:pPr>
      <w:r w:rsidRPr="00061362">
        <w:rPr>
          <w:bCs/>
        </w:rPr>
        <w:t xml:space="preserve">The table above shows that approximately 24% of total compensation paid to all officers </w:t>
      </w:r>
      <w:r w:rsidR="00463254">
        <w:rPr>
          <w:bCs/>
        </w:rPr>
        <w:t xml:space="preserve">($2.3 million) </w:t>
      </w:r>
      <w:r w:rsidRPr="00061362">
        <w:rPr>
          <w:bCs/>
        </w:rPr>
        <w:t xml:space="preserve">is charged to Washington electric and </w:t>
      </w:r>
      <w:r w:rsidR="00275880">
        <w:rPr>
          <w:bCs/>
        </w:rPr>
        <w:t xml:space="preserve">natural </w:t>
      </w:r>
      <w:r w:rsidRPr="00061362">
        <w:rPr>
          <w:bCs/>
        </w:rPr>
        <w:t>gas customers</w:t>
      </w:r>
      <w:r w:rsidR="00003829">
        <w:rPr>
          <w:bCs/>
        </w:rPr>
        <w:t xml:space="preserve">, 15% </w:t>
      </w:r>
      <w:r w:rsidR="002D0D4E">
        <w:rPr>
          <w:bCs/>
        </w:rPr>
        <w:t>to</w:t>
      </w:r>
      <w:r w:rsidR="00003829">
        <w:rPr>
          <w:bCs/>
        </w:rPr>
        <w:t xml:space="preserve"> Idaho and Oregon customers,</w:t>
      </w:r>
      <w:r>
        <w:rPr>
          <w:bCs/>
        </w:rPr>
        <w:t xml:space="preserve"> and</w:t>
      </w:r>
      <w:r w:rsidRPr="00061362">
        <w:rPr>
          <w:bCs/>
        </w:rPr>
        <w:t xml:space="preserve"> 61% </w:t>
      </w:r>
      <w:r w:rsidR="00463254">
        <w:rPr>
          <w:bCs/>
        </w:rPr>
        <w:t xml:space="preserve">($6.0 million) </w:t>
      </w:r>
      <w:r w:rsidRPr="00061362">
        <w:rPr>
          <w:bCs/>
        </w:rPr>
        <w:t>is borne by shareholders</w:t>
      </w:r>
      <w:r>
        <w:rPr>
          <w:bCs/>
        </w:rPr>
        <w:t xml:space="preserve">, </w:t>
      </w:r>
      <w:r w:rsidR="00003829">
        <w:rPr>
          <w:bCs/>
        </w:rPr>
        <w:t>i.e., the majority of executive compensation is borne by shareholders, not customers</w:t>
      </w:r>
      <w:r w:rsidRPr="00061362">
        <w:rPr>
          <w:bCs/>
        </w:rPr>
        <w:t>.</w:t>
      </w:r>
      <w:r>
        <w:rPr>
          <w:bCs/>
        </w:rPr>
        <w:t xml:space="preserve">  </w:t>
      </w:r>
    </w:p>
    <w:p w:rsidR="00A803C1" w:rsidRDefault="00A803C1" w:rsidP="00A803C1">
      <w:pPr>
        <w:spacing w:line="480" w:lineRule="auto"/>
        <w:ind w:firstLine="720"/>
        <w:jc w:val="both"/>
        <w:rPr>
          <w:b/>
        </w:rPr>
      </w:pPr>
      <w:r w:rsidRPr="00585996">
        <w:rPr>
          <w:b/>
        </w:rPr>
        <w:t xml:space="preserve">Q. </w:t>
      </w:r>
      <w:r>
        <w:rPr>
          <w:b/>
        </w:rPr>
        <w:tab/>
      </w:r>
      <w:r w:rsidR="00011C3C">
        <w:rPr>
          <w:b/>
        </w:rPr>
        <w:t>What is the Company’s response to Public Counsel’s testimony regarding the peer group used to benchmark Avista’s executive compensation</w:t>
      </w:r>
      <w:r w:rsidRPr="00585996">
        <w:rPr>
          <w:b/>
        </w:rPr>
        <w:t>?</w:t>
      </w:r>
    </w:p>
    <w:p w:rsidR="00011C3C" w:rsidRDefault="00A803C1" w:rsidP="00011C3C">
      <w:pPr>
        <w:tabs>
          <w:tab w:val="left" w:pos="1440"/>
        </w:tabs>
        <w:spacing w:line="480" w:lineRule="auto"/>
        <w:ind w:firstLine="720"/>
        <w:jc w:val="both"/>
      </w:pPr>
      <w:r w:rsidRPr="00230D50">
        <w:t>A.</w:t>
      </w:r>
      <w:r>
        <w:tab/>
        <w:t xml:space="preserve">Public Counsel argues that the Company has set executive salaries based on a peer group of companies that </w:t>
      </w:r>
      <w:r w:rsidR="002D0D4E">
        <w:t>is</w:t>
      </w:r>
      <w:r>
        <w:t xml:space="preserve"> not comparable to its utility business</w:t>
      </w:r>
      <w:r w:rsidR="00011C3C">
        <w:t>, and recommends a peer group</w:t>
      </w:r>
      <w:r>
        <w:t xml:space="preserve"> benchmarked with the Institutional Shareholder Services (ISS) group of companies. </w:t>
      </w:r>
    </w:p>
    <w:p w:rsidR="00011C3C" w:rsidRDefault="00A803C1" w:rsidP="00011C3C">
      <w:pPr>
        <w:tabs>
          <w:tab w:val="left" w:pos="1440"/>
        </w:tabs>
        <w:spacing w:line="480" w:lineRule="auto"/>
        <w:ind w:firstLine="720"/>
        <w:jc w:val="both"/>
      </w:pPr>
      <w:r>
        <w:t>The basis for the ISS peer group selection</w:t>
      </w:r>
      <w:r w:rsidR="00011C3C">
        <w:t>, however,</w:t>
      </w:r>
      <w:r>
        <w:t xml:space="preserve"> is the S &amp; P Global Industry Classification Standard (GICS) industry codes</w:t>
      </w:r>
      <w:r w:rsidR="002D0D4E">
        <w:t>,</w:t>
      </w:r>
      <w:r>
        <w:t xml:space="preserve"> which </w:t>
      </w:r>
      <w:r w:rsidR="00011C3C">
        <w:t xml:space="preserve">generally </w:t>
      </w:r>
      <w:r>
        <w:t>do not take into account variations in company profiles</w:t>
      </w:r>
      <w:r w:rsidR="002D0D4E">
        <w:t>,</w:t>
      </w:r>
      <w:r>
        <w:t xml:space="preserve"> and in some cases</w:t>
      </w:r>
      <w:r w:rsidR="002D0D4E">
        <w:t>,</w:t>
      </w:r>
      <w:r>
        <w:t xml:space="preserve"> also do not share characteristics similar to Avista. For example, UIL Holdings has no natural gas operations, whereas Piedmont Natural Gas Company has no electric operations. This lack of attention to individual company nuances within a given classification has drawn considerable attention in recent years </w:t>
      </w:r>
      <w:r w:rsidRPr="00D26EB4">
        <w:t>by investors</w:t>
      </w:r>
      <w:r>
        <w:t xml:space="preserve"> and is currently being addressed by ISS.  </w:t>
      </w:r>
      <w:r w:rsidR="00011C3C">
        <w:t>In fact, the Harvard Law School Forum on Corporate Governance and Financial Regulation noted</w:t>
      </w:r>
      <w:r w:rsidR="004A303E">
        <w:rPr>
          <w:rStyle w:val="FootnoteReference"/>
        </w:rPr>
        <w:footnoteReference w:id="17"/>
      </w:r>
      <w:r w:rsidR="00011C3C">
        <w:t>, “ISS’s peer group selection methodology has drawn heated criticism in recent years, with many companies finding themselves grouped with companies that they do not consider comparable and with which they do not compete either in business or in recruiting and retention of talent.”</w:t>
      </w:r>
    </w:p>
    <w:p w:rsidR="00A803C1" w:rsidRDefault="00011C3C" w:rsidP="00011C3C">
      <w:pPr>
        <w:tabs>
          <w:tab w:val="left" w:pos="1440"/>
        </w:tabs>
        <w:spacing w:line="480" w:lineRule="auto"/>
        <w:ind w:firstLine="720"/>
        <w:jc w:val="both"/>
      </w:pPr>
      <w:r>
        <w:t>In addition, t</w:t>
      </w:r>
      <w:r w:rsidR="00A803C1">
        <w:t xml:space="preserve">he ISS </w:t>
      </w:r>
      <w:proofErr w:type="gramStart"/>
      <w:r w:rsidR="00A803C1">
        <w:t>peer</w:t>
      </w:r>
      <w:proofErr w:type="gramEnd"/>
      <w:r w:rsidR="00A803C1">
        <w:t xml:space="preserve"> group reports only the top 5 executive officers, which can change year over year, and does not provide any benchmarking ability for other executive officers, contributing to the lack of consistency year to year.  </w:t>
      </w:r>
    </w:p>
    <w:p w:rsidR="00011C3C" w:rsidRDefault="00011C3C" w:rsidP="00011C3C">
      <w:pPr>
        <w:tabs>
          <w:tab w:val="left" w:pos="1440"/>
        </w:tabs>
        <w:spacing w:line="480" w:lineRule="auto"/>
        <w:ind w:firstLine="720"/>
        <w:jc w:val="both"/>
      </w:pPr>
      <w:r>
        <w:t>T</w:t>
      </w:r>
      <w:r w:rsidR="00A803C1">
        <w:t>he ISS peer group fails to take into account the primary purpose of the peer group</w:t>
      </w:r>
      <w:r w:rsidR="002D0D4E">
        <w:t xml:space="preserve"> – i.e., to </w:t>
      </w:r>
      <w:r w:rsidR="00A803C1">
        <w:t xml:space="preserve">include a group of companies with which Avista would most likely compete for talent.  </w:t>
      </w:r>
      <w:r w:rsidR="002D0D4E">
        <w:t xml:space="preserve">The </w:t>
      </w:r>
      <w:r w:rsidRPr="00E91FDD">
        <w:t>Towers Watson Energy Services Peer Group provides a peer group that includes comparable diversified energy companies with revenues between $1 billion and $3 billion in size</w:t>
      </w:r>
      <w:r w:rsidR="002D0D4E">
        <w:t xml:space="preserve">; </w:t>
      </w:r>
      <w:r w:rsidRPr="00E91FDD">
        <w:t>utilizes several data sources, rather than one data source; provides comparisons for all executives, not just the top five executive officers</w:t>
      </w:r>
      <w:r w:rsidR="002D0D4E">
        <w:t>;</w:t>
      </w:r>
      <w:r>
        <w:t xml:space="preserve"> and provides consistency year over year</w:t>
      </w:r>
      <w:r w:rsidRPr="00E91FDD">
        <w:t>.</w:t>
      </w:r>
      <w:r w:rsidRPr="005C49C8">
        <w:t xml:space="preserve"> </w:t>
      </w:r>
      <w:r>
        <w:t xml:space="preserve"> </w:t>
      </w:r>
    </w:p>
    <w:p w:rsidR="002819BE" w:rsidRPr="00585996" w:rsidRDefault="002819BE" w:rsidP="001846C4">
      <w:pPr>
        <w:spacing w:line="480" w:lineRule="auto"/>
        <w:ind w:right="18" w:firstLine="720"/>
        <w:jc w:val="both"/>
        <w:rPr>
          <w:b/>
        </w:rPr>
      </w:pPr>
      <w:r>
        <w:rPr>
          <w:b/>
        </w:rPr>
        <w:t>Q.</w:t>
      </w:r>
      <w:r>
        <w:rPr>
          <w:b/>
        </w:rPr>
        <w:tab/>
      </w:r>
      <w:r w:rsidR="00003829">
        <w:rPr>
          <w:b/>
        </w:rPr>
        <w:t>What is your response to</w:t>
      </w:r>
      <w:r>
        <w:rPr>
          <w:b/>
        </w:rPr>
        <w:t xml:space="preserve"> </w:t>
      </w:r>
      <w:r w:rsidRPr="00585996">
        <w:rPr>
          <w:b/>
        </w:rPr>
        <w:t>Public Counsel</w:t>
      </w:r>
      <w:r w:rsidR="00003829">
        <w:rPr>
          <w:b/>
        </w:rPr>
        <w:t>’s recommendation</w:t>
      </w:r>
      <w:r w:rsidRPr="00585996">
        <w:rPr>
          <w:b/>
        </w:rPr>
        <w:t xml:space="preserve"> to allocate more executive compensation to non-utility</w:t>
      </w:r>
      <w:r>
        <w:rPr>
          <w:b/>
        </w:rPr>
        <w:t xml:space="preserve"> operations</w:t>
      </w:r>
      <w:r w:rsidRPr="00585996">
        <w:rPr>
          <w:b/>
        </w:rPr>
        <w:t xml:space="preserve">? </w:t>
      </w:r>
    </w:p>
    <w:p w:rsidR="002819BE" w:rsidRDefault="002819BE" w:rsidP="002819BE">
      <w:pPr>
        <w:spacing w:line="480" w:lineRule="auto"/>
        <w:ind w:firstLine="720"/>
        <w:jc w:val="both"/>
      </w:pPr>
      <w:r>
        <w:t>A.</w:t>
      </w:r>
      <w:r>
        <w:tab/>
        <w:t xml:space="preserve">Mr. Coppola </w:t>
      </w:r>
      <w:r w:rsidRPr="005F50F5">
        <w:t>proposes to allocate a higher level of executive salaries to non-utility businesses</w:t>
      </w:r>
      <w:r w:rsidR="005609C6">
        <w:rPr>
          <w:rStyle w:val="FootnoteReference"/>
        </w:rPr>
        <w:footnoteReference w:id="18"/>
      </w:r>
      <w:r w:rsidRPr="005F50F5">
        <w:t xml:space="preserve">. </w:t>
      </w:r>
      <w:r>
        <w:t xml:space="preserve">In doing so, Mr. Coppola made erroneous assumptions in his determination of the proper allocation between utility and non-utility operations.    </w:t>
      </w:r>
    </w:p>
    <w:p w:rsidR="002819BE" w:rsidRDefault="002819BE" w:rsidP="002819BE">
      <w:pPr>
        <w:spacing w:line="480" w:lineRule="auto"/>
        <w:ind w:firstLine="720"/>
        <w:jc w:val="both"/>
      </w:pPr>
      <w:r>
        <w:t xml:space="preserve">For example, Mr. Coppola determined his allocation of time by reviewing </w:t>
      </w:r>
      <w:r w:rsidR="005609C6">
        <w:t xml:space="preserve">portions of </w:t>
      </w:r>
      <w:r>
        <w:t xml:space="preserve">the CEO’s calendar. During this review, he selected only the first three months of the year and reviewed the documented events noted within the calendar.  After this review, </w:t>
      </w:r>
      <w:r w:rsidR="00003829">
        <w:t xml:space="preserve">his analysis shows that “approximately 37% of the CEO’s time” was spent on utility operations.  </w:t>
      </w:r>
      <w:r w:rsidR="008E31EE">
        <w:t xml:space="preserve">Mr. Coppola apparently assumes that </w:t>
      </w:r>
      <w:r>
        <w:t>any time not documented</w:t>
      </w:r>
      <w:r w:rsidR="008E31EE">
        <w:t xml:space="preserve"> with a specific meeting or appointment</w:t>
      </w:r>
      <w:r>
        <w:t xml:space="preserve"> (“open time”) </w:t>
      </w:r>
      <w:r w:rsidR="008E31EE">
        <w:t>is</w:t>
      </w:r>
      <w:r w:rsidR="002D0D4E">
        <w:t>,</w:t>
      </w:r>
      <w:r w:rsidR="008E31EE">
        <w:t xml:space="preserve"> by default</w:t>
      </w:r>
      <w:r w:rsidR="002D0D4E">
        <w:t>,</w:t>
      </w:r>
      <w:r w:rsidR="008E31EE">
        <w:t xml:space="preserve"> time spent on </w:t>
      </w:r>
      <w:r>
        <w:t>non-utility</w:t>
      </w:r>
      <w:r w:rsidR="00011C3C">
        <w:t xml:space="preserve"> operations</w:t>
      </w:r>
      <w:r w:rsidR="0050736C">
        <w:rPr>
          <w:rStyle w:val="FootnoteReference"/>
        </w:rPr>
        <w:footnoteReference w:id="19"/>
      </w:r>
      <w:r>
        <w:t xml:space="preserve">.  </w:t>
      </w:r>
    </w:p>
    <w:p w:rsidR="002819BE" w:rsidRDefault="002819BE" w:rsidP="002819BE">
      <w:pPr>
        <w:spacing w:line="480" w:lineRule="auto"/>
        <w:ind w:firstLine="720"/>
        <w:jc w:val="both"/>
      </w:pPr>
      <w:r>
        <w:t xml:space="preserve">As a second example, Mr. Coppola argues that a larger portion of executive compensation should be allocated to non-utility because Avista executives hold multiple positions in at least 10 non-utility subsidiaries which demand management time and attention. However, </w:t>
      </w:r>
      <w:r w:rsidRPr="00990A9C">
        <w:t xml:space="preserve">Mr. Coppola fails to point out that </w:t>
      </w:r>
      <w:r w:rsidRPr="00990A9C">
        <w:rPr>
          <w:bCs/>
        </w:rPr>
        <w:t>many of the non-utility subsidiaries of Avista Corporation no longer have active operations, have no employees, or are special purpose LLCs</w:t>
      </w:r>
      <w:r w:rsidRPr="00990A9C">
        <w:rPr>
          <w:rStyle w:val="FootnoteReference"/>
          <w:bCs/>
        </w:rPr>
        <w:footnoteReference w:id="20"/>
      </w:r>
      <w:r w:rsidRPr="00990A9C">
        <w:rPr>
          <w:bCs/>
        </w:rPr>
        <w:t>.  The two largest subsidiaries, Ecova and Advanced Manufacturing and Development, Inc.</w:t>
      </w:r>
      <w:r>
        <w:rPr>
          <w:bCs/>
        </w:rPr>
        <w:t xml:space="preserve"> (AM&amp;D)</w:t>
      </w:r>
      <w:r w:rsidRPr="00990A9C">
        <w:rPr>
          <w:bCs/>
        </w:rPr>
        <w:t xml:space="preserve">, account for approximately 90% of subsidiary operations.  Both perform their own accounting, tax returns, compliance, etc., with fully functioning back offices and do not rely on the </w:t>
      </w:r>
      <w:r>
        <w:rPr>
          <w:bCs/>
        </w:rPr>
        <w:t>c</w:t>
      </w:r>
      <w:r w:rsidRPr="00990A9C">
        <w:rPr>
          <w:bCs/>
        </w:rPr>
        <w:t xml:space="preserve">orporate </w:t>
      </w:r>
      <w:r>
        <w:rPr>
          <w:bCs/>
        </w:rPr>
        <w:t>u</w:t>
      </w:r>
      <w:r w:rsidRPr="00990A9C">
        <w:rPr>
          <w:bCs/>
        </w:rPr>
        <w:t xml:space="preserve">mbrella for these services.  </w:t>
      </w:r>
      <w:r>
        <w:rPr>
          <w:bCs/>
        </w:rPr>
        <w:t xml:space="preserve">Ecova and AM&amp;D have their own CFO, CIO, </w:t>
      </w:r>
      <w:proofErr w:type="gramStart"/>
      <w:r>
        <w:rPr>
          <w:bCs/>
        </w:rPr>
        <w:t>Controller</w:t>
      </w:r>
      <w:proofErr w:type="gramEnd"/>
      <w:r>
        <w:rPr>
          <w:bCs/>
        </w:rPr>
        <w:t xml:space="preserve">, Treasurer and other vice presidents, directors and </w:t>
      </w:r>
      <w:r w:rsidR="00463254">
        <w:rPr>
          <w:bCs/>
        </w:rPr>
        <w:t xml:space="preserve">their own </w:t>
      </w:r>
      <w:r>
        <w:rPr>
          <w:bCs/>
        </w:rPr>
        <w:t>senior management team which supervise the day</w:t>
      </w:r>
      <w:r w:rsidR="005609C6">
        <w:rPr>
          <w:bCs/>
        </w:rPr>
        <w:t>-</w:t>
      </w:r>
      <w:r>
        <w:rPr>
          <w:bCs/>
        </w:rPr>
        <w:t>to</w:t>
      </w:r>
      <w:r w:rsidR="005609C6">
        <w:rPr>
          <w:bCs/>
        </w:rPr>
        <w:t>-</w:t>
      </w:r>
      <w:r>
        <w:rPr>
          <w:bCs/>
        </w:rPr>
        <w:t>day operations.</w:t>
      </w:r>
    </w:p>
    <w:p w:rsidR="002819BE" w:rsidRDefault="002819BE" w:rsidP="002819BE">
      <w:pPr>
        <w:spacing w:line="480" w:lineRule="auto"/>
        <w:ind w:firstLine="720"/>
        <w:jc w:val="both"/>
        <w:rPr>
          <w:bCs/>
        </w:rPr>
      </w:pPr>
      <w:r>
        <w:t xml:space="preserve">These are a few of the arbitrary assumptions used by Mr. Coppola to determine his allocation between utility and non-utility operations. </w:t>
      </w:r>
      <w:r w:rsidR="008E31EE">
        <w:t xml:space="preserve"> </w:t>
      </w:r>
      <w:r w:rsidR="00463254">
        <w:rPr>
          <w:bCs/>
        </w:rPr>
        <w:t>In the final analysis, t</w:t>
      </w:r>
      <w:r w:rsidR="00463254" w:rsidRPr="004638C2">
        <w:rPr>
          <w:bCs/>
        </w:rPr>
        <w:t xml:space="preserve">he </w:t>
      </w:r>
      <w:r w:rsidRPr="004638C2">
        <w:rPr>
          <w:bCs/>
        </w:rPr>
        <w:t>best indicator of the amount of time spent on utility and non-utility</w:t>
      </w:r>
      <w:r>
        <w:rPr>
          <w:bCs/>
        </w:rPr>
        <w:t xml:space="preserve"> operations </w:t>
      </w:r>
      <w:r w:rsidRPr="004638C2">
        <w:rPr>
          <w:bCs/>
        </w:rPr>
        <w:t xml:space="preserve">comes </w:t>
      </w:r>
      <w:r w:rsidRPr="00224C1C">
        <w:rPr>
          <w:bCs/>
          <w:u w:val="single"/>
        </w:rPr>
        <w:t>directly</w:t>
      </w:r>
      <w:r w:rsidRPr="004638C2">
        <w:rPr>
          <w:bCs/>
        </w:rPr>
        <w:t xml:space="preserve"> from each executive officer</w:t>
      </w:r>
      <w:r>
        <w:rPr>
          <w:bCs/>
        </w:rPr>
        <w:t>’</w:t>
      </w:r>
      <w:r w:rsidRPr="004638C2">
        <w:rPr>
          <w:bCs/>
        </w:rPr>
        <w:t xml:space="preserve">s </w:t>
      </w:r>
      <w:r w:rsidR="00463254">
        <w:rPr>
          <w:bCs/>
        </w:rPr>
        <w:t xml:space="preserve">own </w:t>
      </w:r>
      <w:r w:rsidRPr="004638C2">
        <w:rPr>
          <w:bCs/>
        </w:rPr>
        <w:t>determination</w:t>
      </w:r>
      <w:r>
        <w:rPr>
          <w:bCs/>
        </w:rPr>
        <w:t>,</w:t>
      </w:r>
      <w:r w:rsidRPr="004638C2">
        <w:rPr>
          <w:bCs/>
        </w:rPr>
        <w:t xml:space="preserve"> as it is based on actual experience </w:t>
      </w:r>
      <w:r>
        <w:rPr>
          <w:bCs/>
        </w:rPr>
        <w:t xml:space="preserve">of each individual.  Each officer is periodically surveyed to gather this information, and this best reflects any change in circumstances over time. </w:t>
      </w:r>
    </w:p>
    <w:bookmarkEnd w:id="1"/>
    <w:bookmarkEnd w:id="2"/>
    <w:p w:rsidR="002819BE" w:rsidRDefault="009F3480" w:rsidP="002819BE">
      <w:pPr>
        <w:spacing w:line="480" w:lineRule="auto"/>
        <w:ind w:firstLine="540"/>
        <w:jc w:val="both"/>
        <w:rPr>
          <w:b/>
        </w:rPr>
      </w:pPr>
      <w:r>
        <w:rPr>
          <w:b/>
        </w:rPr>
        <w:tab/>
      </w:r>
      <w:r w:rsidR="002819BE" w:rsidRPr="00CC4A20">
        <w:rPr>
          <w:b/>
        </w:rPr>
        <w:t xml:space="preserve">Q. </w:t>
      </w:r>
      <w:r>
        <w:rPr>
          <w:b/>
        </w:rPr>
        <w:tab/>
      </w:r>
      <w:r w:rsidR="002819BE" w:rsidRPr="00CC4A20">
        <w:rPr>
          <w:b/>
        </w:rPr>
        <w:t xml:space="preserve">Do you agree with the assertion by Public Counsel that the </w:t>
      </w:r>
      <w:r w:rsidR="008E31EE">
        <w:rPr>
          <w:b/>
        </w:rPr>
        <w:t xml:space="preserve">Company’s </w:t>
      </w:r>
      <w:r w:rsidR="002819BE">
        <w:rPr>
          <w:b/>
        </w:rPr>
        <w:t xml:space="preserve">service </w:t>
      </w:r>
      <w:r w:rsidR="002819BE" w:rsidRPr="00CC4A20">
        <w:rPr>
          <w:b/>
        </w:rPr>
        <w:t xml:space="preserve">reliability indices </w:t>
      </w:r>
      <w:r w:rsidR="002819BE">
        <w:rPr>
          <w:b/>
        </w:rPr>
        <w:t>have</w:t>
      </w:r>
      <w:r w:rsidR="002819BE" w:rsidRPr="00CC4A20">
        <w:rPr>
          <w:b/>
        </w:rPr>
        <w:t xml:space="preserve"> deteriorated</w:t>
      </w:r>
      <w:r w:rsidR="002819BE">
        <w:rPr>
          <w:b/>
        </w:rPr>
        <w:t xml:space="preserve"> and that other metrics within the </w:t>
      </w:r>
      <w:r w:rsidR="008E31EE">
        <w:rPr>
          <w:b/>
        </w:rPr>
        <w:t xml:space="preserve">executive short-term incentive </w:t>
      </w:r>
      <w:r w:rsidR="002819BE">
        <w:rPr>
          <w:b/>
        </w:rPr>
        <w:t>plan are inappropriate</w:t>
      </w:r>
      <w:r w:rsidR="002819BE" w:rsidRPr="00CC4A20">
        <w:rPr>
          <w:b/>
        </w:rPr>
        <w:t>?</w:t>
      </w:r>
    </w:p>
    <w:p w:rsidR="002819BE" w:rsidRDefault="009F3480" w:rsidP="002819BE">
      <w:pPr>
        <w:spacing w:line="480" w:lineRule="auto"/>
        <w:ind w:firstLine="540"/>
        <w:jc w:val="both"/>
      </w:pPr>
      <w:r>
        <w:tab/>
      </w:r>
      <w:r w:rsidR="002819BE" w:rsidRPr="00CC4A20">
        <w:t>A.</w:t>
      </w:r>
      <w:r w:rsidR="002819BE">
        <w:t xml:space="preserve"> </w:t>
      </w:r>
      <w:r>
        <w:tab/>
      </w:r>
      <w:r w:rsidR="002819BE">
        <w:t xml:space="preserve">No.  Mr. Coppola indicated in his testimony that “actual results of the indices show a </w:t>
      </w:r>
      <w:r w:rsidR="002819BE" w:rsidRPr="003D1C29">
        <w:t>deteriorating trend in service reliability</w:t>
      </w:r>
      <w:r w:rsidR="00197840">
        <w:t>.</w:t>
      </w:r>
      <w:r w:rsidR="002819BE" w:rsidRPr="003D1C29">
        <w:t>”</w:t>
      </w:r>
      <w:r w:rsidR="002819BE" w:rsidRPr="003D1C29">
        <w:rPr>
          <w:rStyle w:val="FootnoteReference"/>
        </w:rPr>
        <w:footnoteReference w:id="21"/>
      </w:r>
      <w:r w:rsidR="002819BE" w:rsidRPr="003D1C29">
        <w:t xml:space="preserve"> </w:t>
      </w:r>
      <w:r w:rsidR="002819BE">
        <w:t xml:space="preserve">However, </w:t>
      </w:r>
      <w:r w:rsidR="002819BE" w:rsidRPr="003D1C29">
        <w:t xml:space="preserve">Mr. Coppola had an error in “Table 5: CAIDI Factor Used in Incentive Pay” of his </w:t>
      </w:r>
      <w:r w:rsidR="002819BE">
        <w:t>testimony</w:t>
      </w:r>
      <w:r w:rsidR="002819BE">
        <w:rPr>
          <w:rStyle w:val="FootnoteReference"/>
        </w:rPr>
        <w:footnoteReference w:id="22"/>
      </w:r>
      <w:r w:rsidR="002819BE">
        <w:t xml:space="preserve"> where he had taken hour/minute information and displayed</w:t>
      </w:r>
      <w:r w:rsidR="00463254">
        <w:t xml:space="preserve"> them</w:t>
      </w:r>
      <w:r w:rsidR="002819BE">
        <w:t xml:space="preserve"> as minutes. </w:t>
      </w:r>
      <w:proofErr w:type="gramStart"/>
      <w:r w:rsidR="002819BE">
        <w:t xml:space="preserve">Specifically, at line 18 of Exhibit </w:t>
      </w:r>
      <w:r w:rsidR="002108BF">
        <w:t>No.</w:t>
      </w:r>
      <w:proofErr w:type="gramEnd"/>
      <w:r w:rsidR="002108BF">
        <w:t xml:space="preserve"> _</w:t>
      </w:r>
      <w:proofErr w:type="gramStart"/>
      <w:r w:rsidR="002108BF">
        <w:t>_</w:t>
      </w:r>
      <w:r w:rsidR="002819BE">
        <w:t>(</w:t>
      </w:r>
      <w:proofErr w:type="gramEnd"/>
      <w:r w:rsidR="002819BE">
        <w:t xml:space="preserve">SC-1CT) page 25, Mr. Coppola assumes </w:t>
      </w:r>
      <w:r w:rsidR="00C20FFF">
        <w:t>“</w:t>
      </w:r>
      <w:r w:rsidR="002819BE">
        <w:t>1:50</w:t>
      </w:r>
      <w:r w:rsidR="00C20FFF">
        <w:t>”</w:t>
      </w:r>
      <w:r w:rsidR="002819BE">
        <w:t xml:space="preserve"> is 150 minutes, as opposed to one hour and fifty minutes, or 110 minutes. When the data is corrected</w:t>
      </w:r>
      <w:r w:rsidR="00463254">
        <w:t>,</w:t>
      </w:r>
      <w:r w:rsidR="002819BE">
        <w:t xml:space="preserve"> the trend </w:t>
      </w:r>
      <w:r w:rsidR="00463254">
        <w:t xml:space="preserve">actually </w:t>
      </w:r>
      <w:r w:rsidR="002819BE">
        <w:t xml:space="preserve">shows </w:t>
      </w:r>
      <w:r w:rsidR="002819BE" w:rsidRPr="00224C1C">
        <w:rPr>
          <w:u w:val="single"/>
        </w:rPr>
        <w:t>improvement</w:t>
      </w:r>
      <w:r w:rsidR="002819BE">
        <w:rPr>
          <w:u w:val="single"/>
        </w:rPr>
        <w:t>,</w:t>
      </w:r>
      <w:r w:rsidR="002819BE">
        <w:t xml:space="preserve"> not deterioration in service reliability.</w:t>
      </w:r>
    </w:p>
    <w:p w:rsidR="002819BE" w:rsidRDefault="002819BE" w:rsidP="00CF32F6">
      <w:pPr>
        <w:spacing w:line="480" w:lineRule="auto"/>
        <w:ind w:firstLine="720"/>
        <w:jc w:val="both"/>
      </w:pPr>
      <w:r>
        <w:t xml:space="preserve">With regards to the SAIFI Factor used in incentive pay, the Company has changed targets over the years and has changed </w:t>
      </w:r>
      <w:r w:rsidRPr="00224C1C">
        <w:t>the methodology in establishing</w:t>
      </w:r>
      <w:r>
        <w:t xml:space="preserve"> this target. Therefore, it is inappropriate to analyze this metric over a six year period</w:t>
      </w:r>
      <w:r w:rsidR="00463254">
        <w:t>,</w:t>
      </w:r>
      <w:r>
        <w:t xml:space="preserve"> as it will provide inconsistent results. However, it </w:t>
      </w:r>
      <w:r w:rsidRPr="00C20FFF">
        <w:rPr>
          <w:u w:val="single"/>
        </w:rPr>
        <w:t>is</w:t>
      </w:r>
      <w:r>
        <w:t xml:space="preserve"> appropriate to review 2010 to 2011 for purposes of compari</w:t>
      </w:r>
      <w:r w:rsidR="00463254">
        <w:t>sons</w:t>
      </w:r>
      <w:r>
        <w:t xml:space="preserve">; these metrics were derived using the </w:t>
      </w:r>
      <w:r w:rsidRPr="00463254">
        <w:rPr>
          <w:u w:val="single"/>
        </w:rPr>
        <w:t>same</w:t>
      </w:r>
      <w:r>
        <w:t xml:space="preserve"> methodology. As clearly shown in Mr. Coppola’s testimony at Table 6, there is an </w:t>
      </w:r>
      <w:r w:rsidRPr="00C20FFF">
        <w:rPr>
          <w:u w:val="single"/>
        </w:rPr>
        <w:t>improvement</w:t>
      </w:r>
      <w:r>
        <w:t xml:space="preserve">, not a deterioration of this factor from 2010 to 2011. </w:t>
      </w:r>
    </w:p>
    <w:p w:rsidR="002819BE" w:rsidRDefault="002819BE" w:rsidP="002819BE">
      <w:pPr>
        <w:pStyle w:val="Heading4"/>
        <w:ind w:left="0" w:firstLine="0"/>
        <w:jc w:val="both"/>
        <w:rPr>
          <w:u w:val="single"/>
        </w:rPr>
      </w:pPr>
      <w:r>
        <w:rPr>
          <w:u w:val="single"/>
        </w:rPr>
        <w:t>Board of Director Compensation</w:t>
      </w:r>
    </w:p>
    <w:p w:rsidR="002819BE" w:rsidRDefault="002819BE" w:rsidP="002819BE">
      <w:pPr>
        <w:suppressAutoHyphens/>
        <w:spacing w:line="480" w:lineRule="auto"/>
        <w:ind w:firstLine="720"/>
        <w:jc w:val="both"/>
        <w:rPr>
          <w:b/>
          <w:bCs/>
        </w:rPr>
      </w:pPr>
      <w:r w:rsidRPr="006E54C9">
        <w:rPr>
          <w:b/>
          <w:bCs/>
        </w:rPr>
        <w:t>Q.</w:t>
      </w:r>
      <w:r w:rsidRPr="006E54C9">
        <w:rPr>
          <w:b/>
          <w:bCs/>
        </w:rPr>
        <w:tab/>
      </w:r>
      <w:r w:rsidR="008E31EE">
        <w:rPr>
          <w:b/>
          <w:bCs/>
        </w:rPr>
        <w:t>What is the Company’s response to Public Counsel’s testimony related to Board of Director’s compensation</w:t>
      </w:r>
      <w:r>
        <w:rPr>
          <w:b/>
          <w:bCs/>
        </w:rPr>
        <w:t xml:space="preserve">?  </w:t>
      </w:r>
    </w:p>
    <w:p w:rsidR="002819BE" w:rsidRDefault="002819BE" w:rsidP="002819BE">
      <w:pPr>
        <w:pStyle w:val="answer"/>
        <w:widowControl w:val="0"/>
        <w:spacing w:before="0" w:after="0"/>
        <w:ind w:left="0" w:firstLine="720"/>
        <w:jc w:val="both"/>
      </w:pPr>
      <w:r w:rsidRPr="0065211B">
        <w:t>A.</w:t>
      </w:r>
      <w:r w:rsidRPr="00D92506">
        <w:rPr>
          <w:b/>
          <w:bCs/>
        </w:rPr>
        <w:t xml:space="preserve"> </w:t>
      </w:r>
      <w:r w:rsidR="009F3480">
        <w:rPr>
          <w:b/>
          <w:bCs/>
        </w:rPr>
        <w:tab/>
      </w:r>
      <w:r>
        <w:rPr>
          <w:bCs/>
        </w:rPr>
        <w:t xml:space="preserve">Public Counsel first proposes </w:t>
      </w:r>
      <w:r w:rsidRPr="00D92506">
        <w:rPr>
          <w:bCs/>
        </w:rPr>
        <w:t xml:space="preserve">to remove 100% of the Board of Directors’ </w:t>
      </w:r>
      <w:r w:rsidRPr="008E31EE">
        <w:rPr>
          <w:bCs/>
          <w:u w:val="single"/>
        </w:rPr>
        <w:t>stock</w:t>
      </w:r>
      <w:r w:rsidRPr="00D92506">
        <w:rPr>
          <w:bCs/>
        </w:rPr>
        <w:t xml:space="preserve"> </w:t>
      </w:r>
      <w:r>
        <w:rPr>
          <w:bCs/>
        </w:rPr>
        <w:t>c</w:t>
      </w:r>
      <w:r w:rsidRPr="00D92506">
        <w:rPr>
          <w:bCs/>
        </w:rPr>
        <w:t>ompensation</w:t>
      </w:r>
      <w:r>
        <w:rPr>
          <w:bCs/>
        </w:rPr>
        <w:t xml:space="preserve">, stating this is </w:t>
      </w:r>
      <w:r>
        <w:t>“inconsistent with [the Company’s] decision to not seek recovery of the same type of compensation paid to executive officers”</w:t>
      </w:r>
      <w:r>
        <w:rPr>
          <w:rStyle w:val="FootnoteReference"/>
        </w:rPr>
        <w:footnoteReference w:id="23"/>
      </w:r>
      <w:r>
        <w:t xml:space="preserve">.  </w:t>
      </w:r>
      <w:r>
        <w:rPr>
          <w:bCs/>
        </w:rPr>
        <w:t xml:space="preserve">However, the stock compensation </w:t>
      </w:r>
      <w:r>
        <w:t xml:space="preserve">paid to the Board of Directors is part of their </w:t>
      </w:r>
      <w:r w:rsidRPr="00A62741">
        <w:rPr>
          <w:u w:val="single"/>
        </w:rPr>
        <w:t>base</w:t>
      </w:r>
      <w:r>
        <w:t xml:space="preserve"> compensation for being on the Board of Directors.  All Board of Directors that are not employees of the Company were </w:t>
      </w:r>
      <w:r w:rsidRPr="00C90851">
        <w:t xml:space="preserve">required to receive a minimum of 42% of their annual retainer during 2011 to be paid in the form of Company common stock and the remaining portion of their annual retainer in Company common stock, in cash, or in a combination of stock and cash. </w:t>
      </w:r>
      <w:r>
        <w:t xml:space="preserve">This is </w:t>
      </w:r>
      <w:r w:rsidRPr="008E31EE">
        <w:rPr>
          <w:u w:val="single"/>
        </w:rPr>
        <w:t>base</w:t>
      </w:r>
      <w:r>
        <w:t xml:space="preserve"> compensation as opposed to </w:t>
      </w:r>
      <w:r w:rsidRPr="008E31EE">
        <w:rPr>
          <w:u w:val="single"/>
        </w:rPr>
        <w:t>incentive</w:t>
      </w:r>
      <w:r>
        <w:t xml:space="preserve"> compensation.</w:t>
      </w:r>
    </w:p>
    <w:p w:rsidR="002819BE" w:rsidRPr="00D517C5" w:rsidRDefault="002819BE" w:rsidP="002819BE">
      <w:pPr>
        <w:pStyle w:val="answer"/>
        <w:widowControl w:val="0"/>
        <w:spacing w:before="0" w:after="0"/>
        <w:ind w:left="0" w:firstLine="720"/>
        <w:jc w:val="both"/>
      </w:pPr>
      <w:r>
        <w:t>In contrast, t</w:t>
      </w:r>
      <w:r w:rsidRPr="00C90851">
        <w:t>he stock-based compensation that is discussed on page 29 of the direct testimon</w:t>
      </w:r>
      <w:r>
        <w:t>y of Company witness Ms. Feltes</w:t>
      </w:r>
      <w:r w:rsidRPr="00C90851">
        <w:t xml:space="preserve"> </w:t>
      </w:r>
      <w:r w:rsidR="00197840">
        <w:t>(Exhibit No. _</w:t>
      </w:r>
      <w:proofErr w:type="gramStart"/>
      <w:r w:rsidR="00197840">
        <w:t>_(</w:t>
      </w:r>
      <w:proofErr w:type="gramEnd"/>
      <w:r w:rsidR="00197840">
        <w:t xml:space="preserve">KSF-1T) </w:t>
      </w:r>
      <w:r w:rsidRPr="00C90851">
        <w:t>is part of the</w:t>
      </w:r>
      <w:r>
        <w:t xml:space="preserve"> Executive Officer’s </w:t>
      </w:r>
      <w:r w:rsidRPr="00A62741">
        <w:rPr>
          <w:u w:val="single"/>
        </w:rPr>
        <w:t>incentive</w:t>
      </w:r>
      <w:r>
        <w:t xml:space="preserve"> compensation.  These two forms of compensation are </w:t>
      </w:r>
      <w:r w:rsidRPr="00A62741">
        <w:rPr>
          <w:u w:val="single"/>
        </w:rPr>
        <w:t>not</w:t>
      </w:r>
      <w:r>
        <w:t xml:space="preserve"> similar, as one is </w:t>
      </w:r>
      <w:r w:rsidR="009F3480" w:rsidRPr="009F3480">
        <w:rPr>
          <w:u w:val="single"/>
        </w:rPr>
        <w:t>base</w:t>
      </w:r>
      <w:r w:rsidR="009F3480">
        <w:t xml:space="preserve"> </w:t>
      </w:r>
      <w:r>
        <w:t>compensation</w:t>
      </w:r>
      <w:r w:rsidR="00463254">
        <w:t>,</w:t>
      </w:r>
      <w:r>
        <w:t xml:space="preserve"> while the other is incentive compensation; therefore there is no basis for comparison.</w:t>
      </w:r>
    </w:p>
    <w:p w:rsidR="002819BE" w:rsidRDefault="002819BE" w:rsidP="002819BE">
      <w:pPr>
        <w:pStyle w:val="answer"/>
        <w:widowControl w:val="0"/>
        <w:spacing w:before="0" w:after="0"/>
        <w:ind w:left="0" w:firstLine="720"/>
        <w:jc w:val="both"/>
        <w:rPr>
          <w:bCs/>
        </w:rPr>
      </w:pPr>
      <w:r w:rsidRPr="00D517C5">
        <w:t xml:space="preserve">Public Counsel also recommends </w:t>
      </w:r>
      <w:r w:rsidRPr="00D517C5">
        <w:rPr>
          <w:bCs/>
        </w:rPr>
        <w:t>an overall reduction to the cash compensation</w:t>
      </w:r>
      <w:r>
        <w:rPr>
          <w:bCs/>
        </w:rPr>
        <w:t>,</w:t>
      </w:r>
      <w:r w:rsidRPr="00D517C5">
        <w:rPr>
          <w:bCs/>
        </w:rPr>
        <w:t xml:space="preserve"> as well as a 50% sharing of Board of Director’s </w:t>
      </w:r>
      <w:r>
        <w:rPr>
          <w:bCs/>
        </w:rPr>
        <w:t>r</w:t>
      </w:r>
      <w:r w:rsidRPr="00D517C5">
        <w:rPr>
          <w:bCs/>
        </w:rPr>
        <w:t xml:space="preserve">etainer </w:t>
      </w:r>
      <w:r>
        <w:rPr>
          <w:bCs/>
        </w:rPr>
        <w:t>f</w:t>
      </w:r>
      <w:r w:rsidRPr="00D517C5">
        <w:rPr>
          <w:bCs/>
        </w:rPr>
        <w:t>ees</w:t>
      </w:r>
      <w:r>
        <w:rPr>
          <w:bCs/>
        </w:rPr>
        <w:t>,</w:t>
      </w:r>
      <w:r w:rsidRPr="00D517C5">
        <w:rPr>
          <w:bCs/>
        </w:rPr>
        <w:t xml:space="preserve"> based on </w:t>
      </w:r>
      <w:r>
        <w:rPr>
          <w:bCs/>
        </w:rPr>
        <w:t>its</w:t>
      </w:r>
      <w:r w:rsidRPr="00D517C5">
        <w:rPr>
          <w:bCs/>
        </w:rPr>
        <w:t xml:space="preserve"> assertion </w:t>
      </w:r>
      <w:r>
        <w:rPr>
          <w:bCs/>
        </w:rPr>
        <w:t xml:space="preserve">that the levels paid to Avista’s </w:t>
      </w:r>
      <w:r w:rsidRPr="00D517C5">
        <w:rPr>
          <w:bCs/>
        </w:rPr>
        <w:t>Board of Director</w:t>
      </w:r>
      <w:r>
        <w:rPr>
          <w:bCs/>
        </w:rPr>
        <w:t>s</w:t>
      </w:r>
      <w:r w:rsidRPr="00D517C5">
        <w:rPr>
          <w:bCs/>
        </w:rPr>
        <w:t xml:space="preserve"> </w:t>
      </w:r>
      <w:r>
        <w:rPr>
          <w:bCs/>
        </w:rPr>
        <w:t xml:space="preserve">are </w:t>
      </w:r>
      <w:r w:rsidRPr="00D517C5">
        <w:rPr>
          <w:bCs/>
        </w:rPr>
        <w:t>not reasonable in comparison to other peer companies</w:t>
      </w:r>
      <w:r>
        <w:rPr>
          <w:bCs/>
        </w:rPr>
        <w:t xml:space="preserve">.  As described in Company witness Ms. Andrews’ direct testimony, however, the Company fully supported its use of a 90% utility / 10% non-utility allocation for Board of Director compensation. As with other contested adjustments, however, the Company took into account the litigation position of the parties in reaching an overall settlement. </w:t>
      </w:r>
    </w:p>
    <w:p w:rsidR="002819BE" w:rsidRPr="0005501F" w:rsidRDefault="002819BE" w:rsidP="002819BE">
      <w:pPr>
        <w:pStyle w:val="answer"/>
        <w:widowControl w:val="0"/>
        <w:spacing w:before="0" w:after="0"/>
        <w:jc w:val="both"/>
        <w:rPr>
          <w:b/>
          <w:bCs/>
          <w:u w:val="single"/>
        </w:rPr>
      </w:pPr>
      <w:r w:rsidRPr="0005501F">
        <w:rPr>
          <w:b/>
          <w:bCs/>
          <w:u w:val="single"/>
        </w:rPr>
        <w:t>D &amp; O Insurance</w:t>
      </w:r>
    </w:p>
    <w:p w:rsidR="002819BE" w:rsidRPr="004638C2" w:rsidRDefault="002819BE" w:rsidP="002819BE">
      <w:pPr>
        <w:tabs>
          <w:tab w:val="left" w:pos="1440"/>
        </w:tabs>
        <w:spacing w:line="480" w:lineRule="auto"/>
        <w:ind w:firstLine="720"/>
        <w:jc w:val="both"/>
        <w:rPr>
          <w:b/>
        </w:rPr>
      </w:pPr>
      <w:r w:rsidRPr="004638C2">
        <w:rPr>
          <w:b/>
        </w:rPr>
        <w:t>Q.</w:t>
      </w:r>
      <w:r>
        <w:rPr>
          <w:b/>
        </w:rPr>
        <w:tab/>
      </w:r>
      <w:r w:rsidR="008E31EE">
        <w:rPr>
          <w:b/>
        </w:rPr>
        <w:t xml:space="preserve">What is Avista’s response to </w:t>
      </w:r>
      <w:r w:rsidRPr="004638C2">
        <w:rPr>
          <w:b/>
        </w:rPr>
        <w:t>Public Counsel</w:t>
      </w:r>
      <w:r w:rsidR="008E31EE">
        <w:rPr>
          <w:b/>
        </w:rPr>
        <w:t>’s testimony regarding</w:t>
      </w:r>
      <w:r>
        <w:rPr>
          <w:b/>
        </w:rPr>
        <w:t xml:space="preserve"> D&amp;O insurance</w:t>
      </w:r>
      <w:r w:rsidRPr="004638C2">
        <w:rPr>
          <w:b/>
        </w:rPr>
        <w:t>?</w:t>
      </w:r>
    </w:p>
    <w:p w:rsidR="002819BE" w:rsidRPr="004638C2" w:rsidRDefault="002819BE" w:rsidP="008E31EE">
      <w:pPr>
        <w:spacing w:line="480" w:lineRule="auto"/>
        <w:ind w:firstLine="720"/>
        <w:jc w:val="both"/>
      </w:pPr>
      <w:r w:rsidRPr="004638C2">
        <w:t xml:space="preserve">A. </w:t>
      </w:r>
      <w:r w:rsidRPr="004638C2">
        <w:tab/>
      </w:r>
      <w:r>
        <w:t xml:space="preserve">Mr. Coppola argues that the 90% </w:t>
      </w:r>
      <w:r w:rsidR="00197840">
        <w:t>u</w:t>
      </w:r>
      <w:r>
        <w:t xml:space="preserve">tility-allocated portion of Director and Officer (D&amp;O) insurance in </w:t>
      </w:r>
      <w:r w:rsidR="008E31EE">
        <w:t>Avista’</w:t>
      </w:r>
      <w:r>
        <w:t xml:space="preserve">s direct filed case, as </w:t>
      </w:r>
      <w:r w:rsidR="00463254">
        <w:t xml:space="preserve">previously </w:t>
      </w:r>
      <w:r>
        <w:t xml:space="preserve">approved by this Commission in Dockets UE-090134 and UG-090135, is inappropriate, and instead </w:t>
      </w:r>
      <w:r w:rsidRPr="004638C2">
        <w:t xml:space="preserve">proposes the removal of 50% of the Company’s </w:t>
      </w:r>
      <w:r w:rsidR="00197840">
        <w:t>u</w:t>
      </w:r>
      <w:r>
        <w:t xml:space="preserve">tility </w:t>
      </w:r>
      <w:r w:rsidRPr="004638C2">
        <w:t>D&amp;O insurance</w:t>
      </w:r>
      <w:r>
        <w:t xml:space="preserve">.  In its arguments, </w:t>
      </w:r>
      <w:r w:rsidRPr="004638C2">
        <w:t xml:space="preserve">Public Counsel </w:t>
      </w:r>
      <w:r>
        <w:t>merely recites the same arguments that were rejected by the Commission in the Company’s 2009 general rate case in Dockets UE-090134 and UG-090135</w:t>
      </w:r>
      <w:r w:rsidR="008E31EE">
        <w:t>.</w:t>
      </w:r>
      <w:r>
        <w:t xml:space="preserve"> </w:t>
      </w:r>
      <w:r w:rsidRPr="004638C2">
        <w:t xml:space="preserve">D&amp;O insurance was created as a means to address the financial cost of risks </w:t>
      </w:r>
      <w:r>
        <w:t>attendant</w:t>
      </w:r>
      <w:r w:rsidRPr="004638C2">
        <w:t xml:space="preserve"> to serving as a director or officer of the corporation</w:t>
      </w:r>
      <w:r>
        <w:t xml:space="preserve"> and is a </w:t>
      </w:r>
      <w:r w:rsidRPr="004638C2">
        <w:t>necessary adjunct to operating as a publicly</w:t>
      </w:r>
      <w:r>
        <w:t>-</w:t>
      </w:r>
      <w:r w:rsidRPr="004638C2">
        <w:t>traded company</w:t>
      </w:r>
      <w:r>
        <w:t>. A</w:t>
      </w:r>
      <w:r w:rsidRPr="004638C2">
        <w:t>s a publicly</w:t>
      </w:r>
      <w:r w:rsidR="00197840">
        <w:t>-</w:t>
      </w:r>
      <w:r w:rsidRPr="004638C2">
        <w:t>traded</w:t>
      </w:r>
      <w:r w:rsidR="00197840">
        <w:t xml:space="preserve"> </w:t>
      </w:r>
      <w:r w:rsidRPr="004638C2">
        <w:t>company, it needs access to the public capital markets to finance its operations for the benefit of customers.</w:t>
      </w:r>
      <w:r>
        <w:t xml:space="preserve"> Without adequate D&amp;O insurance, t</w:t>
      </w:r>
      <w:r w:rsidRPr="004638C2">
        <w:t>he Company would be unable to attract or retain capable individuals for the board of directors or to otherwise serve as officers.  No qualified individual would agree to serve as a board member or officer without the benefit of such insurance.  The purpose</w:t>
      </w:r>
      <w:r w:rsidR="00197840">
        <w:t>,</w:t>
      </w:r>
      <w:r w:rsidRPr="004638C2">
        <w:t xml:space="preserve"> </w:t>
      </w:r>
      <w:r>
        <w:t>therefore</w:t>
      </w:r>
      <w:r w:rsidR="00197840">
        <w:t>,</w:t>
      </w:r>
      <w:r>
        <w:t xml:space="preserve"> </w:t>
      </w:r>
      <w:r w:rsidRPr="004638C2">
        <w:t xml:space="preserve">of the insurance is not to pay shareholders, but to address the financial exposure risks of directors and officers. </w:t>
      </w:r>
      <w:r>
        <w:t xml:space="preserve">The Commission agreed with the Company in </w:t>
      </w:r>
      <w:r w:rsidRPr="004638C2">
        <w:t xml:space="preserve">its order in Docket UE-090134 and UG-090135, </w:t>
      </w:r>
      <w:r>
        <w:t xml:space="preserve">when this </w:t>
      </w:r>
      <w:r w:rsidRPr="004638C2">
        <w:t>Commission found that D&amp;O insurance should be allocated 90/10 between utility and non-utility.</w:t>
      </w:r>
      <w:r>
        <w:rPr>
          <w:rStyle w:val="FootnoteReference"/>
        </w:rPr>
        <w:footnoteReference w:id="24"/>
      </w:r>
      <w:r w:rsidRPr="004638C2">
        <w:t xml:space="preserve">  </w:t>
      </w:r>
    </w:p>
    <w:p w:rsidR="002819BE" w:rsidRDefault="002819BE" w:rsidP="002819BE">
      <w:pPr>
        <w:pStyle w:val="answer"/>
        <w:widowControl w:val="0"/>
        <w:spacing w:before="0" w:after="0"/>
        <w:jc w:val="both"/>
        <w:rPr>
          <w:b/>
          <w:bCs/>
          <w:u w:val="single"/>
        </w:rPr>
      </w:pPr>
      <w:r>
        <w:rPr>
          <w:b/>
          <w:bCs/>
          <w:u w:val="single"/>
        </w:rPr>
        <w:t xml:space="preserve">Miscellaneous A&amp;G Expenses and Internal </w:t>
      </w:r>
      <w:r w:rsidRPr="005401D6">
        <w:rPr>
          <w:b/>
          <w:bCs/>
          <w:u w:val="single"/>
        </w:rPr>
        <w:t>Accounting Audit</w:t>
      </w:r>
    </w:p>
    <w:p w:rsidR="002819BE" w:rsidRDefault="002819BE" w:rsidP="002819BE">
      <w:pPr>
        <w:pStyle w:val="answer"/>
        <w:widowControl w:val="0"/>
        <w:spacing w:before="0" w:after="0"/>
        <w:ind w:left="0" w:firstLine="0"/>
        <w:jc w:val="both"/>
        <w:rPr>
          <w:b/>
          <w:bCs/>
        </w:rPr>
      </w:pPr>
      <w:r>
        <w:rPr>
          <w:b/>
          <w:bCs/>
        </w:rPr>
        <w:tab/>
        <w:t>Q.</w:t>
      </w:r>
      <w:r>
        <w:rPr>
          <w:b/>
          <w:bCs/>
        </w:rPr>
        <w:tab/>
      </w:r>
      <w:r w:rsidR="008E31EE">
        <w:rPr>
          <w:b/>
          <w:bCs/>
        </w:rPr>
        <w:t xml:space="preserve">What is the Company’s response to </w:t>
      </w:r>
      <w:r>
        <w:rPr>
          <w:b/>
          <w:bCs/>
        </w:rPr>
        <w:t>Public Counsel</w:t>
      </w:r>
      <w:r w:rsidR="008E31EE">
        <w:rPr>
          <w:b/>
          <w:bCs/>
        </w:rPr>
        <w:t xml:space="preserve">’s testimony regarding </w:t>
      </w:r>
      <w:r>
        <w:rPr>
          <w:b/>
          <w:bCs/>
        </w:rPr>
        <w:t xml:space="preserve">other miscellaneous A&amp;G expenses, and the Company’s Internal Accounting Audit of A&amp;G expenditures? </w:t>
      </w:r>
    </w:p>
    <w:p w:rsidR="002819BE" w:rsidRDefault="002819BE" w:rsidP="002819BE">
      <w:pPr>
        <w:pStyle w:val="answer"/>
        <w:widowControl w:val="0"/>
        <w:spacing w:before="0" w:after="0"/>
        <w:ind w:left="0" w:firstLine="720"/>
        <w:jc w:val="both"/>
      </w:pPr>
      <w:r>
        <w:t>A.</w:t>
      </w:r>
      <w:r>
        <w:tab/>
      </w:r>
      <w:r w:rsidR="008E31EE">
        <w:t>With regard to the accounting audit, the</w:t>
      </w:r>
      <w:r>
        <w:t xml:space="preserve"> Company has complied with the past two Commission orders in which this Commission ordered Avista to complete an internal accounting audit of A&amp;G expenses and report those findings to the Commission.  In the Company’s 2011 general rate case proceeding, Dockets UE-110876 and UG-110877, the Company provided the results of the 2010 Internal Accounting Audit of </w:t>
      </w:r>
      <w:proofErr w:type="gramStart"/>
      <w:r>
        <w:t>A&amp;G</w:t>
      </w:r>
      <w:proofErr w:type="gramEnd"/>
      <w:r>
        <w:t xml:space="preserve"> expenditures completed in early 2011.  This report explained what the Company was doing to improve its accounting records and treatment of utility versus non-utility expenditures, and the proper allocations between service</w:t>
      </w:r>
      <w:r w:rsidR="00197840">
        <w:t>s</w:t>
      </w:r>
      <w:r>
        <w:t xml:space="preserve"> and jurisdictions.  </w:t>
      </w:r>
    </w:p>
    <w:p w:rsidR="002819BE" w:rsidRDefault="002819BE" w:rsidP="002819BE">
      <w:pPr>
        <w:pStyle w:val="answer"/>
        <w:widowControl w:val="0"/>
        <w:spacing w:before="0" w:after="0"/>
        <w:ind w:left="0" w:firstLine="720"/>
        <w:jc w:val="both"/>
      </w:pPr>
      <w:r>
        <w:t xml:space="preserve">Again, in the Company’s direct filing in this proceeding, Ms. Andrews included </w:t>
      </w:r>
      <w:r w:rsidRPr="001C40A5">
        <w:t>Exhibit No. _</w:t>
      </w:r>
      <w:proofErr w:type="gramStart"/>
      <w:r w:rsidRPr="001C40A5">
        <w:t>_(</w:t>
      </w:r>
      <w:proofErr w:type="gramEnd"/>
      <w:r w:rsidRPr="001C40A5">
        <w:t>EMA-4)</w:t>
      </w:r>
      <w:r>
        <w:t xml:space="preserve"> providing the results of the 2011 Internal Accounting Audit of A&amp;G expenses completed in February of 2012.  This report showed the amount of the errors totaled </w:t>
      </w:r>
      <w:r w:rsidRPr="005617CF">
        <w:rPr>
          <w:szCs w:val="24"/>
        </w:rPr>
        <w:t xml:space="preserve">approximately $12,530.  This </w:t>
      </w:r>
      <w:r w:rsidR="005617CF" w:rsidRPr="005617CF">
        <w:rPr>
          <w:szCs w:val="24"/>
        </w:rPr>
        <w:t xml:space="preserve">amount </w:t>
      </w:r>
      <w:r w:rsidRPr="005617CF">
        <w:rPr>
          <w:szCs w:val="24"/>
        </w:rPr>
        <w:t>was included as a reduction to expense within the Company’s direct filing.  The report also detailed improvements that have been made by the Company in certain areas during 2011 (see Exhibit No. _</w:t>
      </w:r>
      <w:proofErr w:type="gramStart"/>
      <w:r w:rsidRPr="005617CF">
        <w:rPr>
          <w:szCs w:val="24"/>
        </w:rPr>
        <w:t>_(</w:t>
      </w:r>
      <w:proofErr w:type="gramEnd"/>
      <w:r w:rsidRPr="005617CF">
        <w:rPr>
          <w:szCs w:val="24"/>
        </w:rPr>
        <w:t>EMA-4), page 5), such as formal training provided to the Company’s employees; accounting guidelines which were developed, communicated, and made available to all employees; new detective controls, including the review of specific accounts and expenditure types, which were implemented in 2011; and experts within the Company were identified as a resource for employees to provide departments with guidance and support to ensure compliance with the Company’s accounting guidelines.</w:t>
      </w:r>
      <w:r>
        <w:rPr>
          <w:sz w:val="23"/>
          <w:szCs w:val="23"/>
        </w:rPr>
        <w:t xml:space="preserve"> </w:t>
      </w:r>
      <w:r>
        <w:t xml:space="preserve"> </w:t>
      </w:r>
    </w:p>
    <w:p w:rsidR="002819BE" w:rsidRDefault="002819BE" w:rsidP="002819BE">
      <w:pPr>
        <w:pStyle w:val="answer"/>
        <w:widowControl w:val="0"/>
        <w:spacing w:before="0" w:after="0"/>
        <w:ind w:left="0" w:firstLine="720"/>
        <w:jc w:val="both"/>
      </w:pPr>
      <w:r>
        <w:t>As discussed by Ms. Andrews in her direct testimony, the revenue requirement calculations provided by Ms. Andrews included a “Miscellaneous Adjustment,” which remov</w:t>
      </w:r>
      <w:r w:rsidR="00197840">
        <w:t>ed</w:t>
      </w:r>
      <w:r>
        <w:t xml:space="preserve"> or reallocat</w:t>
      </w:r>
      <w:r w:rsidR="00197840">
        <w:t>ed</w:t>
      </w:r>
      <w:r>
        <w:t xml:space="preserve"> of A&amp;G expenses as a result of extensive analysis of 2011 test period results by Rate Department personnel, which also included the Internal Audit Report findings.   </w:t>
      </w:r>
    </w:p>
    <w:p w:rsidR="002819BE" w:rsidRDefault="002819BE" w:rsidP="002819BE">
      <w:pPr>
        <w:pStyle w:val="answer"/>
        <w:widowControl w:val="0"/>
        <w:spacing w:before="0" w:after="0"/>
        <w:ind w:left="0" w:firstLine="720"/>
        <w:jc w:val="both"/>
      </w:pPr>
      <w:r>
        <w:t xml:space="preserve">Going forward, although the </w:t>
      </w:r>
      <w:r w:rsidRPr="00217425">
        <w:t>Company cannot guarantee</w:t>
      </w:r>
      <w:r>
        <w:t xml:space="preserve"> that errors for these types of costs or expenses will never occur (given the </w:t>
      </w:r>
      <w:r w:rsidRPr="008F6401">
        <w:t>universe of 670,000 accounting transaction</w:t>
      </w:r>
      <w:r w:rsidR="000334C5">
        <w:t>s</w:t>
      </w:r>
      <w:r w:rsidRPr="008F6401">
        <w:t xml:space="preserve"> </w:t>
      </w:r>
      <w:r w:rsidR="00463254">
        <w:t xml:space="preserve">within </w:t>
      </w:r>
      <w:r>
        <w:t>Accounts 400-935), the Company believes it has taken, and continues to take, steps to minimize the accounting errors found in its test period results.  This good faith effort is evident from the reduction in expenses needing removal from the Company’s test period results as identified in the Company’s direct filing; and even those identified by Public Counsel through their extensive audit efforts during the discovery process in this proceeding were relatively small.</w:t>
      </w:r>
    </w:p>
    <w:p w:rsidR="002819BE" w:rsidRPr="005617CF" w:rsidRDefault="002819BE" w:rsidP="002819BE">
      <w:pPr>
        <w:pStyle w:val="answer"/>
        <w:widowControl w:val="0"/>
        <w:spacing w:before="0" w:after="0"/>
        <w:ind w:left="0" w:firstLine="720"/>
        <w:jc w:val="both"/>
      </w:pPr>
      <w:r>
        <w:t xml:space="preserve">The specific expenses which the Company agreed were charged to the </w:t>
      </w:r>
      <w:r w:rsidR="00463254">
        <w:t xml:space="preserve">utility </w:t>
      </w:r>
      <w:r>
        <w:t xml:space="preserve">rather </w:t>
      </w:r>
      <w:r w:rsidRPr="005617CF">
        <w:t>than non-utility in error, totaled $7,000 electric and $6,000 natural gas</w:t>
      </w:r>
      <w:r w:rsidRPr="005617CF">
        <w:rPr>
          <w:rStyle w:val="FootnoteReference"/>
        </w:rPr>
        <w:footnoteReference w:id="25"/>
      </w:r>
      <w:r w:rsidRPr="005617CF">
        <w:t xml:space="preserve">.  Other expenses claimed to be charged to inappropriate </w:t>
      </w:r>
      <w:r w:rsidR="00463254">
        <w:t>u</w:t>
      </w:r>
      <w:r w:rsidR="00463254" w:rsidRPr="005617CF">
        <w:t xml:space="preserve">tility </w:t>
      </w:r>
      <w:r w:rsidRPr="005617CF">
        <w:t xml:space="preserve">expense accounts by Public Counsel, </w:t>
      </w:r>
      <w:r w:rsidR="00197840">
        <w:t>instead of</w:t>
      </w:r>
      <w:r w:rsidRPr="005617CF">
        <w:t xml:space="preserve"> energy efficiency (or DSM) programs</w:t>
      </w:r>
      <w:r w:rsidR="00197840">
        <w:t>,</w:t>
      </w:r>
      <w:r w:rsidRPr="005617CF">
        <w:t xml:space="preserve"> totaled $3,000 electric and $17,000 natural gas.  Additional expenditures related to A&amp;G (not including </w:t>
      </w:r>
      <w:r w:rsidR="00197840">
        <w:t xml:space="preserve">items such as </w:t>
      </w:r>
      <w:r w:rsidRPr="005617CF">
        <w:t xml:space="preserve">incentives, compensation, </w:t>
      </w:r>
      <w:r w:rsidR="00197840">
        <w:t xml:space="preserve">or </w:t>
      </w:r>
      <w:r w:rsidRPr="005617CF">
        <w:t xml:space="preserve">D&amp;O insurance noted above) totaled $170,000 electric and $41,000 natural gas, all of which would have been contested by the Company through litigation. </w:t>
      </w:r>
    </w:p>
    <w:p w:rsidR="002819BE" w:rsidRPr="005617CF" w:rsidRDefault="002819BE" w:rsidP="002819BE">
      <w:pPr>
        <w:pStyle w:val="BodyTextIndent"/>
        <w:spacing w:line="480" w:lineRule="auto"/>
        <w:ind w:left="0" w:firstLine="720"/>
        <w:jc w:val="both"/>
      </w:pPr>
      <w:r w:rsidRPr="005617CF">
        <w:t xml:space="preserve">Staff witness Mr. Keating </w:t>
      </w:r>
      <w:r w:rsidR="00C20FFF">
        <w:t xml:space="preserve">provided </w:t>
      </w:r>
      <w:r w:rsidR="00197840">
        <w:t>important</w:t>
      </w:r>
      <w:r w:rsidR="00C20FFF">
        <w:t xml:space="preserve"> perspective in</w:t>
      </w:r>
      <w:r w:rsidRPr="005617CF">
        <w:t xml:space="preserve"> his direct testimony in this proceeding at Exhibit No. __</w:t>
      </w:r>
      <w:r w:rsidRPr="005617CF">
        <w:rPr>
          <w:szCs w:val="20"/>
        </w:rPr>
        <w:t xml:space="preserve">T (EJK-1T), </w:t>
      </w:r>
      <w:r w:rsidRPr="005617CF">
        <w:t>page 16, line 1, through page 17, line</w:t>
      </w:r>
      <w:r w:rsidR="00334FD0">
        <w:t xml:space="preserve"> </w:t>
      </w:r>
      <w:r w:rsidRPr="005617CF">
        <w:t>12:</w:t>
      </w:r>
    </w:p>
    <w:p w:rsidR="002819BE" w:rsidRDefault="002819BE" w:rsidP="00F76FDE">
      <w:pPr>
        <w:pStyle w:val="BodyTextIndent"/>
        <w:spacing w:after="0"/>
        <w:ind w:left="720" w:right="-36"/>
        <w:jc w:val="both"/>
      </w:pPr>
      <w:r w:rsidRPr="005617CF">
        <w:t>The Company’s accounting for these items [A&amp;G expenses] has been the subject of controversy over the past few rate cases, and the Company has made changes to its accounting procedures and it has trained its employees on these new systems. …The Internal Audit concluded that the appropriate accounting and allocation of utility expenditures in Subset A was not occurring within the tolerable rate, while Subset B was within the tolerable rate. ...It is noteworthy that the majority of the errors were the result of booking expenditures to the wrong FERC Account or Service, not booking amounts to regulated operations rather than unregulated operations, or vice versa.  While it is reasonable for the Commission to expect improvement in this area, it is not reasonable to expect perfection.  The cost of improvements needs to be weighed against the benefits.</w:t>
      </w:r>
      <w:r w:rsidR="001846C4">
        <w:t xml:space="preserve">  </w:t>
      </w:r>
      <w:r w:rsidRPr="005617CF">
        <w:t>This adjustment is important, but more for principle than materiality.</w:t>
      </w:r>
    </w:p>
    <w:p w:rsidR="001846C4" w:rsidRPr="005617CF" w:rsidRDefault="001846C4" w:rsidP="002819BE">
      <w:pPr>
        <w:pStyle w:val="BodyTextIndent"/>
        <w:ind w:left="1080" w:right="648"/>
        <w:jc w:val="both"/>
      </w:pPr>
    </w:p>
    <w:p w:rsidR="00BF6CAC" w:rsidRPr="001C0BD0" w:rsidRDefault="00BF6CAC" w:rsidP="00463254">
      <w:pPr>
        <w:pStyle w:val="Question"/>
        <w:spacing w:line="480" w:lineRule="auto"/>
        <w:jc w:val="both"/>
        <w:rPr>
          <w:rFonts w:ascii="Times New Roman" w:hAnsi="Times New Roman"/>
        </w:rPr>
      </w:pPr>
      <w:r w:rsidRPr="001C0BD0">
        <w:rPr>
          <w:rFonts w:ascii="Times New Roman" w:hAnsi="Times New Roman"/>
        </w:rPr>
        <w:t xml:space="preserve">Q.  </w:t>
      </w:r>
      <w:r w:rsidRPr="001C0BD0">
        <w:rPr>
          <w:rFonts w:ascii="Times New Roman" w:hAnsi="Times New Roman"/>
        </w:rPr>
        <w:tab/>
        <w:t>Doe</w:t>
      </w:r>
      <w:r w:rsidR="00794A8E">
        <w:rPr>
          <w:rFonts w:ascii="Times New Roman" w:hAnsi="Times New Roman"/>
        </w:rPr>
        <w:t>s this conclude your</w:t>
      </w:r>
      <w:r w:rsidR="00037C01">
        <w:rPr>
          <w:rFonts w:ascii="Times New Roman" w:hAnsi="Times New Roman"/>
        </w:rPr>
        <w:t xml:space="preserve"> pre-filed</w:t>
      </w:r>
      <w:r w:rsidR="00794A8E">
        <w:rPr>
          <w:rFonts w:ascii="Times New Roman" w:hAnsi="Times New Roman"/>
        </w:rPr>
        <w:t xml:space="preserve"> rebuttal</w:t>
      </w:r>
      <w:r w:rsidRPr="001C0BD0">
        <w:rPr>
          <w:rFonts w:ascii="Times New Roman" w:hAnsi="Times New Roman"/>
        </w:rPr>
        <w:t xml:space="preserve"> testimony?</w:t>
      </w:r>
    </w:p>
    <w:p w:rsidR="00914F08" w:rsidRPr="00F72F9A" w:rsidRDefault="00BF6CAC" w:rsidP="00E90E6D">
      <w:pPr>
        <w:spacing w:line="480" w:lineRule="auto"/>
        <w:ind w:firstLine="720"/>
      </w:pPr>
      <w:r w:rsidRPr="0020672A">
        <w:t>A.</w:t>
      </w:r>
      <w:r w:rsidRPr="0020672A">
        <w:rPr>
          <w:b/>
        </w:rPr>
        <w:t xml:space="preserve">  </w:t>
      </w:r>
      <w:r>
        <w:rPr>
          <w:b/>
        </w:rPr>
        <w:tab/>
      </w:r>
      <w:r>
        <w:t xml:space="preserve">Yes. </w:t>
      </w:r>
    </w:p>
    <w:sectPr w:rsidR="00914F08" w:rsidRPr="00F72F9A" w:rsidSect="00D87060">
      <w:pgSz w:w="12240" w:h="15840" w:code="1"/>
      <w:pgMar w:top="1440" w:right="1584"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69" w:rsidRDefault="008B4769">
      <w:r>
        <w:separator/>
      </w:r>
    </w:p>
  </w:endnote>
  <w:endnote w:type="continuationSeparator" w:id="0">
    <w:p w:rsidR="008B4769" w:rsidRDefault="008B4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69" w:rsidRPr="00D87060" w:rsidRDefault="008B4769">
    <w:pPr>
      <w:pStyle w:val="Footer"/>
      <w:tabs>
        <w:tab w:val="clear" w:pos="4320"/>
        <w:tab w:val="clear" w:pos="8640"/>
        <w:tab w:val="left" w:pos="180"/>
        <w:tab w:val="right" w:pos="9360"/>
      </w:tabs>
    </w:pPr>
    <w:r w:rsidRPr="00D87060">
      <w:t>Rebuttal Testimony of Kelly O. Norwood</w:t>
    </w:r>
    <w:r w:rsidRPr="00D87060">
      <w:tab/>
    </w:r>
  </w:p>
  <w:p w:rsidR="008B4769" w:rsidRPr="00D87060" w:rsidRDefault="008B4769">
    <w:pPr>
      <w:pStyle w:val="Footer"/>
      <w:tabs>
        <w:tab w:val="clear" w:pos="4320"/>
        <w:tab w:val="clear" w:pos="8640"/>
        <w:tab w:val="left" w:pos="180"/>
        <w:tab w:val="right" w:pos="9360"/>
      </w:tabs>
    </w:pPr>
    <w:r w:rsidRPr="00D87060">
      <w:t>Avista Corporation</w:t>
    </w:r>
  </w:p>
  <w:p w:rsidR="008B4769" w:rsidRPr="00D87060" w:rsidRDefault="008B4769" w:rsidP="00D87060">
    <w:pPr>
      <w:pStyle w:val="Footer"/>
      <w:tabs>
        <w:tab w:val="clear" w:pos="4320"/>
        <w:tab w:val="clear" w:pos="8640"/>
        <w:tab w:val="left" w:pos="180"/>
        <w:tab w:val="right" w:pos="8730"/>
      </w:tabs>
      <w:rPr>
        <w:rStyle w:val="PageNumber"/>
      </w:rPr>
    </w:pPr>
    <w:r w:rsidRPr="00D87060">
      <w:t>Docket Nos. UE-120436 &amp; UG-120437</w:t>
    </w:r>
    <w:r>
      <w:t xml:space="preserve"> / </w:t>
    </w:r>
    <w:r w:rsidRPr="00D87060">
      <w:t>UE-110876 &amp; UG-110877</w:t>
    </w:r>
    <w:r>
      <w:t xml:space="preserve">  </w:t>
    </w:r>
    <w:r>
      <w:tab/>
    </w:r>
    <w:r w:rsidRPr="00D87060">
      <w:t xml:space="preserve">Page </w:t>
    </w:r>
    <w:r w:rsidRPr="00D87060">
      <w:rPr>
        <w:rStyle w:val="PageNumber"/>
      </w:rPr>
      <w:fldChar w:fldCharType="begin"/>
    </w:r>
    <w:r w:rsidRPr="00D87060">
      <w:rPr>
        <w:rStyle w:val="PageNumber"/>
      </w:rPr>
      <w:instrText xml:space="preserve"> PAGE </w:instrText>
    </w:r>
    <w:r w:rsidRPr="00D87060">
      <w:rPr>
        <w:rStyle w:val="PageNumber"/>
      </w:rPr>
      <w:fldChar w:fldCharType="separate"/>
    </w:r>
    <w:r w:rsidR="00C531C2">
      <w:rPr>
        <w:rStyle w:val="PageNumber"/>
        <w:noProof/>
      </w:rPr>
      <w:t>31</w:t>
    </w:r>
    <w:r w:rsidRPr="00D87060">
      <w:rPr>
        <w:rStyle w:val="PageNumber"/>
      </w:rPr>
      <w:fldChar w:fldCharType="end"/>
    </w:r>
  </w:p>
  <w:p w:rsidR="008B4769" w:rsidRPr="00C66B50" w:rsidRDefault="008B4769">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69" w:rsidRDefault="008B4769">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69" w:rsidRDefault="008B4769">
      <w:r>
        <w:separator/>
      </w:r>
    </w:p>
  </w:footnote>
  <w:footnote w:type="continuationSeparator" w:id="0">
    <w:p w:rsidR="008B4769" w:rsidRDefault="008B4769">
      <w:r>
        <w:continuationSeparator/>
      </w:r>
    </w:p>
  </w:footnote>
  <w:footnote w:id="1">
    <w:p w:rsidR="008B4769" w:rsidRDefault="008B4769" w:rsidP="00F76FDE">
      <w:pPr>
        <w:pStyle w:val="FootnoteText"/>
        <w:jc w:val="both"/>
      </w:pPr>
      <w:r>
        <w:rPr>
          <w:rStyle w:val="FootnoteReference"/>
        </w:rPr>
        <w:footnoteRef/>
      </w:r>
      <w:r>
        <w:t xml:space="preserve"> Lea Daeschel (Exhibit No. </w:t>
      </w:r>
      <w:proofErr w:type="gramStart"/>
      <w:r>
        <w:t>____ (LD-1CT), page 2, line 11), and James Dittmer (Exhibit No.</w:t>
      </w:r>
      <w:proofErr w:type="gramEnd"/>
      <w:r>
        <w:t xml:space="preserve"> ____ (JRD-12CT), page 4, line 4).</w:t>
      </w:r>
    </w:p>
  </w:footnote>
  <w:footnote w:id="2">
    <w:p w:rsidR="008B4769" w:rsidRDefault="008B4769" w:rsidP="00805965">
      <w:pPr>
        <w:pStyle w:val="FootnoteText"/>
      </w:pPr>
      <w:r>
        <w:rPr>
          <w:rStyle w:val="FootnoteReference"/>
        </w:rPr>
        <w:footnoteRef/>
      </w:r>
      <w:r>
        <w:t xml:space="preserve"> </w:t>
      </w:r>
      <w:proofErr w:type="gramStart"/>
      <w:r>
        <w:t>Fed.</w:t>
      </w:r>
      <w:proofErr w:type="gramEnd"/>
      <w:r>
        <w:t xml:space="preserve"> Power </w:t>
      </w:r>
      <w:proofErr w:type="spellStart"/>
      <w:r>
        <w:t>Comm’n</w:t>
      </w:r>
      <w:proofErr w:type="spellEnd"/>
      <w:r>
        <w:t xml:space="preserve"> v. Hope Natural Gas Co., 320 U.S. 591, 603 (1944)</w:t>
      </w:r>
    </w:p>
  </w:footnote>
  <w:footnote w:id="3">
    <w:p w:rsidR="008B4769" w:rsidRDefault="008B4769" w:rsidP="00AF4BC7">
      <w:pPr>
        <w:pStyle w:val="FootnoteText"/>
        <w:jc w:val="both"/>
      </w:pPr>
      <w:r>
        <w:rPr>
          <w:rStyle w:val="FootnoteReference"/>
        </w:rPr>
        <w:footnoteRef/>
      </w:r>
      <w:r>
        <w:t xml:space="preserve"> 2013 = $13.65 million electric and $5.3 million natural gas.  2014 = $14.0 million electric and $1.4 million natural gas.</w:t>
      </w:r>
    </w:p>
  </w:footnote>
  <w:footnote w:id="4">
    <w:p w:rsidR="008B4769" w:rsidRDefault="008B4769" w:rsidP="00AF4BC7">
      <w:pPr>
        <w:pStyle w:val="FootnoteText"/>
        <w:jc w:val="both"/>
      </w:pPr>
      <w:r>
        <w:rPr>
          <w:rStyle w:val="FootnoteReference"/>
        </w:rPr>
        <w:footnoteRef/>
      </w:r>
      <w:r>
        <w:t xml:space="preserve"> While the Company has provided corrections and updated information to all parties through Avista’s supplemental response to PC DR 342 which would have increased the Company’s filed electric and natural gas revenue requirement requests, it did not seek to revise its originally filed tariffs to reflect these changes.</w:t>
      </w:r>
    </w:p>
  </w:footnote>
  <w:footnote w:id="5">
    <w:p w:rsidR="008B4769" w:rsidRDefault="008B4769" w:rsidP="008246E9">
      <w:pPr>
        <w:pStyle w:val="FootnoteText"/>
        <w:jc w:val="both"/>
      </w:pPr>
      <w:r>
        <w:rPr>
          <w:rStyle w:val="FootnoteReference"/>
        </w:rPr>
        <w:footnoteRef/>
      </w:r>
      <w:r>
        <w:t xml:space="preserve"> See the pre-filed direct testimony of Kelly Norwood (Exhibit No. </w:t>
      </w:r>
      <w:proofErr w:type="gramStart"/>
      <w:r>
        <w:t>____ (KON-1T)) beginning on page 3.</w:t>
      </w:r>
      <w:proofErr w:type="gramEnd"/>
    </w:p>
  </w:footnote>
  <w:footnote w:id="6">
    <w:p w:rsidR="008B4769" w:rsidRDefault="008B4769" w:rsidP="00F76FDE">
      <w:pPr>
        <w:pStyle w:val="FootnoteText"/>
        <w:jc w:val="both"/>
      </w:pPr>
      <w:r>
        <w:rPr>
          <w:rStyle w:val="FootnoteReference"/>
        </w:rPr>
        <w:footnoteRef/>
      </w:r>
      <w:r>
        <w:t xml:space="preserve"> An updated Attrition Study was provided to all parties on July 27, 2012 through Avista’s supplemental response to Staff DR 178.</w:t>
      </w:r>
    </w:p>
  </w:footnote>
  <w:footnote w:id="7">
    <w:p w:rsidR="008B4769" w:rsidRDefault="008B4769">
      <w:pPr>
        <w:pStyle w:val="FootnoteText"/>
      </w:pPr>
      <w:r>
        <w:rPr>
          <w:rStyle w:val="FootnoteReference"/>
        </w:rPr>
        <w:footnoteRef/>
      </w:r>
      <w:r>
        <w:t xml:space="preserve"> The natural gas attrition Study was provided to all parties on May 25, 2012 through Avista’s supplemental testimony and exhibits, Exhibit Nos. _</w:t>
      </w:r>
      <w:proofErr w:type="gramStart"/>
      <w:r>
        <w:t>_(</w:t>
      </w:r>
      <w:proofErr w:type="gramEnd"/>
      <w:r>
        <w:t>EMA-5T) and (EMA-6) and updated through Avista’s supplemental response to Staff DR 178.</w:t>
      </w:r>
    </w:p>
  </w:footnote>
  <w:footnote w:id="8">
    <w:p w:rsidR="008B4769" w:rsidRDefault="008B4769">
      <w:pPr>
        <w:pStyle w:val="FootnoteText"/>
      </w:pPr>
      <w:r>
        <w:rPr>
          <w:rStyle w:val="FootnoteReference"/>
        </w:rPr>
        <w:footnoteRef/>
      </w:r>
      <w:r>
        <w:t xml:space="preserve"> Mr. Dittmer provided a simplified calculation of the resulting reduction to electric revenue requirement in his Exhibit No. ___ (JRD-13) of $12.5 million, related to the cost of capital in the Settlement Agreement, and a reduction to natural gas revenue requirement of $2.14 million in his Exhibit No.__</w:t>
      </w:r>
      <w:proofErr w:type="gramStart"/>
      <w:r>
        <w:t>_(</w:t>
      </w:r>
      <w:proofErr w:type="gramEnd"/>
      <w:r>
        <w:t xml:space="preserve">JRD-17).  </w:t>
      </w:r>
    </w:p>
  </w:footnote>
  <w:footnote w:id="9">
    <w:p w:rsidR="008B4769" w:rsidRDefault="008B4769" w:rsidP="00D739DA">
      <w:pPr>
        <w:pStyle w:val="FootnoteText"/>
        <w:jc w:val="both"/>
      </w:pPr>
      <w:r>
        <w:rPr>
          <w:rStyle w:val="FootnoteReference"/>
        </w:rPr>
        <w:footnoteRef/>
      </w:r>
      <w:r>
        <w:t xml:space="preserve"> </w:t>
      </w:r>
      <w:proofErr w:type="gramStart"/>
      <w:r>
        <w:t>2013 total of $37.3 million (electric of $29 million and natural gas of $8.3 million), plus $18.7 million in 2014 (electric of $14.5 million and natural gas of $4.2 million).</w:t>
      </w:r>
      <w:proofErr w:type="gramEnd"/>
    </w:p>
  </w:footnote>
  <w:footnote w:id="10">
    <w:p w:rsidR="008B4769" w:rsidRPr="00544899" w:rsidRDefault="008B4769" w:rsidP="00F76FDE">
      <w:pPr>
        <w:pStyle w:val="P31"/>
        <w:spacing w:line="240" w:lineRule="auto"/>
        <w:ind w:firstLine="0"/>
        <w:jc w:val="both"/>
        <w:rPr>
          <w:rFonts w:ascii="Times New Roman" w:hAnsi="Times New Roman" w:cs="Times New Roman"/>
          <w:sz w:val="20"/>
        </w:rPr>
      </w:pPr>
      <w:r w:rsidRPr="00F12849">
        <w:rPr>
          <w:rStyle w:val="FootnoteReference"/>
          <w:rFonts w:ascii="Times New Roman" w:hAnsi="Times New Roman"/>
          <w:sz w:val="20"/>
        </w:rPr>
        <w:footnoteRef/>
      </w:r>
      <w:r w:rsidRPr="00F12849">
        <w:rPr>
          <w:rStyle w:val="LineNumber"/>
          <w:sz w:val="20"/>
          <w:szCs w:val="20"/>
        </w:rPr>
        <w:t xml:space="preserve">The black bars represent the utility ROEs </w:t>
      </w:r>
      <w:r w:rsidRPr="00F12849">
        <w:rPr>
          <w:rStyle w:val="LineNumber"/>
          <w:sz w:val="20"/>
          <w:szCs w:val="20"/>
          <w:u w:val="single"/>
        </w:rPr>
        <w:t>including</w:t>
      </w:r>
      <w:r w:rsidRPr="00F12849">
        <w:rPr>
          <w:rStyle w:val="LineNumber"/>
          <w:sz w:val="20"/>
          <w:szCs w:val="20"/>
        </w:rPr>
        <w:t xml:space="preserve"> the below-the-line expense</w:t>
      </w:r>
      <w:r>
        <w:rPr>
          <w:rStyle w:val="LineNumber"/>
          <w:sz w:val="20"/>
          <w:szCs w:val="20"/>
        </w:rPr>
        <w:t>s, and the total ROEs represent</w:t>
      </w:r>
      <w:r w:rsidRPr="00F12849">
        <w:rPr>
          <w:rStyle w:val="LineNumber"/>
          <w:sz w:val="20"/>
          <w:szCs w:val="20"/>
        </w:rPr>
        <w:t xml:space="preserve"> the ROE excluding these expenses</w:t>
      </w:r>
      <w:r>
        <w:rPr>
          <w:rStyle w:val="LineNumber"/>
          <w:sz w:val="20"/>
          <w:szCs w:val="20"/>
        </w:rPr>
        <w:t>.</w:t>
      </w:r>
    </w:p>
  </w:footnote>
  <w:footnote w:id="11">
    <w:p w:rsidR="008B4769" w:rsidRDefault="008B4769" w:rsidP="00F76FDE">
      <w:pPr>
        <w:pStyle w:val="FootnoteText"/>
        <w:jc w:val="both"/>
      </w:pPr>
      <w:r>
        <w:rPr>
          <w:rStyle w:val="FootnoteReference"/>
        </w:rPr>
        <w:footnoteRef/>
      </w:r>
      <w:r>
        <w:t xml:space="preserve"> 2011 restated rate base of $1,327,815,000 x 48.4% equity layer x 2.00% equity return, divided by conversion factor of 0.620815 = $20.7 million (per footnote 4, page 10 of Norwood Exhibit No. _</w:t>
      </w:r>
      <w:proofErr w:type="gramStart"/>
      <w:r>
        <w:t>_(</w:t>
      </w:r>
      <w:proofErr w:type="gramEnd"/>
      <w:r>
        <w:t>KON-1T)).</w:t>
      </w:r>
    </w:p>
  </w:footnote>
  <w:footnote w:id="12">
    <w:p w:rsidR="008B4769" w:rsidRDefault="008B4769" w:rsidP="00471C3B">
      <w:pPr>
        <w:pStyle w:val="FootnoteText"/>
        <w:jc w:val="both"/>
      </w:pPr>
      <w:r>
        <w:rPr>
          <w:rStyle w:val="FootnoteReference"/>
        </w:rPr>
        <w:footnoteRef/>
      </w:r>
      <w:r>
        <w:t xml:space="preserve"> Avista files an earnings report with the Oregon PUC each year which is posted on the OPUC’s web site (apps.puc.state.or.us/</w:t>
      </w:r>
      <w:proofErr w:type="spellStart"/>
      <w:proofErr w:type="gramStart"/>
      <w:r>
        <w:t>edockets</w:t>
      </w:r>
      <w:proofErr w:type="spellEnd"/>
      <w:r>
        <w:t xml:space="preserve">  [</w:t>
      </w:r>
      <w:proofErr w:type="gramEnd"/>
      <w:r>
        <w:t xml:space="preserve">under Docket No. </w:t>
      </w:r>
      <w:proofErr w:type="gramStart"/>
      <w:r>
        <w:t>RG 34]).</w:t>
      </w:r>
      <w:proofErr w:type="gramEnd"/>
      <w:r>
        <w:t xml:space="preserve">  The report for calendar-year 2011, posted with a filing date of April 25, 2012, shows a return on equity for Oregon operations for 2011 of 10.47%.</w:t>
      </w:r>
    </w:p>
  </w:footnote>
  <w:footnote w:id="13">
    <w:p w:rsidR="008B4769" w:rsidRDefault="008B4769" w:rsidP="00471C3B">
      <w:pPr>
        <w:pStyle w:val="FootnoteText"/>
        <w:jc w:val="both"/>
      </w:pPr>
      <w:r>
        <w:rPr>
          <w:rStyle w:val="FootnoteReference"/>
        </w:rPr>
        <w:footnoteRef/>
      </w:r>
      <w:r>
        <w:t xml:space="preserve"> </w:t>
      </w:r>
      <w:proofErr w:type="gramStart"/>
      <w:r w:rsidRPr="00471C3B">
        <w:t>www.utc.wa.gov/docs/pages/recordscenter.aspx</w:t>
      </w:r>
      <w:r>
        <w:t xml:space="preserve">   Under Docket No.</w:t>
      </w:r>
      <w:proofErr w:type="gramEnd"/>
      <w:r>
        <w:t xml:space="preserve"> </w:t>
      </w:r>
      <w:proofErr w:type="gramStart"/>
      <w:r>
        <w:t>UE-121304.</w:t>
      </w:r>
      <w:proofErr w:type="gramEnd"/>
    </w:p>
  </w:footnote>
  <w:footnote w:id="14">
    <w:p w:rsidR="008B4769" w:rsidRDefault="008B4769" w:rsidP="00F76FDE">
      <w:pPr>
        <w:pStyle w:val="FootnoteText"/>
        <w:jc w:val="both"/>
      </w:pPr>
      <w:r>
        <w:rPr>
          <w:rStyle w:val="FootnoteReference"/>
        </w:rPr>
        <w:footnoteRef/>
      </w:r>
      <w:r>
        <w:t xml:space="preserve"> The February 29, 2012 forecast was provided to all parties on May 22, 2012 in the Company’s response to UTC Staff DR 137.  The August 21, 2012 forecast was provided to all parties in the Company’s response to Public Counsel DR 427.</w:t>
      </w:r>
    </w:p>
  </w:footnote>
  <w:footnote w:id="15">
    <w:p w:rsidR="008B4769" w:rsidRDefault="008B4769">
      <w:pPr>
        <w:pStyle w:val="FootnoteText"/>
      </w:pPr>
      <w:r>
        <w:rPr>
          <w:rStyle w:val="FootnoteReference"/>
        </w:rPr>
        <w:footnoteRef/>
      </w:r>
      <w:r>
        <w:t xml:space="preserve"> Total of 8.45% ROE plus .11% ROE.</w:t>
      </w:r>
    </w:p>
  </w:footnote>
  <w:footnote w:id="16">
    <w:p w:rsidR="008B4769" w:rsidRDefault="008B4769" w:rsidP="00DC6F65">
      <w:pPr>
        <w:pStyle w:val="FootnoteText"/>
      </w:pPr>
      <w:r>
        <w:rPr>
          <w:rStyle w:val="FootnoteReference"/>
        </w:rPr>
        <w:footnoteRef/>
      </w:r>
      <w:r>
        <w:t xml:space="preserve"> </w:t>
      </w:r>
      <w:proofErr w:type="gramStart"/>
      <w:r>
        <w:t xml:space="preserve">Page 9, line 9 of Ms. </w:t>
      </w:r>
      <w:proofErr w:type="spellStart"/>
      <w:r>
        <w:t>Daeschel’s</w:t>
      </w:r>
      <w:proofErr w:type="spellEnd"/>
      <w:r>
        <w:t xml:space="preserve"> testimony (Exhibit No.</w:t>
      </w:r>
      <w:proofErr w:type="gramEnd"/>
      <w:r>
        <w:t xml:space="preserve"> </w:t>
      </w:r>
      <w:proofErr w:type="gramStart"/>
      <w:r>
        <w:t>____ (LD-1CT)).</w:t>
      </w:r>
      <w:proofErr w:type="gramEnd"/>
    </w:p>
  </w:footnote>
  <w:footnote w:id="17">
    <w:p w:rsidR="008B4769" w:rsidRDefault="008B4769" w:rsidP="006D242F">
      <w:pPr>
        <w:pStyle w:val="FootnoteText"/>
      </w:pPr>
      <w:r>
        <w:rPr>
          <w:rStyle w:val="FootnoteReference"/>
        </w:rPr>
        <w:footnoteRef/>
      </w:r>
      <w:r>
        <w:t xml:space="preserve"> </w:t>
      </w:r>
      <w:r w:rsidRPr="004A303E">
        <w:t>Posted on The Harvard Law School Forum on Corporate Governance and Financial Regulation, on November 7, 2012 [http://blogs.law.harvard.edu/corpgov/2012/11/07/iss-proposes-2013-voting-policy-updates/</w:t>
      </w:r>
      <w:proofErr w:type="gramStart"/>
      <w:r w:rsidRPr="004A303E">
        <w:t xml:space="preserve">] </w:t>
      </w:r>
      <w:r>
        <w:t>.</w:t>
      </w:r>
      <w:proofErr w:type="gramEnd"/>
      <w:r w:rsidRPr="004A303E">
        <w:t xml:space="preserve"> </w:t>
      </w:r>
    </w:p>
  </w:footnote>
  <w:footnote w:id="18">
    <w:p w:rsidR="008B4769" w:rsidRDefault="008B4769">
      <w:pPr>
        <w:pStyle w:val="FootnoteText"/>
      </w:pPr>
      <w:r>
        <w:rPr>
          <w:rStyle w:val="FootnoteReference"/>
        </w:rPr>
        <w:footnoteRef/>
      </w:r>
      <w:r>
        <w:t xml:space="preserve"> </w:t>
      </w:r>
      <w:proofErr w:type="gramStart"/>
      <w:r>
        <w:t>Coppola Exhibit No.</w:t>
      </w:r>
      <w:proofErr w:type="gramEnd"/>
      <w:r>
        <w:t xml:space="preserve"> __</w:t>
      </w:r>
      <w:proofErr w:type="gramStart"/>
      <w:r>
        <w:t>_(</w:t>
      </w:r>
      <w:proofErr w:type="gramEnd"/>
      <w:r>
        <w:t>SC-17CT) at page 6 line 11 to page 8 line 10.</w:t>
      </w:r>
    </w:p>
  </w:footnote>
  <w:footnote w:id="19">
    <w:p w:rsidR="008B4769" w:rsidRDefault="008B4769" w:rsidP="0050736C">
      <w:pPr>
        <w:pStyle w:val="FootnoteText"/>
      </w:pPr>
      <w:r>
        <w:rPr>
          <w:rStyle w:val="FootnoteReference"/>
        </w:rPr>
        <w:footnoteRef/>
      </w:r>
      <w:r>
        <w:t xml:space="preserve"> </w:t>
      </w:r>
      <w:proofErr w:type="gramStart"/>
      <w:r>
        <w:t>Coppola Exhibit No.</w:t>
      </w:r>
      <w:proofErr w:type="gramEnd"/>
      <w:r>
        <w:t xml:space="preserve"> __</w:t>
      </w:r>
      <w:proofErr w:type="gramStart"/>
      <w:r>
        <w:t>_(</w:t>
      </w:r>
      <w:proofErr w:type="gramEnd"/>
      <w:r>
        <w:t>SC-1CT) at page 16 lines 4 to 14 and Exhibit No. __</w:t>
      </w:r>
      <w:proofErr w:type="gramStart"/>
      <w:r>
        <w:t>_(</w:t>
      </w:r>
      <w:proofErr w:type="gramEnd"/>
      <w:r>
        <w:t>SC-7C).</w:t>
      </w:r>
    </w:p>
  </w:footnote>
  <w:footnote w:id="20">
    <w:p w:rsidR="008B4769" w:rsidRDefault="008B4769" w:rsidP="002819BE">
      <w:pPr>
        <w:pStyle w:val="FootnoteText"/>
      </w:pPr>
      <w:r>
        <w:rPr>
          <w:rStyle w:val="FootnoteReference"/>
        </w:rPr>
        <w:footnoteRef/>
      </w:r>
      <w:r>
        <w:t xml:space="preserve"> </w:t>
      </w:r>
      <w:proofErr w:type="gramStart"/>
      <w:r>
        <w:t xml:space="preserve">Avista’s response to </w:t>
      </w:r>
      <w:r>
        <w:rPr>
          <w:bCs/>
        </w:rPr>
        <w:t xml:space="preserve">Public Counsel </w:t>
      </w:r>
      <w:r w:rsidRPr="004638C2">
        <w:rPr>
          <w:bCs/>
        </w:rPr>
        <w:t>DR</w:t>
      </w:r>
      <w:r>
        <w:rPr>
          <w:bCs/>
        </w:rPr>
        <w:t xml:space="preserve"> </w:t>
      </w:r>
      <w:r w:rsidRPr="004638C2">
        <w:rPr>
          <w:bCs/>
        </w:rPr>
        <w:t>022 A</w:t>
      </w:r>
      <w:r w:rsidR="00C531C2">
        <w:rPr>
          <w:bCs/>
        </w:rPr>
        <w:t>ttachment B</w:t>
      </w:r>
      <w:r>
        <w:rPr>
          <w:bCs/>
        </w:rPr>
        <w:t>.</w:t>
      </w:r>
      <w:proofErr w:type="gramEnd"/>
    </w:p>
  </w:footnote>
  <w:footnote w:id="21">
    <w:p w:rsidR="008B4769" w:rsidRDefault="008B4769" w:rsidP="002819BE">
      <w:pPr>
        <w:pStyle w:val="FootnoteText"/>
      </w:pPr>
      <w:r>
        <w:rPr>
          <w:rStyle w:val="FootnoteReference"/>
        </w:rPr>
        <w:footnoteRef/>
      </w:r>
      <w:r>
        <w:t xml:space="preserve"> Public Counsel </w:t>
      </w:r>
      <w:proofErr w:type="gramStart"/>
      <w:r>
        <w:t>witness</w:t>
      </w:r>
      <w:proofErr w:type="gramEnd"/>
      <w:r>
        <w:t xml:space="preserve"> Sebastian Coppola’s testimony, Exhibit No. _</w:t>
      </w:r>
      <w:proofErr w:type="gramStart"/>
      <w:r>
        <w:t>_(</w:t>
      </w:r>
      <w:proofErr w:type="gramEnd"/>
      <w:r>
        <w:t>SC-1CT), page 25.</w:t>
      </w:r>
    </w:p>
  </w:footnote>
  <w:footnote w:id="22">
    <w:p w:rsidR="008B4769" w:rsidRDefault="008B4769" w:rsidP="002819BE">
      <w:pPr>
        <w:pStyle w:val="FootnoteText"/>
      </w:pPr>
      <w:r>
        <w:rPr>
          <w:rStyle w:val="FootnoteReference"/>
        </w:rPr>
        <w:footnoteRef/>
      </w:r>
      <w:r>
        <w:t xml:space="preserve"> Public Counsel </w:t>
      </w:r>
      <w:proofErr w:type="gramStart"/>
      <w:r>
        <w:t>witness</w:t>
      </w:r>
      <w:proofErr w:type="gramEnd"/>
      <w:r>
        <w:t xml:space="preserve"> Sebastian Coppola’s testimony, Exhibit No. _</w:t>
      </w:r>
      <w:proofErr w:type="gramStart"/>
      <w:r>
        <w:t>_(</w:t>
      </w:r>
      <w:proofErr w:type="gramEnd"/>
      <w:r>
        <w:t>SC-1CT), page 26.</w:t>
      </w:r>
    </w:p>
  </w:footnote>
  <w:footnote w:id="23">
    <w:p w:rsidR="008B4769" w:rsidRDefault="008B4769" w:rsidP="002819BE">
      <w:pPr>
        <w:pStyle w:val="FootnoteText"/>
      </w:pPr>
      <w:r>
        <w:rPr>
          <w:rStyle w:val="FootnoteReference"/>
        </w:rPr>
        <w:footnoteRef/>
      </w:r>
      <w:r>
        <w:t xml:space="preserve"> Public Counsel </w:t>
      </w:r>
      <w:proofErr w:type="gramStart"/>
      <w:r>
        <w:t>witness</w:t>
      </w:r>
      <w:proofErr w:type="gramEnd"/>
      <w:r>
        <w:t xml:space="preserve"> Sebastian Coppola’s testimony, Exhibit No. _</w:t>
      </w:r>
      <w:proofErr w:type="gramStart"/>
      <w:r>
        <w:t>_(</w:t>
      </w:r>
      <w:proofErr w:type="gramEnd"/>
      <w:r>
        <w:t>SC-1CT), page 32.</w:t>
      </w:r>
    </w:p>
  </w:footnote>
  <w:footnote w:id="24">
    <w:p w:rsidR="008B4769" w:rsidRDefault="008B4769" w:rsidP="002819BE">
      <w:pPr>
        <w:pStyle w:val="FootnoteText"/>
      </w:pPr>
      <w:r>
        <w:rPr>
          <w:rStyle w:val="FootnoteReference"/>
        </w:rPr>
        <w:footnoteRef/>
      </w:r>
      <w:r>
        <w:t xml:space="preserve"> UE-090134/UG-090135, Order 10, a</w:t>
      </w:r>
      <w:r w:rsidRPr="004638C2">
        <w:t>t paragraph 136 and 137</w:t>
      </w:r>
      <w:r>
        <w:t xml:space="preserve">, </w:t>
      </w:r>
      <w:r w:rsidRPr="004638C2">
        <w:t>pages 56 and 57</w:t>
      </w:r>
      <w:r>
        <w:t>.</w:t>
      </w:r>
    </w:p>
  </w:footnote>
  <w:footnote w:id="25">
    <w:p w:rsidR="008B4769" w:rsidRDefault="008B4769" w:rsidP="005617CF">
      <w:pPr>
        <w:pStyle w:val="FootnoteText"/>
        <w:jc w:val="both"/>
      </w:pPr>
      <w:r>
        <w:rPr>
          <w:rStyle w:val="FootnoteReference"/>
        </w:rPr>
        <w:footnoteRef/>
      </w:r>
      <w:r>
        <w:t xml:space="preserve"> This includes the compensation study error of $5,000 electric and $1,000 natural gas charged to Utility rather non-utility accounts, noted by Mr. Coppola at Exhibit No. _</w:t>
      </w:r>
      <w:proofErr w:type="gramStart"/>
      <w:r>
        <w:t>_(</w:t>
      </w:r>
      <w:proofErr w:type="gramEnd"/>
      <w:r>
        <w:t>SC-17CT), page 13, lines 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69" w:rsidRDefault="008B4769">
    <w:pPr>
      <w:pStyle w:val="Header"/>
      <w:jc w:val="right"/>
    </w:pPr>
    <w:r>
      <w:t>Exhibit No. __</w:t>
    </w:r>
    <w:proofErr w:type="gramStart"/>
    <w:r>
      <w:t>_(</w:t>
    </w:r>
    <w:proofErr w:type="gramEnd"/>
    <w:r>
      <w:t>KON-7T)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69" w:rsidRDefault="008B4769" w:rsidP="007B58C5">
    <w:pPr>
      <w:pStyle w:val="Header"/>
      <w:jc w:val="right"/>
    </w:pPr>
    <w:r>
      <w:t>Exhibit No. __</w:t>
    </w:r>
    <w:proofErr w:type="gramStart"/>
    <w:r>
      <w:t>_(</w:t>
    </w:r>
    <w:proofErr w:type="gramEnd"/>
    <w:r>
      <w:t>KON-7T)</w:t>
    </w:r>
  </w:p>
  <w:p w:rsidR="008B4769" w:rsidRDefault="008B4769"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4967AE3"/>
    <w:multiLevelType w:val="hybridMultilevel"/>
    <w:tmpl w:val="58B4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9">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2">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4">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5">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7">
    <w:nsid w:val="234C5D8A"/>
    <w:multiLevelType w:val="hybridMultilevel"/>
    <w:tmpl w:val="971C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0">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2">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4">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5">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6">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7">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9">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0">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1">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2">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4">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2B0539"/>
    <w:multiLevelType w:val="hybridMultilevel"/>
    <w:tmpl w:val="FD0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7">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9">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40">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1">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0C3609E"/>
    <w:multiLevelType w:val="hybridMultilevel"/>
    <w:tmpl w:val="481CBC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5">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6">
    <w:nsid w:val="67B84C67"/>
    <w:multiLevelType w:val="hybridMultilevel"/>
    <w:tmpl w:val="A29C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8">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9">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0">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8"/>
  </w:num>
  <w:num w:numId="2">
    <w:abstractNumId w:val="31"/>
  </w:num>
  <w:num w:numId="3">
    <w:abstractNumId w:val="2"/>
  </w:num>
  <w:num w:numId="4">
    <w:abstractNumId w:val="23"/>
  </w:num>
  <w:num w:numId="5">
    <w:abstractNumId w:val="6"/>
  </w:num>
  <w:num w:numId="6">
    <w:abstractNumId w:val="21"/>
  </w:num>
  <w:num w:numId="7">
    <w:abstractNumId w:val="11"/>
  </w:num>
  <w:num w:numId="8">
    <w:abstractNumId w:val="15"/>
  </w:num>
  <w:num w:numId="9">
    <w:abstractNumId w:val="26"/>
  </w:num>
  <w:num w:numId="10">
    <w:abstractNumId w:val="19"/>
  </w:num>
  <w:num w:numId="11">
    <w:abstractNumId w:val="9"/>
  </w:num>
  <w:num w:numId="12">
    <w:abstractNumId w:val="48"/>
  </w:num>
  <w:num w:numId="13">
    <w:abstractNumId w:val="45"/>
  </w:num>
  <w:num w:numId="14">
    <w:abstractNumId w:val="50"/>
  </w:num>
  <w:num w:numId="15">
    <w:abstractNumId w:val="14"/>
  </w:num>
  <w:num w:numId="16">
    <w:abstractNumId w:val="18"/>
  </w:num>
  <w:num w:numId="17">
    <w:abstractNumId w:val="25"/>
  </w:num>
  <w:num w:numId="18">
    <w:abstractNumId w:val="47"/>
  </w:num>
  <w:num w:numId="19">
    <w:abstractNumId w:val="20"/>
  </w:num>
  <w:num w:numId="20">
    <w:abstractNumId w:val="39"/>
  </w:num>
  <w:num w:numId="21">
    <w:abstractNumId w:val="1"/>
  </w:num>
  <w:num w:numId="22">
    <w:abstractNumId w:val="38"/>
  </w:num>
  <w:num w:numId="23">
    <w:abstractNumId w:val="30"/>
  </w:num>
  <w:num w:numId="24">
    <w:abstractNumId w:val="24"/>
  </w:num>
  <w:num w:numId="25">
    <w:abstractNumId w:val="4"/>
  </w:num>
  <w:num w:numId="26">
    <w:abstractNumId w:val="3"/>
  </w:num>
  <w:num w:numId="27">
    <w:abstractNumId w:val="13"/>
  </w:num>
  <w:num w:numId="28">
    <w:abstractNumId w:val="44"/>
  </w:num>
  <w:num w:numId="29">
    <w:abstractNumId w:val="12"/>
  </w:num>
  <w:num w:numId="30">
    <w:abstractNumId w:val="33"/>
  </w:num>
  <w:num w:numId="31">
    <w:abstractNumId w:val="40"/>
  </w:num>
  <w:num w:numId="32">
    <w:abstractNumId w:val="41"/>
  </w:num>
  <w:num w:numId="33">
    <w:abstractNumId w:val="34"/>
  </w:num>
  <w:num w:numId="34">
    <w:abstractNumId w:val="8"/>
  </w:num>
  <w:num w:numId="35">
    <w:abstractNumId w:val="36"/>
  </w:num>
  <w:num w:numId="36">
    <w:abstractNumId w:val="49"/>
  </w:num>
  <w:num w:numId="37">
    <w:abstractNumId w:val="5"/>
  </w:num>
  <w:num w:numId="38">
    <w:abstractNumId w:val="29"/>
  </w:num>
  <w:num w:numId="39">
    <w:abstractNumId w:val="16"/>
  </w:num>
  <w:num w:numId="40">
    <w:abstractNumId w:val="43"/>
  </w:num>
  <w:num w:numId="41">
    <w:abstractNumId w:val="27"/>
  </w:num>
  <w:num w:numId="42">
    <w:abstractNumId w:val="37"/>
  </w:num>
  <w:num w:numId="43">
    <w:abstractNumId w:val="0"/>
  </w:num>
  <w:num w:numId="44">
    <w:abstractNumId w:val="32"/>
  </w:num>
  <w:num w:numId="45">
    <w:abstractNumId w:val="10"/>
  </w:num>
  <w:num w:numId="46">
    <w:abstractNumId w:val="42"/>
  </w:num>
  <w:num w:numId="47">
    <w:abstractNumId w:val="22"/>
  </w:num>
  <w:num w:numId="48">
    <w:abstractNumId w:val="35"/>
  </w:num>
  <w:num w:numId="49">
    <w:abstractNumId w:val="46"/>
  </w:num>
  <w:num w:numId="50">
    <w:abstractNumId w:val="17"/>
  </w:num>
  <w:num w:numId="51">
    <w:abstractNumId w:val="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35A2"/>
    <w:rsid w:val="00003829"/>
    <w:rsid w:val="00005690"/>
    <w:rsid w:val="00007E94"/>
    <w:rsid w:val="00010D42"/>
    <w:rsid w:val="00010D91"/>
    <w:rsid w:val="00010FB3"/>
    <w:rsid w:val="00011C3C"/>
    <w:rsid w:val="00012431"/>
    <w:rsid w:val="00012BE3"/>
    <w:rsid w:val="00013EB7"/>
    <w:rsid w:val="000146F7"/>
    <w:rsid w:val="0001498B"/>
    <w:rsid w:val="00016F05"/>
    <w:rsid w:val="00017B48"/>
    <w:rsid w:val="00020856"/>
    <w:rsid w:val="000213D0"/>
    <w:rsid w:val="00024AC8"/>
    <w:rsid w:val="00024C98"/>
    <w:rsid w:val="00025488"/>
    <w:rsid w:val="00026686"/>
    <w:rsid w:val="0003347A"/>
    <w:rsid w:val="000334C5"/>
    <w:rsid w:val="00033662"/>
    <w:rsid w:val="00035368"/>
    <w:rsid w:val="0003620D"/>
    <w:rsid w:val="0003621B"/>
    <w:rsid w:val="00036918"/>
    <w:rsid w:val="000371EB"/>
    <w:rsid w:val="00037C01"/>
    <w:rsid w:val="00041A81"/>
    <w:rsid w:val="000426D8"/>
    <w:rsid w:val="00042739"/>
    <w:rsid w:val="00043442"/>
    <w:rsid w:val="00046323"/>
    <w:rsid w:val="000504EF"/>
    <w:rsid w:val="00051CF0"/>
    <w:rsid w:val="000526AD"/>
    <w:rsid w:val="00053024"/>
    <w:rsid w:val="00054A99"/>
    <w:rsid w:val="00054E98"/>
    <w:rsid w:val="00055C64"/>
    <w:rsid w:val="0006217D"/>
    <w:rsid w:val="00063918"/>
    <w:rsid w:val="00064145"/>
    <w:rsid w:val="000647FA"/>
    <w:rsid w:val="00066127"/>
    <w:rsid w:val="00066C73"/>
    <w:rsid w:val="000671FC"/>
    <w:rsid w:val="0006733F"/>
    <w:rsid w:val="00067420"/>
    <w:rsid w:val="00070A2E"/>
    <w:rsid w:val="00070CE4"/>
    <w:rsid w:val="00075515"/>
    <w:rsid w:val="00075612"/>
    <w:rsid w:val="00077FB6"/>
    <w:rsid w:val="000831A6"/>
    <w:rsid w:val="00083483"/>
    <w:rsid w:val="0008527C"/>
    <w:rsid w:val="00085808"/>
    <w:rsid w:val="000873A9"/>
    <w:rsid w:val="00090AC2"/>
    <w:rsid w:val="00091192"/>
    <w:rsid w:val="000913AA"/>
    <w:rsid w:val="00091B10"/>
    <w:rsid w:val="000925D0"/>
    <w:rsid w:val="000926CF"/>
    <w:rsid w:val="00093133"/>
    <w:rsid w:val="0009624A"/>
    <w:rsid w:val="0009730E"/>
    <w:rsid w:val="000974E2"/>
    <w:rsid w:val="00097B0F"/>
    <w:rsid w:val="000A0894"/>
    <w:rsid w:val="000A0959"/>
    <w:rsid w:val="000A1485"/>
    <w:rsid w:val="000A204F"/>
    <w:rsid w:val="000A2244"/>
    <w:rsid w:val="000A232B"/>
    <w:rsid w:val="000A2AD6"/>
    <w:rsid w:val="000A3548"/>
    <w:rsid w:val="000A4A15"/>
    <w:rsid w:val="000A4C44"/>
    <w:rsid w:val="000A502C"/>
    <w:rsid w:val="000A6665"/>
    <w:rsid w:val="000A6734"/>
    <w:rsid w:val="000A6BBC"/>
    <w:rsid w:val="000B339C"/>
    <w:rsid w:val="000B3869"/>
    <w:rsid w:val="000B550B"/>
    <w:rsid w:val="000B567E"/>
    <w:rsid w:val="000B59F0"/>
    <w:rsid w:val="000B6A29"/>
    <w:rsid w:val="000C0C5B"/>
    <w:rsid w:val="000C4A3C"/>
    <w:rsid w:val="000C5321"/>
    <w:rsid w:val="000C5D08"/>
    <w:rsid w:val="000C64E4"/>
    <w:rsid w:val="000D5132"/>
    <w:rsid w:val="000D6ABC"/>
    <w:rsid w:val="000D6BFD"/>
    <w:rsid w:val="000D7C83"/>
    <w:rsid w:val="000E0220"/>
    <w:rsid w:val="000E1227"/>
    <w:rsid w:val="000E2E27"/>
    <w:rsid w:val="000E53AD"/>
    <w:rsid w:val="000E6F31"/>
    <w:rsid w:val="000E7AAE"/>
    <w:rsid w:val="000F0B81"/>
    <w:rsid w:val="000F2A4D"/>
    <w:rsid w:val="000F3222"/>
    <w:rsid w:val="000F3263"/>
    <w:rsid w:val="000F3778"/>
    <w:rsid w:val="000F3897"/>
    <w:rsid w:val="000F3DC4"/>
    <w:rsid w:val="000F6CFB"/>
    <w:rsid w:val="000F6F69"/>
    <w:rsid w:val="000F6FA4"/>
    <w:rsid w:val="000F753A"/>
    <w:rsid w:val="00100091"/>
    <w:rsid w:val="00101E61"/>
    <w:rsid w:val="001020C1"/>
    <w:rsid w:val="00102C9F"/>
    <w:rsid w:val="00102DA5"/>
    <w:rsid w:val="00102DCE"/>
    <w:rsid w:val="00103D09"/>
    <w:rsid w:val="00103E4A"/>
    <w:rsid w:val="001046B6"/>
    <w:rsid w:val="00106FF3"/>
    <w:rsid w:val="001121FA"/>
    <w:rsid w:val="00112801"/>
    <w:rsid w:val="00114159"/>
    <w:rsid w:val="001147F5"/>
    <w:rsid w:val="001155C8"/>
    <w:rsid w:val="001210ED"/>
    <w:rsid w:val="0012193D"/>
    <w:rsid w:val="0012232D"/>
    <w:rsid w:val="00122BB9"/>
    <w:rsid w:val="0012369E"/>
    <w:rsid w:val="00123921"/>
    <w:rsid w:val="001247DB"/>
    <w:rsid w:val="00125450"/>
    <w:rsid w:val="001259AA"/>
    <w:rsid w:val="00125D14"/>
    <w:rsid w:val="001260D0"/>
    <w:rsid w:val="00127344"/>
    <w:rsid w:val="001276EF"/>
    <w:rsid w:val="001279B7"/>
    <w:rsid w:val="00127C71"/>
    <w:rsid w:val="00131598"/>
    <w:rsid w:val="001316F4"/>
    <w:rsid w:val="00131A33"/>
    <w:rsid w:val="00131B5F"/>
    <w:rsid w:val="00131E05"/>
    <w:rsid w:val="00133769"/>
    <w:rsid w:val="001345A0"/>
    <w:rsid w:val="00134E9E"/>
    <w:rsid w:val="00134FF0"/>
    <w:rsid w:val="0013752F"/>
    <w:rsid w:val="00137989"/>
    <w:rsid w:val="001410A7"/>
    <w:rsid w:val="00141F88"/>
    <w:rsid w:val="0014418F"/>
    <w:rsid w:val="00144549"/>
    <w:rsid w:val="00147D24"/>
    <w:rsid w:val="00150518"/>
    <w:rsid w:val="00150C19"/>
    <w:rsid w:val="00150DB0"/>
    <w:rsid w:val="001518A4"/>
    <w:rsid w:val="00153521"/>
    <w:rsid w:val="001537A5"/>
    <w:rsid w:val="00156651"/>
    <w:rsid w:val="00156D28"/>
    <w:rsid w:val="0015701E"/>
    <w:rsid w:val="00157C83"/>
    <w:rsid w:val="00161E73"/>
    <w:rsid w:val="00162D05"/>
    <w:rsid w:val="001634DE"/>
    <w:rsid w:val="00170A22"/>
    <w:rsid w:val="00171B4C"/>
    <w:rsid w:val="00174FCE"/>
    <w:rsid w:val="0017674C"/>
    <w:rsid w:val="00176A74"/>
    <w:rsid w:val="00176E7A"/>
    <w:rsid w:val="00177866"/>
    <w:rsid w:val="00177CFC"/>
    <w:rsid w:val="00180508"/>
    <w:rsid w:val="00180519"/>
    <w:rsid w:val="001846C4"/>
    <w:rsid w:val="00187B6A"/>
    <w:rsid w:val="0019267A"/>
    <w:rsid w:val="00197840"/>
    <w:rsid w:val="001A02E8"/>
    <w:rsid w:val="001A127E"/>
    <w:rsid w:val="001A25E0"/>
    <w:rsid w:val="001A283F"/>
    <w:rsid w:val="001A3017"/>
    <w:rsid w:val="001A315C"/>
    <w:rsid w:val="001A3702"/>
    <w:rsid w:val="001A4278"/>
    <w:rsid w:val="001A60D6"/>
    <w:rsid w:val="001A72AC"/>
    <w:rsid w:val="001B059A"/>
    <w:rsid w:val="001B0FE3"/>
    <w:rsid w:val="001B1224"/>
    <w:rsid w:val="001B1774"/>
    <w:rsid w:val="001B1D39"/>
    <w:rsid w:val="001B1D4C"/>
    <w:rsid w:val="001B23F5"/>
    <w:rsid w:val="001B32C8"/>
    <w:rsid w:val="001B3BF7"/>
    <w:rsid w:val="001C0BD0"/>
    <w:rsid w:val="001C4645"/>
    <w:rsid w:val="001C57DE"/>
    <w:rsid w:val="001C5F10"/>
    <w:rsid w:val="001C6236"/>
    <w:rsid w:val="001C6565"/>
    <w:rsid w:val="001D224A"/>
    <w:rsid w:val="001D24FB"/>
    <w:rsid w:val="001D5262"/>
    <w:rsid w:val="001D75AD"/>
    <w:rsid w:val="001E12F2"/>
    <w:rsid w:val="001E3402"/>
    <w:rsid w:val="001E38D1"/>
    <w:rsid w:val="001E427B"/>
    <w:rsid w:val="001E65B2"/>
    <w:rsid w:val="001F0D77"/>
    <w:rsid w:val="001F4EC4"/>
    <w:rsid w:val="001F5C42"/>
    <w:rsid w:val="001F724E"/>
    <w:rsid w:val="00201063"/>
    <w:rsid w:val="0020111E"/>
    <w:rsid w:val="00203679"/>
    <w:rsid w:val="002041A4"/>
    <w:rsid w:val="0020437B"/>
    <w:rsid w:val="00204C48"/>
    <w:rsid w:val="0020662F"/>
    <w:rsid w:val="00207AD7"/>
    <w:rsid w:val="00207D6E"/>
    <w:rsid w:val="00210494"/>
    <w:rsid w:val="002108BF"/>
    <w:rsid w:val="00210ABA"/>
    <w:rsid w:val="002112BF"/>
    <w:rsid w:val="00212F62"/>
    <w:rsid w:val="002132EC"/>
    <w:rsid w:val="0021358A"/>
    <w:rsid w:val="00216493"/>
    <w:rsid w:val="00221522"/>
    <w:rsid w:val="00221ACD"/>
    <w:rsid w:val="00224137"/>
    <w:rsid w:val="002276CC"/>
    <w:rsid w:val="00232747"/>
    <w:rsid w:val="002336F1"/>
    <w:rsid w:val="00233F30"/>
    <w:rsid w:val="00235C02"/>
    <w:rsid w:val="002369E0"/>
    <w:rsid w:val="0025021B"/>
    <w:rsid w:val="00251072"/>
    <w:rsid w:val="002543B2"/>
    <w:rsid w:val="00257659"/>
    <w:rsid w:val="00265299"/>
    <w:rsid w:val="00265382"/>
    <w:rsid w:val="00265821"/>
    <w:rsid w:val="00266EF0"/>
    <w:rsid w:val="00271F03"/>
    <w:rsid w:val="00272E6B"/>
    <w:rsid w:val="002734F6"/>
    <w:rsid w:val="00273884"/>
    <w:rsid w:val="002746C1"/>
    <w:rsid w:val="00275880"/>
    <w:rsid w:val="0027663F"/>
    <w:rsid w:val="00280678"/>
    <w:rsid w:val="002819BE"/>
    <w:rsid w:val="0028476F"/>
    <w:rsid w:val="00286572"/>
    <w:rsid w:val="0028794F"/>
    <w:rsid w:val="00290ADD"/>
    <w:rsid w:val="0029101F"/>
    <w:rsid w:val="00292D6F"/>
    <w:rsid w:val="00294B78"/>
    <w:rsid w:val="002954F7"/>
    <w:rsid w:val="0029596D"/>
    <w:rsid w:val="00296163"/>
    <w:rsid w:val="0029770C"/>
    <w:rsid w:val="002A1F24"/>
    <w:rsid w:val="002A2752"/>
    <w:rsid w:val="002A433D"/>
    <w:rsid w:val="002A7059"/>
    <w:rsid w:val="002B3F3E"/>
    <w:rsid w:val="002B59E9"/>
    <w:rsid w:val="002B69F8"/>
    <w:rsid w:val="002B6EA3"/>
    <w:rsid w:val="002B738D"/>
    <w:rsid w:val="002C0C2F"/>
    <w:rsid w:val="002C1940"/>
    <w:rsid w:val="002C60CB"/>
    <w:rsid w:val="002D0D4E"/>
    <w:rsid w:val="002D2AB3"/>
    <w:rsid w:val="002D3A39"/>
    <w:rsid w:val="002D4E89"/>
    <w:rsid w:val="002E1518"/>
    <w:rsid w:val="002E3025"/>
    <w:rsid w:val="002E3552"/>
    <w:rsid w:val="002E458A"/>
    <w:rsid w:val="002E6489"/>
    <w:rsid w:val="002F0D16"/>
    <w:rsid w:val="002F3BC3"/>
    <w:rsid w:val="002F6688"/>
    <w:rsid w:val="00301EC5"/>
    <w:rsid w:val="003027F6"/>
    <w:rsid w:val="003032FC"/>
    <w:rsid w:val="00303EFC"/>
    <w:rsid w:val="003052B5"/>
    <w:rsid w:val="003063D4"/>
    <w:rsid w:val="00307234"/>
    <w:rsid w:val="00310B20"/>
    <w:rsid w:val="00313490"/>
    <w:rsid w:val="00315079"/>
    <w:rsid w:val="0031526F"/>
    <w:rsid w:val="003162C7"/>
    <w:rsid w:val="003165A9"/>
    <w:rsid w:val="003178E9"/>
    <w:rsid w:val="0031794F"/>
    <w:rsid w:val="00321C99"/>
    <w:rsid w:val="00322D07"/>
    <w:rsid w:val="00324118"/>
    <w:rsid w:val="00327413"/>
    <w:rsid w:val="003279B2"/>
    <w:rsid w:val="003334E7"/>
    <w:rsid w:val="00333F2A"/>
    <w:rsid w:val="00334F95"/>
    <w:rsid w:val="00334FD0"/>
    <w:rsid w:val="00335265"/>
    <w:rsid w:val="00336AF4"/>
    <w:rsid w:val="00336CAF"/>
    <w:rsid w:val="00336FC6"/>
    <w:rsid w:val="003370D8"/>
    <w:rsid w:val="00337649"/>
    <w:rsid w:val="00342FD4"/>
    <w:rsid w:val="0034351E"/>
    <w:rsid w:val="00343EDF"/>
    <w:rsid w:val="00346019"/>
    <w:rsid w:val="00352B85"/>
    <w:rsid w:val="003538D4"/>
    <w:rsid w:val="00360347"/>
    <w:rsid w:val="003609EE"/>
    <w:rsid w:val="00360A43"/>
    <w:rsid w:val="003613D1"/>
    <w:rsid w:val="00365651"/>
    <w:rsid w:val="003668A7"/>
    <w:rsid w:val="0037016E"/>
    <w:rsid w:val="003705A0"/>
    <w:rsid w:val="00371BF2"/>
    <w:rsid w:val="00372D5E"/>
    <w:rsid w:val="00375601"/>
    <w:rsid w:val="00376502"/>
    <w:rsid w:val="00377EEA"/>
    <w:rsid w:val="0038128A"/>
    <w:rsid w:val="003850C7"/>
    <w:rsid w:val="0038513A"/>
    <w:rsid w:val="003870DA"/>
    <w:rsid w:val="0039020D"/>
    <w:rsid w:val="00390507"/>
    <w:rsid w:val="00394617"/>
    <w:rsid w:val="0039559D"/>
    <w:rsid w:val="003A06A0"/>
    <w:rsid w:val="003A0CD1"/>
    <w:rsid w:val="003B133A"/>
    <w:rsid w:val="003B1B27"/>
    <w:rsid w:val="003B5F9D"/>
    <w:rsid w:val="003C1BC6"/>
    <w:rsid w:val="003C1D6D"/>
    <w:rsid w:val="003C3120"/>
    <w:rsid w:val="003C50D7"/>
    <w:rsid w:val="003D1A88"/>
    <w:rsid w:val="003D1A9C"/>
    <w:rsid w:val="003D22B2"/>
    <w:rsid w:val="003D2E9A"/>
    <w:rsid w:val="003D560A"/>
    <w:rsid w:val="003D716B"/>
    <w:rsid w:val="003E0546"/>
    <w:rsid w:val="003E2C1F"/>
    <w:rsid w:val="003E4398"/>
    <w:rsid w:val="003E52DF"/>
    <w:rsid w:val="003E7787"/>
    <w:rsid w:val="003F11AC"/>
    <w:rsid w:val="003F392E"/>
    <w:rsid w:val="003F5EB7"/>
    <w:rsid w:val="003F766B"/>
    <w:rsid w:val="0040013A"/>
    <w:rsid w:val="00401FF2"/>
    <w:rsid w:val="00404246"/>
    <w:rsid w:val="004065AB"/>
    <w:rsid w:val="0040712D"/>
    <w:rsid w:val="004072A5"/>
    <w:rsid w:val="00410F1E"/>
    <w:rsid w:val="00411FE6"/>
    <w:rsid w:val="00415217"/>
    <w:rsid w:val="004156BA"/>
    <w:rsid w:val="004163BA"/>
    <w:rsid w:val="00416D8E"/>
    <w:rsid w:val="004215C0"/>
    <w:rsid w:val="004268E9"/>
    <w:rsid w:val="004273E7"/>
    <w:rsid w:val="004276B9"/>
    <w:rsid w:val="0042790F"/>
    <w:rsid w:val="00427A8C"/>
    <w:rsid w:val="00430E67"/>
    <w:rsid w:val="004335B9"/>
    <w:rsid w:val="0043473F"/>
    <w:rsid w:val="00434EE0"/>
    <w:rsid w:val="004374DA"/>
    <w:rsid w:val="00441A4E"/>
    <w:rsid w:val="00443A46"/>
    <w:rsid w:val="00444CC5"/>
    <w:rsid w:val="0044635D"/>
    <w:rsid w:val="00447B20"/>
    <w:rsid w:val="00451B1C"/>
    <w:rsid w:val="00453A4B"/>
    <w:rsid w:val="004543BC"/>
    <w:rsid w:val="00454FB2"/>
    <w:rsid w:val="004568E4"/>
    <w:rsid w:val="00460161"/>
    <w:rsid w:val="00460A8B"/>
    <w:rsid w:val="0046277C"/>
    <w:rsid w:val="00463254"/>
    <w:rsid w:val="0046767F"/>
    <w:rsid w:val="004701D5"/>
    <w:rsid w:val="004713C9"/>
    <w:rsid w:val="00471C3B"/>
    <w:rsid w:val="004727BE"/>
    <w:rsid w:val="0047361F"/>
    <w:rsid w:val="00474CF8"/>
    <w:rsid w:val="00476E35"/>
    <w:rsid w:val="00480950"/>
    <w:rsid w:val="00482478"/>
    <w:rsid w:val="00483330"/>
    <w:rsid w:val="004868D1"/>
    <w:rsid w:val="00490E38"/>
    <w:rsid w:val="00491820"/>
    <w:rsid w:val="004922F3"/>
    <w:rsid w:val="00492DD9"/>
    <w:rsid w:val="004940D3"/>
    <w:rsid w:val="00497EDA"/>
    <w:rsid w:val="004A222B"/>
    <w:rsid w:val="004A303E"/>
    <w:rsid w:val="004A3FBB"/>
    <w:rsid w:val="004A43E9"/>
    <w:rsid w:val="004A5E75"/>
    <w:rsid w:val="004A5E9F"/>
    <w:rsid w:val="004B1B0F"/>
    <w:rsid w:val="004B1D0C"/>
    <w:rsid w:val="004B23F1"/>
    <w:rsid w:val="004B32C5"/>
    <w:rsid w:val="004B4017"/>
    <w:rsid w:val="004B6F76"/>
    <w:rsid w:val="004B736D"/>
    <w:rsid w:val="004C0758"/>
    <w:rsid w:val="004C1B9A"/>
    <w:rsid w:val="004C2025"/>
    <w:rsid w:val="004C3AEB"/>
    <w:rsid w:val="004C58FC"/>
    <w:rsid w:val="004C5C79"/>
    <w:rsid w:val="004D081B"/>
    <w:rsid w:val="004D0E04"/>
    <w:rsid w:val="004D102F"/>
    <w:rsid w:val="004D1B1A"/>
    <w:rsid w:val="004D1D4C"/>
    <w:rsid w:val="004D207D"/>
    <w:rsid w:val="004D28F2"/>
    <w:rsid w:val="004D5E40"/>
    <w:rsid w:val="004D7291"/>
    <w:rsid w:val="004D772E"/>
    <w:rsid w:val="004E0430"/>
    <w:rsid w:val="004E1F64"/>
    <w:rsid w:val="004E20BF"/>
    <w:rsid w:val="004E4650"/>
    <w:rsid w:val="004E5181"/>
    <w:rsid w:val="004F0603"/>
    <w:rsid w:val="004F100D"/>
    <w:rsid w:val="004F3350"/>
    <w:rsid w:val="004F563A"/>
    <w:rsid w:val="004F5E34"/>
    <w:rsid w:val="004F713F"/>
    <w:rsid w:val="0050027E"/>
    <w:rsid w:val="0050032E"/>
    <w:rsid w:val="0050216C"/>
    <w:rsid w:val="00506CF8"/>
    <w:rsid w:val="0050736C"/>
    <w:rsid w:val="00512C92"/>
    <w:rsid w:val="005141FE"/>
    <w:rsid w:val="00515008"/>
    <w:rsid w:val="00517717"/>
    <w:rsid w:val="00520E7C"/>
    <w:rsid w:val="00524793"/>
    <w:rsid w:val="00524EA6"/>
    <w:rsid w:val="00526207"/>
    <w:rsid w:val="0052766B"/>
    <w:rsid w:val="00531B38"/>
    <w:rsid w:val="00531D60"/>
    <w:rsid w:val="00531FE4"/>
    <w:rsid w:val="00532985"/>
    <w:rsid w:val="00537E98"/>
    <w:rsid w:val="00541BEB"/>
    <w:rsid w:val="0054237D"/>
    <w:rsid w:val="005426B3"/>
    <w:rsid w:val="00543725"/>
    <w:rsid w:val="00543D8E"/>
    <w:rsid w:val="005440E4"/>
    <w:rsid w:val="00544899"/>
    <w:rsid w:val="00545B95"/>
    <w:rsid w:val="005540EB"/>
    <w:rsid w:val="00554234"/>
    <w:rsid w:val="0055600C"/>
    <w:rsid w:val="0055620C"/>
    <w:rsid w:val="005565E5"/>
    <w:rsid w:val="005609C6"/>
    <w:rsid w:val="005617CF"/>
    <w:rsid w:val="00561A94"/>
    <w:rsid w:val="00562193"/>
    <w:rsid w:val="005625A3"/>
    <w:rsid w:val="00562BA7"/>
    <w:rsid w:val="0056366E"/>
    <w:rsid w:val="00565645"/>
    <w:rsid w:val="00567843"/>
    <w:rsid w:val="005678FA"/>
    <w:rsid w:val="00567A21"/>
    <w:rsid w:val="005739D2"/>
    <w:rsid w:val="00575AFD"/>
    <w:rsid w:val="005764A1"/>
    <w:rsid w:val="005766C8"/>
    <w:rsid w:val="00576E60"/>
    <w:rsid w:val="00577649"/>
    <w:rsid w:val="00577848"/>
    <w:rsid w:val="00577D33"/>
    <w:rsid w:val="00580834"/>
    <w:rsid w:val="00583ADD"/>
    <w:rsid w:val="00583C07"/>
    <w:rsid w:val="0058469D"/>
    <w:rsid w:val="00584C61"/>
    <w:rsid w:val="00585860"/>
    <w:rsid w:val="00586CB3"/>
    <w:rsid w:val="00587AC9"/>
    <w:rsid w:val="00591DAC"/>
    <w:rsid w:val="00592BD1"/>
    <w:rsid w:val="00593603"/>
    <w:rsid w:val="00593B68"/>
    <w:rsid w:val="00596611"/>
    <w:rsid w:val="005A10A8"/>
    <w:rsid w:val="005A18A0"/>
    <w:rsid w:val="005A200C"/>
    <w:rsid w:val="005A20D4"/>
    <w:rsid w:val="005A20F8"/>
    <w:rsid w:val="005A357C"/>
    <w:rsid w:val="005A6FF9"/>
    <w:rsid w:val="005B0B41"/>
    <w:rsid w:val="005B2B3C"/>
    <w:rsid w:val="005B4C72"/>
    <w:rsid w:val="005B5994"/>
    <w:rsid w:val="005B6E22"/>
    <w:rsid w:val="005B6FCD"/>
    <w:rsid w:val="005C1AB9"/>
    <w:rsid w:val="005C2C88"/>
    <w:rsid w:val="005C3EE2"/>
    <w:rsid w:val="005C4E2C"/>
    <w:rsid w:val="005C5D7C"/>
    <w:rsid w:val="005C60EB"/>
    <w:rsid w:val="005D0943"/>
    <w:rsid w:val="005D45EC"/>
    <w:rsid w:val="005D635C"/>
    <w:rsid w:val="005D77FF"/>
    <w:rsid w:val="005E25D7"/>
    <w:rsid w:val="005E35C7"/>
    <w:rsid w:val="005E5B68"/>
    <w:rsid w:val="005F04DD"/>
    <w:rsid w:val="005F0B42"/>
    <w:rsid w:val="005F150F"/>
    <w:rsid w:val="005F1CE5"/>
    <w:rsid w:val="005F363C"/>
    <w:rsid w:val="005F3735"/>
    <w:rsid w:val="005F763A"/>
    <w:rsid w:val="00600A63"/>
    <w:rsid w:val="00601181"/>
    <w:rsid w:val="00601C28"/>
    <w:rsid w:val="00603A2F"/>
    <w:rsid w:val="00604495"/>
    <w:rsid w:val="006057DA"/>
    <w:rsid w:val="0061080A"/>
    <w:rsid w:val="00611D9B"/>
    <w:rsid w:val="00612D84"/>
    <w:rsid w:val="0061401E"/>
    <w:rsid w:val="00614DB9"/>
    <w:rsid w:val="00615E1F"/>
    <w:rsid w:val="0061789A"/>
    <w:rsid w:val="00617AD8"/>
    <w:rsid w:val="00622437"/>
    <w:rsid w:val="00622880"/>
    <w:rsid w:val="00624091"/>
    <w:rsid w:val="00625666"/>
    <w:rsid w:val="00626114"/>
    <w:rsid w:val="00626A18"/>
    <w:rsid w:val="00633F02"/>
    <w:rsid w:val="00634835"/>
    <w:rsid w:val="0063530A"/>
    <w:rsid w:val="006368E0"/>
    <w:rsid w:val="00641472"/>
    <w:rsid w:val="00643147"/>
    <w:rsid w:val="006435B7"/>
    <w:rsid w:val="00643CE5"/>
    <w:rsid w:val="00643EC3"/>
    <w:rsid w:val="0064485B"/>
    <w:rsid w:val="0064487F"/>
    <w:rsid w:val="00644E23"/>
    <w:rsid w:val="00645683"/>
    <w:rsid w:val="00645DD3"/>
    <w:rsid w:val="00646AA8"/>
    <w:rsid w:val="006470C2"/>
    <w:rsid w:val="00651203"/>
    <w:rsid w:val="00654568"/>
    <w:rsid w:val="00655B91"/>
    <w:rsid w:val="00656D03"/>
    <w:rsid w:val="00661156"/>
    <w:rsid w:val="006639DA"/>
    <w:rsid w:val="0066470D"/>
    <w:rsid w:val="00664B41"/>
    <w:rsid w:val="00667220"/>
    <w:rsid w:val="006676B9"/>
    <w:rsid w:val="00672D65"/>
    <w:rsid w:val="00675C4E"/>
    <w:rsid w:val="00676BCD"/>
    <w:rsid w:val="00676CEF"/>
    <w:rsid w:val="00677A3E"/>
    <w:rsid w:val="00680941"/>
    <w:rsid w:val="0068135D"/>
    <w:rsid w:val="00681CB2"/>
    <w:rsid w:val="00683DA6"/>
    <w:rsid w:val="0068497F"/>
    <w:rsid w:val="00684E34"/>
    <w:rsid w:val="00685D0C"/>
    <w:rsid w:val="00686872"/>
    <w:rsid w:val="00690866"/>
    <w:rsid w:val="006A2A4B"/>
    <w:rsid w:val="006A2F58"/>
    <w:rsid w:val="006A4225"/>
    <w:rsid w:val="006A4F9C"/>
    <w:rsid w:val="006A7448"/>
    <w:rsid w:val="006B0AA9"/>
    <w:rsid w:val="006B1DF5"/>
    <w:rsid w:val="006B3037"/>
    <w:rsid w:val="006B4092"/>
    <w:rsid w:val="006B6BC2"/>
    <w:rsid w:val="006C1681"/>
    <w:rsid w:val="006C2F60"/>
    <w:rsid w:val="006C3950"/>
    <w:rsid w:val="006C681F"/>
    <w:rsid w:val="006C7D81"/>
    <w:rsid w:val="006D121E"/>
    <w:rsid w:val="006D1F2D"/>
    <w:rsid w:val="006D242F"/>
    <w:rsid w:val="006D3C1A"/>
    <w:rsid w:val="006D49EC"/>
    <w:rsid w:val="006D6AAD"/>
    <w:rsid w:val="006D7229"/>
    <w:rsid w:val="006E11B2"/>
    <w:rsid w:val="006E18ED"/>
    <w:rsid w:val="006E2663"/>
    <w:rsid w:val="006E7E2A"/>
    <w:rsid w:val="006F42EC"/>
    <w:rsid w:val="006F4434"/>
    <w:rsid w:val="006F730C"/>
    <w:rsid w:val="00700EB6"/>
    <w:rsid w:val="0070165B"/>
    <w:rsid w:val="00702E30"/>
    <w:rsid w:val="00704982"/>
    <w:rsid w:val="00704EEB"/>
    <w:rsid w:val="007055A8"/>
    <w:rsid w:val="007077ED"/>
    <w:rsid w:val="00711833"/>
    <w:rsid w:val="00711D52"/>
    <w:rsid w:val="007129E2"/>
    <w:rsid w:val="00712A9B"/>
    <w:rsid w:val="00716271"/>
    <w:rsid w:val="00716A1E"/>
    <w:rsid w:val="00716C13"/>
    <w:rsid w:val="007171D3"/>
    <w:rsid w:val="00722392"/>
    <w:rsid w:val="0072424A"/>
    <w:rsid w:val="00724C38"/>
    <w:rsid w:val="007253EC"/>
    <w:rsid w:val="00725DEC"/>
    <w:rsid w:val="00726FE9"/>
    <w:rsid w:val="0073464C"/>
    <w:rsid w:val="007352B0"/>
    <w:rsid w:val="00736360"/>
    <w:rsid w:val="00737CA1"/>
    <w:rsid w:val="00740E95"/>
    <w:rsid w:val="0074245C"/>
    <w:rsid w:val="00742B9F"/>
    <w:rsid w:val="00743B59"/>
    <w:rsid w:val="007441F4"/>
    <w:rsid w:val="00744D65"/>
    <w:rsid w:val="0074529E"/>
    <w:rsid w:val="00745873"/>
    <w:rsid w:val="007465A4"/>
    <w:rsid w:val="007466F8"/>
    <w:rsid w:val="00746D10"/>
    <w:rsid w:val="00751B52"/>
    <w:rsid w:val="007645E8"/>
    <w:rsid w:val="00764904"/>
    <w:rsid w:val="0077014C"/>
    <w:rsid w:val="00770ECB"/>
    <w:rsid w:val="007740A2"/>
    <w:rsid w:val="007748BD"/>
    <w:rsid w:val="00775966"/>
    <w:rsid w:val="00777ABD"/>
    <w:rsid w:val="00777F82"/>
    <w:rsid w:val="00780D3C"/>
    <w:rsid w:val="007814BE"/>
    <w:rsid w:val="00783211"/>
    <w:rsid w:val="007836C7"/>
    <w:rsid w:val="00786A12"/>
    <w:rsid w:val="0079049F"/>
    <w:rsid w:val="007917C5"/>
    <w:rsid w:val="00791822"/>
    <w:rsid w:val="007928C1"/>
    <w:rsid w:val="00794492"/>
    <w:rsid w:val="00794A8E"/>
    <w:rsid w:val="00796789"/>
    <w:rsid w:val="00796838"/>
    <w:rsid w:val="00797C30"/>
    <w:rsid w:val="007A075D"/>
    <w:rsid w:val="007A14C4"/>
    <w:rsid w:val="007A4667"/>
    <w:rsid w:val="007A5DCF"/>
    <w:rsid w:val="007B13A5"/>
    <w:rsid w:val="007B48BC"/>
    <w:rsid w:val="007B5316"/>
    <w:rsid w:val="007B5402"/>
    <w:rsid w:val="007B5623"/>
    <w:rsid w:val="007B57BC"/>
    <w:rsid w:val="007B58C5"/>
    <w:rsid w:val="007B6DF9"/>
    <w:rsid w:val="007B72D8"/>
    <w:rsid w:val="007B7C07"/>
    <w:rsid w:val="007C1D7F"/>
    <w:rsid w:val="007C32EE"/>
    <w:rsid w:val="007C43B3"/>
    <w:rsid w:val="007C57D8"/>
    <w:rsid w:val="007C5AEC"/>
    <w:rsid w:val="007C65ED"/>
    <w:rsid w:val="007D031B"/>
    <w:rsid w:val="007D06E5"/>
    <w:rsid w:val="007D078F"/>
    <w:rsid w:val="007D3E24"/>
    <w:rsid w:val="007D6B40"/>
    <w:rsid w:val="007D6D2D"/>
    <w:rsid w:val="007E1E31"/>
    <w:rsid w:val="007E208F"/>
    <w:rsid w:val="007E74EA"/>
    <w:rsid w:val="007F042B"/>
    <w:rsid w:val="007F0D5B"/>
    <w:rsid w:val="007F38A5"/>
    <w:rsid w:val="007F5651"/>
    <w:rsid w:val="007F6B5E"/>
    <w:rsid w:val="00804381"/>
    <w:rsid w:val="00805965"/>
    <w:rsid w:val="00806C7F"/>
    <w:rsid w:val="00811383"/>
    <w:rsid w:val="0081199D"/>
    <w:rsid w:val="00812DE4"/>
    <w:rsid w:val="008138B4"/>
    <w:rsid w:val="00814123"/>
    <w:rsid w:val="008142FB"/>
    <w:rsid w:val="008147B1"/>
    <w:rsid w:val="008153E3"/>
    <w:rsid w:val="00815D50"/>
    <w:rsid w:val="00816D5D"/>
    <w:rsid w:val="008202A5"/>
    <w:rsid w:val="00820881"/>
    <w:rsid w:val="00822186"/>
    <w:rsid w:val="00822E81"/>
    <w:rsid w:val="008232A4"/>
    <w:rsid w:val="008246E9"/>
    <w:rsid w:val="0082656C"/>
    <w:rsid w:val="0082661B"/>
    <w:rsid w:val="00830886"/>
    <w:rsid w:val="0083174B"/>
    <w:rsid w:val="00832132"/>
    <w:rsid w:val="00835990"/>
    <w:rsid w:val="008446B3"/>
    <w:rsid w:val="008447D1"/>
    <w:rsid w:val="00846017"/>
    <w:rsid w:val="00847CC8"/>
    <w:rsid w:val="00862635"/>
    <w:rsid w:val="008629E5"/>
    <w:rsid w:val="008703EC"/>
    <w:rsid w:val="0087366D"/>
    <w:rsid w:val="00873DAE"/>
    <w:rsid w:val="00874B82"/>
    <w:rsid w:val="0087590A"/>
    <w:rsid w:val="008779F0"/>
    <w:rsid w:val="00882549"/>
    <w:rsid w:val="008832F2"/>
    <w:rsid w:val="00886C9D"/>
    <w:rsid w:val="00886E4E"/>
    <w:rsid w:val="00890EDF"/>
    <w:rsid w:val="008918EA"/>
    <w:rsid w:val="00891C90"/>
    <w:rsid w:val="00891D48"/>
    <w:rsid w:val="0089223C"/>
    <w:rsid w:val="00892BAC"/>
    <w:rsid w:val="008932A3"/>
    <w:rsid w:val="00894CE2"/>
    <w:rsid w:val="008950DA"/>
    <w:rsid w:val="00896130"/>
    <w:rsid w:val="00897AAD"/>
    <w:rsid w:val="00897B8E"/>
    <w:rsid w:val="008A0F75"/>
    <w:rsid w:val="008A2355"/>
    <w:rsid w:val="008A37F6"/>
    <w:rsid w:val="008A7469"/>
    <w:rsid w:val="008B09FE"/>
    <w:rsid w:val="008B213A"/>
    <w:rsid w:val="008B3DFD"/>
    <w:rsid w:val="008B41AB"/>
    <w:rsid w:val="008B4398"/>
    <w:rsid w:val="008B4769"/>
    <w:rsid w:val="008B4865"/>
    <w:rsid w:val="008B4EC7"/>
    <w:rsid w:val="008B5071"/>
    <w:rsid w:val="008B536F"/>
    <w:rsid w:val="008B5C02"/>
    <w:rsid w:val="008B6F30"/>
    <w:rsid w:val="008B744B"/>
    <w:rsid w:val="008C002B"/>
    <w:rsid w:val="008C32F3"/>
    <w:rsid w:val="008C49C5"/>
    <w:rsid w:val="008C7447"/>
    <w:rsid w:val="008D183B"/>
    <w:rsid w:val="008D18B6"/>
    <w:rsid w:val="008D1B9E"/>
    <w:rsid w:val="008D2B0C"/>
    <w:rsid w:val="008D308F"/>
    <w:rsid w:val="008D3161"/>
    <w:rsid w:val="008D46DE"/>
    <w:rsid w:val="008D4C2C"/>
    <w:rsid w:val="008D5C91"/>
    <w:rsid w:val="008D61CF"/>
    <w:rsid w:val="008E2946"/>
    <w:rsid w:val="008E31EE"/>
    <w:rsid w:val="008E48B0"/>
    <w:rsid w:val="008E5652"/>
    <w:rsid w:val="008E57BB"/>
    <w:rsid w:val="008E580F"/>
    <w:rsid w:val="008E6E5A"/>
    <w:rsid w:val="008E7886"/>
    <w:rsid w:val="008F11DF"/>
    <w:rsid w:val="008F3F62"/>
    <w:rsid w:val="008F58E1"/>
    <w:rsid w:val="008F6E36"/>
    <w:rsid w:val="008F70B5"/>
    <w:rsid w:val="008F7AC4"/>
    <w:rsid w:val="00901A45"/>
    <w:rsid w:val="00902E70"/>
    <w:rsid w:val="009040A1"/>
    <w:rsid w:val="0090528A"/>
    <w:rsid w:val="0090529A"/>
    <w:rsid w:val="00905F18"/>
    <w:rsid w:val="00905F79"/>
    <w:rsid w:val="0091181E"/>
    <w:rsid w:val="0091216A"/>
    <w:rsid w:val="00912DB2"/>
    <w:rsid w:val="00914F08"/>
    <w:rsid w:val="009167B4"/>
    <w:rsid w:val="00916D0F"/>
    <w:rsid w:val="00924DFE"/>
    <w:rsid w:val="00925CE2"/>
    <w:rsid w:val="00926D2F"/>
    <w:rsid w:val="00930764"/>
    <w:rsid w:val="00931621"/>
    <w:rsid w:val="00931657"/>
    <w:rsid w:val="009334AE"/>
    <w:rsid w:val="00933735"/>
    <w:rsid w:val="00934B30"/>
    <w:rsid w:val="0093530C"/>
    <w:rsid w:val="009354C0"/>
    <w:rsid w:val="00935CE0"/>
    <w:rsid w:val="00936BE1"/>
    <w:rsid w:val="00942D55"/>
    <w:rsid w:val="00944313"/>
    <w:rsid w:val="009452FD"/>
    <w:rsid w:val="00946100"/>
    <w:rsid w:val="009466DB"/>
    <w:rsid w:val="00952B96"/>
    <w:rsid w:val="00955B19"/>
    <w:rsid w:val="00956E3C"/>
    <w:rsid w:val="00957E64"/>
    <w:rsid w:val="009605C7"/>
    <w:rsid w:val="00961303"/>
    <w:rsid w:val="00965197"/>
    <w:rsid w:val="00966A3C"/>
    <w:rsid w:val="00973290"/>
    <w:rsid w:val="00975821"/>
    <w:rsid w:val="00975FB9"/>
    <w:rsid w:val="0098231D"/>
    <w:rsid w:val="00983877"/>
    <w:rsid w:val="00983992"/>
    <w:rsid w:val="00987322"/>
    <w:rsid w:val="00987E07"/>
    <w:rsid w:val="0099079A"/>
    <w:rsid w:val="009909E4"/>
    <w:rsid w:val="009924B1"/>
    <w:rsid w:val="00993E17"/>
    <w:rsid w:val="0099570D"/>
    <w:rsid w:val="009A1846"/>
    <w:rsid w:val="009A53FE"/>
    <w:rsid w:val="009A7A19"/>
    <w:rsid w:val="009B0E47"/>
    <w:rsid w:val="009B3593"/>
    <w:rsid w:val="009B388A"/>
    <w:rsid w:val="009B6AD6"/>
    <w:rsid w:val="009B72E1"/>
    <w:rsid w:val="009B7E6A"/>
    <w:rsid w:val="009C07C5"/>
    <w:rsid w:val="009C3E11"/>
    <w:rsid w:val="009C52C8"/>
    <w:rsid w:val="009C54AD"/>
    <w:rsid w:val="009C76A0"/>
    <w:rsid w:val="009D1A36"/>
    <w:rsid w:val="009D4F98"/>
    <w:rsid w:val="009E0C2A"/>
    <w:rsid w:val="009E0C65"/>
    <w:rsid w:val="009E1E4A"/>
    <w:rsid w:val="009E29E5"/>
    <w:rsid w:val="009E6376"/>
    <w:rsid w:val="009E7D25"/>
    <w:rsid w:val="009E7ED7"/>
    <w:rsid w:val="009F0D0F"/>
    <w:rsid w:val="009F117D"/>
    <w:rsid w:val="009F186A"/>
    <w:rsid w:val="009F2129"/>
    <w:rsid w:val="009F3201"/>
    <w:rsid w:val="009F3480"/>
    <w:rsid w:val="009F3A16"/>
    <w:rsid w:val="009F5D6E"/>
    <w:rsid w:val="009F6A0D"/>
    <w:rsid w:val="009F6A4B"/>
    <w:rsid w:val="00A001E8"/>
    <w:rsid w:val="00A0337A"/>
    <w:rsid w:val="00A05EB6"/>
    <w:rsid w:val="00A06CF0"/>
    <w:rsid w:val="00A07AB7"/>
    <w:rsid w:val="00A11C96"/>
    <w:rsid w:val="00A152BC"/>
    <w:rsid w:val="00A20E3F"/>
    <w:rsid w:val="00A23220"/>
    <w:rsid w:val="00A25221"/>
    <w:rsid w:val="00A30514"/>
    <w:rsid w:val="00A309B9"/>
    <w:rsid w:val="00A317AB"/>
    <w:rsid w:val="00A31D31"/>
    <w:rsid w:val="00A3375D"/>
    <w:rsid w:val="00A33792"/>
    <w:rsid w:val="00A34E0B"/>
    <w:rsid w:val="00A359BB"/>
    <w:rsid w:val="00A36295"/>
    <w:rsid w:val="00A37604"/>
    <w:rsid w:val="00A4037C"/>
    <w:rsid w:val="00A41722"/>
    <w:rsid w:val="00A42AF9"/>
    <w:rsid w:val="00A42F19"/>
    <w:rsid w:val="00A44669"/>
    <w:rsid w:val="00A44EB0"/>
    <w:rsid w:val="00A452C6"/>
    <w:rsid w:val="00A525C2"/>
    <w:rsid w:val="00A539B1"/>
    <w:rsid w:val="00A54220"/>
    <w:rsid w:val="00A54298"/>
    <w:rsid w:val="00A55DC6"/>
    <w:rsid w:val="00A55F28"/>
    <w:rsid w:val="00A6021E"/>
    <w:rsid w:val="00A65272"/>
    <w:rsid w:val="00A653AF"/>
    <w:rsid w:val="00A6594F"/>
    <w:rsid w:val="00A67FB6"/>
    <w:rsid w:val="00A7258C"/>
    <w:rsid w:val="00A7433F"/>
    <w:rsid w:val="00A75F4C"/>
    <w:rsid w:val="00A803C1"/>
    <w:rsid w:val="00A80D5B"/>
    <w:rsid w:val="00A820C8"/>
    <w:rsid w:val="00A82848"/>
    <w:rsid w:val="00A83C97"/>
    <w:rsid w:val="00A85686"/>
    <w:rsid w:val="00A85863"/>
    <w:rsid w:val="00A8627C"/>
    <w:rsid w:val="00A879CD"/>
    <w:rsid w:val="00A918B4"/>
    <w:rsid w:val="00A921E7"/>
    <w:rsid w:val="00A931A6"/>
    <w:rsid w:val="00A96264"/>
    <w:rsid w:val="00AA0324"/>
    <w:rsid w:val="00AA14E8"/>
    <w:rsid w:val="00AA41A9"/>
    <w:rsid w:val="00AA7101"/>
    <w:rsid w:val="00AB15CB"/>
    <w:rsid w:val="00AB447F"/>
    <w:rsid w:val="00AB4F8E"/>
    <w:rsid w:val="00AB54DC"/>
    <w:rsid w:val="00AB59BB"/>
    <w:rsid w:val="00AB7E24"/>
    <w:rsid w:val="00AC1B51"/>
    <w:rsid w:val="00AC366B"/>
    <w:rsid w:val="00AC3ADC"/>
    <w:rsid w:val="00AC5626"/>
    <w:rsid w:val="00AC5FE0"/>
    <w:rsid w:val="00AC6208"/>
    <w:rsid w:val="00AD03A5"/>
    <w:rsid w:val="00AD03EF"/>
    <w:rsid w:val="00AD1968"/>
    <w:rsid w:val="00AD2C96"/>
    <w:rsid w:val="00AD2FA3"/>
    <w:rsid w:val="00AD4C05"/>
    <w:rsid w:val="00AE4671"/>
    <w:rsid w:val="00AE50FB"/>
    <w:rsid w:val="00AE52D4"/>
    <w:rsid w:val="00AE530E"/>
    <w:rsid w:val="00AE56DA"/>
    <w:rsid w:val="00AE6364"/>
    <w:rsid w:val="00AF0F02"/>
    <w:rsid w:val="00AF0FEB"/>
    <w:rsid w:val="00AF12CC"/>
    <w:rsid w:val="00AF2573"/>
    <w:rsid w:val="00AF4BC7"/>
    <w:rsid w:val="00B0120B"/>
    <w:rsid w:val="00B03C54"/>
    <w:rsid w:val="00B065DD"/>
    <w:rsid w:val="00B07C8E"/>
    <w:rsid w:val="00B10A70"/>
    <w:rsid w:val="00B10D5E"/>
    <w:rsid w:val="00B10EE8"/>
    <w:rsid w:val="00B17425"/>
    <w:rsid w:val="00B20310"/>
    <w:rsid w:val="00B21B27"/>
    <w:rsid w:val="00B21F13"/>
    <w:rsid w:val="00B232F9"/>
    <w:rsid w:val="00B24DD8"/>
    <w:rsid w:val="00B26158"/>
    <w:rsid w:val="00B265E5"/>
    <w:rsid w:val="00B312FA"/>
    <w:rsid w:val="00B313D9"/>
    <w:rsid w:val="00B343CF"/>
    <w:rsid w:val="00B34EAB"/>
    <w:rsid w:val="00B35A40"/>
    <w:rsid w:val="00B366E4"/>
    <w:rsid w:val="00B36F8C"/>
    <w:rsid w:val="00B37AAC"/>
    <w:rsid w:val="00B41A6C"/>
    <w:rsid w:val="00B41F8F"/>
    <w:rsid w:val="00B42CAD"/>
    <w:rsid w:val="00B43057"/>
    <w:rsid w:val="00B44612"/>
    <w:rsid w:val="00B50BAD"/>
    <w:rsid w:val="00B51BBE"/>
    <w:rsid w:val="00B5246C"/>
    <w:rsid w:val="00B54997"/>
    <w:rsid w:val="00B56F17"/>
    <w:rsid w:val="00B6077D"/>
    <w:rsid w:val="00B62488"/>
    <w:rsid w:val="00B632D5"/>
    <w:rsid w:val="00B6598F"/>
    <w:rsid w:val="00B66576"/>
    <w:rsid w:val="00B67677"/>
    <w:rsid w:val="00B73C8F"/>
    <w:rsid w:val="00B73EB1"/>
    <w:rsid w:val="00B76917"/>
    <w:rsid w:val="00B77C46"/>
    <w:rsid w:val="00B830A1"/>
    <w:rsid w:val="00B84989"/>
    <w:rsid w:val="00B85AB9"/>
    <w:rsid w:val="00B87281"/>
    <w:rsid w:val="00B87733"/>
    <w:rsid w:val="00B9227F"/>
    <w:rsid w:val="00B9264E"/>
    <w:rsid w:val="00B96F12"/>
    <w:rsid w:val="00B97E2F"/>
    <w:rsid w:val="00BA203F"/>
    <w:rsid w:val="00BA4DEE"/>
    <w:rsid w:val="00BA766B"/>
    <w:rsid w:val="00BB1AEE"/>
    <w:rsid w:val="00BB21B2"/>
    <w:rsid w:val="00BB4514"/>
    <w:rsid w:val="00BB4B20"/>
    <w:rsid w:val="00BC0518"/>
    <w:rsid w:val="00BC395A"/>
    <w:rsid w:val="00BC3EC9"/>
    <w:rsid w:val="00BC5C99"/>
    <w:rsid w:val="00BC6B5C"/>
    <w:rsid w:val="00BD33F9"/>
    <w:rsid w:val="00BD3B59"/>
    <w:rsid w:val="00BD40CE"/>
    <w:rsid w:val="00BD4FCB"/>
    <w:rsid w:val="00BD5AFF"/>
    <w:rsid w:val="00BD5DFB"/>
    <w:rsid w:val="00BD72AC"/>
    <w:rsid w:val="00BE3812"/>
    <w:rsid w:val="00BE4C92"/>
    <w:rsid w:val="00BE55C8"/>
    <w:rsid w:val="00BE592C"/>
    <w:rsid w:val="00BE710C"/>
    <w:rsid w:val="00BF220C"/>
    <w:rsid w:val="00BF36C1"/>
    <w:rsid w:val="00BF40D7"/>
    <w:rsid w:val="00BF6CAC"/>
    <w:rsid w:val="00BF7A34"/>
    <w:rsid w:val="00C00F25"/>
    <w:rsid w:val="00C01292"/>
    <w:rsid w:val="00C01D5D"/>
    <w:rsid w:val="00C01F0D"/>
    <w:rsid w:val="00C0218F"/>
    <w:rsid w:val="00C05050"/>
    <w:rsid w:val="00C0507E"/>
    <w:rsid w:val="00C057A2"/>
    <w:rsid w:val="00C05B48"/>
    <w:rsid w:val="00C06F9C"/>
    <w:rsid w:val="00C07A93"/>
    <w:rsid w:val="00C10845"/>
    <w:rsid w:val="00C10EB4"/>
    <w:rsid w:val="00C11597"/>
    <w:rsid w:val="00C120DA"/>
    <w:rsid w:val="00C14052"/>
    <w:rsid w:val="00C14562"/>
    <w:rsid w:val="00C14E85"/>
    <w:rsid w:val="00C152DF"/>
    <w:rsid w:val="00C17302"/>
    <w:rsid w:val="00C17ECC"/>
    <w:rsid w:val="00C20FFF"/>
    <w:rsid w:val="00C21346"/>
    <w:rsid w:val="00C22D33"/>
    <w:rsid w:val="00C324ED"/>
    <w:rsid w:val="00C32AD1"/>
    <w:rsid w:val="00C33829"/>
    <w:rsid w:val="00C34168"/>
    <w:rsid w:val="00C36442"/>
    <w:rsid w:val="00C367B6"/>
    <w:rsid w:val="00C42D5D"/>
    <w:rsid w:val="00C42FEB"/>
    <w:rsid w:val="00C464CA"/>
    <w:rsid w:val="00C47B8A"/>
    <w:rsid w:val="00C531C2"/>
    <w:rsid w:val="00C53F95"/>
    <w:rsid w:val="00C55F2A"/>
    <w:rsid w:val="00C57A66"/>
    <w:rsid w:val="00C611B2"/>
    <w:rsid w:val="00C6244C"/>
    <w:rsid w:val="00C62791"/>
    <w:rsid w:val="00C645BA"/>
    <w:rsid w:val="00C668E4"/>
    <w:rsid w:val="00C669B6"/>
    <w:rsid w:val="00C66B50"/>
    <w:rsid w:val="00C67525"/>
    <w:rsid w:val="00C7099E"/>
    <w:rsid w:val="00C73089"/>
    <w:rsid w:val="00C75671"/>
    <w:rsid w:val="00C75DCA"/>
    <w:rsid w:val="00C84CF9"/>
    <w:rsid w:val="00C86BF6"/>
    <w:rsid w:val="00C86EA5"/>
    <w:rsid w:val="00C86EB1"/>
    <w:rsid w:val="00C91091"/>
    <w:rsid w:val="00C92E0A"/>
    <w:rsid w:val="00C931A9"/>
    <w:rsid w:val="00C9379A"/>
    <w:rsid w:val="00C93AF1"/>
    <w:rsid w:val="00C94D90"/>
    <w:rsid w:val="00C951DC"/>
    <w:rsid w:val="00C9610E"/>
    <w:rsid w:val="00C9671A"/>
    <w:rsid w:val="00CA1321"/>
    <w:rsid w:val="00CA394A"/>
    <w:rsid w:val="00CA4B97"/>
    <w:rsid w:val="00CA4CC3"/>
    <w:rsid w:val="00CB03C2"/>
    <w:rsid w:val="00CB3A2C"/>
    <w:rsid w:val="00CB4B74"/>
    <w:rsid w:val="00CB6133"/>
    <w:rsid w:val="00CB616E"/>
    <w:rsid w:val="00CB6730"/>
    <w:rsid w:val="00CB6B66"/>
    <w:rsid w:val="00CC6FB3"/>
    <w:rsid w:val="00CC74FB"/>
    <w:rsid w:val="00CD2356"/>
    <w:rsid w:val="00CD3B0C"/>
    <w:rsid w:val="00CD4936"/>
    <w:rsid w:val="00CD62BE"/>
    <w:rsid w:val="00CD6F19"/>
    <w:rsid w:val="00CE5121"/>
    <w:rsid w:val="00CE6A59"/>
    <w:rsid w:val="00CF134C"/>
    <w:rsid w:val="00CF16F9"/>
    <w:rsid w:val="00CF1C5E"/>
    <w:rsid w:val="00CF32F6"/>
    <w:rsid w:val="00CF3A6E"/>
    <w:rsid w:val="00CF4396"/>
    <w:rsid w:val="00CF6646"/>
    <w:rsid w:val="00D00A5C"/>
    <w:rsid w:val="00D00E27"/>
    <w:rsid w:val="00D01E7B"/>
    <w:rsid w:val="00D05465"/>
    <w:rsid w:val="00D0568A"/>
    <w:rsid w:val="00D05A0A"/>
    <w:rsid w:val="00D05FDA"/>
    <w:rsid w:val="00D07D43"/>
    <w:rsid w:val="00D104D6"/>
    <w:rsid w:val="00D114C4"/>
    <w:rsid w:val="00D1154F"/>
    <w:rsid w:val="00D12B81"/>
    <w:rsid w:val="00D13BAA"/>
    <w:rsid w:val="00D13E26"/>
    <w:rsid w:val="00D211CA"/>
    <w:rsid w:val="00D211EE"/>
    <w:rsid w:val="00D21EC3"/>
    <w:rsid w:val="00D23105"/>
    <w:rsid w:val="00D23716"/>
    <w:rsid w:val="00D2392C"/>
    <w:rsid w:val="00D26BFF"/>
    <w:rsid w:val="00D30BF5"/>
    <w:rsid w:val="00D3297A"/>
    <w:rsid w:val="00D33F64"/>
    <w:rsid w:val="00D35C92"/>
    <w:rsid w:val="00D35F8A"/>
    <w:rsid w:val="00D408D9"/>
    <w:rsid w:val="00D41DA2"/>
    <w:rsid w:val="00D41DBF"/>
    <w:rsid w:val="00D4672C"/>
    <w:rsid w:val="00D469C0"/>
    <w:rsid w:val="00D503E1"/>
    <w:rsid w:val="00D507C6"/>
    <w:rsid w:val="00D515DB"/>
    <w:rsid w:val="00D53576"/>
    <w:rsid w:val="00D57AB3"/>
    <w:rsid w:val="00D602F1"/>
    <w:rsid w:val="00D608E3"/>
    <w:rsid w:val="00D60C38"/>
    <w:rsid w:val="00D6233E"/>
    <w:rsid w:val="00D6449A"/>
    <w:rsid w:val="00D64945"/>
    <w:rsid w:val="00D65965"/>
    <w:rsid w:val="00D65F38"/>
    <w:rsid w:val="00D665C6"/>
    <w:rsid w:val="00D70160"/>
    <w:rsid w:val="00D71083"/>
    <w:rsid w:val="00D739DA"/>
    <w:rsid w:val="00D73BA3"/>
    <w:rsid w:val="00D73F99"/>
    <w:rsid w:val="00D7592A"/>
    <w:rsid w:val="00D81685"/>
    <w:rsid w:val="00D8271E"/>
    <w:rsid w:val="00D830E7"/>
    <w:rsid w:val="00D84094"/>
    <w:rsid w:val="00D84EFB"/>
    <w:rsid w:val="00D84FF1"/>
    <w:rsid w:val="00D8567E"/>
    <w:rsid w:val="00D8699E"/>
    <w:rsid w:val="00D87060"/>
    <w:rsid w:val="00D8771A"/>
    <w:rsid w:val="00D90764"/>
    <w:rsid w:val="00D9150B"/>
    <w:rsid w:val="00D91E3B"/>
    <w:rsid w:val="00D9386C"/>
    <w:rsid w:val="00D951AB"/>
    <w:rsid w:val="00D95326"/>
    <w:rsid w:val="00D956CD"/>
    <w:rsid w:val="00D9742D"/>
    <w:rsid w:val="00D97C84"/>
    <w:rsid w:val="00DA1007"/>
    <w:rsid w:val="00DA1FA5"/>
    <w:rsid w:val="00DA25A6"/>
    <w:rsid w:val="00DA3323"/>
    <w:rsid w:val="00DA4A2B"/>
    <w:rsid w:val="00DB02B8"/>
    <w:rsid w:val="00DB05D3"/>
    <w:rsid w:val="00DB16CC"/>
    <w:rsid w:val="00DB68BA"/>
    <w:rsid w:val="00DB7625"/>
    <w:rsid w:val="00DB780C"/>
    <w:rsid w:val="00DB7F95"/>
    <w:rsid w:val="00DC078A"/>
    <w:rsid w:val="00DC2E66"/>
    <w:rsid w:val="00DC2FC8"/>
    <w:rsid w:val="00DC6F65"/>
    <w:rsid w:val="00DD0733"/>
    <w:rsid w:val="00DD0A5E"/>
    <w:rsid w:val="00DD318C"/>
    <w:rsid w:val="00DD73E8"/>
    <w:rsid w:val="00DE624F"/>
    <w:rsid w:val="00DE62CA"/>
    <w:rsid w:val="00DE6F92"/>
    <w:rsid w:val="00DF1AB0"/>
    <w:rsid w:val="00DF4126"/>
    <w:rsid w:val="00DF771A"/>
    <w:rsid w:val="00DF77E6"/>
    <w:rsid w:val="00E00C1D"/>
    <w:rsid w:val="00E0406D"/>
    <w:rsid w:val="00E04C64"/>
    <w:rsid w:val="00E10C3E"/>
    <w:rsid w:val="00E13701"/>
    <w:rsid w:val="00E13F03"/>
    <w:rsid w:val="00E141BD"/>
    <w:rsid w:val="00E14F63"/>
    <w:rsid w:val="00E15C86"/>
    <w:rsid w:val="00E15EA0"/>
    <w:rsid w:val="00E16771"/>
    <w:rsid w:val="00E16D52"/>
    <w:rsid w:val="00E202F3"/>
    <w:rsid w:val="00E20428"/>
    <w:rsid w:val="00E204C6"/>
    <w:rsid w:val="00E2150F"/>
    <w:rsid w:val="00E22813"/>
    <w:rsid w:val="00E228B0"/>
    <w:rsid w:val="00E23A0A"/>
    <w:rsid w:val="00E23DEA"/>
    <w:rsid w:val="00E23F70"/>
    <w:rsid w:val="00E24E2A"/>
    <w:rsid w:val="00E252B9"/>
    <w:rsid w:val="00E25A12"/>
    <w:rsid w:val="00E25FC6"/>
    <w:rsid w:val="00E2663D"/>
    <w:rsid w:val="00E27335"/>
    <w:rsid w:val="00E27AD2"/>
    <w:rsid w:val="00E310E3"/>
    <w:rsid w:val="00E35B37"/>
    <w:rsid w:val="00E369DF"/>
    <w:rsid w:val="00E37562"/>
    <w:rsid w:val="00E408BE"/>
    <w:rsid w:val="00E426C2"/>
    <w:rsid w:val="00E42AAE"/>
    <w:rsid w:val="00E44DDD"/>
    <w:rsid w:val="00E50228"/>
    <w:rsid w:val="00E5022E"/>
    <w:rsid w:val="00E50A8B"/>
    <w:rsid w:val="00E50FA4"/>
    <w:rsid w:val="00E54BA8"/>
    <w:rsid w:val="00E56EEA"/>
    <w:rsid w:val="00E5738A"/>
    <w:rsid w:val="00E61794"/>
    <w:rsid w:val="00E6299D"/>
    <w:rsid w:val="00E63F35"/>
    <w:rsid w:val="00E64A57"/>
    <w:rsid w:val="00E657FC"/>
    <w:rsid w:val="00E67B50"/>
    <w:rsid w:val="00E70D8C"/>
    <w:rsid w:val="00E70F4F"/>
    <w:rsid w:val="00E759B3"/>
    <w:rsid w:val="00E81689"/>
    <w:rsid w:val="00E86487"/>
    <w:rsid w:val="00E90160"/>
    <w:rsid w:val="00E90E6D"/>
    <w:rsid w:val="00E91F4A"/>
    <w:rsid w:val="00E92B3C"/>
    <w:rsid w:val="00E94537"/>
    <w:rsid w:val="00EA2588"/>
    <w:rsid w:val="00EA3789"/>
    <w:rsid w:val="00EB082C"/>
    <w:rsid w:val="00EB1E66"/>
    <w:rsid w:val="00EB1FFA"/>
    <w:rsid w:val="00EB338C"/>
    <w:rsid w:val="00EB4421"/>
    <w:rsid w:val="00EB681F"/>
    <w:rsid w:val="00EB6F55"/>
    <w:rsid w:val="00EC11AD"/>
    <w:rsid w:val="00EC26D8"/>
    <w:rsid w:val="00EC3F4F"/>
    <w:rsid w:val="00EC54EB"/>
    <w:rsid w:val="00ED638C"/>
    <w:rsid w:val="00ED6B0D"/>
    <w:rsid w:val="00EE36AE"/>
    <w:rsid w:val="00EE6D9F"/>
    <w:rsid w:val="00EF07BA"/>
    <w:rsid w:val="00EF09CC"/>
    <w:rsid w:val="00EF34F6"/>
    <w:rsid w:val="00EF50E8"/>
    <w:rsid w:val="00EF723C"/>
    <w:rsid w:val="00F00771"/>
    <w:rsid w:val="00F02242"/>
    <w:rsid w:val="00F02AD8"/>
    <w:rsid w:val="00F033AB"/>
    <w:rsid w:val="00F043CB"/>
    <w:rsid w:val="00F04603"/>
    <w:rsid w:val="00F05529"/>
    <w:rsid w:val="00F10C1F"/>
    <w:rsid w:val="00F10E61"/>
    <w:rsid w:val="00F12849"/>
    <w:rsid w:val="00F1471D"/>
    <w:rsid w:val="00F161AD"/>
    <w:rsid w:val="00F16DBE"/>
    <w:rsid w:val="00F17A6C"/>
    <w:rsid w:val="00F17ED7"/>
    <w:rsid w:val="00F20472"/>
    <w:rsid w:val="00F20CDF"/>
    <w:rsid w:val="00F22C45"/>
    <w:rsid w:val="00F2535B"/>
    <w:rsid w:val="00F2593C"/>
    <w:rsid w:val="00F2799B"/>
    <w:rsid w:val="00F27A52"/>
    <w:rsid w:val="00F30209"/>
    <w:rsid w:val="00F318AD"/>
    <w:rsid w:val="00F31A4E"/>
    <w:rsid w:val="00F31BEF"/>
    <w:rsid w:val="00F31FEB"/>
    <w:rsid w:val="00F32F59"/>
    <w:rsid w:val="00F33810"/>
    <w:rsid w:val="00F34427"/>
    <w:rsid w:val="00F34EA0"/>
    <w:rsid w:val="00F35121"/>
    <w:rsid w:val="00F40195"/>
    <w:rsid w:val="00F40EED"/>
    <w:rsid w:val="00F4142D"/>
    <w:rsid w:val="00F41773"/>
    <w:rsid w:val="00F449F0"/>
    <w:rsid w:val="00F4546E"/>
    <w:rsid w:val="00F459BA"/>
    <w:rsid w:val="00F46CE8"/>
    <w:rsid w:val="00F47801"/>
    <w:rsid w:val="00F47ADD"/>
    <w:rsid w:val="00F50FF3"/>
    <w:rsid w:val="00F51504"/>
    <w:rsid w:val="00F5324A"/>
    <w:rsid w:val="00F539AB"/>
    <w:rsid w:val="00F557D5"/>
    <w:rsid w:val="00F5669C"/>
    <w:rsid w:val="00F57F54"/>
    <w:rsid w:val="00F6235D"/>
    <w:rsid w:val="00F67CF6"/>
    <w:rsid w:val="00F71538"/>
    <w:rsid w:val="00F71AB7"/>
    <w:rsid w:val="00F72F9A"/>
    <w:rsid w:val="00F7412B"/>
    <w:rsid w:val="00F765C1"/>
    <w:rsid w:val="00F76726"/>
    <w:rsid w:val="00F76CF8"/>
    <w:rsid w:val="00F76FDE"/>
    <w:rsid w:val="00F77A90"/>
    <w:rsid w:val="00F81580"/>
    <w:rsid w:val="00F81A57"/>
    <w:rsid w:val="00F820B5"/>
    <w:rsid w:val="00F829AF"/>
    <w:rsid w:val="00F82C76"/>
    <w:rsid w:val="00F84743"/>
    <w:rsid w:val="00F85036"/>
    <w:rsid w:val="00F90D7B"/>
    <w:rsid w:val="00F957E5"/>
    <w:rsid w:val="00F95A9B"/>
    <w:rsid w:val="00F97D0D"/>
    <w:rsid w:val="00FA0FAD"/>
    <w:rsid w:val="00FA7F94"/>
    <w:rsid w:val="00FB30C0"/>
    <w:rsid w:val="00FB3A03"/>
    <w:rsid w:val="00FB5C2E"/>
    <w:rsid w:val="00FB789D"/>
    <w:rsid w:val="00FC006A"/>
    <w:rsid w:val="00FC216C"/>
    <w:rsid w:val="00FC2178"/>
    <w:rsid w:val="00FC2336"/>
    <w:rsid w:val="00FC2878"/>
    <w:rsid w:val="00FC3CEF"/>
    <w:rsid w:val="00FC3E7F"/>
    <w:rsid w:val="00FC52C1"/>
    <w:rsid w:val="00FC7DB4"/>
    <w:rsid w:val="00FD0FCC"/>
    <w:rsid w:val="00FD193A"/>
    <w:rsid w:val="00FD52D0"/>
    <w:rsid w:val="00FD5ADD"/>
    <w:rsid w:val="00FE0690"/>
    <w:rsid w:val="00FE07FB"/>
    <w:rsid w:val="00FE0C74"/>
    <w:rsid w:val="00FE19A9"/>
    <w:rsid w:val="00FE2386"/>
    <w:rsid w:val="00FE31C3"/>
    <w:rsid w:val="00FE7D45"/>
    <w:rsid w:val="00FF02B4"/>
    <w:rsid w:val="00FF0BFF"/>
    <w:rsid w:val="00FF2A84"/>
    <w:rsid w:val="00FF5068"/>
    <w:rsid w:val="00FF5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line number"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uiPriority w:val="99"/>
    <w:rsid w:val="008918EA"/>
    <w:rPr>
      <w:rFonts w:ascii="Times New Roman" w:hAnsi="Times New Roman" w:cs="Times New Roman"/>
      <w:sz w:val="24"/>
      <w:szCs w:val="24"/>
    </w:rPr>
  </w:style>
  <w:style w:type="character" w:styleId="LineNumber">
    <w:name w:val="line number"/>
    <w:basedOn w:val="DefaultParagraphFont"/>
    <w:uiPriority w:val="99"/>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8918E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8918EA"/>
    <w:rPr>
      <w:rFonts w:cs="Times New Roman"/>
      <w:vertAlign w:val="superscript"/>
    </w:rPr>
  </w:style>
  <w:style w:type="paragraph" w:styleId="BodyText">
    <w:name w:val="Body Text"/>
    <w:basedOn w:val="Normal"/>
    <w:link w:val="BodyTextChar"/>
    <w:uiPriority w:val="99"/>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link w:val="answerChar1"/>
    <w:uiPriority w:val="99"/>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paragraph" w:styleId="PlainText">
    <w:name w:val="Plain Text"/>
    <w:basedOn w:val="Normal"/>
    <w:link w:val="PlainTextChar"/>
    <w:uiPriority w:val="99"/>
    <w:unhideWhenUsed/>
    <w:rsid w:val="004543BC"/>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543BC"/>
    <w:rPr>
      <w:rFonts w:ascii="Consolas" w:eastAsiaTheme="minorHAnsi" w:hAnsi="Consolas" w:cstheme="minorBidi"/>
      <w:sz w:val="21"/>
      <w:szCs w:val="21"/>
    </w:rPr>
  </w:style>
  <w:style w:type="character" w:styleId="CommentReference">
    <w:name w:val="annotation reference"/>
    <w:basedOn w:val="DefaultParagraphFont"/>
    <w:rsid w:val="00B24DD8"/>
    <w:rPr>
      <w:sz w:val="16"/>
      <w:szCs w:val="16"/>
    </w:rPr>
  </w:style>
  <w:style w:type="paragraph" w:styleId="CommentText">
    <w:name w:val="annotation text"/>
    <w:basedOn w:val="Normal"/>
    <w:link w:val="CommentTextChar"/>
    <w:rsid w:val="00B24DD8"/>
    <w:rPr>
      <w:sz w:val="20"/>
      <w:szCs w:val="20"/>
    </w:rPr>
  </w:style>
  <w:style w:type="character" w:customStyle="1" w:styleId="CommentTextChar">
    <w:name w:val="Comment Text Char"/>
    <w:basedOn w:val="DefaultParagraphFont"/>
    <w:link w:val="CommentText"/>
    <w:rsid w:val="00B24DD8"/>
  </w:style>
  <w:style w:type="paragraph" w:styleId="CommentSubject">
    <w:name w:val="annotation subject"/>
    <w:basedOn w:val="CommentText"/>
    <w:next w:val="CommentText"/>
    <w:link w:val="CommentSubjectChar"/>
    <w:rsid w:val="00B24DD8"/>
    <w:rPr>
      <w:b/>
      <w:bCs/>
    </w:rPr>
  </w:style>
  <w:style w:type="character" w:customStyle="1" w:styleId="CommentSubjectChar">
    <w:name w:val="Comment Subject Char"/>
    <w:basedOn w:val="CommentTextChar"/>
    <w:link w:val="CommentSubject"/>
    <w:rsid w:val="00B24DD8"/>
    <w:rPr>
      <w:b/>
      <w:bCs/>
    </w:rPr>
  </w:style>
  <w:style w:type="paragraph" w:styleId="BodyTextIndent">
    <w:name w:val="Body Text Indent"/>
    <w:basedOn w:val="Normal"/>
    <w:link w:val="BodyTextIndentChar"/>
    <w:uiPriority w:val="99"/>
    <w:rsid w:val="00956E3C"/>
    <w:pPr>
      <w:spacing w:after="120"/>
      <w:ind w:left="360"/>
    </w:pPr>
  </w:style>
  <w:style w:type="character" w:customStyle="1" w:styleId="BodyTextIndentChar">
    <w:name w:val="Body Text Indent Char"/>
    <w:basedOn w:val="DefaultParagraphFont"/>
    <w:link w:val="BodyTextIndent"/>
    <w:uiPriority w:val="99"/>
    <w:rsid w:val="00956E3C"/>
    <w:rPr>
      <w:sz w:val="24"/>
      <w:szCs w:val="24"/>
    </w:rPr>
  </w:style>
  <w:style w:type="character" w:styleId="FollowedHyperlink">
    <w:name w:val="FollowedHyperlink"/>
    <w:basedOn w:val="DefaultParagraphFont"/>
    <w:rsid w:val="00012431"/>
    <w:rPr>
      <w:color w:val="800080" w:themeColor="followedHyperlink"/>
      <w:u w:val="single"/>
    </w:rPr>
  </w:style>
  <w:style w:type="character" w:customStyle="1" w:styleId="Heading4Char">
    <w:name w:val="Heading 4 Char"/>
    <w:basedOn w:val="DefaultParagraphFont"/>
    <w:link w:val="Heading4"/>
    <w:uiPriority w:val="9"/>
    <w:rsid w:val="00C86BF6"/>
    <w:rPr>
      <w:b/>
      <w:bCs/>
      <w:sz w:val="24"/>
      <w:szCs w:val="24"/>
    </w:rPr>
  </w:style>
  <w:style w:type="character" w:customStyle="1" w:styleId="BodyTextChar">
    <w:name w:val="Body Text Char"/>
    <w:basedOn w:val="DefaultParagraphFont"/>
    <w:link w:val="BodyText"/>
    <w:uiPriority w:val="99"/>
    <w:rsid w:val="00C86BF6"/>
    <w:rPr>
      <w:b/>
      <w:bCs/>
      <w:sz w:val="24"/>
      <w:szCs w:val="24"/>
    </w:rPr>
  </w:style>
  <w:style w:type="character" w:customStyle="1" w:styleId="answerChar1">
    <w:name w:val="answer Char1"/>
    <w:basedOn w:val="DefaultParagraphFont"/>
    <w:link w:val="answer"/>
    <w:uiPriority w:val="99"/>
    <w:rsid w:val="002819BE"/>
    <w:rPr>
      <w:rFonts w:eastAsia="Calibri"/>
      <w:sz w:val="24"/>
      <w:lang w:eastAsia="zh-CN"/>
    </w:rPr>
  </w:style>
  <w:style w:type="paragraph" w:customStyle="1" w:styleId="Answer0">
    <w:name w:val="Answer"/>
    <w:basedOn w:val="Normal"/>
    <w:rsid w:val="005617CF"/>
    <w:pPr>
      <w:tabs>
        <w:tab w:val="left" w:pos="720"/>
        <w:tab w:val="left" w:pos="1440"/>
      </w:tabs>
      <w:suppressAutoHyphens/>
      <w:autoSpaceDE/>
      <w:autoSpaceDN/>
      <w:spacing w:line="480" w:lineRule="auto"/>
      <w:ind w:firstLine="720"/>
    </w:pPr>
    <w:rPr>
      <w:rFonts w:ascii="Palatino Linotype" w:hAnsi="Palatino Linotype"/>
      <w:kern w:val="16"/>
      <w:szCs w:val="20"/>
    </w:rPr>
  </w:style>
  <w:style w:type="paragraph" w:customStyle="1" w:styleId="Question">
    <w:name w:val="Question"/>
    <w:basedOn w:val="Normal"/>
    <w:next w:val="Answer0"/>
    <w:rsid w:val="005617CF"/>
    <w:pPr>
      <w:keepNext/>
      <w:tabs>
        <w:tab w:val="left" w:pos="1440"/>
      </w:tabs>
      <w:suppressAutoHyphens/>
      <w:autoSpaceDE/>
      <w:autoSpaceDN/>
      <w:spacing w:before="120" w:line="360" w:lineRule="auto"/>
      <w:ind w:firstLine="720"/>
    </w:pPr>
    <w:rPr>
      <w:rFonts w:ascii="Palatino Linotype" w:hAnsi="Palatino Linotype"/>
      <w:b/>
      <w:kern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162430626">
      <w:bodyDiv w:val="1"/>
      <w:marLeft w:val="0"/>
      <w:marRight w:val="0"/>
      <w:marTop w:val="0"/>
      <w:marBottom w:val="0"/>
      <w:divBdr>
        <w:top w:val="none" w:sz="0" w:space="0" w:color="auto"/>
        <w:left w:val="none" w:sz="0" w:space="0" w:color="auto"/>
        <w:bottom w:val="none" w:sz="0" w:space="0" w:color="auto"/>
        <w:right w:val="none" w:sz="0" w:space="0" w:color="auto"/>
      </w:divBdr>
    </w:div>
    <w:div w:id="975836945">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Commission Basis Return on Equity </a:t>
            </a:r>
            <a:r>
              <a:rPr lang="en-US" sz="1800" b="1">
                <a:latin typeface="Times New Roman" pitchFamily="18" charset="0"/>
                <a:cs typeface="Times New Roman" pitchFamily="18" charset="0"/>
              </a:rPr>
              <a:t>- WA</a:t>
            </a:r>
          </a:p>
        </c:rich>
      </c:tx>
      <c:layout>
        <c:manualLayout>
          <c:xMode val="edge"/>
          <c:yMode val="edge"/>
          <c:x val="0.11349208876814743"/>
          <c:y val="3.7558685446009529E-2"/>
        </c:manualLayout>
      </c:layout>
    </c:title>
    <c:plotArea>
      <c:layout>
        <c:manualLayout>
          <c:layoutTarget val="inner"/>
          <c:xMode val="edge"/>
          <c:yMode val="edge"/>
          <c:x val="0.1109403545078665"/>
          <c:y val="0.19130695456925056"/>
          <c:w val="0.86476494398045289"/>
          <c:h val="0.65640304884937173"/>
        </c:manualLayout>
      </c:layout>
      <c:barChart>
        <c:barDir val="col"/>
        <c:grouping val="stacked"/>
        <c:ser>
          <c:idx val="1"/>
          <c:order val="0"/>
          <c:tx>
            <c:strRef>
              <c:f>'ROE WA Commission Basis'!$B$5</c:f>
              <c:strCache>
                <c:ptCount val="1"/>
                <c:pt idx="0">
                  <c:v>Commission Basis</c:v>
                </c:pt>
              </c:strCache>
            </c:strRef>
          </c:tx>
          <c:spPr>
            <a:solidFill>
              <a:schemeClr val="tx1"/>
            </a:solidFill>
          </c:spPr>
          <c:dLbls>
            <c:dLbl>
              <c:idx val="0"/>
              <c:layout/>
              <c:tx>
                <c:rich>
                  <a:bodyPr/>
                  <a:lstStyle/>
                  <a:p>
                    <a:r>
                      <a:rPr lang="en-US">
                        <a:solidFill>
                          <a:schemeClr val="bg1"/>
                        </a:solidFill>
                      </a:rPr>
                      <a:t>5</a:t>
                    </a:r>
                    <a:r>
                      <a:rPr lang="en-US"/>
                      <a:t>.1%</a:t>
                    </a:r>
                  </a:p>
                </c:rich>
              </c:tx>
              <c:dLblPos val="inEnd"/>
              <c:showVal val="1"/>
            </c:dLbl>
            <c:dLbl>
              <c:idx val="1"/>
              <c:layout/>
              <c:tx>
                <c:rich>
                  <a:bodyPr/>
                  <a:lstStyle/>
                  <a:p>
                    <a:r>
                      <a:rPr lang="en-US"/>
                      <a:t>7.5%</a:t>
                    </a:r>
                  </a:p>
                </c:rich>
              </c:tx>
              <c:dLblPos val="inEnd"/>
              <c:showVal val="1"/>
            </c:dLbl>
            <c:dLbl>
              <c:idx val="2"/>
              <c:layout/>
              <c:tx>
                <c:rich>
                  <a:bodyPr/>
                  <a:lstStyle/>
                  <a:p>
                    <a:r>
                      <a:rPr lang="en-US"/>
                      <a:t>7.1%</a:t>
                    </a:r>
                  </a:p>
                </c:rich>
              </c:tx>
              <c:dLblPos val="inEnd"/>
              <c:showVal val="1"/>
            </c:dLbl>
            <c:dLbl>
              <c:idx val="3"/>
              <c:layout/>
              <c:tx>
                <c:rich>
                  <a:bodyPr/>
                  <a:lstStyle/>
                  <a:p>
                    <a:r>
                      <a:rPr lang="en-US"/>
                      <a:t>7.2%</a:t>
                    </a:r>
                  </a:p>
                </c:rich>
              </c:tx>
              <c:dLblPos val="inEnd"/>
              <c:showVal val="1"/>
            </c:dLbl>
            <c:dLbl>
              <c:idx val="4"/>
              <c:layout>
                <c:manualLayout>
                  <c:x val="0"/>
                  <c:y val="-0.165146944660087"/>
                </c:manualLayout>
              </c:layout>
              <c:tx>
                <c:rich>
                  <a:bodyPr/>
                  <a:lstStyle/>
                  <a:p>
                    <a:r>
                      <a:rPr lang="en-US"/>
                      <a:t>6.6%</a:t>
                    </a:r>
                  </a:p>
                </c:rich>
              </c:tx>
              <c:dLblPos val="ctr"/>
              <c:showVal val="1"/>
            </c:dLbl>
            <c:spPr>
              <a:solidFill>
                <a:schemeClr val="tx1"/>
              </a:solidFill>
              <a:ln w="0">
                <a:noFill/>
              </a:ln>
            </c:spPr>
            <c:txPr>
              <a:bodyPr rot="0"/>
              <a:lstStyle/>
              <a:p>
                <a:pPr>
                  <a:defRPr>
                    <a:solidFill>
                      <a:schemeClr val="bg1"/>
                    </a:solidFill>
                  </a:defRPr>
                </a:pPr>
                <a:endParaRPr lang="en-US"/>
              </a:p>
            </c:txPr>
            <c:dLblPos val="inEnd"/>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Basis'!$B$6:$B$10</c:f>
              <c:numCache>
                <c:formatCode>0.00%</c:formatCode>
                <c:ptCount val="5"/>
                <c:pt idx="0">
                  <c:v>5.0900000000000112E-2</c:v>
                </c:pt>
                <c:pt idx="1">
                  <c:v>7.5200000000000031E-2</c:v>
                </c:pt>
                <c:pt idx="2">
                  <c:v>7.110000000000001E-2</c:v>
                </c:pt>
                <c:pt idx="3">
                  <c:v>7.1600000000000011E-2</c:v>
                </c:pt>
                <c:pt idx="4">
                  <c:v>6.6299999999999998E-2</c:v>
                </c:pt>
              </c:numCache>
            </c:numRef>
          </c:val>
        </c:ser>
        <c:ser>
          <c:idx val="0"/>
          <c:order val="1"/>
          <c:tx>
            <c:strRef>
              <c:f>'ROE WA Commission Basis'!$C$5</c:f>
              <c:strCache>
                <c:ptCount val="1"/>
                <c:pt idx="0">
                  <c:v>Non-Op Costs</c:v>
                </c:pt>
              </c:strCache>
            </c:strRef>
          </c:tx>
          <c:spPr>
            <a:noFill/>
            <a:ln>
              <a:solidFill>
                <a:schemeClr val="tx1"/>
              </a:solidFill>
            </a:ln>
          </c:spPr>
          <c:cat>
            <c:numRef>
              <c:f>'ROE WA Commission Basis'!$A$6:$A$10</c:f>
              <c:numCache>
                <c:formatCode>General</c:formatCode>
                <c:ptCount val="5"/>
                <c:pt idx="0">
                  <c:v>2007</c:v>
                </c:pt>
                <c:pt idx="1">
                  <c:v>2008</c:v>
                </c:pt>
                <c:pt idx="2">
                  <c:v>2009</c:v>
                </c:pt>
                <c:pt idx="3">
                  <c:v>2010</c:v>
                </c:pt>
                <c:pt idx="4">
                  <c:v>2011</c:v>
                </c:pt>
              </c:numCache>
            </c:numRef>
          </c:cat>
          <c:val>
            <c:numRef>
              <c:f>'ROE WA Commission Basis'!$C$6:$C$10</c:f>
              <c:numCache>
                <c:formatCode>0.00%</c:formatCode>
                <c:ptCount val="5"/>
                <c:pt idx="0">
                  <c:v>1.1100000000000155E-2</c:v>
                </c:pt>
                <c:pt idx="1">
                  <c:v>4.2000000000000206E-3</c:v>
                </c:pt>
                <c:pt idx="2">
                  <c:v>7.2000000000000831E-3</c:v>
                </c:pt>
                <c:pt idx="3">
                  <c:v>9.3000000000000964E-3</c:v>
                </c:pt>
                <c:pt idx="4">
                  <c:v>7.6000000000000347E-3</c:v>
                </c:pt>
              </c:numCache>
            </c:numRef>
          </c:val>
        </c:ser>
        <c:ser>
          <c:idx val="2"/>
          <c:order val="2"/>
          <c:tx>
            <c:strRef>
              <c:f>'ROE WA Commission Basis'!$D$5</c:f>
              <c:strCache>
                <c:ptCount val="1"/>
              </c:strCache>
            </c:strRef>
          </c:tx>
          <c:spPr>
            <a:noFill/>
            <a:ln>
              <a:noFill/>
            </a:ln>
          </c:spPr>
          <c:dLbls>
            <c:dLbl>
              <c:idx val="0"/>
              <c:layout/>
              <c:tx>
                <c:rich>
                  <a:bodyPr/>
                  <a:lstStyle/>
                  <a:p>
                    <a:r>
                      <a:rPr lang="en-US"/>
                      <a:t>6.2%</a:t>
                    </a:r>
                  </a:p>
                </c:rich>
              </c:tx>
              <c:dLblPos val="inBase"/>
              <c:showVal val="1"/>
            </c:dLbl>
            <c:dLbl>
              <c:idx val="1"/>
              <c:layout/>
              <c:tx>
                <c:rich>
                  <a:bodyPr/>
                  <a:lstStyle/>
                  <a:p>
                    <a:r>
                      <a:rPr lang="en-US"/>
                      <a:t>7.9%</a:t>
                    </a:r>
                  </a:p>
                </c:rich>
              </c:tx>
              <c:dLblPos val="inBase"/>
              <c:showVal val="1"/>
            </c:dLbl>
            <c:dLbl>
              <c:idx val="2"/>
              <c:layout/>
              <c:tx>
                <c:rich>
                  <a:bodyPr/>
                  <a:lstStyle/>
                  <a:p>
                    <a:r>
                      <a:rPr lang="en-US"/>
                      <a:t>7.8%</a:t>
                    </a:r>
                  </a:p>
                </c:rich>
              </c:tx>
              <c:dLblPos val="inBase"/>
              <c:showVal val="1"/>
            </c:dLbl>
            <c:dLbl>
              <c:idx val="3"/>
              <c:layout/>
              <c:tx>
                <c:rich>
                  <a:bodyPr/>
                  <a:lstStyle/>
                  <a:p>
                    <a:r>
                      <a:rPr lang="en-US"/>
                      <a:t>8.1%</a:t>
                    </a:r>
                  </a:p>
                </c:rich>
              </c:tx>
              <c:dLblPos val="inBase"/>
              <c:showVal val="1"/>
            </c:dLbl>
            <c:dLbl>
              <c:idx val="4"/>
              <c:layout/>
              <c:tx>
                <c:rich>
                  <a:bodyPr/>
                  <a:lstStyle/>
                  <a:p>
                    <a:r>
                      <a:rPr lang="en-US"/>
                      <a:t>7.4%</a:t>
                    </a:r>
                  </a:p>
                </c:rich>
              </c:tx>
              <c:dLblPos val="inBase"/>
              <c:showVal val="1"/>
            </c:dLbl>
            <c:dLblPos val="inBase"/>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Basis'!$D$6:$D$10</c:f>
              <c:numCache>
                <c:formatCode>0.00%</c:formatCode>
                <c:ptCount val="5"/>
                <c:pt idx="0">
                  <c:v>6.2000000000000319E-2</c:v>
                </c:pt>
                <c:pt idx="1">
                  <c:v>7.9400000000000512E-2</c:v>
                </c:pt>
                <c:pt idx="2">
                  <c:v>7.8300000000000133E-2</c:v>
                </c:pt>
                <c:pt idx="3">
                  <c:v>8.0900000000000027E-2</c:v>
                </c:pt>
                <c:pt idx="4">
                  <c:v>7.3900000000000104E-2</c:v>
                </c:pt>
              </c:numCache>
            </c:numRef>
          </c:val>
        </c:ser>
        <c:overlap val="100"/>
        <c:axId val="47080192"/>
        <c:axId val="47081728"/>
      </c:barChart>
      <c:catAx>
        <c:axId val="47080192"/>
        <c:scaling>
          <c:orientation val="minMax"/>
        </c:scaling>
        <c:axPos val="b"/>
        <c:numFmt formatCode="General" sourceLinked="1"/>
        <c:majorTickMark val="none"/>
        <c:tickLblPos val="nextTo"/>
        <c:crossAx val="47081728"/>
        <c:crosses val="autoZero"/>
        <c:auto val="1"/>
        <c:lblAlgn val="ctr"/>
        <c:lblOffset val="100"/>
      </c:catAx>
      <c:valAx>
        <c:axId val="47081728"/>
        <c:scaling>
          <c:orientation val="minMax"/>
          <c:max val="0.1"/>
          <c:min val="0"/>
        </c:scaling>
        <c:axPos val="l"/>
        <c:majorGridlines/>
        <c:numFmt formatCode="0.00%" sourceLinked="1"/>
        <c:majorTickMark val="none"/>
        <c:tickLblPos val="nextTo"/>
        <c:crossAx val="47080192"/>
        <c:crosses val="autoZero"/>
        <c:crossBetween val="between"/>
        <c:majorUnit val="2.0000000000000052E-2"/>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D7A66FE-CB58-47CE-BCDA-7CC8F5F755E9}"/>
</file>

<file path=customXml/itemProps2.xml><?xml version="1.0" encoding="utf-8"?>
<ds:datastoreItem xmlns:ds="http://schemas.openxmlformats.org/officeDocument/2006/customXml" ds:itemID="{0A048FD9-3FA4-40BC-A420-2E40063E0672}"/>
</file>

<file path=customXml/itemProps3.xml><?xml version="1.0" encoding="utf-8"?>
<ds:datastoreItem xmlns:ds="http://schemas.openxmlformats.org/officeDocument/2006/customXml" ds:itemID="{A83C28F1-3D6B-4E47-B422-ACC33670BC78}"/>
</file>

<file path=customXml/itemProps4.xml><?xml version="1.0" encoding="utf-8"?>
<ds:datastoreItem xmlns:ds="http://schemas.openxmlformats.org/officeDocument/2006/customXml" ds:itemID="{FD9C838C-8F4C-49D7-8FE5-8F8AD864962B}"/>
</file>

<file path=customXml/itemProps5.xml><?xml version="1.0" encoding="utf-8"?>
<ds:datastoreItem xmlns:ds="http://schemas.openxmlformats.org/officeDocument/2006/customXml" ds:itemID="{2B2F4792-1473-49DB-8EBD-2B3C2CD0237B}"/>
</file>

<file path=docProps/app.xml><?xml version="1.0" encoding="utf-8"?>
<Properties xmlns="http://schemas.openxmlformats.org/officeDocument/2006/extended-properties" xmlns:vt="http://schemas.openxmlformats.org/officeDocument/2006/docPropsVTypes">
  <Template>Normal.dotm</Template>
  <TotalTime>253</TotalTime>
  <Pages>38</Pages>
  <Words>9559</Words>
  <Characters>51575</Characters>
  <Application>Microsoft Office Word</Application>
  <DocSecurity>0</DocSecurity>
  <Lines>429</Lines>
  <Paragraphs>122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Liz Andrews</cp:lastModifiedBy>
  <cp:revision>30</cp:revision>
  <cp:lastPrinted>2012-11-16T22:54:00Z</cp:lastPrinted>
  <dcterms:created xsi:type="dcterms:W3CDTF">2012-11-15T18:24:00Z</dcterms:created>
  <dcterms:modified xsi:type="dcterms:W3CDTF">2012-11-16T23:05:00Z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