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14D50" w14:textId="77777777" w:rsidR="003F6EB5" w:rsidRPr="003215A3" w:rsidRDefault="003F6EB5" w:rsidP="003F6EB5">
      <w:pPr>
        <w:pStyle w:val="Header"/>
        <w:spacing w:line="240" w:lineRule="exact"/>
        <w:rPr>
          <w:rFonts w:ascii="Times New Roman" w:hAnsi="Times New Roman"/>
        </w:rPr>
      </w:pPr>
      <w:r w:rsidRPr="003215A3">
        <w:rPr>
          <w:rFonts w:ascii="Times New Roman" w:hAnsi="Times New Roman"/>
        </w:rPr>
        <w:t>BEFORE THE WASHINGTON UTILITIES AND TRANSPORTATION COMMISSION</w:t>
      </w:r>
    </w:p>
    <w:p w14:paraId="1AEFE243" w14:textId="77777777" w:rsidR="003F6EB5" w:rsidRPr="003215A3" w:rsidRDefault="003F6EB5" w:rsidP="003F6EB5">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F6EB5" w:rsidRPr="003215A3" w14:paraId="5CF77310" w14:textId="77777777" w:rsidTr="009E7425">
        <w:tc>
          <w:tcPr>
            <w:tcW w:w="4590" w:type="dxa"/>
            <w:tcBorders>
              <w:top w:val="single" w:sz="6" w:space="0" w:color="FFFFFF"/>
              <w:left w:val="single" w:sz="6" w:space="0" w:color="FFFFFF"/>
              <w:bottom w:val="single" w:sz="7" w:space="0" w:color="000000"/>
              <w:right w:val="single" w:sz="6" w:space="0" w:color="FFFFFF"/>
            </w:tcBorders>
          </w:tcPr>
          <w:p w14:paraId="3CD5029F"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WASHINGTON UTILITIES AND TRANSPORTATION COMMISSION,</w:t>
            </w:r>
          </w:p>
          <w:p w14:paraId="52D262BB"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6C227905"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ab/>
            </w:r>
            <w:r w:rsidRPr="00ED76FF">
              <w:rPr>
                <w:rFonts w:ascii="Times New Roman" w:hAnsi="Times New Roman"/>
              </w:rPr>
              <w:tab/>
              <w:t>Complainant,</w:t>
            </w:r>
          </w:p>
          <w:p w14:paraId="0189B3E6"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1AC7346E"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v.</w:t>
            </w:r>
          </w:p>
          <w:p w14:paraId="67332A70"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30F00529"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PUGET SOUND ENERGY,</w:t>
            </w:r>
          </w:p>
          <w:p w14:paraId="0302B86F"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1A6A3931"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ab/>
            </w:r>
            <w:r w:rsidRPr="00ED76FF">
              <w:rPr>
                <w:rFonts w:ascii="Times New Roman" w:hAnsi="Times New Roman"/>
              </w:rPr>
              <w:tab/>
              <w:t>Respondent.</w:t>
            </w:r>
          </w:p>
          <w:p w14:paraId="0EA18C0E" w14:textId="77777777" w:rsidR="003F6EB5" w:rsidRPr="003215A3" w:rsidRDefault="003F6EB5" w:rsidP="009E7425">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0C292B56" w14:textId="77777777" w:rsidR="00ED76FF" w:rsidRPr="00ED76FF" w:rsidRDefault="00ED76FF" w:rsidP="00ED76FF">
            <w:pPr>
              <w:tabs>
                <w:tab w:val="center" w:pos="4320"/>
                <w:tab w:val="right" w:pos="8640"/>
              </w:tabs>
              <w:ind w:left="416"/>
              <w:rPr>
                <w:rFonts w:ascii="Times New Roman" w:hAnsi="Times New Roman"/>
              </w:rPr>
            </w:pPr>
            <w:r w:rsidRPr="00ED76FF">
              <w:rPr>
                <w:rFonts w:ascii="Times New Roman" w:hAnsi="Times New Roman"/>
              </w:rPr>
              <w:t>DOCKETS UE-151871 and UG-151872</w:t>
            </w:r>
          </w:p>
          <w:p w14:paraId="22703F16" w14:textId="77777777" w:rsidR="00ED76FF" w:rsidRPr="00ED76FF" w:rsidRDefault="00ED76FF" w:rsidP="00ED76FF">
            <w:pPr>
              <w:tabs>
                <w:tab w:val="center" w:pos="4320"/>
                <w:tab w:val="right" w:pos="8640"/>
              </w:tabs>
              <w:ind w:left="416"/>
              <w:rPr>
                <w:rFonts w:ascii="Times New Roman" w:hAnsi="Times New Roman"/>
              </w:rPr>
            </w:pPr>
            <w:r w:rsidRPr="00ED76FF">
              <w:rPr>
                <w:rFonts w:ascii="Times New Roman" w:hAnsi="Times New Roman"/>
              </w:rPr>
              <w:t>(</w:t>
            </w:r>
            <w:r w:rsidRPr="00ED76FF">
              <w:rPr>
                <w:rFonts w:ascii="Times New Roman" w:hAnsi="Times New Roman"/>
                <w:i/>
              </w:rPr>
              <w:t>consolidated</w:t>
            </w:r>
            <w:r w:rsidRPr="00ED76FF">
              <w:rPr>
                <w:rFonts w:ascii="Times New Roman" w:hAnsi="Times New Roman"/>
              </w:rPr>
              <w:t>)</w:t>
            </w:r>
          </w:p>
          <w:p w14:paraId="4730F55A" w14:textId="77777777" w:rsidR="00ED76FF" w:rsidRPr="00ED76FF" w:rsidRDefault="00ED76FF" w:rsidP="00ED76FF">
            <w:pPr>
              <w:tabs>
                <w:tab w:val="center" w:pos="4320"/>
                <w:tab w:val="right" w:pos="8640"/>
              </w:tabs>
              <w:ind w:left="416"/>
              <w:rPr>
                <w:rFonts w:ascii="Times New Roman" w:hAnsi="Times New Roman"/>
              </w:rPr>
            </w:pPr>
          </w:p>
          <w:p w14:paraId="3C4146AD" w14:textId="77777777" w:rsidR="00ED76FF" w:rsidRPr="00ED76FF" w:rsidRDefault="00ED76FF" w:rsidP="00ED76FF">
            <w:pPr>
              <w:tabs>
                <w:tab w:val="center" w:pos="4320"/>
                <w:tab w:val="right" w:pos="8640"/>
              </w:tabs>
              <w:ind w:left="416"/>
              <w:rPr>
                <w:rFonts w:ascii="Times New Roman" w:hAnsi="Times New Roman"/>
              </w:rPr>
            </w:pPr>
          </w:p>
          <w:p w14:paraId="2F41318B" w14:textId="44BEF557" w:rsidR="00ED76FF" w:rsidRPr="00ED76FF" w:rsidRDefault="00ED76FF" w:rsidP="00ED76FF">
            <w:pPr>
              <w:ind w:left="416"/>
              <w:rPr>
                <w:rFonts w:ascii="Times New Roman" w:hAnsi="Times New Roman"/>
              </w:rPr>
            </w:pPr>
            <w:r w:rsidRPr="00ED76FF">
              <w:rPr>
                <w:rFonts w:ascii="Times New Roman" w:hAnsi="Times New Roman"/>
              </w:rPr>
              <w:t xml:space="preserve">MOTION </w:t>
            </w:r>
            <w:r>
              <w:rPr>
                <w:rFonts w:ascii="Times New Roman" w:hAnsi="Times New Roman"/>
              </w:rPr>
              <w:t>FOR SUMMARY DETERMINATION</w:t>
            </w:r>
          </w:p>
          <w:p w14:paraId="37C35DEF" w14:textId="77777777" w:rsidR="003F6EB5" w:rsidRPr="003215A3" w:rsidRDefault="003F6EB5" w:rsidP="009E7425">
            <w:pPr>
              <w:pStyle w:val="Header"/>
              <w:ind w:left="416"/>
              <w:rPr>
                <w:rFonts w:ascii="Times New Roman" w:hAnsi="Times New Roman"/>
              </w:rPr>
            </w:pPr>
          </w:p>
        </w:tc>
      </w:tr>
    </w:tbl>
    <w:p w14:paraId="1C061377" w14:textId="77777777" w:rsidR="003F6EB5" w:rsidRPr="003215A3" w:rsidRDefault="003F6EB5" w:rsidP="003F6EB5">
      <w:pPr>
        <w:pStyle w:val="Header"/>
        <w:rPr>
          <w:rFonts w:ascii="Times New Roman" w:hAnsi="Times New Roman"/>
        </w:rPr>
      </w:pPr>
    </w:p>
    <w:p w14:paraId="10D65E9E" w14:textId="142720C7" w:rsidR="007B4430" w:rsidRPr="00EB0C74" w:rsidRDefault="00422068" w:rsidP="00422068">
      <w:pPr>
        <w:spacing w:line="480" w:lineRule="auto"/>
        <w:jc w:val="center"/>
        <w:rPr>
          <w:rFonts w:ascii="Times New Roman" w:hAnsi="Times New Roman"/>
          <w:b/>
        </w:rPr>
      </w:pPr>
      <w:r w:rsidRPr="00422068">
        <w:rPr>
          <w:b/>
        </w:rPr>
        <w:t xml:space="preserve">I.  </w:t>
      </w:r>
      <w:r w:rsidR="007B4430" w:rsidRPr="00422068">
        <w:rPr>
          <w:rFonts w:ascii="Times New Roman" w:hAnsi="Times New Roman"/>
          <w:b/>
        </w:rPr>
        <w:t>I</w:t>
      </w:r>
      <w:r w:rsidR="007B4430" w:rsidRPr="00EB0C74">
        <w:rPr>
          <w:rFonts w:ascii="Times New Roman" w:hAnsi="Times New Roman"/>
          <w:b/>
        </w:rPr>
        <w:t>NTRODUCTION</w:t>
      </w:r>
    </w:p>
    <w:p w14:paraId="0B98BF9D" w14:textId="5C5B2ECD" w:rsidR="00AA5A8D" w:rsidRPr="00893F62" w:rsidRDefault="007B4430" w:rsidP="00893F62">
      <w:pPr>
        <w:numPr>
          <w:ilvl w:val="0"/>
          <w:numId w:val="6"/>
        </w:numPr>
        <w:spacing w:line="480" w:lineRule="auto"/>
        <w:ind w:left="0" w:hanging="720"/>
        <w:rPr>
          <w:rFonts w:ascii="Times New Roman" w:hAnsi="Times New Roman"/>
        </w:rPr>
      </w:pPr>
      <w:r w:rsidRPr="00E0667A">
        <w:rPr>
          <w:rFonts w:ascii="Times New Roman" w:hAnsi="Times New Roman"/>
        </w:rPr>
        <w:tab/>
        <w:t xml:space="preserve">Staff of the Washington Utilities and Transportation Commission (Commission) submits this Motion </w:t>
      </w:r>
      <w:r w:rsidR="00ED76FF" w:rsidRPr="00E0667A">
        <w:rPr>
          <w:rFonts w:ascii="Times New Roman" w:hAnsi="Times New Roman"/>
        </w:rPr>
        <w:t xml:space="preserve">for Summary Determination </w:t>
      </w:r>
      <w:r w:rsidR="00216E76">
        <w:rPr>
          <w:rFonts w:ascii="Times New Roman" w:hAnsi="Times New Roman"/>
        </w:rPr>
        <w:t>under</w:t>
      </w:r>
      <w:r w:rsidRPr="00E0667A">
        <w:rPr>
          <w:rFonts w:ascii="Times New Roman" w:hAnsi="Times New Roman"/>
        </w:rPr>
        <w:t xml:space="preserve"> WAC 480-07-375</w:t>
      </w:r>
      <w:r w:rsidR="0003578D">
        <w:rPr>
          <w:rFonts w:ascii="Times New Roman" w:hAnsi="Times New Roman"/>
        </w:rPr>
        <w:t xml:space="preserve"> and</w:t>
      </w:r>
      <w:r w:rsidRPr="00E0667A">
        <w:rPr>
          <w:rFonts w:ascii="Times New Roman" w:hAnsi="Times New Roman"/>
        </w:rPr>
        <w:t xml:space="preserve"> WAC 480-07-380</w:t>
      </w:r>
      <w:r w:rsidR="00E0667A" w:rsidRPr="00E0667A">
        <w:rPr>
          <w:rFonts w:ascii="Times New Roman" w:hAnsi="Times New Roman"/>
        </w:rPr>
        <w:t xml:space="preserve">. </w:t>
      </w:r>
      <w:r w:rsidR="004E5BFB">
        <w:rPr>
          <w:rFonts w:ascii="Times New Roman" w:hAnsi="Times New Roman"/>
        </w:rPr>
        <w:t>The Commission should grant Staff’s Motion</w:t>
      </w:r>
      <w:r w:rsidR="00ED76FF" w:rsidRPr="00E0667A">
        <w:rPr>
          <w:rFonts w:ascii="Times New Roman" w:hAnsi="Times New Roman"/>
          <w:color w:val="000000"/>
        </w:rPr>
        <w:t xml:space="preserve"> for two reasons: </w:t>
      </w:r>
      <w:r w:rsidR="00E0667A" w:rsidRPr="00E0667A">
        <w:rPr>
          <w:rFonts w:ascii="Times New Roman" w:hAnsi="Times New Roman"/>
          <w:color w:val="000000"/>
        </w:rPr>
        <w:t>(1)</w:t>
      </w:r>
      <w:r w:rsidR="00ED76FF" w:rsidRPr="00E0667A">
        <w:rPr>
          <w:rFonts w:ascii="Times New Roman" w:hAnsi="Times New Roman"/>
          <w:color w:val="000000"/>
        </w:rPr>
        <w:t xml:space="preserve"> </w:t>
      </w:r>
      <w:r w:rsidR="00D11854">
        <w:rPr>
          <w:rFonts w:ascii="Times New Roman" w:hAnsi="Times New Roman"/>
          <w:color w:val="000000"/>
        </w:rPr>
        <w:t>the</w:t>
      </w:r>
      <w:r w:rsidR="00893F62" w:rsidRPr="00E0667A">
        <w:rPr>
          <w:rFonts w:ascii="Times New Roman" w:hAnsi="Times New Roman"/>
          <w:color w:val="000000"/>
        </w:rPr>
        <w:t xml:space="preserve"> </w:t>
      </w:r>
      <w:r w:rsidR="00D11854">
        <w:rPr>
          <w:rFonts w:ascii="Times New Roman" w:hAnsi="Times New Roman"/>
          <w:color w:val="000000"/>
        </w:rPr>
        <w:t xml:space="preserve">proposed </w:t>
      </w:r>
      <w:r w:rsidR="00893F62">
        <w:rPr>
          <w:rFonts w:ascii="Times New Roman" w:hAnsi="Times New Roman"/>
          <w:color w:val="000000"/>
        </w:rPr>
        <w:t>leasing service</w:t>
      </w:r>
      <w:r w:rsidR="00D11854">
        <w:rPr>
          <w:rFonts w:ascii="Times New Roman" w:hAnsi="Times New Roman"/>
          <w:color w:val="000000"/>
        </w:rPr>
        <w:t xml:space="preserve"> does not qualify as</w:t>
      </w:r>
      <w:r w:rsidR="00893F62" w:rsidRPr="00E0667A">
        <w:rPr>
          <w:rFonts w:ascii="Times New Roman" w:hAnsi="Times New Roman"/>
          <w:color w:val="000000"/>
        </w:rPr>
        <w:t xml:space="preserve"> a util</w:t>
      </w:r>
      <w:r w:rsidR="00893F62">
        <w:rPr>
          <w:rFonts w:ascii="Times New Roman" w:hAnsi="Times New Roman"/>
          <w:color w:val="000000"/>
        </w:rPr>
        <w:t>ity service</w:t>
      </w:r>
      <w:r w:rsidR="00D11854">
        <w:rPr>
          <w:rFonts w:ascii="Times New Roman" w:hAnsi="Times New Roman"/>
          <w:color w:val="000000"/>
        </w:rPr>
        <w:t xml:space="preserve"> under Washington law</w:t>
      </w:r>
      <w:r w:rsidR="00E0667A" w:rsidRPr="00893F62">
        <w:rPr>
          <w:rFonts w:ascii="Times New Roman" w:hAnsi="Times New Roman"/>
          <w:color w:val="000000"/>
        </w:rPr>
        <w:t>, and (2</w:t>
      </w:r>
      <w:r w:rsidR="00893F62" w:rsidRPr="00893F62">
        <w:rPr>
          <w:rFonts w:ascii="Times New Roman" w:hAnsi="Times New Roman"/>
          <w:color w:val="000000"/>
        </w:rPr>
        <w:t xml:space="preserve">) </w:t>
      </w:r>
      <w:r w:rsidR="00D11854">
        <w:rPr>
          <w:rFonts w:ascii="Times New Roman" w:hAnsi="Times New Roman"/>
          <w:color w:val="000000"/>
        </w:rPr>
        <w:t xml:space="preserve">Puget Sound Energy </w:t>
      </w:r>
      <w:r w:rsidR="00893F62" w:rsidRPr="00893F62">
        <w:rPr>
          <w:rFonts w:ascii="Times New Roman" w:hAnsi="Times New Roman"/>
          <w:color w:val="000000"/>
        </w:rPr>
        <w:t xml:space="preserve">failed to present sufficient evidence to </w:t>
      </w:r>
      <w:r w:rsidR="00D11854">
        <w:rPr>
          <w:rFonts w:ascii="Times New Roman" w:hAnsi="Times New Roman"/>
          <w:color w:val="000000"/>
        </w:rPr>
        <w:t xml:space="preserve">establish a </w:t>
      </w:r>
      <w:r w:rsidR="00D11854" w:rsidRPr="00D11854">
        <w:rPr>
          <w:rFonts w:ascii="Times New Roman" w:hAnsi="Times New Roman"/>
          <w:color w:val="000000"/>
        </w:rPr>
        <w:t>prima facie</w:t>
      </w:r>
      <w:r w:rsidR="00D11854">
        <w:rPr>
          <w:rFonts w:ascii="Times New Roman" w:hAnsi="Times New Roman"/>
          <w:color w:val="000000"/>
        </w:rPr>
        <w:t xml:space="preserve"> </w:t>
      </w:r>
      <w:r w:rsidR="0003578D">
        <w:rPr>
          <w:rFonts w:ascii="Times New Roman" w:hAnsi="Times New Roman"/>
          <w:color w:val="000000"/>
        </w:rPr>
        <w:t xml:space="preserve">case </w:t>
      </w:r>
      <w:r w:rsidR="00D11854">
        <w:rPr>
          <w:rFonts w:ascii="Times New Roman" w:hAnsi="Times New Roman"/>
          <w:color w:val="000000"/>
        </w:rPr>
        <w:t xml:space="preserve">that its proposed </w:t>
      </w:r>
      <w:r w:rsidR="00893F62" w:rsidRPr="00893F62">
        <w:rPr>
          <w:rFonts w:ascii="Times New Roman" w:hAnsi="Times New Roman"/>
          <w:color w:val="000000"/>
        </w:rPr>
        <w:t>rates are just</w:t>
      </w:r>
      <w:r w:rsidR="0003578D">
        <w:rPr>
          <w:rFonts w:ascii="Times New Roman" w:hAnsi="Times New Roman"/>
          <w:color w:val="000000"/>
        </w:rPr>
        <w:t xml:space="preserve"> and</w:t>
      </w:r>
      <w:r w:rsidR="00893F62" w:rsidRPr="00893F62">
        <w:rPr>
          <w:rFonts w:ascii="Times New Roman" w:hAnsi="Times New Roman"/>
          <w:color w:val="000000"/>
        </w:rPr>
        <w:t xml:space="preserve"> reasonable</w:t>
      </w:r>
      <w:r w:rsidR="004E5BFB" w:rsidRPr="00893F62">
        <w:rPr>
          <w:rFonts w:ascii="Times New Roman" w:hAnsi="Times New Roman"/>
          <w:color w:val="000000"/>
        </w:rPr>
        <w:t>. Each</w:t>
      </w:r>
      <w:r w:rsidR="00ED76FF" w:rsidRPr="00893F62">
        <w:rPr>
          <w:rFonts w:ascii="Times New Roman" w:hAnsi="Times New Roman"/>
          <w:color w:val="000000"/>
        </w:rPr>
        <w:t xml:space="preserve"> reason provide</w:t>
      </w:r>
      <w:r w:rsidR="004E5BFB" w:rsidRPr="00893F62">
        <w:rPr>
          <w:rFonts w:ascii="Times New Roman" w:hAnsi="Times New Roman"/>
          <w:color w:val="000000"/>
        </w:rPr>
        <w:t>s</w:t>
      </w:r>
      <w:r w:rsidR="00ED76FF" w:rsidRPr="00893F62">
        <w:rPr>
          <w:rFonts w:ascii="Times New Roman" w:hAnsi="Times New Roman"/>
          <w:color w:val="000000"/>
        </w:rPr>
        <w:t xml:space="preserve"> independent cause for the </w:t>
      </w:r>
      <w:r w:rsidR="00E0667A" w:rsidRPr="00893F62">
        <w:rPr>
          <w:rFonts w:ascii="Times New Roman" w:hAnsi="Times New Roman"/>
          <w:color w:val="000000"/>
        </w:rPr>
        <w:t>C</w:t>
      </w:r>
      <w:r w:rsidR="00ED76FF" w:rsidRPr="00893F62">
        <w:rPr>
          <w:rFonts w:ascii="Times New Roman" w:hAnsi="Times New Roman"/>
          <w:color w:val="000000"/>
        </w:rPr>
        <w:t xml:space="preserve">ommission to reject the </w:t>
      </w:r>
      <w:r w:rsidR="00D11854">
        <w:rPr>
          <w:rFonts w:ascii="Times New Roman" w:hAnsi="Times New Roman"/>
          <w:color w:val="000000"/>
        </w:rPr>
        <w:t>Company</w:t>
      </w:r>
      <w:r w:rsidR="00E0667A" w:rsidRPr="00893F62">
        <w:rPr>
          <w:rFonts w:ascii="Times New Roman" w:hAnsi="Times New Roman"/>
          <w:color w:val="000000"/>
        </w:rPr>
        <w:t>’s proposed tariff Schedule 75</w:t>
      </w:r>
      <w:r w:rsidR="00ED76FF" w:rsidRPr="00893F62">
        <w:rPr>
          <w:rFonts w:ascii="Times New Roman" w:hAnsi="Times New Roman"/>
          <w:color w:val="000000"/>
        </w:rPr>
        <w:t xml:space="preserve">. </w:t>
      </w:r>
    </w:p>
    <w:p w14:paraId="7B01F50D" w14:textId="2409E1D4" w:rsidR="007B4430" w:rsidRPr="007B4430" w:rsidRDefault="00422068" w:rsidP="00422068">
      <w:pPr>
        <w:spacing w:line="480" w:lineRule="auto"/>
        <w:jc w:val="center"/>
        <w:rPr>
          <w:rFonts w:ascii="Times New Roman" w:hAnsi="Times New Roman"/>
          <w:b/>
        </w:rPr>
      </w:pPr>
      <w:r>
        <w:rPr>
          <w:rFonts w:ascii="Times New Roman" w:hAnsi="Times New Roman"/>
          <w:b/>
        </w:rPr>
        <w:t xml:space="preserve">II.  </w:t>
      </w:r>
      <w:r w:rsidR="007B4430" w:rsidRPr="007B4430">
        <w:rPr>
          <w:rFonts w:ascii="Times New Roman" w:hAnsi="Times New Roman"/>
          <w:b/>
        </w:rPr>
        <w:t>RELIEF REQUESTED</w:t>
      </w:r>
    </w:p>
    <w:p w14:paraId="534E15B6" w14:textId="48CAB826" w:rsidR="00E0667A" w:rsidRPr="009E7425" w:rsidRDefault="00E0667A" w:rsidP="00E0667A">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Pr="00E0667A">
        <w:rPr>
          <w:rFonts w:ascii="Times New Roman" w:hAnsi="Times New Roman"/>
          <w:color w:val="000000"/>
        </w:rPr>
        <w:t xml:space="preserve">Commission Staff </w:t>
      </w:r>
      <w:r w:rsidRPr="00AA5A8D">
        <w:rPr>
          <w:rFonts w:ascii="Times New Roman" w:hAnsi="Times New Roman"/>
          <w:color w:val="000000"/>
        </w:rPr>
        <w:t xml:space="preserve">respectfully requests that the Commission reject the proposed tariff and affirm, as a general principle, </w:t>
      </w:r>
      <w:r w:rsidR="0003578D" w:rsidRPr="00AA5A8D">
        <w:rPr>
          <w:rFonts w:ascii="Times New Roman" w:hAnsi="Times New Roman"/>
          <w:color w:val="000000"/>
        </w:rPr>
        <w:t>that</w:t>
      </w:r>
      <w:r w:rsidR="0003578D">
        <w:rPr>
          <w:rFonts w:ascii="Times New Roman" w:hAnsi="Times New Roman"/>
          <w:color w:val="000000"/>
        </w:rPr>
        <w:t xml:space="preserve"> </w:t>
      </w:r>
      <w:r>
        <w:rPr>
          <w:rFonts w:ascii="Times New Roman" w:hAnsi="Times New Roman"/>
          <w:color w:val="000000"/>
        </w:rPr>
        <w:t xml:space="preserve">the </w:t>
      </w:r>
      <w:r w:rsidR="0003578D">
        <w:rPr>
          <w:rFonts w:ascii="Times New Roman" w:hAnsi="Times New Roman"/>
          <w:color w:val="000000"/>
        </w:rPr>
        <w:t xml:space="preserve">regulated </w:t>
      </w:r>
      <w:r w:rsidRPr="00AA5A8D">
        <w:rPr>
          <w:rFonts w:ascii="Times New Roman" w:hAnsi="Times New Roman"/>
          <w:color w:val="000000"/>
        </w:rPr>
        <w:t xml:space="preserve">utility service </w:t>
      </w:r>
      <w:r w:rsidRPr="00E0667A">
        <w:rPr>
          <w:rFonts w:ascii="Times New Roman" w:hAnsi="Times New Roman"/>
          <w:color w:val="000000"/>
        </w:rPr>
        <w:t>Puget Sound Energy</w:t>
      </w:r>
      <w:r>
        <w:rPr>
          <w:rFonts w:ascii="Times New Roman" w:hAnsi="Times New Roman"/>
          <w:color w:val="000000"/>
        </w:rPr>
        <w:t xml:space="preserve"> (PSE</w:t>
      </w:r>
      <w:r w:rsidR="00502CCC">
        <w:rPr>
          <w:rFonts w:ascii="Times New Roman" w:hAnsi="Times New Roman"/>
          <w:color w:val="000000"/>
        </w:rPr>
        <w:t xml:space="preserve"> or Company</w:t>
      </w:r>
      <w:r>
        <w:rPr>
          <w:rFonts w:ascii="Times New Roman" w:hAnsi="Times New Roman"/>
          <w:color w:val="000000"/>
        </w:rPr>
        <w:t xml:space="preserve">) provides </w:t>
      </w:r>
      <w:r w:rsidRPr="00AA5A8D">
        <w:rPr>
          <w:rFonts w:ascii="Times New Roman" w:hAnsi="Times New Roman"/>
          <w:color w:val="000000"/>
        </w:rPr>
        <w:t xml:space="preserve">ends at the </w:t>
      </w:r>
      <w:r>
        <w:rPr>
          <w:rFonts w:ascii="Times New Roman" w:hAnsi="Times New Roman"/>
          <w:color w:val="000000"/>
        </w:rPr>
        <w:t xml:space="preserve">customer </w:t>
      </w:r>
      <w:r w:rsidRPr="00AA5A8D">
        <w:rPr>
          <w:rFonts w:ascii="Times New Roman" w:hAnsi="Times New Roman"/>
          <w:color w:val="000000"/>
        </w:rPr>
        <w:t xml:space="preserve">meter unless the overreaching service is narrowly tailored to provide </w:t>
      </w:r>
      <w:r w:rsidR="00960544">
        <w:rPr>
          <w:rFonts w:ascii="Times New Roman" w:hAnsi="Times New Roman"/>
          <w:color w:val="000000"/>
        </w:rPr>
        <w:t xml:space="preserve">compelling </w:t>
      </w:r>
      <w:r w:rsidRPr="00AA5A8D">
        <w:rPr>
          <w:rFonts w:ascii="Times New Roman" w:hAnsi="Times New Roman"/>
          <w:color w:val="000000"/>
        </w:rPr>
        <w:t xml:space="preserve">net-benefits to all customers by making the </w:t>
      </w:r>
      <w:r w:rsidR="006F61C7">
        <w:rPr>
          <w:rFonts w:ascii="Times New Roman" w:hAnsi="Times New Roman"/>
          <w:color w:val="000000"/>
        </w:rPr>
        <w:t xml:space="preserve">utility </w:t>
      </w:r>
      <w:r w:rsidRPr="00AA5A8D">
        <w:rPr>
          <w:rFonts w:ascii="Times New Roman" w:hAnsi="Times New Roman"/>
          <w:color w:val="000000"/>
        </w:rPr>
        <w:t>system more efficient or otherwise fulfill</w:t>
      </w:r>
      <w:r w:rsidR="00893F62">
        <w:rPr>
          <w:rFonts w:ascii="Times New Roman" w:hAnsi="Times New Roman"/>
          <w:color w:val="000000"/>
        </w:rPr>
        <w:t>s</w:t>
      </w:r>
      <w:r w:rsidRPr="00AA5A8D">
        <w:rPr>
          <w:rFonts w:ascii="Times New Roman" w:hAnsi="Times New Roman"/>
          <w:color w:val="000000"/>
        </w:rPr>
        <w:t xml:space="preserve"> some statutory purpose articulated in the public service laws.   </w:t>
      </w:r>
    </w:p>
    <w:p w14:paraId="7AC927D6" w14:textId="62C1680A" w:rsidR="007B4430" w:rsidRPr="007B4430" w:rsidRDefault="00422068" w:rsidP="00422068">
      <w:pPr>
        <w:keepNext/>
        <w:spacing w:line="480" w:lineRule="auto"/>
        <w:jc w:val="center"/>
        <w:rPr>
          <w:rFonts w:ascii="Times New Roman" w:hAnsi="Times New Roman"/>
          <w:b/>
        </w:rPr>
      </w:pPr>
      <w:r>
        <w:rPr>
          <w:rFonts w:ascii="Times New Roman" w:hAnsi="Times New Roman"/>
          <w:b/>
        </w:rPr>
        <w:lastRenderedPageBreak/>
        <w:t>III.  ST</w:t>
      </w:r>
      <w:r w:rsidR="007B4430" w:rsidRPr="007B4430">
        <w:rPr>
          <w:rFonts w:ascii="Times New Roman" w:hAnsi="Times New Roman"/>
          <w:b/>
        </w:rPr>
        <w:t>ATEMENT OF FACTS</w:t>
      </w:r>
    </w:p>
    <w:p w14:paraId="472CD8D7" w14:textId="67B550FF" w:rsidR="00486ED6" w:rsidRDefault="007B4430" w:rsidP="00486ED6">
      <w:pPr>
        <w:keepNext/>
        <w:numPr>
          <w:ilvl w:val="0"/>
          <w:numId w:val="6"/>
        </w:numPr>
        <w:spacing w:line="480" w:lineRule="auto"/>
        <w:ind w:left="0" w:hanging="720"/>
        <w:rPr>
          <w:rFonts w:ascii="Times New Roman" w:hAnsi="Times New Roman"/>
        </w:rPr>
      </w:pPr>
      <w:r w:rsidRPr="007B4430">
        <w:rPr>
          <w:rFonts w:ascii="Times New Roman" w:hAnsi="Times New Roman"/>
        </w:rPr>
        <w:tab/>
        <w:t xml:space="preserve">On </w:t>
      </w:r>
      <w:r w:rsidR="00960544">
        <w:rPr>
          <w:rFonts w:ascii="Times New Roman" w:hAnsi="Times New Roman"/>
        </w:rPr>
        <w:t>September</w:t>
      </w:r>
      <w:r w:rsidR="003F6EB5">
        <w:rPr>
          <w:rFonts w:ascii="Times New Roman" w:hAnsi="Times New Roman"/>
        </w:rPr>
        <w:t xml:space="preserve"> </w:t>
      </w:r>
      <w:r w:rsidR="00960544">
        <w:rPr>
          <w:rFonts w:ascii="Times New Roman" w:hAnsi="Times New Roman"/>
        </w:rPr>
        <w:t>18</w:t>
      </w:r>
      <w:r w:rsidR="003F6EB5">
        <w:rPr>
          <w:rFonts w:ascii="Times New Roman" w:hAnsi="Times New Roman"/>
        </w:rPr>
        <w:t>, 2015,</w:t>
      </w:r>
      <w:r>
        <w:rPr>
          <w:rFonts w:ascii="Times New Roman" w:hAnsi="Times New Roman"/>
        </w:rPr>
        <w:t xml:space="preserve"> </w:t>
      </w:r>
      <w:r w:rsidR="00960544">
        <w:rPr>
          <w:rFonts w:ascii="Times New Roman" w:hAnsi="Times New Roman"/>
        </w:rPr>
        <w:t>PSE</w:t>
      </w:r>
      <w:r>
        <w:rPr>
          <w:rFonts w:ascii="Times New Roman" w:hAnsi="Times New Roman"/>
        </w:rPr>
        <w:t xml:space="preserve"> </w:t>
      </w:r>
      <w:r w:rsidR="00ED240D">
        <w:rPr>
          <w:rFonts w:ascii="Times New Roman" w:hAnsi="Times New Roman"/>
        </w:rPr>
        <w:t>fi</w:t>
      </w:r>
      <w:r w:rsidR="00960544">
        <w:rPr>
          <w:rFonts w:ascii="Times New Roman" w:hAnsi="Times New Roman"/>
        </w:rPr>
        <w:t xml:space="preserve">led proposed tariff sheets </w:t>
      </w:r>
      <w:r w:rsidR="00A824C1">
        <w:rPr>
          <w:rFonts w:ascii="Times New Roman" w:hAnsi="Times New Roman"/>
        </w:rPr>
        <w:t xml:space="preserve">to launch a new optional, tariff-based </w:t>
      </w:r>
      <w:r w:rsidR="0003578D">
        <w:rPr>
          <w:rFonts w:ascii="Times New Roman" w:hAnsi="Times New Roman"/>
        </w:rPr>
        <w:t xml:space="preserve">service </w:t>
      </w:r>
      <w:r w:rsidR="00A824C1">
        <w:rPr>
          <w:rFonts w:ascii="Times New Roman" w:hAnsi="Times New Roman"/>
        </w:rPr>
        <w:t>for acquiring and maintain</w:t>
      </w:r>
      <w:r w:rsidR="0003578D">
        <w:rPr>
          <w:rFonts w:ascii="Times New Roman" w:hAnsi="Times New Roman"/>
        </w:rPr>
        <w:t>ing</w:t>
      </w:r>
      <w:r w:rsidR="00A824C1">
        <w:rPr>
          <w:rFonts w:ascii="Times New Roman" w:hAnsi="Times New Roman"/>
        </w:rPr>
        <w:t xml:space="preserve"> end-use equipment</w:t>
      </w:r>
      <w:r w:rsidR="00893F62">
        <w:rPr>
          <w:rFonts w:ascii="Times New Roman" w:hAnsi="Times New Roman"/>
        </w:rPr>
        <w:t xml:space="preserve"> powered by electricity or natural gas</w:t>
      </w:r>
      <w:r w:rsidR="00486ED6">
        <w:rPr>
          <w:rFonts w:ascii="Times New Roman" w:hAnsi="Times New Roman"/>
        </w:rPr>
        <w:t xml:space="preserve"> (proposed leasing service)</w:t>
      </w:r>
      <w:r w:rsidR="00A824C1">
        <w:rPr>
          <w:rFonts w:ascii="Times New Roman" w:hAnsi="Times New Roman"/>
        </w:rPr>
        <w:t xml:space="preserve">. The </w:t>
      </w:r>
      <w:r w:rsidR="00A824C1" w:rsidRPr="00A824C1">
        <w:rPr>
          <w:rFonts w:ascii="Times New Roman" w:hAnsi="Times New Roman"/>
        </w:rPr>
        <w:t xml:space="preserve">proposed tariff </w:t>
      </w:r>
      <w:r w:rsidR="00A824C1">
        <w:rPr>
          <w:rFonts w:ascii="Times New Roman" w:hAnsi="Times New Roman"/>
        </w:rPr>
        <w:t>contained terms, but no</w:t>
      </w:r>
      <w:r w:rsidR="00893F62">
        <w:rPr>
          <w:rFonts w:ascii="Times New Roman" w:hAnsi="Times New Roman"/>
        </w:rPr>
        <w:t>t</w:t>
      </w:r>
      <w:r w:rsidR="00A824C1">
        <w:rPr>
          <w:rFonts w:ascii="Times New Roman" w:hAnsi="Times New Roman"/>
        </w:rPr>
        <w:t xml:space="preserve"> rates.</w:t>
      </w:r>
      <w:r w:rsidR="00486ED6">
        <w:rPr>
          <w:rStyle w:val="FootnoteReference"/>
          <w:rFonts w:ascii="Times New Roman" w:hAnsi="Times New Roman"/>
        </w:rPr>
        <w:footnoteReference w:id="1"/>
      </w:r>
      <w:r w:rsidR="00A824C1">
        <w:rPr>
          <w:rFonts w:ascii="Times New Roman" w:hAnsi="Times New Roman"/>
        </w:rPr>
        <w:t xml:space="preserve"> </w:t>
      </w:r>
      <w:r w:rsidR="00486ED6">
        <w:rPr>
          <w:rFonts w:ascii="Times New Roman" w:hAnsi="Times New Roman"/>
        </w:rPr>
        <w:t xml:space="preserve">PSE </w:t>
      </w:r>
      <w:r w:rsidR="00486ED6" w:rsidRPr="00486ED6">
        <w:rPr>
          <w:rFonts w:ascii="Times New Roman" w:hAnsi="Times New Roman"/>
        </w:rPr>
        <w:t xml:space="preserve">did not provide any pre-filed testimony to substantiate </w:t>
      </w:r>
      <w:r w:rsidR="00893F62">
        <w:rPr>
          <w:rFonts w:ascii="Times New Roman" w:hAnsi="Times New Roman"/>
        </w:rPr>
        <w:t>its</w:t>
      </w:r>
      <w:r w:rsidR="00486ED6" w:rsidRPr="00486ED6">
        <w:rPr>
          <w:rFonts w:ascii="Times New Roman" w:hAnsi="Times New Roman"/>
        </w:rPr>
        <w:t xml:space="preserve"> proposed </w:t>
      </w:r>
      <w:r w:rsidR="0003578D">
        <w:rPr>
          <w:rFonts w:ascii="Times New Roman" w:hAnsi="Times New Roman"/>
        </w:rPr>
        <w:t xml:space="preserve">leasing </w:t>
      </w:r>
      <w:r w:rsidR="00893F62" w:rsidRPr="00486ED6">
        <w:rPr>
          <w:rFonts w:ascii="Times New Roman" w:hAnsi="Times New Roman"/>
        </w:rPr>
        <w:t>service</w:t>
      </w:r>
      <w:r w:rsidR="00893F62">
        <w:rPr>
          <w:rFonts w:ascii="Times New Roman" w:hAnsi="Times New Roman"/>
        </w:rPr>
        <w:t>;</w:t>
      </w:r>
      <w:r w:rsidR="00486ED6" w:rsidRPr="00486ED6">
        <w:rPr>
          <w:rFonts w:ascii="Times New Roman" w:hAnsi="Times New Roman"/>
        </w:rPr>
        <w:t xml:space="preserve"> </w:t>
      </w:r>
      <w:r w:rsidR="00486ED6">
        <w:rPr>
          <w:rFonts w:ascii="Times New Roman" w:hAnsi="Times New Roman"/>
        </w:rPr>
        <w:t>o</w:t>
      </w:r>
      <w:r w:rsidR="00486ED6" w:rsidRPr="00486ED6">
        <w:rPr>
          <w:rFonts w:ascii="Times New Roman" w:hAnsi="Times New Roman"/>
        </w:rPr>
        <w:t>nly a cover l</w:t>
      </w:r>
      <w:r w:rsidR="00216E76">
        <w:rPr>
          <w:rFonts w:ascii="Times New Roman" w:hAnsi="Times New Roman"/>
        </w:rPr>
        <w:t>ett</w:t>
      </w:r>
      <w:r w:rsidR="00486ED6" w:rsidRPr="00486ED6">
        <w:rPr>
          <w:rFonts w:ascii="Times New Roman" w:hAnsi="Times New Roman"/>
        </w:rPr>
        <w:t>er that broadly described the propos</w:t>
      </w:r>
      <w:r w:rsidR="0003578D">
        <w:rPr>
          <w:rFonts w:ascii="Times New Roman" w:hAnsi="Times New Roman"/>
        </w:rPr>
        <w:t xml:space="preserve">al </w:t>
      </w:r>
      <w:r w:rsidR="00486ED6" w:rsidRPr="00486ED6">
        <w:rPr>
          <w:rFonts w:ascii="Times New Roman" w:hAnsi="Times New Roman"/>
        </w:rPr>
        <w:t>accompanied the tariff sheets</w:t>
      </w:r>
      <w:r w:rsidR="00486ED6">
        <w:rPr>
          <w:rFonts w:ascii="Times New Roman" w:hAnsi="Times New Roman"/>
        </w:rPr>
        <w:t xml:space="preserve">. At the November 13, 2015 Open Meeting, the </w:t>
      </w:r>
      <w:r w:rsidR="007862D9">
        <w:rPr>
          <w:rFonts w:ascii="Times New Roman" w:hAnsi="Times New Roman"/>
        </w:rPr>
        <w:t>tariff</w:t>
      </w:r>
      <w:r w:rsidR="002A5C04">
        <w:rPr>
          <w:rFonts w:ascii="Times New Roman" w:hAnsi="Times New Roman"/>
        </w:rPr>
        <w:t xml:space="preserve"> was characterized as a</w:t>
      </w:r>
      <w:r w:rsidR="00486ED6">
        <w:rPr>
          <w:rFonts w:ascii="Times New Roman" w:hAnsi="Times New Roman"/>
        </w:rPr>
        <w:t xml:space="preserve"> </w:t>
      </w:r>
      <w:r w:rsidR="002A5C04">
        <w:rPr>
          <w:rFonts w:ascii="Times New Roman" w:hAnsi="Times New Roman"/>
        </w:rPr>
        <w:t>deficient</w:t>
      </w:r>
      <w:r w:rsidR="007862D9">
        <w:rPr>
          <w:rFonts w:ascii="Times New Roman" w:hAnsi="Times New Roman"/>
        </w:rPr>
        <w:t xml:space="preserve"> “naked tariff”</w:t>
      </w:r>
      <w:r w:rsidR="00893F62">
        <w:rPr>
          <w:rFonts w:ascii="Times New Roman" w:hAnsi="Times New Roman"/>
        </w:rPr>
        <w:t xml:space="preserve"> because</w:t>
      </w:r>
      <w:r w:rsidR="007862D9">
        <w:rPr>
          <w:rFonts w:ascii="Times New Roman" w:hAnsi="Times New Roman"/>
        </w:rPr>
        <w:t xml:space="preserve"> it lacked rates.</w:t>
      </w:r>
      <w:r w:rsidR="002A5C04">
        <w:rPr>
          <w:rStyle w:val="FootnoteReference"/>
          <w:rFonts w:ascii="Times New Roman" w:hAnsi="Times New Roman"/>
        </w:rPr>
        <w:footnoteReference w:id="2"/>
      </w:r>
      <w:r w:rsidR="007862D9">
        <w:rPr>
          <w:rFonts w:ascii="Times New Roman" w:hAnsi="Times New Roman"/>
        </w:rPr>
        <w:t xml:space="preserve"> In accordance with Staff’s recommendation, </w:t>
      </w:r>
      <w:r w:rsidR="00486ED6">
        <w:rPr>
          <w:rFonts w:ascii="Times New Roman" w:hAnsi="Times New Roman"/>
        </w:rPr>
        <w:t xml:space="preserve">the Commission </w:t>
      </w:r>
      <w:r w:rsidR="00834D76">
        <w:rPr>
          <w:rFonts w:ascii="Times New Roman" w:hAnsi="Times New Roman"/>
        </w:rPr>
        <w:t>issued</w:t>
      </w:r>
      <w:r w:rsidR="00486ED6">
        <w:rPr>
          <w:rFonts w:ascii="Times New Roman" w:hAnsi="Times New Roman"/>
        </w:rPr>
        <w:t xml:space="preserve"> a complaint and order suspending the tariff.</w:t>
      </w:r>
      <w:r w:rsidR="00486ED6">
        <w:rPr>
          <w:rStyle w:val="FootnoteReference"/>
          <w:rFonts w:ascii="Times New Roman" w:hAnsi="Times New Roman"/>
        </w:rPr>
        <w:footnoteReference w:id="3"/>
      </w:r>
      <w:r w:rsidR="00486ED6">
        <w:rPr>
          <w:rFonts w:ascii="Times New Roman" w:hAnsi="Times New Roman"/>
        </w:rPr>
        <w:t xml:space="preserve">   </w:t>
      </w:r>
    </w:p>
    <w:p w14:paraId="63F29C3F" w14:textId="64F70F01" w:rsidR="00B35D70" w:rsidRDefault="00834D76" w:rsidP="007D3951">
      <w:pPr>
        <w:numPr>
          <w:ilvl w:val="0"/>
          <w:numId w:val="6"/>
        </w:numPr>
        <w:spacing w:line="480" w:lineRule="auto"/>
        <w:ind w:left="0" w:hanging="720"/>
        <w:rPr>
          <w:rFonts w:ascii="Times New Roman" w:hAnsi="Times New Roman"/>
        </w:rPr>
      </w:pPr>
      <w:r w:rsidRPr="00B35D70">
        <w:rPr>
          <w:rFonts w:ascii="Times New Roman" w:hAnsi="Times New Roman"/>
        </w:rPr>
        <w:t xml:space="preserve"> </w:t>
      </w:r>
      <w:r w:rsidRPr="00B35D70">
        <w:rPr>
          <w:rFonts w:ascii="Times New Roman" w:hAnsi="Times New Roman"/>
        </w:rPr>
        <w:tab/>
        <w:t xml:space="preserve">On </w:t>
      </w:r>
      <w:r w:rsidR="00865B9C" w:rsidRPr="00B35D70">
        <w:rPr>
          <w:rFonts w:ascii="Times New Roman" w:hAnsi="Times New Roman"/>
        </w:rPr>
        <w:t>February 17, 2016, PSE filed substitute tariff sheets to replace those originally filed. The express purpose of the substitute tariff sheets was to “add monthly lease rates to the tariffs</w:t>
      </w:r>
      <w:r w:rsidR="002A5C04">
        <w:rPr>
          <w:rFonts w:ascii="Times New Roman" w:hAnsi="Times New Roman"/>
        </w:rPr>
        <w:t>”</w:t>
      </w:r>
      <w:r w:rsidR="00865B9C" w:rsidRPr="00B35D70">
        <w:rPr>
          <w:rFonts w:ascii="Times New Roman" w:hAnsi="Times New Roman"/>
        </w:rPr>
        <w:t xml:space="preserve"> and to</w:t>
      </w:r>
      <w:r w:rsidR="002A5C04">
        <w:rPr>
          <w:rFonts w:ascii="Times New Roman" w:hAnsi="Times New Roman"/>
        </w:rPr>
        <w:t xml:space="preserve"> “</w:t>
      </w:r>
      <w:r w:rsidR="00865B9C" w:rsidRPr="00B35D70">
        <w:rPr>
          <w:rFonts w:ascii="Times New Roman" w:hAnsi="Times New Roman"/>
        </w:rPr>
        <w:t>update various other terms</w:t>
      </w:r>
      <w:r w:rsidR="002A5C04">
        <w:rPr>
          <w:rFonts w:ascii="Times New Roman" w:hAnsi="Times New Roman"/>
        </w:rPr>
        <w:t>.</w:t>
      </w:r>
      <w:r w:rsidR="00865B9C" w:rsidRPr="00B35D70">
        <w:rPr>
          <w:rFonts w:ascii="Times New Roman" w:hAnsi="Times New Roman"/>
        </w:rPr>
        <w:t>”</w:t>
      </w:r>
      <w:r w:rsidR="00865B9C">
        <w:rPr>
          <w:rStyle w:val="FootnoteReference"/>
          <w:rFonts w:ascii="Times New Roman" w:hAnsi="Times New Roman"/>
        </w:rPr>
        <w:footnoteReference w:id="4"/>
      </w:r>
      <w:r w:rsidR="00865B9C" w:rsidRPr="00B35D70">
        <w:rPr>
          <w:rFonts w:ascii="Times New Roman" w:hAnsi="Times New Roman"/>
        </w:rPr>
        <w:t xml:space="preserve"> </w:t>
      </w:r>
      <w:r w:rsidR="00341B38" w:rsidRPr="00B35D70">
        <w:rPr>
          <w:rFonts w:ascii="Times New Roman" w:hAnsi="Times New Roman"/>
        </w:rPr>
        <w:t xml:space="preserve">PSE developed the rates based on </w:t>
      </w:r>
      <w:r w:rsidR="00536434" w:rsidRPr="00B35D70">
        <w:rPr>
          <w:rFonts w:ascii="Times New Roman" w:hAnsi="Times New Roman"/>
        </w:rPr>
        <w:t>“</w:t>
      </w:r>
      <w:r w:rsidR="00341B38" w:rsidRPr="00B35D70">
        <w:rPr>
          <w:rFonts w:ascii="Times New Roman" w:hAnsi="Times New Roman"/>
        </w:rPr>
        <w:t>estimate</w:t>
      </w:r>
      <w:r w:rsidR="00536434" w:rsidRPr="00B35D70">
        <w:rPr>
          <w:rFonts w:ascii="Times New Roman" w:hAnsi="Times New Roman"/>
        </w:rPr>
        <w:t>s of all costs borne by the Company in installing, operating and maintaining the equipment over the life of the lease term [1</w:t>
      </w:r>
      <w:r w:rsidR="005579FE">
        <w:rPr>
          <w:rFonts w:ascii="Times New Roman" w:hAnsi="Times New Roman"/>
        </w:rPr>
        <w:t>0</w:t>
      </w:r>
      <w:r w:rsidR="00536434" w:rsidRPr="00B35D70">
        <w:rPr>
          <w:rFonts w:ascii="Times New Roman" w:hAnsi="Times New Roman"/>
        </w:rPr>
        <w:t>-18 years].”</w:t>
      </w:r>
      <w:r w:rsidR="00536434">
        <w:rPr>
          <w:rStyle w:val="FootnoteReference"/>
          <w:rFonts w:ascii="Times New Roman" w:hAnsi="Times New Roman"/>
        </w:rPr>
        <w:footnoteReference w:id="5"/>
      </w:r>
      <w:r w:rsidR="00536434" w:rsidRPr="00B35D70">
        <w:rPr>
          <w:rFonts w:ascii="Times New Roman" w:hAnsi="Times New Roman"/>
        </w:rPr>
        <w:t xml:space="preserve"> These estimates included equipment costs developed by averaging sample costs from a wide range of products because the Company ha</w:t>
      </w:r>
      <w:r w:rsidR="00893F62">
        <w:rPr>
          <w:rFonts w:ascii="Times New Roman" w:hAnsi="Times New Roman"/>
        </w:rPr>
        <w:t>d</w:t>
      </w:r>
      <w:r w:rsidR="00536434" w:rsidRPr="00B35D70">
        <w:rPr>
          <w:rFonts w:ascii="Times New Roman" w:hAnsi="Times New Roman"/>
        </w:rPr>
        <w:t xml:space="preserve"> </w:t>
      </w:r>
      <w:r w:rsidR="00893F62">
        <w:rPr>
          <w:rFonts w:ascii="Times New Roman" w:hAnsi="Times New Roman"/>
        </w:rPr>
        <w:t>not</w:t>
      </w:r>
      <w:r w:rsidR="00536434" w:rsidRPr="00B35D70">
        <w:rPr>
          <w:rFonts w:ascii="Times New Roman" w:hAnsi="Times New Roman"/>
        </w:rPr>
        <w:t xml:space="preserve"> identif</w:t>
      </w:r>
      <w:r w:rsidR="00893F62">
        <w:rPr>
          <w:rFonts w:ascii="Times New Roman" w:hAnsi="Times New Roman"/>
        </w:rPr>
        <w:t>ied</w:t>
      </w:r>
      <w:r w:rsidR="00536434" w:rsidRPr="00B35D70">
        <w:rPr>
          <w:rFonts w:ascii="Times New Roman" w:hAnsi="Times New Roman"/>
        </w:rPr>
        <w:t xml:space="preserve"> the specific equipment </w:t>
      </w:r>
      <w:r w:rsidR="0003578D">
        <w:rPr>
          <w:rFonts w:ascii="Times New Roman" w:hAnsi="Times New Roman"/>
        </w:rPr>
        <w:t>it hoped to</w:t>
      </w:r>
      <w:r w:rsidR="00536434" w:rsidRPr="00B35D70">
        <w:rPr>
          <w:rFonts w:ascii="Times New Roman" w:hAnsi="Times New Roman"/>
        </w:rPr>
        <w:t xml:space="preserve"> offer.</w:t>
      </w:r>
      <w:r w:rsidR="00536434">
        <w:rPr>
          <w:rStyle w:val="FootnoteReference"/>
          <w:rFonts w:ascii="Times New Roman" w:hAnsi="Times New Roman"/>
        </w:rPr>
        <w:footnoteReference w:id="6"/>
      </w:r>
      <w:r w:rsidR="00536434" w:rsidRPr="00B35D70">
        <w:rPr>
          <w:rFonts w:ascii="Times New Roman" w:hAnsi="Times New Roman"/>
        </w:rPr>
        <w:t xml:space="preserve"> PSE</w:t>
      </w:r>
      <w:r w:rsidR="00594ED0">
        <w:rPr>
          <w:rFonts w:ascii="Times New Roman" w:hAnsi="Times New Roman"/>
        </w:rPr>
        <w:t xml:space="preserve"> </w:t>
      </w:r>
      <w:r w:rsidR="00536434" w:rsidRPr="00B35D70">
        <w:rPr>
          <w:rFonts w:ascii="Times New Roman" w:hAnsi="Times New Roman"/>
        </w:rPr>
        <w:t xml:space="preserve">proposed </w:t>
      </w:r>
      <w:r w:rsidR="0003578D">
        <w:rPr>
          <w:rFonts w:ascii="Times New Roman" w:hAnsi="Times New Roman"/>
        </w:rPr>
        <w:t xml:space="preserve">that the </w:t>
      </w:r>
      <w:r w:rsidR="00893F62">
        <w:rPr>
          <w:rFonts w:ascii="Times New Roman" w:hAnsi="Times New Roman"/>
        </w:rPr>
        <w:t>rates</w:t>
      </w:r>
      <w:r w:rsidR="0003578D">
        <w:rPr>
          <w:rFonts w:ascii="Times New Roman" w:hAnsi="Times New Roman"/>
        </w:rPr>
        <w:t xml:space="preserve"> </w:t>
      </w:r>
      <w:r w:rsidR="00B35D70" w:rsidRPr="00B35D70">
        <w:rPr>
          <w:rFonts w:ascii="Times New Roman" w:hAnsi="Times New Roman"/>
        </w:rPr>
        <w:t xml:space="preserve">be </w:t>
      </w:r>
      <w:r w:rsidR="002A5C04">
        <w:rPr>
          <w:rFonts w:ascii="Times New Roman" w:hAnsi="Times New Roman"/>
        </w:rPr>
        <w:t xml:space="preserve">fixed for the entire </w:t>
      </w:r>
      <w:r w:rsidR="0003578D">
        <w:rPr>
          <w:rFonts w:ascii="Times New Roman" w:hAnsi="Times New Roman"/>
        </w:rPr>
        <w:t>1</w:t>
      </w:r>
      <w:r w:rsidR="005579FE">
        <w:rPr>
          <w:rFonts w:ascii="Times New Roman" w:hAnsi="Times New Roman"/>
        </w:rPr>
        <w:t>0</w:t>
      </w:r>
      <w:r w:rsidR="0003578D">
        <w:rPr>
          <w:rFonts w:ascii="Times New Roman" w:hAnsi="Times New Roman"/>
        </w:rPr>
        <w:t xml:space="preserve">-18 year </w:t>
      </w:r>
      <w:r w:rsidR="002A5C04">
        <w:rPr>
          <w:rFonts w:ascii="Times New Roman" w:hAnsi="Times New Roman"/>
        </w:rPr>
        <w:t>lease</w:t>
      </w:r>
      <w:r w:rsidR="0003578D">
        <w:rPr>
          <w:rFonts w:ascii="Times New Roman" w:hAnsi="Times New Roman"/>
        </w:rPr>
        <w:t xml:space="preserve"> </w:t>
      </w:r>
      <w:r w:rsidR="002A5C04">
        <w:rPr>
          <w:rFonts w:ascii="Times New Roman" w:hAnsi="Times New Roman"/>
        </w:rPr>
        <w:t>term.</w:t>
      </w:r>
      <w:r w:rsidR="00B35D70" w:rsidRPr="00B35D70">
        <w:rPr>
          <w:rFonts w:ascii="Times New Roman" w:hAnsi="Times New Roman"/>
        </w:rPr>
        <w:t xml:space="preserve"> </w:t>
      </w:r>
      <w:r w:rsidR="0003578D">
        <w:rPr>
          <w:rFonts w:ascii="Times New Roman" w:hAnsi="Times New Roman"/>
        </w:rPr>
        <w:t xml:space="preserve">If the </w:t>
      </w:r>
      <w:r w:rsidR="00971EA7">
        <w:rPr>
          <w:rFonts w:ascii="Times New Roman" w:hAnsi="Times New Roman"/>
        </w:rPr>
        <w:t>rates are</w:t>
      </w:r>
      <w:r w:rsidR="0003578D">
        <w:rPr>
          <w:rFonts w:ascii="Times New Roman" w:hAnsi="Times New Roman"/>
        </w:rPr>
        <w:t xml:space="preserve"> ever </w:t>
      </w:r>
      <w:r w:rsidR="00971EA7">
        <w:rPr>
          <w:rFonts w:ascii="Times New Roman" w:hAnsi="Times New Roman"/>
        </w:rPr>
        <w:t>updated with actual costs, the new, cost-based rates</w:t>
      </w:r>
      <w:r w:rsidR="0003578D">
        <w:rPr>
          <w:rFonts w:ascii="Times New Roman" w:hAnsi="Times New Roman"/>
        </w:rPr>
        <w:t xml:space="preserve"> would apply </w:t>
      </w:r>
      <w:r w:rsidR="00823651">
        <w:rPr>
          <w:rFonts w:ascii="Times New Roman" w:hAnsi="Times New Roman"/>
        </w:rPr>
        <w:t xml:space="preserve">only </w:t>
      </w:r>
      <w:r w:rsidR="0003578D">
        <w:rPr>
          <w:rFonts w:ascii="Times New Roman" w:hAnsi="Times New Roman"/>
        </w:rPr>
        <w:t>to new customers.</w:t>
      </w:r>
      <w:r w:rsidR="00823651">
        <w:rPr>
          <w:rStyle w:val="FootnoteReference"/>
          <w:rFonts w:ascii="Times New Roman" w:hAnsi="Times New Roman"/>
        </w:rPr>
        <w:footnoteReference w:id="7"/>
      </w:r>
      <w:r w:rsidR="0003578D">
        <w:rPr>
          <w:rFonts w:ascii="Times New Roman" w:hAnsi="Times New Roman"/>
        </w:rPr>
        <w:t xml:space="preserve"> </w:t>
      </w:r>
    </w:p>
    <w:p w14:paraId="585651DF" w14:textId="3C13285D" w:rsidR="00B118C5" w:rsidRPr="00AE237F" w:rsidRDefault="00B35D70" w:rsidP="00AE237F">
      <w:pPr>
        <w:keepNext/>
        <w:numPr>
          <w:ilvl w:val="0"/>
          <w:numId w:val="6"/>
        </w:numPr>
        <w:spacing w:line="480" w:lineRule="auto"/>
        <w:ind w:left="0" w:hanging="720"/>
        <w:rPr>
          <w:rFonts w:ascii="Times New Roman" w:hAnsi="Times New Roman"/>
        </w:rPr>
      </w:pPr>
      <w:r>
        <w:rPr>
          <w:rFonts w:ascii="Times New Roman" w:hAnsi="Times New Roman"/>
        </w:rPr>
        <w:lastRenderedPageBreak/>
        <w:t xml:space="preserve"> </w:t>
      </w:r>
      <w:r>
        <w:rPr>
          <w:rFonts w:ascii="Times New Roman" w:hAnsi="Times New Roman"/>
        </w:rPr>
        <w:tab/>
      </w:r>
      <w:r w:rsidR="00865B9C" w:rsidRPr="00B35D70">
        <w:rPr>
          <w:rFonts w:ascii="Times New Roman" w:hAnsi="Times New Roman"/>
        </w:rPr>
        <w:t>On February 2</w:t>
      </w:r>
      <w:r w:rsidR="008D3177" w:rsidRPr="00B35D70">
        <w:rPr>
          <w:rFonts w:ascii="Times New Roman" w:hAnsi="Times New Roman"/>
        </w:rPr>
        <w:t>5</w:t>
      </w:r>
      <w:r w:rsidR="00865B9C" w:rsidRPr="00B35D70">
        <w:rPr>
          <w:rFonts w:ascii="Times New Roman" w:hAnsi="Times New Roman"/>
        </w:rPr>
        <w:t>, 201</w:t>
      </w:r>
      <w:r w:rsidR="00971EA7">
        <w:rPr>
          <w:rFonts w:ascii="Times New Roman" w:hAnsi="Times New Roman"/>
        </w:rPr>
        <w:t>6</w:t>
      </w:r>
      <w:r w:rsidR="00865B9C" w:rsidRPr="00B35D70">
        <w:rPr>
          <w:rFonts w:ascii="Times New Roman" w:hAnsi="Times New Roman"/>
        </w:rPr>
        <w:t xml:space="preserve">, PSE filed </w:t>
      </w:r>
      <w:r w:rsidR="00823651">
        <w:rPr>
          <w:rFonts w:ascii="Times New Roman" w:hAnsi="Times New Roman"/>
        </w:rPr>
        <w:t>d</w:t>
      </w:r>
      <w:r w:rsidR="00865B9C" w:rsidRPr="00B35D70">
        <w:rPr>
          <w:rFonts w:ascii="Times New Roman" w:hAnsi="Times New Roman"/>
        </w:rPr>
        <w:t xml:space="preserve">irect </w:t>
      </w:r>
      <w:r w:rsidR="00823651">
        <w:rPr>
          <w:rFonts w:ascii="Times New Roman" w:hAnsi="Times New Roman"/>
        </w:rPr>
        <w:t>t</w:t>
      </w:r>
      <w:r w:rsidR="00865B9C" w:rsidRPr="00B35D70">
        <w:rPr>
          <w:rFonts w:ascii="Times New Roman" w:hAnsi="Times New Roman"/>
        </w:rPr>
        <w:t xml:space="preserve">estimony and exhibits </w:t>
      </w:r>
      <w:r w:rsidR="00502CCC" w:rsidRPr="00B35D70">
        <w:rPr>
          <w:rFonts w:ascii="Times New Roman" w:hAnsi="Times New Roman"/>
        </w:rPr>
        <w:t>of four Company witnesses to support the proposed leasing service</w:t>
      </w:r>
      <w:r w:rsidR="008D3177" w:rsidRPr="00B35D70">
        <w:rPr>
          <w:rFonts w:ascii="Times New Roman" w:hAnsi="Times New Roman"/>
        </w:rPr>
        <w:t>.</w:t>
      </w:r>
      <w:r w:rsidR="008D3177">
        <w:rPr>
          <w:rStyle w:val="FootnoteReference"/>
          <w:rFonts w:ascii="Times New Roman" w:hAnsi="Times New Roman"/>
        </w:rPr>
        <w:footnoteReference w:id="8"/>
      </w:r>
      <w:r w:rsidR="008D3177" w:rsidRPr="00B35D70">
        <w:rPr>
          <w:rFonts w:ascii="Times New Roman" w:hAnsi="Times New Roman"/>
        </w:rPr>
        <w:t xml:space="preserve"> On March 25, 2016, PSE filed </w:t>
      </w:r>
      <w:r w:rsidR="00076369" w:rsidRPr="00B35D70">
        <w:rPr>
          <w:rFonts w:ascii="Times New Roman" w:hAnsi="Times New Roman"/>
        </w:rPr>
        <w:t>revisions</w:t>
      </w:r>
      <w:r w:rsidR="008D3177" w:rsidRPr="00B35D70">
        <w:rPr>
          <w:rFonts w:ascii="Times New Roman" w:hAnsi="Times New Roman"/>
        </w:rPr>
        <w:t xml:space="preserve"> to </w:t>
      </w:r>
      <w:r w:rsidR="002A5C04">
        <w:rPr>
          <w:rFonts w:ascii="Times New Roman" w:hAnsi="Times New Roman"/>
        </w:rPr>
        <w:t>its</w:t>
      </w:r>
      <w:r w:rsidR="008D3177" w:rsidRPr="00B35D70">
        <w:rPr>
          <w:rFonts w:ascii="Times New Roman" w:hAnsi="Times New Roman"/>
        </w:rPr>
        <w:t xml:space="preserve"> </w:t>
      </w:r>
      <w:r w:rsidR="00823651">
        <w:rPr>
          <w:rFonts w:ascii="Times New Roman" w:hAnsi="Times New Roman"/>
        </w:rPr>
        <w:t>d</w:t>
      </w:r>
      <w:r w:rsidR="008D3177" w:rsidRPr="00B35D70">
        <w:rPr>
          <w:rFonts w:ascii="Times New Roman" w:hAnsi="Times New Roman"/>
        </w:rPr>
        <w:t xml:space="preserve">irect </w:t>
      </w:r>
      <w:r w:rsidR="00823651">
        <w:rPr>
          <w:rFonts w:ascii="Times New Roman" w:hAnsi="Times New Roman"/>
        </w:rPr>
        <w:t>t</w:t>
      </w:r>
      <w:r w:rsidR="008D3177" w:rsidRPr="00B35D70">
        <w:rPr>
          <w:rFonts w:ascii="Times New Roman" w:hAnsi="Times New Roman"/>
        </w:rPr>
        <w:t xml:space="preserve">estimony and </w:t>
      </w:r>
      <w:r w:rsidR="00823651">
        <w:rPr>
          <w:rFonts w:ascii="Times New Roman" w:hAnsi="Times New Roman"/>
        </w:rPr>
        <w:t>e</w:t>
      </w:r>
      <w:r w:rsidR="008D3177" w:rsidRPr="00B35D70">
        <w:rPr>
          <w:rFonts w:ascii="Times New Roman" w:hAnsi="Times New Roman"/>
        </w:rPr>
        <w:t>xhibits.</w:t>
      </w:r>
      <w:r w:rsidR="008D3177">
        <w:rPr>
          <w:rStyle w:val="FootnoteReference"/>
          <w:rFonts w:ascii="Times New Roman" w:hAnsi="Times New Roman"/>
        </w:rPr>
        <w:footnoteReference w:id="9"/>
      </w:r>
      <w:r w:rsidR="008D3177" w:rsidRPr="00B35D70">
        <w:rPr>
          <w:rFonts w:ascii="Times New Roman" w:hAnsi="Times New Roman"/>
        </w:rPr>
        <w:t xml:space="preserve"> The </w:t>
      </w:r>
      <w:r w:rsidR="00076369" w:rsidRPr="00B35D70">
        <w:rPr>
          <w:rFonts w:ascii="Times New Roman" w:hAnsi="Times New Roman"/>
        </w:rPr>
        <w:t>revisions</w:t>
      </w:r>
      <w:r w:rsidR="008D3177" w:rsidRPr="00B35D70">
        <w:rPr>
          <w:rFonts w:ascii="Times New Roman" w:hAnsi="Times New Roman"/>
        </w:rPr>
        <w:t xml:space="preserve"> contained both </w:t>
      </w:r>
      <w:r w:rsidR="00AE237F" w:rsidRPr="00B35D70">
        <w:rPr>
          <w:rFonts w:ascii="Times New Roman" w:hAnsi="Times New Roman"/>
        </w:rPr>
        <w:t>major changes</w:t>
      </w:r>
      <w:r w:rsidR="00823651">
        <w:rPr>
          <w:rFonts w:ascii="Times New Roman" w:hAnsi="Times New Roman"/>
        </w:rPr>
        <w:t>,</w:t>
      </w:r>
      <w:r w:rsidR="00AE237F" w:rsidRPr="00B35D70">
        <w:rPr>
          <w:rFonts w:ascii="Times New Roman" w:hAnsi="Times New Roman"/>
        </w:rPr>
        <w:t xml:space="preserve"> </w:t>
      </w:r>
      <w:r w:rsidR="00823651">
        <w:rPr>
          <w:rFonts w:ascii="Times New Roman" w:hAnsi="Times New Roman"/>
        </w:rPr>
        <w:t>such as</w:t>
      </w:r>
      <w:r w:rsidR="00AE237F" w:rsidRPr="00B35D70">
        <w:rPr>
          <w:rFonts w:ascii="Times New Roman" w:hAnsi="Times New Roman"/>
        </w:rPr>
        <w:t xml:space="preserve"> reducing by more than half </w:t>
      </w:r>
      <w:r w:rsidR="00AE237F">
        <w:rPr>
          <w:rFonts w:ascii="Times New Roman" w:hAnsi="Times New Roman"/>
        </w:rPr>
        <w:t>the</w:t>
      </w:r>
      <w:r w:rsidR="00AE237F" w:rsidRPr="00B35D70">
        <w:rPr>
          <w:rFonts w:ascii="Times New Roman" w:hAnsi="Times New Roman"/>
        </w:rPr>
        <w:t xml:space="preserve"> prediction of electric energy conservation that the proposed program could potentially yield</w:t>
      </w:r>
      <w:r w:rsidR="00823651">
        <w:rPr>
          <w:rFonts w:ascii="Times New Roman" w:hAnsi="Times New Roman"/>
        </w:rPr>
        <w:t>,</w:t>
      </w:r>
      <w:r w:rsidR="00AE237F">
        <w:rPr>
          <w:rStyle w:val="FootnoteReference"/>
          <w:rFonts w:ascii="Times New Roman" w:hAnsi="Times New Roman"/>
        </w:rPr>
        <w:footnoteReference w:id="10"/>
      </w:r>
      <w:r w:rsidR="00AE237F" w:rsidRPr="00AE237F">
        <w:rPr>
          <w:rFonts w:ascii="Times New Roman" w:hAnsi="Times New Roman"/>
        </w:rPr>
        <w:t xml:space="preserve"> </w:t>
      </w:r>
      <w:r w:rsidR="00AE237F">
        <w:rPr>
          <w:rFonts w:ascii="Times New Roman" w:hAnsi="Times New Roman"/>
        </w:rPr>
        <w:t xml:space="preserve">and </w:t>
      </w:r>
      <w:r w:rsidR="008D3177" w:rsidRPr="00AE237F">
        <w:rPr>
          <w:rFonts w:ascii="Times New Roman" w:hAnsi="Times New Roman"/>
        </w:rPr>
        <w:t>minor changes</w:t>
      </w:r>
      <w:r w:rsidR="00823651">
        <w:rPr>
          <w:rFonts w:ascii="Times New Roman" w:hAnsi="Times New Roman"/>
        </w:rPr>
        <w:t>,</w:t>
      </w:r>
      <w:r w:rsidR="00B118C5" w:rsidRPr="00AE237F">
        <w:rPr>
          <w:rFonts w:ascii="Times New Roman" w:hAnsi="Times New Roman"/>
        </w:rPr>
        <w:t xml:space="preserve"> </w:t>
      </w:r>
      <w:r w:rsidR="00823651">
        <w:rPr>
          <w:rFonts w:ascii="Times New Roman" w:hAnsi="Times New Roman"/>
        </w:rPr>
        <w:t>such as</w:t>
      </w:r>
      <w:r w:rsidR="00B118C5" w:rsidRPr="00AE237F">
        <w:rPr>
          <w:rFonts w:ascii="Times New Roman" w:hAnsi="Times New Roman"/>
        </w:rPr>
        <w:t xml:space="preserve"> striking the word “selling” from a witness</w:t>
      </w:r>
      <w:r w:rsidR="00971EA7">
        <w:rPr>
          <w:rFonts w:ascii="Times New Roman" w:hAnsi="Times New Roman"/>
        </w:rPr>
        <w:t>’</w:t>
      </w:r>
      <w:r w:rsidR="00B118C5" w:rsidRPr="00AE237F">
        <w:rPr>
          <w:rFonts w:ascii="Times New Roman" w:hAnsi="Times New Roman"/>
        </w:rPr>
        <w:t xml:space="preserve">s list of responsibilities related to </w:t>
      </w:r>
      <w:r w:rsidR="0003578D">
        <w:rPr>
          <w:rFonts w:ascii="Times New Roman" w:hAnsi="Times New Roman"/>
        </w:rPr>
        <w:t>PSE</w:t>
      </w:r>
      <w:r w:rsidR="00893F62" w:rsidRPr="00AE237F">
        <w:rPr>
          <w:rFonts w:ascii="Times New Roman" w:hAnsi="Times New Roman"/>
        </w:rPr>
        <w:t xml:space="preserve">’s </w:t>
      </w:r>
      <w:r w:rsidR="00B118C5" w:rsidRPr="00AE237F">
        <w:rPr>
          <w:rFonts w:ascii="Times New Roman" w:hAnsi="Times New Roman"/>
        </w:rPr>
        <w:t xml:space="preserve">legacy </w:t>
      </w:r>
      <w:r w:rsidR="00893F62" w:rsidRPr="00AE237F">
        <w:rPr>
          <w:rFonts w:ascii="Times New Roman" w:hAnsi="Times New Roman"/>
        </w:rPr>
        <w:t>rental</w:t>
      </w:r>
      <w:r w:rsidR="00B118C5" w:rsidRPr="00AE237F">
        <w:rPr>
          <w:rFonts w:ascii="Times New Roman" w:hAnsi="Times New Roman"/>
        </w:rPr>
        <w:t xml:space="preserve"> program</w:t>
      </w:r>
      <w:r w:rsidR="00AE237F">
        <w:rPr>
          <w:rFonts w:ascii="Times New Roman" w:hAnsi="Times New Roman"/>
        </w:rPr>
        <w:t>.</w:t>
      </w:r>
      <w:r w:rsidR="00B118C5">
        <w:rPr>
          <w:rStyle w:val="FootnoteReference"/>
          <w:rFonts w:ascii="Times New Roman" w:hAnsi="Times New Roman"/>
        </w:rPr>
        <w:footnoteReference w:id="11"/>
      </w:r>
      <w:r w:rsidR="00693C8C" w:rsidRPr="00AE237F">
        <w:rPr>
          <w:rFonts w:ascii="Times New Roman" w:hAnsi="Times New Roman"/>
        </w:rPr>
        <w:t xml:space="preserve"> </w:t>
      </w:r>
      <w:r w:rsidR="0003578D">
        <w:rPr>
          <w:rFonts w:ascii="Times New Roman" w:hAnsi="Times New Roman"/>
        </w:rPr>
        <w:t>The Company’s</w:t>
      </w:r>
      <w:r w:rsidR="00076369" w:rsidRPr="00AE237F">
        <w:rPr>
          <w:rFonts w:ascii="Times New Roman" w:hAnsi="Times New Roman"/>
        </w:rPr>
        <w:t xml:space="preserve"> </w:t>
      </w:r>
      <w:r w:rsidR="00823651">
        <w:rPr>
          <w:rFonts w:ascii="Times New Roman" w:hAnsi="Times New Roman"/>
        </w:rPr>
        <w:t>d</w:t>
      </w:r>
      <w:r w:rsidR="00076369" w:rsidRPr="00AE237F">
        <w:rPr>
          <w:rFonts w:ascii="Times New Roman" w:hAnsi="Times New Roman"/>
        </w:rPr>
        <w:t xml:space="preserve">irect </w:t>
      </w:r>
      <w:r w:rsidR="00823651">
        <w:rPr>
          <w:rFonts w:ascii="Times New Roman" w:hAnsi="Times New Roman"/>
        </w:rPr>
        <w:t>t</w:t>
      </w:r>
      <w:r w:rsidR="00076369" w:rsidRPr="00AE237F">
        <w:rPr>
          <w:rFonts w:ascii="Times New Roman" w:hAnsi="Times New Roman"/>
        </w:rPr>
        <w:t xml:space="preserve">estimony </w:t>
      </w:r>
      <w:r w:rsidR="00893F62" w:rsidRPr="00AE237F">
        <w:rPr>
          <w:rFonts w:ascii="Times New Roman" w:hAnsi="Times New Roman"/>
        </w:rPr>
        <w:t xml:space="preserve">also </w:t>
      </w:r>
      <w:r w:rsidR="004576C2" w:rsidRPr="00AE237F">
        <w:rPr>
          <w:rFonts w:ascii="Times New Roman" w:hAnsi="Times New Roman"/>
        </w:rPr>
        <w:t xml:space="preserve">paradoxically </w:t>
      </w:r>
      <w:r w:rsidR="00076369" w:rsidRPr="00AE237F">
        <w:rPr>
          <w:rFonts w:ascii="Times New Roman" w:hAnsi="Times New Roman"/>
        </w:rPr>
        <w:t xml:space="preserve">established that </w:t>
      </w:r>
      <w:r w:rsidR="004576C2" w:rsidRPr="00AE237F">
        <w:rPr>
          <w:rFonts w:ascii="Times New Roman" w:hAnsi="Times New Roman"/>
        </w:rPr>
        <w:t xml:space="preserve">the proposed service is </w:t>
      </w:r>
      <w:r w:rsidR="004576C2" w:rsidRPr="00AE237F">
        <w:rPr>
          <w:rFonts w:ascii="Times New Roman" w:hAnsi="Times New Roman"/>
          <w:i/>
        </w:rPr>
        <w:t>not</w:t>
      </w:r>
      <w:r w:rsidR="004576C2" w:rsidRPr="00AE237F">
        <w:rPr>
          <w:rFonts w:ascii="Times New Roman" w:hAnsi="Times New Roman"/>
        </w:rPr>
        <w:t xml:space="preserve"> a conservation program, but it could yield conservation savings as an ancillary effect of </w:t>
      </w:r>
      <w:r w:rsidR="004576C2" w:rsidRPr="00AE237F">
        <w:rPr>
          <w:rFonts w:ascii="Times New Roman" w:hAnsi="Times New Roman"/>
          <w:i/>
        </w:rPr>
        <w:t>some</w:t>
      </w:r>
      <w:r w:rsidR="004576C2" w:rsidRPr="00AE237F">
        <w:rPr>
          <w:rFonts w:ascii="Times New Roman" w:hAnsi="Times New Roman"/>
        </w:rPr>
        <w:t xml:space="preserve"> of the equipment offered.</w:t>
      </w:r>
      <w:r w:rsidR="004576C2">
        <w:rPr>
          <w:rStyle w:val="FootnoteReference"/>
          <w:rFonts w:ascii="Times New Roman" w:hAnsi="Times New Roman"/>
        </w:rPr>
        <w:footnoteReference w:id="12"/>
      </w:r>
      <w:r w:rsidR="004576C2" w:rsidRPr="00AE237F">
        <w:rPr>
          <w:rFonts w:ascii="Times New Roman" w:hAnsi="Times New Roman"/>
        </w:rPr>
        <w:t xml:space="preserve"> </w:t>
      </w:r>
      <w:r w:rsidR="00AE237F">
        <w:rPr>
          <w:rFonts w:ascii="Times New Roman" w:hAnsi="Times New Roman"/>
        </w:rPr>
        <w:t>T</w:t>
      </w:r>
      <w:r w:rsidR="00076369" w:rsidRPr="00AE237F">
        <w:rPr>
          <w:rFonts w:ascii="Times New Roman" w:hAnsi="Times New Roman"/>
        </w:rPr>
        <w:t xml:space="preserve">he core purpose of </w:t>
      </w:r>
      <w:r w:rsidR="00AE237F">
        <w:rPr>
          <w:rFonts w:ascii="Times New Roman" w:hAnsi="Times New Roman"/>
        </w:rPr>
        <w:t>PSE’s</w:t>
      </w:r>
      <w:r w:rsidR="00076369" w:rsidRPr="00AE237F">
        <w:rPr>
          <w:rFonts w:ascii="Times New Roman" w:hAnsi="Times New Roman"/>
        </w:rPr>
        <w:t xml:space="preserve"> proposal is to offer an “optional service” that customers can elect to participate in “if [they] view the lease service as beneficial and reasonably priced for the benefits they receive.”</w:t>
      </w:r>
      <w:r w:rsidR="00076369">
        <w:rPr>
          <w:rStyle w:val="FootnoteReference"/>
          <w:rFonts w:ascii="Times New Roman" w:hAnsi="Times New Roman"/>
        </w:rPr>
        <w:footnoteReference w:id="13"/>
      </w:r>
      <w:r w:rsidR="003B70C1" w:rsidRPr="00AE237F">
        <w:rPr>
          <w:rFonts w:ascii="Times New Roman" w:hAnsi="Times New Roman"/>
        </w:rPr>
        <w:t xml:space="preserve"> </w:t>
      </w:r>
    </w:p>
    <w:p w14:paraId="73DA5AF0" w14:textId="4CF78306" w:rsidR="009B2263" w:rsidRDefault="008D3177" w:rsidP="00486ED6">
      <w:pPr>
        <w:keepNext/>
        <w:numPr>
          <w:ilvl w:val="0"/>
          <w:numId w:val="6"/>
        </w:numPr>
        <w:spacing w:line="480" w:lineRule="auto"/>
        <w:ind w:left="0" w:hanging="720"/>
        <w:rPr>
          <w:rFonts w:ascii="Times New Roman" w:hAnsi="Times New Roman"/>
        </w:rPr>
      </w:pPr>
      <w:r>
        <w:rPr>
          <w:rFonts w:ascii="Times New Roman" w:hAnsi="Times New Roman"/>
        </w:rPr>
        <w:t xml:space="preserve"> </w:t>
      </w:r>
      <w:r w:rsidR="004576C2">
        <w:rPr>
          <w:rFonts w:ascii="Times New Roman" w:hAnsi="Times New Roman"/>
        </w:rPr>
        <w:tab/>
        <w:t xml:space="preserve">On June 7, 2016, Commission Staff, Public Counsel, and Intervenors </w:t>
      </w:r>
      <w:r w:rsidR="00E7610D">
        <w:rPr>
          <w:rFonts w:ascii="Times New Roman" w:hAnsi="Times New Roman"/>
        </w:rPr>
        <w:t xml:space="preserve">each </w:t>
      </w:r>
      <w:r w:rsidR="004576C2">
        <w:rPr>
          <w:rFonts w:ascii="Times New Roman" w:hAnsi="Times New Roman"/>
        </w:rPr>
        <w:t xml:space="preserve">filed Responsive </w:t>
      </w:r>
      <w:r w:rsidR="00E7610D">
        <w:rPr>
          <w:rFonts w:ascii="Times New Roman" w:hAnsi="Times New Roman"/>
        </w:rPr>
        <w:t>Testimony</w:t>
      </w:r>
      <w:r w:rsidR="009B2263">
        <w:rPr>
          <w:rFonts w:ascii="Times New Roman" w:hAnsi="Times New Roman"/>
        </w:rPr>
        <w:t xml:space="preserve">. No party supported </w:t>
      </w:r>
      <w:r w:rsidR="00E7610D">
        <w:rPr>
          <w:rFonts w:ascii="Times New Roman" w:hAnsi="Times New Roman"/>
        </w:rPr>
        <w:t xml:space="preserve">PSE’s proposed leasing service.  </w:t>
      </w:r>
    </w:p>
    <w:p w14:paraId="67249709" w14:textId="77777777" w:rsidR="007D3951" w:rsidRDefault="009B2263" w:rsidP="007D3951">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E7610D">
        <w:rPr>
          <w:rFonts w:ascii="Times New Roman" w:hAnsi="Times New Roman"/>
        </w:rPr>
        <w:t xml:space="preserve">On July 1, 2016, PSE filed </w:t>
      </w:r>
      <w:r>
        <w:rPr>
          <w:rFonts w:ascii="Times New Roman" w:hAnsi="Times New Roman"/>
        </w:rPr>
        <w:t>voluminous</w:t>
      </w:r>
      <w:r w:rsidR="00E7610D">
        <w:rPr>
          <w:rFonts w:ascii="Times New Roman" w:hAnsi="Times New Roman"/>
        </w:rPr>
        <w:t xml:space="preserve"> </w:t>
      </w:r>
      <w:r w:rsidR="006F61C7">
        <w:rPr>
          <w:rFonts w:ascii="Times New Roman" w:hAnsi="Times New Roman"/>
        </w:rPr>
        <w:t>r</w:t>
      </w:r>
      <w:r w:rsidR="00E7610D">
        <w:rPr>
          <w:rFonts w:ascii="Times New Roman" w:hAnsi="Times New Roman"/>
        </w:rPr>
        <w:t xml:space="preserve">ebuttal </w:t>
      </w:r>
      <w:r w:rsidR="006F61C7">
        <w:rPr>
          <w:rFonts w:ascii="Times New Roman" w:hAnsi="Times New Roman"/>
        </w:rPr>
        <w:t>t</w:t>
      </w:r>
      <w:r w:rsidR="00E7610D">
        <w:rPr>
          <w:rFonts w:ascii="Times New Roman" w:hAnsi="Times New Roman"/>
        </w:rPr>
        <w:t>estimony</w:t>
      </w:r>
      <w:r>
        <w:rPr>
          <w:rFonts w:ascii="Times New Roman" w:hAnsi="Times New Roman"/>
        </w:rPr>
        <w:t xml:space="preserve"> that </w:t>
      </w:r>
      <w:r w:rsidR="00341B38">
        <w:rPr>
          <w:rFonts w:ascii="Times New Roman" w:hAnsi="Times New Roman"/>
        </w:rPr>
        <w:t xml:space="preserve">included </w:t>
      </w:r>
      <w:r>
        <w:rPr>
          <w:rFonts w:ascii="Times New Roman" w:hAnsi="Times New Roman"/>
        </w:rPr>
        <w:t>material change</w:t>
      </w:r>
      <w:r w:rsidR="00341B38">
        <w:rPr>
          <w:rFonts w:ascii="Times New Roman" w:hAnsi="Times New Roman"/>
        </w:rPr>
        <w:t>s</w:t>
      </w:r>
      <w:r>
        <w:rPr>
          <w:rFonts w:ascii="Times New Roman" w:hAnsi="Times New Roman"/>
        </w:rPr>
        <w:t xml:space="preserve"> </w:t>
      </w:r>
      <w:r w:rsidR="00341B38">
        <w:rPr>
          <w:rFonts w:ascii="Times New Roman" w:hAnsi="Times New Roman"/>
        </w:rPr>
        <w:t>to the proposed leasing service</w:t>
      </w:r>
      <w:r>
        <w:rPr>
          <w:rFonts w:ascii="Times New Roman" w:hAnsi="Times New Roman"/>
        </w:rPr>
        <w:t xml:space="preserve">. </w:t>
      </w:r>
      <w:r w:rsidR="00341B38">
        <w:rPr>
          <w:rFonts w:ascii="Times New Roman" w:hAnsi="Times New Roman"/>
        </w:rPr>
        <w:t xml:space="preserve">The </w:t>
      </w:r>
      <w:r w:rsidR="006F61C7" w:rsidRPr="006F61C7">
        <w:rPr>
          <w:rFonts w:ascii="Times New Roman" w:hAnsi="Times New Roman"/>
        </w:rPr>
        <w:t>rebuttal testimony</w:t>
      </w:r>
      <w:r w:rsidR="00341B38">
        <w:rPr>
          <w:rFonts w:ascii="Times New Roman" w:hAnsi="Times New Roman"/>
        </w:rPr>
        <w:t xml:space="preserve">, excluding exhibits, more than doubled </w:t>
      </w:r>
      <w:r w:rsidR="00B35D70">
        <w:rPr>
          <w:rFonts w:ascii="Times New Roman" w:hAnsi="Times New Roman"/>
        </w:rPr>
        <w:t>in length</w:t>
      </w:r>
      <w:r w:rsidR="00341B38">
        <w:rPr>
          <w:rFonts w:ascii="Times New Roman" w:hAnsi="Times New Roman"/>
        </w:rPr>
        <w:t xml:space="preserve"> its </w:t>
      </w:r>
      <w:r w:rsidR="00823651">
        <w:rPr>
          <w:rFonts w:ascii="Times New Roman" w:hAnsi="Times New Roman"/>
        </w:rPr>
        <w:t>direct testimony</w:t>
      </w:r>
      <w:r w:rsidR="00341B38">
        <w:rPr>
          <w:rFonts w:ascii="Times New Roman" w:hAnsi="Times New Roman"/>
        </w:rPr>
        <w:t>.</w:t>
      </w:r>
      <w:r w:rsidR="00341B38">
        <w:rPr>
          <w:rStyle w:val="FootnoteReference"/>
          <w:rFonts w:ascii="Times New Roman" w:hAnsi="Times New Roman"/>
        </w:rPr>
        <w:footnoteReference w:id="14"/>
      </w:r>
      <w:r w:rsidR="00B53C1B">
        <w:rPr>
          <w:rFonts w:ascii="Times New Roman" w:hAnsi="Times New Roman"/>
        </w:rPr>
        <w:t xml:space="preserve"> </w:t>
      </w:r>
      <w:r w:rsidR="006F61C7">
        <w:rPr>
          <w:rFonts w:ascii="Times New Roman" w:hAnsi="Times New Roman"/>
        </w:rPr>
        <w:t xml:space="preserve">In </w:t>
      </w:r>
      <w:r w:rsidR="00823651">
        <w:rPr>
          <w:rFonts w:ascii="Times New Roman" w:hAnsi="Times New Roman"/>
        </w:rPr>
        <w:t xml:space="preserve">its </w:t>
      </w:r>
      <w:r w:rsidR="006F61C7">
        <w:rPr>
          <w:rFonts w:ascii="Times New Roman" w:hAnsi="Times New Roman"/>
        </w:rPr>
        <w:t>rebuttal</w:t>
      </w:r>
      <w:r w:rsidR="00823651">
        <w:rPr>
          <w:rFonts w:ascii="Times New Roman" w:hAnsi="Times New Roman"/>
        </w:rPr>
        <w:t xml:space="preserve"> case</w:t>
      </w:r>
      <w:r w:rsidR="006F61C7">
        <w:rPr>
          <w:rFonts w:ascii="Times New Roman" w:hAnsi="Times New Roman"/>
        </w:rPr>
        <w:t xml:space="preserve">, </w:t>
      </w:r>
      <w:r w:rsidR="00B53C1B">
        <w:rPr>
          <w:rFonts w:ascii="Times New Roman" w:hAnsi="Times New Roman"/>
        </w:rPr>
        <w:t xml:space="preserve">PSE </w:t>
      </w:r>
      <w:r w:rsidR="00AA6AC2">
        <w:rPr>
          <w:rFonts w:ascii="Times New Roman" w:hAnsi="Times New Roman"/>
        </w:rPr>
        <w:t xml:space="preserve">also </w:t>
      </w:r>
      <w:r w:rsidR="00B53C1B">
        <w:rPr>
          <w:rFonts w:ascii="Times New Roman" w:hAnsi="Times New Roman"/>
        </w:rPr>
        <w:t xml:space="preserve">proposed to add a </w:t>
      </w:r>
    </w:p>
    <w:p w14:paraId="364B53F4" w14:textId="77777777" w:rsidR="007D3951" w:rsidRDefault="007D3951">
      <w:pPr>
        <w:rPr>
          <w:rFonts w:ascii="Times New Roman" w:hAnsi="Times New Roman"/>
        </w:rPr>
      </w:pPr>
      <w:r>
        <w:rPr>
          <w:rFonts w:ascii="Times New Roman" w:hAnsi="Times New Roman"/>
        </w:rPr>
        <w:br w:type="page"/>
      </w:r>
    </w:p>
    <w:p w14:paraId="4B9686DA" w14:textId="01C32411" w:rsidR="00834D76" w:rsidRDefault="00B53C1B" w:rsidP="007D3951">
      <w:pPr>
        <w:spacing w:line="480" w:lineRule="auto"/>
        <w:rPr>
          <w:rFonts w:ascii="Times New Roman" w:hAnsi="Times New Roman"/>
        </w:rPr>
      </w:pPr>
      <w:r>
        <w:rPr>
          <w:rFonts w:ascii="Times New Roman" w:hAnsi="Times New Roman"/>
        </w:rPr>
        <w:lastRenderedPageBreak/>
        <w:t>plethora of new features to the leasing service “upon approval of Schedule 75,” including:</w:t>
      </w:r>
    </w:p>
    <w:p w14:paraId="71CB1E72" w14:textId="094B010B" w:rsidR="00B53C1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Annual conservation savings tracking and reporting;</w:t>
      </w:r>
    </w:p>
    <w:p w14:paraId="355497A9" w14:textId="4A80E2BF"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Transition of approximately 33,000 customers from its legacy rental program to its new, proposed leasing service;</w:t>
      </w:r>
    </w:p>
    <w:p w14:paraId="7316BDEB" w14:textId="68E6CBAA"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Bienn</w:t>
      </w:r>
      <w:r w:rsidR="00526D67">
        <w:rPr>
          <w:rFonts w:ascii="Times New Roman" w:hAnsi="Times New Roman"/>
        </w:rPr>
        <w:t>ial conservation savings target-</w:t>
      </w:r>
      <w:r>
        <w:rPr>
          <w:rFonts w:ascii="Times New Roman" w:hAnsi="Times New Roman"/>
        </w:rPr>
        <w:t>setting;</w:t>
      </w:r>
    </w:p>
    <w:p w14:paraId="31FF3169" w14:textId="1DC4054F"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The opportunity for 100% of leasing customers to participate in a demand response technology demonstration project;</w:t>
      </w:r>
    </w:p>
    <w:p w14:paraId="73DA6E3D" w14:textId="528C21C5" w:rsidR="00C9797B" w:rsidRDefault="00526D67" w:rsidP="00C9797B">
      <w:pPr>
        <w:pStyle w:val="ListParagraph"/>
        <w:keepNext/>
        <w:numPr>
          <w:ilvl w:val="0"/>
          <w:numId w:val="12"/>
        </w:numPr>
        <w:spacing w:line="480" w:lineRule="auto"/>
        <w:rPr>
          <w:rFonts w:ascii="Times New Roman" w:hAnsi="Times New Roman"/>
        </w:rPr>
      </w:pPr>
      <w:r>
        <w:rPr>
          <w:rFonts w:ascii="Times New Roman" w:hAnsi="Times New Roman"/>
        </w:rPr>
        <w:t>A</w:t>
      </w:r>
      <w:r w:rsidR="00AA6AC2">
        <w:rPr>
          <w:rFonts w:ascii="Times New Roman" w:hAnsi="Times New Roman"/>
        </w:rPr>
        <w:t xml:space="preserve"> t</w:t>
      </w:r>
      <w:r w:rsidR="00C9797B">
        <w:rPr>
          <w:rFonts w:ascii="Times New Roman" w:hAnsi="Times New Roman"/>
        </w:rPr>
        <w:t xml:space="preserve">est </w:t>
      </w:r>
      <w:r>
        <w:rPr>
          <w:rFonts w:ascii="Times New Roman" w:hAnsi="Times New Roman"/>
        </w:rPr>
        <w:t xml:space="preserve">of </w:t>
      </w:r>
      <w:r w:rsidR="00C9797B">
        <w:rPr>
          <w:rFonts w:ascii="Times New Roman" w:hAnsi="Times New Roman"/>
        </w:rPr>
        <w:t>the viability of leasing customer generation and storage equipment, both independently and in combination</w:t>
      </w:r>
      <w:r w:rsidR="006776E2">
        <w:rPr>
          <w:rFonts w:ascii="Times New Roman" w:hAnsi="Times New Roman"/>
        </w:rPr>
        <w:t>, through the leasing platform</w:t>
      </w:r>
      <w:r w:rsidR="00C9797B">
        <w:rPr>
          <w:rFonts w:ascii="Times New Roman" w:hAnsi="Times New Roman"/>
        </w:rPr>
        <w:t>;</w:t>
      </w:r>
    </w:p>
    <w:p w14:paraId="4E7448EC" w14:textId="1D7D1207"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In five years, to report additional value of the leasing platform and its contributions to policy priorities; and</w:t>
      </w:r>
    </w:p>
    <w:p w14:paraId="402318D9" w14:textId="64F858E2" w:rsidR="00C9797B" w:rsidRPr="00B53C1B" w:rsidRDefault="00E6112D" w:rsidP="00C9797B">
      <w:pPr>
        <w:pStyle w:val="ListParagraph"/>
        <w:keepNext/>
        <w:numPr>
          <w:ilvl w:val="0"/>
          <w:numId w:val="12"/>
        </w:numPr>
        <w:spacing w:line="480" w:lineRule="auto"/>
        <w:rPr>
          <w:rFonts w:ascii="Times New Roman" w:hAnsi="Times New Roman"/>
        </w:rPr>
      </w:pPr>
      <w:r>
        <w:rPr>
          <w:rFonts w:ascii="Times New Roman" w:hAnsi="Times New Roman"/>
        </w:rPr>
        <w:t>Within 6</w:t>
      </w:r>
      <w:r w:rsidR="00017E79">
        <w:rPr>
          <w:rFonts w:ascii="Times New Roman" w:hAnsi="Times New Roman"/>
        </w:rPr>
        <w:t>0 days of approval, to finalize</w:t>
      </w:r>
      <w:r>
        <w:rPr>
          <w:rFonts w:ascii="Times New Roman" w:hAnsi="Times New Roman"/>
        </w:rPr>
        <w:t xml:space="preserve"> pricing a</w:t>
      </w:r>
      <w:r w:rsidR="00252683">
        <w:rPr>
          <w:rFonts w:ascii="Times New Roman" w:hAnsi="Times New Roman"/>
        </w:rPr>
        <w:t>nd product selection—to include</w:t>
      </w:r>
      <w:r>
        <w:rPr>
          <w:rFonts w:ascii="Times New Roman" w:hAnsi="Times New Roman"/>
        </w:rPr>
        <w:t xml:space="preserve"> additional product offerings—and </w:t>
      </w:r>
      <w:r w:rsidR="006776E2">
        <w:rPr>
          <w:rFonts w:ascii="Times New Roman" w:hAnsi="Times New Roman"/>
        </w:rPr>
        <w:t xml:space="preserve">to </w:t>
      </w:r>
      <w:r>
        <w:rPr>
          <w:rFonts w:ascii="Times New Roman" w:hAnsi="Times New Roman"/>
        </w:rPr>
        <w:t xml:space="preserve">update its proposed rates based on </w:t>
      </w:r>
      <w:r w:rsidR="006776E2">
        <w:rPr>
          <w:rFonts w:ascii="Times New Roman" w:hAnsi="Times New Roman"/>
        </w:rPr>
        <w:t xml:space="preserve">the known </w:t>
      </w:r>
      <w:r>
        <w:rPr>
          <w:rFonts w:ascii="Times New Roman" w:hAnsi="Times New Roman"/>
        </w:rPr>
        <w:t>costs</w:t>
      </w:r>
      <w:r w:rsidR="006776E2">
        <w:rPr>
          <w:rFonts w:ascii="Times New Roman" w:hAnsi="Times New Roman"/>
        </w:rPr>
        <w:t xml:space="preserve"> of the products it selects</w:t>
      </w:r>
      <w:r>
        <w:rPr>
          <w:rFonts w:ascii="Times New Roman" w:hAnsi="Times New Roman"/>
        </w:rPr>
        <w:t>.</w:t>
      </w:r>
      <w:r>
        <w:rPr>
          <w:rStyle w:val="FootnoteReference"/>
          <w:rFonts w:ascii="Times New Roman" w:hAnsi="Times New Roman"/>
        </w:rPr>
        <w:footnoteReference w:id="15"/>
      </w:r>
    </w:p>
    <w:p w14:paraId="14DAEFB0" w14:textId="224AB84C" w:rsidR="007B4430" w:rsidRPr="00B87BDF" w:rsidRDefault="00ED350A" w:rsidP="007D3951">
      <w:pPr>
        <w:spacing w:line="480" w:lineRule="auto"/>
        <w:rPr>
          <w:rFonts w:ascii="Times New Roman" w:hAnsi="Times New Roman"/>
        </w:rPr>
      </w:pPr>
      <w:r>
        <w:rPr>
          <w:rFonts w:ascii="Times New Roman" w:hAnsi="Times New Roman"/>
        </w:rPr>
        <w:t xml:space="preserve">Critically, PSE </w:t>
      </w:r>
      <w:r w:rsidR="006776E2">
        <w:rPr>
          <w:rFonts w:ascii="Times New Roman" w:hAnsi="Times New Roman"/>
        </w:rPr>
        <w:t>did</w:t>
      </w:r>
      <w:r w:rsidR="00971EA7">
        <w:rPr>
          <w:rFonts w:ascii="Times New Roman" w:hAnsi="Times New Roman"/>
        </w:rPr>
        <w:t xml:space="preserve"> not flesh out or substantiate</w:t>
      </w:r>
      <w:r>
        <w:rPr>
          <w:rFonts w:ascii="Times New Roman" w:hAnsi="Times New Roman"/>
        </w:rPr>
        <w:t xml:space="preserve"> with evidence </w:t>
      </w:r>
      <w:r w:rsidR="006F61C7">
        <w:rPr>
          <w:rFonts w:ascii="Times New Roman" w:hAnsi="Times New Roman"/>
        </w:rPr>
        <w:t>the critical</w:t>
      </w:r>
      <w:r>
        <w:rPr>
          <w:rFonts w:ascii="Times New Roman" w:hAnsi="Times New Roman"/>
        </w:rPr>
        <w:t xml:space="preserve"> details of these newly proposed features</w:t>
      </w:r>
      <w:r w:rsidR="00971EA7">
        <w:rPr>
          <w:rFonts w:ascii="Times New Roman" w:hAnsi="Times New Roman"/>
        </w:rPr>
        <w:t xml:space="preserve">. </w:t>
      </w:r>
      <w:r>
        <w:rPr>
          <w:rFonts w:ascii="Times New Roman" w:hAnsi="Times New Roman"/>
        </w:rPr>
        <w:t>PSE promises to do so only after the Commission approves its proposed Schedule 75. Due to the lack of evidentiary support and b</w:t>
      </w:r>
      <w:r w:rsidR="00E6112D">
        <w:rPr>
          <w:rFonts w:ascii="Times New Roman" w:hAnsi="Times New Roman"/>
        </w:rPr>
        <w:t xml:space="preserve">ecause these </w:t>
      </w:r>
      <w:r w:rsidR="00E6112D" w:rsidRPr="00E6112D">
        <w:rPr>
          <w:rFonts w:ascii="Times New Roman" w:hAnsi="Times New Roman"/>
        </w:rPr>
        <w:t>new features</w:t>
      </w:r>
      <w:r w:rsidR="00E6112D">
        <w:rPr>
          <w:rFonts w:ascii="Times New Roman" w:hAnsi="Times New Roman"/>
        </w:rPr>
        <w:t xml:space="preserve"> were first presented on rebuttal, </w:t>
      </w:r>
      <w:r w:rsidR="006776E2">
        <w:rPr>
          <w:rFonts w:ascii="Times New Roman" w:hAnsi="Times New Roman"/>
        </w:rPr>
        <w:t>no</w:t>
      </w:r>
      <w:r w:rsidR="00E6112D">
        <w:rPr>
          <w:rFonts w:ascii="Times New Roman" w:hAnsi="Times New Roman"/>
        </w:rPr>
        <w:t xml:space="preserve"> </w:t>
      </w:r>
      <w:r w:rsidR="006776E2">
        <w:rPr>
          <w:rFonts w:ascii="Times New Roman" w:hAnsi="Times New Roman"/>
        </w:rPr>
        <w:t>party will have</w:t>
      </w:r>
      <w:r w:rsidR="00E6112D">
        <w:rPr>
          <w:rFonts w:ascii="Times New Roman" w:hAnsi="Times New Roman"/>
        </w:rPr>
        <w:t xml:space="preserve"> an adequate opportunity </w:t>
      </w:r>
      <w:r>
        <w:rPr>
          <w:rFonts w:ascii="Times New Roman" w:hAnsi="Times New Roman"/>
        </w:rPr>
        <w:t>to conduct discovery or to analyze their impact on PSE’s customers</w:t>
      </w:r>
      <w:r w:rsidR="00E6112D">
        <w:rPr>
          <w:rFonts w:ascii="Times New Roman" w:hAnsi="Times New Roman"/>
        </w:rPr>
        <w:t xml:space="preserve">.  </w:t>
      </w:r>
    </w:p>
    <w:p w14:paraId="2E29E9C9" w14:textId="249419DF" w:rsidR="007B4430" w:rsidRPr="007B4430" w:rsidRDefault="00EB0C74" w:rsidP="007B4430">
      <w:pPr>
        <w:keepNext/>
        <w:spacing w:line="480" w:lineRule="auto"/>
        <w:jc w:val="center"/>
        <w:rPr>
          <w:rFonts w:ascii="Times New Roman" w:hAnsi="Times New Roman"/>
          <w:b/>
        </w:rPr>
      </w:pPr>
      <w:r>
        <w:rPr>
          <w:rFonts w:ascii="Times New Roman" w:hAnsi="Times New Roman"/>
          <w:b/>
        </w:rPr>
        <w:lastRenderedPageBreak/>
        <w:t xml:space="preserve">IV.  </w:t>
      </w:r>
      <w:r w:rsidR="007B4430" w:rsidRPr="007B4430">
        <w:rPr>
          <w:rFonts w:ascii="Times New Roman" w:hAnsi="Times New Roman"/>
          <w:b/>
        </w:rPr>
        <w:t>STATEMENT OF ISSUES</w:t>
      </w:r>
    </w:p>
    <w:p w14:paraId="3779B16C" w14:textId="77777777" w:rsidR="00ED350A" w:rsidRDefault="00ED350A" w:rsidP="007B4430">
      <w:pPr>
        <w:keepNext/>
        <w:numPr>
          <w:ilvl w:val="0"/>
          <w:numId w:val="6"/>
        </w:numPr>
        <w:spacing w:line="480" w:lineRule="auto"/>
        <w:ind w:left="0" w:hanging="720"/>
        <w:rPr>
          <w:rFonts w:ascii="Times New Roman" w:hAnsi="Times New Roman"/>
        </w:rPr>
      </w:pPr>
      <w:r>
        <w:rPr>
          <w:rFonts w:ascii="Times New Roman" w:hAnsi="Times New Roman"/>
        </w:rPr>
        <w:t>Commission Staff’s Motion for Summary Determination raises three issues:</w:t>
      </w:r>
    </w:p>
    <w:p w14:paraId="6CF174C1" w14:textId="6E4E8E56" w:rsidR="00ED350A" w:rsidRPr="00ED350A" w:rsidRDefault="00ED350A" w:rsidP="00ED350A">
      <w:pPr>
        <w:pStyle w:val="ListParagraph"/>
        <w:keepNext/>
        <w:numPr>
          <w:ilvl w:val="0"/>
          <w:numId w:val="13"/>
        </w:numPr>
        <w:spacing w:line="480" w:lineRule="auto"/>
        <w:rPr>
          <w:rFonts w:ascii="Times New Roman" w:hAnsi="Times New Roman"/>
        </w:rPr>
      </w:pPr>
      <w:r>
        <w:rPr>
          <w:rFonts w:ascii="Times New Roman" w:hAnsi="Times New Roman"/>
        </w:rPr>
        <w:t>Whether grant</w:t>
      </w:r>
      <w:r w:rsidR="00902798">
        <w:rPr>
          <w:rFonts w:ascii="Times New Roman" w:hAnsi="Times New Roman"/>
        </w:rPr>
        <w:t>ing</w:t>
      </w:r>
      <w:r>
        <w:rPr>
          <w:rFonts w:ascii="Times New Roman" w:hAnsi="Times New Roman"/>
        </w:rPr>
        <w:t xml:space="preserve"> Staff an exemption to </w:t>
      </w:r>
      <w:r w:rsidR="00902798">
        <w:rPr>
          <w:rFonts w:ascii="Times New Roman" w:hAnsi="Times New Roman"/>
        </w:rPr>
        <w:t xml:space="preserve">the </w:t>
      </w:r>
      <w:r>
        <w:rPr>
          <w:rFonts w:ascii="Times New Roman" w:hAnsi="Times New Roman"/>
        </w:rPr>
        <w:t xml:space="preserve">rule establishing the time for filing a motion for summary determination </w:t>
      </w:r>
      <w:r w:rsidR="00902798">
        <w:rPr>
          <w:rFonts w:ascii="Times New Roman" w:hAnsi="Times New Roman"/>
        </w:rPr>
        <w:t xml:space="preserve">is in the public interest </w:t>
      </w:r>
      <w:r>
        <w:rPr>
          <w:rFonts w:ascii="Times New Roman" w:hAnsi="Times New Roman"/>
        </w:rPr>
        <w:t>in this instance</w:t>
      </w:r>
      <w:r w:rsidR="00902798">
        <w:rPr>
          <w:rFonts w:ascii="Times New Roman" w:hAnsi="Times New Roman"/>
        </w:rPr>
        <w:t xml:space="preserve">; </w:t>
      </w:r>
    </w:p>
    <w:p w14:paraId="11CF698D" w14:textId="3E5E0228" w:rsidR="00ED350A" w:rsidRDefault="001038B0" w:rsidP="00ED350A">
      <w:pPr>
        <w:pStyle w:val="ListParagraph"/>
        <w:keepNext/>
        <w:numPr>
          <w:ilvl w:val="0"/>
          <w:numId w:val="13"/>
        </w:numPr>
        <w:spacing w:line="480" w:lineRule="auto"/>
        <w:rPr>
          <w:rFonts w:ascii="Times New Roman" w:hAnsi="Times New Roman"/>
        </w:rPr>
      </w:pPr>
      <w:r w:rsidRPr="00ED350A">
        <w:rPr>
          <w:rFonts w:ascii="Times New Roman" w:hAnsi="Times New Roman"/>
        </w:rPr>
        <w:t>Whether the Commission should reject the proposed tariff sheets</w:t>
      </w:r>
      <w:r>
        <w:rPr>
          <w:rFonts w:ascii="Times New Roman" w:hAnsi="Times New Roman"/>
        </w:rPr>
        <w:t xml:space="preserve"> </w:t>
      </w:r>
      <w:r w:rsidR="00686794">
        <w:rPr>
          <w:rFonts w:ascii="Times New Roman" w:hAnsi="Times New Roman"/>
        </w:rPr>
        <w:t xml:space="preserve">because </w:t>
      </w:r>
      <w:r w:rsidRPr="00ED350A">
        <w:rPr>
          <w:rFonts w:ascii="Times New Roman" w:hAnsi="Times New Roman"/>
        </w:rPr>
        <w:t xml:space="preserve">PSE’s </w:t>
      </w:r>
      <w:r w:rsidR="00AE237F" w:rsidRPr="004E5BFB">
        <w:rPr>
          <w:rFonts w:ascii="Times New Roman" w:hAnsi="Times New Roman"/>
        </w:rPr>
        <w:t>proposed</w:t>
      </w:r>
      <w:r w:rsidR="00AE237F" w:rsidRPr="00ED350A">
        <w:rPr>
          <w:rFonts w:ascii="Times New Roman" w:hAnsi="Times New Roman"/>
        </w:rPr>
        <w:t xml:space="preserve"> </w:t>
      </w:r>
      <w:r w:rsidRPr="00ED350A">
        <w:rPr>
          <w:rFonts w:ascii="Times New Roman" w:hAnsi="Times New Roman"/>
        </w:rPr>
        <w:t>leasing service</w:t>
      </w:r>
      <w:r w:rsidR="00AE237F">
        <w:rPr>
          <w:rFonts w:ascii="Times New Roman" w:hAnsi="Times New Roman"/>
        </w:rPr>
        <w:t xml:space="preserve"> does not qualify as</w:t>
      </w:r>
      <w:r w:rsidRPr="004E5BFB">
        <w:rPr>
          <w:rFonts w:ascii="Times New Roman" w:hAnsi="Times New Roman"/>
        </w:rPr>
        <w:t xml:space="preserve"> a utility service</w:t>
      </w:r>
      <w:r w:rsidR="00AE237F">
        <w:rPr>
          <w:rFonts w:ascii="Times New Roman" w:hAnsi="Times New Roman"/>
        </w:rPr>
        <w:t xml:space="preserve"> under Washington law</w:t>
      </w:r>
      <w:r w:rsidR="00ED350A">
        <w:rPr>
          <w:rFonts w:ascii="Times New Roman" w:hAnsi="Times New Roman"/>
        </w:rPr>
        <w:t>; and</w:t>
      </w:r>
    </w:p>
    <w:p w14:paraId="5F244CCE" w14:textId="3CEC2042" w:rsidR="00ED350A" w:rsidRPr="004E5BFB" w:rsidRDefault="001038B0" w:rsidP="00ED350A">
      <w:pPr>
        <w:pStyle w:val="ListParagraph"/>
        <w:keepNext/>
        <w:numPr>
          <w:ilvl w:val="0"/>
          <w:numId w:val="13"/>
        </w:numPr>
        <w:spacing w:line="480" w:lineRule="auto"/>
        <w:rPr>
          <w:rFonts w:ascii="Times New Roman" w:hAnsi="Times New Roman"/>
        </w:rPr>
      </w:pPr>
      <w:r>
        <w:rPr>
          <w:rFonts w:ascii="Times New Roman" w:hAnsi="Times New Roman"/>
        </w:rPr>
        <w:t xml:space="preserve">Whether </w:t>
      </w:r>
      <w:r w:rsidRPr="00ED350A">
        <w:rPr>
          <w:rFonts w:ascii="Times New Roman" w:hAnsi="Times New Roman"/>
        </w:rPr>
        <w:t>the Commission should</w:t>
      </w:r>
      <w:r>
        <w:rPr>
          <w:rFonts w:ascii="Times New Roman" w:hAnsi="Times New Roman"/>
        </w:rPr>
        <w:t xml:space="preserve"> reject the proposed tariff sheets because </w:t>
      </w:r>
      <w:r w:rsidRPr="00ED350A">
        <w:rPr>
          <w:rFonts w:ascii="Times New Roman" w:hAnsi="Times New Roman"/>
        </w:rPr>
        <w:t xml:space="preserve">PSE failed to present sufficient evidence to meet its </w:t>
      </w:r>
      <w:r w:rsidR="006F61C7">
        <w:rPr>
          <w:rFonts w:ascii="Times New Roman" w:hAnsi="Times New Roman"/>
        </w:rPr>
        <w:t xml:space="preserve">minimum </w:t>
      </w:r>
      <w:r w:rsidRPr="00ED350A">
        <w:rPr>
          <w:rFonts w:ascii="Times New Roman" w:hAnsi="Times New Roman"/>
        </w:rPr>
        <w:t xml:space="preserve">burden of proof that the </w:t>
      </w:r>
      <w:r w:rsidR="00594ED0" w:rsidRPr="00ED350A">
        <w:rPr>
          <w:rFonts w:ascii="Times New Roman" w:hAnsi="Times New Roman"/>
        </w:rPr>
        <w:t>proposed rates</w:t>
      </w:r>
      <w:r w:rsidRPr="00ED350A">
        <w:rPr>
          <w:rFonts w:ascii="Times New Roman" w:hAnsi="Times New Roman"/>
        </w:rPr>
        <w:t xml:space="preserve"> are just</w:t>
      </w:r>
      <w:r w:rsidR="00975E58">
        <w:rPr>
          <w:rFonts w:ascii="Times New Roman" w:hAnsi="Times New Roman"/>
        </w:rPr>
        <w:t xml:space="preserve"> and</w:t>
      </w:r>
      <w:r w:rsidRPr="00ED350A">
        <w:rPr>
          <w:rFonts w:ascii="Times New Roman" w:hAnsi="Times New Roman"/>
        </w:rPr>
        <w:t xml:space="preserve"> reasonable</w:t>
      </w:r>
      <w:r w:rsidR="00902798" w:rsidRPr="004E5BFB">
        <w:rPr>
          <w:rFonts w:ascii="Times New Roman" w:hAnsi="Times New Roman"/>
        </w:rPr>
        <w:t xml:space="preserve">. </w:t>
      </w:r>
    </w:p>
    <w:p w14:paraId="45DA23E3" w14:textId="5B95B970" w:rsidR="004A3D93" w:rsidRPr="004E5BFB" w:rsidRDefault="00EB0C74" w:rsidP="00902798">
      <w:pPr>
        <w:spacing w:line="480" w:lineRule="auto"/>
        <w:jc w:val="center"/>
        <w:rPr>
          <w:rFonts w:ascii="Times New Roman" w:hAnsi="Times New Roman"/>
          <w:b/>
        </w:rPr>
      </w:pPr>
      <w:r w:rsidRPr="004E5BFB">
        <w:rPr>
          <w:rFonts w:ascii="Times New Roman" w:hAnsi="Times New Roman"/>
          <w:b/>
        </w:rPr>
        <w:t xml:space="preserve">V.  </w:t>
      </w:r>
      <w:r w:rsidR="007B4430" w:rsidRPr="004E5BFB">
        <w:rPr>
          <w:rFonts w:ascii="Times New Roman" w:hAnsi="Times New Roman"/>
          <w:b/>
        </w:rPr>
        <w:t>EVIDENCE RELIED UPON</w:t>
      </w:r>
      <w:r w:rsidR="007B4430" w:rsidRPr="004E5BFB">
        <w:rPr>
          <w:rFonts w:ascii="Times New Roman" w:hAnsi="Times New Roman"/>
        </w:rPr>
        <w:t xml:space="preserve"> </w:t>
      </w:r>
    </w:p>
    <w:p w14:paraId="6EC9A4CB" w14:textId="18646E2C" w:rsidR="007B4430" w:rsidRPr="004E5BFB" w:rsidRDefault="00902798" w:rsidP="007B4430">
      <w:pPr>
        <w:widowControl w:val="0"/>
        <w:numPr>
          <w:ilvl w:val="0"/>
          <w:numId w:val="6"/>
        </w:numPr>
        <w:spacing w:line="480" w:lineRule="auto"/>
        <w:ind w:left="0" w:hanging="720"/>
        <w:rPr>
          <w:rFonts w:ascii="Times New Roman" w:hAnsi="Times New Roman"/>
        </w:rPr>
      </w:pPr>
      <w:r w:rsidRPr="004E5BFB">
        <w:rPr>
          <w:rFonts w:ascii="Times New Roman" w:hAnsi="Times New Roman"/>
        </w:rPr>
        <w:t xml:space="preserve"> </w:t>
      </w:r>
      <w:r w:rsidRPr="004E5BFB">
        <w:rPr>
          <w:rFonts w:ascii="Times New Roman" w:hAnsi="Times New Roman"/>
        </w:rPr>
        <w:tab/>
        <w:t xml:space="preserve">Commission Staff relies on </w:t>
      </w:r>
      <w:r w:rsidR="00AE237F">
        <w:rPr>
          <w:rFonts w:ascii="Times New Roman" w:hAnsi="Times New Roman"/>
        </w:rPr>
        <w:t>all documents filed</w:t>
      </w:r>
      <w:r w:rsidR="00D732B1">
        <w:rPr>
          <w:rFonts w:ascii="Times New Roman" w:hAnsi="Times New Roman"/>
        </w:rPr>
        <w:t xml:space="preserve"> in Dockets</w:t>
      </w:r>
      <w:r w:rsidRPr="004E5BFB">
        <w:rPr>
          <w:rFonts w:ascii="Times New Roman" w:hAnsi="Times New Roman"/>
        </w:rPr>
        <w:t xml:space="preserve"> </w:t>
      </w:r>
      <w:r w:rsidR="00D732B1" w:rsidRPr="00D732B1">
        <w:rPr>
          <w:rFonts w:ascii="Times New Roman" w:hAnsi="Times New Roman"/>
        </w:rPr>
        <w:t>UE-151871 and UG-151872</w:t>
      </w:r>
      <w:r w:rsidR="00D732B1">
        <w:rPr>
          <w:rFonts w:ascii="Times New Roman" w:hAnsi="Times New Roman"/>
        </w:rPr>
        <w:t xml:space="preserve"> </w:t>
      </w:r>
      <w:r w:rsidRPr="004E5BFB">
        <w:rPr>
          <w:rFonts w:ascii="Times New Roman" w:hAnsi="Times New Roman"/>
        </w:rPr>
        <w:t>by the parties to date.</w:t>
      </w:r>
    </w:p>
    <w:p w14:paraId="4A3886E2" w14:textId="2032EE65" w:rsidR="004E5BFB" w:rsidRPr="004E5BFB" w:rsidRDefault="004E5BFB" w:rsidP="004E5BFB">
      <w:pPr>
        <w:widowControl w:val="0"/>
        <w:spacing w:line="480" w:lineRule="auto"/>
        <w:jc w:val="center"/>
        <w:rPr>
          <w:rFonts w:ascii="Times New Roman" w:hAnsi="Times New Roman"/>
          <w:b/>
        </w:rPr>
      </w:pPr>
      <w:r w:rsidRPr="004E5BFB">
        <w:rPr>
          <w:rFonts w:ascii="Times New Roman" w:hAnsi="Times New Roman"/>
          <w:b/>
        </w:rPr>
        <w:t>VI</w:t>
      </w:r>
      <w:r w:rsidR="001704FC" w:rsidRPr="004E5BFB">
        <w:rPr>
          <w:rFonts w:ascii="Times New Roman" w:hAnsi="Times New Roman"/>
          <w:b/>
        </w:rPr>
        <w:t xml:space="preserve">. </w:t>
      </w:r>
      <w:r w:rsidR="001704FC">
        <w:rPr>
          <w:rFonts w:ascii="Times New Roman" w:hAnsi="Times New Roman"/>
          <w:b/>
        </w:rPr>
        <w:t xml:space="preserve"> </w:t>
      </w:r>
      <w:r w:rsidR="001704FC" w:rsidRPr="004E5BFB">
        <w:rPr>
          <w:rFonts w:ascii="Times New Roman" w:hAnsi="Times New Roman"/>
          <w:b/>
        </w:rPr>
        <w:t xml:space="preserve">STANDARD FOR SUMMARY </w:t>
      </w:r>
      <w:r w:rsidR="00526D67" w:rsidRPr="00526D67">
        <w:rPr>
          <w:rFonts w:ascii="Times New Roman" w:hAnsi="Times New Roman"/>
          <w:b/>
        </w:rPr>
        <w:t>DETERMINATION</w:t>
      </w:r>
    </w:p>
    <w:p w14:paraId="7219BC47" w14:textId="251B73EE" w:rsidR="004E5BFB" w:rsidRDefault="004E5BFB" w:rsidP="00F10E7B">
      <w:pPr>
        <w:numPr>
          <w:ilvl w:val="0"/>
          <w:numId w:val="6"/>
        </w:numPr>
        <w:spacing w:line="480" w:lineRule="auto"/>
        <w:ind w:left="0" w:hanging="720"/>
        <w:rPr>
          <w:rFonts w:ascii="Times New Roman" w:hAnsi="Times New Roman"/>
        </w:rPr>
      </w:pPr>
      <w:r w:rsidRPr="004E5BFB">
        <w:rPr>
          <w:rFonts w:ascii="Times New Roman" w:hAnsi="Times New Roman"/>
        </w:rPr>
        <w:t xml:space="preserve"> </w:t>
      </w:r>
      <w:r w:rsidRPr="004E5BFB">
        <w:rPr>
          <w:rFonts w:ascii="Times New Roman" w:hAnsi="Times New Roman"/>
        </w:rPr>
        <w:tab/>
        <w:t>A party may make a dispositive motion for summary determination pursuant to WAC 480-07-375(1) and WAC 480-07-380(2).</w:t>
      </w:r>
      <w:r>
        <w:rPr>
          <w:rFonts w:ascii="Times New Roman" w:hAnsi="Times New Roman"/>
        </w:rPr>
        <w:t xml:space="preserve"> Under </w:t>
      </w:r>
      <w:r w:rsidRPr="004E5BFB">
        <w:rPr>
          <w:rFonts w:ascii="Times New Roman" w:hAnsi="Times New Roman"/>
        </w:rPr>
        <w:t>WAC 480-07-380(2)</w:t>
      </w:r>
      <w:r>
        <w:rPr>
          <w:rFonts w:ascii="Times New Roman" w:hAnsi="Times New Roman"/>
        </w:rPr>
        <w:t xml:space="preserve">(a), </w:t>
      </w:r>
      <w:r w:rsidR="001704FC">
        <w:rPr>
          <w:rFonts w:ascii="Times New Roman" w:hAnsi="Times New Roman"/>
        </w:rPr>
        <w:t>a</w:t>
      </w:r>
      <w:r w:rsidRPr="004E5BFB">
        <w:rPr>
          <w:rFonts w:ascii="Times New Roman" w:hAnsi="Times New Roman"/>
        </w:rPr>
        <w:t xml:space="preserve"> party may move for summary determination of one or more issues if the pleadings filed in the proceeding, together with any properly admissible evidentiary support</w:t>
      </w:r>
      <w:r>
        <w:rPr>
          <w:rFonts w:ascii="Times New Roman" w:hAnsi="Times New Roman"/>
        </w:rPr>
        <w:t xml:space="preserve"> </w:t>
      </w:r>
      <w:r w:rsidRPr="004E5BFB">
        <w:rPr>
          <w:rFonts w:ascii="Times New Roman" w:hAnsi="Times New Roman"/>
        </w:rPr>
        <w:t xml:space="preserve">show that there is no genuine issue as to any material fact and that the moving party is entitled to judgment as a matter of law. In considering a motion made under this subsection, the </w:t>
      </w:r>
      <w:r w:rsidR="001704FC">
        <w:rPr>
          <w:rFonts w:ascii="Times New Roman" w:hAnsi="Times New Roman"/>
        </w:rPr>
        <w:t>C</w:t>
      </w:r>
      <w:r w:rsidRPr="004E5BFB">
        <w:rPr>
          <w:rFonts w:ascii="Times New Roman" w:hAnsi="Times New Roman"/>
        </w:rPr>
        <w:t>ommission consider</w:t>
      </w:r>
      <w:r w:rsidR="00686794">
        <w:rPr>
          <w:rFonts w:ascii="Times New Roman" w:hAnsi="Times New Roman"/>
        </w:rPr>
        <w:t>s</w:t>
      </w:r>
      <w:r w:rsidRPr="004E5BFB">
        <w:rPr>
          <w:rFonts w:ascii="Times New Roman" w:hAnsi="Times New Roman"/>
        </w:rPr>
        <w:t xml:space="preserve"> the standards applicable to a motion made under CR 56 o</w:t>
      </w:r>
      <w:r w:rsidR="00686794">
        <w:rPr>
          <w:rFonts w:ascii="Times New Roman" w:hAnsi="Times New Roman"/>
        </w:rPr>
        <w:t xml:space="preserve">f the Washington </w:t>
      </w:r>
      <w:r w:rsidR="00971EA7">
        <w:rPr>
          <w:rFonts w:ascii="Times New Roman" w:hAnsi="Times New Roman"/>
        </w:rPr>
        <w:t>superior court</w:t>
      </w:r>
      <w:r w:rsidRPr="004E5BFB">
        <w:rPr>
          <w:rFonts w:ascii="Times New Roman" w:hAnsi="Times New Roman"/>
        </w:rPr>
        <w:t xml:space="preserve"> civil rules.</w:t>
      </w:r>
      <w:r w:rsidR="001704FC">
        <w:rPr>
          <w:rFonts w:ascii="Times New Roman" w:hAnsi="Times New Roman"/>
        </w:rPr>
        <w:t xml:space="preserve"> </w:t>
      </w:r>
    </w:p>
    <w:p w14:paraId="112FD065" w14:textId="014896E8" w:rsidR="004E5BFB" w:rsidRPr="004E5BFB" w:rsidRDefault="004E5BFB" w:rsidP="007D3951">
      <w:pPr>
        <w:numPr>
          <w:ilvl w:val="0"/>
          <w:numId w:val="6"/>
        </w:numPr>
        <w:spacing w:line="480" w:lineRule="auto"/>
        <w:ind w:left="0" w:hanging="720"/>
        <w:rPr>
          <w:rFonts w:ascii="Times New Roman" w:hAnsi="Times New Roman"/>
        </w:rPr>
      </w:pPr>
      <w:r>
        <w:rPr>
          <w:rFonts w:ascii="Times New Roman" w:hAnsi="Times New Roman"/>
        </w:rPr>
        <w:lastRenderedPageBreak/>
        <w:t xml:space="preserve"> </w:t>
      </w:r>
      <w:r>
        <w:rPr>
          <w:rFonts w:ascii="Times New Roman" w:hAnsi="Times New Roman"/>
        </w:rPr>
        <w:tab/>
      </w:r>
      <w:r w:rsidR="001704FC">
        <w:rPr>
          <w:rFonts w:ascii="Times New Roman" w:hAnsi="Times New Roman"/>
        </w:rPr>
        <w:t>Under CR 56,</w:t>
      </w:r>
      <w:r w:rsidR="001704FC" w:rsidRPr="004E5BFB">
        <w:rPr>
          <w:rFonts w:ascii="Times New Roman" w:hAnsi="Times New Roman"/>
        </w:rPr>
        <w:t xml:space="preserve"> </w:t>
      </w:r>
      <w:r w:rsidR="001704FC">
        <w:rPr>
          <w:rFonts w:ascii="Times New Roman" w:hAnsi="Times New Roman"/>
        </w:rPr>
        <w:t>s</w:t>
      </w:r>
      <w:r w:rsidRPr="004E5BFB">
        <w:rPr>
          <w:rFonts w:ascii="Times New Roman" w:hAnsi="Times New Roman"/>
        </w:rPr>
        <w:t xml:space="preserve">ummary judgment is appropriate where there are no genuine issues of material fact and the moving party is entitled to judgment as a matter of law. Summary judgment is designed to do away with unnecessary trials when there is no genuine issue of material fact. </w:t>
      </w:r>
      <w:r w:rsidRPr="004E5BFB">
        <w:rPr>
          <w:rFonts w:ascii="Times New Roman" w:hAnsi="Times New Roman"/>
          <w:i/>
        </w:rPr>
        <w:t>LaPlante v. State</w:t>
      </w:r>
      <w:r w:rsidRPr="004E5BFB">
        <w:rPr>
          <w:rFonts w:ascii="Times New Roman" w:hAnsi="Times New Roman"/>
        </w:rPr>
        <w:t xml:space="preserve">, 85 Wn.2d 154, 158, 531 P.2d 299 (1975). “A material fact is one upon which the outcome of the litigation depends.” </w:t>
      </w:r>
      <w:r w:rsidRPr="004E5BFB">
        <w:rPr>
          <w:rFonts w:ascii="Times New Roman" w:hAnsi="Times New Roman"/>
          <w:i/>
        </w:rPr>
        <w:t>Jacobsen v. State</w:t>
      </w:r>
      <w:r w:rsidRPr="004E5BFB">
        <w:rPr>
          <w:rFonts w:ascii="Times New Roman" w:hAnsi="Times New Roman"/>
        </w:rPr>
        <w:t>, 89 Wn.2d 104, 108, 569 P.2d 1152 (1977).</w:t>
      </w:r>
    </w:p>
    <w:p w14:paraId="764CDBD0" w14:textId="10BDD4EB" w:rsidR="004E5BFB" w:rsidRDefault="004E5BFB" w:rsidP="004E5BFB">
      <w:pPr>
        <w:widowControl w:val="0"/>
        <w:numPr>
          <w:ilvl w:val="0"/>
          <w:numId w:val="6"/>
        </w:numPr>
        <w:spacing w:line="480" w:lineRule="auto"/>
        <w:ind w:left="0" w:hanging="720"/>
        <w:rPr>
          <w:rFonts w:ascii="Times New Roman" w:hAnsi="Times New Roman"/>
        </w:rPr>
      </w:pPr>
      <w:r w:rsidRPr="004E5BFB">
        <w:rPr>
          <w:rFonts w:ascii="Times New Roman" w:hAnsi="Times New Roman"/>
        </w:rPr>
        <w:t xml:space="preserve"> </w:t>
      </w:r>
      <w:r w:rsidRPr="004E5BFB">
        <w:rPr>
          <w:rFonts w:ascii="Times New Roman" w:hAnsi="Times New Roman"/>
        </w:rPr>
        <w:tab/>
        <w:t xml:space="preserve">The burden is on the moving party to demonstrate there is no genuine issue of material fact and, as a matter of law, summary judgment is proper. </w:t>
      </w:r>
      <w:r w:rsidRPr="004E5BFB">
        <w:rPr>
          <w:rFonts w:ascii="Times New Roman" w:hAnsi="Times New Roman"/>
          <w:i/>
        </w:rPr>
        <w:t>Jacobsen</w:t>
      </w:r>
      <w:r w:rsidRPr="004E5BFB">
        <w:rPr>
          <w:rFonts w:ascii="Times New Roman" w:hAnsi="Times New Roman"/>
        </w:rPr>
        <w:t xml:space="preserve">, 89 Wn.2d at 108. If the moving party satisfies its burden, then the non-moving party must present evidence demonstrating material facts are in dispute. </w:t>
      </w:r>
      <w:r w:rsidRPr="004E5BFB">
        <w:rPr>
          <w:rFonts w:ascii="Times New Roman" w:hAnsi="Times New Roman"/>
          <w:i/>
        </w:rPr>
        <w:t>Atherton Condo Ass’n v. Blume Dev. Co.</w:t>
      </w:r>
      <w:r w:rsidRPr="004E5BFB">
        <w:rPr>
          <w:rFonts w:ascii="Times New Roman" w:hAnsi="Times New Roman"/>
        </w:rPr>
        <w:t xml:space="preserve">, 115 Wn.2d 506, 516, 799 P.2d 250 (1990). The non-moving party must “set forth specific facts showing there is a genuine issue for trial.” </w:t>
      </w:r>
      <w:r w:rsidRPr="004E5BFB">
        <w:rPr>
          <w:rFonts w:ascii="Times New Roman" w:hAnsi="Times New Roman"/>
          <w:i/>
        </w:rPr>
        <w:t>LaPlante</w:t>
      </w:r>
      <w:r w:rsidRPr="004E5BFB">
        <w:rPr>
          <w:rFonts w:ascii="Times New Roman" w:hAnsi="Times New Roman"/>
        </w:rPr>
        <w:t xml:space="preserve">, 85 Wn.2d at 158. </w:t>
      </w:r>
    </w:p>
    <w:p w14:paraId="48C3ECD7" w14:textId="3EEFAA4D" w:rsidR="007B4430" w:rsidRPr="004E5BFB" w:rsidRDefault="00EB0C74" w:rsidP="007B4430">
      <w:pPr>
        <w:widowControl w:val="0"/>
        <w:spacing w:line="480" w:lineRule="auto"/>
        <w:jc w:val="center"/>
        <w:rPr>
          <w:rFonts w:ascii="Times New Roman" w:hAnsi="Times New Roman"/>
          <w:b/>
        </w:rPr>
      </w:pPr>
      <w:r w:rsidRPr="004E5BFB">
        <w:rPr>
          <w:rFonts w:ascii="Times New Roman" w:hAnsi="Times New Roman"/>
          <w:b/>
        </w:rPr>
        <w:t>VI</w:t>
      </w:r>
      <w:r w:rsidR="004E5BFB" w:rsidRPr="004E5BFB">
        <w:rPr>
          <w:rFonts w:ascii="Times New Roman" w:hAnsi="Times New Roman"/>
          <w:b/>
        </w:rPr>
        <w:t>I</w:t>
      </w:r>
      <w:r w:rsidRPr="004E5BFB">
        <w:rPr>
          <w:rFonts w:ascii="Times New Roman" w:hAnsi="Times New Roman"/>
          <w:b/>
        </w:rPr>
        <w:t xml:space="preserve">.  </w:t>
      </w:r>
      <w:r w:rsidR="007B4430" w:rsidRPr="004E5BFB">
        <w:rPr>
          <w:rFonts w:ascii="Times New Roman" w:hAnsi="Times New Roman"/>
          <w:b/>
        </w:rPr>
        <w:t>ARGUMENT</w:t>
      </w:r>
    </w:p>
    <w:p w14:paraId="1A268F32" w14:textId="7E5A109F" w:rsidR="009E7425" w:rsidRDefault="001704FC" w:rsidP="009E7425">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t xml:space="preserve">PSE failed to </w:t>
      </w:r>
      <w:r w:rsidR="001038B0">
        <w:rPr>
          <w:rFonts w:ascii="Times New Roman" w:hAnsi="Times New Roman"/>
        </w:rPr>
        <w:t>meet</w:t>
      </w:r>
      <w:r>
        <w:rPr>
          <w:rFonts w:ascii="Times New Roman" w:hAnsi="Times New Roman"/>
        </w:rPr>
        <w:t xml:space="preserve"> the most basic </w:t>
      </w:r>
      <w:r w:rsidRPr="001704FC">
        <w:rPr>
          <w:rFonts w:ascii="Times New Roman" w:hAnsi="Times New Roman"/>
        </w:rPr>
        <w:t xml:space="preserve">requirements for </w:t>
      </w:r>
      <w:r>
        <w:rPr>
          <w:rFonts w:ascii="Times New Roman" w:hAnsi="Times New Roman"/>
        </w:rPr>
        <w:t xml:space="preserve">establishing a </w:t>
      </w:r>
      <w:r w:rsidR="00AE237F">
        <w:rPr>
          <w:rFonts w:ascii="Times New Roman" w:hAnsi="Times New Roman"/>
        </w:rPr>
        <w:t>regulated tariff-based service</w:t>
      </w:r>
      <w:r w:rsidR="001038B0">
        <w:rPr>
          <w:rFonts w:ascii="Times New Roman" w:hAnsi="Times New Roman"/>
        </w:rPr>
        <w:t xml:space="preserve">. </w:t>
      </w:r>
      <w:r w:rsidR="002F56EE">
        <w:rPr>
          <w:rFonts w:ascii="Times New Roman" w:hAnsi="Times New Roman"/>
        </w:rPr>
        <w:t>The</w:t>
      </w:r>
      <w:r w:rsidR="002F56EE" w:rsidRPr="002F56EE">
        <w:rPr>
          <w:rFonts w:ascii="Times New Roman" w:hAnsi="Times New Roman"/>
        </w:rPr>
        <w:t xml:space="preserve"> Company </w:t>
      </w:r>
      <w:r w:rsidR="002F56EE">
        <w:rPr>
          <w:rFonts w:ascii="Times New Roman" w:hAnsi="Times New Roman"/>
        </w:rPr>
        <w:t xml:space="preserve">seeks permission to offer a new service that, as </w:t>
      </w:r>
      <w:r w:rsidR="0003158D">
        <w:rPr>
          <w:rFonts w:ascii="Times New Roman" w:hAnsi="Times New Roman"/>
        </w:rPr>
        <w:t xml:space="preserve">currently </w:t>
      </w:r>
      <w:r w:rsidR="002F56EE">
        <w:rPr>
          <w:rFonts w:ascii="Times New Roman" w:hAnsi="Times New Roman"/>
        </w:rPr>
        <w:t>proposed, does not qualify as a utility service under Washington law.</w:t>
      </w:r>
      <w:r w:rsidR="002F56EE" w:rsidRPr="002F56EE">
        <w:rPr>
          <w:rFonts w:ascii="Times New Roman" w:hAnsi="Times New Roman"/>
        </w:rPr>
        <w:t xml:space="preserve"> </w:t>
      </w:r>
      <w:r w:rsidR="002F56EE">
        <w:rPr>
          <w:rFonts w:ascii="Times New Roman" w:hAnsi="Times New Roman"/>
        </w:rPr>
        <w:t xml:space="preserve">In addition, the Company has </w:t>
      </w:r>
      <w:r w:rsidR="002F56EE" w:rsidRPr="002F56EE">
        <w:rPr>
          <w:rFonts w:ascii="Times New Roman" w:hAnsi="Times New Roman"/>
        </w:rPr>
        <w:t xml:space="preserve">failed to present sufficient evidence to meet its burden </w:t>
      </w:r>
      <w:r w:rsidR="00526D67">
        <w:rPr>
          <w:rFonts w:ascii="Times New Roman" w:hAnsi="Times New Roman"/>
        </w:rPr>
        <w:t xml:space="preserve">to </w:t>
      </w:r>
      <w:r w:rsidR="00465D27">
        <w:rPr>
          <w:rFonts w:ascii="Times New Roman" w:hAnsi="Times New Roman"/>
        </w:rPr>
        <w:t>prove</w:t>
      </w:r>
      <w:r w:rsidR="002F56EE">
        <w:rPr>
          <w:rFonts w:ascii="Times New Roman" w:hAnsi="Times New Roman"/>
        </w:rPr>
        <w:t xml:space="preserve"> that the proposed </w:t>
      </w:r>
      <w:r w:rsidR="002F56EE" w:rsidRPr="002F56EE">
        <w:rPr>
          <w:rFonts w:ascii="Times New Roman" w:hAnsi="Times New Roman"/>
        </w:rPr>
        <w:t>rates are just</w:t>
      </w:r>
      <w:r w:rsidR="006F61C7">
        <w:rPr>
          <w:rFonts w:ascii="Times New Roman" w:hAnsi="Times New Roman"/>
        </w:rPr>
        <w:t xml:space="preserve"> and reasonable</w:t>
      </w:r>
      <w:r w:rsidR="002F56EE">
        <w:rPr>
          <w:rFonts w:ascii="Times New Roman" w:hAnsi="Times New Roman"/>
        </w:rPr>
        <w:t xml:space="preserve">. </w:t>
      </w:r>
      <w:r w:rsidR="002B225E">
        <w:rPr>
          <w:rFonts w:ascii="Times New Roman" w:hAnsi="Times New Roman"/>
        </w:rPr>
        <w:t>T</w:t>
      </w:r>
      <w:r w:rsidR="002F56EE">
        <w:rPr>
          <w:rFonts w:ascii="Times New Roman" w:hAnsi="Times New Roman"/>
        </w:rPr>
        <w:t>he Company</w:t>
      </w:r>
      <w:r w:rsidR="002B225E">
        <w:rPr>
          <w:rFonts w:ascii="Times New Roman" w:hAnsi="Times New Roman"/>
        </w:rPr>
        <w:t xml:space="preserve"> also</w:t>
      </w:r>
      <w:r w:rsidR="002F56EE">
        <w:rPr>
          <w:rFonts w:ascii="Times New Roman" w:hAnsi="Times New Roman"/>
        </w:rPr>
        <w:t xml:space="preserve"> inappropriately </w:t>
      </w:r>
      <w:r w:rsidR="002B225E">
        <w:rPr>
          <w:rFonts w:ascii="Times New Roman" w:hAnsi="Times New Roman"/>
        </w:rPr>
        <w:t>expanded</w:t>
      </w:r>
      <w:r w:rsidR="002F56EE">
        <w:rPr>
          <w:rFonts w:ascii="Times New Roman" w:hAnsi="Times New Roman"/>
        </w:rPr>
        <w:t xml:space="preserve"> its propos</w:t>
      </w:r>
      <w:r w:rsidR="00686794">
        <w:rPr>
          <w:rFonts w:ascii="Times New Roman" w:hAnsi="Times New Roman"/>
        </w:rPr>
        <w:t xml:space="preserve">al </w:t>
      </w:r>
      <w:r w:rsidR="002F56EE">
        <w:rPr>
          <w:rFonts w:ascii="Times New Roman" w:hAnsi="Times New Roman"/>
        </w:rPr>
        <w:t xml:space="preserve">on rebuttal by promising to implement significant new features that lack necessary detail or </w:t>
      </w:r>
      <w:r w:rsidR="0003158D">
        <w:rPr>
          <w:rFonts w:ascii="Times New Roman" w:hAnsi="Times New Roman"/>
        </w:rPr>
        <w:t xml:space="preserve">evidentiary </w:t>
      </w:r>
      <w:r w:rsidR="002F56EE">
        <w:rPr>
          <w:rFonts w:ascii="Times New Roman" w:hAnsi="Times New Roman"/>
        </w:rPr>
        <w:t>support</w:t>
      </w:r>
      <w:r w:rsidR="0003158D">
        <w:rPr>
          <w:rFonts w:ascii="Times New Roman" w:hAnsi="Times New Roman"/>
        </w:rPr>
        <w:t>.</w:t>
      </w:r>
      <w:r w:rsidR="002F56EE">
        <w:rPr>
          <w:rFonts w:ascii="Times New Roman" w:hAnsi="Times New Roman"/>
        </w:rPr>
        <w:t xml:space="preserve"> </w:t>
      </w:r>
      <w:r w:rsidR="009E7425">
        <w:rPr>
          <w:rFonts w:ascii="Times New Roman" w:hAnsi="Times New Roman"/>
        </w:rPr>
        <w:t xml:space="preserve">Consequently, a hearing and </w:t>
      </w:r>
      <w:r w:rsidR="00686794">
        <w:rPr>
          <w:rFonts w:ascii="Times New Roman" w:hAnsi="Times New Roman"/>
        </w:rPr>
        <w:t>multiple</w:t>
      </w:r>
      <w:r w:rsidR="009E7425">
        <w:rPr>
          <w:rFonts w:ascii="Times New Roman" w:hAnsi="Times New Roman"/>
        </w:rPr>
        <w:t xml:space="preserve"> rounds of briefing on all the issues is </w:t>
      </w:r>
      <w:r w:rsidR="006F61C7">
        <w:rPr>
          <w:rFonts w:ascii="Times New Roman" w:hAnsi="Times New Roman"/>
        </w:rPr>
        <w:t>not necessary</w:t>
      </w:r>
      <w:r w:rsidR="009E7425">
        <w:rPr>
          <w:rFonts w:ascii="Times New Roman" w:hAnsi="Times New Roman"/>
        </w:rPr>
        <w:t>—</w:t>
      </w:r>
      <w:r w:rsidR="00686794">
        <w:rPr>
          <w:rFonts w:ascii="Times New Roman" w:hAnsi="Times New Roman"/>
        </w:rPr>
        <w:t>such additional process</w:t>
      </w:r>
      <w:r w:rsidR="00971EA7">
        <w:rPr>
          <w:rFonts w:ascii="Times New Roman" w:hAnsi="Times New Roman"/>
        </w:rPr>
        <w:t xml:space="preserve"> would serv</w:t>
      </w:r>
      <w:r w:rsidR="009E7425">
        <w:rPr>
          <w:rFonts w:ascii="Times New Roman" w:hAnsi="Times New Roman"/>
        </w:rPr>
        <w:t xml:space="preserve">e </w:t>
      </w:r>
      <w:r w:rsidR="00526D67">
        <w:rPr>
          <w:rFonts w:ascii="Times New Roman" w:hAnsi="Times New Roman"/>
        </w:rPr>
        <w:t xml:space="preserve">only </w:t>
      </w:r>
      <w:r w:rsidR="009E7425">
        <w:rPr>
          <w:rFonts w:ascii="Times New Roman" w:hAnsi="Times New Roman"/>
        </w:rPr>
        <w:t xml:space="preserve">to waste the time and resources of all involved. </w:t>
      </w:r>
      <w:r w:rsidR="009E7425" w:rsidRPr="009E7425">
        <w:rPr>
          <w:rFonts w:ascii="Times New Roman" w:hAnsi="Times New Roman"/>
        </w:rPr>
        <w:t>Staff respectfully requests that the Commission reject the proposed tariff and affirm, as a general princi</w:t>
      </w:r>
      <w:r w:rsidR="002B225E">
        <w:rPr>
          <w:rFonts w:ascii="Times New Roman" w:hAnsi="Times New Roman"/>
        </w:rPr>
        <w:t xml:space="preserve">ple, </w:t>
      </w:r>
      <w:r w:rsidR="006F61C7" w:rsidRPr="009E7425">
        <w:rPr>
          <w:rFonts w:ascii="Times New Roman" w:hAnsi="Times New Roman"/>
        </w:rPr>
        <w:t>that</w:t>
      </w:r>
      <w:r w:rsidR="006F61C7">
        <w:rPr>
          <w:rFonts w:ascii="Times New Roman" w:hAnsi="Times New Roman"/>
        </w:rPr>
        <w:t xml:space="preserve"> </w:t>
      </w:r>
      <w:r w:rsidR="002B225E">
        <w:rPr>
          <w:rFonts w:ascii="Times New Roman" w:hAnsi="Times New Roman"/>
        </w:rPr>
        <w:t xml:space="preserve">the utility service that </w:t>
      </w:r>
      <w:r w:rsidR="009E7425" w:rsidRPr="009E7425">
        <w:rPr>
          <w:rFonts w:ascii="Times New Roman" w:hAnsi="Times New Roman"/>
        </w:rPr>
        <w:t xml:space="preserve">PSE provides ends at the </w:t>
      </w:r>
      <w:r w:rsidR="009E7425" w:rsidRPr="009E7425">
        <w:rPr>
          <w:rFonts w:ascii="Times New Roman" w:hAnsi="Times New Roman"/>
        </w:rPr>
        <w:lastRenderedPageBreak/>
        <w:t>customer meter</w:t>
      </w:r>
      <w:r w:rsidR="006F61C7">
        <w:rPr>
          <w:rFonts w:ascii="Times New Roman" w:hAnsi="Times New Roman"/>
        </w:rPr>
        <w:t xml:space="preserve"> </w:t>
      </w:r>
      <w:r w:rsidR="006F61C7" w:rsidRPr="006F61C7">
        <w:rPr>
          <w:rFonts w:ascii="Times New Roman" w:hAnsi="Times New Roman"/>
        </w:rPr>
        <w:t xml:space="preserve">unless the overreaching service is tailored to provide compelling net-benefits to all customers by making the </w:t>
      </w:r>
      <w:r w:rsidR="006F61C7">
        <w:rPr>
          <w:rFonts w:ascii="Times New Roman" w:hAnsi="Times New Roman"/>
        </w:rPr>
        <w:t xml:space="preserve">utility </w:t>
      </w:r>
      <w:r w:rsidR="006F61C7" w:rsidRPr="006F61C7">
        <w:rPr>
          <w:rFonts w:ascii="Times New Roman" w:hAnsi="Times New Roman"/>
        </w:rPr>
        <w:t>system more efficient or otherwise fulfills some statutory purpose articulate</w:t>
      </w:r>
      <w:r w:rsidR="006F61C7">
        <w:rPr>
          <w:rFonts w:ascii="Times New Roman" w:hAnsi="Times New Roman"/>
        </w:rPr>
        <w:t>d in the public service laws.</w:t>
      </w:r>
    </w:p>
    <w:p w14:paraId="2CBF44A9" w14:textId="654F384D" w:rsidR="009E7425" w:rsidRPr="009E7425" w:rsidRDefault="009E7425" w:rsidP="00F10E7B">
      <w:pPr>
        <w:pStyle w:val="ListParagraph"/>
        <w:widowControl w:val="0"/>
        <w:numPr>
          <w:ilvl w:val="0"/>
          <w:numId w:val="16"/>
        </w:numPr>
        <w:spacing w:after="240"/>
        <w:ind w:hanging="720"/>
        <w:rPr>
          <w:rFonts w:ascii="Times New Roman" w:hAnsi="Times New Roman"/>
          <w:b/>
        </w:rPr>
      </w:pPr>
      <w:r w:rsidRPr="009E7425">
        <w:rPr>
          <w:rFonts w:ascii="Times New Roman" w:hAnsi="Times New Roman"/>
          <w:b/>
        </w:rPr>
        <w:t xml:space="preserve">Granting </w:t>
      </w:r>
      <w:r w:rsidR="002B225E">
        <w:rPr>
          <w:rFonts w:ascii="Times New Roman" w:hAnsi="Times New Roman"/>
          <w:b/>
        </w:rPr>
        <w:t>a</w:t>
      </w:r>
      <w:r w:rsidRPr="009E7425">
        <w:rPr>
          <w:rFonts w:ascii="Times New Roman" w:hAnsi="Times New Roman"/>
          <w:b/>
        </w:rPr>
        <w:t xml:space="preserve">n Exemption </w:t>
      </w:r>
      <w:r w:rsidR="002B225E">
        <w:rPr>
          <w:rFonts w:ascii="Times New Roman" w:hAnsi="Times New Roman"/>
          <w:b/>
        </w:rPr>
        <w:t>t</w:t>
      </w:r>
      <w:r w:rsidRPr="009E7425">
        <w:rPr>
          <w:rFonts w:ascii="Times New Roman" w:hAnsi="Times New Roman"/>
          <w:b/>
        </w:rPr>
        <w:t xml:space="preserve">o </w:t>
      </w:r>
      <w:r w:rsidR="002B225E">
        <w:rPr>
          <w:rFonts w:ascii="Times New Roman" w:hAnsi="Times New Roman"/>
          <w:b/>
        </w:rPr>
        <w:t>t</w:t>
      </w:r>
      <w:r w:rsidRPr="009E7425">
        <w:rPr>
          <w:rFonts w:ascii="Times New Roman" w:hAnsi="Times New Roman"/>
          <w:b/>
        </w:rPr>
        <w:t xml:space="preserve">he Rule Establishing </w:t>
      </w:r>
      <w:r w:rsidR="002B225E">
        <w:rPr>
          <w:rFonts w:ascii="Times New Roman" w:hAnsi="Times New Roman"/>
          <w:b/>
        </w:rPr>
        <w:t xml:space="preserve">Timing for </w:t>
      </w:r>
      <w:r w:rsidRPr="009E7425">
        <w:rPr>
          <w:rFonts w:ascii="Times New Roman" w:hAnsi="Times New Roman"/>
          <w:b/>
        </w:rPr>
        <w:t>Motion</w:t>
      </w:r>
      <w:r w:rsidR="002B225E">
        <w:rPr>
          <w:rFonts w:ascii="Times New Roman" w:hAnsi="Times New Roman"/>
          <w:b/>
        </w:rPr>
        <w:t>s</w:t>
      </w:r>
      <w:r w:rsidR="00465D27">
        <w:rPr>
          <w:rFonts w:ascii="Times New Roman" w:hAnsi="Times New Roman"/>
          <w:b/>
        </w:rPr>
        <w:t xml:space="preserve"> </w:t>
      </w:r>
      <w:r w:rsidR="00594ED0">
        <w:rPr>
          <w:rFonts w:ascii="Times New Roman" w:hAnsi="Times New Roman"/>
          <w:b/>
        </w:rPr>
        <w:t>f</w:t>
      </w:r>
      <w:r w:rsidR="00465D27">
        <w:rPr>
          <w:rFonts w:ascii="Times New Roman" w:hAnsi="Times New Roman"/>
          <w:b/>
        </w:rPr>
        <w:t xml:space="preserve">or Summary Determination </w:t>
      </w:r>
      <w:r w:rsidR="00594ED0">
        <w:rPr>
          <w:rFonts w:ascii="Times New Roman" w:hAnsi="Times New Roman"/>
          <w:b/>
        </w:rPr>
        <w:t>i</w:t>
      </w:r>
      <w:r w:rsidR="00465D27">
        <w:rPr>
          <w:rFonts w:ascii="Times New Roman" w:hAnsi="Times New Roman"/>
          <w:b/>
        </w:rPr>
        <w:t>s i</w:t>
      </w:r>
      <w:r w:rsidRPr="009E7425">
        <w:rPr>
          <w:rFonts w:ascii="Times New Roman" w:hAnsi="Times New Roman"/>
          <w:b/>
        </w:rPr>
        <w:t xml:space="preserve">n </w:t>
      </w:r>
      <w:r w:rsidR="00594ED0">
        <w:rPr>
          <w:rFonts w:ascii="Times New Roman" w:hAnsi="Times New Roman"/>
          <w:b/>
        </w:rPr>
        <w:t>t</w:t>
      </w:r>
      <w:r w:rsidRPr="009E7425">
        <w:rPr>
          <w:rFonts w:ascii="Times New Roman" w:hAnsi="Times New Roman"/>
          <w:b/>
        </w:rPr>
        <w:t xml:space="preserve">he Public Interest </w:t>
      </w:r>
      <w:r w:rsidR="006F61C7">
        <w:rPr>
          <w:rFonts w:ascii="Times New Roman" w:hAnsi="Times New Roman"/>
          <w:b/>
        </w:rPr>
        <w:t>in this Instance</w:t>
      </w:r>
    </w:p>
    <w:p w14:paraId="05F14587" w14:textId="77777777" w:rsidR="003E2809" w:rsidRDefault="009E7425" w:rsidP="00C3774B">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Pr="001704FC">
        <w:rPr>
          <w:rFonts w:ascii="Times New Roman" w:hAnsi="Times New Roman"/>
        </w:rPr>
        <w:t>Under WAC 480-07-380(2)(</w:t>
      </w:r>
      <w:r>
        <w:rPr>
          <w:rFonts w:ascii="Times New Roman" w:hAnsi="Times New Roman"/>
        </w:rPr>
        <w:t>b</w:t>
      </w:r>
      <w:r w:rsidRPr="001704FC">
        <w:rPr>
          <w:rFonts w:ascii="Times New Roman" w:hAnsi="Times New Roman"/>
        </w:rPr>
        <w:t>),</w:t>
      </w:r>
      <w:r>
        <w:rPr>
          <w:rFonts w:ascii="Times New Roman" w:hAnsi="Times New Roman"/>
        </w:rPr>
        <w:t xml:space="preserve"> a</w:t>
      </w:r>
      <w:r w:rsidRPr="001704FC">
        <w:rPr>
          <w:rFonts w:ascii="Times New Roman" w:hAnsi="Times New Roman"/>
        </w:rPr>
        <w:t xml:space="preserve"> party must file any motion for summary determination at least thirty days before the next applicable hearing session</w:t>
      </w:r>
      <w:r>
        <w:rPr>
          <w:rFonts w:ascii="Times New Roman" w:hAnsi="Times New Roman"/>
        </w:rPr>
        <w:t xml:space="preserve">. However, the Commission </w:t>
      </w:r>
      <w:r w:rsidRPr="001704FC">
        <w:rPr>
          <w:rFonts w:ascii="Times New Roman" w:hAnsi="Times New Roman"/>
        </w:rPr>
        <w:t>may grant an exemption from or modify the application of its rules in individual cases if consistent with the public interest, the purposes underlying regulation, and applicable statutes</w:t>
      </w:r>
      <w:r w:rsidR="00036B38" w:rsidRPr="00036B38">
        <w:rPr>
          <w:rFonts w:ascii="Times New Roman" w:hAnsi="Times New Roman"/>
        </w:rPr>
        <w:t xml:space="preserve"> </w:t>
      </w:r>
      <w:r w:rsidR="00036B38">
        <w:rPr>
          <w:rFonts w:ascii="Times New Roman" w:hAnsi="Times New Roman"/>
        </w:rPr>
        <w:t xml:space="preserve">pursuant to </w:t>
      </w:r>
      <w:r w:rsidR="00036B38" w:rsidRPr="001704FC">
        <w:rPr>
          <w:rFonts w:ascii="Times New Roman" w:hAnsi="Times New Roman"/>
        </w:rPr>
        <w:t>WAC 480-07-110</w:t>
      </w:r>
      <w:r w:rsidR="00036B38">
        <w:rPr>
          <w:rFonts w:ascii="Times New Roman" w:hAnsi="Times New Roman"/>
        </w:rPr>
        <w:t>(1)</w:t>
      </w:r>
      <w:r w:rsidRPr="001704FC">
        <w:rPr>
          <w:rFonts w:ascii="Times New Roman" w:hAnsi="Times New Roman"/>
        </w:rPr>
        <w:t>.</w:t>
      </w:r>
      <w:r>
        <w:rPr>
          <w:rFonts w:ascii="Times New Roman" w:hAnsi="Times New Roman"/>
        </w:rPr>
        <w:t xml:space="preserve"> </w:t>
      </w:r>
    </w:p>
    <w:p w14:paraId="5A903938" w14:textId="0D8D1489" w:rsidR="009E7425" w:rsidRPr="00AA57A4" w:rsidRDefault="003E2809" w:rsidP="00AA57A4">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036B38" w:rsidRPr="00C3774B">
        <w:rPr>
          <w:rFonts w:ascii="Times New Roman" w:hAnsi="Times New Roman"/>
        </w:rPr>
        <w:t>Staff appreciates the timing issues that its motion raises</w:t>
      </w:r>
      <w:r w:rsidR="002B225E">
        <w:rPr>
          <w:rFonts w:ascii="Times New Roman" w:hAnsi="Times New Roman"/>
        </w:rPr>
        <w:t xml:space="preserve">, </w:t>
      </w:r>
      <w:r w:rsidR="00AA57A4">
        <w:rPr>
          <w:rFonts w:ascii="Times New Roman" w:hAnsi="Times New Roman"/>
        </w:rPr>
        <w:t xml:space="preserve">but </w:t>
      </w:r>
      <w:r w:rsidR="00AA57A4" w:rsidRPr="00AA57A4">
        <w:rPr>
          <w:rFonts w:ascii="Times New Roman" w:hAnsi="Times New Roman"/>
        </w:rPr>
        <w:t xml:space="preserve">found that summary determination offers </w:t>
      </w:r>
      <w:r w:rsidR="001A7188">
        <w:rPr>
          <w:rFonts w:ascii="Times New Roman" w:hAnsi="Times New Roman"/>
        </w:rPr>
        <w:t>a</w:t>
      </w:r>
      <w:r w:rsidR="00AA57A4" w:rsidRPr="00AA57A4">
        <w:rPr>
          <w:rFonts w:ascii="Times New Roman" w:hAnsi="Times New Roman"/>
        </w:rPr>
        <w:t xml:space="preserve"> </w:t>
      </w:r>
      <w:r w:rsidR="00AA57A4">
        <w:rPr>
          <w:rFonts w:ascii="Times New Roman" w:hAnsi="Times New Roman"/>
        </w:rPr>
        <w:t>resolution</w:t>
      </w:r>
      <w:r w:rsidR="00AA57A4" w:rsidRPr="00AA57A4">
        <w:rPr>
          <w:rFonts w:ascii="Times New Roman" w:hAnsi="Times New Roman"/>
        </w:rPr>
        <w:t xml:space="preserve"> </w:t>
      </w:r>
      <w:r w:rsidR="00AA57A4">
        <w:rPr>
          <w:rFonts w:ascii="Times New Roman" w:hAnsi="Times New Roman"/>
        </w:rPr>
        <w:t>of this case</w:t>
      </w:r>
      <w:r w:rsidR="00AA57A4" w:rsidRPr="00AA57A4">
        <w:rPr>
          <w:rFonts w:ascii="Times New Roman" w:hAnsi="Times New Roman"/>
        </w:rPr>
        <w:t xml:space="preserve"> most consistent with the public interest</w:t>
      </w:r>
      <w:r w:rsidR="00AA57A4">
        <w:rPr>
          <w:rFonts w:ascii="Times New Roman" w:hAnsi="Times New Roman"/>
        </w:rPr>
        <w:t xml:space="preserve">. </w:t>
      </w:r>
      <w:r w:rsidRPr="00AA57A4">
        <w:rPr>
          <w:rFonts w:ascii="Times New Roman" w:hAnsi="Times New Roman"/>
        </w:rPr>
        <w:t xml:space="preserve">If the Commission finds a full hearing on all of the details of the Company’s proposal </w:t>
      </w:r>
      <w:r w:rsidR="00AA57A4">
        <w:rPr>
          <w:rFonts w:ascii="Times New Roman" w:hAnsi="Times New Roman"/>
        </w:rPr>
        <w:t>would</w:t>
      </w:r>
      <w:r w:rsidRPr="00AA57A4">
        <w:rPr>
          <w:rFonts w:ascii="Times New Roman" w:hAnsi="Times New Roman"/>
        </w:rPr>
        <w:t xml:space="preserve"> </w:t>
      </w:r>
      <w:r w:rsidR="00AA57A4">
        <w:rPr>
          <w:rFonts w:ascii="Times New Roman" w:hAnsi="Times New Roman"/>
        </w:rPr>
        <w:t>facilitate its</w:t>
      </w:r>
      <w:r w:rsidRPr="00AA57A4">
        <w:rPr>
          <w:rFonts w:ascii="Times New Roman" w:hAnsi="Times New Roman"/>
        </w:rPr>
        <w:t xml:space="preserve"> </w:t>
      </w:r>
      <w:r w:rsidR="006D57A6" w:rsidRPr="00AA57A4">
        <w:rPr>
          <w:rFonts w:ascii="Times New Roman" w:hAnsi="Times New Roman"/>
        </w:rPr>
        <w:t>review</w:t>
      </w:r>
      <w:r w:rsidR="001A7188">
        <w:rPr>
          <w:rFonts w:ascii="Times New Roman" w:hAnsi="Times New Roman"/>
        </w:rPr>
        <w:t xml:space="preserve"> of PSE’s deficient filing</w:t>
      </w:r>
      <w:r w:rsidRPr="00AA57A4">
        <w:rPr>
          <w:rFonts w:ascii="Times New Roman" w:hAnsi="Times New Roman"/>
        </w:rPr>
        <w:t xml:space="preserve">, then </w:t>
      </w:r>
      <w:r w:rsidR="00AA57A4">
        <w:rPr>
          <w:rFonts w:ascii="Times New Roman" w:hAnsi="Times New Roman"/>
        </w:rPr>
        <w:t>it</w:t>
      </w:r>
      <w:r w:rsidRPr="00AA57A4">
        <w:rPr>
          <w:rFonts w:ascii="Times New Roman" w:hAnsi="Times New Roman"/>
        </w:rPr>
        <w:t xml:space="preserve"> should dismiss Staff’s </w:t>
      </w:r>
      <w:r w:rsidR="00A85940">
        <w:rPr>
          <w:rFonts w:ascii="Times New Roman" w:hAnsi="Times New Roman"/>
        </w:rPr>
        <w:t>m</w:t>
      </w:r>
      <w:r w:rsidRPr="00AA57A4">
        <w:rPr>
          <w:rFonts w:ascii="Times New Roman" w:hAnsi="Times New Roman"/>
        </w:rPr>
        <w:t>otion as untimely.</w:t>
      </w:r>
      <w:r w:rsidR="00AA57A4">
        <w:rPr>
          <w:rFonts w:ascii="Times New Roman" w:hAnsi="Times New Roman"/>
        </w:rPr>
        <w:t xml:space="preserve"> </w:t>
      </w:r>
    </w:p>
    <w:p w14:paraId="6E1C644F" w14:textId="3C4C3D07" w:rsidR="00C3774B" w:rsidRPr="003E2809" w:rsidRDefault="00C3774B" w:rsidP="00AA6AC2">
      <w:pPr>
        <w:widowControl w:val="0"/>
        <w:numPr>
          <w:ilvl w:val="0"/>
          <w:numId w:val="6"/>
        </w:numPr>
        <w:spacing w:line="480" w:lineRule="auto"/>
        <w:ind w:left="0" w:hanging="720"/>
        <w:rPr>
          <w:rFonts w:ascii="Times New Roman" w:hAnsi="Times New Roman"/>
        </w:rPr>
      </w:pPr>
      <w:r w:rsidRPr="003E2809">
        <w:rPr>
          <w:rFonts w:ascii="Times New Roman" w:hAnsi="Times New Roman"/>
        </w:rPr>
        <w:t xml:space="preserve"> </w:t>
      </w:r>
      <w:r w:rsidRPr="003E2809">
        <w:rPr>
          <w:rFonts w:ascii="Times New Roman" w:hAnsi="Times New Roman"/>
        </w:rPr>
        <w:tab/>
        <w:t>Staff believes that summary determination is the resolution of th</w:t>
      </w:r>
      <w:r w:rsidR="00A85940">
        <w:rPr>
          <w:rFonts w:ascii="Times New Roman" w:hAnsi="Times New Roman"/>
        </w:rPr>
        <w:t>is</w:t>
      </w:r>
      <w:r w:rsidRPr="003E2809">
        <w:rPr>
          <w:rFonts w:ascii="Times New Roman" w:hAnsi="Times New Roman"/>
        </w:rPr>
        <w:t xml:space="preserve"> case most consistent with the public interest for three reasons. First, if PSE</w:t>
      </w:r>
      <w:r w:rsidR="006D57A6">
        <w:rPr>
          <w:rFonts w:ascii="Times New Roman" w:hAnsi="Times New Roman"/>
        </w:rPr>
        <w:t>’s</w:t>
      </w:r>
      <w:r w:rsidRPr="003E2809">
        <w:rPr>
          <w:rFonts w:ascii="Times New Roman" w:hAnsi="Times New Roman"/>
        </w:rPr>
        <w:t xml:space="preserve"> propose</w:t>
      </w:r>
      <w:r w:rsidR="006D57A6">
        <w:rPr>
          <w:rFonts w:ascii="Times New Roman" w:hAnsi="Times New Roman"/>
        </w:rPr>
        <w:t>d</w:t>
      </w:r>
      <w:r w:rsidRPr="003E2809">
        <w:rPr>
          <w:rFonts w:ascii="Times New Roman" w:hAnsi="Times New Roman"/>
        </w:rPr>
        <w:t xml:space="preserve"> service </w:t>
      </w:r>
      <w:r w:rsidR="006D57A6">
        <w:rPr>
          <w:rFonts w:ascii="Times New Roman" w:hAnsi="Times New Roman"/>
        </w:rPr>
        <w:t>is not</w:t>
      </w:r>
      <w:r w:rsidRPr="003E2809">
        <w:rPr>
          <w:rFonts w:ascii="Times New Roman" w:hAnsi="Times New Roman"/>
        </w:rPr>
        <w:t xml:space="preserve"> a utility service as a matter of law </w:t>
      </w:r>
      <w:r w:rsidR="00AA57A4">
        <w:rPr>
          <w:rFonts w:ascii="Times New Roman" w:hAnsi="Times New Roman"/>
        </w:rPr>
        <w:t>or</w:t>
      </w:r>
      <w:r w:rsidRPr="003E2809">
        <w:rPr>
          <w:rFonts w:ascii="Times New Roman" w:hAnsi="Times New Roman"/>
        </w:rPr>
        <w:t xml:space="preserve"> </w:t>
      </w:r>
      <w:r w:rsidR="00A85940">
        <w:rPr>
          <w:rFonts w:ascii="Times New Roman" w:hAnsi="Times New Roman"/>
        </w:rPr>
        <w:t xml:space="preserve">if </w:t>
      </w:r>
      <w:r w:rsidR="001A7188">
        <w:rPr>
          <w:rFonts w:ascii="Times New Roman" w:hAnsi="Times New Roman"/>
        </w:rPr>
        <w:t>PSE</w:t>
      </w:r>
      <w:r w:rsidRPr="003E2809">
        <w:rPr>
          <w:rFonts w:ascii="Times New Roman" w:hAnsi="Times New Roman"/>
        </w:rPr>
        <w:t xml:space="preserve"> failed to present sufficient evidence to </w:t>
      </w:r>
      <w:r w:rsidR="0083264E" w:rsidRPr="003E2809">
        <w:rPr>
          <w:rFonts w:ascii="Times New Roman" w:hAnsi="Times New Roman"/>
        </w:rPr>
        <w:t xml:space="preserve">establish </w:t>
      </w:r>
      <w:r w:rsidR="006D57A6">
        <w:rPr>
          <w:rFonts w:ascii="Times New Roman" w:hAnsi="Times New Roman"/>
        </w:rPr>
        <w:t>its</w:t>
      </w:r>
      <w:r w:rsidRPr="003E2809">
        <w:rPr>
          <w:rFonts w:ascii="Times New Roman" w:hAnsi="Times New Roman"/>
        </w:rPr>
        <w:t xml:space="preserve"> proposed rates are </w:t>
      </w:r>
      <w:r w:rsidR="00AA57A4">
        <w:rPr>
          <w:rFonts w:ascii="Times New Roman" w:hAnsi="Times New Roman"/>
        </w:rPr>
        <w:t xml:space="preserve">just and </w:t>
      </w:r>
      <w:r w:rsidRPr="003E2809">
        <w:rPr>
          <w:rFonts w:ascii="Times New Roman" w:hAnsi="Times New Roman"/>
        </w:rPr>
        <w:t>reasonable</w:t>
      </w:r>
      <w:r w:rsidR="00AA57A4">
        <w:rPr>
          <w:rFonts w:ascii="Times New Roman" w:hAnsi="Times New Roman"/>
        </w:rPr>
        <w:t>, then</w:t>
      </w:r>
      <w:r w:rsidRPr="003E2809">
        <w:rPr>
          <w:rFonts w:ascii="Times New Roman" w:hAnsi="Times New Roman"/>
        </w:rPr>
        <w:t xml:space="preserve"> </w:t>
      </w:r>
      <w:r w:rsidR="006D57A6">
        <w:rPr>
          <w:rFonts w:ascii="Times New Roman" w:hAnsi="Times New Roman"/>
        </w:rPr>
        <w:t xml:space="preserve">multiple </w:t>
      </w:r>
      <w:r w:rsidRPr="003E2809">
        <w:rPr>
          <w:rFonts w:ascii="Times New Roman" w:hAnsi="Times New Roman"/>
        </w:rPr>
        <w:t>day</w:t>
      </w:r>
      <w:r w:rsidR="006D57A6">
        <w:rPr>
          <w:rFonts w:ascii="Times New Roman" w:hAnsi="Times New Roman"/>
        </w:rPr>
        <w:t>s of</w:t>
      </w:r>
      <w:r w:rsidRPr="003E2809">
        <w:rPr>
          <w:rFonts w:ascii="Times New Roman" w:hAnsi="Times New Roman"/>
        </w:rPr>
        <w:t xml:space="preserve"> hearing and rounds of brief</w:t>
      </w:r>
      <w:r w:rsidR="0083264E" w:rsidRPr="003E2809">
        <w:rPr>
          <w:rFonts w:ascii="Times New Roman" w:hAnsi="Times New Roman"/>
        </w:rPr>
        <w:t>ing</w:t>
      </w:r>
      <w:r w:rsidR="006D57A6">
        <w:rPr>
          <w:rFonts w:ascii="Times New Roman" w:hAnsi="Times New Roman"/>
        </w:rPr>
        <w:t xml:space="preserve"> are</w:t>
      </w:r>
      <w:r w:rsidRPr="003E2809">
        <w:rPr>
          <w:rFonts w:ascii="Times New Roman" w:hAnsi="Times New Roman"/>
        </w:rPr>
        <w:t xml:space="preserve"> a tremendous was</w:t>
      </w:r>
      <w:r w:rsidR="0083264E" w:rsidRPr="003E2809">
        <w:rPr>
          <w:rFonts w:ascii="Times New Roman" w:hAnsi="Times New Roman"/>
        </w:rPr>
        <w:t>te of time and resources for all involved.</w:t>
      </w:r>
      <w:r w:rsidR="009267B4">
        <w:rPr>
          <w:rStyle w:val="FootnoteReference"/>
          <w:rFonts w:ascii="Times New Roman" w:hAnsi="Times New Roman"/>
        </w:rPr>
        <w:footnoteReference w:id="16"/>
      </w:r>
      <w:r w:rsidR="0083264E" w:rsidRPr="003E2809">
        <w:rPr>
          <w:rFonts w:ascii="Times New Roman" w:hAnsi="Times New Roman"/>
        </w:rPr>
        <w:t xml:space="preserve"> For example, </w:t>
      </w:r>
      <w:r w:rsidR="006D57A6" w:rsidRPr="003E2809">
        <w:rPr>
          <w:rFonts w:ascii="Times New Roman" w:hAnsi="Times New Roman"/>
        </w:rPr>
        <w:t xml:space="preserve">if </w:t>
      </w:r>
      <w:r w:rsidR="006D57A6" w:rsidRPr="003E2809">
        <w:rPr>
          <w:rFonts w:ascii="Times New Roman" w:hAnsi="Times New Roman"/>
        </w:rPr>
        <w:lastRenderedPageBreak/>
        <w:t xml:space="preserve">PSE has not provided sufficient evidence to establish that the proposed rates </w:t>
      </w:r>
      <w:r w:rsidR="00AA57A4">
        <w:rPr>
          <w:rFonts w:ascii="Times New Roman" w:hAnsi="Times New Roman"/>
        </w:rPr>
        <w:t>can meet the minimum standard required by law, then there is no need for</w:t>
      </w:r>
      <w:r w:rsidR="0083264E" w:rsidRPr="003E2809">
        <w:rPr>
          <w:rFonts w:ascii="Times New Roman" w:hAnsi="Times New Roman"/>
        </w:rPr>
        <w:t xml:space="preserve"> </w:t>
      </w:r>
      <w:r w:rsidR="00AA57A4">
        <w:rPr>
          <w:rFonts w:ascii="Times New Roman" w:hAnsi="Times New Roman"/>
        </w:rPr>
        <w:t>cross-examination of numerous witnesses</w:t>
      </w:r>
      <w:r w:rsidR="0083264E" w:rsidRPr="003E2809">
        <w:rPr>
          <w:rFonts w:ascii="Times New Roman" w:hAnsi="Times New Roman"/>
        </w:rPr>
        <w:t xml:space="preserve"> about whether </w:t>
      </w:r>
      <w:r w:rsidR="003E2809">
        <w:rPr>
          <w:rFonts w:ascii="Times New Roman" w:hAnsi="Times New Roman"/>
        </w:rPr>
        <w:t xml:space="preserve">or not </w:t>
      </w:r>
      <w:r w:rsidR="00A85940">
        <w:rPr>
          <w:rFonts w:ascii="Times New Roman" w:hAnsi="Times New Roman"/>
        </w:rPr>
        <w:t xml:space="preserve">there is </w:t>
      </w:r>
      <w:r w:rsidR="00AA57A4">
        <w:rPr>
          <w:rFonts w:ascii="Times New Roman" w:hAnsi="Times New Roman"/>
        </w:rPr>
        <w:t xml:space="preserve">a market gap or </w:t>
      </w:r>
      <w:r w:rsidR="00D553FD">
        <w:rPr>
          <w:rFonts w:ascii="Times New Roman" w:hAnsi="Times New Roman"/>
        </w:rPr>
        <w:t xml:space="preserve">if </w:t>
      </w:r>
      <w:r w:rsidR="0083264E" w:rsidRPr="003E2809">
        <w:rPr>
          <w:rFonts w:ascii="Times New Roman" w:hAnsi="Times New Roman"/>
        </w:rPr>
        <w:t>comparable services to the propos</w:t>
      </w:r>
      <w:r w:rsidR="003E2809">
        <w:rPr>
          <w:rFonts w:ascii="Times New Roman" w:hAnsi="Times New Roman"/>
        </w:rPr>
        <w:t xml:space="preserve">ed </w:t>
      </w:r>
      <w:r w:rsidR="00D553FD">
        <w:rPr>
          <w:rFonts w:ascii="Times New Roman" w:hAnsi="Times New Roman"/>
        </w:rPr>
        <w:t>bundled service</w:t>
      </w:r>
      <w:r w:rsidR="003E2809">
        <w:rPr>
          <w:rFonts w:ascii="Times New Roman" w:hAnsi="Times New Roman"/>
        </w:rPr>
        <w:t xml:space="preserve"> currently</w:t>
      </w:r>
      <w:r w:rsidR="0083264E" w:rsidRPr="003E2809">
        <w:rPr>
          <w:rFonts w:ascii="Times New Roman" w:hAnsi="Times New Roman"/>
        </w:rPr>
        <w:t xml:space="preserve"> exist </w:t>
      </w:r>
      <w:r w:rsidR="00D553FD">
        <w:rPr>
          <w:rFonts w:ascii="Times New Roman" w:hAnsi="Times New Roman"/>
        </w:rPr>
        <w:t xml:space="preserve">and are </w:t>
      </w:r>
      <w:r w:rsidR="00A85940">
        <w:rPr>
          <w:rFonts w:ascii="Times New Roman" w:hAnsi="Times New Roman"/>
        </w:rPr>
        <w:t>appropriate for</w:t>
      </w:r>
      <w:r w:rsidR="00D553FD">
        <w:rPr>
          <w:rFonts w:ascii="Times New Roman" w:hAnsi="Times New Roman"/>
        </w:rPr>
        <w:t xml:space="preserve"> filling that gap</w:t>
      </w:r>
      <w:r w:rsidR="003E2809">
        <w:rPr>
          <w:rFonts w:ascii="Times New Roman" w:hAnsi="Times New Roman"/>
        </w:rPr>
        <w:t>.</w:t>
      </w:r>
      <w:r w:rsidR="0083264E" w:rsidRPr="003E2809">
        <w:rPr>
          <w:rFonts w:ascii="Times New Roman" w:hAnsi="Times New Roman"/>
        </w:rPr>
        <w:t xml:space="preserve"> </w:t>
      </w:r>
      <w:r w:rsidR="003E2809">
        <w:rPr>
          <w:rFonts w:ascii="Times New Roman" w:hAnsi="Times New Roman"/>
        </w:rPr>
        <w:t xml:space="preserve">Ultimately, if either of the two issues raised by this motion </w:t>
      </w:r>
      <w:r w:rsidR="006D57A6">
        <w:rPr>
          <w:rFonts w:ascii="Times New Roman" w:hAnsi="Times New Roman"/>
        </w:rPr>
        <w:t>are</w:t>
      </w:r>
      <w:r w:rsidR="003E2809">
        <w:rPr>
          <w:rFonts w:ascii="Times New Roman" w:hAnsi="Times New Roman"/>
        </w:rPr>
        <w:t xml:space="preserve"> </w:t>
      </w:r>
      <w:r w:rsidR="00D553FD">
        <w:rPr>
          <w:rFonts w:ascii="Times New Roman" w:hAnsi="Times New Roman"/>
        </w:rPr>
        <w:t>dispositive</w:t>
      </w:r>
      <w:r w:rsidR="003E2809">
        <w:rPr>
          <w:rFonts w:ascii="Times New Roman" w:hAnsi="Times New Roman"/>
        </w:rPr>
        <w:t xml:space="preserve"> then summary determination is the best, most-efficient resolution of this case.</w:t>
      </w:r>
    </w:p>
    <w:p w14:paraId="34049D13" w14:textId="32F9CFA1" w:rsidR="00D553FD" w:rsidRPr="00D553FD" w:rsidRDefault="0083264E" w:rsidP="00D553FD">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t xml:space="preserve">Second, </w:t>
      </w:r>
      <w:r w:rsidR="00250FB9">
        <w:rPr>
          <w:rFonts w:ascii="Times New Roman" w:hAnsi="Times New Roman"/>
        </w:rPr>
        <w:t>the</w:t>
      </w:r>
      <w:r w:rsidR="00971EA7">
        <w:rPr>
          <w:rFonts w:ascii="Times New Roman" w:hAnsi="Times New Roman"/>
        </w:rPr>
        <w:t xml:space="preserve"> existing</w:t>
      </w:r>
      <w:r w:rsidR="00250FB9">
        <w:rPr>
          <w:rFonts w:ascii="Times New Roman" w:hAnsi="Times New Roman"/>
        </w:rPr>
        <w:t xml:space="preserve"> procedural schedule precluded Staff from complying with the timing requirement because PSE’s rebuttal testimony was due thirty days prior to the hearing. </w:t>
      </w:r>
      <w:r w:rsidR="00D553FD">
        <w:rPr>
          <w:rFonts w:ascii="Times New Roman" w:hAnsi="Times New Roman"/>
        </w:rPr>
        <w:t>Summary determination was not warranted prior to</w:t>
      </w:r>
      <w:r w:rsidR="001A7188">
        <w:rPr>
          <w:rFonts w:ascii="Times New Roman" w:hAnsi="Times New Roman"/>
        </w:rPr>
        <w:t xml:space="preserve"> receipt of</w:t>
      </w:r>
      <w:r w:rsidR="00E67B09">
        <w:rPr>
          <w:rFonts w:ascii="Times New Roman" w:hAnsi="Times New Roman"/>
        </w:rPr>
        <w:t xml:space="preserve"> </w:t>
      </w:r>
      <w:r w:rsidR="00250FB9">
        <w:rPr>
          <w:rFonts w:ascii="Times New Roman" w:hAnsi="Times New Roman"/>
        </w:rPr>
        <w:t>the Company</w:t>
      </w:r>
      <w:r w:rsidR="00E67B09">
        <w:rPr>
          <w:rFonts w:ascii="Times New Roman" w:hAnsi="Times New Roman"/>
        </w:rPr>
        <w:t>’s</w:t>
      </w:r>
      <w:r w:rsidR="00250FB9">
        <w:rPr>
          <w:rFonts w:ascii="Times New Roman" w:hAnsi="Times New Roman"/>
        </w:rPr>
        <w:t xml:space="preserve"> rebuttal testimony. </w:t>
      </w:r>
      <w:r w:rsidR="00A85940">
        <w:rPr>
          <w:rFonts w:ascii="Times New Roman" w:hAnsi="Times New Roman"/>
        </w:rPr>
        <w:t xml:space="preserve">Once filed, </w:t>
      </w:r>
      <w:r w:rsidR="00D553FD">
        <w:rPr>
          <w:rFonts w:ascii="Times New Roman" w:hAnsi="Times New Roman"/>
        </w:rPr>
        <w:t xml:space="preserve">Staff worked </w:t>
      </w:r>
      <w:r w:rsidR="00A85940">
        <w:rPr>
          <w:rFonts w:ascii="Times New Roman" w:hAnsi="Times New Roman"/>
        </w:rPr>
        <w:t>immediately</w:t>
      </w:r>
      <w:r w:rsidR="00D553FD">
        <w:rPr>
          <w:rFonts w:ascii="Times New Roman" w:hAnsi="Times New Roman"/>
        </w:rPr>
        <w:t xml:space="preserve"> to process the Company’s voluminous </w:t>
      </w:r>
      <w:r w:rsidR="00D553FD" w:rsidRPr="00E67B09">
        <w:rPr>
          <w:rFonts w:ascii="Times New Roman" w:hAnsi="Times New Roman"/>
        </w:rPr>
        <w:t xml:space="preserve">rebuttal </w:t>
      </w:r>
      <w:r w:rsidR="00D553FD">
        <w:rPr>
          <w:rFonts w:ascii="Times New Roman" w:hAnsi="Times New Roman"/>
        </w:rPr>
        <w:t xml:space="preserve">testimony and evaluate a best path forward. </w:t>
      </w:r>
    </w:p>
    <w:p w14:paraId="5A749CF8" w14:textId="349F33C6" w:rsidR="00A06753" w:rsidRDefault="00A06753" w:rsidP="00E0305A">
      <w:pPr>
        <w:widowControl w:val="0"/>
        <w:numPr>
          <w:ilvl w:val="0"/>
          <w:numId w:val="6"/>
        </w:numPr>
        <w:spacing w:line="480" w:lineRule="auto"/>
        <w:ind w:left="0" w:hanging="720"/>
        <w:rPr>
          <w:rFonts w:ascii="Times New Roman" w:hAnsi="Times New Roman"/>
        </w:rPr>
      </w:pPr>
      <w:r>
        <w:rPr>
          <w:rFonts w:ascii="Times New Roman" w:hAnsi="Times New Roman"/>
        </w:rPr>
        <w:tab/>
      </w:r>
      <w:r w:rsidR="00E67B09" w:rsidRPr="00A06753">
        <w:rPr>
          <w:rFonts w:ascii="Times New Roman" w:hAnsi="Times New Roman"/>
        </w:rPr>
        <w:t xml:space="preserve">Finally, </w:t>
      </w:r>
      <w:r w:rsidRPr="00A06753">
        <w:rPr>
          <w:rFonts w:ascii="Times New Roman" w:hAnsi="Times New Roman"/>
        </w:rPr>
        <w:t>granting Staff an exception to the timing rule for motions for summary determination</w:t>
      </w:r>
      <w:r w:rsidR="00E67B09" w:rsidRPr="00A06753">
        <w:rPr>
          <w:rFonts w:ascii="Times New Roman" w:hAnsi="Times New Roman"/>
        </w:rPr>
        <w:t xml:space="preserve"> i</w:t>
      </w:r>
      <w:r w:rsidR="00D1364E" w:rsidRPr="00A06753">
        <w:rPr>
          <w:rFonts w:ascii="Times New Roman" w:hAnsi="Times New Roman"/>
        </w:rPr>
        <w:t xml:space="preserve">s </w:t>
      </w:r>
      <w:r w:rsidR="00D553FD">
        <w:rPr>
          <w:rFonts w:ascii="Times New Roman" w:hAnsi="Times New Roman"/>
        </w:rPr>
        <w:t>not unfair to PSE.  Rather, PSE</w:t>
      </w:r>
      <w:r w:rsidR="00E0305A">
        <w:rPr>
          <w:rFonts w:ascii="Times New Roman" w:hAnsi="Times New Roman"/>
        </w:rPr>
        <w:t xml:space="preserve"> </w:t>
      </w:r>
      <w:r w:rsidR="00A85940">
        <w:rPr>
          <w:rFonts w:ascii="Times New Roman" w:hAnsi="Times New Roman"/>
        </w:rPr>
        <w:t xml:space="preserve">has </w:t>
      </w:r>
      <w:r w:rsidR="00E0305A">
        <w:rPr>
          <w:rFonts w:ascii="Times New Roman" w:hAnsi="Times New Roman"/>
        </w:rPr>
        <w:t>support</w:t>
      </w:r>
      <w:r w:rsidR="00A85940">
        <w:rPr>
          <w:rFonts w:ascii="Times New Roman" w:hAnsi="Times New Roman"/>
        </w:rPr>
        <w:t>ed</w:t>
      </w:r>
      <w:r w:rsidR="00E0305A">
        <w:rPr>
          <w:rFonts w:ascii="Times New Roman" w:hAnsi="Times New Roman"/>
        </w:rPr>
        <w:t xml:space="preserve"> its propos</w:t>
      </w:r>
      <w:r w:rsidR="00A85940">
        <w:rPr>
          <w:rFonts w:ascii="Times New Roman" w:hAnsi="Times New Roman"/>
        </w:rPr>
        <w:t>ed leasing service</w:t>
      </w:r>
      <w:r w:rsidR="00E0305A">
        <w:rPr>
          <w:rFonts w:ascii="Times New Roman" w:hAnsi="Times New Roman"/>
        </w:rPr>
        <w:t xml:space="preserve"> in a m</w:t>
      </w:r>
      <w:r w:rsidR="00A85940">
        <w:rPr>
          <w:rFonts w:ascii="Times New Roman" w:hAnsi="Times New Roman"/>
        </w:rPr>
        <w:t xml:space="preserve">anner that compromises review. </w:t>
      </w:r>
      <w:r w:rsidR="00E0305A">
        <w:rPr>
          <w:rFonts w:ascii="Times New Roman" w:hAnsi="Times New Roman"/>
        </w:rPr>
        <w:t>T</w:t>
      </w:r>
      <w:r w:rsidR="00D1364E" w:rsidRPr="00A06753">
        <w:rPr>
          <w:rFonts w:ascii="Times New Roman" w:hAnsi="Times New Roman"/>
        </w:rPr>
        <w:t xml:space="preserve">he Company had every opportunity to develop and fully support its case. Despite initially filing a tariff that lacked rates, the Commission </w:t>
      </w:r>
      <w:r w:rsidR="001A7188">
        <w:rPr>
          <w:rFonts w:ascii="Times New Roman" w:hAnsi="Times New Roman"/>
        </w:rPr>
        <w:t xml:space="preserve">did not reject, but rather </w:t>
      </w:r>
      <w:r w:rsidR="00D1364E" w:rsidRPr="00A06753">
        <w:rPr>
          <w:rFonts w:ascii="Times New Roman" w:hAnsi="Times New Roman"/>
        </w:rPr>
        <w:t>suspended the</w:t>
      </w:r>
      <w:r w:rsidR="00A85940">
        <w:rPr>
          <w:rFonts w:ascii="Times New Roman" w:hAnsi="Times New Roman"/>
        </w:rPr>
        <w:t xml:space="preserve"> “naked tariff,</w:t>
      </w:r>
      <w:r w:rsidR="00D1364E" w:rsidRPr="00A06753">
        <w:rPr>
          <w:rFonts w:ascii="Times New Roman" w:hAnsi="Times New Roman"/>
        </w:rPr>
        <w:t>”</w:t>
      </w:r>
      <w:r w:rsidR="00A85940" w:rsidRPr="00A06753">
        <w:rPr>
          <w:rFonts w:ascii="Times New Roman" w:hAnsi="Times New Roman"/>
        </w:rPr>
        <w:t xml:space="preserve"> consistent with Staff’s recommendation</w:t>
      </w:r>
      <w:r w:rsidR="00A85940">
        <w:rPr>
          <w:rFonts w:ascii="Times New Roman" w:hAnsi="Times New Roman"/>
        </w:rPr>
        <w:t>.</w:t>
      </w:r>
      <w:r w:rsidR="00D1364E" w:rsidRPr="00A06753">
        <w:rPr>
          <w:rFonts w:ascii="Times New Roman" w:hAnsi="Times New Roman"/>
        </w:rPr>
        <w:t xml:space="preserve"> The parties </w:t>
      </w:r>
      <w:r w:rsidR="00E0305A">
        <w:rPr>
          <w:rFonts w:ascii="Times New Roman" w:hAnsi="Times New Roman"/>
        </w:rPr>
        <w:t>participated in</w:t>
      </w:r>
      <w:r w:rsidR="00D1364E" w:rsidRPr="00A06753">
        <w:rPr>
          <w:rFonts w:ascii="Times New Roman" w:hAnsi="Times New Roman"/>
        </w:rPr>
        <w:t xml:space="preserve"> multiple settlement </w:t>
      </w:r>
      <w:r w:rsidR="00E0305A">
        <w:rPr>
          <w:rFonts w:ascii="Times New Roman" w:hAnsi="Times New Roman"/>
        </w:rPr>
        <w:t>conferences</w:t>
      </w:r>
      <w:r w:rsidR="00D1364E" w:rsidRPr="00A06753">
        <w:rPr>
          <w:rFonts w:ascii="Times New Roman" w:hAnsi="Times New Roman"/>
        </w:rPr>
        <w:t xml:space="preserve"> </w:t>
      </w:r>
      <w:r w:rsidR="00B201AD">
        <w:rPr>
          <w:rFonts w:ascii="Times New Roman" w:hAnsi="Times New Roman"/>
        </w:rPr>
        <w:t xml:space="preserve">that informed the Company’s position </w:t>
      </w:r>
      <w:r w:rsidR="00D1364E" w:rsidRPr="00A06753">
        <w:rPr>
          <w:rFonts w:ascii="Times New Roman" w:hAnsi="Times New Roman"/>
        </w:rPr>
        <w:t xml:space="preserve">prior to </w:t>
      </w:r>
      <w:r w:rsidR="00A85940">
        <w:rPr>
          <w:rFonts w:ascii="Times New Roman" w:hAnsi="Times New Roman"/>
        </w:rPr>
        <w:t xml:space="preserve">the </w:t>
      </w:r>
      <w:r w:rsidR="00D1364E" w:rsidRPr="00A06753">
        <w:rPr>
          <w:rFonts w:ascii="Times New Roman" w:hAnsi="Times New Roman"/>
        </w:rPr>
        <w:t xml:space="preserve">filing </w:t>
      </w:r>
      <w:r w:rsidR="00E0305A">
        <w:rPr>
          <w:rFonts w:ascii="Times New Roman" w:hAnsi="Times New Roman"/>
        </w:rPr>
        <w:t xml:space="preserve">of </w:t>
      </w:r>
      <w:r w:rsidR="00D1364E" w:rsidRPr="00A06753">
        <w:rPr>
          <w:rFonts w:ascii="Times New Roman" w:hAnsi="Times New Roman"/>
        </w:rPr>
        <w:t>direct testimony</w:t>
      </w:r>
      <w:r w:rsidR="00E0305A">
        <w:rPr>
          <w:rFonts w:ascii="Times New Roman" w:hAnsi="Times New Roman"/>
        </w:rPr>
        <w:t>. One month after filing direct testimony, the Company material</w:t>
      </w:r>
      <w:r w:rsidR="00B201AD">
        <w:rPr>
          <w:rFonts w:ascii="Times New Roman" w:hAnsi="Times New Roman"/>
        </w:rPr>
        <w:t>ly</w:t>
      </w:r>
      <w:r w:rsidR="00E0305A">
        <w:rPr>
          <w:rFonts w:ascii="Times New Roman" w:hAnsi="Times New Roman"/>
        </w:rPr>
        <w:t xml:space="preserve"> revis</w:t>
      </w:r>
      <w:r w:rsidR="00B201AD">
        <w:rPr>
          <w:rFonts w:ascii="Times New Roman" w:hAnsi="Times New Roman"/>
        </w:rPr>
        <w:t>ed its direct testimony</w:t>
      </w:r>
      <w:r w:rsidR="00B201AD" w:rsidRPr="00A06753">
        <w:rPr>
          <w:rFonts w:ascii="Times New Roman" w:hAnsi="Times New Roman"/>
        </w:rPr>
        <w:t xml:space="preserve">. </w:t>
      </w:r>
      <w:r w:rsidR="00B201AD">
        <w:rPr>
          <w:rFonts w:ascii="Times New Roman" w:hAnsi="Times New Roman"/>
        </w:rPr>
        <w:t>Then i</w:t>
      </w:r>
      <w:r w:rsidR="00E0305A">
        <w:rPr>
          <w:rFonts w:ascii="Times New Roman" w:hAnsi="Times New Roman"/>
        </w:rPr>
        <w:t>n rebuttal, t</w:t>
      </w:r>
      <w:r w:rsidRPr="00A06753">
        <w:rPr>
          <w:rFonts w:ascii="Times New Roman" w:hAnsi="Times New Roman"/>
        </w:rPr>
        <w:t xml:space="preserve">he Company </w:t>
      </w:r>
      <w:r w:rsidR="006D57A6" w:rsidRPr="00A06753">
        <w:rPr>
          <w:rFonts w:ascii="Times New Roman" w:hAnsi="Times New Roman"/>
        </w:rPr>
        <w:t xml:space="preserve">materially </w:t>
      </w:r>
      <w:r w:rsidR="00E0305A">
        <w:rPr>
          <w:rFonts w:ascii="Times New Roman" w:hAnsi="Times New Roman"/>
        </w:rPr>
        <w:t>expanded</w:t>
      </w:r>
      <w:r w:rsidRPr="00A06753">
        <w:rPr>
          <w:rFonts w:ascii="Times New Roman" w:hAnsi="Times New Roman"/>
        </w:rPr>
        <w:t xml:space="preserve"> its </w:t>
      </w:r>
      <w:r w:rsidR="00E0305A">
        <w:rPr>
          <w:rFonts w:ascii="Times New Roman" w:hAnsi="Times New Roman"/>
        </w:rPr>
        <w:t>proposal</w:t>
      </w:r>
      <w:r w:rsidRPr="00A06753">
        <w:rPr>
          <w:rFonts w:ascii="Times New Roman" w:hAnsi="Times New Roman"/>
        </w:rPr>
        <w:t xml:space="preserve"> by promising to add a plethora of new features to the leasing service </w:t>
      </w:r>
      <w:r w:rsidR="00E0305A">
        <w:rPr>
          <w:rFonts w:ascii="Times New Roman" w:hAnsi="Times New Roman"/>
        </w:rPr>
        <w:t>“upon</w:t>
      </w:r>
      <w:r w:rsidRPr="00A06753">
        <w:rPr>
          <w:rFonts w:ascii="Times New Roman" w:hAnsi="Times New Roman"/>
        </w:rPr>
        <w:t xml:space="preserve"> approval of Schedule 75.</w:t>
      </w:r>
      <w:r w:rsidR="00E0305A">
        <w:rPr>
          <w:rFonts w:ascii="Times New Roman" w:hAnsi="Times New Roman"/>
        </w:rPr>
        <w:t>”</w:t>
      </w:r>
      <w:r w:rsidRPr="00A06753">
        <w:rPr>
          <w:rFonts w:ascii="Times New Roman" w:hAnsi="Times New Roman"/>
        </w:rPr>
        <w:t xml:space="preserve"> PSE’s failure to propose a new service that qualifies as a utility service as a matter of law </w:t>
      </w:r>
      <w:r w:rsidR="00E0305A">
        <w:rPr>
          <w:rFonts w:ascii="Times New Roman" w:hAnsi="Times New Roman"/>
        </w:rPr>
        <w:t>or</w:t>
      </w:r>
      <w:r w:rsidRPr="00A06753">
        <w:rPr>
          <w:rFonts w:ascii="Times New Roman" w:hAnsi="Times New Roman"/>
        </w:rPr>
        <w:t xml:space="preserve"> to present sufficient evidence to meet its </w:t>
      </w:r>
      <w:r w:rsidR="00B201AD">
        <w:rPr>
          <w:rFonts w:ascii="Times New Roman" w:hAnsi="Times New Roman"/>
        </w:rPr>
        <w:t xml:space="preserve">minimum </w:t>
      </w:r>
      <w:r w:rsidRPr="00A06753">
        <w:rPr>
          <w:rFonts w:ascii="Times New Roman" w:hAnsi="Times New Roman"/>
        </w:rPr>
        <w:t xml:space="preserve">burden of proof with regard to rates is no one’s fault but </w:t>
      </w:r>
      <w:r w:rsidR="00B201AD">
        <w:rPr>
          <w:rFonts w:ascii="Times New Roman" w:hAnsi="Times New Roman"/>
        </w:rPr>
        <w:t>its own</w:t>
      </w:r>
      <w:r w:rsidRPr="00A06753">
        <w:rPr>
          <w:rFonts w:ascii="Times New Roman" w:hAnsi="Times New Roman"/>
        </w:rPr>
        <w:t xml:space="preserve">. </w:t>
      </w:r>
      <w:r w:rsidR="00B201AD">
        <w:rPr>
          <w:rFonts w:ascii="Times New Roman" w:hAnsi="Times New Roman"/>
        </w:rPr>
        <w:t>Consequently, g</w:t>
      </w:r>
      <w:r w:rsidRPr="00A06753">
        <w:rPr>
          <w:rFonts w:ascii="Times New Roman" w:hAnsi="Times New Roman"/>
        </w:rPr>
        <w:t xml:space="preserve">ranting an </w:t>
      </w:r>
      <w:r w:rsidRPr="00A06753">
        <w:rPr>
          <w:rFonts w:ascii="Times New Roman" w:hAnsi="Times New Roman"/>
        </w:rPr>
        <w:lastRenderedPageBreak/>
        <w:t xml:space="preserve">exemption to the rule establishing </w:t>
      </w:r>
      <w:r w:rsidR="00E0305A" w:rsidRPr="00A06753">
        <w:rPr>
          <w:rFonts w:ascii="Times New Roman" w:hAnsi="Times New Roman"/>
        </w:rPr>
        <w:t>timi</w:t>
      </w:r>
      <w:r w:rsidR="00E0305A">
        <w:rPr>
          <w:rFonts w:ascii="Times New Roman" w:hAnsi="Times New Roman"/>
        </w:rPr>
        <w:t>ng</w:t>
      </w:r>
      <w:r w:rsidRPr="00A06753">
        <w:rPr>
          <w:rFonts w:ascii="Times New Roman" w:hAnsi="Times New Roman"/>
        </w:rPr>
        <w:t xml:space="preserve"> </w:t>
      </w:r>
      <w:r w:rsidR="00E0305A">
        <w:rPr>
          <w:rFonts w:ascii="Times New Roman" w:hAnsi="Times New Roman"/>
        </w:rPr>
        <w:t>for</w:t>
      </w:r>
      <w:r w:rsidRPr="00A06753">
        <w:rPr>
          <w:rFonts w:ascii="Times New Roman" w:hAnsi="Times New Roman"/>
        </w:rPr>
        <w:t xml:space="preserve"> summary determin</w:t>
      </w:r>
      <w:r>
        <w:rPr>
          <w:rFonts w:ascii="Times New Roman" w:hAnsi="Times New Roman"/>
        </w:rPr>
        <w:t xml:space="preserve">ation </w:t>
      </w:r>
      <w:r w:rsidR="00E0305A">
        <w:rPr>
          <w:rFonts w:ascii="Times New Roman" w:hAnsi="Times New Roman"/>
        </w:rPr>
        <w:t xml:space="preserve">motions </w:t>
      </w:r>
      <w:r>
        <w:rPr>
          <w:rFonts w:ascii="Times New Roman" w:hAnsi="Times New Roman"/>
        </w:rPr>
        <w:t xml:space="preserve">is </w:t>
      </w:r>
      <w:r w:rsidR="00E0305A">
        <w:rPr>
          <w:rFonts w:ascii="Times New Roman" w:hAnsi="Times New Roman"/>
        </w:rPr>
        <w:t>most consistent with the</w:t>
      </w:r>
      <w:r>
        <w:rPr>
          <w:rFonts w:ascii="Times New Roman" w:hAnsi="Times New Roman"/>
        </w:rPr>
        <w:t xml:space="preserve"> public interest. </w:t>
      </w:r>
    </w:p>
    <w:p w14:paraId="267743C9" w14:textId="2027E717" w:rsidR="00A06753" w:rsidRPr="001038B0" w:rsidRDefault="001038B0" w:rsidP="00F10E7B">
      <w:pPr>
        <w:pStyle w:val="ListParagraph"/>
        <w:widowControl w:val="0"/>
        <w:numPr>
          <w:ilvl w:val="0"/>
          <w:numId w:val="16"/>
        </w:numPr>
        <w:spacing w:line="480" w:lineRule="auto"/>
        <w:ind w:hanging="720"/>
        <w:rPr>
          <w:rFonts w:ascii="Times New Roman" w:hAnsi="Times New Roman"/>
          <w:b/>
        </w:rPr>
      </w:pPr>
      <w:r w:rsidRPr="001038B0">
        <w:rPr>
          <w:rFonts w:ascii="Times New Roman" w:hAnsi="Times New Roman"/>
          <w:b/>
        </w:rPr>
        <w:t xml:space="preserve">PSE’s </w:t>
      </w:r>
      <w:r w:rsidR="00D37FF6" w:rsidRPr="001038B0">
        <w:rPr>
          <w:rFonts w:ascii="Times New Roman" w:hAnsi="Times New Roman"/>
          <w:b/>
        </w:rPr>
        <w:t xml:space="preserve">Proposed </w:t>
      </w:r>
      <w:r w:rsidRPr="001038B0">
        <w:rPr>
          <w:rFonts w:ascii="Times New Roman" w:hAnsi="Times New Roman"/>
          <w:b/>
        </w:rPr>
        <w:t>Leasing Service</w:t>
      </w:r>
      <w:r w:rsidR="00D37FF6">
        <w:rPr>
          <w:rFonts w:ascii="Times New Roman" w:hAnsi="Times New Roman"/>
          <w:b/>
        </w:rPr>
        <w:t xml:space="preserve"> </w:t>
      </w:r>
      <w:r w:rsidR="00594ED0">
        <w:rPr>
          <w:rFonts w:ascii="Times New Roman" w:hAnsi="Times New Roman"/>
          <w:b/>
        </w:rPr>
        <w:t>i</w:t>
      </w:r>
      <w:r w:rsidRPr="001038B0">
        <w:rPr>
          <w:rFonts w:ascii="Times New Roman" w:hAnsi="Times New Roman"/>
          <w:b/>
        </w:rPr>
        <w:t>s Not a</w:t>
      </w:r>
      <w:r>
        <w:rPr>
          <w:rFonts w:ascii="Times New Roman" w:hAnsi="Times New Roman"/>
          <w:b/>
        </w:rPr>
        <w:t xml:space="preserve"> Utility Service </w:t>
      </w:r>
      <w:r w:rsidR="00EA0FD4">
        <w:rPr>
          <w:rFonts w:ascii="Times New Roman" w:hAnsi="Times New Roman"/>
          <w:b/>
        </w:rPr>
        <w:t>as a Matter of Law</w:t>
      </w:r>
      <w:r w:rsidRPr="001038B0">
        <w:rPr>
          <w:rFonts w:ascii="Times New Roman" w:hAnsi="Times New Roman"/>
          <w:b/>
        </w:rPr>
        <w:t xml:space="preserve">. </w:t>
      </w:r>
    </w:p>
    <w:p w14:paraId="3B7E0CEC" w14:textId="5A91F610" w:rsidR="008F2C45" w:rsidRDefault="001038B0" w:rsidP="002C586C">
      <w:pPr>
        <w:widowControl w:val="0"/>
        <w:numPr>
          <w:ilvl w:val="0"/>
          <w:numId w:val="6"/>
        </w:numPr>
        <w:spacing w:line="480" w:lineRule="auto"/>
        <w:ind w:left="0" w:hanging="720"/>
        <w:rPr>
          <w:rFonts w:ascii="Times New Roman" w:hAnsi="Times New Roman"/>
        </w:rPr>
      </w:pPr>
      <w:r w:rsidRPr="0004645F">
        <w:rPr>
          <w:rFonts w:ascii="Times New Roman" w:hAnsi="Times New Roman"/>
        </w:rPr>
        <w:t xml:space="preserve"> </w:t>
      </w:r>
      <w:r w:rsidR="003B595F">
        <w:rPr>
          <w:rFonts w:ascii="Times New Roman" w:hAnsi="Times New Roman"/>
        </w:rPr>
        <w:tab/>
      </w:r>
      <w:r w:rsidR="003B595F" w:rsidRPr="00A23D59">
        <w:rPr>
          <w:rFonts w:ascii="Times New Roman" w:hAnsi="Times New Roman"/>
        </w:rPr>
        <w:t xml:space="preserve">No genuine issue of material fact exists because </w:t>
      </w:r>
      <w:r w:rsidR="002C586C" w:rsidRPr="00A23D59">
        <w:rPr>
          <w:rFonts w:ascii="Times New Roman" w:hAnsi="Times New Roman"/>
        </w:rPr>
        <w:t>even if the Commission accepted all facts as asserted by PSE, its proposed leasing service would still not qualify as a utility service under Washington law</w:t>
      </w:r>
      <w:r w:rsidR="0004645F" w:rsidRPr="00A23D59">
        <w:rPr>
          <w:rFonts w:ascii="Times New Roman" w:hAnsi="Times New Roman"/>
        </w:rPr>
        <w:t>.</w:t>
      </w:r>
      <w:r w:rsidR="0004645F" w:rsidRPr="002C586C">
        <w:rPr>
          <w:rFonts w:ascii="Times New Roman" w:hAnsi="Times New Roman"/>
        </w:rPr>
        <w:t xml:space="preserve"> </w:t>
      </w:r>
      <w:r w:rsidR="009F6B80">
        <w:rPr>
          <w:rFonts w:ascii="Times New Roman" w:hAnsi="Times New Roman"/>
        </w:rPr>
        <w:t xml:space="preserve">As evidenced by a recent Commission decision, the proposed leasing service is not a utility service simply because it is proposed by PSE. </w:t>
      </w:r>
      <w:r w:rsidR="0004645F" w:rsidRPr="002C586C">
        <w:rPr>
          <w:rFonts w:ascii="Times New Roman" w:hAnsi="Times New Roman"/>
        </w:rPr>
        <w:t xml:space="preserve">On May 16, 2016, PSE filed an application for Commission approval of a special contract that would allow a particular customer to inject </w:t>
      </w:r>
      <w:r w:rsidR="00FC6156" w:rsidRPr="002C586C">
        <w:rPr>
          <w:rFonts w:ascii="Times New Roman" w:hAnsi="Times New Roman"/>
        </w:rPr>
        <w:t>biomethane</w:t>
      </w:r>
      <w:r w:rsidR="0004645F" w:rsidRPr="002C586C">
        <w:rPr>
          <w:rFonts w:ascii="Times New Roman" w:hAnsi="Times New Roman"/>
        </w:rPr>
        <w:t xml:space="preserve"> into PSE’s system for distribution to th</w:t>
      </w:r>
      <w:r w:rsidR="00B201AD">
        <w:rPr>
          <w:rFonts w:ascii="Times New Roman" w:hAnsi="Times New Roman"/>
        </w:rPr>
        <w:t>at</w:t>
      </w:r>
      <w:r w:rsidR="0004645F" w:rsidRPr="002C586C">
        <w:rPr>
          <w:rFonts w:ascii="Times New Roman" w:hAnsi="Times New Roman"/>
        </w:rPr>
        <w:t xml:space="preserve"> customer’s end users. </w:t>
      </w:r>
      <w:r w:rsidR="00A23D59">
        <w:rPr>
          <w:rFonts w:ascii="Times New Roman" w:hAnsi="Times New Roman"/>
        </w:rPr>
        <w:t>T</w:t>
      </w:r>
      <w:r w:rsidR="0004645F" w:rsidRPr="002C586C">
        <w:rPr>
          <w:rFonts w:ascii="Times New Roman" w:hAnsi="Times New Roman"/>
        </w:rPr>
        <w:t>he Commission found that the contract did not involve the retail sale of regulated utility services and</w:t>
      </w:r>
      <w:r w:rsidR="001A7188">
        <w:rPr>
          <w:rFonts w:ascii="Times New Roman" w:hAnsi="Times New Roman"/>
        </w:rPr>
        <w:t>,</w:t>
      </w:r>
      <w:r w:rsidR="0004645F" w:rsidRPr="002C586C">
        <w:rPr>
          <w:rFonts w:ascii="Times New Roman" w:hAnsi="Times New Roman"/>
        </w:rPr>
        <w:t xml:space="preserve"> </w:t>
      </w:r>
      <w:r w:rsidR="00971EA7">
        <w:rPr>
          <w:rFonts w:ascii="Times New Roman" w:hAnsi="Times New Roman"/>
        </w:rPr>
        <w:t>therefore</w:t>
      </w:r>
      <w:r w:rsidR="0004645F" w:rsidRPr="002C586C">
        <w:rPr>
          <w:rFonts w:ascii="Times New Roman" w:hAnsi="Times New Roman"/>
        </w:rPr>
        <w:t xml:space="preserve">, did not require </w:t>
      </w:r>
      <w:r w:rsidR="009F6B80">
        <w:rPr>
          <w:rFonts w:ascii="Times New Roman" w:hAnsi="Times New Roman"/>
        </w:rPr>
        <w:t>C</w:t>
      </w:r>
      <w:r w:rsidR="0004645F" w:rsidRPr="002C586C">
        <w:rPr>
          <w:rFonts w:ascii="Times New Roman" w:hAnsi="Times New Roman"/>
        </w:rPr>
        <w:t>ommission approval.</w:t>
      </w:r>
      <w:r w:rsidR="0004645F">
        <w:rPr>
          <w:rStyle w:val="FootnoteReference"/>
          <w:rFonts w:ascii="Times New Roman" w:hAnsi="Times New Roman"/>
        </w:rPr>
        <w:footnoteReference w:id="17"/>
      </w:r>
      <w:r w:rsidR="00FC6156" w:rsidRPr="002C586C">
        <w:rPr>
          <w:rFonts w:ascii="Times New Roman" w:hAnsi="Times New Roman"/>
        </w:rPr>
        <w:t xml:space="preserve"> </w:t>
      </w:r>
    </w:p>
    <w:p w14:paraId="65B28AC8" w14:textId="79CF42BB" w:rsidR="002C586C" w:rsidRPr="002C586C" w:rsidRDefault="008F2C45" w:rsidP="007D3951">
      <w:pPr>
        <w:widowControl w:val="0"/>
        <w:numPr>
          <w:ilvl w:val="0"/>
          <w:numId w:val="6"/>
        </w:numPr>
        <w:spacing w:line="480" w:lineRule="auto"/>
        <w:ind w:left="0" w:right="-252" w:hanging="720"/>
        <w:rPr>
          <w:rFonts w:ascii="Times New Roman" w:hAnsi="Times New Roman"/>
        </w:rPr>
      </w:pPr>
      <w:r>
        <w:rPr>
          <w:rFonts w:ascii="Times New Roman" w:hAnsi="Times New Roman"/>
        </w:rPr>
        <w:t xml:space="preserve"> </w:t>
      </w:r>
      <w:r>
        <w:rPr>
          <w:rFonts w:ascii="Times New Roman" w:hAnsi="Times New Roman"/>
        </w:rPr>
        <w:tab/>
      </w:r>
      <w:r w:rsidR="00FC6156" w:rsidRPr="002C586C">
        <w:rPr>
          <w:rFonts w:ascii="Times New Roman" w:hAnsi="Times New Roman"/>
        </w:rPr>
        <w:t>In its decision, the Commission reiterated that it “considers three factors to determine whether a company provides a utility service to the public: 1) whether the company offers the service to the general public or only to specific individuals or entities; 2) whether the company has a monopoly; and 3) whether regulation is necessary to protect customers f</w:t>
      </w:r>
      <w:r w:rsidR="001A7188">
        <w:rPr>
          <w:rFonts w:ascii="Times New Roman" w:hAnsi="Times New Roman"/>
        </w:rPr>
        <w:t>ro</w:t>
      </w:r>
      <w:r w:rsidR="00FC6156" w:rsidRPr="002C586C">
        <w:rPr>
          <w:rFonts w:ascii="Times New Roman" w:hAnsi="Times New Roman"/>
        </w:rPr>
        <w:t>m abuse by the Company’s monopoly power.”</w:t>
      </w:r>
      <w:r w:rsidR="00FC6156">
        <w:rPr>
          <w:rStyle w:val="FootnoteReference"/>
          <w:rFonts w:ascii="Times New Roman" w:hAnsi="Times New Roman"/>
        </w:rPr>
        <w:footnoteReference w:id="18"/>
      </w:r>
      <w:r w:rsidR="002C586C">
        <w:rPr>
          <w:rFonts w:ascii="Times New Roman" w:hAnsi="Times New Roman"/>
        </w:rPr>
        <w:t xml:space="preserve"> With regard to the special contract, the Commission found the first factor dispositive because PSE offered the service to a specific entity to which it had n</w:t>
      </w:r>
      <w:r w:rsidR="001A7188">
        <w:rPr>
          <w:rFonts w:ascii="Times New Roman" w:hAnsi="Times New Roman"/>
        </w:rPr>
        <w:t>o obligation to serv</w:t>
      </w:r>
      <w:r w:rsidR="002C586C">
        <w:rPr>
          <w:rFonts w:ascii="Times New Roman" w:hAnsi="Times New Roman"/>
        </w:rPr>
        <w:t>e, not the general public.</w:t>
      </w:r>
      <w:r w:rsidR="002C586C">
        <w:rPr>
          <w:rStyle w:val="FootnoteReference"/>
          <w:rFonts w:ascii="Times New Roman" w:hAnsi="Times New Roman"/>
        </w:rPr>
        <w:footnoteReference w:id="19"/>
      </w:r>
      <w:r w:rsidR="002C586C">
        <w:rPr>
          <w:rFonts w:ascii="Times New Roman" w:hAnsi="Times New Roman"/>
        </w:rPr>
        <w:t xml:space="preserve"> Thus, a</w:t>
      </w:r>
      <w:r w:rsidR="002C586C" w:rsidRPr="002C586C">
        <w:rPr>
          <w:rFonts w:ascii="Times New Roman" w:hAnsi="Times New Roman"/>
        </w:rPr>
        <w:t>s the Commission reaffirmed less than a week ago in regard to another service proposed by PSE, not all services offered by a public service company are a utility service under Washington law.</w:t>
      </w:r>
    </w:p>
    <w:p w14:paraId="6A1F8E4F" w14:textId="5A8B84DC" w:rsidR="00D1364E" w:rsidRDefault="002C586C" w:rsidP="00AA6AC2">
      <w:pPr>
        <w:widowControl w:val="0"/>
        <w:numPr>
          <w:ilvl w:val="0"/>
          <w:numId w:val="6"/>
        </w:numPr>
        <w:spacing w:line="480" w:lineRule="auto"/>
        <w:ind w:left="0" w:hanging="720"/>
        <w:rPr>
          <w:rFonts w:ascii="Times New Roman" w:hAnsi="Times New Roman"/>
        </w:rPr>
      </w:pPr>
      <w:r w:rsidRPr="00C33EDD">
        <w:rPr>
          <w:rFonts w:ascii="Times New Roman" w:hAnsi="Times New Roman"/>
        </w:rPr>
        <w:lastRenderedPageBreak/>
        <w:t xml:space="preserve">  </w:t>
      </w:r>
      <w:r w:rsidRPr="00C33EDD">
        <w:rPr>
          <w:rFonts w:ascii="Times New Roman" w:hAnsi="Times New Roman"/>
        </w:rPr>
        <w:tab/>
        <w:t>Similarly here, PSE’s proposed leasing service is not a utility service</w:t>
      </w:r>
      <w:r w:rsidR="008F2C45" w:rsidRPr="00C33EDD">
        <w:rPr>
          <w:rFonts w:ascii="Times New Roman" w:hAnsi="Times New Roman"/>
        </w:rPr>
        <w:t>, albeit for different reasons</w:t>
      </w:r>
      <w:r w:rsidRPr="00C33EDD">
        <w:rPr>
          <w:rFonts w:ascii="Times New Roman" w:hAnsi="Times New Roman"/>
        </w:rPr>
        <w:t>.</w:t>
      </w:r>
      <w:r w:rsidR="00C27AF0">
        <w:rPr>
          <w:rFonts w:ascii="Times New Roman" w:hAnsi="Times New Roman"/>
        </w:rPr>
        <w:t xml:space="preserve"> </w:t>
      </w:r>
      <w:r w:rsidR="007055B8">
        <w:rPr>
          <w:rFonts w:ascii="Times New Roman" w:hAnsi="Times New Roman"/>
        </w:rPr>
        <w:t xml:space="preserve">First, </w:t>
      </w:r>
      <w:r w:rsidR="00C33EDD" w:rsidRPr="00C33EDD">
        <w:rPr>
          <w:rFonts w:ascii="Times New Roman" w:hAnsi="Times New Roman"/>
        </w:rPr>
        <w:t xml:space="preserve">PSE does not have a monopoly on </w:t>
      </w:r>
      <w:r w:rsidR="00C33EDD">
        <w:rPr>
          <w:rFonts w:ascii="Times New Roman" w:hAnsi="Times New Roman"/>
        </w:rPr>
        <w:t>the service it seeks to provide</w:t>
      </w:r>
      <w:r w:rsidR="00C33EDD" w:rsidRPr="00C33EDD">
        <w:rPr>
          <w:rFonts w:ascii="Times New Roman" w:hAnsi="Times New Roman"/>
        </w:rPr>
        <w:t>.</w:t>
      </w:r>
      <w:r w:rsidR="00C33EDD">
        <w:rPr>
          <w:rFonts w:ascii="Times New Roman" w:hAnsi="Times New Roman"/>
        </w:rPr>
        <w:t xml:space="preserve"> It is b</w:t>
      </w:r>
      <w:r w:rsidR="008F2C45" w:rsidRPr="00C33EDD">
        <w:rPr>
          <w:rFonts w:ascii="Times New Roman" w:hAnsi="Times New Roman"/>
        </w:rPr>
        <w:t xml:space="preserve">eyond dispute that a robust competitive market not subject to </w:t>
      </w:r>
      <w:r w:rsidR="0033164B" w:rsidRPr="00C33EDD">
        <w:rPr>
          <w:rFonts w:ascii="Times New Roman" w:hAnsi="Times New Roman"/>
        </w:rPr>
        <w:t xml:space="preserve">Commission </w:t>
      </w:r>
      <w:r w:rsidR="008F2C45" w:rsidRPr="00C33EDD">
        <w:rPr>
          <w:rFonts w:ascii="Times New Roman" w:hAnsi="Times New Roman"/>
        </w:rPr>
        <w:t>regulation exists for end-use equipment powered by electricity or natural gas. This robust competitive market includes any HVAC equipment the Company would offer as part of its</w:t>
      </w:r>
      <w:r w:rsidR="00C33EDD">
        <w:rPr>
          <w:rFonts w:ascii="Times New Roman" w:hAnsi="Times New Roman"/>
        </w:rPr>
        <w:t xml:space="preserve"> leasing service. Therefore, leasing </w:t>
      </w:r>
      <w:r w:rsidR="00A23D59" w:rsidRPr="00C33EDD">
        <w:rPr>
          <w:rFonts w:ascii="Times New Roman" w:hAnsi="Times New Roman"/>
        </w:rPr>
        <w:t xml:space="preserve">end-use </w:t>
      </w:r>
      <w:r w:rsidR="00C33EDD" w:rsidRPr="00C33EDD">
        <w:rPr>
          <w:rFonts w:ascii="Times New Roman" w:hAnsi="Times New Roman"/>
        </w:rPr>
        <w:t>equipment</w:t>
      </w:r>
      <w:r w:rsidR="00002ABE">
        <w:rPr>
          <w:rFonts w:ascii="Times New Roman" w:hAnsi="Times New Roman"/>
        </w:rPr>
        <w:t>—</w:t>
      </w:r>
      <w:r w:rsidR="00C33EDD" w:rsidRPr="00002ABE">
        <w:rPr>
          <w:rFonts w:ascii="Times New Roman" w:hAnsi="Times New Roman"/>
          <w:i/>
        </w:rPr>
        <w:t>in and of itself</w:t>
      </w:r>
      <w:r w:rsidR="00002ABE">
        <w:rPr>
          <w:rFonts w:ascii="Times New Roman" w:hAnsi="Times New Roman"/>
        </w:rPr>
        <w:t>—</w:t>
      </w:r>
      <w:r w:rsidR="00C33EDD">
        <w:rPr>
          <w:rFonts w:ascii="Times New Roman" w:hAnsi="Times New Roman"/>
        </w:rPr>
        <w:t xml:space="preserve">is not a utility service.  </w:t>
      </w:r>
      <w:r w:rsidR="00A23D59">
        <w:rPr>
          <w:rFonts w:ascii="Times New Roman" w:hAnsi="Times New Roman"/>
        </w:rPr>
        <w:t xml:space="preserve"> </w:t>
      </w:r>
    </w:p>
    <w:p w14:paraId="54999F17" w14:textId="027D5158" w:rsidR="00C27AF0" w:rsidRDefault="00C27AF0" w:rsidP="00AA6AC2">
      <w:pPr>
        <w:widowControl w:val="0"/>
        <w:numPr>
          <w:ilvl w:val="0"/>
          <w:numId w:val="6"/>
        </w:numPr>
        <w:spacing w:line="480" w:lineRule="auto"/>
        <w:ind w:left="0" w:hanging="720"/>
        <w:rPr>
          <w:rFonts w:ascii="Times New Roman" w:hAnsi="Times New Roman"/>
        </w:rPr>
      </w:pPr>
      <w:r>
        <w:rPr>
          <w:rFonts w:ascii="Times New Roman" w:hAnsi="Times New Roman"/>
          <w:color w:val="000000"/>
        </w:rPr>
        <w:t xml:space="preserve"> </w:t>
      </w:r>
      <w:r>
        <w:rPr>
          <w:rFonts w:ascii="Times New Roman" w:hAnsi="Times New Roman"/>
          <w:color w:val="000000"/>
        </w:rPr>
        <w:tab/>
      </w:r>
      <w:r w:rsidR="00971EA7">
        <w:rPr>
          <w:rFonts w:ascii="Times New Roman" w:hAnsi="Times New Roman"/>
          <w:color w:val="000000"/>
        </w:rPr>
        <w:t>Commission precedent establishes, a</w:t>
      </w:r>
      <w:r w:rsidRPr="00AA5A8D">
        <w:rPr>
          <w:rFonts w:ascii="Times New Roman" w:hAnsi="Times New Roman"/>
          <w:color w:val="000000"/>
        </w:rPr>
        <w:t xml:space="preserve">s a general principle, </w:t>
      </w:r>
      <w:r>
        <w:rPr>
          <w:rFonts w:ascii="Times New Roman" w:hAnsi="Times New Roman"/>
          <w:color w:val="000000"/>
        </w:rPr>
        <w:t>th</w:t>
      </w:r>
      <w:r w:rsidR="00971EA7">
        <w:rPr>
          <w:rFonts w:ascii="Times New Roman" w:hAnsi="Times New Roman"/>
          <w:color w:val="000000"/>
        </w:rPr>
        <w:t>at</w:t>
      </w:r>
      <w:r>
        <w:rPr>
          <w:rFonts w:ascii="Times New Roman" w:hAnsi="Times New Roman"/>
          <w:color w:val="000000"/>
        </w:rPr>
        <w:t xml:space="preserve"> </w:t>
      </w:r>
      <w:r w:rsidRPr="00AA5A8D">
        <w:rPr>
          <w:rFonts w:ascii="Times New Roman" w:hAnsi="Times New Roman"/>
          <w:color w:val="000000"/>
        </w:rPr>
        <w:t xml:space="preserve">utility service </w:t>
      </w:r>
      <w:r>
        <w:rPr>
          <w:rFonts w:ascii="Times New Roman" w:hAnsi="Times New Roman"/>
          <w:color w:val="000000"/>
        </w:rPr>
        <w:t xml:space="preserve">appropriately </w:t>
      </w:r>
      <w:r w:rsidRPr="00AA5A8D">
        <w:rPr>
          <w:rFonts w:ascii="Times New Roman" w:hAnsi="Times New Roman"/>
          <w:color w:val="000000"/>
        </w:rPr>
        <w:t xml:space="preserve">ends at the </w:t>
      </w:r>
      <w:r>
        <w:rPr>
          <w:rFonts w:ascii="Times New Roman" w:hAnsi="Times New Roman"/>
          <w:color w:val="000000"/>
        </w:rPr>
        <w:t xml:space="preserve">customer </w:t>
      </w:r>
      <w:r w:rsidRPr="00AA5A8D">
        <w:rPr>
          <w:rFonts w:ascii="Times New Roman" w:hAnsi="Times New Roman"/>
          <w:color w:val="000000"/>
        </w:rPr>
        <w:t xml:space="preserve">meter unless the overreaching service is narrowly tailored to provide </w:t>
      </w:r>
      <w:r>
        <w:rPr>
          <w:rFonts w:ascii="Times New Roman" w:hAnsi="Times New Roman"/>
          <w:color w:val="000000"/>
        </w:rPr>
        <w:t xml:space="preserve">compelling </w:t>
      </w:r>
      <w:r w:rsidRPr="00AA5A8D">
        <w:rPr>
          <w:rFonts w:ascii="Times New Roman" w:hAnsi="Times New Roman"/>
          <w:color w:val="000000"/>
        </w:rPr>
        <w:t xml:space="preserve">net-benefits to all customers by making the </w:t>
      </w:r>
      <w:r w:rsidR="00B201AD">
        <w:rPr>
          <w:rFonts w:ascii="Times New Roman" w:hAnsi="Times New Roman"/>
          <w:color w:val="000000"/>
        </w:rPr>
        <w:t xml:space="preserve">utility </w:t>
      </w:r>
      <w:r w:rsidRPr="00AA5A8D">
        <w:rPr>
          <w:rFonts w:ascii="Times New Roman" w:hAnsi="Times New Roman"/>
          <w:color w:val="000000"/>
        </w:rPr>
        <w:t>system more efficient or otherwise fulfill</w:t>
      </w:r>
      <w:r>
        <w:rPr>
          <w:rFonts w:ascii="Times New Roman" w:hAnsi="Times New Roman"/>
          <w:color w:val="000000"/>
        </w:rPr>
        <w:t>s</w:t>
      </w:r>
      <w:r w:rsidRPr="00AA5A8D">
        <w:rPr>
          <w:rFonts w:ascii="Times New Roman" w:hAnsi="Times New Roman"/>
          <w:color w:val="000000"/>
        </w:rPr>
        <w:t xml:space="preserve"> some statutory purpose articulated in the public service laws.</w:t>
      </w:r>
      <w:r>
        <w:rPr>
          <w:rStyle w:val="FootnoteReference"/>
          <w:rFonts w:ascii="Times New Roman" w:hAnsi="Times New Roman"/>
          <w:color w:val="000000"/>
        </w:rPr>
        <w:footnoteReference w:id="20"/>
      </w:r>
      <w:r>
        <w:rPr>
          <w:rFonts w:ascii="Times New Roman" w:hAnsi="Times New Roman"/>
          <w:color w:val="000000"/>
        </w:rPr>
        <w:t xml:space="preserve"> While </w:t>
      </w:r>
      <w:r w:rsidR="006F7823">
        <w:rPr>
          <w:rFonts w:ascii="Times New Roman" w:hAnsi="Times New Roman"/>
          <w:color w:val="000000"/>
        </w:rPr>
        <w:t>the Commission has not concisely articulated this general principle</w:t>
      </w:r>
      <w:r>
        <w:rPr>
          <w:rFonts w:ascii="Times New Roman" w:hAnsi="Times New Roman"/>
          <w:color w:val="000000"/>
        </w:rPr>
        <w:t xml:space="preserve">, </w:t>
      </w:r>
      <w:r w:rsidR="006F7823">
        <w:rPr>
          <w:rFonts w:ascii="Times New Roman" w:hAnsi="Times New Roman"/>
          <w:color w:val="000000"/>
        </w:rPr>
        <w:t>it is fully consistent with Commission precedent, as further explained below</w:t>
      </w:r>
      <w:r>
        <w:rPr>
          <w:rFonts w:ascii="Times New Roman" w:hAnsi="Times New Roman"/>
          <w:color w:val="000000"/>
        </w:rPr>
        <w:t>.</w:t>
      </w:r>
      <w:r w:rsidR="006F7823">
        <w:rPr>
          <w:rFonts w:ascii="Times New Roman" w:hAnsi="Times New Roman"/>
          <w:color w:val="000000"/>
        </w:rPr>
        <w:t xml:space="preserve"> The Commission should use this opportunity to affirm this general principle to provide guidance for future proposals for new </w:t>
      </w:r>
      <w:r w:rsidR="001A7188">
        <w:rPr>
          <w:rFonts w:ascii="Times New Roman" w:hAnsi="Times New Roman"/>
          <w:color w:val="000000"/>
        </w:rPr>
        <w:t>regulated</w:t>
      </w:r>
      <w:r w:rsidR="006F7823">
        <w:rPr>
          <w:rFonts w:ascii="Times New Roman" w:hAnsi="Times New Roman"/>
          <w:color w:val="000000"/>
        </w:rPr>
        <w:t xml:space="preserve"> services. </w:t>
      </w:r>
    </w:p>
    <w:p w14:paraId="596D9442" w14:textId="7DBE925E" w:rsidR="0063041F" w:rsidRDefault="00C33EDD" w:rsidP="0063041F">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7055B8">
        <w:rPr>
          <w:rFonts w:ascii="Times New Roman" w:hAnsi="Times New Roman"/>
        </w:rPr>
        <w:t xml:space="preserve">Second, </w:t>
      </w:r>
      <w:r w:rsidR="00C27AF0">
        <w:rPr>
          <w:rFonts w:ascii="Times New Roman" w:hAnsi="Times New Roman"/>
        </w:rPr>
        <w:t>PSE’s</w:t>
      </w:r>
      <w:r w:rsidR="0063041F">
        <w:rPr>
          <w:rFonts w:ascii="Times New Roman" w:hAnsi="Times New Roman"/>
        </w:rPr>
        <w:t xml:space="preserve"> proposed service is not</w:t>
      </w:r>
      <w:r w:rsidR="001A7188">
        <w:rPr>
          <w:rFonts w:ascii="Times New Roman" w:hAnsi="Times New Roman"/>
        </w:rPr>
        <w:t xml:space="preserve"> narrowly</w:t>
      </w:r>
      <w:r w:rsidR="0063041F">
        <w:rPr>
          <w:rFonts w:ascii="Times New Roman" w:hAnsi="Times New Roman"/>
        </w:rPr>
        <w:t xml:space="preserve"> </w:t>
      </w:r>
      <w:r w:rsidR="0063041F" w:rsidRPr="00AA5A8D">
        <w:rPr>
          <w:rFonts w:ascii="Times New Roman" w:hAnsi="Times New Roman"/>
          <w:color w:val="000000"/>
        </w:rPr>
        <w:t xml:space="preserve">tailored to provide </w:t>
      </w:r>
      <w:r w:rsidR="0063041F">
        <w:rPr>
          <w:rFonts w:ascii="Times New Roman" w:hAnsi="Times New Roman"/>
          <w:color w:val="000000"/>
        </w:rPr>
        <w:t xml:space="preserve">compelling </w:t>
      </w:r>
      <w:r w:rsidR="0063041F" w:rsidRPr="00AA5A8D">
        <w:rPr>
          <w:rFonts w:ascii="Times New Roman" w:hAnsi="Times New Roman"/>
          <w:color w:val="000000"/>
        </w:rPr>
        <w:t>net-benefits to all customers by making the system more efficient</w:t>
      </w:r>
      <w:r w:rsidR="0063041F">
        <w:rPr>
          <w:rFonts w:ascii="Times New Roman" w:hAnsi="Times New Roman"/>
          <w:color w:val="000000"/>
        </w:rPr>
        <w:t>.</w:t>
      </w:r>
      <w:r w:rsidR="0063041F">
        <w:rPr>
          <w:rFonts w:ascii="Times New Roman" w:hAnsi="Times New Roman"/>
        </w:rPr>
        <w:t xml:space="preserve"> PSE (including its predecessor companies) has a long and controversial history of offering end-use appliance rental services.</w:t>
      </w:r>
      <w:r w:rsidR="0063041F">
        <w:rPr>
          <w:rStyle w:val="FootnoteReference"/>
          <w:rFonts w:ascii="Times New Roman" w:hAnsi="Times New Roman"/>
        </w:rPr>
        <w:footnoteReference w:id="21"/>
      </w:r>
      <w:r w:rsidR="0063041F">
        <w:rPr>
          <w:rFonts w:ascii="Times New Roman" w:hAnsi="Times New Roman"/>
        </w:rPr>
        <w:t xml:space="preserve"> </w:t>
      </w:r>
      <w:r w:rsidR="00750441">
        <w:rPr>
          <w:rFonts w:ascii="Times New Roman" w:hAnsi="Times New Roman"/>
        </w:rPr>
        <w:t>The Commission</w:t>
      </w:r>
      <w:r w:rsidR="00A23D59">
        <w:rPr>
          <w:rFonts w:ascii="Times New Roman" w:hAnsi="Times New Roman"/>
        </w:rPr>
        <w:t>, however,</w:t>
      </w:r>
      <w:r w:rsidR="00750441">
        <w:rPr>
          <w:rFonts w:ascii="Times New Roman" w:hAnsi="Times New Roman"/>
        </w:rPr>
        <w:t xml:space="preserve"> has justified each of the past services as a utility service based on the</w:t>
      </w:r>
      <w:r w:rsidR="006F7823">
        <w:rPr>
          <w:rFonts w:ascii="Times New Roman" w:hAnsi="Times New Roman"/>
        </w:rPr>
        <w:t xml:space="preserve"> services’</w:t>
      </w:r>
      <w:r w:rsidR="00750441">
        <w:rPr>
          <w:rFonts w:ascii="Times New Roman" w:hAnsi="Times New Roman"/>
        </w:rPr>
        <w:t xml:space="preserve"> ability to deliver benefits to the Company’s entire customer base.</w:t>
      </w:r>
      <w:r w:rsidR="00750441">
        <w:rPr>
          <w:rStyle w:val="FootnoteReference"/>
          <w:rFonts w:ascii="Times New Roman" w:hAnsi="Times New Roman"/>
        </w:rPr>
        <w:footnoteReference w:id="22"/>
      </w:r>
      <w:r w:rsidR="00750441">
        <w:rPr>
          <w:rFonts w:ascii="Times New Roman" w:hAnsi="Times New Roman"/>
        </w:rPr>
        <w:t xml:space="preserve"> As the Company acknowledged on </w:t>
      </w:r>
      <w:r w:rsidR="00007115">
        <w:rPr>
          <w:rFonts w:ascii="Times New Roman" w:hAnsi="Times New Roman"/>
        </w:rPr>
        <w:t>rebuttal</w:t>
      </w:r>
      <w:r w:rsidR="00852267">
        <w:rPr>
          <w:rFonts w:ascii="Times New Roman" w:hAnsi="Times New Roman"/>
        </w:rPr>
        <w:t xml:space="preserve"> in this case</w:t>
      </w:r>
      <w:r w:rsidR="00750441">
        <w:rPr>
          <w:rFonts w:ascii="Times New Roman" w:hAnsi="Times New Roman"/>
        </w:rPr>
        <w:t xml:space="preserve">, “the purpose [of its legacy rental program was] to build load and gain gas customers </w:t>
      </w:r>
      <w:r w:rsidR="009F27BA">
        <w:rPr>
          <w:rFonts w:ascii="Times New Roman" w:hAnsi="Times New Roman"/>
        </w:rPr>
        <w:t xml:space="preserve">. . . </w:t>
      </w:r>
      <w:r w:rsidR="00750441">
        <w:rPr>
          <w:rFonts w:ascii="Times New Roman" w:hAnsi="Times New Roman"/>
        </w:rPr>
        <w:t>.”</w:t>
      </w:r>
      <w:r w:rsidR="00750441">
        <w:rPr>
          <w:rStyle w:val="FootnoteReference"/>
          <w:rFonts w:ascii="Times New Roman" w:hAnsi="Times New Roman"/>
        </w:rPr>
        <w:footnoteReference w:id="23"/>
      </w:r>
      <w:r w:rsidR="009F27BA">
        <w:rPr>
          <w:rFonts w:ascii="Times New Roman" w:hAnsi="Times New Roman"/>
        </w:rPr>
        <w:t xml:space="preserve"> </w:t>
      </w:r>
      <w:r w:rsidR="00750441">
        <w:rPr>
          <w:rFonts w:ascii="Times New Roman" w:hAnsi="Times New Roman"/>
        </w:rPr>
        <w:t xml:space="preserve">The Commission </w:t>
      </w:r>
      <w:r w:rsidR="00750441">
        <w:rPr>
          <w:rFonts w:ascii="Times New Roman" w:hAnsi="Times New Roman"/>
        </w:rPr>
        <w:lastRenderedPageBreak/>
        <w:t xml:space="preserve">found that fuel switching </w:t>
      </w:r>
      <w:r w:rsidR="00007115">
        <w:rPr>
          <w:rFonts w:ascii="Times New Roman" w:hAnsi="Times New Roman"/>
        </w:rPr>
        <w:t>had the “beneficial effect of gas load building with resulting benefits to other ratepayers.”</w:t>
      </w:r>
      <w:r w:rsidR="00007115">
        <w:rPr>
          <w:rStyle w:val="FootnoteReference"/>
          <w:rFonts w:ascii="Times New Roman" w:hAnsi="Times New Roman"/>
        </w:rPr>
        <w:footnoteReference w:id="24"/>
      </w:r>
      <w:r w:rsidR="00007115">
        <w:rPr>
          <w:rFonts w:ascii="Times New Roman" w:hAnsi="Times New Roman"/>
        </w:rPr>
        <w:t xml:space="preserve"> </w:t>
      </w:r>
      <w:r w:rsidR="009F27BA">
        <w:rPr>
          <w:rFonts w:ascii="Times New Roman" w:hAnsi="Times New Roman"/>
        </w:rPr>
        <w:t>Indeed, t</w:t>
      </w:r>
      <w:r w:rsidR="00007115">
        <w:rPr>
          <w:rFonts w:ascii="Times New Roman" w:hAnsi="Times New Roman"/>
        </w:rPr>
        <w:t>he service led to voluntary rate reductions from 1961 – 1966 of $1.69 million annually.</w:t>
      </w:r>
      <w:r w:rsidR="00007115">
        <w:rPr>
          <w:rStyle w:val="FootnoteReference"/>
          <w:rFonts w:ascii="Times New Roman" w:hAnsi="Times New Roman"/>
        </w:rPr>
        <w:footnoteReference w:id="25"/>
      </w:r>
      <w:r w:rsidR="00007115">
        <w:rPr>
          <w:rFonts w:ascii="Times New Roman" w:hAnsi="Times New Roman"/>
        </w:rPr>
        <w:t xml:space="preserve"> </w:t>
      </w:r>
      <w:r w:rsidR="009F27BA">
        <w:rPr>
          <w:rFonts w:ascii="Times New Roman" w:hAnsi="Times New Roman"/>
        </w:rPr>
        <w:t>But</w:t>
      </w:r>
      <w:r w:rsidR="00007115">
        <w:rPr>
          <w:rFonts w:ascii="Times New Roman" w:hAnsi="Times New Roman"/>
        </w:rPr>
        <w:t>, the initial success of the program did not last—the program eventually became heavily subsidized by the Company’s general customers.</w:t>
      </w:r>
      <w:r w:rsidR="00007115">
        <w:rPr>
          <w:rStyle w:val="FootnoteReference"/>
          <w:rFonts w:ascii="Times New Roman" w:hAnsi="Times New Roman"/>
        </w:rPr>
        <w:footnoteReference w:id="26"/>
      </w:r>
    </w:p>
    <w:p w14:paraId="79B6CC13" w14:textId="38C20304" w:rsidR="00007115" w:rsidRPr="009E4737" w:rsidRDefault="00007115" w:rsidP="00007115">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t>Here, PSE’s proposed program has no comparable public purpose</w:t>
      </w:r>
      <w:r w:rsidR="009E4737">
        <w:rPr>
          <w:rFonts w:ascii="Times New Roman" w:hAnsi="Times New Roman"/>
        </w:rPr>
        <w:t>. Instead, t</w:t>
      </w:r>
      <w:r>
        <w:rPr>
          <w:rFonts w:ascii="Times New Roman" w:hAnsi="Times New Roman"/>
        </w:rPr>
        <w:t xml:space="preserve">he Company has </w:t>
      </w:r>
      <w:r w:rsidRPr="009E4737">
        <w:rPr>
          <w:rFonts w:ascii="Times New Roman" w:hAnsi="Times New Roman"/>
        </w:rPr>
        <w:t xml:space="preserve">paradoxically established that the proposed service is </w:t>
      </w:r>
      <w:r w:rsidRPr="009E4737">
        <w:rPr>
          <w:rFonts w:ascii="Times New Roman" w:hAnsi="Times New Roman"/>
          <w:i/>
        </w:rPr>
        <w:t>not</w:t>
      </w:r>
      <w:r w:rsidR="009E4737">
        <w:rPr>
          <w:rFonts w:ascii="Times New Roman" w:hAnsi="Times New Roman"/>
        </w:rPr>
        <w:t xml:space="preserve"> a conservation program;</w:t>
      </w:r>
      <w:r w:rsidRPr="009E4737">
        <w:rPr>
          <w:rFonts w:ascii="Times New Roman" w:hAnsi="Times New Roman"/>
        </w:rPr>
        <w:t xml:space="preserve"> </w:t>
      </w:r>
      <w:r w:rsidR="009E4737">
        <w:rPr>
          <w:rFonts w:ascii="Times New Roman" w:hAnsi="Times New Roman"/>
        </w:rPr>
        <w:t>nevertheless</w:t>
      </w:r>
      <w:r w:rsidRPr="009E4737">
        <w:rPr>
          <w:rFonts w:ascii="Times New Roman" w:hAnsi="Times New Roman"/>
        </w:rPr>
        <w:t xml:space="preserve"> it </w:t>
      </w:r>
      <w:r w:rsidR="009E4737">
        <w:rPr>
          <w:rFonts w:ascii="Times New Roman" w:hAnsi="Times New Roman"/>
        </w:rPr>
        <w:t>may</w:t>
      </w:r>
      <w:r w:rsidRPr="009E4737">
        <w:rPr>
          <w:rFonts w:ascii="Times New Roman" w:hAnsi="Times New Roman"/>
        </w:rPr>
        <w:t xml:space="preserve"> yield conservation savings as an ancillary effect of </w:t>
      </w:r>
      <w:r w:rsidRPr="009E4737">
        <w:rPr>
          <w:rFonts w:ascii="Times New Roman" w:hAnsi="Times New Roman"/>
          <w:i/>
        </w:rPr>
        <w:t>some</w:t>
      </w:r>
      <w:r w:rsidRPr="009E4737">
        <w:rPr>
          <w:rFonts w:ascii="Times New Roman" w:hAnsi="Times New Roman"/>
        </w:rPr>
        <w:t xml:space="preserve"> of the equipment offered.</w:t>
      </w:r>
      <w:r>
        <w:rPr>
          <w:rStyle w:val="FootnoteReference"/>
          <w:rFonts w:ascii="Times New Roman" w:hAnsi="Times New Roman"/>
        </w:rPr>
        <w:footnoteReference w:id="27"/>
      </w:r>
      <w:r w:rsidRPr="009E4737">
        <w:rPr>
          <w:rFonts w:ascii="Times New Roman" w:hAnsi="Times New Roman"/>
        </w:rPr>
        <w:t xml:space="preserve"> </w:t>
      </w:r>
      <w:r w:rsidR="009E4737">
        <w:rPr>
          <w:rFonts w:ascii="Times New Roman" w:hAnsi="Times New Roman"/>
        </w:rPr>
        <w:t>According to the Company</w:t>
      </w:r>
      <w:r w:rsidRPr="009E4737">
        <w:rPr>
          <w:rFonts w:ascii="Times New Roman" w:hAnsi="Times New Roman"/>
        </w:rPr>
        <w:t>, the core purpose of the proposal is to offer an “optional service” that customers can elect to participate in “if [they] view the lease service as beneficial and reasonably priced for the benefits they receive.”</w:t>
      </w:r>
      <w:r>
        <w:rPr>
          <w:rStyle w:val="FootnoteReference"/>
          <w:rFonts w:ascii="Times New Roman" w:hAnsi="Times New Roman"/>
        </w:rPr>
        <w:footnoteReference w:id="28"/>
      </w:r>
      <w:r w:rsidR="009E4737">
        <w:rPr>
          <w:rFonts w:ascii="Times New Roman" w:hAnsi="Times New Roman"/>
        </w:rPr>
        <w:t xml:space="preserve"> However, an optional HVAC equipment leasing service that lacks a core </w:t>
      </w:r>
      <w:r w:rsidR="009E4737">
        <w:rPr>
          <w:rFonts w:ascii="Times New Roman" w:hAnsi="Times New Roman"/>
          <w:color w:val="000000"/>
        </w:rPr>
        <w:t xml:space="preserve">purpose </w:t>
      </w:r>
      <w:r w:rsidR="009E4737" w:rsidRPr="00AA5A8D">
        <w:rPr>
          <w:rFonts w:ascii="Times New Roman" w:hAnsi="Times New Roman"/>
          <w:color w:val="000000"/>
        </w:rPr>
        <w:t xml:space="preserve">tailored to provide </w:t>
      </w:r>
      <w:r w:rsidR="009E4737">
        <w:rPr>
          <w:rFonts w:ascii="Times New Roman" w:hAnsi="Times New Roman"/>
          <w:color w:val="000000"/>
        </w:rPr>
        <w:t xml:space="preserve">compelling </w:t>
      </w:r>
      <w:r w:rsidR="009E4737" w:rsidRPr="00AA5A8D">
        <w:rPr>
          <w:rFonts w:ascii="Times New Roman" w:hAnsi="Times New Roman"/>
          <w:color w:val="000000"/>
        </w:rPr>
        <w:t xml:space="preserve">net-benefits to all customers </w:t>
      </w:r>
      <w:r w:rsidR="009E4737">
        <w:rPr>
          <w:rFonts w:ascii="Times New Roman" w:hAnsi="Times New Roman"/>
          <w:color w:val="000000"/>
        </w:rPr>
        <w:t>is not a utility service under Washington law</w:t>
      </w:r>
      <w:r w:rsidR="009F27BA">
        <w:rPr>
          <w:rFonts w:ascii="Times New Roman" w:hAnsi="Times New Roman"/>
          <w:color w:val="000000"/>
        </w:rPr>
        <w:t xml:space="preserve"> absent some </w:t>
      </w:r>
      <w:r w:rsidR="009F27BA" w:rsidRPr="00AA5A8D">
        <w:rPr>
          <w:rFonts w:ascii="Times New Roman" w:hAnsi="Times New Roman"/>
          <w:color w:val="000000"/>
        </w:rPr>
        <w:t>statutory purpose articulated in the public service laws</w:t>
      </w:r>
      <w:r w:rsidR="009E4737">
        <w:rPr>
          <w:rFonts w:ascii="Times New Roman" w:hAnsi="Times New Roman"/>
          <w:color w:val="000000"/>
        </w:rPr>
        <w:t xml:space="preserve">. </w:t>
      </w:r>
    </w:p>
    <w:p w14:paraId="306F5A75" w14:textId="499E50ED" w:rsidR="00FF24E3" w:rsidRPr="00FF24E3" w:rsidRDefault="009E4737" w:rsidP="00007115">
      <w:pPr>
        <w:widowControl w:val="0"/>
        <w:numPr>
          <w:ilvl w:val="0"/>
          <w:numId w:val="6"/>
        </w:numPr>
        <w:spacing w:line="480" w:lineRule="auto"/>
        <w:ind w:left="0" w:hanging="720"/>
        <w:rPr>
          <w:rFonts w:ascii="Times New Roman" w:hAnsi="Times New Roman"/>
        </w:rPr>
      </w:pPr>
      <w:r>
        <w:rPr>
          <w:rFonts w:ascii="Times New Roman" w:hAnsi="Times New Roman"/>
          <w:color w:val="000000"/>
        </w:rPr>
        <w:t xml:space="preserve"> </w:t>
      </w:r>
      <w:r>
        <w:rPr>
          <w:rFonts w:ascii="Times New Roman" w:hAnsi="Times New Roman"/>
          <w:color w:val="000000"/>
        </w:rPr>
        <w:tab/>
        <w:t xml:space="preserve">Third, PSE’s </w:t>
      </w:r>
      <w:r>
        <w:rPr>
          <w:rFonts w:ascii="Times New Roman" w:hAnsi="Times New Roman"/>
        </w:rPr>
        <w:t xml:space="preserve">proposed service does not </w:t>
      </w:r>
      <w:r w:rsidRPr="00AA5A8D">
        <w:rPr>
          <w:rFonts w:ascii="Times New Roman" w:hAnsi="Times New Roman"/>
          <w:color w:val="000000"/>
        </w:rPr>
        <w:t xml:space="preserve">fulfill </w:t>
      </w:r>
      <w:r>
        <w:rPr>
          <w:rFonts w:ascii="Times New Roman" w:hAnsi="Times New Roman"/>
          <w:color w:val="000000"/>
        </w:rPr>
        <w:t xml:space="preserve">any </w:t>
      </w:r>
      <w:r w:rsidRPr="00AA5A8D">
        <w:rPr>
          <w:rFonts w:ascii="Times New Roman" w:hAnsi="Times New Roman"/>
          <w:color w:val="000000"/>
        </w:rPr>
        <w:t>statutory purpose articulated in the public service laws</w:t>
      </w:r>
      <w:r w:rsidR="00FF24E3">
        <w:rPr>
          <w:rFonts w:ascii="Times New Roman" w:hAnsi="Times New Roman"/>
          <w:color w:val="000000"/>
        </w:rPr>
        <w:t xml:space="preserve">. The lone example </w:t>
      </w:r>
      <w:r w:rsidR="009F27BA">
        <w:rPr>
          <w:rFonts w:ascii="Times New Roman" w:hAnsi="Times New Roman"/>
          <w:color w:val="000000"/>
        </w:rPr>
        <w:t xml:space="preserve">PSE </w:t>
      </w:r>
      <w:r w:rsidR="00FF24E3">
        <w:rPr>
          <w:rFonts w:ascii="Times New Roman" w:hAnsi="Times New Roman"/>
          <w:color w:val="000000"/>
        </w:rPr>
        <w:t xml:space="preserve">provided of </w:t>
      </w:r>
      <w:r w:rsidR="009F27BA">
        <w:rPr>
          <w:rFonts w:ascii="Times New Roman" w:hAnsi="Times New Roman"/>
          <w:color w:val="000000"/>
        </w:rPr>
        <w:t xml:space="preserve">an </w:t>
      </w:r>
      <w:r w:rsidR="00FF24E3">
        <w:rPr>
          <w:rFonts w:ascii="Times New Roman" w:hAnsi="Times New Roman"/>
          <w:color w:val="000000"/>
        </w:rPr>
        <w:t>end-use equipment</w:t>
      </w:r>
      <w:r w:rsidR="009F27BA">
        <w:rPr>
          <w:rFonts w:ascii="Times New Roman" w:hAnsi="Times New Roman"/>
          <w:color w:val="000000"/>
        </w:rPr>
        <w:t xml:space="preserve"> utility service</w:t>
      </w:r>
      <w:r w:rsidR="00FF24E3">
        <w:rPr>
          <w:rFonts w:ascii="Times New Roman" w:hAnsi="Times New Roman"/>
          <w:color w:val="000000"/>
        </w:rPr>
        <w:t xml:space="preserve">, other than </w:t>
      </w:r>
      <w:r w:rsidR="009F27BA">
        <w:rPr>
          <w:rFonts w:ascii="Times New Roman" w:hAnsi="Times New Roman"/>
          <w:color w:val="000000"/>
        </w:rPr>
        <w:t xml:space="preserve">its legacy rental program, is </w:t>
      </w:r>
      <w:r w:rsidR="00FF24E3">
        <w:rPr>
          <w:rFonts w:ascii="Times New Roman" w:hAnsi="Times New Roman"/>
          <w:color w:val="000000"/>
        </w:rPr>
        <w:t>electric vehicle supply equipment</w:t>
      </w:r>
      <w:r w:rsidR="009F27BA">
        <w:rPr>
          <w:rFonts w:ascii="Times New Roman" w:hAnsi="Times New Roman"/>
          <w:color w:val="000000"/>
        </w:rPr>
        <w:t xml:space="preserve"> service</w:t>
      </w:r>
      <w:r w:rsidR="00FF24E3">
        <w:rPr>
          <w:rFonts w:ascii="Times New Roman" w:hAnsi="Times New Roman"/>
          <w:color w:val="000000"/>
        </w:rPr>
        <w:t>.</w:t>
      </w:r>
      <w:r w:rsidR="00FF24E3">
        <w:rPr>
          <w:rStyle w:val="FootnoteReference"/>
          <w:rFonts w:ascii="Times New Roman" w:hAnsi="Times New Roman"/>
          <w:color w:val="000000"/>
        </w:rPr>
        <w:footnoteReference w:id="29"/>
      </w:r>
      <w:r w:rsidR="008F739E">
        <w:rPr>
          <w:rFonts w:ascii="Times New Roman" w:hAnsi="Times New Roman"/>
          <w:color w:val="000000"/>
        </w:rPr>
        <w:t xml:space="preserve"> </w:t>
      </w:r>
      <w:r w:rsidR="00FF24E3">
        <w:rPr>
          <w:rFonts w:ascii="Times New Roman" w:hAnsi="Times New Roman"/>
          <w:color w:val="000000"/>
        </w:rPr>
        <w:t xml:space="preserve">However, </w:t>
      </w:r>
      <w:r w:rsidR="00627594">
        <w:rPr>
          <w:rFonts w:ascii="Times New Roman" w:hAnsi="Times New Roman"/>
          <w:color w:val="000000"/>
        </w:rPr>
        <w:t>t</w:t>
      </w:r>
      <w:r w:rsidR="00627594" w:rsidRPr="00627594">
        <w:rPr>
          <w:rFonts w:ascii="Times New Roman" w:hAnsi="Times New Roman"/>
          <w:color w:val="000000"/>
        </w:rPr>
        <w:t xml:space="preserve">he legislature </w:t>
      </w:r>
      <w:r w:rsidR="00627594">
        <w:rPr>
          <w:rFonts w:ascii="Times New Roman" w:hAnsi="Times New Roman"/>
          <w:color w:val="000000"/>
        </w:rPr>
        <w:t>expressly found</w:t>
      </w:r>
      <w:r w:rsidR="00627594" w:rsidRPr="00627594">
        <w:rPr>
          <w:rFonts w:ascii="Times New Roman" w:hAnsi="Times New Roman"/>
          <w:color w:val="000000"/>
        </w:rPr>
        <w:t xml:space="preserve"> that </w:t>
      </w:r>
      <w:r w:rsidR="00627594">
        <w:rPr>
          <w:rFonts w:ascii="Times New Roman" w:hAnsi="Times New Roman"/>
          <w:color w:val="000000"/>
        </w:rPr>
        <w:t>“</w:t>
      </w:r>
      <w:r w:rsidR="00627594" w:rsidRPr="00627594">
        <w:rPr>
          <w:rFonts w:ascii="Times New Roman" w:hAnsi="Times New Roman"/>
          <w:color w:val="000000"/>
        </w:rPr>
        <w:t xml:space="preserve">utilities, </w:t>
      </w:r>
      <w:r w:rsidR="00B201AD">
        <w:rPr>
          <w:rFonts w:ascii="Times New Roman" w:hAnsi="Times New Roman"/>
          <w:color w:val="000000"/>
        </w:rPr>
        <w:t xml:space="preserve">who </w:t>
      </w:r>
      <w:r w:rsidR="00627594" w:rsidRPr="00627594">
        <w:rPr>
          <w:rFonts w:ascii="Times New Roman" w:hAnsi="Times New Roman"/>
          <w:color w:val="000000"/>
        </w:rPr>
        <w:t xml:space="preserve">[that] are traditionally responsible for understanding and engineering the electrical grid for safety and reliability, must be fully empowered and incentivized to be engaged in electrification of our </w:t>
      </w:r>
      <w:r w:rsidR="00627594" w:rsidRPr="00627594">
        <w:rPr>
          <w:rFonts w:ascii="Times New Roman" w:hAnsi="Times New Roman"/>
          <w:color w:val="000000"/>
        </w:rPr>
        <w:lastRenderedPageBreak/>
        <w:t>transportation system.</w:t>
      </w:r>
      <w:r w:rsidR="00627594">
        <w:rPr>
          <w:rFonts w:ascii="Times New Roman" w:hAnsi="Times New Roman"/>
          <w:color w:val="000000"/>
        </w:rPr>
        <w:t>”</w:t>
      </w:r>
      <w:r w:rsidR="00627594">
        <w:rPr>
          <w:rStyle w:val="FootnoteReference"/>
          <w:rFonts w:ascii="Times New Roman" w:hAnsi="Times New Roman"/>
          <w:color w:val="000000"/>
        </w:rPr>
        <w:footnoteReference w:id="30"/>
      </w:r>
      <w:r w:rsidR="008F739E">
        <w:rPr>
          <w:rFonts w:ascii="Times New Roman" w:hAnsi="Times New Roman"/>
          <w:color w:val="000000"/>
        </w:rPr>
        <w:t xml:space="preserve"> </w:t>
      </w:r>
      <w:r w:rsidR="00A23D59">
        <w:rPr>
          <w:rFonts w:ascii="Times New Roman" w:hAnsi="Times New Roman"/>
          <w:color w:val="000000"/>
        </w:rPr>
        <w:t>The legislature</w:t>
      </w:r>
      <w:r w:rsidR="00627594">
        <w:rPr>
          <w:rFonts w:ascii="Times New Roman" w:hAnsi="Times New Roman"/>
          <w:color w:val="000000"/>
        </w:rPr>
        <w:t xml:space="preserve"> </w:t>
      </w:r>
      <w:r w:rsidR="00B201AD">
        <w:rPr>
          <w:rFonts w:ascii="Times New Roman" w:hAnsi="Times New Roman"/>
          <w:color w:val="000000"/>
        </w:rPr>
        <w:t>passed</w:t>
      </w:r>
      <w:r w:rsidR="00627594">
        <w:rPr>
          <w:rFonts w:ascii="Times New Roman" w:hAnsi="Times New Roman"/>
          <w:color w:val="000000"/>
        </w:rPr>
        <w:t xml:space="preserve"> a law </w:t>
      </w:r>
      <w:r w:rsidR="00B201AD">
        <w:rPr>
          <w:rFonts w:ascii="Times New Roman" w:hAnsi="Times New Roman"/>
          <w:color w:val="000000"/>
        </w:rPr>
        <w:t xml:space="preserve">expressly </w:t>
      </w:r>
      <w:r w:rsidR="00627594">
        <w:rPr>
          <w:rFonts w:ascii="Times New Roman" w:hAnsi="Times New Roman"/>
          <w:color w:val="000000"/>
        </w:rPr>
        <w:t>allowing for electric vehicle supply equipment located on the customer-side of the meter to be included as electric plant in service and included in rate base.</w:t>
      </w:r>
      <w:r w:rsidR="00627594">
        <w:rPr>
          <w:rStyle w:val="FootnoteReference"/>
          <w:rFonts w:ascii="Times New Roman" w:hAnsi="Times New Roman"/>
          <w:color w:val="000000"/>
        </w:rPr>
        <w:footnoteReference w:id="31"/>
      </w:r>
      <w:r w:rsidR="00627594">
        <w:rPr>
          <w:rFonts w:ascii="Times New Roman" w:hAnsi="Times New Roman"/>
          <w:color w:val="000000"/>
        </w:rPr>
        <w:t xml:space="preserve"> In contrast, PSE can </w:t>
      </w:r>
      <w:r w:rsidR="006F7823">
        <w:rPr>
          <w:rFonts w:ascii="Times New Roman" w:hAnsi="Times New Roman"/>
          <w:color w:val="000000"/>
        </w:rPr>
        <w:t>c</w:t>
      </w:r>
      <w:r w:rsidR="00627594">
        <w:rPr>
          <w:rFonts w:ascii="Times New Roman" w:hAnsi="Times New Roman"/>
          <w:color w:val="000000"/>
        </w:rPr>
        <w:t>ite no public service law that expressly allows it to rate base HVAC equipment</w:t>
      </w:r>
      <w:r w:rsidR="009F27BA">
        <w:rPr>
          <w:rFonts w:ascii="Times New Roman" w:hAnsi="Times New Roman"/>
          <w:color w:val="000000"/>
        </w:rPr>
        <w:t xml:space="preserve">. PSE’s proposed leasing service is </w:t>
      </w:r>
      <w:r w:rsidR="00627594">
        <w:rPr>
          <w:rFonts w:ascii="Times New Roman" w:hAnsi="Times New Roman"/>
          <w:color w:val="000000"/>
        </w:rPr>
        <w:t xml:space="preserve">not a </w:t>
      </w:r>
      <w:r w:rsidR="00B201AD">
        <w:rPr>
          <w:rFonts w:ascii="Times New Roman" w:hAnsi="Times New Roman"/>
          <w:color w:val="000000"/>
        </w:rPr>
        <w:t xml:space="preserve">regulated </w:t>
      </w:r>
      <w:r w:rsidR="00627594">
        <w:rPr>
          <w:rFonts w:ascii="Times New Roman" w:hAnsi="Times New Roman"/>
          <w:color w:val="000000"/>
        </w:rPr>
        <w:t xml:space="preserve">utility service under Washington law.  </w:t>
      </w:r>
    </w:p>
    <w:p w14:paraId="1AAA426C" w14:textId="38ED49DC" w:rsidR="009E4737" w:rsidRPr="00627594" w:rsidRDefault="00627594" w:rsidP="00F10E7B">
      <w:pPr>
        <w:pStyle w:val="ListParagraph"/>
        <w:widowControl w:val="0"/>
        <w:numPr>
          <w:ilvl w:val="0"/>
          <w:numId w:val="16"/>
        </w:numPr>
        <w:spacing w:after="240"/>
        <w:ind w:hanging="720"/>
        <w:rPr>
          <w:rFonts w:ascii="Times New Roman" w:hAnsi="Times New Roman"/>
          <w:b/>
        </w:rPr>
      </w:pPr>
      <w:r w:rsidRPr="00627594">
        <w:rPr>
          <w:rFonts w:ascii="Times New Roman" w:hAnsi="Times New Roman"/>
          <w:b/>
          <w:color w:val="000000"/>
        </w:rPr>
        <w:t xml:space="preserve">PSE Failed </w:t>
      </w:r>
      <w:r w:rsidR="00B201AD">
        <w:rPr>
          <w:rFonts w:ascii="Times New Roman" w:hAnsi="Times New Roman"/>
          <w:b/>
          <w:color w:val="000000"/>
        </w:rPr>
        <w:t>t</w:t>
      </w:r>
      <w:r w:rsidRPr="00627594">
        <w:rPr>
          <w:rFonts w:ascii="Times New Roman" w:hAnsi="Times New Roman"/>
          <w:b/>
          <w:color w:val="000000"/>
        </w:rPr>
        <w:t xml:space="preserve">o Present Sufficient Evidence </w:t>
      </w:r>
      <w:r w:rsidR="00594ED0">
        <w:rPr>
          <w:rFonts w:ascii="Times New Roman" w:hAnsi="Times New Roman"/>
          <w:b/>
          <w:color w:val="000000"/>
        </w:rPr>
        <w:t>t</w:t>
      </w:r>
      <w:r w:rsidRPr="00627594">
        <w:rPr>
          <w:rFonts w:ascii="Times New Roman" w:hAnsi="Times New Roman"/>
          <w:b/>
          <w:color w:val="000000"/>
        </w:rPr>
        <w:t xml:space="preserve">o </w:t>
      </w:r>
      <w:r w:rsidR="00F447D2">
        <w:rPr>
          <w:rFonts w:ascii="Times New Roman" w:hAnsi="Times New Roman"/>
          <w:b/>
          <w:color w:val="000000"/>
        </w:rPr>
        <w:t xml:space="preserve">Establish a Prima Facie Case </w:t>
      </w:r>
      <w:r w:rsidR="00477FB9">
        <w:rPr>
          <w:rFonts w:ascii="Times New Roman" w:hAnsi="Times New Roman"/>
          <w:b/>
          <w:color w:val="000000"/>
        </w:rPr>
        <w:t xml:space="preserve">that </w:t>
      </w:r>
      <w:r w:rsidR="00F447D2">
        <w:rPr>
          <w:rFonts w:ascii="Times New Roman" w:hAnsi="Times New Roman"/>
          <w:b/>
          <w:color w:val="000000"/>
        </w:rPr>
        <w:t>its</w:t>
      </w:r>
      <w:r>
        <w:rPr>
          <w:rFonts w:ascii="Times New Roman" w:hAnsi="Times New Roman"/>
          <w:b/>
          <w:color w:val="000000"/>
        </w:rPr>
        <w:t xml:space="preserve"> Proposed </w:t>
      </w:r>
      <w:r w:rsidRPr="00627594">
        <w:rPr>
          <w:rFonts w:ascii="Times New Roman" w:hAnsi="Times New Roman"/>
          <w:b/>
          <w:color w:val="000000"/>
        </w:rPr>
        <w:t xml:space="preserve">Rates </w:t>
      </w:r>
      <w:r w:rsidR="00594ED0">
        <w:rPr>
          <w:rFonts w:ascii="Times New Roman" w:hAnsi="Times New Roman"/>
          <w:b/>
          <w:color w:val="000000"/>
        </w:rPr>
        <w:t>a</w:t>
      </w:r>
      <w:r w:rsidRPr="00627594">
        <w:rPr>
          <w:rFonts w:ascii="Times New Roman" w:hAnsi="Times New Roman"/>
          <w:b/>
          <w:color w:val="000000"/>
        </w:rPr>
        <w:t>re Just</w:t>
      </w:r>
      <w:r w:rsidR="00A23D59">
        <w:rPr>
          <w:rFonts w:ascii="Times New Roman" w:hAnsi="Times New Roman"/>
          <w:b/>
          <w:color w:val="000000"/>
        </w:rPr>
        <w:t xml:space="preserve"> and</w:t>
      </w:r>
      <w:r w:rsidRPr="00627594">
        <w:rPr>
          <w:rFonts w:ascii="Times New Roman" w:hAnsi="Times New Roman"/>
          <w:b/>
          <w:color w:val="000000"/>
        </w:rPr>
        <w:t xml:space="preserve"> Reasonable</w:t>
      </w:r>
      <w:r>
        <w:rPr>
          <w:rFonts w:ascii="Times New Roman" w:hAnsi="Times New Roman"/>
          <w:b/>
        </w:rPr>
        <w:t>.</w:t>
      </w:r>
    </w:p>
    <w:p w14:paraId="3B6FCDB6" w14:textId="6213022A" w:rsidR="00361F5A" w:rsidRPr="007C7D0F" w:rsidRDefault="00BE4D8F" w:rsidP="007C7D0F">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A23D59">
        <w:rPr>
          <w:rFonts w:ascii="Times New Roman" w:hAnsi="Times New Roman"/>
        </w:rPr>
        <w:t xml:space="preserve">The </w:t>
      </w:r>
      <w:r w:rsidR="00110DF3">
        <w:rPr>
          <w:rFonts w:ascii="Times New Roman" w:hAnsi="Times New Roman"/>
        </w:rPr>
        <w:t>Commission regulates</w:t>
      </w:r>
      <w:r w:rsidR="00110DF3" w:rsidRPr="00110DF3">
        <w:rPr>
          <w:rFonts w:ascii="Times New Roman" w:hAnsi="Times New Roman"/>
        </w:rPr>
        <w:t xml:space="preserve"> in the public interest, as provided by the public service laws, the rates, services, facilities, and practices of </w:t>
      </w:r>
      <w:r w:rsidR="00110DF3">
        <w:rPr>
          <w:rFonts w:ascii="Times New Roman" w:hAnsi="Times New Roman"/>
        </w:rPr>
        <w:t xml:space="preserve">any public service companies </w:t>
      </w:r>
      <w:r w:rsidR="00110DF3" w:rsidRPr="00110DF3">
        <w:rPr>
          <w:rFonts w:ascii="Times New Roman" w:hAnsi="Times New Roman"/>
        </w:rPr>
        <w:t xml:space="preserve">supplying </w:t>
      </w:r>
      <w:r w:rsidR="00110DF3">
        <w:rPr>
          <w:rFonts w:ascii="Times New Roman" w:hAnsi="Times New Roman"/>
        </w:rPr>
        <w:t>a</w:t>
      </w:r>
      <w:r w:rsidR="00110DF3" w:rsidRPr="00110DF3">
        <w:rPr>
          <w:rFonts w:ascii="Times New Roman" w:hAnsi="Times New Roman"/>
        </w:rPr>
        <w:t xml:space="preserve"> utility service to the public for compensation.</w:t>
      </w:r>
      <w:r w:rsidR="00110DF3">
        <w:rPr>
          <w:rStyle w:val="FootnoteReference"/>
          <w:rFonts w:ascii="Times New Roman" w:hAnsi="Times New Roman"/>
        </w:rPr>
        <w:footnoteReference w:id="32"/>
      </w:r>
      <w:r w:rsidR="00110DF3">
        <w:rPr>
          <w:rFonts w:ascii="Times New Roman" w:hAnsi="Times New Roman"/>
        </w:rPr>
        <w:t xml:space="preserve">  The rates for utility service</w:t>
      </w:r>
      <w:r w:rsidRPr="00110DF3">
        <w:rPr>
          <w:rFonts w:ascii="Times New Roman" w:hAnsi="Times New Roman"/>
        </w:rPr>
        <w:t xml:space="preserve"> </w:t>
      </w:r>
      <w:r w:rsidR="00110DF3">
        <w:rPr>
          <w:rFonts w:ascii="Times New Roman" w:hAnsi="Times New Roman"/>
        </w:rPr>
        <w:t>must</w:t>
      </w:r>
      <w:r w:rsidRPr="00110DF3">
        <w:rPr>
          <w:rFonts w:ascii="Times New Roman" w:hAnsi="Times New Roman"/>
        </w:rPr>
        <w:t xml:space="preserve"> be just</w:t>
      </w:r>
      <w:r w:rsidR="00A23D59">
        <w:rPr>
          <w:rFonts w:ascii="Times New Roman" w:hAnsi="Times New Roman"/>
        </w:rPr>
        <w:t xml:space="preserve"> and</w:t>
      </w:r>
      <w:r w:rsidRPr="00110DF3">
        <w:rPr>
          <w:rFonts w:ascii="Times New Roman" w:hAnsi="Times New Roman"/>
        </w:rPr>
        <w:t xml:space="preserve"> reasonable.</w:t>
      </w:r>
      <w:r w:rsidR="00110DF3">
        <w:rPr>
          <w:rStyle w:val="FootnoteReference"/>
          <w:rFonts w:ascii="Times New Roman" w:hAnsi="Times New Roman"/>
        </w:rPr>
        <w:footnoteReference w:id="33"/>
      </w:r>
      <w:r w:rsidR="00110DF3" w:rsidRPr="00361F5A">
        <w:rPr>
          <w:rFonts w:ascii="Times New Roman" w:hAnsi="Times New Roman"/>
        </w:rPr>
        <w:t xml:space="preserve"> </w:t>
      </w:r>
      <w:r w:rsidR="00A23D59">
        <w:rPr>
          <w:rFonts w:ascii="Times New Roman" w:hAnsi="Times New Roman"/>
        </w:rPr>
        <w:t>Pursuant to</w:t>
      </w:r>
      <w:r w:rsidR="00110DF3" w:rsidRPr="00361F5A">
        <w:rPr>
          <w:rFonts w:ascii="Times New Roman" w:hAnsi="Times New Roman"/>
        </w:rPr>
        <w:t xml:space="preserve"> RCW 80.04.130(4), </w:t>
      </w:r>
      <w:r w:rsidR="00110DF3">
        <w:rPr>
          <w:rFonts w:ascii="Times New Roman" w:hAnsi="Times New Roman"/>
        </w:rPr>
        <w:t xml:space="preserve">the </w:t>
      </w:r>
      <w:r w:rsidR="00110DF3" w:rsidRPr="00361F5A">
        <w:rPr>
          <w:rFonts w:ascii="Times New Roman" w:hAnsi="Times New Roman"/>
        </w:rPr>
        <w:t>public service company</w:t>
      </w:r>
      <w:r w:rsidR="00110DF3">
        <w:rPr>
          <w:rFonts w:ascii="Times New Roman" w:hAnsi="Times New Roman"/>
        </w:rPr>
        <w:t xml:space="preserve"> carries the </w:t>
      </w:r>
      <w:r w:rsidR="00110DF3" w:rsidRPr="00361F5A">
        <w:rPr>
          <w:rFonts w:ascii="Times New Roman" w:hAnsi="Times New Roman"/>
        </w:rPr>
        <w:t xml:space="preserve">burden of proof to show that </w:t>
      </w:r>
      <w:r w:rsidR="00A23D59">
        <w:rPr>
          <w:rFonts w:ascii="Times New Roman" w:hAnsi="Times New Roman"/>
        </w:rPr>
        <w:t>proposed rates are</w:t>
      </w:r>
      <w:r w:rsidR="00110DF3" w:rsidRPr="00361F5A">
        <w:rPr>
          <w:rFonts w:ascii="Times New Roman" w:hAnsi="Times New Roman"/>
        </w:rPr>
        <w:t xml:space="preserve"> just and reasonable</w:t>
      </w:r>
      <w:r w:rsidR="00110DF3">
        <w:rPr>
          <w:rFonts w:ascii="Times New Roman" w:hAnsi="Times New Roman"/>
        </w:rPr>
        <w:t>.</w:t>
      </w:r>
      <w:r w:rsidR="007C7D0F" w:rsidRPr="007C7D0F">
        <w:rPr>
          <w:rFonts w:ascii="Times New Roman" w:hAnsi="Times New Roman"/>
        </w:rPr>
        <w:t xml:space="preserve"> </w:t>
      </w:r>
      <w:r w:rsidR="007C7D0F">
        <w:rPr>
          <w:rFonts w:ascii="Times New Roman" w:hAnsi="Times New Roman"/>
        </w:rPr>
        <w:t xml:space="preserve">PSE failed to carry its </w:t>
      </w:r>
      <w:r w:rsidR="002A1A34">
        <w:rPr>
          <w:rFonts w:ascii="Times New Roman" w:hAnsi="Times New Roman"/>
        </w:rPr>
        <w:t xml:space="preserve">minimum </w:t>
      </w:r>
      <w:r w:rsidR="007C7D0F" w:rsidRPr="00361F5A">
        <w:rPr>
          <w:rFonts w:ascii="Times New Roman" w:hAnsi="Times New Roman"/>
        </w:rPr>
        <w:t xml:space="preserve">burden of proof to </w:t>
      </w:r>
      <w:r w:rsidR="007C7D0F">
        <w:rPr>
          <w:rFonts w:ascii="Times New Roman" w:hAnsi="Times New Roman"/>
        </w:rPr>
        <w:t>establish</w:t>
      </w:r>
      <w:r w:rsidR="007C7D0F" w:rsidRPr="00361F5A">
        <w:rPr>
          <w:rFonts w:ascii="Times New Roman" w:hAnsi="Times New Roman"/>
        </w:rPr>
        <w:t xml:space="preserve"> that </w:t>
      </w:r>
      <w:r w:rsidR="007C7D0F">
        <w:rPr>
          <w:rFonts w:ascii="Times New Roman" w:hAnsi="Times New Roman"/>
        </w:rPr>
        <w:t xml:space="preserve">its proposed rates are </w:t>
      </w:r>
      <w:r w:rsidR="007C7D0F" w:rsidRPr="00361F5A">
        <w:rPr>
          <w:rFonts w:ascii="Times New Roman" w:hAnsi="Times New Roman"/>
        </w:rPr>
        <w:t>just and reasonable</w:t>
      </w:r>
      <w:r w:rsidR="007C7D0F">
        <w:rPr>
          <w:rFonts w:ascii="Times New Roman" w:hAnsi="Times New Roman"/>
        </w:rPr>
        <w:t xml:space="preserve">. </w:t>
      </w:r>
      <w:r w:rsidR="00110DF3" w:rsidRPr="007C7D0F">
        <w:rPr>
          <w:rFonts w:ascii="Times New Roman" w:hAnsi="Times New Roman"/>
        </w:rPr>
        <w:t xml:space="preserve"> </w:t>
      </w:r>
      <w:r w:rsidR="00110DF3" w:rsidRPr="007C7D0F">
        <w:rPr>
          <w:rFonts w:ascii="Times New Roman" w:hAnsi="Times New Roman"/>
        </w:rPr>
        <w:tab/>
      </w:r>
    </w:p>
    <w:p w14:paraId="660FCA48" w14:textId="5FEAC7F0" w:rsidR="00361F5A" w:rsidRDefault="007C7D0F" w:rsidP="00361F5A">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361F5A" w:rsidRPr="00361F5A">
        <w:rPr>
          <w:rFonts w:ascii="Times New Roman" w:hAnsi="Times New Roman"/>
        </w:rPr>
        <w:t xml:space="preserve">PSE </w:t>
      </w:r>
      <w:r>
        <w:rPr>
          <w:rFonts w:ascii="Times New Roman" w:hAnsi="Times New Roman"/>
        </w:rPr>
        <w:t>case</w:t>
      </w:r>
      <w:r w:rsidR="00361F5A" w:rsidRPr="00361F5A">
        <w:rPr>
          <w:rFonts w:ascii="Times New Roman" w:hAnsi="Times New Roman"/>
        </w:rPr>
        <w:t xml:space="preserve"> suffers from two </w:t>
      </w:r>
      <w:r>
        <w:rPr>
          <w:rFonts w:ascii="Times New Roman" w:hAnsi="Times New Roman"/>
        </w:rPr>
        <w:t xml:space="preserve">critical </w:t>
      </w:r>
      <w:r w:rsidR="00361F5A" w:rsidRPr="00361F5A">
        <w:rPr>
          <w:rFonts w:ascii="Times New Roman" w:hAnsi="Times New Roman"/>
        </w:rPr>
        <w:t xml:space="preserve">defects: 1) the </w:t>
      </w:r>
      <w:r>
        <w:rPr>
          <w:rFonts w:ascii="Times New Roman" w:hAnsi="Times New Roman"/>
        </w:rPr>
        <w:t>C</w:t>
      </w:r>
      <w:r w:rsidR="00361F5A" w:rsidRPr="00361F5A">
        <w:rPr>
          <w:rFonts w:ascii="Times New Roman" w:hAnsi="Times New Roman"/>
        </w:rPr>
        <w:t xml:space="preserve">ompany failed to present rates based on </w:t>
      </w:r>
      <w:r w:rsidR="00F447D2">
        <w:rPr>
          <w:rFonts w:ascii="Times New Roman" w:hAnsi="Times New Roman"/>
        </w:rPr>
        <w:t>know</w:t>
      </w:r>
      <w:r w:rsidR="008F739E">
        <w:rPr>
          <w:rFonts w:ascii="Times New Roman" w:hAnsi="Times New Roman"/>
        </w:rPr>
        <w:t>n</w:t>
      </w:r>
      <w:r w:rsidR="00F447D2">
        <w:rPr>
          <w:rFonts w:ascii="Times New Roman" w:hAnsi="Times New Roman"/>
        </w:rPr>
        <w:t xml:space="preserve"> costs of chosen products</w:t>
      </w:r>
      <w:r w:rsidR="002A1A34">
        <w:rPr>
          <w:rFonts w:ascii="Times New Roman" w:hAnsi="Times New Roman"/>
        </w:rPr>
        <w:t>,</w:t>
      </w:r>
      <w:r w:rsidR="00361F5A" w:rsidRPr="00361F5A">
        <w:rPr>
          <w:rFonts w:ascii="Times New Roman" w:hAnsi="Times New Roman"/>
        </w:rPr>
        <w:t xml:space="preserve"> </w:t>
      </w:r>
      <w:r>
        <w:rPr>
          <w:rFonts w:ascii="Times New Roman" w:hAnsi="Times New Roman"/>
        </w:rPr>
        <w:t>and 2) the C</w:t>
      </w:r>
      <w:r w:rsidR="00361F5A" w:rsidRPr="00361F5A">
        <w:rPr>
          <w:rFonts w:ascii="Times New Roman" w:hAnsi="Times New Roman"/>
        </w:rPr>
        <w:t>ompany materially altered its proposal on rebuttal</w:t>
      </w:r>
      <w:r w:rsidR="00F447D2">
        <w:rPr>
          <w:rFonts w:ascii="Times New Roman" w:hAnsi="Times New Roman"/>
        </w:rPr>
        <w:t xml:space="preserve"> by</w:t>
      </w:r>
      <w:r w:rsidR="00361F5A" w:rsidRPr="00361F5A">
        <w:rPr>
          <w:rFonts w:ascii="Times New Roman" w:hAnsi="Times New Roman"/>
        </w:rPr>
        <w:t xml:space="preserve"> promising </w:t>
      </w:r>
      <w:r w:rsidR="00F447D2">
        <w:rPr>
          <w:rFonts w:ascii="Times New Roman" w:hAnsi="Times New Roman"/>
        </w:rPr>
        <w:t xml:space="preserve">to add </w:t>
      </w:r>
      <w:r w:rsidR="00361F5A" w:rsidRPr="00361F5A">
        <w:rPr>
          <w:rFonts w:ascii="Times New Roman" w:hAnsi="Times New Roman"/>
        </w:rPr>
        <w:t xml:space="preserve">new features via </w:t>
      </w:r>
      <w:r w:rsidR="002A1A34">
        <w:rPr>
          <w:rFonts w:ascii="Times New Roman" w:hAnsi="Times New Roman"/>
        </w:rPr>
        <w:t xml:space="preserve">a </w:t>
      </w:r>
      <w:r w:rsidR="00361F5A" w:rsidRPr="00361F5A">
        <w:rPr>
          <w:rFonts w:ascii="Times New Roman" w:hAnsi="Times New Roman"/>
        </w:rPr>
        <w:t xml:space="preserve">compliance filing only after the Commission approves </w:t>
      </w:r>
      <w:r w:rsidR="00F447D2">
        <w:rPr>
          <w:rFonts w:ascii="Times New Roman" w:hAnsi="Times New Roman"/>
        </w:rPr>
        <w:t>its proposed</w:t>
      </w:r>
      <w:r w:rsidR="00361F5A" w:rsidRPr="00361F5A">
        <w:rPr>
          <w:rFonts w:ascii="Times New Roman" w:hAnsi="Times New Roman"/>
        </w:rPr>
        <w:t xml:space="preserve"> tariff</w:t>
      </w:r>
      <w:r w:rsidR="008F739E" w:rsidRPr="00361F5A">
        <w:rPr>
          <w:rFonts w:ascii="Times New Roman" w:hAnsi="Times New Roman"/>
        </w:rPr>
        <w:t xml:space="preserve">. </w:t>
      </w:r>
      <w:r w:rsidR="00361F5A" w:rsidRPr="00361F5A">
        <w:rPr>
          <w:rFonts w:ascii="Times New Roman" w:hAnsi="Times New Roman"/>
        </w:rPr>
        <w:t xml:space="preserve">PSE’s request is tantamount to </w:t>
      </w:r>
      <w:r>
        <w:rPr>
          <w:rFonts w:ascii="Times New Roman" w:hAnsi="Times New Roman"/>
        </w:rPr>
        <w:t xml:space="preserve">a request for </w:t>
      </w:r>
      <w:r w:rsidR="00361F5A" w:rsidRPr="00361F5A">
        <w:rPr>
          <w:rFonts w:ascii="Times New Roman" w:hAnsi="Times New Roman"/>
        </w:rPr>
        <w:t>preapproval, which th</w:t>
      </w:r>
      <w:r>
        <w:rPr>
          <w:rFonts w:ascii="Times New Roman" w:hAnsi="Times New Roman"/>
        </w:rPr>
        <w:t>e</w:t>
      </w:r>
      <w:r w:rsidR="00361F5A" w:rsidRPr="00361F5A">
        <w:rPr>
          <w:rFonts w:ascii="Times New Roman" w:hAnsi="Times New Roman"/>
        </w:rPr>
        <w:t xml:space="preserve"> </w:t>
      </w:r>
      <w:r>
        <w:rPr>
          <w:rFonts w:ascii="Times New Roman" w:hAnsi="Times New Roman"/>
        </w:rPr>
        <w:t>C</w:t>
      </w:r>
      <w:r w:rsidR="00361F5A" w:rsidRPr="00361F5A">
        <w:rPr>
          <w:rFonts w:ascii="Times New Roman" w:hAnsi="Times New Roman"/>
        </w:rPr>
        <w:t>ommission does not grant.</w:t>
      </w:r>
      <w:r w:rsidR="00E071F8">
        <w:rPr>
          <w:rStyle w:val="FootnoteReference"/>
          <w:rFonts w:ascii="Times New Roman" w:hAnsi="Times New Roman"/>
        </w:rPr>
        <w:footnoteReference w:id="34"/>
      </w:r>
      <w:r w:rsidR="00361F5A" w:rsidRPr="00361F5A">
        <w:rPr>
          <w:rFonts w:ascii="Times New Roman" w:hAnsi="Times New Roman"/>
        </w:rPr>
        <w:t xml:space="preserve"> </w:t>
      </w:r>
      <w:r>
        <w:rPr>
          <w:rFonts w:ascii="Times New Roman" w:hAnsi="Times New Roman"/>
        </w:rPr>
        <w:t xml:space="preserve">Further process is not necessary because PSE failed to comply with these </w:t>
      </w:r>
      <w:r w:rsidR="00361F5A" w:rsidRPr="00361F5A">
        <w:rPr>
          <w:rFonts w:ascii="Times New Roman" w:hAnsi="Times New Roman"/>
        </w:rPr>
        <w:t xml:space="preserve">basic requirements for </w:t>
      </w:r>
      <w:r w:rsidR="002A1A34">
        <w:rPr>
          <w:rFonts w:ascii="Times New Roman" w:hAnsi="Times New Roman"/>
        </w:rPr>
        <w:t xml:space="preserve">a </w:t>
      </w:r>
      <w:r w:rsidR="00361F5A" w:rsidRPr="00361F5A">
        <w:rPr>
          <w:rFonts w:ascii="Times New Roman" w:hAnsi="Times New Roman"/>
        </w:rPr>
        <w:t xml:space="preserve">regulated tariff-based service. </w:t>
      </w:r>
      <w:r w:rsidR="00313D6F">
        <w:rPr>
          <w:rFonts w:ascii="Times New Roman" w:hAnsi="Times New Roman"/>
        </w:rPr>
        <w:t xml:space="preserve"> </w:t>
      </w:r>
    </w:p>
    <w:p w14:paraId="3876CACE" w14:textId="2DF275B1" w:rsidR="007224E9" w:rsidRPr="005579FE" w:rsidRDefault="003E3E4A" w:rsidP="005579FE">
      <w:pPr>
        <w:widowControl w:val="0"/>
        <w:numPr>
          <w:ilvl w:val="0"/>
          <w:numId w:val="6"/>
        </w:numPr>
        <w:spacing w:line="480" w:lineRule="auto"/>
        <w:ind w:left="0" w:hanging="720"/>
        <w:rPr>
          <w:rFonts w:ascii="Times New Roman" w:hAnsi="Times New Roman"/>
        </w:rPr>
      </w:pPr>
      <w:r w:rsidRPr="007224E9">
        <w:rPr>
          <w:rFonts w:ascii="Times New Roman" w:hAnsi="Times New Roman"/>
        </w:rPr>
        <w:lastRenderedPageBreak/>
        <w:t xml:space="preserve"> </w:t>
      </w:r>
      <w:r w:rsidRPr="007224E9">
        <w:rPr>
          <w:rFonts w:ascii="Times New Roman" w:hAnsi="Times New Roman"/>
        </w:rPr>
        <w:tab/>
      </w:r>
      <w:r w:rsidR="00AF0343" w:rsidRPr="005579FE">
        <w:rPr>
          <w:rFonts w:ascii="Times New Roman" w:hAnsi="Times New Roman"/>
        </w:rPr>
        <w:t xml:space="preserve">First, </w:t>
      </w:r>
      <w:r w:rsidRPr="005579FE">
        <w:rPr>
          <w:rFonts w:ascii="Times New Roman" w:hAnsi="Times New Roman"/>
        </w:rPr>
        <w:t xml:space="preserve">PSE failed to </w:t>
      </w:r>
      <w:r w:rsidR="00AF0343" w:rsidRPr="005579FE">
        <w:rPr>
          <w:rFonts w:ascii="Times New Roman" w:hAnsi="Times New Roman"/>
        </w:rPr>
        <w:t xml:space="preserve">present sufficient evidence to meet its burden of proof that the proposed rates are just and reasonable because </w:t>
      </w:r>
      <w:r w:rsidR="00EF0326" w:rsidRPr="005579FE">
        <w:rPr>
          <w:rFonts w:ascii="Times New Roman" w:hAnsi="Times New Roman"/>
        </w:rPr>
        <w:t>the rates are base</w:t>
      </w:r>
      <w:r w:rsidR="00F803EE" w:rsidRPr="005579FE">
        <w:rPr>
          <w:rFonts w:ascii="Times New Roman" w:hAnsi="Times New Roman"/>
        </w:rPr>
        <w:t>d</w:t>
      </w:r>
      <w:r w:rsidR="00EF0326" w:rsidRPr="005579FE">
        <w:rPr>
          <w:rFonts w:ascii="Times New Roman" w:hAnsi="Times New Roman"/>
        </w:rPr>
        <w:t xml:space="preserve"> on cost estimates predicted to occur over the life of the 1</w:t>
      </w:r>
      <w:r w:rsidR="007224E9" w:rsidRPr="005579FE">
        <w:rPr>
          <w:rFonts w:ascii="Times New Roman" w:hAnsi="Times New Roman"/>
        </w:rPr>
        <w:t>0</w:t>
      </w:r>
      <w:r w:rsidR="00EF0326" w:rsidRPr="005579FE">
        <w:rPr>
          <w:rFonts w:ascii="Times New Roman" w:hAnsi="Times New Roman"/>
        </w:rPr>
        <w:t xml:space="preserve">-18 year lease term. </w:t>
      </w:r>
      <w:r w:rsidR="00852267" w:rsidRPr="005579FE">
        <w:rPr>
          <w:rFonts w:ascii="Times New Roman" w:hAnsi="Times New Roman"/>
        </w:rPr>
        <w:t>These estimates include</w:t>
      </w:r>
      <w:r w:rsidR="00EF0326" w:rsidRPr="005579FE">
        <w:rPr>
          <w:rFonts w:ascii="Times New Roman" w:hAnsi="Times New Roman"/>
        </w:rPr>
        <w:t xml:space="preserve"> equipment costs developed by averaging sample costs from a wide range of products because the Company ha</w:t>
      </w:r>
      <w:r w:rsidR="00852267" w:rsidRPr="005579FE">
        <w:rPr>
          <w:rFonts w:ascii="Times New Roman" w:hAnsi="Times New Roman"/>
        </w:rPr>
        <w:t>s</w:t>
      </w:r>
      <w:r w:rsidR="00EF0326" w:rsidRPr="005579FE">
        <w:rPr>
          <w:rFonts w:ascii="Times New Roman" w:hAnsi="Times New Roman"/>
        </w:rPr>
        <w:t xml:space="preserve"> not </w:t>
      </w:r>
      <w:r w:rsidR="00852267" w:rsidRPr="005579FE">
        <w:rPr>
          <w:rFonts w:ascii="Times New Roman" w:hAnsi="Times New Roman"/>
        </w:rPr>
        <w:t xml:space="preserve">yet </w:t>
      </w:r>
      <w:r w:rsidR="00EF0326" w:rsidRPr="005579FE">
        <w:rPr>
          <w:rFonts w:ascii="Times New Roman" w:hAnsi="Times New Roman"/>
        </w:rPr>
        <w:t xml:space="preserve">identified the specific equipment it would offer. Exacerbating the problem of cost estimates is </w:t>
      </w:r>
      <w:r w:rsidR="00852267" w:rsidRPr="005579FE">
        <w:rPr>
          <w:rFonts w:ascii="Times New Roman" w:hAnsi="Times New Roman"/>
        </w:rPr>
        <w:t xml:space="preserve">the fact </w:t>
      </w:r>
      <w:r w:rsidR="00EF0326" w:rsidRPr="005579FE">
        <w:rPr>
          <w:rFonts w:ascii="Times New Roman" w:hAnsi="Times New Roman"/>
        </w:rPr>
        <w:t>that the proposed rates would be fixed for the entire 1</w:t>
      </w:r>
      <w:r w:rsidR="007224E9" w:rsidRPr="005579FE">
        <w:rPr>
          <w:rFonts w:ascii="Times New Roman" w:hAnsi="Times New Roman"/>
        </w:rPr>
        <w:t>0</w:t>
      </w:r>
      <w:r w:rsidR="00EF0326" w:rsidRPr="005579FE">
        <w:rPr>
          <w:rFonts w:ascii="Times New Roman" w:hAnsi="Times New Roman"/>
        </w:rPr>
        <w:t xml:space="preserve">-18 year lease term. Consequently, </w:t>
      </w:r>
      <w:r w:rsidR="007224E9" w:rsidRPr="005579FE">
        <w:rPr>
          <w:rFonts w:ascii="Times New Roman" w:hAnsi="Times New Roman"/>
        </w:rPr>
        <w:t>PSE’s propos</w:t>
      </w:r>
      <w:r w:rsidR="005579FE" w:rsidRPr="005579FE">
        <w:rPr>
          <w:rFonts w:ascii="Times New Roman" w:hAnsi="Times New Roman"/>
        </w:rPr>
        <w:t xml:space="preserve">ed </w:t>
      </w:r>
      <w:r w:rsidR="007224E9" w:rsidRPr="005579FE">
        <w:rPr>
          <w:rFonts w:ascii="Times New Roman" w:hAnsi="Times New Roman"/>
        </w:rPr>
        <w:t>rate</w:t>
      </w:r>
      <w:r w:rsidR="005579FE" w:rsidRPr="005579FE">
        <w:rPr>
          <w:rFonts w:ascii="Times New Roman" w:hAnsi="Times New Roman"/>
        </w:rPr>
        <w:t>s</w:t>
      </w:r>
      <w:r w:rsidR="007224E9" w:rsidRPr="005579FE">
        <w:rPr>
          <w:rFonts w:ascii="Times New Roman" w:hAnsi="Times New Roman"/>
        </w:rPr>
        <w:t xml:space="preserve"> </w:t>
      </w:r>
      <w:r w:rsidR="005579FE" w:rsidRPr="005579FE">
        <w:rPr>
          <w:rFonts w:ascii="Times New Roman" w:hAnsi="Times New Roman"/>
        </w:rPr>
        <w:t xml:space="preserve">are not tied to </w:t>
      </w:r>
      <w:r w:rsidR="007224E9" w:rsidRPr="005579FE">
        <w:rPr>
          <w:rFonts w:ascii="Times New Roman" w:hAnsi="Times New Roman"/>
        </w:rPr>
        <w:t>the actual bundled product</w:t>
      </w:r>
      <w:r w:rsidR="005579FE" w:rsidRPr="005579FE">
        <w:rPr>
          <w:rFonts w:ascii="Times New Roman" w:hAnsi="Times New Roman"/>
        </w:rPr>
        <w:t>s</w:t>
      </w:r>
      <w:r w:rsidR="007224E9" w:rsidRPr="005579FE">
        <w:rPr>
          <w:rFonts w:ascii="Times New Roman" w:hAnsi="Times New Roman"/>
        </w:rPr>
        <w:t xml:space="preserve"> and service</w:t>
      </w:r>
      <w:r w:rsidR="005579FE" w:rsidRPr="005579FE">
        <w:rPr>
          <w:rFonts w:ascii="Times New Roman" w:hAnsi="Times New Roman"/>
        </w:rPr>
        <w:t>s</w:t>
      </w:r>
      <w:r w:rsidR="007224E9" w:rsidRPr="005579FE">
        <w:rPr>
          <w:rFonts w:ascii="Times New Roman" w:hAnsi="Times New Roman"/>
        </w:rPr>
        <w:t xml:space="preserve"> </w:t>
      </w:r>
      <w:r w:rsidR="005579FE" w:rsidRPr="005579FE">
        <w:rPr>
          <w:rFonts w:ascii="Times New Roman" w:hAnsi="Times New Roman"/>
        </w:rPr>
        <w:t>that the customer would receive</w:t>
      </w:r>
      <w:r w:rsidR="007224E9" w:rsidRPr="005579FE">
        <w:rPr>
          <w:rFonts w:ascii="Times New Roman" w:hAnsi="Times New Roman"/>
        </w:rPr>
        <w:t xml:space="preserve">. This critical defect </w:t>
      </w:r>
      <w:r w:rsidR="005579FE" w:rsidRPr="005579FE">
        <w:rPr>
          <w:rFonts w:ascii="Times New Roman" w:hAnsi="Times New Roman"/>
        </w:rPr>
        <w:t>ensures</w:t>
      </w:r>
      <w:r w:rsidR="007224E9" w:rsidRPr="005579FE">
        <w:rPr>
          <w:rFonts w:ascii="Times New Roman" w:hAnsi="Times New Roman"/>
        </w:rPr>
        <w:t xml:space="preserve"> the </w:t>
      </w:r>
      <w:r w:rsidR="005579FE" w:rsidRPr="005579FE">
        <w:rPr>
          <w:rFonts w:ascii="Times New Roman" w:hAnsi="Times New Roman"/>
        </w:rPr>
        <w:t xml:space="preserve">proposed </w:t>
      </w:r>
      <w:r w:rsidR="007224E9" w:rsidRPr="005579FE">
        <w:rPr>
          <w:rFonts w:ascii="Times New Roman" w:hAnsi="Times New Roman"/>
        </w:rPr>
        <w:t xml:space="preserve">rates </w:t>
      </w:r>
      <w:r w:rsidR="005579FE" w:rsidRPr="005579FE">
        <w:rPr>
          <w:rFonts w:ascii="Times New Roman" w:hAnsi="Times New Roman"/>
        </w:rPr>
        <w:t>are</w:t>
      </w:r>
      <w:r w:rsidR="007224E9" w:rsidRPr="005579FE">
        <w:rPr>
          <w:rFonts w:ascii="Times New Roman" w:hAnsi="Times New Roman"/>
        </w:rPr>
        <w:t xml:space="preserve"> </w:t>
      </w:r>
      <w:r w:rsidR="005579FE" w:rsidRPr="005579FE">
        <w:rPr>
          <w:rFonts w:ascii="Times New Roman" w:hAnsi="Times New Roman"/>
        </w:rPr>
        <w:t>un</w:t>
      </w:r>
      <w:r w:rsidR="007224E9" w:rsidRPr="005579FE">
        <w:rPr>
          <w:rFonts w:ascii="Times New Roman" w:hAnsi="Times New Roman"/>
        </w:rPr>
        <w:t xml:space="preserve">just and </w:t>
      </w:r>
      <w:r w:rsidR="005579FE" w:rsidRPr="005579FE">
        <w:rPr>
          <w:rFonts w:ascii="Times New Roman" w:hAnsi="Times New Roman"/>
        </w:rPr>
        <w:t>un</w:t>
      </w:r>
      <w:r w:rsidR="007224E9" w:rsidRPr="005579FE">
        <w:rPr>
          <w:rFonts w:ascii="Times New Roman" w:hAnsi="Times New Roman"/>
        </w:rPr>
        <w:t xml:space="preserve">reasonable. </w:t>
      </w:r>
    </w:p>
    <w:p w14:paraId="0BD0A202" w14:textId="1C106F47" w:rsidR="00C50479" w:rsidRDefault="00EF0326" w:rsidP="00C50479">
      <w:pPr>
        <w:widowControl w:val="0"/>
        <w:numPr>
          <w:ilvl w:val="0"/>
          <w:numId w:val="6"/>
        </w:numPr>
        <w:spacing w:line="480" w:lineRule="auto"/>
        <w:ind w:left="0" w:hanging="720"/>
        <w:rPr>
          <w:rFonts w:ascii="Times New Roman" w:hAnsi="Times New Roman"/>
        </w:rPr>
      </w:pPr>
      <w:r>
        <w:rPr>
          <w:rFonts w:ascii="Times New Roman" w:hAnsi="Times New Roman"/>
        </w:rPr>
        <w:tab/>
        <w:t xml:space="preserve">Second, </w:t>
      </w:r>
      <w:r w:rsidR="006F7823">
        <w:rPr>
          <w:rFonts w:ascii="Times New Roman" w:hAnsi="Times New Roman"/>
        </w:rPr>
        <w:t xml:space="preserve">PSE </w:t>
      </w:r>
      <w:r>
        <w:rPr>
          <w:rFonts w:ascii="Times New Roman" w:hAnsi="Times New Roman"/>
        </w:rPr>
        <w:t xml:space="preserve">failed </w:t>
      </w:r>
      <w:r w:rsidRPr="00361F5A">
        <w:rPr>
          <w:rFonts w:ascii="Times New Roman" w:hAnsi="Times New Roman"/>
        </w:rPr>
        <w:t xml:space="preserve">to </w:t>
      </w:r>
      <w:r w:rsidRPr="00AF0343">
        <w:rPr>
          <w:rFonts w:ascii="Times New Roman" w:hAnsi="Times New Roman"/>
        </w:rPr>
        <w:t>present sufficient evidence to meet its burden of proof t</w:t>
      </w:r>
      <w:r>
        <w:rPr>
          <w:rFonts w:ascii="Times New Roman" w:hAnsi="Times New Roman"/>
        </w:rPr>
        <w:t>hat the proposed rates are just and</w:t>
      </w:r>
      <w:r w:rsidRPr="00AF0343">
        <w:rPr>
          <w:rFonts w:ascii="Times New Roman" w:hAnsi="Times New Roman"/>
        </w:rPr>
        <w:t xml:space="preserve"> reasonable</w:t>
      </w:r>
      <w:r>
        <w:rPr>
          <w:rFonts w:ascii="Times New Roman" w:hAnsi="Times New Roman"/>
        </w:rPr>
        <w:t xml:space="preserve"> because the C</w:t>
      </w:r>
      <w:r w:rsidRPr="00361F5A">
        <w:rPr>
          <w:rFonts w:ascii="Times New Roman" w:hAnsi="Times New Roman"/>
        </w:rPr>
        <w:t>ompany materially altered its proposal on rebuttal</w:t>
      </w:r>
      <w:r>
        <w:rPr>
          <w:rFonts w:ascii="Times New Roman" w:hAnsi="Times New Roman"/>
        </w:rPr>
        <w:t xml:space="preserve"> by</w:t>
      </w:r>
      <w:r w:rsidRPr="00361F5A">
        <w:rPr>
          <w:rFonts w:ascii="Times New Roman" w:hAnsi="Times New Roman"/>
        </w:rPr>
        <w:t xml:space="preserve"> promising </w:t>
      </w:r>
      <w:r>
        <w:rPr>
          <w:rFonts w:ascii="Times New Roman" w:hAnsi="Times New Roman"/>
        </w:rPr>
        <w:t xml:space="preserve">to add </w:t>
      </w:r>
      <w:r w:rsidRPr="00361F5A">
        <w:rPr>
          <w:rFonts w:ascii="Times New Roman" w:hAnsi="Times New Roman"/>
        </w:rPr>
        <w:t xml:space="preserve">new features only after the Commission approves </w:t>
      </w:r>
      <w:r>
        <w:rPr>
          <w:rFonts w:ascii="Times New Roman" w:hAnsi="Times New Roman"/>
        </w:rPr>
        <w:t>its proposed</w:t>
      </w:r>
      <w:r w:rsidRPr="00361F5A">
        <w:rPr>
          <w:rFonts w:ascii="Times New Roman" w:hAnsi="Times New Roman"/>
        </w:rPr>
        <w:t xml:space="preserve"> tariff</w:t>
      </w:r>
      <w:r w:rsidR="00594ED0">
        <w:rPr>
          <w:rFonts w:ascii="Times New Roman" w:hAnsi="Times New Roman"/>
        </w:rPr>
        <w:t xml:space="preserve">. </w:t>
      </w:r>
      <w:r w:rsidR="00911DE6">
        <w:rPr>
          <w:rFonts w:ascii="Times New Roman" w:hAnsi="Times New Roman"/>
        </w:rPr>
        <w:t>The Commission requires that the Company present the full scope of its evidentiary case in its pre-filed direct testimony.</w:t>
      </w:r>
      <w:r w:rsidR="00911DE6">
        <w:rPr>
          <w:rStyle w:val="FootnoteReference"/>
          <w:rFonts w:ascii="Times New Roman" w:hAnsi="Times New Roman"/>
        </w:rPr>
        <w:footnoteReference w:id="35"/>
      </w:r>
      <w:r w:rsidR="00911DE6">
        <w:rPr>
          <w:rFonts w:ascii="Times New Roman" w:hAnsi="Times New Roman"/>
        </w:rPr>
        <w:t xml:space="preserve"> Rebuttal is </w:t>
      </w:r>
      <w:r w:rsidR="008F4671">
        <w:rPr>
          <w:rFonts w:ascii="Times New Roman" w:hAnsi="Times New Roman"/>
        </w:rPr>
        <w:t xml:space="preserve">appropriately </w:t>
      </w:r>
      <w:r w:rsidR="00911DE6">
        <w:rPr>
          <w:rFonts w:ascii="Times New Roman" w:hAnsi="Times New Roman"/>
        </w:rPr>
        <w:t>constrained to addressing the responses of the parties</w:t>
      </w:r>
      <w:r w:rsidR="00852267">
        <w:rPr>
          <w:rFonts w:ascii="Times New Roman" w:hAnsi="Times New Roman"/>
        </w:rPr>
        <w:t xml:space="preserve"> to that prefiled testimony</w:t>
      </w:r>
      <w:r w:rsidR="00911DE6">
        <w:rPr>
          <w:rFonts w:ascii="Times New Roman" w:hAnsi="Times New Roman"/>
        </w:rPr>
        <w:t xml:space="preserve">.  </w:t>
      </w:r>
    </w:p>
    <w:p w14:paraId="4BB16000" w14:textId="66228778" w:rsidR="00A64735" w:rsidRDefault="00C50479" w:rsidP="00F10E7B">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716FF6">
        <w:rPr>
          <w:rFonts w:ascii="Times New Roman" w:hAnsi="Times New Roman"/>
        </w:rPr>
        <w:t>The</w:t>
      </w:r>
      <w:r>
        <w:rPr>
          <w:rFonts w:ascii="Times New Roman" w:hAnsi="Times New Roman"/>
        </w:rPr>
        <w:t xml:space="preserve"> new </w:t>
      </w:r>
      <w:r w:rsidR="00716FF6">
        <w:rPr>
          <w:rFonts w:ascii="Times New Roman" w:hAnsi="Times New Roman"/>
        </w:rPr>
        <w:t xml:space="preserve">service </w:t>
      </w:r>
      <w:r w:rsidR="00B118CC">
        <w:rPr>
          <w:rFonts w:ascii="Times New Roman" w:hAnsi="Times New Roman"/>
        </w:rPr>
        <w:t>features</w:t>
      </w:r>
      <w:r w:rsidR="00716FF6">
        <w:rPr>
          <w:rFonts w:ascii="Times New Roman" w:hAnsi="Times New Roman"/>
        </w:rPr>
        <w:t xml:space="preserve"> </w:t>
      </w:r>
      <w:r w:rsidR="00B118CC">
        <w:rPr>
          <w:rFonts w:ascii="Times New Roman" w:hAnsi="Times New Roman"/>
        </w:rPr>
        <w:t xml:space="preserve">offered in rebuttal </w:t>
      </w:r>
      <w:r w:rsidR="002A1A34">
        <w:rPr>
          <w:rFonts w:ascii="Times New Roman" w:hAnsi="Times New Roman"/>
        </w:rPr>
        <w:t xml:space="preserve">may </w:t>
      </w:r>
      <w:r w:rsidR="00B118CC">
        <w:rPr>
          <w:rFonts w:ascii="Times New Roman" w:hAnsi="Times New Roman"/>
        </w:rPr>
        <w:t xml:space="preserve">inch closer to a complete proposal, but </w:t>
      </w:r>
      <w:r w:rsidR="002A1A34">
        <w:rPr>
          <w:rFonts w:ascii="Times New Roman" w:hAnsi="Times New Roman"/>
        </w:rPr>
        <w:t xml:space="preserve">PSE’s case </w:t>
      </w:r>
      <w:r w:rsidR="00B118CC">
        <w:rPr>
          <w:rFonts w:ascii="Times New Roman" w:hAnsi="Times New Roman"/>
        </w:rPr>
        <w:t>remain</w:t>
      </w:r>
      <w:r w:rsidR="002A1A34">
        <w:rPr>
          <w:rFonts w:ascii="Times New Roman" w:hAnsi="Times New Roman"/>
        </w:rPr>
        <w:t>s</w:t>
      </w:r>
      <w:r>
        <w:rPr>
          <w:rFonts w:ascii="Times New Roman" w:hAnsi="Times New Roman"/>
        </w:rPr>
        <w:t xml:space="preserve"> deficient. </w:t>
      </w:r>
      <w:r w:rsidR="00B118CC">
        <w:rPr>
          <w:rFonts w:ascii="Times New Roman" w:hAnsi="Times New Roman"/>
        </w:rPr>
        <w:t>Even if it</w:t>
      </w:r>
      <w:r w:rsidRPr="00C50479">
        <w:rPr>
          <w:rFonts w:ascii="Times New Roman" w:hAnsi="Times New Roman"/>
        </w:rPr>
        <w:t xml:space="preserve">s expanded proposal were to be </w:t>
      </w:r>
      <w:r w:rsidR="006F7823">
        <w:rPr>
          <w:rFonts w:ascii="Times New Roman" w:hAnsi="Times New Roman"/>
        </w:rPr>
        <w:t>entertained, PSE did not flesh out or substantiate</w:t>
      </w:r>
      <w:r w:rsidRPr="00C50479">
        <w:rPr>
          <w:rFonts w:ascii="Times New Roman" w:hAnsi="Times New Roman"/>
        </w:rPr>
        <w:t xml:space="preserve"> with evidence any details of its newly proposed features—PSE promised to do so only after the Commission approves its proposed Schedule 75. Due to the lack of evidentiary support and because these new features were first presented on </w:t>
      </w:r>
      <w:r w:rsidRPr="00C50479">
        <w:rPr>
          <w:rFonts w:ascii="Times New Roman" w:hAnsi="Times New Roman"/>
        </w:rPr>
        <w:lastRenderedPageBreak/>
        <w:t xml:space="preserve">rebuttal, no party can adequately conduct discovery or analyze </w:t>
      </w:r>
      <w:r w:rsidR="00B118CC">
        <w:rPr>
          <w:rFonts w:ascii="Times New Roman" w:hAnsi="Times New Roman"/>
        </w:rPr>
        <w:t>whether the</w:t>
      </w:r>
      <w:r w:rsidR="002A1A34">
        <w:rPr>
          <w:rFonts w:ascii="Times New Roman" w:hAnsi="Times New Roman"/>
        </w:rPr>
        <w:t xml:space="preserve"> new features</w:t>
      </w:r>
      <w:r w:rsidR="00B118CC">
        <w:rPr>
          <w:rFonts w:ascii="Times New Roman" w:hAnsi="Times New Roman"/>
        </w:rPr>
        <w:t xml:space="preserve"> benefit</w:t>
      </w:r>
      <w:r w:rsidR="00A64735">
        <w:rPr>
          <w:rFonts w:ascii="Times New Roman" w:hAnsi="Times New Roman"/>
        </w:rPr>
        <w:t xml:space="preserve"> customers. </w:t>
      </w:r>
    </w:p>
    <w:p w14:paraId="41C99F46" w14:textId="4D399FD1" w:rsidR="00A64735" w:rsidRPr="0079406A" w:rsidRDefault="00A64735" w:rsidP="007D3951">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C50479" w:rsidRPr="00A64735">
        <w:rPr>
          <w:rFonts w:ascii="Times New Roman" w:hAnsi="Times New Roman"/>
        </w:rPr>
        <w:t xml:space="preserve">Moreover, the details of these new features </w:t>
      </w:r>
      <w:r w:rsidR="00B118CC" w:rsidRPr="00A64735">
        <w:rPr>
          <w:rFonts w:ascii="Times New Roman" w:hAnsi="Times New Roman"/>
        </w:rPr>
        <w:t>are likely to warrant an entire</w:t>
      </w:r>
      <w:r w:rsidR="00852267">
        <w:rPr>
          <w:rFonts w:ascii="Times New Roman" w:hAnsi="Times New Roman"/>
        </w:rPr>
        <w:t>ly</w:t>
      </w:r>
      <w:r w:rsidR="00B118CC" w:rsidRPr="00A64735">
        <w:rPr>
          <w:rFonts w:ascii="Times New Roman" w:hAnsi="Times New Roman"/>
        </w:rPr>
        <w:t xml:space="preserve"> new case</w:t>
      </w:r>
      <w:r>
        <w:rPr>
          <w:rFonts w:ascii="Times New Roman" w:hAnsi="Times New Roman"/>
        </w:rPr>
        <w:t xml:space="preserve"> given the brea</w:t>
      </w:r>
      <w:r w:rsidR="006F7823">
        <w:rPr>
          <w:rFonts w:ascii="Times New Roman" w:hAnsi="Times New Roman"/>
        </w:rPr>
        <w:t>d</w:t>
      </w:r>
      <w:r>
        <w:rPr>
          <w:rFonts w:ascii="Times New Roman" w:hAnsi="Times New Roman"/>
        </w:rPr>
        <w:t xml:space="preserve">th and scope of the newly proposed features and </w:t>
      </w:r>
      <w:r w:rsidR="002A1A34">
        <w:rPr>
          <w:rFonts w:ascii="Times New Roman" w:hAnsi="Times New Roman"/>
        </w:rPr>
        <w:t xml:space="preserve">the </w:t>
      </w:r>
      <w:r>
        <w:rPr>
          <w:rFonts w:ascii="Times New Roman" w:hAnsi="Times New Roman"/>
        </w:rPr>
        <w:t xml:space="preserve">lack of detail </w:t>
      </w:r>
      <w:r w:rsidR="002A1A34">
        <w:rPr>
          <w:rFonts w:ascii="Times New Roman" w:hAnsi="Times New Roman"/>
        </w:rPr>
        <w:t>about</w:t>
      </w:r>
      <w:r>
        <w:rPr>
          <w:rFonts w:ascii="Times New Roman" w:hAnsi="Times New Roman"/>
        </w:rPr>
        <w:t xml:space="preserve"> </w:t>
      </w:r>
      <w:r w:rsidR="002A1A34">
        <w:rPr>
          <w:rFonts w:ascii="Times New Roman" w:hAnsi="Times New Roman"/>
        </w:rPr>
        <w:t>them</w:t>
      </w:r>
      <w:r w:rsidR="00852267">
        <w:rPr>
          <w:rFonts w:ascii="Times New Roman" w:hAnsi="Times New Roman"/>
        </w:rPr>
        <w:t>, which an opportunity for sur-rebuttal will not obviate</w:t>
      </w:r>
      <w:r>
        <w:rPr>
          <w:rFonts w:ascii="Times New Roman" w:hAnsi="Times New Roman"/>
        </w:rPr>
        <w:t>. The primary example is</w:t>
      </w:r>
      <w:r w:rsidR="0079406A">
        <w:rPr>
          <w:rFonts w:ascii="Times New Roman" w:hAnsi="Times New Roman"/>
        </w:rPr>
        <w:t xml:space="preserve"> PSE’s </w:t>
      </w:r>
      <w:r w:rsidR="002A1A34">
        <w:rPr>
          <w:rFonts w:ascii="Times New Roman" w:hAnsi="Times New Roman"/>
        </w:rPr>
        <w:t>promise</w:t>
      </w:r>
      <w:r w:rsidR="0079406A">
        <w:rPr>
          <w:rFonts w:ascii="Times New Roman" w:hAnsi="Times New Roman"/>
        </w:rPr>
        <w:t xml:space="preserve"> to submit a compliance filing</w:t>
      </w:r>
      <w:r w:rsidR="0079406A" w:rsidRPr="0079406A">
        <w:rPr>
          <w:rFonts w:ascii="Times New Roman" w:hAnsi="Times New Roman"/>
        </w:rPr>
        <w:t xml:space="preserve"> </w:t>
      </w:r>
      <w:r w:rsidR="0079406A">
        <w:rPr>
          <w:rFonts w:ascii="Times New Roman" w:hAnsi="Times New Roman"/>
        </w:rPr>
        <w:t>w</w:t>
      </w:r>
      <w:r w:rsidR="0079406A" w:rsidRPr="00A64735">
        <w:rPr>
          <w:rFonts w:ascii="Times New Roman" w:hAnsi="Times New Roman"/>
        </w:rPr>
        <w:t xml:space="preserve">ithin 60 days </w:t>
      </w:r>
      <w:r w:rsidR="006F7823">
        <w:rPr>
          <w:rFonts w:ascii="Times New Roman" w:hAnsi="Times New Roman"/>
        </w:rPr>
        <w:t>after the</w:t>
      </w:r>
      <w:r w:rsidR="0079406A" w:rsidRPr="00A64735">
        <w:rPr>
          <w:rFonts w:ascii="Times New Roman" w:hAnsi="Times New Roman"/>
        </w:rPr>
        <w:t xml:space="preserve"> </w:t>
      </w:r>
      <w:r w:rsidR="0079406A">
        <w:rPr>
          <w:rFonts w:ascii="Times New Roman" w:hAnsi="Times New Roman"/>
        </w:rPr>
        <w:t xml:space="preserve">Commission </w:t>
      </w:r>
      <w:r w:rsidR="0079406A" w:rsidRPr="00A64735">
        <w:rPr>
          <w:rFonts w:ascii="Times New Roman" w:hAnsi="Times New Roman"/>
        </w:rPr>
        <w:t>approv</w:t>
      </w:r>
      <w:r w:rsidR="006F7823">
        <w:rPr>
          <w:rFonts w:ascii="Times New Roman" w:hAnsi="Times New Roman"/>
        </w:rPr>
        <w:t>es the proposed leasing service</w:t>
      </w:r>
      <w:r w:rsidR="0079406A">
        <w:rPr>
          <w:rFonts w:ascii="Times New Roman" w:hAnsi="Times New Roman"/>
        </w:rPr>
        <w:t xml:space="preserve"> </w:t>
      </w:r>
      <w:r w:rsidR="006F7823">
        <w:rPr>
          <w:rFonts w:ascii="Times New Roman" w:hAnsi="Times New Roman"/>
        </w:rPr>
        <w:t>that</w:t>
      </w:r>
      <w:r w:rsidR="002A1A34">
        <w:rPr>
          <w:rFonts w:ascii="Times New Roman" w:hAnsi="Times New Roman"/>
        </w:rPr>
        <w:t xml:space="preserve"> </w:t>
      </w:r>
      <w:r w:rsidR="002A1A34" w:rsidRPr="0079406A">
        <w:rPr>
          <w:rFonts w:ascii="Times New Roman" w:hAnsi="Times New Roman"/>
        </w:rPr>
        <w:t>update</w:t>
      </w:r>
      <w:r w:rsidR="006F7823">
        <w:rPr>
          <w:rFonts w:ascii="Times New Roman" w:hAnsi="Times New Roman"/>
        </w:rPr>
        <w:t>s the</w:t>
      </w:r>
      <w:r w:rsidR="002A1A34" w:rsidRPr="0079406A">
        <w:rPr>
          <w:rFonts w:ascii="Times New Roman" w:hAnsi="Times New Roman"/>
        </w:rPr>
        <w:t xml:space="preserve"> </w:t>
      </w:r>
      <w:r w:rsidR="002A1A34">
        <w:rPr>
          <w:rFonts w:ascii="Times New Roman" w:hAnsi="Times New Roman"/>
        </w:rPr>
        <w:t xml:space="preserve">proposed </w:t>
      </w:r>
      <w:r w:rsidR="002A1A34" w:rsidRPr="0079406A">
        <w:rPr>
          <w:rFonts w:ascii="Times New Roman" w:hAnsi="Times New Roman"/>
        </w:rPr>
        <w:t xml:space="preserve">rates based on the known costs of the products it </w:t>
      </w:r>
      <w:r w:rsidR="006F7823">
        <w:rPr>
          <w:rFonts w:ascii="Times New Roman" w:hAnsi="Times New Roman"/>
        </w:rPr>
        <w:t>will by then select</w:t>
      </w:r>
      <w:r w:rsidR="002A1A34">
        <w:rPr>
          <w:rFonts w:ascii="Times New Roman" w:hAnsi="Times New Roman"/>
        </w:rPr>
        <w:t xml:space="preserve">, </w:t>
      </w:r>
      <w:r w:rsidR="006F7823">
        <w:rPr>
          <w:rFonts w:ascii="Times New Roman" w:hAnsi="Times New Roman"/>
        </w:rPr>
        <w:t xml:space="preserve">and </w:t>
      </w:r>
      <w:r w:rsidR="002A1A34">
        <w:rPr>
          <w:rFonts w:ascii="Times New Roman" w:hAnsi="Times New Roman"/>
        </w:rPr>
        <w:t xml:space="preserve">which will include </w:t>
      </w:r>
      <w:r w:rsidR="002A1A34" w:rsidRPr="0079406A">
        <w:rPr>
          <w:rFonts w:ascii="Times New Roman" w:hAnsi="Times New Roman"/>
        </w:rPr>
        <w:t>additional product offerings</w:t>
      </w:r>
      <w:r w:rsidR="002A1A34">
        <w:rPr>
          <w:rFonts w:ascii="Times New Roman" w:hAnsi="Times New Roman"/>
        </w:rPr>
        <w:t>.</w:t>
      </w:r>
      <w:r>
        <w:rPr>
          <w:rStyle w:val="FootnoteReference"/>
          <w:rFonts w:ascii="Times New Roman" w:hAnsi="Times New Roman"/>
        </w:rPr>
        <w:footnoteReference w:id="36"/>
      </w:r>
      <w:r w:rsidR="009646AE" w:rsidRPr="0079406A">
        <w:rPr>
          <w:rFonts w:ascii="Times New Roman" w:hAnsi="Times New Roman"/>
        </w:rPr>
        <w:t xml:space="preserve"> Reviewing the revised product off</w:t>
      </w:r>
      <w:r w:rsidR="006F7823">
        <w:rPr>
          <w:rFonts w:ascii="Times New Roman" w:hAnsi="Times New Roman"/>
        </w:rPr>
        <w:t>er</w:t>
      </w:r>
      <w:r w:rsidR="009646AE" w:rsidRPr="0079406A">
        <w:rPr>
          <w:rFonts w:ascii="Times New Roman" w:hAnsi="Times New Roman"/>
        </w:rPr>
        <w:t xml:space="preserve">ing and </w:t>
      </w:r>
      <w:r w:rsidR="002A1A34">
        <w:rPr>
          <w:rFonts w:ascii="Times New Roman" w:hAnsi="Times New Roman"/>
        </w:rPr>
        <w:t>the revised</w:t>
      </w:r>
      <w:r w:rsidR="009646AE" w:rsidRPr="0079406A">
        <w:rPr>
          <w:rFonts w:ascii="Times New Roman" w:hAnsi="Times New Roman"/>
        </w:rPr>
        <w:t xml:space="preserve"> costs will almost certainly necessitate suspension of the filing simply to work through the details</w:t>
      </w:r>
      <w:r w:rsidR="002A1A34" w:rsidRPr="0079406A">
        <w:rPr>
          <w:rFonts w:ascii="Times New Roman" w:hAnsi="Times New Roman"/>
        </w:rPr>
        <w:t xml:space="preserve">. </w:t>
      </w:r>
      <w:r w:rsidR="009646AE" w:rsidRPr="0079406A">
        <w:rPr>
          <w:rFonts w:ascii="Times New Roman" w:hAnsi="Times New Roman"/>
        </w:rPr>
        <w:t>In addition, such a compliance filing renders the rates in this filing void</w:t>
      </w:r>
      <w:r w:rsidR="0079406A">
        <w:rPr>
          <w:rFonts w:ascii="Times New Roman" w:hAnsi="Times New Roman"/>
        </w:rPr>
        <w:t>—</w:t>
      </w:r>
      <w:r w:rsidR="002A1A34">
        <w:rPr>
          <w:rFonts w:ascii="Times New Roman" w:hAnsi="Times New Roman"/>
        </w:rPr>
        <w:t xml:space="preserve">we </w:t>
      </w:r>
      <w:r w:rsidR="001B5329">
        <w:rPr>
          <w:rFonts w:ascii="Times New Roman" w:hAnsi="Times New Roman"/>
        </w:rPr>
        <w:t>would be</w:t>
      </w:r>
      <w:r w:rsidR="002A1A34">
        <w:rPr>
          <w:rFonts w:ascii="Times New Roman" w:hAnsi="Times New Roman"/>
        </w:rPr>
        <w:t xml:space="preserve"> </w:t>
      </w:r>
      <w:r w:rsidR="0079406A">
        <w:rPr>
          <w:rFonts w:ascii="Times New Roman" w:hAnsi="Times New Roman"/>
        </w:rPr>
        <w:t>back to a “naked tariff</w:t>
      </w:r>
      <w:r w:rsidR="002A1A34">
        <w:rPr>
          <w:rFonts w:ascii="Times New Roman" w:hAnsi="Times New Roman"/>
        </w:rPr>
        <w:t>.</w:t>
      </w:r>
      <w:r w:rsidR="0079406A">
        <w:rPr>
          <w:rFonts w:ascii="Times New Roman" w:hAnsi="Times New Roman"/>
        </w:rPr>
        <w:t>”</w:t>
      </w:r>
      <w:r w:rsidR="002A1A34">
        <w:rPr>
          <w:rFonts w:ascii="Times New Roman" w:hAnsi="Times New Roman"/>
        </w:rPr>
        <w:t xml:space="preserve"> </w:t>
      </w:r>
      <w:r w:rsidR="00BA68D3">
        <w:rPr>
          <w:rFonts w:ascii="Times New Roman" w:hAnsi="Times New Roman"/>
        </w:rPr>
        <w:t>PSE’s expanded rebuttal proposal attempts to punt</w:t>
      </w:r>
      <w:r w:rsidR="00335708">
        <w:rPr>
          <w:rFonts w:ascii="Times New Roman" w:hAnsi="Times New Roman"/>
        </w:rPr>
        <w:t xml:space="preserve"> </w:t>
      </w:r>
      <w:r w:rsidR="001B5329">
        <w:rPr>
          <w:rFonts w:ascii="Times New Roman" w:hAnsi="Times New Roman"/>
        </w:rPr>
        <w:t>until after</w:t>
      </w:r>
      <w:r w:rsidR="00E46981">
        <w:rPr>
          <w:rFonts w:ascii="Times New Roman" w:hAnsi="Times New Roman"/>
        </w:rPr>
        <w:t xml:space="preserve"> the Commission’s decision </w:t>
      </w:r>
      <w:r w:rsidR="00335708">
        <w:rPr>
          <w:rFonts w:ascii="Times New Roman" w:hAnsi="Times New Roman"/>
        </w:rPr>
        <w:t xml:space="preserve">its </w:t>
      </w:r>
      <w:r w:rsidR="00335708" w:rsidRPr="00361F5A">
        <w:rPr>
          <w:rFonts w:ascii="Times New Roman" w:hAnsi="Times New Roman"/>
        </w:rPr>
        <w:t xml:space="preserve">burden of proof to </w:t>
      </w:r>
      <w:r w:rsidR="00335708">
        <w:rPr>
          <w:rFonts w:ascii="Times New Roman" w:hAnsi="Times New Roman"/>
        </w:rPr>
        <w:t>establish</w:t>
      </w:r>
      <w:r w:rsidR="00335708" w:rsidRPr="00361F5A">
        <w:rPr>
          <w:rFonts w:ascii="Times New Roman" w:hAnsi="Times New Roman"/>
        </w:rPr>
        <w:t xml:space="preserve"> just and reasonable</w:t>
      </w:r>
      <w:r w:rsidR="00BA68D3">
        <w:rPr>
          <w:rFonts w:ascii="Times New Roman" w:hAnsi="Times New Roman"/>
        </w:rPr>
        <w:t xml:space="preserve"> rates</w:t>
      </w:r>
      <w:r w:rsidR="00335708">
        <w:rPr>
          <w:rFonts w:ascii="Times New Roman" w:hAnsi="Times New Roman"/>
        </w:rPr>
        <w:t>.</w:t>
      </w:r>
      <w:r w:rsidR="00BA68D3" w:rsidRPr="00BA68D3">
        <w:rPr>
          <w:rFonts w:ascii="Times New Roman" w:hAnsi="Times New Roman"/>
        </w:rPr>
        <w:t xml:space="preserve"> </w:t>
      </w:r>
      <w:r w:rsidR="001B5329">
        <w:rPr>
          <w:rFonts w:ascii="Times New Roman" w:hAnsi="Times New Roman"/>
        </w:rPr>
        <w:t xml:space="preserve">This attempt should fail. </w:t>
      </w:r>
    </w:p>
    <w:p w14:paraId="1B1E54B8" w14:textId="56E78CD1" w:rsidR="00A64735" w:rsidRPr="00F62C77" w:rsidRDefault="00BA68D3" w:rsidP="00F10E7B">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E46981">
        <w:rPr>
          <w:rFonts w:ascii="Times New Roman" w:hAnsi="Times New Roman"/>
        </w:rPr>
        <w:t>PSE</w:t>
      </w:r>
      <w:r w:rsidR="00852267">
        <w:rPr>
          <w:rFonts w:ascii="Times New Roman" w:hAnsi="Times New Roman"/>
        </w:rPr>
        <w:t>’s</w:t>
      </w:r>
      <w:r w:rsidR="00E46981">
        <w:rPr>
          <w:rFonts w:ascii="Times New Roman" w:hAnsi="Times New Roman"/>
        </w:rPr>
        <w:t xml:space="preserve"> proposal lacks all features of a regulated utility service. </w:t>
      </w:r>
      <w:r>
        <w:rPr>
          <w:rFonts w:ascii="Times New Roman" w:hAnsi="Times New Roman"/>
        </w:rPr>
        <w:t>In essence, PSE’s rebuttal</w:t>
      </w:r>
      <w:r w:rsidRPr="00361F5A">
        <w:rPr>
          <w:rFonts w:ascii="Times New Roman" w:hAnsi="Times New Roman"/>
        </w:rPr>
        <w:t xml:space="preserve"> </w:t>
      </w:r>
      <w:r>
        <w:rPr>
          <w:rFonts w:ascii="Times New Roman" w:hAnsi="Times New Roman"/>
        </w:rPr>
        <w:t>proposal</w:t>
      </w:r>
      <w:r w:rsidR="00E46981">
        <w:rPr>
          <w:rFonts w:ascii="Times New Roman" w:hAnsi="Times New Roman"/>
        </w:rPr>
        <w:t xml:space="preserve"> i</w:t>
      </w:r>
      <w:r w:rsidRPr="00361F5A">
        <w:rPr>
          <w:rFonts w:ascii="Times New Roman" w:hAnsi="Times New Roman"/>
        </w:rPr>
        <w:t xml:space="preserve">s tantamount to </w:t>
      </w:r>
      <w:r>
        <w:rPr>
          <w:rFonts w:ascii="Times New Roman" w:hAnsi="Times New Roman"/>
        </w:rPr>
        <w:t xml:space="preserve">a request for </w:t>
      </w:r>
      <w:r w:rsidRPr="00361F5A">
        <w:rPr>
          <w:rFonts w:ascii="Times New Roman" w:hAnsi="Times New Roman"/>
        </w:rPr>
        <w:t>preapproval, which th</w:t>
      </w:r>
      <w:r>
        <w:rPr>
          <w:rFonts w:ascii="Times New Roman" w:hAnsi="Times New Roman"/>
        </w:rPr>
        <w:t>e</w:t>
      </w:r>
      <w:r w:rsidRPr="00361F5A">
        <w:rPr>
          <w:rFonts w:ascii="Times New Roman" w:hAnsi="Times New Roman"/>
        </w:rPr>
        <w:t xml:space="preserve"> </w:t>
      </w:r>
      <w:r>
        <w:rPr>
          <w:rFonts w:ascii="Times New Roman" w:hAnsi="Times New Roman"/>
        </w:rPr>
        <w:t>C</w:t>
      </w:r>
      <w:r w:rsidRPr="00361F5A">
        <w:rPr>
          <w:rFonts w:ascii="Times New Roman" w:hAnsi="Times New Roman"/>
        </w:rPr>
        <w:t>ommission does not grant.</w:t>
      </w:r>
      <w:r w:rsidR="00E071F8">
        <w:rPr>
          <w:rStyle w:val="FootnoteReference"/>
          <w:rFonts w:ascii="Times New Roman" w:hAnsi="Times New Roman"/>
        </w:rPr>
        <w:footnoteReference w:id="37"/>
      </w:r>
      <w:r w:rsidRPr="00361F5A">
        <w:rPr>
          <w:rFonts w:ascii="Times New Roman" w:hAnsi="Times New Roman"/>
        </w:rPr>
        <w:t xml:space="preserve"> </w:t>
      </w:r>
      <w:r w:rsidR="00975E58">
        <w:rPr>
          <w:rFonts w:ascii="Times New Roman" w:hAnsi="Times New Roman"/>
        </w:rPr>
        <w:t xml:space="preserve">PSE seeks approval to </w:t>
      </w:r>
      <w:r w:rsidR="00E46981">
        <w:rPr>
          <w:rFonts w:ascii="Times New Roman" w:hAnsi="Times New Roman"/>
        </w:rPr>
        <w:t>vastly expand what constitutes regulated utility service so that it can rate base entire</w:t>
      </w:r>
      <w:r w:rsidR="00975E58">
        <w:rPr>
          <w:rFonts w:ascii="Times New Roman" w:hAnsi="Times New Roman"/>
        </w:rPr>
        <w:t xml:space="preserve"> new categories of </w:t>
      </w:r>
      <w:r w:rsidR="00E46981">
        <w:rPr>
          <w:rFonts w:ascii="Times New Roman" w:hAnsi="Times New Roman"/>
        </w:rPr>
        <w:t xml:space="preserve">electric and gas </w:t>
      </w:r>
      <w:r w:rsidR="00975E58">
        <w:rPr>
          <w:rFonts w:ascii="Times New Roman" w:hAnsi="Times New Roman"/>
        </w:rPr>
        <w:t>“plant</w:t>
      </w:r>
      <w:r w:rsidR="00E46981">
        <w:rPr>
          <w:rFonts w:ascii="Times New Roman" w:hAnsi="Times New Roman"/>
        </w:rPr>
        <w:t>.</w:t>
      </w:r>
      <w:r w:rsidR="00975E58">
        <w:rPr>
          <w:rFonts w:ascii="Times New Roman" w:hAnsi="Times New Roman"/>
        </w:rPr>
        <w:t xml:space="preserve">” </w:t>
      </w:r>
      <w:r w:rsidR="00E46981">
        <w:rPr>
          <w:rFonts w:ascii="Times New Roman" w:hAnsi="Times New Roman"/>
        </w:rPr>
        <w:t xml:space="preserve">The impact on customers, however, </w:t>
      </w:r>
      <w:r w:rsidR="00975E58">
        <w:rPr>
          <w:rFonts w:ascii="Times New Roman" w:hAnsi="Times New Roman"/>
        </w:rPr>
        <w:t>remains unknow</w:t>
      </w:r>
      <w:r w:rsidR="006F7823">
        <w:rPr>
          <w:rFonts w:ascii="Times New Roman" w:hAnsi="Times New Roman"/>
        </w:rPr>
        <w:t>n</w:t>
      </w:r>
      <w:r w:rsidR="00975E58">
        <w:rPr>
          <w:rFonts w:ascii="Times New Roman" w:hAnsi="Times New Roman"/>
        </w:rPr>
        <w:t xml:space="preserve"> because PSE has not fleshed out the</w:t>
      </w:r>
      <w:r w:rsidR="00E46981">
        <w:rPr>
          <w:rFonts w:ascii="Times New Roman" w:hAnsi="Times New Roman"/>
        </w:rPr>
        <w:t xml:space="preserve"> critical</w:t>
      </w:r>
      <w:r w:rsidR="00975E58">
        <w:rPr>
          <w:rFonts w:ascii="Times New Roman" w:hAnsi="Times New Roman"/>
        </w:rPr>
        <w:t xml:space="preserve"> details</w:t>
      </w:r>
      <w:r w:rsidR="00E46981">
        <w:rPr>
          <w:rFonts w:ascii="Times New Roman" w:hAnsi="Times New Roman"/>
        </w:rPr>
        <w:t xml:space="preserve"> of its expanded proposal</w:t>
      </w:r>
      <w:r w:rsidR="006F7823">
        <w:rPr>
          <w:rFonts w:ascii="Times New Roman" w:hAnsi="Times New Roman"/>
        </w:rPr>
        <w:t>. I</w:t>
      </w:r>
      <w:r w:rsidR="00975E58">
        <w:rPr>
          <w:rFonts w:ascii="Times New Roman" w:hAnsi="Times New Roman"/>
        </w:rPr>
        <w:t xml:space="preserve">t merely hints at vast possibilities. </w:t>
      </w:r>
      <w:r w:rsidR="00F62C77">
        <w:rPr>
          <w:rFonts w:ascii="Times New Roman" w:hAnsi="Times New Roman"/>
        </w:rPr>
        <w:t>Here, t</w:t>
      </w:r>
      <w:r w:rsidR="00975E58">
        <w:rPr>
          <w:rFonts w:ascii="Times New Roman" w:hAnsi="Times New Roman"/>
        </w:rPr>
        <w:t>he Commission has an opportunity to provide PSE with</w:t>
      </w:r>
      <w:r w:rsidR="00E46981">
        <w:rPr>
          <w:rFonts w:ascii="Times New Roman" w:hAnsi="Times New Roman"/>
        </w:rPr>
        <w:t xml:space="preserve"> the</w:t>
      </w:r>
      <w:r w:rsidR="00975E58">
        <w:rPr>
          <w:rFonts w:ascii="Times New Roman" w:hAnsi="Times New Roman"/>
        </w:rPr>
        <w:t xml:space="preserve"> guidance it seeks by addressing the bounds of the Company’s utility service and </w:t>
      </w:r>
      <w:r w:rsidR="00E46981">
        <w:rPr>
          <w:rFonts w:ascii="Times New Roman" w:hAnsi="Times New Roman"/>
        </w:rPr>
        <w:t xml:space="preserve">the </w:t>
      </w:r>
      <w:r w:rsidR="00975E58">
        <w:rPr>
          <w:rFonts w:ascii="Times New Roman" w:hAnsi="Times New Roman"/>
        </w:rPr>
        <w:t xml:space="preserve">basic requirements of establishing </w:t>
      </w:r>
      <w:r w:rsidR="00F62C77">
        <w:rPr>
          <w:rFonts w:ascii="Times New Roman" w:hAnsi="Times New Roman"/>
        </w:rPr>
        <w:t xml:space="preserve">new rates. If warranted, </w:t>
      </w:r>
      <w:r w:rsidR="00F62C77">
        <w:rPr>
          <w:rFonts w:ascii="Times New Roman" w:hAnsi="Times New Roman"/>
        </w:rPr>
        <w:lastRenderedPageBreak/>
        <w:t>the Company can use that guidance to develop future proposals</w:t>
      </w:r>
      <w:r w:rsidR="00E46981">
        <w:rPr>
          <w:rFonts w:ascii="Times New Roman" w:hAnsi="Times New Roman"/>
        </w:rPr>
        <w:t xml:space="preserve"> for new utility services</w:t>
      </w:r>
      <w:r w:rsidR="00F62C77">
        <w:rPr>
          <w:rFonts w:ascii="Times New Roman" w:hAnsi="Times New Roman"/>
        </w:rPr>
        <w:t>.</w:t>
      </w:r>
      <w:r w:rsidR="00E46981">
        <w:rPr>
          <w:rFonts w:ascii="Times New Roman" w:hAnsi="Times New Roman"/>
        </w:rPr>
        <w:t xml:space="preserve"> Otherwise the Company can embark on its proposal as an unregulated, competitive service. </w:t>
      </w:r>
    </w:p>
    <w:p w14:paraId="08D86F8D" w14:textId="6B5C7FF7" w:rsidR="007B4430" w:rsidRPr="007B4430" w:rsidRDefault="00EB0C74" w:rsidP="007B4430">
      <w:pPr>
        <w:keepNext/>
        <w:spacing w:line="480" w:lineRule="auto"/>
        <w:jc w:val="center"/>
        <w:rPr>
          <w:rFonts w:ascii="Times New Roman" w:hAnsi="Times New Roman"/>
        </w:rPr>
      </w:pPr>
      <w:r>
        <w:rPr>
          <w:rFonts w:ascii="Times New Roman" w:hAnsi="Times New Roman"/>
          <w:b/>
        </w:rPr>
        <w:t xml:space="preserve">VII.  </w:t>
      </w:r>
      <w:r w:rsidR="007B4430" w:rsidRPr="007B4430">
        <w:rPr>
          <w:rFonts w:ascii="Times New Roman" w:hAnsi="Times New Roman"/>
          <w:b/>
        </w:rPr>
        <w:t>CONCLUSION</w:t>
      </w:r>
    </w:p>
    <w:p w14:paraId="017E8FB1" w14:textId="58DF085A" w:rsidR="006911A3" w:rsidRPr="00F62C77" w:rsidRDefault="00F62C77" w:rsidP="007B4430">
      <w:pPr>
        <w:keepNext/>
        <w:numPr>
          <w:ilvl w:val="0"/>
          <w:numId w:val="6"/>
        </w:numPr>
        <w:spacing w:line="480" w:lineRule="auto"/>
        <w:ind w:left="0" w:hanging="720"/>
        <w:rPr>
          <w:rFonts w:ascii="Times New Roman" w:hAnsi="Times New Roman"/>
        </w:rPr>
      </w:pPr>
      <w:r>
        <w:rPr>
          <w:rFonts w:ascii="Times New Roman" w:hAnsi="Times New Roman"/>
          <w:color w:val="000000"/>
        </w:rPr>
        <w:t xml:space="preserve"> </w:t>
      </w:r>
      <w:r>
        <w:rPr>
          <w:rFonts w:ascii="Times New Roman" w:hAnsi="Times New Roman"/>
          <w:color w:val="000000"/>
        </w:rPr>
        <w:tab/>
      </w:r>
      <w:r w:rsidR="001B5329">
        <w:rPr>
          <w:rFonts w:ascii="Times New Roman" w:hAnsi="Times New Roman"/>
          <w:color w:val="000000"/>
        </w:rPr>
        <w:t xml:space="preserve">Commission </w:t>
      </w:r>
      <w:r w:rsidRPr="00E0667A">
        <w:rPr>
          <w:rFonts w:ascii="Times New Roman" w:hAnsi="Times New Roman"/>
          <w:color w:val="000000"/>
        </w:rPr>
        <w:t xml:space="preserve">Staff </w:t>
      </w:r>
      <w:r w:rsidRPr="00AA5A8D">
        <w:rPr>
          <w:rFonts w:ascii="Times New Roman" w:hAnsi="Times New Roman"/>
          <w:color w:val="000000"/>
        </w:rPr>
        <w:t>respectfully requests that</w:t>
      </w:r>
      <w:r w:rsidRPr="00F62C77">
        <w:rPr>
          <w:rFonts w:ascii="Times New Roman" w:hAnsi="Times New Roman"/>
        </w:rPr>
        <w:t xml:space="preserve"> </w:t>
      </w:r>
      <w:r>
        <w:rPr>
          <w:rFonts w:ascii="Times New Roman" w:hAnsi="Times New Roman"/>
        </w:rPr>
        <w:t xml:space="preserve">the Commission grant its motion </w:t>
      </w:r>
      <w:r w:rsidRPr="007B4430">
        <w:rPr>
          <w:rFonts w:ascii="Times New Roman" w:hAnsi="Times New Roman"/>
        </w:rPr>
        <w:t xml:space="preserve">and issue an order </w:t>
      </w:r>
      <w:r>
        <w:rPr>
          <w:rFonts w:ascii="Times New Roman" w:hAnsi="Times New Roman"/>
        </w:rPr>
        <w:t>rejecting</w:t>
      </w:r>
      <w:r w:rsidRPr="007B4430">
        <w:rPr>
          <w:rFonts w:ascii="Times New Roman" w:hAnsi="Times New Roman"/>
        </w:rPr>
        <w:t xml:space="preserve"> the</w:t>
      </w:r>
      <w:r>
        <w:rPr>
          <w:rFonts w:ascii="Times New Roman" w:hAnsi="Times New Roman"/>
        </w:rPr>
        <w:t xml:space="preserve"> tariff filings and closing the dockets</w:t>
      </w:r>
      <w:r w:rsidRPr="007B4430">
        <w:rPr>
          <w:rFonts w:ascii="Times New Roman" w:hAnsi="Times New Roman"/>
        </w:rPr>
        <w:t xml:space="preserve">. </w:t>
      </w:r>
      <w:r>
        <w:rPr>
          <w:rFonts w:ascii="Times New Roman" w:hAnsi="Times New Roman"/>
        </w:rPr>
        <w:t>Staff further requests</w:t>
      </w:r>
      <w:r w:rsidRPr="00F62C77">
        <w:rPr>
          <w:rFonts w:ascii="Times New Roman" w:hAnsi="Times New Roman"/>
          <w:color w:val="000000"/>
        </w:rPr>
        <w:t xml:space="preserve"> the Commission affirm, as a general principle, </w:t>
      </w:r>
      <w:r w:rsidR="00290408" w:rsidRPr="00F62C77">
        <w:rPr>
          <w:rFonts w:ascii="Times New Roman" w:hAnsi="Times New Roman"/>
          <w:color w:val="000000"/>
        </w:rPr>
        <w:t xml:space="preserve">that </w:t>
      </w:r>
      <w:r w:rsidR="00290408">
        <w:rPr>
          <w:rFonts w:ascii="Times New Roman" w:hAnsi="Times New Roman"/>
          <w:color w:val="000000"/>
        </w:rPr>
        <w:t>regulated</w:t>
      </w:r>
      <w:r w:rsidRPr="00F62C77">
        <w:rPr>
          <w:rFonts w:ascii="Times New Roman" w:hAnsi="Times New Roman"/>
          <w:color w:val="000000"/>
        </w:rPr>
        <w:t xml:space="preserve"> utility service ends at the customer meter unless the overreaching service is narrowly tailored to provide compelling net-benefits to all customers by making the </w:t>
      </w:r>
      <w:r w:rsidR="00E46981">
        <w:rPr>
          <w:rFonts w:ascii="Times New Roman" w:hAnsi="Times New Roman"/>
          <w:color w:val="000000"/>
        </w:rPr>
        <w:t xml:space="preserve">utility </w:t>
      </w:r>
      <w:r w:rsidRPr="00F62C77">
        <w:rPr>
          <w:rFonts w:ascii="Times New Roman" w:hAnsi="Times New Roman"/>
          <w:color w:val="000000"/>
        </w:rPr>
        <w:t>system more efficient or otherwise fulfills some statutory purpose articulated in the public service laws.  </w:t>
      </w:r>
    </w:p>
    <w:p w14:paraId="017E8FB2" w14:textId="18976020" w:rsidR="006911A3" w:rsidRPr="003215A3" w:rsidRDefault="006911A3" w:rsidP="00EC44C8">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CF69EE">
        <w:rPr>
          <w:rFonts w:ascii="Times New Roman" w:hAnsi="Times New Roman"/>
        </w:rPr>
        <w:t>13</w:t>
      </w:r>
      <w:r w:rsidR="00AB2756">
        <w:rPr>
          <w:rFonts w:ascii="Times New Roman" w:hAnsi="Times New Roman"/>
        </w:rPr>
        <w:t>th</w:t>
      </w:r>
      <w:r w:rsidR="00695741">
        <w:rPr>
          <w:rFonts w:ascii="Times New Roman" w:hAnsi="Times New Roman"/>
        </w:rPr>
        <w:t xml:space="preserve"> </w:t>
      </w:r>
      <w:r w:rsidR="00F821BD" w:rsidRPr="003215A3">
        <w:rPr>
          <w:rFonts w:ascii="Times New Roman" w:hAnsi="Times New Roman"/>
        </w:rPr>
        <w:t xml:space="preserve">day of </w:t>
      </w:r>
      <w:r w:rsidR="00CF69EE">
        <w:rPr>
          <w:rFonts w:ascii="Times New Roman" w:hAnsi="Times New Roman"/>
        </w:rPr>
        <w:t>July</w:t>
      </w:r>
      <w:r w:rsidR="00EC44C8">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1823E0">
        <w:rPr>
          <w:rFonts w:ascii="Times New Roman" w:hAnsi="Times New Roman"/>
        </w:rPr>
        <w:t>6</w:t>
      </w:r>
      <w:r w:rsidR="00F821BD" w:rsidRPr="003215A3">
        <w:rPr>
          <w:rFonts w:ascii="Times New Roman" w:hAnsi="Times New Roman"/>
        </w:rPr>
        <w:t>.</w:t>
      </w:r>
      <w:r w:rsidRPr="003215A3">
        <w:rPr>
          <w:rFonts w:ascii="Times New Roman" w:hAnsi="Times New Roman"/>
        </w:rPr>
        <w:t xml:space="preserve">  </w:t>
      </w:r>
    </w:p>
    <w:p w14:paraId="017E8FB3" w14:textId="77777777" w:rsidR="006911A3" w:rsidRPr="003215A3" w:rsidRDefault="006911A3" w:rsidP="00EC44C8">
      <w:pPr>
        <w:pStyle w:val="BodyTextIndent2"/>
        <w:rPr>
          <w:rFonts w:ascii="Times New Roman" w:hAnsi="Times New Roman"/>
        </w:rPr>
      </w:pPr>
    </w:p>
    <w:p w14:paraId="017E8FB4" w14:textId="77777777" w:rsidR="003215A3" w:rsidRPr="003215A3" w:rsidRDefault="003215A3" w:rsidP="00EC44C8">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017E8FB5" w14:textId="77777777" w:rsidR="003215A3" w:rsidRPr="003215A3" w:rsidRDefault="003215A3" w:rsidP="00EC44C8">
      <w:pPr>
        <w:pStyle w:val="BodyTextIndent2"/>
        <w:rPr>
          <w:rFonts w:ascii="Times New Roman" w:hAnsi="Times New Roman"/>
        </w:rPr>
      </w:pPr>
    </w:p>
    <w:p w14:paraId="017E8FB6" w14:textId="77777777" w:rsidR="003215A3" w:rsidRPr="003215A3" w:rsidRDefault="003215A3" w:rsidP="00EC44C8">
      <w:pPr>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017E8FB7" w14:textId="77777777" w:rsidR="003215A3" w:rsidRDefault="003215A3" w:rsidP="00EC44C8">
      <w:pPr>
        <w:ind w:firstLine="5040"/>
        <w:jc w:val="both"/>
        <w:rPr>
          <w:rFonts w:ascii="Times New Roman" w:hAnsi="Times New Roman"/>
        </w:rPr>
      </w:pPr>
      <w:r w:rsidRPr="003215A3">
        <w:rPr>
          <w:rFonts w:ascii="Times New Roman" w:hAnsi="Times New Roman"/>
        </w:rPr>
        <w:t>Attorney General</w:t>
      </w:r>
    </w:p>
    <w:p w14:paraId="7EFE8EB0" w14:textId="77777777" w:rsidR="00F607FA" w:rsidRDefault="00F607FA" w:rsidP="00EC44C8">
      <w:pPr>
        <w:ind w:firstLine="5040"/>
        <w:jc w:val="both"/>
        <w:rPr>
          <w:rFonts w:ascii="Times New Roman" w:hAnsi="Times New Roman"/>
        </w:rPr>
      </w:pPr>
    </w:p>
    <w:p w14:paraId="06B4F685" w14:textId="77777777" w:rsidR="00F607FA" w:rsidRDefault="00F607FA" w:rsidP="00EC44C8">
      <w:pPr>
        <w:ind w:firstLine="5040"/>
        <w:jc w:val="both"/>
        <w:rPr>
          <w:rFonts w:ascii="Times New Roman" w:hAnsi="Times New Roman"/>
        </w:rPr>
      </w:pPr>
    </w:p>
    <w:p w14:paraId="33DE7498"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______________________________</w:t>
      </w:r>
    </w:p>
    <w:p w14:paraId="782BBB50"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SALLY BROWN</w:t>
      </w:r>
    </w:p>
    <w:p w14:paraId="40BDF2EF"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Senior Assistant Attorney General</w:t>
      </w:r>
    </w:p>
    <w:p w14:paraId="521D92DD"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Counsel for Washington Utilities and</w:t>
      </w:r>
    </w:p>
    <w:p w14:paraId="53981288"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Transportation Commission Staff</w:t>
      </w:r>
    </w:p>
    <w:p w14:paraId="0C0BDAFA" w14:textId="77777777" w:rsidR="00F607FA" w:rsidRPr="003215A3" w:rsidRDefault="00F607FA" w:rsidP="00EC44C8">
      <w:pPr>
        <w:ind w:firstLine="5040"/>
        <w:jc w:val="both"/>
        <w:rPr>
          <w:rFonts w:ascii="Times New Roman" w:hAnsi="Times New Roman"/>
        </w:rPr>
      </w:pPr>
    </w:p>
    <w:p w14:paraId="017E8FB8" w14:textId="77777777" w:rsidR="003215A3" w:rsidRDefault="003215A3" w:rsidP="00EC44C8">
      <w:pPr>
        <w:jc w:val="both"/>
        <w:rPr>
          <w:rFonts w:ascii="Times New Roman" w:hAnsi="Times New Roman"/>
        </w:rPr>
      </w:pPr>
    </w:p>
    <w:p w14:paraId="017E8FB9" w14:textId="77777777" w:rsidR="003215A3" w:rsidRPr="003215A3" w:rsidRDefault="003215A3" w:rsidP="00EC44C8">
      <w:pPr>
        <w:ind w:left="1440" w:firstLine="3600"/>
        <w:jc w:val="both"/>
        <w:rPr>
          <w:rFonts w:ascii="Times New Roman" w:hAnsi="Times New Roman"/>
        </w:rPr>
      </w:pPr>
      <w:r w:rsidRPr="003215A3">
        <w:rPr>
          <w:rFonts w:ascii="Times New Roman" w:hAnsi="Times New Roman"/>
        </w:rPr>
        <w:t>______________________________</w:t>
      </w:r>
    </w:p>
    <w:p w14:paraId="017E8FBA" w14:textId="48988DE1" w:rsidR="003215A3" w:rsidRPr="003215A3" w:rsidRDefault="00CF69EE" w:rsidP="00EC44C8">
      <w:pPr>
        <w:ind w:firstLine="5040"/>
        <w:jc w:val="both"/>
        <w:rPr>
          <w:rFonts w:ascii="Times New Roman" w:hAnsi="Times New Roman"/>
        </w:rPr>
      </w:pPr>
      <w:r>
        <w:rPr>
          <w:rFonts w:ascii="Times New Roman" w:hAnsi="Times New Roman"/>
        </w:rPr>
        <w:t>CHRISTOPHER CASEY</w:t>
      </w:r>
    </w:p>
    <w:p w14:paraId="017E8FBB" w14:textId="1F87C123" w:rsidR="003215A3" w:rsidRPr="003215A3" w:rsidRDefault="003215A3" w:rsidP="00EC44C8">
      <w:pPr>
        <w:ind w:left="1440" w:firstLine="3600"/>
        <w:jc w:val="both"/>
        <w:rPr>
          <w:rFonts w:ascii="Times New Roman" w:hAnsi="Times New Roman"/>
        </w:rPr>
      </w:pPr>
      <w:r w:rsidRPr="003215A3">
        <w:rPr>
          <w:rFonts w:ascii="Times New Roman" w:hAnsi="Times New Roman"/>
        </w:rPr>
        <w:t>Assistant Attorney General</w:t>
      </w:r>
    </w:p>
    <w:p w14:paraId="017E8FBC" w14:textId="77777777" w:rsidR="003215A3" w:rsidRPr="003215A3" w:rsidRDefault="003215A3" w:rsidP="00EC44C8">
      <w:pPr>
        <w:ind w:left="2160" w:firstLine="2880"/>
        <w:jc w:val="both"/>
        <w:rPr>
          <w:rFonts w:ascii="Times New Roman" w:hAnsi="Times New Roman"/>
        </w:rPr>
      </w:pPr>
      <w:r w:rsidRPr="003215A3">
        <w:rPr>
          <w:rFonts w:ascii="Times New Roman" w:hAnsi="Times New Roman"/>
        </w:rPr>
        <w:t>Counsel for Washington Utilities and</w:t>
      </w:r>
    </w:p>
    <w:p w14:paraId="63808ED0" w14:textId="4599847D" w:rsidR="006911A3" w:rsidRDefault="00EC44C8" w:rsidP="00EC44C8">
      <w:pPr>
        <w:ind w:left="2880" w:firstLine="2160"/>
        <w:jc w:val="both"/>
        <w:rPr>
          <w:rFonts w:ascii="Times New Roman" w:hAnsi="Times New Roman"/>
        </w:rPr>
      </w:pPr>
      <w:r>
        <w:rPr>
          <w:rFonts w:ascii="Times New Roman" w:hAnsi="Times New Roman"/>
        </w:rPr>
        <w:t>Transportation Commission Staff</w:t>
      </w:r>
    </w:p>
    <w:p w14:paraId="6F1F2052" w14:textId="77777777" w:rsidR="00CF69EE" w:rsidRDefault="00CF69EE" w:rsidP="00EC44C8">
      <w:pPr>
        <w:ind w:left="2880" w:firstLine="2160"/>
        <w:jc w:val="both"/>
        <w:rPr>
          <w:rFonts w:ascii="Times New Roman" w:hAnsi="Times New Roman"/>
        </w:rPr>
      </w:pPr>
    </w:p>
    <w:p w14:paraId="4AD60EA6" w14:textId="77777777" w:rsidR="00CF69EE" w:rsidRPr="00EC44C8" w:rsidRDefault="00CF69EE" w:rsidP="00EC44C8">
      <w:pPr>
        <w:ind w:left="2880" w:firstLine="2160"/>
        <w:jc w:val="both"/>
        <w:rPr>
          <w:rFonts w:ascii="Times New Roman" w:hAnsi="Times New Roman"/>
        </w:rPr>
      </w:pPr>
    </w:p>
    <w:sectPr w:rsidR="00CF69EE" w:rsidRPr="00EC44C8"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E8FC0" w14:textId="77777777" w:rsidR="00975E58" w:rsidRDefault="00975E58">
      <w:r>
        <w:separator/>
      </w:r>
    </w:p>
  </w:endnote>
  <w:endnote w:type="continuationSeparator" w:id="0">
    <w:p w14:paraId="017E8FC1" w14:textId="77777777" w:rsidR="00975E58" w:rsidRDefault="0097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8FC3" w14:textId="59BAEDD7" w:rsidR="00975E58" w:rsidRPr="00F821BD" w:rsidRDefault="00975E58">
    <w:pPr>
      <w:pStyle w:val="Footer"/>
      <w:rPr>
        <w:rFonts w:ascii="Times New Roman" w:hAnsi="Times New Roman"/>
        <w:sz w:val="20"/>
        <w:szCs w:val="20"/>
      </w:rPr>
    </w:pPr>
    <w:r w:rsidRPr="00ED76FF">
      <w:rPr>
        <w:rFonts w:ascii="Times New Roman" w:hAnsi="Times New Roman"/>
        <w:sz w:val="20"/>
        <w:szCs w:val="20"/>
      </w:rPr>
      <w:t>MOTION FOR SUMMARY DETERMINATION</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E071F8">
      <w:rPr>
        <w:rStyle w:val="PageNumber"/>
        <w:rFonts w:ascii="Times New Roman" w:hAnsi="Times New Roman"/>
        <w:noProof/>
        <w:sz w:val="20"/>
        <w:szCs w:val="20"/>
      </w:rPr>
      <w:t>15</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E8FBE" w14:textId="77777777" w:rsidR="00975E58" w:rsidRDefault="00975E58">
      <w:r>
        <w:separator/>
      </w:r>
    </w:p>
  </w:footnote>
  <w:footnote w:type="continuationSeparator" w:id="0">
    <w:p w14:paraId="017E8FBF" w14:textId="77777777" w:rsidR="00975E58" w:rsidRDefault="00975E58">
      <w:r>
        <w:continuationSeparator/>
      </w:r>
    </w:p>
  </w:footnote>
  <w:footnote w:id="1">
    <w:p w14:paraId="18DD0D22" w14:textId="12E40594" w:rsidR="00975E58" w:rsidRDefault="00975E58">
      <w:pPr>
        <w:pStyle w:val="FootnoteText"/>
      </w:pPr>
      <w:r>
        <w:rPr>
          <w:rStyle w:val="FootnoteReference"/>
        </w:rPr>
        <w:footnoteRef/>
      </w:r>
      <w:r>
        <w:t xml:space="preserve"> </w:t>
      </w:r>
      <w:r w:rsidRPr="00834D76">
        <w:rPr>
          <w:i/>
        </w:rPr>
        <w:t xml:space="preserve">Wash. Utils. &amp; Transp. Comm’n </w:t>
      </w:r>
      <w:r w:rsidR="00823651">
        <w:rPr>
          <w:i/>
        </w:rPr>
        <w:t>v</w:t>
      </w:r>
      <w:r w:rsidRPr="00834D76">
        <w:rPr>
          <w:i/>
        </w:rPr>
        <w:t>. Puget Sound Energy, Dockets</w:t>
      </w:r>
      <w:r w:rsidRPr="00834D76">
        <w:t xml:space="preserve">, UE-151871 &amp; UG-151872, </w:t>
      </w:r>
      <w:r w:rsidR="00F10E7B">
        <w:t>Advice No. </w:t>
      </w:r>
      <w:r>
        <w:t xml:space="preserve">2015-23 (Sept. 18, 2015).  </w:t>
      </w:r>
    </w:p>
  </w:footnote>
  <w:footnote w:id="2">
    <w:p w14:paraId="298F49AA" w14:textId="01BF8041" w:rsidR="00975E58" w:rsidRDefault="00975E58">
      <w:pPr>
        <w:pStyle w:val="FootnoteText"/>
      </w:pPr>
      <w:r w:rsidRPr="00B1126C">
        <w:rPr>
          <w:rStyle w:val="FootnoteReference"/>
        </w:rPr>
        <w:footnoteRef/>
      </w:r>
      <w:r w:rsidRPr="00B1126C">
        <w:t xml:space="preserve"> </w:t>
      </w:r>
      <w:r w:rsidR="00B1126C" w:rsidRPr="00B1126C">
        <w:t>Wash. Utils. &amp; Transp. Comm’n</w:t>
      </w:r>
      <w:r w:rsidR="00B1126C" w:rsidRPr="00B1126C">
        <w:rPr>
          <w:i/>
        </w:rPr>
        <w:t xml:space="preserve"> </w:t>
      </w:r>
      <w:r w:rsidR="00B1126C" w:rsidRPr="00B1126C">
        <w:t>Nov</w:t>
      </w:r>
      <w:r w:rsidR="00B1126C">
        <w:t>.</w:t>
      </w:r>
      <w:r w:rsidR="00B1126C" w:rsidRPr="00B1126C">
        <w:t xml:space="preserve"> 13, 2015 Open Meeting </w:t>
      </w:r>
      <w:r w:rsidRPr="00B1126C">
        <w:t>recording.</w:t>
      </w:r>
    </w:p>
  </w:footnote>
  <w:footnote w:id="3">
    <w:p w14:paraId="0F939397" w14:textId="4BB421FD" w:rsidR="00975E58" w:rsidRDefault="00975E58">
      <w:pPr>
        <w:pStyle w:val="FootnoteText"/>
      </w:pPr>
      <w:r>
        <w:rPr>
          <w:rStyle w:val="FootnoteReference"/>
        </w:rPr>
        <w:footnoteRef/>
      </w:r>
      <w:r>
        <w:t xml:space="preserve"> </w:t>
      </w:r>
      <w:r w:rsidRPr="00834D76">
        <w:rPr>
          <w:i/>
        </w:rPr>
        <w:t xml:space="preserve">Wash. Utils. &amp; Transp. Comm’n </w:t>
      </w:r>
      <w:r w:rsidR="00823651">
        <w:rPr>
          <w:i/>
        </w:rPr>
        <w:t>v</w:t>
      </w:r>
      <w:r w:rsidRPr="00834D76">
        <w:rPr>
          <w:i/>
        </w:rPr>
        <w:t>. Puget Sound Energy, Dockets</w:t>
      </w:r>
      <w:r>
        <w:t>,</w:t>
      </w:r>
      <w:r w:rsidRPr="00834D76">
        <w:t xml:space="preserve"> UE-151871 </w:t>
      </w:r>
      <w:r>
        <w:t>&amp;</w:t>
      </w:r>
      <w:r w:rsidRPr="00834D76">
        <w:t xml:space="preserve"> UG-151872</w:t>
      </w:r>
      <w:r>
        <w:t>, Order 01 (Nov.</w:t>
      </w:r>
      <w:r w:rsidR="00F10E7B">
        <w:t> </w:t>
      </w:r>
      <w:r w:rsidRPr="00834D76">
        <w:t>13, 2015</w:t>
      </w:r>
      <w:r>
        <w:t>).</w:t>
      </w:r>
    </w:p>
  </w:footnote>
  <w:footnote w:id="4">
    <w:p w14:paraId="0906CC57" w14:textId="6AB9704F" w:rsidR="00975E58" w:rsidRDefault="00975E58">
      <w:pPr>
        <w:pStyle w:val="FootnoteText"/>
      </w:pPr>
      <w:r>
        <w:rPr>
          <w:rStyle w:val="FootnoteReference"/>
        </w:rPr>
        <w:footnoteRef/>
      </w:r>
      <w:r>
        <w:t xml:space="preserve"> </w:t>
      </w:r>
      <w:r w:rsidRPr="00865B9C">
        <w:rPr>
          <w:i/>
        </w:rPr>
        <w:t xml:space="preserve">Wash. Utils. &amp; Transp. Comm’n </w:t>
      </w:r>
      <w:r w:rsidR="00823651">
        <w:rPr>
          <w:i/>
        </w:rPr>
        <w:t>v</w:t>
      </w:r>
      <w:r w:rsidRPr="00865B9C">
        <w:rPr>
          <w:i/>
        </w:rPr>
        <w:t>. Puget Sound Energy, Dockets</w:t>
      </w:r>
      <w:r w:rsidRPr="00865B9C">
        <w:t>, UE</w:t>
      </w:r>
      <w:r w:rsidR="00F10E7B">
        <w:t>-151871 &amp; UG-151872, Advice No. </w:t>
      </w:r>
      <w:r w:rsidRPr="00865B9C">
        <w:t>2015-23</w:t>
      </w:r>
      <w:r>
        <w:t xml:space="preserve">, </w:t>
      </w:r>
      <w:r w:rsidR="00823651">
        <w:t xml:space="preserve">at </w:t>
      </w:r>
      <w:r>
        <w:t>2</w:t>
      </w:r>
      <w:r w:rsidRPr="00865B9C">
        <w:t xml:space="preserve"> (</w:t>
      </w:r>
      <w:r>
        <w:t>Feb</w:t>
      </w:r>
      <w:r w:rsidRPr="00865B9C">
        <w:t>. 1</w:t>
      </w:r>
      <w:r>
        <w:t>7</w:t>
      </w:r>
      <w:r w:rsidRPr="00865B9C">
        <w:t>, 201</w:t>
      </w:r>
      <w:r>
        <w:t>6</w:t>
      </w:r>
      <w:r w:rsidRPr="00865B9C">
        <w:t>).</w:t>
      </w:r>
    </w:p>
  </w:footnote>
  <w:footnote w:id="5">
    <w:p w14:paraId="54A328B4" w14:textId="7D0E1C9A" w:rsidR="00975E58" w:rsidRDefault="00975E58">
      <w:pPr>
        <w:pStyle w:val="FootnoteText"/>
      </w:pPr>
      <w:r>
        <w:rPr>
          <w:rStyle w:val="FootnoteReference"/>
        </w:rPr>
        <w:footnoteRef/>
      </w:r>
      <w:r>
        <w:t xml:space="preserve"> McCulloch, Exh. No. MBM-1T at 18:12-14.</w:t>
      </w:r>
    </w:p>
  </w:footnote>
  <w:footnote w:id="6">
    <w:p w14:paraId="7BEBC240" w14:textId="396FA496" w:rsidR="00975E58" w:rsidRPr="00536434" w:rsidRDefault="00975E58">
      <w:pPr>
        <w:pStyle w:val="FootnoteText"/>
      </w:pPr>
      <w:r>
        <w:rPr>
          <w:rStyle w:val="FootnoteReference"/>
        </w:rPr>
        <w:footnoteRef/>
      </w:r>
      <w:r>
        <w:t xml:space="preserve"> </w:t>
      </w:r>
      <w:r>
        <w:rPr>
          <w:i/>
        </w:rPr>
        <w:t xml:space="preserve">See </w:t>
      </w:r>
      <w:r>
        <w:t>O’Connell, Exh. No. ECO-1THC at 16:10-17:13.</w:t>
      </w:r>
    </w:p>
  </w:footnote>
  <w:footnote w:id="7">
    <w:p w14:paraId="39A4F1AE" w14:textId="68FDC6F2" w:rsidR="00823651" w:rsidRDefault="00823651">
      <w:pPr>
        <w:pStyle w:val="FootnoteText"/>
      </w:pPr>
      <w:r>
        <w:rPr>
          <w:rStyle w:val="FootnoteReference"/>
        </w:rPr>
        <w:footnoteRef/>
      </w:r>
      <w:r>
        <w:t xml:space="preserve"> McCulloch, Exh. No. MBM-1T at 11:1-9.</w:t>
      </w:r>
    </w:p>
  </w:footnote>
  <w:footnote w:id="8">
    <w:p w14:paraId="5B66FAF6" w14:textId="6AE866D2" w:rsidR="00975E58" w:rsidRDefault="00975E58">
      <w:pPr>
        <w:pStyle w:val="FootnoteText"/>
      </w:pPr>
      <w:r>
        <w:rPr>
          <w:rStyle w:val="FootnoteReference"/>
        </w:rPr>
        <w:footnoteRef/>
      </w:r>
      <w:r>
        <w:t xml:space="preserve"> </w:t>
      </w:r>
      <w:r w:rsidRPr="008D3177">
        <w:rPr>
          <w:i/>
        </w:rPr>
        <w:t xml:space="preserve">Wash. Utils. &amp; Transp. Comm’n </w:t>
      </w:r>
      <w:r w:rsidR="00826189">
        <w:rPr>
          <w:i/>
        </w:rPr>
        <w:t>v</w:t>
      </w:r>
      <w:r w:rsidRPr="008D3177">
        <w:rPr>
          <w:i/>
        </w:rPr>
        <w:t>. Puget Sound Energy, Dockets</w:t>
      </w:r>
      <w:r w:rsidRPr="008D3177">
        <w:t>, UE-151871 &amp; UG-151872, Direct Testimony and Exhibits of Jason E. Teller, Malcom B. McCulloch, Eric E. Englert, and Dr. Ahmad Faruqui, on behalf of Puget Sound Energy from Sheree S. Carson</w:t>
      </w:r>
      <w:r>
        <w:t xml:space="preserve"> </w:t>
      </w:r>
      <w:r w:rsidRPr="008D3177">
        <w:t xml:space="preserve">(Feb. </w:t>
      </w:r>
      <w:r>
        <w:t>25</w:t>
      </w:r>
      <w:r w:rsidRPr="008D3177">
        <w:t>, 2016).</w:t>
      </w:r>
    </w:p>
  </w:footnote>
  <w:footnote w:id="9">
    <w:p w14:paraId="70B5258C" w14:textId="30D7CD37" w:rsidR="00975E58" w:rsidRDefault="00975E58">
      <w:pPr>
        <w:pStyle w:val="FootnoteText"/>
      </w:pPr>
      <w:r>
        <w:rPr>
          <w:rStyle w:val="FootnoteReference"/>
        </w:rPr>
        <w:footnoteRef/>
      </w:r>
      <w:r>
        <w:t xml:space="preserve"> </w:t>
      </w:r>
      <w:r w:rsidRPr="008D3177">
        <w:rPr>
          <w:i/>
        </w:rPr>
        <w:t xml:space="preserve">Wash. Utils. &amp; Transp. Comm’n </w:t>
      </w:r>
      <w:r w:rsidR="00826189">
        <w:rPr>
          <w:i/>
        </w:rPr>
        <w:t>v</w:t>
      </w:r>
      <w:r w:rsidRPr="008D3177">
        <w:rPr>
          <w:i/>
        </w:rPr>
        <w:t>. Puget Sound Energy, Dockets</w:t>
      </w:r>
      <w:r w:rsidRPr="008D3177">
        <w:t>, UE-151871 &amp; UG-151872,</w:t>
      </w:r>
      <w:r>
        <w:t xml:space="preserve"> </w:t>
      </w:r>
      <w:r w:rsidRPr="008D3177">
        <w:t>Corrections to pre-filed Direct Testimony and Exhibits originally filed on February 25, of Malcom B. McCulloch, Eric E. Englert, and Dr. Ahmad Faruqui, on behalf of Puget Sound Energy from Sheree S. Carson</w:t>
      </w:r>
      <w:r>
        <w:t xml:space="preserve"> (Mar. 25, 2016). </w:t>
      </w:r>
    </w:p>
  </w:footnote>
  <w:footnote w:id="10">
    <w:p w14:paraId="02A529D9" w14:textId="77777777" w:rsidR="00975E58" w:rsidRDefault="00975E58" w:rsidP="00AE237F">
      <w:pPr>
        <w:pStyle w:val="FootnoteText"/>
      </w:pPr>
      <w:r>
        <w:rPr>
          <w:rStyle w:val="FootnoteReference"/>
        </w:rPr>
        <w:footnoteRef/>
      </w:r>
      <w:r>
        <w:t xml:space="preserve"> Faruqui, Exh. No. AF-1T at 2:14.</w:t>
      </w:r>
    </w:p>
  </w:footnote>
  <w:footnote w:id="11">
    <w:p w14:paraId="47A94D21" w14:textId="5829CF8D" w:rsidR="00975E58" w:rsidRDefault="00975E58">
      <w:pPr>
        <w:pStyle w:val="FootnoteText"/>
      </w:pPr>
      <w:r>
        <w:rPr>
          <w:rStyle w:val="FootnoteReference"/>
        </w:rPr>
        <w:footnoteRef/>
      </w:r>
      <w:r>
        <w:t xml:space="preserve"> McCulloch, Exh. No. MBM-1T at 1:19.</w:t>
      </w:r>
    </w:p>
  </w:footnote>
  <w:footnote w:id="12">
    <w:p w14:paraId="791FEF81" w14:textId="4B777C80" w:rsidR="00975E58" w:rsidRDefault="00975E58">
      <w:pPr>
        <w:pStyle w:val="FootnoteText"/>
      </w:pPr>
      <w:r>
        <w:rPr>
          <w:rStyle w:val="FootnoteReference"/>
        </w:rPr>
        <w:footnoteRef/>
      </w:r>
      <w:r>
        <w:t xml:space="preserve"> </w:t>
      </w:r>
      <w:r w:rsidRPr="004576C2">
        <w:rPr>
          <w:i/>
        </w:rPr>
        <w:t>See</w:t>
      </w:r>
      <w:r>
        <w:t xml:space="preserve"> Englert, Exh. No. EEE-1T at 8:19-22.</w:t>
      </w:r>
    </w:p>
  </w:footnote>
  <w:footnote w:id="13">
    <w:p w14:paraId="138976A6" w14:textId="570C3448" w:rsidR="00975E58" w:rsidRDefault="00975E58">
      <w:pPr>
        <w:pStyle w:val="FootnoteText"/>
      </w:pPr>
      <w:r>
        <w:rPr>
          <w:rStyle w:val="FootnoteReference"/>
        </w:rPr>
        <w:footnoteRef/>
      </w:r>
      <w:r>
        <w:t xml:space="preserve"> Teller, Exh. No. JET-1T at 6:5-7.</w:t>
      </w:r>
    </w:p>
  </w:footnote>
  <w:footnote w:id="14">
    <w:p w14:paraId="752F8C16" w14:textId="3D0CBCCB" w:rsidR="00975E58" w:rsidRDefault="00975E58">
      <w:pPr>
        <w:pStyle w:val="FootnoteText"/>
      </w:pPr>
      <w:r>
        <w:rPr>
          <w:rStyle w:val="FootnoteReference"/>
        </w:rPr>
        <w:footnoteRef/>
      </w:r>
      <w:r>
        <w:t xml:space="preserve"> The </w:t>
      </w:r>
      <w:r w:rsidR="00526D67">
        <w:t xml:space="preserve">direct testimony contained 72 pages of testimony from four witnesses. The rebuttal testimony </w:t>
      </w:r>
      <w:r>
        <w:t xml:space="preserve">contained 150 pages of testimony from six witnesses, three of whom had not previously testified.  </w:t>
      </w:r>
    </w:p>
  </w:footnote>
  <w:footnote w:id="15">
    <w:p w14:paraId="24DE7618" w14:textId="1133088C" w:rsidR="00975E58" w:rsidRDefault="00975E58">
      <w:pPr>
        <w:pStyle w:val="FootnoteText"/>
      </w:pPr>
      <w:r>
        <w:rPr>
          <w:rStyle w:val="FootnoteReference"/>
        </w:rPr>
        <w:footnoteRef/>
      </w:r>
      <w:r>
        <w:t xml:space="preserve"> Norton, Exh. No. LYN-1T </w:t>
      </w:r>
      <w:r w:rsidRPr="008F739E">
        <w:t xml:space="preserve">at </w:t>
      </w:r>
      <w:r w:rsidR="008F739E">
        <w:t>8</w:t>
      </w:r>
      <w:r w:rsidR="00290408">
        <w:t>:1-9:</w:t>
      </w:r>
      <w:r w:rsidR="008F739E">
        <w:t>7</w:t>
      </w:r>
      <w:r>
        <w:t>; Exh. No. LYN-3.</w:t>
      </w:r>
    </w:p>
  </w:footnote>
  <w:footnote w:id="16">
    <w:p w14:paraId="6543C238" w14:textId="0126F036" w:rsidR="009267B4" w:rsidRDefault="009267B4">
      <w:pPr>
        <w:pStyle w:val="FootnoteText"/>
      </w:pPr>
      <w:r>
        <w:rPr>
          <w:rStyle w:val="FootnoteReference"/>
        </w:rPr>
        <w:footnoteRef/>
      </w:r>
      <w:r>
        <w:t xml:space="preserve"> </w:t>
      </w:r>
      <w:r w:rsidR="00660408" w:rsidRPr="00660408">
        <w:rPr>
          <w:i/>
        </w:rPr>
        <w:t>See</w:t>
      </w:r>
      <w:r w:rsidR="00660408">
        <w:t xml:space="preserve"> </w:t>
      </w:r>
      <w:r w:rsidRPr="009267B4">
        <w:rPr>
          <w:i/>
        </w:rPr>
        <w:t>Wash. Utils. &amp; Transp. Comm’n v. Puget Sound Energy, Inc.; In the Matter of the Petition of Puget Sound Energy, Inc. for an Order Authorizing Deferral of Certain Electric Energy Supply Costs</w:t>
      </w:r>
      <w:r w:rsidRPr="009267B4">
        <w:t>,</w:t>
      </w:r>
      <w:r w:rsidRPr="009267B4">
        <w:rPr>
          <w:i/>
        </w:rPr>
        <w:t xml:space="preserve"> </w:t>
      </w:r>
      <w:r w:rsidRPr="009267B4">
        <w:t>Dockets UE-011163 and UE-011170 (</w:t>
      </w:r>
      <w:r w:rsidRPr="009267B4">
        <w:rPr>
          <w:i/>
        </w:rPr>
        <w:t>consolidated</w:t>
      </w:r>
      <w:r w:rsidRPr="009267B4">
        <w:t xml:space="preserve">), Sixth Supplemental Order, ¶ </w:t>
      </w:r>
      <w:r w:rsidR="00660408">
        <w:t>12</w:t>
      </w:r>
      <w:r w:rsidRPr="009267B4">
        <w:t xml:space="preserve"> (Oct. 4, 2001)</w:t>
      </w:r>
      <w:r>
        <w:t xml:space="preserve"> (“If, taking the allegations of the initiating documents, as defined in the prefiled evidence</w:t>
      </w:r>
      <w:r w:rsidR="00660408">
        <w:t xml:space="preserve"> supporting the filing, in the light most favorable to the Company, the Commission would not grant the relief, there is no point in wasting the parties’ and the Commission’s time, energies, and financial resources pursuing that relief.”</w:t>
      </w:r>
      <w:r>
        <w:t>)</w:t>
      </w:r>
      <w:r w:rsidRPr="009267B4">
        <w:t>.</w:t>
      </w:r>
    </w:p>
  </w:footnote>
  <w:footnote w:id="17">
    <w:p w14:paraId="520A7A20" w14:textId="5143891B" w:rsidR="00975E58" w:rsidRDefault="00975E58">
      <w:pPr>
        <w:pStyle w:val="FootnoteText"/>
      </w:pPr>
      <w:r>
        <w:rPr>
          <w:rStyle w:val="FootnoteReference"/>
        </w:rPr>
        <w:footnoteRef/>
      </w:r>
      <w:r>
        <w:t xml:space="preserve"> </w:t>
      </w:r>
      <w:r w:rsidRPr="008F739E">
        <w:rPr>
          <w:i/>
        </w:rPr>
        <w:t>In the Matter of Puget Sound Energy’s Application for Approval of a Special Contract under WAC 480-80-143</w:t>
      </w:r>
      <w:r>
        <w:t xml:space="preserve">, </w:t>
      </w:r>
      <w:r w:rsidRPr="0004645F">
        <w:t>UG-160748</w:t>
      </w:r>
      <w:r>
        <w:t>, Order 01, ¶¶ 6-11 (July 7, 2016).</w:t>
      </w:r>
    </w:p>
  </w:footnote>
  <w:footnote w:id="18">
    <w:p w14:paraId="40421710" w14:textId="43E6E967" w:rsidR="00975E58" w:rsidRDefault="00975E58">
      <w:pPr>
        <w:pStyle w:val="FootnoteText"/>
      </w:pPr>
      <w:r>
        <w:rPr>
          <w:rStyle w:val="FootnoteReference"/>
        </w:rPr>
        <w:footnoteRef/>
      </w:r>
      <w:r>
        <w:t xml:space="preserve"> </w:t>
      </w:r>
      <w:r w:rsidR="00166A91">
        <w:rPr>
          <w:i/>
        </w:rPr>
        <w:t xml:space="preserve">Id. </w:t>
      </w:r>
      <w:r w:rsidR="00166A91" w:rsidRPr="00166A91">
        <w:t xml:space="preserve">at </w:t>
      </w:r>
      <w:r>
        <w:t>¶ 4</w:t>
      </w:r>
      <w:r w:rsidRPr="00FC6156">
        <w:t xml:space="preserve"> </w:t>
      </w:r>
      <w:r>
        <w:t xml:space="preserve">(citing </w:t>
      </w:r>
      <w:r w:rsidRPr="008F2C45">
        <w:rPr>
          <w:i/>
        </w:rPr>
        <w:t>In re Amending and Repealing Rules in WAC 480-108 Relating to Electric Companies- Interconnection With Electric Generators</w:t>
      </w:r>
      <w:r w:rsidRPr="008F2C45">
        <w:t>, Interpretive Statement Concerning Commission Jurisdiction and Regulation of Third-Party Owners of Net Metering Facilities, Docket UE-1</w:t>
      </w:r>
      <w:r>
        <w:t>12133, at 26-28 (July 30, 2014))</w:t>
      </w:r>
      <w:r w:rsidRPr="00FC6156">
        <w:t>.</w:t>
      </w:r>
    </w:p>
  </w:footnote>
  <w:footnote w:id="19">
    <w:p w14:paraId="7AB3A154" w14:textId="795D3021" w:rsidR="00975E58" w:rsidRDefault="00975E58">
      <w:pPr>
        <w:pStyle w:val="FootnoteText"/>
      </w:pPr>
      <w:r>
        <w:rPr>
          <w:rStyle w:val="FootnoteReference"/>
        </w:rPr>
        <w:footnoteRef/>
      </w:r>
      <w:r>
        <w:t xml:space="preserve"> </w:t>
      </w:r>
      <w:r w:rsidR="00166A91" w:rsidRPr="00166A91">
        <w:rPr>
          <w:i/>
        </w:rPr>
        <w:t xml:space="preserve">Id. </w:t>
      </w:r>
      <w:r w:rsidR="00166A91" w:rsidRPr="00166A91">
        <w:t>at</w:t>
      </w:r>
      <w:r w:rsidR="00166A91" w:rsidRPr="00166A91">
        <w:rPr>
          <w:i/>
        </w:rPr>
        <w:t xml:space="preserve"> </w:t>
      </w:r>
      <w:r w:rsidRPr="002C586C">
        <w:t xml:space="preserve">¶ </w:t>
      </w:r>
      <w:r>
        <w:t>5</w:t>
      </w:r>
      <w:r w:rsidRPr="002C586C">
        <w:t>.</w:t>
      </w:r>
    </w:p>
  </w:footnote>
  <w:footnote w:id="20">
    <w:p w14:paraId="33D99A11" w14:textId="77777777" w:rsidR="00975E58" w:rsidRDefault="00975E58" w:rsidP="00C27AF0">
      <w:pPr>
        <w:pStyle w:val="FootnoteText"/>
      </w:pPr>
      <w:r>
        <w:rPr>
          <w:rStyle w:val="FootnoteReference"/>
        </w:rPr>
        <w:footnoteRef/>
      </w:r>
      <w:r>
        <w:t xml:space="preserve"> Cebulko, Exh. No. BTC-1THC at 10:1-13.</w:t>
      </w:r>
    </w:p>
  </w:footnote>
  <w:footnote w:id="21">
    <w:p w14:paraId="4865DEF9" w14:textId="79318144" w:rsidR="00975E58" w:rsidRDefault="00975E58">
      <w:pPr>
        <w:pStyle w:val="FootnoteText"/>
      </w:pPr>
      <w:r>
        <w:rPr>
          <w:rStyle w:val="FootnoteReference"/>
        </w:rPr>
        <w:footnoteRef/>
      </w:r>
      <w:r>
        <w:t xml:space="preserve"> </w:t>
      </w:r>
      <w:r w:rsidR="00166A91">
        <w:rPr>
          <w:i/>
        </w:rPr>
        <w:t>Id</w:t>
      </w:r>
      <w:r w:rsidR="00166A91">
        <w:t>.</w:t>
      </w:r>
      <w:r>
        <w:t xml:space="preserve"> at 11:7-15. </w:t>
      </w:r>
    </w:p>
  </w:footnote>
  <w:footnote w:id="22">
    <w:p w14:paraId="6BCDFEA0" w14:textId="54546073" w:rsidR="00975E58" w:rsidRDefault="00975E58">
      <w:pPr>
        <w:pStyle w:val="FootnoteText"/>
      </w:pPr>
      <w:r>
        <w:rPr>
          <w:rStyle w:val="FootnoteReference"/>
        </w:rPr>
        <w:footnoteRef/>
      </w:r>
      <w:r>
        <w:t xml:space="preserve"> </w:t>
      </w:r>
      <w:r w:rsidR="00166A91">
        <w:rPr>
          <w:i/>
        </w:rPr>
        <w:t>Id.</w:t>
      </w:r>
      <w:r>
        <w:t xml:space="preserve"> at 11:7-15.</w:t>
      </w:r>
    </w:p>
  </w:footnote>
  <w:footnote w:id="23">
    <w:p w14:paraId="493334AD" w14:textId="1D30B209" w:rsidR="00975E58" w:rsidRPr="00750441" w:rsidRDefault="00975E58">
      <w:pPr>
        <w:pStyle w:val="FootnoteText"/>
      </w:pPr>
      <w:r>
        <w:rPr>
          <w:rStyle w:val="FootnoteReference"/>
        </w:rPr>
        <w:footnoteRef/>
      </w:r>
      <w:r>
        <w:t xml:space="preserve"> Englert, Exh. No. EEE-3T (citing </w:t>
      </w:r>
      <w:r>
        <w:rPr>
          <w:i/>
        </w:rPr>
        <w:t>Cole v. Wash. Natural Gas Co.</w:t>
      </w:r>
      <w:r>
        <w:t xml:space="preserve">, No U-9621, at 17 (1968)). </w:t>
      </w:r>
    </w:p>
  </w:footnote>
  <w:footnote w:id="24">
    <w:p w14:paraId="66168283" w14:textId="457425DF" w:rsidR="00975E58" w:rsidRDefault="00975E58">
      <w:pPr>
        <w:pStyle w:val="FootnoteText"/>
      </w:pPr>
      <w:r>
        <w:rPr>
          <w:rStyle w:val="FootnoteReference"/>
        </w:rPr>
        <w:footnoteRef/>
      </w:r>
      <w:r>
        <w:t xml:space="preserve"> Cebulko, Exh. No. BTC-1THC at 13:1-7 (citing </w:t>
      </w:r>
      <w:r>
        <w:rPr>
          <w:i/>
        </w:rPr>
        <w:t>Cole v. Wash. Natural Gas Co.</w:t>
      </w:r>
      <w:r>
        <w:t>, No U-9621, at 45 (1968)).</w:t>
      </w:r>
    </w:p>
  </w:footnote>
  <w:footnote w:id="25">
    <w:p w14:paraId="6AA17D57" w14:textId="77FEE750" w:rsidR="00975E58" w:rsidRDefault="00975E58">
      <w:pPr>
        <w:pStyle w:val="FootnoteText"/>
      </w:pPr>
      <w:r>
        <w:rPr>
          <w:rStyle w:val="FootnoteReference"/>
        </w:rPr>
        <w:footnoteRef/>
      </w:r>
      <w:r>
        <w:t xml:space="preserve"> </w:t>
      </w:r>
      <w:r w:rsidR="00166A91" w:rsidRPr="00166A91">
        <w:rPr>
          <w:i/>
        </w:rPr>
        <w:t>Id.</w:t>
      </w:r>
      <w:r w:rsidR="00166A91" w:rsidRPr="00166A91">
        <w:t xml:space="preserve"> </w:t>
      </w:r>
    </w:p>
  </w:footnote>
  <w:footnote w:id="26">
    <w:p w14:paraId="2003C6EE" w14:textId="3C471F05" w:rsidR="00975E58" w:rsidRDefault="00975E58">
      <w:pPr>
        <w:pStyle w:val="FootnoteText"/>
      </w:pPr>
      <w:r>
        <w:rPr>
          <w:rStyle w:val="FootnoteReference"/>
        </w:rPr>
        <w:footnoteRef/>
      </w:r>
      <w:r>
        <w:t xml:space="preserve"> </w:t>
      </w:r>
      <w:r w:rsidR="00166A91" w:rsidRPr="00166A91">
        <w:rPr>
          <w:i/>
        </w:rPr>
        <w:t>Id.</w:t>
      </w:r>
      <w:r w:rsidR="00166A91" w:rsidRPr="00166A91">
        <w:t xml:space="preserve"> </w:t>
      </w:r>
      <w:r>
        <w:t>at 13:9-14:5.</w:t>
      </w:r>
      <w:r w:rsidR="00166A91">
        <w:t xml:space="preserve"> </w:t>
      </w:r>
    </w:p>
  </w:footnote>
  <w:footnote w:id="27">
    <w:p w14:paraId="7F3CCBD1" w14:textId="77777777" w:rsidR="00975E58" w:rsidRDefault="00975E58" w:rsidP="00007115">
      <w:pPr>
        <w:pStyle w:val="FootnoteText"/>
      </w:pPr>
      <w:r>
        <w:rPr>
          <w:rStyle w:val="FootnoteReference"/>
        </w:rPr>
        <w:footnoteRef/>
      </w:r>
      <w:r>
        <w:t xml:space="preserve"> </w:t>
      </w:r>
      <w:r w:rsidRPr="004576C2">
        <w:rPr>
          <w:i/>
        </w:rPr>
        <w:t>See</w:t>
      </w:r>
      <w:r>
        <w:t xml:space="preserve"> Englert, Exh. No. EEE-1T at 8:19-22.</w:t>
      </w:r>
    </w:p>
  </w:footnote>
  <w:footnote w:id="28">
    <w:p w14:paraId="5A640849" w14:textId="77777777" w:rsidR="00975E58" w:rsidRDefault="00975E58" w:rsidP="00007115">
      <w:pPr>
        <w:pStyle w:val="FootnoteText"/>
      </w:pPr>
      <w:r>
        <w:rPr>
          <w:rStyle w:val="FootnoteReference"/>
        </w:rPr>
        <w:footnoteRef/>
      </w:r>
      <w:r>
        <w:t xml:space="preserve"> Teller, Exh. No. JET-1T at 6:5-7.</w:t>
      </w:r>
    </w:p>
  </w:footnote>
  <w:footnote w:id="29">
    <w:p w14:paraId="21ED5C08" w14:textId="04F9FFED" w:rsidR="00975E58" w:rsidRDefault="00975E58">
      <w:pPr>
        <w:pStyle w:val="FootnoteText"/>
      </w:pPr>
      <w:r>
        <w:rPr>
          <w:rStyle w:val="FootnoteReference"/>
        </w:rPr>
        <w:footnoteRef/>
      </w:r>
      <w:r>
        <w:t xml:space="preserve"> Englert, Exh. No. EEE-3T at 13:12-14:2.</w:t>
      </w:r>
    </w:p>
  </w:footnote>
  <w:footnote w:id="30">
    <w:p w14:paraId="6D367FC3" w14:textId="5CE14FF0" w:rsidR="00975E58" w:rsidRPr="00627594" w:rsidRDefault="00975E58">
      <w:pPr>
        <w:pStyle w:val="FootnoteText"/>
        <w:rPr>
          <w:bCs/>
        </w:rPr>
      </w:pPr>
      <w:r>
        <w:rPr>
          <w:rStyle w:val="FootnoteReference"/>
        </w:rPr>
        <w:footnoteRef/>
      </w:r>
      <w:r>
        <w:t xml:space="preserve"> </w:t>
      </w:r>
      <w:r w:rsidRPr="00627594">
        <w:rPr>
          <w:bCs/>
        </w:rPr>
        <w:t>RCW 80.28.360</w:t>
      </w:r>
      <w:r w:rsidR="008F739E">
        <w:rPr>
          <w:bCs/>
        </w:rPr>
        <w:t xml:space="preserve">, </w:t>
      </w:r>
      <w:r>
        <w:rPr>
          <w:bCs/>
        </w:rPr>
        <w:t>f</w:t>
      </w:r>
      <w:r w:rsidRPr="00627594">
        <w:rPr>
          <w:bCs/>
        </w:rPr>
        <w:t>indings—Intent—</w:t>
      </w:r>
      <w:r w:rsidR="008F739E">
        <w:rPr>
          <w:bCs/>
        </w:rPr>
        <w:t>2015 c 220 (3)</w:t>
      </w:r>
      <w:r>
        <w:rPr>
          <w:bCs/>
        </w:rPr>
        <w:t>.</w:t>
      </w:r>
    </w:p>
  </w:footnote>
  <w:footnote w:id="31">
    <w:p w14:paraId="7A39CED3" w14:textId="094DBFD7" w:rsidR="00975E58" w:rsidRDefault="00975E58">
      <w:pPr>
        <w:pStyle w:val="FootnoteText"/>
      </w:pPr>
      <w:r>
        <w:rPr>
          <w:rStyle w:val="FootnoteReference"/>
        </w:rPr>
        <w:footnoteRef/>
      </w:r>
      <w:r>
        <w:t xml:space="preserve"> </w:t>
      </w:r>
      <w:r w:rsidRPr="00627594">
        <w:rPr>
          <w:bCs/>
        </w:rPr>
        <w:t>RCW 80.28.360</w:t>
      </w:r>
      <w:r>
        <w:rPr>
          <w:bCs/>
        </w:rPr>
        <w:t>.</w:t>
      </w:r>
    </w:p>
  </w:footnote>
  <w:footnote w:id="32">
    <w:p w14:paraId="7BF5EA54" w14:textId="245FC678" w:rsidR="00975E58" w:rsidRDefault="00975E58">
      <w:pPr>
        <w:pStyle w:val="FootnoteText"/>
      </w:pPr>
      <w:r>
        <w:rPr>
          <w:rStyle w:val="FootnoteReference"/>
        </w:rPr>
        <w:footnoteRef/>
      </w:r>
      <w:r>
        <w:t xml:space="preserve"> RCW 80.01.040(3).</w:t>
      </w:r>
    </w:p>
  </w:footnote>
  <w:footnote w:id="33">
    <w:p w14:paraId="7FC10796" w14:textId="5DCE3325" w:rsidR="00975E58" w:rsidRDefault="00975E58">
      <w:pPr>
        <w:pStyle w:val="FootnoteText"/>
      </w:pPr>
      <w:r>
        <w:rPr>
          <w:rStyle w:val="FootnoteReference"/>
        </w:rPr>
        <w:footnoteRef/>
      </w:r>
      <w:r>
        <w:t xml:space="preserve"> </w:t>
      </w:r>
      <w:r w:rsidRPr="00110DF3">
        <w:rPr>
          <w:bCs/>
        </w:rPr>
        <w:t>RCW 80.28.010</w:t>
      </w:r>
      <w:r w:rsidRPr="00110DF3">
        <w:t>(1)</w:t>
      </w:r>
      <w:r>
        <w:t>.</w:t>
      </w:r>
    </w:p>
  </w:footnote>
  <w:footnote w:id="34">
    <w:p w14:paraId="4D0533EE" w14:textId="7AC9E58E" w:rsidR="00E071F8" w:rsidRDefault="00E071F8">
      <w:pPr>
        <w:pStyle w:val="FootnoteText"/>
      </w:pPr>
      <w:r>
        <w:rPr>
          <w:rStyle w:val="FootnoteReference"/>
        </w:rPr>
        <w:footnoteRef/>
      </w:r>
      <w:r>
        <w:t xml:space="preserve"> </w:t>
      </w:r>
      <w:r w:rsidRPr="00E071F8">
        <w:rPr>
          <w:i/>
          <w:iCs/>
        </w:rPr>
        <w:t>Re Regulation of Electric Utilities in the Face of Change in the Electric Industry</w:t>
      </w:r>
      <w:r w:rsidRPr="00E071F8">
        <w:t xml:space="preserve">, Docket No. UE-940932, at 27 (April 22, 1998) (“[T]he Commission does not support any recommendation that would constitute any form of preapproval of </w:t>
      </w:r>
      <w:r>
        <w:t>utility expenditures . . . .”).</w:t>
      </w:r>
      <w:bookmarkStart w:id="0" w:name="_GoBack"/>
      <w:bookmarkEnd w:id="0"/>
    </w:p>
  </w:footnote>
  <w:footnote w:id="35">
    <w:p w14:paraId="3571AD0C" w14:textId="7DAC87A1" w:rsidR="00975E58" w:rsidRPr="00E57872" w:rsidRDefault="00975E58">
      <w:pPr>
        <w:pStyle w:val="FootnoteText"/>
      </w:pPr>
      <w:r>
        <w:rPr>
          <w:rStyle w:val="FootnoteReference"/>
        </w:rPr>
        <w:footnoteRef/>
      </w:r>
      <w:r>
        <w:t xml:space="preserve"> </w:t>
      </w:r>
      <w:r w:rsidR="00E57872" w:rsidRPr="00E57872">
        <w:rPr>
          <w:i/>
        </w:rPr>
        <w:t xml:space="preserve">Wash. Utils. &amp; Transp. Comm’n v. Puget Sound Energy, Inc.; In the Matter of the Petition of </w:t>
      </w:r>
      <w:r w:rsidR="003307FD" w:rsidRPr="00E57872">
        <w:rPr>
          <w:i/>
        </w:rPr>
        <w:t>Puget</w:t>
      </w:r>
      <w:r w:rsidR="00E57872" w:rsidRPr="00E57872">
        <w:rPr>
          <w:i/>
        </w:rPr>
        <w:t xml:space="preserve"> Sound Energy, Inc. for an Order Authorizing Deferral of Certain Electric Energy Supply Costs</w:t>
      </w:r>
      <w:r w:rsidR="00E57872" w:rsidRPr="00E57872">
        <w:t>,</w:t>
      </w:r>
      <w:r w:rsidR="00E57872" w:rsidRPr="00E57872">
        <w:rPr>
          <w:i/>
        </w:rPr>
        <w:t xml:space="preserve"> </w:t>
      </w:r>
      <w:r w:rsidR="00E57872" w:rsidRPr="00E57872">
        <w:t>Dockets UE-011163 and UE-011170 (</w:t>
      </w:r>
      <w:r w:rsidR="00E57872" w:rsidRPr="00E57872">
        <w:rPr>
          <w:i/>
        </w:rPr>
        <w:t>consolidated</w:t>
      </w:r>
      <w:r w:rsidR="00E57872" w:rsidRPr="00E57872">
        <w:t>), Sixth Supplemental Order, ¶</w:t>
      </w:r>
      <w:r w:rsidR="00E031CF">
        <w:t xml:space="preserve"> </w:t>
      </w:r>
      <w:r w:rsidR="00E57872" w:rsidRPr="00E57872">
        <w:t>15 (Oct. 4, 2001).</w:t>
      </w:r>
      <w:r w:rsidR="00E57872">
        <w:t xml:space="preserve"> </w:t>
      </w:r>
    </w:p>
  </w:footnote>
  <w:footnote w:id="36">
    <w:p w14:paraId="6EF019D1" w14:textId="6031856B" w:rsidR="00975E58" w:rsidRDefault="00975E58" w:rsidP="00A64735">
      <w:pPr>
        <w:pStyle w:val="FootnoteText"/>
      </w:pPr>
      <w:r>
        <w:rPr>
          <w:rStyle w:val="FootnoteReference"/>
        </w:rPr>
        <w:footnoteRef/>
      </w:r>
      <w:r>
        <w:t xml:space="preserve"> Norton, Exh. No. LYN-1T </w:t>
      </w:r>
      <w:r w:rsidRPr="00290408">
        <w:t xml:space="preserve">at </w:t>
      </w:r>
      <w:r w:rsidR="00290408" w:rsidRPr="00290408">
        <w:t>8:1-9</w:t>
      </w:r>
      <w:r w:rsidR="00290408">
        <w:t>:</w:t>
      </w:r>
      <w:r w:rsidR="00290408" w:rsidRPr="00290408">
        <w:t>7</w:t>
      </w:r>
      <w:r>
        <w:t>; Exh. No. LYN-3.</w:t>
      </w:r>
    </w:p>
  </w:footnote>
  <w:footnote w:id="37">
    <w:p w14:paraId="0C120047" w14:textId="40ED8FF3" w:rsidR="00E071F8" w:rsidRDefault="00E071F8">
      <w:pPr>
        <w:pStyle w:val="FootnoteText"/>
      </w:pPr>
      <w:r>
        <w:rPr>
          <w:rStyle w:val="FootnoteReference"/>
        </w:rPr>
        <w:footnoteRef/>
      </w:r>
      <w:r>
        <w:t xml:space="preserve"> </w:t>
      </w:r>
      <w:r w:rsidRPr="00E071F8">
        <w:rPr>
          <w:i/>
          <w:iCs/>
        </w:rPr>
        <w:t>Re Regulation of Electric Utilities in the Face of Change in the Electric Industry</w:t>
      </w:r>
      <w:r w:rsidRPr="00E071F8">
        <w:t xml:space="preserve">, Docket No. UE-940932, at 27 (April 22, 1998) (“[T]he Commission does not support any recommendation that would constitute any form of preapproval of </w:t>
      </w:r>
      <w:r>
        <w:t>utility expenditures . .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BA4CBD"/>
    <w:multiLevelType w:val="hybridMultilevel"/>
    <w:tmpl w:val="CC5CA188"/>
    <w:lvl w:ilvl="0" w:tplc="C56655F4">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 w15:restartNumberingAfterBreak="0">
    <w:nsid w:val="198B2C25"/>
    <w:multiLevelType w:val="hybridMultilevel"/>
    <w:tmpl w:val="97AA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D50C3"/>
    <w:multiLevelType w:val="hybridMultilevel"/>
    <w:tmpl w:val="3CC26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261F"/>
    <w:multiLevelType w:val="hybridMultilevel"/>
    <w:tmpl w:val="E384D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3B783053"/>
    <w:multiLevelType w:val="hybridMultilevel"/>
    <w:tmpl w:val="AAF8A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6F0673"/>
    <w:multiLevelType w:val="hybridMultilevel"/>
    <w:tmpl w:val="7E6689B4"/>
    <w:lvl w:ilvl="0" w:tplc="B4164CE0">
      <w:start w:val="1"/>
      <w:numFmt w:val="decimal"/>
      <w:lvlText w:val="%1"/>
      <w:lvlJc w:val="left"/>
      <w:pPr>
        <w:ind w:left="1440" w:hanging="36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4F70C5"/>
    <w:multiLevelType w:val="hybridMultilevel"/>
    <w:tmpl w:val="3FE0C2CE"/>
    <w:lvl w:ilvl="0" w:tplc="A876221E">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 w15:restartNumberingAfterBreak="0">
    <w:nsid w:val="56A70DFD"/>
    <w:multiLevelType w:val="hybridMultilevel"/>
    <w:tmpl w:val="AE4C1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C5096"/>
    <w:multiLevelType w:val="hybridMultilevel"/>
    <w:tmpl w:val="F70ACF62"/>
    <w:lvl w:ilvl="0" w:tplc="8CA07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70AD3"/>
    <w:multiLevelType w:val="hybridMultilevel"/>
    <w:tmpl w:val="E98E70DC"/>
    <w:lvl w:ilvl="0" w:tplc="6CC43AD2">
      <w:start w:val="1"/>
      <w:numFmt w:val="upperRoman"/>
      <w:lvlText w:val="%1."/>
      <w:lvlJc w:val="left"/>
      <w:pPr>
        <w:ind w:left="1080" w:hanging="720"/>
      </w:pPr>
      <w:rPr>
        <w:rFonts w:ascii="Palatino Linotype" w:hAnsi="Palatino Linotyp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07C13"/>
    <w:multiLevelType w:val="hybridMultilevel"/>
    <w:tmpl w:val="84565FCE"/>
    <w:lvl w:ilvl="0" w:tplc="2902A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42CF1"/>
    <w:multiLevelType w:val="hybridMultilevel"/>
    <w:tmpl w:val="5D1C58FA"/>
    <w:lvl w:ilvl="0" w:tplc="C7A6C962">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num w:numId="1">
    <w:abstractNumId w:val="6"/>
  </w:num>
  <w:num w:numId="2">
    <w:abstractNumId w:val="0"/>
  </w:num>
  <w:num w:numId="3">
    <w:abstractNumId w:val="3"/>
  </w:num>
  <w:num w:numId="4">
    <w:abstractNumId w:val="8"/>
  </w:num>
  <w:num w:numId="5">
    <w:abstractNumId w:val="12"/>
  </w:num>
  <w:num w:numId="6">
    <w:abstractNumId w:val="9"/>
  </w:num>
  <w:num w:numId="7">
    <w:abstractNumId w:val="14"/>
  </w:num>
  <w:num w:numId="8">
    <w:abstractNumId w:val="13"/>
  </w:num>
  <w:num w:numId="9">
    <w:abstractNumId w:val="10"/>
  </w:num>
  <w:num w:numId="10">
    <w:abstractNumId w:val="15"/>
  </w:num>
  <w:num w:numId="11">
    <w:abstractNumId w:val="1"/>
  </w:num>
  <w:num w:numId="12">
    <w:abstractNumId w:val="2"/>
  </w:num>
  <w:num w:numId="13">
    <w:abstractNumId w:val="11"/>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embedSystemFonts/>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2ABE"/>
    <w:rsid w:val="00007115"/>
    <w:rsid w:val="00017E79"/>
    <w:rsid w:val="0003158D"/>
    <w:rsid w:val="0003578D"/>
    <w:rsid w:val="00036B38"/>
    <w:rsid w:val="0004645F"/>
    <w:rsid w:val="00062BEC"/>
    <w:rsid w:val="00072583"/>
    <w:rsid w:val="00074ED5"/>
    <w:rsid w:val="00076369"/>
    <w:rsid w:val="00092718"/>
    <w:rsid w:val="000F7FE2"/>
    <w:rsid w:val="001038B0"/>
    <w:rsid w:val="00110DF3"/>
    <w:rsid w:val="001242E1"/>
    <w:rsid w:val="001401C8"/>
    <w:rsid w:val="00166A91"/>
    <w:rsid w:val="001704FC"/>
    <w:rsid w:val="001769DB"/>
    <w:rsid w:val="001823E0"/>
    <w:rsid w:val="001A1497"/>
    <w:rsid w:val="001A7188"/>
    <w:rsid w:val="001B5329"/>
    <w:rsid w:val="001D0679"/>
    <w:rsid w:val="002131A1"/>
    <w:rsid w:val="00216E76"/>
    <w:rsid w:val="002176F5"/>
    <w:rsid w:val="00236FE4"/>
    <w:rsid w:val="00250FB9"/>
    <w:rsid w:val="00252683"/>
    <w:rsid w:val="00263FE9"/>
    <w:rsid w:val="00270586"/>
    <w:rsid w:val="00290408"/>
    <w:rsid w:val="002A1A34"/>
    <w:rsid w:val="002A5C04"/>
    <w:rsid w:val="002A6671"/>
    <w:rsid w:val="002B225E"/>
    <w:rsid w:val="002B29F9"/>
    <w:rsid w:val="002C586C"/>
    <w:rsid w:val="002F56EE"/>
    <w:rsid w:val="00313D6F"/>
    <w:rsid w:val="003215A3"/>
    <w:rsid w:val="003307FD"/>
    <w:rsid w:val="0033164B"/>
    <w:rsid w:val="00335708"/>
    <w:rsid w:val="00341B38"/>
    <w:rsid w:val="00350AF4"/>
    <w:rsid w:val="00361F3E"/>
    <w:rsid w:val="00361F5A"/>
    <w:rsid w:val="0039733F"/>
    <w:rsid w:val="003B595F"/>
    <w:rsid w:val="003B70C1"/>
    <w:rsid w:val="003E2809"/>
    <w:rsid w:val="003E3E4A"/>
    <w:rsid w:val="003F6EB5"/>
    <w:rsid w:val="00422068"/>
    <w:rsid w:val="004576C2"/>
    <w:rsid w:val="00465D27"/>
    <w:rsid w:val="00477FB9"/>
    <w:rsid w:val="00486ED6"/>
    <w:rsid w:val="00495E3B"/>
    <w:rsid w:val="00496AED"/>
    <w:rsid w:val="004A3D93"/>
    <w:rsid w:val="004E5BFB"/>
    <w:rsid w:val="00502CCC"/>
    <w:rsid w:val="00526D67"/>
    <w:rsid w:val="00536434"/>
    <w:rsid w:val="00551E0A"/>
    <w:rsid w:val="005579FE"/>
    <w:rsid w:val="00593C3F"/>
    <w:rsid w:val="00594ED0"/>
    <w:rsid w:val="00610252"/>
    <w:rsid w:val="00627594"/>
    <w:rsid w:val="0063041F"/>
    <w:rsid w:val="00660408"/>
    <w:rsid w:val="00673940"/>
    <w:rsid w:val="006776E2"/>
    <w:rsid w:val="00686794"/>
    <w:rsid w:val="006911A3"/>
    <w:rsid w:val="00693C8C"/>
    <w:rsid w:val="00695741"/>
    <w:rsid w:val="006D57A6"/>
    <w:rsid w:val="006F61C7"/>
    <w:rsid w:val="006F7823"/>
    <w:rsid w:val="007055B8"/>
    <w:rsid w:val="00716FF6"/>
    <w:rsid w:val="007224E9"/>
    <w:rsid w:val="0073404D"/>
    <w:rsid w:val="00750441"/>
    <w:rsid w:val="007844A5"/>
    <w:rsid w:val="007862D9"/>
    <w:rsid w:val="0079406A"/>
    <w:rsid w:val="007B4430"/>
    <w:rsid w:val="007C7D0F"/>
    <w:rsid w:val="007D3951"/>
    <w:rsid w:val="00823651"/>
    <w:rsid w:val="00826189"/>
    <w:rsid w:val="0083264E"/>
    <w:rsid w:val="00834D76"/>
    <w:rsid w:val="00852267"/>
    <w:rsid w:val="00864ECE"/>
    <w:rsid w:val="00865B9C"/>
    <w:rsid w:val="008904C5"/>
    <w:rsid w:val="00893F62"/>
    <w:rsid w:val="008D3177"/>
    <w:rsid w:val="008F2C45"/>
    <w:rsid w:val="008F4671"/>
    <w:rsid w:val="008F739E"/>
    <w:rsid w:val="00902798"/>
    <w:rsid w:val="009116EA"/>
    <w:rsid w:val="00911DE6"/>
    <w:rsid w:val="00913767"/>
    <w:rsid w:val="009267B4"/>
    <w:rsid w:val="0093328C"/>
    <w:rsid w:val="00950BAC"/>
    <w:rsid w:val="00960544"/>
    <w:rsid w:val="009646AE"/>
    <w:rsid w:val="0097063C"/>
    <w:rsid w:val="00971EA7"/>
    <w:rsid w:val="00975E58"/>
    <w:rsid w:val="009773EF"/>
    <w:rsid w:val="009A038A"/>
    <w:rsid w:val="009B2263"/>
    <w:rsid w:val="009E4737"/>
    <w:rsid w:val="009E7425"/>
    <w:rsid w:val="009F27BA"/>
    <w:rsid w:val="009F6B80"/>
    <w:rsid w:val="00A06753"/>
    <w:rsid w:val="00A11F1E"/>
    <w:rsid w:val="00A23D59"/>
    <w:rsid w:val="00A64735"/>
    <w:rsid w:val="00A67601"/>
    <w:rsid w:val="00A8045C"/>
    <w:rsid w:val="00A824C1"/>
    <w:rsid w:val="00A85940"/>
    <w:rsid w:val="00AA57A4"/>
    <w:rsid w:val="00AA5A8D"/>
    <w:rsid w:val="00AA6AC2"/>
    <w:rsid w:val="00AB2756"/>
    <w:rsid w:val="00AE237F"/>
    <w:rsid w:val="00AF0343"/>
    <w:rsid w:val="00B1126C"/>
    <w:rsid w:val="00B118C5"/>
    <w:rsid w:val="00B118CC"/>
    <w:rsid w:val="00B201AD"/>
    <w:rsid w:val="00B23A92"/>
    <w:rsid w:val="00B35D70"/>
    <w:rsid w:val="00B4126B"/>
    <w:rsid w:val="00B53C1B"/>
    <w:rsid w:val="00B80C7E"/>
    <w:rsid w:val="00B87BDF"/>
    <w:rsid w:val="00BA68D3"/>
    <w:rsid w:val="00BE4D8F"/>
    <w:rsid w:val="00C07F7F"/>
    <w:rsid w:val="00C16397"/>
    <w:rsid w:val="00C27AF0"/>
    <w:rsid w:val="00C33EDD"/>
    <w:rsid w:val="00C3774B"/>
    <w:rsid w:val="00C5017F"/>
    <w:rsid w:val="00C50479"/>
    <w:rsid w:val="00C9797B"/>
    <w:rsid w:val="00CD303D"/>
    <w:rsid w:val="00CF69EE"/>
    <w:rsid w:val="00D11854"/>
    <w:rsid w:val="00D1364E"/>
    <w:rsid w:val="00D37FF6"/>
    <w:rsid w:val="00D553FD"/>
    <w:rsid w:val="00D732B1"/>
    <w:rsid w:val="00D8378C"/>
    <w:rsid w:val="00DE5C2A"/>
    <w:rsid w:val="00E0305A"/>
    <w:rsid w:val="00E031CF"/>
    <w:rsid w:val="00E04C0E"/>
    <w:rsid w:val="00E0667A"/>
    <w:rsid w:val="00E071F8"/>
    <w:rsid w:val="00E163DF"/>
    <w:rsid w:val="00E22586"/>
    <w:rsid w:val="00E22DB2"/>
    <w:rsid w:val="00E3232B"/>
    <w:rsid w:val="00E46981"/>
    <w:rsid w:val="00E57872"/>
    <w:rsid w:val="00E6112D"/>
    <w:rsid w:val="00E677DE"/>
    <w:rsid w:val="00E67B09"/>
    <w:rsid w:val="00E7610D"/>
    <w:rsid w:val="00EA0FD4"/>
    <w:rsid w:val="00EB0C74"/>
    <w:rsid w:val="00EC44C8"/>
    <w:rsid w:val="00EC7245"/>
    <w:rsid w:val="00ED240D"/>
    <w:rsid w:val="00ED350A"/>
    <w:rsid w:val="00ED76FF"/>
    <w:rsid w:val="00EF0326"/>
    <w:rsid w:val="00F10E7B"/>
    <w:rsid w:val="00F447D2"/>
    <w:rsid w:val="00F607FA"/>
    <w:rsid w:val="00F62C77"/>
    <w:rsid w:val="00F803EE"/>
    <w:rsid w:val="00F821BD"/>
    <w:rsid w:val="00F84FF8"/>
    <w:rsid w:val="00F91287"/>
    <w:rsid w:val="00F926FF"/>
    <w:rsid w:val="00FC6156"/>
    <w:rsid w:val="00FD6B99"/>
    <w:rsid w:val="00FF24E3"/>
    <w:rsid w:val="00FF2BC1"/>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7E8F92"/>
  <w15:docId w15:val="{285F9677-FAEA-4DA1-909B-1ACF1397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74"/>
    <w:rPr>
      <w:rFonts w:ascii="Palatino Linotype" w:hAnsi="Palatino Linotyp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link w:val="HeaderChar"/>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semiHidden/>
    <w:unhideWhenUsed/>
    <w:rsid w:val="00551E0A"/>
    <w:rPr>
      <w:rFonts w:ascii="Segoe UI" w:hAnsi="Segoe UI" w:cs="Segoe UI"/>
      <w:sz w:val="18"/>
      <w:szCs w:val="18"/>
    </w:rPr>
  </w:style>
  <w:style w:type="character" w:customStyle="1" w:styleId="BalloonTextChar">
    <w:name w:val="Balloon Text Char"/>
    <w:basedOn w:val="DefaultParagraphFont"/>
    <w:link w:val="BalloonText"/>
    <w:semiHidden/>
    <w:rsid w:val="00551E0A"/>
    <w:rPr>
      <w:rFonts w:ascii="Segoe UI" w:hAnsi="Segoe UI" w:cs="Segoe UI"/>
      <w:sz w:val="18"/>
      <w:szCs w:val="1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
    <w:basedOn w:val="Normal"/>
    <w:link w:val="FootnoteTextChar"/>
    <w:uiPriority w:val="99"/>
    <w:qFormat/>
    <w:rsid w:val="007B4430"/>
    <w:rPr>
      <w:rFonts w:ascii="Times New Roman" w:hAnsi="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semiHidden/>
    <w:rsid w:val="007B4430"/>
  </w:style>
  <w:style w:type="character" w:styleId="FootnoteReference">
    <w:name w:val="footnote reference"/>
    <w:aliases w:val="Style 3,o,fr,Style 13,Style 12,Style 15,Style 17,Style 9,o1,fr1,o2,fr2,o3,fr3,Style 18,(NECG) Footnote Reference,Style 20,Style 7,Style 8,Style 19,Style 28,Style 11,Style 16,Styl,Style 6"/>
    <w:uiPriority w:val="99"/>
    <w:qFormat/>
    <w:rsid w:val="007B4430"/>
    <w:rPr>
      <w:vertAlign w:val="superscript"/>
    </w:rPr>
  </w:style>
  <w:style w:type="paragraph" w:customStyle="1" w:styleId="Answer">
    <w:name w:val="Answer"/>
    <w:basedOn w:val="Normal"/>
    <w:link w:val="AnswerChar1"/>
    <w:qFormat/>
    <w:rsid w:val="003F6EB5"/>
    <w:pPr>
      <w:spacing w:line="480" w:lineRule="auto"/>
      <w:ind w:left="720" w:hanging="720"/>
      <w:jc w:val="both"/>
    </w:pPr>
    <w:rPr>
      <w:rFonts w:ascii="Times New Roman" w:hAnsi="Times New Roman"/>
    </w:rPr>
  </w:style>
  <w:style w:type="character" w:customStyle="1" w:styleId="AnswerChar1">
    <w:name w:val="Answer Char1"/>
    <w:basedOn w:val="DefaultParagraphFont"/>
    <w:link w:val="Answer"/>
    <w:rsid w:val="003F6EB5"/>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3F6EB5"/>
    <w:rPr>
      <w:sz w:val="20"/>
      <w:szCs w:val="20"/>
    </w:rPr>
  </w:style>
  <w:style w:type="paragraph" w:customStyle="1" w:styleId="Default">
    <w:name w:val="Default"/>
    <w:rsid w:val="003F6EB5"/>
    <w:pPr>
      <w:autoSpaceDE w:val="0"/>
      <w:autoSpaceDN w:val="0"/>
      <w:adjustRightInd w:val="0"/>
    </w:pPr>
    <w:rPr>
      <w:color w:val="000000"/>
      <w:sz w:val="24"/>
      <w:szCs w:val="24"/>
    </w:rPr>
  </w:style>
  <w:style w:type="character" w:customStyle="1" w:styleId="HeaderChar">
    <w:name w:val="Header Char"/>
    <w:basedOn w:val="DefaultParagraphFont"/>
    <w:link w:val="Header"/>
    <w:rsid w:val="003F6EB5"/>
    <w:rPr>
      <w:rFonts w:ascii="Palatino Linotype" w:hAnsi="Palatino Linotype"/>
      <w:sz w:val="24"/>
      <w:szCs w:val="24"/>
    </w:rPr>
  </w:style>
  <w:style w:type="paragraph" w:customStyle="1" w:styleId="Question">
    <w:name w:val="Question"/>
    <w:basedOn w:val="Normal"/>
    <w:link w:val="QuestionChar"/>
    <w:rsid w:val="004A3D93"/>
    <w:pPr>
      <w:spacing w:line="480" w:lineRule="auto"/>
      <w:ind w:left="720" w:hanging="720"/>
      <w:jc w:val="both"/>
    </w:pPr>
    <w:rPr>
      <w:rFonts w:ascii="Times New Roman" w:hAnsi="Times New Roman"/>
      <w:b/>
      <w:bCs/>
      <w:szCs w:val="20"/>
    </w:rPr>
  </w:style>
  <w:style w:type="character" w:customStyle="1" w:styleId="QuestionChar">
    <w:name w:val="Question Char"/>
    <w:basedOn w:val="DefaultParagraphFont"/>
    <w:link w:val="Question"/>
    <w:rsid w:val="004A3D93"/>
    <w:rPr>
      <w:b/>
      <w:bCs/>
      <w:sz w:val="24"/>
    </w:rPr>
  </w:style>
  <w:style w:type="paragraph" w:styleId="ListParagraph">
    <w:name w:val="List Paragraph"/>
    <w:basedOn w:val="Normal"/>
    <w:uiPriority w:val="34"/>
    <w:qFormat/>
    <w:rsid w:val="00EB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430">
      <w:bodyDiv w:val="1"/>
      <w:marLeft w:val="0"/>
      <w:marRight w:val="0"/>
      <w:marTop w:val="0"/>
      <w:marBottom w:val="0"/>
      <w:divBdr>
        <w:top w:val="none" w:sz="0" w:space="0" w:color="auto"/>
        <w:left w:val="none" w:sz="0" w:space="0" w:color="auto"/>
        <w:bottom w:val="none" w:sz="0" w:space="0" w:color="auto"/>
        <w:right w:val="none" w:sz="0" w:space="0" w:color="auto"/>
      </w:divBdr>
    </w:div>
    <w:div w:id="229198139">
      <w:bodyDiv w:val="1"/>
      <w:marLeft w:val="0"/>
      <w:marRight w:val="0"/>
      <w:marTop w:val="0"/>
      <w:marBottom w:val="0"/>
      <w:divBdr>
        <w:top w:val="none" w:sz="0" w:space="0" w:color="auto"/>
        <w:left w:val="none" w:sz="0" w:space="0" w:color="auto"/>
        <w:bottom w:val="none" w:sz="0" w:space="0" w:color="auto"/>
        <w:right w:val="none" w:sz="0" w:space="0" w:color="auto"/>
      </w:divBdr>
    </w:div>
    <w:div w:id="371224144">
      <w:bodyDiv w:val="1"/>
      <w:marLeft w:val="0"/>
      <w:marRight w:val="0"/>
      <w:marTop w:val="0"/>
      <w:marBottom w:val="0"/>
      <w:divBdr>
        <w:top w:val="none" w:sz="0" w:space="0" w:color="auto"/>
        <w:left w:val="none" w:sz="0" w:space="0" w:color="auto"/>
        <w:bottom w:val="none" w:sz="0" w:space="0" w:color="auto"/>
        <w:right w:val="none" w:sz="0" w:space="0" w:color="auto"/>
      </w:divBdr>
    </w:div>
    <w:div w:id="607589580">
      <w:bodyDiv w:val="1"/>
      <w:marLeft w:val="0"/>
      <w:marRight w:val="0"/>
      <w:marTop w:val="0"/>
      <w:marBottom w:val="0"/>
      <w:divBdr>
        <w:top w:val="none" w:sz="0" w:space="0" w:color="auto"/>
        <w:left w:val="none" w:sz="0" w:space="0" w:color="auto"/>
        <w:bottom w:val="none" w:sz="0" w:space="0" w:color="auto"/>
        <w:right w:val="none" w:sz="0" w:space="0" w:color="auto"/>
      </w:divBdr>
    </w:div>
    <w:div w:id="1240869398">
      <w:bodyDiv w:val="1"/>
      <w:marLeft w:val="0"/>
      <w:marRight w:val="0"/>
      <w:marTop w:val="0"/>
      <w:marBottom w:val="0"/>
      <w:divBdr>
        <w:top w:val="none" w:sz="0" w:space="0" w:color="auto"/>
        <w:left w:val="none" w:sz="0" w:space="0" w:color="auto"/>
        <w:bottom w:val="none" w:sz="0" w:space="0" w:color="auto"/>
        <w:right w:val="none" w:sz="0" w:space="0" w:color="auto"/>
      </w:divBdr>
    </w:div>
    <w:div w:id="17791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2015-09-18T07:00:00+00:00</OpenedDate>
    <Date1 xmlns="dc463f71-b30c-4ab2-9473-d307f9d35888">2016-07-13T23:52:47+00:00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6BAC5C-C968-4EA8-8B1F-81069B412B0F}"/>
</file>

<file path=customXml/itemProps2.xml><?xml version="1.0" encoding="utf-8"?>
<ds:datastoreItem xmlns:ds="http://schemas.openxmlformats.org/officeDocument/2006/customXml" ds:itemID="{C9933D03-BECF-4D1F-A720-C48B7A48BB42}"/>
</file>

<file path=customXml/itemProps3.xml><?xml version="1.0" encoding="utf-8"?>
<ds:datastoreItem xmlns:ds="http://schemas.openxmlformats.org/officeDocument/2006/customXml" ds:itemID="{9C8063DF-2344-4FDC-8D32-869BFD4F3503}"/>
</file>

<file path=customXml/itemProps4.xml><?xml version="1.0" encoding="utf-8"?>
<ds:datastoreItem xmlns:ds="http://schemas.openxmlformats.org/officeDocument/2006/customXml" ds:itemID="{8BE7CCB0-8EFE-45A1-9F45-14B8762BB8B6}"/>
</file>

<file path=customXml/itemProps5.xml><?xml version="1.0" encoding="utf-8"?>
<ds:datastoreItem xmlns:ds="http://schemas.openxmlformats.org/officeDocument/2006/customXml" ds:itemID="{770EE5AC-7C26-4ACE-A27B-6028F2AF99B3}"/>
</file>

<file path=docProps/app.xml><?xml version="1.0" encoding="utf-8"?>
<Properties xmlns="http://schemas.openxmlformats.org/officeDocument/2006/extended-properties" xmlns:vt="http://schemas.openxmlformats.org/officeDocument/2006/docPropsVTypes">
  <Template>Normal.dotm</Template>
  <TotalTime>11</TotalTime>
  <Pages>15</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23813</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Gross, Krista (UTC)</cp:lastModifiedBy>
  <cp:revision>6</cp:revision>
  <cp:lastPrinted>2016-07-13T20:40:00Z</cp:lastPrinted>
  <dcterms:created xsi:type="dcterms:W3CDTF">2016-07-13T23:07:00Z</dcterms:created>
  <dcterms:modified xsi:type="dcterms:W3CDTF">2016-07-13T23:25:00Z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