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B3" w:rsidRDefault="00892BB3" w:rsidP="00892BB3">
      <w:pPr>
        <w:pStyle w:val="Header"/>
        <w:tabs>
          <w:tab w:val="clear" w:pos="4320"/>
          <w:tab w:val="clear" w:pos="8640"/>
          <w:tab w:val="center" w:pos="4680"/>
        </w:tabs>
        <w:jc w:val="center"/>
        <w:rPr>
          <w:b/>
          <w:bCs/>
          <w:sz w:val="24"/>
        </w:rPr>
      </w:pPr>
      <w:r>
        <w:rPr>
          <w:b/>
          <w:bCs/>
          <w:sz w:val="24"/>
        </w:rPr>
        <w:t>BEFORE THE</w:t>
      </w:r>
    </w:p>
    <w:p w:rsidR="00892BB3" w:rsidRDefault="00892BB3" w:rsidP="00892BB3">
      <w:pPr>
        <w:pStyle w:val="Heading1"/>
        <w:jc w:val="center"/>
        <w:rPr>
          <w:sz w:val="24"/>
        </w:rPr>
      </w:pPr>
      <w:r>
        <w:rPr>
          <w:sz w:val="24"/>
        </w:rPr>
        <w:t>WASHINGTON UTILITIES AND TRANSPORTATION COMMISSION</w:t>
      </w:r>
    </w:p>
    <w:p w:rsidR="00892BB3" w:rsidRDefault="00892BB3" w:rsidP="00892BB3">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892BB3" w:rsidTr="00E86949">
        <w:trPr>
          <w:trHeight w:val="2951"/>
        </w:trPr>
        <w:tc>
          <w:tcPr>
            <w:tcW w:w="4396" w:type="dxa"/>
            <w:tcBorders>
              <w:bottom w:val="single" w:sz="4" w:space="0" w:color="auto"/>
            </w:tcBorders>
          </w:tcPr>
          <w:p w:rsidR="00892BB3" w:rsidRPr="003D3DCC" w:rsidRDefault="00892BB3" w:rsidP="00E86949">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892BB3" w:rsidRDefault="00892BB3" w:rsidP="00E86949">
            <w:pPr>
              <w:tabs>
                <w:tab w:val="left" w:pos="2168"/>
              </w:tabs>
            </w:pPr>
          </w:p>
          <w:p w:rsidR="00892BB3" w:rsidRDefault="00892BB3" w:rsidP="00E86949">
            <w:pPr>
              <w:tabs>
                <w:tab w:val="left" w:pos="2168"/>
              </w:tabs>
            </w:pPr>
            <w:r>
              <w:t>PUGET SOUND ENERGY, INC., and</w:t>
            </w:r>
          </w:p>
          <w:p w:rsidR="00892BB3" w:rsidRDefault="00892BB3" w:rsidP="00E86949">
            <w:pPr>
              <w:tabs>
                <w:tab w:val="left" w:pos="2168"/>
              </w:tabs>
            </w:pPr>
            <w:r>
              <w:t>NW ENERGY COALITION</w:t>
            </w:r>
          </w:p>
          <w:p w:rsidR="00892BB3" w:rsidRDefault="00892BB3" w:rsidP="00E86949">
            <w:pPr>
              <w:tabs>
                <w:tab w:val="left" w:pos="2168"/>
              </w:tabs>
            </w:pPr>
          </w:p>
          <w:p w:rsidR="00892BB3" w:rsidRPr="00F90CD2" w:rsidRDefault="00892BB3" w:rsidP="00E86949">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BE7413" w:rsidRDefault="00892BB3" w:rsidP="00E86949">
            <w:pPr>
              <w:pStyle w:val="SingleSpacing"/>
              <w:spacing w:line="240" w:lineRule="auto"/>
              <w:rPr>
                <w:i/>
              </w:rPr>
            </w:pPr>
            <w:r w:rsidRPr="005A2AFA">
              <w:t>)</w:t>
            </w:r>
          </w:p>
        </w:tc>
        <w:tc>
          <w:tcPr>
            <w:tcW w:w="4113" w:type="dxa"/>
          </w:tcPr>
          <w:p w:rsidR="00EB7534" w:rsidRDefault="00EB7534" w:rsidP="00E86949">
            <w:pPr>
              <w:pStyle w:val="SingleSpacing"/>
              <w:spacing w:line="240" w:lineRule="auto"/>
            </w:pPr>
            <w:bookmarkStart w:id="1" w:name="CaseNumber"/>
            <w:bookmarkEnd w:id="1"/>
          </w:p>
          <w:p w:rsidR="00EB7534" w:rsidRDefault="00EB7534" w:rsidP="00E86949">
            <w:pPr>
              <w:pStyle w:val="SingleSpacing"/>
              <w:spacing w:line="240" w:lineRule="auto"/>
            </w:pPr>
          </w:p>
          <w:p w:rsidR="00EB7534" w:rsidRDefault="00EB7534" w:rsidP="00E86949">
            <w:pPr>
              <w:pStyle w:val="SingleSpacing"/>
              <w:spacing w:line="240" w:lineRule="auto"/>
            </w:pPr>
          </w:p>
          <w:p w:rsidR="00892BB3" w:rsidRDefault="00892BB3" w:rsidP="00E86949">
            <w:pPr>
              <w:pStyle w:val="SingleSpacing"/>
              <w:spacing w:line="240" w:lineRule="auto"/>
            </w:pPr>
            <w:r w:rsidRPr="007A1546">
              <w:t>DOCKET NO</w:t>
            </w:r>
            <w:r>
              <w:t>S</w:t>
            </w:r>
            <w:r w:rsidRPr="007A1546">
              <w:t xml:space="preserve">. </w:t>
            </w:r>
            <w:r w:rsidRPr="007A1546">
              <w:rPr>
                <w:bCs/>
              </w:rPr>
              <w:t>UE-</w:t>
            </w:r>
            <w:r>
              <w:t>121697/UG-121705</w:t>
            </w:r>
          </w:p>
          <w:p w:rsidR="00892BB3" w:rsidRDefault="00892BB3" w:rsidP="00E86949">
            <w:pPr>
              <w:pStyle w:val="SingleSpacing"/>
              <w:spacing w:line="240" w:lineRule="auto"/>
            </w:pPr>
            <w:r>
              <w:t>(Consolidated)</w:t>
            </w:r>
          </w:p>
          <w:p w:rsidR="00892BB3" w:rsidRDefault="00892BB3" w:rsidP="00E86949">
            <w:pPr>
              <w:pStyle w:val="SingleSpacing"/>
              <w:spacing w:line="240" w:lineRule="auto"/>
            </w:pPr>
          </w:p>
          <w:p w:rsidR="00892BB3" w:rsidRPr="005A2AFA" w:rsidRDefault="00892BB3" w:rsidP="00E86949">
            <w:pPr>
              <w:pStyle w:val="SingleSpacing"/>
              <w:spacing w:line="240" w:lineRule="auto"/>
            </w:pPr>
            <w:r>
              <w:t>and</w:t>
            </w:r>
          </w:p>
        </w:tc>
      </w:tr>
    </w:tbl>
    <w:p w:rsidR="00892BB3" w:rsidRDefault="00892BB3" w:rsidP="00892BB3">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892BB3" w:rsidTr="00E86949">
        <w:trPr>
          <w:trHeight w:val="2951"/>
        </w:trPr>
        <w:tc>
          <w:tcPr>
            <w:tcW w:w="4396" w:type="dxa"/>
            <w:tcBorders>
              <w:bottom w:val="single" w:sz="4" w:space="0" w:color="auto"/>
            </w:tcBorders>
          </w:tcPr>
          <w:p w:rsidR="00892BB3" w:rsidRDefault="00892BB3" w:rsidP="00E86949">
            <w:pPr>
              <w:pStyle w:val="Footer"/>
              <w:widowControl/>
              <w:tabs>
                <w:tab w:val="clear" w:pos="4320"/>
                <w:tab w:val="clear" w:pos="8640"/>
                <w:tab w:val="left" w:pos="2160"/>
              </w:tabs>
              <w:rPr>
                <w:snapToGrid/>
              </w:rPr>
            </w:pPr>
            <w:r>
              <w:rPr>
                <w:snapToGrid/>
              </w:rPr>
              <w:t>WASHINGTON UTILITIES AND TRANSPORTATION COMMISSION,</w:t>
            </w:r>
          </w:p>
          <w:p w:rsidR="00892BB3" w:rsidRDefault="00892BB3" w:rsidP="00E86949">
            <w:pPr>
              <w:pStyle w:val="Footer"/>
              <w:widowControl/>
              <w:tabs>
                <w:tab w:val="clear" w:pos="4320"/>
                <w:tab w:val="clear" w:pos="8640"/>
                <w:tab w:val="left" w:pos="2160"/>
              </w:tabs>
              <w:rPr>
                <w:snapToGrid/>
              </w:rPr>
            </w:pPr>
          </w:p>
          <w:p w:rsidR="00892BB3" w:rsidRDefault="00892BB3" w:rsidP="00E86949">
            <w:pPr>
              <w:pStyle w:val="Footer"/>
              <w:widowControl/>
              <w:tabs>
                <w:tab w:val="clear" w:pos="4320"/>
                <w:tab w:val="clear" w:pos="8640"/>
                <w:tab w:val="left" w:pos="2160"/>
              </w:tabs>
              <w:ind w:firstLine="2340"/>
              <w:rPr>
                <w:snapToGrid/>
              </w:rPr>
            </w:pPr>
            <w:r>
              <w:rPr>
                <w:snapToGrid/>
              </w:rPr>
              <w:t>Complainant,</w:t>
            </w:r>
          </w:p>
          <w:p w:rsidR="00892BB3" w:rsidRDefault="00892BB3" w:rsidP="00E86949">
            <w:pPr>
              <w:pStyle w:val="Footer"/>
              <w:widowControl/>
              <w:tabs>
                <w:tab w:val="clear" w:pos="4320"/>
                <w:tab w:val="clear" w:pos="8640"/>
                <w:tab w:val="left" w:pos="2160"/>
              </w:tabs>
              <w:ind w:firstLine="2340"/>
              <w:rPr>
                <w:snapToGrid/>
              </w:rPr>
            </w:pPr>
          </w:p>
          <w:p w:rsidR="00892BB3" w:rsidRDefault="00892BB3" w:rsidP="00E86949">
            <w:pPr>
              <w:pStyle w:val="Footer"/>
              <w:widowControl/>
              <w:tabs>
                <w:tab w:val="clear" w:pos="4320"/>
                <w:tab w:val="clear" w:pos="8640"/>
                <w:tab w:val="left" w:pos="2160"/>
              </w:tabs>
              <w:rPr>
                <w:snapToGrid/>
              </w:rPr>
            </w:pPr>
            <w:r>
              <w:rPr>
                <w:snapToGrid/>
              </w:rPr>
              <w:t>v.</w:t>
            </w:r>
          </w:p>
          <w:p w:rsidR="00892BB3" w:rsidRDefault="00892BB3" w:rsidP="00E86949">
            <w:pPr>
              <w:pStyle w:val="Footer"/>
              <w:widowControl/>
              <w:tabs>
                <w:tab w:val="clear" w:pos="4320"/>
                <w:tab w:val="clear" w:pos="8640"/>
                <w:tab w:val="left" w:pos="2160"/>
              </w:tabs>
              <w:rPr>
                <w:snapToGrid/>
              </w:rPr>
            </w:pPr>
          </w:p>
          <w:p w:rsidR="00892BB3" w:rsidRDefault="00892BB3" w:rsidP="00E86949">
            <w:pPr>
              <w:pStyle w:val="Footer"/>
              <w:widowControl/>
              <w:tabs>
                <w:tab w:val="clear" w:pos="4320"/>
                <w:tab w:val="clear" w:pos="8640"/>
                <w:tab w:val="left" w:pos="2160"/>
              </w:tabs>
              <w:rPr>
                <w:snapToGrid/>
              </w:rPr>
            </w:pPr>
            <w:r>
              <w:rPr>
                <w:snapToGrid/>
              </w:rPr>
              <w:t>PUGET SOUND ENERGY, INC.</w:t>
            </w:r>
          </w:p>
          <w:p w:rsidR="00892BB3" w:rsidRDefault="00892BB3" w:rsidP="00E86949">
            <w:pPr>
              <w:pStyle w:val="Footer"/>
              <w:widowControl/>
              <w:tabs>
                <w:tab w:val="clear" w:pos="4320"/>
                <w:tab w:val="clear" w:pos="8640"/>
                <w:tab w:val="left" w:pos="2160"/>
              </w:tabs>
              <w:rPr>
                <w:snapToGrid/>
              </w:rPr>
            </w:pPr>
          </w:p>
          <w:p w:rsidR="00892BB3" w:rsidRPr="00F90CD2" w:rsidRDefault="00892BB3" w:rsidP="00E86949">
            <w:pPr>
              <w:pStyle w:val="Footer"/>
              <w:widowControl/>
              <w:tabs>
                <w:tab w:val="clear" w:pos="4320"/>
                <w:tab w:val="clear" w:pos="8640"/>
                <w:tab w:val="left" w:pos="2160"/>
              </w:tabs>
              <w:ind w:firstLine="2340"/>
              <w:rPr>
                <w:snapToGrid/>
              </w:rPr>
            </w:pPr>
            <w:r>
              <w:rPr>
                <w:snapToGrid/>
              </w:rPr>
              <w:t>Respondent.</w:t>
            </w:r>
          </w:p>
        </w:tc>
        <w:tc>
          <w:tcPr>
            <w:tcW w:w="274" w:type="dxa"/>
          </w:tcPr>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5A2AFA" w:rsidRDefault="00892BB3" w:rsidP="00E86949">
            <w:pPr>
              <w:pStyle w:val="SingleSpacing"/>
              <w:spacing w:line="240" w:lineRule="auto"/>
            </w:pPr>
            <w:r w:rsidRPr="005A2AFA">
              <w:t>)</w:t>
            </w:r>
          </w:p>
          <w:p w:rsidR="00892BB3" w:rsidRPr="00BE7413" w:rsidRDefault="00892BB3" w:rsidP="00E86949">
            <w:pPr>
              <w:pStyle w:val="SingleSpacing"/>
              <w:spacing w:line="240" w:lineRule="auto"/>
              <w:rPr>
                <w:i/>
              </w:rPr>
            </w:pPr>
            <w:r w:rsidRPr="005A2AFA">
              <w:t>)</w:t>
            </w:r>
          </w:p>
        </w:tc>
        <w:tc>
          <w:tcPr>
            <w:tcW w:w="4113" w:type="dxa"/>
          </w:tcPr>
          <w:p w:rsidR="00892BB3" w:rsidRDefault="00892BB3" w:rsidP="00E86949">
            <w:pPr>
              <w:pStyle w:val="SingleSpacing"/>
              <w:spacing w:line="240" w:lineRule="auto"/>
            </w:pPr>
            <w:r w:rsidRPr="007A1546">
              <w:t>DOCKET NO</w:t>
            </w:r>
            <w:r>
              <w:t>S</w:t>
            </w:r>
            <w:r w:rsidRPr="007A1546">
              <w:t xml:space="preserve">. </w:t>
            </w:r>
            <w:r w:rsidRPr="007A1546">
              <w:rPr>
                <w:bCs/>
              </w:rPr>
              <w:t>UE-</w:t>
            </w:r>
            <w:r>
              <w:t>130137/UG-130138</w:t>
            </w:r>
          </w:p>
          <w:p w:rsidR="00892BB3" w:rsidRDefault="00892BB3" w:rsidP="00E86949">
            <w:pPr>
              <w:pStyle w:val="SingleSpacing"/>
              <w:spacing w:line="240" w:lineRule="auto"/>
            </w:pPr>
            <w:r>
              <w:t>(Consolidated)</w:t>
            </w:r>
          </w:p>
          <w:p w:rsidR="00892BB3" w:rsidRDefault="00892BB3" w:rsidP="00E86949">
            <w:pPr>
              <w:pStyle w:val="SingleSpacing"/>
              <w:spacing w:line="240" w:lineRule="auto"/>
            </w:pPr>
          </w:p>
          <w:p w:rsidR="00892BB3" w:rsidRDefault="00892BB3" w:rsidP="00E86949">
            <w:pPr>
              <w:pStyle w:val="SingleSpacing"/>
              <w:spacing w:line="240" w:lineRule="auto"/>
            </w:pPr>
          </w:p>
          <w:p w:rsidR="00892BB3" w:rsidRDefault="00892BB3" w:rsidP="00E86949">
            <w:pPr>
              <w:pStyle w:val="SingleSpacing"/>
              <w:spacing w:line="240" w:lineRule="auto"/>
            </w:pPr>
          </w:p>
          <w:p w:rsidR="00892BB3" w:rsidRDefault="00892BB3" w:rsidP="00E86949">
            <w:pPr>
              <w:pStyle w:val="SingleSpacing"/>
              <w:spacing w:line="240" w:lineRule="auto"/>
            </w:pPr>
            <w:r>
              <w:t>INDUSTRIAL CUSTOMERS OF NORTHWEST UTILITIES’ MOTION TO MODIFY ORDER 07</w:t>
            </w:r>
          </w:p>
          <w:p w:rsidR="00892BB3" w:rsidRPr="005A2AFA" w:rsidRDefault="00892BB3" w:rsidP="00E86949">
            <w:pPr>
              <w:pStyle w:val="SingleSpacing"/>
              <w:spacing w:line="240" w:lineRule="auto"/>
            </w:pPr>
          </w:p>
        </w:tc>
      </w:tr>
    </w:tbl>
    <w:p w:rsidR="00892BB3" w:rsidRDefault="00892BB3" w:rsidP="00892BB3">
      <w:pPr>
        <w:ind w:left="1080"/>
        <w:rPr>
          <w:b/>
        </w:rPr>
      </w:pPr>
    </w:p>
    <w:p w:rsidR="00892BB3" w:rsidRDefault="00892BB3" w:rsidP="00892BB3">
      <w:pPr>
        <w:jc w:val="center"/>
      </w:pPr>
      <w:r>
        <w:rPr>
          <w:b/>
        </w:rPr>
        <w:t>I.</w:t>
      </w:r>
      <w:r>
        <w:rPr>
          <w:b/>
        </w:rPr>
        <w:tab/>
        <w:t>INTRODUCTION</w:t>
      </w:r>
    </w:p>
    <w:p w:rsidR="00892BB3" w:rsidRDefault="00892BB3" w:rsidP="00892BB3">
      <w:pPr>
        <w:jc w:val="center"/>
      </w:pPr>
    </w:p>
    <w:p w:rsidR="007F42ED" w:rsidRDefault="00682CCD" w:rsidP="00682CCD">
      <w:pPr>
        <w:pStyle w:val="WUTCParagraph"/>
      </w:pPr>
      <w:r>
        <w:rPr>
          <w:lang w:val="en-US"/>
        </w:rPr>
        <w:tab/>
      </w:r>
      <w:r w:rsidR="00892BB3">
        <w:t>Pursuant to RCW § 80.04.210</w:t>
      </w:r>
      <w:r w:rsidR="00905407">
        <w:t>, WAC § 480-07-875,</w:t>
      </w:r>
      <w:r w:rsidR="00892BB3">
        <w:t xml:space="preserve"> and WAC § 480-07-375, the Industrial Customers of Northwest Utilities (“ICNU”) moves that the Commission modify Order 07, issued in the above-referenced dockets</w:t>
      </w:r>
      <w:r w:rsidR="003F0730">
        <w:t xml:space="preserve"> (“Order 07”)</w:t>
      </w:r>
      <w:r w:rsidR="00892BB3">
        <w:t>, to include a finding that sufficient evidence existed in the record to set Puget Sound Energy, Inc.’s (“PSE”</w:t>
      </w:r>
      <w:r w:rsidR="00905407">
        <w:t xml:space="preserve"> or the “Company”</w:t>
      </w:r>
      <w:r w:rsidR="00892BB3">
        <w:t>) return on equity (“ROE”) at 9.3 percent.</w:t>
      </w:r>
    </w:p>
    <w:p w:rsidR="00905407" w:rsidRDefault="00905407" w:rsidP="00905407">
      <w:pPr>
        <w:spacing w:line="480" w:lineRule="auto"/>
        <w:jc w:val="center"/>
      </w:pPr>
      <w:r>
        <w:rPr>
          <w:b/>
        </w:rPr>
        <w:t>II.</w:t>
      </w:r>
      <w:r>
        <w:rPr>
          <w:b/>
        </w:rPr>
        <w:tab/>
        <w:t>BACKGROUND</w:t>
      </w:r>
    </w:p>
    <w:p w:rsidR="00905407" w:rsidRDefault="00682CCD" w:rsidP="00682CCD">
      <w:pPr>
        <w:pStyle w:val="WUTCParagraph"/>
      </w:pPr>
      <w:r>
        <w:rPr>
          <w:lang w:val="en-US"/>
        </w:rPr>
        <w:tab/>
      </w:r>
      <w:r w:rsidR="00905407">
        <w:t>On June 25, 2013, the Commission entered Order 07, in which it approved an expedited rate filing, a decoupling mechanism, and a rate plan for PSE.</w:t>
      </w:r>
      <w:r w:rsidR="00905407" w:rsidRPr="00EB7534">
        <w:rPr>
          <w:rStyle w:val="FootnoteReference"/>
          <w:u w:val="single"/>
        </w:rPr>
        <w:footnoteReference w:id="1"/>
      </w:r>
      <w:r w:rsidR="00EB7534" w:rsidRPr="00EB7534">
        <w:rPr>
          <w:vertAlign w:val="superscript"/>
          <w:lang w:val="en-US"/>
        </w:rPr>
        <w:t>/</w:t>
      </w:r>
      <w:r w:rsidR="00905407">
        <w:t xml:space="preserve">  In Order 07, the </w:t>
      </w:r>
      <w:r w:rsidR="00905407">
        <w:lastRenderedPageBreak/>
        <w:t>Commission found that “the evidence in this case is simply too spare to support a reduction in PSE’s current authorized ROE to reflect current financial market conditions.”</w:t>
      </w:r>
      <w:r w:rsidR="00905407" w:rsidRPr="00EB7534">
        <w:rPr>
          <w:rStyle w:val="FootnoteReference"/>
          <w:u w:val="single"/>
        </w:rPr>
        <w:footnoteReference w:id="2"/>
      </w:r>
      <w:r w:rsidR="00EB7534" w:rsidRPr="00EB7534">
        <w:rPr>
          <w:vertAlign w:val="superscript"/>
          <w:lang w:val="en-US"/>
        </w:rPr>
        <w:t>/</w:t>
      </w:r>
      <w:r w:rsidR="00905407">
        <w:t xml:space="preserve">  Evidence in the record, however, included a complete cost of capital analysis for PSE, performed by ICNU’s witness, Michael Gorman.</w:t>
      </w:r>
      <w:r w:rsidR="00905407" w:rsidRPr="00EB7534">
        <w:rPr>
          <w:rStyle w:val="FootnoteReference"/>
          <w:u w:val="single"/>
        </w:rPr>
        <w:footnoteReference w:id="3"/>
      </w:r>
      <w:r w:rsidR="00EB7534" w:rsidRPr="00EB7534">
        <w:rPr>
          <w:vertAlign w:val="superscript"/>
          <w:lang w:val="en-US"/>
        </w:rPr>
        <w:t>/</w:t>
      </w:r>
      <w:r w:rsidR="00905407">
        <w:t xml:space="preserve">  This study was based on three separate discounted cash flow analyses, a risk premium analysis, and a capital asset pricing model analysis.</w:t>
      </w:r>
      <w:r w:rsidR="00905407" w:rsidRPr="00EB7534">
        <w:rPr>
          <w:rStyle w:val="FootnoteReference"/>
          <w:u w:val="single"/>
        </w:rPr>
        <w:footnoteReference w:id="4"/>
      </w:r>
      <w:r w:rsidR="00EB7534" w:rsidRPr="00EB7534">
        <w:rPr>
          <w:vertAlign w:val="superscript"/>
          <w:lang w:val="en-US"/>
        </w:rPr>
        <w:t>/</w:t>
      </w:r>
      <w:r w:rsidR="00905407">
        <w:t xml:space="preserve">  In a separate statement attached to Order 07, Commissioner Jones found that Mr. Gorman’s study, along with additional evidence of PSE’s cost of capital submitted by Public Counsel, constituted “sufficient evidence in the record … to adjust the Company’s ROE.”</w:t>
      </w:r>
      <w:r w:rsidR="00905407" w:rsidRPr="00EB7534">
        <w:rPr>
          <w:rStyle w:val="FootnoteReference"/>
          <w:u w:val="single"/>
        </w:rPr>
        <w:footnoteReference w:id="5"/>
      </w:r>
      <w:r w:rsidR="00EB7534" w:rsidRPr="00EB7534">
        <w:rPr>
          <w:vertAlign w:val="superscript"/>
          <w:lang w:val="en-US"/>
        </w:rPr>
        <w:t>/</w:t>
      </w:r>
    </w:p>
    <w:p w:rsidR="00B478BF" w:rsidRDefault="00682CCD" w:rsidP="00682CCD">
      <w:pPr>
        <w:pStyle w:val="WUTCParagraph"/>
      </w:pPr>
      <w:r>
        <w:rPr>
          <w:lang w:val="en-US"/>
        </w:rPr>
        <w:tab/>
      </w:r>
      <w:r w:rsidR="00B478BF">
        <w:t xml:space="preserve">ICNU and Public Counsel sought judicial review of the Commission’s decision in Order 07 to maintain PSE’s ROE at 9.8% without substantial </w:t>
      </w:r>
      <w:r w:rsidR="009B3D58">
        <w:t xml:space="preserve">supporting </w:t>
      </w:r>
      <w:r w:rsidR="00B478BF">
        <w:t xml:space="preserve">evidence.  On July 25, 2014, the Thurston County Superior Court (the “Court”) entered an order </w:t>
      </w:r>
      <w:r w:rsidR="00CA7FB7">
        <w:rPr>
          <w:lang w:val="en-US"/>
        </w:rPr>
        <w:t xml:space="preserve">(“Order”) </w:t>
      </w:r>
      <w:r w:rsidR="00B478BF">
        <w:t>reversing the Commission’s decision to set PSE’s ROE at 9.8% and remanding Order 07 to the Commission “to establish fair, just, reasonable and sufficient rates to be charged under the rate plan, and to ord</w:t>
      </w:r>
      <w:r w:rsidR="00CA7FB7">
        <w:t>er any other appropriate relief</w:t>
      </w:r>
      <w:r w:rsidR="00CA7FB7">
        <w:rPr>
          <w:lang w:val="en-US"/>
        </w:rPr>
        <w:t>.</w:t>
      </w:r>
      <w:r w:rsidR="00B478BF">
        <w:t>”</w:t>
      </w:r>
      <w:r w:rsidR="00B478BF" w:rsidRPr="00EB7534">
        <w:rPr>
          <w:rStyle w:val="FootnoteReference"/>
          <w:u w:val="single"/>
        </w:rPr>
        <w:footnoteReference w:id="6"/>
      </w:r>
      <w:r w:rsidR="00EB7534" w:rsidRPr="00EB7534">
        <w:rPr>
          <w:vertAlign w:val="superscript"/>
          <w:lang w:val="en-US"/>
        </w:rPr>
        <w:t>/</w:t>
      </w:r>
      <w:r w:rsidR="00B478BF">
        <w:t xml:space="preserve">  In a letter ruling attached to the Court’s order, the Court found that the “Commission set rates in [Order 07], and by its own admission, it did so without the evidence it deemed necessary and customarily relied on.”</w:t>
      </w:r>
      <w:r w:rsidR="00B478BF" w:rsidRPr="00EB7534">
        <w:rPr>
          <w:rStyle w:val="FootnoteReference"/>
          <w:u w:val="single"/>
        </w:rPr>
        <w:footnoteReference w:id="7"/>
      </w:r>
      <w:r w:rsidR="00EB7534" w:rsidRPr="00EB7534">
        <w:rPr>
          <w:vertAlign w:val="superscript"/>
          <w:lang w:val="en-US"/>
        </w:rPr>
        <w:t>/</w:t>
      </w:r>
      <w:r w:rsidR="002574AD">
        <w:rPr>
          <w:vertAlign w:val="superscript"/>
          <w:lang w:val="en-US"/>
        </w:rPr>
        <w:t xml:space="preserve">  </w:t>
      </w:r>
      <w:r w:rsidR="002574AD">
        <w:rPr>
          <w:lang w:val="en-US"/>
        </w:rPr>
        <w:t>Thus, the rates currently in effect have been found to be unjust and unreasonable.</w:t>
      </w:r>
    </w:p>
    <w:p w:rsidR="00B478BF" w:rsidRDefault="00B478BF" w:rsidP="00B478BF">
      <w:pPr>
        <w:spacing w:line="480" w:lineRule="auto"/>
        <w:jc w:val="center"/>
      </w:pPr>
      <w:r>
        <w:rPr>
          <w:b/>
        </w:rPr>
        <w:t>III.</w:t>
      </w:r>
      <w:r>
        <w:rPr>
          <w:b/>
        </w:rPr>
        <w:tab/>
        <w:t>ARGUMENT</w:t>
      </w:r>
    </w:p>
    <w:p w:rsidR="003F0730" w:rsidRDefault="00682CCD" w:rsidP="00682CCD">
      <w:pPr>
        <w:pStyle w:val="WUTCParagraph"/>
      </w:pPr>
      <w:r>
        <w:rPr>
          <w:lang w:val="en-US"/>
        </w:rPr>
        <w:tab/>
      </w:r>
      <w:r w:rsidR="00B478BF">
        <w:t>Under RCW § 80.04.210 and WAC § 480-07-875, the Commission “may at any time … alter or amend any order … issued or promulgated by it ….”</w:t>
      </w:r>
      <w:r w:rsidR="007636D0">
        <w:t xml:space="preserve">  </w:t>
      </w:r>
      <w:r w:rsidR="00CA7FB7">
        <w:rPr>
          <w:lang w:val="en-US"/>
        </w:rPr>
        <w:t>While the</w:t>
      </w:r>
      <w:r w:rsidR="007636D0">
        <w:t xml:space="preserve"> </w:t>
      </w:r>
      <w:r w:rsidR="00CA7FB7">
        <w:rPr>
          <w:lang w:val="en-US"/>
        </w:rPr>
        <w:t>“</w:t>
      </w:r>
      <w:r w:rsidR="007636D0">
        <w:t xml:space="preserve">Commission </w:t>
      </w:r>
      <w:r w:rsidR="007636D0">
        <w:lastRenderedPageBreak/>
        <w:t>has wide discretion to modify its prior orders</w:t>
      </w:r>
      <w:r w:rsidR="00CA7FB7">
        <w:rPr>
          <w:lang w:val="en-US"/>
        </w:rPr>
        <w:t>,</w:t>
      </w:r>
      <w:r w:rsidR="00AB5023">
        <w:t>”</w:t>
      </w:r>
      <w:r w:rsidR="00AB5023" w:rsidRPr="00EB7534">
        <w:rPr>
          <w:rStyle w:val="FootnoteReference"/>
          <w:u w:val="single"/>
        </w:rPr>
        <w:footnoteReference w:id="8"/>
      </w:r>
      <w:r w:rsidR="00EB7534" w:rsidRPr="00EB7534">
        <w:rPr>
          <w:vertAlign w:val="superscript"/>
          <w:lang w:val="en-US"/>
        </w:rPr>
        <w:t>/</w:t>
      </w:r>
      <w:r w:rsidR="00CA7FB7">
        <w:rPr>
          <w:lang w:val="en-US"/>
        </w:rPr>
        <w:t xml:space="preserve"> the Commission has previously stated that it does “not lightly disturb orders previously entered where no party or person can demonstrate patent error or a prejudicial violation of process.”</w:t>
      </w:r>
      <w:r w:rsidR="00CA7FB7" w:rsidRPr="00CA7FB7">
        <w:rPr>
          <w:rStyle w:val="FootnoteReference"/>
          <w:u w:val="single"/>
          <w:lang w:val="en-US"/>
        </w:rPr>
        <w:footnoteReference w:id="9"/>
      </w:r>
      <w:r w:rsidR="00CA7FB7">
        <w:rPr>
          <w:vertAlign w:val="superscript"/>
          <w:lang w:val="en-US"/>
        </w:rPr>
        <w:t>/</w:t>
      </w:r>
      <w:r w:rsidR="00CA7FB7">
        <w:rPr>
          <w:lang w:val="en-US"/>
        </w:rPr>
        <w:t xml:space="preserve">  ICNU’s Motion is pursuant to the Court’s Order specifically finding that the Commission committed legal and procedural errors. </w:t>
      </w:r>
      <w:r w:rsidR="00B478BF">
        <w:t xml:space="preserve"> </w:t>
      </w:r>
      <w:r w:rsidR="00CA7FB7">
        <w:rPr>
          <w:lang w:val="en-US"/>
        </w:rPr>
        <w:t>Accordingly,</w:t>
      </w:r>
      <w:r w:rsidR="00B478BF">
        <w:t xml:space="preserve"> </w:t>
      </w:r>
      <w:r w:rsidR="00CA7FB7">
        <w:rPr>
          <w:lang w:val="en-US"/>
        </w:rPr>
        <w:t>in</w:t>
      </w:r>
      <w:r w:rsidR="003F0730">
        <w:t xml:space="preserve"> response to the Court’s </w:t>
      </w:r>
      <w:r w:rsidR="00CA7FB7">
        <w:rPr>
          <w:lang w:val="en-US"/>
        </w:rPr>
        <w:t>O</w:t>
      </w:r>
      <w:r w:rsidR="003F0730">
        <w:t xml:space="preserve">rder reversing the Commission’s findings of fact in Order 07 with respect to PSE’s ROE, </w:t>
      </w:r>
      <w:r w:rsidR="00CA7FB7">
        <w:rPr>
          <w:lang w:val="en-US"/>
        </w:rPr>
        <w:t xml:space="preserve">it is appropriate for </w:t>
      </w:r>
      <w:r w:rsidR="003F0730">
        <w:t xml:space="preserve">the Commission </w:t>
      </w:r>
      <w:r w:rsidR="00CA7FB7">
        <w:rPr>
          <w:lang w:val="en-US"/>
        </w:rPr>
        <w:t>to</w:t>
      </w:r>
      <w:r w:rsidR="003F0730">
        <w:t xml:space="preserve"> modify Order 07 </w:t>
      </w:r>
      <w:r w:rsidR="000E1DD2">
        <w:t>to find that there is sufficient evidence in the record to set PSE’s ROE at 9.3%.</w:t>
      </w:r>
    </w:p>
    <w:p w:rsidR="00B478BF" w:rsidRDefault="00682CCD" w:rsidP="00682CCD">
      <w:pPr>
        <w:pStyle w:val="WUTCParagraph"/>
      </w:pPr>
      <w:r>
        <w:rPr>
          <w:lang w:val="en-US"/>
        </w:rPr>
        <w:tab/>
      </w:r>
      <w:r w:rsidR="002574AD">
        <w:t xml:space="preserve">The Court’s </w:t>
      </w:r>
      <w:r w:rsidR="00CA7FB7">
        <w:rPr>
          <w:lang w:val="en-US"/>
        </w:rPr>
        <w:t>O</w:t>
      </w:r>
      <w:r w:rsidR="00CA7FB7">
        <w:t>rder</w:t>
      </w:r>
      <w:r w:rsidR="00DA1C53">
        <w:t xml:space="preserve"> reversing Order 07 holds that “the Commission’s findings of fact with respect to the return on equity component of [PSE’s] cost of capital … are unsupported by substantial evidence ….”</w:t>
      </w:r>
      <w:r w:rsidR="00DA1C53" w:rsidRPr="007D3950">
        <w:rPr>
          <w:rStyle w:val="FootnoteReference"/>
          <w:u w:val="single"/>
        </w:rPr>
        <w:footnoteReference w:id="10"/>
      </w:r>
      <w:r w:rsidR="007D3950" w:rsidRPr="007D3950">
        <w:rPr>
          <w:vertAlign w:val="superscript"/>
          <w:lang w:val="en-US"/>
        </w:rPr>
        <w:t>/</w:t>
      </w:r>
      <w:r w:rsidR="00DA1C53">
        <w:t xml:space="preserve">  </w:t>
      </w:r>
      <w:r w:rsidR="009B3D58">
        <w:t>In Order 07, t</w:t>
      </w:r>
      <w:r w:rsidR="00DA1C53">
        <w:t xml:space="preserve">he </w:t>
      </w:r>
      <w:r w:rsidR="00AB5023">
        <w:t>Commission found that</w:t>
      </w:r>
      <w:r w:rsidR="00DA1C53">
        <w:t xml:space="preserve"> “[e]vidence of trends in financial markets suggests that PSE’s current authorized rate of return on equity, 9.8 percent, is at the upper end of [what] may be regarded as a reasonable range for such returns.”</w:t>
      </w:r>
      <w:r w:rsidR="00DA1C53" w:rsidRPr="007D3950">
        <w:rPr>
          <w:rStyle w:val="FootnoteReference"/>
          <w:u w:val="single"/>
        </w:rPr>
        <w:footnoteReference w:id="11"/>
      </w:r>
      <w:r w:rsidR="007D3950" w:rsidRPr="007D3950">
        <w:rPr>
          <w:vertAlign w:val="superscript"/>
          <w:lang w:val="en-US"/>
        </w:rPr>
        <w:t>/</w:t>
      </w:r>
      <w:r w:rsidR="00AB5023">
        <w:t xml:space="preserve">  </w:t>
      </w:r>
      <w:r w:rsidR="00DA1C53">
        <w:t>The Commission also found that the “record does not support an adjustment to PSE’s cost of capital ….”</w:t>
      </w:r>
      <w:r w:rsidR="00DA1C53" w:rsidRPr="007D3950">
        <w:rPr>
          <w:rStyle w:val="FootnoteReference"/>
          <w:u w:val="single"/>
        </w:rPr>
        <w:footnoteReference w:id="12"/>
      </w:r>
      <w:r w:rsidR="007D3950" w:rsidRPr="007D3950">
        <w:rPr>
          <w:vertAlign w:val="superscript"/>
          <w:lang w:val="en-US"/>
        </w:rPr>
        <w:t>/</w:t>
      </w:r>
      <w:r w:rsidR="00DA1C53" w:rsidRPr="007D3950">
        <w:rPr>
          <w:vertAlign w:val="superscript"/>
        </w:rPr>
        <w:t xml:space="preserve"> </w:t>
      </w:r>
      <w:r w:rsidR="00DA1C53">
        <w:t xml:space="preserve"> </w:t>
      </w:r>
      <w:r w:rsidR="002574AD">
        <w:t xml:space="preserve">In light of the Court’s </w:t>
      </w:r>
      <w:r w:rsidR="002574AD">
        <w:rPr>
          <w:lang w:val="en-US"/>
        </w:rPr>
        <w:t>O</w:t>
      </w:r>
      <w:r w:rsidR="000E1DD2">
        <w:t>rder, both</w:t>
      </w:r>
      <w:r w:rsidR="00AB5023">
        <w:t xml:space="preserve"> conclusion</w:t>
      </w:r>
      <w:r w:rsidR="000E1DD2">
        <w:t>s</w:t>
      </w:r>
      <w:r w:rsidR="00AB5023">
        <w:t xml:space="preserve"> </w:t>
      </w:r>
      <w:r w:rsidR="000E1DD2">
        <w:t>are</w:t>
      </w:r>
      <w:r w:rsidR="00AB5023">
        <w:t xml:space="preserve"> erroneous and should be modified.</w:t>
      </w:r>
    </w:p>
    <w:p w:rsidR="00DA1C53" w:rsidRPr="00682CCD" w:rsidRDefault="00682CCD" w:rsidP="00682CCD">
      <w:pPr>
        <w:pStyle w:val="WUTCParagraph"/>
      </w:pPr>
      <w:r>
        <w:rPr>
          <w:lang w:val="en-US"/>
        </w:rPr>
        <w:tab/>
      </w:r>
      <w:r w:rsidR="00DA1C53">
        <w:t>While the</w:t>
      </w:r>
      <w:r w:rsidR="00181EE7">
        <w:t>re is insufficient evidence to support the</w:t>
      </w:r>
      <w:r w:rsidR="00DA1C53">
        <w:t xml:space="preserve"> Commission’s finding in Order 07 that 9.8% was a reasonable ROE for PSE, there is</w:t>
      </w:r>
      <w:r w:rsidR="004724A1">
        <w:t xml:space="preserve"> </w:t>
      </w:r>
      <w:r w:rsidR="00DA1C53">
        <w:t>substantial evidence to support a 9.3% ROE for PSE.  Mr. Gorman’s complete cost of capital analysis</w:t>
      </w:r>
      <w:r w:rsidR="000E1DD2">
        <w:t xml:space="preserve"> performed in this case</w:t>
      </w:r>
      <w:r w:rsidR="00DA1C53">
        <w:t xml:space="preserve"> is the type of evidence </w:t>
      </w:r>
      <w:r w:rsidR="009B3D58">
        <w:t>“necessary and customarily relied on”</w:t>
      </w:r>
      <w:r w:rsidR="00DA1C53">
        <w:t xml:space="preserve"> by the Commission in setting a utility’s ROE.</w:t>
      </w:r>
      <w:r w:rsidR="009B3D58" w:rsidRPr="007D3950">
        <w:rPr>
          <w:rStyle w:val="FootnoteReference"/>
          <w:u w:val="single"/>
        </w:rPr>
        <w:footnoteReference w:id="13"/>
      </w:r>
      <w:r w:rsidR="007D3950" w:rsidRPr="007D3950">
        <w:rPr>
          <w:vertAlign w:val="superscript"/>
          <w:lang w:val="en-US"/>
        </w:rPr>
        <w:t>/</w:t>
      </w:r>
      <w:r w:rsidR="00DA1C53">
        <w:t xml:space="preserve">  Indeed, </w:t>
      </w:r>
      <w:r w:rsidR="00CF0260">
        <w:t xml:space="preserve">Mr. Gorman’s cost of capital analysis in the record in this case is substantially </w:t>
      </w:r>
      <w:r w:rsidR="00CF0260">
        <w:lastRenderedPageBreak/>
        <w:t>similar to his analysis in PSE’s most recent general rate case.</w:t>
      </w:r>
      <w:r w:rsidR="00CF0260" w:rsidRPr="007D3950">
        <w:rPr>
          <w:rStyle w:val="FootnoteReference"/>
          <w:u w:val="single"/>
        </w:rPr>
        <w:footnoteReference w:id="14"/>
      </w:r>
      <w:r w:rsidR="007D3950" w:rsidRPr="007D3950">
        <w:rPr>
          <w:vertAlign w:val="superscript"/>
          <w:lang w:val="en-US"/>
        </w:rPr>
        <w:t>/</w:t>
      </w:r>
      <w:r w:rsidR="00CF0260">
        <w:t xml:space="preserve">  In setting PSE’s ROE in that case, the Commission found that “Mr. Gorman provides a thorough and broad examination of equity return using three approaches to DCF analysis ….  He checks the</w:t>
      </w:r>
      <w:r w:rsidR="007757BF">
        <w:rPr>
          <w:lang w:val="en-US"/>
        </w:rPr>
        <w:t>se</w:t>
      </w:r>
      <w:r w:rsidR="00CF0260">
        <w:t xml:space="preserve"> results for reasonableness using [risk premium] and [capital asset pricing model] analyses ….  His analytical approach is thoughtful and well-reasoned.  In our view, Mr. Gorman offers the most comprehensive analysis ….”</w:t>
      </w:r>
      <w:r w:rsidR="00CF0260" w:rsidRPr="007D3950">
        <w:rPr>
          <w:rStyle w:val="FootnoteReference"/>
          <w:u w:val="single"/>
        </w:rPr>
        <w:footnoteReference w:id="15"/>
      </w:r>
      <w:r w:rsidR="007D3950" w:rsidRPr="007D3950">
        <w:rPr>
          <w:vertAlign w:val="superscript"/>
          <w:lang w:val="en-US"/>
        </w:rPr>
        <w:t>/</w:t>
      </w:r>
      <w:r w:rsidR="00CF0260">
        <w:t xml:space="preserve">  </w:t>
      </w:r>
    </w:p>
    <w:p w:rsidR="00881531" w:rsidRDefault="00682CCD" w:rsidP="00682CCD">
      <w:pPr>
        <w:pStyle w:val="WUTCParagraph"/>
      </w:pPr>
      <w:r>
        <w:rPr>
          <w:lang w:val="en-US"/>
        </w:rPr>
        <w:tab/>
      </w:r>
      <w:r w:rsidR="000E1DD2">
        <w:t xml:space="preserve">A similar comprehensive </w:t>
      </w:r>
      <w:r w:rsidR="00CF0260">
        <w:t xml:space="preserve">analysis in the record in this case provides the </w:t>
      </w:r>
      <w:r w:rsidR="00181EE7">
        <w:t>“</w:t>
      </w:r>
      <w:r w:rsidR="000E1DD2">
        <w:t>depth and breadth of data analysis</w:t>
      </w:r>
      <w:r w:rsidR="00181EE7">
        <w:t>”</w:t>
      </w:r>
      <w:r w:rsidR="000E1DD2">
        <w:t xml:space="preserve"> </w:t>
      </w:r>
      <w:r w:rsidR="00181EE7">
        <w:t xml:space="preserve">necessary </w:t>
      </w:r>
      <w:r w:rsidR="00CF0260">
        <w:t xml:space="preserve">to </w:t>
      </w:r>
      <w:r w:rsidR="000E1DD2">
        <w:t xml:space="preserve">support </w:t>
      </w:r>
      <w:r w:rsidR="00CF0260">
        <w:t>set</w:t>
      </w:r>
      <w:r w:rsidR="000E1DD2">
        <w:t>ting</w:t>
      </w:r>
      <w:r w:rsidR="00CF0260">
        <w:t xml:space="preserve"> PSE’s ROE at 9.3%.</w:t>
      </w:r>
      <w:r w:rsidR="009B3D58" w:rsidRPr="007D3950">
        <w:rPr>
          <w:rStyle w:val="FootnoteReference"/>
          <w:u w:val="single"/>
        </w:rPr>
        <w:footnoteReference w:id="16"/>
      </w:r>
      <w:r w:rsidR="007D3950" w:rsidRPr="007D3950">
        <w:rPr>
          <w:vertAlign w:val="superscript"/>
          <w:lang w:val="en-US"/>
        </w:rPr>
        <w:t>/</w:t>
      </w:r>
      <w:r w:rsidR="0017538F" w:rsidRPr="007D3950">
        <w:rPr>
          <w:vertAlign w:val="superscript"/>
        </w:rPr>
        <w:t xml:space="preserve"> </w:t>
      </w:r>
      <w:r w:rsidR="0017538F">
        <w:t xml:space="preserve"> Moreover, the Commission has previously relied on a single party’s analysis to determine a reasonable return on equity.  In </w:t>
      </w:r>
      <w:r w:rsidR="0017538F" w:rsidRPr="00682CCD">
        <w:rPr>
          <w:u w:val="single"/>
        </w:rPr>
        <w:t>WUTC v. American Water Res., Inc.</w:t>
      </w:r>
      <w:r w:rsidR="0017538F">
        <w:t xml:space="preserve">, the Commission affirmed the administrative law judge’s determination to set American Water’s ROE </w:t>
      </w:r>
      <w:r w:rsidR="00881531">
        <w:t>at a level based principally on</w:t>
      </w:r>
      <w:r w:rsidR="0017538F">
        <w:t xml:space="preserve"> Staff’s DCF analysis, the only ROE analysis performed in the case.</w:t>
      </w:r>
      <w:r w:rsidR="0017538F" w:rsidRPr="007D3950">
        <w:rPr>
          <w:rStyle w:val="FootnoteReference"/>
          <w:u w:val="single"/>
        </w:rPr>
        <w:footnoteReference w:id="17"/>
      </w:r>
      <w:r w:rsidR="007D3950" w:rsidRPr="007D3950">
        <w:rPr>
          <w:vertAlign w:val="superscript"/>
          <w:lang w:val="en-US"/>
        </w:rPr>
        <w:t>/</w:t>
      </w:r>
      <w:r w:rsidR="00881531">
        <w:t xml:space="preserve">  The Commission in that case noted that the “available facts in this case relative to return on equity include principally those included in Staff’s DCF analysis” and that “there is no evidence to controvert Staff’s DCF result ….”</w:t>
      </w:r>
      <w:r w:rsidR="00881531" w:rsidRPr="007D3950">
        <w:rPr>
          <w:rStyle w:val="FootnoteReference"/>
          <w:u w:val="single"/>
        </w:rPr>
        <w:footnoteReference w:id="18"/>
      </w:r>
      <w:r w:rsidR="007D3950" w:rsidRPr="007D3950">
        <w:rPr>
          <w:vertAlign w:val="superscript"/>
          <w:lang w:val="en-US"/>
        </w:rPr>
        <w:t>/</w:t>
      </w:r>
      <w:r w:rsidR="00CF0260" w:rsidRPr="007D3950">
        <w:rPr>
          <w:vertAlign w:val="superscript"/>
        </w:rPr>
        <w:t xml:space="preserve"> </w:t>
      </w:r>
      <w:r w:rsidR="00CF0260">
        <w:t xml:space="preserve"> </w:t>
      </w:r>
    </w:p>
    <w:p w:rsidR="000E1DD2" w:rsidRDefault="00682CCD" w:rsidP="00682CCD">
      <w:pPr>
        <w:pStyle w:val="WUTCParagraph"/>
      </w:pPr>
      <w:r>
        <w:rPr>
          <w:lang w:val="en-US"/>
        </w:rPr>
        <w:tab/>
      </w:r>
      <w:r w:rsidR="00881531">
        <w:t xml:space="preserve">As noted above, Mr. Gorman’s analysis in this case was substantially more robust than a single DCF analysis.  </w:t>
      </w:r>
      <w:r w:rsidR="00A760DC">
        <w:rPr>
          <w:lang w:val="en-US"/>
        </w:rPr>
        <w:t>His</w:t>
      </w:r>
      <w:r w:rsidR="00881531">
        <w:t xml:space="preserve"> analysis is further supported by the bond yield analysis performed by Public Counsel’s witness, Mr. Hill.  </w:t>
      </w:r>
      <w:r w:rsidR="0017538F">
        <w:t>Accordingly, n</w:t>
      </w:r>
      <w:r w:rsidR="007A77E1">
        <w:t xml:space="preserve">o additional evidence </w:t>
      </w:r>
      <w:r w:rsidR="00BF40CE">
        <w:t>was</w:t>
      </w:r>
      <w:r w:rsidR="007A77E1">
        <w:t xml:space="preserve"> necessary</w:t>
      </w:r>
      <w:r w:rsidR="00881531">
        <w:t xml:space="preserve"> to establish a reasonable ROE for PSE at the time Order 07 was issued</w:t>
      </w:r>
      <w:r w:rsidR="007A77E1">
        <w:t>.</w:t>
      </w:r>
      <w:r w:rsidR="00CF0260">
        <w:t xml:space="preserve">  </w:t>
      </w:r>
      <w:r w:rsidR="007A77E1">
        <w:t xml:space="preserve">As Commissioner Jones determined, “PSE’s failure to submit a cost of capital study in these dockets </w:t>
      </w:r>
      <w:r w:rsidR="007A77E1">
        <w:lastRenderedPageBreak/>
        <w:t>should not prevent us from adjusting the Company’s equity return.”</w:t>
      </w:r>
      <w:r w:rsidR="007A77E1" w:rsidRPr="007D3950">
        <w:rPr>
          <w:rStyle w:val="FootnoteReference"/>
          <w:u w:val="single"/>
        </w:rPr>
        <w:footnoteReference w:id="19"/>
      </w:r>
      <w:r w:rsidR="007D3950" w:rsidRPr="007D3950">
        <w:rPr>
          <w:vertAlign w:val="superscript"/>
          <w:lang w:val="en-US"/>
        </w:rPr>
        <w:t>/</w:t>
      </w:r>
      <w:r w:rsidR="007636D0" w:rsidRPr="007D3950">
        <w:rPr>
          <w:vertAlign w:val="superscript"/>
        </w:rPr>
        <w:t xml:space="preserve"> </w:t>
      </w:r>
      <w:r w:rsidR="007636D0">
        <w:t xml:space="preserve"> </w:t>
      </w:r>
      <w:r w:rsidR="000E1DD2">
        <w:t xml:space="preserve">Thus, </w:t>
      </w:r>
      <w:r w:rsidR="004724A1">
        <w:t xml:space="preserve">to comply with the Court’s order reversing the Commission’s findings of fact in Order 07 with respect to PSE’s ROE, </w:t>
      </w:r>
      <w:r w:rsidR="000E1DD2">
        <w:t>the Commission</w:t>
      </w:r>
      <w:r w:rsidR="004724A1">
        <w:t xml:space="preserve"> should modify Order 07’s determination</w:t>
      </w:r>
      <w:r w:rsidR="005D0DBA">
        <w:rPr>
          <w:lang w:val="en-US"/>
        </w:rPr>
        <w:t>s</w:t>
      </w:r>
      <w:r w:rsidR="004724A1">
        <w:t xml:space="preserve"> that</w:t>
      </w:r>
      <w:r w:rsidR="005D0DBA">
        <w:rPr>
          <w:lang w:val="en-US"/>
        </w:rPr>
        <w:t xml:space="preserve"> a 9.8% ROE was reasonable for PSE and that</w:t>
      </w:r>
      <w:r w:rsidR="004724A1">
        <w:t xml:space="preserve"> the “record does not support an adjustment to PSE’s cost of capital ….”</w:t>
      </w:r>
      <w:r w:rsidR="004724A1" w:rsidRPr="007D3950">
        <w:rPr>
          <w:rStyle w:val="FootnoteReference"/>
          <w:u w:val="single"/>
        </w:rPr>
        <w:footnoteReference w:id="20"/>
      </w:r>
      <w:r w:rsidR="007D3950" w:rsidRPr="007D3950">
        <w:rPr>
          <w:vertAlign w:val="superscript"/>
          <w:lang w:val="en-US"/>
        </w:rPr>
        <w:t>/</w:t>
      </w:r>
      <w:r w:rsidR="004724A1">
        <w:t xml:space="preserve">  The Commission should find that the record </w:t>
      </w:r>
      <w:r w:rsidR="004724A1" w:rsidRPr="005D0DBA">
        <w:t>does</w:t>
      </w:r>
      <w:r w:rsidR="004724A1">
        <w:t xml:space="preserve"> support an adjustment to PSE’s cost of capital in the form of an ROE reduction to 9.3%.</w:t>
      </w:r>
    </w:p>
    <w:p w:rsidR="007636D0" w:rsidRDefault="007636D0" w:rsidP="007636D0">
      <w:pPr>
        <w:spacing w:line="480" w:lineRule="auto"/>
        <w:jc w:val="center"/>
      </w:pPr>
      <w:r>
        <w:rPr>
          <w:b/>
        </w:rPr>
        <w:t>IV.</w:t>
      </w:r>
      <w:r>
        <w:rPr>
          <w:b/>
        </w:rPr>
        <w:tab/>
        <w:t>CONCLUSION</w:t>
      </w:r>
    </w:p>
    <w:p w:rsidR="007636D0" w:rsidRDefault="00682CCD" w:rsidP="00682CCD">
      <w:pPr>
        <w:pStyle w:val="WUTCParagraph"/>
      </w:pPr>
      <w:r>
        <w:rPr>
          <w:lang w:val="en-US"/>
        </w:rPr>
        <w:tab/>
      </w:r>
      <w:r w:rsidR="007636D0">
        <w:t xml:space="preserve">For the foregoing reasons, ICNU respectfully moves that the Commission modify Order 07 to find that substantial evidence exists </w:t>
      </w:r>
      <w:r w:rsidR="005D0DBA">
        <w:rPr>
          <w:lang w:val="en-US"/>
        </w:rPr>
        <w:t xml:space="preserve">in the record </w:t>
      </w:r>
      <w:r w:rsidR="007636D0">
        <w:t>for a finding that a 9.3% return on equity was reasonable for PSE at the time Order 07 was issued.</w:t>
      </w:r>
    </w:p>
    <w:p w:rsidR="0096475C" w:rsidRDefault="0096475C" w:rsidP="0096475C">
      <w:pPr>
        <w:keepNext/>
        <w:spacing w:line="480" w:lineRule="auto"/>
        <w:ind w:firstLine="1440"/>
      </w:pPr>
      <w:r>
        <w:t>Dated</w:t>
      </w:r>
      <w:r w:rsidR="00107499">
        <w:t xml:space="preserve"> in Portland, Oregon, this </w:t>
      </w:r>
      <w:r w:rsidR="002574AD">
        <w:t>30</w:t>
      </w:r>
      <w:r w:rsidR="00107499" w:rsidRPr="00107499">
        <w:rPr>
          <w:vertAlign w:val="superscript"/>
        </w:rPr>
        <w:t>th</w:t>
      </w:r>
      <w:r w:rsidR="00107499">
        <w:t xml:space="preserve"> </w:t>
      </w:r>
      <w:r>
        <w:t>day of July, 2014.</w:t>
      </w:r>
    </w:p>
    <w:p w:rsidR="0096475C" w:rsidRDefault="0096475C" w:rsidP="0096475C">
      <w:pPr>
        <w:keepNext/>
        <w:spacing w:line="480" w:lineRule="auto"/>
        <w:ind w:left="2880" w:firstLine="720"/>
      </w:pPr>
      <w:r>
        <w:t>Respectfully submitted,</w:t>
      </w:r>
    </w:p>
    <w:p w:rsidR="0096475C" w:rsidRDefault="0096475C" w:rsidP="0096475C">
      <w:pPr>
        <w:keepNext/>
        <w:spacing w:line="480" w:lineRule="auto"/>
        <w:ind w:firstLine="3600"/>
      </w:pPr>
      <w:r>
        <w:t>DAVISON VAN CLEVE, P.C.</w:t>
      </w:r>
    </w:p>
    <w:p w:rsidR="0096475C" w:rsidRPr="00200EE5" w:rsidRDefault="0096475C" w:rsidP="0096475C">
      <w:pPr>
        <w:keepNext/>
        <w:ind w:firstLine="3600"/>
        <w:rPr>
          <w:u w:val="single"/>
        </w:rPr>
      </w:pPr>
      <w:r>
        <w:rPr>
          <w:i/>
          <w:u w:val="single"/>
        </w:rPr>
        <w:t>/s/ Melinda J. Davison</w:t>
      </w:r>
    </w:p>
    <w:p w:rsidR="0096475C" w:rsidRDefault="0096475C" w:rsidP="0096475C">
      <w:pPr>
        <w:keepNext/>
        <w:ind w:firstLine="3600"/>
      </w:pPr>
      <w:r>
        <w:t>Melinda J. Davison</w:t>
      </w:r>
    </w:p>
    <w:p w:rsidR="0096475C" w:rsidRDefault="0096475C" w:rsidP="0096475C">
      <w:pPr>
        <w:keepNext/>
        <w:ind w:firstLine="3600"/>
      </w:pPr>
      <w:r>
        <w:t>Tyler C. Pepple</w:t>
      </w:r>
    </w:p>
    <w:p w:rsidR="0096475C" w:rsidRDefault="0096475C" w:rsidP="0096475C">
      <w:pPr>
        <w:keepNext/>
        <w:ind w:firstLine="3600"/>
      </w:pPr>
      <w:r>
        <w:t>333 S.W. Taylor, Suite 400</w:t>
      </w:r>
    </w:p>
    <w:p w:rsidR="0096475C" w:rsidRDefault="0096475C" w:rsidP="0096475C">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96475C" w:rsidRDefault="0096475C" w:rsidP="0096475C">
      <w:pPr>
        <w:keepNext/>
        <w:ind w:firstLine="3600"/>
      </w:pPr>
      <w:r>
        <w:t>(503) 241-7242 telephone</w:t>
      </w:r>
    </w:p>
    <w:p w:rsidR="0096475C" w:rsidRDefault="0096475C" w:rsidP="0096475C">
      <w:pPr>
        <w:keepNext/>
        <w:ind w:firstLine="3600"/>
      </w:pPr>
      <w:r>
        <w:t>(503) 241-8160 facsimile</w:t>
      </w:r>
    </w:p>
    <w:p w:rsidR="0096475C" w:rsidRDefault="0096475C" w:rsidP="0096475C">
      <w:pPr>
        <w:ind w:left="2912" w:firstLine="688"/>
      </w:pPr>
      <w:r w:rsidRPr="007A4288">
        <w:t>mjd@dvclaw.com</w:t>
      </w:r>
    </w:p>
    <w:p w:rsidR="0096475C" w:rsidRDefault="0096475C" w:rsidP="0096475C">
      <w:pPr>
        <w:ind w:left="2912" w:firstLine="688"/>
      </w:pPr>
      <w:r>
        <w:t>tcp@dvclaw.com</w:t>
      </w:r>
    </w:p>
    <w:p w:rsidR="0096475C" w:rsidRDefault="0096475C" w:rsidP="0096475C">
      <w:pPr>
        <w:ind w:left="3600"/>
      </w:pPr>
      <w:r>
        <w:t xml:space="preserve">Of Attorneys for Industrial Customers </w:t>
      </w:r>
    </w:p>
    <w:p w:rsidR="0096475C" w:rsidRPr="007636D0" w:rsidRDefault="0096475C" w:rsidP="0096475C">
      <w:pPr>
        <w:ind w:left="3600"/>
      </w:pPr>
      <w:r>
        <w:t>of Northwest Utilities</w:t>
      </w:r>
    </w:p>
    <w:sectPr w:rsidR="0096475C" w:rsidRPr="007636D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07" w:rsidRDefault="00905407" w:rsidP="00905407">
      <w:r>
        <w:separator/>
      </w:r>
    </w:p>
  </w:endnote>
  <w:endnote w:type="continuationSeparator" w:id="0">
    <w:p w:rsidR="00905407" w:rsidRDefault="00905407" w:rsidP="0090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34" w:rsidRDefault="00EB7534">
    <w:pPr>
      <w:pStyle w:val="Footer"/>
    </w:pPr>
    <w:r>
      <w:t xml:space="preserve">PAGE </w:t>
    </w:r>
    <w:sdt>
      <w:sdtPr>
        <w:id w:val="18328732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1C2B">
          <w:rPr>
            <w:noProof/>
          </w:rPr>
          <w:t>1</w:t>
        </w:r>
        <w:r>
          <w:rPr>
            <w:noProof/>
          </w:rPr>
          <w:fldChar w:fldCharType="end"/>
        </w:r>
        <w:r>
          <w:rPr>
            <w:noProof/>
          </w:rPr>
          <w:t xml:space="preserve"> – ICNU MOTION TO MODIFY ORDER 07</w:t>
        </w:r>
      </w:sdtContent>
    </w:sdt>
  </w:p>
  <w:p w:rsidR="00EB7534" w:rsidRDefault="00EB7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07" w:rsidRDefault="00905407" w:rsidP="00905407">
      <w:r>
        <w:separator/>
      </w:r>
    </w:p>
  </w:footnote>
  <w:footnote w:type="continuationSeparator" w:id="0">
    <w:p w:rsidR="00905407" w:rsidRDefault="00905407" w:rsidP="00905407">
      <w:r>
        <w:continuationSeparator/>
      </w:r>
    </w:p>
  </w:footnote>
  <w:footnote w:id="1">
    <w:p w:rsidR="00905407" w:rsidRDefault="00905407" w:rsidP="00905407">
      <w:pPr>
        <w:pStyle w:val="FootnoteText"/>
      </w:pPr>
      <w:r w:rsidRPr="00EB7534">
        <w:rPr>
          <w:rStyle w:val="FootnoteReference"/>
          <w:u w:val="single"/>
        </w:rPr>
        <w:footnoteRef/>
      </w:r>
      <w:r w:rsidR="00EB7534" w:rsidRPr="00EB7534">
        <w:rPr>
          <w:vertAlign w:val="superscript"/>
        </w:rPr>
        <w:t>/</w:t>
      </w:r>
      <w:r>
        <w:tab/>
        <w:t>Order 07 ¶¶ 244-245.</w:t>
      </w:r>
    </w:p>
  </w:footnote>
  <w:footnote w:id="2">
    <w:p w:rsidR="00905407" w:rsidRDefault="00905407">
      <w:pPr>
        <w:pStyle w:val="FootnoteText"/>
      </w:pPr>
      <w:r w:rsidRPr="00EB7534">
        <w:rPr>
          <w:rStyle w:val="FootnoteReference"/>
          <w:u w:val="single"/>
        </w:rPr>
        <w:footnoteRef/>
      </w:r>
      <w:r w:rsidR="00EB7534" w:rsidRPr="00EB7534">
        <w:rPr>
          <w:vertAlign w:val="superscript"/>
        </w:rPr>
        <w:t>/</w:t>
      </w:r>
      <w:r>
        <w:t xml:space="preserve"> </w:t>
      </w:r>
      <w:r>
        <w:tab/>
        <w:t>Order 07 ¶ 58.</w:t>
      </w:r>
    </w:p>
  </w:footnote>
  <w:footnote w:id="3">
    <w:p w:rsidR="00905407" w:rsidRDefault="00905407">
      <w:pPr>
        <w:pStyle w:val="FootnoteText"/>
      </w:pPr>
      <w:r w:rsidRPr="00EB7534">
        <w:rPr>
          <w:rStyle w:val="FootnoteReference"/>
          <w:u w:val="single"/>
        </w:rPr>
        <w:footnoteRef/>
      </w:r>
      <w:r w:rsidR="00EB7534" w:rsidRPr="00EB7534">
        <w:rPr>
          <w:vertAlign w:val="superscript"/>
        </w:rPr>
        <w:t>/</w:t>
      </w:r>
      <w:r>
        <w:t xml:space="preserve"> </w:t>
      </w:r>
      <w:r>
        <w:tab/>
        <w:t>ICNU Ex. No. __ (MPG-3).</w:t>
      </w:r>
    </w:p>
  </w:footnote>
  <w:footnote w:id="4">
    <w:p w:rsidR="00905407" w:rsidRPr="00905407" w:rsidRDefault="00905407">
      <w:pPr>
        <w:pStyle w:val="FootnoteText"/>
        <w:rPr>
          <w:u w:val="single"/>
        </w:rPr>
      </w:pPr>
      <w:r w:rsidRPr="00EB7534">
        <w:rPr>
          <w:rStyle w:val="FootnoteReference"/>
          <w:u w:val="single"/>
        </w:rPr>
        <w:footnoteRef/>
      </w:r>
      <w:r w:rsidR="00EB7534" w:rsidRPr="00EB7534">
        <w:rPr>
          <w:vertAlign w:val="superscript"/>
        </w:rPr>
        <w:t>/</w:t>
      </w:r>
      <w:r>
        <w:t xml:space="preserve"> </w:t>
      </w:r>
      <w:r>
        <w:tab/>
      </w:r>
      <w:r>
        <w:rPr>
          <w:u w:val="single"/>
        </w:rPr>
        <w:t>Id.</w:t>
      </w:r>
    </w:p>
  </w:footnote>
  <w:footnote w:id="5">
    <w:p w:rsidR="00905407" w:rsidRDefault="00905407">
      <w:pPr>
        <w:pStyle w:val="FootnoteText"/>
      </w:pPr>
      <w:r w:rsidRPr="00EB7534">
        <w:rPr>
          <w:rStyle w:val="FootnoteReference"/>
          <w:u w:val="single"/>
        </w:rPr>
        <w:footnoteRef/>
      </w:r>
      <w:r w:rsidR="00EB7534" w:rsidRPr="00EB7534">
        <w:rPr>
          <w:vertAlign w:val="superscript"/>
        </w:rPr>
        <w:t>/</w:t>
      </w:r>
      <w:r>
        <w:t xml:space="preserve"> </w:t>
      </w:r>
      <w:r>
        <w:tab/>
        <w:t>Order 07, Separate Statement of Commissioner Jones ¶ 4.</w:t>
      </w:r>
    </w:p>
  </w:footnote>
  <w:footnote w:id="6">
    <w:p w:rsidR="00B478BF" w:rsidRDefault="00B478BF" w:rsidP="00B478BF">
      <w:pPr>
        <w:pStyle w:val="FootnoteText"/>
      </w:pPr>
      <w:r w:rsidRPr="00EB7534">
        <w:rPr>
          <w:rStyle w:val="FootnoteReference"/>
          <w:u w:val="single"/>
        </w:rPr>
        <w:footnoteRef/>
      </w:r>
      <w:r w:rsidR="00EB7534" w:rsidRPr="00EB7534">
        <w:rPr>
          <w:vertAlign w:val="superscript"/>
        </w:rPr>
        <w:t>/</w:t>
      </w:r>
      <w:r>
        <w:t xml:space="preserve"> </w:t>
      </w:r>
      <w:r>
        <w:tab/>
        <w:t>Court Order at 3.</w:t>
      </w:r>
      <w:r w:rsidR="00CA7FB7">
        <w:t xml:space="preserve">  The Court’s Order is attached to this Motion for the Commission’s convenience.</w:t>
      </w:r>
    </w:p>
  </w:footnote>
  <w:footnote w:id="7">
    <w:p w:rsidR="00B478BF" w:rsidRDefault="00B478BF">
      <w:pPr>
        <w:pStyle w:val="FootnoteText"/>
      </w:pPr>
      <w:r w:rsidRPr="00EB7534">
        <w:rPr>
          <w:rStyle w:val="FootnoteReference"/>
          <w:u w:val="single"/>
        </w:rPr>
        <w:footnoteRef/>
      </w:r>
      <w:r w:rsidR="00EB7534" w:rsidRPr="00EB7534">
        <w:rPr>
          <w:vertAlign w:val="superscript"/>
        </w:rPr>
        <w:t>/</w:t>
      </w:r>
      <w:r>
        <w:t xml:space="preserve"> </w:t>
      </w:r>
      <w:r>
        <w:tab/>
        <w:t>Court Order, Appendix A at 5.</w:t>
      </w:r>
    </w:p>
  </w:footnote>
  <w:footnote w:id="8">
    <w:p w:rsidR="00AB5023" w:rsidRDefault="00AB5023">
      <w:pPr>
        <w:pStyle w:val="FootnoteText"/>
      </w:pPr>
      <w:r w:rsidRPr="00EB7534">
        <w:rPr>
          <w:rStyle w:val="FootnoteReference"/>
          <w:u w:val="single"/>
        </w:rPr>
        <w:footnoteRef/>
      </w:r>
      <w:r w:rsidR="00EB7534" w:rsidRPr="00EB7534">
        <w:rPr>
          <w:vertAlign w:val="superscript"/>
        </w:rPr>
        <w:t>/</w:t>
      </w:r>
      <w:r>
        <w:t xml:space="preserve"> </w:t>
      </w:r>
      <w:r>
        <w:tab/>
      </w:r>
      <w:r>
        <w:rPr>
          <w:u w:val="single"/>
        </w:rPr>
        <w:t>Pub. Counsel v. Utils. &amp; Transp. Comm’n</w:t>
      </w:r>
      <w:r>
        <w:t>, 128 Wn. App. 818, 826 (2005).</w:t>
      </w:r>
    </w:p>
  </w:footnote>
  <w:footnote w:id="9">
    <w:p w:rsidR="00CA7FB7" w:rsidRPr="00CA7FB7" w:rsidRDefault="00CA7FB7" w:rsidP="00CA7FB7">
      <w:pPr>
        <w:pStyle w:val="FootnoteText"/>
        <w:ind w:left="720" w:hanging="720"/>
      </w:pPr>
      <w:r w:rsidRPr="00CA7FB7">
        <w:rPr>
          <w:rStyle w:val="FootnoteReference"/>
          <w:u w:val="single"/>
        </w:rPr>
        <w:footnoteRef/>
      </w:r>
      <w:r>
        <w:rPr>
          <w:vertAlign w:val="superscript"/>
        </w:rPr>
        <w:t>/</w:t>
      </w:r>
      <w:r>
        <w:t xml:space="preserve"> </w:t>
      </w:r>
      <w:r>
        <w:tab/>
      </w:r>
      <w:r>
        <w:rPr>
          <w:u w:val="single"/>
        </w:rPr>
        <w:t>Wash. St. Dept. of Transp. v. Cent. Puget Sound Reg’l Transp. Auth.</w:t>
      </w:r>
      <w:r>
        <w:t>, Docket Nos. TR-081229, TR-081230, TR-081231, TR-081232, Order 02 ¶ 18 (Apr. 15, 2010).</w:t>
      </w:r>
    </w:p>
  </w:footnote>
  <w:footnote w:id="10">
    <w:p w:rsidR="00DA1C53" w:rsidRDefault="00DA1C53">
      <w:pPr>
        <w:pStyle w:val="FootnoteText"/>
      </w:pPr>
      <w:r w:rsidRPr="007D3950">
        <w:rPr>
          <w:rStyle w:val="FootnoteReference"/>
          <w:u w:val="single"/>
        </w:rPr>
        <w:footnoteRef/>
      </w:r>
      <w:r w:rsidR="007D3950" w:rsidRPr="007D3950">
        <w:rPr>
          <w:vertAlign w:val="superscript"/>
        </w:rPr>
        <w:t>/</w:t>
      </w:r>
      <w:r>
        <w:t xml:space="preserve"> </w:t>
      </w:r>
      <w:r>
        <w:tab/>
        <w:t>Court Order at 2.</w:t>
      </w:r>
    </w:p>
  </w:footnote>
  <w:footnote w:id="11">
    <w:p w:rsidR="00DA1C53" w:rsidRDefault="00DA1C53">
      <w:pPr>
        <w:pStyle w:val="FootnoteText"/>
      </w:pPr>
      <w:r w:rsidRPr="007D3950">
        <w:rPr>
          <w:rStyle w:val="FootnoteReference"/>
          <w:u w:val="single"/>
        </w:rPr>
        <w:footnoteRef/>
      </w:r>
      <w:r w:rsidR="007D3950" w:rsidRPr="007D3950">
        <w:rPr>
          <w:vertAlign w:val="superscript"/>
        </w:rPr>
        <w:t>/</w:t>
      </w:r>
      <w:r>
        <w:t xml:space="preserve"> </w:t>
      </w:r>
      <w:r>
        <w:tab/>
        <w:t>Order 07 ¶ 220.</w:t>
      </w:r>
    </w:p>
  </w:footnote>
  <w:footnote w:id="12">
    <w:p w:rsidR="00DA1C53" w:rsidRPr="00DA1C53" w:rsidRDefault="00DA1C53">
      <w:pPr>
        <w:pStyle w:val="FootnoteText"/>
        <w:rPr>
          <w:u w:val="single"/>
        </w:rPr>
      </w:pPr>
      <w:r w:rsidRPr="007D3950">
        <w:rPr>
          <w:rStyle w:val="FootnoteReference"/>
          <w:u w:val="single"/>
        </w:rPr>
        <w:footnoteRef/>
      </w:r>
      <w:r w:rsidR="007D3950" w:rsidRPr="007D3950">
        <w:rPr>
          <w:vertAlign w:val="superscript"/>
        </w:rPr>
        <w:t>/</w:t>
      </w:r>
      <w:r>
        <w:t xml:space="preserve"> </w:t>
      </w:r>
      <w:r>
        <w:tab/>
      </w:r>
      <w:r>
        <w:rPr>
          <w:u w:val="single"/>
        </w:rPr>
        <w:t>Id.</w:t>
      </w:r>
    </w:p>
  </w:footnote>
  <w:footnote w:id="13">
    <w:p w:rsidR="009B3D58" w:rsidRDefault="009B3D58">
      <w:pPr>
        <w:pStyle w:val="FootnoteText"/>
      </w:pPr>
      <w:r w:rsidRPr="007D3950">
        <w:rPr>
          <w:rStyle w:val="FootnoteReference"/>
          <w:u w:val="single"/>
        </w:rPr>
        <w:footnoteRef/>
      </w:r>
      <w:r w:rsidR="007D3950" w:rsidRPr="007D3950">
        <w:rPr>
          <w:vertAlign w:val="superscript"/>
        </w:rPr>
        <w:t>/</w:t>
      </w:r>
      <w:r>
        <w:t xml:space="preserve"> </w:t>
      </w:r>
      <w:r>
        <w:tab/>
        <w:t>Court Order, Appendix A at 5.</w:t>
      </w:r>
    </w:p>
  </w:footnote>
  <w:footnote w:id="14">
    <w:p w:rsidR="00CF0260" w:rsidRPr="00CF0260" w:rsidRDefault="00CF0260">
      <w:pPr>
        <w:pStyle w:val="FootnoteText"/>
      </w:pPr>
      <w:r w:rsidRPr="007D3950">
        <w:rPr>
          <w:rStyle w:val="FootnoteReference"/>
          <w:u w:val="single"/>
        </w:rPr>
        <w:footnoteRef/>
      </w:r>
      <w:r w:rsidR="007D3950" w:rsidRPr="007D3950">
        <w:rPr>
          <w:vertAlign w:val="superscript"/>
        </w:rPr>
        <w:t>/</w:t>
      </w:r>
      <w:r>
        <w:t xml:space="preserve"> </w:t>
      </w:r>
      <w:r>
        <w:tab/>
      </w:r>
      <w:r>
        <w:rPr>
          <w:u w:val="single"/>
        </w:rPr>
        <w:t>PSE v. WUTC</w:t>
      </w:r>
      <w:r>
        <w:t>, Docket Nos. UE-111048/UG-111049, Order 08 (May 7, 2012).</w:t>
      </w:r>
    </w:p>
  </w:footnote>
  <w:footnote w:id="15">
    <w:p w:rsidR="00CF0260" w:rsidRPr="00CF0260" w:rsidRDefault="00CF0260">
      <w:pPr>
        <w:pStyle w:val="FootnoteText"/>
      </w:pPr>
      <w:r w:rsidRPr="007D3950">
        <w:rPr>
          <w:rStyle w:val="FootnoteReference"/>
          <w:u w:val="single"/>
        </w:rPr>
        <w:footnoteRef/>
      </w:r>
      <w:r w:rsidR="007D3950" w:rsidRPr="007D3950">
        <w:rPr>
          <w:vertAlign w:val="superscript"/>
        </w:rPr>
        <w:t>/</w:t>
      </w:r>
      <w:r>
        <w:t xml:space="preserve"> </w:t>
      </w:r>
      <w:r>
        <w:tab/>
      </w:r>
      <w:r>
        <w:rPr>
          <w:u w:val="single"/>
        </w:rPr>
        <w:t>Id.</w:t>
      </w:r>
      <w:r>
        <w:t xml:space="preserve"> ¶ 88.</w:t>
      </w:r>
    </w:p>
  </w:footnote>
  <w:footnote w:id="16">
    <w:p w:rsidR="009B3D58" w:rsidRDefault="009B3D58">
      <w:pPr>
        <w:pStyle w:val="FootnoteText"/>
      </w:pPr>
      <w:r w:rsidRPr="007D3950">
        <w:rPr>
          <w:rStyle w:val="FootnoteReference"/>
          <w:u w:val="single"/>
        </w:rPr>
        <w:footnoteRef/>
      </w:r>
      <w:r w:rsidR="007D3950" w:rsidRPr="007D3950">
        <w:rPr>
          <w:vertAlign w:val="superscript"/>
        </w:rPr>
        <w:t>/</w:t>
      </w:r>
      <w:r w:rsidRPr="007D3950">
        <w:rPr>
          <w:vertAlign w:val="superscript"/>
        </w:rPr>
        <w:t xml:space="preserve"> </w:t>
      </w:r>
      <w:r>
        <w:tab/>
        <w:t>Order 07 ¶ 58.</w:t>
      </w:r>
    </w:p>
  </w:footnote>
  <w:footnote w:id="17">
    <w:p w:rsidR="007757BF" w:rsidRDefault="0017538F" w:rsidP="0017538F">
      <w:pPr>
        <w:pStyle w:val="FootnoteText"/>
        <w:ind w:left="720" w:hanging="720"/>
      </w:pPr>
      <w:r w:rsidRPr="007D3950">
        <w:rPr>
          <w:rStyle w:val="FootnoteReference"/>
          <w:u w:val="single"/>
        </w:rPr>
        <w:footnoteRef/>
      </w:r>
      <w:r w:rsidR="007D3950" w:rsidRPr="007D3950">
        <w:rPr>
          <w:vertAlign w:val="superscript"/>
        </w:rPr>
        <w:t>/</w:t>
      </w:r>
      <w:r w:rsidRPr="007D3950">
        <w:rPr>
          <w:vertAlign w:val="superscript"/>
        </w:rPr>
        <w:t xml:space="preserve"> </w:t>
      </w:r>
      <w:r>
        <w:tab/>
        <w:t xml:space="preserve">Docket Nos. UW-980072, UW-980258, </w:t>
      </w:r>
      <w:r w:rsidR="007757BF">
        <w:t xml:space="preserve">UW-980265, </w:t>
      </w:r>
      <w:r>
        <w:t xml:space="preserve">UW-980076, 1999 Wash. UTC LEXIS 63, </w:t>
      </w:r>
    </w:p>
    <w:p w:rsidR="0017538F" w:rsidRDefault="007757BF" w:rsidP="0017538F">
      <w:pPr>
        <w:pStyle w:val="FootnoteText"/>
        <w:ind w:left="720" w:hanging="720"/>
      </w:pPr>
      <w:r>
        <w:tab/>
      </w:r>
      <w:r w:rsidR="0017538F">
        <w:t>6th Supp. Order at *12-*17 (Jan. 21, 1999).</w:t>
      </w:r>
    </w:p>
  </w:footnote>
  <w:footnote w:id="18">
    <w:p w:rsidR="00881531" w:rsidRPr="00881531" w:rsidRDefault="00881531">
      <w:pPr>
        <w:pStyle w:val="FootnoteText"/>
      </w:pPr>
      <w:r w:rsidRPr="007D3950">
        <w:rPr>
          <w:rStyle w:val="FootnoteReference"/>
          <w:u w:val="single"/>
        </w:rPr>
        <w:footnoteRef/>
      </w:r>
      <w:r w:rsidR="007D3950" w:rsidRPr="007D3950">
        <w:rPr>
          <w:vertAlign w:val="superscript"/>
        </w:rPr>
        <w:t>/</w:t>
      </w:r>
      <w:r w:rsidRPr="007D3950">
        <w:rPr>
          <w:vertAlign w:val="superscript"/>
        </w:rPr>
        <w:t xml:space="preserve"> </w:t>
      </w:r>
      <w:r>
        <w:tab/>
      </w:r>
      <w:r>
        <w:rPr>
          <w:u w:val="single"/>
        </w:rPr>
        <w:t>Id.</w:t>
      </w:r>
      <w:r>
        <w:t xml:space="preserve"> at </w:t>
      </w:r>
      <w:r w:rsidR="007757BF">
        <w:t>*15-*</w:t>
      </w:r>
      <w:r>
        <w:t>16.</w:t>
      </w:r>
    </w:p>
  </w:footnote>
  <w:footnote w:id="19">
    <w:p w:rsidR="007A77E1" w:rsidRDefault="007A77E1">
      <w:pPr>
        <w:pStyle w:val="FootnoteText"/>
      </w:pPr>
      <w:r w:rsidRPr="007D3950">
        <w:rPr>
          <w:rStyle w:val="FootnoteReference"/>
          <w:u w:val="single"/>
        </w:rPr>
        <w:footnoteRef/>
      </w:r>
      <w:r w:rsidR="007D3950" w:rsidRPr="007D3950">
        <w:rPr>
          <w:vertAlign w:val="superscript"/>
        </w:rPr>
        <w:t>/</w:t>
      </w:r>
      <w:r w:rsidRPr="007D3950">
        <w:rPr>
          <w:vertAlign w:val="superscript"/>
        </w:rPr>
        <w:t xml:space="preserve"> </w:t>
      </w:r>
      <w:r>
        <w:tab/>
        <w:t>Order 07, Separate Statement of Commissioner Jones ¶ 5.</w:t>
      </w:r>
    </w:p>
  </w:footnote>
  <w:footnote w:id="20">
    <w:p w:rsidR="004724A1" w:rsidRPr="00DA1C53" w:rsidRDefault="004724A1" w:rsidP="004724A1">
      <w:pPr>
        <w:pStyle w:val="FootnoteText"/>
        <w:rPr>
          <w:u w:val="single"/>
        </w:rPr>
      </w:pPr>
      <w:r w:rsidRPr="007D3950">
        <w:rPr>
          <w:rStyle w:val="FootnoteReference"/>
          <w:u w:val="single"/>
        </w:rPr>
        <w:footnoteRef/>
      </w:r>
      <w:r w:rsidR="007D3950" w:rsidRPr="007D3950">
        <w:rPr>
          <w:vertAlign w:val="superscript"/>
        </w:rPr>
        <w:t>/</w:t>
      </w:r>
      <w:r w:rsidRPr="007D3950">
        <w:rPr>
          <w:vertAlign w:val="superscript"/>
        </w:rPr>
        <w:t xml:space="preserve"> </w:t>
      </w:r>
      <w:r>
        <w:tab/>
      </w:r>
      <w:r>
        <w:rPr>
          <w:u w:val="single"/>
        </w:rPr>
        <w:t>Id.</w:t>
      </w:r>
      <w:r w:rsidR="007757BF" w:rsidRPr="007757BF">
        <w:t xml:space="preserve"> at </w:t>
      </w:r>
      <w:r w:rsidR="0094638A">
        <w:t>¶</w:t>
      </w:r>
      <w:r w:rsidR="0094638A">
        <w:t xml:space="preserve"> </w:t>
      </w:r>
      <w:bookmarkStart w:id="2" w:name="_GoBack"/>
      <w:bookmarkEnd w:id="2"/>
      <w:r w:rsidR="007757BF" w:rsidRPr="007757BF">
        <w:t>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A5" w:rsidRPr="00845BA5" w:rsidRDefault="00845BA5" w:rsidP="00845BA5">
    <w:pPr>
      <w:pStyle w:val="Header"/>
      <w:ind w:left="720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18A49BE2"/>
    <w:lvl w:ilvl="0" w:tplc="C66E1E0E">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B3"/>
    <w:rsid w:val="000015B0"/>
    <w:rsid w:val="00041527"/>
    <w:rsid w:val="000E1DD2"/>
    <w:rsid w:val="00107499"/>
    <w:rsid w:val="0017538F"/>
    <w:rsid w:val="00181EE7"/>
    <w:rsid w:val="00233F9C"/>
    <w:rsid w:val="002574AD"/>
    <w:rsid w:val="003621A7"/>
    <w:rsid w:val="00385D77"/>
    <w:rsid w:val="003F0730"/>
    <w:rsid w:val="004724A1"/>
    <w:rsid w:val="004E4D9B"/>
    <w:rsid w:val="005D0DBA"/>
    <w:rsid w:val="005E4BC1"/>
    <w:rsid w:val="00682CCD"/>
    <w:rsid w:val="007636D0"/>
    <w:rsid w:val="007757BF"/>
    <w:rsid w:val="007A77E1"/>
    <w:rsid w:val="007D3950"/>
    <w:rsid w:val="00845BA5"/>
    <w:rsid w:val="00881531"/>
    <w:rsid w:val="00892BB3"/>
    <w:rsid w:val="00905407"/>
    <w:rsid w:val="0094638A"/>
    <w:rsid w:val="0096475C"/>
    <w:rsid w:val="009B3D58"/>
    <w:rsid w:val="00A760DC"/>
    <w:rsid w:val="00AB5023"/>
    <w:rsid w:val="00B478BF"/>
    <w:rsid w:val="00BF40CE"/>
    <w:rsid w:val="00CA7FB7"/>
    <w:rsid w:val="00CF0260"/>
    <w:rsid w:val="00D431C6"/>
    <w:rsid w:val="00DA1C53"/>
    <w:rsid w:val="00DE1C2B"/>
    <w:rsid w:val="00EB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B3"/>
    <w:rPr>
      <w:rFonts w:eastAsia="Times New Roman"/>
      <w:color w:val="000000"/>
      <w:szCs w:val="20"/>
    </w:rPr>
  </w:style>
  <w:style w:type="paragraph" w:styleId="Heading1">
    <w:name w:val="heading 1"/>
    <w:basedOn w:val="Normal"/>
    <w:next w:val="Normal"/>
    <w:link w:val="Heading1Char"/>
    <w:qFormat/>
    <w:rsid w:val="00892BB3"/>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BB3"/>
    <w:rPr>
      <w:rFonts w:eastAsia="Times New Roman"/>
      <w:b/>
      <w:snapToGrid w:val="0"/>
      <w:sz w:val="28"/>
      <w:szCs w:val="20"/>
    </w:rPr>
  </w:style>
  <w:style w:type="paragraph" w:styleId="Footer">
    <w:name w:val="footer"/>
    <w:basedOn w:val="Normal"/>
    <w:link w:val="FooterChar"/>
    <w:uiPriority w:val="99"/>
    <w:rsid w:val="00892BB3"/>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892BB3"/>
    <w:rPr>
      <w:rFonts w:eastAsia="Times New Roman"/>
      <w:snapToGrid w:val="0"/>
      <w:szCs w:val="20"/>
    </w:rPr>
  </w:style>
  <w:style w:type="paragraph" w:styleId="Header">
    <w:name w:val="header"/>
    <w:basedOn w:val="Normal"/>
    <w:link w:val="HeaderChar"/>
    <w:uiPriority w:val="99"/>
    <w:rsid w:val="00892BB3"/>
    <w:pPr>
      <w:tabs>
        <w:tab w:val="center" w:pos="4320"/>
        <w:tab w:val="right" w:pos="8640"/>
      </w:tabs>
    </w:pPr>
    <w:rPr>
      <w:color w:val="auto"/>
      <w:sz w:val="20"/>
    </w:rPr>
  </w:style>
  <w:style w:type="character" w:customStyle="1" w:styleId="HeaderChar">
    <w:name w:val="Header Char"/>
    <w:basedOn w:val="DefaultParagraphFont"/>
    <w:link w:val="Header"/>
    <w:uiPriority w:val="99"/>
    <w:rsid w:val="00892BB3"/>
    <w:rPr>
      <w:rFonts w:eastAsia="Times New Roman"/>
      <w:sz w:val="20"/>
      <w:szCs w:val="20"/>
    </w:rPr>
  </w:style>
  <w:style w:type="paragraph" w:customStyle="1" w:styleId="SingleSpacing">
    <w:name w:val="Single Spacing"/>
    <w:basedOn w:val="Normal"/>
    <w:rsid w:val="00892BB3"/>
    <w:pPr>
      <w:spacing w:line="254" w:lineRule="exact"/>
    </w:pPr>
    <w:rPr>
      <w:color w:val="auto"/>
    </w:rPr>
  </w:style>
  <w:style w:type="paragraph" w:styleId="FootnoteText">
    <w:name w:val="footnote text"/>
    <w:basedOn w:val="Normal"/>
    <w:link w:val="FootnoteTextChar"/>
    <w:uiPriority w:val="99"/>
    <w:semiHidden/>
    <w:unhideWhenUsed/>
    <w:rsid w:val="00905407"/>
    <w:rPr>
      <w:sz w:val="20"/>
    </w:rPr>
  </w:style>
  <w:style w:type="character" w:customStyle="1" w:styleId="FootnoteTextChar">
    <w:name w:val="Footnote Text Char"/>
    <w:basedOn w:val="DefaultParagraphFont"/>
    <w:link w:val="FootnoteText"/>
    <w:uiPriority w:val="99"/>
    <w:semiHidden/>
    <w:rsid w:val="00905407"/>
    <w:rPr>
      <w:rFonts w:eastAsia="Times New Roman"/>
      <w:color w:val="000000"/>
      <w:sz w:val="20"/>
      <w:szCs w:val="20"/>
    </w:rPr>
  </w:style>
  <w:style w:type="character" w:styleId="FootnoteReference">
    <w:name w:val="footnote reference"/>
    <w:basedOn w:val="DefaultParagraphFont"/>
    <w:uiPriority w:val="99"/>
    <w:semiHidden/>
    <w:unhideWhenUsed/>
    <w:rsid w:val="00905407"/>
    <w:rPr>
      <w:vertAlign w:val="superscript"/>
    </w:rPr>
  </w:style>
  <w:style w:type="paragraph" w:styleId="BalloonText">
    <w:name w:val="Balloon Text"/>
    <w:basedOn w:val="Normal"/>
    <w:link w:val="BalloonTextChar"/>
    <w:uiPriority w:val="99"/>
    <w:semiHidden/>
    <w:unhideWhenUsed/>
    <w:rsid w:val="003F0730"/>
    <w:rPr>
      <w:rFonts w:ascii="Tahoma" w:hAnsi="Tahoma" w:cs="Tahoma"/>
      <w:sz w:val="16"/>
      <w:szCs w:val="16"/>
    </w:rPr>
  </w:style>
  <w:style w:type="character" w:customStyle="1" w:styleId="BalloonTextChar">
    <w:name w:val="Balloon Text Char"/>
    <w:basedOn w:val="DefaultParagraphFont"/>
    <w:link w:val="BalloonText"/>
    <w:uiPriority w:val="99"/>
    <w:semiHidden/>
    <w:rsid w:val="003F0730"/>
    <w:rPr>
      <w:rFonts w:ascii="Tahoma" w:eastAsia="Times New Roman" w:hAnsi="Tahoma" w:cs="Tahoma"/>
      <w:color w:val="000000"/>
      <w:sz w:val="16"/>
      <w:szCs w:val="16"/>
    </w:rPr>
  </w:style>
  <w:style w:type="paragraph" w:customStyle="1" w:styleId="WUTCParagraph">
    <w:name w:val="WUTC Paragraph"/>
    <w:basedOn w:val="Normal"/>
    <w:link w:val="WUTCParagraphChar"/>
    <w:qFormat/>
    <w:rsid w:val="00682CCD"/>
    <w:pPr>
      <w:numPr>
        <w:numId w:val="2"/>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682CCD"/>
    <w:rPr>
      <w:rFonts w:eastAsia="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B3"/>
    <w:rPr>
      <w:rFonts w:eastAsia="Times New Roman"/>
      <w:color w:val="000000"/>
      <w:szCs w:val="20"/>
    </w:rPr>
  </w:style>
  <w:style w:type="paragraph" w:styleId="Heading1">
    <w:name w:val="heading 1"/>
    <w:basedOn w:val="Normal"/>
    <w:next w:val="Normal"/>
    <w:link w:val="Heading1Char"/>
    <w:qFormat/>
    <w:rsid w:val="00892BB3"/>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BB3"/>
    <w:rPr>
      <w:rFonts w:eastAsia="Times New Roman"/>
      <w:b/>
      <w:snapToGrid w:val="0"/>
      <w:sz w:val="28"/>
      <w:szCs w:val="20"/>
    </w:rPr>
  </w:style>
  <w:style w:type="paragraph" w:styleId="Footer">
    <w:name w:val="footer"/>
    <w:basedOn w:val="Normal"/>
    <w:link w:val="FooterChar"/>
    <w:uiPriority w:val="99"/>
    <w:rsid w:val="00892BB3"/>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892BB3"/>
    <w:rPr>
      <w:rFonts w:eastAsia="Times New Roman"/>
      <w:snapToGrid w:val="0"/>
      <w:szCs w:val="20"/>
    </w:rPr>
  </w:style>
  <w:style w:type="paragraph" w:styleId="Header">
    <w:name w:val="header"/>
    <w:basedOn w:val="Normal"/>
    <w:link w:val="HeaderChar"/>
    <w:uiPriority w:val="99"/>
    <w:rsid w:val="00892BB3"/>
    <w:pPr>
      <w:tabs>
        <w:tab w:val="center" w:pos="4320"/>
        <w:tab w:val="right" w:pos="8640"/>
      </w:tabs>
    </w:pPr>
    <w:rPr>
      <w:color w:val="auto"/>
      <w:sz w:val="20"/>
    </w:rPr>
  </w:style>
  <w:style w:type="character" w:customStyle="1" w:styleId="HeaderChar">
    <w:name w:val="Header Char"/>
    <w:basedOn w:val="DefaultParagraphFont"/>
    <w:link w:val="Header"/>
    <w:uiPriority w:val="99"/>
    <w:rsid w:val="00892BB3"/>
    <w:rPr>
      <w:rFonts w:eastAsia="Times New Roman"/>
      <w:sz w:val="20"/>
      <w:szCs w:val="20"/>
    </w:rPr>
  </w:style>
  <w:style w:type="paragraph" w:customStyle="1" w:styleId="SingleSpacing">
    <w:name w:val="Single Spacing"/>
    <w:basedOn w:val="Normal"/>
    <w:rsid w:val="00892BB3"/>
    <w:pPr>
      <w:spacing w:line="254" w:lineRule="exact"/>
    </w:pPr>
    <w:rPr>
      <w:color w:val="auto"/>
    </w:rPr>
  </w:style>
  <w:style w:type="paragraph" w:styleId="FootnoteText">
    <w:name w:val="footnote text"/>
    <w:basedOn w:val="Normal"/>
    <w:link w:val="FootnoteTextChar"/>
    <w:uiPriority w:val="99"/>
    <w:semiHidden/>
    <w:unhideWhenUsed/>
    <w:rsid w:val="00905407"/>
    <w:rPr>
      <w:sz w:val="20"/>
    </w:rPr>
  </w:style>
  <w:style w:type="character" w:customStyle="1" w:styleId="FootnoteTextChar">
    <w:name w:val="Footnote Text Char"/>
    <w:basedOn w:val="DefaultParagraphFont"/>
    <w:link w:val="FootnoteText"/>
    <w:uiPriority w:val="99"/>
    <w:semiHidden/>
    <w:rsid w:val="00905407"/>
    <w:rPr>
      <w:rFonts w:eastAsia="Times New Roman"/>
      <w:color w:val="000000"/>
      <w:sz w:val="20"/>
      <w:szCs w:val="20"/>
    </w:rPr>
  </w:style>
  <w:style w:type="character" w:styleId="FootnoteReference">
    <w:name w:val="footnote reference"/>
    <w:basedOn w:val="DefaultParagraphFont"/>
    <w:uiPriority w:val="99"/>
    <w:semiHidden/>
    <w:unhideWhenUsed/>
    <w:rsid w:val="00905407"/>
    <w:rPr>
      <w:vertAlign w:val="superscript"/>
    </w:rPr>
  </w:style>
  <w:style w:type="paragraph" w:styleId="BalloonText">
    <w:name w:val="Balloon Text"/>
    <w:basedOn w:val="Normal"/>
    <w:link w:val="BalloonTextChar"/>
    <w:uiPriority w:val="99"/>
    <w:semiHidden/>
    <w:unhideWhenUsed/>
    <w:rsid w:val="003F0730"/>
    <w:rPr>
      <w:rFonts w:ascii="Tahoma" w:hAnsi="Tahoma" w:cs="Tahoma"/>
      <w:sz w:val="16"/>
      <w:szCs w:val="16"/>
    </w:rPr>
  </w:style>
  <w:style w:type="character" w:customStyle="1" w:styleId="BalloonTextChar">
    <w:name w:val="Balloon Text Char"/>
    <w:basedOn w:val="DefaultParagraphFont"/>
    <w:link w:val="BalloonText"/>
    <w:uiPriority w:val="99"/>
    <w:semiHidden/>
    <w:rsid w:val="003F0730"/>
    <w:rPr>
      <w:rFonts w:ascii="Tahoma" w:eastAsia="Times New Roman" w:hAnsi="Tahoma" w:cs="Tahoma"/>
      <w:color w:val="000000"/>
      <w:sz w:val="16"/>
      <w:szCs w:val="16"/>
    </w:rPr>
  </w:style>
  <w:style w:type="paragraph" w:customStyle="1" w:styleId="WUTCParagraph">
    <w:name w:val="WUTC Paragraph"/>
    <w:basedOn w:val="Normal"/>
    <w:link w:val="WUTCParagraphChar"/>
    <w:qFormat/>
    <w:rsid w:val="00682CCD"/>
    <w:pPr>
      <w:numPr>
        <w:numId w:val="2"/>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682CCD"/>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CaseType xmlns="dc463f71-b30c-4ab2-9473-d307f9d35888">Petition</CaseType>
    <OpenedDate xmlns="dc463f71-b30c-4ab2-9473-d307f9d35888">2012-10-25T07:00:00+00:00</OpenedDate>
    <CaseCompanyNames xmlns="dc463f71-b30c-4ab2-9473-d307f9d35888">Puget Sound Energy</CaseCompanyNames>
    <IndustryCode xmlns="dc463f71-b30c-4ab2-9473-d307f9d35888">140</IndustryCode>
    <DelegatedOrder xmlns="dc463f71-b30c-4ab2-9473-d307f9d35888">false</DelegatedOrder>
    <IsConfidential xmlns="dc463f71-b30c-4ab2-9473-d307f9d35888">false</IsConfidential>
    <Date1 xmlns="dc463f71-b30c-4ab2-9473-d307f9d35888">2014-07-30T07:00:00+00:00</Date1>
    <AgendaOrder xmlns="dc463f71-b30c-4ab2-9473-d307f9d35888">false</AgendaOrder>
    <CaseStatus xmlns="dc463f71-b30c-4ab2-9473-d307f9d35888">Closed</CaseStatus>
    <DocumentSetType xmlns="dc463f71-b30c-4ab2-9473-d307f9d35888">Motion</DocumentSetType>
    <Prefix xmlns="dc463f71-b30c-4ab2-9473-d307f9d35888">UE</Prefix>
    <DocketNumber xmlns="dc463f71-b30c-4ab2-9473-d307f9d35888">121697</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ADA9F16-80B0-4DAC-8FDE-D54D8625243E}"/>
</file>

<file path=customXml/itemProps2.xml><?xml version="1.0" encoding="utf-8"?>
<ds:datastoreItem xmlns:ds="http://schemas.openxmlformats.org/officeDocument/2006/customXml" ds:itemID="{11185BD3-BF06-4EAC-8230-FC80716C4DD6}"/>
</file>

<file path=customXml/itemProps3.xml><?xml version="1.0" encoding="utf-8"?>
<ds:datastoreItem xmlns:ds="http://schemas.openxmlformats.org/officeDocument/2006/customXml" ds:itemID="{610839D2-E1EE-449F-977F-3D80B7FB85C6}"/>
</file>

<file path=customXml/itemProps4.xml><?xml version="1.0" encoding="utf-8"?>
<ds:datastoreItem xmlns:ds="http://schemas.openxmlformats.org/officeDocument/2006/customXml" ds:itemID="{037BDB79-AD85-49A0-B85A-3C35075A508F}"/>
</file>

<file path=customXml/itemProps5.xml><?xml version="1.0" encoding="utf-8"?>
<ds:datastoreItem xmlns:ds="http://schemas.openxmlformats.org/officeDocument/2006/customXml" ds:itemID="{7336A240-0392-4EE0-B20A-1270819E7FCE}"/>
</file>

<file path=docProps/app.xml><?xml version="1.0" encoding="utf-8"?>
<Properties xmlns="http://schemas.openxmlformats.org/officeDocument/2006/extended-properties" xmlns:vt="http://schemas.openxmlformats.org/officeDocument/2006/docPropsVTypes">
  <Template>Normal</Template>
  <TotalTime>275</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15</cp:revision>
  <cp:lastPrinted>2014-07-25T22:47:00Z</cp:lastPrinted>
  <dcterms:created xsi:type="dcterms:W3CDTF">2014-07-25T19:03:00Z</dcterms:created>
  <dcterms:modified xsi:type="dcterms:W3CDTF">2014-07-29T22:46:00Z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