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A43B06">
        <w:t>0</w:t>
      </w:r>
      <w:r w:rsidR="001F435F">
        <w:t>4</w:t>
      </w:r>
      <w:r w:rsidR="00A43B06">
        <w:t>/</w:t>
      </w:r>
      <w:r w:rsidR="003D448C">
        <w:t>26</w:t>
      </w:r>
      <w:r w:rsidR="001F435F">
        <w:t>/2016</w:t>
      </w:r>
    </w:p>
    <w:p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08704F">
        <w:t>Heather Rosentrater</w:t>
      </w:r>
    </w:p>
    <w:p w:rsidR="001004DE" w:rsidRDefault="00C73FA6" w:rsidP="0040408A">
      <w:pPr>
        <w:pStyle w:val="Heading1"/>
        <w:tabs>
          <w:tab w:val="clear" w:pos="4320"/>
          <w:tab w:val="left" w:pos="5040"/>
        </w:tabs>
      </w:pPr>
      <w:r>
        <w:t>REQUESTER:</w:t>
      </w:r>
      <w:r>
        <w:tab/>
      </w:r>
      <w:r w:rsidR="00022230">
        <w:t>Public Counsel</w:t>
      </w:r>
      <w:r w:rsidR="0040408A">
        <w:t>/Energy Project</w:t>
      </w:r>
      <w:r w:rsidR="001F435F">
        <w:tab/>
        <w:t>RESPONDER:</w:t>
      </w:r>
      <w:r w:rsidR="001F435F">
        <w:tab/>
      </w:r>
      <w:r w:rsidR="00371544">
        <w:t>Clay Storey/L.</w:t>
      </w:r>
      <w:bookmarkStart w:id="0" w:name="_GoBack"/>
      <w:bookmarkEnd w:id="0"/>
      <w:r w:rsidR="00ED1CE1">
        <w:t xml:space="preserve"> La Bolle</w:t>
      </w:r>
    </w:p>
    <w:p w:rsidR="001004DE" w:rsidRDefault="00FD536A" w:rsidP="003D448C">
      <w:pPr>
        <w:pStyle w:val="Heading1"/>
        <w:tabs>
          <w:tab w:val="clear" w:pos="4320"/>
          <w:tab w:val="left" w:pos="5040"/>
        </w:tabs>
        <w:ind w:right="-828"/>
      </w:pPr>
      <w:r>
        <w:t>TYPE:</w:t>
      </w:r>
      <w:r>
        <w:tab/>
        <w:t>Data Request</w:t>
      </w:r>
      <w:r>
        <w:tab/>
        <w:t>DEPT:</w:t>
      </w:r>
      <w:r>
        <w:tab/>
      </w:r>
      <w:r w:rsidR="00941853">
        <w:tab/>
      </w:r>
      <w:r w:rsidR="00941853">
        <w:tab/>
      </w:r>
      <w:r w:rsidR="00ED1CE1">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183BEA">
        <w:t>19</w:t>
      </w:r>
      <w:r w:rsidR="004A7704">
        <w:tab/>
      </w:r>
      <w:r w:rsidR="00FD536A">
        <w:t>TELEPHONE:</w:t>
      </w:r>
      <w:r w:rsidR="00FD536A">
        <w:tab/>
        <w:t>(509) 495-</w:t>
      </w:r>
      <w:r w:rsidR="00FB5ABF">
        <w:t>4</w:t>
      </w:r>
      <w:r w:rsidR="00ED1CE1">
        <w:t>710</w:t>
      </w:r>
    </w:p>
    <w:p w:rsidR="00FD536A" w:rsidRDefault="00AA791F" w:rsidP="003D448C">
      <w:pPr>
        <w:tabs>
          <w:tab w:val="left" w:pos="1890"/>
          <w:tab w:val="left" w:pos="5040"/>
          <w:tab w:val="left" w:pos="6480"/>
        </w:tabs>
        <w:ind w:right="-738"/>
        <w:rPr>
          <w:sz w:val="24"/>
          <w:szCs w:val="24"/>
        </w:rPr>
      </w:pPr>
      <w:r>
        <w:rPr>
          <w:sz w:val="24"/>
          <w:szCs w:val="24"/>
        </w:rPr>
        <w:tab/>
      </w:r>
      <w:r>
        <w:rPr>
          <w:sz w:val="24"/>
          <w:szCs w:val="24"/>
        </w:rPr>
        <w:tab/>
        <w:t>EMAIL:</w:t>
      </w:r>
      <w:r>
        <w:rPr>
          <w:sz w:val="24"/>
          <w:szCs w:val="24"/>
        </w:rPr>
        <w:tab/>
      </w:r>
      <w:r w:rsidR="00941853">
        <w:rPr>
          <w:sz w:val="24"/>
          <w:szCs w:val="24"/>
        </w:rPr>
        <w:tab/>
      </w:r>
      <w:r w:rsidR="00ED1CE1">
        <w:rPr>
          <w:sz w:val="24"/>
          <w:szCs w:val="24"/>
        </w:rPr>
        <w:t>larry.labolle@avistacorp.com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8F6796" w:rsidRDefault="008F6796">
      <w:pPr>
        <w:tabs>
          <w:tab w:val="left" w:pos="1890"/>
          <w:tab w:val="left" w:pos="4320"/>
          <w:tab w:val="left" w:pos="6480"/>
        </w:tabs>
        <w:jc w:val="both"/>
        <w:rPr>
          <w:b/>
          <w:bCs/>
          <w:sz w:val="24"/>
          <w:szCs w:val="24"/>
        </w:rPr>
      </w:pPr>
    </w:p>
    <w:p w:rsidR="008F6796" w:rsidRPr="0008704F" w:rsidRDefault="008F6796" w:rsidP="008F6796">
      <w:pPr>
        <w:ind w:left="1440" w:hanging="1440"/>
        <w:rPr>
          <w:sz w:val="24"/>
          <w:szCs w:val="24"/>
        </w:rPr>
      </w:pPr>
      <w:r w:rsidRPr="0008704F">
        <w:rPr>
          <w:b/>
          <w:sz w:val="24"/>
          <w:szCs w:val="24"/>
        </w:rPr>
        <w:t>RE:  Direct Testimony of Heather L. Rosentrater, Exhibit No. HLR-1T at 30:18-23.</w:t>
      </w:r>
      <w:r w:rsidRPr="0008704F">
        <w:rPr>
          <w:sz w:val="24"/>
          <w:szCs w:val="24"/>
        </w:rPr>
        <w:t xml:space="preserve">   </w:t>
      </w:r>
    </w:p>
    <w:p w:rsidR="008F6796" w:rsidRPr="0008704F" w:rsidRDefault="008F6796" w:rsidP="008F6796">
      <w:pPr>
        <w:ind w:left="1440" w:hanging="1440"/>
        <w:rPr>
          <w:sz w:val="24"/>
          <w:szCs w:val="24"/>
        </w:rPr>
      </w:pPr>
    </w:p>
    <w:p w:rsidR="008F6796" w:rsidRPr="0008704F" w:rsidRDefault="008F6796" w:rsidP="008F6796">
      <w:pPr>
        <w:tabs>
          <w:tab w:val="left" w:pos="1890"/>
          <w:tab w:val="left" w:pos="4320"/>
          <w:tab w:val="left" w:pos="6480"/>
        </w:tabs>
        <w:jc w:val="both"/>
        <w:rPr>
          <w:sz w:val="24"/>
          <w:szCs w:val="24"/>
        </w:rPr>
      </w:pPr>
      <w:r w:rsidRPr="0008704F">
        <w:rPr>
          <w:sz w:val="24"/>
          <w:szCs w:val="24"/>
        </w:rPr>
        <w:t>What is the cost of Avista’s “oversight committee” and “an advanced meter security working group” as identified on page 30, lines 18-23 and identify where and in what amount these costs are included in the business case.</w:t>
      </w:r>
    </w:p>
    <w:p w:rsidR="008F6796" w:rsidRDefault="008F6796">
      <w:pPr>
        <w:tabs>
          <w:tab w:val="left" w:pos="1890"/>
          <w:tab w:val="left" w:pos="4320"/>
          <w:tab w:val="left" w:pos="6480"/>
        </w:tabs>
        <w:jc w:val="both"/>
        <w:rPr>
          <w:b/>
          <w:bCs/>
          <w:sz w:val="24"/>
          <w:szCs w:val="24"/>
        </w:rPr>
      </w:pPr>
    </w:p>
    <w:p w:rsidR="003D448C" w:rsidRDefault="003D448C">
      <w:pPr>
        <w:tabs>
          <w:tab w:val="left" w:pos="1890"/>
          <w:tab w:val="left" w:pos="4320"/>
          <w:tab w:val="left" w:pos="6480"/>
        </w:tabs>
        <w:jc w:val="both"/>
        <w:rPr>
          <w:b/>
          <w:bCs/>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8F6796" w:rsidRDefault="008F6796" w:rsidP="000E629D">
      <w:pPr>
        <w:tabs>
          <w:tab w:val="left" w:pos="1890"/>
          <w:tab w:val="left" w:pos="4320"/>
          <w:tab w:val="left" w:pos="6480"/>
        </w:tabs>
        <w:jc w:val="both"/>
        <w:rPr>
          <w:sz w:val="24"/>
          <w:szCs w:val="24"/>
        </w:rPr>
      </w:pPr>
    </w:p>
    <w:p w:rsidR="00A25DA3" w:rsidRDefault="00A25DA3" w:rsidP="00A25DA3">
      <w:pPr>
        <w:widowControl w:val="0"/>
        <w:tabs>
          <w:tab w:val="left" w:pos="2160"/>
        </w:tabs>
        <w:jc w:val="both"/>
        <w:outlineLvl w:val="4"/>
        <w:rPr>
          <w:sz w:val="24"/>
          <w:szCs w:val="23"/>
        </w:rPr>
      </w:pPr>
      <w:r>
        <w:rPr>
          <w:sz w:val="24"/>
          <w:szCs w:val="23"/>
        </w:rPr>
        <w:t xml:space="preserve">As described in Exhibit No. HLR-3 on pages 28-31, </w:t>
      </w:r>
      <w:r w:rsidRPr="00A25DA3">
        <w:rPr>
          <w:rFonts w:eastAsia="Arial"/>
          <w:spacing w:val="-1"/>
          <w:sz w:val="24"/>
          <w:szCs w:val="24"/>
        </w:rPr>
        <w:t>Avista’</w:t>
      </w:r>
      <w:r w:rsidRPr="00A25DA3">
        <w:rPr>
          <w:rFonts w:eastAsia="Arial"/>
          <w:sz w:val="24"/>
          <w:szCs w:val="24"/>
        </w:rPr>
        <w:t>s</w:t>
      </w:r>
      <w:r w:rsidRPr="00A25DA3">
        <w:rPr>
          <w:rFonts w:eastAsia="Arial"/>
          <w:spacing w:val="-6"/>
          <w:sz w:val="24"/>
          <w:szCs w:val="24"/>
        </w:rPr>
        <w:t xml:space="preserve"> cyber </w:t>
      </w:r>
      <w:r w:rsidRPr="00A25DA3">
        <w:rPr>
          <w:rFonts w:eastAsia="Arial"/>
          <w:spacing w:val="1"/>
          <w:sz w:val="24"/>
          <w:szCs w:val="24"/>
        </w:rPr>
        <w:t>s</w:t>
      </w:r>
      <w:r w:rsidRPr="00A25DA3">
        <w:rPr>
          <w:rFonts w:eastAsia="Arial"/>
          <w:spacing w:val="-1"/>
          <w:sz w:val="24"/>
          <w:szCs w:val="24"/>
        </w:rPr>
        <w:t>e</w:t>
      </w:r>
      <w:r w:rsidRPr="00A25DA3">
        <w:rPr>
          <w:rFonts w:eastAsia="Arial"/>
          <w:spacing w:val="1"/>
          <w:sz w:val="24"/>
          <w:szCs w:val="24"/>
        </w:rPr>
        <w:t>c</w:t>
      </w:r>
      <w:r w:rsidRPr="00A25DA3">
        <w:rPr>
          <w:rFonts w:eastAsia="Arial"/>
          <w:spacing w:val="-1"/>
          <w:sz w:val="24"/>
          <w:szCs w:val="24"/>
        </w:rPr>
        <w:t>u</w:t>
      </w:r>
      <w:r w:rsidRPr="00A25DA3">
        <w:rPr>
          <w:rFonts w:eastAsia="Arial"/>
          <w:spacing w:val="1"/>
          <w:sz w:val="24"/>
          <w:szCs w:val="24"/>
        </w:rPr>
        <w:t>r</w:t>
      </w:r>
      <w:r w:rsidRPr="00A25DA3">
        <w:rPr>
          <w:rFonts w:eastAsia="Arial"/>
          <w:spacing w:val="-1"/>
          <w:sz w:val="24"/>
          <w:szCs w:val="24"/>
        </w:rPr>
        <w:t>i</w:t>
      </w:r>
      <w:r w:rsidRPr="00A25DA3">
        <w:rPr>
          <w:rFonts w:eastAsia="Arial"/>
          <w:spacing w:val="2"/>
          <w:sz w:val="24"/>
          <w:szCs w:val="24"/>
        </w:rPr>
        <w:t>t</w:t>
      </w:r>
      <w:r w:rsidRPr="00A25DA3">
        <w:rPr>
          <w:rFonts w:eastAsia="Arial"/>
          <w:sz w:val="24"/>
          <w:szCs w:val="24"/>
        </w:rPr>
        <w:t>y</w:t>
      </w:r>
      <w:r w:rsidRPr="00A25DA3">
        <w:rPr>
          <w:rFonts w:eastAsia="Arial"/>
          <w:spacing w:val="-8"/>
          <w:sz w:val="24"/>
          <w:szCs w:val="24"/>
        </w:rPr>
        <w:t xml:space="preserve"> </w:t>
      </w:r>
      <w:r w:rsidRPr="00A25DA3">
        <w:rPr>
          <w:rFonts w:eastAsia="Arial"/>
          <w:spacing w:val="-1"/>
          <w:sz w:val="24"/>
          <w:szCs w:val="24"/>
        </w:rPr>
        <w:t>p</w:t>
      </w:r>
      <w:r w:rsidRPr="00A25DA3">
        <w:rPr>
          <w:rFonts w:eastAsia="Arial"/>
          <w:spacing w:val="1"/>
          <w:sz w:val="24"/>
          <w:szCs w:val="24"/>
        </w:rPr>
        <w:t>r</w:t>
      </w:r>
      <w:r w:rsidRPr="00A25DA3">
        <w:rPr>
          <w:rFonts w:eastAsia="Arial"/>
          <w:spacing w:val="-1"/>
          <w:sz w:val="24"/>
          <w:szCs w:val="24"/>
        </w:rPr>
        <w:t>a</w:t>
      </w:r>
      <w:r w:rsidRPr="00A25DA3">
        <w:rPr>
          <w:rFonts w:eastAsia="Arial"/>
          <w:spacing w:val="1"/>
          <w:sz w:val="24"/>
          <w:szCs w:val="24"/>
        </w:rPr>
        <w:t>c</w:t>
      </w:r>
      <w:r w:rsidRPr="00A25DA3">
        <w:rPr>
          <w:rFonts w:eastAsia="Arial"/>
          <w:sz w:val="24"/>
          <w:szCs w:val="24"/>
        </w:rPr>
        <w:t>t</w:t>
      </w:r>
      <w:r w:rsidRPr="00A25DA3">
        <w:rPr>
          <w:rFonts w:eastAsia="Arial"/>
          <w:spacing w:val="-1"/>
          <w:sz w:val="24"/>
          <w:szCs w:val="24"/>
        </w:rPr>
        <w:t>i</w:t>
      </w:r>
      <w:r w:rsidRPr="00A25DA3">
        <w:rPr>
          <w:rFonts w:eastAsia="Arial"/>
          <w:spacing w:val="1"/>
          <w:sz w:val="24"/>
          <w:szCs w:val="24"/>
        </w:rPr>
        <w:t>c</w:t>
      </w:r>
      <w:r w:rsidRPr="00A25DA3">
        <w:rPr>
          <w:rFonts w:eastAsia="Arial"/>
          <w:spacing w:val="-1"/>
          <w:sz w:val="24"/>
          <w:szCs w:val="24"/>
        </w:rPr>
        <w:t>e</w:t>
      </w:r>
      <w:r w:rsidRPr="00A25DA3">
        <w:rPr>
          <w:rFonts w:eastAsia="Arial"/>
          <w:sz w:val="24"/>
          <w:szCs w:val="24"/>
        </w:rPr>
        <w:t>s</w:t>
      </w:r>
      <w:r w:rsidRPr="00A25DA3">
        <w:rPr>
          <w:rFonts w:eastAsia="Arial"/>
          <w:spacing w:val="-4"/>
          <w:sz w:val="24"/>
          <w:szCs w:val="24"/>
        </w:rPr>
        <w:t xml:space="preserve"> </w:t>
      </w:r>
      <w:r w:rsidRPr="00A25DA3">
        <w:rPr>
          <w:rFonts w:eastAsia="Arial"/>
          <w:spacing w:val="-1"/>
          <w:sz w:val="24"/>
          <w:szCs w:val="24"/>
        </w:rPr>
        <w:t>a</w:t>
      </w:r>
      <w:r w:rsidRPr="00A25DA3">
        <w:rPr>
          <w:rFonts w:eastAsia="Arial"/>
          <w:spacing w:val="1"/>
          <w:sz w:val="24"/>
          <w:szCs w:val="24"/>
        </w:rPr>
        <w:t>r</w:t>
      </w:r>
      <w:r w:rsidRPr="00A25DA3">
        <w:rPr>
          <w:rFonts w:eastAsia="Arial"/>
          <w:sz w:val="24"/>
          <w:szCs w:val="24"/>
        </w:rPr>
        <w:t>e</w:t>
      </w:r>
      <w:r w:rsidRPr="00A25DA3">
        <w:rPr>
          <w:rFonts w:eastAsia="Arial"/>
          <w:spacing w:val="-7"/>
          <w:sz w:val="24"/>
          <w:szCs w:val="24"/>
        </w:rPr>
        <w:t xml:space="preserve"> </w:t>
      </w:r>
      <w:r w:rsidRPr="00A25DA3">
        <w:rPr>
          <w:rFonts w:eastAsia="Arial"/>
          <w:spacing w:val="-1"/>
          <w:sz w:val="24"/>
          <w:szCs w:val="24"/>
        </w:rPr>
        <w:t>de</w:t>
      </w:r>
      <w:r w:rsidRPr="00A25DA3">
        <w:rPr>
          <w:rFonts w:eastAsia="Arial"/>
          <w:spacing w:val="3"/>
          <w:sz w:val="24"/>
          <w:szCs w:val="24"/>
        </w:rPr>
        <w:t>s</w:t>
      </w:r>
      <w:r w:rsidRPr="00A25DA3">
        <w:rPr>
          <w:rFonts w:eastAsia="Arial"/>
          <w:spacing w:val="-1"/>
          <w:sz w:val="24"/>
          <w:szCs w:val="24"/>
        </w:rPr>
        <w:t>ig</w:t>
      </w:r>
      <w:r w:rsidRPr="00A25DA3">
        <w:rPr>
          <w:rFonts w:eastAsia="Arial"/>
          <w:spacing w:val="2"/>
          <w:sz w:val="24"/>
          <w:szCs w:val="24"/>
        </w:rPr>
        <w:t>n</w:t>
      </w:r>
      <w:r w:rsidRPr="00A25DA3">
        <w:rPr>
          <w:rFonts w:eastAsia="Arial"/>
          <w:spacing w:val="-1"/>
          <w:sz w:val="24"/>
          <w:szCs w:val="24"/>
        </w:rPr>
        <w:t>e</w:t>
      </w:r>
      <w:r w:rsidRPr="00A25DA3">
        <w:rPr>
          <w:rFonts w:eastAsia="Arial"/>
          <w:sz w:val="24"/>
          <w:szCs w:val="24"/>
        </w:rPr>
        <w:t>d</w:t>
      </w:r>
      <w:r w:rsidRPr="00A25DA3">
        <w:rPr>
          <w:rFonts w:eastAsia="Arial"/>
          <w:spacing w:val="-8"/>
          <w:sz w:val="24"/>
          <w:szCs w:val="24"/>
        </w:rPr>
        <w:t xml:space="preserve"> </w:t>
      </w:r>
      <w:r w:rsidRPr="00A25DA3">
        <w:rPr>
          <w:rFonts w:eastAsia="Arial"/>
          <w:spacing w:val="2"/>
          <w:sz w:val="24"/>
          <w:szCs w:val="24"/>
        </w:rPr>
        <w:t>t</w:t>
      </w:r>
      <w:r w:rsidRPr="00A25DA3">
        <w:rPr>
          <w:rFonts w:eastAsia="Arial"/>
          <w:sz w:val="24"/>
          <w:szCs w:val="24"/>
        </w:rPr>
        <w:t>o</w:t>
      </w:r>
      <w:r w:rsidRPr="00A25DA3">
        <w:rPr>
          <w:rFonts w:eastAsia="Arial"/>
          <w:spacing w:val="-7"/>
          <w:sz w:val="24"/>
          <w:szCs w:val="24"/>
        </w:rPr>
        <w:t xml:space="preserve"> </w:t>
      </w:r>
      <w:r w:rsidRPr="00A25DA3">
        <w:rPr>
          <w:rFonts w:eastAsia="Arial"/>
          <w:sz w:val="24"/>
          <w:szCs w:val="24"/>
        </w:rPr>
        <w:t xml:space="preserve">ensure that operational objectives are effectively achieved, while ensuring the integrity of our data and systems is protected at every level from possible unintentional incidents, and the full range of potential cyber security threats. Cyber security is a foundational part of every system </w:t>
      </w:r>
      <w:r>
        <w:rPr>
          <w:rFonts w:eastAsia="Arial"/>
          <w:sz w:val="24"/>
          <w:szCs w:val="24"/>
        </w:rPr>
        <w:t xml:space="preserve">used by the Company </w:t>
      </w:r>
      <w:r w:rsidRPr="00A25DA3">
        <w:rPr>
          <w:rFonts w:eastAsia="Arial"/>
          <w:sz w:val="24"/>
          <w:szCs w:val="24"/>
        </w:rPr>
        <w:t>and is designed</w:t>
      </w:r>
      <w:r>
        <w:rPr>
          <w:rFonts w:eastAsia="Arial"/>
          <w:sz w:val="24"/>
          <w:szCs w:val="24"/>
        </w:rPr>
        <w:t xml:space="preserve"> from the ground up to meet our</w:t>
      </w:r>
      <w:r w:rsidRPr="00A25DA3">
        <w:rPr>
          <w:rFonts w:eastAsia="Arial"/>
          <w:sz w:val="24"/>
          <w:szCs w:val="24"/>
        </w:rPr>
        <w:t xml:space="preserve"> security and confidentiality standards, various regulatory requirements, and interoperability standards, among others.  Security is highly integrated into each phase of every project</w:t>
      </w:r>
      <w:r>
        <w:rPr>
          <w:rFonts w:eastAsia="Arial"/>
          <w:sz w:val="24"/>
          <w:szCs w:val="24"/>
        </w:rPr>
        <w:t xml:space="preserve"> we implement</w:t>
      </w:r>
      <w:r w:rsidRPr="00A25DA3">
        <w:rPr>
          <w:rFonts w:eastAsia="Arial"/>
          <w:sz w:val="24"/>
          <w:szCs w:val="24"/>
        </w:rPr>
        <w:t xml:space="preserve">, including planning, design, build, test, Go Live, and ongoing operations.  In every application, the goal of Avista’s security processes is to ensure we have appropriate and cost-effective measures in place that provide comprehensive and seamless protection for our customers, employees, contractors, and work processes, across computer hardware and software systems, energy delivery and communications infrastructure, and myriad end-use devices.  </w:t>
      </w:r>
    </w:p>
    <w:p w:rsidR="00A25DA3" w:rsidRDefault="00A25DA3" w:rsidP="000E629D">
      <w:pPr>
        <w:tabs>
          <w:tab w:val="left" w:pos="1890"/>
          <w:tab w:val="left" w:pos="4320"/>
          <w:tab w:val="left" w:pos="6480"/>
        </w:tabs>
        <w:jc w:val="both"/>
        <w:rPr>
          <w:sz w:val="24"/>
          <w:szCs w:val="23"/>
        </w:rPr>
      </w:pPr>
    </w:p>
    <w:p w:rsidR="009E3578" w:rsidRDefault="00A25DA3" w:rsidP="000E629D">
      <w:pPr>
        <w:tabs>
          <w:tab w:val="left" w:pos="1890"/>
          <w:tab w:val="left" w:pos="4320"/>
          <w:tab w:val="left" w:pos="6480"/>
        </w:tabs>
        <w:jc w:val="both"/>
        <w:rPr>
          <w:sz w:val="24"/>
          <w:szCs w:val="23"/>
        </w:rPr>
      </w:pPr>
      <w:r>
        <w:rPr>
          <w:sz w:val="24"/>
          <w:szCs w:val="23"/>
        </w:rPr>
        <w:t>Our success in accomplishing these objectives requires that we organize various standing committees composed of employee subject matter experts, such as provided in detail in Avista’s response to PC/EP D</w:t>
      </w:r>
      <w:r w:rsidR="005F4EA3">
        <w:rPr>
          <w:sz w:val="24"/>
          <w:szCs w:val="23"/>
        </w:rPr>
        <w:t xml:space="preserve">R-20. Because the </w:t>
      </w:r>
      <w:r w:rsidR="005F4EA3" w:rsidRPr="0008704F">
        <w:rPr>
          <w:sz w:val="24"/>
          <w:szCs w:val="24"/>
        </w:rPr>
        <w:t>“oversight committee” and “</w:t>
      </w:r>
      <w:r w:rsidR="005F4EA3">
        <w:rPr>
          <w:sz w:val="24"/>
          <w:szCs w:val="24"/>
        </w:rPr>
        <w:t>the</w:t>
      </w:r>
      <w:r w:rsidR="005F4EA3" w:rsidRPr="0008704F">
        <w:rPr>
          <w:sz w:val="24"/>
          <w:szCs w:val="24"/>
        </w:rPr>
        <w:t xml:space="preserve"> advanced meter security working group” </w:t>
      </w:r>
      <w:r w:rsidR="005F4EA3">
        <w:rPr>
          <w:sz w:val="24"/>
          <w:szCs w:val="23"/>
        </w:rPr>
        <w:t xml:space="preserve">are standing committees (for the advanced meter group because Avista already has an operating AMI system), and because the security </w:t>
      </w:r>
      <w:r w:rsidR="007921CE">
        <w:rPr>
          <w:sz w:val="24"/>
          <w:szCs w:val="23"/>
        </w:rPr>
        <w:t>governance they provide</w:t>
      </w:r>
      <w:r w:rsidR="005F4EA3">
        <w:rPr>
          <w:sz w:val="24"/>
          <w:szCs w:val="23"/>
        </w:rPr>
        <w:t xml:space="preserve"> is an integrated part of our enterprise-wide security effort, the cost associated with t</w:t>
      </w:r>
      <w:r w:rsidR="007921CE">
        <w:rPr>
          <w:sz w:val="24"/>
          <w:szCs w:val="23"/>
        </w:rPr>
        <w:t>he portion of their</w:t>
      </w:r>
      <w:r w:rsidR="005F4EA3">
        <w:rPr>
          <w:sz w:val="24"/>
          <w:szCs w:val="23"/>
        </w:rPr>
        <w:t xml:space="preserve"> t</w:t>
      </w:r>
      <w:r w:rsidR="007921CE">
        <w:rPr>
          <w:sz w:val="24"/>
          <w:szCs w:val="23"/>
        </w:rPr>
        <w:t>ime they spend in committee is not allocated to individual projects</w:t>
      </w:r>
      <w:r w:rsidR="005F4EA3">
        <w:rPr>
          <w:sz w:val="24"/>
          <w:szCs w:val="23"/>
        </w:rPr>
        <w:t>.</w:t>
      </w:r>
      <w:r w:rsidR="007921CE">
        <w:rPr>
          <w:sz w:val="24"/>
          <w:szCs w:val="23"/>
        </w:rPr>
        <w:t xml:space="preserve"> The costs for the actual work of installing security systems to support the Washington AMI project are described </w:t>
      </w:r>
      <w:r w:rsidR="0042697C">
        <w:rPr>
          <w:sz w:val="24"/>
          <w:szCs w:val="23"/>
        </w:rPr>
        <w:t xml:space="preserve">in </w:t>
      </w:r>
      <w:r w:rsidR="007921CE">
        <w:rPr>
          <w:sz w:val="24"/>
          <w:szCs w:val="23"/>
        </w:rPr>
        <w:t>Avista’s response to PC/EP DR-17.</w:t>
      </w:r>
    </w:p>
    <w:p w:rsidR="0008704F" w:rsidRPr="0008704F" w:rsidRDefault="0008704F">
      <w:pPr>
        <w:tabs>
          <w:tab w:val="left" w:pos="1890"/>
          <w:tab w:val="left" w:pos="4320"/>
          <w:tab w:val="left" w:pos="6480"/>
        </w:tabs>
        <w:jc w:val="both"/>
        <w:rPr>
          <w:sz w:val="24"/>
          <w:szCs w:val="23"/>
        </w:rPr>
      </w:pPr>
    </w:p>
    <w:sectPr w:rsidR="0008704F" w:rsidRPr="0008704F" w:rsidSect="003D448C">
      <w:headerReference w:type="default" r:id="rId7"/>
      <w:footerReference w:type="default" r:id="rId8"/>
      <w:footerReference w:type="first" r:id="rId9"/>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D63" w:rsidRDefault="00C25D63">
      <w:r>
        <w:separator/>
      </w:r>
    </w:p>
  </w:endnote>
  <w:endnote w:type="continuationSeparator" w:id="0">
    <w:p w:rsidR="00C25D63" w:rsidRDefault="00C2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371544">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371544">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42697C">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D63" w:rsidRDefault="00C25D63">
      <w:r>
        <w:separator/>
      </w:r>
    </w:p>
  </w:footnote>
  <w:footnote w:type="continuationSeparator" w:id="0">
    <w:p w:rsidR="00C25D63" w:rsidRDefault="00C25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A050A49"/>
    <w:multiLevelType w:val="hybridMultilevel"/>
    <w:tmpl w:val="D70ED35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2"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4"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5"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8"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0"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2"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4"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8"/>
  </w:num>
  <w:num w:numId="2">
    <w:abstractNumId w:val="20"/>
  </w:num>
  <w:num w:numId="3">
    <w:abstractNumId w:val="13"/>
  </w:num>
  <w:num w:numId="4">
    <w:abstractNumId w:val="0"/>
  </w:num>
  <w:num w:numId="5">
    <w:abstractNumId w:val="27"/>
  </w:num>
  <w:num w:numId="6">
    <w:abstractNumId w:val="24"/>
  </w:num>
  <w:num w:numId="7">
    <w:abstractNumId w:val="8"/>
  </w:num>
  <w:num w:numId="8">
    <w:abstractNumId w:val="26"/>
  </w:num>
  <w:num w:numId="9">
    <w:abstractNumId w:val="4"/>
  </w:num>
  <w:num w:numId="10">
    <w:abstractNumId w:val="19"/>
  </w:num>
  <w:num w:numId="11">
    <w:abstractNumId w:val="3"/>
  </w:num>
  <w:num w:numId="12">
    <w:abstractNumId w:val="9"/>
  </w:num>
  <w:num w:numId="13">
    <w:abstractNumId w:val="28"/>
  </w:num>
  <w:num w:numId="14">
    <w:abstractNumId w:val="5"/>
  </w:num>
  <w:num w:numId="15">
    <w:abstractNumId w:val="6"/>
  </w:num>
  <w:num w:numId="16">
    <w:abstractNumId w:val="7"/>
  </w:num>
  <w:num w:numId="17">
    <w:abstractNumId w:val="17"/>
  </w:num>
  <w:num w:numId="18">
    <w:abstractNumId w:val="23"/>
  </w:num>
  <w:num w:numId="19">
    <w:abstractNumId w:val="11"/>
  </w:num>
  <w:num w:numId="20">
    <w:abstractNumId w:val="14"/>
  </w:num>
  <w:num w:numId="21">
    <w:abstractNumId w:val="2"/>
  </w:num>
  <w:num w:numId="22">
    <w:abstractNumId w:val="21"/>
  </w:num>
  <w:num w:numId="23">
    <w:abstractNumId w:val="16"/>
  </w:num>
  <w:num w:numId="24">
    <w:abstractNumId w:val="12"/>
  </w:num>
  <w:num w:numId="25">
    <w:abstractNumId w:val="25"/>
  </w:num>
  <w:num w:numId="26">
    <w:abstractNumId w:val="22"/>
  </w:num>
  <w:num w:numId="27">
    <w:abstractNumId w:val="10"/>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56C64"/>
    <w:rsid w:val="000668AD"/>
    <w:rsid w:val="00081D52"/>
    <w:rsid w:val="0008704F"/>
    <w:rsid w:val="000E629D"/>
    <w:rsid w:val="001004DE"/>
    <w:rsid w:val="00103567"/>
    <w:rsid w:val="0011273E"/>
    <w:rsid w:val="0012408C"/>
    <w:rsid w:val="0014150E"/>
    <w:rsid w:val="00177390"/>
    <w:rsid w:val="00183BEA"/>
    <w:rsid w:val="0019350D"/>
    <w:rsid w:val="001E06F3"/>
    <w:rsid w:val="001E07A6"/>
    <w:rsid w:val="001F2C4B"/>
    <w:rsid w:val="001F435F"/>
    <w:rsid w:val="001F6472"/>
    <w:rsid w:val="002146D9"/>
    <w:rsid w:val="00236EDE"/>
    <w:rsid w:val="002677D5"/>
    <w:rsid w:val="002B16E6"/>
    <w:rsid w:val="002E674E"/>
    <w:rsid w:val="00330308"/>
    <w:rsid w:val="003348C4"/>
    <w:rsid w:val="00371544"/>
    <w:rsid w:val="00375C8C"/>
    <w:rsid w:val="00383DD3"/>
    <w:rsid w:val="003B4E20"/>
    <w:rsid w:val="003C0AED"/>
    <w:rsid w:val="003C1D9A"/>
    <w:rsid w:val="003C319E"/>
    <w:rsid w:val="003D448C"/>
    <w:rsid w:val="003E487F"/>
    <w:rsid w:val="003E50F1"/>
    <w:rsid w:val="003F65BC"/>
    <w:rsid w:val="0040408A"/>
    <w:rsid w:val="00417AA4"/>
    <w:rsid w:val="00422CC4"/>
    <w:rsid w:val="0042697C"/>
    <w:rsid w:val="00446369"/>
    <w:rsid w:val="004A7704"/>
    <w:rsid w:val="004B30E7"/>
    <w:rsid w:val="004F03CE"/>
    <w:rsid w:val="004F7DA8"/>
    <w:rsid w:val="00500F1F"/>
    <w:rsid w:val="005048A8"/>
    <w:rsid w:val="005050C4"/>
    <w:rsid w:val="00521A5C"/>
    <w:rsid w:val="0055045F"/>
    <w:rsid w:val="005906BD"/>
    <w:rsid w:val="00591481"/>
    <w:rsid w:val="005A2255"/>
    <w:rsid w:val="005A49F0"/>
    <w:rsid w:val="005C1EDF"/>
    <w:rsid w:val="005D72D7"/>
    <w:rsid w:val="005F4EA3"/>
    <w:rsid w:val="006045D3"/>
    <w:rsid w:val="00633F9B"/>
    <w:rsid w:val="00654D1D"/>
    <w:rsid w:val="00663AE9"/>
    <w:rsid w:val="006A6CF9"/>
    <w:rsid w:val="006E54A7"/>
    <w:rsid w:val="00720FD7"/>
    <w:rsid w:val="00741CF2"/>
    <w:rsid w:val="00753FE9"/>
    <w:rsid w:val="00754422"/>
    <w:rsid w:val="007921CE"/>
    <w:rsid w:val="007A30D4"/>
    <w:rsid w:val="007B5EE6"/>
    <w:rsid w:val="007D5DBD"/>
    <w:rsid w:val="007E3A66"/>
    <w:rsid w:val="007F518A"/>
    <w:rsid w:val="008022DE"/>
    <w:rsid w:val="008074FC"/>
    <w:rsid w:val="00850594"/>
    <w:rsid w:val="008D1DFC"/>
    <w:rsid w:val="008E3932"/>
    <w:rsid w:val="008F6796"/>
    <w:rsid w:val="009052D2"/>
    <w:rsid w:val="009257B1"/>
    <w:rsid w:val="00941853"/>
    <w:rsid w:val="00957712"/>
    <w:rsid w:val="009E3578"/>
    <w:rsid w:val="00A137F3"/>
    <w:rsid w:val="00A25DA3"/>
    <w:rsid w:val="00A43B06"/>
    <w:rsid w:val="00A82D5A"/>
    <w:rsid w:val="00A96A19"/>
    <w:rsid w:val="00AA791F"/>
    <w:rsid w:val="00AB5D5A"/>
    <w:rsid w:val="00AF09F0"/>
    <w:rsid w:val="00B41482"/>
    <w:rsid w:val="00B71ED1"/>
    <w:rsid w:val="00B72352"/>
    <w:rsid w:val="00B76EAC"/>
    <w:rsid w:val="00BB73DC"/>
    <w:rsid w:val="00BD5789"/>
    <w:rsid w:val="00BE4A4C"/>
    <w:rsid w:val="00C040A5"/>
    <w:rsid w:val="00C15A22"/>
    <w:rsid w:val="00C25D63"/>
    <w:rsid w:val="00C73FA6"/>
    <w:rsid w:val="00C83E18"/>
    <w:rsid w:val="00CA15F9"/>
    <w:rsid w:val="00CB5062"/>
    <w:rsid w:val="00CD4D4E"/>
    <w:rsid w:val="00CE4078"/>
    <w:rsid w:val="00D376F6"/>
    <w:rsid w:val="00D40664"/>
    <w:rsid w:val="00D41724"/>
    <w:rsid w:val="00D75120"/>
    <w:rsid w:val="00D77A4E"/>
    <w:rsid w:val="00DA234F"/>
    <w:rsid w:val="00DB4781"/>
    <w:rsid w:val="00DD2E97"/>
    <w:rsid w:val="00DE5D38"/>
    <w:rsid w:val="00E404F2"/>
    <w:rsid w:val="00E43DB3"/>
    <w:rsid w:val="00E51829"/>
    <w:rsid w:val="00E64D12"/>
    <w:rsid w:val="00E84C7F"/>
    <w:rsid w:val="00E94E42"/>
    <w:rsid w:val="00EA2239"/>
    <w:rsid w:val="00EB59A3"/>
    <w:rsid w:val="00EC527F"/>
    <w:rsid w:val="00ED1CE1"/>
    <w:rsid w:val="00ED6C6D"/>
    <w:rsid w:val="00EE30BA"/>
    <w:rsid w:val="00F06D34"/>
    <w:rsid w:val="00F268AE"/>
    <w:rsid w:val="00F45461"/>
    <w:rsid w:val="00F514A7"/>
    <w:rsid w:val="00F516ED"/>
    <w:rsid w:val="00F731E6"/>
    <w:rsid w:val="00F808B0"/>
    <w:rsid w:val="00FA4AFD"/>
    <w:rsid w:val="00FB5ABF"/>
    <w:rsid w:val="00FC099B"/>
    <w:rsid w:val="00FC1828"/>
    <w:rsid w:val="00FD0578"/>
    <w:rsid w:val="00FD159D"/>
    <w:rsid w:val="00FD536A"/>
    <w:rsid w:val="00FD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533EADE-F56B-4F8B-869E-B57D670CCDB8}"/>
</file>

<file path=customXml/itemProps2.xml><?xml version="1.0" encoding="utf-8"?>
<ds:datastoreItem xmlns:ds="http://schemas.openxmlformats.org/officeDocument/2006/customXml" ds:itemID="{E1F93DC0-9EFD-4E82-BDF7-3E0E9FD6B6FB}"/>
</file>

<file path=customXml/itemProps3.xml><?xml version="1.0" encoding="utf-8"?>
<ds:datastoreItem xmlns:ds="http://schemas.openxmlformats.org/officeDocument/2006/customXml" ds:itemID="{B17B9FFA-2D41-48E7-95E6-362DA6F103DC}"/>
</file>

<file path=customXml/itemProps4.xml><?xml version="1.0" encoding="utf-8"?>
<ds:datastoreItem xmlns:ds="http://schemas.openxmlformats.org/officeDocument/2006/customXml" ds:itemID="{E801FE17-3596-4EAB-8BD4-BB513CF8D122}"/>
</file>

<file path=docProps/app.xml><?xml version="1.0" encoding="utf-8"?>
<Properties xmlns="http://schemas.openxmlformats.org/officeDocument/2006/extended-properties" xmlns:vt="http://schemas.openxmlformats.org/officeDocument/2006/docPropsVTypes">
  <Template>Normal</Template>
  <TotalTime>40</TotalTime>
  <Pages>1</Pages>
  <Words>369</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La Bolle, Larry</cp:lastModifiedBy>
  <cp:revision>6</cp:revision>
  <cp:lastPrinted>2016-04-29T15:47:00Z</cp:lastPrinted>
  <dcterms:created xsi:type="dcterms:W3CDTF">2016-04-20T21:29:00Z</dcterms:created>
  <dcterms:modified xsi:type="dcterms:W3CDTF">2016-05-02T21:09:00Z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