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C1D02" w:rsidRDefault="00FC1D02" w:rsidP="00F45919">
      <w:pPr>
        <w:pStyle w:val="NoSpacing"/>
        <w:ind w:right="-270"/>
        <w:jc w:val="both"/>
        <w:rPr>
          <w:rFonts w:ascii="Times New Roman" w:hAnsi="Times New Roman"/>
          <w:sz w:val="24"/>
          <w:szCs w:val="24"/>
        </w:rPr>
      </w:pPr>
    </w:p>
    <w:p w:rsidR="00F45919" w:rsidRDefault="00535574" w:rsidP="00F45919">
      <w:pPr>
        <w:pStyle w:val="NoSpacing"/>
        <w:ind w:right="-270"/>
        <w:jc w:val="both"/>
        <w:rPr>
          <w:rFonts w:ascii="Times New Roman" w:hAnsi="Times New Roman"/>
          <w:sz w:val="24"/>
          <w:szCs w:val="24"/>
        </w:rPr>
      </w:pPr>
      <w:r>
        <w:rPr>
          <w:rFonts w:ascii="Times New Roman" w:hAnsi="Times New Roman"/>
          <w:sz w:val="24"/>
          <w:szCs w:val="24"/>
        </w:rPr>
        <w:t xml:space="preserve">March </w:t>
      </w:r>
      <w:r w:rsidR="00151EF0">
        <w:rPr>
          <w:rFonts w:ascii="Times New Roman" w:hAnsi="Times New Roman"/>
          <w:sz w:val="24"/>
          <w:szCs w:val="24"/>
        </w:rPr>
        <w:t>29</w:t>
      </w:r>
      <w:bookmarkStart w:id="0" w:name="_GoBack"/>
      <w:bookmarkEnd w:id="0"/>
      <w:r>
        <w:rPr>
          <w:rFonts w:ascii="Times New Roman" w:hAnsi="Times New Roman"/>
          <w:sz w:val="24"/>
          <w:szCs w:val="24"/>
        </w:rPr>
        <w:t>, 2017</w:t>
      </w:r>
    </w:p>
    <w:p w:rsidR="00FC1D02" w:rsidRPr="00C4686F" w:rsidRDefault="00FC1D02"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 xml:space="preserve">UE-160799 </w:t>
      </w:r>
      <w:r w:rsidR="00D96E8B">
        <w:rPr>
          <w:rFonts w:ascii="Times New Roman" w:hAnsi="Times New Roman"/>
          <w:sz w:val="24"/>
          <w:szCs w:val="24"/>
        </w:rPr>
        <w:t xml:space="preserve">- </w:t>
      </w:r>
      <w:r w:rsidR="008A797C">
        <w:rPr>
          <w:rFonts w:ascii="Times New Roman" w:hAnsi="Times New Roman"/>
          <w:sz w:val="24"/>
          <w:szCs w:val="24"/>
        </w:rPr>
        <w:t>Comments of Avista Utilities</w:t>
      </w:r>
      <w:r w:rsidR="00535574">
        <w:rPr>
          <w:rFonts w:ascii="Times New Roman" w:hAnsi="Times New Roman"/>
          <w:sz w:val="24"/>
          <w:szCs w:val="24"/>
        </w:rPr>
        <w:t xml:space="preserve"> on Draft Policy and Interpretive Statement</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1D5E5E" w:rsidRDefault="001D5E5E" w:rsidP="003D2B0E">
      <w:pPr>
        <w:pStyle w:val="NoSpacing"/>
        <w:spacing w:line="360" w:lineRule="auto"/>
        <w:ind w:firstLine="720"/>
        <w:jc w:val="both"/>
        <w:rPr>
          <w:rFonts w:ascii="Times New Roman" w:hAnsi="Times New Roman"/>
          <w:sz w:val="24"/>
          <w:szCs w:val="24"/>
        </w:rPr>
      </w:pPr>
    </w:p>
    <w:p w:rsidR="003D2B0E" w:rsidRDefault="00F45919"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3D2B0E">
        <w:rPr>
          <w:rFonts w:ascii="Times New Roman" w:hAnsi="Times New Roman"/>
          <w:sz w:val="24"/>
          <w:szCs w:val="24"/>
        </w:rPr>
        <w:t xml:space="preserve">otice) issued in Docket </w:t>
      </w:r>
      <w:r w:rsidR="00AE5EB4">
        <w:rPr>
          <w:rFonts w:ascii="Times New Roman" w:hAnsi="Times New Roman"/>
          <w:sz w:val="24"/>
          <w:szCs w:val="24"/>
        </w:rPr>
        <w:t>UE-160799</w:t>
      </w:r>
      <w:r w:rsidR="001E4F3D">
        <w:rPr>
          <w:rFonts w:ascii="Times New Roman" w:hAnsi="Times New Roman"/>
          <w:sz w:val="24"/>
          <w:szCs w:val="24"/>
        </w:rPr>
        <w:t xml:space="preserve"> on </w:t>
      </w:r>
      <w:r w:rsidR="007761CC">
        <w:rPr>
          <w:rFonts w:ascii="Times New Roman" w:hAnsi="Times New Roman"/>
          <w:sz w:val="24"/>
          <w:szCs w:val="24"/>
        </w:rPr>
        <w:t>January 13, 2017</w:t>
      </w:r>
      <w:r w:rsidR="00D42609">
        <w:rPr>
          <w:rFonts w:ascii="Times New Roman" w:hAnsi="Times New Roman"/>
          <w:sz w:val="24"/>
          <w:szCs w:val="24"/>
        </w:rPr>
        <w:t>.</w:t>
      </w:r>
    </w:p>
    <w:p w:rsidR="00D42609" w:rsidRPr="003D2B0E" w:rsidRDefault="00D42609" w:rsidP="00407476">
      <w:pPr>
        <w:pStyle w:val="NoSpacing"/>
        <w:ind w:firstLine="720"/>
        <w:jc w:val="both"/>
        <w:rPr>
          <w:rFonts w:ascii="Times New Roman" w:hAnsi="Times New Roman"/>
          <w:sz w:val="24"/>
          <w:szCs w:val="24"/>
        </w:rPr>
      </w:pPr>
    </w:p>
    <w:p w:rsidR="00D42609" w:rsidRDefault="00AE5EB4" w:rsidP="001E4F3D">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3D2B0E" w:rsidRPr="003D2B0E">
        <w:rPr>
          <w:rFonts w:ascii="Times New Roman" w:hAnsi="Times New Roman"/>
          <w:sz w:val="24"/>
          <w:szCs w:val="24"/>
        </w:rPr>
        <w:t xml:space="preserve">he </w:t>
      </w:r>
      <w:r w:rsidR="00F3153E">
        <w:rPr>
          <w:rFonts w:ascii="Times New Roman" w:hAnsi="Times New Roman"/>
          <w:sz w:val="24"/>
          <w:szCs w:val="24"/>
        </w:rPr>
        <w:t>Commission</w:t>
      </w:r>
      <w:r w:rsidR="003D2B0E" w:rsidRPr="003D2B0E">
        <w:rPr>
          <w:rFonts w:ascii="Times New Roman" w:hAnsi="Times New Roman"/>
          <w:sz w:val="24"/>
          <w:szCs w:val="24"/>
        </w:rPr>
        <w:t xml:space="preserve"> </w:t>
      </w:r>
      <w:r w:rsidR="00D42609">
        <w:rPr>
          <w:rFonts w:ascii="Times New Roman" w:hAnsi="Times New Roman"/>
          <w:sz w:val="24"/>
          <w:szCs w:val="24"/>
        </w:rPr>
        <w:t xml:space="preserve">established Docket </w:t>
      </w:r>
      <w:r>
        <w:rPr>
          <w:rFonts w:ascii="Times New Roman" w:hAnsi="Times New Roman"/>
          <w:sz w:val="24"/>
          <w:szCs w:val="24"/>
        </w:rPr>
        <w:t>UE-160799</w:t>
      </w:r>
      <w:r w:rsidR="00D42609">
        <w:rPr>
          <w:rFonts w:ascii="Times New Roman" w:hAnsi="Times New Roman"/>
          <w:sz w:val="24"/>
          <w:szCs w:val="24"/>
        </w:rPr>
        <w:t xml:space="preserve"> </w:t>
      </w:r>
      <w:r>
        <w:rPr>
          <w:rFonts w:ascii="Times New Roman" w:hAnsi="Times New Roman"/>
          <w:sz w:val="24"/>
          <w:szCs w:val="24"/>
        </w:rPr>
        <w:t>“to assist the Commission in determining whether to open a rulemaking or issue a policy statement” rel</w:t>
      </w:r>
      <w:r w:rsidR="005A2764">
        <w:rPr>
          <w:rFonts w:ascii="Times New Roman" w:hAnsi="Times New Roman"/>
          <w:sz w:val="24"/>
          <w:szCs w:val="24"/>
        </w:rPr>
        <w:t>ating to utility investment in E</w:t>
      </w:r>
      <w:r>
        <w:rPr>
          <w:rFonts w:ascii="Times New Roman" w:hAnsi="Times New Roman"/>
          <w:sz w:val="24"/>
          <w:szCs w:val="24"/>
        </w:rPr>
        <w:t xml:space="preserve">lectric </w:t>
      </w:r>
      <w:r w:rsidR="005A2764">
        <w:rPr>
          <w:rFonts w:ascii="Times New Roman" w:hAnsi="Times New Roman"/>
          <w:sz w:val="24"/>
          <w:szCs w:val="24"/>
        </w:rPr>
        <w:t>V</w:t>
      </w:r>
      <w:r>
        <w:rPr>
          <w:rFonts w:ascii="Times New Roman" w:hAnsi="Times New Roman"/>
          <w:sz w:val="24"/>
          <w:szCs w:val="24"/>
        </w:rPr>
        <w:t xml:space="preserve">ehicle </w:t>
      </w:r>
      <w:r w:rsidR="005A2764">
        <w:rPr>
          <w:rFonts w:ascii="Times New Roman" w:hAnsi="Times New Roman"/>
          <w:sz w:val="24"/>
          <w:szCs w:val="24"/>
        </w:rPr>
        <w:t>S</w:t>
      </w:r>
      <w:r>
        <w:rPr>
          <w:rFonts w:ascii="Times New Roman" w:hAnsi="Times New Roman"/>
          <w:sz w:val="24"/>
          <w:szCs w:val="24"/>
        </w:rPr>
        <w:t xml:space="preserve">upply </w:t>
      </w:r>
      <w:r w:rsidR="005A2764">
        <w:rPr>
          <w:rFonts w:ascii="Times New Roman" w:hAnsi="Times New Roman"/>
          <w:sz w:val="24"/>
          <w:szCs w:val="24"/>
        </w:rPr>
        <w:t>E</w:t>
      </w:r>
      <w:r>
        <w:rPr>
          <w:rFonts w:ascii="Times New Roman" w:hAnsi="Times New Roman"/>
          <w:sz w:val="24"/>
          <w:szCs w:val="24"/>
        </w:rPr>
        <w:t>quipment (EVSE) pursuant to RCW 80.28.360</w:t>
      </w:r>
      <w:r w:rsidR="00D42609" w:rsidRPr="00D42609">
        <w:rPr>
          <w:rFonts w:ascii="Times New Roman" w:hAnsi="Times New Roman"/>
          <w:sz w:val="24"/>
          <w:szCs w:val="24"/>
        </w:rPr>
        <w:t>.</w:t>
      </w:r>
      <w:r w:rsidR="00D42609">
        <w:rPr>
          <w:rFonts w:ascii="Times New Roman" w:hAnsi="Times New Roman"/>
          <w:sz w:val="24"/>
          <w:szCs w:val="24"/>
        </w:rPr>
        <w:t xml:space="preserve"> </w:t>
      </w:r>
      <w:r w:rsidR="001E4F3D">
        <w:rPr>
          <w:rFonts w:ascii="Times New Roman" w:hAnsi="Times New Roman"/>
          <w:sz w:val="24"/>
          <w:szCs w:val="24"/>
        </w:rPr>
        <w:t xml:space="preserve"> Avista provided comments </w:t>
      </w:r>
      <w:r w:rsidR="008564D6">
        <w:rPr>
          <w:rFonts w:ascii="Times New Roman" w:hAnsi="Times New Roman"/>
          <w:sz w:val="24"/>
          <w:szCs w:val="24"/>
        </w:rPr>
        <w:t xml:space="preserve">in </w:t>
      </w:r>
      <w:r w:rsidR="001E4F3D">
        <w:rPr>
          <w:rFonts w:ascii="Times New Roman" w:hAnsi="Times New Roman"/>
          <w:sz w:val="24"/>
          <w:szCs w:val="24"/>
        </w:rPr>
        <w:t>this docket on August 16, 2016</w:t>
      </w:r>
      <w:r w:rsidR="007761CC">
        <w:rPr>
          <w:rFonts w:ascii="Times New Roman" w:hAnsi="Times New Roman"/>
          <w:sz w:val="24"/>
          <w:szCs w:val="24"/>
        </w:rPr>
        <w:t>,</w:t>
      </w:r>
      <w:r w:rsidR="001E4F3D">
        <w:rPr>
          <w:rFonts w:ascii="Times New Roman" w:hAnsi="Times New Roman"/>
          <w:sz w:val="24"/>
          <w:szCs w:val="24"/>
        </w:rPr>
        <w:t xml:space="preserve"> attended the Commission’s workshop held on September 13, 2016</w:t>
      </w:r>
      <w:r w:rsidR="007761CC">
        <w:rPr>
          <w:rFonts w:ascii="Times New Roman" w:hAnsi="Times New Roman"/>
          <w:sz w:val="24"/>
          <w:szCs w:val="24"/>
        </w:rPr>
        <w:t>, and submitted a second round of comments on November 22, 2016.</w:t>
      </w:r>
      <w:r w:rsidR="001E4F3D">
        <w:rPr>
          <w:rFonts w:ascii="Times New Roman" w:hAnsi="Times New Roman"/>
          <w:sz w:val="24"/>
          <w:szCs w:val="24"/>
        </w:rPr>
        <w:t xml:space="preserve">  </w:t>
      </w:r>
      <w:r w:rsidR="007761CC">
        <w:rPr>
          <w:rFonts w:ascii="Times New Roman" w:hAnsi="Times New Roman"/>
          <w:sz w:val="24"/>
          <w:szCs w:val="24"/>
        </w:rPr>
        <w:t xml:space="preserve">Along with the </w:t>
      </w:r>
      <w:r w:rsidR="001E4F3D">
        <w:rPr>
          <w:rFonts w:ascii="Times New Roman" w:hAnsi="Times New Roman"/>
          <w:sz w:val="24"/>
          <w:szCs w:val="24"/>
        </w:rPr>
        <w:t xml:space="preserve">Notice issued </w:t>
      </w:r>
      <w:r w:rsidR="007761CC">
        <w:rPr>
          <w:rFonts w:ascii="Times New Roman" w:hAnsi="Times New Roman"/>
          <w:sz w:val="24"/>
          <w:szCs w:val="24"/>
        </w:rPr>
        <w:t>January 13</w:t>
      </w:r>
      <w:r w:rsidR="007761CC" w:rsidRPr="007761CC">
        <w:rPr>
          <w:rFonts w:ascii="Times New Roman" w:hAnsi="Times New Roman"/>
          <w:sz w:val="24"/>
          <w:szCs w:val="24"/>
          <w:vertAlign w:val="superscript"/>
        </w:rPr>
        <w:t>th</w:t>
      </w:r>
      <w:r w:rsidR="007761CC">
        <w:rPr>
          <w:rFonts w:ascii="Times New Roman" w:hAnsi="Times New Roman"/>
          <w:sz w:val="24"/>
          <w:szCs w:val="24"/>
        </w:rPr>
        <w:t xml:space="preserve"> </w:t>
      </w:r>
      <w:r w:rsidR="001E4F3D">
        <w:rPr>
          <w:rFonts w:ascii="Times New Roman" w:hAnsi="Times New Roman"/>
          <w:sz w:val="24"/>
          <w:szCs w:val="24"/>
        </w:rPr>
        <w:t>the Commission</w:t>
      </w:r>
      <w:r w:rsidR="007761CC">
        <w:rPr>
          <w:rFonts w:ascii="Times New Roman" w:hAnsi="Times New Roman"/>
          <w:sz w:val="24"/>
          <w:szCs w:val="24"/>
        </w:rPr>
        <w:t xml:space="preserve"> issued a “Draft Policy Statement and Interpretive Statement…describing its proposed policies for implementing RCW 80.28.360 and its regulation </w:t>
      </w:r>
      <w:r w:rsidR="007761CC">
        <w:rPr>
          <w:rFonts w:ascii="Times New Roman" w:hAnsi="Times New Roman"/>
          <w:sz w:val="24"/>
          <w:szCs w:val="24"/>
        </w:rPr>
        <w:lastRenderedPageBreak/>
        <w:t xml:space="preserve">of electric vehicle (EV) charging services offered by electrical companies as a regulated service.”  </w:t>
      </w:r>
      <w:r w:rsidR="001E4F3D">
        <w:rPr>
          <w:rFonts w:ascii="Times New Roman" w:hAnsi="Times New Roman"/>
          <w:sz w:val="24"/>
          <w:szCs w:val="24"/>
        </w:rPr>
        <w:t xml:space="preserve"> </w:t>
      </w:r>
      <w:r w:rsidR="007761CC">
        <w:rPr>
          <w:rFonts w:ascii="Times New Roman" w:hAnsi="Times New Roman"/>
          <w:sz w:val="24"/>
          <w:szCs w:val="24"/>
        </w:rPr>
        <w:t>The Commission is now seeking comments in response to the draft policy statement in addition to specific questions laid out in the Notice.</w:t>
      </w:r>
    </w:p>
    <w:p w:rsidR="001E4F3D" w:rsidRDefault="001E4F3D" w:rsidP="001E4F3D">
      <w:pPr>
        <w:pStyle w:val="NoSpacing"/>
        <w:spacing w:line="360" w:lineRule="auto"/>
        <w:ind w:firstLine="720"/>
        <w:jc w:val="both"/>
        <w:rPr>
          <w:rFonts w:ascii="Times New Roman" w:hAnsi="Times New Roman"/>
          <w:sz w:val="24"/>
          <w:szCs w:val="24"/>
        </w:rPr>
      </w:pPr>
    </w:p>
    <w:p w:rsidR="005544F5" w:rsidRDefault="004D1DBE"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appreciates</w:t>
      </w:r>
      <w:r w:rsidR="007761CC">
        <w:rPr>
          <w:rFonts w:ascii="Times New Roman" w:hAnsi="Times New Roman"/>
          <w:sz w:val="24"/>
          <w:szCs w:val="24"/>
        </w:rPr>
        <w:t xml:space="preserve"> the opportunity to provide </w:t>
      </w:r>
      <w:r>
        <w:rPr>
          <w:rFonts w:ascii="Times New Roman" w:hAnsi="Times New Roman"/>
          <w:sz w:val="24"/>
          <w:szCs w:val="24"/>
        </w:rPr>
        <w:t xml:space="preserve">comments </w:t>
      </w:r>
      <w:r w:rsidR="003D2B0E">
        <w:rPr>
          <w:rFonts w:ascii="Times New Roman" w:hAnsi="Times New Roman"/>
          <w:sz w:val="24"/>
          <w:szCs w:val="24"/>
        </w:rPr>
        <w:t xml:space="preserve">in response to the </w:t>
      </w:r>
      <w:r w:rsidR="007761CC">
        <w:rPr>
          <w:rFonts w:ascii="Times New Roman" w:hAnsi="Times New Roman"/>
          <w:sz w:val="24"/>
          <w:szCs w:val="24"/>
        </w:rPr>
        <w:t xml:space="preserve">draft policy statement.  First, the Company would like to thank Commission Staff for their time and diligence in preparing the draft policy statement.  Overall, Avista </w:t>
      </w:r>
      <w:r w:rsidR="00296412">
        <w:rPr>
          <w:rFonts w:ascii="Times New Roman" w:hAnsi="Times New Roman"/>
          <w:sz w:val="24"/>
          <w:szCs w:val="24"/>
        </w:rPr>
        <w:t xml:space="preserve">appreciates the </w:t>
      </w:r>
      <w:r w:rsidR="0056069A">
        <w:rPr>
          <w:rFonts w:ascii="Times New Roman" w:hAnsi="Times New Roman"/>
          <w:sz w:val="24"/>
          <w:szCs w:val="24"/>
        </w:rPr>
        <w:t xml:space="preserve">intent and </w:t>
      </w:r>
      <w:r w:rsidR="00296412">
        <w:rPr>
          <w:rFonts w:ascii="Times New Roman" w:hAnsi="Times New Roman"/>
          <w:sz w:val="24"/>
          <w:szCs w:val="24"/>
        </w:rPr>
        <w:t xml:space="preserve">content of </w:t>
      </w:r>
      <w:r w:rsidR="007761CC">
        <w:rPr>
          <w:rFonts w:ascii="Times New Roman" w:hAnsi="Times New Roman"/>
          <w:sz w:val="24"/>
          <w:szCs w:val="24"/>
        </w:rPr>
        <w:t xml:space="preserve">the draft </w:t>
      </w:r>
      <w:r w:rsidR="00A85460">
        <w:rPr>
          <w:rFonts w:ascii="Times New Roman" w:hAnsi="Times New Roman"/>
          <w:sz w:val="24"/>
          <w:szCs w:val="24"/>
        </w:rPr>
        <w:t xml:space="preserve">policy statement </w:t>
      </w:r>
      <w:r w:rsidR="007761CC">
        <w:rPr>
          <w:rFonts w:ascii="Times New Roman" w:hAnsi="Times New Roman"/>
          <w:sz w:val="24"/>
          <w:szCs w:val="24"/>
        </w:rPr>
        <w:t xml:space="preserve">and the level of support and clarity a final statement will provide to all affected stakeholders regarding the issues </w:t>
      </w:r>
      <w:r w:rsidR="00A85460">
        <w:rPr>
          <w:rFonts w:ascii="Times New Roman" w:hAnsi="Times New Roman"/>
          <w:sz w:val="24"/>
          <w:szCs w:val="24"/>
        </w:rPr>
        <w:t xml:space="preserve">raised </w:t>
      </w:r>
      <w:r w:rsidR="007761CC">
        <w:rPr>
          <w:rFonts w:ascii="Times New Roman" w:hAnsi="Times New Roman"/>
          <w:sz w:val="24"/>
          <w:szCs w:val="24"/>
        </w:rPr>
        <w:t>within this docket.</w:t>
      </w:r>
      <w:r w:rsidR="00A85460">
        <w:rPr>
          <w:rFonts w:ascii="Times New Roman" w:hAnsi="Times New Roman"/>
          <w:sz w:val="24"/>
          <w:szCs w:val="24"/>
        </w:rPr>
        <w:t xml:space="preserve">  </w:t>
      </w:r>
      <w:r w:rsidR="005544F5">
        <w:rPr>
          <w:rFonts w:ascii="Times New Roman" w:hAnsi="Times New Roman"/>
          <w:sz w:val="24"/>
          <w:szCs w:val="24"/>
        </w:rPr>
        <w:t xml:space="preserve"> </w:t>
      </w:r>
    </w:p>
    <w:p w:rsidR="005544F5" w:rsidRDefault="005544F5" w:rsidP="00405852">
      <w:pPr>
        <w:pStyle w:val="NoSpacing"/>
        <w:spacing w:line="360" w:lineRule="auto"/>
        <w:ind w:firstLine="720"/>
        <w:jc w:val="both"/>
        <w:rPr>
          <w:rFonts w:ascii="Times New Roman" w:hAnsi="Times New Roman"/>
          <w:sz w:val="24"/>
          <w:szCs w:val="24"/>
        </w:rPr>
      </w:pPr>
    </w:p>
    <w:p w:rsidR="005544F5" w:rsidRDefault="005544F5"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Before </w:t>
      </w:r>
      <w:r w:rsidR="0056069A">
        <w:rPr>
          <w:rFonts w:ascii="Times New Roman" w:hAnsi="Times New Roman"/>
          <w:sz w:val="24"/>
          <w:szCs w:val="24"/>
        </w:rPr>
        <w:t>commenting</w:t>
      </w:r>
      <w:r>
        <w:rPr>
          <w:rFonts w:ascii="Times New Roman" w:hAnsi="Times New Roman"/>
          <w:sz w:val="24"/>
          <w:szCs w:val="24"/>
        </w:rPr>
        <w:t xml:space="preserve"> on the draft policy statement, the Company would like to note one correction to paragraph six of the Background section.  Paragraph six discusses Avista’s EVSE Pilot Program, but included an incorrect date for which the program went into effect.  The Company’s EVSE Pilot Program tariff was approved with an effective date of May 2, 2016 and the two-year installation period for the program began with the first installation on July 20, 2016.  The two-year installation period will conclude on July 20, 2018 with several years of data collection and reporting to follow.</w:t>
      </w:r>
    </w:p>
    <w:p w:rsidR="005544F5" w:rsidRDefault="005544F5" w:rsidP="00405852">
      <w:pPr>
        <w:pStyle w:val="NoSpacing"/>
        <w:spacing w:line="360" w:lineRule="auto"/>
        <w:ind w:firstLine="720"/>
        <w:jc w:val="both"/>
        <w:rPr>
          <w:rFonts w:ascii="Times New Roman" w:hAnsi="Times New Roman"/>
          <w:sz w:val="24"/>
          <w:szCs w:val="24"/>
        </w:rPr>
      </w:pPr>
    </w:p>
    <w:p w:rsidR="007761CC" w:rsidRDefault="00A85460"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provides the following comments on individual sections in the draft policy statement.</w:t>
      </w:r>
      <w:r w:rsidR="007761CC">
        <w:rPr>
          <w:rFonts w:ascii="Times New Roman" w:hAnsi="Times New Roman"/>
          <w:sz w:val="24"/>
          <w:szCs w:val="24"/>
        </w:rPr>
        <w:t xml:space="preserve">  </w:t>
      </w:r>
    </w:p>
    <w:p w:rsidR="00407F9D" w:rsidRPr="00407F9D" w:rsidRDefault="00407F9D" w:rsidP="00645A75">
      <w:pPr>
        <w:pStyle w:val="NoSpacing"/>
        <w:spacing w:line="360" w:lineRule="auto"/>
        <w:jc w:val="center"/>
        <w:rPr>
          <w:rFonts w:ascii="Times New Roman" w:hAnsi="Times New Roman"/>
          <w:b/>
          <w:sz w:val="28"/>
          <w:szCs w:val="24"/>
        </w:rPr>
      </w:pPr>
      <w:r>
        <w:rPr>
          <w:rFonts w:ascii="Times New Roman" w:hAnsi="Times New Roman"/>
          <w:b/>
          <w:sz w:val="28"/>
          <w:szCs w:val="24"/>
        </w:rPr>
        <w:t>Part I</w:t>
      </w:r>
      <w:r w:rsidRPr="00407F9D">
        <w:rPr>
          <w:rFonts w:ascii="Times New Roman" w:hAnsi="Times New Roman"/>
          <w:b/>
          <w:sz w:val="28"/>
          <w:szCs w:val="24"/>
        </w:rPr>
        <w:t xml:space="preserve"> – Electric Vehicle Charging as a Regulated Service</w:t>
      </w:r>
    </w:p>
    <w:p w:rsidR="0036714C" w:rsidRDefault="0036714C" w:rsidP="00A85460">
      <w:pPr>
        <w:pStyle w:val="NoSpacing"/>
        <w:spacing w:line="360" w:lineRule="auto"/>
        <w:jc w:val="both"/>
        <w:rPr>
          <w:rFonts w:ascii="Times New Roman" w:hAnsi="Times New Roman"/>
          <w:sz w:val="24"/>
          <w:szCs w:val="24"/>
        </w:rPr>
      </w:pPr>
    </w:p>
    <w:p w:rsidR="00FC57BA" w:rsidRDefault="0036714C">
      <w:pPr>
        <w:pStyle w:val="NoSpacing"/>
        <w:spacing w:line="360" w:lineRule="auto"/>
        <w:ind w:firstLine="720"/>
        <w:jc w:val="both"/>
        <w:rPr>
          <w:rFonts w:ascii="Times New Roman" w:hAnsi="Times New Roman"/>
          <w:sz w:val="24"/>
          <w:szCs w:val="24"/>
        </w:rPr>
      </w:pPr>
      <w:r>
        <w:rPr>
          <w:rFonts w:ascii="Times New Roman" w:hAnsi="Times New Roman"/>
          <w:sz w:val="24"/>
          <w:szCs w:val="24"/>
        </w:rPr>
        <w:t>As noted in paragraph 59 of the draft policy statement, “In the case of EV charging services, the public purpose is apparent.</w:t>
      </w:r>
      <w:r w:rsidR="00E31A47">
        <w:rPr>
          <w:rFonts w:ascii="Times New Roman" w:hAnsi="Times New Roman"/>
          <w:sz w:val="24"/>
          <w:szCs w:val="24"/>
        </w:rPr>
        <w:t xml:space="preserve">  In enacting RCW 80.28.360, the Legislature made a clear finding supporting participating in electrification of the transportation system…</w:t>
      </w:r>
      <w:r>
        <w:rPr>
          <w:rFonts w:ascii="Times New Roman" w:hAnsi="Times New Roman"/>
          <w:sz w:val="24"/>
          <w:szCs w:val="24"/>
        </w:rPr>
        <w:t>”</w:t>
      </w:r>
      <w:r>
        <w:rPr>
          <w:rStyle w:val="FootnoteReference"/>
          <w:rFonts w:ascii="Times New Roman" w:hAnsi="Times New Roman"/>
          <w:sz w:val="24"/>
          <w:szCs w:val="24"/>
        </w:rPr>
        <w:footnoteReference w:id="1"/>
      </w:r>
      <w:r w:rsidR="00E31A47">
        <w:rPr>
          <w:rFonts w:ascii="Times New Roman" w:hAnsi="Times New Roman"/>
          <w:sz w:val="24"/>
          <w:szCs w:val="24"/>
        </w:rPr>
        <w:t xml:space="preserve"> Further, the Commission notes that the findings of the Legislature “establish a public purpose for investor-owned utilities to pursue electrification of the transportation system.”</w:t>
      </w:r>
      <w:r w:rsidR="00E31A47">
        <w:rPr>
          <w:rStyle w:val="FootnoteReference"/>
          <w:rFonts w:ascii="Times New Roman" w:hAnsi="Times New Roman"/>
          <w:sz w:val="24"/>
          <w:szCs w:val="24"/>
        </w:rPr>
        <w:footnoteReference w:id="2"/>
      </w:r>
      <w:r w:rsidR="00E31A47">
        <w:rPr>
          <w:rFonts w:ascii="Times New Roman" w:hAnsi="Times New Roman"/>
          <w:sz w:val="24"/>
          <w:szCs w:val="24"/>
        </w:rPr>
        <w:t xml:space="preserve">  The Commission concludes “by adopting a policy supporting transformation of the EV market through utility provision of a </w:t>
      </w:r>
      <w:r w:rsidR="00E31A47">
        <w:rPr>
          <w:rFonts w:ascii="Times New Roman" w:hAnsi="Times New Roman"/>
          <w:sz w:val="24"/>
          <w:szCs w:val="24"/>
        </w:rPr>
        <w:lastRenderedPageBreak/>
        <w:t>portfolio of regulated EV charging services…”</w:t>
      </w:r>
      <w:r w:rsidR="00E31A47">
        <w:rPr>
          <w:rStyle w:val="FootnoteReference"/>
          <w:rFonts w:ascii="Times New Roman" w:hAnsi="Times New Roman"/>
          <w:sz w:val="24"/>
          <w:szCs w:val="24"/>
        </w:rPr>
        <w:footnoteReference w:id="3"/>
      </w:r>
      <w:r w:rsidR="008B73F4">
        <w:rPr>
          <w:rFonts w:ascii="Times New Roman" w:hAnsi="Times New Roman"/>
          <w:sz w:val="24"/>
          <w:szCs w:val="24"/>
        </w:rPr>
        <w:t xml:space="preserve"> </w:t>
      </w:r>
      <w:r w:rsidR="00C34700">
        <w:rPr>
          <w:rFonts w:ascii="Times New Roman" w:hAnsi="Times New Roman"/>
          <w:sz w:val="24"/>
          <w:szCs w:val="24"/>
        </w:rPr>
        <w:t xml:space="preserve"> </w:t>
      </w:r>
      <w:r w:rsidR="00C978AA">
        <w:rPr>
          <w:rFonts w:ascii="Times New Roman" w:hAnsi="Times New Roman"/>
          <w:sz w:val="24"/>
          <w:szCs w:val="24"/>
        </w:rPr>
        <w:t xml:space="preserve">The Company </w:t>
      </w:r>
      <w:r w:rsidR="00F849C8">
        <w:rPr>
          <w:rFonts w:ascii="Times New Roman" w:hAnsi="Times New Roman"/>
          <w:sz w:val="24"/>
          <w:szCs w:val="24"/>
        </w:rPr>
        <w:t xml:space="preserve">agrees that the </w:t>
      </w:r>
      <w:r w:rsidR="00C978AA">
        <w:rPr>
          <w:rFonts w:ascii="Times New Roman" w:hAnsi="Times New Roman"/>
          <w:sz w:val="24"/>
          <w:szCs w:val="24"/>
        </w:rPr>
        <w:t xml:space="preserve">Commission has drawn </w:t>
      </w:r>
      <w:r w:rsidR="00F849C8">
        <w:rPr>
          <w:rFonts w:ascii="Times New Roman" w:hAnsi="Times New Roman"/>
          <w:sz w:val="24"/>
          <w:szCs w:val="24"/>
        </w:rPr>
        <w:t xml:space="preserve">the correct </w:t>
      </w:r>
      <w:r w:rsidR="00C978AA">
        <w:rPr>
          <w:rFonts w:ascii="Times New Roman" w:hAnsi="Times New Roman"/>
          <w:sz w:val="24"/>
          <w:szCs w:val="24"/>
        </w:rPr>
        <w:t xml:space="preserve">conclusion within the draft policy statement and fully agrees that the Legislature’s findings regarding the utility’s role in the electrification of the transportation system </w:t>
      </w:r>
      <w:r w:rsidR="00E76439">
        <w:rPr>
          <w:rFonts w:ascii="Times New Roman" w:hAnsi="Times New Roman"/>
          <w:sz w:val="24"/>
          <w:szCs w:val="24"/>
        </w:rPr>
        <w:t xml:space="preserve">are </w:t>
      </w:r>
      <w:r w:rsidR="00F849C8">
        <w:rPr>
          <w:rFonts w:ascii="Times New Roman" w:hAnsi="Times New Roman"/>
          <w:sz w:val="24"/>
          <w:szCs w:val="24"/>
        </w:rPr>
        <w:t xml:space="preserve">a </w:t>
      </w:r>
      <w:r w:rsidR="000F7CF2">
        <w:rPr>
          <w:rFonts w:ascii="Times New Roman" w:hAnsi="Times New Roman"/>
          <w:sz w:val="24"/>
          <w:szCs w:val="24"/>
        </w:rPr>
        <w:t>principle</w:t>
      </w:r>
      <w:r w:rsidR="00C978AA">
        <w:rPr>
          <w:rFonts w:ascii="Times New Roman" w:hAnsi="Times New Roman"/>
          <w:sz w:val="24"/>
          <w:szCs w:val="24"/>
        </w:rPr>
        <w:t xml:space="preserve"> building block on which </w:t>
      </w:r>
      <w:r w:rsidR="00D66F3F">
        <w:rPr>
          <w:rFonts w:ascii="Times New Roman" w:hAnsi="Times New Roman"/>
          <w:sz w:val="24"/>
          <w:szCs w:val="24"/>
        </w:rPr>
        <w:t>the</w:t>
      </w:r>
      <w:r w:rsidR="00C978AA">
        <w:rPr>
          <w:rFonts w:ascii="Times New Roman" w:hAnsi="Times New Roman"/>
          <w:sz w:val="24"/>
          <w:szCs w:val="24"/>
        </w:rPr>
        <w:t xml:space="preserve"> policy </w:t>
      </w:r>
      <w:r w:rsidR="00D66F3F">
        <w:rPr>
          <w:rFonts w:ascii="Times New Roman" w:hAnsi="Times New Roman"/>
          <w:sz w:val="24"/>
          <w:szCs w:val="24"/>
        </w:rPr>
        <w:t xml:space="preserve">statement should be </w:t>
      </w:r>
      <w:r w:rsidR="00C978AA">
        <w:rPr>
          <w:rFonts w:ascii="Times New Roman" w:hAnsi="Times New Roman"/>
          <w:sz w:val="24"/>
          <w:szCs w:val="24"/>
        </w:rPr>
        <w:t>adopted.</w:t>
      </w:r>
      <w:r w:rsidR="00FC57BA">
        <w:rPr>
          <w:rFonts w:ascii="Times New Roman" w:hAnsi="Times New Roman"/>
          <w:sz w:val="24"/>
          <w:szCs w:val="24"/>
        </w:rPr>
        <w:t xml:space="preserve"> </w:t>
      </w:r>
      <w:r w:rsidR="00304ACA">
        <w:rPr>
          <w:rFonts w:ascii="Times New Roman" w:hAnsi="Times New Roman"/>
          <w:sz w:val="24"/>
          <w:szCs w:val="24"/>
        </w:rPr>
        <w:t xml:space="preserve"> In addition to the benefits of reduced greenhouse gas emissions and improved air quality cited in House Bill 1853, significant economi</w:t>
      </w:r>
      <w:r w:rsidR="00E76439">
        <w:rPr>
          <w:rFonts w:ascii="Times New Roman" w:hAnsi="Times New Roman"/>
          <w:sz w:val="24"/>
          <w:szCs w:val="24"/>
        </w:rPr>
        <w:t xml:space="preserve">c and </w:t>
      </w:r>
      <w:r w:rsidR="00B679A1">
        <w:rPr>
          <w:rFonts w:ascii="Times New Roman" w:hAnsi="Times New Roman"/>
          <w:sz w:val="24"/>
          <w:szCs w:val="24"/>
        </w:rPr>
        <w:t>other</w:t>
      </w:r>
      <w:r w:rsidR="00E76439">
        <w:rPr>
          <w:rFonts w:ascii="Times New Roman" w:hAnsi="Times New Roman"/>
          <w:sz w:val="24"/>
          <w:szCs w:val="24"/>
        </w:rPr>
        <w:t xml:space="preserve"> benefits may also be realized</w:t>
      </w:r>
      <w:r w:rsidR="00D75404">
        <w:rPr>
          <w:rFonts w:ascii="Times New Roman" w:hAnsi="Times New Roman"/>
          <w:sz w:val="24"/>
          <w:szCs w:val="24"/>
        </w:rPr>
        <w:t xml:space="preserve"> from electrified transportation</w:t>
      </w:r>
      <w:r w:rsidR="00E76439">
        <w:rPr>
          <w:rFonts w:ascii="Times New Roman" w:hAnsi="Times New Roman"/>
          <w:sz w:val="24"/>
          <w:szCs w:val="24"/>
        </w:rPr>
        <w:t xml:space="preserve">, in the form of fuel and maintenance cost savings, greater energy security, and improved grid asset utilization.  </w:t>
      </w:r>
      <w:r w:rsidR="00FC57BA">
        <w:rPr>
          <w:rFonts w:ascii="Times New Roman" w:hAnsi="Times New Roman"/>
          <w:sz w:val="24"/>
          <w:szCs w:val="24"/>
        </w:rPr>
        <w:t>As discussed in the draft policy statement</w:t>
      </w:r>
      <w:r w:rsidR="000F7CF2">
        <w:rPr>
          <w:rFonts w:ascii="Times New Roman" w:hAnsi="Times New Roman"/>
          <w:sz w:val="24"/>
          <w:szCs w:val="24"/>
        </w:rPr>
        <w:t>,</w:t>
      </w:r>
      <w:r w:rsidR="00FC57BA">
        <w:rPr>
          <w:rFonts w:ascii="Times New Roman" w:hAnsi="Times New Roman"/>
          <w:sz w:val="24"/>
          <w:szCs w:val="24"/>
        </w:rPr>
        <w:t xml:space="preserve"> there are many elements for the Commission to consider when a utility intends to offer EV charging services on a “fully regulated basis.”  </w:t>
      </w:r>
    </w:p>
    <w:p w:rsidR="00FC57BA" w:rsidRDefault="00FC57BA" w:rsidP="008B73F4">
      <w:pPr>
        <w:pStyle w:val="NoSpacing"/>
        <w:spacing w:line="360" w:lineRule="auto"/>
        <w:ind w:firstLine="720"/>
        <w:jc w:val="both"/>
        <w:rPr>
          <w:rFonts w:ascii="Times New Roman" w:hAnsi="Times New Roman"/>
          <w:sz w:val="24"/>
          <w:szCs w:val="24"/>
        </w:rPr>
      </w:pPr>
    </w:p>
    <w:p w:rsidR="00FE6437" w:rsidRDefault="00FC57BA" w:rsidP="008B73F4">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The first consideration </w:t>
      </w:r>
      <w:r w:rsidR="004743C8">
        <w:rPr>
          <w:rFonts w:ascii="Times New Roman" w:hAnsi="Times New Roman"/>
          <w:sz w:val="24"/>
          <w:szCs w:val="24"/>
        </w:rPr>
        <w:t xml:space="preserve">as it </w:t>
      </w:r>
      <w:r>
        <w:rPr>
          <w:rFonts w:ascii="Times New Roman" w:hAnsi="Times New Roman"/>
          <w:sz w:val="24"/>
          <w:szCs w:val="24"/>
        </w:rPr>
        <w:t xml:space="preserve">relates to </w:t>
      </w:r>
      <w:r w:rsidR="004743C8">
        <w:rPr>
          <w:rFonts w:ascii="Times New Roman" w:hAnsi="Times New Roman"/>
          <w:sz w:val="24"/>
          <w:szCs w:val="24"/>
        </w:rPr>
        <w:t xml:space="preserve">electrical companies offering electrical vehicle charging as a regulated service is the used and useful standard.  </w:t>
      </w:r>
      <w:r w:rsidR="00B97B0B">
        <w:rPr>
          <w:rFonts w:ascii="Times New Roman" w:hAnsi="Times New Roman"/>
          <w:sz w:val="24"/>
          <w:szCs w:val="24"/>
        </w:rPr>
        <w:t xml:space="preserve">The Company agrees with the Commission’s conclusion that retaining flexibility in applying the used and useful standard to infrastructure investments for EV charging services on a regulated basis is the best approach.  </w:t>
      </w:r>
      <w:r w:rsidR="00800760">
        <w:rPr>
          <w:rFonts w:ascii="Times New Roman" w:hAnsi="Times New Roman"/>
          <w:sz w:val="24"/>
          <w:szCs w:val="24"/>
        </w:rPr>
        <w:t>Investor owned utilities have been encouraged and directed to aide in the acceleration of EV adoption by offering programs to promote EVSE on a regulated basis.</w:t>
      </w:r>
      <w:r w:rsidR="00800760">
        <w:rPr>
          <w:rStyle w:val="FootnoteReference"/>
          <w:rFonts w:ascii="Times New Roman" w:hAnsi="Times New Roman"/>
          <w:sz w:val="24"/>
          <w:szCs w:val="24"/>
        </w:rPr>
        <w:footnoteReference w:id="4"/>
      </w:r>
      <w:r w:rsidR="00800760">
        <w:rPr>
          <w:rFonts w:ascii="Times New Roman" w:hAnsi="Times New Roman"/>
          <w:sz w:val="24"/>
          <w:szCs w:val="24"/>
        </w:rPr>
        <w:t xml:space="preserve">  As utilities begin making infrastructure investments in EVSE</w:t>
      </w:r>
      <w:r w:rsidR="00FE6437">
        <w:rPr>
          <w:rFonts w:ascii="Times New Roman" w:hAnsi="Times New Roman"/>
          <w:sz w:val="24"/>
          <w:szCs w:val="24"/>
        </w:rPr>
        <w:t xml:space="preserve">, many of those investments are needed in advance of the traditional demonstration of need.  </w:t>
      </w:r>
    </w:p>
    <w:p w:rsidR="00FE6437" w:rsidRDefault="00FE6437" w:rsidP="008B73F4">
      <w:pPr>
        <w:pStyle w:val="NoSpacing"/>
        <w:spacing w:line="360" w:lineRule="auto"/>
        <w:ind w:firstLine="720"/>
        <w:jc w:val="both"/>
        <w:rPr>
          <w:rFonts w:ascii="Times New Roman" w:hAnsi="Times New Roman"/>
          <w:sz w:val="24"/>
          <w:szCs w:val="24"/>
        </w:rPr>
      </w:pPr>
    </w:p>
    <w:p w:rsidR="00C978AA" w:rsidRPr="00C978AA" w:rsidRDefault="00FE6437" w:rsidP="00F62EEE">
      <w:pPr>
        <w:pStyle w:val="NoSpacing"/>
        <w:spacing w:line="360" w:lineRule="auto"/>
        <w:ind w:firstLine="720"/>
        <w:jc w:val="both"/>
        <w:rPr>
          <w:rFonts w:ascii="Times New Roman" w:hAnsi="Times New Roman"/>
          <w:sz w:val="24"/>
          <w:szCs w:val="24"/>
        </w:rPr>
      </w:pPr>
      <w:r>
        <w:rPr>
          <w:rFonts w:ascii="Times New Roman" w:hAnsi="Times New Roman"/>
          <w:sz w:val="24"/>
          <w:szCs w:val="24"/>
        </w:rPr>
        <w:t>The purpose of investments in EVSE is to provide a network in which EV drivers can charge their vehicle</w:t>
      </w:r>
      <w:r w:rsidR="000F7CF2">
        <w:rPr>
          <w:rFonts w:ascii="Times New Roman" w:hAnsi="Times New Roman"/>
          <w:sz w:val="24"/>
          <w:szCs w:val="24"/>
        </w:rPr>
        <w:t>s</w:t>
      </w:r>
      <w:r>
        <w:rPr>
          <w:rFonts w:ascii="Times New Roman" w:hAnsi="Times New Roman"/>
          <w:sz w:val="24"/>
          <w:szCs w:val="24"/>
        </w:rPr>
        <w:t>.  Without a diversified and reliable charging network</w:t>
      </w:r>
      <w:r w:rsidR="000F7CF2">
        <w:rPr>
          <w:rFonts w:ascii="Times New Roman" w:hAnsi="Times New Roman"/>
          <w:sz w:val="24"/>
          <w:szCs w:val="24"/>
        </w:rPr>
        <w:t xml:space="preserve">, many consumers will </w:t>
      </w:r>
      <w:r>
        <w:rPr>
          <w:rFonts w:ascii="Times New Roman" w:hAnsi="Times New Roman"/>
          <w:sz w:val="24"/>
          <w:szCs w:val="24"/>
        </w:rPr>
        <w:t xml:space="preserve">not purchase an EV.  </w:t>
      </w:r>
      <w:r w:rsidR="00956F77">
        <w:rPr>
          <w:rFonts w:ascii="Times New Roman" w:hAnsi="Times New Roman"/>
          <w:sz w:val="24"/>
          <w:szCs w:val="24"/>
        </w:rPr>
        <w:t>If consumers do not purchase EVs, the public policy purposes of electrification of the transportation sector will not be met.  As noted above, the Legislature and Commission have recognized that the public purpose is ap</w:t>
      </w:r>
      <w:r w:rsidR="00E21427">
        <w:rPr>
          <w:rFonts w:ascii="Times New Roman" w:hAnsi="Times New Roman"/>
          <w:sz w:val="24"/>
          <w:szCs w:val="24"/>
        </w:rPr>
        <w:t>parent for EV charging services.</w:t>
      </w:r>
      <w:r w:rsidR="00956F77">
        <w:rPr>
          <w:rFonts w:ascii="Times New Roman" w:hAnsi="Times New Roman"/>
          <w:sz w:val="24"/>
          <w:szCs w:val="24"/>
        </w:rPr>
        <w:t xml:space="preserve">  </w:t>
      </w:r>
      <w:r w:rsidR="00F62EEE">
        <w:rPr>
          <w:rFonts w:ascii="Times New Roman" w:hAnsi="Times New Roman"/>
          <w:sz w:val="24"/>
          <w:szCs w:val="24"/>
        </w:rPr>
        <w:t xml:space="preserve">The evaluation of benefits to customers is another important consideration that will also require flexibility as many of the benefits customers realize </w:t>
      </w:r>
      <w:r w:rsidR="00F849C8">
        <w:rPr>
          <w:rFonts w:ascii="Times New Roman" w:hAnsi="Times New Roman"/>
          <w:sz w:val="24"/>
          <w:szCs w:val="24"/>
        </w:rPr>
        <w:t xml:space="preserve">may be different in both the form </w:t>
      </w:r>
      <w:r w:rsidR="00EF6A5C">
        <w:rPr>
          <w:rFonts w:ascii="Times New Roman" w:hAnsi="Times New Roman"/>
          <w:sz w:val="24"/>
          <w:szCs w:val="24"/>
        </w:rPr>
        <w:t xml:space="preserve">and timing </w:t>
      </w:r>
      <w:r w:rsidR="00F849C8">
        <w:rPr>
          <w:rFonts w:ascii="Times New Roman" w:hAnsi="Times New Roman"/>
          <w:sz w:val="24"/>
          <w:szCs w:val="24"/>
        </w:rPr>
        <w:t xml:space="preserve">of the benefits </w:t>
      </w:r>
      <w:r w:rsidR="00EF6A5C">
        <w:rPr>
          <w:rFonts w:ascii="Times New Roman" w:hAnsi="Times New Roman"/>
          <w:sz w:val="24"/>
          <w:szCs w:val="24"/>
        </w:rPr>
        <w:t>compared to</w:t>
      </w:r>
      <w:r w:rsidR="00F849C8">
        <w:rPr>
          <w:rFonts w:ascii="Times New Roman" w:hAnsi="Times New Roman"/>
          <w:sz w:val="24"/>
          <w:szCs w:val="24"/>
        </w:rPr>
        <w:t xml:space="preserve"> more </w:t>
      </w:r>
      <w:r w:rsidR="00F62EEE">
        <w:rPr>
          <w:rFonts w:ascii="Times New Roman" w:hAnsi="Times New Roman"/>
          <w:sz w:val="24"/>
          <w:szCs w:val="24"/>
        </w:rPr>
        <w:t>traditional infrastructure investments</w:t>
      </w:r>
      <w:r w:rsidR="00AD0297">
        <w:rPr>
          <w:rFonts w:ascii="Times New Roman" w:hAnsi="Times New Roman"/>
          <w:sz w:val="24"/>
          <w:szCs w:val="24"/>
        </w:rPr>
        <w:t xml:space="preserve"> (</w:t>
      </w:r>
      <w:r w:rsidR="00F849C8">
        <w:rPr>
          <w:rFonts w:ascii="Times New Roman" w:hAnsi="Times New Roman"/>
          <w:sz w:val="24"/>
          <w:szCs w:val="24"/>
        </w:rPr>
        <w:t>e.g</w:t>
      </w:r>
      <w:r w:rsidR="00AD0297">
        <w:rPr>
          <w:rFonts w:ascii="Times New Roman" w:hAnsi="Times New Roman"/>
          <w:sz w:val="24"/>
          <w:szCs w:val="24"/>
        </w:rPr>
        <w:t xml:space="preserve">., reductions in greenhouse </w:t>
      </w:r>
      <w:r w:rsidR="00E36960">
        <w:rPr>
          <w:rFonts w:ascii="Times New Roman" w:hAnsi="Times New Roman"/>
          <w:sz w:val="24"/>
          <w:szCs w:val="24"/>
        </w:rPr>
        <w:t xml:space="preserve">gas emissions </w:t>
      </w:r>
      <w:r w:rsidR="00EF6A5C">
        <w:rPr>
          <w:rFonts w:ascii="Times New Roman" w:hAnsi="Times New Roman"/>
          <w:sz w:val="24"/>
          <w:szCs w:val="24"/>
        </w:rPr>
        <w:t>and</w:t>
      </w:r>
      <w:r w:rsidR="00AD0297">
        <w:rPr>
          <w:rFonts w:ascii="Times New Roman" w:hAnsi="Times New Roman"/>
          <w:sz w:val="24"/>
          <w:szCs w:val="24"/>
        </w:rPr>
        <w:t xml:space="preserve"> fuel cost savings</w:t>
      </w:r>
      <w:r w:rsidR="00084A90">
        <w:rPr>
          <w:rFonts w:ascii="Times New Roman" w:hAnsi="Times New Roman"/>
          <w:sz w:val="24"/>
          <w:szCs w:val="24"/>
        </w:rPr>
        <w:t>).</w:t>
      </w:r>
    </w:p>
    <w:p w:rsidR="00C978AA" w:rsidRDefault="00C978AA" w:rsidP="00A85460">
      <w:pPr>
        <w:pStyle w:val="NoSpacing"/>
        <w:spacing w:line="360" w:lineRule="auto"/>
        <w:jc w:val="both"/>
        <w:rPr>
          <w:rFonts w:ascii="Times New Roman" w:hAnsi="Times New Roman"/>
          <w:sz w:val="24"/>
          <w:szCs w:val="24"/>
        </w:rPr>
      </w:pPr>
    </w:p>
    <w:p w:rsidR="00211B9A" w:rsidRDefault="000B04F1" w:rsidP="00A85460">
      <w:pPr>
        <w:pStyle w:val="NoSpacing"/>
        <w:spacing w:line="360" w:lineRule="auto"/>
        <w:jc w:val="both"/>
        <w:rPr>
          <w:rFonts w:ascii="Times New Roman" w:hAnsi="Times New Roman"/>
          <w:sz w:val="24"/>
          <w:szCs w:val="24"/>
        </w:rPr>
      </w:pPr>
      <w:r>
        <w:rPr>
          <w:rFonts w:ascii="Times New Roman" w:hAnsi="Times New Roman"/>
          <w:sz w:val="24"/>
          <w:szCs w:val="24"/>
        </w:rPr>
        <w:tab/>
      </w:r>
      <w:r w:rsidR="00211B9A">
        <w:rPr>
          <w:rFonts w:ascii="Times New Roman" w:hAnsi="Times New Roman"/>
          <w:sz w:val="24"/>
          <w:szCs w:val="24"/>
        </w:rPr>
        <w:t>The Company agrees with the Commission’s view that any request to recover EVSE investments should be accompanied by sufficient data and analysis along with a business case for why the utility chose</w:t>
      </w:r>
      <w:r w:rsidR="00E21427">
        <w:rPr>
          <w:rFonts w:ascii="Times New Roman" w:hAnsi="Times New Roman"/>
          <w:sz w:val="24"/>
          <w:szCs w:val="24"/>
        </w:rPr>
        <w:t xml:space="preserve"> to make the investments</w:t>
      </w:r>
      <w:r w:rsidR="00211B9A">
        <w:rPr>
          <w:rFonts w:ascii="Times New Roman" w:hAnsi="Times New Roman"/>
          <w:sz w:val="24"/>
          <w:szCs w:val="24"/>
        </w:rPr>
        <w:t>, based on the knowledge and inform</w:t>
      </w:r>
      <w:r w:rsidR="00E21427">
        <w:rPr>
          <w:rFonts w:ascii="Times New Roman" w:hAnsi="Times New Roman"/>
          <w:sz w:val="24"/>
          <w:szCs w:val="24"/>
        </w:rPr>
        <w:t>ation available at the time the decision was made</w:t>
      </w:r>
      <w:r w:rsidR="00211B9A">
        <w:rPr>
          <w:rFonts w:ascii="Times New Roman" w:hAnsi="Times New Roman"/>
          <w:sz w:val="24"/>
          <w:szCs w:val="24"/>
        </w:rPr>
        <w:t xml:space="preserve">.  Avista is hopeful that the </w:t>
      </w:r>
      <w:r w:rsidR="00E21427">
        <w:rPr>
          <w:rFonts w:ascii="Times New Roman" w:hAnsi="Times New Roman"/>
          <w:sz w:val="24"/>
          <w:szCs w:val="24"/>
        </w:rPr>
        <w:t>experience and lessons learned from its EVSE</w:t>
      </w:r>
      <w:r w:rsidR="00211B9A">
        <w:rPr>
          <w:rFonts w:ascii="Times New Roman" w:hAnsi="Times New Roman"/>
          <w:sz w:val="24"/>
          <w:szCs w:val="24"/>
        </w:rPr>
        <w:t xml:space="preserve"> Pilot Program will inform and support requests for cost recovery as well as the design and planning of future EV charging programs.</w:t>
      </w:r>
    </w:p>
    <w:p w:rsidR="00211B9A" w:rsidRDefault="00211B9A" w:rsidP="00A85460">
      <w:pPr>
        <w:pStyle w:val="NoSpacing"/>
        <w:spacing w:line="360" w:lineRule="auto"/>
        <w:jc w:val="both"/>
        <w:rPr>
          <w:rFonts w:ascii="Times New Roman" w:hAnsi="Times New Roman"/>
          <w:sz w:val="24"/>
          <w:szCs w:val="24"/>
        </w:rPr>
      </w:pPr>
    </w:p>
    <w:p w:rsidR="003E3ACD" w:rsidRDefault="00E21427" w:rsidP="00A85460">
      <w:pPr>
        <w:pStyle w:val="NoSpacing"/>
        <w:spacing w:line="360" w:lineRule="auto"/>
        <w:jc w:val="both"/>
        <w:rPr>
          <w:rFonts w:ascii="Times New Roman" w:hAnsi="Times New Roman"/>
          <w:sz w:val="24"/>
          <w:szCs w:val="24"/>
        </w:rPr>
      </w:pPr>
      <w:r>
        <w:rPr>
          <w:rFonts w:ascii="Times New Roman" w:hAnsi="Times New Roman"/>
          <w:sz w:val="24"/>
          <w:szCs w:val="24"/>
        </w:rPr>
        <w:tab/>
      </w:r>
      <w:r w:rsidR="00F849C8">
        <w:rPr>
          <w:rFonts w:ascii="Times New Roman" w:hAnsi="Times New Roman"/>
          <w:sz w:val="24"/>
          <w:szCs w:val="24"/>
        </w:rPr>
        <w:t>With regard to</w:t>
      </w:r>
      <w:r w:rsidR="00F44AA1">
        <w:rPr>
          <w:rFonts w:ascii="Times New Roman" w:hAnsi="Times New Roman"/>
          <w:sz w:val="24"/>
          <w:szCs w:val="24"/>
        </w:rPr>
        <w:t xml:space="preserve"> </w:t>
      </w:r>
      <w:r>
        <w:rPr>
          <w:rFonts w:ascii="Times New Roman" w:hAnsi="Times New Roman"/>
          <w:sz w:val="24"/>
          <w:szCs w:val="24"/>
        </w:rPr>
        <w:t>EV</w:t>
      </w:r>
      <w:r w:rsidR="00F44AA1">
        <w:rPr>
          <w:rFonts w:ascii="Times New Roman" w:hAnsi="Times New Roman"/>
          <w:sz w:val="24"/>
          <w:szCs w:val="24"/>
        </w:rPr>
        <w:t xml:space="preserve"> charging rate considerations</w:t>
      </w:r>
      <w:r w:rsidR="00F849C8">
        <w:rPr>
          <w:rFonts w:ascii="Times New Roman" w:hAnsi="Times New Roman"/>
          <w:sz w:val="24"/>
          <w:szCs w:val="24"/>
        </w:rPr>
        <w:t>, i</w:t>
      </w:r>
      <w:r w:rsidR="00E36A52">
        <w:rPr>
          <w:rFonts w:ascii="Times New Roman" w:hAnsi="Times New Roman"/>
          <w:sz w:val="24"/>
          <w:szCs w:val="24"/>
        </w:rPr>
        <w:t>n Avista’s filing for its EVSE Pilot Program, the Company proposed a market</w:t>
      </w:r>
      <w:r w:rsidR="00B679A1">
        <w:rPr>
          <w:rFonts w:ascii="Times New Roman" w:hAnsi="Times New Roman"/>
          <w:sz w:val="24"/>
          <w:szCs w:val="24"/>
        </w:rPr>
        <w:t>-</w:t>
      </w:r>
      <w:r w:rsidR="00E36A52">
        <w:rPr>
          <w:rFonts w:ascii="Times New Roman" w:hAnsi="Times New Roman"/>
          <w:sz w:val="24"/>
          <w:szCs w:val="24"/>
        </w:rPr>
        <w:t>based rate</w:t>
      </w:r>
      <w:r w:rsidR="00430848">
        <w:rPr>
          <w:rFonts w:ascii="Times New Roman" w:hAnsi="Times New Roman"/>
          <w:sz w:val="24"/>
          <w:szCs w:val="24"/>
        </w:rPr>
        <w:t xml:space="preserve"> of $0.30/minute</w:t>
      </w:r>
      <w:r w:rsidR="00E36A52">
        <w:rPr>
          <w:rFonts w:ascii="Times New Roman" w:hAnsi="Times New Roman"/>
          <w:sz w:val="24"/>
          <w:szCs w:val="24"/>
        </w:rPr>
        <w:t xml:space="preserve"> for the seven DC Fast Charging stations included in the program.  </w:t>
      </w:r>
      <w:r w:rsidR="00430848">
        <w:rPr>
          <w:rFonts w:ascii="Times New Roman" w:hAnsi="Times New Roman"/>
          <w:sz w:val="24"/>
          <w:szCs w:val="24"/>
        </w:rPr>
        <w:t xml:space="preserve">Much time was spent discussing the Company’s proposed rate as it was an alternative to a cost-based rate.  The main concern discussed with the proposed rate was </w:t>
      </w:r>
      <w:r w:rsidR="00B679A1">
        <w:rPr>
          <w:rFonts w:ascii="Times New Roman" w:hAnsi="Times New Roman"/>
          <w:sz w:val="24"/>
          <w:szCs w:val="24"/>
        </w:rPr>
        <w:t>whether</w:t>
      </w:r>
      <w:r w:rsidR="00430848">
        <w:rPr>
          <w:rFonts w:ascii="Times New Roman" w:hAnsi="Times New Roman"/>
          <w:sz w:val="24"/>
          <w:szCs w:val="24"/>
        </w:rPr>
        <w:t xml:space="preserve"> it was sufficient to reco</w:t>
      </w:r>
      <w:r>
        <w:rPr>
          <w:rFonts w:ascii="Times New Roman" w:hAnsi="Times New Roman"/>
          <w:sz w:val="24"/>
          <w:szCs w:val="24"/>
        </w:rPr>
        <w:t xml:space="preserve">ver </w:t>
      </w:r>
      <w:r w:rsidR="00430848">
        <w:rPr>
          <w:rFonts w:ascii="Times New Roman" w:hAnsi="Times New Roman"/>
          <w:sz w:val="24"/>
          <w:szCs w:val="24"/>
        </w:rPr>
        <w:t>expenses</w:t>
      </w:r>
      <w:r w:rsidR="00F849C8">
        <w:rPr>
          <w:rFonts w:ascii="Times New Roman" w:hAnsi="Times New Roman"/>
          <w:sz w:val="24"/>
          <w:szCs w:val="24"/>
        </w:rPr>
        <w:t>,</w:t>
      </w:r>
      <w:r w:rsidR="00430848">
        <w:rPr>
          <w:rFonts w:ascii="Times New Roman" w:hAnsi="Times New Roman"/>
          <w:sz w:val="24"/>
          <w:szCs w:val="24"/>
        </w:rPr>
        <w:t xml:space="preserve"> or if the rate was subsidized by non-participating customers.  The Commission makes note of this in the draft policy statement as it allowed the rate to go into effect because the program was</w:t>
      </w:r>
      <w:r w:rsidR="00CF25E8">
        <w:rPr>
          <w:rFonts w:ascii="Times New Roman" w:hAnsi="Times New Roman"/>
          <w:sz w:val="24"/>
          <w:szCs w:val="24"/>
        </w:rPr>
        <w:t xml:space="preserve"> a pilot.  </w:t>
      </w:r>
      <w:r w:rsidR="00540901">
        <w:rPr>
          <w:rFonts w:ascii="Times New Roman" w:hAnsi="Times New Roman"/>
          <w:sz w:val="24"/>
          <w:szCs w:val="24"/>
        </w:rPr>
        <w:t>The question of the proper rate design will be carried through to future program design and review.  Through the course of pilots and studies</w:t>
      </w:r>
      <w:r>
        <w:rPr>
          <w:rFonts w:ascii="Times New Roman" w:hAnsi="Times New Roman"/>
          <w:sz w:val="24"/>
          <w:szCs w:val="24"/>
        </w:rPr>
        <w:t>,</w:t>
      </w:r>
      <w:r w:rsidR="00540901">
        <w:rPr>
          <w:rFonts w:ascii="Times New Roman" w:hAnsi="Times New Roman"/>
          <w:sz w:val="24"/>
          <w:szCs w:val="24"/>
        </w:rPr>
        <w:t xml:space="preserve"> the benefits incurred by non-participating customers will </w:t>
      </w:r>
      <w:r w:rsidR="00D14619">
        <w:rPr>
          <w:rFonts w:ascii="Times New Roman" w:hAnsi="Times New Roman"/>
          <w:sz w:val="24"/>
          <w:szCs w:val="24"/>
        </w:rPr>
        <w:t xml:space="preserve">become clearer, allowing for more informed </w:t>
      </w:r>
      <w:r w:rsidR="00540901">
        <w:rPr>
          <w:rFonts w:ascii="Times New Roman" w:hAnsi="Times New Roman"/>
          <w:sz w:val="24"/>
          <w:szCs w:val="24"/>
        </w:rPr>
        <w:t>consideration.  For now, retaining flexibility with rate design</w:t>
      </w:r>
      <w:r w:rsidR="00D14619">
        <w:rPr>
          <w:rFonts w:ascii="Times New Roman" w:hAnsi="Times New Roman"/>
          <w:sz w:val="24"/>
          <w:szCs w:val="24"/>
        </w:rPr>
        <w:t xml:space="preserve"> will remain important </w:t>
      </w:r>
      <w:r w:rsidR="00540901">
        <w:rPr>
          <w:rFonts w:ascii="Times New Roman" w:hAnsi="Times New Roman"/>
          <w:sz w:val="24"/>
          <w:szCs w:val="24"/>
        </w:rPr>
        <w:t xml:space="preserve">to help kick-start the growth in </w:t>
      </w:r>
      <w:r w:rsidR="00D14619">
        <w:rPr>
          <w:rFonts w:ascii="Times New Roman" w:hAnsi="Times New Roman"/>
          <w:sz w:val="24"/>
          <w:szCs w:val="24"/>
        </w:rPr>
        <w:t xml:space="preserve">EVSE investments that in turn support greater </w:t>
      </w:r>
      <w:r w:rsidR="00540901">
        <w:rPr>
          <w:rFonts w:ascii="Times New Roman" w:hAnsi="Times New Roman"/>
          <w:sz w:val="24"/>
          <w:szCs w:val="24"/>
        </w:rPr>
        <w:t>EV adoption.</w:t>
      </w:r>
    </w:p>
    <w:p w:rsidR="00F849C8" w:rsidRDefault="00F94E0F" w:rsidP="00A85460">
      <w:pPr>
        <w:pStyle w:val="NoSpacing"/>
        <w:spacing w:line="360" w:lineRule="auto"/>
        <w:jc w:val="both"/>
        <w:rPr>
          <w:rFonts w:ascii="Times New Roman" w:hAnsi="Times New Roman"/>
          <w:sz w:val="24"/>
          <w:szCs w:val="24"/>
        </w:rPr>
      </w:pPr>
      <w:r>
        <w:rPr>
          <w:rFonts w:ascii="Times New Roman" w:hAnsi="Times New Roman"/>
          <w:sz w:val="24"/>
          <w:szCs w:val="24"/>
        </w:rPr>
        <w:tab/>
      </w:r>
    </w:p>
    <w:p w:rsidR="00540901" w:rsidRDefault="00F94E0F" w:rsidP="00F849C8">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appreciates the Commission’s inclusion of the discussion of banded rates for future EV charging services.  EV charging is unlike the traditional delivery of electricity</w:t>
      </w:r>
      <w:r w:rsidR="00D14619">
        <w:rPr>
          <w:rFonts w:ascii="Times New Roman" w:hAnsi="Times New Roman"/>
          <w:sz w:val="24"/>
          <w:szCs w:val="24"/>
        </w:rPr>
        <w:t xml:space="preserve"> in many ways, and at least in public locations</w:t>
      </w:r>
      <w:r w:rsidR="00AF7DC9">
        <w:rPr>
          <w:rFonts w:ascii="Times New Roman" w:hAnsi="Times New Roman"/>
          <w:sz w:val="24"/>
          <w:szCs w:val="24"/>
        </w:rPr>
        <w:t>,</w:t>
      </w:r>
      <w:r w:rsidR="00D14619">
        <w:rPr>
          <w:rFonts w:ascii="Times New Roman" w:hAnsi="Times New Roman"/>
          <w:sz w:val="24"/>
          <w:szCs w:val="24"/>
        </w:rPr>
        <w:t xml:space="preserve"> is more analogous to vehicle</w:t>
      </w:r>
      <w:r w:rsidR="00AF7DC9">
        <w:rPr>
          <w:rFonts w:ascii="Times New Roman" w:hAnsi="Times New Roman"/>
          <w:sz w:val="24"/>
          <w:szCs w:val="24"/>
        </w:rPr>
        <w:t>s</w:t>
      </w:r>
      <w:r w:rsidR="00D14619">
        <w:rPr>
          <w:rFonts w:ascii="Times New Roman" w:hAnsi="Times New Roman"/>
          <w:sz w:val="24"/>
          <w:szCs w:val="24"/>
        </w:rPr>
        <w:t xml:space="preserve"> fueling at </w:t>
      </w:r>
      <w:r>
        <w:rPr>
          <w:rFonts w:ascii="Times New Roman" w:hAnsi="Times New Roman"/>
          <w:sz w:val="24"/>
          <w:szCs w:val="24"/>
        </w:rPr>
        <w:t>gas</w:t>
      </w:r>
      <w:r w:rsidR="00B679A1">
        <w:rPr>
          <w:rFonts w:ascii="Times New Roman" w:hAnsi="Times New Roman"/>
          <w:sz w:val="24"/>
          <w:szCs w:val="24"/>
        </w:rPr>
        <w:t>oline</w:t>
      </w:r>
      <w:r>
        <w:rPr>
          <w:rFonts w:ascii="Times New Roman" w:hAnsi="Times New Roman"/>
          <w:sz w:val="24"/>
          <w:szCs w:val="24"/>
        </w:rPr>
        <w:t xml:space="preserve"> stations.  Just </w:t>
      </w:r>
      <w:r w:rsidR="00F849C8">
        <w:rPr>
          <w:rFonts w:ascii="Times New Roman" w:hAnsi="Times New Roman"/>
          <w:sz w:val="24"/>
          <w:szCs w:val="24"/>
        </w:rPr>
        <w:t xml:space="preserve">as </w:t>
      </w:r>
      <w:r>
        <w:rPr>
          <w:rFonts w:ascii="Times New Roman" w:hAnsi="Times New Roman"/>
          <w:sz w:val="24"/>
          <w:szCs w:val="24"/>
        </w:rPr>
        <w:t>gas</w:t>
      </w:r>
      <w:r w:rsidR="00B679A1">
        <w:rPr>
          <w:rFonts w:ascii="Times New Roman" w:hAnsi="Times New Roman"/>
          <w:sz w:val="24"/>
          <w:szCs w:val="24"/>
        </w:rPr>
        <w:t>oline</w:t>
      </w:r>
      <w:r>
        <w:rPr>
          <w:rFonts w:ascii="Times New Roman" w:hAnsi="Times New Roman"/>
          <w:sz w:val="24"/>
          <w:szCs w:val="24"/>
        </w:rPr>
        <w:t xml:space="preserve"> stations</w:t>
      </w:r>
      <w:r w:rsidR="00AF7DC9">
        <w:rPr>
          <w:rFonts w:ascii="Times New Roman" w:hAnsi="Times New Roman"/>
          <w:sz w:val="24"/>
          <w:szCs w:val="24"/>
        </w:rPr>
        <w:t xml:space="preserve"> move their rates </w:t>
      </w:r>
      <w:r w:rsidR="00F849C8">
        <w:rPr>
          <w:rFonts w:ascii="Times New Roman" w:hAnsi="Times New Roman"/>
          <w:sz w:val="24"/>
          <w:szCs w:val="24"/>
        </w:rPr>
        <w:t>on a regular basis</w:t>
      </w:r>
      <w:r>
        <w:rPr>
          <w:rFonts w:ascii="Times New Roman" w:hAnsi="Times New Roman"/>
          <w:sz w:val="24"/>
          <w:szCs w:val="24"/>
        </w:rPr>
        <w:t xml:space="preserve">, the ability to have a banded rate </w:t>
      </w:r>
      <w:r w:rsidR="001F74C2">
        <w:rPr>
          <w:rFonts w:ascii="Times New Roman" w:hAnsi="Times New Roman"/>
          <w:sz w:val="24"/>
          <w:szCs w:val="24"/>
        </w:rPr>
        <w:t>will be important as rates for EV charging services will need to remain competitive with gasoline equivalent options</w:t>
      </w:r>
      <w:r w:rsidR="00AF7DC9">
        <w:rPr>
          <w:rFonts w:ascii="Times New Roman" w:hAnsi="Times New Roman"/>
          <w:sz w:val="24"/>
          <w:szCs w:val="24"/>
        </w:rPr>
        <w:t xml:space="preserve"> </w:t>
      </w:r>
      <w:r w:rsidR="00F849C8">
        <w:rPr>
          <w:rFonts w:ascii="Times New Roman" w:hAnsi="Times New Roman"/>
          <w:sz w:val="24"/>
          <w:szCs w:val="24"/>
        </w:rPr>
        <w:t>and may need to change often</w:t>
      </w:r>
      <w:r w:rsidR="00D14619">
        <w:rPr>
          <w:rFonts w:ascii="Times New Roman" w:hAnsi="Times New Roman"/>
          <w:sz w:val="24"/>
          <w:szCs w:val="24"/>
        </w:rPr>
        <w:t xml:space="preserve">.  </w:t>
      </w:r>
      <w:r w:rsidR="00EF6A5C">
        <w:rPr>
          <w:rFonts w:ascii="Times New Roman" w:hAnsi="Times New Roman"/>
          <w:sz w:val="24"/>
          <w:szCs w:val="24"/>
        </w:rPr>
        <w:t>As u</w:t>
      </w:r>
      <w:r w:rsidR="00D14619">
        <w:rPr>
          <w:rFonts w:ascii="Times New Roman" w:hAnsi="Times New Roman"/>
          <w:sz w:val="24"/>
          <w:szCs w:val="24"/>
        </w:rPr>
        <w:t xml:space="preserve">tilization increases at </w:t>
      </w:r>
      <w:r w:rsidR="001F74C2">
        <w:rPr>
          <w:rFonts w:ascii="Times New Roman" w:hAnsi="Times New Roman"/>
          <w:sz w:val="24"/>
          <w:szCs w:val="24"/>
        </w:rPr>
        <w:t>EVSE station</w:t>
      </w:r>
      <w:r w:rsidR="00D14619">
        <w:rPr>
          <w:rFonts w:ascii="Times New Roman" w:hAnsi="Times New Roman"/>
          <w:sz w:val="24"/>
          <w:szCs w:val="24"/>
        </w:rPr>
        <w:t>s, the rate may</w:t>
      </w:r>
      <w:r w:rsidR="001F74C2">
        <w:rPr>
          <w:rFonts w:ascii="Times New Roman" w:hAnsi="Times New Roman"/>
          <w:sz w:val="24"/>
          <w:szCs w:val="24"/>
        </w:rPr>
        <w:t xml:space="preserve"> be decreased.  Rather than make a tariff filing each time the rate needs adjustment, a banded rate option would </w:t>
      </w:r>
      <w:r w:rsidR="00F849C8">
        <w:rPr>
          <w:rFonts w:ascii="Times New Roman" w:hAnsi="Times New Roman"/>
          <w:sz w:val="24"/>
          <w:szCs w:val="24"/>
        </w:rPr>
        <w:t xml:space="preserve">allow flexibility in </w:t>
      </w:r>
      <w:r w:rsidR="001F74C2">
        <w:rPr>
          <w:rFonts w:ascii="Times New Roman" w:hAnsi="Times New Roman"/>
          <w:sz w:val="24"/>
          <w:szCs w:val="24"/>
        </w:rPr>
        <w:t>the process and time spent for all stakeholders reviewing the proposed rate change request.</w:t>
      </w:r>
    </w:p>
    <w:p w:rsidR="00FC4D76" w:rsidRDefault="00FC4D76" w:rsidP="00A85460">
      <w:pPr>
        <w:pStyle w:val="NoSpacing"/>
        <w:spacing w:line="360" w:lineRule="auto"/>
        <w:jc w:val="both"/>
        <w:rPr>
          <w:rFonts w:ascii="Times New Roman" w:hAnsi="Times New Roman"/>
          <w:sz w:val="24"/>
          <w:szCs w:val="24"/>
        </w:rPr>
      </w:pPr>
    </w:p>
    <w:p w:rsidR="004B60E1" w:rsidRDefault="0030193E" w:rsidP="004B60E1">
      <w:pPr>
        <w:pStyle w:val="NoSpacing"/>
        <w:spacing w:line="360" w:lineRule="auto"/>
        <w:jc w:val="both"/>
        <w:rPr>
          <w:rFonts w:ascii="Times New Roman" w:hAnsi="Times New Roman"/>
          <w:sz w:val="24"/>
          <w:szCs w:val="24"/>
        </w:rPr>
      </w:pPr>
      <w:r>
        <w:rPr>
          <w:rFonts w:ascii="Times New Roman" w:hAnsi="Times New Roman"/>
          <w:sz w:val="24"/>
          <w:szCs w:val="24"/>
        </w:rPr>
        <w:tab/>
      </w:r>
      <w:r w:rsidR="00F849C8">
        <w:rPr>
          <w:rFonts w:ascii="Times New Roman" w:hAnsi="Times New Roman"/>
          <w:sz w:val="24"/>
          <w:szCs w:val="24"/>
        </w:rPr>
        <w:t>With regard to</w:t>
      </w:r>
      <w:r>
        <w:rPr>
          <w:rFonts w:ascii="Times New Roman" w:hAnsi="Times New Roman"/>
          <w:sz w:val="24"/>
          <w:szCs w:val="24"/>
        </w:rPr>
        <w:t xml:space="preserve"> electrical vehicle charging </w:t>
      </w:r>
      <w:r w:rsidR="00F849C8">
        <w:rPr>
          <w:rFonts w:ascii="Times New Roman" w:hAnsi="Times New Roman"/>
          <w:sz w:val="24"/>
          <w:szCs w:val="24"/>
        </w:rPr>
        <w:t xml:space="preserve">equipment and </w:t>
      </w:r>
      <w:r>
        <w:rPr>
          <w:rFonts w:ascii="Times New Roman" w:hAnsi="Times New Roman"/>
          <w:sz w:val="24"/>
          <w:szCs w:val="24"/>
        </w:rPr>
        <w:t>the sale, transfer, and disposal of utility property</w:t>
      </w:r>
      <w:r w:rsidR="00F849C8">
        <w:rPr>
          <w:rFonts w:ascii="Times New Roman" w:hAnsi="Times New Roman"/>
          <w:sz w:val="24"/>
          <w:szCs w:val="24"/>
        </w:rPr>
        <w:t xml:space="preserve">, </w:t>
      </w:r>
      <w:r>
        <w:rPr>
          <w:rFonts w:ascii="Times New Roman" w:hAnsi="Times New Roman"/>
          <w:sz w:val="24"/>
          <w:szCs w:val="24"/>
        </w:rPr>
        <w:t>RCW 80.28.360 allows the utility to “gift” EVSE to the owner of the property on which it is located at the end of the equipment’s depreciable life.</w:t>
      </w:r>
      <w:r>
        <w:rPr>
          <w:rStyle w:val="FootnoteReference"/>
          <w:rFonts w:ascii="Times New Roman" w:hAnsi="Times New Roman"/>
          <w:sz w:val="24"/>
          <w:szCs w:val="24"/>
        </w:rPr>
        <w:footnoteReference w:id="5"/>
      </w:r>
      <w:r>
        <w:rPr>
          <w:rFonts w:ascii="Times New Roman" w:hAnsi="Times New Roman"/>
          <w:sz w:val="24"/>
          <w:szCs w:val="24"/>
        </w:rPr>
        <w:t xml:space="preserve">  Avista agrees that the Legislature provided a clear directive that utility investments in EVSE may be gifted at th</w:t>
      </w:r>
      <w:r w:rsidR="004B60E1">
        <w:rPr>
          <w:rFonts w:ascii="Times New Roman" w:hAnsi="Times New Roman"/>
          <w:sz w:val="24"/>
          <w:szCs w:val="24"/>
        </w:rPr>
        <w:t xml:space="preserve">e end of its depreciable life.  </w:t>
      </w:r>
      <w:r>
        <w:rPr>
          <w:rFonts w:ascii="Times New Roman" w:hAnsi="Times New Roman"/>
          <w:sz w:val="24"/>
          <w:szCs w:val="24"/>
        </w:rPr>
        <w:t xml:space="preserve">The analysis of RCW 80.28.360, 80.04.270, 80.12.020, and 80.12.030 </w:t>
      </w:r>
      <w:r w:rsidR="004B60E1">
        <w:rPr>
          <w:rFonts w:ascii="Times New Roman" w:hAnsi="Times New Roman"/>
          <w:sz w:val="24"/>
          <w:szCs w:val="24"/>
        </w:rPr>
        <w:t>in the draft policy statement is informative, but may not be necessary.</w:t>
      </w:r>
      <w:r w:rsidR="00385820">
        <w:rPr>
          <w:rFonts w:ascii="Times New Roman" w:hAnsi="Times New Roman"/>
          <w:sz w:val="24"/>
          <w:szCs w:val="24"/>
        </w:rPr>
        <w:t xml:space="preserve"> </w:t>
      </w:r>
    </w:p>
    <w:p w:rsidR="004B60E1" w:rsidRDefault="004B60E1" w:rsidP="00E56273">
      <w:pPr>
        <w:pStyle w:val="NoSpacing"/>
        <w:spacing w:line="360" w:lineRule="auto"/>
        <w:jc w:val="both"/>
        <w:rPr>
          <w:rFonts w:ascii="Times New Roman" w:hAnsi="Times New Roman"/>
          <w:sz w:val="24"/>
          <w:szCs w:val="24"/>
        </w:rPr>
      </w:pPr>
    </w:p>
    <w:p w:rsidR="004B60E1" w:rsidRPr="00E56273" w:rsidRDefault="004B60E1" w:rsidP="00E56273">
      <w:pPr>
        <w:spacing w:line="360" w:lineRule="auto"/>
        <w:ind w:firstLine="720"/>
        <w:jc w:val="both"/>
        <w:rPr>
          <w:rFonts w:ascii="Times New Roman" w:eastAsia="Calibri" w:hAnsi="Times New Roman" w:cs="Times New Roman"/>
        </w:rPr>
      </w:pPr>
      <w:r w:rsidRPr="00E56273">
        <w:rPr>
          <w:rFonts w:ascii="Times New Roman" w:eastAsia="Calibri" w:hAnsi="Times New Roman" w:cs="Times New Roman"/>
        </w:rPr>
        <w:t xml:space="preserve">The distinction between the sale of equipment under RCW 80.12.020 and/or RCW 80.12.030, and the gifting of EVSE under RCW 80.28.360 is supported by traditional canons of statutory interpretation.  In interpreting a statute, such as the gifting exemption in RCW 80.28.360, the words utilized by the Legislature are to be given their usual and ordinary meaning.  See, e.g., </w:t>
      </w:r>
      <w:proofErr w:type="spellStart"/>
      <w:r w:rsidRPr="00E56273">
        <w:rPr>
          <w:rFonts w:ascii="Times New Roman" w:eastAsia="Calibri" w:hAnsi="Times New Roman" w:cs="Times New Roman"/>
        </w:rPr>
        <w:t>Strenge</w:t>
      </w:r>
      <w:proofErr w:type="spellEnd"/>
      <w:r w:rsidRPr="00E56273">
        <w:rPr>
          <w:rFonts w:ascii="Times New Roman" w:eastAsia="Calibri" w:hAnsi="Times New Roman" w:cs="Times New Roman"/>
        </w:rPr>
        <w:t xml:space="preserve"> v. Clarke, 89 Wash.2d 23, 28, 569 P.2d 60 (1977).  Thus, where the statutory language is plain and ambiguous, the meaning of the statute must be derived from the wording of the statute itself.  See, e.g., In re Lehman, 93 Wash.2d 25, 27, 604 P.2d 948 (1980), citing Garrison v. State Nursing Board, 87 Wash.2d 195, 550 P.2d 7 (1976).  Here, RCW 80.28.360 plainly and unambiguously allows for the gifting of a fully depreciated EVSE.  Likewise, because the Legislature is presumed to be familiar with prior legislation, it can be assumed that the Legislature was aware of RCW 80.12.020 and 80.12.030 when it enacted RCW 80.28.360, and that it intended to create a narrow exemption to the same.  See, e.g., State v. Pauling, 23 </w:t>
      </w:r>
      <w:proofErr w:type="spellStart"/>
      <w:r w:rsidRPr="00E56273">
        <w:rPr>
          <w:rFonts w:ascii="Times New Roman" w:eastAsia="Calibri" w:hAnsi="Times New Roman" w:cs="Times New Roman"/>
        </w:rPr>
        <w:t>Wash.App</w:t>
      </w:r>
      <w:proofErr w:type="spellEnd"/>
      <w:r w:rsidRPr="00E56273">
        <w:rPr>
          <w:rFonts w:ascii="Times New Roman" w:eastAsia="Calibri" w:hAnsi="Times New Roman" w:cs="Times New Roman"/>
        </w:rPr>
        <w:t xml:space="preserve">. 226, 597 P.2d 1367 (1979).  In both respects, the ability of a utility to gift a fully depreciated EVSE is both fully and expressly resolved by the plain language of R.C.W. 80.28.360.  </w:t>
      </w:r>
    </w:p>
    <w:p w:rsidR="004B60E1" w:rsidRDefault="004B60E1" w:rsidP="00E56273">
      <w:pPr>
        <w:pStyle w:val="NoSpacing"/>
        <w:spacing w:line="360" w:lineRule="auto"/>
        <w:jc w:val="both"/>
        <w:rPr>
          <w:rFonts w:ascii="Times New Roman" w:hAnsi="Times New Roman"/>
          <w:sz w:val="24"/>
          <w:szCs w:val="24"/>
        </w:rPr>
      </w:pPr>
    </w:p>
    <w:p w:rsidR="0030193E" w:rsidRDefault="004B60E1" w:rsidP="00E56273">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F85584">
        <w:rPr>
          <w:rFonts w:ascii="Times New Roman" w:hAnsi="Times New Roman"/>
          <w:sz w:val="24"/>
          <w:szCs w:val="24"/>
        </w:rPr>
        <w:t xml:space="preserve">he Company </w:t>
      </w:r>
      <w:r w:rsidR="000B04F1">
        <w:rPr>
          <w:rFonts w:ascii="Times New Roman" w:hAnsi="Times New Roman"/>
          <w:sz w:val="24"/>
          <w:szCs w:val="24"/>
        </w:rPr>
        <w:t xml:space="preserve">requests that the Commission consider </w:t>
      </w:r>
      <w:r w:rsidR="00F85584">
        <w:rPr>
          <w:rFonts w:ascii="Times New Roman" w:hAnsi="Times New Roman"/>
          <w:sz w:val="24"/>
          <w:szCs w:val="24"/>
        </w:rPr>
        <w:t xml:space="preserve">removing the provision that gifting of </w:t>
      </w:r>
      <w:r w:rsidR="009E20BC">
        <w:rPr>
          <w:rFonts w:ascii="Times New Roman" w:hAnsi="Times New Roman"/>
          <w:sz w:val="24"/>
          <w:szCs w:val="24"/>
        </w:rPr>
        <w:t>EVSE</w:t>
      </w:r>
      <w:r w:rsidR="00F85584">
        <w:rPr>
          <w:rFonts w:ascii="Times New Roman" w:hAnsi="Times New Roman"/>
          <w:sz w:val="24"/>
          <w:szCs w:val="24"/>
        </w:rPr>
        <w:t xml:space="preserve"> will be determined on a case-by-case basis.  </w:t>
      </w:r>
      <w:r w:rsidR="009E20BC">
        <w:rPr>
          <w:rFonts w:ascii="Times New Roman" w:hAnsi="Times New Roman"/>
          <w:sz w:val="24"/>
          <w:szCs w:val="24"/>
        </w:rPr>
        <w:t>As</w:t>
      </w:r>
      <w:r w:rsidR="00F85584">
        <w:rPr>
          <w:rFonts w:ascii="Times New Roman" w:hAnsi="Times New Roman"/>
          <w:sz w:val="24"/>
          <w:szCs w:val="24"/>
        </w:rPr>
        <w:t xml:space="preserve"> long as a utility’s plans for gifting at the end of the EVSE depreciable life</w:t>
      </w:r>
      <w:r w:rsidR="009E20BC">
        <w:rPr>
          <w:rFonts w:ascii="Times New Roman" w:hAnsi="Times New Roman"/>
          <w:sz w:val="24"/>
          <w:szCs w:val="24"/>
        </w:rPr>
        <w:t xml:space="preserve"> align with the guidance provided in the</w:t>
      </w:r>
      <w:r>
        <w:rPr>
          <w:rFonts w:ascii="Times New Roman" w:hAnsi="Times New Roman"/>
          <w:sz w:val="24"/>
          <w:szCs w:val="24"/>
        </w:rPr>
        <w:t xml:space="preserve"> final</w:t>
      </w:r>
      <w:r w:rsidR="009E20BC">
        <w:rPr>
          <w:rFonts w:ascii="Times New Roman" w:hAnsi="Times New Roman"/>
          <w:sz w:val="24"/>
          <w:szCs w:val="24"/>
        </w:rPr>
        <w:t xml:space="preserve"> policy statement</w:t>
      </w:r>
      <w:r w:rsidR="00F85584">
        <w:rPr>
          <w:rFonts w:ascii="Times New Roman" w:hAnsi="Times New Roman"/>
          <w:sz w:val="24"/>
          <w:szCs w:val="24"/>
        </w:rPr>
        <w:t xml:space="preserve">, it seems that a request to gift EVSE and </w:t>
      </w:r>
      <w:r w:rsidR="000F32A5">
        <w:rPr>
          <w:rFonts w:ascii="Times New Roman" w:hAnsi="Times New Roman"/>
          <w:sz w:val="24"/>
          <w:szCs w:val="24"/>
        </w:rPr>
        <w:t xml:space="preserve">a </w:t>
      </w:r>
      <w:r w:rsidR="00F85584">
        <w:rPr>
          <w:rFonts w:ascii="Times New Roman" w:hAnsi="Times New Roman"/>
          <w:sz w:val="24"/>
          <w:szCs w:val="24"/>
        </w:rPr>
        <w:t xml:space="preserve">decision by the Commission on a case-by-case basis is not necessary.  </w:t>
      </w:r>
    </w:p>
    <w:p w:rsidR="008F073C" w:rsidRDefault="008F073C" w:rsidP="00A85460">
      <w:pPr>
        <w:pStyle w:val="NoSpacing"/>
        <w:spacing w:line="360" w:lineRule="auto"/>
        <w:jc w:val="both"/>
        <w:rPr>
          <w:rFonts w:ascii="Times New Roman" w:hAnsi="Times New Roman"/>
          <w:sz w:val="24"/>
          <w:szCs w:val="24"/>
        </w:rPr>
      </w:pPr>
    </w:p>
    <w:p w:rsidR="001C5FB0" w:rsidRDefault="001C5FB0" w:rsidP="00A85460">
      <w:pPr>
        <w:pStyle w:val="NoSpacing"/>
        <w:spacing w:line="360" w:lineRule="auto"/>
        <w:jc w:val="both"/>
        <w:rPr>
          <w:rFonts w:ascii="Times New Roman" w:hAnsi="Times New Roman"/>
          <w:sz w:val="24"/>
          <w:szCs w:val="24"/>
        </w:rPr>
      </w:pPr>
      <w:r>
        <w:rPr>
          <w:rFonts w:ascii="Times New Roman" w:hAnsi="Times New Roman"/>
          <w:sz w:val="24"/>
          <w:szCs w:val="24"/>
        </w:rPr>
        <w:lastRenderedPageBreak/>
        <w:tab/>
        <w:t xml:space="preserve">The last item covered as it relates to electrical companies offering electrical vehicle charging as a regulated service is the eligibility for the incentive rate of return described in RCW 80.28.360.  </w:t>
      </w:r>
      <w:r w:rsidR="000B04F1">
        <w:rPr>
          <w:rFonts w:ascii="Times New Roman" w:hAnsi="Times New Roman"/>
          <w:sz w:val="24"/>
          <w:szCs w:val="24"/>
        </w:rPr>
        <w:t>T</w:t>
      </w:r>
      <w:r w:rsidR="00042D25">
        <w:rPr>
          <w:rFonts w:ascii="Times New Roman" w:hAnsi="Times New Roman"/>
          <w:sz w:val="24"/>
          <w:szCs w:val="24"/>
        </w:rPr>
        <w:t xml:space="preserve">he Company agrees with the conclusions drawn on the eligibility and application for the incentive rate of return in the draft policy statement.  </w:t>
      </w:r>
    </w:p>
    <w:p w:rsidR="00A85460" w:rsidRDefault="00A85460" w:rsidP="00A85460">
      <w:pPr>
        <w:pStyle w:val="NoSpacing"/>
        <w:spacing w:line="360" w:lineRule="auto"/>
        <w:jc w:val="both"/>
        <w:rPr>
          <w:rFonts w:ascii="Times New Roman" w:hAnsi="Times New Roman"/>
          <w:b/>
          <w:sz w:val="24"/>
          <w:szCs w:val="24"/>
        </w:rPr>
      </w:pPr>
    </w:p>
    <w:p w:rsidR="00A85460" w:rsidRPr="00407F9D" w:rsidRDefault="00407F9D" w:rsidP="00407F9D">
      <w:pPr>
        <w:pStyle w:val="NoSpacing"/>
        <w:spacing w:line="360" w:lineRule="auto"/>
        <w:jc w:val="center"/>
        <w:rPr>
          <w:rFonts w:ascii="Times New Roman" w:hAnsi="Times New Roman"/>
          <w:b/>
          <w:sz w:val="28"/>
          <w:szCs w:val="24"/>
        </w:rPr>
      </w:pPr>
      <w:r w:rsidRPr="00407F9D">
        <w:rPr>
          <w:rFonts w:ascii="Times New Roman" w:hAnsi="Times New Roman"/>
          <w:b/>
          <w:sz w:val="28"/>
          <w:szCs w:val="24"/>
        </w:rPr>
        <w:t>Part II – Policies to Improve Access to and Promote Fair Competition in the Provision of Electric Vehicle Charging Services</w:t>
      </w:r>
    </w:p>
    <w:p w:rsidR="00EB2F97" w:rsidRDefault="00EB2F97" w:rsidP="00A85460">
      <w:pPr>
        <w:pStyle w:val="NoSpacing"/>
        <w:spacing w:line="360" w:lineRule="auto"/>
        <w:jc w:val="both"/>
        <w:rPr>
          <w:rFonts w:ascii="Times New Roman" w:hAnsi="Times New Roman"/>
          <w:b/>
          <w:sz w:val="24"/>
          <w:szCs w:val="24"/>
        </w:rPr>
      </w:pPr>
    </w:p>
    <w:p w:rsidR="00CB5A54" w:rsidRDefault="000A5B43" w:rsidP="00CB5A54">
      <w:pPr>
        <w:pStyle w:val="NoSpacing"/>
        <w:spacing w:line="360" w:lineRule="auto"/>
        <w:jc w:val="both"/>
        <w:rPr>
          <w:rFonts w:ascii="Times New Roman" w:hAnsi="Times New Roman"/>
          <w:sz w:val="24"/>
          <w:szCs w:val="24"/>
        </w:rPr>
      </w:pPr>
      <w:r>
        <w:rPr>
          <w:rFonts w:ascii="Times New Roman" w:hAnsi="Times New Roman"/>
          <w:b/>
          <w:sz w:val="24"/>
          <w:szCs w:val="24"/>
        </w:rPr>
        <w:tab/>
      </w:r>
      <w:r w:rsidR="00CB5A54">
        <w:rPr>
          <w:rFonts w:ascii="Times New Roman" w:hAnsi="Times New Roman"/>
          <w:sz w:val="24"/>
          <w:szCs w:val="24"/>
        </w:rPr>
        <w:t>Electric utility EVSE programs</w:t>
      </w:r>
      <w:r w:rsidR="009B3764">
        <w:rPr>
          <w:rFonts w:ascii="Times New Roman" w:hAnsi="Times New Roman"/>
          <w:sz w:val="24"/>
          <w:szCs w:val="24"/>
        </w:rPr>
        <w:t>, similar to current non-utility program</w:t>
      </w:r>
      <w:r w:rsidR="00EF6A5C">
        <w:rPr>
          <w:rFonts w:ascii="Times New Roman" w:hAnsi="Times New Roman"/>
          <w:sz w:val="24"/>
          <w:szCs w:val="24"/>
        </w:rPr>
        <w:t>s</w:t>
      </w:r>
      <w:r w:rsidR="009B3764">
        <w:rPr>
          <w:rFonts w:ascii="Times New Roman" w:hAnsi="Times New Roman"/>
          <w:sz w:val="24"/>
          <w:szCs w:val="24"/>
        </w:rPr>
        <w:t xml:space="preserve"> and the competitive marketplace,</w:t>
      </w:r>
      <w:r w:rsidR="00CB5A54">
        <w:rPr>
          <w:rFonts w:ascii="Times New Roman" w:hAnsi="Times New Roman"/>
          <w:sz w:val="24"/>
          <w:szCs w:val="24"/>
        </w:rPr>
        <w:t xml:space="preserve"> are key to enabling EV adoption that results in benefits to all utility customers and the people of Washington State.  Avista’s EVSE Pilot Program was designed to align with State policy goals to achieve societal benefits, be responsive to its customers, and address critical EV adoption barriers.</w:t>
      </w:r>
      <w:r w:rsidR="009B3764">
        <w:rPr>
          <w:rFonts w:ascii="Times New Roman" w:hAnsi="Times New Roman"/>
          <w:sz w:val="24"/>
          <w:szCs w:val="24"/>
        </w:rPr>
        <w:t xml:space="preserve">  Prior to the start program of the program there were very few EVSE in the Company’s service territory.  The program was designed to be one step towards </w:t>
      </w:r>
      <w:r w:rsidR="00EF6A5C">
        <w:rPr>
          <w:rFonts w:ascii="Times New Roman" w:hAnsi="Times New Roman"/>
          <w:sz w:val="24"/>
          <w:szCs w:val="24"/>
        </w:rPr>
        <w:t xml:space="preserve">achieving </w:t>
      </w:r>
      <w:r w:rsidR="009B3764">
        <w:rPr>
          <w:rFonts w:ascii="Times New Roman" w:hAnsi="Times New Roman"/>
          <w:sz w:val="24"/>
          <w:szCs w:val="24"/>
        </w:rPr>
        <w:t>the charging infrastructure needed in its territory, while providing</w:t>
      </w:r>
      <w:r w:rsidR="00CB5A54">
        <w:rPr>
          <w:rFonts w:ascii="Times New Roman" w:hAnsi="Times New Roman"/>
          <w:sz w:val="24"/>
          <w:szCs w:val="24"/>
        </w:rPr>
        <w:t xml:space="preserve"> an important channel for learning and pav</w:t>
      </w:r>
      <w:r w:rsidR="00EF6A5C">
        <w:rPr>
          <w:rFonts w:ascii="Times New Roman" w:hAnsi="Times New Roman"/>
          <w:sz w:val="24"/>
          <w:szCs w:val="24"/>
        </w:rPr>
        <w:t>ing</w:t>
      </w:r>
      <w:r w:rsidR="00CB5A54">
        <w:rPr>
          <w:rFonts w:ascii="Times New Roman" w:hAnsi="Times New Roman"/>
          <w:sz w:val="24"/>
          <w:szCs w:val="24"/>
        </w:rPr>
        <w:t xml:space="preserve"> the way for cost-effective off-peak charging, improved system planning, and ultimately lower life-cycle costs of grid infrastructure.  The main barriers to further adoption of EVs noted in the draft policy statement are vehicle purchase price, driving range, charging availability, and consumer awareness.</w:t>
      </w:r>
      <w:r w:rsidR="00CB5A54">
        <w:rPr>
          <w:rStyle w:val="FootnoteReference"/>
          <w:rFonts w:ascii="Times New Roman" w:hAnsi="Times New Roman"/>
          <w:sz w:val="24"/>
          <w:szCs w:val="24"/>
        </w:rPr>
        <w:footnoteReference w:id="6"/>
      </w:r>
      <w:r w:rsidR="00CB5A54">
        <w:rPr>
          <w:rFonts w:ascii="Times New Roman" w:hAnsi="Times New Roman"/>
          <w:sz w:val="24"/>
          <w:szCs w:val="24"/>
        </w:rPr>
        <w:t xml:space="preserve">  Avista would agree that utilities are most naturally positioned to address the barriers of charging availability and consumer awareness</w:t>
      </w:r>
      <w:r w:rsidR="002E24F3">
        <w:rPr>
          <w:rFonts w:ascii="Times New Roman" w:hAnsi="Times New Roman"/>
          <w:sz w:val="24"/>
          <w:szCs w:val="24"/>
        </w:rPr>
        <w:t>, but not the sole entity needed to overcome these barriers</w:t>
      </w:r>
      <w:r w:rsidR="00CB5A54">
        <w:rPr>
          <w:rFonts w:ascii="Times New Roman" w:hAnsi="Times New Roman"/>
          <w:sz w:val="24"/>
          <w:szCs w:val="24"/>
        </w:rPr>
        <w:t>.</w:t>
      </w:r>
      <w:r w:rsidR="00CB5A54">
        <w:rPr>
          <w:rStyle w:val="FootnoteReference"/>
          <w:rFonts w:ascii="Times New Roman" w:hAnsi="Times New Roman"/>
          <w:sz w:val="24"/>
          <w:szCs w:val="24"/>
        </w:rPr>
        <w:footnoteReference w:id="7"/>
      </w:r>
      <w:r w:rsidR="00CB5A54">
        <w:rPr>
          <w:rFonts w:ascii="Times New Roman" w:hAnsi="Times New Roman"/>
          <w:sz w:val="24"/>
          <w:szCs w:val="24"/>
        </w:rPr>
        <w:t xml:space="preserve">  Over time, as technologies improve and more consumers become aware of the benefits of EVs, consumer demand should increase, which may act to further improve </w:t>
      </w:r>
      <w:r w:rsidR="000A1440">
        <w:rPr>
          <w:rFonts w:ascii="Times New Roman" w:hAnsi="Times New Roman"/>
          <w:sz w:val="24"/>
          <w:szCs w:val="24"/>
        </w:rPr>
        <w:t>vehicle availability</w:t>
      </w:r>
      <w:r w:rsidR="00CB5A54">
        <w:rPr>
          <w:rFonts w:ascii="Times New Roman" w:hAnsi="Times New Roman"/>
          <w:sz w:val="24"/>
          <w:szCs w:val="24"/>
        </w:rPr>
        <w:t>, driving ranges and purchase prices.</w:t>
      </w:r>
    </w:p>
    <w:p w:rsidR="00CB5A54" w:rsidRDefault="00CB5A54" w:rsidP="00CB5A54">
      <w:pPr>
        <w:pStyle w:val="NoSpacing"/>
        <w:spacing w:line="360" w:lineRule="auto"/>
        <w:jc w:val="both"/>
        <w:rPr>
          <w:rFonts w:ascii="Times New Roman" w:hAnsi="Times New Roman"/>
          <w:sz w:val="24"/>
          <w:szCs w:val="24"/>
        </w:rPr>
      </w:pPr>
    </w:p>
    <w:p w:rsidR="00CB5A54" w:rsidRDefault="00CB5A54" w:rsidP="00CB5A54">
      <w:pPr>
        <w:pStyle w:val="NoSpacing"/>
        <w:spacing w:line="360" w:lineRule="auto"/>
        <w:jc w:val="both"/>
        <w:rPr>
          <w:rFonts w:ascii="Times New Roman" w:hAnsi="Times New Roman"/>
          <w:sz w:val="24"/>
          <w:szCs w:val="24"/>
        </w:rPr>
      </w:pPr>
      <w:r>
        <w:rPr>
          <w:rFonts w:ascii="Times New Roman" w:hAnsi="Times New Roman"/>
          <w:sz w:val="24"/>
          <w:szCs w:val="24"/>
        </w:rPr>
        <w:tab/>
        <w:t>Utilities will play a critical r</w:t>
      </w:r>
      <w:r w:rsidR="000A1440">
        <w:rPr>
          <w:rFonts w:ascii="Times New Roman" w:hAnsi="Times New Roman"/>
          <w:sz w:val="24"/>
          <w:szCs w:val="24"/>
        </w:rPr>
        <w:t>ole in market transformation as it relates to</w:t>
      </w:r>
      <w:r>
        <w:rPr>
          <w:rFonts w:ascii="Times New Roman" w:hAnsi="Times New Roman"/>
          <w:sz w:val="24"/>
          <w:szCs w:val="24"/>
        </w:rPr>
        <w:t xml:space="preserve"> transportation electrification, but they cannot accomplish this alone.</w:t>
      </w:r>
      <w:r w:rsidR="009B3764">
        <w:rPr>
          <w:rFonts w:ascii="Times New Roman" w:hAnsi="Times New Roman"/>
          <w:sz w:val="24"/>
          <w:szCs w:val="24"/>
        </w:rPr>
        <w:t xml:space="preserve">  Additional stakeholders</w:t>
      </w:r>
      <w:r w:rsidR="002E24F3">
        <w:rPr>
          <w:rFonts w:ascii="Times New Roman" w:hAnsi="Times New Roman"/>
          <w:sz w:val="24"/>
          <w:szCs w:val="24"/>
        </w:rPr>
        <w:t xml:space="preserve"> and third-parties through a competitive market</w:t>
      </w:r>
      <w:r w:rsidR="009B3764">
        <w:rPr>
          <w:rFonts w:ascii="Times New Roman" w:hAnsi="Times New Roman"/>
          <w:sz w:val="24"/>
          <w:szCs w:val="24"/>
        </w:rPr>
        <w:t xml:space="preserve"> will</w:t>
      </w:r>
      <w:r w:rsidR="00E36584">
        <w:rPr>
          <w:rFonts w:ascii="Times New Roman" w:hAnsi="Times New Roman"/>
          <w:sz w:val="24"/>
          <w:szCs w:val="24"/>
        </w:rPr>
        <w:t xml:space="preserve"> also</w:t>
      </w:r>
      <w:r w:rsidR="009B3764">
        <w:rPr>
          <w:rFonts w:ascii="Times New Roman" w:hAnsi="Times New Roman"/>
          <w:sz w:val="24"/>
          <w:szCs w:val="24"/>
        </w:rPr>
        <w:t xml:space="preserve"> need to play a role in building out infrastructure to support EV charging services to meet the needs of a transformed market.</w:t>
      </w:r>
      <w:r>
        <w:rPr>
          <w:rFonts w:ascii="Times New Roman" w:hAnsi="Times New Roman"/>
          <w:sz w:val="24"/>
          <w:szCs w:val="24"/>
        </w:rPr>
        <w:t xml:space="preserve">  One of the barriers to EV </w:t>
      </w:r>
      <w:r>
        <w:rPr>
          <w:rFonts w:ascii="Times New Roman" w:hAnsi="Times New Roman"/>
          <w:sz w:val="24"/>
          <w:szCs w:val="24"/>
        </w:rPr>
        <w:lastRenderedPageBreak/>
        <w:t>adoption is the access to DC Fast Chargers that enable long distance travel.  To help alleviate this barrier in its service territory, Avista is installing seven DC Fast Chargers as part of its EVSE Pilot Program.  Site selection is important to maximize utilization and support the electrification of key travel corridors.  Avista appreciates the opportunity to consult with the Washington State Department of Transportation (WSDOT) on the location of its DC Fast Chargers, as it is important to ensure that Avista’s plans align with WS</w:t>
      </w:r>
      <w:r w:rsidR="000A1440">
        <w:rPr>
          <w:rFonts w:ascii="Times New Roman" w:hAnsi="Times New Roman"/>
          <w:sz w:val="24"/>
          <w:szCs w:val="24"/>
        </w:rPr>
        <w:t xml:space="preserve">DOT’s </w:t>
      </w:r>
      <w:r>
        <w:rPr>
          <w:rFonts w:ascii="Times New Roman" w:hAnsi="Times New Roman"/>
          <w:sz w:val="24"/>
          <w:szCs w:val="24"/>
        </w:rPr>
        <w:t>plans.  Avista agrees with the directive in the draft policy statement that utilities should consult WSDOT on offerings that include DC Fast Charging.</w:t>
      </w:r>
    </w:p>
    <w:p w:rsidR="00CB5A54" w:rsidRDefault="00CB5A54" w:rsidP="00CB5A54">
      <w:pPr>
        <w:pStyle w:val="NoSpacing"/>
        <w:spacing w:line="360" w:lineRule="auto"/>
        <w:jc w:val="both"/>
        <w:rPr>
          <w:rFonts w:ascii="Times New Roman" w:hAnsi="Times New Roman"/>
          <w:b/>
          <w:sz w:val="24"/>
          <w:szCs w:val="24"/>
        </w:rPr>
      </w:pPr>
      <w:r>
        <w:rPr>
          <w:rFonts w:ascii="Times New Roman" w:hAnsi="Times New Roman"/>
          <w:sz w:val="24"/>
          <w:szCs w:val="24"/>
        </w:rPr>
        <w:tab/>
      </w:r>
    </w:p>
    <w:p w:rsidR="004200EF" w:rsidRDefault="00CB5A54" w:rsidP="00CB5A54">
      <w:pPr>
        <w:pStyle w:val="NoSpacing"/>
        <w:spacing w:line="360" w:lineRule="auto"/>
        <w:ind w:firstLine="720"/>
        <w:jc w:val="both"/>
        <w:rPr>
          <w:rFonts w:ascii="Times New Roman" w:hAnsi="Times New Roman"/>
          <w:sz w:val="24"/>
          <w:szCs w:val="24"/>
        </w:rPr>
      </w:pPr>
      <w:r>
        <w:rPr>
          <w:rFonts w:ascii="Times New Roman" w:hAnsi="Times New Roman"/>
          <w:sz w:val="24"/>
          <w:szCs w:val="24"/>
        </w:rPr>
        <w:t>Utilities can best serve all customers in their service territories by offering EVSE programs that provide a range of options that are tailored to a variety of customer needs and provide the greatest overall system benefits.  A regulatory policy supporting a portfolio approach as outlined in the draft policy statement can help ensure that utilities offer such long-term programs in a way that is effective, flexible</w:t>
      </w:r>
      <w:r w:rsidR="000A1440">
        <w:rPr>
          <w:rFonts w:ascii="Times New Roman" w:hAnsi="Times New Roman"/>
          <w:sz w:val="24"/>
          <w:szCs w:val="24"/>
        </w:rPr>
        <w:t xml:space="preserve">, </w:t>
      </w:r>
      <w:r>
        <w:rPr>
          <w:rFonts w:ascii="Times New Roman" w:hAnsi="Times New Roman"/>
          <w:sz w:val="24"/>
          <w:szCs w:val="24"/>
        </w:rPr>
        <w:t xml:space="preserve">and continuously improving, while appropriately promoting customer choice, innovation and healthy competition in the industry. </w:t>
      </w:r>
      <w:r w:rsidR="000A1440">
        <w:rPr>
          <w:rFonts w:ascii="Times New Roman" w:hAnsi="Times New Roman"/>
          <w:sz w:val="24"/>
          <w:szCs w:val="24"/>
        </w:rPr>
        <w:t xml:space="preserve"> This can cover a broad range</w:t>
      </w:r>
      <w:r>
        <w:rPr>
          <w:rFonts w:ascii="Times New Roman" w:hAnsi="Times New Roman"/>
          <w:sz w:val="24"/>
          <w:szCs w:val="24"/>
        </w:rPr>
        <w:t xml:space="preserve"> of utility products and services, from a “provider” of EV charging services on one end </w:t>
      </w:r>
      <w:r w:rsidR="000A1440">
        <w:rPr>
          <w:rFonts w:ascii="Times New Roman" w:hAnsi="Times New Roman"/>
          <w:sz w:val="24"/>
          <w:szCs w:val="24"/>
        </w:rPr>
        <w:t xml:space="preserve">of the spectrum </w:t>
      </w:r>
      <w:r>
        <w:rPr>
          <w:rFonts w:ascii="Times New Roman" w:hAnsi="Times New Roman"/>
          <w:sz w:val="24"/>
          <w:szCs w:val="24"/>
        </w:rPr>
        <w:t>where the utility owns and operates the entirety of charging infrastructure, to a “manager” of EV charging services where the customer owns the infrastructure</w:t>
      </w:r>
      <w:r w:rsidR="005E2932">
        <w:rPr>
          <w:rFonts w:ascii="Times New Roman" w:hAnsi="Times New Roman"/>
          <w:sz w:val="24"/>
          <w:szCs w:val="24"/>
        </w:rPr>
        <w:t xml:space="preserve"> provided by a third-party</w:t>
      </w:r>
      <w:r>
        <w:rPr>
          <w:rFonts w:ascii="Times New Roman" w:hAnsi="Times New Roman"/>
          <w:sz w:val="24"/>
          <w:szCs w:val="24"/>
        </w:rPr>
        <w:t xml:space="preserve"> and the utility provides ancillary services such as managed charging.  The proper scope and scale of these product and service offerings depends on the specific nature and state of EV adoption in a given service territory.  </w:t>
      </w:r>
    </w:p>
    <w:p w:rsidR="004200EF" w:rsidRDefault="004200EF" w:rsidP="00CB5A54">
      <w:pPr>
        <w:pStyle w:val="NoSpacing"/>
        <w:spacing w:line="360" w:lineRule="auto"/>
        <w:ind w:firstLine="720"/>
        <w:jc w:val="both"/>
        <w:rPr>
          <w:rFonts w:ascii="Times New Roman" w:hAnsi="Times New Roman"/>
          <w:sz w:val="24"/>
          <w:szCs w:val="24"/>
        </w:rPr>
      </w:pPr>
    </w:p>
    <w:p w:rsidR="00CB5A54" w:rsidRPr="00937935" w:rsidRDefault="00CB5A54" w:rsidP="00CB5A54">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In the early phases of EV adoption, a relatively simple program that does not offer a full </w:t>
      </w:r>
      <w:r w:rsidR="000A1440">
        <w:rPr>
          <w:rFonts w:ascii="Times New Roman" w:hAnsi="Times New Roman"/>
          <w:sz w:val="24"/>
          <w:szCs w:val="24"/>
        </w:rPr>
        <w:t>range</w:t>
      </w:r>
      <w:r>
        <w:rPr>
          <w:rFonts w:ascii="Times New Roman" w:hAnsi="Times New Roman"/>
          <w:sz w:val="24"/>
          <w:szCs w:val="24"/>
        </w:rPr>
        <w:t xml:space="preserve"> of products and services may be most appropriate, which effectively addresses early barriers while minimizing costs.  Over time, customer needs will change and utility programs should adjust and expand to accommodate the growing needs and variety of customer segments in their service territory, providing greater customer choice and overall value in the portfolio.  This may include “hybrid” programs which are a blend of the “provider” and “manager” ends of the spectrum, e.g. EVSE installed and owned by the utility with managed charging, while costs and ownership of other premises wiring and related equipment are retained by the property owner.</w:t>
      </w:r>
      <w:r w:rsidR="00A55F8B">
        <w:rPr>
          <w:rFonts w:ascii="Times New Roman" w:hAnsi="Times New Roman"/>
          <w:sz w:val="24"/>
          <w:szCs w:val="24"/>
        </w:rPr>
        <w:t xml:space="preserve">  Such a scenario </w:t>
      </w:r>
      <w:r w:rsidR="00A55F8B">
        <w:rPr>
          <w:rFonts w:ascii="Times New Roman" w:hAnsi="Times New Roman"/>
          <w:sz w:val="24"/>
          <w:szCs w:val="24"/>
        </w:rPr>
        <w:lastRenderedPageBreak/>
        <w:t>may include customer</w:t>
      </w:r>
      <w:r w:rsidR="00E36584">
        <w:rPr>
          <w:rFonts w:ascii="Times New Roman" w:hAnsi="Times New Roman"/>
          <w:sz w:val="24"/>
          <w:szCs w:val="24"/>
        </w:rPr>
        <w:t>s</w:t>
      </w:r>
      <w:r w:rsidR="00A55F8B">
        <w:rPr>
          <w:rFonts w:ascii="Times New Roman" w:hAnsi="Times New Roman"/>
          <w:sz w:val="24"/>
          <w:szCs w:val="24"/>
        </w:rPr>
        <w:t xml:space="preserve"> selecting the type of equipment they would like to have installed directly from a third-party.</w:t>
      </w:r>
      <w:r>
        <w:rPr>
          <w:rFonts w:ascii="Times New Roman" w:hAnsi="Times New Roman"/>
          <w:sz w:val="24"/>
          <w:szCs w:val="24"/>
        </w:rPr>
        <w:t xml:space="preserve">  Utilities must be dedicated to provide an excellent customer experience, grounded in a deep understanding of customer needs that is based on experience.  If customers know that they can depend on the utility to provide an excellent product and service that is tailored to them and reliably supported over time, that will go a long way to reducing perceived risks, alleviating concerns, and accelerating EV adoption.  Through competitive RFP bidding processes and assurance of interoperable equipment and backend network platforms, the utility can also promote innovation</w:t>
      </w:r>
      <w:r w:rsidR="005E2932">
        <w:rPr>
          <w:rFonts w:ascii="Times New Roman" w:hAnsi="Times New Roman"/>
          <w:sz w:val="24"/>
          <w:szCs w:val="24"/>
        </w:rPr>
        <w:t xml:space="preserve"> and competition</w:t>
      </w:r>
      <w:r>
        <w:rPr>
          <w:rFonts w:ascii="Times New Roman" w:hAnsi="Times New Roman"/>
          <w:sz w:val="24"/>
          <w:szCs w:val="24"/>
        </w:rPr>
        <w:t xml:space="preserve"> in the industry and effectively bring reliable, high-value </w:t>
      </w:r>
      <w:r w:rsidR="000A1440">
        <w:rPr>
          <w:rFonts w:ascii="Times New Roman" w:hAnsi="Times New Roman"/>
          <w:sz w:val="24"/>
          <w:szCs w:val="24"/>
        </w:rPr>
        <w:t xml:space="preserve">products and services to market, </w:t>
      </w:r>
      <w:r>
        <w:rPr>
          <w:rFonts w:ascii="Times New Roman" w:hAnsi="Times New Roman"/>
          <w:sz w:val="24"/>
          <w:szCs w:val="24"/>
        </w:rPr>
        <w:t xml:space="preserve">while minimizing costs and protecting the interests of all </w:t>
      </w:r>
      <w:r w:rsidR="000A1440">
        <w:rPr>
          <w:rFonts w:ascii="Times New Roman" w:hAnsi="Times New Roman"/>
          <w:sz w:val="24"/>
          <w:szCs w:val="24"/>
        </w:rPr>
        <w:t xml:space="preserve">electric </w:t>
      </w:r>
      <w:r>
        <w:rPr>
          <w:rFonts w:ascii="Times New Roman" w:hAnsi="Times New Roman"/>
          <w:sz w:val="24"/>
          <w:szCs w:val="24"/>
        </w:rPr>
        <w:t>customers.</w:t>
      </w:r>
    </w:p>
    <w:p w:rsidR="00CB5A54" w:rsidRDefault="00CB5A54" w:rsidP="00CB5A54">
      <w:pPr>
        <w:pStyle w:val="NoSpacing"/>
        <w:spacing w:line="360" w:lineRule="auto"/>
        <w:jc w:val="both"/>
        <w:rPr>
          <w:rFonts w:ascii="Times New Roman" w:hAnsi="Times New Roman"/>
          <w:b/>
          <w:sz w:val="24"/>
          <w:szCs w:val="24"/>
        </w:rPr>
      </w:pPr>
    </w:p>
    <w:p w:rsidR="00CB5A54" w:rsidRPr="008001AA" w:rsidRDefault="00CB5A54" w:rsidP="00CB5A54">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The Company intends to include effective load management as a prioritized component of future EVSE programs.  In the next several years, existing grid assets can handle the peak loads from EV charging without significant investments in new distribution or capacity infrastructure.  Over the long term, however, the peak loads from EVs could become significant if left unmanaged, driving up infrastructure costs for all customers.  </w:t>
      </w:r>
      <w:r w:rsidR="00916838">
        <w:rPr>
          <w:rFonts w:ascii="Times New Roman" w:hAnsi="Times New Roman"/>
          <w:sz w:val="24"/>
          <w:szCs w:val="24"/>
        </w:rPr>
        <w:t>Because of the potential long term impacts of EV charging, i</w:t>
      </w:r>
      <w:r>
        <w:rPr>
          <w:rFonts w:ascii="Times New Roman" w:hAnsi="Times New Roman"/>
          <w:sz w:val="24"/>
          <w:szCs w:val="24"/>
        </w:rPr>
        <w:t xml:space="preserve">t </w:t>
      </w:r>
      <w:r w:rsidR="00E36584">
        <w:rPr>
          <w:rFonts w:ascii="Times New Roman" w:hAnsi="Times New Roman"/>
          <w:sz w:val="24"/>
          <w:szCs w:val="24"/>
        </w:rPr>
        <w:t>is</w:t>
      </w:r>
      <w:r>
        <w:rPr>
          <w:rFonts w:ascii="Times New Roman" w:hAnsi="Times New Roman"/>
          <w:sz w:val="24"/>
          <w:szCs w:val="24"/>
        </w:rPr>
        <w:t xml:space="preserve"> in the interest of all customers </w:t>
      </w:r>
      <w:r w:rsidR="00E36584">
        <w:rPr>
          <w:rFonts w:ascii="Times New Roman" w:hAnsi="Times New Roman"/>
          <w:sz w:val="24"/>
          <w:szCs w:val="24"/>
        </w:rPr>
        <w:t xml:space="preserve">for utilities </w:t>
      </w:r>
      <w:r>
        <w:rPr>
          <w:rFonts w:ascii="Times New Roman" w:hAnsi="Times New Roman"/>
          <w:sz w:val="24"/>
          <w:szCs w:val="24"/>
        </w:rPr>
        <w:t xml:space="preserve">to </w:t>
      </w:r>
      <w:r w:rsidR="00916838">
        <w:rPr>
          <w:rFonts w:ascii="Times New Roman" w:hAnsi="Times New Roman"/>
          <w:sz w:val="24"/>
          <w:szCs w:val="24"/>
        </w:rPr>
        <w:t xml:space="preserve">retain flexibility to </w:t>
      </w:r>
      <w:r w:rsidR="006717FB">
        <w:rPr>
          <w:rFonts w:ascii="Times New Roman" w:hAnsi="Times New Roman"/>
          <w:sz w:val="24"/>
          <w:szCs w:val="24"/>
        </w:rPr>
        <w:t xml:space="preserve">design programs that both </w:t>
      </w:r>
      <w:r>
        <w:rPr>
          <w:rFonts w:ascii="Times New Roman" w:hAnsi="Times New Roman"/>
          <w:sz w:val="24"/>
          <w:szCs w:val="24"/>
        </w:rPr>
        <w:t>develop load manageme</w:t>
      </w:r>
      <w:r w:rsidR="000A1440">
        <w:rPr>
          <w:rFonts w:ascii="Times New Roman" w:hAnsi="Times New Roman"/>
          <w:sz w:val="24"/>
          <w:szCs w:val="24"/>
        </w:rPr>
        <w:t xml:space="preserve">nt capabilities </w:t>
      </w:r>
      <w:r w:rsidR="006717FB">
        <w:rPr>
          <w:rFonts w:ascii="Times New Roman" w:hAnsi="Times New Roman"/>
          <w:sz w:val="24"/>
          <w:szCs w:val="24"/>
        </w:rPr>
        <w:t xml:space="preserve">in the near term </w:t>
      </w:r>
      <w:r w:rsidR="000A1440">
        <w:rPr>
          <w:rFonts w:ascii="Times New Roman" w:hAnsi="Times New Roman"/>
          <w:sz w:val="24"/>
          <w:szCs w:val="24"/>
        </w:rPr>
        <w:t>with networked EVSE, as well as program components that include non-networked EVS</w:t>
      </w:r>
      <w:r w:rsidR="006717FB">
        <w:rPr>
          <w:rFonts w:ascii="Times New Roman" w:hAnsi="Times New Roman"/>
          <w:sz w:val="24"/>
          <w:szCs w:val="24"/>
        </w:rPr>
        <w:t>E</w:t>
      </w:r>
      <w:r w:rsidR="00916838">
        <w:rPr>
          <w:rFonts w:ascii="Times New Roman" w:hAnsi="Times New Roman"/>
          <w:sz w:val="24"/>
          <w:szCs w:val="24"/>
        </w:rPr>
        <w:t xml:space="preserve"> in certain circumstances</w:t>
      </w:r>
      <w:r w:rsidR="006717FB">
        <w:rPr>
          <w:rFonts w:ascii="Times New Roman" w:hAnsi="Times New Roman"/>
          <w:sz w:val="24"/>
          <w:szCs w:val="24"/>
        </w:rPr>
        <w:t xml:space="preserve">.  </w:t>
      </w:r>
      <w:r w:rsidR="0084493F" w:rsidRPr="004869DB">
        <w:rPr>
          <w:rFonts w:ascii="Times New Roman" w:hAnsi="Times New Roman"/>
          <w:sz w:val="24"/>
          <w:szCs w:val="24"/>
        </w:rPr>
        <w:t xml:space="preserve">Technologies and methodologies will </w:t>
      </w:r>
      <w:r w:rsidR="004869DB">
        <w:rPr>
          <w:rFonts w:ascii="Times New Roman" w:hAnsi="Times New Roman"/>
          <w:sz w:val="24"/>
          <w:szCs w:val="24"/>
        </w:rPr>
        <w:t xml:space="preserve">continue to </w:t>
      </w:r>
      <w:r w:rsidR="0084493F" w:rsidRPr="004869DB">
        <w:rPr>
          <w:rFonts w:ascii="Times New Roman" w:hAnsi="Times New Roman"/>
          <w:sz w:val="24"/>
          <w:szCs w:val="24"/>
        </w:rPr>
        <w:t>develop and improve, for example in the areas of communication networks and the interfaces between utility systems, charging infrastructure, and the EVs themselves.</w:t>
      </w:r>
      <w:r w:rsidR="0084493F">
        <w:rPr>
          <w:rFonts w:ascii="Times New Roman" w:hAnsi="Times New Roman"/>
          <w:sz w:val="24"/>
          <w:szCs w:val="24"/>
        </w:rPr>
        <w:t xml:space="preserve">  Over time as</w:t>
      </w:r>
      <w:r w:rsidR="006717FB">
        <w:rPr>
          <w:rFonts w:ascii="Times New Roman" w:hAnsi="Times New Roman"/>
          <w:sz w:val="24"/>
          <w:szCs w:val="24"/>
        </w:rPr>
        <w:t xml:space="preserve"> </w:t>
      </w:r>
      <w:r w:rsidR="004869DB">
        <w:rPr>
          <w:rFonts w:ascii="Times New Roman" w:hAnsi="Times New Roman"/>
          <w:sz w:val="24"/>
          <w:szCs w:val="24"/>
        </w:rPr>
        <w:t xml:space="preserve">greater </w:t>
      </w:r>
      <w:r w:rsidR="006717FB">
        <w:rPr>
          <w:rFonts w:ascii="Times New Roman" w:hAnsi="Times New Roman"/>
          <w:sz w:val="24"/>
          <w:szCs w:val="24"/>
        </w:rPr>
        <w:t xml:space="preserve">knowledge </w:t>
      </w:r>
      <w:r w:rsidR="0084493F">
        <w:rPr>
          <w:rFonts w:ascii="Times New Roman" w:hAnsi="Times New Roman"/>
          <w:sz w:val="24"/>
          <w:szCs w:val="24"/>
        </w:rPr>
        <w:t xml:space="preserve">and capabilities are gained, </w:t>
      </w:r>
      <w:r w:rsidR="006717FB">
        <w:rPr>
          <w:rFonts w:ascii="Times New Roman" w:hAnsi="Times New Roman"/>
          <w:sz w:val="24"/>
          <w:szCs w:val="24"/>
        </w:rPr>
        <w:t xml:space="preserve">improvements may be </w:t>
      </w:r>
      <w:r w:rsidR="0084493F">
        <w:rPr>
          <w:rFonts w:ascii="Times New Roman" w:hAnsi="Times New Roman"/>
          <w:sz w:val="24"/>
          <w:szCs w:val="24"/>
        </w:rPr>
        <w:t>implemented</w:t>
      </w:r>
      <w:r w:rsidR="006717FB">
        <w:rPr>
          <w:rFonts w:ascii="Times New Roman" w:hAnsi="Times New Roman"/>
          <w:sz w:val="24"/>
          <w:szCs w:val="24"/>
        </w:rPr>
        <w:t xml:space="preserve"> that move toward optimization of costs and benefits in the overall EVSE portfolio</w:t>
      </w:r>
      <w:r w:rsidR="00916838">
        <w:rPr>
          <w:rFonts w:ascii="Times New Roman" w:hAnsi="Times New Roman"/>
          <w:sz w:val="24"/>
          <w:szCs w:val="24"/>
        </w:rPr>
        <w:t>, including load management</w:t>
      </w:r>
      <w:r w:rsidR="006717FB">
        <w:rPr>
          <w:rFonts w:ascii="Times New Roman" w:hAnsi="Times New Roman"/>
          <w:sz w:val="24"/>
          <w:szCs w:val="24"/>
        </w:rPr>
        <w:t>.</w:t>
      </w:r>
    </w:p>
    <w:p w:rsidR="00CB5A54" w:rsidRDefault="00CB5A54" w:rsidP="00CB5A54">
      <w:pPr>
        <w:pStyle w:val="NoSpacing"/>
        <w:spacing w:line="360" w:lineRule="auto"/>
        <w:jc w:val="both"/>
        <w:rPr>
          <w:rFonts w:ascii="Times New Roman" w:hAnsi="Times New Roman"/>
          <w:b/>
          <w:sz w:val="24"/>
          <w:szCs w:val="24"/>
        </w:rPr>
      </w:pPr>
    </w:p>
    <w:p w:rsidR="00CB5A54" w:rsidRPr="00FB4AAC" w:rsidRDefault="00CB5A54" w:rsidP="00CB5A54">
      <w:pPr>
        <w:pStyle w:val="NoSpacing"/>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Avista does not agree that low-income customers are not likely to benefit directly from access to EVSE during the market transformation phase.</w:t>
      </w:r>
      <w:r>
        <w:rPr>
          <w:rStyle w:val="FootnoteReference"/>
          <w:rFonts w:ascii="Times New Roman" w:hAnsi="Times New Roman"/>
          <w:sz w:val="24"/>
          <w:szCs w:val="24"/>
        </w:rPr>
        <w:footnoteReference w:id="8"/>
      </w:r>
      <w:r>
        <w:rPr>
          <w:rFonts w:ascii="Times New Roman" w:hAnsi="Times New Roman"/>
          <w:sz w:val="24"/>
          <w:szCs w:val="24"/>
        </w:rPr>
        <w:t xml:space="preserve">  Although this seems to be true at present, the cost of EVs are continuing to drop and the used EV market is getting larger.  A search of used Nissan Leafs in the areas of Spokane, Seattle, and Portland </w:t>
      </w:r>
      <w:r w:rsidR="006717FB">
        <w:rPr>
          <w:rFonts w:ascii="Times New Roman" w:hAnsi="Times New Roman"/>
          <w:sz w:val="24"/>
          <w:szCs w:val="24"/>
        </w:rPr>
        <w:t>sho</w:t>
      </w:r>
      <w:r w:rsidR="0084493F">
        <w:rPr>
          <w:rFonts w:ascii="Times New Roman" w:hAnsi="Times New Roman"/>
          <w:sz w:val="24"/>
          <w:szCs w:val="24"/>
        </w:rPr>
        <w:t>w</w:t>
      </w:r>
      <w:r w:rsidR="006717FB">
        <w:rPr>
          <w:rFonts w:ascii="Times New Roman" w:hAnsi="Times New Roman"/>
          <w:sz w:val="24"/>
          <w:szCs w:val="24"/>
        </w:rPr>
        <w:t>ed</w:t>
      </w:r>
      <w:r>
        <w:rPr>
          <w:rFonts w:ascii="Times New Roman" w:hAnsi="Times New Roman"/>
          <w:sz w:val="24"/>
          <w:szCs w:val="24"/>
        </w:rPr>
        <w:t xml:space="preserve"> used vehicles starting at </w:t>
      </w:r>
      <w:r>
        <w:rPr>
          <w:rFonts w:ascii="Times New Roman" w:hAnsi="Times New Roman"/>
          <w:sz w:val="24"/>
          <w:szCs w:val="24"/>
        </w:rPr>
        <w:lastRenderedPageBreak/>
        <w:t>$4,150</w:t>
      </w:r>
      <w:r>
        <w:rPr>
          <w:rStyle w:val="FootnoteReference"/>
          <w:rFonts w:ascii="Times New Roman" w:hAnsi="Times New Roman"/>
          <w:sz w:val="24"/>
          <w:szCs w:val="24"/>
        </w:rPr>
        <w:footnoteReference w:id="9"/>
      </w:r>
      <w:r>
        <w:rPr>
          <w:rFonts w:ascii="Times New Roman" w:hAnsi="Times New Roman"/>
          <w:sz w:val="24"/>
          <w:szCs w:val="24"/>
        </w:rPr>
        <w:t xml:space="preserve"> with many vehicles below $7,000.  Used EVs are nearing the point where some low-income customers may consider purchasing them, as the fuel and maintenance cost savings create a strong value proposition.  As low-income customers purchase EVs they will have the same access to public EVSE as all customers.  Also, low-income customers</w:t>
      </w:r>
      <w:r w:rsidR="006717FB">
        <w:rPr>
          <w:rFonts w:ascii="Times New Roman" w:hAnsi="Times New Roman"/>
          <w:sz w:val="24"/>
          <w:szCs w:val="24"/>
        </w:rPr>
        <w:t xml:space="preserve"> </w:t>
      </w:r>
      <w:r>
        <w:rPr>
          <w:rFonts w:ascii="Times New Roman" w:hAnsi="Times New Roman"/>
          <w:sz w:val="24"/>
          <w:szCs w:val="24"/>
        </w:rPr>
        <w:t xml:space="preserve">stand to benefit from Avista’s EVSE Pilot Program and load management.  Through the EVSE Pilot Program, Avista will develop the capability to better utilize grid assets, which is a long-term benefit to all customers.  </w:t>
      </w:r>
      <w:r w:rsidR="00011805">
        <w:rPr>
          <w:rFonts w:ascii="Times New Roman" w:hAnsi="Times New Roman"/>
          <w:sz w:val="24"/>
          <w:szCs w:val="24"/>
        </w:rPr>
        <w:t>Additionally,</w:t>
      </w:r>
      <w:r>
        <w:rPr>
          <w:rFonts w:ascii="Times New Roman" w:hAnsi="Times New Roman"/>
          <w:sz w:val="24"/>
          <w:szCs w:val="24"/>
        </w:rPr>
        <w:t xml:space="preserve"> the environmental benefits are applicable to all customers.</w:t>
      </w:r>
      <w:r w:rsidR="00A55F8B">
        <w:rPr>
          <w:rFonts w:ascii="Times New Roman" w:hAnsi="Times New Roman"/>
          <w:sz w:val="24"/>
          <w:szCs w:val="24"/>
        </w:rPr>
        <w:t xml:space="preserve"> Avista supports the idea of working </w:t>
      </w:r>
      <w:r>
        <w:rPr>
          <w:rFonts w:ascii="Times New Roman" w:hAnsi="Times New Roman"/>
          <w:sz w:val="24"/>
          <w:szCs w:val="24"/>
        </w:rPr>
        <w:t xml:space="preserve">with stakeholders on program elements and investments in EVSE that will be beneficial and easily accessible for low-income customers.  This may include </w:t>
      </w:r>
      <w:r w:rsidR="000B04F1">
        <w:rPr>
          <w:rFonts w:ascii="Times New Roman" w:hAnsi="Times New Roman"/>
          <w:sz w:val="24"/>
          <w:szCs w:val="24"/>
        </w:rPr>
        <w:t xml:space="preserve">options such as </w:t>
      </w:r>
      <w:r>
        <w:rPr>
          <w:rFonts w:ascii="Times New Roman" w:hAnsi="Times New Roman"/>
          <w:sz w:val="24"/>
          <w:szCs w:val="24"/>
        </w:rPr>
        <w:t>special discounts that encourage EVSE installations at MUDs and workplaces.</w:t>
      </w:r>
    </w:p>
    <w:p w:rsidR="00CB5A54" w:rsidRDefault="00CB5A54" w:rsidP="00CB5A54">
      <w:pPr>
        <w:pStyle w:val="NoSpacing"/>
        <w:spacing w:line="360" w:lineRule="auto"/>
        <w:jc w:val="both"/>
        <w:rPr>
          <w:rFonts w:ascii="Times New Roman" w:hAnsi="Times New Roman"/>
          <w:b/>
          <w:sz w:val="24"/>
          <w:szCs w:val="24"/>
        </w:rPr>
      </w:pPr>
    </w:p>
    <w:p w:rsidR="00CB5A54" w:rsidRPr="001E0FAA" w:rsidRDefault="00CB5A54" w:rsidP="00CB5A54">
      <w:pPr>
        <w:pStyle w:val="NoSpacing"/>
        <w:spacing w:line="360" w:lineRule="auto"/>
        <w:ind w:firstLine="360"/>
        <w:jc w:val="both"/>
        <w:rPr>
          <w:rFonts w:ascii="Times New Roman" w:hAnsi="Times New Roman"/>
          <w:sz w:val="24"/>
          <w:szCs w:val="24"/>
        </w:rPr>
      </w:pPr>
      <w:r>
        <w:rPr>
          <w:rFonts w:ascii="Times New Roman" w:hAnsi="Times New Roman"/>
          <w:sz w:val="24"/>
          <w:szCs w:val="24"/>
        </w:rPr>
        <w:t xml:space="preserve">Avista agrees that hardware and backend software interoperability should be a key component of utility EVSE programs.  Besides allowing customers to move seamlessly between networks and allow for easier and less costly data integration, the primary concern is to avoid major investments in systems that become obsolete or create the risk of stranded assets, because they are not interoperable at a fundamental level with other EVSE and/or backend software platforms.  Interoperability reduces the risk of being “locked in” to a given proprietary technology and/or charging system that can become unreliable and/or unsupportable.  It also serves to encourage functional innovations and cost improvements.  </w:t>
      </w:r>
      <w:r w:rsidR="00B81D27">
        <w:rPr>
          <w:rFonts w:ascii="Times New Roman" w:hAnsi="Times New Roman"/>
          <w:sz w:val="24"/>
          <w:szCs w:val="24"/>
        </w:rPr>
        <w:t>Technologies will improve and evolve in this sector, including f</w:t>
      </w:r>
      <w:r>
        <w:rPr>
          <w:rFonts w:ascii="Times New Roman" w:hAnsi="Times New Roman"/>
          <w:sz w:val="24"/>
          <w:szCs w:val="24"/>
        </w:rPr>
        <w:t>eatures related to u</w:t>
      </w:r>
      <w:r w:rsidRPr="000F55C4">
        <w:rPr>
          <w:rFonts w:ascii="Times New Roman" w:hAnsi="Times New Roman"/>
          <w:sz w:val="24"/>
          <w:szCs w:val="24"/>
        </w:rPr>
        <w:t>ser authentication</w:t>
      </w:r>
      <w:r>
        <w:rPr>
          <w:rFonts w:ascii="Times New Roman" w:hAnsi="Times New Roman"/>
          <w:sz w:val="24"/>
          <w:szCs w:val="24"/>
        </w:rPr>
        <w:t>, billing,</w:t>
      </w:r>
      <w:r w:rsidRPr="000F55C4">
        <w:rPr>
          <w:rFonts w:ascii="Times New Roman" w:hAnsi="Times New Roman"/>
          <w:sz w:val="24"/>
          <w:szCs w:val="24"/>
        </w:rPr>
        <w:t xml:space="preserve"> and </w:t>
      </w:r>
      <w:r>
        <w:rPr>
          <w:rFonts w:ascii="Times New Roman" w:hAnsi="Times New Roman"/>
          <w:sz w:val="24"/>
          <w:szCs w:val="24"/>
        </w:rPr>
        <w:t>communications</w:t>
      </w:r>
      <w:r w:rsidRPr="000F55C4">
        <w:rPr>
          <w:rFonts w:ascii="Times New Roman" w:hAnsi="Times New Roman"/>
          <w:sz w:val="24"/>
          <w:szCs w:val="24"/>
        </w:rPr>
        <w:t xml:space="preserve"> between </w:t>
      </w:r>
      <w:r>
        <w:rPr>
          <w:rFonts w:ascii="Times New Roman" w:hAnsi="Times New Roman"/>
          <w:sz w:val="24"/>
          <w:szCs w:val="24"/>
        </w:rPr>
        <w:t>the EVSE, backend network platform</w:t>
      </w:r>
      <w:r w:rsidR="00B81D27">
        <w:rPr>
          <w:rFonts w:ascii="Times New Roman" w:hAnsi="Times New Roman"/>
          <w:sz w:val="24"/>
          <w:szCs w:val="24"/>
        </w:rPr>
        <w:t>, the utility, and the EV itself</w:t>
      </w:r>
      <w:r>
        <w:rPr>
          <w:rFonts w:ascii="Times New Roman" w:hAnsi="Times New Roman"/>
          <w:sz w:val="24"/>
          <w:szCs w:val="24"/>
        </w:rPr>
        <w:t>.</w:t>
      </w:r>
      <w:r w:rsidR="00B81D27">
        <w:rPr>
          <w:rFonts w:ascii="Times New Roman" w:hAnsi="Times New Roman"/>
          <w:sz w:val="24"/>
          <w:szCs w:val="24"/>
        </w:rPr>
        <w:t xml:space="preserve">  Communication methods may include </w:t>
      </w:r>
      <w:r w:rsidR="0005607B" w:rsidRPr="000F55C4">
        <w:rPr>
          <w:rFonts w:ascii="Times New Roman" w:hAnsi="Times New Roman"/>
          <w:sz w:val="24"/>
          <w:szCs w:val="24"/>
        </w:rPr>
        <w:t>Wi-Fi</w:t>
      </w:r>
      <w:r>
        <w:rPr>
          <w:rFonts w:ascii="Times New Roman" w:hAnsi="Times New Roman"/>
          <w:sz w:val="24"/>
          <w:szCs w:val="24"/>
        </w:rPr>
        <w:t xml:space="preserve"> systems</w:t>
      </w:r>
      <w:r w:rsidR="00B81D27">
        <w:rPr>
          <w:rFonts w:ascii="Times New Roman" w:hAnsi="Times New Roman"/>
          <w:sz w:val="24"/>
          <w:szCs w:val="24"/>
        </w:rPr>
        <w:t xml:space="preserve"> owned by the customer</w:t>
      </w:r>
      <w:r w:rsidRPr="000F55C4">
        <w:rPr>
          <w:rFonts w:ascii="Times New Roman" w:hAnsi="Times New Roman"/>
          <w:sz w:val="24"/>
          <w:szCs w:val="24"/>
        </w:rPr>
        <w:t>, cellular</w:t>
      </w:r>
      <w:r>
        <w:rPr>
          <w:rFonts w:ascii="Times New Roman" w:hAnsi="Times New Roman"/>
          <w:sz w:val="24"/>
          <w:szCs w:val="24"/>
        </w:rPr>
        <w:t xml:space="preserve"> equipment in the EVSE, and/or RF mesh</w:t>
      </w:r>
      <w:r w:rsidR="00B81D27">
        <w:rPr>
          <w:rFonts w:ascii="Times New Roman" w:hAnsi="Times New Roman"/>
          <w:sz w:val="24"/>
          <w:szCs w:val="24"/>
        </w:rPr>
        <w:t xml:space="preserve"> networks owned by the utility</w:t>
      </w:r>
      <w:r>
        <w:rPr>
          <w:rFonts w:ascii="Times New Roman" w:hAnsi="Times New Roman"/>
          <w:sz w:val="24"/>
          <w:szCs w:val="24"/>
        </w:rPr>
        <w:t xml:space="preserve">.  Regardless of how these developments play out, open communication protocols and standards are very important to facilitate interoperability, which has tremendous implications for long term benefits and should be fully supported by utilities and the Commission.  </w:t>
      </w:r>
      <w:r w:rsidR="00164961">
        <w:rPr>
          <w:rFonts w:ascii="Times New Roman" w:hAnsi="Times New Roman"/>
          <w:sz w:val="24"/>
          <w:szCs w:val="24"/>
        </w:rPr>
        <w:t>R</w:t>
      </w:r>
      <w:r>
        <w:rPr>
          <w:rFonts w:ascii="Times New Roman" w:hAnsi="Times New Roman"/>
          <w:sz w:val="24"/>
          <w:szCs w:val="24"/>
        </w:rPr>
        <w:t xml:space="preserve">etaining flexibility to evolve with technological progress is important.  Utilities </w:t>
      </w:r>
      <w:r w:rsidR="000B04F1">
        <w:rPr>
          <w:rFonts w:ascii="Times New Roman" w:hAnsi="Times New Roman"/>
          <w:sz w:val="24"/>
          <w:szCs w:val="24"/>
        </w:rPr>
        <w:t xml:space="preserve">and other stakeholders </w:t>
      </w:r>
      <w:r>
        <w:rPr>
          <w:rFonts w:ascii="Times New Roman" w:hAnsi="Times New Roman"/>
          <w:sz w:val="24"/>
          <w:szCs w:val="24"/>
        </w:rPr>
        <w:t xml:space="preserve">should be </w:t>
      </w:r>
      <w:r w:rsidR="00B81D27">
        <w:rPr>
          <w:rFonts w:ascii="Times New Roman" w:hAnsi="Times New Roman"/>
          <w:sz w:val="24"/>
          <w:szCs w:val="24"/>
        </w:rPr>
        <w:t>required</w:t>
      </w:r>
      <w:r>
        <w:rPr>
          <w:rFonts w:ascii="Times New Roman" w:hAnsi="Times New Roman"/>
          <w:sz w:val="24"/>
          <w:szCs w:val="24"/>
        </w:rPr>
        <w:t xml:space="preserve"> to develop and support interoperable systems that ultimately benefit and protect </w:t>
      </w:r>
      <w:r w:rsidR="000B04F1">
        <w:rPr>
          <w:rFonts w:ascii="Times New Roman" w:hAnsi="Times New Roman"/>
          <w:sz w:val="24"/>
          <w:szCs w:val="24"/>
        </w:rPr>
        <w:t>consumers, including among other things,</w:t>
      </w:r>
      <w:r>
        <w:rPr>
          <w:rFonts w:ascii="Times New Roman" w:hAnsi="Times New Roman"/>
          <w:sz w:val="24"/>
          <w:szCs w:val="24"/>
        </w:rPr>
        <w:t xml:space="preserve"> using RFP processes to select products and services offering the highest value for the utility and its customers.</w:t>
      </w:r>
    </w:p>
    <w:p w:rsidR="00CB5A54" w:rsidRDefault="00CB5A54" w:rsidP="00CB5A54">
      <w:pPr>
        <w:pStyle w:val="NoSpacing"/>
        <w:spacing w:line="360" w:lineRule="auto"/>
        <w:jc w:val="both"/>
        <w:rPr>
          <w:rFonts w:ascii="Times New Roman" w:hAnsi="Times New Roman"/>
          <w:b/>
          <w:sz w:val="24"/>
          <w:szCs w:val="24"/>
        </w:rPr>
      </w:pPr>
    </w:p>
    <w:p w:rsidR="00040453" w:rsidRDefault="00CB5A54" w:rsidP="00CB5A54">
      <w:pPr>
        <w:pStyle w:val="NoSpacing"/>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Company is supportive of seeking input on future EVSE programs ahead of formal filings, but</w:t>
      </w:r>
      <w:r w:rsidR="00A55F8B">
        <w:rPr>
          <w:rFonts w:ascii="Times New Roman" w:hAnsi="Times New Roman"/>
          <w:sz w:val="24"/>
          <w:szCs w:val="24"/>
        </w:rPr>
        <w:t xml:space="preserve"> </w:t>
      </w:r>
      <w:r w:rsidR="00A54F99">
        <w:rPr>
          <w:rFonts w:ascii="Times New Roman" w:hAnsi="Times New Roman"/>
          <w:sz w:val="24"/>
          <w:szCs w:val="24"/>
        </w:rPr>
        <w:t xml:space="preserve">has some concern about the directive to invite all parties who commented on this rulemaking to be a part of the stakeholder group.  It has been demonstrated through the Company’s filing of its EVSE Pilot Program and this rulemaking that stakeholders do not agree on many of the policy considerations that have been discussed.  If the purpose of the stakeholder group is to review proposed utility programs and make recommendations to inform programs as described in the draft policy statement, then the Company suggests </w:t>
      </w:r>
      <w:r w:rsidR="00A55F8B">
        <w:rPr>
          <w:rFonts w:ascii="Times New Roman" w:hAnsi="Times New Roman"/>
          <w:sz w:val="24"/>
          <w:szCs w:val="24"/>
        </w:rPr>
        <w:t>the</w:t>
      </w:r>
      <w:r w:rsidR="00A54F99">
        <w:rPr>
          <w:rFonts w:ascii="Times New Roman" w:hAnsi="Times New Roman"/>
          <w:sz w:val="24"/>
          <w:szCs w:val="24"/>
        </w:rPr>
        <w:t xml:space="preserve"> core</w:t>
      </w:r>
      <w:r w:rsidR="00A55F8B">
        <w:rPr>
          <w:rFonts w:ascii="Times New Roman" w:hAnsi="Times New Roman"/>
          <w:sz w:val="24"/>
          <w:szCs w:val="24"/>
        </w:rPr>
        <w:t xml:space="preserve"> stakeholder group include representatives from</w:t>
      </w:r>
      <w:r>
        <w:rPr>
          <w:rFonts w:ascii="Times New Roman" w:hAnsi="Times New Roman"/>
          <w:sz w:val="24"/>
          <w:szCs w:val="24"/>
        </w:rPr>
        <w:t xml:space="preserve"> Commission Staff, Public Counsel, WSDOT, low income advocates</w:t>
      </w:r>
      <w:r w:rsidR="00E36584">
        <w:rPr>
          <w:rFonts w:ascii="Times New Roman" w:hAnsi="Times New Roman"/>
          <w:sz w:val="24"/>
          <w:szCs w:val="24"/>
        </w:rPr>
        <w:t xml:space="preserve">, </w:t>
      </w:r>
      <w:r w:rsidR="00E36584" w:rsidRPr="00E36584">
        <w:rPr>
          <w:rFonts w:ascii="Times New Roman" w:hAnsi="Times New Roman"/>
          <w:sz w:val="24"/>
          <w:szCs w:val="24"/>
        </w:rPr>
        <w:t>and other state agencies and/or environmental groups</w:t>
      </w:r>
      <w:r w:rsidR="00A55F8B" w:rsidRPr="00E36584">
        <w:rPr>
          <w:rFonts w:ascii="Times New Roman" w:hAnsi="Times New Roman"/>
          <w:sz w:val="24"/>
          <w:szCs w:val="24"/>
        </w:rPr>
        <w:t>.  These group</w:t>
      </w:r>
      <w:r w:rsidR="00A55F8B">
        <w:rPr>
          <w:rFonts w:ascii="Times New Roman" w:hAnsi="Times New Roman"/>
          <w:sz w:val="24"/>
          <w:szCs w:val="24"/>
        </w:rPr>
        <w:t xml:space="preserve">s are not “tethered” to </w:t>
      </w:r>
      <w:r>
        <w:rPr>
          <w:rFonts w:ascii="Times New Roman" w:hAnsi="Times New Roman"/>
          <w:sz w:val="24"/>
          <w:szCs w:val="24"/>
        </w:rPr>
        <w:t>certain technologies and/or equipment.</w:t>
      </w:r>
      <w:r w:rsidR="00040453">
        <w:rPr>
          <w:rFonts w:ascii="Times New Roman" w:hAnsi="Times New Roman"/>
          <w:sz w:val="24"/>
          <w:szCs w:val="24"/>
        </w:rPr>
        <w:t xml:space="preserve">  Also, one piece of information that the draft policy statement requires utilities to share with the stakeholder group is requests for proposals or information.  </w:t>
      </w:r>
      <w:r w:rsidR="002241B4">
        <w:rPr>
          <w:rFonts w:ascii="Times New Roman" w:hAnsi="Times New Roman"/>
          <w:sz w:val="24"/>
          <w:szCs w:val="24"/>
        </w:rPr>
        <w:t xml:space="preserve">If all parties that commented on this rulemaking are invited to the stakeholder group, the Company does not believe it is appropriate to share these requests in advance with those organizations that participated in the rulemaking and also would likely bid on the request for proposal or provide information.  </w:t>
      </w:r>
    </w:p>
    <w:p w:rsidR="00040453" w:rsidRDefault="00040453" w:rsidP="00040453">
      <w:pPr>
        <w:pStyle w:val="NoSpacing"/>
        <w:spacing w:line="360" w:lineRule="auto"/>
        <w:ind w:firstLine="720"/>
        <w:jc w:val="both"/>
        <w:rPr>
          <w:rFonts w:ascii="Times New Roman" w:hAnsi="Times New Roman"/>
          <w:sz w:val="24"/>
          <w:szCs w:val="24"/>
        </w:rPr>
      </w:pPr>
    </w:p>
    <w:p w:rsidR="00CB5A54" w:rsidRDefault="00040453" w:rsidP="00040453">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agrees that the information from market participants is important to the design of future utility programs.  This i</w:t>
      </w:r>
      <w:r w:rsidR="00A55F8B">
        <w:rPr>
          <w:rFonts w:ascii="Times New Roman" w:hAnsi="Times New Roman"/>
          <w:sz w:val="24"/>
          <w:szCs w:val="24"/>
        </w:rPr>
        <w:t>nformation from other interested parties can be incorporated through requests for information (RFIs), requests for proposals (RFPs), and invitation</w:t>
      </w:r>
      <w:r w:rsidR="008A7501">
        <w:rPr>
          <w:rFonts w:ascii="Times New Roman" w:hAnsi="Times New Roman"/>
          <w:sz w:val="24"/>
          <w:szCs w:val="24"/>
        </w:rPr>
        <w:t>s</w:t>
      </w:r>
      <w:r w:rsidR="00A55F8B">
        <w:rPr>
          <w:rFonts w:ascii="Times New Roman" w:hAnsi="Times New Roman"/>
          <w:sz w:val="24"/>
          <w:szCs w:val="24"/>
        </w:rPr>
        <w:t xml:space="preserve"> to present to the stakeholder group.</w:t>
      </w:r>
      <w:r w:rsidR="00A54F99">
        <w:rPr>
          <w:rFonts w:ascii="Times New Roman" w:hAnsi="Times New Roman"/>
          <w:sz w:val="24"/>
          <w:szCs w:val="24"/>
        </w:rPr>
        <w:t xml:space="preserve">  If the Commission intends for the stakeholder group to have general policy discussions regarding EVSE and EV charging services, </w:t>
      </w:r>
      <w:r w:rsidR="00164961">
        <w:rPr>
          <w:rFonts w:ascii="Times New Roman" w:hAnsi="Times New Roman"/>
          <w:sz w:val="24"/>
          <w:szCs w:val="24"/>
        </w:rPr>
        <w:t>the</w:t>
      </w:r>
      <w:r>
        <w:rPr>
          <w:rFonts w:ascii="Times New Roman" w:hAnsi="Times New Roman"/>
          <w:sz w:val="24"/>
          <w:szCs w:val="24"/>
        </w:rPr>
        <w:t xml:space="preserve">n the Company agrees with inviting all parties who commented on this rulemaking </w:t>
      </w:r>
      <w:r w:rsidR="00164961">
        <w:rPr>
          <w:rFonts w:ascii="Times New Roman" w:hAnsi="Times New Roman"/>
          <w:sz w:val="24"/>
          <w:szCs w:val="24"/>
        </w:rPr>
        <w:t xml:space="preserve">to </w:t>
      </w:r>
      <w:r>
        <w:rPr>
          <w:rFonts w:ascii="Times New Roman" w:hAnsi="Times New Roman"/>
          <w:sz w:val="24"/>
          <w:szCs w:val="24"/>
        </w:rPr>
        <w:t>participate.</w:t>
      </w:r>
      <w:r w:rsidR="00A55F8B">
        <w:rPr>
          <w:rFonts w:ascii="Times New Roman" w:hAnsi="Times New Roman"/>
          <w:sz w:val="24"/>
          <w:szCs w:val="24"/>
        </w:rPr>
        <w:t xml:space="preserve">  </w:t>
      </w:r>
      <w:r w:rsidR="00A43A76">
        <w:rPr>
          <w:rFonts w:ascii="Times New Roman" w:hAnsi="Times New Roman"/>
          <w:sz w:val="24"/>
          <w:szCs w:val="24"/>
        </w:rPr>
        <w:t xml:space="preserve">   </w:t>
      </w:r>
      <w:r w:rsidR="00CB5A54">
        <w:rPr>
          <w:rFonts w:ascii="Times New Roman" w:hAnsi="Times New Roman"/>
          <w:sz w:val="24"/>
          <w:szCs w:val="24"/>
        </w:rPr>
        <w:t xml:space="preserve">  </w:t>
      </w:r>
    </w:p>
    <w:p w:rsidR="00CB5A54" w:rsidRDefault="00CB5A54" w:rsidP="00CB5A54">
      <w:pPr>
        <w:pStyle w:val="NoSpacing"/>
        <w:spacing w:line="360" w:lineRule="auto"/>
        <w:jc w:val="both"/>
        <w:rPr>
          <w:rFonts w:ascii="Times New Roman" w:hAnsi="Times New Roman"/>
          <w:sz w:val="24"/>
          <w:szCs w:val="24"/>
        </w:rPr>
      </w:pPr>
    </w:p>
    <w:p w:rsidR="00CB5A54" w:rsidRDefault="00A55F8B" w:rsidP="00CB5A54">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CB5A54">
        <w:rPr>
          <w:rFonts w:ascii="Times New Roman" w:hAnsi="Times New Roman"/>
          <w:sz w:val="24"/>
          <w:szCs w:val="24"/>
        </w:rPr>
        <w:t>he</w:t>
      </w:r>
      <w:r>
        <w:rPr>
          <w:rFonts w:ascii="Times New Roman" w:hAnsi="Times New Roman"/>
          <w:sz w:val="24"/>
          <w:szCs w:val="24"/>
        </w:rPr>
        <w:t xml:space="preserve"> current</w:t>
      </w:r>
      <w:r w:rsidR="00CB5A54">
        <w:rPr>
          <w:rFonts w:ascii="Times New Roman" w:hAnsi="Times New Roman"/>
          <w:sz w:val="24"/>
          <w:szCs w:val="24"/>
        </w:rPr>
        <w:t xml:space="preserve"> draft policy statement is unclear as to the process for which a utility must incorporate feedback from the stakeholder group on its proposed program</w:t>
      </w:r>
      <w:r w:rsidR="00040453">
        <w:rPr>
          <w:rFonts w:ascii="Times New Roman" w:hAnsi="Times New Roman"/>
          <w:sz w:val="24"/>
          <w:szCs w:val="24"/>
        </w:rPr>
        <w:t>s</w:t>
      </w:r>
      <w:r w:rsidR="00CB5A54">
        <w:rPr>
          <w:rFonts w:ascii="Times New Roman" w:hAnsi="Times New Roman"/>
          <w:sz w:val="24"/>
          <w:szCs w:val="24"/>
        </w:rPr>
        <w:t>.  It is unlikely that a utility will get full support and</w:t>
      </w:r>
      <w:r w:rsidR="00040453">
        <w:rPr>
          <w:rFonts w:ascii="Times New Roman" w:hAnsi="Times New Roman"/>
          <w:sz w:val="24"/>
          <w:szCs w:val="24"/>
        </w:rPr>
        <w:t>/or</w:t>
      </w:r>
      <w:r w:rsidR="00CB5A54">
        <w:rPr>
          <w:rFonts w:ascii="Times New Roman" w:hAnsi="Times New Roman"/>
          <w:sz w:val="24"/>
          <w:szCs w:val="24"/>
        </w:rPr>
        <w:t xml:space="preserve"> agreement from </w:t>
      </w:r>
      <w:r>
        <w:rPr>
          <w:rFonts w:ascii="Times New Roman" w:hAnsi="Times New Roman"/>
          <w:sz w:val="24"/>
          <w:szCs w:val="24"/>
        </w:rPr>
        <w:t xml:space="preserve">the </w:t>
      </w:r>
      <w:r w:rsidR="00CB5A54">
        <w:rPr>
          <w:rFonts w:ascii="Times New Roman" w:hAnsi="Times New Roman"/>
          <w:sz w:val="24"/>
          <w:szCs w:val="24"/>
        </w:rPr>
        <w:t xml:space="preserve">stakeholder group before making a filing.  Avista </w:t>
      </w:r>
      <w:r>
        <w:rPr>
          <w:rFonts w:ascii="Times New Roman" w:hAnsi="Times New Roman"/>
          <w:sz w:val="24"/>
          <w:szCs w:val="24"/>
        </w:rPr>
        <w:t>recommends</w:t>
      </w:r>
      <w:r w:rsidR="00CB5A54">
        <w:rPr>
          <w:rFonts w:ascii="Times New Roman" w:hAnsi="Times New Roman"/>
          <w:sz w:val="24"/>
          <w:szCs w:val="24"/>
        </w:rPr>
        <w:t xml:space="preserve"> adding language to the draft policy statement </w:t>
      </w:r>
      <w:r>
        <w:rPr>
          <w:rFonts w:ascii="Times New Roman" w:hAnsi="Times New Roman"/>
          <w:sz w:val="24"/>
          <w:szCs w:val="24"/>
        </w:rPr>
        <w:t>that recognizes that proposals to the Commission by a utility may or may not have the full support of the stakeholder group</w:t>
      </w:r>
      <w:r w:rsidR="00CB5A54">
        <w:rPr>
          <w:rFonts w:ascii="Times New Roman" w:hAnsi="Times New Roman"/>
          <w:sz w:val="24"/>
          <w:szCs w:val="24"/>
        </w:rPr>
        <w:t xml:space="preserve">.  Further, the draft policy statement goes on to state that the utility must discuss reporting </w:t>
      </w:r>
      <w:r w:rsidR="00CB5A54">
        <w:rPr>
          <w:rFonts w:ascii="Times New Roman" w:hAnsi="Times New Roman"/>
          <w:sz w:val="24"/>
          <w:szCs w:val="24"/>
        </w:rPr>
        <w:lastRenderedPageBreak/>
        <w:t xml:space="preserve">requirements with stakeholders.  </w:t>
      </w:r>
      <w:r w:rsidR="00751B79">
        <w:rPr>
          <w:rFonts w:ascii="Times New Roman" w:hAnsi="Times New Roman"/>
          <w:sz w:val="24"/>
          <w:szCs w:val="24"/>
        </w:rPr>
        <w:t>We agree, but recommend the policy statement recognize there may not be full agreement among stakeholders on proposed reporting requirements.</w:t>
      </w:r>
    </w:p>
    <w:p w:rsidR="00CB5A54" w:rsidRPr="00E07093" w:rsidRDefault="00CB5A54" w:rsidP="00CB5A54">
      <w:pPr>
        <w:pStyle w:val="NoSpacing"/>
        <w:spacing w:line="360" w:lineRule="auto"/>
        <w:jc w:val="both"/>
        <w:rPr>
          <w:rFonts w:ascii="Times New Roman" w:hAnsi="Times New Roman"/>
          <w:sz w:val="24"/>
          <w:szCs w:val="24"/>
        </w:rPr>
      </w:pPr>
    </w:p>
    <w:p w:rsidR="00CB5A54" w:rsidRPr="009F5E87" w:rsidRDefault="00CB5A54" w:rsidP="00CB5A54">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It is reasonable to expect utilities to design program portfolios at a cost commensurate with expected benefits, including increased revenue, grid management benefits, and </w:t>
      </w:r>
      <w:r w:rsidR="00296412">
        <w:rPr>
          <w:rFonts w:ascii="Times New Roman" w:hAnsi="Times New Roman"/>
          <w:sz w:val="24"/>
          <w:szCs w:val="24"/>
        </w:rPr>
        <w:t xml:space="preserve">regional economic and </w:t>
      </w:r>
      <w:r>
        <w:rPr>
          <w:rFonts w:ascii="Times New Roman" w:hAnsi="Times New Roman"/>
          <w:sz w:val="24"/>
          <w:szCs w:val="24"/>
        </w:rPr>
        <w:t xml:space="preserve">environmental benefits in the form of a Societal Cost Test (SCT), or some other similar analysis method.  The calculation of benefits is unavoidably sensitive to a wide variety of assumptions, therefore a range of plausible scenarios must be investigated to form a robust analysis and provide useful insights.  However, these calculations should be used to inform rather than unreasonably restrict program designs and approvals.  HB 1853 primarily justified utility investment in EVSE as a way to benefit the citizens of Washington State by reducing greenhouse gas emissions in the transportation sector.  It is not clear how a utility may claim reductions in greenhouse gas emissions </w:t>
      </w:r>
      <w:r w:rsidR="000C2CE2">
        <w:rPr>
          <w:rFonts w:ascii="Times New Roman" w:hAnsi="Times New Roman"/>
          <w:sz w:val="24"/>
          <w:szCs w:val="24"/>
        </w:rPr>
        <w:t>resulting from increasing numbers of</w:t>
      </w:r>
      <w:r>
        <w:rPr>
          <w:rFonts w:ascii="Times New Roman" w:hAnsi="Times New Roman"/>
          <w:sz w:val="24"/>
          <w:szCs w:val="24"/>
        </w:rPr>
        <w:t xml:space="preserve"> EVs, nor how this benefit may be properly factored into an SCT calculation.  For this reason, further discussion and more specific policy guidance may be needed to determine how emissions reductions from EV adoption may be accounted for and included in an SCT calculation related to a utility’s proposed program design.  Furthermore, the </w:t>
      </w:r>
      <w:r w:rsidR="0005607B">
        <w:rPr>
          <w:rFonts w:ascii="Times New Roman" w:hAnsi="Times New Roman"/>
          <w:sz w:val="24"/>
          <w:szCs w:val="24"/>
        </w:rPr>
        <w:t>utility’s</w:t>
      </w:r>
      <w:r>
        <w:rPr>
          <w:rFonts w:ascii="Times New Roman" w:hAnsi="Times New Roman"/>
          <w:sz w:val="24"/>
          <w:szCs w:val="24"/>
        </w:rPr>
        <w:t xml:space="preserve"> traditional obligation to serve may need to be considered,  e.g. utility investments in “make ready” infrastructure may not be properly accounted for as “costs” in a portfolio’s calculated SCT, if the utility is simply providing required infrastructure to a customer that wishes to install, ow</w:t>
      </w:r>
      <w:r w:rsidR="000C2CE2">
        <w:rPr>
          <w:rFonts w:ascii="Times New Roman" w:hAnsi="Times New Roman"/>
          <w:sz w:val="24"/>
          <w:szCs w:val="24"/>
        </w:rPr>
        <w:t>n and operate an EVSE</w:t>
      </w:r>
      <w:r>
        <w:rPr>
          <w:rFonts w:ascii="Times New Roman" w:hAnsi="Times New Roman"/>
          <w:sz w:val="24"/>
          <w:szCs w:val="24"/>
        </w:rPr>
        <w:t xml:space="preserve">. </w:t>
      </w:r>
    </w:p>
    <w:p w:rsidR="00CB5A54" w:rsidRDefault="00CB5A54" w:rsidP="00CB5A54">
      <w:pPr>
        <w:pStyle w:val="NoSpacing"/>
        <w:spacing w:line="360" w:lineRule="auto"/>
        <w:jc w:val="both"/>
        <w:rPr>
          <w:rFonts w:ascii="Times New Roman" w:hAnsi="Times New Roman"/>
          <w:b/>
          <w:sz w:val="24"/>
          <w:szCs w:val="24"/>
        </w:rPr>
      </w:pPr>
    </w:p>
    <w:p w:rsidR="00CB5A54" w:rsidRDefault="00CB5A54" w:rsidP="00CB5A54">
      <w:pPr>
        <w:pStyle w:val="NoSpacing"/>
        <w:spacing w:line="360" w:lineRule="auto"/>
        <w:ind w:firstLine="720"/>
        <w:jc w:val="both"/>
        <w:rPr>
          <w:rFonts w:ascii="Times New Roman" w:hAnsi="Times New Roman"/>
          <w:sz w:val="24"/>
          <w:szCs w:val="24"/>
        </w:rPr>
      </w:pPr>
      <w:r w:rsidRPr="007465B1">
        <w:rPr>
          <w:rFonts w:ascii="Times New Roman" w:hAnsi="Times New Roman"/>
          <w:sz w:val="24"/>
          <w:szCs w:val="24"/>
        </w:rPr>
        <w:t xml:space="preserve">In addition to </w:t>
      </w:r>
      <w:r>
        <w:rPr>
          <w:rFonts w:ascii="Times New Roman" w:hAnsi="Times New Roman"/>
          <w:sz w:val="24"/>
          <w:szCs w:val="24"/>
        </w:rPr>
        <w:t>developing a portfolio of EVSE products and services for light-duty EVs, the Company intends to explore how it may best serve customers in the</w:t>
      </w:r>
      <w:r w:rsidRPr="007465B1">
        <w:rPr>
          <w:rFonts w:ascii="Times New Roman" w:hAnsi="Times New Roman"/>
          <w:sz w:val="24"/>
          <w:szCs w:val="24"/>
        </w:rPr>
        <w:t xml:space="preserve"> electrification of</w:t>
      </w:r>
      <w:r>
        <w:rPr>
          <w:rFonts w:ascii="Times New Roman" w:hAnsi="Times New Roman"/>
          <w:sz w:val="24"/>
          <w:szCs w:val="24"/>
        </w:rPr>
        <w:t xml:space="preserve"> commercial transportation</w:t>
      </w:r>
      <w:r w:rsidR="000B04F1">
        <w:rPr>
          <w:rFonts w:ascii="Times New Roman" w:hAnsi="Times New Roman"/>
          <w:sz w:val="24"/>
          <w:szCs w:val="24"/>
        </w:rPr>
        <w:t>.  P</w:t>
      </w:r>
      <w:r>
        <w:rPr>
          <w:rFonts w:ascii="Times New Roman" w:hAnsi="Times New Roman"/>
          <w:sz w:val="24"/>
          <w:szCs w:val="24"/>
        </w:rPr>
        <w:t xml:space="preserve">otential areas </w:t>
      </w:r>
      <w:r w:rsidR="000B04F1">
        <w:rPr>
          <w:rFonts w:ascii="Times New Roman" w:hAnsi="Times New Roman"/>
          <w:sz w:val="24"/>
          <w:szCs w:val="24"/>
        </w:rPr>
        <w:t xml:space="preserve">include </w:t>
      </w:r>
      <w:r>
        <w:rPr>
          <w:rFonts w:ascii="Times New Roman" w:hAnsi="Times New Roman"/>
          <w:sz w:val="24"/>
          <w:szCs w:val="24"/>
        </w:rPr>
        <w:t xml:space="preserve">commercial light-duty fleets, heavy-duty fleets, taxis, mass transit buses, school buses, forklifts, airport ground support equipment, truck stops, refrigerated trailers, port handling equipment, and rail systems.  </w:t>
      </w:r>
      <w:r w:rsidR="000B04F1">
        <w:rPr>
          <w:rFonts w:ascii="Times New Roman" w:hAnsi="Times New Roman"/>
          <w:sz w:val="24"/>
          <w:szCs w:val="24"/>
        </w:rPr>
        <w:t>T</w:t>
      </w:r>
      <w:r>
        <w:rPr>
          <w:rFonts w:ascii="Times New Roman" w:hAnsi="Times New Roman"/>
          <w:sz w:val="24"/>
          <w:szCs w:val="24"/>
        </w:rPr>
        <w:t xml:space="preserve">he provision of electricity and EVSE is a fundamental building block enabling transportation electrification, and the utility may be able to provide unique value to the customer in these areas.  For example, in the case of mass transit buses, </w:t>
      </w:r>
      <w:r w:rsidR="000B04F1">
        <w:rPr>
          <w:rFonts w:ascii="Times New Roman" w:hAnsi="Times New Roman"/>
          <w:sz w:val="24"/>
          <w:szCs w:val="24"/>
        </w:rPr>
        <w:t>the guidance</w:t>
      </w:r>
      <w:r>
        <w:rPr>
          <w:rFonts w:ascii="Times New Roman" w:hAnsi="Times New Roman"/>
          <w:sz w:val="24"/>
          <w:szCs w:val="24"/>
        </w:rPr>
        <w:t xml:space="preserve"> under this policy </w:t>
      </w:r>
      <w:r w:rsidR="000B04F1">
        <w:rPr>
          <w:rFonts w:ascii="Times New Roman" w:hAnsi="Times New Roman"/>
          <w:sz w:val="24"/>
          <w:szCs w:val="24"/>
        </w:rPr>
        <w:t xml:space="preserve">statement </w:t>
      </w:r>
      <w:r>
        <w:rPr>
          <w:rFonts w:ascii="Times New Roman" w:hAnsi="Times New Roman"/>
          <w:sz w:val="24"/>
          <w:szCs w:val="24"/>
        </w:rPr>
        <w:t xml:space="preserve">could help a local transit authority </w:t>
      </w:r>
      <w:r w:rsidR="000B04F1">
        <w:rPr>
          <w:rFonts w:ascii="Times New Roman" w:hAnsi="Times New Roman"/>
          <w:sz w:val="24"/>
          <w:szCs w:val="24"/>
        </w:rPr>
        <w:t xml:space="preserve">partner with the utility </w:t>
      </w:r>
      <w:r>
        <w:rPr>
          <w:rFonts w:ascii="Times New Roman" w:hAnsi="Times New Roman"/>
          <w:sz w:val="24"/>
          <w:szCs w:val="24"/>
        </w:rPr>
        <w:t xml:space="preserve">to make the decision to begin to electrify their diesel bus fleet.  </w:t>
      </w:r>
      <w:r w:rsidR="000B04F1">
        <w:rPr>
          <w:rFonts w:ascii="Times New Roman" w:hAnsi="Times New Roman"/>
          <w:sz w:val="24"/>
          <w:szCs w:val="24"/>
        </w:rPr>
        <w:t>We request</w:t>
      </w:r>
      <w:r>
        <w:rPr>
          <w:rFonts w:ascii="Times New Roman" w:hAnsi="Times New Roman"/>
          <w:sz w:val="24"/>
          <w:szCs w:val="24"/>
        </w:rPr>
        <w:t xml:space="preserve"> that the </w:t>
      </w:r>
      <w:r>
        <w:rPr>
          <w:rFonts w:ascii="Times New Roman" w:hAnsi="Times New Roman"/>
          <w:sz w:val="24"/>
          <w:szCs w:val="24"/>
        </w:rPr>
        <w:lastRenderedPageBreak/>
        <w:t xml:space="preserve">Commission </w:t>
      </w:r>
      <w:r w:rsidR="000B04F1">
        <w:rPr>
          <w:rFonts w:ascii="Times New Roman" w:hAnsi="Times New Roman"/>
          <w:sz w:val="24"/>
          <w:szCs w:val="24"/>
        </w:rPr>
        <w:t xml:space="preserve">consider issuing </w:t>
      </w:r>
      <w:r>
        <w:rPr>
          <w:rFonts w:ascii="Times New Roman" w:hAnsi="Times New Roman"/>
          <w:sz w:val="24"/>
          <w:szCs w:val="24"/>
        </w:rPr>
        <w:t>policy guidance that permits utility EVSE investments in areas other than for light-duty passenger EVs, commensurate with a reasonable interpretation of the HB 1853 legislation.</w:t>
      </w:r>
    </w:p>
    <w:p w:rsidR="00CB5A54" w:rsidRDefault="00CB5A54" w:rsidP="00CB5A54">
      <w:pPr>
        <w:pStyle w:val="NoSpacing"/>
        <w:spacing w:line="360" w:lineRule="auto"/>
        <w:ind w:left="360"/>
        <w:jc w:val="both"/>
        <w:rPr>
          <w:rFonts w:ascii="Times New Roman" w:hAnsi="Times New Roman"/>
          <w:sz w:val="24"/>
          <w:szCs w:val="24"/>
        </w:rPr>
      </w:pPr>
    </w:p>
    <w:p w:rsidR="00CB5A54" w:rsidRDefault="00F65D73" w:rsidP="00CB5A54">
      <w:pPr>
        <w:pStyle w:val="NoSpacing"/>
        <w:spacing w:line="360" w:lineRule="auto"/>
        <w:ind w:firstLine="720"/>
        <w:jc w:val="both"/>
        <w:rPr>
          <w:rFonts w:ascii="Times New Roman" w:hAnsi="Times New Roman"/>
          <w:sz w:val="24"/>
          <w:szCs w:val="24"/>
        </w:rPr>
      </w:pPr>
      <w:r>
        <w:rPr>
          <w:rFonts w:ascii="Times New Roman" w:hAnsi="Times New Roman"/>
          <w:sz w:val="24"/>
          <w:szCs w:val="24"/>
        </w:rPr>
        <w:t>Lastly</w:t>
      </w:r>
      <w:r w:rsidR="00CB5A54">
        <w:rPr>
          <w:rFonts w:ascii="Times New Roman" w:hAnsi="Times New Roman"/>
          <w:sz w:val="24"/>
          <w:szCs w:val="24"/>
        </w:rPr>
        <w:t>, the Company offers the following comments in response to the specific questions included in the Notice:</w:t>
      </w:r>
    </w:p>
    <w:p w:rsidR="00CB5A54" w:rsidRDefault="00CB5A54" w:rsidP="00CB5A54">
      <w:pPr>
        <w:spacing w:line="360" w:lineRule="auto"/>
        <w:jc w:val="both"/>
        <w:rPr>
          <w:rFonts w:ascii="Times New Roman" w:eastAsia="Calibri" w:hAnsi="Times New Roman" w:cs="Times New Roman"/>
          <w:b/>
        </w:rPr>
      </w:pPr>
    </w:p>
    <w:p w:rsidR="00CB5A54" w:rsidRPr="007761CC" w:rsidRDefault="00CB5A54" w:rsidP="00CB5A54">
      <w:pPr>
        <w:pStyle w:val="ListParagraph"/>
        <w:numPr>
          <w:ilvl w:val="0"/>
          <w:numId w:val="28"/>
        </w:numPr>
        <w:spacing w:line="276" w:lineRule="auto"/>
        <w:jc w:val="both"/>
        <w:rPr>
          <w:rFonts w:eastAsia="Calibri"/>
          <w:b/>
        </w:rPr>
      </w:pPr>
      <w:r w:rsidRPr="007761CC">
        <w:rPr>
          <w:rFonts w:eastAsia="Calibri"/>
          <w:b/>
        </w:rPr>
        <w:t>What is the definition of “Electric Vehicle Supply Equipment,” and how should the Commission consider ownership of EVSE as a factor to determine whether a utility serves as a “provider,” or “manager” of EV charging services?</w:t>
      </w:r>
    </w:p>
    <w:p w:rsidR="00CB5A54" w:rsidRPr="00D42609" w:rsidRDefault="00CB5A54" w:rsidP="00CB5A54">
      <w:pPr>
        <w:pStyle w:val="ListParagraph"/>
        <w:autoSpaceDE w:val="0"/>
        <w:autoSpaceDN w:val="0"/>
        <w:adjustRightInd w:val="0"/>
        <w:spacing w:after="83"/>
        <w:rPr>
          <w:rFonts w:eastAsia="Calibri"/>
        </w:rPr>
      </w:pPr>
    </w:p>
    <w:p w:rsidR="00CB5A54" w:rsidRPr="008318AA" w:rsidRDefault="00CB5A54" w:rsidP="00CB5A54">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b/>
        </w:rPr>
        <w:t xml:space="preserve">: </w:t>
      </w:r>
      <w:r>
        <w:rPr>
          <w:rFonts w:ascii="Times New Roman" w:eastAsia="Calibri" w:hAnsi="Times New Roman" w:cs="Times New Roman"/>
        </w:rPr>
        <w:t>According to the National Electric Code</w:t>
      </w:r>
      <w:r w:rsidR="001E60BC">
        <w:rPr>
          <w:rStyle w:val="FootnoteReference"/>
          <w:rFonts w:ascii="Times New Roman" w:hAnsi="Times New Roman"/>
        </w:rPr>
        <w:footnoteReference w:id="10"/>
      </w:r>
      <w:r>
        <w:rPr>
          <w:rFonts w:ascii="Times New Roman" w:eastAsia="Calibri" w:hAnsi="Times New Roman" w:cs="Times New Roman"/>
        </w:rPr>
        <w:t>, EVSE is defined as “t</w:t>
      </w:r>
      <w:r w:rsidRPr="00F63E5E">
        <w:rPr>
          <w:rFonts w:ascii="Times New Roman" w:eastAsia="Calibri" w:hAnsi="Times New Roman" w:cs="Times New Roman"/>
        </w:rPr>
        <w:t>he conductors, including the ungrounded, grounded, and equipment grounding conductors, the electric vehicle connectors, attachment plugs, and all other fittings, devices, power outlets or apparatuses installed specifically for the purpose of delivering energy from the premises</w:t>
      </w:r>
      <w:r>
        <w:rPr>
          <w:rFonts w:ascii="Times New Roman" w:eastAsia="Calibri" w:hAnsi="Times New Roman" w:cs="Times New Roman"/>
        </w:rPr>
        <w:t xml:space="preserve"> wiring to the electric vehicle.”  In cases where the utility owns the premises wiring all the way from the meter to the EVSE, the Commission should consider the utility as a “provider” of EV charging services and regulate the allowed EVSE user fees.  In cases where the utility does not own any equipment downstream of the customer meter, but provides ancillary services including but not limited to load management, installation consultation, and “make ready” infrastructure investments, it may be considered a “manager” of EV charging services.  For cases where the utility owns the EVSE itself but not the premises wiring, the customer continues to pay for the electricity through their regular bills</w:t>
      </w:r>
      <w:r w:rsidR="001E60BC">
        <w:rPr>
          <w:rFonts w:ascii="Times New Roman" w:eastAsia="Calibri" w:hAnsi="Times New Roman" w:cs="Times New Roman"/>
        </w:rPr>
        <w:t>,</w:t>
      </w:r>
      <w:r>
        <w:rPr>
          <w:rFonts w:ascii="Times New Roman" w:eastAsia="Calibri" w:hAnsi="Times New Roman" w:cs="Times New Roman"/>
        </w:rPr>
        <w:t xml:space="preserve"> and </w:t>
      </w:r>
      <w:r w:rsidR="001E60BC">
        <w:rPr>
          <w:rFonts w:ascii="Times New Roman" w:eastAsia="Calibri" w:hAnsi="Times New Roman" w:cs="Times New Roman"/>
        </w:rPr>
        <w:t xml:space="preserve">in the case of commercial locations </w:t>
      </w:r>
      <w:r>
        <w:rPr>
          <w:rFonts w:ascii="Times New Roman" w:eastAsia="Calibri" w:hAnsi="Times New Roman" w:cs="Times New Roman"/>
        </w:rPr>
        <w:t>may require user fees unregulated by the Commission.  In this case, the utility may best be considered a “provider” of EV charging services.</w:t>
      </w:r>
    </w:p>
    <w:p w:rsidR="00CB5A54" w:rsidRDefault="00CB5A54" w:rsidP="00CB5A54">
      <w:pPr>
        <w:spacing w:line="360" w:lineRule="auto"/>
        <w:ind w:left="360"/>
        <w:jc w:val="both"/>
        <w:rPr>
          <w:rFonts w:ascii="Times New Roman" w:eastAsia="Calibri" w:hAnsi="Times New Roman" w:cs="Times New Roman"/>
        </w:rPr>
      </w:pPr>
    </w:p>
    <w:p w:rsidR="00CB5A54" w:rsidRPr="007761CC" w:rsidRDefault="00CB5A54" w:rsidP="00CB5A54">
      <w:pPr>
        <w:pStyle w:val="ListParagraph"/>
        <w:numPr>
          <w:ilvl w:val="0"/>
          <w:numId w:val="28"/>
        </w:numPr>
        <w:spacing w:after="120" w:line="276" w:lineRule="auto"/>
        <w:jc w:val="both"/>
        <w:rPr>
          <w:b/>
        </w:rPr>
      </w:pPr>
      <w:r w:rsidRPr="007761CC">
        <w:rPr>
          <w:b/>
        </w:rPr>
        <w:t>What criteria should the Commission use to determine whether a portfolio is “balanced”?</w:t>
      </w:r>
    </w:p>
    <w:p w:rsidR="00CB5A54" w:rsidRDefault="00CB5A54" w:rsidP="00CB5A54">
      <w:pPr>
        <w:pStyle w:val="ListParagraph"/>
        <w:autoSpaceDE w:val="0"/>
        <w:autoSpaceDN w:val="0"/>
        <w:adjustRightInd w:val="0"/>
        <w:rPr>
          <w:color w:val="000000"/>
        </w:rPr>
      </w:pPr>
      <w:r>
        <w:rPr>
          <w:color w:val="000000"/>
        </w:rPr>
        <w:t xml:space="preserve"> </w:t>
      </w:r>
    </w:p>
    <w:p w:rsidR="00CB5A54" w:rsidRDefault="00CB5A54" w:rsidP="00CB5A54">
      <w:pPr>
        <w:spacing w:line="360" w:lineRule="auto"/>
        <w:jc w:val="both"/>
        <w:rPr>
          <w:rFonts w:ascii="Times New Roman" w:eastAsia="Calibri" w:hAnsi="Times New Roman" w:cs="Times New Roman"/>
        </w:rPr>
      </w:pPr>
      <w:r w:rsidRPr="004B7AAF">
        <w:rPr>
          <w:rFonts w:ascii="Times New Roman" w:eastAsia="Calibri" w:hAnsi="Times New Roman" w:cs="Times New Roman"/>
          <w:b/>
        </w:rPr>
        <w:t>Response</w:t>
      </w:r>
      <w:r w:rsidRPr="00F80B03">
        <w:rPr>
          <w:rFonts w:ascii="Times New Roman" w:eastAsia="Calibri" w:hAnsi="Times New Roman" w:cs="Times New Roman"/>
          <w:b/>
        </w:rPr>
        <w:t>:</w:t>
      </w:r>
      <w:r>
        <w:rPr>
          <w:rFonts w:ascii="Times New Roman" w:eastAsia="Calibri" w:hAnsi="Times New Roman" w:cs="Times New Roman"/>
        </w:rPr>
        <w:t xml:space="preserve">  The primary criteria should relate to the </w:t>
      </w:r>
      <w:r>
        <w:rPr>
          <w:rFonts w:ascii="Times New Roman" w:hAnsi="Times New Roman"/>
        </w:rPr>
        <w:t xml:space="preserve">specific nature and state of EV adoption in a given service area, i.e. a “balanced” portfolio is one that best serves customers, all things </w:t>
      </w:r>
      <w:r>
        <w:rPr>
          <w:rFonts w:ascii="Times New Roman" w:hAnsi="Times New Roman"/>
        </w:rPr>
        <w:lastRenderedPageBreak/>
        <w:t xml:space="preserve">considered.  Greater complexity and costs associated with offering a wide spectrum of EVSE products and services must be balanced with what is most cost effective and likely to be useful and/or utilized, given the state of EV adoption for a specific area.  For example, in the early phases of EV adoption, a relatively simple program may be most appropriate, which effectively addresses </w:t>
      </w:r>
      <w:r w:rsidR="001E60BC">
        <w:rPr>
          <w:rFonts w:ascii="Times New Roman" w:hAnsi="Times New Roman"/>
        </w:rPr>
        <w:t xml:space="preserve">basic, </w:t>
      </w:r>
      <w:r>
        <w:rPr>
          <w:rFonts w:ascii="Times New Roman" w:hAnsi="Times New Roman"/>
        </w:rPr>
        <w:t xml:space="preserve">early adoption barriers while minimizing costs.  </w:t>
      </w:r>
      <w:r w:rsidR="001E60BC">
        <w:rPr>
          <w:rFonts w:ascii="Times New Roman" w:hAnsi="Times New Roman"/>
        </w:rPr>
        <w:t>This might entail a basic offering for AC Level 2 EVSE installations at home, workplaces and public locations, and a few DC fast chargers to provide a backbone of infrastructure, facilitating early adoption</w:t>
      </w:r>
      <w:r w:rsidR="00C12BCE">
        <w:rPr>
          <w:rFonts w:ascii="Times New Roman" w:hAnsi="Times New Roman"/>
        </w:rPr>
        <w:t xml:space="preserve"> while minimizing complexity and cost</w:t>
      </w:r>
      <w:r w:rsidR="001E60BC">
        <w:rPr>
          <w:rFonts w:ascii="Times New Roman" w:hAnsi="Times New Roman"/>
        </w:rPr>
        <w:t xml:space="preserve">.  </w:t>
      </w:r>
      <w:r>
        <w:rPr>
          <w:rFonts w:ascii="Times New Roman" w:hAnsi="Times New Roman"/>
        </w:rPr>
        <w:t>Over time,</w:t>
      </w:r>
      <w:r w:rsidR="001E60BC">
        <w:rPr>
          <w:rFonts w:ascii="Times New Roman" w:hAnsi="Times New Roman"/>
        </w:rPr>
        <w:t xml:space="preserve"> </w:t>
      </w:r>
      <w:r>
        <w:rPr>
          <w:rFonts w:ascii="Times New Roman" w:hAnsi="Times New Roman"/>
        </w:rPr>
        <w:t xml:space="preserve">utility programs </w:t>
      </w:r>
      <w:r w:rsidR="000B04F1">
        <w:rPr>
          <w:rFonts w:ascii="Times New Roman" w:hAnsi="Times New Roman"/>
        </w:rPr>
        <w:t xml:space="preserve">may be </w:t>
      </w:r>
      <w:r>
        <w:rPr>
          <w:rFonts w:ascii="Times New Roman" w:hAnsi="Times New Roman"/>
        </w:rPr>
        <w:t>adjust</w:t>
      </w:r>
      <w:r w:rsidR="000B04F1">
        <w:rPr>
          <w:rFonts w:ascii="Times New Roman" w:hAnsi="Times New Roman"/>
        </w:rPr>
        <w:t>ed</w:t>
      </w:r>
      <w:r>
        <w:rPr>
          <w:rFonts w:ascii="Times New Roman" w:hAnsi="Times New Roman"/>
        </w:rPr>
        <w:t xml:space="preserve"> and expand</w:t>
      </w:r>
      <w:r w:rsidR="000B04F1">
        <w:rPr>
          <w:rFonts w:ascii="Times New Roman" w:hAnsi="Times New Roman"/>
        </w:rPr>
        <w:t>ed</w:t>
      </w:r>
      <w:r>
        <w:rPr>
          <w:rFonts w:ascii="Times New Roman" w:hAnsi="Times New Roman"/>
        </w:rPr>
        <w:t xml:space="preserve"> to accommodate the growing needs and variety of customer segments in their service territory, providing greater customer choice and overall value in the portfolio.  </w:t>
      </w:r>
      <w:r w:rsidR="001E60BC">
        <w:rPr>
          <w:rFonts w:ascii="Times New Roman" w:hAnsi="Times New Roman"/>
        </w:rPr>
        <w:t xml:space="preserve">This could include </w:t>
      </w:r>
      <w:r w:rsidR="00C12BCE">
        <w:rPr>
          <w:rFonts w:ascii="Times New Roman" w:hAnsi="Times New Roman"/>
        </w:rPr>
        <w:t>a range of</w:t>
      </w:r>
      <w:r w:rsidR="001E60BC">
        <w:rPr>
          <w:rFonts w:ascii="Times New Roman" w:hAnsi="Times New Roman"/>
        </w:rPr>
        <w:t xml:space="preserve"> utility </w:t>
      </w:r>
      <w:r w:rsidR="00C12BCE">
        <w:rPr>
          <w:rFonts w:ascii="Times New Roman" w:hAnsi="Times New Roman"/>
        </w:rPr>
        <w:t xml:space="preserve">EVSE </w:t>
      </w:r>
      <w:r w:rsidR="001E60BC">
        <w:rPr>
          <w:rFonts w:ascii="Times New Roman" w:hAnsi="Times New Roman"/>
        </w:rPr>
        <w:t>“provider” and “manager”</w:t>
      </w:r>
      <w:r w:rsidR="00C12BCE">
        <w:rPr>
          <w:rFonts w:ascii="Times New Roman" w:hAnsi="Times New Roman"/>
        </w:rPr>
        <w:t xml:space="preserve"> program components</w:t>
      </w:r>
      <w:r w:rsidR="001E60BC">
        <w:rPr>
          <w:rFonts w:ascii="Times New Roman" w:hAnsi="Times New Roman"/>
        </w:rPr>
        <w:t xml:space="preserve">, </w:t>
      </w:r>
      <w:r w:rsidR="00C12BCE">
        <w:rPr>
          <w:rFonts w:ascii="Times New Roman" w:hAnsi="Times New Roman"/>
        </w:rPr>
        <w:t xml:space="preserve">managed charging services, a variety of payment plans and financing services, as well as a larger number of EVSE to choose from that meet interoperability requirements. </w:t>
      </w:r>
      <w:r w:rsidR="001E60BC">
        <w:rPr>
          <w:rFonts w:ascii="Times New Roman" w:hAnsi="Times New Roman"/>
        </w:rPr>
        <w:t xml:space="preserve"> </w:t>
      </w:r>
    </w:p>
    <w:p w:rsidR="00CB5A54" w:rsidRDefault="00CB5A54" w:rsidP="00CB5A54">
      <w:pPr>
        <w:spacing w:line="360" w:lineRule="auto"/>
        <w:jc w:val="both"/>
        <w:rPr>
          <w:rFonts w:ascii="Times New Roman" w:eastAsia="Calibri" w:hAnsi="Times New Roman" w:cs="Times New Roman"/>
        </w:rPr>
      </w:pPr>
      <w:r>
        <w:rPr>
          <w:rFonts w:ascii="Times New Roman" w:eastAsia="Calibri" w:hAnsi="Times New Roman" w:cs="Times New Roman"/>
        </w:rPr>
        <w:tab/>
      </w:r>
    </w:p>
    <w:p w:rsidR="00CB5A54" w:rsidRPr="007761CC" w:rsidRDefault="00CB5A54" w:rsidP="00CB5A54">
      <w:pPr>
        <w:pStyle w:val="ListParagraph"/>
        <w:numPr>
          <w:ilvl w:val="0"/>
          <w:numId w:val="28"/>
        </w:numPr>
        <w:spacing w:line="276" w:lineRule="auto"/>
        <w:jc w:val="both"/>
        <w:rPr>
          <w:b/>
        </w:rPr>
      </w:pPr>
      <w:r w:rsidRPr="007761CC">
        <w:rPr>
          <w:b/>
        </w:rPr>
        <w:t>What specific policies should the Commission adopt regarding interoperability of utility-owned charging infrastructure?  We expect that both the EVSE hardware developed by the manufacturers and the software and communications components to continue to advance and develop rapidly over time. Accordingly, how should the Commission ensure that EV owners are not locked in to a certain type of technology (either hardware or software) as the market develops, and what role should the Commission have in assuring some type of backend interoperability between the EVSE at the hosting site and the operator of the overall EVSE systems?</w:t>
      </w:r>
    </w:p>
    <w:p w:rsidR="00CB5A54" w:rsidRDefault="00CB5A54" w:rsidP="00CB5A54">
      <w:pPr>
        <w:pStyle w:val="ListParagraph"/>
        <w:autoSpaceDE w:val="0"/>
        <w:autoSpaceDN w:val="0"/>
        <w:adjustRightInd w:val="0"/>
        <w:spacing w:after="83"/>
        <w:rPr>
          <w:color w:val="000000"/>
        </w:rPr>
      </w:pPr>
      <w:r>
        <w:rPr>
          <w:color w:val="000000"/>
        </w:rPr>
        <w:t xml:space="preserve"> </w:t>
      </w:r>
    </w:p>
    <w:p w:rsidR="00CB5A54" w:rsidRDefault="00CB5A54" w:rsidP="00CB5A54">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For reasons previously mentioned, the Commission should require utilities to deploy EVSE systems that are interoperable, utilizing open communication protocols between EVSE hardware and backend software platforms.  “Cloud-to-cloud” communications between different backend software platforms is not adequate in this regard, as it leaves open the risk of stranded assets should a given set of EVSE and/or a backend network become obsolete or unsupported.  Additionally, from an operational perspective, this architecture adds complexity and </w:t>
      </w:r>
      <w:r w:rsidR="00C12BCE">
        <w:rPr>
          <w:rFonts w:ascii="Times New Roman" w:eastAsia="Calibri" w:hAnsi="Times New Roman" w:cs="Times New Roman"/>
        </w:rPr>
        <w:t xml:space="preserve">cost to the overall system, and can lead to a reduced ability to </w:t>
      </w:r>
      <w:r>
        <w:rPr>
          <w:rFonts w:ascii="Times New Roman" w:eastAsia="Calibri" w:hAnsi="Times New Roman" w:cs="Times New Roman"/>
        </w:rPr>
        <w:t xml:space="preserve">provide </w:t>
      </w:r>
      <w:r w:rsidR="00C12BCE">
        <w:rPr>
          <w:rFonts w:ascii="Times New Roman" w:eastAsia="Calibri" w:hAnsi="Times New Roman" w:cs="Times New Roman"/>
        </w:rPr>
        <w:t xml:space="preserve">remote </w:t>
      </w:r>
      <w:r>
        <w:rPr>
          <w:rFonts w:ascii="Times New Roman" w:eastAsia="Calibri" w:hAnsi="Times New Roman" w:cs="Times New Roman"/>
        </w:rPr>
        <w:t xml:space="preserve">driver and site host support.  Both national and international standards in this area are under development.  Several backend network providers offer platforms compliant with the </w:t>
      </w:r>
      <w:r w:rsidR="000E329F">
        <w:rPr>
          <w:rFonts w:ascii="Times New Roman" w:eastAsia="Calibri" w:hAnsi="Times New Roman" w:cs="Times New Roman"/>
        </w:rPr>
        <w:t xml:space="preserve">industry standard </w:t>
      </w:r>
      <w:r>
        <w:rPr>
          <w:rFonts w:ascii="Times New Roman" w:eastAsia="Calibri" w:hAnsi="Times New Roman" w:cs="Times New Roman"/>
        </w:rPr>
        <w:t xml:space="preserve">Open Charge Point </w:t>
      </w:r>
      <w:r>
        <w:rPr>
          <w:rFonts w:ascii="Times New Roman" w:eastAsia="Calibri" w:hAnsi="Times New Roman" w:cs="Times New Roman"/>
        </w:rPr>
        <w:lastRenderedPageBreak/>
        <w:t xml:space="preserve">Protocol (OCPP) v1.6.  This protocol is free from intellectual property </w:t>
      </w:r>
      <w:r w:rsidR="00C12BCE">
        <w:rPr>
          <w:rFonts w:ascii="Times New Roman" w:eastAsia="Calibri" w:hAnsi="Times New Roman" w:cs="Times New Roman"/>
        </w:rPr>
        <w:t>a</w:t>
      </w:r>
      <w:r>
        <w:rPr>
          <w:rFonts w:ascii="Times New Roman" w:eastAsia="Calibri" w:hAnsi="Times New Roman" w:cs="Times New Roman"/>
        </w:rPr>
        <w:t xml:space="preserve">nd royalties, which helps facilitate and encourage innovation in the industry at lower costs to all concerned.  Vendors are free to comply with basic information exchanges using this protocol, while providing additional functionality that may be proprietary </w:t>
      </w:r>
      <w:r w:rsidR="000E329F">
        <w:rPr>
          <w:rFonts w:ascii="Times New Roman" w:eastAsia="Calibri" w:hAnsi="Times New Roman" w:cs="Times New Roman"/>
        </w:rPr>
        <w:t>in nature, designed to enhance</w:t>
      </w:r>
      <w:r>
        <w:rPr>
          <w:rFonts w:ascii="Times New Roman" w:eastAsia="Calibri" w:hAnsi="Times New Roman" w:cs="Times New Roman"/>
        </w:rPr>
        <w:t xml:space="preserve"> the custome</w:t>
      </w:r>
      <w:r w:rsidR="000E329F">
        <w:rPr>
          <w:rFonts w:ascii="Times New Roman" w:eastAsia="Calibri" w:hAnsi="Times New Roman" w:cs="Times New Roman"/>
        </w:rPr>
        <w:t>r experience and differentiate their</w:t>
      </w:r>
      <w:r>
        <w:rPr>
          <w:rFonts w:ascii="Times New Roman" w:eastAsia="Calibri" w:hAnsi="Times New Roman" w:cs="Times New Roman"/>
        </w:rPr>
        <w:t xml:space="preserve"> products and services.</w:t>
      </w:r>
      <w:r w:rsidR="00C12BCE">
        <w:rPr>
          <w:rFonts w:ascii="Times New Roman" w:eastAsia="Calibri" w:hAnsi="Times New Roman" w:cs="Times New Roman"/>
        </w:rPr>
        <w:t xml:space="preserve">  </w:t>
      </w:r>
    </w:p>
    <w:p w:rsidR="00CB5A54" w:rsidRDefault="00CB5A54" w:rsidP="00CB5A54">
      <w:pPr>
        <w:spacing w:line="360" w:lineRule="auto"/>
        <w:jc w:val="both"/>
        <w:rPr>
          <w:rFonts w:ascii="Times New Roman" w:eastAsia="Calibri" w:hAnsi="Times New Roman" w:cs="Times New Roman"/>
        </w:rPr>
      </w:pPr>
      <w:r>
        <w:rPr>
          <w:rFonts w:ascii="Times New Roman" w:eastAsia="Calibri" w:hAnsi="Times New Roman" w:cs="Times New Roman"/>
        </w:rPr>
        <w:tab/>
      </w:r>
      <w:r>
        <w:rPr>
          <w:rFonts w:eastAsia="Calibri"/>
        </w:rPr>
        <w:t xml:space="preserve"> </w:t>
      </w:r>
    </w:p>
    <w:p w:rsidR="00CB5A54" w:rsidRPr="007761CC" w:rsidRDefault="00CB5A54" w:rsidP="00CB5A54">
      <w:pPr>
        <w:pStyle w:val="ListParagraph"/>
        <w:numPr>
          <w:ilvl w:val="0"/>
          <w:numId w:val="28"/>
        </w:numPr>
        <w:spacing w:after="120" w:line="276" w:lineRule="auto"/>
        <w:jc w:val="both"/>
        <w:rPr>
          <w:b/>
        </w:rPr>
      </w:pPr>
      <w:r w:rsidRPr="007761CC">
        <w:rPr>
          <w:b/>
        </w:rPr>
        <w:t>What policy mechanisms or standards are available to promote system-wide interoperability for drivers, such that EV drivers can charge any EV model and pay for the charge without joining a multitude of charging networks? Does the Commission have a role in overseeing the development of these standards or protocols, or should it provide guidance on the characteristics of an open EVSE system or a more common interoperable platform?</w:t>
      </w:r>
    </w:p>
    <w:p w:rsidR="00CB5A54" w:rsidRDefault="00CB5A54" w:rsidP="00CB5A54">
      <w:pPr>
        <w:pStyle w:val="ListParagraph"/>
        <w:autoSpaceDE w:val="0"/>
        <w:autoSpaceDN w:val="0"/>
        <w:adjustRightInd w:val="0"/>
        <w:rPr>
          <w:color w:val="000000"/>
        </w:rPr>
      </w:pPr>
      <w:r>
        <w:rPr>
          <w:color w:val="000000"/>
        </w:rPr>
        <w:t xml:space="preserve"> </w:t>
      </w:r>
    </w:p>
    <w:p w:rsidR="00CB5A54" w:rsidRPr="002842B6" w:rsidRDefault="00CB5A54" w:rsidP="00CB5A54">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To the Company’s knowledge there are no currently available </w:t>
      </w:r>
      <w:r w:rsidR="00D57EF6">
        <w:rPr>
          <w:rFonts w:ascii="Times New Roman" w:eastAsia="Calibri" w:hAnsi="Times New Roman" w:cs="Times New Roman"/>
        </w:rPr>
        <w:t xml:space="preserve">protocols or </w:t>
      </w:r>
      <w:r>
        <w:rPr>
          <w:rFonts w:ascii="Times New Roman" w:eastAsia="Calibri" w:hAnsi="Times New Roman" w:cs="Times New Roman"/>
        </w:rPr>
        <w:t xml:space="preserve">standards </w:t>
      </w:r>
      <w:r w:rsidR="00D57EF6">
        <w:rPr>
          <w:rFonts w:ascii="Times New Roman" w:eastAsia="Calibri" w:hAnsi="Times New Roman" w:cs="Times New Roman"/>
        </w:rPr>
        <w:t>employed in the United States</w:t>
      </w:r>
      <w:r>
        <w:rPr>
          <w:rFonts w:ascii="Times New Roman" w:eastAsia="Calibri" w:hAnsi="Times New Roman" w:cs="Times New Roman"/>
        </w:rPr>
        <w:t xml:space="preserve"> to promote system-wide interoperability for drivers, other than the use of credit cards.  Credit card swipes are universal but add costs in equipment, fees, and maintenance</w:t>
      </w:r>
      <w:r w:rsidR="006565DE">
        <w:rPr>
          <w:rFonts w:ascii="Times New Roman" w:eastAsia="Calibri" w:hAnsi="Times New Roman" w:cs="Times New Roman"/>
        </w:rPr>
        <w:t xml:space="preserve">.  </w:t>
      </w:r>
      <w:r>
        <w:rPr>
          <w:rFonts w:ascii="Times New Roman" w:eastAsia="Calibri" w:hAnsi="Times New Roman" w:cs="Times New Roman"/>
        </w:rPr>
        <w:t xml:space="preserve">The Company would welcome any policies that could be effective in promoting this important benefit.  Further consultation with industry experts such as those at the Electric Power Research Institute (EPRI) and the California Air Resources Board (CARB) might provide more insight on how the Commission could serve in helping to develop </w:t>
      </w:r>
      <w:r w:rsidR="005E5919">
        <w:rPr>
          <w:rFonts w:ascii="Times New Roman" w:eastAsia="Calibri" w:hAnsi="Times New Roman" w:cs="Times New Roman"/>
        </w:rPr>
        <w:t xml:space="preserve">and/or support </w:t>
      </w:r>
      <w:r>
        <w:rPr>
          <w:rFonts w:ascii="Times New Roman" w:eastAsia="Calibri" w:hAnsi="Times New Roman" w:cs="Times New Roman"/>
        </w:rPr>
        <w:t>standards and protocols, and/or guidance that specifies characteristics of an open EVSE system</w:t>
      </w:r>
      <w:r w:rsidR="006565DE">
        <w:rPr>
          <w:rFonts w:ascii="Times New Roman" w:eastAsia="Calibri" w:hAnsi="Times New Roman" w:cs="Times New Roman"/>
        </w:rPr>
        <w:t>, seamless driver mobility</w:t>
      </w:r>
      <w:r>
        <w:rPr>
          <w:rFonts w:ascii="Times New Roman" w:eastAsia="Calibri" w:hAnsi="Times New Roman" w:cs="Times New Roman"/>
        </w:rPr>
        <w:t xml:space="preserve"> and common interoperable platforms.  </w:t>
      </w:r>
    </w:p>
    <w:p w:rsidR="00CB5A54" w:rsidRDefault="00CB5A54" w:rsidP="00CB5A54">
      <w:pPr>
        <w:spacing w:line="360" w:lineRule="auto"/>
        <w:contextualSpacing/>
        <w:jc w:val="both"/>
        <w:rPr>
          <w:rFonts w:ascii="Times New Roman" w:eastAsia="Calibri" w:hAnsi="Times New Roman" w:cs="Times New Roman"/>
        </w:rPr>
      </w:pPr>
    </w:p>
    <w:p w:rsidR="00CB5A54" w:rsidRPr="009737C9" w:rsidRDefault="00CB5A54" w:rsidP="00CB5A54">
      <w:pPr>
        <w:pStyle w:val="ListParagraph"/>
        <w:numPr>
          <w:ilvl w:val="0"/>
          <w:numId w:val="28"/>
        </w:numPr>
        <w:spacing w:after="120" w:line="276" w:lineRule="auto"/>
        <w:rPr>
          <w:b/>
        </w:rPr>
      </w:pPr>
      <w:r w:rsidRPr="009737C9">
        <w:rPr>
          <w:b/>
        </w:rPr>
        <w:t>The Commission requests feedback on its proposed policy allowing for a single joint stakeholder group to participate in review of utility EV charging service program design and review.</w:t>
      </w:r>
    </w:p>
    <w:p w:rsidR="00CB5A54" w:rsidRDefault="00CB5A54" w:rsidP="00CB5A54">
      <w:pPr>
        <w:pStyle w:val="ListParagraph"/>
        <w:autoSpaceDE w:val="0"/>
        <w:autoSpaceDN w:val="0"/>
        <w:adjustRightInd w:val="0"/>
        <w:rPr>
          <w:color w:val="000000"/>
        </w:rPr>
      </w:pPr>
      <w:r>
        <w:rPr>
          <w:color w:val="000000"/>
        </w:rPr>
        <w:t xml:space="preserve"> </w:t>
      </w:r>
    </w:p>
    <w:p w:rsidR="00CB5A54" w:rsidRPr="002842B6" w:rsidRDefault="00CB5A54" w:rsidP="00CB5A54">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As mentioned above, the Company</w:t>
      </w:r>
      <w:r w:rsidR="00751B79">
        <w:rPr>
          <w:rFonts w:ascii="Times New Roman" w:eastAsia="Calibri" w:hAnsi="Times New Roman" w:cs="Times New Roman"/>
        </w:rPr>
        <w:t xml:space="preserve"> supports the concept of seeking input from a </w:t>
      </w:r>
      <w:r w:rsidR="008506C0">
        <w:rPr>
          <w:rFonts w:ascii="Times New Roman" w:eastAsia="Calibri" w:hAnsi="Times New Roman" w:cs="Times New Roman"/>
        </w:rPr>
        <w:t xml:space="preserve">joint </w:t>
      </w:r>
      <w:r w:rsidR="00751B79">
        <w:rPr>
          <w:rFonts w:ascii="Times New Roman" w:eastAsia="Calibri" w:hAnsi="Times New Roman" w:cs="Times New Roman"/>
        </w:rPr>
        <w:t xml:space="preserve">stakeholder group on future EVSE programs ahead of formal filings.  Avista recommends that the draft policy recognize that the stakeholder group may not fully agree on the design elements and reporting requirements of a future EVSE program, but this should not limit a utility’s ability to move forward with a filing to the Commission.   </w:t>
      </w:r>
    </w:p>
    <w:p w:rsidR="00CB5A54" w:rsidRDefault="00CB5A54" w:rsidP="00CB5A54">
      <w:pPr>
        <w:spacing w:line="360" w:lineRule="auto"/>
        <w:contextualSpacing/>
        <w:jc w:val="both"/>
        <w:rPr>
          <w:rFonts w:ascii="Times New Roman" w:eastAsia="Calibri" w:hAnsi="Times New Roman" w:cs="Times New Roman"/>
        </w:rPr>
      </w:pPr>
    </w:p>
    <w:p w:rsidR="00CB5A54" w:rsidRPr="00DA1C41" w:rsidRDefault="00CB5A54" w:rsidP="00CB5A54">
      <w:pPr>
        <w:spacing w:line="360" w:lineRule="auto"/>
        <w:ind w:firstLine="720"/>
        <w:jc w:val="both"/>
        <w:rPr>
          <w:rFonts w:ascii="Times New Roman" w:hAnsi="Times New Roman" w:cs="Times New Roman"/>
        </w:rPr>
      </w:pPr>
      <w:r w:rsidRPr="0067498C">
        <w:rPr>
          <w:rFonts w:ascii="Times New Roman" w:hAnsi="Times New Roman" w:cs="Times New Roman"/>
        </w:rPr>
        <w:lastRenderedPageBreak/>
        <w:t xml:space="preserve">Avista appreciates the opportunity to provide these comments, and we look forward to </w:t>
      </w:r>
      <w:r>
        <w:rPr>
          <w:rFonts w:ascii="Times New Roman" w:hAnsi="Times New Roman" w:cs="Times New Roman"/>
        </w:rPr>
        <w:t>the continued dialogue in this process</w:t>
      </w:r>
      <w:r w:rsidRPr="0067498C">
        <w:rPr>
          <w:rFonts w:ascii="Times New Roman" w:hAnsi="Times New Roman" w:cs="Times New Roman"/>
        </w:rPr>
        <w:t>.</w:t>
      </w:r>
      <w:r>
        <w:rPr>
          <w:rFonts w:ascii="Times New Roman" w:hAnsi="Times New Roman" w:cs="Times New Roman"/>
        </w:rPr>
        <w:t xml:space="preserve">  </w:t>
      </w:r>
      <w:r>
        <w:rPr>
          <w:rFonts w:ascii="Times New Roman" w:hAnsi="Times New Roman"/>
        </w:rPr>
        <w:t>Please direct any questions</w:t>
      </w:r>
      <w:r w:rsidRPr="0067498C">
        <w:rPr>
          <w:rFonts w:ascii="Times New Roman" w:hAnsi="Times New Roman"/>
        </w:rPr>
        <w:t xml:space="preserve"> regarding these comments</w:t>
      </w:r>
      <w:r>
        <w:rPr>
          <w:rFonts w:ascii="Times New Roman" w:hAnsi="Times New Roman"/>
        </w:rPr>
        <w:t xml:space="preserve"> to me at 509-495-2782 or by email, </w:t>
      </w:r>
      <w:hyperlink r:id="rId8" w:history="1">
        <w:r w:rsidRPr="00C50BFA">
          <w:rPr>
            <w:rStyle w:val="Hyperlink"/>
            <w:rFonts w:ascii="Times New Roman" w:hAnsi="Times New Roman" w:cs="Times New Roman"/>
            <w:lang w:val="fr-FR"/>
          </w:rPr>
          <w:t>shawn.bonfield@avistacorp.com</w:t>
        </w:r>
      </w:hyperlink>
      <w:r>
        <w:rPr>
          <w:rFonts w:ascii="Times New Roman" w:hAnsi="Times New Roman"/>
        </w:rPr>
        <w:t>.</w:t>
      </w:r>
    </w:p>
    <w:p w:rsidR="00CB5A54" w:rsidRPr="0067498C" w:rsidRDefault="00CB5A54" w:rsidP="00CB5A54">
      <w:pPr>
        <w:pStyle w:val="NoSpacing"/>
        <w:spacing w:line="360" w:lineRule="auto"/>
        <w:ind w:right="-270" w:firstLine="720"/>
        <w:jc w:val="both"/>
        <w:rPr>
          <w:rFonts w:ascii="Times New Roman" w:hAnsi="Times New Roman"/>
          <w:sz w:val="24"/>
          <w:szCs w:val="24"/>
        </w:rPr>
      </w:pPr>
    </w:p>
    <w:p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rsidR="00CB5A54" w:rsidRPr="000D15BF" w:rsidRDefault="00CB5A54" w:rsidP="00CB5A54">
      <w:pPr>
        <w:jc w:val="both"/>
        <w:rPr>
          <w:rFonts w:ascii="Times New Roman" w:hAnsi="Times New Roman" w:cs="Times New Roman"/>
        </w:rPr>
      </w:pPr>
    </w:p>
    <w:p w:rsidR="00CB5A54" w:rsidRPr="00F20848" w:rsidRDefault="00CB5A54" w:rsidP="00CB5A54">
      <w:pPr>
        <w:jc w:val="both"/>
        <w:rPr>
          <w:rFonts w:ascii="Brush Script MT" w:hAnsi="Brush Script MT" w:cs="Times New Roman"/>
          <w:noProof/>
          <w:sz w:val="32"/>
        </w:rPr>
      </w:pPr>
      <w:r w:rsidRPr="00F20848">
        <w:rPr>
          <w:rFonts w:ascii="Brush Script MT" w:hAnsi="Brush Script MT" w:cs="Times New Roman"/>
          <w:noProof/>
          <w:sz w:val="32"/>
        </w:rPr>
        <w:t>Shawn Bonfield</w:t>
      </w:r>
    </w:p>
    <w:p w:rsidR="00CB5A54" w:rsidRPr="000D15BF" w:rsidRDefault="00CB5A54" w:rsidP="00CB5A54">
      <w:pPr>
        <w:jc w:val="both"/>
        <w:rPr>
          <w:rFonts w:ascii="Times New Roman" w:hAnsi="Times New Roman" w:cs="Times New Roman"/>
        </w:rPr>
      </w:pPr>
    </w:p>
    <w:p w:rsidR="00CB5A54" w:rsidRPr="000D15BF" w:rsidRDefault="00CB5A54" w:rsidP="00CB5A54">
      <w:pPr>
        <w:jc w:val="both"/>
        <w:rPr>
          <w:rFonts w:ascii="Times New Roman" w:hAnsi="Times New Roman" w:cs="Times New Roman"/>
        </w:rPr>
      </w:pPr>
      <w:r>
        <w:rPr>
          <w:rFonts w:ascii="Times New Roman" w:hAnsi="Times New Roman" w:cs="Times New Roman"/>
        </w:rPr>
        <w:t>Sr. Regulatory Policy Analyst</w:t>
      </w:r>
    </w:p>
    <w:p w:rsidR="00CB5A54" w:rsidRPr="00FF70D0" w:rsidRDefault="00CB5A54" w:rsidP="00CB5A54">
      <w:pPr>
        <w:jc w:val="both"/>
        <w:rPr>
          <w:rFonts w:ascii="Times New Roman" w:hAnsi="Times New Roman" w:cs="Times New Roman"/>
          <w:lang w:val="fr-FR"/>
        </w:rPr>
      </w:pPr>
      <w:r w:rsidRPr="00FF70D0">
        <w:rPr>
          <w:rFonts w:ascii="Times New Roman" w:hAnsi="Times New Roman" w:cs="Times New Roman"/>
          <w:lang w:val="fr-FR"/>
        </w:rPr>
        <w:t>Avista Utilities</w:t>
      </w:r>
    </w:p>
    <w:p w:rsidR="00CB5A54" w:rsidRPr="008A2358" w:rsidRDefault="00CB5A54" w:rsidP="00CB5A54">
      <w:pPr>
        <w:pStyle w:val="NoSpacing"/>
        <w:spacing w:line="360" w:lineRule="auto"/>
        <w:ind w:right="-270"/>
        <w:jc w:val="both"/>
        <w:rPr>
          <w:rFonts w:ascii="Times New Roman" w:hAnsi="Times New Roman"/>
          <w:sz w:val="24"/>
          <w:szCs w:val="24"/>
        </w:rPr>
      </w:pPr>
    </w:p>
    <w:p w:rsidR="00337F64" w:rsidRPr="00FF70D0" w:rsidRDefault="00337F64" w:rsidP="0021043B">
      <w:pPr>
        <w:pStyle w:val="NoSpacing"/>
        <w:spacing w:line="360" w:lineRule="auto"/>
        <w:jc w:val="both"/>
        <w:rPr>
          <w:rFonts w:ascii="Times New Roman" w:hAnsi="Times New Roman"/>
          <w:lang w:val="fr-FR"/>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3E" w:rsidRDefault="0058423E" w:rsidP="002A1126">
      <w:r>
        <w:separator/>
      </w:r>
    </w:p>
  </w:endnote>
  <w:endnote w:type="continuationSeparator" w:id="0">
    <w:p w:rsidR="0058423E" w:rsidRDefault="0058423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4" w:rsidRDefault="009C1FEC"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15</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15</w:t>
        </w:r>
        <w:r w:rsidR="00A62CE4" w:rsidRPr="00F54081">
          <w:rPr>
            <w:rFonts w:ascii="Times New Roman" w:hAnsi="Times New Roman" w:cs="Times New Roman"/>
          </w:rPr>
          <w:fldChar w:fldCharType="end"/>
        </w:r>
      </w:sdtContent>
    </w:sdt>
  </w:p>
  <w:p w:rsidR="00A62CE4" w:rsidRDefault="00A62CE4">
    <w:pPr>
      <w:pStyle w:val="Footer"/>
      <w:pBdr>
        <w:top w:val="single" w:sz="4" w:space="1" w:color="D9D9D9" w:themeColor="background1" w:themeShade="D9"/>
      </w:pBdr>
      <w:jc w:val="right"/>
    </w:pPr>
  </w:p>
  <w:p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3E" w:rsidRDefault="0058423E" w:rsidP="002A1126">
      <w:r>
        <w:separator/>
      </w:r>
    </w:p>
  </w:footnote>
  <w:footnote w:type="continuationSeparator" w:id="0">
    <w:p w:rsidR="0058423E" w:rsidRDefault="0058423E" w:rsidP="002A1126">
      <w:r>
        <w:continuationSeparator/>
      </w:r>
    </w:p>
  </w:footnote>
  <w:footnote w:id="1">
    <w:p w:rsidR="0036714C" w:rsidRDefault="0036714C">
      <w:pPr>
        <w:pStyle w:val="FootnoteText"/>
      </w:pPr>
      <w:r>
        <w:rPr>
          <w:rStyle w:val="FootnoteReference"/>
        </w:rPr>
        <w:footnoteRef/>
      </w:r>
      <w:r>
        <w:t xml:space="preserve"> Docket UE-160799 Draft Policy Statement, ¶ 59</w:t>
      </w:r>
    </w:p>
  </w:footnote>
  <w:footnote w:id="2">
    <w:p w:rsidR="00E31A47" w:rsidRDefault="00E31A47">
      <w:pPr>
        <w:pStyle w:val="FootnoteText"/>
      </w:pPr>
      <w:r>
        <w:rPr>
          <w:rStyle w:val="FootnoteReference"/>
        </w:rPr>
        <w:footnoteRef/>
      </w:r>
      <w:r>
        <w:t xml:space="preserve"> Docket UE-160799 Draft Policy Statement, ¶ 60</w:t>
      </w:r>
    </w:p>
  </w:footnote>
  <w:footnote w:id="3">
    <w:p w:rsidR="00E31A47" w:rsidRDefault="00E31A47">
      <w:pPr>
        <w:pStyle w:val="FootnoteText"/>
      </w:pPr>
      <w:r>
        <w:rPr>
          <w:rStyle w:val="FootnoteReference"/>
        </w:rPr>
        <w:footnoteRef/>
      </w:r>
      <w:r>
        <w:t xml:space="preserve"> Docket UE-160799 Draft Policy Statement, ¶ 60</w:t>
      </w:r>
    </w:p>
  </w:footnote>
  <w:footnote w:id="4">
    <w:p w:rsidR="00800760" w:rsidRDefault="00800760">
      <w:pPr>
        <w:pStyle w:val="FootnoteText"/>
      </w:pPr>
      <w:r>
        <w:rPr>
          <w:rStyle w:val="FootnoteReference"/>
        </w:rPr>
        <w:footnoteRef/>
      </w:r>
      <w:r>
        <w:t xml:space="preserve"> Docket UE-160799 Draft Policy Statement, ¶ 21</w:t>
      </w:r>
    </w:p>
  </w:footnote>
  <w:footnote w:id="5">
    <w:p w:rsidR="0030193E" w:rsidRDefault="0030193E">
      <w:pPr>
        <w:pStyle w:val="FootnoteText"/>
      </w:pPr>
      <w:r>
        <w:rPr>
          <w:rStyle w:val="FootnoteReference"/>
        </w:rPr>
        <w:footnoteRef/>
      </w:r>
      <w:r>
        <w:t xml:space="preserve"> Docket UE-160799 Draft Policy Statement, ¶ 36</w:t>
      </w:r>
    </w:p>
  </w:footnote>
  <w:footnote w:id="6">
    <w:p w:rsidR="00CB5A54" w:rsidRDefault="00CB5A54" w:rsidP="00CB5A54">
      <w:pPr>
        <w:pStyle w:val="FootnoteText"/>
      </w:pPr>
      <w:r>
        <w:rPr>
          <w:rStyle w:val="FootnoteReference"/>
        </w:rPr>
        <w:footnoteRef/>
      </w:r>
      <w:r>
        <w:t xml:space="preserve"> Docket UE-160799 Draft Policy Statement, ¶ 65</w:t>
      </w:r>
    </w:p>
  </w:footnote>
  <w:footnote w:id="7">
    <w:p w:rsidR="00CB5A54" w:rsidRDefault="00CB5A54" w:rsidP="00CB5A54">
      <w:pPr>
        <w:pStyle w:val="FootnoteText"/>
      </w:pPr>
      <w:r>
        <w:rPr>
          <w:rStyle w:val="FootnoteReference"/>
        </w:rPr>
        <w:footnoteRef/>
      </w:r>
      <w:r>
        <w:t xml:space="preserve"> Docket UE-160799 Draft Policy Statement, ¶ 65</w:t>
      </w:r>
    </w:p>
  </w:footnote>
  <w:footnote w:id="8">
    <w:p w:rsidR="00CB5A54" w:rsidRDefault="00CB5A54" w:rsidP="00CB5A54">
      <w:pPr>
        <w:pStyle w:val="FootnoteText"/>
      </w:pPr>
      <w:r>
        <w:rPr>
          <w:rStyle w:val="FootnoteReference"/>
        </w:rPr>
        <w:footnoteRef/>
      </w:r>
      <w:r>
        <w:t xml:space="preserve"> Docket UE-160799 Draft Policy Statement, ¶ 86</w:t>
      </w:r>
    </w:p>
  </w:footnote>
  <w:footnote w:id="9">
    <w:p w:rsidR="00CB5A54" w:rsidRDefault="00CB5A54" w:rsidP="00CB5A54">
      <w:pPr>
        <w:pStyle w:val="FootnoteText"/>
      </w:pPr>
      <w:r>
        <w:rPr>
          <w:rStyle w:val="FootnoteReference"/>
        </w:rPr>
        <w:footnoteRef/>
      </w:r>
      <w:r>
        <w:t xml:space="preserve"> </w:t>
      </w:r>
      <w:hyperlink r:id="rId1" w:history="1">
        <w:r w:rsidRPr="003E32B3">
          <w:rPr>
            <w:rStyle w:val="Hyperlink"/>
          </w:rPr>
          <w:t>https://portland.craigslist.org/wsc/cto/5973298764.html</w:t>
        </w:r>
      </w:hyperlink>
    </w:p>
  </w:footnote>
  <w:footnote w:id="10">
    <w:p w:rsidR="001E60BC" w:rsidRDefault="001E60BC" w:rsidP="001E60BC">
      <w:pPr>
        <w:pStyle w:val="FootnoteText"/>
      </w:pPr>
      <w:r>
        <w:rPr>
          <w:rStyle w:val="FootnoteReference"/>
        </w:rPr>
        <w:footnoteRef/>
      </w:r>
      <w:r>
        <w:t xml:space="preserve"> National Electric Code (2017), Article 625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E4" w:rsidRDefault="00A62CE4" w:rsidP="003D0502">
    <w:pPr>
      <w:pStyle w:val="Header"/>
      <w:spacing w:after="480"/>
      <w:ind w:left="-1166" w:right="-1166"/>
    </w:pPr>
    <w:r w:rsidRPr="0071027A">
      <w:rPr>
        <w:noProof/>
      </w:rPr>
      <w:drawing>
        <wp:inline distT="0" distB="0" distL="0" distR="0" wp14:anchorId="02D9C8A3" wp14:editId="77F2B522">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4"/>
  </w:num>
  <w:num w:numId="4">
    <w:abstractNumId w:val="19"/>
  </w:num>
  <w:num w:numId="5">
    <w:abstractNumId w:val="5"/>
  </w:num>
  <w:num w:numId="6">
    <w:abstractNumId w:val="23"/>
  </w:num>
  <w:num w:numId="7">
    <w:abstractNumId w:val="20"/>
  </w:num>
  <w:num w:numId="8">
    <w:abstractNumId w:val="32"/>
  </w:num>
  <w:num w:numId="9">
    <w:abstractNumId w:val="31"/>
  </w:num>
  <w:num w:numId="10">
    <w:abstractNumId w:val="29"/>
  </w:num>
  <w:num w:numId="11">
    <w:abstractNumId w:val="22"/>
  </w:num>
  <w:num w:numId="12">
    <w:abstractNumId w:val="7"/>
  </w:num>
  <w:num w:numId="13">
    <w:abstractNumId w:val="3"/>
  </w:num>
  <w:num w:numId="14">
    <w:abstractNumId w:val="0"/>
  </w:num>
  <w:num w:numId="15">
    <w:abstractNumId w:val="2"/>
  </w:num>
  <w:num w:numId="16">
    <w:abstractNumId w:val="16"/>
  </w:num>
  <w:num w:numId="17">
    <w:abstractNumId w:val="8"/>
  </w:num>
  <w:num w:numId="18">
    <w:abstractNumId w:val="17"/>
  </w:num>
  <w:num w:numId="19">
    <w:abstractNumId w:val="11"/>
  </w:num>
  <w:num w:numId="20">
    <w:abstractNumId w:val="6"/>
  </w:num>
  <w:num w:numId="21">
    <w:abstractNumId w:val="4"/>
  </w:num>
  <w:num w:numId="22">
    <w:abstractNumId w:val="18"/>
  </w:num>
  <w:num w:numId="23">
    <w:abstractNumId w:val="15"/>
  </w:num>
  <w:num w:numId="24">
    <w:abstractNumId w:val="12"/>
  </w:num>
  <w:num w:numId="25">
    <w:abstractNumId w:val="21"/>
  </w:num>
  <w:num w:numId="26">
    <w:abstractNumId w:val="13"/>
  </w:num>
  <w:num w:numId="27">
    <w:abstractNumId w:val="25"/>
  </w:num>
  <w:num w:numId="28">
    <w:abstractNumId w:val="1"/>
  </w:num>
  <w:num w:numId="29">
    <w:abstractNumId w:val="28"/>
  </w:num>
  <w:num w:numId="30">
    <w:abstractNumId w:val="10"/>
  </w:num>
  <w:num w:numId="31">
    <w:abstractNumId w:val="27"/>
  </w:num>
  <w:num w:numId="32">
    <w:abstractNumId w:val="26"/>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1805"/>
    <w:rsid w:val="000124D7"/>
    <w:rsid w:val="000153DB"/>
    <w:rsid w:val="0001790C"/>
    <w:rsid w:val="0002253F"/>
    <w:rsid w:val="000248C6"/>
    <w:rsid w:val="00027FB7"/>
    <w:rsid w:val="00033523"/>
    <w:rsid w:val="000345EF"/>
    <w:rsid w:val="00035F31"/>
    <w:rsid w:val="000369B1"/>
    <w:rsid w:val="00040453"/>
    <w:rsid w:val="00042D25"/>
    <w:rsid w:val="00047C30"/>
    <w:rsid w:val="000515D1"/>
    <w:rsid w:val="000515F7"/>
    <w:rsid w:val="0005607B"/>
    <w:rsid w:val="00070446"/>
    <w:rsid w:val="000749BD"/>
    <w:rsid w:val="00075133"/>
    <w:rsid w:val="00075F09"/>
    <w:rsid w:val="00077661"/>
    <w:rsid w:val="000829EC"/>
    <w:rsid w:val="00084A90"/>
    <w:rsid w:val="000924C6"/>
    <w:rsid w:val="00096744"/>
    <w:rsid w:val="000A1440"/>
    <w:rsid w:val="000A5B43"/>
    <w:rsid w:val="000A610C"/>
    <w:rsid w:val="000A69FA"/>
    <w:rsid w:val="000A6C6F"/>
    <w:rsid w:val="000B04F1"/>
    <w:rsid w:val="000B6281"/>
    <w:rsid w:val="000B69C5"/>
    <w:rsid w:val="000C249F"/>
    <w:rsid w:val="000C2CE2"/>
    <w:rsid w:val="000C32A7"/>
    <w:rsid w:val="000C529C"/>
    <w:rsid w:val="000C5848"/>
    <w:rsid w:val="000E329F"/>
    <w:rsid w:val="000F2669"/>
    <w:rsid w:val="000F32A5"/>
    <w:rsid w:val="000F350D"/>
    <w:rsid w:val="000F4873"/>
    <w:rsid w:val="000F7CF2"/>
    <w:rsid w:val="00105BBC"/>
    <w:rsid w:val="00114E77"/>
    <w:rsid w:val="00121FC9"/>
    <w:rsid w:val="001223C1"/>
    <w:rsid w:val="00122E57"/>
    <w:rsid w:val="001255C2"/>
    <w:rsid w:val="0013094D"/>
    <w:rsid w:val="001401F2"/>
    <w:rsid w:val="00142E03"/>
    <w:rsid w:val="00151EF0"/>
    <w:rsid w:val="00161957"/>
    <w:rsid w:val="00164961"/>
    <w:rsid w:val="00165AB5"/>
    <w:rsid w:val="00165DE8"/>
    <w:rsid w:val="00183969"/>
    <w:rsid w:val="0018417C"/>
    <w:rsid w:val="001856CB"/>
    <w:rsid w:val="001918F7"/>
    <w:rsid w:val="001924FC"/>
    <w:rsid w:val="001925E7"/>
    <w:rsid w:val="001944EB"/>
    <w:rsid w:val="0019753A"/>
    <w:rsid w:val="001A4612"/>
    <w:rsid w:val="001A46E0"/>
    <w:rsid w:val="001A7D8F"/>
    <w:rsid w:val="001B255F"/>
    <w:rsid w:val="001B29A5"/>
    <w:rsid w:val="001B4184"/>
    <w:rsid w:val="001B459E"/>
    <w:rsid w:val="001C3F7D"/>
    <w:rsid w:val="001C5FB0"/>
    <w:rsid w:val="001D273A"/>
    <w:rsid w:val="001D2DB5"/>
    <w:rsid w:val="001D4E89"/>
    <w:rsid w:val="001D5E5E"/>
    <w:rsid w:val="001D6B4F"/>
    <w:rsid w:val="001E2AB9"/>
    <w:rsid w:val="001E451C"/>
    <w:rsid w:val="001E4F3D"/>
    <w:rsid w:val="001E60BC"/>
    <w:rsid w:val="001E72F0"/>
    <w:rsid w:val="001E7D9B"/>
    <w:rsid w:val="001F5FCA"/>
    <w:rsid w:val="001F60FF"/>
    <w:rsid w:val="001F74C2"/>
    <w:rsid w:val="002071FB"/>
    <w:rsid w:val="00207727"/>
    <w:rsid w:val="0021043B"/>
    <w:rsid w:val="00211B9A"/>
    <w:rsid w:val="0022116D"/>
    <w:rsid w:val="00221D4C"/>
    <w:rsid w:val="002232B2"/>
    <w:rsid w:val="00223779"/>
    <w:rsid w:val="002241B4"/>
    <w:rsid w:val="0023572A"/>
    <w:rsid w:val="00235BBC"/>
    <w:rsid w:val="00236DDB"/>
    <w:rsid w:val="0023794F"/>
    <w:rsid w:val="0024167F"/>
    <w:rsid w:val="002433D5"/>
    <w:rsid w:val="00247995"/>
    <w:rsid w:val="002559F5"/>
    <w:rsid w:val="0026107E"/>
    <w:rsid w:val="002664BF"/>
    <w:rsid w:val="002671D5"/>
    <w:rsid w:val="0027135F"/>
    <w:rsid w:val="00273E68"/>
    <w:rsid w:val="002756FF"/>
    <w:rsid w:val="002842B6"/>
    <w:rsid w:val="00287463"/>
    <w:rsid w:val="00287DF2"/>
    <w:rsid w:val="00296412"/>
    <w:rsid w:val="002A1126"/>
    <w:rsid w:val="002B1468"/>
    <w:rsid w:val="002B7D0E"/>
    <w:rsid w:val="002C2722"/>
    <w:rsid w:val="002C71B6"/>
    <w:rsid w:val="002D14D8"/>
    <w:rsid w:val="002D74BF"/>
    <w:rsid w:val="002E24F3"/>
    <w:rsid w:val="002E3993"/>
    <w:rsid w:val="002E6643"/>
    <w:rsid w:val="002F04A0"/>
    <w:rsid w:val="002F088F"/>
    <w:rsid w:val="002F218E"/>
    <w:rsid w:val="002F3F73"/>
    <w:rsid w:val="002F536E"/>
    <w:rsid w:val="0030193E"/>
    <w:rsid w:val="00304ACA"/>
    <w:rsid w:val="00311F63"/>
    <w:rsid w:val="00313771"/>
    <w:rsid w:val="00314215"/>
    <w:rsid w:val="00321EEC"/>
    <w:rsid w:val="00324EAF"/>
    <w:rsid w:val="0032526D"/>
    <w:rsid w:val="0032776A"/>
    <w:rsid w:val="00336A40"/>
    <w:rsid w:val="00337F64"/>
    <w:rsid w:val="00344DC2"/>
    <w:rsid w:val="003509FD"/>
    <w:rsid w:val="0035206C"/>
    <w:rsid w:val="00355E5A"/>
    <w:rsid w:val="003605F1"/>
    <w:rsid w:val="003642D8"/>
    <w:rsid w:val="0036714C"/>
    <w:rsid w:val="00367A25"/>
    <w:rsid w:val="00370CA6"/>
    <w:rsid w:val="00376A2F"/>
    <w:rsid w:val="00381CA4"/>
    <w:rsid w:val="00383266"/>
    <w:rsid w:val="00385158"/>
    <w:rsid w:val="00385820"/>
    <w:rsid w:val="003A02AB"/>
    <w:rsid w:val="003B16D1"/>
    <w:rsid w:val="003D0502"/>
    <w:rsid w:val="003D25E1"/>
    <w:rsid w:val="003D2B0E"/>
    <w:rsid w:val="003D3048"/>
    <w:rsid w:val="003D53A1"/>
    <w:rsid w:val="003E3ACD"/>
    <w:rsid w:val="003F3678"/>
    <w:rsid w:val="003F4623"/>
    <w:rsid w:val="003F7181"/>
    <w:rsid w:val="00405852"/>
    <w:rsid w:val="00407476"/>
    <w:rsid w:val="00407F9D"/>
    <w:rsid w:val="004124F2"/>
    <w:rsid w:val="004200EF"/>
    <w:rsid w:val="00421E87"/>
    <w:rsid w:val="00430848"/>
    <w:rsid w:val="0044076C"/>
    <w:rsid w:val="004417AB"/>
    <w:rsid w:val="00441F4A"/>
    <w:rsid w:val="00443A3B"/>
    <w:rsid w:val="00461771"/>
    <w:rsid w:val="004708AF"/>
    <w:rsid w:val="004712D1"/>
    <w:rsid w:val="004743C8"/>
    <w:rsid w:val="00477F3F"/>
    <w:rsid w:val="00483416"/>
    <w:rsid w:val="00485E4F"/>
    <w:rsid w:val="004869DB"/>
    <w:rsid w:val="00486A80"/>
    <w:rsid w:val="004913E4"/>
    <w:rsid w:val="004A2ECD"/>
    <w:rsid w:val="004A3B4B"/>
    <w:rsid w:val="004A5DE1"/>
    <w:rsid w:val="004A6346"/>
    <w:rsid w:val="004B5927"/>
    <w:rsid w:val="004B60C4"/>
    <w:rsid w:val="004B60E1"/>
    <w:rsid w:val="004B7AAF"/>
    <w:rsid w:val="004C0897"/>
    <w:rsid w:val="004C2388"/>
    <w:rsid w:val="004C428C"/>
    <w:rsid w:val="004D166C"/>
    <w:rsid w:val="004D1DBE"/>
    <w:rsid w:val="004E29CE"/>
    <w:rsid w:val="004E5D26"/>
    <w:rsid w:val="004F1B02"/>
    <w:rsid w:val="004F4A73"/>
    <w:rsid w:val="004F7450"/>
    <w:rsid w:val="004F7A19"/>
    <w:rsid w:val="005011E0"/>
    <w:rsid w:val="0050334E"/>
    <w:rsid w:val="00507690"/>
    <w:rsid w:val="00521285"/>
    <w:rsid w:val="00525902"/>
    <w:rsid w:val="00530BE0"/>
    <w:rsid w:val="0053159B"/>
    <w:rsid w:val="005342EC"/>
    <w:rsid w:val="005343ED"/>
    <w:rsid w:val="00535574"/>
    <w:rsid w:val="005355AB"/>
    <w:rsid w:val="00540901"/>
    <w:rsid w:val="00545D55"/>
    <w:rsid w:val="00547E25"/>
    <w:rsid w:val="00552886"/>
    <w:rsid w:val="0055302E"/>
    <w:rsid w:val="005544F5"/>
    <w:rsid w:val="0056069A"/>
    <w:rsid w:val="00561E47"/>
    <w:rsid w:val="00566AAE"/>
    <w:rsid w:val="00570699"/>
    <w:rsid w:val="0058423E"/>
    <w:rsid w:val="00593876"/>
    <w:rsid w:val="00593ABF"/>
    <w:rsid w:val="005948C2"/>
    <w:rsid w:val="00597A10"/>
    <w:rsid w:val="005A2764"/>
    <w:rsid w:val="005A3212"/>
    <w:rsid w:val="005B1794"/>
    <w:rsid w:val="005B5CF9"/>
    <w:rsid w:val="005D2CE5"/>
    <w:rsid w:val="005E2932"/>
    <w:rsid w:val="005E44E7"/>
    <w:rsid w:val="005E5919"/>
    <w:rsid w:val="005E7898"/>
    <w:rsid w:val="005F0748"/>
    <w:rsid w:val="005F39C5"/>
    <w:rsid w:val="005F73A4"/>
    <w:rsid w:val="00604544"/>
    <w:rsid w:val="00604CE3"/>
    <w:rsid w:val="006071C6"/>
    <w:rsid w:val="006157BD"/>
    <w:rsid w:val="00620B71"/>
    <w:rsid w:val="0062299D"/>
    <w:rsid w:val="00630F73"/>
    <w:rsid w:val="00634071"/>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90F83"/>
    <w:rsid w:val="00693682"/>
    <w:rsid w:val="00694FC3"/>
    <w:rsid w:val="006952D1"/>
    <w:rsid w:val="00695A31"/>
    <w:rsid w:val="00696A33"/>
    <w:rsid w:val="006A2183"/>
    <w:rsid w:val="006A4367"/>
    <w:rsid w:val="006B353D"/>
    <w:rsid w:val="006B7178"/>
    <w:rsid w:val="006C0B5F"/>
    <w:rsid w:val="006C4729"/>
    <w:rsid w:val="006C6708"/>
    <w:rsid w:val="006C670C"/>
    <w:rsid w:val="006D47D8"/>
    <w:rsid w:val="006D6987"/>
    <w:rsid w:val="006D6A6B"/>
    <w:rsid w:val="006E1080"/>
    <w:rsid w:val="006F2F2A"/>
    <w:rsid w:val="006F7A91"/>
    <w:rsid w:val="00706C17"/>
    <w:rsid w:val="00712A54"/>
    <w:rsid w:val="00714841"/>
    <w:rsid w:val="00723985"/>
    <w:rsid w:val="00726B3F"/>
    <w:rsid w:val="0072705C"/>
    <w:rsid w:val="00727EF9"/>
    <w:rsid w:val="007316BE"/>
    <w:rsid w:val="00732BD3"/>
    <w:rsid w:val="00734B77"/>
    <w:rsid w:val="00734C2B"/>
    <w:rsid w:val="0074403E"/>
    <w:rsid w:val="007447AB"/>
    <w:rsid w:val="00747B68"/>
    <w:rsid w:val="00751B79"/>
    <w:rsid w:val="00756F8D"/>
    <w:rsid w:val="0075745A"/>
    <w:rsid w:val="00757B41"/>
    <w:rsid w:val="00767B87"/>
    <w:rsid w:val="00771953"/>
    <w:rsid w:val="007761CC"/>
    <w:rsid w:val="00781B75"/>
    <w:rsid w:val="007848FF"/>
    <w:rsid w:val="00790457"/>
    <w:rsid w:val="00797CBA"/>
    <w:rsid w:val="00797D29"/>
    <w:rsid w:val="007B392C"/>
    <w:rsid w:val="007B42CD"/>
    <w:rsid w:val="007B5D52"/>
    <w:rsid w:val="007B73D2"/>
    <w:rsid w:val="007C035B"/>
    <w:rsid w:val="007C6D2C"/>
    <w:rsid w:val="007D0AB9"/>
    <w:rsid w:val="007E3C42"/>
    <w:rsid w:val="007E3FE5"/>
    <w:rsid w:val="007E6172"/>
    <w:rsid w:val="007F4389"/>
    <w:rsid w:val="00800760"/>
    <w:rsid w:val="00801F8E"/>
    <w:rsid w:val="00804EA2"/>
    <w:rsid w:val="00807809"/>
    <w:rsid w:val="008301C3"/>
    <w:rsid w:val="008310F5"/>
    <w:rsid w:val="008318AA"/>
    <w:rsid w:val="00840B2A"/>
    <w:rsid w:val="0084493F"/>
    <w:rsid w:val="008456A3"/>
    <w:rsid w:val="008506C0"/>
    <w:rsid w:val="0085158D"/>
    <w:rsid w:val="00851B79"/>
    <w:rsid w:val="00852DF8"/>
    <w:rsid w:val="0085359E"/>
    <w:rsid w:val="008564D6"/>
    <w:rsid w:val="00860818"/>
    <w:rsid w:val="008619A7"/>
    <w:rsid w:val="00864A8A"/>
    <w:rsid w:val="00874769"/>
    <w:rsid w:val="00876BB7"/>
    <w:rsid w:val="008835B2"/>
    <w:rsid w:val="00894A4C"/>
    <w:rsid w:val="00897007"/>
    <w:rsid w:val="008A1409"/>
    <w:rsid w:val="008A44E5"/>
    <w:rsid w:val="008A7501"/>
    <w:rsid w:val="008A797C"/>
    <w:rsid w:val="008B543B"/>
    <w:rsid w:val="008B73F4"/>
    <w:rsid w:val="008C0266"/>
    <w:rsid w:val="008C1322"/>
    <w:rsid w:val="008C4B2D"/>
    <w:rsid w:val="008D35B9"/>
    <w:rsid w:val="008E77CE"/>
    <w:rsid w:val="008F073C"/>
    <w:rsid w:val="008F4868"/>
    <w:rsid w:val="008F6493"/>
    <w:rsid w:val="008F65BD"/>
    <w:rsid w:val="008F716F"/>
    <w:rsid w:val="00916838"/>
    <w:rsid w:val="00923DE1"/>
    <w:rsid w:val="00925A8F"/>
    <w:rsid w:val="009434FA"/>
    <w:rsid w:val="00944EDC"/>
    <w:rsid w:val="00956F77"/>
    <w:rsid w:val="009575AB"/>
    <w:rsid w:val="00970034"/>
    <w:rsid w:val="00971839"/>
    <w:rsid w:val="009737C9"/>
    <w:rsid w:val="0098158F"/>
    <w:rsid w:val="0098265E"/>
    <w:rsid w:val="0098618C"/>
    <w:rsid w:val="00995742"/>
    <w:rsid w:val="009969BB"/>
    <w:rsid w:val="009A0D5F"/>
    <w:rsid w:val="009A756B"/>
    <w:rsid w:val="009B3764"/>
    <w:rsid w:val="009C033C"/>
    <w:rsid w:val="009C1FEC"/>
    <w:rsid w:val="009C22AC"/>
    <w:rsid w:val="009C2491"/>
    <w:rsid w:val="009C6101"/>
    <w:rsid w:val="009C70E6"/>
    <w:rsid w:val="009D6112"/>
    <w:rsid w:val="009D75EB"/>
    <w:rsid w:val="009D7ABD"/>
    <w:rsid w:val="009E20BC"/>
    <w:rsid w:val="009F0C95"/>
    <w:rsid w:val="009F15E7"/>
    <w:rsid w:val="00A0631B"/>
    <w:rsid w:val="00A11372"/>
    <w:rsid w:val="00A12D21"/>
    <w:rsid w:val="00A20A2E"/>
    <w:rsid w:val="00A30728"/>
    <w:rsid w:val="00A30F52"/>
    <w:rsid w:val="00A41F89"/>
    <w:rsid w:val="00A43A76"/>
    <w:rsid w:val="00A4450A"/>
    <w:rsid w:val="00A46051"/>
    <w:rsid w:val="00A54F99"/>
    <w:rsid w:val="00A55F8B"/>
    <w:rsid w:val="00A56024"/>
    <w:rsid w:val="00A576A9"/>
    <w:rsid w:val="00A61203"/>
    <w:rsid w:val="00A618F4"/>
    <w:rsid w:val="00A62CE4"/>
    <w:rsid w:val="00A711C1"/>
    <w:rsid w:val="00A75F9C"/>
    <w:rsid w:val="00A80544"/>
    <w:rsid w:val="00A8245D"/>
    <w:rsid w:val="00A82BD4"/>
    <w:rsid w:val="00A85460"/>
    <w:rsid w:val="00A87384"/>
    <w:rsid w:val="00A906F9"/>
    <w:rsid w:val="00A90854"/>
    <w:rsid w:val="00A9471E"/>
    <w:rsid w:val="00A95DB4"/>
    <w:rsid w:val="00A96FC3"/>
    <w:rsid w:val="00AA24C6"/>
    <w:rsid w:val="00AB0867"/>
    <w:rsid w:val="00AC2E91"/>
    <w:rsid w:val="00AC6759"/>
    <w:rsid w:val="00AD0297"/>
    <w:rsid w:val="00AD03B9"/>
    <w:rsid w:val="00AD24DB"/>
    <w:rsid w:val="00AD7A30"/>
    <w:rsid w:val="00AE1633"/>
    <w:rsid w:val="00AE5EB4"/>
    <w:rsid w:val="00AF0093"/>
    <w:rsid w:val="00AF03EB"/>
    <w:rsid w:val="00AF347F"/>
    <w:rsid w:val="00AF3EBB"/>
    <w:rsid w:val="00AF4327"/>
    <w:rsid w:val="00AF7DC9"/>
    <w:rsid w:val="00B02F68"/>
    <w:rsid w:val="00B11231"/>
    <w:rsid w:val="00B12F7B"/>
    <w:rsid w:val="00B156C5"/>
    <w:rsid w:val="00B1620E"/>
    <w:rsid w:val="00B219F7"/>
    <w:rsid w:val="00B353BB"/>
    <w:rsid w:val="00B367AF"/>
    <w:rsid w:val="00B3771B"/>
    <w:rsid w:val="00B42145"/>
    <w:rsid w:val="00B45FCC"/>
    <w:rsid w:val="00B55D6C"/>
    <w:rsid w:val="00B616B5"/>
    <w:rsid w:val="00B61A28"/>
    <w:rsid w:val="00B61D19"/>
    <w:rsid w:val="00B65377"/>
    <w:rsid w:val="00B679A1"/>
    <w:rsid w:val="00B715E8"/>
    <w:rsid w:val="00B81D27"/>
    <w:rsid w:val="00B872D4"/>
    <w:rsid w:val="00B91DAF"/>
    <w:rsid w:val="00B91E24"/>
    <w:rsid w:val="00B97B0B"/>
    <w:rsid w:val="00BA18FF"/>
    <w:rsid w:val="00BA7904"/>
    <w:rsid w:val="00BB1DD9"/>
    <w:rsid w:val="00BC5AAA"/>
    <w:rsid w:val="00BD2677"/>
    <w:rsid w:val="00BE0F0F"/>
    <w:rsid w:val="00BE7169"/>
    <w:rsid w:val="00BF217F"/>
    <w:rsid w:val="00C0096E"/>
    <w:rsid w:val="00C06B49"/>
    <w:rsid w:val="00C12BCE"/>
    <w:rsid w:val="00C150E6"/>
    <w:rsid w:val="00C15D7D"/>
    <w:rsid w:val="00C23D94"/>
    <w:rsid w:val="00C2501A"/>
    <w:rsid w:val="00C34700"/>
    <w:rsid w:val="00C43B7D"/>
    <w:rsid w:val="00C46768"/>
    <w:rsid w:val="00C51FB2"/>
    <w:rsid w:val="00C52CD3"/>
    <w:rsid w:val="00C571E3"/>
    <w:rsid w:val="00C90BFC"/>
    <w:rsid w:val="00C9647A"/>
    <w:rsid w:val="00C978AA"/>
    <w:rsid w:val="00CA01B0"/>
    <w:rsid w:val="00CA0644"/>
    <w:rsid w:val="00CA0BE6"/>
    <w:rsid w:val="00CA3409"/>
    <w:rsid w:val="00CB5A54"/>
    <w:rsid w:val="00CC2222"/>
    <w:rsid w:val="00CC5505"/>
    <w:rsid w:val="00CC7323"/>
    <w:rsid w:val="00CD1EAD"/>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580E"/>
    <w:rsid w:val="00D3585F"/>
    <w:rsid w:val="00D419CE"/>
    <w:rsid w:val="00D42609"/>
    <w:rsid w:val="00D54BE6"/>
    <w:rsid w:val="00D57EF6"/>
    <w:rsid w:val="00D64EBE"/>
    <w:rsid w:val="00D66F3F"/>
    <w:rsid w:val="00D70AAA"/>
    <w:rsid w:val="00D75404"/>
    <w:rsid w:val="00D82960"/>
    <w:rsid w:val="00D86E50"/>
    <w:rsid w:val="00D92984"/>
    <w:rsid w:val="00D92B05"/>
    <w:rsid w:val="00D967E7"/>
    <w:rsid w:val="00D96E8B"/>
    <w:rsid w:val="00DA1C41"/>
    <w:rsid w:val="00DB4255"/>
    <w:rsid w:val="00DB465B"/>
    <w:rsid w:val="00DC11D2"/>
    <w:rsid w:val="00DC1DF2"/>
    <w:rsid w:val="00DC294F"/>
    <w:rsid w:val="00DD0329"/>
    <w:rsid w:val="00DD113A"/>
    <w:rsid w:val="00DD3DB0"/>
    <w:rsid w:val="00DD4CB5"/>
    <w:rsid w:val="00DD6584"/>
    <w:rsid w:val="00DD7835"/>
    <w:rsid w:val="00DD7D43"/>
    <w:rsid w:val="00DE020E"/>
    <w:rsid w:val="00DE02C1"/>
    <w:rsid w:val="00DE5ADF"/>
    <w:rsid w:val="00E0054B"/>
    <w:rsid w:val="00E0217D"/>
    <w:rsid w:val="00E07093"/>
    <w:rsid w:val="00E15441"/>
    <w:rsid w:val="00E21427"/>
    <w:rsid w:val="00E22827"/>
    <w:rsid w:val="00E25158"/>
    <w:rsid w:val="00E260FE"/>
    <w:rsid w:val="00E313B2"/>
    <w:rsid w:val="00E31A47"/>
    <w:rsid w:val="00E32E5D"/>
    <w:rsid w:val="00E3352F"/>
    <w:rsid w:val="00E361CE"/>
    <w:rsid w:val="00E36584"/>
    <w:rsid w:val="00E36960"/>
    <w:rsid w:val="00E36A52"/>
    <w:rsid w:val="00E3756F"/>
    <w:rsid w:val="00E4016E"/>
    <w:rsid w:val="00E46E1A"/>
    <w:rsid w:val="00E55815"/>
    <w:rsid w:val="00E55A2B"/>
    <w:rsid w:val="00E56273"/>
    <w:rsid w:val="00E56E77"/>
    <w:rsid w:val="00E6063E"/>
    <w:rsid w:val="00E63013"/>
    <w:rsid w:val="00E66589"/>
    <w:rsid w:val="00E72C00"/>
    <w:rsid w:val="00E75691"/>
    <w:rsid w:val="00E76057"/>
    <w:rsid w:val="00E76439"/>
    <w:rsid w:val="00E80A78"/>
    <w:rsid w:val="00E8355B"/>
    <w:rsid w:val="00E83AF0"/>
    <w:rsid w:val="00E83CFB"/>
    <w:rsid w:val="00E86E0F"/>
    <w:rsid w:val="00EA00CF"/>
    <w:rsid w:val="00EA038A"/>
    <w:rsid w:val="00EA2265"/>
    <w:rsid w:val="00EA3029"/>
    <w:rsid w:val="00EB2F97"/>
    <w:rsid w:val="00EC514D"/>
    <w:rsid w:val="00ED4578"/>
    <w:rsid w:val="00EE6172"/>
    <w:rsid w:val="00EF335F"/>
    <w:rsid w:val="00EF6A5C"/>
    <w:rsid w:val="00F009A1"/>
    <w:rsid w:val="00F06262"/>
    <w:rsid w:val="00F12AD4"/>
    <w:rsid w:val="00F12D78"/>
    <w:rsid w:val="00F15690"/>
    <w:rsid w:val="00F15FF4"/>
    <w:rsid w:val="00F204F8"/>
    <w:rsid w:val="00F20848"/>
    <w:rsid w:val="00F23345"/>
    <w:rsid w:val="00F3153E"/>
    <w:rsid w:val="00F31804"/>
    <w:rsid w:val="00F35FD2"/>
    <w:rsid w:val="00F3627B"/>
    <w:rsid w:val="00F44AA1"/>
    <w:rsid w:val="00F44E98"/>
    <w:rsid w:val="00F455CC"/>
    <w:rsid w:val="00F45919"/>
    <w:rsid w:val="00F47613"/>
    <w:rsid w:val="00F52774"/>
    <w:rsid w:val="00F53A7D"/>
    <w:rsid w:val="00F53F4B"/>
    <w:rsid w:val="00F54081"/>
    <w:rsid w:val="00F606FB"/>
    <w:rsid w:val="00F60820"/>
    <w:rsid w:val="00F62EEE"/>
    <w:rsid w:val="00F6459F"/>
    <w:rsid w:val="00F65D73"/>
    <w:rsid w:val="00F70323"/>
    <w:rsid w:val="00F8014E"/>
    <w:rsid w:val="00F80B03"/>
    <w:rsid w:val="00F849C8"/>
    <w:rsid w:val="00F85584"/>
    <w:rsid w:val="00F86C06"/>
    <w:rsid w:val="00F9145C"/>
    <w:rsid w:val="00F94E0F"/>
    <w:rsid w:val="00F973EF"/>
    <w:rsid w:val="00F978BA"/>
    <w:rsid w:val="00FA15E0"/>
    <w:rsid w:val="00FA2FFF"/>
    <w:rsid w:val="00FB4AAC"/>
    <w:rsid w:val="00FB57E5"/>
    <w:rsid w:val="00FB5A32"/>
    <w:rsid w:val="00FC1D02"/>
    <w:rsid w:val="00FC2D89"/>
    <w:rsid w:val="00FC4D76"/>
    <w:rsid w:val="00FC57BA"/>
    <w:rsid w:val="00FD18DB"/>
    <w:rsid w:val="00FD44D5"/>
    <w:rsid w:val="00FE0CE5"/>
    <w:rsid w:val="00FE6437"/>
    <w:rsid w:val="00FE75BB"/>
    <w:rsid w:val="00FF18FE"/>
    <w:rsid w:val="00FF412A"/>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744791836">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bonfiel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portland.craigslist.org/wsc/cto/597329876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160799</DocketNumber>
    <DelegatedOrder xmlns="dc463f71-b30c-4ab2-9473-d307f9d35888">false</DelegatedOrder>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872A7-F61A-4DD3-86B0-32A84EEA42AB}">
  <ds:schemaRefs>
    <ds:schemaRef ds:uri="http://schemas.openxmlformats.org/officeDocument/2006/bibliography"/>
  </ds:schemaRefs>
</ds:datastoreItem>
</file>

<file path=customXml/itemProps2.xml><?xml version="1.0" encoding="utf-8"?>
<ds:datastoreItem xmlns:ds="http://schemas.openxmlformats.org/officeDocument/2006/customXml" ds:itemID="{FEE72AF0-4B1F-4B57-8D83-99CEF8335385}"/>
</file>

<file path=customXml/itemProps3.xml><?xml version="1.0" encoding="utf-8"?>
<ds:datastoreItem xmlns:ds="http://schemas.openxmlformats.org/officeDocument/2006/customXml" ds:itemID="{6CCBE13B-4607-494D-BF15-995D9D651E58}"/>
</file>

<file path=customXml/itemProps4.xml><?xml version="1.0" encoding="utf-8"?>
<ds:datastoreItem xmlns:ds="http://schemas.openxmlformats.org/officeDocument/2006/customXml" ds:itemID="{2D80A890-F2D7-4D36-BACE-AFEA64FC263F}"/>
</file>

<file path=customXml/itemProps5.xml><?xml version="1.0" encoding="utf-8"?>
<ds:datastoreItem xmlns:ds="http://schemas.openxmlformats.org/officeDocument/2006/customXml" ds:itemID="{ED043F7C-2426-4FE4-8E3B-D5D38BD07BE6}"/>
</file>

<file path=docProps/app.xml><?xml version="1.0" encoding="utf-8"?>
<Properties xmlns="http://schemas.openxmlformats.org/officeDocument/2006/extended-properties" xmlns:vt="http://schemas.openxmlformats.org/officeDocument/2006/docPropsVTypes">
  <Template>Normal</Template>
  <TotalTime>4</TotalTime>
  <Pages>15</Pages>
  <Words>4884</Words>
  <Characters>27843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6</cp:revision>
  <cp:lastPrinted>2017-03-29T20:08:00Z</cp:lastPrinted>
  <dcterms:created xsi:type="dcterms:W3CDTF">2017-03-28T22:41:00Z</dcterms:created>
  <dcterms:modified xsi:type="dcterms:W3CDTF">2017-03-29T20:09:00Z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y fmtid="{D5CDD505-2E9C-101B-9397-08002B2CF9AE}" pid="4" name="IsEFSEC">
    <vt:bool>false</vt:bool>
  </property>
</Properties>
</file>