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EEF" w:rsidRDefault="004A2094">
      <w:pPr>
        <w:spacing w:line="480" w:lineRule="auto"/>
        <w:jc w:val="center"/>
        <w:rPr>
          <w:rFonts w:ascii="Times" w:hAnsi="Times"/>
        </w:rPr>
      </w:pPr>
      <w:r>
        <w:rPr>
          <w:rFonts w:ascii="Times" w:hAnsi="Times"/>
        </w:rPr>
        <w:tab/>
      </w:r>
    </w:p>
    <w:p w:rsidR="00747EEF" w:rsidRDefault="00747EEF">
      <w:pPr>
        <w:spacing w:line="480" w:lineRule="auto"/>
        <w:jc w:val="center"/>
        <w:rPr>
          <w:rFonts w:ascii="Times" w:hAnsi="Times"/>
        </w:rPr>
      </w:pPr>
      <w:r>
        <w:rPr>
          <w:rFonts w:ascii="Times" w:hAnsi="Times"/>
        </w:rPr>
        <w:t xml:space="preserve">BEFORE THE </w:t>
      </w:r>
      <w:smartTag w:uri="urn:schemas:contacts" w:element="Sn">
        <w:smartTag w:uri="urn:schemas-microsoft-com:office:smarttags" w:element="State">
          <w:smartTag w:uri="urn:schemas-microsoft-com:office:smarttags" w:element="place">
            <w:r>
              <w:rPr>
                <w:rFonts w:ascii="Times" w:hAnsi="Times"/>
              </w:rPr>
              <w:t>WASHINGTON</w:t>
            </w:r>
          </w:smartTag>
        </w:smartTag>
      </w:smartTag>
      <w:r>
        <w:rPr>
          <w:rFonts w:ascii="Times" w:hAnsi="Times"/>
        </w:rPr>
        <w:t xml:space="preserve"> UTILITIES &amp; TRANSPORTATION COMMISSION</w:t>
      </w:r>
    </w:p>
    <w:p w:rsidR="00747EEF" w:rsidRDefault="00747EEF">
      <w:pPr>
        <w:jc w:val="center"/>
      </w:pPr>
    </w:p>
    <w:p w:rsidR="00747EEF" w:rsidRDefault="00747EEF">
      <w:pPr>
        <w:jc w:val="center"/>
      </w:pPr>
    </w:p>
    <w:p w:rsidR="00747EEF" w:rsidRDefault="00747EEF">
      <w:pPr>
        <w:jc w:val="center"/>
      </w:pPr>
    </w:p>
    <w:p w:rsidR="00F203D6" w:rsidRDefault="00F203D6" w:rsidP="00F203D6">
      <w:pPr>
        <w:spacing w:line="480" w:lineRule="auto"/>
        <w:jc w:val="center"/>
        <w:rPr>
          <w:rFonts w:ascii="Times" w:hAnsi="Times"/>
        </w:rPr>
      </w:pPr>
      <w:r>
        <w:rPr>
          <w:rFonts w:ascii="Times" w:hAnsi="Times"/>
        </w:rPr>
        <w:t xml:space="preserve">BEFORE THE WASHINGTON </w:t>
      </w:r>
    </w:p>
    <w:p w:rsidR="00F203D6" w:rsidRDefault="00F203D6" w:rsidP="00F203D6">
      <w:pPr>
        <w:spacing w:line="480" w:lineRule="auto"/>
        <w:jc w:val="center"/>
        <w:rPr>
          <w:rFonts w:ascii="Times" w:hAnsi="Times"/>
        </w:rPr>
      </w:pPr>
      <w:r>
        <w:rPr>
          <w:rFonts w:ascii="Times" w:hAnsi="Times"/>
        </w:rPr>
        <w:t>UTILITIES AND TRANSPORTATION COMMISSION</w:t>
      </w:r>
    </w:p>
    <w:p w:rsidR="00F203D6" w:rsidRDefault="00F203D6" w:rsidP="00F203D6">
      <w:pPr>
        <w:tabs>
          <w:tab w:val="left" w:pos="2160"/>
        </w:tabs>
        <w:spacing w:line="264" w:lineRule="auto"/>
        <w:rPr>
          <w:bCs/>
          <w:sz w:val="25"/>
          <w:szCs w:val="25"/>
        </w:rPr>
      </w:pPr>
    </w:p>
    <w:p w:rsidR="00F203D6" w:rsidRPr="00DA5DBB" w:rsidRDefault="00F203D6" w:rsidP="00F203D6">
      <w:pPr>
        <w:jc w:val="center"/>
        <w:outlineLvl w:val="0"/>
        <w:rPr>
          <w:sz w:val="25"/>
          <w:szCs w:val="25"/>
        </w:rPr>
      </w:pPr>
      <w:bookmarkStart w:id="0" w:name="OLE_LINK1"/>
      <w:r w:rsidRPr="00DA5DBB">
        <w:rPr>
          <w:sz w:val="25"/>
          <w:szCs w:val="25"/>
        </w:rPr>
        <w:t>WASHINGTON UTILITIES AND TRANSPORTATION COMMISSION,</w:t>
      </w:r>
    </w:p>
    <w:p w:rsidR="00F203D6" w:rsidRDefault="00F203D6" w:rsidP="00F203D6">
      <w:pPr>
        <w:jc w:val="center"/>
        <w:rPr>
          <w:sz w:val="25"/>
          <w:szCs w:val="25"/>
        </w:rPr>
      </w:pPr>
    </w:p>
    <w:p w:rsidR="00F203D6" w:rsidRPr="00DA5DBB" w:rsidRDefault="00F203D6" w:rsidP="00F203D6">
      <w:pPr>
        <w:jc w:val="center"/>
        <w:rPr>
          <w:sz w:val="25"/>
          <w:szCs w:val="25"/>
        </w:rPr>
      </w:pPr>
      <w:r w:rsidRPr="00DA5DBB">
        <w:rPr>
          <w:sz w:val="25"/>
          <w:szCs w:val="25"/>
        </w:rPr>
        <w:t>Complainant,</w:t>
      </w:r>
    </w:p>
    <w:p w:rsidR="00F203D6" w:rsidRPr="00DA5DBB" w:rsidRDefault="00F203D6" w:rsidP="00F203D6">
      <w:pPr>
        <w:rPr>
          <w:sz w:val="25"/>
          <w:szCs w:val="25"/>
        </w:rPr>
      </w:pPr>
    </w:p>
    <w:p w:rsidR="00F203D6" w:rsidRPr="00DA5DBB" w:rsidRDefault="00F203D6" w:rsidP="00F203D6">
      <w:pPr>
        <w:jc w:val="center"/>
        <w:rPr>
          <w:sz w:val="25"/>
          <w:szCs w:val="25"/>
        </w:rPr>
      </w:pPr>
      <w:proofErr w:type="gramStart"/>
      <w:r w:rsidRPr="00DA5DBB">
        <w:rPr>
          <w:sz w:val="25"/>
          <w:szCs w:val="25"/>
        </w:rPr>
        <w:t>v</w:t>
      </w:r>
      <w:proofErr w:type="gramEnd"/>
      <w:r w:rsidRPr="00DA5DBB">
        <w:rPr>
          <w:sz w:val="25"/>
          <w:szCs w:val="25"/>
        </w:rPr>
        <w:t>.</w:t>
      </w:r>
    </w:p>
    <w:p w:rsidR="00F203D6" w:rsidRPr="00DA5DBB" w:rsidRDefault="00F203D6" w:rsidP="00F203D6">
      <w:pPr>
        <w:rPr>
          <w:sz w:val="25"/>
          <w:szCs w:val="25"/>
        </w:rPr>
      </w:pPr>
    </w:p>
    <w:p w:rsidR="00F203D6" w:rsidRPr="003A1466" w:rsidRDefault="00F203D6" w:rsidP="00F203D6">
      <w:pPr>
        <w:jc w:val="center"/>
        <w:rPr>
          <w:bCs/>
          <w:sz w:val="25"/>
          <w:szCs w:val="25"/>
        </w:rPr>
      </w:pPr>
      <w:r w:rsidRPr="003A1466">
        <w:rPr>
          <w:bCs/>
          <w:sz w:val="25"/>
          <w:szCs w:val="25"/>
        </w:rPr>
        <w:t>PACIFICORP D/B/A PACIFIC POWER &amp; LIGHT COMPANY,</w:t>
      </w:r>
    </w:p>
    <w:p w:rsidR="00F203D6" w:rsidRPr="00DA5DBB" w:rsidRDefault="00F203D6" w:rsidP="00F203D6">
      <w:pPr>
        <w:jc w:val="center"/>
        <w:rPr>
          <w:b/>
          <w:bCs/>
          <w:sz w:val="25"/>
          <w:szCs w:val="25"/>
        </w:rPr>
      </w:pPr>
    </w:p>
    <w:p w:rsidR="00F203D6" w:rsidRPr="00DA5DBB" w:rsidRDefault="00F203D6" w:rsidP="00F203D6">
      <w:pPr>
        <w:jc w:val="center"/>
        <w:outlineLvl w:val="0"/>
        <w:rPr>
          <w:sz w:val="25"/>
          <w:szCs w:val="25"/>
        </w:rPr>
      </w:pPr>
      <w:proofErr w:type="gramStart"/>
      <w:r w:rsidRPr="00DA5DBB">
        <w:rPr>
          <w:sz w:val="25"/>
          <w:szCs w:val="25"/>
        </w:rPr>
        <w:t>Respondent.</w:t>
      </w:r>
      <w:proofErr w:type="gramEnd"/>
    </w:p>
    <w:p w:rsidR="00F203D6" w:rsidRDefault="00F203D6" w:rsidP="00F203D6">
      <w:pPr>
        <w:jc w:val="center"/>
      </w:pPr>
    </w:p>
    <w:bookmarkEnd w:id="0"/>
    <w:p w:rsidR="00F203D6" w:rsidRPr="005B3BF1" w:rsidRDefault="00F203D6" w:rsidP="00F203D6">
      <w:pPr>
        <w:spacing w:line="480" w:lineRule="auto"/>
        <w:jc w:val="center"/>
      </w:pPr>
      <w:r w:rsidRPr="005B3BF1">
        <w:t>_______________________________________________________</w:t>
      </w:r>
    </w:p>
    <w:p w:rsidR="00F203D6" w:rsidRPr="009674B6" w:rsidRDefault="0055381E" w:rsidP="00F203D6">
      <w:pPr>
        <w:spacing w:line="480" w:lineRule="auto"/>
        <w:jc w:val="center"/>
      </w:pPr>
      <w:r>
        <w:t>CROSS-ANSWERING</w:t>
      </w:r>
      <w:r w:rsidR="00F203D6" w:rsidRPr="009674B6">
        <w:t xml:space="preserve"> TEST</w:t>
      </w:r>
      <w:r>
        <w:t>IMONY OF JAMES R. DITTMER (</w:t>
      </w:r>
      <w:proofErr w:type="spellStart"/>
      <w:r>
        <w:t>JRD-5</w:t>
      </w:r>
      <w:r w:rsidR="00F203D6" w:rsidRPr="009674B6">
        <w:t>T</w:t>
      </w:r>
      <w:proofErr w:type="spellEnd"/>
      <w:r w:rsidR="00F203D6" w:rsidRPr="009674B6">
        <w:t>)</w:t>
      </w:r>
    </w:p>
    <w:p w:rsidR="007B3FE4" w:rsidRDefault="007B3FE4" w:rsidP="007B3FE4">
      <w:pPr>
        <w:jc w:val="center"/>
      </w:pPr>
    </w:p>
    <w:p w:rsidR="00F203D6" w:rsidRDefault="00F203D6" w:rsidP="0055381E">
      <w:pPr>
        <w:spacing w:line="480" w:lineRule="auto"/>
        <w:jc w:val="center"/>
      </w:pPr>
      <w:r>
        <w:t xml:space="preserve">REGARDING </w:t>
      </w:r>
      <w:r w:rsidR="0055381E">
        <w:t>EXPEDITED RATE FILING CONDITIONS</w:t>
      </w:r>
    </w:p>
    <w:p w:rsidR="00F203D6" w:rsidRDefault="00F203D6" w:rsidP="007B3FE4">
      <w:pPr>
        <w:jc w:val="center"/>
      </w:pPr>
    </w:p>
    <w:p w:rsidR="00747EEF" w:rsidRDefault="00747EEF">
      <w:pPr>
        <w:spacing w:line="480" w:lineRule="auto"/>
        <w:jc w:val="center"/>
      </w:pPr>
      <w:r>
        <w:t xml:space="preserve">ON BEHALF OF </w:t>
      </w:r>
      <w:r w:rsidR="007B3FE4">
        <w:t>PUBLIC COUNSEL</w:t>
      </w:r>
    </w:p>
    <w:p w:rsidR="00747EEF" w:rsidRDefault="0055381E">
      <w:pPr>
        <w:spacing w:line="480" w:lineRule="auto"/>
        <w:jc w:val="center"/>
      </w:pPr>
      <w:r>
        <w:t>AUGUST 2</w:t>
      </w:r>
      <w:r w:rsidR="00F203D6">
        <w:t>, 2013</w:t>
      </w:r>
    </w:p>
    <w:p w:rsidR="00A0634F" w:rsidRPr="009674B6" w:rsidRDefault="00747EEF" w:rsidP="00A0634F">
      <w:pPr>
        <w:jc w:val="center"/>
      </w:pPr>
      <w:r>
        <w:rPr>
          <w:rFonts w:ascii="Times" w:hAnsi="Times"/>
        </w:rPr>
        <w:br w:type="page"/>
      </w:r>
      <w:r w:rsidR="00BD6910">
        <w:lastRenderedPageBreak/>
        <w:t>CROSS-ANSWERING</w:t>
      </w:r>
      <w:r w:rsidR="00A0634F" w:rsidRPr="009674B6">
        <w:t xml:space="preserve"> TEST</w:t>
      </w:r>
      <w:r w:rsidR="00A0634F">
        <w:t>IMONY OF JAMES R. DITTMER (</w:t>
      </w:r>
      <w:proofErr w:type="spellStart"/>
      <w:r w:rsidR="00A0634F">
        <w:t>JRD-5</w:t>
      </w:r>
      <w:r w:rsidR="00A0634F" w:rsidRPr="009674B6">
        <w:t>T</w:t>
      </w:r>
      <w:proofErr w:type="spellEnd"/>
      <w:r w:rsidR="00A0634F" w:rsidRPr="009674B6">
        <w:t>)</w:t>
      </w:r>
    </w:p>
    <w:p w:rsidR="00A0634F" w:rsidRPr="009674B6" w:rsidRDefault="00A0634F" w:rsidP="00A0634F">
      <w:pPr>
        <w:spacing w:line="480" w:lineRule="auto"/>
        <w:jc w:val="center"/>
        <w:rPr>
          <w:i/>
        </w:rPr>
      </w:pPr>
      <w:r>
        <w:t xml:space="preserve">DOCKET </w:t>
      </w:r>
      <w:proofErr w:type="spellStart"/>
      <w:r w:rsidRPr="009674B6">
        <w:t>UE</w:t>
      </w:r>
      <w:proofErr w:type="spellEnd"/>
      <w:r w:rsidRPr="009674B6">
        <w:t>-1</w:t>
      </w:r>
      <w:r>
        <w:t>30043</w:t>
      </w:r>
    </w:p>
    <w:p w:rsidR="00A0634F" w:rsidRPr="00334FB5" w:rsidRDefault="00A0634F" w:rsidP="00A0634F">
      <w:pPr>
        <w:jc w:val="center"/>
        <w:rPr>
          <w:b/>
        </w:rPr>
      </w:pPr>
      <w:r w:rsidRPr="00334FB5">
        <w:rPr>
          <w:b/>
        </w:rPr>
        <w:t>TABLE OF CONTENTS</w:t>
      </w:r>
    </w:p>
    <w:p w:rsidR="00A0634F" w:rsidRDefault="00A0634F" w:rsidP="00A0634F">
      <w:pPr>
        <w:jc w:val="center"/>
        <w:rPr>
          <w:b/>
          <w:u w:val="single"/>
        </w:rPr>
      </w:pPr>
      <w:r>
        <w:tab/>
      </w:r>
      <w:r>
        <w:tab/>
      </w:r>
      <w:r>
        <w:tab/>
      </w:r>
      <w:r>
        <w:tab/>
      </w:r>
      <w:r>
        <w:tab/>
      </w:r>
      <w:r>
        <w:tab/>
      </w:r>
      <w:r>
        <w:tab/>
      </w:r>
      <w:r>
        <w:tab/>
      </w:r>
      <w:r>
        <w:tab/>
      </w:r>
      <w:r>
        <w:tab/>
      </w:r>
      <w:r w:rsidRPr="008D3342">
        <w:rPr>
          <w:b/>
          <w:u w:val="single"/>
        </w:rPr>
        <w:t>PAGE</w:t>
      </w:r>
    </w:p>
    <w:p w:rsidR="00A0634F" w:rsidRPr="008D3342" w:rsidRDefault="00A0634F" w:rsidP="00A0634F">
      <w:pPr>
        <w:jc w:val="center"/>
        <w:rPr>
          <w:b/>
          <w:u w:val="single"/>
        </w:rPr>
      </w:pPr>
    </w:p>
    <w:p w:rsidR="00A0634F" w:rsidRDefault="00A0634F" w:rsidP="00A0634F">
      <w:r w:rsidRPr="000125BD">
        <w:t>I.</w:t>
      </w:r>
      <w:r w:rsidRPr="000125BD">
        <w:tab/>
        <w:t>INTRODUCTION AND SUMMARY</w:t>
      </w:r>
      <w:r>
        <w:t xml:space="preserve"> . . . . . . . . . . . . . . . . . . . . . . . </w:t>
      </w:r>
      <w:r>
        <w:tab/>
        <w:t xml:space="preserve">  </w:t>
      </w:r>
      <w:r w:rsidR="001009EB">
        <w:t xml:space="preserve">  </w:t>
      </w:r>
      <w:r>
        <w:t>1</w:t>
      </w:r>
    </w:p>
    <w:p w:rsidR="00A0634F" w:rsidRDefault="00A0634F" w:rsidP="00A0634F">
      <w:pPr>
        <w:ind w:left="720" w:hanging="720"/>
      </w:pPr>
      <w:r>
        <w:t xml:space="preserve">II.  </w:t>
      </w:r>
      <w:r>
        <w:tab/>
        <w:t xml:space="preserve">SUMMARY OF STAFF’S </w:t>
      </w:r>
      <w:proofErr w:type="spellStart"/>
      <w:r>
        <w:t>ERF</w:t>
      </w:r>
      <w:proofErr w:type="spellEnd"/>
      <w:r>
        <w:t xml:space="preserve"> </w:t>
      </w:r>
      <w:proofErr w:type="gramStart"/>
      <w:r>
        <w:t>PROPOSAL</w:t>
      </w:r>
      <w:r w:rsidR="002B46C9">
        <w:t xml:space="preserve"> .</w:t>
      </w:r>
      <w:proofErr w:type="gramEnd"/>
      <w:r w:rsidR="002B46C9">
        <w:t xml:space="preserve">  . . . . . .</w:t>
      </w:r>
      <w:r w:rsidR="001009EB">
        <w:t xml:space="preserve"> . . . . . . . . . . </w:t>
      </w:r>
      <w:r>
        <w:tab/>
        <w:t xml:space="preserve">  </w:t>
      </w:r>
      <w:r w:rsidR="001009EB">
        <w:t xml:space="preserve">  </w:t>
      </w:r>
      <w:r>
        <w:t>4</w:t>
      </w:r>
    </w:p>
    <w:p w:rsidR="00A0634F" w:rsidRDefault="00A0634F" w:rsidP="00A0634F">
      <w:pPr>
        <w:ind w:left="720" w:hanging="720"/>
      </w:pPr>
      <w:r>
        <w:t>III.</w:t>
      </w:r>
      <w:r>
        <w:tab/>
        <w:t xml:space="preserve">PUBLIC COUNSEL RECOMMENDED </w:t>
      </w:r>
      <w:proofErr w:type="spellStart"/>
      <w:r>
        <w:t>ERF</w:t>
      </w:r>
      <w:proofErr w:type="spellEnd"/>
    </w:p>
    <w:p w:rsidR="00A0634F" w:rsidRDefault="00BD5487" w:rsidP="00A0634F">
      <w:pPr>
        <w:ind w:left="720" w:hanging="720"/>
      </w:pPr>
      <w:r>
        <w:tab/>
      </w:r>
      <w:r w:rsidR="00A0634F">
        <w:t xml:space="preserve">MODIFICATIONS, CONDITIONS AND </w:t>
      </w:r>
    </w:p>
    <w:p w:rsidR="00A0634F" w:rsidRDefault="00A0634F" w:rsidP="00A0634F">
      <w:pPr>
        <w:ind w:left="720" w:hanging="720"/>
      </w:pPr>
      <w:r>
        <w:tab/>
        <w:t>REQUIREMENTS</w:t>
      </w:r>
      <w:r w:rsidR="002B46C9">
        <w:t xml:space="preserve"> . . . . . . . . . . . . . . . . </w:t>
      </w:r>
      <w:r>
        <w:t>. . . . . . . . . .</w:t>
      </w:r>
      <w:r w:rsidR="006832E4">
        <w:t xml:space="preserve"> . . . . . . . . . . . . .</w:t>
      </w:r>
      <w:r w:rsidR="001009EB">
        <w:t xml:space="preserve"> </w:t>
      </w:r>
      <w:r>
        <w:tab/>
        <w:t xml:space="preserve">  </w:t>
      </w:r>
      <w:r w:rsidR="006832E4">
        <w:t xml:space="preserve"> </w:t>
      </w:r>
      <w:r w:rsidR="001009EB">
        <w:t xml:space="preserve"> </w:t>
      </w:r>
      <w:r>
        <w:t>6</w:t>
      </w:r>
    </w:p>
    <w:p w:rsidR="00A0634F" w:rsidRDefault="00A0634F" w:rsidP="00A0634F">
      <w:pPr>
        <w:numPr>
          <w:ilvl w:val="0"/>
          <w:numId w:val="5"/>
        </w:numPr>
        <w:ind w:left="1260" w:hanging="540"/>
      </w:pPr>
      <w:r>
        <w:t>PacifiCorp Should be Required to Calculate and</w:t>
      </w:r>
    </w:p>
    <w:p w:rsidR="00A0634F" w:rsidRDefault="00A0634F" w:rsidP="00A0634F">
      <w:pPr>
        <w:ind w:left="1260"/>
      </w:pPr>
      <w:r>
        <w:t xml:space="preserve"> Post </w:t>
      </w:r>
      <w:r>
        <w:rPr>
          <w:i/>
        </w:rPr>
        <w:t>All</w:t>
      </w:r>
      <w:r>
        <w:t xml:space="preserve"> Restating Adjustments Adopted by the </w:t>
      </w:r>
    </w:p>
    <w:p w:rsidR="00A0634F" w:rsidRDefault="00A0634F" w:rsidP="00A0634F">
      <w:pPr>
        <w:ind w:left="1260"/>
      </w:pPr>
      <w:proofErr w:type="spellStart"/>
      <w:r>
        <w:t>WUTC</w:t>
      </w:r>
      <w:proofErr w:type="spellEnd"/>
      <w:r>
        <w:t xml:space="preserve"> in Its Last General Rate Case Order</w:t>
      </w:r>
      <w:r w:rsidR="002B46C9">
        <w:t xml:space="preserve"> .</w:t>
      </w:r>
      <w:r>
        <w:t xml:space="preserve"> . . . . . . . . . . . . . .</w:t>
      </w:r>
      <w:r w:rsidR="00915A6D">
        <w:tab/>
        <w:t xml:space="preserve">  </w:t>
      </w:r>
      <w:r w:rsidR="006832E4">
        <w:t xml:space="preserve"> </w:t>
      </w:r>
      <w:r w:rsidR="001009EB">
        <w:t xml:space="preserve"> </w:t>
      </w:r>
      <w:r w:rsidR="00915A6D">
        <w:t>6</w:t>
      </w:r>
    </w:p>
    <w:p w:rsidR="00915A6D" w:rsidRDefault="00915A6D" w:rsidP="00915A6D">
      <w:pPr>
        <w:numPr>
          <w:ilvl w:val="0"/>
          <w:numId w:val="5"/>
        </w:numPr>
        <w:ind w:left="1260" w:hanging="540"/>
      </w:pPr>
      <w:r>
        <w:t xml:space="preserve">PacifiCorp Should be Required to Provide </w:t>
      </w:r>
    </w:p>
    <w:p w:rsidR="00915A6D" w:rsidRDefault="00915A6D" w:rsidP="00915A6D">
      <w:pPr>
        <w:ind w:left="1260"/>
      </w:pPr>
      <w:r>
        <w:t xml:space="preserve">Evidence that a Reasonable Effort has been </w:t>
      </w:r>
    </w:p>
    <w:p w:rsidR="00915A6D" w:rsidRDefault="00915A6D" w:rsidP="00915A6D">
      <w:pPr>
        <w:ind w:left="1260"/>
      </w:pPr>
      <w:r>
        <w:t xml:space="preserve">Undertaken to Identify, Quantify and Eliminate </w:t>
      </w:r>
    </w:p>
    <w:p w:rsidR="00915A6D" w:rsidRDefault="00915A6D" w:rsidP="00915A6D">
      <w:pPr>
        <w:ind w:left="1260"/>
      </w:pPr>
      <w:r>
        <w:t xml:space="preserve">From the </w:t>
      </w:r>
      <w:proofErr w:type="spellStart"/>
      <w:r>
        <w:t>ERF</w:t>
      </w:r>
      <w:proofErr w:type="spellEnd"/>
      <w:r>
        <w:t xml:space="preserve"> Test Year Cost of Service Material</w:t>
      </w:r>
      <w:r w:rsidR="00BD5487">
        <w:t>,</w:t>
      </w:r>
      <w:r>
        <w:t xml:space="preserve"> </w:t>
      </w:r>
    </w:p>
    <w:p w:rsidR="00A0634F" w:rsidRDefault="00915A6D" w:rsidP="00915A6D">
      <w:pPr>
        <w:ind w:left="1260"/>
      </w:pPr>
      <w:r>
        <w:t>Abnormal and Non-recurring Transactions .</w:t>
      </w:r>
      <w:r w:rsidR="00A0634F">
        <w:t xml:space="preserve"> </w:t>
      </w:r>
      <w:r w:rsidR="008E1999">
        <w:t>.</w:t>
      </w:r>
      <w:r w:rsidR="002B46C9">
        <w:t xml:space="preserve"> . . . . . . . . . . . . . .</w:t>
      </w:r>
      <w:r w:rsidR="00A0634F">
        <w:tab/>
        <w:t xml:space="preserve">  </w:t>
      </w:r>
      <w:r w:rsidR="006832E4">
        <w:t xml:space="preserve"> </w:t>
      </w:r>
      <w:r w:rsidR="001009EB">
        <w:t xml:space="preserve"> </w:t>
      </w:r>
      <w:r>
        <w:t>8</w:t>
      </w:r>
    </w:p>
    <w:p w:rsidR="006E6268" w:rsidRDefault="00915A6D" w:rsidP="00915A6D">
      <w:pPr>
        <w:pStyle w:val="ListParagraph"/>
        <w:numPr>
          <w:ilvl w:val="0"/>
          <w:numId w:val="5"/>
        </w:numPr>
      </w:pPr>
      <w:r>
        <w:t xml:space="preserve">   Revenue</w:t>
      </w:r>
      <w:r w:rsidR="00A0634F" w:rsidRPr="00786445">
        <w:t xml:space="preserve"> </w:t>
      </w:r>
      <w:r>
        <w:t xml:space="preserve">Relief to be Granted Through the </w:t>
      </w:r>
      <w:proofErr w:type="spellStart"/>
      <w:r>
        <w:t>ERF</w:t>
      </w:r>
      <w:proofErr w:type="spellEnd"/>
      <w:r>
        <w:t xml:space="preserve"> </w:t>
      </w:r>
    </w:p>
    <w:p w:rsidR="00915A6D" w:rsidRDefault="00915A6D" w:rsidP="006E6268">
      <w:pPr>
        <w:pStyle w:val="ListParagraph"/>
        <w:ind w:left="1260"/>
      </w:pPr>
      <w:r>
        <w:t xml:space="preserve">Process </w:t>
      </w:r>
      <w:proofErr w:type="gramStart"/>
      <w:r>
        <w:t>Should</w:t>
      </w:r>
      <w:proofErr w:type="gramEnd"/>
      <w:r>
        <w:t xml:space="preserve"> be Limited to No More Than Three </w:t>
      </w:r>
    </w:p>
    <w:p w:rsidR="00A0634F" w:rsidRDefault="00BD5487" w:rsidP="006E6268">
      <w:pPr>
        <w:pStyle w:val="ListParagraph"/>
        <w:ind w:left="1080" w:firstLine="180"/>
      </w:pPr>
      <w:r>
        <w:t xml:space="preserve">Percent </w:t>
      </w:r>
      <w:proofErr w:type="gramStart"/>
      <w:r w:rsidR="00915A6D">
        <w:t>Above</w:t>
      </w:r>
      <w:proofErr w:type="gramEnd"/>
      <w:r w:rsidR="00915A6D">
        <w:t xml:space="preserve"> Existing Rates</w:t>
      </w:r>
      <w:r w:rsidR="002B46C9">
        <w:t xml:space="preserve"> . . . . .</w:t>
      </w:r>
      <w:r w:rsidR="001009EB">
        <w:t xml:space="preserve"> . . . . . . . . . . . . . . .</w:t>
      </w:r>
      <w:r>
        <w:t xml:space="preserve"> . . . . . .</w:t>
      </w:r>
      <w:r w:rsidR="00A0634F">
        <w:tab/>
        <w:t xml:space="preserve"> </w:t>
      </w:r>
      <w:r w:rsidR="006832E4">
        <w:t xml:space="preserve">  </w:t>
      </w:r>
      <w:r w:rsidR="001009EB">
        <w:t xml:space="preserve"> </w:t>
      </w:r>
      <w:r w:rsidR="006E6268">
        <w:t>9</w:t>
      </w:r>
    </w:p>
    <w:p w:rsidR="006E6268" w:rsidRDefault="006E6268" w:rsidP="006E6268">
      <w:pPr>
        <w:pStyle w:val="ListParagraph"/>
        <w:numPr>
          <w:ilvl w:val="0"/>
          <w:numId w:val="5"/>
        </w:numPr>
      </w:pPr>
      <w:r>
        <w:t xml:space="preserve">   PacifiCorp Should be Permitted to Develop Rate </w:t>
      </w:r>
    </w:p>
    <w:p w:rsidR="006E6268" w:rsidRDefault="006E6268" w:rsidP="006E6268">
      <w:pPr>
        <w:pStyle w:val="ListParagraph"/>
        <w:ind w:left="1080" w:firstLine="180"/>
      </w:pPr>
      <w:r>
        <w:t>Base Utiliz</w:t>
      </w:r>
      <w:r w:rsidR="00BD5487">
        <w:t>ing</w:t>
      </w:r>
      <w:r>
        <w:t xml:space="preserve"> End-of-</w:t>
      </w:r>
      <w:proofErr w:type="spellStart"/>
      <w:r>
        <w:t>ERF</w:t>
      </w:r>
      <w:proofErr w:type="spellEnd"/>
      <w:r>
        <w:t xml:space="preserve">-Test-Year Values </w:t>
      </w:r>
    </w:p>
    <w:p w:rsidR="006E6268" w:rsidRDefault="006E6268" w:rsidP="006E6268">
      <w:pPr>
        <w:pStyle w:val="ListParagraph"/>
        <w:ind w:left="1080" w:firstLine="180"/>
      </w:pPr>
      <w:proofErr w:type="gramStart"/>
      <w:r>
        <w:t>for</w:t>
      </w:r>
      <w:proofErr w:type="gramEnd"/>
      <w:r>
        <w:t xml:space="preserve"> Plant in Service, Accumulated Depreciation </w:t>
      </w:r>
    </w:p>
    <w:p w:rsidR="00A0634F" w:rsidRDefault="006E6268" w:rsidP="006E6268">
      <w:pPr>
        <w:pStyle w:val="ListParagraph"/>
        <w:ind w:left="1080" w:firstLine="180"/>
      </w:pPr>
      <w:proofErr w:type="gramStart"/>
      <w:r>
        <w:t>and</w:t>
      </w:r>
      <w:proofErr w:type="gramEnd"/>
      <w:r>
        <w:t xml:space="preserve"> Accumulated Deferred Income Taxes</w:t>
      </w:r>
      <w:r w:rsidR="00A0634F">
        <w:t xml:space="preserve"> . . . . . . . . . . . . . . . . . </w:t>
      </w:r>
      <w:r w:rsidR="00A0634F">
        <w:tab/>
        <w:t xml:space="preserve"> </w:t>
      </w:r>
      <w:r w:rsidR="006832E4">
        <w:t xml:space="preserve">  </w:t>
      </w:r>
      <w:r w:rsidR="001009EB">
        <w:t xml:space="preserve"> </w:t>
      </w:r>
      <w:r w:rsidR="00A0634F">
        <w:t>11</w:t>
      </w:r>
    </w:p>
    <w:p w:rsidR="00385AFD" w:rsidRDefault="00385AFD" w:rsidP="00385AFD">
      <w:pPr>
        <w:pStyle w:val="ListParagraph"/>
        <w:numPr>
          <w:ilvl w:val="0"/>
          <w:numId w:val="5"/>
        </w:numPr>
      </w:pPr>
      <w:r>
        <w:t xml:space="preserve">   PacifiCorp Should be Permitted to Make an </w:t>
      </w:r>
      <w:proofErr w:type="spellStart"/>
      <w:r>
        <w:t>ERF</w:t>
      </w:r>
      <w:proofErr w:type="spellEnd"/>
      <w:r>
        <w:t xml:space="preserve"> </w:t>
      </w:r>
    </w:p>
    <w:p w:rsidR="00385AFD" w:rsidRDefault="00385AFD" w:rsidP="00385AFD">
      <w:pPr>
        <w:pStyle w:val="ListParagraph"/>
        <w:ind w:left="1260"/>
      </w:pPr>
      <w:r>
        <w:t xml:space="preserve">Utilizing a Non-Calendar Test Year </w:t>
      </w:r>
      <w:proofErr w:type="gramStart"/>
      <w:r>
        <w:t>With</w:t>
      </w:r>
      <w:proofErr w:type="gramEnd"/>
      <w:r>
        <w:t xml:space="preserve"> No </w:t>
      </w:r>
    </w:p>
    <w:p w:rsidR="00385AFD" w:rsidRDefault="00385AFD" w:rsidP="00385AFD">
      <w:pPr>
        <w:pStyle w:val="ListParagraph"/>
        <w:ind w:left="1260"/>
      </w:pPr>
      <w:r>
        <w:t xml:space="preserve">Restriction as to the Earliest Date that Such Filing </w:t>
      </w:r>
    </w:p>
    <w:p w:rsidR="00385AFD" w:rsidRDefault="00385AFD" w:rsidP="00385AFD">
      <w:pPr>
        <w:pStyle w:val="ListParagraph"/>
        <w:ind w:left="1260"/>
      </w:pPr>
      <w:r>
        <w:t>Could be Made</w:t>
      </w:r>
      <w:r w:rsidR="001009EB">
        <w:t xml:space="preserve"> </w:t>
      </w:r>
      <w:r w:rsidR="008C2AED">
        <w:t xml:space="preserve">. . . . . . . . . . . . . . . . . . . . . . . . . . . . . </w:t>
      </w:r>
      <w:r w:rsidR="008E1999">
        <w:t xml:space="preserve">. . . . . . . </w:t>
      </w:r>
      <w:r w:rsidR="002B46C9">
        <w:t xml:space="preserve">. .  </w:t>
      </w:r>
      <w:r w:rsidR="004C3CEA">
        <w:tab/>
        <w:t xml:space="preserve"> </w:t>
      </w:r>
      <w:r w:rsidR="006832E4">
        <w:t xml:space="preserve">  </w:t>
      </w:r>
      <w:r w:rsidR="001009EB">
        <w:t xml:space="preserve"> </w:t>
      </w:r>
      <w:r w:rsidR="004C3CEA">
        <w:t>12</w:t>
      </w:r>
    </w:p>
    <w:p w:rsidR="00385AFD" w:rsidRDefault="00385AFD" w:rsidP="00385AFD">
      <w:pPr>
        <w:pStyle w:val="ListParagraph"/>
        <w:numPr>
          <w:ilvl w:val="0"/>
          <w:numId w:val="5"/>
        </w:numPr>
      </w:pPr>
      <w:r>
        <w:t xml:space="preserve">   PacifiCorp Should be Permitted to File Two</w:t>
      </w:r>
    </w:p>
    <w:p w:rsidR="00385AFD" w:rsidRDefault="00385AFD" w:rsidP="00385AFD">
      <w:pPr>
        <w:pStyle w:val="ListParagraph"/>
        <w:ind w:left="1260"/>
      </w:pPr>
      <w:proofErr w:type="spellStart"/>
      <w:r>
        <w:t>ERFs</w:t>
      </w:r>
      <w:proofErr w:type="spellEnd"/>
      <w:r>
        <w:t xml:space="preserve"> </w:t>
      </w:r>
      <w:proofErr w:type="gramStart"/>
      <w:r>
        <w:t>Before</w:t>
      </w:r>
      <w:proofErr w:type="gramEnd"/>
      <w:r>
        <w:t xml:space="preserve"> Being Required to Make a </w:t>
      </w:r>
      <w:proofErr w:type="spellStart"/>
      <w:r>
        <w:t>GRC</w:t>
      </w:r>
      <w:proofErr w:type="spellEnd"/>
      <w:r>
        <w:t xml:space="preserve"> </w:t>
      </w:r>
    </w:p>
    <w:p w:rsidR="00385AFD" w:rsidRDefault="00385AFD" w:rsidP="00385AFD">
      <w:pPr>
        <w:pStyle w:val="ListParagraph"/>
        <w:ind w:left="1260"/>
      </w:pPr>
      <w:r>
        <w:t>Filing to Further Increase Base Rates</w:t>
      </w:r>
      <w:r w:rsidR="001009EB">
        <w:t xml:space="preserve"> </w:t>
      </w:r>
      <w:r w:rsidR="008E1999">
        <w:t xml:space="preserve">. . . . . . </w:t>
      </w:r>
      <w:r w:rsidR="00606699">
        <w:t>. . . . . . . . . . . . . . .</w:t>
      </w:r>
      <w:r>
        <w:tab/>
        <w:t xml:space="preserve"> </w:t>
      </w:r>
      <w:r w:rsidR="006832E4">
        <w:t xml:space="preserve">  </w:t>
      </w:r>
      <w:r w:rsidR="001009EB">
        <w:t xml:space="preserve"> </w:t>
      </w:r>
      <w:r>
        <w:t>1</w:t>
      </w:r>
      <w:r w:rsidR="004C3CEA">
        <w:t>3</w:t>
      </w:r>
    </w:p>
    <w:p w:rsidR="00747EEF" w:rsidRDefault="00747EEF">
      <w:pPr>
        <w:sectPr w:rsidR="00747EEF">
          <w:headerReference w:type="default" r:id="rId8"/>
          <w:footerReference w:type="even" r:id="rId9"/>
          <w:footerReference w:type="default" r:id="rId10"/>
          <w:footerReference w:type="first" r:id="rId11"/>
          <w:pgSz w:w="12240" w:h="15840" w:code="1"/>
          <w:pgMar w:top="1440" w:right="1440" w:bottom="1440" w:left="1440" w:header="1440" w:footer="1440" w:gutter="0"/>
          <w:pgNumType w:start="1"/>
          <w:cols w:space="720"/>
          <w:noEndnote/>
          <w:titlePg/>
        </w:sectPr>
      </w:pPr>
    </w:p>
    <w:p w:rsidR="0019704C" w:rsidRDefault="0019704C" w:rsidP="0019704C">
      <w:pPr>
        <w:pStyle w:val="testimony"/>
        <w:widowControl w:val="0"/>
        <w:numPr>
          <w:ilvl w:val="0"/>
          <w:numId w:val="4"/>
        </w:numPr>
        <w:spacing w:line="480" w:lineRule="auto"/>
        <w:jc w:val="center"/>
        <w:rPr>
          <w:rFonts w:ascii="Times New Roman" w:hAnsi="Times New Roman"/>
          <w:b/>
          <w:szCs w:val="24"/>
        </w:rPr>
      </w:pPr>
      <w:bookmarkStart w:id="1" w:name="_Toc315182345"/>
      <w:bookmarkStart w:id="2" w:name="_Toc317154824"/>
      <w:r w:rsidRPr="00E63766">
        <w:rPr>
          <w:rFonts w:ascii="Times New Roman" w:hAnsi="Times New Roman"/>
          <w:b/>
          <w:szCs w:val="24"/>
        </w:rPr>
        <w:lastRenderedPageBreak/>
        <w:t>INTRODUCTION AND SUMMARY</w:t>
      </w:r>
    </w:p>
    <w:p w:rsidR="00F203D6" w:rsidRPr="007B3FE4" w:rsidRDefault="00F203D6" w:rsidP="00250E68">
      <w:pPr>
        <w:spacing w:line="480" w:lineRule="auto"/>
      </w:pPr>
      <w:r w:rsidRPr="007B3FE4">
        <w:rPr>
          <w:b/>
          <w:caps/>
        </w:rPr>
        <w:t>Q:</w:t>
      </w:r>
      <w:r w:rsidRPr="007B3FE4">
        <w:rPr>
          <w:b/>
          <w:caps/>
        </w:rPr>
        <w:tab/>
      </w:r>
      <w:r w:rsidRPr="007B3FE4">
        <w:rPr>
          <w:b/>
        </w:rPr>
        <w:t>Please state your name and address</w:t>
      </w:r>
      <w:r w:rsidRPr="007B3FE4">
        <w:rPr>
          <w:caps/>
        </w:rPr>
        <w:t>.</w:t>
      </w:r>
    </w:p>
    <w:p w:rsidR="00F203D6" w:rsidRPr="009674B6" w:rsidRDefault="00F203D6" w:rsidP="00250E68">
      <w:pPr>
        <w:spacing w:line="480" w:lineRule="auto"/>
        <w:ind w:left="720" w:hanging="720"/>
      </w:pPr>
      <w:r>
        <w:t>A:</w:t>
      </w:r>
      <w:r w:rsidRPr="009674B6">
        <w:tab/>
        <w:t>My name is James R. Dittmer.  My business address is Post Office Box</w:t>
      </w:r>
      <w:r w:rsidR="00D3761D">
        <w:t xml:space="preserve"> 481934, Kansas City, Missouri </w:t>
      </w:r>
      <w:r w:rsidRPr="009674B6">
        <w:t>64148.</w:t>
      </w:r>
    </w:p>
    <w:p w:rsidR="00F203D6" w:rsidRPr="009674B6" w:rsidRDefault="00F203D6" w:rsidP="00250E68">
      <w:pPr>
        <w:spacing w:line="480" w:lineRule="auto"/>
        <w:ind w:left="720" w:hanging="720"/>
        <w:rPr>
          <w:b/>
          <w:bCs/>
          <w:caps/>
        </w:rPr>
      </w:pPr>
      <w:r>
        <w:rPr>
          <w:b/>
          <w:bCs/>
          <w:caps/>
        </w:rPr>
        <w:t>Q:</w:t>
      </w:r>
      <w:r w:rsidRPr="009674B6">
        <w:rPr>
          <w:b/>
          <w:bCs/>
          <w:caps/>
        </w:rPr>
        <w:tab/>
      </w:r>
      <w:r w:rsidR="0055381E">
        <w:rPr>
          <w:b/>
          <w:bCs/>
        </w:rPr>
        <w:t>Have you previously filed testimony within this docket?</w:t>
      </w:r>
    </w:p>
    <w:p w:rsidR="00E04201" w:rsidRDefault="00F203D6" w:rsidP="00250E68">
      <w:pPr>
        <w:spacing w:line="480" w:lineRule="auto"/>
        <w:ind w:left="720" w:hanging="720"/>
      </w:pPr>
      <w:r>
        <w:t>A:</w:t>
      </w:r>
      <w:r w:rsidRPr="009674B6">
        <w:tab/>
      </w:r>
      <w:r w:rsidR="0055381E">
        <w:t>Yes.  On June 21, 2013</w:t>
      </w:r>
      <w:r w:rsidR="003D1C31">
        <w:t>,</w:t>
      </w:r>
      <w:r w:rsidR="0055381E">
        <w:t xml:space="preserve"> I filed testimony within this docket on behalf of</w:t>
      </w:r>
      <w:r w:rsidR="0055381E" w:rsidRPr="009674B6">
        <w:t xml:space="preserve"> the Public Counsel </w:t>
      </w:r>
      <w:r w:rsidR="0055381E">
        <w:t>Division</w:t>
      </w:r>
      <w:r w:rsidR="0055381E" w:rsidRPr="009674B6">
        <w:t xml:space="preserve"> of the Office of the Attorney Gener</w:t>
      </w:r>
      <w:r w:rsidR="0055381E">
        <w:t>al of the State of Washington (</w:t>
      </w:r>
      <w:r w:rsidR="0055381E" w:rsidRPr="009674B6">
        <w:t>Public C</w:t>
      </w:r>
      <w:r w:rsidR="0055381E">
        <w:t>ounsel) addressing the propriety of developing rate base utilizing test year end values for major components so long as corollary “annualizing” income statement adjustments reflecting test year end events and conditions are also adopted.  Like my direct testimony filed within this docket, this cross-answering testimony is also be</w:t>
      </w:r>
      <w:r w:rsidR="00935A17">
        <w:t>ing</w:t>
      </w:r>
      <w:r w:rsidR="0055381E">
        <w:t xml:space="preserve"> filed on behalf of Public Counsel</w:t>
      </w:r>
      <w:r w:rsidR="003D1C31">
        <w:t>.</w:t>
      </w:r>
    </w:p>
    <w:p w:rsidR="00F203D6" w:rsidRPr="0055381E" w:rsidRDefault="00E04201" w:rsidP="00250E68">
      <w:pPr>
        <w:spacing w:line="480" w:lineRule="auto"/>
        <w:ind w:left="720" w:hanging="720"/>
        <w:rPr>
          <w:b/>
        </w:rPr>
      </w:pPr>
      <w:r w:rsidRPr="00E04201">
        <w:rPr>
          <w:b/>
        </w:rPr>
        <w:t>Q:</w:t>
      </w:r>
      <w:r>
        <w:tab/>
      </w:r>
      <w:r w:rsidR="0055381E">
        <w:rPr>
          <w:b/>
        </w:rPr>
        <w:t>Were your qualification</w:t>
      </w:r>
      <w:r w:rsidR="00351255">
        <w:rPr>
          <w:b/>
        </w:rPr>
        <w:t>s</w:t>
      </w:r>
      <w:r w:rsidR="0055381E">
        <w:rPr>
          <w:b/>
        </w:rPr>
        <w:t xml:space="preserve"> included within the direct testimony you filed within this docket?</w:t>
      </w:r>
    </w:p>
    <w:p w:rsidR="00F203D6" w:rsidRPr="009674B6" w:rsidRDefault="00F203D6" w:rsidP="00250E68">
      <w:pPr>
        <w:spacing w:line="480" w:lineRule="auto"/>
        <w:ind w:left="720" w:hanging="720"/>
      </w:pPr>
      <w:r>
        <w:t>A:</w:t>
      </w:r>
      <w:r w:rsidRPr="009674B6">
        <w:tab/>
      </w:r>
      <w:r w:rsidR="0055381E">
        <w:t>Yes.</w:t>
      </w:r>
    </w:p>
    <w:p w:rsidR="00F203D6" w:rsidRPr="009674B6" w:rsidRDefault="00F203D6" w:rsidP="00250E68">
      <w:pPr>
        <w:spacing w:line="480" w:lineRule="auto"/>
        <w:ind w:left="720" w:hanging="720"/>
        <w:rPr>
          <w:b/>
        </w:rPr>
      </w:pPr>
      <w:r w:rsidRPr="009674B6">
        <w:rPr>
          <w:b/>
        </w:rPr>
        <w:t>Q</w:t>
      </w:r>
      <w:r>
        <w:rPr>
          <w:b/>
        </w:rPr>
        <w:t>:</w:t>
      </w:r>
      <w:r w:rsidRPr="009674B6">
        <w:rPr>
          <w:b/>
        </w:rPr>
        <w:tab/>
        <w:t>What is the purpose of your testimony?</w:t>
      </w:r>
    </w:p>
    <w:p w:rsidR="005C44E5" w:rsidRDefault="00F203D6" w:rsidP="00250E68">
      <w:pPr>
        <w:spacing w:line="480" w:lineRule="auto"/>
        <w:ind w:left="720" w:hanging="720"/>
      </w:pPr>
      <w:r>
        <w:t>A:</w:t>
      </w:r>
      <w:r>
        <w:tab/>
      </w:r>
      <w:r w:rsidR="00191C37">
        <w:t>The purpose of this cross-answering testimony is to</w:t>
      </w:r>
      <w:r w:rsidR="00351255">
        <w:t xml:space="preserve"> respond to</w:t>
      </w:r>
      <w:r w:rsidR="00EE327F">
        <w:t xml:space="preserve"> </w:t>
      </w:r>
      <w:r w:rsidR="00191C37">
        <w:t>the Expedited Rate Filing (“</w:t>
      </w:r>
      <w:proofErr w:type="spellStart"/>
      <w:r w:rsidR="00191C37">
        <w:t>ERF</w:t>
      </w:r>
      <w:proofErr w:type="spellEnd"/>
      <w:r w:rsidR="00191C37">
        <w:t xml:space="preserve">”) </w:t>
      </w:r>
      <w:r w:rsidR="00D07201">
        <w:t>proposal</w:t>
      </w:r>
      <w:r w:rsidR="00191C37">
        <w:t xml:space="preserve"> being advocated by</w:t>
      </w:r>
      <w:r w:rsidR="00351255">
        <w:t xml:space="preserve"> Ms. Deborah Reynolds on behalf of Commission</w:t>
      </w:r>
      <w:r w:rsidR="00191C37">
        <w:t xml:space="preserve"> Staff</w:t>
      </w:r>
      <w:r w:rsidR="00351255">
        <w:t>.</w:t>
      </w:r>
      <w:r w:rsidR="00C15727">
        <w:t xml:space="preserve"> </w:t>
      </w:r>
      <w:r w:rsidR="00351255">
        <w:t>I</w:t>
      </w:r>
      <w:r w:rsidR="00191C37">
        <w:t xml:space="preserve"> recommend certain refinements and conditions that I believe would </w:t>
      </w:r>
      <w:r w:rsidR="00351255">
        <w:t>build on and improve Staff’s proposal for a fut</w:t>
      </w:r>
      <w:r w:rsidR="00C80108">
        <w:t xml:space="preserve">ure </w:t>
      </w:r>
      <w:proofErr w:type="spellStart"/>
      <w:r w:rsidR="00C80108">
        <w:t>ERF</w:t>
      </w:r>
      <w:proofErr w:type="spellEnd"/>
      <w:r w:rsidR="00C80108">
        <w:t xml:space="preserve"> process for PacifiCorp.</w:t>
      </w:r>
    </w:p>
    <w:p w:rsidR="00C80108" w:rsidRDefault="00C80108" w:rsidP="00250E68">
      <w:pPr>
        <w:spacing w:line="480" w:lineRule="auto"/>
        <w:ind w:left="720" w:hanging="720"/>
        <w:rPr>
          <w:b/>
        </w:rPr>
      </w:pPr>
    </w:p>
    <w:p w:rsidR="00C80108" w:rsidRDefault="00C80108" w:rsidP="00250E68">
      <w:pPr>
        <w:spacing w:line="480" w:lineRule="auto"/>
        <w:ind w:left="720" w:hanging="720"/>
        <w:rPr>
          <w:b/>
        </w:rPr>
      </w:pPr>
    </w:p>
    <w:p w:rsidR="00AA1BB4" w:rsidRDefault="00747C4D" w:rsidP="00250E68">
      <w:pPr>
        <w:spacing w:line="480" w:lineRule="auto"/>
        <w:ind w:left="720" w:hanging="720"/>
        <w:rPr>
          <w:b/>
        </w:rPr>
      </w:pPr>
      <w:r>
        <w:rPr>
          <w:b/>
        </w:rPr>
        <w:lastRenderedPageBreak/>
        <w:t>Q:</w:t>
      </w:r>
      <w:r w:rsidR="00AA1BB4">
        <w:rPr>
          <w:b/>
        </w:rPr>
        <w:tab/>
        <w:t>Please summarize the major conditions or refinements</w:t>
      </w:r>
      <w:r w:rsidR="006C10A0">
        <w:rPr>
          <w:b/>
        </w:rPr>
        <w:t xml:space="preserve"> you are recommending be incorporated in</w:t>
      </w:r>
      <w:r w:rsidR="00D07201">
        <w:rPr>
          <w:b/>
        </w:rPr>
        <w:t xml:space="preserve">to the </w:t>
      </w:r>
      <w:proofErr w:type="spellStart"/>
      <w:r w:rsidR="00D07201">
        <w:rPr>
          <w:b/>
        </w:rPr>
        <w:t>ERF</w:t>
      </w:r>
      <w:proofErr w:type="spellEnd"/>
      <w:r w:rsidR="00D07201">
        <w:rPr>
          <w:b/>
        </w:rPr>
        <w:t xml:space="preserve"> proposal.</w:t>
      </w:r>
    </w:p>
    <w:p w:rsidR="00AA1BB4" w:rsidRDefault="00747C4D" w:rsidP="00250E68">
      <w:pPr>
        <w:spacing w:line="480" w:lineRule="auto"/>
        <w:ind w:left="720" w:hanging="720"/>
      </w:pPr>
      <w:r>
        <w:t>A:</w:t>
      </w:r>
      <w:r w:rsidR="00AA1BB4">
        <w:tab/>
        <w:t xml:space="preserve">While in general agreement with the </w:t>
      </w:r>
      <w:proofErr w:type="spellStart"/>
      <w:r w:rsidR="00AA1BB4">
        <w:t>ERF</w:t>
      </w:r>
      <w:proofErr w:type="spellEnd"/>
      <w:r w:rsidR="00AA1BB4">
        <w:t xml:space="preserve"> process and procedure</w:t>
      </w:r>
      <w:r w:rsidR="006C10A0">
        <w:t>s</w:t>
      </w:r>
      <w:r w:rsidR="00AA1BB4">
        <w:t xml:space="preserve"> described in Staff</w:t>
      </w:r>
      <w:r w:rsidR="003D1C31">
        <w:t>’s</w:t>
      </w:r>
      <w:r w:rsidR="00AA1BB4">
        <w:t xml:space="preserve"> direct testimony</w:t>
      </w:r>
      <w:r w:rsidR="009A199B">
        <w:t>,</w:t>
      </w:r>
      <w:r w:rsidR="008F1A66">
        <w:t xml:space="preserve"> I recomme</w:t>
      </w:r>
      <w:r w:rsidR="005C44E5">
        <w:t>nd the following modifications:</w:t>
      </w:r>
    </w:p>
    <w:p w:rsidR="00AA1BB4" w:rsidRDefault="000367A5" w:rsidP="00250E68">
      <w:pPr>
        <w:numPr>
          <w:ilvl w:val="0"/>
          <w:numId w:val="14"/>
        </w:numPr>
        <w:spacing w:line="480" w:lineRule="auto"/>
        <w:ind w:left="1512" w:right="432" w:hanging="288"/>
      </w:pPr>
      <w:r>
        <w:t xml:space="preserve">PacifiCorp should be required to calculate and post </w:t>
      </w:r>
      <w:r>
        <w:rPr>
          <w:i/>
        </w:rPr>
        <w:t>all</w:t>
      </w:r>
      <w:r w:rsidRPr="00935A17">
        <w:rPr>
          <w:i/>
        </w:rPr>
        <w:t xml:space="preserve"> restating</w:t>
      </w:r>
      <w:r>
        <w:t xml:space="preserve"> adjustments adopted by the </w:t>
      </w:r>
      <w:proofErr w:type="spellStart"/>
      <w:r>
        <w:t>WUTC</w:t>
      </w:r>
      <w:proofErr w:type="spellEnd"/>
      <w:r>
        <w:t xml:space="preserve"> in its last general rate case (“</w:t>
      </w:r>
      <w:proofErr w:type="spellStart"/>
      <w:r>
        <w:t>GRC</w:t>
      </w:r>
      <w:proofErr w:type="spellEnd"/>
      <w:r>
        <w:t>”) order</w:t>
      </w:r>
      <w:r w:rsidR="003D1C31">
        <w:t xml:space="preserve"> prior to the </w:t>
      </w:r>
      <w:proofErr w:type="spellStart"/>
      <w:r w:rsidR="003D1C31">
        <w:t>ERF</w:t>
      </w:r>
      <w:proofErr w:type="spellEnd"/>
      <w:r w:rsidR="003D1C31">
        <w:t xml:space="preserve"> proceeding</w:t>
      </w:r>
      <w:r>
        <w:t>.</w:t>
      </w:r>
    </w:p>
    <w:p w:rsidR="000367A5" w:rsidRDefault="000367A5" w:rsidP="00250E68">
      <w:pPr>
        <w:numPr>
          <w:ilvl w:val="0"/>
          <w:numId w:val="14"/>
        </w:numPr>
        <w:spacing w:line="480" w:lineRule="auto"/>
        <w:ind w:left="1512" w:right="432" w:hanging="288"/>
      </w:pPr>
      <w:r>
        <w:t>PacifiCorp should be required to provide evidence that a reasonable effort has been undertaken to id</w:t>
      </w:r>
      <w:r w:rsidR="00935A17">
        <w:t>entify, quantify, and eliminate</w:t>
      </w:r>
      <w:r>
        <w:t xml:space="preserve"> from the </w:t>
      </w:r>
      <w:proofErr w:type="spellStart"/>
      <w:r>
        <w:t>ERF</w:t>
      </w:r>
      <w:proofErr w:type="spellEnd"/>
      <w:r>
        <w:t xml:space="preserve"> test year cost of service </w:t>
      </w:r>
      <w:r w:rsidR="0062444A">
        <w:t>material</w:t>
      </w:r>
      <w:r>
        <w:t xml:space="preserve"> abnormal</w:t>
      </w:r>
      <w:r w:rsidR="00935A17">
        <w:t>, non-operating</w:t>
      </w:r>
      <w:r>
        <w:t xml:space="preserve"> and non-recurring transactions.</w:t>
      </w:r>
    </w:p>
    <w:p w:rsidR="006C10A0" w:rsidRDefault="006C10A0" w:rsidP="00250E68">
      <w:pPr>
        <w:numPr>
          <w:ilvl w:val="0"/>
          <w:numId w:val="14"/>
        </w:numPr>
        <w:spacing w:line="480" w:lineRule="auto"/>
        <w:ind w:left="1512" w:right="432" w:hanging="288"/>
      </w:pPr>
      <w:r>
        <w:t xml:space="preserve">Revenue relief to be granted through the </w:t>
      </w:r>
      <w:proofErr w:type="spellStart"/>
      <w:r>
        <w:t>ERF</w:t>
      </w:r>
      <w:proofErr w:type="spellEnd"/>
      <w:r>
        <w:t xml:space="preserve"> process should be limited to no more than thr</w:t>
      </w:r>
      <w:r w:rsidR="00BD5487">
        <w:t xml:space="preserve">ee percent </w:t>
      </w:r>
      <w:r>
        <w:t xml:space="preserve">above existing </w:t>
      </w:r>
      <w:r w:rsidR="00935A17">
        <w:t xml:space="preserve">base </w:t>
      </w:r>
      <w:r>
        <w:t>rates.</w:t>
      </w:r>
    </w:p>
    <w:p w:rsidR="006C10A0" w:rsidRDefault="006C10A0" w:rsidP="00250E68">
      <w:pPr>
        <w:numPr>
          <w:ilvl w:val="0"/>
          <w:numId w:val="14"/>
        </w:numPr>
        <w:spacing w:line="480" w:lineRule="auto"/>
        <w:ind w:left="1512" w:right="432" w:hanging="288"/>
      </w:pPr>
      <w:r>
        <w:t>Consistent with positions set forth with</w:t>
      </w:r>
      <w:r w:rsidR="00EE327F">
        <w:t>in</w:t>
      </w:r>
      <w:r>
        <w:t xml:space="preserve"> my direct testimony filed in this proceeding, PacifiCorp should be permitted to develop rate base utilizing end-of-</w:t>
      </w:r>
      <w:proofErr w:type="spellStart"/>
      <w:r>
        <w:t>ERF</w:t>
      </w:r>
      <w:proofErr w:type="spellEnd"/>
      <w:r>
        <w:t>-test-year values for Plant in Service, Accumulated Depreciation and Accumulated Deferred Income Taxes.</w:t>
      </w:r>
    </w:p>
    <w:p w:rsidR="006C10A0" w:rsidRDefault="006C10A0" w:rsidP="00250E68">
      <w:pPr>
        <w:numPr>
          <w:ilvl w:val="0"/>
          <w:numId w:val="14"/>
        </w:numPr>
        <w:spacing w:line="480" w:lineRule="auto"/>
        <w:ind w:left="1512" w:right="432" w:hanging="288"/>
      </w:pPr>
      <w:r>
        <w:t xml:space="preserve">PacifiCorp should be permitted to </w:t>
      </w:r>
      <w:r w:rsidR="00D628CC">
        <w:t>file</w:t>
      </w:r>
      <w:r>
        <w:t xml:space="preserve"> an </w:t>
      </w:r>
      <w:proofErr w:type="spellStart"/>
      <w:r>
        <w:t>E</w:t>
      </w:r>
      <w:r w:rsidR="00987D3A">
        <w:t>RF</w:t>
      </w:r>
      <w:proofErr w:type="spellEnd"/>
      <w:r w:rsidR="00987D3A">
        <w:t xml:space="preserve"> utilizing a non-calendar</w:t>
      </w:r>
      <w:r>
        <w:t xml:space="preserve"> test year with no restriction as to the earliest date that such filing could be made.</w:t>
      </w:r>
    </w:p>
    <w:p w:rsidR="009C18C9" w:rsidRDefault="009C18C9" w:rsidP="009C18C9">
      <w:pPr>
        <w:spacing w:line="480" w:lineRule="auto"/>
        <w:ind w:left="1512" w:right="432"/>
      </w:pPr>
    </w:p>
    <w:p w:rsidR="005C44E5" w:rsidRDefault="009E1525" w:rsidP="00250E68">
      <w:pPr>
        <w:numPr>
          <w:ilvl w:val="0"/>
          <w:numId w:val="14"/>
        </w:numPr>
        <w:spacing w:line="480" w:lineRule="auto"/>
        <w:ind w:left="1512" w:right="432" w:hanging="288"/>
      </w:pPr>
      <w:r>
        <w:lastRenderedPageBreak/>
        <w:t>PacifiCorp</w:t>
      </w:r>
      <w:r w:rsidR="006C10A0">
        <w:t xml:space="preserve"> should be permitted</w:t>
      </w:r>
      <w:r>
        <w:t xml:space="preserve"> to file two </w:t>
      </w:r>
      <w:proofErr w:type="spellStart"/>
      <w:r>
        <w:t>ERFs</w:t>
      </w:r>
      <w:proofErr w:type="spellEnd"/>
      <w:r w:rsidR="006C10A0">
        <w:t xml:space="preserve"> before be</w:t>
      </w:r>
      <w:r>
        <w:t>ing</w:t>
      </w:r>
      <w:r w:rsidR="006C10A0">
        <w:t xml:space="preserve"> required to make a </w:t>
      </w:r>
      <w:proofErr w:type="spellStart"/>
      <w:r w:rsidR="006C10A0">
        <w:t>GRC</w:t>
      </w:r>
      <w:proofErr w:type="spellEnd"/>
      <w:r w:rsidR="006C10A0">
        <w:t xml:space="preserve"> filing to further increase base rates</w:t>
      </w:r>
      <w:r w:rsidR="006A7968">
        <w:t xml:space="preserve">. During the </w:t>
      </w:r>
      <w:proofErr w:type="spellStart"/>
      <w:r w:rsidR="006A7968">
        <w:t>ERF</w:t>
      </w:r>
      <w:proofErr w:type="spellEnd"/>
      <w:r w:rsidR="006A7968">
        <w:t xml:space="preserve"> proceeding(s) the Company would be prohibited from filing a general rate case</w:t>
      </w:r>
      <w:r w:rsidR="008069E0">
        <w:t>.</w:t>
      </w:r>
    </w:p>
    <w:p w:rsidR="00C80108" w:rsidRDefault="00544990" w:rsidP="004C3CEA">
      <w:pPr>
        <w:spacing w:line="480" w:lineRule="auto"/>
        <w:ind w:left="720" w:hanging="720"/>
      </w:pPr>
      <w:r w:rsidRPr="008069E0">
        <w:rPr>
          <w:b/>
        </w:rPr>
        <w:t>Q:</w:t>
      </w:r>
      <w:r w:rsidRPr="008069E0">
        <w:rPr>
          <w:b/>
        </w:rPr>
        <w:tab/>
        <w:t>What is Public Counsel’s</w:t>
      </w:r>
      <w:r w:rsidRPr="00544990">
        <w:rPr>
          <w:b/>
        </w:rPr>
        <w:t xml:space="preserve"> position on expedited rate filings as a means to address regulatory lag and break the annual rate case cycle which has persisted for Washington utilities?</w:t>
      </w:r>
      <w:r>
        <w:br/>
      </w:r>
      <w:r w:rsidR="00A17482">
        <w:t>Public Counsel is supportive</w:t>
      </w:r>
      <w:r>
        <w:t xml:space="preserve"> of an </w:t>
      </w:r>
      <w:proofErr w:type="spellStart"/>
      <w:r>
        <w:t>ERF</w:t>
      </w:r>
      <w:proofErr w:type="spellEnd"/>
      <w:r>
        <w:t xml:space="preserve"> process when a utility applicant has convincingly demonstrated that events and conditions are significantly impacting the utility’s </w:t>
      </w:r>
      <w:r>
        <w:rPr>
          <w:i/>
        </w:rPr>
        <w:t>opportunity</w:t>
      </w:r>
      <w:r>
        <w:t xml:space="preserve"> to earn its targeted authorized rate of return. </w:t>
      </w:r>
      <w:r w:rsidR="007F36B9">
        <w:t xml:space="preserve"> </w:t>
      </w:r>
      <w:r>
        <w:t xml:space="preserve">The </w:t>
      </w:r>
      <w:proofErr w:type="spellStart"/>
      <w:r>
        <w:t>ERF</w:t>
      </w:r>
      <w:proofErr w:type="spellEnd"/>
      <w:r>
        <w:t xml:space="preserve"> process is designed to address Washington utilities’ previously enunciated concerns and criticisms regarding regulatory lag, earnings erosion or attrition, and near-annual general rate cases that are, in turn, straining resources, increasing rate case expense, and causing fatigue for the various rate case participants.  Public Counsel supported an </w:t>
      </w:r>
      <w:proofErr w:type="spellStart"/>
      <w:r>
        <w:t>ERF</w:t>
      </w:r>
      <w:proofErr w:type="spellEnd"/>
      <w:r>
        <w:t xml:space="preserve"> concept in the recent</w:t>
      </w:r>
      <w:r w:rsidR="00EB6947">
        <w:t xml:space="preserve"> Puget Sound Energy</w:t>
      </w:r>
      <w:r>
        <w:t xml:space="preserve"> </w:t>
      </w:r>
      <w:r w:rsidR="00EB6947">
        <w:t>(“</w:t>
      </w:r>
      <w:r>
        <w:t>PSE</w:t>
      </w:r>
      <w:r w:rsidR="00EB6947">
        <w:t>”)</w:t>
      </w:r>
      <w:r>
        <w:t xml:space="preserve"> </w:t>
      </w:r>
      <w:proofErr w:type="spellStart"/>
      <w:r>
        <w:t>ERF</w:t>
      </w:r>
      <w:proofErr w:type="spellEnd"/>
      <w:r>
        <w:t>/Decoupling proceeding</w:t>
      </w:r>
      <w:r w:rsidR="009312C3">
        <w:t>,</w:t>
      </w:r>
      <w:r w:rsidR="00EB6947">
        <w:rPr>
          <w:rStyle w:val="FootnoteReference"/>
        </w:rPr>
        <w:footnoteReference w:id="1"/>
      </w:r>
      <w:r>
        <w:t xml:space="preserve"> and we continue to believe </w:t>
      </w:r>
      <w:r w:rsidR="00423B5A">
        <w:t xml:space="preserve">that, with appropriate modifications, </w:t>
      </w:r>
      <w:r>
        <w:t>this is the most balanced tool to address demonstrated regulatory lag and</w:t>
      </w:r>
      <w:r w:rsidR="008069E0">
        <w:t xml:space="preserve"> continuous</w:t>
      </w:r>
      <w:r>
        <w:t xml:space="preserve"> </w:t>
      </w:r>
      <w:r w:rsidR="00A17482">
        <w:t>general rate case filings.</w:t>
      </w:r>
      <w:r w:rsidR="003B007D">
        <w:t xml:space="preserve">  The conditions and requirements I am suggesting </w:t>
      </w:r>
      <w:r>
        <w:t xml:space="preserve">are consistent </w:t>
      </w:r>
      <w:r w:rsidR="008A50C8">
        <w:t xml:space="preserve">with and </w:t>
      </w:r>
      <w:r>
        <w:t xml:space="preserve">build off similar </w:t>
      </w:r>
      <w:r w:rsidR="008A50C8">
        <w:t xml:space="preserve">recommendations </w:t>
      </w:r>
      <w:r>
        <w:t xml:space="preserve">I made in the PSE </w:t>
      </w:r>
      <w:proofErr w:type="spellStart"/>
      <w:r>
        <w:t>ERF</w:t>
      </w:r>
      <w:proofErr w:type="spellEnd"/>
      <w:r>
        <w:t xml:space="preserve"> proceeding and </w:t>
      </w:r>
      <w:r w:rsidR="003B007D">
        <w:t>are intended</w:t>
      </w:r>
      <w:r w:rsidR="00771706">
        <w:t xml:space="preserve"> to</w:t>
      </w:r>
      <w:r w:rsidR="003B007D">
        <w:t xml:space="preserve"> streamline and standardize the</w:t>
      </w:r>
      <w:r w:rsidR="008A50C8">
        <w:t xml:space="preserve"> </w:t>
      </w:r>
      <w:proofErr w:type="spellStart"/>
      <w:r w:rsidR="008A50C8">
        <w:t>ERF</w:t>
      </w:r>
      <w:proofErr w:type="spellEnd"/>
      <w:r w:rsidR="003B007D">
        <w:t xml:space="preserve"> process</w:t>
      </w:r>
      <w:r w:rsidR="00197E8D">
        <w:t>,</w:t>
      </w:r>
      <w:r w:rsidR="003B007D">
        <w:t xml:space="preserve"> while ensuring reasonable consumer protection in such “expedited” proceedings.</w:t>
      </w:r>
      <w:r>
        <w:t xml:space="preserve"> </w:t>
      </w:r>
      <w:r w:rsidR="00C80108">
        <w:br w:type="page"/>
      </w:r>
    </w:p>
    <w:p w:rsidR="004443C4" w:rsidRPr="00AC0D7F" w:rsidRDefault="004443C4" w:rsidP="00C80108">
      <w:pPr>
        <w:spacing w:line="480" w:lineRule="auto"/>
        <w:ind w:left="720" w:hanging="720"/>
        <w:jc w:val="center"/>
        <w:rPr>
          <w:b/>
        </w:rPr>
      </w:pPr>
      <w:r w:rsidRPr="00AC0D7F">
        <w:rPr>
          <w:b/>
        </w:rPr>
        <w:lastRenderedPageBreak/>
        <w:t>II</w:t>
      </w:r>
      <w:proofErr w:type="gramStart"/>
      <w:r w:rsidR="007F36B9" w:rsidRPr="00AC0D7F">
        <w:rPr>
          <w:b/>
        </w:rPr>
        <w:t xml:space="preserve">. </w:t>
      </w:r>
      <w:r w:rsidR="00C80108">
        <w:rPr>
          <w:b/>
        </w:rPr>
        <w:t xml:space="preserve"> </w:t>
      </w:r>
      <w:r w:rsidR="007F36B9" w:rsidRPr="00AC0D7F">
        <w:rPr>
          <w:b/>
        </w:rPr>
        <w:t>SUMMARY</w:t>
      </w:r>
      <w:proofErr w:type="gramEnd"/>
      <w:r w:rsidRPr="00AC0D7F">
        <w:rPr>
          <w:b/>
        </w:rPr>
        <w:t xml:space="preserve"> OF STAFF’S </w:t>
      </w:r>
      <w:proofErr w:type="spellStart"/>
      <w:r w:rsidRPr="00AC0D7F">
        <w:rPr>
          <w:b/>
        </w:rPr>
        <w:t>ERF</w:t>
      </w:r>
      <w:proofErr w:type="spellEnd"/>
      <w:r w:rsidRPr="00AC0D7F">
        <w:rPr>
          <w:b/>
        </w:rPr>
        <w:t xml:space="preserve"> PROPOSAL</w:t>
      </w:r>
    </w:p>
    <w:p w:rsidR="004443C4" w:rsidRDefault="00747C4D" w:rsidP="00250E68">
      <w:pPr>
        <w:spacing w:line="480" w:lineRule="auto"/>
        <w:ind w:left="720" w:hanging="720"/>
        <w:rPr>
          <w:b/>
        </w:rPr>
      </w:pPr>
      <w:r>
        <w:rPr>
          <w:b/>
        </w:rPr>
        <w:t>Q:</w:t>
      </w:r>
      <w:r w:rsidR="004443C4">
        <w:rPr>
          <w:b/>
        </w:rPr>
        <w:tab/>
      </w:r>
      <w:r w:rsidR="00ED0C39">
        <w:rPr>
          <w:b/>
        </w:rPr>
        <w:t>P</w:t>
      </w:r>
      <w:r w:rsidR="004443C4">
        <w:rPr>
          <w:b/>
        </w:rPr>
        <w:t xml:space="preserve">lease briefly summarize your </w:t>
      </w:r>
      <w:r w:rsidR="00D07201">
        <w:rPr>
          <w:b/>
        </w:rPr>
        <w:t xml:space="preserve">understanding of the </w:t>
      </w:r>
      <w:proofErr w:type="spellStart"/>
      <w:r w:rsidR="00D07201">
        <w:rPr>
          <w:b/>
        </w:rPr>
        <w:t>ERF</w:t>
      </w:r>
      <w:proofErr w:type="spellEnd"/>
      <w:r w:rsidR="00D07201">
        <w:rPr>
          <w:b/>
        </w:rPr>
        <w:t xml:space="preserve"> proposal </w:t>
      </w:r>
      <w:r w:rsidR="004443C4">
        <w:rPr>
          <w:b/>
        </w:rPr>
        <w:t>set forth within Ms. Reynolds’ direct testimony.</w:t>
      </w:r>
    </w:p>
    <w:p w:rsidR="00747C4D" w:rsidRDefault="00747C4D" w:rsidP="00250E68">
      <w:pPr>
        <w:spacing w:line="480" w:lineRule="auto"/>
        <w:ind w:left="720" w:hanging="720"/>
      </w:pPr>
      <w:r>
        <w:t>A:</w:t>
      </w:r>
      <w:r>
        <w:tab/>
        <w:t xml:space="preserve">I understand the major </w:t>
      </w:r>
      <w:r w:rsidR="00A66A07">
        <w:t xml:space="preserve">elements of Staff’s </w:t>
      </w:r>
      <w:proofErr w:type="spellStart"/>
      <w:r w:rsidR="00A66A07">
        <w:t>ERF</w:t>
      </w:r>
      <w:proofErr w:type="spellEnd"/>
      <w:r w:rsidR="00A66A07">
        <w:t xml:space="preserve"> proposal</w:t>
      </w:r>
      <w:r>
        <w:t xml:space="preserve"> to include</w:t>
      </w:r>
      <w:r w:rsidR="00A66A07">
        <w:t xml:space="preserve"> the following</w:t>
      </w:r>
      <w:r>
        <w:t>:</w:t>
      </w:r>
    </w:p>
    <w:p w:rsidR="00747C4D" w:rsidRDefault="003B58FA" w:rsidP="00250E68">
      <w:pPr>
        <w:numPr>
          <w:ilvl w:val="0"/>
          <w:numId w:val="14"/>
        </w:numPr>
        <w:spacing w:line="480" w:lineRule="auto"/>
        <w:ind w:left="1512" w:right="432" w:hanging="288"/>
      </w:pPr>
      <w:r>
        <w:t xml:space="preserve">PacifiCorp should be allowed to undertake an </w:t>
      </w:r>
      <w:proofErr w:type="spellStart"/>
      <w:r>
        <w:t>ERF</w:t>
      </w:r>
      <w:proofErr w:type="spellEnd"/>
      <w:r>
        <w:t xml:space="preserve"> in 2014 within two months of filing its standard Commission-basis report (“</w:t>
      </w:r>
      <w:proofErr w:type="spellStart"/>
      <w:r>
        <w:t>CBR</w:t>
      </w:r>
      <w:proofErr w:type="spellEnd"/>
      <w:r>
        <w:t xml:space="preserve">”).  Since </w:t>
      </w:r>
      <w:proofErr w:type="spellStart"/>
      <w:r>
        <w:t>CBRs</w:t>
      </w:r>
      <w:proofErr w:type="spellEnd"/>
      <w:r>
        <w:t xml:space="preserve"> are filed on a calendar year basis, this necessarily implies the </w:t>
      </w:r>
      <w:proofErr w:type="spellStart"/>
      <w:r>
        <w:t>ERF</w:t>
      </w:r>
      <w:proofErr w:type="spellEnd"/>
      <w:r>
        <w:t xml:space="preserve"> “test year” will be calendar year 2013.  Since there appears to be no restrictions as to how </w:t>
      </w:r>
      <w:r>
        <w:rPr>
          <w:i/>
        </w:rPr>
        <w:t>early</w:t>
      </w:r>
      <w:r>
        <w:t xml:space="preserve"> such </w:t>
      </w:r>
      <w:proofErr w:type="spellStart"/>
      <w:r>
        <w:t>CBR</w:t>
      </w:r>
      <w:proofErr w:type="spellEnd"/>
      <w:r>
        <w:t xml:space="preserve"> could be filed, or a</w:t>
      </w:r>
      <w:r w:rsidR="004D47F9">
        <w:t>ny</w:t>
      </w:r>
      <w:r>
        <w:t xml:space="preserve"> period of time that </w:t>
      </w:r>
      <w:r>
        <w:rPr>
          <w:i/>
        </w:rPr>
        <w:t xml:space="preserve">must elapse </w:t>
      </w:r>
      <w:r>
        <w:t xml:space="preserve">between the filing of the 2013 </w:t>
      </w:r>
      <w:proofErr w:type="spellStart"/>
      <w:r>
        <w:t>CBR</w:t>
      </w:r>
      <w:proofErr w:type="spellEnd"/>
      <w:r>
        <w:t xml:space="preserve"> and the time that the </w:t>
      </w:r>
      <w:proofErr w:type="spellStart"/>
      <w:r>
        <w:t>ERF</w:t>
      </w:r>
      <w:proofErr w:type="spellEnd"/>
      <w:r>
        <w:t xml:space="preserve"> could be made in 2014, presumably such </w:t>
      </w:r>
      <w:proofErr w:type="spellStart"/>
      <w:r>
        <w:t>ERF</w:t>
      </w:r>
      <w:proofErr w:type="spellEnd"/>
      <w:r>
        <w:t xml:space="preserve"> could be made just as quickly as PacifiCorp could</w:t>
      </w:r>
      <w:r w:rsidR="004D47F9">
        <w:t xml:space="preserve"> develop and</w:t>
      </w:r>
      <w:r>
        <w:t xml:space="preserve"> process such filing following the closing of its books and records for calendar year 2013.</w:t>
      </w:r>
    </w:p>
    <w:p w:rsidR="0023205C" w:rsidRDefault="0023205C" w:rsidP="00250E68">
      <w:pPr>
        <w:numPr>
          <w:ilvl w:val="0"/>
          <w:numId w:val="14"/>
        </w:numPr>
        <w:spacing w:line="480" w:lineRule="auto"/>
        <w:ind w:left="1512" w:right="432" w:hanging="288"/>
      </w:pPr>
      <w:r>
        <w:t xml:space="preserve">Once the </w:t>
      </w:r>
      <w:proofErr w:type="spellStart"/>
      <w:r>
        <w:t>ERF</w:t>
      </w:r>
      <w:proofErr w:type="spellEnd"/>
      <w:r>
        <w:t xml:space="preserve"> is filed, it will be reviewed on an expedited basis with the goal of rates becoming effective within 4-6 months.</w:t>
      </w:r>
    </w:p>
    <w:p w:rsidR="003B58FA" w:rsidRDefault="00072F9D" w:rsidP="00250E68">
      <w:pPr>
        <w:numPr>
          <w:ilvl w:val="0"/>
          <w:numId w:val="14"/>
        </w:numPr>
        <w:spacing w:line="480" w:lineRule="auto"/>
        <w:ind w:left="1512" w:right="432" w:hanging="288"/>
      </w:pPr>
      <w:r>
        <w:t xml:space="preserve">The </w:t>
      </w:r>
      <w:proofErr w:type="spellStart"/>
      <w:r>
        <w:t>CBR</w:t>
      </w:r>
      <w:proofErr w:type="spellEnd"/>
      <w:r>
        <w:t xml:space="preserve"> employed as the test year within the </w:t>
      </w:r>
      <w:proofErr w:type="spellStart"/>
      <w:r>
        <w:t>ERF</w:t>
      </w:r>
      <w:proofErr w:type="spellEnd"/>
      <w:r w:rsidR="003B58FA">
        <w:t xml:space="preserve"> must include:</w:t>
      </w:r>
    </w:p>
    <w:p w:rsidR="003B58FA" w:rsidRDefault="003B58FA" w:rsidP="00250E68">
      <w:pPr>
        <w:numPr>
          <w:ilvl w:val="1"/>
          <w:numId w:val="14"/>
        </w:numPr>
        <w:spacing w:line="480" w:lineRule="auto"/>
        <w:ind w:right="432"/>
      </w:pPr>
      <w:r>
        <w:t xml:space="preserve">Adjustments accepted by the Commission in the Company’s most recent </w:t>
      </w:r>
      <w:proofErr w:type="spellStart"/>
      <w:r>
        <w:t>GRC</w:t>
      </w:r>
      <w:proofErr w:type="spellEnd"/>
      <w:r>
        <w:t xml:space="preserve"> or subsequent orders</w:t>
      </w:r>
      <w:r w:rsidR="00197E8D">
        <w:t>.</w:t>
      </w:r>
    </w:p>
    <w:p w:rsidR="003B58FA" w:rsidRDefault="003B58FA" w:rsidP="00250E68">
      <w:pPr>
        <w:numPr>
          <w:ilvl w:val="1"/>
          <w:numId w:val="14"/>
        </w:numPr>
        <w:spacing w:line="480" w:lineRule="auto"/>
        <w:ind w:right="432"/>
      </w:pPr>
      <w:r>
        <w:t>Adjustments to remove from revenues, expenses, and rate base any material distorting factors such as out-of-period, non-operating, non-recurring, and extraordinary items</w:t>
      </w:r>
      <w:r w:rsidR="00072F9D">
        <w:t>.</w:t>
      </w:r>
    </w:p>
    <w:p w:rsidR="00072F9D" w:rsidRDefault="004D0E1A" w:rsidP="00250E68">
      <w:pPr>
        <w:numPr>
          <w:ilvl w:val="1"/>
          <w:numId w:val="14"/>
        </w:numPr>
        <w:spacing w:line="480" w:lineRule="auto"/>
        <w:ind w:right="432"/>
      </w:pPr>
      <w:r>
        <w:lastRenderedPageBreak/>
        <w:t xml:space="preserve">Adjustments to normalize sales units (i.e., billing determinants) and reflect annualized tariff price changes granted by the Commission during or subsequent to the </w:t>
      </w:r>
      <w:proofErr w:type="spellStart"/>
      <w:r>
        <w:t>ERF</w:t>
      </w:r>
      <w:proofErr w:type="spellEnd"/>
      <w:r>
        <w:t xml:space="preserve"> test year.</w:t>
      </w:r>
    </w:p>
    <w:p w:rsidR="00072F9D" w:rsidRDefault="00072F9D" w:rsidP="00250E68">
      <w:pPr>
        <w:numPr>
          <w:ilvl w:val="1"/>
          <w:numId w:val="14"/>
        </w:numPr>
        <w:spacing w:line="480" w:lineRule="auto"/>
        <w:ind w:right="432"/>
      </w:pPr>
      <w:r>
        <w:t>Cost allocations and allocation factors used to develop intrastate operating result</w:t>
      </w:r>
      <w:r w:rsidR="007F1D60">
        <w:t>s must</w:t>
      </w:r>
      <w:r>
        <w:t xml:space="preserve"> be consistent with the Commission’s determinations from its order addressing PacifiCorp’s most recent </w:t>
      </w:r>
      <w:proofErr w:type="spellStart"/>
      <w:r>
        <w:t>GRC</w:t>
      </w:r>
      <w:proofErr w:type="spellEnd"/>
      <w:r>
        <w:t>.</w:t>
      </w:r>
    </w:p>
    <w:p w:rsidR="00072F9D" w:rsidRDefault="00072F9D" w:rsidP="00250E68">
      <w:pPr>
        <w:numPr>
          <w:ilvl w:val="1"/>
          <w:numId w:val="14"/>
        </w:numPr>
        <w:spacing w:line="480" w:lineRule="auto"/>
        <w:ind w:right="432"/>
      </w:pPr>
      <w:r>
        <w:t xml:space="preserve">The rate of return, class revenue allocations and rate design authorized by the Commission in PacifiCorp’s last </w:t>
      </w:r>
      <w:proofErr w:type="spellStart"/>
      <w:r>
        <w:t>GRC</w:t>
      </w:r>
      <w:proofErr w:type="spellEnd"/>
      <w:r>
        <w:t xml:space="preserve"> order.</w:t>
      </w:r>
    </w:p>
    <w:p w:rsidR="004D0E1A" w:rsidRDefault="004D0E1A" w:rsidP="00250E68">
      <w:pPr>
        <w:numPr>
          <w:ilvl w:val="0"/>
          <w:numId w:val="14"/>
        </w:numPr>
        <w:spacing w:line="480" w:lineRule="auto"/>
        <w:ind w:right="432"/>
      </w:pPr>
      <w:r>
        <w:t>The</w:t>
      </w:r>
      <w:r w:rsidR="004D47F9">
        <w:t xml:space="preserve"> </w:t>
      </w:r>
      <w:proofErr w:type="spellStart"/>
      <w:r w:rsidR="004D47F9">
        <w:t>CBR</w:t>
      </w:r>
      <w:proofErr w:type="spellEnd"/>
      <w:r w:rsidR="004D47F9">
        <w:t xml:space="preserve"> is permitted to be</w:t>
      </w:r>
      <w:r>
        <w:t xml:space="preserve"> “enhanced” to include adjustments to:</w:t>
      </w:r>
    </w:p>
    <w:p w:rsidR="004D0E1A" w:rsidRDefault="004D47F9" w:rsidP="00250E68">
      <w:pPr>
        <w:numPr>
          <w:ilvl w:val="1"/>
          <w:numId w:val="14"/>
        </w:numPr>
        <w:spacing w:line="480" w:lineRule="auto"/>
        <w:ind w:right="432"/>
      </w:pPr>
      <w:r>
        <w:t xml:space="preserve">Annualize wages for compensation levels being incurred at </w:t>
      </w:r>
      <w:proofErr w:type="spellStart"/>
      <w:r>
        <w:t>ERF</w:t>
      </w:r>
      <w:proofErr w:type="spellEnd"/>
      <w:r>
        <w:t xml:space="preserve"> test-year end</w:t>
      </w:r>
      <w:r w:rsidR="00197E8D">
        <w:t>.</w:t>
      </w:r>
    </w:p>
    <w:p w:rsidR="004D47F9" w:rsidRDefault="004D47F9" w:rsidP="00250E68">
      <w:pPr>
        <w:numPr>
          <w:ilvl w:val="1"/>
          <w:numId w:val="14"/>
        </w:numPr>
        <w:spacing w:line="480" w:lineRule="auto"/>
        <w:ind w:right="432"/>
      </w:pPr>
      <w:r>
        <w:t>Annualize the cost of new rate base additions</w:t>
      </w:r>
      <w:r w:rsidR="00197E8D">
        <w:t>.</w:t>
      </w:r>
      <w:r>
        <w:t xml:space="preserve"> </w:t>
      </w:r>
    </w:p>
    <w:p w:rsidR="004D47F9" w:rsidRDefault="004D47F9" w:rsidP="00250E68">
      <w:pPr>
        <w:numPr>
          <w:ilvl w:val="1"/>
          <w:numId w:val="14"/>
        </w:numPr>
        <w:spacing w:line="480" w:lineRule="auto"/>
        <w:ind w:right="432"/>
      </w:pPr>
      <w:r>
        <w:t xml:space="preserve">Updating and dispatching power costs to reflect a full year impact upon operations for a new or upgraded production plant </w:t>
      </w:r>
      <w:r>
        <w:rPr>
          <w:i/>
        </w:rPr>
        <w:t>and</w:t>
      </w:r>
      <w:r>
        <w:t xml:space="preserve"> reflecting latest available market prices for natural gas or electricity (presumably purchased power)</w:t>
      </w:r>
      <w:r w:rsidR="00197E8D">
        <w:t>.</w:t>
      </w:r>
    </w:p>
    <w:p w:rsidR="00835FF9" w:rsidRDefault="00835FF9" w:rsidP="00250E68">
      <w:pPr>
        <w:numPr>
          <w:ilvl w:val="0"/>
          <w:numId w:val="14"/>
        </w:numPr>
        <w:spacing w:line="480" w:lineRule="auto"/>
        <w:ind w:right="432"/>
      </w:pPr>
      <w:r>
        <w:t xml:space="preserve">Supporting testimony, schedules and </w:t>
      </w:r>
      <w:proofErr w:type="spellStart"/>
      <w:r>
        <w:t>w</w:t>
      </w:r>
      <w:r w:rsidR="007F1D60">
        <w:t>orkpapers</w:t>
      </w:r>
      <w:proofErr w:type="spellEnd"/>
      <w:r w:rsidR="007F1D60">
        <w:t xml:space="preserve"> should be submitted</w:t>
      </w:r>
      <w:r>
        <w:t xml:space="preserve"> with the </w:t>
      </w:r>
      <w:proofErr w:type="spellStart"/>
      <w:r>
        <w:t>ERF</w:t>
      </w:r>
      <w:proofErr w:type="spellEnd"/>
      <w:r>
        <w:t xml:space="preserve">.  However, the more detailed filing requirements of a </w:t>
      </w:r>
      <w:proofErr w:type="spellStart"/>
      <w:r>
        <w:t>GRC</w:t>
      </w:r>
      <w:proofErr w:type="spellEnd"/>
      <w:r>
        <w:t xml:space="preserve"> that is requesting an increase in excess of three percent (3.00%), as set forth within WAC 480-07-510</w:t>
      </w:r>
      <w:r w:rsidR="007F1D60">
        <w:t>, would be waived</w:t>
      </w:r>
      <w:r>
        <w:t xml:space="preserve"> even if the </w:t>
      </w:r>
      <w:proofErr w:type="spellStart"/>
      <w:r>
        <w:t>ERF</w:t>
      </w:r>
      <w:proofErr w:type="spellEnd"/>
      <w:r>
        <w:t xml:space="preserve"> request exceeds three percent (3.0%).</w:t>
      </w:r>
    </w:p>
    <w:p w:rsidR="00835FF9" w:rsidRDefault="00835FF9" w:rsidP="00250E68">
      <w:pPr>
        <w:spacing w:line="480" w:lineRule="auto"/>
        <w:ind w:left="720" w:firstLine="720"/>
      </w:pPr>
    </w:p>
    <w:p w:rsidR="00E85564" w:rsidRPr="004C3CEA" w:rsidRDefault="00E85564" w:rsidP="004C3CEA">
      <w:pPr>
        <w:numPr>
          <w:ilvl w:val="0"/>
          <w:numId w:val="18"/>
        </w:numPr>
        <w:ind w:left="720"/>
        <w:jc w:val="center"/>
        <w:rPr>
          <w:b/>
        </w:rPr>
      </w:pPr>
      <w:r w:rsidRPr="004C3CEA">
        <w:rPr>
          <w:b/>
        </w:rPr>
        <w:lastRenderedPageBreak/>
        <w:t xml:space="preserve">PUBLIC COUNSEL </w:t>
      </w:r>
      <w:r w:rsidR="00432BA3" w:rsidRPr="004C3CEA">
        <w:rPr>
          <w:b/>
        </w:rPr>
        <w:t xml:space="preserve">RECOMMENDED </w:t>
      </w:r>
      <w:proofErr w:type="spellStart"/>
      <w:r w:rsidRPr="004C3CEA">
        <w:rPr>
          <w:b/>
        </w:rPr>
        <w:t>ERF</w:t>
      </w:r>
      <w:proofErr w:type="spellEnd"/>
      <w:r w:rsidRPr="004C3CEA">
        <w:rPr>
          <w:b/>
        </w:rPr>
        <w:t xml:space="preserve"> MODIFICATIONS, CONDITIONS AND REQUIREMENTS</w:t>
      </w:r>
    </w:p>
    <w:p w:rsidR="00616D91" w:rsidRDefault="00616D91" w:rsidP="00616D91">
      <w:pPr>
        <w:ind w:left="1080"/>
        <w:jc w:val="center"/>
        <w:rPr>
          <w:b/>
          <w:sz w:val="28"/>
          <w:szCs w:val="28"/>
        </w:rPr>
      </w:pPr>
    </w:p>
    <w:p w:rsidR="00E85564" w:rsidRPr="00AC0D7F" w:rsidRDefault="00E85564" w:rsidP="00AD7C3A">
      <w:pPr>
        <w:pStyle w:val="ListParagraph"/>
        <w:numPr>
          <w:ilvl w:val="0"/>
          <w:numId w:val="20"/>
        </w:numPr>
        <w:tabs>
          <w:tab w:val="left" w:pos="1080"/>
        </w:tabs>
        <w:ind w:firstLine="0"/>
        <w:rPr>
          <w:b/>
        </w:rPr>
      </w:pPr>
      <w:r w:rsidRPr="00AC0D7F">
        <w:rPr>
          <w:b/>
        </w:rPr>
        <w:t xml:space="preserve">PacifiCorp Should be Required to Calculate and Post </w:t>
      </w:r>
      <w:r w:rsidRPr="00AC0D7F">
        <w:rPr>
          <w:b/>
          <w:i/>
        </w:rPr>
        <w:t>All</w:t>
      </w:r>
      <w:r w:rsidRPr="00AC0D7F">
        <w:rPr>
          <w:b/>
        </w:rPr>
        <w:t xml:space="preserve"> Restating </w:t>
      </w:r>
      <w:r w:rsidR="00AD7C3A">
        <w:rPr>
          <w:b/>
        </w:rPr>
        <w:tab/>
      </w:r>
      <w:r w:rsidRPr="00AC0D7F">
        <w:rPr>
          <w:b/>
        </w:rPr>
        <w:t xml:space="preserve">Adjustments Adopted by the </w:t>
      </w:r>
      <w:proofErr w:type="spellStart"/>
      <w:r w:rsidRPr="00AC0D7F">
        <w:rPr>
          <w:b/>
        </w:rPr>
        <w:t>WUTC</w:t>
      </w:r>
      <w:proofErr w:type="spellEnd"/>
      <w:r w:rsidRPr="00AC0D7F">
        <w:rPr>
          <w:b/>
        </w:rPr>
        <w:t xml:space="preserve"> in Its Last General Rate Case Order.</w:t>
      </w:r>
    </w:p>
    <w:p w:rsidR="00AC0D7F" w:rsidRPr="00AC0D7F" w:rsidRDefault="00AC0D7F" w:rsidP="00AC0D7F">
      <w:pPr>
        <w:pStyle w:val="ListParagraph"/>
        <w:rPr>
          <w:b/>
        </w:rPr>
      </w:pPr>
    </w:p>
    <w:p w:rsidR="00E85564" w:rsidRPr="00E85564" w:rsidRDefault="00E85564" w:rsidP="00250E68">
      <w:pPr>
        <w:spacing w:line="480" w:lineRule="auto"/>
        <w:ind w:left="720" w:hanging="720"/>
        <w:rPr>
          <w:b/>
        </w:rPr>
      </w:pPr>
      <w:r>
        <w:rPr>
          <w:b/>
        </w:rPr>
        <w:t>Q:</w:t>
      </w:r>
      <w:r>
        <w:rPr>
          <w:b/>
        </w:rPr>
        <w:tab/>
      </w:r>
      <w:r w:rsidR="00B55202">
        <w:rPr>
          <w:b/>
        </w:rPr>
        <w:t xml:space="preserve">Please continue by discussing your first modification to the Staff’s </w:t>
      </w:r>
      <w:proofErr w:type="spellStart"/>
      <w:r w:rsidR="00B55202">
        <w:rPr>
          <w:b/>
        </w:rPr>
        <w:t>ERF</w:t>
      </w:r>
      <w:proofErr w:type="spellEnd"/>
      <w:r w:rsidR="00B55202">
        <w:rPr>
          <w:b/>
        </w:rPr>
        <w:t xml:space="preserve"> proposal.</w:t>
      </w:r>
    </w:p>
    <w:p w:rsidR="00322A0D" w:rsidRDefault="00B55202" w:rsidP="00250E68">
      <w:pPr>
        <w:spacing w:line="480" w:lineRule="auto"/>
        <w:ind w:left="720" w:hanging="720"/>
      </w:pPr>
      <w:r>
        <w:t>A:</w:t>
      </w:r>
      <w:r>
        <w:tab/>
      </w:r>
      <w:r w:rsidR="004D47F9">
        <w:t xml:space="preserve"> </w:t>
      </w:r>
      <w:r w:rsidR="00322A0D">
        <w:t xml:space="preserve">My first modification is to recommend that if </w:t>
      </w:r>
      <w:r w:rsidR="00322A0D" w:rsidRPr="00322A0D">
        <w:t xml:space="preserve">PacifiCorp avails itself of an </w:t>
      </w:r>
      <w:proofErr w:type="spellStart"/>
      <w:r w:rsidR="00322A0D" w:rsidRPr="00322A0D">
        <w:t>ERF</w:t>
      </w:r>
      <w:proofErr w:type="spellEnd"/>
      <w:r w:rsidR="00322A0D" w:rsidRPr="00322A0D">
        <w:t xml:space="preserve"> process, that the test year underlying such </w:t>
      </w:r>
      <w:proofErr w:type="spellStart"/>
      <w:r w:rsidR="00322A0D" w:rsidRPr="00322A0D">
        <w:t>ERF</w:t>
      </w:r>
      <w:proofErr w:type="spellEnd"/>
      <w:r w:rsidR="00322A0D" w:rsidRPr="00322A0D">
        <w:t xml:space="preserve"> should include </w:t>
      </w:r>
      <w:r w:rsidR="00322A0D" w:rsidRPr="00322A0D">
        <w:rPr>
          <w:i/>
        </w:rPr>
        <w:t xml:space="preserve">all </w:t>
      </w:r>
      <w:r w:rsidR="00322A0D" w:rsidRPr="008069E0">
        <w:t xml:space="preserve">restating </w:t>
      </w:r>
      <w:r w:rsidR="00322A0D" w:rsidRPr="00322A0D">
        <w:t>adjustments</w:t>
      </w:r>
      <w:r w:rsidR="00322A0D">
        <w:t>.</w:t>
      </w:r>
      <w:r w:rsidR="00616D91">
        <w:t xml:space="preserve"> </w:t>
      </w:r>
      <w:r w:rsidR="00322A0D">
        <w:t xml:space="preserve"> </w:t>
      </w:r>
      <w:r w:rsidR="000E0334">
        <w:t>R</w:t>
      </w:r>
      <w:r w:rsidR="00322A0D">
        <w:t>estating adjustments are undertaken to reflect earnings under normal, recurring conditions that also consider only costs (rate base and expenses) determined by the Commission to be reasonably incurred in the provision of safe, efficient and reliable utility service.  Test year costs that are disallowed</w:t>
      </w:r>
      <w:r w:rsidR="00322A0D" w:rsidRPr="00640DFA">
        <w:t xml:space="preserve"> </w:t>
      </w:r>
      <w:r w:rsidR="00322A0D">
        <w:t xml:space="preserve">by this Commission will be eliminated through properly calculated restating adjustments. </w:t>
      </w:r>
      <w:r w:rsidR="00616D91">
        <w:t xml:space="preserve"> </w:t>
      </w:r>
      <w:r w:rsidR="00322A0D">
        <w:t xml:space="preserve">In contrast, </w:t>
      </w:r>
      <w:proofErr w:type="spellStart"/>
      <w:r w:rsidR="00322A0D">
        <w:t>proforma</w:t>
      </w:r>
      <w:proofErr w:type="spellEnd"/>
      <w:r w:rsidR="00322A0D">
        <w:t xml:space="preserve"> adjustments are often forward looking, sometimes considering price changes occurring beyond the end of the test year, that often are accompanied by arguments and controversy surrounding proper matching of various cost of service components.  In the context of an expedited rate proceeding, a goal should be to arrive at a relatively simple and non-controversial cost of service presentation that adheres to past Commission precedent regarding allowable costs for rate recovery.  As such, it is equitable, and indeed necessary, to </w:t>
      </w:r>
      <w:r w:rsidR="00D52FF7">
        <w:t>consider restating adjustments.</w:t>
      </w:r>
    </w:p>
    <w:p w:rsidR="00322A0D" w:rsidRDefault="00322A0D" w:rsidP="00250E68">
      <w:pPr>
        <w:pStyle w:val="BodyTextIndent"/>
        <w:spacing w:line="480" w:lineRule="auto"/>
        <w:rPr>
          <w:szCs w:val="24"/>
        </w:rPr>
      </w:pPr>
      <w:r>
        <w:rPr>
          <w:szCs w:val="24"/>
        </w:rPr>
        <w:tab/>
      </w:r>
      <w:r>
        <w:rPr>
          <w:szCs w:val="24"/>
        </w:rPr>
        <w:tab/>
      </w:r>
      <w:r w:rsidR="000E0334">
        <w:rPr>
          <w:szCs w:val="24"/>
        </w:rPr>
        <w:t>Further</w:t>
      </w:r>
      <w:r>
        <w:rPr>
          <w:szCs w:val="24"/>
        </w:rPr>
        <w:t xml:space="preserve">, I submit that the utility should be required to calculate and post </w:t>
      </w:r>
      <w:r>
        <w:rPr>
          <w:i/>
          <w:szCs w:val="24"/>
        </w:rPr>
        <w:t>all</w:t>
      </w:r>
      <w:r>
        <w:rPr>
          <w:szCs w:val="24"/>
        </w:rPr>
        <w:t xml:space="preserve"> restating adjustments previously adopted by this Commission in its most recent </w:t>
      </w:r>
      <w:proofErr w:type="spellStart"/>
      <w:r>
        <w:rPr>
          <w:szCs w:val="24"/>
        </w:rPr>
        <w:t>GRC</w:t>
      </w:r>
      <w:proofErr w:type="spellEnd"/>
      <w:r>
        <w:rPr>
          <w:szCs w:val="24"/>
        </w:rPr>
        <w:t xml:space="preserve"> order issued when preparing its </w:t>
      </w:r>
      <w:proofErr w:type="spellStart"/>
      <w:r>
        <w:rPr>
          <w:szCs w:val="24"/>
        </w:rPr>
        <w:t>ERF</w:t>
      </w:r>
      <w:proofErr w:type="spellEnd"/>
      <w:r>
        <w:rPr>
          <w:szCs w:val="24"/>
        </w:rPr>
        <w:t xml:space="preserve"> Washington retail adjusted test year cost of service. Or in other words, neither the utility nor any rate case participant should be </w:t>
      </w:r>
      <w:r>
        <w:rPr>
          <w:szCs w:val="24"/>
        </w:rPr>
        <w:lastRenderedPageBreak/>
        <w:t>permitted to selectively choose which restating adjustments it might wish to post or ignore.  While the need for, and propriety of, such requirement might appear obvious, I nonetheless submit that the requirement should be specifically stated</w:t>
      </w:r>
      <w:r w:rsidR="0041266F">
        <w:rPr>
          <w:szCs w:val="24"/>
        </w:rPr>
        <w:t>.</w:t>
      </w:r>
      <w:r>
        <w:rPr>
          <w:rStyle w:val="FootnoteReference"/>
          <w:szCs w:val="24"/>
        </w:rPr>
        <w:footnoteReference w:id="2"/>
      </w:r>
    </w:p>
    <w:p w:rsidR="00B55202" w:rsidRDefault="00322A0D" w:rsidP="00250E68">
      <w:pPr>
        <w:spacing w:line="480" w:lineRule="auto"/>
        <w:ind w:left="720" w:hanging="720"/>
      </w:pPr>
      <w:r>
        <w:tab/>
      </w:r>
      <w:r>
        <w:tab/>
        <w:t xml:space="preserve">I note that this recommendation does not appear to be inconsistent with Staff’s proposal. </w:t>
      </w:r>
      <w:r w:rsidR="00B55202">
        <w:t xml:space="preserve">Specifically, one of Staff’s </w:t>
      </w:r>
      <w:proofErr w:type="spellStart"/>
      <w:r w:rsidR="00B55202">
        <w:t>ERF</w:t>
      </w:r>
      <w:proofErr w:type="spellEnd"/>
      <w:r w:rsidR="00B55202">
        <w:t xml:space="preserve"> conditions </w:t>
      </w:r>
      <w:r w:rsidR="004326ED">
        <w:t xml:space="preserve">states that the </w:t>
      </w:r>
      <w:proofErr w:type="spellStart"/>
      <w:r w:rsidR="004326ED">
        <w:t>CBR</w:t>
      </w:r>
      <w:proofErr w:type="spellEnd"/>
      <w:r w:rsidR="004326ED">
        <w:t xml:space="preserve"> underlying the </w:t>
      </w:r>
      <w:proofErr w:type="spellStart"/>
      <w:r w:rsidR="004326ED">
        <w:t>ERF</w:t>
      </w:r>
      <w:proofErr w:type="spellEnd"/>
      <w:r w:rsidR="004326ED">
        <w:t xml:space="preserve"> “must include the adjustments accepted by the Commission in a company’s most recent general rate case or subsequent orders.”</w:t>
      </w:r>
      <w:r w:rsidR="004326ED">
        <w:rPr>
          <w:rStyle w:val="FootnoteReference"/>
        </w:rPr>
        <w:footnoteReference w:id="3"/>
      </w:r>
      <w:r w:rsidR="004326ED">
        <w:t xml:space="preserve">  Inasmuch as the Commission’s previous </w:t>
      </w:r>
      <w:proofErr w:type="spellStart"/>
      <w:r w:rsidR="004326ED">
        <w:t>GRC</w:t>
      </w:r>
      <w:proofErr w:type="spellEnd"/>
      <w:r w:rsidR="004326ED">
        <w:t xml:space="preserve"> order may adopt or authorize any number of “</w:t>
      </w:r>
      <w:proofErr w:type="spellStart"/>
      <w:r w:rsidR="004326ED">
        <w:t>proforma</w:t>
      </w:r>
      <w:proofErr w:type="spellEnd"/>
      <w:r w:rsidR="004326ED">
        <w:t>” adjustments that could consider price changes implemented past the t</w:t>
      </w:r>
      <w:r w:rsidR="00640DFA">
        <w:t xml:space="preserve">est year employed in that </w:t>
      </w:r>
      <w:proofErr w:type="spellStart"/>
      <w:r w:rsidR="00640DFA">
        <w:t>GRC</w:t>
      </w:r>
      <w:proofErr w:type="spellEnd"/>
      <w:r w:rsidR="00640DFA">
        <w:t xml:space="preserve">, </w:t>
      </w:r>
      <w:r w:rsidR="004326ED">
        <w:t xml:space="preserve">I believe it would be clarifying and instructive that </w:t>
      </w:r>
      <w:r w:rsidR="00EB6947">
        <w:t>the</w:t>
      </w:r>
      <w:r w:rsidR="004326ED">
        <w:t xml:space="preserve"> </w:t>
      </w:r>
      <w:proofErr w:type="spellStart"/>
      <w:r w:rsidR="004326ED">
        <w:t>CBR</w:t>
      </w:r>
      <w:proofErr w:type="spellEnd"/>
      <w:r w:rsidR="004326ED">
        <w:t xml:space="preserve"> </w:t>
      </w:r>
      <w:r w:rsidR="00C25E4A">
        <w:t xml:space="preserve">should </w:t>
      </w:r>
      <w:r w:rsidR="004326ED">
        <w:t>be limited to include only “restating” adjustments rather than any Commission adjustments that might include “</w:t>
      </w:r>
      <w:proofErr w:type="spellStart"/>
      <w:r w:rsidR="004326ED">
        <w:t>proformas</w:t>
      </w:r>
      <w:proofErr w:type="spellEnd"/>
      <w:r w:rsidR="004326ED">
        <w:t xml:space="preserve">.” </w:t>
      </w:r>
      <w:r w:rsidR="00D52FF7">
        <w:t xml:space="preserve"> </w:t>
      </w:r>
      <w:r w:rsidR="00C25E4A">
        <w:t xml:space="preserve">Further, </w:t>
      </w:r>
      <w:r w:rsidR="000E0334">
        <w:t xml:space="preserve">as previously noted, </w:t>
      </w:r>
      <w:r w:rsidR="00C25E4A">
        <w:t xml:space="preserve">I believe there should be a specific requirement that the </w:t>
      </w:r>
      <w:proofErr w:type="spellStart"/>
      <w:r w:rsidR="00C25E4A">
        <w:t>CBR</w:t>
      </w:r>
      <w:proofErr w:type="spellEnd"/>
      <w:r w:rsidR="00C25E4A">
        <w:t xml:space="preserve"> include </w:t>
      </w:r>
      <w:r w:rsidR="00C25E4A" w:rsidRPr="0052503C">
        <w:rPr>
          <w:i/>
        </w:rPr>
        <w:t>all restating</w:t>
      </w:r>
      <w:r w:rsidR="00C25E4A">
        <w:t xml:space="preserve"> adjustments most recently adopted by this Commission.</w:t>
      </w:r>
    </w:p>
    <w:p w:rsidR="000E0334" w:rsidRDefault="000E0334" w:rsidP="00250E68">
      <w:pPr>
        <w:pStyle w:val="BodyTextIndent"/>
        <w:spacing w:line="480" w:lineRule="auto"/>
        <w:rPr>
          <w:szCs w:val="24"/>
        </w:rPr>
      </w:pPr>
      <w:r>
        <w:rPr>
          <w:b/>
          <w:szCs w:val="24"/>
        </w:rPr>
        <w:t>Q.</w:t>
      </w:r>
      <w:r>
        <w:rPr>
          <w:b/>
          <w:szCs w:val="24"/>
        </w:rPr>
        <w:tab/>
        <w:t xml:space="preserve">Could a negotiated general rate case settlement create concern or confusion in a subsequent </w:t>
      </w:r>
      <w:proofErr w:type="spellStart"/>
      <w:r>
        <w:rPr>
          <w:b/>
          <w:szCs w:val="24"/>
        </w:rPr>
        <w:t>ERF</w:t>
      </w:r>
      <w:proofErr w:type="spellEnd"/>
      <w:r w:rsidR="00585997">
        <w:rPr>
          <w:b/>
          <w:szCs w:val="24"/>
        </w:rPr>
        <w:t xml:space="preserve"> proceeding</w:t>
      </w:r>
      <w:r>
        <w:rPr>
          <w:b/>
          <w:szCs w:val="24"/>
        </w:rPr>
        <w:t>?</w:t>
      </w:r>
    </w:p>
    <w:p w:rsidR="000E0334" w:rsidRPr="000E0334" w:rsidRDefault="000E0334" w:rsidP="00250E68">
      <w:pPr>
        <w:pStyle w:val="BodyTextIndent"/>
        <w:spacing w:line="480" w:lineRule="auto"/>
        <w:rPr>
          <w:szCs w:val="24"/>
        </w:rPr>
      </w:pPr>
      <w:r>
        <w:rPr>
          <w:szCs w:val="24"/>
        </w:rPr>
        <w:t>A:</w:t>
      </w:r>
      <w:r>
        <w:rPr>
          <w:szCs w:val="24"/>
        </w:rPr>
        <w:tab/>
        <w:t xml:space="preserve">Yes.  In a “black box” settlement, or a settlement that was reached without delineating how the various parties or the Commission arrived at the agreed upon increase, there will not be a trail as to what “restating” adjustments were considered </w:t>
      </w:r>
      <w:r>
        <w:rPr>
          <w:szCs w:val="24"/>
        </w:rPr>
        <w:lastRenderedPageBreak/>
        <w:t xml:space="preserve">in the settlement.  Similarly, there may or may not be a stated cost of capital, and there may not be a trail as to which jurisdictional or class cost of service allocation factors or procedures were envisioned with the settlement. </w:t>
      </w:r>
      <w:r w:rsidR="00423B5A">
        <w:rPr>
          <w:szCs w:val="24"/>
        </w:rPr>
        <w:t xml:space="preserve"> Accordingly, it is imperative that any negotiated settlement set forth at least minimum elements as to what cost of capital, what jurisdictional allocations, and what “restating” adjustments were assumed in arriving at the settlement increase.  Without such findings set forth, it is difficult to envision how any number of controversies could be handled expeditiously or avoided within an </w:t>
      </w:r>
      <w:proofErr w:type="spellStart"/>
      <w:r w:rsidR="00423B5A">
        <w:rPr>
          <w:szCs w:val="24"/>
        </w:rPr>
        <w:t>ERF</w:t>
      </w:r>
      <w:proofErr w:type="spellEnd"/>
      <w:r w:rsidR="00423B5A">
        <w:rPr>
          <w:szCs w:val="24"/>
        </w:rPr>
        <w:t xml:space="preserve"> proceeding.</w:t>
      </w:r>
    </w:p>
    <w:p w:rsidR="00F5141E" w:rsidRDefault="00F5141E" w:rsidP="00AD7C3A">
      <w:pPr>
        <w:tabs>
          <w:tab w:val="left" w:pos="1080"/>
        </w:tabs>
        <w:ind w:left="720"/>
      </w:pPr>
      <w:r>
        <w:rPr>
          <w:rFonts w:ascii="Times New Roman Bold" w:hAnsi="Times New Roman Bold"/>
          <w:b/>
        </w:rPr>
        <w:t>B.</w:t>
      </w:r>
      <w:r>
        <w:rPr>
          <w:rFonts w:ascii="Times New Roman Bold" w:hAnsi="Times New Roman Bold"/>
          <w:b/>
        </w:rPr>
        <w:tab/>
        <w:t xml:space="preserve">PacifiCorp Should be Required to Provide Evidence that a Reasonable Effort </w:t>
      </w:r>
      <w:r w:rsidR="00AD7C3A">
        <w:rPr>
          <w:rFonts w:ascii="Times New Roman Bold" w:hAnsi="Times New Roman Bold"/>
          <w:b/>
        </w:rPr>
        <w:tab/>
      </w:r>
      <w:r>
        <w:rPr>
          <w:rFonts w:ascii="Times New Roman Bold" w:hAnsi="Times New Roman Bold"/>
          <w:b/>
        </w:rPr>
        <w:t>has been Undertaken to Id</w:t>
      </w:r>
      <w:r w:rsidR="00640DFA">
        <w:rPr>
          <w:rFonts w:ascii="Times New Roman Bold" w:hAnsi="Times New Roman Bold"/>
          <w:b/>
        </w:rPr>
        <w:t>entify, Quantify, and Eliminate</w:t>
      </w:r>
      <w:r>
        <w:rPr>
          <w:rFonts w:ascii="Times New Roman Bold" w:hAnsi="Times New Roman Bold"/>
          <w:b/>
        </w:rPr>
        <w:t xml:space="preserve"> From the </w:t>
      </w:r>
      <w:proofErr w:type="spellStart"/>
      <w:r>
        <w:rPr>
          <w:rFonts w:ascii="Times New Roman Bold" w:hAnsi="Times New Roman Bold"/>
          <w:b/>
        </w:rPr>
        <w:t>ERF</w:t>
      </w:r>
      <w:proofErr w:type="spellEnd"/>
      <w:r>
        <w:rPr>
          <w:rFonts w:ascii="Times New Roman Bold" w:hAnsi="Times New Roman Bold"/>
          <w:b/>
        </w:rPr>
        <w:t xml:space="preserve"> </w:t>
      </w:r>
      <w:r w:rsidR="00AD7C3A">
        <w:rPr>
          <w:rFonts w:ascii="Times New Roman Bold" w:hAnsi="Times New Roman Bold"/>
          <w:b/>
        </w:rPr>
        <w:tab/>
      </w:r>
      <w:r>
        <w:rPr>
          <w:rFonts w:ascii="Times New Roman Bold" w:hAnsi="Times New Roman Bold"/>
          <w:b/>
        </w:rPr>
        <w:t xml:space="preserve">Test </w:t>
      </w:r>
      <w:r w:rsidR="00375131">
        <w:rPr>
          <w:rFonts w:ascii="Times New Roman Bold" w:hAnsi="Times New Roman Bold"/>
          <w:b/>
        </w:rPr>
        <w:t xml:space="preserve">Year </w:t>
      </w:r>
      <w:r w:rsidR="0062444A">
        <w:rPr>
          <w:rFonts w:ascii="Times New Roman Bold" w:hAnsi="Times New Roman Bold"/>
          <w:b/>
        </w:rPr>
        <w:t>Cost of Service Material</w:t>
      </w:r>
      <w:r w:rsidR="00BD5487">
        <w:rPr>
          <w:rFonts w:ascii="Times New Roman Bold" w:hAnsi="Times New Roman Bold"/>
          <w:b/>
        </w:rPr>
        <w:t>,</w:t>
      </w:r>
      <w:r>
        <w:rPr>
          <w:rFonts w:ascii="Times New Roman Bold" w:hAnsi="Times New Roman Bold"/>
          <w:b/>
        </w:rPr>
        <w:t xml:space="preserve"> Abnormal and Non-recurring </w:t>
      </w:r>
      <w:r w:rsidR="00AD7C3A">
        <w:rPr>
          <w:rFonts w:ascii="Times New Roman Bold" w:hAnsi="Times New Roman Bold"/>
          <w:b/>
        </w:rPr>
        <w:tab/>
      </w:r>
      <w:r>
        <w:rPr>
          <w:rFonts w:ascii="Times New Roman Bold" w:hAnsi="Times New Roman Bold"/>
          <w:b/>
        </w:rPr>
        <w:t>T</w:t>
      </w:r>
      <w:r w:rsidRPr="00F5141E">
        <w:rPr>
          <w:rFonts w:ascii="Times New Roman Bold" w:hAnsi="Times New Roman Bold"/>
          <w:b/>
        </w:rPr>
        <w:t>ransactions</w:t>
      </w:r>
      <w:r>
        <w:t>.</w:t>
      </w:r>
    </w:p>
    <w:p w:rsidR="00F5141E" w:rsidRDefault="00F5141E" w:rsidP="00AC0D7F">
      <w:pPr>
        <w:ind w:left="720" w:hanging="720"/>
      </w:pPr>
    </w:p>
    <w:p w:rsidR="00F5141E" w:rsidRDefault="00F5141E" w:rsidP="00250E68">
      <w:pPr>
        <w:spacing w:line="480" w:lineRule="auto"/>
        <w:ind w:left="720" w:hanging="720"/>
      </w:pPr>
      <w:r>
        <w:rPr>
          <w:b/>
        </w:rPr>
        <w:t>Q:</w:t>
      </w:r>
      <w:r>
        <w:rPr>
          <w:b/>
        </w:rPr>
        <w:tab/>
        <w:t xml:space="preserve">Please continue by discussing your second modification to Staff’s </w:t>
      </w:r>
      <w:proofErr w:type="spellStart"/>
      <w:r>
        <w:rPr>
          <w:b/>
        </w:rPr>
        <w:t>ERF</w:t>
      </w:r>
      <w:proofErr w:type="spellEnd"/>
      <w:r>
        <w:rPr>
          <w:b/>
        </w:rPr>
        <w:t xml:space="preserve"> proposal.</w:t>
      </w:r>
    </w:p>
    <w:p w:rsidR="00F5141E" w:rsidRDefault="00F5141E" w:rsidP="00250E68">
      <w:pPr>
        <w:spacing w:line="480" w:lineRule="auto"/>
        <w:ind w:left="720" w:hanging="720"/>
      </w:pPr>
      <w:r>
        <w:t>A:</w:t>
      </w:r>
      <w:r>
        <w:tab/>
      </w:r>
      <w:r w:rsidR="00585997">
        <w:t>My second recommendation is t</w:t>
      </w:r>
      <w:r>
        <w:t xml:space="preserve">o require PacifiCorp to provide evidence that abnormal and non-recurring events have been eliminated from the </w:t>
      </w:r>
      <w:proofErr w:type="spellStart"/>
      <w:r>
        <w:t>ERF</w:t>
      </w:r>
      <w:proofErr w:type="spellEnd"/>
      <w:r>
        <w:t xml:space="preserve"> test year results of operations</w:t>
      </w:r>
      <w:r w:rsidR="00585997">
        <w:t xml:space="preserve">. </w:t>
      </w:r>
      <w:r w:rsidR="00AD7C3A">
        <w:t xml:space="preserve"> </w:t>
      </w:r>
      <w:r w:rsidR="00585997">
        <w:t xml:space="preserve">This recommendation </w:t>
      </w:r>
      <w:r w:rsidR="00C053FA">
        <w:t>represents a filing requirement intended to streamline and assist in “e</w:t>
      </w:r>
      <w:r w:rsidR="00585997">
        <w:t xml:space="preserve">xpediting” the review process, rather than a true “modification” to Staff’s </w:t>
      </w:r>
      <w:proofErr w:type="spellStart"/>
      <w:r w:rsidR="00585997">
        <w:t>ERF</w:t>
      </w:r>
      <w:proofErr w:type="spellEnd"/>
      <w:r w:rsidR="00585997">
        <w:t xml:space="preserve"> proposal.</w:t>
      </w:r>
    </w:p>
    <w:p w:rsidR="0062444A" w:rsidRDefault="0062444A" w:rsidP="00250E68">
      <w:pPr>
        <w:spacing w:line="480" w:lineRule="auto"/>
        <w:ind w:left="720" w:hanging="720"/>
        <w:rPr>
          <w:b/>
        </w:rPr>
      </w:pPr>
      <w:r>
        <w:rPr>
          <w:b/>
        </w:rPr>
        <w:t>Q:</w:t>
      </w:r>
      <w:r>
        <w:rPr>
          <w:b/>
        </w:rPr>
        <w:tab/>
        <w:t xml:space="preserve">Are </w:t>
      </w:r>
      <w:proofErr w:type="spellStart"/>
      <w:r>
        <w:rPr>
          <w:b/>
        </w:rPr>
        <w:t>CBRs</w:t>
      </w:r>
      <w:proofErr w:type="spellEnd"/>
      <w:r>
        <w:rPr>
          <w:b/>
        </w:rPr>
        <w:t xml:space="preserve"> required to eliminate material abnormal and non-recurring events or items?</w:t>
      </w:r>
    </w:p>
    <w:p w:rsidR="0062444A" w:rsidRDefault="0062444A" w:rsidP="00250E68">
      <w:pPr>
        <w:spacing w:line="480" w:lineRule="auto"/>
        <w:ind w:left="720" w:hanging="720"/>
      </w:pPr>
      <w:r>
        <w:t>A:</w:t>
      </w:r>
      <w:r>
        <w:tab/>
        <w:t xml:space="preserve">Yes.  As required by WAC 480-100-257 (1) (b), </w:t>
      </w:r>
      <w:r w:rsidR="005E0FE3">
        <w:t xml:space="preserve">a </w:t>
      </w:r>
      <w:r>
        <w:t>Commission Basis Report</w:t>
      </w:r>
      <w:r w:rsidR="006F4DD7">
        <w:t>, which</w:t>
      </w:r>
      <w:r w:rsidR="005E0FE3">
        <w:t xml:space="preserve"> is intended</w:t>
      </w:r>
      <w:r w:rsidR="006F4DD7">
        <w:t xml:space="preserve"> to become the underlying ratemaking vehicle in the </w:t>
      </w:r>
      <w:proofErr w:type="spellStart"/>
      <w:r w:rsidR="006F4DD7">
        <w:t>ERF</w:t>
      </w:r>
      <w:proofErr w:type="spellEnd"/>
      <w:r w:rsidR="006F4DD7">
        <w:t xml:space="preserve"> process,</w:t>
      </w:r>
      <w:r>
        <w:t xml:space="preserve"> must include:</w:t>
      </w:r>
    </w:p>
    <w:p w:rsidR="0062444A" w:rsidRDefault="0062444A" w:rsidP="00250E68">
      <w:pPr>
        <w:spacing w:after="240"/>
        <w:ind w:left="1440" w:right="720"/>
      </w:pPr>
      <w:r>
        <w:lastRenderedPageBreak/>
        <w:t xml:space="preserve">Results of operations adjusted for any material out-of-period, </w:t>
      </w:r>
      <w:proofErr w:type="spellStart"/>
      <w:r>
        <w:t>nonoperat</w:t>
      </w:r>
      <w:r w:rsidR="006F4DD7">
        <w:t>ing</w:t>
      </w:r>
      <w:proofErr w:type="spellEnd"/>
      <w:r w:rsidR="006F4DD7">
        <w:t>, nonrecurring, and extraord</w:t>
      </w:r>
      <w:r>
        <w:t>inary items or any other item that materially distorts reporting period earnings and rate base</w:t>
      </w:r>
      <w:r w:rsidR="005E0FE3">
        <w:t>.</w:t>
      </w:r>
    </w:p>
    <w:p w:rsidR="00901175" w:rsidRDefault="006F4DD7" w:rsidP="00250E68">
      <w:pPr>
        <w:spacing w:line="480" w:lineRule="auto"/>
        <w:ind w:left="720" w:right="432" w:hanging="720"/>
      </w:pPr>
      <w:r>
        <w:tab/>
      </w:r>
      <w:r w:rsidR="0062444A">
        <w:t xml:space="preserve">Thus, any utility making a </w:t>
      </w:r>
      <w:proofErr w:type="spellStart"/>
      <w:r w:rsidR="0062444A">
        <w:t>CBR</w:t>
      </w:r>
      <w:proofErr w:type="spellEnd"/>
      <w:r w:rsidR="0062444A">
        <w:t xml:space="preserve"> filing is already</w:t>
      </w:r>
      <w:r w:rsidR="00901175">
        <w:t xml:space="preserve"> expected to eliminate material “extraordinary” and “nonrecur</w:t>
      </w:r>
      <w:r>
        <w:t>ring” events and transaction.  Therefore, m</w:t>
      </w:r>
      <w:r w:rsidR="00901175">
        <w:t xml:space="preserve">y second recommended </w:t>
      </w:r>
      <w:proofErr w:type="spellStart"/>
      <w:r w:rsidR="00901175">
        <w:t>ERF</w:t>
      </w:r>
      <w:proofErr w:type="spellEnd"/>
      <w:r w:rsidR="00901175">
        <w:t xml:space="preserve"> modification is simply a filing requirement that would have the utility applicant provide evidence demonstrating that it had undertaken a review, search or audit to identify and quantify for removal</w:t>
      </w:r>
      <w:r w:rsidR="00EB6947">
        <w:t xml:space="preserve"> of</w:t>
      </w:r>
      <w:r w:rsidR="00901175">
        <w:t xml:space="preserve"> any material out-of-period, non</w:t>
      </w:r>
      <w:r w:rsidR="00974FCC">
        <w:t>-</w:t>
      </w:r>
      <w:r w:rsidR="00901175">
        <w:t xml:space="preserve">operating, nonrecurring and extraordinary items when preparing its </w:t>
      </w:r>
      <w:proofErr w:type="spellStart"/>
      <w:r w:rsidR="00901175">
        <w:t>CBR</w:t>
      </w:r>
      <w:proofErr w:type="spellEnd"/>
      <w:r w:rsidR="00901175">
        <w:t xml:space="preserve">.  Since the identification and quantification tasks are already a </w:t>
      </w:r>
      <w:proofErr w:type="spellStart"/>
      <w:r w:rsidR="00901175">
        <w:t>CBR</w:t>
      </w:r>
      <w:proofErr w:type="spellEnd"/>
      <w:r w:rsidR="00901175">
        <w:t xml:space="preserve"> requirement, the filing requirement embodied in my second modification should represent a fairly modest effort on the utility’s part to simply provide documentation of the processes and exercises undertaken in such identification and quantification effort that would significantly assist in the Staff and </w:t>
      </w:r>
      <w:proofErr w:type="spellStart"/>
      <w:r w:rsidR="00901175">
        <w:t>intervenors</w:t>
      </w:r>
      <w:proofErr w:type="spellEnd"/>
      <w:r w:rsidR="00901175">
        <w:t>’</w:t>
      </w:r>
      <w:r>
        <w:t xml:space="preserve"> </w:t>
      </w:r>
      <w:proofErr w:type="spellStart"/>
      <w:r>
        <w:t>ERF</w:t>
      </w:r>
      <w:proofErr w:type="spellEnd"/>
      <w:r w:rsidR="00901175">
        <w:t xml:space="preserve"> review efforts.</w:t>
      </w:r>
    </w:p>
    <w:p w:rsidR="006F4DD7" w:rsidRDefault="00901175" w:rsidP="00732AB5">
      <w:pPr>
        <w:numPr>
          <w:ilvl w:val="0"/>
          <w:numId w:val="16"/>
        </w:numPr>
        <w:tabs>
          <w:tab w:val="left" w:pos="1080"/>
        </w:tabs>
        <w:ind w:left="720" w:firstLine="0"/>
        <w:rPr>
          <w:b/>
        </w:rPr>
      </w:pPr>
      <w:r>
        <w:rPr>
          <w:b/>
        </w:rPr>
        <w:t>Revenue Relief to be G</w:t>
      </w:r>
      <w:r w:rsidRPr="00901175">
        <w:rPr>
          <w:b/>
        </w:rPr>
        <w:t>rant</w:t>
      </w:r>
      <w:r>
        <w:rPr>
          <w:b/>
        </w:rPr>
        <w:t xml:space="preserve">ed Through the </w:t>
      </w:r>
      <w:proofErr w:type="spellStart"/>
      <w:r>
        <w:rPr>
          <w:b/>
        </w:rPr>
        <w:t>ERF</w:t>
      </w:r>
      <w:proofErr w:type="spellEnd"/>
      <w:r>
        <w:rPr>
          <w:b/>
        </w:rPr>
        <w:t xml:space="preserve"> Process Should be Limited </w:t>
      </w:r>
      <w:r w:rsidR="00732AB5">
        <w:rPr>
          <w:b/>
        </w:rPr>
        <w:tab/>
      </w:r>
      <w:r>
        <w:rPr>
          <w:b/>
        </w:rPr>
        <w:t>to N</w:t>
      </w:r>
      <w:r w:rsidR="00BD5487">
        <w:rPr>
          <w:b/>
        </w:rPr>
        <w:t>o More Than Three Percent</w:t>
      </w:r>
      <w:r>
        <w:rPr>
          <w:b/>
        </w:rPr>
        <w:t xml:space="preserve"> Above Existing R</w:t>
      </w:r>
      <w:r w:rsidR="006F4DD7">
        <w:rPr>
          <w:b/>
        </w:rPr>
        <w:t>ates</w:t>
      </w:r>
    </w:p>
    <w:p w:rsidR="006F4DD7" w:rsidRDefault="006F4DD7" w:rsidP="00AC0D7F">
      <w:pPr>
        <w:ind w:left="720"/>
        <w:rPr>
          <w:b/>
        </w:rPr>
      </w:pPr>
    </w:p>
    <w:p w:rsidR="00901175" w:rsidRPr="006F4DD7" w:rsidRDefault="00901175" w:rsidP="00250E68">
      <w:pPr>
        <w:spacing w:line="480" w:lineRule="auto"/>
        <w:ind w:left="720" w:hanging="720"/>
        <w:rPr>
          <w:b/>
        </w:rPr>
      </w:pPr>
      <w:r w:rsidRPr="006F4DD7">
        <w:rPr>
          <w:b/>
          <w:bCs/>
        </w:rPr>
        <w:t>Q:</w:t>
      </w:r>
      <w:r w:rsidRPr="006F4DD7">
        <w:rPr>
          <w:b/>
          <w:bCs/>
        </w:rPr>
        <w:tab/>
        <w:t xml:space="preserve">Please expand upon your third proposed modification or expansion of Staff’s </w:t>
      </w:r>
      <w:proofErr w:type="spellStart"/>
      <w:r w:rsidRPr="006F4DD7">
        <w:rPr>
          <w:b/>
          <w:bCs/>
        </w:rPr>
        <w:t>ERF</w:t>
      </w:r>
      <w:proofErr w:type="spellEnd"/>
      <w:r w:rsidRPr="006F4DD7">
        <w:rPr>
          <w:b/>
          <w:bCs/>
        </w:rPr>
        <w:t xml:space="preserve"> proposal?</w:t>
      </w:r>
    </w:p>
    <w:p w:rsidR="00901175" w:rsidRDefault="00901175" w:rsidP="00250E68">
      <w:pPr>
        <w:pStyle w:val="BodyTextIndent"/>
        <w:spacing w:line="480" w:lineRule="auto"/>
        <w:rPr>
          <w:bCs/>
          <w:szCs w:val="24"/>
        </w:rPr>
      </w:pPr>
      <w:r>
        <w:rPr>
          <w:bCs/>
          <w:szCs w:val="24"/>
        </w:rPr>
        <w:t>A:</w:t>
      </w:r>
      <w:r>
        <w:rPr>
          <w:bCs/>
          <w:szCs w:val="24"/>
        </w:rPr>
        <w:tab/>
      </w:r>
      <w:r w:rsidR="00A9407B">
        <w:rPr>
          <w:bCs/>
          <w:szCs w:val="24"/>
        </w:rPr>
        <w:t xml:space="preserve">As noted within Ms. Reynolds’ testimony, Staff is supportive of an </w:t>
      </w:r>
      <w:proofErr w:type="spellStart"/>
      <w:r w:rsidR="00A9407B">
        <w:rPr>
          <w:bCs/>
          <w:szCs w:val="24"/>
        </w:rPr>
        <w:t>ERF</w:t>
      </w:r>
      <w:proofErr w:type="spellEnd"/>
      <w:r w:rsidR="00A9407B">
        <w:rPr>
          <w:bCs/>
          <w:szCs w:val="24"/>
        </w:rPr>
        <w:t xml:space="preserve"> procedure even if the request exceeds three percent– as evidenced by her recommendation that the more detailed filing requirements that are applicable to general rate case applications pursuant to WAC 480-07-510 </w:t>
      </w:r>
      <w:r w:rsidR="006F4DD7">
        <w:rPr>
          <w:bCs/>
          <w:szCs w:val="24"/>
        </w:rPr>
        <w:t xml:space="preserve">should </w:t>
      </w:r>
      <w:r w:rsidR="00A9407B">
        <w:rPr>
          <w:bCs/>
          <w:szCs w:val="24"/>
        </w:rPr>
        <w:t xml:space="preserve">be waived with an </w:t>
      </w:r>
      <w:proofErr w:type="spellStart"/>
      <w:r w:rsidR="00A9407B">
        <w:rPr>
          <w:bCs/>
          <w:szCs w:val="24"/>
        </w:rPr>
        <w:t>ERF</w:t>
      </w:r>
      <w:proofErr w:type="spellEnd"/>
      <w:r w:rsidR="00A9407B">
        <w:rPr>
          <w:bCs/>
          <w:szCs w:val="24"/>
        </w:rPr>
        <w:t>.</w:t>
      </w:r>
      <w:r w:rsidR="00546AAC">
        <w:rPr>
          <w:bCs/>
          <w:szCs w:val="24"/>
        </w:rPr>
        <w:t xml:space="preserve"> In </w:t>
      </w:r>
      <w:r w:rsidR="00546AAC">
        <w:rPr>
          <w:bCs/>
          <w:szCs w:val="24"/>
        </w:rPr>
        <w:lastRenderedPageBreak/>
        <w:t xml:space="preserve">contrast, I recommend that that the amount of rate relief to be granted through the </w:t>
      </w:r>
      <w:proofErr w:type="spellStart"/>
      <w:r w:rsidR="008069E0">
        <w:rPr>
          <w:bCs/>
          <w:szCs w:val="24"/>
        </w:rPr>
        <w:t>ERF</w:t>
      </w:r>
      <w:proofErr w:type="spellEnd"/>
      <w:r w:rsidR="008069E0">
        <w:rPr>
          <w:bCs/>
          <w:szCs w:val="24"/>
        </w:rPr>
        <w:t xml:space="preserve"> process to be limited to 3 percent.</w:t>
      </w:r>
    </w:p>
    <w:p w:rsidR="00A9407B" w:rsidRDefault="00A9407B" w:rsidP="00250E68">
      <w:pPr>
        <w:pStyle w:val="BodyTextIndent"/>
        <w:spacing w:line="480" w:lineRule="auto"/>
        <w:rPr>
          <w:b/>
          <w:bCs/>
          <w:szCs w:val="24"/>
        </w:rPr>
      </w:pPr>
      <w:r>
        <w:rPr>
          <w:b/>
          <w:bCs/>
          <w:szCs w:val="24"/>
        </w:rPr>
        <w:t>Q:</w:t>
      </w:r>
      <w:r>
        <w:rPr>
          <w:b/>
          <w:bCs/>
          <w:szCs w:val="24"/>
        </w:rPr>
        <w:tab/>
        <w:t xml:space="preserve">Please state the reasons why an </w:t>
      </w:r>
      <w:proofErr w:type="spellStart"/>
      <w:r>
        <w:rPr>
          <w:b/>
          <w:bCs/>
          <w:szCs w:val="24"/>
        </w:rPr>
        <w:t>ERF</w:t>
      </w:r>
      <w:proofErr w:type="spellEnd"/>
      <w:r>
        <w:rPr>
          <w:b/>
          <w:bCs/>
          <w:szCs w:val="24"/>
        </w:rPr>
        <w:t xml:space="preserve"> should be limited to three perce</w:t>
      </w:r>
      <w:r w:rsidR="008069E0">
        <w:rPr>
          <w:b/>
          <w:bCs/>
          <w:szCs w:val="24"/>
        </w:rPr>
        <w:t>nt.</w:t>
      </w:r>
    </w:p>
    <w:p w:rsidR="00A9407B" w:rsidRDefault="00DC1ECF" w:rsidP="00250E68">
      <w:pPr>
        <w:pStyle w:val="BodyTextIndent"/>
        <w:spacing w:line="480" w:lineRule="auto"/>
        <w:rPr>
          <w:bCs/>
          <w:szCs w:val="24"/>
        </w:rPr>
      </w:pPr>
      <w:r>
        <w:rPr>
          <w:bCs/>
          <w:szCs w:val="24"/>
        </w:rPr>
        <w:t>A:</w:t>
      </w:r>
      <w:r>
        <w:rPr>
          <w:bCs/>
          <w:szCs w:val="24"/>
        </w:rPr>
        <w:tab/>
        <w:t xml:space="preserve">Very simply, the </w:t>
      </w:r>
      <w:proofErr w:type="spellStart"/>
      <w:r>
        <w:rPr>
          <w:bCs/>
          <w:szCs w:val="24"/>
        </w:rPr>
        <w:t>ERF</w:t>
      </w:r>
      <w:proofErr w:type="spellEnd"/>
      <w:r>
        <w:rPr>
          <w:bCs/>
          <w:szCs w:val="24"/>
        </w:rPr>
        <w:t xml:space="preserve"> process is a unique process with a design that specifically envisions a shorter and less thorough review process.  It</w:t>
      </w:r>
      <w:r w:rsidR="005E0FE3">
        <w:rPr>
          <w:bCs/>
          <w:szCs w:val="24"/>
        </w:rPr>
        <w:t xml:space="preserve"> is intended</w:t>
      </w:r>
      <w:r>
        <w:rPr>
          <w:bCs/>
          <w:szCs w:val="24"/>
        </w:rPr>
        <w:t xml:space="preserve"> to address regulatory lag, fairly continuous </w:t>
      </w:r>
      <w:r w:rsidR="005E0FE3">
        <w:rPr>
          <w:bCs/>
          <w:szCs w:val="24"/>
        </w:rPr>
        <w:t>under earnings, as well as rising</w:t>
      </w:r>
      <w:r>
        <w:rPr>
          <w:bCs/>
          <w:szCs w:val="24"/>
        </w:rPr>
        <w:t xml:space="preserve"> rate case costs and </w:t>
      </w:r>
      <w:r w:rsidR="005E0FE3">
        <w:rPr>
          <w:bCs/>
          <w:szCs w:val="24"/>
        </w:rPr>
        <w:t xml:space="preserve">rate case </w:t>
      </w:r>
      <w:r>
        <w:rPr>
          <w:bCs/>
          <w:szCs w:val="24"/>
        </w:rPr>
        <w:t>fatigue that are a fall</w:t>
      </w:r>
      <w:r w:rsidR="006F4DD7">
        <w:rPr>
          <w:bCs/>
          <w:szCs w:val="24"/>
        </w:rPr>
        <w:t xml:space="preserve"> out of annual or nearly</w:t>
      </w:r>
      <w:r>
        <w:rPr>
          <w:bCs/>
          <w:szCs w:val="24"/>
        </w:rPr>
        <w:t xml:space="preserve">-annual full blown general rate case reviews.  While there may be benefits </w:t>
      </w:r>
      <w:r w:rsidR="006F4DD7">
        <w:rPr>
          <w:bCs/>
          <w:szCs w:val="24"/>
        </w:rPr>
        <w:t xml:space="preserve">of the </w:t>
      </w:r>
      <w:proofErr w:type="spellStart"/>
      <w:r w:rsidR="006F4DD7">
        <w:rPr>
          <w:bCs/>
          <w:szCs w:val="24"/>
        </w:rPr>
        <w:t>ERF</w:t>
      </w:r>
      <w:proofErr w:type="spellEnd"/>
      <w:r w:rsidR="006F4DD7">
        <w:rPr>
          <w:bCs/>
          <w:szCs w:val="24"/>
        </w:rPr>
        <w:t xml:space="preserve"> process </w:t>
      </w:r>
      <w:r>
        <w:rPr>
          <w:bCs/>
          <w:szCs w:val="24"/>
        </w:rPr>
        <w:t>to consumers a</w:t>
      </w:r>
      <w:r w:rsidR="005E0FE3">
        <w:rPr>
          <w:bCs/>
          <w:szCs w:val="24"/>
        </w:rPr>
        <w:t xml:space="preserve">s well as utility applicants, implementation of an </w:t>
      </w:r>
      <w:proofErr w:type="spellStart"/>
      <w:r w:rsidR="005E0FE3">
        <w:rPr>
          <w:bCs/>
          <w:szCs w:val="24"/>
        </w:rPr>
        <w:t>ERF</w:t>
      </w:r>
      <w:proofErr w:type="spellEnd"/>
      <w:r>
        <w:rPr>
          <w:bCs/>
          <w:szCs w:val="24"/>
        </w:rPr>
        <w:t xml:space="preserve"> does nonetheless represent a concession from the consumers</w:t>
      </w:r>
      <w:r w:rsidR="00C13377">
        <w:rPr>
          <w:bCs/>
          <w:szCs w:val="24"/>
        </w:rPr>
        <w:t>’</w:t>
      </w:r>
      <w:r>
        <w:rPr>
          <w:bCs/>
          <w:szCs w:val="24"/>
        </w:rPr>
        <w:t xml:space="preserve"> perspective </w:t>
      </w:r>
      <w:r w:rsidR="00764F9B">
        <w:rPr>
          <w:bCs/>
          <w:szCs w:val="24"/>
        </w:rPr>
        <w:t xml:space="preserve">because </w:t>
      </w:r>
      <w:r>
        <w:rPr>
          <w:bCs/>
          <w:szCs w:val="24"/>
        </w:rPr>
        <w:t xml:space="preserve">the typical scrutiny afforded a general rate application is relaxed </w:t>
      </w:r>
      <w:r w:rsidR="00764F9B">
        <w:rPr>
          <w:bCs/>
          <w:szCs w:val="24"/>
        </w:rPr>
        <w:t>and diminished</w:t>
      </w:r>
      <w:r>
        <w:rPr>
          <w:bCs/>
          <w:szCs w:val="24"/>
        </w:rPr>
        <w:t xml:space="preserve">.  </w:t>
      </w:r>
      <w:r w:rsidR="00C13377">
        <w:rPr>
          <w:bCs/>
          <w:szCs w:val="24"/>
        </w:rPr>
        <w:t>In light of such</w:t>
      </w:r>
      <w:r w:rsidR="0041266F">
        <w:rPr>
          <w:bCs/>
          <w:szCs w:val="24"/>
        </w:rPr>
        <w:t xml:space="preserve"> a</w:t>
      </w:r>
      <w:r w:rsidR="00C13377">
        <w:rPr>
          <w:bCs/>
          <w:szCs w:val="24"/>
        </w:rPr>
        <w:t xml:space="preserve"> noted concession, I believe it is reasonable that the </w:t>
      </w:r>
      <w:proofErr w:type="spellStart"/>
      <w:r w:rsidR="00C13377">
        <w:rPr>
          <w:bCs/>
          <w:szCs w:val="24"/>
        </w:rPr>
        <w:t>ERF</w:t>
      </w:r>
      <w:proofErr w:type="spellEnd"/>
      <w:r w:rsidR="00C13377">
        <w:rPr>
          <w:bCs/>
          <w:szCs w:val="24"/>
        </w:rPr>
        <w:t xml:space="preserve"> process be limited </w:t>
      </w:r>
      <w:r w:rsidR="006F4DD7">
        <w:rPr>
          <w:bCs/>
          <w:szCs w:val="24"/>
        </w:rPr>
        <w:t xml:space="preserve">to </w:t>
      </w:r>
      <w:r w:rsidR="00C13377">
        <w:rPr>
          <w:bCs/>
          <w:szCs w:val="24"/>
        </w:rPr>
        <w:t xml:space="preserve">addressing less significant needs for rate relief, or more specifically, </w:t>
      </w:r>
      <w:r w:rsidR="00B07BE9">
        <w:rPr>
          <w:bCs/>
          <w:szCs w:val="24"/>
        </w:rPr>
        <w:t xml:space="preserve">that the </w:t>
      </w:r>
      <w:proofErr w:type="spellStart"/>
      <w:r w:rsidR="00B07BE9">
        <w:rPr>
          <w:bCs/>
          <w:szCs w:val="24"/>
        </w:rPr>
        <w:t>ERF</w:t>
      </w:r>
      <w:proofErr w:type="spellEnd"/>
      <w:r w:rsidR="00B07BE9">
        <w:rPr>
          <w:bCs/>
          <w:szCs w:val="24"/>
        </w:rPr>
        <w:t xml:space="preserve"> process should</w:t>
      </w:r>
      <w:r w:rsidR="00C13377">
        <w:rPr>
          <w:bCs/>
          <w:szCs w:val="24"/>
        </w:rPr>
        <w:t xml:space="preserve"> limit </w:t>
      </w:r>
      <w:r w:rsidR="005E0FE3">
        <w:rPr>
          <w:bCs/>
          <w:szCs w:val="24"/>
        </w:rPr>
        <w:t>the applicant’s</w:t>
      </w:r>
      <w:r w:rsidR="00B07BE9">
        <w:rPr>
          <w:bCs/>
          <w:szCs w:val="24"/>
        </w:rPr>
        <w:t xml:space="preserve"> increases</w:t>
      </w:r>
      <w:r w:rsidR="00C13377">
        <w:rPr>
          <w:bCs/>
          <w:szCs w:val="24"/>
        </w:rPr>
        <w:t xml:space="preserve"> to n</w:t>
      </w:r>
      <w:r w:rsidR="008069E0">
        <w:rPr>
          <w:bCs/>
          <w:szCs w:val="24"/>
        </w:rPr>
        <w:t>o more than three percent</w:t>
      </w:r>
      <w:r w:rsidR="00C13377">
        <w:rPr>
          <w:bCs/>
          <w:szCs w:val="24"/>
        </w:rPr>
        <w:t xml:space="preserve"> of existing base rates. </w:t>
      </w:r>
    </w:p>
    <w:p w:rsidR="00BF5CBC" w:rsidRDefault="005F3C6F" w:rsidP="00AC0D7F">
      <w:pPr>
        <w:pStyle w:val="BodyTextIndent"/>
        <w:spacing w:line="480" w:lineRule="auto"/>
        <w:rPr>
          <w:bCs/>
          <w:szCs w:val="24"/>
        </w:rPr>
      </w:pPr>
      <w:r>
        <w:rPr>
          <w:bCs/>
          <w:szCs w:val="24"/>
        </w:rPr>
        <w:tab/>
      </w:r>
      <w:r w:rsidR="00732AB5">
        <w:rPr>
          <w:bCs/>
          <w:szCs w:val="24"/>
        </w:rPr>
        <w:tab/>
      </w:r>
      <w:r>
        <w:rPr>
          <w:bCs/>
          <w:szCs w:val="24"/>
        </w:rPr>
        <w:t>Further, u</w:t>
      </w:r>
      <w:r w:rsidR="002B4010">
        <w:rPr>
          <w:bCs/>
          <w:szCs w:val="24"/>
        </w:rPr>
        <w:t>nder the Commission rules, any increase over 3 percent constitutes a “general rate case.”</w:t>
      </w:r>
      <w:r w:rsidR="002B4010">
        <w:rPr>
          <w:rStyle w:val="FootnoteReference"/>
          <w:bCs/>
          <w:szCs w:val="24"/>
        </w:rPr>
        <w:footnoteReference w:id="4"/>
      </w:r>
      <w:r w:rsidR="002B4010">
        <w:rPr>
          <w:bCs/>
          <w:szCs w:val="24"/>
        </w:rPr>
        <w:t xml:space="preserve"> </w:t>
      </w:r>
      <w:r w:rsidR="00732AB5">
        <w:rPr>
          <w:bCs/>
          <w:szCs w:val="24"/>
        </w:rPr>
        <w:t xml:space="preserve"> </w:t>
      </w:r>
      <w:r w:rsidR="002B4010">
        <w:rPr>
          <w:bCs/>
          <w:szCs w:val="24"/>
        </w:rPr>
        <w:t xml:space="preserve">An expedited rate proceeding, by its very nature, is </w:t>
      </w:r>
      <w:r w:rsidR="005D5233">
        <w:rPr>
          <w:bCs/>
          <w:szCs w:val="24"/>
        </w:rPr>
        <w:t xml:space="preserve">intended to be a limited update of costs with an accelerated review period. </w:t>
      </w:r>
      <w:r w:rsidR="00732AB5">
        <w:rPr>
          <w:bCs/>
          <w:szCs w:val="24"/>
        </w:rPr>
        <w:t xml:space="preserve"> </w:t>
      </w:r>
      <w:r w:rsidR="005D5233">
        <w:rPr>
          <w:bCs/>
          <w:szCs w:val="24"/>
        </w:rPr>
        <w:t xml:space="preserve">If the </w:t>
      </w:r>
      <w:proofErr w:type="spellStart"/>
      <w:r w:rsidR="005D5233">
        <w:rPr>
          <w:bCs/>
          <w:szCs w:val="24"/>
        </w:rPr>
        <w:t>ERF</w:t>
      </w:r>
      <w:proofErr w:type="spellEnd"/>
      <w:r w:rsidR="005D5233">
        <w:rPr>
          <w:bCs/>
          <w:szCs w:val="24"/>
        </w:rPr>
        <w:t xml:space="preserve"> were to raise</w:t>
      </w:r>
      <w:r w:rsidR="008069E0">
        <w:rPr>
          <w:bCs/>
          <w:szCs w:val="24"/>
        </w:rPr>
        <w:t xml:space="preserve"> rates by 3 percent</w:t>
      </w:r>
      <w:r w:rsidR="00F00A72">
        <w:rPr>
          <w:bCs/>
          <w:szCs w:val="24"/>
        </w:rPr>
        <w:t xml:space="preserve"> or more, by rule, it would constitute a general rate case which would require substantial additional evidence and a comprehensive review by the Commission of earnings, revenues and expenses, including a determination of rate of r</w:t>
      </w:r>
      <w:r w:rsidR="0041266F">
        <w:rPr>
          <w:bCs/>
          <w:szCs w:val="24"/>
        </w:rPr>
        <w:t xml:space="preserve">eturn, before increasing rates.  </w:t>
      </w:r>
      <w:r w:rsidR="00862F2E">
        <w:rPr>
          <w:bCs/>
          <w:szCs w:val="24"/>
        </w:rPr>
        <w:t>These requirements are essential to the Commission’s duty to regulate utilities in the public interest.</w:t>
      </w:r>
    </w:p>
    <w:p w:rsidR="001618A5" w:rsidRDefault="001618A5" w:rsidP="00732AB5">
      <w:pPr>
        <w:pStyle w:val="BodyTextIndent"/>
        <w:tabs>
          <w:tab w:val="left" w:pos="1080"/>
        </w:tabs>
        <w:spacing w:line="240" w:lineRule="auto"/>
        <w:ind w:firstLine="0"/>
        <w:rPr>
          <w:b/>
        </w:rPr>
      </w:pPr>
      <w:r w:rsidRPr="001618A5">
        <w:rPr>
          <w:b/>
        </w:rPr>
        <w:lastRenderedPageBreak/>
        <w:t>D.</w:t>
      </w:r>
      <w:r w:rsidRPr="001618A5">
        <w:rPr>
          <w:b/>
        </w:rPr>
        <w:tab/>
      </w:r>
      <w:r>
        <w:rPr>
          <w:b/>
        </w:rPr>
        <w:t xml:space="preserve">PacifiCorp </w:t>
      </w:r>
      <w:proofErr w:type="gramStart"/>
      <w:r>
        <w:rPr>
          <w:b/>
        </w:rPr>
        <w:t>Should</w:t>
      </w:r>
      <w:proofErr w:type="gramEnd"/>
      <w:r>
        <w:rPr>
          <w:b/>
        </w:rPr>
        <w:t xml:space="preserve"> be Permitted to Develop Rate Base Utilizing E</w:t>
      </w:r>
      <w:r w:rsidRPr="001618A5">
        <w:rPr>
          <w:b/>
        </w:rPr>
        <w:t>nd</w:t>
      </w:r>
      <w:r>
        <w:rPr>
          <w:b/>
        </w:rPr>
        <w:t>-of-</w:t>
      </w:r>
      <w:proofErr w:type="spellStart"/>
      <w:r>
        <w:rPr>
          <w:b/>
        </w:rPr>
        <w:t>ERF</w:t>
      </w:r>
      <w:proofErr w:type="spellEnd"/>
      <w:r>
        <w:rPr>
          <w:b/>
        </w:rPr>
        <w:t>-</w:t>
      </w:r>
      <w:r w:rsidR="00732AB5">
        <w:rPr>
          <w:b/>
        </w:rPr>
        <w:tab/>
      </w:r>
      <w:r>
        <w:rPr>
          <w:b/>
        </w:rPr>
        <w:t>Test-Year V</w:t>
      </w:r>
      <w:r w:rsidRPr="001618A5">
        <w:rPr>
          <w:b/>
        </w:rPr>
        <w:t xml:space="preserve">alues for Plant in Service, Accumulated Depreciation and </w:t>
      </w:r>
      <w:r w:rsidR="00732AB5">
        <w:rPr>
          <w:b/>
        </w:rPr>
        <w:tab/>
      </w:r>
      <w:r w:rsidRPr="001618A5">
        <w:rPr>
          <w:b/>
        </w:rPr>
        <w:t>Accumulated Deferred Income Taxes</w:t>
      </w:r>
    </w:p>
    <w:p w:rsidR="001618A5" w:rsidRDefault="001618A5" w:rsidP="00AC0D7F">
      <w:pPr>
        <w:pStyle w:val="BodyTextIndent"/>
        <w:spacing w:line="240" w:lineRule="auto"/>
        <w:rPr>
          <w:b/>
        </w:rPr>
      </w:pPr>
    </w:p>
    <w:p w:rsidR="001618A5" w:rsidRDefault="001618A5" w:rsidP="00AC0D7F">
      <w:pPr>
        <w:pStyle w:val="BodyTextIndent"/>
        <w:spacing w:line="480" w:lineRule="auto"/>
        <w:rPr>
          <w:b/>
        </w:rPr>
      </w:pPr>
      <w:r>
        <w:rPr>
          <w:b/>
        </w:rPr>
        <w:t>Q:</w:t>
      </w:r>
      <w:r>
        <w:rPr>
          <w:b/>
        </w:rPr>
        <w:tab/>
        <w:t xml:space="preserve">Please expand upon your fourth </w:t>
      </w:r>
      <w:proofErr w:type="spellStart"/>
      <w:r>
        <w:rPr>
          <w:b/>
        </w:rPr>
        <w:t>ERF</w:t>
      </w:r>
      <w:proofErr w:type="spellEnd"/>
      <w:r>
        <w:rPr>
          <w:b/>
        </w:rPr>
        <w:t xml:space="preserve"> proposal that would permit PacifiCorp to develop rate base employing end-of-</w:t>
      </w:r>
      <w:proofErr w:type="spellStart"/>
      <w:r>
        <w:rPr>
          <w:b/>
        </w:rPr>
        <w:t>ERF</w:t>
      </w:r>
      <w:proofErr w:type="spellEnd"/>
      <w:r>
        <w:rPr>
          <w:b/>
        </w:rPr>
        <w:t>-test-year values for the more significant rate base components?</w:t>
      </w:r>
    </w:p>
    <w:p w:rsidR="001618A5" w:rsidRDefault="001618A5" w:rsidP="00AC0D7F">
      <w:pPr>
        <w:pStyle w:val="BodyTextIndent"/>
        <w:spacing w:line="480" w:lineRule="auto"/>
      </w:pPr>
      <w:r>
        <w:t>A:</w:t>
      </w:r>
      <w:r>
        <w:tab/>
        <w:t xml:space="preserve">The rationale for developing rate base employing end-of-test-year values, along with reflecting corollary </w:t>
      </w:r>
      <w:r w:rsidR="00B030A9">
        <w:t>annualizing income statement adjustments</w:t>
      </w:r>
      <w:r w:rsidR="00E052F6">
        <w:t>,</w:t>
      </w:r>
      <w:r w:rsidR="00B030A9">
        <w:t xml:space="preserve"> is set forth within my direct testimony filed in this docket, and accordingly, will be incorporated by reference herein.  </w:t>
      </w:r>
      <w:r w:rsidR="000054A6">
        <w:t>E</w:t>
      </w:r>
      <w:r w:rsidR="00B030A9">
        <w:t xml:space="preserve">nd-of-test-year rate base valuation in conjunction with corollary annualizing income statement adjustments </w:t>
      </w:r>
      <w:r w:rsidR="000054A6">
        <w:t xml:space="preserve">do </w:t>
      </w:r>
      <w:r w:rsidR="00B030A9">
        <w:t xml:space="preserve">not constitute the more typical restating adjustments, </w:t>
      </w:r>
      <w:r w:rsidR="000054A6">
        <w:t xml:space="preserve">and </w:t>
      </w:r>
      <w:r w:rsidR="00414E41">
        <w:t>could arguably be construed to be more in the nature of a “</w:t>
      </w:r>
      <w:proofErr w:type="spellStart"/>
      <w:r w:rsidR="00414E41">
        <w:t>proforma</w:t>
      </w:r>
      <w:proofErr w:type="spellEnd"/>
      <w:r w:rsidR="00414E41">
        <w:t>” adjustment</w:t>
      </w:r>
      <w:r w:rsidR="000054A6">
        <w:t>.  Therefore</w:t>
      </w:r>
      <w:r w:rsidR="00414E41">
        <w:t xml:space="preserve">, </w:t>
      </w:r>
      <w:r w:rsidR="00B030A9">
        <w:t>I am recommending that such condition be specifically established as reasonabl</w:t>
      </w:r>
      <w:r w:rsidR="00E052F6">
        <w:t xml:space="preserve">e in future PacifiCorp </w:t>
      </w:r>
      <w:proofErr w:type="spellStart"/>
      <w:r w:rsidR="00E052F6">
        <w:t>ERF</w:t>
      </w:r>
      <w:proofErr w:type="spellEnd"/>
      <w:r w:rsidR="00B030A9">
        <w:t xml:space="preserve"> proceeding.</w:t>
      </w:r>
    </w:p>
    <w:p w:rsidR="001309E2" w:rsidRDefault="00297192" w:rsidP="00AC0D7F">
      <w:pPr>
        <w:pStyle w:val="BodyTextIndent"/>
        <w:spacing w:line="480" w:lineRule="auto"/>
        <w:rPr>
          <w:b/>
        </w:rPr>
      </w:pPr>
      <w:r>
        <w:rPr>
          <w:b/>
        </w:rPr>
        <w:t>Q:</w:t>
      </w:r>
      <w:r>
        <w:rPr>
          <w:b/>
        </w:rPr>
        <w:tab/>
        <w:t xml:space="preserve">Staff’s </w:t>
      </w:r>
      <w:proofErr w:type="spellStart"/>
      <w:r>
        <w:rPr>
          <w:b/>
        </w:rPr>
        <w:t>ERF</w:t>
      </w:r>
      <w:proofErr w:type="spellEnd"/>
      <w:r>
        <w:rPr>
          <w:b/>
        </w:rPr>
        <w:t xml:space="preserve"> proposal includes one element that consists of “annualizing new rate base additions of the year by allowing a full year of depreciation costs.</w:t>
      </w:r>
      <w:r w:rsidR="000054A6">
        <w:rPr>
          <w:b/>
        </w:rPr>
        <w:t>”</w:t>
      </w:r>
      <w:r>
        <w:rPr>
          <w:rStyle w:val="FootnoteReference"/>
          <w:b/>
        </w:rPr>
        <w:footnoteReference w:id="5"/>
      </w:r>
      <w:r w:rsidR="002422DB">
        <w:rPr>
          <w:b/>
        </w:rPr>
        <w:t xml:space="preserve"> </w:t>
      </w:r>
      <w:r>
        <w:rPr>
          <w:b/>
        </w:rPr>
        <w:t xml:space="preserve"> </w:t>
      </w:r>
      <w:r w:rsidR="001309E2">
        <w:rPr>
          <w:b/>
        </w:rPr>
        <w:t xml:space="preserve">Is this Staff proposal consistent with your end-of-test-year rate base valuation and </w:t>
      </w:r>
      <w:proofErr w:type="spellStart"/>
      <w:r w:rsidR="001309E2">
        <w:rPr>
          <w:b/>
        </w:rPr>
        <w:t>annualization</w:t>
      </w:r>
      <w:proofErr w:type="spellEnd"/>
      <w:r w:rsidR="001309E2">
        <w:rPr>
          <w:b/>
        </w:rPr>
        <w:t xml:space="preserve"> of depreciation expense associated with end-of-test-year Plant in Service values?</w:t>
      </w:r>
    </w:p>
    <w:p w:rsidR="00297192" w:rsidRPr="004A4568" w:rsidRDefault="001309E2" w:rsidP="00AC0D7F">
      <w:pPr>
        <w:pStyle w:val="BodyTextIndent"/>
        <w:spacing w:line="480" w:lineRule="auto"/>
      </w:pPr>
      <w:r>
        <w:t>A:</w:t>
      </w:r>
      <w:r>
        <w:tab/>
        <w:t xml:space="preserve">Staff’s proposal is not clear as to whether the </w:t>
      </w:r>
      <w:proofErr w:type="spellStart"/>
      <w:r>
        <w:t>annualization</w:t>
      </w:r>
      <w:proofErr w:type="spellEnd"/>
      <w:r>
        <w:t xml:space="preserve"> process is applicable to all new rate base additions in the test year or is intended to be restrictive to only a few – perhaps major – new plant addition</w:t>
      </w:r>
      <w:r w:rsidR="004A4568">
        <w:t>s.  If the Staff’s intention i</w:t>
      </w:r>
      <w:r>
        <w:t>s</w:t>
      </w:r>
      <w:r w:rsidR="004A4568">
        <w:t xml:space="preserve"> for PacifiCorp</w:t>
      </w:r>
      <w:r>
        <w:t xml:space="preserve"> to annualize</w:t>
      </w:r>
      <w:r w:rsidR="00B07BE9">
        <w:t xml:space="preserve"> related costs associated with</w:t>
      </w:r>
      <w:r>
        <w:t xml:space="preserve"> all plant additions occurring during the </w:t>
      </w:r>
      <w:proofErr w:type="spellStart"/>
      <w:r>
        <w:t>ERF</w:t>
      </w:r>
      <w:proofErr w:type="spellEnd"/>
      <w:r>
        <w:t xml:space="preserve"> </w:t>
      </w:r>
      <w:r>
        <w:lastRenderedPageBreak/>
        <w:t xml:space="preserve">test year, presumably this would effectively be an endorsement of an end-of-test-year rate base valuation along with the </w:t>
      </w:r>
      <w:proofErr w:type="spellStart"/>
      <w:r>
        <w:t>annualization</w:t>
      </w:r>
      <w:proofErr w:type="spellEnd"/>
      <w:r>
        <w:t xml:space="preserve"> of depreciation expense associated</w:t>
      </w:r>
      <w:r w:rsidR="00B07BE9">
        <w:t xml:space="preserve"> with</w:t>
      </w:r>
      <w:r>
        <w:t xml:space="preserve"> end-of-test-year Plant in Service values – similar if not identical to my proposals.  </w:t>
      </w:r>
      <w:r w:rsidR="0009553E">
        <w:t>I</w:t>
      </w:r>
      <w:r>
        <w:t>n direct testimony</w:t>
      </w:r>
      <w:r w:rsidR="0009553E">
        <w:t>,</w:t>
      </w:r>
      <w:r>
        <w:t xml:space="preserve"> Staff has opposed end-of-test-year rate valuation in favor of average-of-monthly-averages rate base valuation, </w:t>
      </w:r>
      <w:r w:rsidR="0009553E">
        <w:t xml:space="preserve">so </w:t>
      </w:r>
      <w:r>
        <w:t>it seems more li</w:t>
      </w:r>
      <w:r w:rsidR="00B07BE9">
        <w:t>kely that Staff is advocating with</w:t>
      </w:r>
      <w:r>
        <w:t xml:space="preserve"> its </w:t>
      </w:r>
      <w:proofErr w:type="spellStart"/>
      <w:r>
        <w:t>ERF</w:t>
      </w:r>
      <w:proofErr w:type="spellEnd"/>
      <w:r>
        <w:t xml:space="preserve"> proposal to annualize the </w:t>
      </w:r>
      <w:r w:rsidR="00414E41">
        <w:t xml:space="preserve">year end </w:t>
      </w:r>
      <w:r>
        <w:t>cost impact</w:t>
      </w:r>
      <w:r w:rsidR="00414E41">
        <w:rPr>
          <w:rStyle w:val="FootnoteReference"/>
        </w:rPr>
        <w:footnoteReference w:id="6"/>
      </w:r>
      <w:r>
        <w:t xml:space="preserve"> of only certain new plant additions going into service during the test year.</w:t>
      </w:r>
      <w:r w:rsidR="004A4568">
        <w:t xml:space="preserve">  </w:t>
      </w:r>
      <w:r w:rsidR="00297192">
        <w:rPr>
          <w:b/>
        </w:rPr>
        <w:t xml:space="preserve"> </w:t>
      </w:r>
      <w:r w:rsidR="004A4568">
        <w:t xml:space="preserve">In any event, I continue to advocate development of rate base utilizing end-of-test-year valuation for all Plant in Service, Accumulated Depreciation Reserves and related Accumulated Deferred Income Tax Reserves.  Valuation of </w:t>
      </w:r>
      <w:r w:rsidR="004A4568" w:rsidRPr="0052503C">
        <w:rPr>
          <w:i/>
        </w:rPr>
        <w:t>all</w:t>
      </w:r>
      <w:r w:rsidR="004A4568">
        <w:t xml:space="preserve"> Plant in Service, rather than select test year plant additions, would avoid confusion and controversy in an </w:t>
      </w:r>
      <w:proofErr w:type="spellStart"/>
      <w:r w:rsidR="004A4568">
        <w:t>ERF</w:t>
      </w:r>
      <w:proofErr w:type="spellEnd"/>
      <w:r w:rsidR="004A4568">
        <w:t xml:space="preserve"> as to what new plant additions are eligible for </w:t>
      </w:r>
      <w:proofErr w:type="spellStart"/>
      <w:r w:rsidR="004A4568">
        <w:t>annualization</w:t>
      </w:r>
      <w:proofErr w:type="spellEnd"/>
      <w:r w:rsidR="004A4568">
        <w:t xml:space="preserve"> of costs and which test year plant additions should be valued utilizing average-of-monthly-averages.</w:t>
      </w:r>
    </w:p>
    <w:p w:rsidR="00207E70" w:rsidRPr="00207E70" w:rsidRDefault="00207E70" w:rsidP="004C3CEA">
      <w:pPr>
        <w:tabs>
          <w:tab w:val="left" w:pos="1080"/>
        </w:tabs>
        <w:ind w:left="720"/>
        <w:rPr>
          <w:b/>
        </w:rPr>
      </w:pPr>
      <w:r>
        <w:rPr>
          <w:b/>
        </w:rPr>
        <w:t>E.</w:t>
      </w:r>
      <w:r>
        <w:rPr>
          <w:b/>
        </w:rPr>
        <w:tab/>
      </w:r>
      <w:r w:rsidR="004C3CEA">
        <w:rPr>
          <w:b/>
        </w:rPr>
        <w:t>PacifiCorp S</w:t>
      </w:r>
      <w:r w:rsidRPr="00207E70">
        <w:rPr>
          <w:b/>
        </w:rPr>
        <w:t xml:space="preserve">hould be </w:t>
      </w:r>
      <w:r w:rsidR="004C3CEA">
        <w:rPr>
          <w:b/>
        </w:rPr>
        <w:t>Permitted to M</w:t>
      </w:r>
      <w:r w:rsidRPr="00207E70">
        <w:rPr>
          <w:b/>
        </w:rPr>
        <w:t xml:space="preserve">ake an </w:t>
      </w:r>
      <w:proofErr w:type="spellStart"/>
      <w:r w:rsidRPr="00207E70">
        <w:rPr>
          <w:b/>
        </w:rPr>
        <w:t>ER</w:t>
      </w:r>
      <w:r w:rsidR="00987D3A">
        <w:rPr>
          <w:b/>
        </w:rPr>
        <w:t>F</w:t>
      </w:r>
      <w:proofErr w:type="spellEnd"/>
      <w:r w:rsidR="00987D3A">
        <w:rPr>
          <w:b/>
        </w:rPr>
        <w:t xml:space="preserve"> </w:t>
      </w:r>
      <w:r w:rsidR="004C3CEA">
        <w:rPr>
          <w:b/>
        </w:rPr>
        <w:t>U</w:t>
      </w:r>
      <w:r w:rsidR="00987D3A">
        <w:rPr>
          <w:b/>
        </w:rPr>
        <w:t xml:space="preserve">tilizing a </w:t>
      </w:r>
      <w:r w:rsidR="004C3CEA">
        <w:rPr>
          <w:b/>
        </w:rPr>
        <w:t>N</w:t>
      </w:r>
      <w:r w:rsidR="00987D3A">
        <w:rPr>
          <w:b/>
        </w:rPr>
        <w:t>on-</w:t>
      </w:r>
      <w:r w:rsidR="004C3CEA">
        <w:rPr>
          <w:b/>
        </w:rPr>
        <w:t>C</w:t>
      </w:r>
      <w:r w:rsidR="00987D3A">
        <w:rPr>
          <w:b/>
        </w:rPr>
        <w:t xml:space="preserve">alendar </w:t>
      </w:r>
      <w:r w:rsidR="004C3CEA">
        <w:rPr>
          <w:b/>
        </w:rPr>
        <w:tab/>
        <w:t>T</w:t>
      </w:r>
      <w:r w:rsidRPr="00207E70">
        <w:rPr>
          <w:b/>
        </w:rPr>
        <w:t>est</w:t>
      </w:r>
      <w:r w:rsidR="004C3CEA">
        <w:rPr>
          <w:b/>
        </w:rPr>
        <w:t xml:space="preserve"> Year With No R</w:t>
      </w:r>
      <w:r w:rsidRPr="00207E70">
        <w:rPr>
          <w:b/>
        </w:rPr>
        <w:t xml:space="preserve">estriction as to the </w:t>
      </w:r>
      <w:r w:rsidR="004C3CEA">
        <w:rPr>
          <w:b/>
        </w:rPr>
        <w:t>E</w:t>
      </w:r>
      <w:r w:rsidRPr="00207E70">
        <w:rPr>
          <w:b/>
        </w:rPr>
        <w:t xml:space="preserve">arliest </w:t>
      </w:r>
      <w:r w:rsidR="004C3CEA">
        <w:rPr>
          <w:b/>
        </w:rPr>
        <w:t>Date that Such F</w:t>
      </w:r>
      <w:r w:rsidRPr="00207E70">
        <w:rPr>
          <w:b/>
        </w:rPr>
        <w:t xml:space="preserve">iling </w:t>
      </w:r>
      <w:r w:rsidR="004C3CEA">
        <w:rPr>
          <w:b/>
        </w:rPr>
        <w:t xml:space="preserve">Could </w:t>
      </w:r>
      <w:r w:rsidR="004C3CEA">
        <w:rPr>
          <w:b/>
        </w:rPr>
        <w:tab/>
        <w:t xml:space="preserve"> be M</w:t>
      </w:r>
      <w:r w:rsidRPr="00207E70">
        <w:rPr>
          <w:b/>
        </w:rPr>
        <w:t>ade.</w:t>
      </w:r>
    </w:p>
    <w:p w:rsidR="00207E70" w:rsidRPr="001618A5" w:rsidRDefault="00207E70" w:rsidP="00AC0D7F">
      <w:pPr>
        <w:pStyle w:val="BodyTextIndent"/>
        <w:spacing w:line="240" w:lineRule="auto"/>
        <w:rPr>
          <w:bCs/>
          <w:szCs w:val="24"/>
        </w:rPr>
      </w:pPr>
    </w:p>
    <w:p w:rsidR="00207E70" w:rsidRDefault="003844D7" w:rsidP="00AC0D7F">
      <w:pPr>
        <w:pStyle w:val="BodyTextIndent"/>
        <w:spacing w:line="480" w:lineRule="auto"/>
        <w:rPr>
          <w:bCs/>
          <w:szCs w:val="24"/>
        </w:rPr>
      </w:pPr>
      <w:r>
        <w:rPr>
          <w:b/>
          <w:bCs/>
          <w:szCs w:val="24"/>
        </w:rPr>
        <w:t>Q:</w:t>
      </w:r>
      <w:r>
        <w:rPr>
          <w:b/>
          <w:bCs/>
          <w:szCs w:val="24"/>
        </w:rPr>
        <w:tab/>
        <w:t xml:space="preserve">Please </w:t>
      </w:r>
      <w:r w:rsidR="00987D3A">
        <w:rPr>
          <w:b/>
          <w:bCs/>
          <w:szCs w:val="24"/>
        </w:rPr>
        <w:t xml:space="preserve">explain why you are recommending that PacifiCorp be permitted to undertake an </w:t>
      </w:r>
      <w:proofErr w:type="spellStart"/>
      <w:r w:rsidR="00987D3A">
        <w:rPr>
          <w:b/>
          <w:bCs/>
          <w:szCs w:val="24"/>
        </w:rPr>
        <w:t>ERF</w:t>
      </w:r>
      <w:proofErr w:type="spellEnd"/>
      <w:r w:rsidR="00987D3A">
        <w:rPr>
          <w:b/>
          <w:bCs/>
          <w:szCs w:val="24"/>
        </w:rPr>
        <w:t xml:space="preserve"> utilizing a non-calendar test year, and without restriction as to timing.</w:t>
      </w:r>
    </w:p>
    <w:p w:rsidR="00987D3A" w:rsidRPr="00987D3A" w:rsidRDefault="00987D3A" w:rsidP="00AC0D7F">
      <w:pPr>
        <w:pStyle w:val="BodyTextIndent"/>
        <w:spacing w:line="480" w:lineRule="auto"/>
        <w:rPr>
          <w:bCs/>
          <w:szCs w:val="24"/>
        </w:rPr>
      </w:pPr>
      <w:r>
        <w:rPr>
          <w:bCs/>
          <w:szCs w:val="24"/>
        </w:rPr>
        <w:t>A:</w:t>
      </w:r>
      <w:r>
        <w:rPr>
          <w:bCs/>
          <w:szCs w:val="24"/>
        </w:rPr>
        <w:tab/>
        <w:t xml:space="preserve">Such conditions will provide PacifiCorp considerable latitude to time its </w:t>
      </w:r>
      <w:proofErr w:type="spellStart"/>
      <w:r>
        <w:rPr>
          <w:bCs/>
          <w:szCs w:val="24"/>
        </w:rPr>
        <w:t>ERF</w:t>
      </w:r>
      <w:proofErr w:type="spellEnd"/>
      <w:r>
        <w:rPr>
          <w:bCs/>
          <w:szCs w:val="24"/>
        </w:rPr>
        <w:t xml:space="preserve"> so as to minimize regulatory lag, and correspondingly, </w:t>
      </w:r>
      <w:r w:rsidR="00E052F6">
        <w:rPr>
          <w:bCs/>
          <w:szCs w:val="24"/>
        </w:rPr>
        <w:t xml:space="preserve">most efficiently address </w:t>
      </w:r>
      <w:r>
        <w:rPr>
          <w:bCs/>
          <w:szCs w:val="24"/>
        </w:rPr>
        <w:t xml:space="preserve">the potential for earnings erosions.  While this could be viewed as a considerable “concession,” I </w:t>
      </w:r>
      <w:r>
        <w:rPr>
          <w:bCs/>
          <w:szCs w:val="24"/>
        </w:rPr>
        <w:lastRenderedPageBreak/>
        <w:t xml:space="preserve">nonetheless believe it is reasonable so long as other conditions I am recommending </w:t>
      </w:r>
      <w:r w:rsidR="008069E0">
        <w:rPr>
          <w:bCs/>
          <w:szCs w:val="24"/>
        </w:rPr>
        <w:t>be applied to the</w:t>
      </w:r>
      <w:r w:rsidR="00BD569F">
        <w:rPr>
          <w:bCs/>
          <w:szCs w:val="24"/>
        </w:rPr>
        <w:t xml:space="preserve"> </w:t>
      </w:r>
      <w:proofErr w:type="spellStart"/>
      <w:r w:rsidR="00BD569F">
        <w:rPr>
          <w:bCs/>
          <w:szCs w:val="24"/>
        </w:rPr>
        <w:t>ERF</w:t>
      </w:r>
      <w:proofErr w:type="spellEnd"/>
      <w:r w:rsidR="00BD569F">
        <w:rPr>
          <w:bCs/>
          <w:szCs w:val="24"/>
        </w:rPr>
        <w:t xml:space="preserve"> are concurrently adopted</w:t>
      </w:r>
      <w:r w:rsidR="00D22BD8">
        <w:rPr>
          <w:bCs/>
          <w:szCs w:val="24"/>
        </w:rPr>
        <w:t xml:space="preserve">.  To address </w:t>
      </w:r>
      <w:r w:rsidR="00BD569F">
        <w:rPr>
          <w:bCs/>
          <w:szCs w:val="24"/>
        </w:rPr>
        <w:t>the</w:t>
      </w:r>
      <w:r w:rsidR="00D55DF2">
        <w:rPr>
          <w:bCs/>
          <w:szCs w:val="24"/>
        </w:rPr>
        <w:t xml:space="preserve"> Commission’s stated policy goal of breaking the recent pattern of almost continuous rate cases and to </w:t>
      </w:r>
      <w:r w:rsidR="00C479B0">
        <w:rPr>
          <w:bCs/>
          <w:szCs w:val="24"/>
        </w:rPr>
        <w:t xml:space="preserve">explore innovative ways to address a utility’s </w:t>
      </w:r>
      <w:r w:rsidR="00BD569F">
        <w:rPr>
          <w:bCs/>
          <w:szCs w:val="24"/>
        </w:rPr>
        <w:t>potential earnings erosion, Public Counsel is amenable to the</w:t>
      </w:r>
      <w:r w:rsidR="00D22BD8">
        <w:rPr>
          <w:bCs/>
          <w:szCs w:val="24"/>
        </w:rPr>
        <w:t xml:space="preserve"> relatively new conventions of 1) end-of-test-year rate </w:t>
      </w:r>
      <w:r w:rsidR="00B07BE9">
        <w:rPr>
          <w:bCs/>
          <w:szCs w:val="24"/>
        </w:rPr>
        <w:t xml:space="preserve">base </w:t>
      </w:r>
      <w:r w:rsidR="00D22BD8">
        <w:rPr>
          <w:bCs/>
          <w:szCs w:val="24"/>
        </w:rPr>
        <w:t xml:space="preserve">valuation, </w:t>
      </w:r>
      <w:r w:rsidR="002F3E07">
        <w:rPr>
          <w:bCs/>
          <w:szCs w:val="24"/>
        </w:rPr>
        <w:t xml:space="preserve">and </w:t>
      </w:r>
      <w:r w:rsidR="00D22BD8">
        <w:rPr>
          <w:bCs/>
          <w:szCs w:val="24"/>
        </w:rPr>
        <w:t>2) Expedited Rate Fili</w:t>
      </w:r>
      <w:r w:rsidR="00B07BE9">
        <w:rPr>
          <w:bCs/>
          <w:szCs w:val="24"/>
        </w:rPr>
        <w:t>ngs, combined with 3) allowing</w:t>
      </w:r>
      <w:r w:rsidR="00D22BD8">
        <w:rPr>
          <w:bCs/>
          <w:szCs w:val="24"/>
        </w:rPr>
        <w:t xml:space="preserve"> maximum flexibility to utilities in the selection of </w:t>
      </w:r>
      <w:proofErr w:type="spellStart"/>
      <w:r w:rsidR="00D22BD8">
        <w:rPr>
          <w:bCs/>
          <w:szCs w:val="24"/>
        </w:rPr>
        <w:t>ERF</w:t>
      </w:r>
      <w:proofErr w:type="spellEnd"/>
      <w:r w:rsidR="00D22BD8">
        <w:rPr>
          <w:bCs/>
          <w:szCs w:val="24"/>
        </w:rPr>
        <w:t xml:space="preserve"> test years to employ and the timi</w:t>
      </w:r>
      <w:r w:rsidR="00671420">
        <w:rPr>
          <w:bCs/>
          <w:szCs w:val="24"/>
        </w:rPr>
        <w:t xml:space="preserve">ng of </w:t>
      </w:r>
      <w:proofErr w:type="spellStart"/>
      <w:r w:rsidR="00671420">
        <w:rPr>
          <w:bCs/>
          <w:szCs w:val="24"/>
        </w:rPr>
        <w:t>ERFs</w:t>
      </w:r>
      <w:proofErr w:type="spellEnd"/>
      <w:r w:rsidR="00671420">
        <w:rPr>
          <w:bCs/>
          <w:szCs w:val="24"/>
        </w:rPr>
        <w:t>.   T</w:t>
      </w:r>
      <w:r w:rsidR="00D22BD8">
        <w:rPr>
          <w:bCs/>
          <w:szCs w:val="24"/>
        </w:rPr>
        <w:t xml:space="preserve">hese concessions </w:t>
      </w:r>
      <w:r w:rsidR="00671420">
        <w:rPr>
          <w:bCs/>
          <w:szCs w:val="24"/>
        </w:rPr>
        <w:t xml:space="preserve">have been supported </w:t>
      </w:r>
      <w:r w:rsidR="002F3E07">
        <w:rPr>
          <w:bCs/>
          <w:szCs w:val="24"/>
        </w:rPr>
        <w:t>with the</w:t>
      </w:r>
      <w:r w:rsidR="00D22BD8">
        <w:rPr>
          <w:bCs/>
          <w:szCs w:val="24"/>
        </w:rPr>
        <w:t xml:space="preserve"> </w:t>
      </w:r>
      <w:r w:rsidR="00501826">
        <w:rPr>
          <w:bCs/>
          <w:szCs w:val="24"/>
        </w:rPr>
        <w:t xml:space="preserve">strict </w:t>
      </w:r>
      <w:r w:rsidR="00D22BD8">
        <w:rPr>
          <w:bCs/>
          <w:szCs w:val="24"/>
        </w:rPr>
        <w:t xml:space="preserve">condition that rates </w:t>
      </w:r>
      <w:r w:rsidR="00671420">
        <w:rPr>
          <w:bCs/>
          <w:szCs w:val="24"/>
        </w:rPr>
        <w:t xml:space="preserve">continue to </w:t>
      </w:r>
      <w:r w:rsidR="00D22BD8">
        <w:rPr>
          <w:bCs/>
          <w:szCs w:val="24"/>
        </w:rPr>
        <w:t xml:space="preserve">be established – whether in </w:t>
      </w:r>
      <w:proofErr w:type="spellStart"/>
      <w:r w:rsidR="00D22BD8">
        <w:rPr>
          <w:bCs/>
          <w:szCs w:val="24"/>
        </w:rPr>
        <w:t>GRCs</w:t>
      </w:r>
      <w:proofErr w:type="spellEnd"/>
      <w:r w:rsidR="00D22BD8">
        <w:rPr>
          <w:bCs/>
          <w:szCs w:val="24"/>
        </w:rPr>
        <w:t xml:space="preserve"> or </w:t>
      </w:r>
      <w:proofErr w:type="spellStart"/>
      <w:r w:rsidR="00D22BD8">
        <w:rPr>
          <w:bCs/>
          <w:szCs w:val="24"/>
        </w:rPr>
        <w:t>ERFs</w:t>
      </w:r>
      <w:proofErr w:type="spellEnd"/>
      <w:r w:rsidR="00D22BD8">
        <w:rPr>
          <w:bCs/>
          <w:szCs w:val="24"/>
        </w:rPr>
        <w:t xml:space="preserve"> – utilizing historic test yea</w:t>
      </w:r>
      <w:r w:rsidR="002F3E07">
        <w:rPr>
          <w:bCs/>
          <w:szCs w:val="24"/>
        </w:rPr>
        <w:t>rs</w:t>
      </w:r>
      <w:r w:rsidR="00D22BD8">
        <w:rPr>
          <w:bCs/>
          <w:szCs w:val="24"/>
        </w:rPr>
        <w:t xml:space="preserve"> and actual-incurred and verifiable cost </w:t>
      </w:r>
      <w:r w:rsidR="00501826">
        <w:rPr>
          <w:bCs/>
          <w:szCs w:val="24"/>
        </w:rPr>
        <w:t>elements</w:t>
      </w:r>
      <w:r w:rsidR="00671420">
        <w:rPr>
          <w:bCs/>
          <w:szCs w:val="24"/>
        </w:rPr>
        <w:t xml:space="preserve"> properly matched or synchronized with attend</w:t>
      </w:r>
      <w:r w:rsidR="002F3E07">
        <w:rPr>
          <w:bCs/>
          <w:szCs w:val="24"/>
        </w:rPr>
        <w:t xml:space="preserve">ant revenue levels to a similar or </w:t>
      </w:r>
      <w:r w:rsidR="00671420">
        <w:rPr>
          <w:bCs/>
          <w:szCs w:val="24"/>
        </w:rPr>
        <w:t>identical point in time.  As evidenced by my various recommendations, while continuing to recommend adherence to</w:t>
      </w:r>
      <w:r w:rsidR="00501826">
        <w:rPr>
          <w:bCs/>
          <w:szCs w:val="24"/>
        </w:rPr>
        <w:t xml:space="preserve"> only considering</w:t>
      </w:r>
      <w:r w:rsidR="00671420">
        <w:rPr>
          <w:bCs/>
          <w:szCs w:val="24"/>
        </w:rPr>
        <w:t xml:space="preserve"> historic costs in the rate setting process, I am</w:t>
      </w:r>
      <w:r w:rsidR="002F3E07">
        <w:rPr>
          <w:bCs/>
          <w:szCs w:val="24"/>
        </w:rPr>
        <w:t xml:space="preserve"> correspondingly</w:t>
      </w:r>
      <w:r w:rsidR="00671420">
        <w:rPr>
          <w:bCs/>
          <w:szCs w:val="24"/>
        </w:rPr>
        <w:t xml:space="preserve"> recommending processes and procedures that are designed to significantly shorten the time span between cost measurement in the ratemaking process and the effective date of </w:t>
      </w:r>
      <w:r w:rsidR="00501826">
        <w:rPr>
          <w:bCs/>
          <w:szCs w:val="24"/>
        </w:rPr>
        <w:t xml:space="preserve">new </w:t>
      </w:r>
      <w:r w:rsidR="00671420">
        <w:rPr>
          <w:bCs/>
          <w:szCs w:val="24"/>
        </w:rPr>
        <w:t xml:space="preserve">rates being developed in the various rate setting processes.  </w:t>
      </w:r>
    </w:p>
    <w:p w:rsidR="00BB785F" w:rsidRDefault="002F3E07" w:rsidP="00211817">
      <w:pPr>
        <w:numPr>
          <w:ilvl w:val="0"/>
          <w:numId w:val="19"/>
        </w:numPr>
        <w:tabs>
          <w:tab w:val="left" w:pos="1080"/>
        </w:tabs>
        <w:ind w:left="720" w:firstLine="0"/>
        <w:rPr>
          <w:b/>
        </w:rPr>
      </w:pPr>
      <w:r>
        <w:rPr>
          <w:b/>
        </w:rPr>
        <w:t xml:space="preserve">PacifiCorp Should be Permitted to File Two </w:t>
      </w:r>
      <w:proofErr w:type="spellStart"/>
      <w:r>
        <w:rPr>
          <w:b/>
        </w:rPr>
        <w:t>ERFs</w:t>
      </w:r>
      <w:proofErr w:type="spellEnd"/>
      <w:r>
        <w:rPr>
          <w:b/>
        </w:rPr>
        <w:t xml:space="preserve"> Before Being Required to </w:t>
      </w:r>
      <w:r w:rsidR="00211817">
        <w:rPr>
          <w:b/>
        </w:rPr>
        <w:tab/>
      </w:r>
      <w:r>
        <w:rPr>
          <w:b/>
        </w:rPr>
        <w:t xml:space="preserve">Make a </w:t>
      </w:r>
      <w:proofErr w:type="spellStart"/>
      <w:r>
        <w:rPr>
          <w:b/>
        </w:rPr>
        <w:t>GRC</w:t>
      </w:r>
      <w:proofErr w:type="spellEnd"/>
      <w:r>
        <w:rPr>
          <w:b/>
        </w:rPr>
        <w:t xml:space="preserve"> Filing to Further Increase Base R</w:t>
      </w:r>
      <w:r w:rsidR="009E1525" w:rsidRPr="009E1525">
        <w:rPr>
          <w:b/>
        </w:rPr>
        <w:t>ates.</w:t>
      </w:r>
    </w:p>
    <w:p w:rsidR="00671420" w:rsidRDefault="00671420" w:rsidP="00AC0D7F">
      <w:pPr>
        <w:pStyle w:val="BodyTextIndent"/>
        <w:spacing w:line="240" w:lineRule="auto"/>
        <w:rPr>
          <w:b/>
          <w:bCs/>
          <w:szCs w:val="24"/>
        </w:rPr>
      </w:pPr>
    </w:p>
    <w:p w:rsidR="00671420" w:rsidRDefault="009E1525" w:rsidP="00AC0D7F">
      <w:pPr>
        <w:pStyle w:val="BodyTextIndent"/>
        <w:spacing w:line="480" w:lineRule="auto"/>
        <w:rPr>
          <w:b/>
          <w:bCs/>
          <w:szCs w:val="24"/>
        </w:rPr>
      </w:pPr>
      <w:r>
        <w:rPr>
          <w:b/>
          <w:bCs/>
          <w:szCs w:val="24"/>
        </w:rPr>
        <w:t>Q:</w:t>
      </w:r>
      <w:r>
        <w:rPr>
          <w:b/>
          <w:bCs/>
          <w:szCs w:val="24"/>
        </w:rPr>
        <w:tab/>
        <w:t xml:space="preserve">Please expand upon your final condition that PacifiCorp be permitted to file two </w:t>
      </w:r>
      <w:proofErr w:type="spellStart"/>
      <w:r>
        <w:rPr>
          <w:b/>
          <w:bCs/>
          <w:szCs w:val="24"/>
        </w:rPr>
        <w:t>ERFs</w:t>
      </w:r>
      <w:proofErr w:type="spellEnd"/>
      <w:r>
        <w:rPr>
          <w:b/>
          <w:bCs/>
          <w:szCs w:val="24"/>
        </w:rPr>
        <w:t>, but that to further increase base rates</w:t>
      </w:r>
      <w:r w:rsidR="002F3E07">
        <w:rPr>
          <w:b/>
          <w:bCs/>
          <w:szCs w:val="24"/>
        </w:rPr>
        <w:t xml:space="preserve"> beyond two </w:t>
      </w:r>
      <w:proofErr w:type="spellStart"/>
      <w:proofErr w:type="gramStart"/>
      <w:r w:rsidR="002F3E07">
        <w:rPr>
          <w:b/>
          <w:bCs/>
          <w:szCs w:val="24"/>
        </w:rPr>
        <w:t>ERFs</w:t>
      </w:r>
      <w:proofErr w:type="spellEnd"/>
      <w:r w:rsidR="002F3E07">
        <w:rPr>
          <w:b/>
          <w:bCs/>
          <w:szCs w:val="24"/>
        </w:rPr>
        <w:t>,</w:t>
      </w:r>
      <w:proofErr w:type="gramEnd"/>
      <w:r w:rsidR="002F3E07">
        <w:rPr>
          <w:b/>
          <w:bCs/>
          <w:szCs w:val="24"/>
        </w:rPr>
        <w:t xml:space="preserve"> </w:t>
      </w:r>
      <w:r>
        <w:rPr>
          <w:b/>
          <w:bCs/>
          <w:szCs w:val="24"/>
        </w:rPr>
        <w:t xml:space="preserve">it </w:t>
      </w:r>
      <w:r w:rsidR="00501826">
        <w:rPr>
          <w:b/>
          <w:bCs/>
          <w:szCs w:val="24"/>
        </w:rPr>
        <w:t xml:space="preserve">should </w:t>
      </w:r>
      <w:r>
        <w:rPr>
          <w:b/>
          <w:bCs/>
          <w:szCs w:val="24"/>
        </w:rPr>
        <w:t xml:space="preserve">be required to undertake a </w:t>
      </w:r>
      <w:proofErr w:type="spellStart"/>
      <w:r>
        <w:rPr>
          <w:b/>
          <w:bCs/>
          <w:szCs w:val="24"/>
        </w:rPr>
        <w:t>GRC</w:t>
      </w:r>
      <w:proofErr w:type="spellEnd"/>
      <w:r>
        <w:rPr>
          <w:b/>
          <w:bCs/>
          <w:szCs w:val="24"/>
        </w:rPr>
        <w:t xml:space="preserve"> filing.</w:t>
      </w:r>
    </w:p>
    <w:p w:rsidR="009E1525" w:rsidRDefault="009E1525" w:rsidP="00AC0D7F">
      <w:pPr>
        <w:pStyle w:val="BodyTextIndent"/>
        <w:spacing w:line="480" w:lineRule="auto"/>
        <w:rPr>
          <w:bCs/>
          <w:szCs w:val="24"/>
        </w:rPr>
      </w:pPr>
      <w:r>
        <w:rPr>
          <w:bCs/>
          <w:szCs w:val="24"/>
        </w:rPr>
        <w:t>A:</w:t>
      </w:r>
      <w:r>
        <w:rPr>
          <w:bCs/>
          <w:szCs w:val="24"/>
        </w:rPr>
        <w:tab/>
        <w:t xml:space="preserve">First, I would note that Staff’s </w:t>
      </w:r>
      <w:proofErr w:type="spellStart"/>
      <w:r>
        <w:rPr>
          <w:bCs/>
          <w:szCs w:val="24"/>
        </w:rPr>
        <w:t>ERF</w:t>
      </w:r>
      <w:proofErr w:type="spellEnd"/>
      <w:r>
        <w:rPr>
          <w:bCs/>
          <w:szCs w:val="24"/>
        </w:rPr>
        <w:t xml:space="preserve"> proposal specifically envisions one </w:t>
      </w:r>
      <w:proofErr w:type="spellStart"/>
      <w:r>
        <w:rPr>
          <w:bCs/>
          <w:szCs w:val="24"/>
        </w:rPr>
        <w:t>ERF</w:t>
      </w:r>
      <w:proofErr w:type="spellEnd"/>
      <w:r>
        <w:rPr>
          <w:bCs/>
          <w:szCs w:val="24"/>
        </w:rPr>
        <w:t xml:space="preserve"> in 2014, but is silent as to</w:t>
      </w:r>
      <w:r w:rsidR="00FC60CD">
        <w:rPr>
          <w:bCs/>
          <w:szCs w:val="24"/>
        </w:rPr>
        <w:t xml:space="preserve"> whether additional </w:t>
      </w:r>
      <w:proofErr w:type="spellStart"/>
      <w:r w:rsidR="00FC60CD">
        <w:rPr>
          <w:bCs/>
          <w:szCs w:val="24"/>
        </w:rPr>
        <w:t>ERFs</w:t>
      </w:r>
      <w:proofErr w:type="spellEnd"/>
      <w:r w:rsidR="00FC60CD">
        <w:rPr>
          <w:bCs/>
          <w:szCs w:val="24"/>
        </w:rPr>
        <w:t xml:space="preserve"> would be permitted or prohibited after the </w:t>
      </w:r>
      <w:r w:rsidR="00FC60CD">
        <w:rPr>
          <w:bCs/>
          <w:szCs w:val="24"/>
        </w:rPr>
        <w:lastRenderedPageBreak/>
        <w:t xml:space="preserve">2014 </w:t>
      </w:r>
      <w:proofErr w:type="spellStart"/>
      <w:r w:rsidR="00FC60CD">
        <w:rPr>
          <w:bCs/>
          <w:szCs w:val="24"/>
        </w:rPr>
        <w:t>ERF</w:t>
      </w:r>
      <w:proofErr w:type="spellEnd"/>
      <w:r w:rsidR="00FC60CD">
        <w:rPr>
          <w:bCs/>
          <w:szCs w:val="24"/>
        </w:rPr>
        <w:t xml:space="preserve">.  I believe a limitation of up to two </w:t>
      </w:r>
      <w:proofErr w:type="spellStart"/>
      <w:r w:rsidR="00FC60CD">
        <w:rPr>
          <w:bCs/>
          <w:szCs w:val="24"/>
        </w:rPr>
        <w:t>ERFs</w:t>
      </w:r>
      <w:proofErr w:type="spellEnd"/>
      <w:r w:rsidR="00FC60CD">
        <w:rPr>
          <w:bCs/>
          <w:szCs w:val="24"/>
        </w:rPr>
        <w:t>, without restrictions as to time intervals before the firs</w:t>
      </w:r>
      <w:r w:rsidR="00B36C93">
        <w:rPr>
          <w:bCs/>
          <w:szCs w:val="24"/>
        </w:rPr>
        <w:t xml:space="preserve">t or second </w:t>
      </w:r>
      <w:proofErr w:type="spellStart"/>
      <w:r w:rsidR="00B36C93">
        <w:rPr>
          <w:bCs/>
          <w:szCs w:val="24"/>
        </w:rPr>
        <w:t>ERF</w:t>
      </w:r>
      <w:proofErr w:type="spellEnd"/>
      <w:r w:rsidR="00B36C93">
        <w:rPr>
          <w:bCs/>
          <w:szCs w:val="24"/>
        </w:rPr>
        <w:t>, is reasonable and addresses several noted concerns.</w:t>
      </w:r>
      <w:r w:rsidR="00FC60CD">
        <w:rPr>
          <w:bCs/>
          <w:szCs w:val="24"/>
        </w:rPr>
        <w:t xml:space="preserve"> </w:t>
      </w:r>
    </w:p>
    <w:p w:rsidR="00FC60CD" w:rsidRDefault="00501826" w:rsidP="00AC0D7F">
      <w:pPr>
        <w:pStyle w:val="BodyTextIndent"/>
        <w:spacing w:line="480" w:lineRule="auto"/>
        <w:rPr>
          <w:bCs/>
          <w:szCs w:val="24"/>
        </w:rPr>
      </w:pPr>
      <w:r>
        <w:rPr>
          <w:bCs/>
          <w:szCs w:val="24"/>
        </w:rPr>
        <w:tab/>
      </w:r>
      <w:r>
        <w:rPr>
          <w:bCs/>
          <w:szCs w:val="24"/>
        </w:rPr>
        <w:tab/>
        <w:t xml:space="preserve">Staff’s </w:t>
      </w:r>
      <w:r w:rsidR="00FC60CD">
        <w:rPr>
          <w:bCs/>
          <w:szCs w:val="24"/>
        </w:rPr>
        <w:t xml:space="preserve">proposal envisions </w:t>
      </w:r>
      <w:proofErr w:type="spellStart"/>
      <w:r w:rsidR="00FC60CD">
        <w:rPr>
          <w:bCs/>
          <w:szCs w:val="24"/>
        </w:rPr>
        <w:t>ERF</w:t>
      </w:r>
      <w:proofErr w:type="spellEnd"/>
      <w:r w:rsidR="00FC60CD">
        <w:rPr>
          <w:bCs/>
          <w:szCs w:val="24"/>
        </w:rPr>
        <w:t xml:space="preserve"> rates to be effective within four to six months following the filing of testimony, exhibits and </w:t>
      </w:r>
      <w:proofErr w:type="spellStart"/>
      <w:r w:rsidR="00FC60CD">
        <w:rPr>
          <w:bCs/>
          <w:szCs w:val="24"/>
        </w:rPr>
        <w:t>workpapers</w:t>
      </w:r>
      <w:proofErr w:type="spellEnd"/>
      <w:r w:rsidR="00FC60CD">
        <w:rPr>
          <w:bCs/>
          <w:szCs w:val="24"/>
        </w:rPr>
        <w:t xml:space="preserve">.  </w:t>
      </w:r>
      <w:r w:rsidR="000F4EB3">
        <w:rPr>
          <w:bCs/>
          <w:szCs w:val="24"/>
        </w:rPr>
        <w:t>T</w:t>
      </w:r>
      <w:r w:rsidR="00FC60CD">
        <w:rPr>
          <w:bCs/>
          <w:szCs w:val="24"/>
        </w:rPr>
        <w:t xml:space="preserve">he four month window suggested </w:t>
      </w:r>
      <w:r w:rsidR="00B36C93">
        <w:rPr>
          <w:bCs/>
          <w:szCs w:val="24"/>
        </w:rPr>
        <w:t xml:space="preserve">by Staff </w:t>
      </w:r>
      <w:r w:rsidR="000F4EB3">
        <w:rPr>
          <w:bCs/>
          <w:szCs w:val="24"/>
        </w:rPr>
        <w:t>is</w:t>
      </w:r>
      <w:r w:rsidR="00FC60CD">
        <w:rPr>
          <w:bCs/>
          <w:szCs w:val="24"/>
        </w:rPr>
        <w:t xml:space="preserve"> aggressive.  </w:t>
      </w:r>
      <w:proofErr w:type="spellStart"/>
      <w:r w:rsidR="00FC60CD">
        <w:rPr>
          <w:bCs/>
          <w:szCs w:val="24"/>
        </w:rPr>
        <w:t>Intervenors</w:t>
      </w:r>
      <w:proofErr w:type="spellEnd"/>
      <w:r w:rsidR="00FC60CD">
        <w:rPr>
          <w:bCs/>
          <w:szCs w:val="24"/>
        </w:rPr>
        <w:t xml:space="preserve">, and </w:t>
      </w:r>
      <w:r w:rsidR="000F4EB3">
        <w:rPr>
          <w:bCs/>
          <w:szCs w:val="24"/>
        </w:rPr>
        <w:t>eve</w:t>
      </w:r>
      <w:r w:rsidR="00DF7768">
        <w:rPr>
          <w:bCs/>
          <w:szCs w:val="24"/>
        </w:rPr>
        <w:t>n</w:t>
      </w:r>
      <w:r w:rsidR="00FC60CD">
        <w:rPr>
          <w:bCs/>
          <w:szCs w:val="24"/>
        </w:rPr>
        <w:t xml:space="preserve"> Staff, would need some period of weeks just to obtain or reassign resources</w:t>
      </w:r>
      <w:r w:rsidR="00B36C93">
        <w:rPr>
          <w:bCs/>
          <w:szCs w:val="24"/>
        </w:rPr>
        <w:t xml:space="preserve"> to undertake even a limited review of the filing</w:t>
      </w:r>
      <w:r w:rsidR="00FC60CD">
        <w:rPr>
          <w:bCs/>
          <w:szCs w:val="24"/>
        </w:rPr>
        <w:t xml:space="preserve"> –</w:t>
      </w:r>
      <w:r w:rsidR="007233AA">
        <w:rPr>
          <w:bCs/>
          <w:szCs w:val="24"/>
        </w:rPr>
        <w:t xml:space="preserve"> which would encroach</w:t>
      </w:r>
      <w:r w:rsidR="00FC60CD">
        <w:rPr>
          <w:bCs/>
          <w:szCs w:val="24"/>
        </w:rPr>
        <w:t xml:space="preserve"> significantly into the four month window suggested </w:t>
      </w:r>
      <w:r w:rsidR="00B36C93">
        <w:rPr>
          <w:bCs/>
          <w:szCs w:val="24"/>
        </w:rPr>
        <w:t xml:space="preserve">by Staff </w:t>
      </w:r>
      <w:r w:rsidR="00FC60CD">
        <w:rPr>
          <w:bCs/>
          <w:szCs w:val="24"/>
        </w:rPr>
        <w:t>from filing date to order date</w:t>
      </w:r>
      <w:r w:rsidR="00B36C93">
        <w:rPr>
          <w:bCs/>
          <w:szCs w:val="24"/>
        </w:rPr>
        <w:t>.  Even with the conditions and restrictions being reco</w:t>
      </w:r>
      <w:r w:rsidR="00BA2E5A">
        <w:rPr>
          <w:bCs/>
          <w:szCs w:val="24"/>
        </w:rPr>
        <w:t>mmended herein, it appears to me</w:t>
      </w:r>
      <w:r w:rsidR="00B36C93">
        <w:rPr>
          <w:bCs/>
          <w:szCs w:val="24"/>
        </w:rPr>
        <w:t xml:space="preserve"> that four months to process the </w:t>
      </w:r>
      <w:proofErr w:type="spellStart"/>
      <w:r w:rsidR="00B36C93">
        <w:rPr>
          <w:bCs/>
          <w:szCs w:val="24"/>
        </w:rPr>
        <w:t>ERF</w:t>
      </w:r>
      <w:proofErr w:type="spellEnd"/>
      <w:r w:rsidR="00B36C93">
        <w:rPr>
          <w:bCs/>
          <w:szCs w:val="24"/>
        </w:rPr>
        <w:t xml:space="preserve"> -</w:t>
      </w:r>
      <w:r w:rsidR="00FC60CD">
        <w:rPr>
          <w:bCs/>
          <w:szCs w:val="24"/>
        </w:rPr>
        <w:t xml:space="preserve"> with time for modest discovery and analysis</w:t>
      </w:r>
      <w:r>
        <w:rPr>
          <w:bCs/>
          <w:szCs w:val="24"/>
        </w:rPr>
        <w:t>, as well as</w:t>
      </w:r>
      <w:r w:rsidR="00FC60CD">
        <w:rPr>
          <w:bCs/>
          <w:szCs w:val="24"/>
        </w:rPr>
        <w:t xml:space="preserve"> an abbreviated hearing</w:t>
      </w:r>
      <w:r w:rsidR="00B36C93">
        <w:rPr>
          <w:bCs/>
          <w:szCs w:val="24"/>
        </w:rPr>
        <w:t>–</w:t>
      </w:r>
      <w:r w:rsidR="007233AA">
        <w:rPr>
          <w:bCs/>
          <w:szCs w:val="24"/>
        </w:rPr>
        <w:t xml:space="preserve"> is extremely short</w:t>
      </w:r>
      <w:r w:rsidR="00B36C93">
        <w:rPr>
          <w:bCs/>
          <w:szCs w:val="24"/>
        </w:rPr>
        <w:t xml:space="preserve">.  However, even assuming the longer six month window for processing the docket suggested by Staff, permitting PacifiCorp to make two </w:t>
      </w:r>
      <w:proofErr w:type="spellStart"/>
      <w:r w:rsidR="00B36C93">
        <w:rPr>
          <w:bCs/>
          <w:szCs w:val="24"/>
        </w:rPr>
        <w:t>ERFs</w:t>
      </w:r>
      <w:proofErr w:type="spellEnd"/>
      <w:r w:rsidR="00B36C93">
        <w:rPr>
          <w:bCs/>
          <w:szCs w:val="24"/>
        </w:rPr>
        <w:t xml:space="preserve"> before requiring a </w:t>
      </w:r>
      <w:proofErr w:type="spellStart"/>
      <w:r w:rsidR="00B36C93">
        <w:rPr>
          <w:bCs/>
          <w:szCs w:val="24"/>
        </w:rPr>
        <w:t>GRC</w:t>
      </w:r>
      <w:proofErr w:type="spellEnd"/>
      <w:r w:rsidR="00B36C93">
        <w:rPr>
          <w:bCs/>
          <w:szCs w:val="24"/>
        </w:rPr>
        <w:t xml:space="preserve"> filing would enable PacifiCorp to avoid a </w:t>
      </w:r>
      <w:proofErr w:type="spellStart"/>
      <w:r w:rsidR="00B36C93">
        <w:rPr>
          <w:bCs/>
          <w:szCs w:val="24"/>
        </w:rPr>
        <w:t>GRC</w:t>
      </w:r>
      <w:proofErr w:type="spellEnd"/>
      <w:r w:rsidR="00B36C93">
        <w:rPr>
          <w:bCs/>
          <w:szCs w:val="24"/>
        </w:rPr>
        <w:t xml:space="preserve"> filing for at least one year, but in all likelihood, closer to two years</w:t>
      </w:r>
      <w:r w:rsidR="00BA2E5A">
        <w:rPr>
          <w:bCs/>
          <w:szCs w:val="24"/>
        </w:rPr>
        <w:t xml:space="preserve">. </w:t>
      </w:r>
      <w:r w:rsidR="00211817">
        <w:rPr>
          <w:bCs/>
          <w:szCs w:val="24"/>
        </w:rPr>
        <w:t xml:space="preserve"> </w:t>
      </w:r>
      <w:r w:rsidR="00BA2E5A">
        <w:rPr>
          <w:bCs/>
          <w:szCs w:val="24"/>
        </w:rPr>
        <w:t xml:space="preserve">As such, allowing two </w:t>
      </w:r>
      <w:proofErr w:type="spellStart"/>
      <w:r w:rsidR="00BA2E5A">
        <w:rPr>
          <w:bCs/>
          <w:szCs w:val="24"/>
        </w:rPr>
        <w:t>ERFs</w:t>
      </w:r>
      <w:proofErr w:type="spellEnd"/>
      <w:r w:rsidR="00BA2E5A">
        <w:rPr>
          <w:bCs/>
          <w:szCs w:val="24"/>
        </w:rPr>
        <w:t xml:space="preserve"> before a </w:t>
      </w:r>
      <w:proofErr w:type="spellStart"/>
      <w:r w:rsidR="00BA2E5A">
        <w:rPr>
          <w:bCs/>
          <w:szCs w:val="24"/>
        </w:rPr>
        <w:t>GRC</w:t>
      </w:r>
      <w:proofErr w:type="spellEnd"/>
      <w:r w:rsidR="00BA2E5A">
        <w:rPr>
          <w:bCs/>
          <w:szCs w:val="24"/>
        </w:rPr>
        <w:t xml:space="preserve"> filing would be required </w:t>
      </w:r>
      <w:r w:rsidR="00B36C93">
        <w:rPr>
          <w:bCs/>
          <w:szCs w:val="24"/>
        </w:rPr>
        <w:t xml:space="preserve">is intended to address the concern of near-annual </w:t>
      </w:r>
      <w:proofErr w:type="spellStart"/>
      <w:r w:rsidR="00B36C93">
        <w:rPr>
          <w:bCs/>
          <w:szCs w:val="24"/>
        </w:rPr>
        <w:t>GRCs</w:t>
      </w:r>
      <w:proofErr w:type="spellEnd"/>
      <w:r w:rsidR="00B36C93">
        <w:rPr>
          <w:bCs/>
          <w:szCs w:val="24"/>
        </w:rPr>
        <w:t xml:space="preserve"> while also addressing a concern of regulatory lag.</w:t>
      </w:r>
    </w:p>
    <w:p w:rsidR="00BA2E5A" w:rsidRDefault="00BA2E5A" w:rsidP="00AC0D7F">
      <w:pPr>
        <w:pStyle w:val="BodyTextIndent"/>
        <w:spacing w:line="480" w:lineRule="auto"/>
        <w:rPr>
          <w:b/>
          <w:bCs/>
          <w:szCs w:val="24"/>
        </w:rPr>
      </w:pPr>
      <w:r>
        <w:rPr>
          <w:b/>
          <w:bCs/>
          <w:szCs w:val="24"/>
        </w:rPr>
        <w:t>Q:</w:t>
      </w:r>
      <w:r>
        <w:rPr>
          <w:b/>
          <w:bCs/>
          <w:szCs w:val="24"/>
        </w:rPr>
        <w:tab/>
        <w:t>Why do you believe</w:t>
      </w:r>
      <w:r w:rsidR="007233AA">
        <w:rPr>
          <w:b/>
          <w:bCs/>
          <w:szCs w:val="24"/>
        </w:rPr>
        <w:t xml:space="preserve"> it</w:t>
      </w:r>
      <w:r w:rsidR="007233AA" w:rsidRPr="007233AA">
        <w:rPr>
          <w:b/>
          <w:bCs/>
          <w:szCs w:val="24"/>
        </w:rPr>
        <w:t xml:space="preserve"> </w:t>
      </w:r>
      <w:r w:rsidR="007233AA">
        <w:rPr>
          <w:b/>
          <w:bCs/>
          <w:szCs w:val="24"/>
        </w:rPr>
        <w:t>is reasonable to limit</w:t>
      </w:r>
      <w:r>
        <w:rPr>
          <w:b/>
          <w:bCs/>
          <w:szCs w:val="24"/>
        </w:rPr>
        <w:t xml:space="preserve"> the number of </w:t>
      </w:r>
      <w:proofErr w:type="spellStart"/>
      <w:r>
        <w:rPr>
          <w:b/>
          <w:bCs/>
          <w:szCs w:val="24"/>
        </w:rPr>
        <w:t>ERFs</w:t>
      </w:r>
      <w:proofErr w:type="spellEnd"/>
      <w:r>
        <w:rPr>
          <w:b/>
          <w:bCs/>
          <w:szCs w:val="24"/>
        </w:rPr>
        <w:t xml:space="preserve"> to two before a </w:t>
      </w:r>
      <w:proofErr w:type="spellStart"/>
      <w:r>
        <w:rPr>
          <w:b/>
          <w:bCs/>
          <w:szCs w:val="24"/>
        </w:rPr>
        <w:t>GRC</w:t>
      </w:r>
      <w:proofErr w:type="spellEnd"/>
      <w:r>
        <w:rPr>
          <w:b/>
          <w:bCs/>
          <w:szCs w:val="24"/>
        </w:rPr>
        <w:t xml:space="preserve"> filing would be required?</w:t>
      </w:r>
    </w:p>
    <w:p w:rsidR="00BA2E5A" w:rsidRDefault="00BA2E5A" w:rsidP="00AC0D7F">
      <w:pPr>
        <w:pStyle w:val="BodyTextIndent"/>
        <w:spacing w:line="480" w:lineRule="auto"/>
        <w:rPr>
          <w:bCs/>
          <w:szCs w:val="24"/>
        </w:rPr>
      </w:pPr>
      <w:r>
        <w:rPr>
          <w:bCs/>
          <w:szCs w:val="24"/>
        </w:rPr>
        <w:t>A:</w:t>
      </w:r>
      <w:r>
        <w:rPr>
          <w:bCs/>
          <w:szCs w:val="24"/>
        </w:rPr>
        <w:tab/>
        <w:t xml:space="preserve">While the </w:t>
      </w:r>
      <w:proofErr w:type="spellStart"/>
      <w:r>
        <w:rPr>
          <w:bCs/>
          <w:szCs w:val="24"/>
        </w:rPr>
        <w:t>ERF</w:t>
      </w:r>
      <w:proofErr w:type="spellEnd"/>
      <w:r w:rsidR="007233AA">
        <w:rPr>
          <w:bCs/>
          <w:szCs w:val="24"/>
        </w:rPr>
        <w:t xml:space="preserve"> process being recommended </w:t>
      </w:r>
      <w:r>
        <w:rPr>
          <w:bCs/>
          <w:szCs w:val="24"/>
        </w:rPr>
        <w:t xml:space="preserve">would result in limitations </w:t>
      </w:r>
      <w:r w:rsidR="007233AA">
        <w:rPr>
          <w:bCs/>
          <w:szCs w:val="24"/>
        </w:rPr>
        <w:t xml:space="preserve">as </w:t>
      </w:r>
      <w:r>
        <w:rPr>
          <w:bCs/>
          <w:szCs w:val="24"/>
        </w:rPr>
        <w:t xml:space="preserve">to </w:t>
      </w:r>
      <w:r w:rsidR="007233AA">
        <w:rPr>
          <w:bCs/>
          <w:szCs w:val="24"/>
        </w:rPr>
        <w:t xml:space="preserve">what </w:t>
      </w:r>
      <w:r>
        <w:rPr>
          <w:bCs/>
          <w:szCs w:val="24"/>
        </w:rPr>
        <w:t xml:space="preserve">the utility applicant </w:t>
      </w:r>
      <w:r w:rsidR="007233AA">
        <w:rPr>
          <w:bCs/>
          <w:szCs w:val="24"/>
        </w:rPr>
        <w:t>could file or request</w:t>
      </w:r>
      <w:r>
        <w:rPr>
          <w:bCs/>
          <w:szCs w:val="24"/>
        </w:rPr>
        <w:t>, the process nonetheless will be abbreviated</w:t>
      </w:r>
      <w:r w:rsidR="00DF7768">
        <w:rPr>
          <w:bCs/>
          <w:szCs w:val="24"/>
        </w:rPr>
        <w:t>,</w:t>
      </w:r>
      <w:r>
        <w:rPr>
          <w:bCs/>
          <w:szCs w:val="24"/>
        </w:rPr>
        <w:t xml:space="preserve"> or expedited, thus limiting Staff and </w:t>
      </w:r>
      <w:proofErr w:type="spellStart"/>
      <w:r>
        <w:rPr>
          <w:bCs/>
          <w:szCs w:val="24"/>
        </w:rPr>
        <w:t>Intervenors</w:t>
      </w:r>
      <w:proofErr w:type="spellEnd"/>
      <w:r w:rsidR="007233AA">
        <w:rPr>
          <w:bCs/>
          <w:szCs w:val="24"/>
        </w:rPr>
        <w:t>’</w:t>
      </w:r>
      <w:r>
        <w:rPr>
          <w:bCs/>
          <w:szCs w:val="24"/>
        </w:rPr>
        <w:t xml:space="preserve"> ability to review the utility’s practices, procedu</w:t>
      </w:r>
      <w:r w:rsidR="008069E0">
        <w:rPr>
          <w:bCs/>
          <w:szCs w:val="24"/>
        </w:rPr>
        <w:t xml:space="preserve">res and investment decisions </w:t>
      </w:r>
      <w:r>
        <w:rPr>
          <w:bCs/>
          <w:szCs w:val="24"/>
        </w:rPr>
        <w:t xml:space="preserve">more </w:t>
      </w:r>
      <w:r w:rsidR="00501826">
        <w:rPr>
          <w:bCs/>
          <w:szCs w:val="24"/>
        </w:rPr>
        <w:t>intensively</w:t>
      </w:r>
      <w:r>
        <w:rPr>
          <w:bCs/>
          <w:szCs w:val="24"/>
        </w:rPr>
        <w:t xml:space="preserve"> </w:t>
      </w:r>
      <w:r w:rsidR="008069E0">
        <w:rPr>
          <w:bCs/>
          <w:szCs w:val="24"/>
        </w:rPr>
        <w:t xml:space="preserve">such as </w:t>
      </w:r>
      <w:r>
        <w:rPr>
          <w:bCs/>
          <w:szCs w:val="24"/>
        </w:rPr>
        <w:t xml:space="preserve">occurs within </w:t>
      </w:r>
      <w:proofErr w:type="spellStart"/>
      <w:r>
        <w:rPr>
          <w:bCs/>
          <w:szCs w:val="24"/>
        </w:rPr>
        <w:t>GRC</w:t>
      </w:r>
      <w:proofErr w:type="spellEnd"/>
      <w:r>
        <w:rPr>
          <w:bCs/>
          <w:szCs w:val="24"/>
        </w:rPr>
        <w:t xml:space="preserve"> </w:t>
      </w:r>
      <w:r>
        <w:rPr>
          <w:bCs/>
          <w:szCs w:val="24"/>
        </w:rPr>
        <w:lastRenderedPageBreak/>
        <w:t xml:space="preserve">application reviews.  Thus, some limitation as to the number of </w:t>
      </w:r>
      <w:proofErr w:type="spellStart"/>
      <w:r>
        <w:rPr>
          <w:bCs/>
          <w:szCs w:val="24"/>
        </w:rPr>
        <w:t>ERFs</w:t>
      </w:r>
      <w:proofErr w:type="spellEnd"/>
      <w:r>
        <w:rPr>
          <w:bCs/>
          <w:szCs w:val="24"/>
        </w:rPr>
        <w:t xml:space="preserve"> to be filed before a more detailed </w:t>
      </w:r>
      <w:proofErr w:type="spellStart"/>
      <w:r>
        <w:rPr>
          <w:bCs/>
          <w:szCs w:val="24"/>
        </w:rPr>
        <w:t>GRC</w:t>
      </w:r>
      <w:proofErr w:type="spellEnd"/>
      <w:r>
        <w:rPr>
          <w:bCs/>
          <w:szCs w:val="24"/>
        </w:rPr>
        <w:t xml:space="preserve"> review is undertaken is reasonable</w:t>
      </w:r>
      <w:r w:rsidR="00C872B3">
        <w:rPr>
          <w:bCs/>
          <w:szCs w:val="24"/>
        </w:rPr>
        <w:t xml:space="preserve"> </w:t>
      </w:r>
    </w:p>
    <w:p w:rsidR="00F203D6" w:rsidRPr="009674B6" w:rsidRDefault="00F203D6" w:rsidP="00AC0D7F">
      <w:pPr>
        <w:pStyle w:val="BodyTextIndent"/>
        <w:spacing w:line="480" w:lineRule="auto"/>
        <w:rPr>
          <w:b/>
          <w:bCs/>
          <w:szCs w:val="24"/>
        </w:rPr>
      </w:pPr>
      <w:r>
        <w:rPr>
          <w:b/>
          <w:bCs/>
          <w:szCs w:val="24"/>
        </w:rPr>
        <w:t>Q:</w:t>
      </w:r>
      <w:r w:rsidRPr="009674B6">
        <w:rPr>
          <w:b/>
          <w:bCs/>
          <w:szCs w:val="24"/>
        </w:rPr>
        <w:tab/>
        <w:t>Does this conclude your testimony?</w:t>
      </w:r>
    </w:p>
    <w:p w:rsidR="00747EEF" w:rsidRDefault="00F203D6" w:rsidP="00AC0D7F">
      <w:pPr>
        <w:pStyle w:val="BodyTextIndent"/>
        <w:spacing w:line="480" w:lineRule="auto"/>
      </w:pPr>
      <w:r w:rsidRPr="009674B6">
        <w:rPr>
          <w:bCs/>
          <w:szCs w:val="24"/>
        </w:rPr>
        <w:t>A.</w:t>
      </w:r>
      <w:r w:rsidRPr="009674B6">
        <w:rPr>
          <w:bCs/>
          <w:szCs w:val="24"/>
        </w:rPr>
        <w:tab/>
        <w:t>Yes, it does.</w:t>
      </w:r>
      <w:bookmarkEnd w:id="1"/>
      <w:bookmarkEnd w:id="2"/>
      <w:r w:rsidRPr="009674B6">
        <w:rPr>
          <w:b/>
          <w:szCs w:val="24"/>
        </w:rPr>
        <w:t xml:space="preserve"> </w:t>
      </w:r>
    </w:p>
    <w:sectPr w:rsidR="00747EEF" w:rsidSect="00F203D6">
      <w:headerReference w:type="default" r:id="rId12"/>
      <w:footerReference w:type="default" r:id="rId13"/>
      <w:pgSz w:w="12240" w:h="15840"/>
      <w:pgMar w:top="1440" w:right="1440" w:bottom="1440" w:left="1800" w:header="720" w:footer="720" w:gutter="0"/>
      <w:lnNumType w:countBy="1"/>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2E4" w:rsidRDefault="006832E4">
      <w:r>
        <w:separator/>
      </w:r>
    </w:p>
  </w:endnote>
  <w:endnote w:type="continuationSeparator" w:id="0">
    <w:p w:rsidR="006832E4" w:rsidRDefault="00683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2E4" w:rsidRDefault="001F15AB">
    <w:pPr>
      <w:pStyle w:val="Footer"/>
      <w:framePr w:wrap="around" w:vAnchor="text" w:hAnchor="margin" w:xAlign="right" w:y="1"/>
      <w:rPr>
        <w:rStyle w:val="PageNumber"/>
      </w:rPr>
    </w:pPr>
    <w:r>
      <w:rPr>
        <w:rStyle w:val="PageNumber"/>
      </w:rPr>
      <w:fldChar w:fldCharType="begin"/>
    </w:r>
    <w:r w:rsidR="006832E4">
      <w:rPr>
        <w:rStyle w:val="PageNumber"/>
      </w:rPr>
      <w:instrText xml:space="preserve">PAGE  </w:instrText>
    </w:r>
    <w:r>
      <w:rPr>
        <w:rStyle w:val="PageNumber"/>
      </w:rPr>
      <w:fldChar w:fldCharType="end"/>
    </w:r>
  </w:p>
  <w:p w:rsidR="006832E4" w:rsidRDefault="006832E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2E4" w:rsidRDefault="006832E4">
    <w:pPr>
      <w:tabs>
        <w:tab w:val="center" w:pos="4680"/>
      </w:tabs>
      <w:spacing w:line="240" w:lineRule="exact"/>
    </w:pPr>
  </w:p>
  <w:p w:rsidR="006832E4" w:rsidRDefault="006832E4">
    <w:pPr>
      <w:tabs>
        <w:tab w:val="center" w:pos="4680"/>
      </w:tabs>
      <w:spacing w:line="240" w:lineRule="exact"/>
      <w:rPr>
        <w:sz w:val="18"/>
      </w:rP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2E4" w:rsidRDefault="006832E4">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2E4" w:rsidRDefault="006832E4">
    <w:pPr>
      <w:spacing w:line="240" w:lineRule="exact"/>
    </w:pPr>
  </w:p>
  <w:p w:rsidR="006832E4" w:rsidRPr="00456A2D" w:rsidRDefault="001F15AB">
    <w:pPr>
      <w:framePr w:wrap="around" w:vAnchor="text" w:hAnchor="margin" w:xAlign="center" w:y="1"/>
      <w:jc w:val="center"/>
      <w:rPr>
        <w:sz w:val="20"/>
      </w:rPr>
    </w:pPr>
    <w:r w:rsidRPr="00456A2D">
      <w:rPr>
        <w:sz w:val="20"/>
      </w:rPr>
      <w:fldChar w:fldCharType="begin"/>
    </w:r>
    <w:r w:rsidR="006832E4" w:rsidRPr="00456A2D">
      <w:rPr>
        <w:sz w:val="20"/>
      </w:rPr>
      <w:instrText xml:space="preserve">PAGE </w:instrText>
    </w:r>
    <w:r w:rsidRPr="00456A2D">
      <w:rPr>
        <w:sz w:val="20"/>
      </w:rPr>
      <w:fldChar w:fldCharType="separate"/>
    </w:r>
    <w:r w:rsidR="00BD5487">
      <w:rPr>
        <w:noProof/>
        <w:sz w:val="20"/>
      </w:rPr>
      <w:t>9</w:t>
    </w:r>
    <w:r w:rsidRPr="00456A2D">
      <w:rPr>
        <w:sz w:val="20"/>
      </w:rPr>
      <w:fldChar w:fldCharType="end"/>
    </w:r>
  </w:p>
  <w:p w:rsidR="006832E4" w:rsidRDefault="006832E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2E4" w:rsidRDefault="006832E4">
      <w:r>
        <w:separator/>
      </w:r>
    </w:p>
  </w:footnote>
  <w:footnote w:type="continuationSeparator" w:id="0">
    <w:p w:rsidR="006832E4" w:rsidRDefault="006832E4">
      <w:r>
        <w:continuationSeparator/>
      </w:r>
    </w:p>
  </w:footnote>
  <w:footnote w:id="1">
    <w:p w:rsidR="006832E4" w:rsidRDefault="006832E4">
      <w:pPr>
        <w:pStyle w:val="FootnoteText"/>
      </w:pPr>
      <w:r>
        <w:rPr>
          <w:rStyle w:val="FootnoteReference"/>
        </w:rPr>
        <w:footnoteRef/>
      </w:r>
      <w:r>
        <w:t xml:space="preserve"> </w:t>
      </w:r>
      <w:proofErr w:type="gramStart"/>
      <w:r>
        <w:t>Puget Sound Energy Docket Nos.</w:t>
      </w:r>
      <w:proofErr w:type="gramEnd"/>
      <w:r>
        <w:t xml:space="preserve"> </w:t>
      </w:r>
      <w:proofErr w:type="spellStart"/>
      <w:proofErr w:type="gramStart"/>
      <w:r>
        <w:t>UE</w:t>
      </w:r>
      <w:proofErr w:type="spellEnd"/>
      <w:r>
        <w:t xml:space="preserve">-121697, </w:t>
      </w:r>
      <w:proofErr w:type="spellStart"/>
      <w:r>
        <w:t>UG</w:t>
      </w:r>
      <w:proofErr w:type="spellEnd"/>
      <w:r>
        <w:t xml:space="preserve">-121705, </w:t>
      </w:r>
      <w:proofErr w:type="spellStart"/>
      <w:r>
        <w:t>UE</w:t>
      </w:r>
      <w:proofErr w:type="spellEnd"/>
      <w:r>
        <w:t xml:space="preserve">-130137 and </w:t>
      </w:r>
      <w:proofErr w:type="spellStart"/>
      <w:r>
        <w:t>UG</w:t>
      </w:r>
      <w:proofErr w:type="spellEnd"/>
      <w:r>
        <w:t>-130138.</w:t>
      </w:r>
      <w:proofErr w:type="gramEnd"/>
    </w:p>
  </w:footnote>
  <w:footnote w:id="2">
    <w:p w:rsidR="006832E4" w:rsidRDefault="006832E4">
      <w:pPr>
        <w:pStyle w:val="FootnoteText"/>
      </w:pPr>
      <w:r>
        <w:rPr>
          <w:rStyle w:val="FootnoteReference"/>
        </w:rPr>
        <w:footnoteRef/>
      </w:r>
      <w:r>
        <w:t xml:space="preserve"> </w:t>
      </w:r>
      <w:r>
        <w:rPr>
          <w:szCs w:val="24"/>
        </w:rPr>
        <w:t xml:space="preserve">As this Commission may recall from the first-ever </w:t>
      </w:r>
      <w:proofErr w:type="spellStart"/>
      <w:r>
        <w:rPr>
          <w:szCs w:val="24"/>
        </w:rPr>
        <w:t>ERF</w:t>
      </w:r>
      <w:proofErr w:type="spellEnd"/>
      <w:r>
        <w:rPr>
          <w:szCs w:val="24"/>
        </w:rPr>
        <w:t xml:space="preserve"> submitted by Puget Sound Energy (“PSE”) earlier this year, PSE initially unilaterally made the decision to post some – but not all – restating adjustments that it determined to be material.  In the end, while PSE’s initial omission of certain restating adjustments in that proceeding may not have had a material impact in that particular </w:t>
      </w:r>
      <w:proofErr w:type="spellStart"/>
      <w:r>
        <w:rPr>
          <w:szCs w:val="24"/>
        </w:rPr>
        <w:t>ERF</w:t>
      </w:r>
      <w:proofErr w:type="spellEnd"/>
      <w:r>
        <w:rPr>
          <w:szCs w:val="24"/>
        </w:rPr>
        <w:t xml:space="preserve"> test year, a requirement to simply post</w:t>
      </w:r>
      <w:r w:rsidRPr="005E0FE3">
        <w:rPr>
          <w:i/>
          <w:szCs w:val="24"/>
        </w:rPr>
        <w:t xml:space="preserve"> all</w:t>
      </w:r>
      <w:r>
        <w:rPr>
          <w:szCs w:val="24"/>
        </w:rPr>
        <w:t xml:space="preserve"> previously-adopted restating adjustments should eliminate concerns of any party “cherry picking” which restating adjustments are both appropriate and material</w:t>
      </w:r>
    </w:p>
  </w:footnote>
  <w:footnote w:id="3">
    <w:p w:rsidR="006832E4" w:rsidRDefault="006832E4">
      <w:pPr>
        <w:pStyle w:val="FootnoteText"/>
      </w:pPr>
      <w:r>
        <w:rPr>
          <w:rStyle w:val="FootnoteReference"/>
        </w:rPr>
        <w:footnoteRef/>
      </w:r>
      <w:r>
        <w:t xml:space="preserve"> Exhibit No. </w:t>
      </w:r>
      <w:proofErr w:type="spellStart"/>
      <w:proofErr w:type="gramStart"/>
      <w:r>
        <w:t>DJR</w:t>
      </w:r>
      <w:proofErr w:type="spellEnd"/>
      <w:r>
        <w:t>-3, page 1.</w:t>
      </w:r>
      <w:proofErr w:type="gramEnd"/>
    </w:p>
  </w:footnote>
  <w:footnote w:id="4">
    <w:p w:rsidR="006832E4" w:rsidRDefault="006832E4" w:rsidP="002B4010">
      <w:pPr>
        <w:pStyle w:val="FootnoteText"/>
      </w:pPr>
      <w:r>
        <w:rPr>
          <w:rStyle w:val="FootnoteReference"/>
        </w:rPr>
        <w:footnoteRef/>
      </w:r>
      <w:r>
        <w:t xml:space="preserve"> </w:t>
      </w:r>
      <w:r w:rsidRPr="00FA4FAA">
        <w:rPr>
          <w:i/>
        </w:rPr>
        <w:t>See</w:t>
      </w:r>
      <w:r>
        <w:t xml:space="preserve"> WAC 480-07-505(1).</w:t>
      </w:r>
    </w:p>
  </w:footnote>
  <w:footnote w:id="5">
    <w:p w:rsidR="006832E4" w:rsidRDefault="006832E4">
      <w:pPr>
        <w:pStyle w:val="FootnoteText"/>
      </w:pPr>
      <w:r>
        <w:rPr>
          <w:rStyle w:val="FootnoteReference"/>
        </w:rPr>
        <w:footnoteRef/>
      </w:r>
      <w:r>
        <w:t xml:space="preserve"> Exhibit No. </w:t>
      </w:r>
      <w:proofErr w:type="spellStart"/>
      <w:r>
        <w:t>DJR</w:t>
      </w:r>
      <w:proofErr w:type="spellEnd"/>
      <w:r>
        <w:t>-3, Page 1, subpart (b) (</w:t>
      </w:r>
      <w:proofErr w:type="spellStart"/>
      <w:r>
        <w:t>i</w:t>
      </w:r>
      <w:proofErr w:type="spellEnd"/>
      <w:r>
        <w:t>)</w:t>
      </w:r>
    </w:p>
  </w:footnote>
  <w:footnote w:id="6">
    <w:p w:rsidR="006832E4" w:rsidRDefault="006832E4">
      <w:pPr>
        <w:pStyle w:val="FootnoteText"/>
      </w:pPr>
      <w:r>
        <w:rPr>
          <w:rStyle w:val="FootnoteReference"/>
        </w:rPr>
        <w:footnoteRef/>
      </w:r>
      <w:r>
        <w:t xml:space="preserve"> Rate base valuation based upon </w:t>
      </w:r>
      <w:proofErr w:type="spellStart"/>
      <w:r>
        <w:t>ERF</w:t>
      </w:r>
      <w:proofErr w:type="spellEnd"/>
      <w:r>
        <w:t xml:space="preserve"> test year end data and annualizing depreciation expense based upon </w:t>
      </w:r>
      <w:proofErr w:type="spellStart"/>
      <w:r>
        <w:t>ERF</w:t>
      </w:r>
      <w:proofErr w:type="spellEnd"/>
      <w:r>
        <w:t xml:space="preserve"> test year end Plant in Service values.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2E4" w:rsidRDefault="006832E4">
    <w:pPr>
      <w:jc w:val="right"/>
      <w:rPr>
        <w:sz w:val="20"/>
      </w:rPr>
    </w:pPr>
    <w:r>
      <w:t xml:space="preserve">                           </w:t>
    </w:r>
  </w:p>
  <w:p w:rsidR="006832E4" w:rsidRDefault="006832E4">
    <w:pPr>
      <w:jc w:val="right"/>
      <w:rPr>
        <w:sz w:val="20"/>
      </w:rPr>
    </w:pPr>
  </w:p>
  <w:p w:rsidR="006832E4" w:rsidRDefault="006832E4">
    <w:pPr>
      <w:pStyle w:val="Header"/>
    </w:pPr>
  </w:p>
  <w:p w:rsidR="006832E4" w:rsidRDefault="006832E4">
    <w:pPr>
      <w:pStyle w:val="Header"/>
    </w:pPr>
  </w:p>
  <w:p w:rsidR="006832E4" w:rsidRDefault="006832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2E4" w:rsidRPr="00F24B48" w:rsidRDefault="006832E4" w:rsidP="00F203D6">
    <w:pPr>
      <w:jc w:val="right"/>
      <w:rPr>
        <w:sz w:val="20"/>
      </w:rPr>
    </w:pPr>
    <w:r w:rsidRPr="00F24B48">
      <w:rPr>
        <w:sz w:val="20"/>
        <w:szCs w:val="20"/>
      </w:rPr>
      <w:t xml:space="preserve">                    </w:t>
    </w:r>
    <w:r>
      <w:rPr>
        <w:sz w:val="20"/>
        <w:szCs w:val="20"/>
      </w:rPr>
      <w:t xml:space="preserve">             Docket </w:t>
    </w:r>
    <w:proofErr w:type="spellStart"/>
    <w:r>
      <w:rPr>
        <w:sz w:val="20"/>
        <w:szCs w:val="20"/>
      </w:rPr>
      <w:t>UE</w:t>
    </w:r>
    <w:proofErr w:type="spellEnd"/>
    <w:r>
      <w:rPr>
        <w:sz w:val="20"/>
        <w:szCs w:val="20"/>
      </w:rPr>
      <w:t>-130043</w:t>
    </w:r>
  </w:p>
  <w:p w:rsidR="006832E4" w:rsidRPr="00F24B48" w:rsidRDefault="006832E4" w:rsidP="00F203D6">
    <w:pPr>
      <w:jc w:val="right"/>
      <w:rPr>
        <w:sz w:val="20"/>
      </w:rPr>
    </w:pPr>
    <w:r w:rsidRPr="00F24B48">
      <w:rPr>
        <w:sz w:val="20"/>
      </w:rPr>
      <w:t xml:space="preserve"> Test</w:t>
    </w:r>
    <w:r>
      <w:rPr>
        <w:sz w:val="20"/>
      </w:rPr>
      <w:t>imony of JAMES R. DITTMER</w:t>
    </w:r>
  </w:p>
  <w:p w:rsidR="006832E4" w:rsidRDefault="006832E4" w:rsidP="00F203D6">
    <w:pPr>
      <w:jc w:val="right"/>
      <w:rPr>
        <w:sz w:val="20"/>
      </w:rPr>
    </w:pPr>
    <w:r>
      <w:rPr>
        <w:sz w:val="20"/>
      </w:rPr>
      <w:t xml:space="preserve">Exhibit No. </w:t>
    </w:r>
    <w:proofErr w:type="spellStart"/>
    <w:r>
      <w:rPr>
        <w:sz w:val="20"/>
      </w:rPr>
      <w:t>JRD-5T</w:t>
    </w:r>
    <w:proofErr w:type="spellEnd"/>
  </w:p>
  <w:p w:rsidR="006832E4" w:rsidRPr="00F24B48" w:rsidRDefault="006832E4" w:rsidP="00F203D6">
    <w:pPr>
      <w:jc w:val="right"/>
      <w:rPr>
        <w:sz w:val="20"/>
      </w:rPr>
    </w:pPr>
  </w:p>
  <w:p w:rsidR="006832E4" w:rsidRDefault="006832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90416"/>
    <w:multiLevelType w:val="hybridMultilevel"/>
    <w:tmpl w:val="F0BAB9DC"/>
    <w:lvl w:ilvl="0" w:tplc="F1D4F34C">
      <w:start w:val="1"/>
      <w:numFmt w:val="decimal"/>
      <w:pStyle w:val="Heading5"/>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94120ECA">
      <w:start w:val="1"/>
      <w:numFmt w:val="upperRoman"/>
      <w:lvlText w:val="%3."/>
      <w:lvlJc w:val="left"/>
      <w:pPr>
        <w:tabs>
          <w:tab w:val="num" w:pos="2700"/>
        </w:tabs>
        <w:ind w:left="2700" w:hanging="720"/>
      </w:pPr>
      <w:rPr>
        <w:rFonts w:hint="default"/>
      </w:rPr>
    </w:lvl>
    <w:lvl w:ilvl="3" w:tplc="A4EEE7DA">
      <w:start w:val="2"/>
      <w:numFmt w:val="lowerRoman"/>
      <w:lvlText w:val="%4."/>
      <w:lvlJc w:val="left"/>
      <w:pPr>
        <w:tabs>
          <w:tab w:val="num" w:pos="3240"/>
        </w:tabs>
        <w:ind w:left="3240" w:hanging="72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E1C0944"/>
    <w:multiLevelType w:val="hybridMultilevel"/>
    <w:tmpl w:val="BBCE4A7E"/>
    <w:lvl w:ilvl="0" w:tplc="E87C5D5A">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17A36FA6"/>
    <w:multiLevelType w:val="hybridMultilevel"/>
    <w:tmpl w:val="20245122"/>
    <w:lvl w:ilvl="0" w:tplc="58F4ED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B14AD1"/>
    <w:multiLevelType w:val="hybridMultilevel"/>
    <w:tmpl w:val="C164B4D8"/>
    <w:lvl w:ilvl="0" w:tplc="68283940">
      <w:start w:val="1"/>
      <w:numFmt w:val="upperLetter"/>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72D2E2B"/>
    <w:multiLevelType w:val="hybridMultilevel"/>
    <w:tmpl w:val="E556DAFC"/>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DB7A36"/>
    <w:multiLevelType w:val="hybridMultilevel"/>
    <w:tmpl w:val="337C940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814B52"/>
    <w:multiLevelType w:val="hybridMultilevel"/>
    <w:tmpl w:val="8B388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A4258E"/>
    <w:multiLevelType w:val="hybridMultilevel"/>
    <w:tmpl w:val="FB90863A"/>
    <w:lvl w:ilvl="0" w:tplc="490CB8FA">
      <w:start w:val="2"/>
      <w:numFmt w:val="upperLetter"/>
      <w:lvlText w:val="%1."/>
      <w:lvlJc w:val="left"/>
      <w:pPr>
        <w:ind w:left="180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54148B0"/>
    <w:multiLevelType w:val="hybridMultilevel"/>
    <w:tmpl w:val="C65410D8"/>
    <w:lvl w:ilvl="0" w:tplc="0024BE4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D7224B"/>
    <w:multiLevelType w:val="hybridMultilevel"/>
    <w:tmpl w:val="78F01B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9432B1"/>
    <w:multiLevelType w:val="hybridMultilevel"/>
    <w:tmpl w:val="F4223F2A"/>
    <w:lvl w:ilvl="0" w:tplc="ECB68C4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5475B9"/>
    <w:multiLevelType w:val="hybridMultilevel"/>
    <w:tmpl w:val="C164B4D8"/>
    <w:lvl w:ilvl="0" w:tplc="68283940">
      <w:start w:val="1"/>
      <w:numFmt w:val="upperLetter"/>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D207C9A"/>
    <w:multiLevelType w:val="hybridMultilevel"/>
    <w:tmpl w:val="8D8475EC"/>
    <w:lvl w:ilvl="0" w:tplc="682839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DD90B9B"/>
    <w:multiLevelType w:val="hybridMultilevel"/>
    <w:tmpl w:val="7226BBEA"/>
    <w:lvl w:ilvl="0" w:tplc="682839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EE65DB9"/>
    <w:multiLevelType w:val="hybridMultilevel"/>
    <w:tmpl w:val="0D3050A4"/>
    <w:lvl w:ilvl="0" w:tplc="21E017C4">
      <w:start w:val="1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F35F2D"/>
    <w:multiLevelType w:val="hybridMultilevel"/>
    <w:tmpl w:val="B128F07E"/>
    <w:lvl w:ilvl="0" w:tplc="255ECFFC">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2E34E6B"/>
    <w:multiLevelType w:val="hybridMultilevel"/>
    <w:tmpl w:val="530C6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7537735"/>
    <w:multiLevelType w:val="hybridMultilevel"/>
    <w:tmpl w:val="20B2A67C"/>
    <w:lvl w:ilvl="0" w:tplc="04090001">
      <w:start w:val="1"/>
      <w:numFmt w:val="bullet"/>
      <w:lvlText w:val=""/>
      <w:lvlJc w:val="left"/>
      <w:pPr>
        <w:ind w:left="1584" w:hanging="360"/>
      </w:pPr>
      <w:rPr>
        <w:rFonts w:ascii="Symbol" w:hAnsi="Symbol" w:hint="default"/>
      </w:rPr>
    </w:lvl>
    <w:lvl w:ilvl="1" w:tplc="04090003">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8">
    <w:nsid w:val="78CE3BA2"/>
    <w:multiLevelType w:val="hybridMultilevel"/>
    <w:tmpl w:val="E0221544"/>
    <w:lvl w:ilvl="0" w:tplc="682839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92C5B49"/>
    <w:multiLevelType w:val="hybridMultilevel"/>
    <w:tmpl w:val="A36CE51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8"/>
  </w:num>
  <w:num w:numId="7">
    <w:abstractNumId w:val="16"/>
  </w:num>
  <w:num w:numId="8">
    <w:abstractNumId w:val="11"/>
  </w:num>
  <w:num w:numId="9">
    <w:abstractNumId w:val="13"/>
  </w:num>
  <w:num w:numId="10">
    <w:abstractNumId w:val="12"/>
  </w:num>
  <w:num w:numId="11">
    <w:abstractNumId w:val="18"/>
  </w:num>
  <w:num w:numId="1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7"/>
  </w:num>
  <w:num w:numId="15">
    <w:abstractNumId w:val="9"/>
  </w:num>
  <w:num w:numId="16">
    <w:abstractNumId w:val="14"/>
  </w:num>
  <w:num w:numId="17">
    <w:abstractNumId w:val="5"/>
  </w:num>
  <w:num w:numId="18">
    <w:abstractNumId w:val="10"/>
  </w:num>
  <w:num w:numId="19">
    <w:abstractNumId w:val="15"/>
  </w:num>
  <w:num w:numId="20">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972D8A"/>
    <w:rsid w:val="000054A6"/>
    <w:rsid w:val="00026F7D"/>
    <w:rsid w:val="00032586"/>
    <w:rsid w:val="000352F2"/>
    <w:rsid w:val="000367A5"/>
    <w:rsid w:val="000467A1"/>
    <w:rsid w:val="000533F8"/>
    <w:rsid w:val="00072F9D"/>
    <w:rsid w:val="0007352C"/>
    <w:rsid w:val="00090438"/>
    <w:rsid w:val="0009553E"/>
    <w:rsid w:val="00097BE0"/>
    <w:rsid w:val="000C7E58"/>
    <w:rsid w:val="000E0334"/>
    <w:rsid w:val="000F3C72"/>
    <w:rsid w:val="000F451B"/>
    <w:rsid w:val="000F4EB3"/>
    <w:rsid w:val="001009EB"/>
    <w:rsid w:val="001134D8"/>
    <w:rsid w:val="00114641"/>
    <w:rsid w:val="001309E2"/>
    <w:rsid w:val="001618A5"/>
    <w:rsid w:val="0017312E"/>
    <w:rsid w:val="00191C37"/>
    <w:rsid w:val="00193053"/>
    <w:rsid w:val="0019704C"/>
    <w:rsid w:val="00197E8D"/>
    <w:rsid w:val="001A4E82"/>
    <w:rsid w:val="001A75FA"/>
    <w:rsid w:val="001E1B2A"/>
    <w:rsid w:val="001E34DC"/>
    <w:rsid w:val="001F15AB"/>
    <w:rsid w:val="001F62C0"/>
    <w:rsid w:val="00207E70"/>
    <w:rsid w:val="00211817"/>
    <w:rsid w:val="0023205C"/>
    <w:rsid w:val="00233001"/>
    <w:rsid w:val="002343AE"/>
    <w:rsid w:val="0023671C"/>
    <w:rsid w:val="00240358"/>
    <w:rsid w:val="002422DB"/>
    <w:rsid w:val="00250E68"/>
    <w:rsid w:val="00251367"/>
    <w:rsid w:val="0025579F"/>
    <w:rsid w:val="00255882"/>
    <w:rsid w:val="002600EA"/>
    <w:rsid w:val="00297192"/>
    <w:rsid w:val="002B4010"/>
    <w:rsid w:val="002B46C9"/>
    <w:rsid w:val="002B5F2B"/>
    <w:rsid w:val="002D189E"/>
    <w:rsid w:val="002D35A1"/>
    <w:rsid w:val="002D3E53"/>
    <w:rsid w:val="002F3E07"/>
    <w:rsid w:val="002F5345"/>
    <w:rsid w:val="00301FF6"/>
    <w:rsid w:val="0031331E"/>
    <w:rsid w:val="00322A0D"/>
    <w:rsid w:val="00323DB8"/>
    <w:rsid w:val="003242A7"/>
    <w:rsid w:val="00327B28"/>
    <w:rsid w:val="003320A5"/>
    <w:rsid w:val="00332737"/>
    <w:rsid w:val="00351255"/>
    <w:rsid w:val="00375131"/>
    <w:rsid w:val="003844D7"/>
    <w:rsid w:val="00385AFD"/>
    <w:rsid w:val="003A31FC"/>
    <w:rsid w:val="003A3745"/>
    <w:rsid w:val="003B007D"/>
    <w:rsid w:val="003B58FA"/>
    <w:rsid w:val="003C6A46"/>
    <w:rsid w:val="003D1C31"/>
    <w:rsid w:val="00400763"/>
    <w:rsid w:val="0041266F"/>
    <w:rsid w:val="00414E41"/>
    <w:rsid w:val="0042048D"/>
    <w:rsid w:val="00423B5A"/>
    <w:rsid w:val="004326ED"/>
    <w:rsid w:val="00432BA3"/>
    <w:rsid w:val="004443C4"/>
    <w:rsid w:val="00452780"/>
    <w:rsid w:val="00464F11"/>
    <w:rsid w:val="00466990"/>
    <w:rsid w:val="00466B71"/>
    <w:rsid w:val="004863CD"/>
    <w:rsid w:val="0049676E"/>
    <w:rsid w:val="00497470"/>
    <w:rsid w:val="004A1AA1"/>
    <w:rsid w:val="004A2094"/>
    <w:rsid w:val="004A4568"/>
    <w:rsid w:val="004A65EF"/>
    <w:rsid w:val="004C3CEA"/>
    <w:rsid w:val="004D0E1A"/>
    <w:rsid w:val="004D47F9"/>
    <w:rsid w:val="004E6EB4"/>
    <w:rsid w:val="004F5B7D"/>
    <w:rsid w:val="00501826"/>
    <w:rsid w:val="00501F36"/>
    <w:rsid w:val="005243A7"/>
    <w:rsid w:val="0052503C"/>
    <w:rsid w:val="00544990"/>
    <w:rsid w:val="00546AAC"/>
    <w:rsid w:val="00547A52"/>
    <w:rsid w:val="0055381E"/>
    <w:rsid w:val="005543D3"/>
    <w:rsid w:val="00556130"/>
    <w:rsid w:val="00560E45"/>
    <w:rsid w:val="00566187"/>
    <w:rsid w:val="005738A5"/>
    <w:rsid w:val="00573BD0"/>
    <w:rsid w:val="00585997"/>
    <w:rsid w:val="00595C4A"/>
    <w:rsid w:val="005C44E5"/>
    <w:rsid w:val="005C558F"/>
    <w:rsid w:val="005D4632"/>
    <w:rsid w:val="005D5233"/>
    <w:rsid w:val="005E0FE3"/>
    <w:rsid w:val="005F19F1"/>
    <w:rsid w:val="005F3C6F"/>
    <w:rsid w:val="00602823"/>
    <w:rsid w:val="00606699"/>
    <w:rsid w:val="00614C3C"/>
    <w:rsid w:val="00616D91"/>
    <w:rsid w:val="0062444A"/>
    <w:rsid w:val="00631F30"/>
    <w:rsid w:val="00636740"/>
    <w:rsid w:val="00640DFA"/>
    <w:rsid w:val="00642393"/>
    <w:rsid w:val="00662D58"/>
    <w:rsid w:val="006637F2"/>
    <w:rsid w:val="00671420"/>
    <w:rsid w:val="006739CA"/>
    <w:rsid w:val="0067769A"/>
    <w:rsid w:val="006832E4"/>
    <w:rsid w:val="0069006E"/>
    <w:rsid w:val="006A7968"/>
    <w:rsid w:val="006B23B1"/>
    <w:rsid w:val="006C10A0"/>
    <w:rsid w:val="006E6268"/>
    <w:rsid w:val="006F0B30"/>
    <w:rsid w:val="006F3958"/>
    <w:rsid w:val="006F4DD7"/>
    <w:rsid w:val="00712A4A"/>
    <w:rsid w:val="00714ED0"/>
    <w:rsid w:val="007233AA"/>
    <w:rsid w:val="00732AB5"/>
    <w:rsid w:val="0073629A"/>
    <w:rsid w:val="00747C4D"/>
    <w:rsid w:val="00747EEF"/>
    <w:rsid w:val="00757F0E"/>
    <w:rsid w:val="0076315A"/>
    <w:rsid w:val="00764F9B"/>
    <w:rsid w:val="007656B4"/>
    <w:rsid w:val="00771706"/>
    <w:rsid w:val="00786923"/>
    <w:rsid w:val="0078758B"/>
    <w:rsid w:val="0079002D"/>
    <w:rsid w:val="00795B39"/>
    <w:rsid w:val="007A1486"/>
    <w:rsid w:val="007A1D81"/>
    <w:rsid w:val="007B3FE4"/>
    <w:rsid w:val="007C7F84"/>
    <w:rsid w:val="007D6B1C"/>
    <w:rsid w:val="007E1AA6"/>
    <w:rsid w:val="007E45CD"/>
    <w:rsid w:val="007F117D"/>
    <w:rsid w:val="007F1D60"/>
    <w:rsid w:val="007F36B9"/>
    <w:rsid w:val="007F77F3"/>
    <w:rsid w:val="00801B72"/>
    <w:rsid w:val="0080315B"/>
    <w:rsid w:val="008069E0"/>
    <w:rsid w:val="00812D0D"/>
    <w:rsid w:val="00835FF9"/>
    <w:rsid w:val="00850C29"/>
    <w:rsid w:val="008549B8"/>
    <w:rsid w:val="00862F2E"/>
    <w:rsid w:val="00870A56"/>
    <w:rsid w:val="008713D3"/>
    <w:rsid w:val="008739AF"/>
    <w:rsid w:val="00882F0F"/>
    <w:rsid w:val="008847D0"/>
    <w:rsid w:val="00891C83"/>
    <w:rsid w:val="008A15A5"/>
    <w:rsid w:val="008A4200"/>
    <w:rsid w:val="008A50C8"/>
    <w:rsid w:val="008A68A4"/>
    <w:rsid w:val="008B395E"/>
    <w:rsid w:val="008B48A4"/>
    <w:rsid w:val="008C2AED"/>
    <w:rsid w:val="008E1999"/>
    <w:rsid w:val="008E6CFB"/>
    <w:rsid w:val="008F1A66"/>
    <w:rsid w:val="008F4614"/>
    <w:rsid w:val="008F4717"/>
    <w:rsid w:val="00901175"/>
    <w:rsid w:val="00906BB1"/>
    <w:rsid w:val="00915A6D"/>
    <w:rsid w:val="009312C3"/>
    <w:rsid w:val="00931805"/>
    <w:rsid w:val="00935A17"/>
    <w:rsid w:val="00953514"/>
    <w:rsid w:val="00967B92"/>
    <w:rsid w:val="00972D8A"/>
    <w:rsid w:val="00974FCC"/>
    <w:rsid w:val="00975FC8"/>
    <w:rsid w:val="00981C47"/>
    <w:rsid w:val="0098297B"/>
    <w:rsid w:val="0098552A"/>
    <w:rsid w:val="00987D3A"/>
    <w:rsid w:val="00994BB3"/>
    <w:rsid w:val="00997B70"/>
    <w:rsid w:val="009A034E"/>
    <w:rsid w:val="009A199B"/>
    <w:rsid w:val="009A771A"/>
    <w:rsid w:val="009C18C9"/>
    <w:rsid w:val="009E1525"/>
    <w:rsid w:val="009E4670"/>
    <w:rsid w:val="00A03826"/>
    <w:rsid w:val="00A0634F"/>
    <w:rsid w:val="00A07DC4"/>
    <w:rsid w:val="00A17482"/>
    <w:rsid w:val="00A40E12"/>
    <w:rsid w:val="00A62F7E"/>
    <w:rsid w:val="00A66A07"/>
    <w:rsid w:val="00A81BA8"/>
    <w:rsid w:val="00A83553"/>
    <w:rsid w:val="00A8676B"/>
    <w:rsid w:val="00A93F40"/>
    <w:rsid w:val="00A9407B"/>
    <w:rsid w:val="00AA1BB4"/>
    <w:rsid w:val="00AA3D23"/>
    <w:rsid w:val="00AC0D7F"/>
    <w:rsid w:val="00AD0A0C"/>
    <w:rsid w:val="00AD7C3A"/>
    <w:rsid w:val="00AE70D4"/>
    <w:rsid w:val="00B030A9"/>
    <w:rsid w:val="00B07BE9"/>
    <w:rsid w:val="00B226DA"/>
    <w:rsid w:val="00B25E0E"/>
    <w:rsid w:val="00B36C93"/>
    <w:rsid w:val="00B46591"/>
    <w:rsid w:val="00B5030A"/>
    <w:rsid w:val="00B55202"/>
    <w:rsid w:val="00B576D0"/>
    <w:rsid w:val="00B66DE9"/>
    <w:rsid w:val="00B71CEF"/>
    <w:rsid w:val="00B926F7"/>
    <w:rsid w:val="00B96675"/>
    <w:rsid w:val="00BA0C51"/>
    <w:rsid w:val="00BA2E5A"/>
    <w:rsid w:val="00BA46EA"/>
    <w:rsid w:val="00BB785F"/>
    <w:rsid w:val="00BC3BEA"/>
    <w:rsid w:val="00BD0238"/>
    <w:rsid w:val="00BD5487"/>
    <w:rsid w:val="00BD569F"/>
    <w:rsid w:val="00BD6910"/>
    <w:rsid w:val="00BE0898"/>
    <w:rsid w:val="00BE16BB"/>
    <w:rsid w:val="00BE4774"/>
    <w:rsid w:val="00BF5CBC"/>
    <w:rsid w:val="00C053FA"/>
    <w:rsid w:val="00C13377"/>
    <w:rsid w:val="00C15727"/>
    <w:rsid w:val="00C2035F"/>
    <w:rsid w:val="00C25E4A"/>
    <w:rsid w:val="00C34648"/>
    <w:rsid w:val="00C37C38"/>
    <w:rsid w:val="00C47534"/>
    <w:rsid w:val="00C479B0"/>
    <w:rsid w:val="00C80108"/>
    <w:rsid w:val="00C872B3"/>
    <w:rsid w:val="00CD1290"/>
    <w:rsid w:val="00D05EE5"/>
    <w:rsid w:val="00D07156"/>
    <w:rsid w:val="00D07201"/>
    <w:rsid w:val="00D22BD8"/>
    <w:rsid w:val="00D3040E"/>
    <w:rsid w:val="00D33071"/>
    <w:rsid w:val="00D3761D"/>
    <w:rsid w:val="00D4326A"/>
    <w:rsid w:val="00D52FF7"/>
    <w:rsid w:val="00D55DF2"/>
    <w:rsid w:val="00D56A83"/>
    <w:rsid w:val="00D609B5"/>
    <w:rsid w:val="00D628CC"/>
    <w:rsid w:val="00D93B73"/>
    <w:rsid w:val="00DA6399"/>
    <w:rsid w:val="00DC13C2"/>
    <w:rsid w:val="00DC1ECF"/>
    <w:rsid w:val="00DD6D2B"/>
    <w:rsid w:val="00DF7768"/>
    <w:rsid w:val="00DF791D"/>
    <w:rsid w:val="00E04201"/>
    <w:rsid w:val="00E052F6"/>
    <w:rsid w:val="00E23F8E"/>
    <w:rsid w:val="00E404C8"/>
    <w:rsid w:val="00E56F23"/>
    <w:rsid w:val="00E57336"/>
    <w:rsid w:val="00E66260"/>
    <w:rsid w:val="00E6706C"/>
    <w:rsid w:val="00E85564"/>
    <w:rsid w:val="00EB6947"/>
    <w:rsid w:val="00EB765E"/>
    <w:rsid w:val="00ED0C39"/>
    <w:rsid w:val="00EE2015"/>
    <w:rsid w:val="00EE2DF9"/>
    <w:rsid w:val="00EE327F"/>
    <w:rsid w:val="00EF3E0A"/>
    <w:rsid w:val="00F00A72"/>
    <w:rsid w:val="00F04D85"/>
    <w:rsid w:val="00F203D6"/>
    <w:rsid w:val="00F3152B"/>
    <w:rsid w:val="00F43D72"/>
    <w:rsid w:val="00F45263"/>
    <w:rsid w:val="00F46A96"/>
    <w:rsid w:val="00F5141E"/>
    <w:rsid w:val="00F52A08"/>
    <w:rsid w:val="00F6336A"/>
    <w:rsid w:val="00F636AD"/>
    <w:rsid w:val="00F75F00"/>
    <w:rsid w:val="00F84EE1"/>
    <w:rsid w:val="00F84FC0"/>
    <w:rsid w:val="00F91178"/>
    <w:rsid w:val="00F917DC"/>
    <w:rsid w:val="00F97DD6"/>
    <w:rsid w:val="00FA4FAA"/>
    <w:rsid w:val="00FC5525"/>
    <w:rsid w:val="00FC60CD"/>
    <w:rsid w:val="00FC655B"/>
    <w:rsid w:val="00FD4A5F"/>
    <w:rsid w:val="00FE04B4"/>
    <w:rsid w:val="00FF040A"/>
    <w:rsid w:val="00FF7E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36A"/>
    <w:rPr>
      <w:sz w:val="24"/>
      <w:szCs w:val="24"/>
    </w:rPr>
  </w:style>
  <w:style w:type="paragraph" w:styleId="Heading1">
    <w:name w:val="heading 1"/>
    <w:basedOn w:val="Normal"/>
    <w:next w:val="Normal"/>
    <w:qFormat/>
    <w:rsid w:val="00F6336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6336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6336A"/>
    <w:pPr>
      <w:keepNext/>
      <w:spacing w:before="240" w:after="60"/>
      <w:outlineLvl w:val="2"/>
    </w:pPr>
    <w:rPr>
      <w:rFonts w:ascii="Arial" w:hAnsi="Arial" w:cs="Arial"/>
      <w:b/>
      <w:bCs/>
      <w:sz w:val="26"/>
      <w:szCs w:val="26"/>
    </w:rPr>
  </w:style>
  <w:style w:type="paragraph" w:styleId="Heading5">
    <w:name w:val="heading 5"/>
    <w:basedOn w:val="Normal"/>
    <w:next w:val="Normal"/>
    <w:qFormat/>
    <w:rsid w:val="00F6336A"/>
    <w:pPr>
      <w:keepNext/>
      <w:numPr>
        <w:numId w:val="1"/>
      </w:numPr>
      <w:spacing w:before="240" w:line="288" w:lineRule="auto"/>
      <w:ind w:hanging="720"/>
      <w:outlineLvl w:val="4"/>
    </w:pPr>
    <w:rPr>
      <w:rFonts w:ascii="Palatino Linotype" w:hAnsi="Palatino Linotype"/>
      <w:b/>
      <w:bCs/>
    </w:rPr>
  </w:style>
  <w:style w:type="paragraph" w:styleId="Heading7">
    <w:name w:val="heading 7"/>
    <w:basedOn w:val="Normal"/>
    <w:next w:val="Normal"/>
    <w:qFormat/>
    <w:rsid w:val="00F6336A"/>
    <w:pPr>
      <w:widowControl w:val="0"/>
      <w:autoSpaceDE w:val="0"/>
      <w:autoSpaceDN w:val="0"/>
      <w:adjustRightInd w:val="0"/>
      <w:spacing w:before="240" w:after="60"/>
      <w:outlineLvl w:val="6"/>
    </w:pPr>
  </w:style>
  <w:style w:type="paragraph" w:styleId="Heading8">
    <w:name w:val="heading 8"/>
    <w:basedOn w:val="Normal"/>
    <w:next w:val="Normal"/>
    <w:qFormat/>
    <w:rsid w:val="00F6336A"/>
    <w:pPr>
      <w:widowControl w:val="0"/>
      <w:autoSpaceDE w:val="0"/>
      <w:autoSpaceDN w:val="0"/>
      <w:adjustRightInd w:val="0"/>
      <w:spacing w:before="240" w:after="60"/>
      <w:outlineLvl w:val="7"/>
    </w:pPr>
    <w:rPr>
      <w:i/>
      <w:iCs/>
    </w:rPr>
  </w:style>
  <w:style w:type="paragraph" w:styleId="Heading9">
    <w:name w:val="heading 9"/>
    <w:basedOn w:val="Normal"/>
    <w:next w:val="Normal"/>
    <w:qFormat/>
    <w:rsid w:val="00F6336A"/>
    <w:pPr>
      <w:widowControl w:val="0"/>
      <w:autoSpaceDE w:val="0"/>
      <w:autoSpaceDN w:val="0"/>
      <w:adjustRightInd w:val="0"/>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F6336A"/>
  </w:style>
  <w:style w:type="paragraph" w:styleId="Header">
    <w:name w:val="header"/>
    <w:basedOn w:val="Normal"/>
    <w:link w:val="HeaderChar"/>
    <w:uiPriority w:val="99"/>
    <w:rsid w:val="00F6336A"/>
    <w:pPr>
      <w:tabs>
        <w:tab w:val="center" w:pos="4320"/>
        <w:tab w:val="right" w:pos="8640"/>
      </w:tabs>
    </w:pPr>
  </w:style>
  <w:style w:type="paragraph" w:styleId="Footer">
    <w:name w:val="footer"/>
    <w:basedOn w:val="Normal"/>
    <w:rsid w:val="00F6336A"/>
    <w:pPr>
      <w:tabs>
        <w:tab w:val="center" w:pos="4320"/>
        <w:tab w:val="right" w:pos="8640"/>
      </w:tabs>
    </w:pPr>
  </w:style>
  <w:style w:type="character" w:styleId="PageNumber">
    <w:name w:val="page number"/>
    <w:basedOn w:val="DefaultParagraphFont"/>
    <w:rsid w:val="00F6336A"/>
  </w:style>
  <w:style w:type="paragraph" w:styleId="BalloonText">
    <w:name w:val="Balloon Text"/>
    <w:basedOn w:val="Normal"/>
    <w:semiHidden/>
    <w:rsid w:val="00F6336A"/>
    <w:rPr>
      <w:rFonts w:ascii="Tahoma" w:hAnsi="Tahoma" w:cs="Tahoma"/>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uiPriority w:val="99"/>
    <w:rsid w:val="00F6336A"/>
    <w:rPr>
      <w:sz w:val="20"/>
      <w:szCs w:val="20"/>
    </w:rPr>
  </w:style>
  <w:style w:type="character" w:styleId="FootnoteReference">
    <w:name w:val="footnote reference"/>
    <w:aliases w:val="Style 11"/>
    <w:basedOn w:val="DefaultParagraphFont"/>
    <w:uiPriority w:val="99"/>
    <w:rsid w:val="00F6336A"/>
    <w:rPr>
      <w:vertAlign w:val="superscript"/>
    </w:rPr>
  </w:style>
  <w:style w:type="paragraph" w:styleId="Title">
    <w:name w:val="Title"/>
    <w:basedOn w:val="Normal"/>
    <w:qFormat/>
    <w:rsid w:val="00F6336A"/>
    <w:pPr>
      <w:tabs>
        <w:tab w:val="left" w:pos="360"/>
      </w:tabs>
      <w:ind w:left="360" w:hanging="360"/>
      <w:jc w:val="center"/>
    </w:pPr>
    <w:rPr>
      <w:b/>
      <w:szCs w:val="20"/>
    </w:rPr>
  </w:style>
  <w:style w:type="paragraph" w:customStyle="1" w:styleId="Level1">
    <w:name w:val="Level 1"/>
    <w:basedOn w:val="Normal"/>
    <w:rsid w:val="00F6336A"/>
    <w:pPr>
      <w:widowControl w:val="0"/>
      <w:autoSpaceDE w:val="0"/>
      <w:autoSpaceDN w:val="0"/>
      <w:adjustRightInd w:val="0"/>
      <w:ind w:left="720" w:hanging="720"/>
    </w:pPr>
  </w:style>
  <w:style w:type="character" w:styleId="CommentReference">
    <w:name w:val="annotation reference"/>
    <w:basedOn w:val="DefaultParagraphFont"/>
    <w:semiHidden/>
    <w:rsid w:val="00F6336A"/>
    <w:rPr>
      <w:sz w:val="16"/>
      <w:szCs w:val="16"/>
    </w:rPr>
  </w:style>
  <w:style w:type="paragraph" w:styleId="CommentText">
    <w:name w:val="annotation text"/>
    <w:basedOn w:val="Normal"/>
    <w:link w:val="CommentTextChar"/>
    <w:semiHidden/>
    <w:rsid w:val="00F6336A"/>
    <w:rPr>
      <w:sz w:val="20"/>
      <w:szCs w:val="20"/>
    </w:rPr>
  </w:style>
  <w:style w:type="paragraph" w:styleId="BodyText">
    <w:name w:val="Body Text"/>
    <w:basedOn w:val="Normal"/>
    <w:rsid w:val="00F6336A"/>
    <w:pPr>
      <w:jc w:val="both"/>
    </w:pPr>
    <w:rPr>
      <w:szCs w:val="20"/>
    </w:rPr>
  </w:style>
  <w:style w:type="paragraph" w:styleId="BodyTextIndent">
    <w:name w:val="Body Text Indent"/>
    <w:basedOn w:val="Normal"/>
    <w:rsid w:val="00F6336A"/>
    <w:pPr>
      <w:spacing w:line="360" w:lineRule="auto"/>
      <w:ind w:left="720" w:hanging="720"/>
    </w:pPr>
    <w:rPr>
      <w:szCs w:val="20"/>
    </w:rPr>
  </w:style>
  <w:style w:type="paragraph" w:styleId="BodyTextIndent2">
    <w:name w:val="Body Text Indent 2"/>
    <w:basedOn w:val="Normal"/>
    <w:rsid w:val="00F6336A"/>
    <w:pPr>
      <w:spacing w:line="360" w:lineRule="auto"/>
      <w:ind w:left="720" w:hanging="720"/>
      <w:jc w:val="both"/>
    </w:pPr>
    <w:rPr>
      <w:szCs w:val="20"/>
    </w:rPr>
  </w:style>
  <w:style w:type="paragraph" w:styleId="BodyTextIndent3">
    <w:name w:val="Body Text Indent 3"/>
    <w:basedOn w:val="Normal"/>
    <w:rsid w:val="00F6336A"/>
    <w:pPr>
      <w:spacing w:line="360" w:lineRule="auto"/>
      <w:ind w:left="720" w:hanging="720"/>
      <w:jc w:val="both"/>
    </w:pPr>
    <w:rPr>
      <w:b/>
      <w:szCs w:val="20"/>
    </w:rPr>
  </w:style>
  <w:style w:type="paragraph" w:styleId="BodyText2">
    <w:name w:val="Body Text 2"/>
    <w:basedOn w:val="Normal"/>
    <w:rsid w:val="00F6336A"/>
    <w:pPr>
      <w:spacing w:line="360" w:lineRule="auto"/>
    </w:pPr>
    <w:rPr>
      <w:b/>
      <w:szCs w:val="20"/>
    </w:rPr>
  </w:style>
  <w:style w:type="paragraph" w:styleId="BodyText3">
    <w:name w:val="Body Text 3"/>
    <w:basedOn w:val="Normal"/>
    <w:rsid w:val="00F6336A"/>
    <w:pPr>
      <w:spacing w:line="360" w:lineRule="auto"/>
      <w:jc w:val="both"/>
    </w:pPr>
    <w:rPr>
      <w:b/>
      <w:szCs w:val="20"/>
    </w:rPr>
  </w:style>
  <w:style w:type="paragraph" w:customStyle="1" w:styleId="1Roman">
    <w:name w:val="1Roman"/>
    <w:rsid w:val="00F6336A"/>
    <w:pPr>
      <w:tabs>
        <w:tab w:val="left" w:pos="720"/>
      </w:tabs>
      <w:ind w:left="720" w:hanging="720"/>
    </w:pPr>
    <w:rPr>
      <w:snapToGrid w:val="0"/>
      <w:sz w:val="24"/>
    </w:rPr>
  </w:style>
  <w:style w:type="paragraph" w:customStyle="1" w:styleId="testimony">
    <w:name w:val="testimony"/>
    <w:basedOn w:val="Normal"/>
    <w:rsid w:val="00F6336A"/>
    <w:pPr>
      <w:tabs>
        <w:tab w:val="left" w:pos="720"/>
        <w:tab w:val="left" w:pos="2160"/>
      </w:tabs>
      <w:spacing w:line="440" w:lineRule="atLeast"/>
      <w:ind w:hanging="360"/>
    </w:pPr>
    <w:rPr>
      <w:rFonts w:ascii="Times" w:hAnsi="Times"/>
      <w:szCs w:val="20"/>
    </w:rPr>
  </w:style>
  <w:style w:type="paragraph" w:customStyle="1" w:styleId="quote">
    <w:name w:val="quote"/>
    <w:basedOn w:val="testimony"/>
    <w:rsid w:val="00F6336A"/>
    <w:pPr>
      <w:tabs>
        <w:tab w:val="clear" w:pos="720"/>
      </w:tabs>
      <w:spacing w:line="240" w:lineRule="auto"/>
      <w:ind w:left="1440" w:right="1440" w:firstLine="0"/>
    </w:pPr>
  </w:style>
  <w:style w:type="character" w:styleId="Hyperlink">
    <w:name w:val="Hyperlink"/>
    <w:basedOn w:val="DefaultParagraphFont"/>
    <w:rsid w:val="00F6336A"/>
    <w:rPr>
      <w:color w:val="0000FF"/>
      <w:u w:val="single"/>
    </w:rPr>
  </w:style>
  <w:style w:type="table" w:styleId="TableGrid">
    <w:name w:val="Table Grid"/>
    <w:basedOn w:val="TableNormal"/>
    <w:rsid w:val="00F633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F203D6"/>
    <w:rPr>
      <w:sz w:val="24"/>
      <w:szCs w:val="24"/>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link w:val="FootnoteText"/>
    <w:uiPriority w:val="99"/>
    <w:rsid w:val="00F203D6"/>
  </w:style>
  <w:style w:type="paragraph" w:styleId="ListParagraph">
    <w:name w:val="List Paragraph"/>
    <w:basedOn w:val="Normal"/>
    <w:uiPriority w:val="34"/>
    <w:qFormat/>
    <w:rsid w:val="00323DB8"/>
    <w:pPr>
      <w:ind w:left="720"/>
      <w:contextualSpacing/>
    </w:pPr>
  </w:style>
  <w:style w:type="paragraph" w:styleId="CommentSubject">
    <w:name w:val="annotation subject"/>
    <w:basedOn w:val="CommentText"/>
    <w:next w:val="CommentText"/>
    <w:link w:val="CommentSubjectChar"/>
    <w:uiPriority w:val="99"/>
    <w:semiHidden/>
    <w:unhideWhenUsed/>
    <w:rsid w:val="003D1C31"/>
    <w:rPr>
      <w:b/>
      <w:bCs/>
    </w:rPr>
  </w:style>
  <w:style w:type="character" w:customStyle="1" w:styleId="CommentTextChar">
    <w:name w:val="Comment Text Char"/>
    <w:basedOn w:val="DefaultParagraphFont"/>
    <w:link w:val="CommentText"/>
    <w:semiHidden/>
    <w:rsid w:val="003D1C31"/>
  </w:style>
  <w:style w:type="character" w:customStyle="1" w:styleId="CommentSubjectChar">
    <w:name w:val="Comment Subject Char"/>
    <w:basedOn w:val="CommentTextChar"/>
    <w:link w:val="CommentSubject"/>
    <w:rsid w:val="003D1C31"/>
  </w:style>
</w:styles>
</file>

<file path=word/webSettings.xml><?xml version="1.0" encoding="utf-8"?>
<w:webSettings xmlns:r="http://schemas.openxmlformats.org/officeDocument/2006/relationships" xmlns:w="http://schemas.openxmlformats.org/wordprocessingml/2006/main">
  <w:divs>
    <w:div w:id="28122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2013-08-02T07:00:00+00:00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C50CD99-4B31-498B-B75A-44B40406207D}"/>
</file>

<file path=customXml/itemProps2.xml><?xml version="1.0" encoding="utf-8"?>
<ds:datastoreItem xmlns:ds="http://schemas.openxmlformats.org/officeDocument/2006/customXml" ds:itemID="{E429D12E-2A43-40B8-BC78-A9CC46035127}"/>
</file>

<file path=customXml/itemProps3.xml><?xml version="1.0" encoding="utf-8"?>
<ds:datastoreItem xmlns:ds="http://schemas.openxmlformats.org/officeDocument/2006/customXml" ds:itemID="{DC392D1F-E200-4328-9027-73A26A7AFBA1}"/>
</file>

<file path=customXml/itemProps4.xml><?xml version="1.0" encoding="utf-8"?>
<ds:datastoreItem xmlns:ds="http://schemas.openxmlformats.org/officeDocument/2006/customXml" ds:itemID="{35E3B066-DB00-4745-A6A4-1538B6201BCA}"/>
</file>

<file path=customXml/itemProps5.xml><?xml version="1.0" encoding="utf-8"?>
<ds:datastoreItem xmlns:ds="http://schemas.openxmlformats.org/officeDocument/2006/customXml" ds:itemID="{6CF5D0D8-90EB-4C3D-8E80-E675A8B53943}"/>
</file>

<file path=docProps/app.xml><?xml version="1.0" encoding="utf-8"?>
<Properties xmlns="http://schemas.openxmlformats.org/officeDocument/2006/extended-properties" xmlns:vt="http://schemas.openxmlformats.org/officeDocument/2006/docPropsVTypes">
  <Template>Normal.dotm</Template>
  <TotalTime>2</TotalTime>
  <Pages>17</Pages>
  <Words>3843</Words>
  <Characters>20265</Characters>
  <Application>Microsoft Office Word</Application>
  <DocSecurity>0</DocSecurity>
  <Lines>168</Lines>
  <Paragraphs>48</Paragraphs>
  <ScaleCrop>false</ScaleCrop>
  <HeadingPairs>
    <vt:vector size="2" baseType="variant">
      <vt:variant>
        <vt:lpstr>Title</vt:lpstr>
      </vt:variant>
      <vt:variant>
        <vt:i4>1</vt:i4>
      </vt:variant>
    </vt:vector>
  </HeadingPairs>
  <TitlesOfParts>
    <vt:vector size="1" baseType="lpstr">
      <vt:lpstr>Q:  Please state your name, business address, and present position:</vt:lpstr>
    </vt:vector>
  </TitlesOfParts>
  <Company>R. W. Beck</Company>
  <LinksUpToDate>false</LinksUpToDate>
  <CharactersWithSpaces>24060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  Please state your name, business address, and present position:</dc:title>
  <dc:creator>Katie Elder</dc:creator>
  <cp:lastModifiedBy>AnnyaR</cp:lastModifiedBy>
  <cp:revision>3</cp:revision>
  <cp:lastPrinted>2013-07-24T21:27:00Z</cp:lastPrinted>
  <dcterms:created xsi:type="dcterms:W3CDTF">2013-07-24T23:10:00Z</dcterms:created>
  <dcterms:modified xsi:type="dcterms:W3CDTF">2013-07-24T23:15:00Z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0x0101006E56B4D1795A2E4DB2F0B01679ED314A00A76616498D7811449987485091DF42B7</vt:lpwstr>
  </property>
  <property fmtid="{D5CDD505-2E9C-101B-9397-08002B2CF9AE}" pid="4" name="_docset_NoMedatataSyncRequired">
    <vt:lpwstr>False</vt:lpwstr>
  </property>
</Properties>
</file>