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docProps/custom.xml" ContentType="application/vnd.openxmlformats-officedocument.custom-properties+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imes New Roman" w:eastAsia="Times New Roman" w:hAnsi="Times New Roman" w:cs="Times New Roman"/>
          <w:b w:val="0"/>
          <w:bCs w:val="0"/>
          <w:color w:val="auto"/>
          <w:sz w:val="24"/>
          <w:szCs w:val="24"/>
          <w:highlight w:val="yellow"/>
          <w:lang w:eastAsia="en-US"/>
        </w:rPr>
        <w:id w:val="-105115024"/>
        <w:docPartObj>
          <w:docPartGallery w:val="Table of Contents"/>
          <w:docPartUnique/>
        </w:docPartObj>
      </w:sdtPr>
      <w:sdtEndPr>
        <w:rPr>
          <w:noProof/>
          <w:highlight w:val="none"/>
        </w:rPr>
      </w:sdtEndPr>
      <w:sdtContent>
        <w:p w:rsidR="00890D88" w:rsidRPr="00AD3A77" w:rsidRDefault="00AF4ACA" w:rsidP="00D95456">
          <w:pPr>
            <w:pStyle w:val="TOCHeading"/>
            <w:suppressLineNumbers/>
            <w:spacing w:before="0" w:line="480" w:lineRule="auto"/>
            <w:jc w:val="center"/>
            <w:rPr>
              <w:rFonts w:ascii="Times New Roman" w:hAnsi="Times New Roman" w:cs="Times New Roman"/>
              <w:caps/>
              <w:color w:val="auto"/>
              <w:sz w:val="24"/>
              <w:szCs w:val="24"/>
            </w:rPr>
          </w:pPr>
          <w:r w:rsidRPr="00AD3A77">
            <w:rPr>
              <w:rFonts w:ascii="Times New Roman" w:eastAsia="Times New Roman" w:hAnsi="Times New Roman" w:cs="Times New Roman"/>
              <w:bCs w:val="0"/>
              <w:caps/>
              <w:color w:val="auto"/>
              <w:sz w:val="24"/>
              <w:szCs w:val="24"/>
              <w:lang w:eastAsia="en-US"/>
            </w:rPr>
            <w:t xml:space="preserve">Table of </w:t>
          </w:r>
          <w:r w:rsidR="00890D88" w:rsidRPr="00AD3A77">
            <w:rPr>
              <w:rFonts w:ascii="Times New Roman" w:hAnsi="Times New Roman" w:cs="Times New Roman"/>
              <w:caps/>
              <w:color w:val="auto"/>
              <w:sz w:val="24"/>
              <w:szCs w:val="24"/>
            </w:rPr>
            <w:t>Contents</w:t>
          </w:r>
        </w:p>
        <w:p w:rsidR="005229D5" w:rsidRDefault="00890D88" w:rsidP="00D95456">
          <w:pPr>
            <w:pStyle w:val="TOC1"/>
            <w:rPr>
              <w:rFonts w:asciiTheme="minorHAnsi" w:eastAsiaTheme="minorEastAsia" w:hAnsiTheme="minorHAnsi" w:cstheme="minorBidi"/>
              <w:noProof/>
              <w:sz w:val="22"/>
              <w:szCs w:val="22"/>
            </w:rPr>
          </w:pPr>
          <w:r w:rsidRPr="00D63EDB">
            <w:rPr>
              <w:highlight w:val="yellow"/>
            </w:rPr>
            <w:fldChar w:fldCharType="begin"/>
          </w:r>
          <w:r w:rsidRPr="00D63EDB">
            <w:rPr>
              <w:highlight w:val="yellow"/>
            </w:rPr>
            <w:instrText xml:space="preserve"> TOC \o "1-3" \h \z \u </w:instrText>
          </w:r>
          <w:r w:rsidRPr="00D63EDB">
            <w:rPr>
              <w:highlight w:val="yellow"/>
            </w:rPr>
            <w:fldChar w:fldCharType="separate"/>
          </w:r>
          <w:hyperlink w:anchor="_Toc447729281" w:history="1">
            <w:r w:rsidR="00D95456" w:rsidRPr="0079115D">
              <w:rPr>
                <w:rStyle w:val="Hyperlink"/>
                <w:noProof/>
              </w:rPr>
              <w:t>PURPOSE AND SUMMARY OF TESTIMONY</w:t>
            </w:r>
            <w:r w:rsidR="005229D5">
              <w:rPr>
                <w:noProof/>
                <w:webHidden/>
              </w:rPr>
              <w:tab/>
            </w:r>
            <w:r w:rsidR="005229D5">
              <w:rPr>
                <w:noProof/>
                <w:webHidden/>
              </w:rPr>
              <w:fldChar w:fldCharType="begin"/>
            </w:r>
            <w:r w:rsidR="005229D5">
              <w:rPr>
                <w:noProof/>
                <w:webHidden/>
              </w:rPr>
              <w:instrText xml:space="preserve"> PAGEREF _Toc447729281 \h </w:instrText>
            </w:r>
            <w:r w:rsidR="005229D5">
              <w:rPr>
                <w:noProof/>
                <w:webHidden/>
              </w:rPr>
            </w:r>
            <w:r w:rsidR="005229D5">
              <w:rPr>
                <w:noProof/>
                <w:webHidden/>
              </w:rPr>
              <w:fldChar w:fldCharType="separate"/>
            </w:r>
            <w:r w:rsidR="005229D5">
              <w:rPr>
                <w:noProof/>
                <w:webHidden/>
              </w:rPr>
              <w:t>1</w:t>
            </w:r>
            <w:r w:rsidR="005229D5">
              <w:rPr>
                <w:noProof/>
                <w:webHidden/>
              </w:rPr>
              <w:fldChar w:fldCharType="end"/>
            </w:r>
          </w:hyperlink>
        </w:p>
        <w:p w:rsidR="005229D5" w:rsidRDefault="00EA2D77" w:rsidP="00D95456">
          <w:pPr>
            <w:pStyle w:val="TOC1"/>
            <w:rPr>
              <w:rFonts w:asciiTheme="minorHAnsi" w:eastAsiaTheme="minorEastAsia" w:hAnsiTheme="minorHAnsi" w:cstheme="minorBidi"/>
              <w:noProof/>
              <w:sz w:val="22"/>
              <w:szCs w:val="22"/>
            </w:rPr>
          </w:pPr>
          <w:hyperlink w:anchor="_Toc447729282" w:history="1">
            <w:r w:rsidR="00D95456" w:rsidRPr="0079115D">
              <w:rPr>
                <w:rStyle w:val="Hyperlink"/>
                <w:noProof/>
              </w:rPr>
              <w:t>REVENUE REQUIREMENT</w:t>
            </w:r>
            <w:r w:rsidR="005229D5">
              <w:rPr>
                <w:noProof/>
                <w:webHidden/>
              </w:rPr>
              <w:tab/>
            </w:r>
            <w:r w:rsidR="005229D5">
              <w:rPr>
                <w:noProof/>
                <w:webHidden/>
              </w:rPr>
              <w:fldChar w:fldCharType="begin"/>
            </w:r>
            <w:r w:rsidR="005229D5">
              <w:rPr>
                <w:noProof/>
                <w:webHidden/>
              </w:rPr>
              <w:instrText xml:space="preserve"> PAGEREF _Toc447729282 \h </w:instrText>
            </w:r>
            <w:r w:rsidR="005229D5">
              <w:rPr>
                <w:noProof/>
                <w:webHidden/>
              </w:rPr>
            </w:r>
            <w:r w:rsidR="005229D5">
              <w:rPr>
                <w:noProof/>
                <w:webHidden/>
              </w:rPr>
              <w:fldChar w:fldCharType="separate"/>
            </w:r>
            <w:r w:rsidR="005229D5">
              <w:rPr>
                <w:noProof/>
                <w:webHidden/>
              </w:rPr>
              <w:t>2</w:t>
            </w:r>
            <w:r w:rsidR="005229D5">
              <w:rPr>
                <w:noProof/>
                <w:webHidden/>
              </w:rPr>
              <w:fldChar w:fldCharType="end"/>
            </w:r>
          </w:hyperlink>
        </w:p>
        <w:p w:rsidR="005229D5" w:rsidRDefault="00EA2D77" w:rsidP="00D95456">
          <w:pPr>
            <w:pStyle w:val="TOC1"/>
            <w:rPr>
              <w:rFonts w:asciiTheme="minorHAnsi" w:eastAsiaTheme="minorEastAsia" w:hAnsiTheme="minorHAnsi" w:cstheme="minorBidi"/>
              <w:noProof/>
              <w:sz w:val="22"/>
              <w:szCs w:val="22"/>
            </w:rPr>
          </w:pPr>
          <w:hyperlink w:anchor="_Toc447729283" w:history="1">
            <w:r w:rsidR="00D95456" w:rsidRPr="00D95456">
              <w:rPr>
                <w:rStyle w:val="Hyperlink"/>
                <w:bCs/>
                <w:noProof/>
              </w:rPr>
              <w:t>REVISED REVENUE REQUIREMENT BEFORE EXCLUSION</w:t>
            </w:r>
            <w:r w:rsidR="005229D5">
              <w:rPr>
                <w:noProof/>
                <w:webHidden/>
              </w:rPr>
              <w:tab/>
            </w:r>
            <w:r w:rsidR="005229D5">
              <w:rPr>
                <w:noProof/>
                <w:webHidden/>
              </w:rPr>
              <w:fldChar w:fldCharType="begin"/>
            </w:r>
            <w:r w:rsidR="005229D5">
              <w:rPr>
                <w:noProof/>
                <w:webHidden/>
              </w:rPr>
              <w:instrText xml:space="preserve"> PAGEREF _Toc447729283 \h </w:instrText>
            </w:r>
            <w:r w:rsidR="005229D5">
              <w:rPr>
                <w:noProof/>
                <w:webHidden/>
              </w:rPr>
            </w:r>
            <w:r w:rsidR="005229D5">
              <w:rPr>
                <w:noProof/>
                <w:webHidden/>
              </w:rPr>
              <w:fldChar w:fldCharType="separate"/>
            </w:r>
            <w:r w:rsidR="005229D5">
              <w:rPr>
                <w:noProof/>
                <w:webHidden/>
              </w:rPr>
              <w:t>3</w:t>
            </w:r>
            <w:r w:rsidR="005229D5">
              <w:rPr>
                <w:noProof/>
                <w:webHidden/>
              </w:rPr>
              <w:fldChar w:fldCharType="end"/>
            </w:r>
          </w:hyperlink>
        </w:p>
        <w:p w:rsidR="005229D5" w:rsidRDefault="00EA2D77" w:rsidP="00D95456">
          <w:pPr>
            <w:pStyle w:val="TOC1"/>
            <w:rPr>
              <w:rFonts w:asciiTheme="minorHAnsi" w:eastAsiaTheme="minorEastAsia" w:hAnsiTheme="minorHAnsi" w:cstheme="minorBidi"/>
              <w:noProof/>
              <w:sz w:val="22"/>
              <w:szCs w:val="22"/>
            </w:rPr>
          </w:pPr>
          <w:hyperlink w:anchor="_Toc447729284" w:history="1">
            <w:r w:rsidR="005229D5" w:rsidRPr="0079115D">
              <w:rPr>
                <w:rStyle w:val="Hyperlink"/>
                <w:noProof/>
              </w:rPr>
              <w:t>ADJUSTMENTS ACCEPTED OR PARTIALLY ACCEPTED BY THE COMPANY</w:t>
            </w:r>
            <w:r w:rsidR="005229D5">
              <w:rPr>
                <w:noProof/>
                <w:webHidden/>
              </w:rPr>
              <w:tab/>
            </w:r>
            <w:r w:rsidR="005229D5">
              <w:rPr>
                <w:noProof/>
                <w:webHidden/>
              </w:rPr>
              <w:fldChar w:fldCharType="begin"/>
            </w:r>
            <w:r w:rsidR="005229D5">
              <w:rPr>
                <w:noProof/>
                <w:webHidden/>
              </w:rPr>
              <w:instrText xml:space="preserve"> PAGEREF _Toc447729284 \h </w:instrText>
            </w:r>
            <w:r w:rsidR="005229D5">
              <w:rPr>
                <w:noProof/>
                <w:webHidden/>
              </w:rPr>
            </w:r>
            <w:r w:rsidR="005229D5">
              <w:rPr>
                <w:noProof/>
                <w:webHidden/>
              </w:rPr>
              <w:fldChar w:fldCharType="separate"/>
            </w:r>
            <w:r w:rsidR="005229D5">
              <w:rPr>
                <w:noProof/>
                <w:webHidden/>
              </w:rPr>
              <w:t>4</w:t>
            </w:r>
            <w:r w:rsidR="005229D5">
              <w:rPr>
                <w:noProof/>
                <w:webHidden/>
              </w:rPr>
              <w:fldChar w:fldCharType="end"/>
            </w:r>
          </w:hyperlink>
        </w:p>
        <w:p w:rsidR="005229D5" w:rsidRDefault="00EA2D77" w:rsidP="00D95456">
          <w:pPr>
            <w:pStyle w:val="TOC2"/>
            <w:suppressLineNumbers/>
            <w:tabs>
              <w:tab w:val="right" w:leader="dot" w:pos="8990"/>
            </w:tabs>
            <w:spacing w:after="0" w:line="360" w:lineRule="auto"/>
            <w:rPr>
              <w:rFonts w:asciiTheme="minorHAnsi" w:eastAsiaTheme="minorEastAsia" w:hAnsiTheme="minorHAnsi" w:cstheme="minorBidi"/>
              <w:noProof/>
              <w:sz w:val="22"/>
              <w:szCs w:val="22"/>
            </w:rPr>
          </w:pPr>
          <w:hyperlink w:anchor="_Toc447729285" w:history="1">
            <w:r w:rsidR="005229D5" w:rsidRPr="0079115D">
              <w:rPr>
                <w:rStyle w:val="Hyperlink"/>
                <w:noProof/>
              </w:rPr>
              <w:t>Colstrip 3 Removal</w:t>
            </w:r>
            <w:r w:rsidR="005229D5">
              <w:rPr>
                <w:noProof/>
                <w:webHidden/>
              </w:rPr>
              <w:tab/>
            </w:r>
            <w:r w:rsidR="005229D5">
              <w:rPr>
                <w:noProof/>
                <w:webHidden/>
              </w:rPr>
              <w:fldChar w:fldCharType="begin"/>
            </w:r>
            <w:r w:rsidR="005229D5">
              <w:rPr>
                <w:noProof/>
                <w:webHidden/>
              </w:rPr>
              <w:instrText xml:space="preserve"> PAGEREF _Toc447729285 \h </w:instrText>
            </w:r>
            <w:r w:rsidR="005229D5">
              <w:rPr>
                <w:noProof/>
                <w:webHidden/>
              </w:rPr>
            </w:r>
            <w:r w:rsidR="005229D5">
              <w:rPr>
                <w:noProof/>
                <w:webHidden/>
              </w:rPr>
              <w:fldChar w:fldCharType="separate"/>
            </w:r>
            <w:r w:rsidR="005229D5">
              <w:rPr>
                <w:noProof/>
                <w:webHidden/>
              </w:rPr>
              <w:t>4</w:t>
            </w:r>
            <w:r w:rsidR="005229D5">
              <w:rPr>
                <w:noProof/>
                <w:webHidden/>
              </w:rPr>
              <w:fldChar w:fldCharType="end"/>
            </w:r>
          </w:hyperlink>
        </w:p>
        <w:p w:rsidR="005229D5" w:rsidRDefault="00EA2D77" w:rsidP="00D95456">
          <w:pPr>
            <w:pStyle w:val="TOC2"/>
            <w:suppressLineNumbers/>
            <w:tabs>
              <w:tab w:val="right" w:leader="dot" w:pos="8990"/>
            </w:tabs>
            <w:spacing w:after="0" w:line="360" w:lineRule="auto"/>
            <w:rPr>
              <w:rFonts w:asciiTheme="minorHAnsi" w:eastAsiaTheme="minorEastAsia" w:hAnsiTheme="minorHAnsi" w:cstheme="minorBidi"/>
              <w:noProof/>
              <w:sz w:val="22"/>
              <w:szCs w:val="22"/>
            </w:rPr>
          </w:pPr>
          <w:hyperlink w:anchor="_Toc447729286" w:history="1">
            <w:r w:rsidR="005229D5" w:rsidRPr="0079115D">
              <w:rPr>
                <w:rStyle w:val="Hyperlink"/>
                <w:noProof/>
              </w:rPr>
              <w:t>Pro Forma Major Plant Additions</w:t>
            </w:r>
            <w:r w:rsidR="005229D5">
              <w:rPr>
                <w:noProof/>
                <w:webHidden/>
              </w:rPr>
              <w:tab/>
            </w:r>
            <w:r w:rsidR="005229D5">
              <w:rPr>
                <w:noProof/>
                <w:webHidden/>
              </w:rPr>
              <w:fldChar w:fldCharType="begin"/>
            </w:r>
            <w:r w:rsidR="005229D5">
              <w:rPr>
                <w:noProof/>
                <w:webHidden/>
              </w:rPr>
              <w:instrText xml:space="preserve"> PAGEREF _Toc447729286 \h </w:instrText>
            </w:r>
            <w:r w:rsidR="005229D5">
              <w:rPr>
                <w:noProof/>
                <w:webHidden/>
              </w:rPr>
            </w:r>
            <w:r w:rsidR="005229D5">
              <w:rPr>
                <w:noProof/>
                <w:webHidden/>
              </w:rPr>
              <w:fldChar w:fldCharType="separate"/>
            </w:r>
            <w:r w:rsidR="005229D5">
              <w:rPr>
                <w:noProof/>
                <w:webHidden/>
              </w:rPr>
              <w:t>5</w:t>
            </w:r>
            <w:r w:rsidR="005229D5">
              <w:rPr>
                <w:noProof/>
                <w:webHidden/>
              </w:rPr>
              <w:fldChar w:fldCharType="end"/>
            </w:r>
          </w:hyperlink>
        </w:p>
        <w:p w:rsidR="005229D5" w:rsidRDefault="00EA2D77" w:rsidP="00D95456">
          <w:pPr>
            <w:pStyle w:val="TOC2"/>
            <w:suppressLineNumbers/>
            <w:tabs>
              <w:tab w:val="right" w:leader="dot" w:pos="8990"/>
            </w:tabs>
            <w:spacing w:after="0" w:line="360" w:lineRule="auto"/>
            <w:rPr>
              <w:rFonts w:asciiTheme="minorHAnsi" w:eastAsiaTheme="minorEastAsia" w:hAnsiTheme="minorHAnsi" w:cstheme="minorBidi"/>
              <w:noProof/>
              <w:sz w:val="22"/>
              <w:szCs w:val="22"/>
            </w:rPr>
          </w:pPr>
          <w:hyperlink w:anchor="_Toc447729287" w:history="1">
            <w:r w:rsidR="005229D5" w:rsidRPr="0079115D">
              <w:rPr>
                <w:rStyle w:val="Hyperlink"/>
                <w:noProof/>
              </w:rPr>
              <w:t>Labor and Benefits</w:t>
            </w:r>
            <w:r w:rsidR="005229D5">
              <w:rPr>
                <w:noProof/>
                <w:webHidden/>
              </w:rPr>
              <w:tab/>
            </w:r>
            <w:r w:rsidR="005229D5">
              <w:rPr>
                <w:noProof/>
                <w:webHidden/>
              </w:rPr>
              <w:fldChar w:fldCharType="begin"/>
            </w:r>
            <w:r w:rsidR="005229D5">
              <w:rPr>
                <w:noProof/>
                <w:webHidden/>
              </w:rPr>
              <w:instrText xml:space="preserve"> PAGEREF _Toc447729287 \h </w:instrText>
            </w:r>
            <w:r w:rsidR="005229D5">
              <w:rPr>
                <w:noProof/>
                <w:webHidden/>
              </w:rPr>
            </w:r>
            <w:r w:rsidR="005229D5">
              <w:rPr>
                <w:noProof/>
                <w:webHidden/>
              </w:rPr>
              <w:fldChar w:fldCharType="separate"/>
            </w:r>
            <w:r w:rsidR="005229D5">
              <w:rPr>
                <w:noProof/>
                <w:webHidden/>
              </w:rPr>
              <w:t>8</w:t>
            </w:r>
            <w:r w:rsidR="005229D5">
              <w:rPr>
                <w:noProof/>
                <w:webHidden/>
              </w:rPr>
              <w:fldChar w:fldCharType="end"/>
            </w:r>
          </w:hyperlink>
        </w:p>
        <w:p w:rsidR="005229D5" w:rsidRDefault="00EA2D77" w:rsidP="00D95456">
          <w:pPr>
            <w:pStyle w:val="TOC2"/>
            <w:suppressLineNumbers/>
            <w:tabs>
              <w:tab w:val="right" w:leader="dot" w:pos="8990"/>
            </w:tabs>
            <w:spacing w:after="0" w:line="360" w:lineRule="auto"/>
            <w:rPr>
              <w:rFonts w:asciiTheme="minorHAnsi" w:eastAsiaTheme="minorEastAsia" w:hAnsiTheme="minorHAnsi" w:cstheme="minorBidi"/>
              <w:noProof/>
              <w:sz w:val="22"/>
              <w:szCs w:val="22"/>
            </w:rPr>
          </w:pPr>
          <w:hyperlink w:anchor="_Toc447729288" w:history="1">
            <w:r w:rsidR="005229D5" w:rsidRPr="0079115D">
              <w:rPr>
                <w:rStyle w:val="Hyperlink"/>
                <w:noProof/>
              </w:rPr>
              <w:t>Property Taxes</w:t>
            </w:r>
            <w:r w:rsidR="005229D5">
              <w:rPr>
                <w:noProof/>
                <w:webHidden/>
              </w:rPr>
              <w:tab/>
            </w:r>
            <w:r w:rsidR="005229D5">
              <w:rPr>
                <w:noProof/>
                <w:webHidden/>
              </w:rPr>
              <w:fldChar w:fldCharType="begin"/>
            </w:r>
            <w:r w:rsidR="005229D5">
              <w:rPr>
                <w:noProof/>
                <w:webHidden/>
              </w:rPr>
              <w:instrText xml:space="preserve"> PAGEREF _Toc447729288 \h </w:instrText>
            </w:r>
            <w:r w:rsidR="005229D5">
              <w:rPr>
                <w:noProof/>
                <w:webHidden/>
              </w:rPr>
            </w:r>
            <w:r w:rsidR="005229D5">
              <w:rPr>
                <w:noProof/>
                <w:webHidden/>
              </w:rPr>
              <w:fldChar w:fldCharType="separate"/>
            </w:r>
            <w:r w:rsidR="005229D5">
              <w:rPr>
                <w:noProof/>
                <w:webHidden/>
              </w:rPr>
              <w:t>10</w:t>
            </w:r>
            <w:r w:rsidR="005229D5">
              <w:rPr>
                <w:noProof/>
                <w:webHidden/>
              </w:rPr>
              <w:fldChar w:fldCharType="end"/>
            </w:r>
          </w:hyperlink>
        </w:p>
        <w:p w:rsidR="005229D5" w:rsidRDefault="00EA2D77" w:rsidP="00D95456">
          <w:pPr>
            <w:pStyle w:val="TOC2"/>
            <w:suppressLineNumbers/>
            <w:tabs>
              <w:tab w:val="right" w:leader="dot" w:pos="8990"/>
            </w:tabs>
            <w:spacing w:after="0" w:line="360" w:lineRule="auto"/>
            <w:rPr>
              <w:rFonts w:asciiTheme="minorHAnsi" w:eastAsiaTheme="minorEastAsia" w:hAnsiTheme="minorHAnsi" w:cstheme="minorBidi"/>
              <w:noProof/>
              <w:sz w:val="22"/>
              <w:szCs w:val="22"/>
            </w:rPr>
          </w:pPr>
          <w:hyperlink w:anchor="_Toc447729289" w:history="1">
            <w:r w:rsidR="005229D5" w:rsidRPr="0079115D">
              <w:rPr>
                <w:rStyle w:val="Hyperlink"/>
                <w:noProof/>
              </w:rPr>
              <w:t>Miscellaneous Expense and Revenue</w:t>
            </w:r>
            <w:r w:rsidR="005229D5">
              <w:rPr>
                <w:noProof/>
                <w:webHidden/>
              </w:rPr>
              <w:tab/>
            </w:r>
            <w:r w:rsidR="005229D5">
              <w:rPr>
                <w:noProof/>
                <w:webHidden/>
              </w:rPr>
              <w:fldChar w:fldCharType="begin"/>
            </w:r>
            <w:r w:rsidR="005229D5">
              <w:rPr>
                <w:noProof/>
                <w:webHidden/>
              </w:rPr>
              <w:instrText xml:space="preserve"> PAGEREF _Toc447729289 \h </w:instrText>
            </w:r>
            <w:r w:rsidR="005229D5">
              <w:rPr>
                <w:noProof/>
                <w:webHidden/>
              </w:rPr>
            </w:r>
            <w:r w:rsidR="005229D5">
              <w:rPr>
                <w:noProof/>
                <w:webHidden/>
              </w:rPr>
              <w:fldChar w:fldCharType="separate"/>
            </w:r>
            <w:r w:rsidR="005229D5">
              <w:rPr>
                <w:noProof/>
                <w:webHidden/>
              </w:rPr>
              <w:t>11</w:t>
            </w:r>
            <w:r w:rsidR="005229D5">
              <w:rPr>
                <w:noProof/>
                <w:webHidden/>
              </w:rPr>
              <w:fldChar w:fldCharType="end"/>
            </w:r>
          </w:hyperlink>
        </w:p>
        <w:p w:rsidR="005229D5" w:rsidRDefault="00EA2D77" w:rsidP="00D95456">
          <w:pPr>
            <w:pStyle w:val="TOC2"/>
            <w:suppressLineNumbers/>
            <w:tabs>
              <w:tab w:val="right" w:leader="dot" w:pos="8990"/>
            </w:tabs>
            <w:spacing w:after="0" w:line="360" w:lineRule="auto"/>
            <w:rPr>
              <w:rFonts w:asciiTheme="minorHAnsi" w:eastAsiaTheme="minorEastAsia" w:hAnsiTheme="minorHAnsi" w:cstheme="minorBidi"/>
              <w:noProof/>
              <w:sz w:val="22"/>
              <w:szCs w:val="22"/>
            </w:rPr>
          </w:pPr>
          <w:hyperlink w:anchor="_Toc447729290" w:history="1">
            <w:r w:rsidR="005229D5" w:rsidRPr="0079115D">
              <w:rPr>
                <w:rStyle w:val="Hyperlink"/>
                <w:noProof/>
              </w:rPr>
              <w:t>Memberships and Subscriptions</w:t>
            </w:r>
            <w:r w:rsidR="005229D5">
              <w:rPr>
                <w:noProof/>
                <w:webHidden/>
              </w:rPr>
              <w:tab/>
            </w:r>
            <w:r w:rsidR="005229D5">
              <w:rPr>
                <w:noProof/>
                <w:webHidden/>
              </w:rPr>
              <w:fldChar w:fldCharType="begin"/>
            </w:r>
            <w:r w:rsidR="005229D5">
              <w:rPr>
                <w:noProof/>
                <w:webHidden/>
              </w:rPr>
              <w:instrText xml:space="preserve"> PAGEREF _Toc447729290 \h </w:instrText>
            </w:r>
            <w:r w:rsidR="005229D5">
              <w:rPr>
                <w:noProof/>
                <w:webHidden/>
              </w:rPr>
            </w:r>
            <w:r w:rsidR="005229D5">
              <w:rPr>
                <w:noProof/>
                <w:webHidden/>
              </w:rPr>
              <w:fldChar w:fldCharType="separate"/>
            </w:r>
            <w:r w:rsidR="005229D5">
              <w:rPr>
                <w:noProof/>
                <w:webHidden/>
              </w:rPr>
              <w:t>11</w:t>
            </w:r>
            <w:r w:rsidR="005229D5">
              <w:rPr>
                <w:noProof/>
                <w:webHidden/>
              </w:rPr>
              <w:fldChar w:fldCharType="end"/>
            </w:r>
          </w:hyperlink>
        </w:p>
        <w:p w:rsidR="005229D5" w:rsidRDefault="00EA2D77" w:rsidP="00D95456">
          <w:pPr>
            <w:pStyle w:val="TOC2"/>
            <w:suppressLineNumbers/>
            <w:tabs>
              <w:tab w:val="right" w:leader="dot" w:pos="8990"/>
            </w:tabs>
            <w:spacing w:after="0" w:line="360" w:lineRule="auto"/>
            <w:rPr>
              <w:rFonts w:asciiTheme="minorHAnsi" w:eastAsiaTheme="minorEastAsia" w:hAnsiTheme="minorHAnsi" w:cstheme="minorBidi"/>
              <w:noProof/>
              <w:sz w:val="22"/>
              <w:szCs w:val="22"/>
            </w:rPr>
          </w:pPr>
          <w:hyperlink w:anchor="_Toc447729291" w:history="1">
            <w:r w:rsidR="005229D5" w:rsidRPr="0079115D">
              <w:rPr>
                <w:rStyle w:val="Hyperlink"/>
                <w:noProof/>
              </w:rPr>
              <w:t>Interest True Up</w:t>
            </w:r>
            <w:r w:rsidR="005229D5">
              <w:rPr>
                <w:noProof/>
                <w:webHidden/>
              </w:rPr>
              <w:tab/>
            </w:r>
            <w:r w:rsidR="005229D5">
              <w:rPr>
                <w:noProof/>
                <w:webHidden/>
              </w:rPr>
              <w:fldChar w:fldCharType="begin"/>
            </w:r>
            <w:r w:rsidR="005229D5">
              <w:rPr>
                <w:noProof/>
                <w:webHidden/>
              </w:rPr>
              <w:instrText xml:space="preserve"> PAGEREF _Toc447729291 \h </w:instrText>
            </w:r>
            <w:r w:rsidR="005229D5">
              <w:rPr>
                <w:noProof/>
                <w:webHidden/>
              </w:rPr>
            </w:r>
            <w:r w:rsidR="005229D5">
              <w:rPr>
                <w:noProof/>
                <w:webHidden/>
              </w:rPr>
              <w:fldChar w:fldCharType="separate"/>
            </w:r>
            <w:r w:rsidR="005229D5">
              <w:rPr>
                <w:noProof/>
                <w:webHidden/>
              </w:rPr>
              <w:t>13</w:t>
            </w:r>
            <w:r w:rsidR="005229D5">
              <w:rPr>
                <w:noProof/>
                <w:webHidden/>
              </w:rPr>
              <w:fldChar w:fldCharType="end"/>
            </w:r>
          </w:hyperlink>
        </w:p>
        <w:p w:rsidR="005229D5" w:rsidRDefault="00EA2D77" w:rsidP="00D95456">
          <w:pPr>
            <w:pStyle w:val="TOC1"/>
            <w:rPr>
              <w:rFonts w:asciiTheme="minorHAnsi" w:eastAsiaTheme="minorEastAsia" w:hAnsiTheme="minorHAnsi" w:cstheme="minorBidi"/>
              <w:noProof/>
              <w:sz w:val="22"/>
              <w:szCs w:val="22"/>
            </w:rPr>
          </w:pPr>
          <w:hyperlink w:anchor="_Toc447729292" w:history="1">
            <w:r w:rsidR="005229D5" w:rsidRPr="0079115D">
              <w:rPr>
                <w:rStyle w:val="Hyperlink"/>
                <w:noProof/>
              </w:rPr>
              <w:t>OTHER ADJUSTMENTS REVISED BY THE COMPANY</w:t>
            </w:r>
            <w:r w:rsidR="005229D5">
              <w:rPr>
                <w:noProof/>
                <w:webHidden/>
              </w:rPr>
              <w:tab/>
            </w:r>
            <w:r w:rsidR="005229D5">
              <w:rPr>
                <w:noProof/>
                <w:webHidden/>
              </w:rPr>
              <w:fldChar w:fldCharType="begin"/>
            </w:r>
            <w:r w:rsidR="005229D5">
              <w:rPr>
                <w:noProof/>
                <w:webHidden/>
              </w:rPr>
              <w:instrText xml:space="preserve"> PAGEREF _Toc447729292 \h </w:instrText>
            </w:r>
            <w:r w:rsidR="005229D5">
              <w:rPr>
                <w:noProof/>
                <w:webHidden/>
              </w:rPr>
            </w:r>
            <w:r w:rsidR="005229D5">
              <w:rPr>
                <w:noProof/>
                <w:webHidden/>
              </w:rPr>
              <w:fldChar w:fldCharType="separate"/>
            </w:r>
            <w:r w:rsidR="005229D5">
              <w:rPr>
                <w:noProof/>
                <w:webHidden/>
              </w:rPr>
              <w:t>14</w:t>
            </w:r>
            <w:r w:rsidR="005229D5">
              <w:rPr>
                <w:noProof/>
                <w:webHidden/>
              </w:rPr>
              <w:fldChar w:fldCharType="end"/>
            </w:r>
          </w:hyperlink>
        </w:p>
        <w:p w:rsidR="005229D5" w:rsidRDefault="00EA2D77" w:rsidP="00D95456">
          <w:pPr>
            <w:pStyle w:val="TOC1"/>
            <w:rPr>
              <w:rFonts w:asciiTheme="minorHAnsi" w:eastAsiaTheme="minorEastAsia" w:hAnsiTheme="minorHAnsi" w:cstheme="minorBidi"/>
              <w:noProof/>
              <w:sz w:val="22"/>
              <w:szCs w:val="22"/>
            </w:rPr>
          </w:pPr>
          <w:hyperlink w:anchor="_Toc447729293" w:history="1">
            <w:r w:rsidR="005229D5" w:rsidRPr="0079115D">
              <w:rPr>
                <w:rStyle w:val="Hyperlink"/>
                <w:noProof/>
              </w:rPr>
              <w:t>STAFF ADJUSTMENTS NOT ACCEPTED BY THE COMPANY</w:t>
            </w:r>
            <w:r w:rsidR="005229D5">
              <w:rPr>
                <w:noProof/>
                <w:webHidden/>
              </w:rPr>
              <w:tab/>
            </w:r>
            <w:r w:rsidR="005229D5">
              <w:rPr>
                <w:noProof/>
                <w:webHidden/>
              </w:rPr>
              <w:fldChar w:fldCharType="begin"/>
            </w:r>
            <w:r w:rsidR="005229D5">
              <w:rPr>
                <w:noProof/>
                <w:webHidden/>
              </w:rPr>
              <w:instrText xml:space="preserve"> PAGEREF _Toc447729293 \h </w:instrText>
            </w:r>
            <w:r w:rsidR="005229D5">
              <w:rPr>
                <w:noProof/>
                <w:webHidden/>
              </w:rPr>
            </w:r>
            <w:r w:rsidR="005229D5">
              <w:rPr>
                <w:noProof/>
                <w:webHidden/>
              </w:rPr>
              <w:fldChar w:fldCharType="separate"/>
            </w:r>
            <w:r w:rsidR="005229D5">
              <w:rPr>
                <w:noProof/>
                <w:webHidden/>
              </w:rPr>
              <w:t>15</w:t>
            </w:r>
            <w:r w:rsidR="005229D5">
              <w:rPr>
                <w:noProof/>
                <w:webHidden/>
              </w:rPr>
              <w:fldChar w:fldCharType="end"/>
            </w:r>
          </w:hyperlink>
        </w:p>
        <w:p w:rsidR="005229D5" w:rsidRDefault="00EA2D77" w:rsidP="00D95456">
          <w:pPr>
            <w:pStyle w:val="TOC2"/>
            <w:suppressLineNumbers/>
            <w:tabs>
              <w:tab w:val="right" w:leader="dot" w:pos="8990"/>
            </w:tabs>
            <w:spacing w:after="0" w:line="360" w:lineRule="auto"/>
            <w:rPr>
              <w:rFonts w:asciiTheme="minorHAnsi" w:eastAsiaTheme="minorEastAsia" w:hAnsiTheme="minorHAnsi" w:cstheme="minorBidi"/>
              <w:noProof/>
              <w:sz w:val="22"/>
              <w:szCs w:val="22"/>
            </w:rPr>
          </w:pPr>
          <w:hyperlink w:anchor="_Toc447729294" w:history="1">
            <w:r w:rsidR="005229D5" w:rsidRPr="0079115D">
              <w:rPr>
                <w:rStyle w:val="Hyperlink"/>
                <w:noProof/>
              </w:rPr>
              <w:t>Environmental Remediation Costs</w:t>
            </w:r>
            <w:r w:rsidR="005229D5">
              <w:rPr>
                <w:noProof/>
                <w:webHidden/>
              </w:rPr>
              <w:tab/>
            </w:r>
            <w:r w:rsidR="005229D5">
              <w:rPr>
                <w:noProof/>
                <w:webHidden/>
              </w:rPr>
              <w:fldChar w:fldCharType="begin"/>
            </w:r>
            <w:r w:rsidR="005229D5">
              <w:rPr>
                <w:noProof/>
                <w:webHidden/>
              </w:rPr>
              <w:instrText xml:space="preserve"> PAGEREF _Toc447729294 \h </w:instrText>
            </w:r>
            <w:r w:rsidR="005229D5">
              <w:rPr>
                <w:noProof/>
                <w:webHidden/>
              </w:rPr>
            </w:r>
            <w:r w:rsidR="005229D5">
              <w:rPr>
                <w:noProof/>
                <w:webHidden/>
              </w:rPr>
              <w:fldChar w:fldCharType="separate"/>
            </w:r>
            <w:r w:rsidR="005229D5">
              <w:rPr>
                <w:noProof/>
                <w:webHidden/>
              </w:rPr>
              <w:t>15</w:t>
            </w:r>
            <w:r w:rsidR="005229D5">
              <w:rPr>
                <w:noProof/>
                <w:webHidden/>
              </w:rPr>
              <w:fldChar w:fldCharType="end"/>
            </w:r>
          </w:hyperlink>
        </w:p>
        <w:p w:rsidR="005229D5" w:rsidRDefault="00EA2D77" w:rsidP="00D95456">
          <w:pPr>
            <w:pStyle w:val="TOC2"/>
            <w:suppressLineNumbers/>
            <w:tabs>
              <w:tab w:val="right" w:leader="dot" w:pos="8990"/>
            </w:tabs>
            <w:spacing w:after="0" w:line="360" w:lineRule="auto"/>
            <w:rPr>
              <w:rFonts w:asciiTheme="minorHAnsi" w:eastAsiaTheme="minorEastAsia" w:hAnsiTheme="minorHAnsi" w:cstheme="minorBidi"/>
              <w:noProof/>
              <w:sz w:val="22"/>
              <w:szCs w:val="22"/>
            </w:rPr>
          </w:pPr>
          <w:hyperlink w:anchor="_Toc447729295" w:history="1">
            <w:r w:rsidR="005229D5" w:rsidRPr="0079115D">
              <w:rPr>
                <w:rStyle w:val="Hyperlink"/>
                <w:noProof/>
              </w:rPr>
              <w:t>Idaho Power Asset Exchange</w:t>
            </w:r>
            <w:r w:rsidR="005229D5">
              <w:rPr>
                <w:noProof/>
                <w:webHidden/>
              </w:rPr>
              <w:tab/>
            </w:r>
            <w:r w:rsidR="005229D5">
              <w:rPr>
                <w:noProof/>
                <w:webHidden/>
              </w:rPr>
              <w:fldChar w:fldCharType="begin"/>
            </w:r>
            <w:r w:rsidR="005229D5">
              <w:rPr>
                <w:noProof/>
                <w:webHidden/>
              </w:rPr>
              <w:instrText xml:space="preserve"> PAGEREF _Toc447729295 \h </w:instrText>
            </w:r>
            <w:r w:rsidR="005229D5">
              <w:rPr>
                <w:noProof/>
                <w:webHidden/>
              </w:rPr>
            </w:r>
            <w:r w:rsidR="005229D5">
              <w:rPr>
                <w:noProof/>
                <w:webHidden/>
              </w:rPr>
              <w:fldChar w:fldCharType="separate"/>
            </w:r>
            <w:r w:rsidR="005229D5">
              <w:rPr>
                <w:noProof/>
                <w:webHidden/>
              </w:rPr>
              <w:t>17</w:t>
            </w:r>
            <w:r w:rsidR="005229D5">
              <w:rPr>
                <w:noProof/>
                <w:webHidden/>
              </w:rPr>
              <w:fldChar w:fldCharType="end"/>
            </w:r>
          </w:hyperlink>
        </w:p>
        <w:p w:rsidR="005229D5" w:rsidRDefault="00EA2D77" w:rsidP="00D95456">
          <w:pPr>
            <w:pStyle w:val="TOC1"/>
            <w:rPr>
              <w:rFonts w:asciiTheme="minorHAnsi" w:eastAsiaTheme="minorEastAsia" w:hAnsiTheme="minorHAnsi" w:cstheme="minorBidi"/>
              <w:noProof/>
              <w:sz w:val="22"/>
              <w:szCs w:val="22"/>
            </w:rPr>
          </w:pPr>
          <w:hyperlink w:anchor="_Toc447729296" w:history="1">
            <w:r w:rsidR="005229D5" w:rsidRPr="0079115D">
              <w:rPr>
                <w:rStyle w:val="Hyperlink"/>
                <w:noProof/>
              </w:rPr>
              <w:t>PUBLIC COUNSEL ADJUSTMENTS NOT ACCEPTED BY THE COMPANY</w:t>
            </w:r>
            <w:r w:rsidR="005229D5">
              <w:rPr>
                <w:noProof/>
                <w:webHidden/>
              </w:rPr>
              <w:tab/>
            </w:r>
            <w:r w:rsidR="005229D5">
              <w:rPr>
                <w:noProof/>
                <w:webHidden/>
              </w:rPr>
              <w:fldChar w:fldCharType="begin"/>
            </w:r>
            <w:r w:rsidR="005229D5">
              <w:rPr>
                <w:noProof/>
                <w:webHidden/>
              </w:rPr>
              <w:instrText xml:space="preserve"> PAGEREF _Toc447729296 \h </w:instrText>
            </w:r>
            <w:r w:rsidR="005229D5">
              <w:rPr>
                <w:noProof/>
                <w:webHidden/>
              </w:rPr>
            </w:r>
            <w:r w:rsidR="005229D5">
              <w:rPr>
                <w:noProof/>
                <w:webHidden/>
              </w:rPr>
              <w:fldChar w:fldCharType="separate"/>
            </w:r>
            <w:r w:rsidR="005229D5">
              <w:rPr>
                <w:noProof/>
                <w:webHidden/>
              </w:rPr>
              <w:t>20</w:t>
            </w:r>
            <w:r w:rsidR="005229D5">
              <w:rPr>
                <w:noProof/>
                <w:webHidden/>
              </w:rPr>
              <w:fldChar w:fldCharType="end"/>
            </w:r>
          </w:hyperlink>
        </w:p>
        <w:p w:rsidR="005229D5" w:rsidRDefault="00EA2D77" w:rsidP="00D95456">
          <w:pPr>
            <w:pStyle w:val="TOC1"/>
            <w:rPr>
              <w:rFonts w:asciiTheme="minorHAnsi" w:eastAsiaTheme="minorEastAsia" w:hAnsiTheme="minorHAnsi" w:cstheme="minorBidi"/>
              <w:noProof/>
              <w:sz w:val="22"/>
              <w:szCs w:val="22"/>
            </w:rPr>
          </w:pPr>
          <w:hyperlink w:anchor="_Toc447729297" w:history="1">
            <w:r w:rsidR="005229D5" w:rsidRPr="0079115D">
              <w:rPr>
                <w:rStyle w:val="Hyperlink"/>
                <w:noProof/>
              </w:rPr>
              <w:t>BOISE ADJUSTMENTS NOT ACCEPTED BY THE COMPANY</w:t>
            </w:r>
            <w:r w:rsidR="005229D5">
              <w:rPr>
                <w:noProof/>
                <w:webHidden/>
              </w:rPr>
              <w:tab/>
            </w:r>
            <w:r w:rsidR="005229D5">
              <w:rPr>
                <w:noProof/>
                <w:webHidden/>
              </w:rPr>
              <w:fldChar w:fldCharType="begin"/>
            </w:r>
            <w:r w:rsidR="005229D5">
              <w:rPr>
                <w:noProof/>
                <w:webHidden/>
              </w:rPr>
              <w:instrText xml:space="preserve"> PAGEREF _Toc447729297 \h </w:instrText>
            </w:r>
            <w:r w:rsidR="005229D5">
              <w:rPr>
                <w:noProof/>
                <w:webHidden/>
              </w:rPr>
            </w:r>
            <w:r w:rsidR="005229D5">
              <w:rPr>
                <w:noProof/>
                <w:webHidden/>
              </w:rPr>
              <w:fldChar w:fldCharType="separate"/>
            </w:r>
            <w:r w:rsidR="005229D5">
              <w:rPr>
                <w:noProof/>
                <w:webHidden/>
              </w:rPr>
              <w:t>21</w:t>
            </w:r>
            <w:r w:rsidR="005229D5">
              <w:rPr>
                <w:noProof/>
                <w:webHidden/>
              </w:rPr>
              <w:fldChar w:fldCharType="end"/>
            </w:r>
          </w:hyperlink>
        </w:p>
        <w:p w:rsidR="005229D5" w:rsidRDefault="00EA2D77" w:rsidP="00D95456">
          <w:pPr>
            <w:pStyle w:val="TOC2"/>
            <w:suppressLineNumbers/>
            <w:tabs>
              <w:tab w:val="right" w:leader="dot" w:pos="8990"/>
            </w:tabs>
            <w:spacing w:after="0" w:line="360" w:lineRule="auto"/>
            <w:ind w:left="0"/>
            <w:rPr>
              <w:rFonts w:asciiTheme="minorHAnsi" w:eastAsiaTheme="minorEastAsia" w:hAnsiTheme="minorHAnsi" w:cstheme="minorBidi"/>
              <w:noProof/>
              <w:sz w:val="22"/>
              <w:szCs w:val="22"/>
            </w:rPr>
          </w:pPr>
          <w:hyperlink w:anchor="_Toc447729298" w:history="1">
            <w:r w:rsidR="005229D5" w:rsidRPr="0079115D">
              <w:rPr>
                <w:rStyle w:val="Hyperlink"/>
                <w:noProof/>
              </w:rPr>
              <w:t>USE OF END-OF-PERIOD RATE BASE</w:t>
            </w:r>
            <w:r w:rsidR="005229D5">
              <w:rPr>
                <w:noProof/>
                <w:webHidden/>
              </w:rPr>
              <w:tab/>
            </w:r>
            <w:r w:rsidR="005229D5">
              <w:rPr>
                <w:noProof/>
                <w:webHidden/>
              </w:rPr>
              <w:fldChar w:fldCharType="begin"/>
            </w:r>
            <w:r w:rsidR="005229D5">
              <w:rPr>
                <w:noProof/>
                <w:webHidden/>
              </w:rPr>
              <w:instrText xml:space="preserve"> PAGEREF _Toc447729298 \h </w:instrText>
            </w:r>
            <w:r w:rsidR="005229D5">
              <w:rPr>
                <w:noProof/>
                <w:webHidden/>
              </w:rPr>
            </w:r>
            <w:r w:rsidR="005229D5">
              <w:rPr>
                <w:noProof/>
                <w:webHidden/>
              </w:rPr>
              <w:fldChar w:fldCharType="separate"/>
            </w:r>
            <w:r w:rsidR="005229D5">
              <w:rPr>
                <w:noProof/>
                <w:webHidden/>
              </w:rPr>
              <w:t>24</w:t>
            </w:r>
            <w:r w:rsidR="005229D5">
              <w:rPr>
                <w:noProof/>
                <w:webHidden/>
              </w:rPr>
              <w:fldChar w:fldCharType="end"/>
            </w:r>
          </w:hyperlink>
        </w:p>
        <w:p w:rsidR="00890D88" w:rsidRDefault="00890D88" w:rsidP="00D95456">
          <w:pPr>
            <w:suppressLineNumbers/>
            <w:spacing w:line="360" w:lineRule="auto"/>
          </w:pPr>
          <w:r w:rsidRPr="00D63EDB">
            <w:rPr>
              <w:b/>
              <w:bCs/>
              <w:noProof/>
              <w:highlight w:val="yellow"/>
            </w:rPr>
            <w:fldChar w:fldCharType="end"/>
          </w:r>
        </w:p>
      </w:sdtContent>
    </w:sdt>
    <w:p w:rsidR="00CC6810" w:rsidRDefault="00CC6810" w:rsidP="00CC6810">
      <w:pPr>
        <w:suppressLineNumbers/>
        <w:spacing w:line="360" w:lineRule="auto"/>
        <w:jc w:val="center"/>
        <w:rPr>
          <w:b/>
        </w:rPr>
      </w:pPr>
      <w:r>
        <w:rPr>
          <w:b/>
        </w:rPr>
        <w:t>ATTACHED EXHIBITS</w:t>
      </w:r>
    </w:p>
    <w:p w:rsidR="0093393C" w:rsidRDefault="001011A4" w:rsidP="00AD3A77">
      <w:pPr>
        <w:suppressLineNumbers/>
        <w:ind w:left="2160" w:hanging="2160"/>
        <w:jc w:val="left"/>
        <w:rPr>
          <w:szCs w:val="20"/>
        </w:rPr>
      </w:pPr>
      <w:r w:rsidRPr="001011A4">
        <w:t>Exhibit No. SEM-7—</w:t>
      </w:r>
      <w:r w:rsidR="00AD3A77" w:rsidRPr="00AD3A77">
        <w:rPr>
          <w:szCs w:val="20"/>
        </w:rPr>
        <w:t>Summary of Rebuttal Washington Results of Oper</w:t>
      </w:r>
      <w:r w:rsidR="004A19A1">
        <w:rPr>
          <w:szCs w:val="20"/>
        </w:rPr>
        <w:t xml:space="preserve">ations for the Test </w:t>
      </w:r>
      <w:r w:rsidR="00AD3A77">
        <w:rPr>
          <w:szCs w:val="20"/>
        </w:rPr>
        <w:t xml:space="preserve">Period </w:t>
      </w:r>
    </w:p>
    <w:p w:rsidR="00AD3A77" w:rsidRPr="00AD3A77" w:rsidRDefault="00AD3A77" w:rsidP="00AD3A77">
      <w:pPr>
        <w:suppressLineNumbers/>
        <w:ind w:left="2160" w:hanging="2160"/>
        <w:jc w:val="left"/>
        <w:rPr>
          <w:sz w:val="32"/>
        </w:rPr>
      </w:pPr>
    </w:p>
    <w:p w:rsidR="001011A4" w:rsidRDefault="001011A4" w:rsidP="00AD3A77">
      <w:pPr>
        <w:suppressLineNumbers/>
        <w:ind w:left="2160" w:hanging="2160"/>
        <w:jc w:val="left"/>
      </w:pPr>
      <w:r w:rsidRPr="001011A4">
        <w:t>Exhibit No. SEM-8</w:t>
      </w:r>
      <w:r w:rsidRPr="001011A4">
        <w:softHyphen/>
      </w:r>
      <w:r w:rsidRPr="00AD3A77">
        <w:t>—</w:t>
      </w:r>
      <w:r w:rsidR="00AD3A77" w:rsidRPr="00AD3A77">
        <w:t>Rebuttal Results of Operations for Twelve Months Ended June 30, 2015</w:t>
      </w:r>
    </w:p>
    <w:p w:rsidR="00AD3A77" w:rsidRPr="00AD3A77" w:rsidRDefault="00AD3A77" w:rsidP="00AD3A77">
      <w:pPr>
        <w:suppressLineNumbers/>
        <w:ind w:left="2160" w:hanging="2160"/>
        <w:jc w:val="left"/>
      </w:pPr>
    </w:p>
    <w:p w:rsidR="001011A4" w:rsidRDefault="001011A4" w:rsidP="00AD3A77">
      <w:pPr>
        <w:suppressLineNumbers/>
        <w:ind w:left="2160" w:hanging="2160"/>
        <w:jc w:val="left"/>
      </w:pPr>
      <w:r w:rsidRPr="001011A4">
        <w:t>Confidential Exhibit No. SEM-9C</w:t>
      </w:r>
      <w:r w:rsidRPr="00AD3A77">
        <w:t>—</w:t>
      </w:r>
      <w:r w:rsidR="00B17531">
        <w:t>J</w:t>
      </w:r>
      <w:r w:rsidR="00AD3A77" w:rsidRPr="00AD3A77">
        <w:t>im Bridger 3 &amp; 4 Overhaul and SCR Installation – Updated</w:t>
      </w:r>
    </w:p>
    <w:p w:rsidR="00AD3A77" w:rsidRPr="001011A4" w:rsidRDefault="00AD3A77" w:rsidP="00AD3A77">
      <w:pPr>
        <w:suppressLineNumbers/>
        <w:ind w:left="2160" w:hanging="2160"/>
        <w:jc w:val="left"/>
      </w:pPr>
    </w:p>
    <w:p w:rsidR="0093393C" w:rsidRDefault="001011A4" w:rsidP="00AD3A77">
      <w:pPr>
        <w:suppressLineNumbers/>
        <w:ind w:left="2160" w:hanging="2160"/>
        <w:jc w:val="left"/>
      </w:pPr>
      <w:r w:rsidRPr="001011A4">
        <w:t>Exhibit No. SEM-10</w:t>
      </w:r>
      <w:r w:rsidRPr="001011A4">
        <w:softHyphen/>
      </w:r>
      <w:r w:rsidRPr="00AD3A77">
        <w:t>—</w:t>
      </w:r>
      <w:r w:rsidR="00AD3A77" w:rsidRPr="00AD3A77">
        <w:t>Rebuttal Year-Two Incremental Revenue Requirement Adjustment Summary</w:t>
      </w:r>
    </w:p>
    <w:p w:rsidR="00AD3A77" w:rsidRDefault="00AD3A77" w:rsidP="00AD3A77">
      <w:pPr>
        <w:suppressLineNumbers/>
        <w:ind w:left="2160" w:hanging="2160"/>
        <w:jc w:val="left"/>
      </w:pPr>
    </w:p>
    <w:p w:rsidR="00AD3A77" w:rsidRDefault="00AD3A77" w:rsidP="00AD3A77">
      <w:pPr>
        <w:suppressLineNumbers/>
        <w:ind w:left="2160" w:hanging="2160"/>
        <w:jc w:val="left"/>
      </w:pPr>
      <w:r>
        <w:t>Exhibit No. SEM-11</w:t>
      </w:r>
      <w:r w:rsidRPr="00AD3A77">
        <w:t>—Public Counsel’s Response to PacifiCorp Data Request 2.1</w:t>
      </w:r>
    </w:p>
    <w:p w:rsidR="002B42A4" w:rsidRDefault="002B42A4" w:rsidP="00AD3A77">
      <w:pPr>
        <w:suppressLineNumbers/>
        <w:ind w:left="2160" w:hanging="2160"/>
        <w:jc w:val="left"/>
      </w:pPr>
    </w:p>
    <w:p w:rsidR="002B42A4" w:rsidRPr="001011A4" w:rsidRDefault="002B42A4" w:rsidP="00AD3A77">
      <w:pPr>
        <w:suppressLineNumbers/>
        <w:ind w:left="2160" w:hanging="2160"/>
        <w:jc w:val="left"/>
      </w:pPr>
      <w:r>
        <w:t>Exhibit No. SEM-12—</w:t>
      </w:r>
      <w:r w:rsidR="00A836C7">
        <w:t>Company</w:t>
      </w:r>
      <w:r>
        <w:t xml:space="preserve"> Response to </w:t>
      </w:r>
      <w:r w:rsidR="00A836C7">
        <w:t xml:space="preserve">WUTC </w:t>
      </w:r>
      <w:r>
        <w:t>Staff Data Request 151</w:t>
      </w:r>
    </w:p>
    <w:p w:rsidR="0093393C" w:rsidRDefault="0093393C" w:rsidP="0037439A">
      <w:pPr>
        <w:suppressLineNumbers/>
        <w:ind w:left="2250" w:hanging="2250"/>
        <w:jc w:val="left"/>
        <w:rPr>
          <w:highlight w:val="yellow"/>
        </w:rPr>
      </w:pPr>
    </w:p>
    <w:p w:rsidR="00AD3A77" w:rsidRDefault="00AD3A77" w:rsidP="009E1B1C">
      <w:pPr>
        <w:pStyle w:val="Question"/>
        <w:jc w:val="left"/>
        <w:sectPr w:rsidR="00AD3A77" w:rsidSect="005405E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800" w:header="720" w:footer="720" w:gutter="0"/>
          <w:lnNumType w:countBy="1"/>
          <w:pgNumType w:fmt="lowerRoman" w:start="1"/>
          <w:cols w:space="720"/>
          <w:docGrid w:linePitch="360"/>
        </w:sectPr>
      </w:pPr>
    </w:p>
    <w:p w:rsidR="00A0242D" w:rsidRDefault="00A0242D" w:rsidP="009E1B1C">
      <w:pPr>
        <w:pStyle w:val="Question"/>
        <w:jc w:val="left"/>
      </w:pPr>
      <w:r>
        <w:lastRenderedPageBreak/>
        <w:t>Q.</w:t>
      </w:r>
      <w:r>
        <w:tab/>
        <w:t xml:space="preserve">Are you the same </w:t>
      </w:r>
      <w:r w:rsidR="0049591B">
        <w:t>Shelley</w:t>
      </w:r>
      <w:r w:rsidR="0002717D">
        <w:t xml:space="preserve"> </w:t>
      </w:r>
      <w:r w:rsidR="0049591B">
        <w:t>E</w:t>
      </w:r>
      <w:r w:rsidR="0002717D">
        <w:t xml:space="preserve">. </w:t>
      </w:r>
      <w:r w:rsidR="0049591B">
        <w:t>McCoy</w:t>
      </w:r>
      <w:r>
        <w:t xml:space="preserve"> </w:t>
      </w:r>
      <w:r w:rsidR="0058142C" w:rsidRPr="00017351">
        <w:rPr>
          <w:szCs w:val="24"/>
        </w:rPr>
        <w:t>who submitted direct testimony in this case on behalf of Pacific Power &amp; Light Company (Pacific Power or Company), a division of PacifiCorp</w:t>
      </w:r>
      <w:r w:rsidR="0058142C" w:rsidRPr="006F199C">
        <w:rPr>
          <w:szCs w:val="24"/>
        </w:rPr>
        <w:t>?</w:t>
      </w:r>
    </w:p>
    <w:p w:rsidR="00A0242D" w:rsidRDefault="00A0242D" w:rsidP="009E1B1C">
      <w:pPr>
        <w:pStyle w:val="Answer"/>
        <w:tabs>
          <w:tab w:val="num" w:pos="720"/>
        </w:tabs>
        <w:autoSpaceDE w:val="0"/>
        <w:autoSpaceDN w:val="0"/>
        <w:jc w:val="left"/>
      </w:pPr>
      <w:r>
        <w:t>A.</w:t>
      </w:r>
      <w:r>
        <w:tab/>
        <w:t>Yes.</w:t>
      </w:r>
    </w:p>
    <w:p w:rsidR="00A0242D" w:rsidRPr="007568B0" w:rsidRDefault="00A0242D" w:rsidP="0037593A">
      <w:pPr>
        <w:pStyle w:val="Heading1"/>
        <w:jc w:val="center"/>
      </w:pPr>
      <w:bookmarkStart w:id="1" w:name="_Toc447729281"/>
      <w:r w:rsidRPr="007568B0">
        <w:t>Purpose</w:t>
      </w:r>
      <w:r>
        <w:t xml:space="preserve"> and Summary o</w:t>
      </w:r>
      <w:r w:rsidRPr="007568B0">
        <w:t>f Testimony</w:t>
      </w:r>
      <w:bookmarkEnd w:id="1"/>
    </w:p>
    <w:p w:rsidR="00967BCF" w:rsidRDefault="00967BCF" w:rsidP="009E1B1C">
      <w:pPr>
        <w:numPr>
          <w:ilvl w:val="0"/>
          <w:numId w:val="5"/>
        </w:numPr>
        <w:spacing w:line="480" w:lineRule="auto"/>
        <w:jc w:val="left"/>
        <w:rPr>
          <w:b/>
        </w:rPr>
      </w:pPr>
      <w:r w:rsidRPr="00E661F7">
        <w:rPr>
          <w:b/>
        </w:rPr>
        <w:t>What is the purpose of your r</w:t>
      </w:r>
      <w:r>
        <w:rPr>
          <w:b/>
        </w:rPr>
        <w:t>ebuttal</w:t>
      </w:r>
      <w:r w:rsidRPr="00E661F7">
        <w:rPr>
          <w:b/>
        </w:rPr>
        <w:t xml:space="preserve"> testimony?</w:t>
      </w:r>
    </w:p>
    <w:p w:rsidR="00847AB0" w:rsidRPr="00847AB0" w:rsidRDefault="00847AB0" w:rsidP="009E1B1C">
      <w:pPr>
        <w:pStyle w:val="BodyTextIndent2"/>
        <w:spacing w:after="0"/>
        <w:ind w:left="720" w:hanging="720"/>
        <w:jc w:val="left"/>
      </w:pPr>
      <w:r w:rsidRPr="00847AB0">
        <w:t>A.</w:t>
      </w:r>
      <w:r w:rsidRPr="00847AB0">
        <w:tab/>
      </w:r>
      <w:r w:rsidRPr="00E661F7">
        <w:t xml:space="preserve">The purpose of my testimony is </w:t>
      </w:r>
      <w:r w:rsidR="00C96D2B">
        <w:t>to quantify and explain the corrections, revisions</w:t>
      </w:r>
      <w:r w:rsidR="004A51BE">
        <w:t>,</w:t>
      </w:r>
      <w:r w:rsidR="00C96D2B">
        <w:t xml:space="preserve"> and updates made to the Company’s proposed revenue requirement</w:t>
      </w:r>
      <w:r w:rsidR="0058142C">
        <w:t>.  I</w:t>
      </w:r>
      <w:r w:rsidR="00C96D2B">
        <w:t xml:space="preserve"> </w:t>
      </w:r>
      <w:r w:rsidRPr="00E661F7">
        <w:t xml:space="preserve">respond </w:t>
      </w:r>
      <w:r w:rsidR="004D2C0A">
        <w:t xml:space="preserve">to </w:t>
      </w:r>
      <w:r w:rsidR="001B540B">
        <w:t xml:space="preserve">testimony of </w:t>
      </w:r>
      <w:r w:rsidR="004D2C0A">
        <w:t xml:space="preserve">the </w:t>
      </w:r>
      <w:r w:rsidR="000C1420">
        <w:t xml:space="preserve">Staff </w:t>
      </w:r>
      <w:r w:rsidR="004D2C0A">
        <w:t>of the Washington Utilities and Transportation Commission (</w:t>
      </w:r>
      <w:r w:rsidR="0058142C">
        <w:t>Commission</w:t>
      </w:r>
      <w:r w:rsidR="004D2C0A">
        <w:t>)</w:t>
      </w:r>
      <w:r w:rsidR="001B540B">
        <w:t xml:space="preserve"> witness</w:t>
      </w:r>
      <w:r w:rsidR="00EB2548">
        <w:t>es</w:t>
      </w:r>
      <w:r w:rsidR="0049591B">
        <w:t xml:space="preserve"> </w:t>
      </w:r>
      <w:r w:rsidR="00576B07">
        <w:t xml:space="preserve">Mr. </w:t>
      </w:r>
      <w:r w:rsidR="00410086">
        <w:t xml:space="preserve">Jason L. Ball, </w:t>
      </w:r>
      <w:r w:rsidR="0049591B">
        <w:t>Ms. Joanna Huang, Ms. Elizabeth C. O’Connell</w:t>
      </w:r>
      <w:r w:rsidR="000C1420">
        <w:t>,</w:t>
      </w:r>
      <w:r w:rsidR="0049591B">
        <w:t xml:space="preserve"> and Ms. Tiffany M. Van Meter</w:t>
      </w:r>
      <w:r w:rsidR="0058142C">
        <w:t>.  I also respond to</w:t>
      </w:r>
      <w:r w:rsidR="004D2C0A">
        <w:t xml:space="preserve"> the Public Counsel Section of the Washington State Attorney General’s Office (Public Counsel)</w:t>
      </w:r>
      <w:r w:rsidR="001B540B">
        <w:t xml:space="preserve"> witness </w:t>
      </w:r>
      <w:r w:rsidR="00D8284A">
        <w:t xml:space="preserve">Ms. </w:t>
      </w:r>
      <w:r w:rsidR="00410086">
        <w:t>Donna M. Ramas</w:t>
      </w:r>
      <w:r w:rsidR="004D2C0A">
        <w:t xml:space="preserve">, </w:t>
      </w:r>
      <w:r w:rsidR="003169D9">
        <w:t xml:space="preserve">and </w:t>
      </w:r>
      <w:r w:rsidR="004D2C0A">
        <w:t>Boise White Paper, L</w:t>
      </w:r>
      <w:r w:rsidR="000C1420">
        <w:t>.</w:t>
      </w:r>
      <w:r w:rsidR="004D2C0A">
        <w:t>L</w:t>
      </w:r>
      <w:r w:rsidR="000C1420">
        <w:t>.</w:t>
      </w:r>
      <w:r w:rsidR="004D2C0A">
        <w:t>C</w:t>
      </w:r>
      <w:r w:rsidR="000C1420">
        <w:t>.</w:t>
      </w:r>
      <w:r w:rsidR="004D2C0A">
        <w:t xml:space="preserve"> (Boise)</w:t>
      </w:r>
      <w:r w:rsidR="001B540B">
        <w:t xml:space="preserve"> witness </w:t>
      </w:r>
      <w:r w:rsidR="00956B04">
        <w:t>M</w:t>
      </w:r>
      <w:r w:rsidR="00D8284A">
        <w:t xml:space="preserve">r. </w:t>
      </w:r>
      <w:r w:rsidR="00410086">
        <w:t>Bradley G. Mullins</w:t>
      </w:r>
      <w:r w:rsidR="003169D9">
        <w:t xml:space="preserve">. </w:t>
      </w:r>
    </w:p>
    <w:p w:rsidR="00967BCF" w:rsidRPr="00776658" w:rsidRDefault="00967BCF" w:rsidP="00A65B51">
      <w:pPr>
        <w:pStyle w:val="BodyTextIndent2"/>
        <w:spacing w:after="0"/>
        <w:ind w:left="0"/>
        <w:jc w:val="left"/>
        <w:rPr>
          <w:b/>
        </w:rPr>
      </w:pPr>
      <w:r w:rsidRPr="00E661F7">
        <w:rPr>
          <w:b/>
        </w:rPr>
        <w:t>Q.</w:t>
      </w:r>
      <w:r w:rsidRPr="00E661F7">
        <w:rPr>
          <w:b/>
        </w:rPr>
        <w:tab/>
      </w:r>
      <w:r w:rsidRPr="00776658">
        <w:rPr>
          <w:b/>
        </w:rPr>
        <w:t>Please summarize your testimony.</w:t>
      </w:r>
    </w:p>
    <w:p w:rsidR="00584D33" w:rsidRDefault="00967BCF" w:rsidP="0058142C">
      <w:pPr>
        <w:pStyle w:val="Answer"/>
        <w:jc w:val="left"/>
      </w:pPr>
      <w:r w:rsidRPr="00776658">
        <w:t>A.</w:t>
      </w:r>
      <w:r w:rsidRPr="00776658">
        <w:tab/>
      </w:r>
      <w:r w:rsidR="00F9595E" w:rsidRPr="00776658">
        <w:t>My testimony</w:t>
      </w:r>
      <w:r w:rsidR="003169D9" w:rsidRPr="00776658">
        <w:t xml:space="preserve"> explains and supports the Company’s revised overall revenue </w:t>
      </w:r>
      <w:r w:rsidR="004A51BE">
        <w:t xml:space="preserve">requirement </w:t>
      </w:r>
      <w:r w:rsidR="003169D9" w:rsidRPr="00776658">
        <w:t xml:space="preserve">increase of </w:t>
      </w:r>
      <w:r w:rsidR="003169D9" w:rsidRPr="00A65B51">
        <w:t>$</w:t>
      </w:r>
      <w:r w:rsidR="0049591B" w:rsidRPr="00E17FF4">
        <w:t>9.</w:t>
      </w:r>
      <w:r w:rsidR="0058142C">
        <w:t>0</w:t>
      </w:r>
      <w:r w:rsidR="003169D9" w:rsidRPr="00E17FF4">
        <w:t xml:space="preserve"> million</w:t>
      </w:r>
      <w:r w:rsidR="0049591B" w:rsidRPr="00E17FF4">
        <w:t xml:space="preserve"> </w:t>
      </w:r>
      <w:r w:rsidR="00265B2F" w:rsidRPr="00E17FF4">
        <w:t xml:space="preserve">in </w:t>
      </w:r>
      <w:r w:rsidR="00DB1FF1">
        <w:t>Y</w:t>
      </w:r>
      <w:r w:rsidR="00265B2F" w:rsidRPr="00E17FF4">
        <w:t xml:space="preserve">ear 1 </w:t>
      </w:r>
      <w:r w:rsidR="0049591B" w:rsidRPr="00E17FF4">
        <w:t>and $10.</w:t>
      </w:r>
      <w:r w:rsidR="00935A3A" w:rsidRPr="00E17FF4">
        <w:t>3</w:t>
      </w:r>
      <w:r w:rsidR="0049591B" w:rsidRPr="00E17FF4">
        <w:t xml:space="preserve"> million</w:t>
      </w:r>
      <w:r w:rsidR="0049591B">
        <w:t xml:space="preserve"> in </w:t>
      </w:r>
      <w:r w:rsidR="00DB1FF1">
        <w:t>Y</w:t>
      </w:r>
      <w:r w:rsidR="0049591B">
        <w:t>ear 2 for the proposed two</w:t>
      </w:r>
      <w:r w:rsidR="000301E3">
        <w:t>-</w:t>
      </w:r>
      <w:r w:rsidR="0049591B">
        <w:t>year rate plan</w:t>
      </w:r>
      <w:r w:rsidR="003169D9" w:rsidRPr="00776658">
        <w:t>.  This is a</w:t>
      </w:r>
      <w:r w:rsidR="005952E2" w:rsidRPr="005F6ED9">
        <w:t xml:space="preserve"> </w:t>
      </w:r>
      <w:r w:rsidR="0049591B">
        <w:t>de</w:t>
      </w:r>
      <w:r w:rsidR="005952E2" w:rsidRPr="005F6ED9">
        <w:t>crease</w:t>
      </w:r>
      <w:r w:rsidR="003169D9" w:rsidRPr="005F6ED9">
        <w:t xml:space="preserve"> </w:t>
      </w:r>
      <w:r w:rsidR="00410086" w:rsidRPr="00776658">
        <w:t>of $</w:t>
      </w:r>
      <w:r w:rsidR="0058142C">
        <w:t>1.0</w:t>
      </w:r>
      <w:r w:rsidR="003169D9" w:rsidRPr="00776658">
        <w:t xml:space="preserve"> million </w:t>
      </w:r>
      <w:r w:rsidR="001E55BB">
        <w:t xml:space="preserve">in </w:t>
      </w:r>
      <w:r w:rsidR="00DB1FF1">
        <w:t>Y</w:t>
      </w:r>
      <w:r w:rsidR="001E55BB">
        <w:t xml:space="preserve">ear 1 and </w:t>
      </w:r>
      <w:r w:rsidR="00935A3A">
        <w:t>no change in</w:t>
      </w:r>
      <w:r w:rsidR="001E55BB">
        <w:t xml:space="preserve"> </w:t>
      </w:r>
      <w:r w:rsidR="00DB1FF1">
        <w:t>Y</w:t>
      </w:r>
      <w:r w:rsidR="001E55BB">
        <w:t xml:space="preserve">ear 2 </w:t>
      </w:r>
      <w:r w:rsidR="004A51BE">
        <w:t>from the amount</w:t>
      </w:r>
      <w:r w:rsidR="001E55BB">
        <w:t>s</w:t>
      </w:r>
      <w:r w:rsidR="004A51BE">
        <w:t xml:space="preserve"> </w:t>
      </w:r>
      <w:r w:rsidR="003169D9" w:rsidRPr="00776658">
        <w:t>request</w:t>
      </w:r>
      <w:r w:rsidR="00905F1D" w:rsidRPr="00776658">
        <w:t>ed</w:t>
      </w:r>
      <w:r w:rsidR="003169D9" w:rsidRPr="00776658">
        <w:t xml:space="preserve"> in the Company’s </w:t>
      </w:r>
      <w:r w:rsidR="004A51BE">
        <w:t>initial</w:t>
      </w:r>
      <w:r w:rsidR="004A51BE" w:rsidRPr="00776658">
        <w:t xml:space="preserve"> </w:t>
      </w:r>
      <w:r w:rsidR="003169D9" w:rsidRPr="00776658">
        <w:t>filing</w:t>
      </w:r>
      <w:r w:rsidR="00935A3A">
        <w:t>.</w:t>
      </w:r>
      <w:r w:rsidR="00410086" w:rsidRPr="00776658">
        <w:t xml:space="preserve"> </w:t>
      </w:r>
      <w:r w:rsidR="000301E3">
        <w:t xml:space="preserve"> </w:t>
      </w:r>
      <w:r w:rsidR="003169D9" w:rsidRPr="00776658">
        <w:t xml:space="preserve">My testimony </w:t>
      </w:r>
      <w:r w:rsidR="00935A3A">
        <w:t xml:space="preserve">discusses the </w:t>
      </w:r>
      <w:r w:rsidR="000301E3">
        <w:t xml:space="preserve">Company’s </w:t>
      </w:r>
      <w:r w:rsidR="00935A3A">
        <w:t>revisions, corrections</w:t>
      </w:r>
      <w:r w:rsidR="00115873">
        <w:t>,</w:t>
      </w:r>
      <w:r w:rsidR="00935A3A">
        <w:t xml:space="preserve"> and updates</w:t>
      </w:r>
      <w:r w:rsidR="00935A3A" w:rsidRPr="00935A3A">
        <w:t xml:space="preserve"> </w:t>
      </w:r>
      <w:r w:rsidR="00935A3A" w:rsidRPr="00776658">
        <w:t xml:space="preserve">to </w:t>
      </w:r>
      <w:r w:rsidR="00935A3A">
        <w:t>various revenue requirement components for the</w:t>
      </w:r>
      <w:r w:rsidR="0006267A">
        <w:t xml:space="preserve"> modified request</w:t>
      </w:r>
      <w:r w:rsidR="00935A3A" w:rsidRPr="00776658">
        <w:t xml:space="preserve">.  </w:t>
      </w:r>
      <w:r w:rsidR="000301E3">
        <w:t xml:space="preserve">My testimony also addresses revenue requirement adjustments proposed by </w:t>
      </w:r>
      <w:r w:rsidR="0058142C">
        <w:t>other</w:t>
      </w:r>
      <w:r w:rsidR="000301E3">
        <w:t xml:space="preserve"> parties, including adjustments that the Company is accepting.</w:t>
      </w:r>
    </w:p>
    <w:p w:rsidR="00896DE0" w:rsidRPr="00776658" w:rsidRDefault="00896DE0" w:rsidP="00896DE0">
      <w:pPr>
        <w:pStyle w:val="Answer"/>
        <w:jc w:val="left"/>
      </w:pPr>
      <w:r>
        <w:lastRenderedPageBreak/>
        <w:tab/>
      </w:r>
      <w:r>
        <w:tab/>
        <w:t xml:space="preserve">As stated in </w:t>
      </w:r>
      <w:r w:rsidR="003F50DA">
        <w:t xml:space="preserve">my </w:t>
      </w:r>
      <w:r>
        <w:t>initial testimony</w:t>
      </w:r>
      <w:r w:rsidR="003F50DA">
        <w:t>, as well as the initial testimony</w:t>
      </w:r>
      <w:r w:rsidR="00D22D0C">
        <w:t xml:space="preserve"> of </w:t>
      </w:r>
      <w:r w:rsidR="004A19A1">
        <w:t xml:space="preserve">             </w:t>
      </w:r>
      <w:r w:rsidR="00D22D0C">
        <w:t>Mr. R. Bryce Dalley</w:t>
      </w:r>
      <w:r>
        <w:t xml:space="preserve">, this rate filing is comprised of restating and limited pro forma adjustments, incorporating discrete and identifiable cost increases </w:t>
      </w:r>
      <w:r w:rsidR="000301E3">
        <w:t>over</w:t>
      </w:r>
      <w:r>
        <w:t xml:space="preserve"> the next two years.  The </w:t>
      </w:r>
      <w:r w:rsidR="00B031A7">
        <w:t>initial</w:t>
      </w:r>
      <w:r>
        <w:t xml:space="preserve"> filing was prepared </w:t>
      </w:r>
      <w:r w:rsidR="00D22D0C">
        <w:t>with a proposed</w:t>
      </w:r>
      <w:r>
        <w:t xml:space="preserve"> May 1, 2016 effective date for the </w:t>
      </w:r>
      <w:r w:rsidR="00DB1FF1">
        <w:t>Y</w:t>
      </w:r>
      <w:r>
        <w:t xml:space="preserve">ear 1 request and a May 1, 2017 effective date for the </w:t>
      </w:r>
      <w:r w:rsidR="00DB1FF1">
        <w:t>Y</w:t>
      </w:r>
      <w:r>
        <w:t>ear 2 request.</w:t>
      </w:r>
      <w:r w:rsidR="00D22D0C">
        <w:t xml:space="preserve">  However</w:t>
      </w:r>
      <w:r w:rsidR="00AF5545">
        <w:t>,</w:t>
      </w:r>
      <w:r w:rsidR="00D22D0C">
        <w:t xml:space="preserve"> based on the procedural schedule, the updated revenue requirement has been prepared assuming a July 1 effective date for both years.  </w:t>
      </w:r>
      <w:r w:rsidR="00D45133">
        <w:t>T</w:t>
      </w:r>
      <w:r w:rsidR="00D22D0C">
        <w:t>he effective date</w:t>
      </w:r>
      <w:r w:rsidR="00D45133">
        <w:t xml:space="preserve"> change</w:t>
      </w:r>
      <w:r w:rsidR="00D22D0C">
        <w:t xml:space="preserve"> </w:t>
      </w:r>
      <w:r w:rsidR="00D45133">
        <w:t>is reflected in pro forma adjustments, as appropriate, including accelerated depreciation and production tax credits</w:t>
      </w:r>
      <w:r w:rsidR="007A7B79">
        <w:t xml:space="preserve"> (PTC)</w:t>
      </w:r>
      <w:r w:rsidR="00D22D0C">
        <w:t>.</w:t>
      </w:r>
      <w:r w:rsidR="00D45133">
        <w:t xml:space="preserve">  </w:t>
      </w:r>
    </w:p>
    <w:p w:rsidR="00584D33" w:rsidRPr="00776658" w:rsidRDefault="00584D33" w:rsidP="0037593A">
      <w:pPr>
        <w:pStyle w:val="Heading1"/>
        <w:jc w:val="center"/>
      </w:pPr>
      <w:bookmarkStart w:id="2" w:name="_Toc447729282"/>
      <w:r w:rsidRPr="00776658">
        <w:t>Revenue Requirement</w:t>
      </w:r>
      <w:bookmarkEnd w:id="2"/>
    </w:p>
    <w:p w:rsidR="00584D33" w:rsidRPr="00776658" w:rsidRDefault="00584D33" w:rsidP="000C470D">
      <w:pPr>
        <w:pStyle w:val="Answer"/>
        <w:ind w:left="0" w:firstLine="0"/>
        <w:jc w:val="left"/>
        <w:rPr>
          <w:b/>
        </w:rPr>
      </w:pPr>
      <w:r w:rsidRPr="00776658">
        <w:rPr>
          <w:b/>
        </w:rPr>
        <w:t>Q.</w:t>
      </w:r>
      <w:r w:rsidRPr="00776658">
        <w:rPr>
          <w:b/>
        </w:rPr>
        <w:tab/>
      </w:r>
      <w:r w:rsidRPr="00776658">
        <w:rPr>
          <w:rStyle w:val="Strong"/>
        </w:rPr>
        <w:t>Please describe the calculation of the revised overall revenue increase.</w:t>
      </w:r>
    </w:p>
    <w:p w:rsidR="00584D33" w:rsidRPr="00584D33" w:rsidRDefault="00584D33" w:rsidP="00903424">
      <w:pPr>
        <w:pStyle w:val="Answer"/>
        <w:jc w:val="left"/>
      </w:pPr>
      <w:r w:rsidRPr="00776658">
        <w:t>A.</w:t>
      </w:r>
      <w:r w:rsidRPr="00776658">
        <w:tab/>
        <w:t>The Company’s revised revenue increase</w:t>
      </w:r>
      <w:r w:rsidR="0058142C">
        <w:t>s</w:t>
      </w:r>
      <w:r w:rsidRPr="00776658">
        <w:t xml:space="preserve"> of </w:t>
      </w:r>
      <w:r w:rsidRPr="001F0D2D">
        <w:t>$</w:t>
      </w:r>
      <w:r w:rsidR="00211DCC" w:rsidRPr="001F0D2D">
        <w:t>9</w:t>
      </w:r>
      <w:r w:rsidR="00B21E63" w:rsidRPr="001F0D2D">
        <w:t>.</w:t>
      </w:r>
      <w:r w:rsidR="005E5C08" w:rsidRPr="001F0D2D">
        <w:t>0</w:t>
      </w:r>
      <w:r w:rsidRPr="00E17FF4">
        <w:t xml:space="preserve"> million</w:t>
      </w:r>
      <w:r w:rsidR="00D63EDB" w:rsidRPr="00E17FF4">
        <w:t xml:space="preserve"> for </w:t>
      </w:r>
      <w:r w:rsidR="00DB1FF1">
        <w:t>Y</w:t>
      </w:r>
      <w:r w:rsidR="00D63EDB" w:rsidRPr="00E17FF4">
        <w:t>ear 1</w:t>
      </w:r>
      <w:r w:rsidR="006B1BEB" w:rsidRPr="00E17FF4">
        <w:t xml:space="preserve"> and </w:t>
      </w:r>
      <w:r w:rsidR="004A19A1">
        <w:t xml:space="preserve"> </w:t>
      </w:r>
      <w:r w:rsidR="006B1BEB" w:rsidRPr="00E17FF4">
        <w:t>$10.3</w:t>
      </w:r>
      <w:r w:rsidR="00AF5545">
        <w:t xml:space="preserve"> million</w:t>
      </w:r>
      <w:r w:rsidR="00265B2F">
        <w:t xml:space="preserve"> for </w:t>
      </w:r>
      <w:r w:rsidR="00DB1FF1">
        <w:t>Y</w:t>
      </w:r>
      <w:r w:rsidR="00265B2F">
        <w:t>ear 2</w:t>
      </w:r>
      <w:r w:rsidRPr="00776658">
        <w:t xml:space="preserve"> </w:t>
      </w:r>
      <w:r w:rsidR="0058142C">
        <w:t>are</w:t>
      </w:r>
      <w:r w:rsidRPr="00776658">
        <w:t xml:space="preserve"> calculated using the West Control Area </w:t>
      </w:r>
      <w:r w:rsidR="00954EF5" w:rsidRPr="00776658">
        <w:t xml:space="preserve">inter-jurisdictional </w:t>
      </w:r>
      <w:r w:rsidRPr="00776658">
        <w:t>allocation methodology</w:t>
      </w:r>
      <w:r w:rsidR="00954EF5" w:rsidRPr="00776658">
        <w:t xml:space="preserve"> (WCA)</w:t>
      </w:r>
      <w:r w:rsidRPr="00776658">
        <w:t>.  In support of the revised calculation</w:t>
      </w:r>
      <w:r w:rsidR="0058142C">
        <w:t>s</w:t>
      </w:r>
      <w:r w:rsidRPr="00776658">
        <w:t>, Exhibit No.</w:t>
      </w:r>
      <w:r w:rsidR="006B1BEB">
        <w:t xml:space="preserve"> SEM-8</w:t>
      </w:r>
      <w:r w:rsidRPr="00776658">
        <w:t xml:space="preserve"> </w:t>
      </w:r>
      <w:r w:rsidR="0058142C">
        <w:t>and Exhibit No. SEM-10 show</w:t>
      </w:r>
      <w:r w:rsidRPr="00776658">
        <w:t xml:space="preserve"> the </w:t>
      </w:r>
      <w:r w:rsidR="00420658">
        <w:t xml:space="preserve">Company’s </w:t>
      </w:r>
      <w:r w:rsidRPr="00776658">
        <w:t>revised</w:t>
      </w:r>
      <w:r w:rsidRPr="00584D33">
        <w:t xml:space="preserve"> </w:t>
      </w:r>
      <w:r w:rsidR="00D65841">
        <w:t xml:space="preserve">Washington </w:t>
      </w:r>
      <w:r w:rsidRPr="00584D33">
        <w:t>revenue requirement</w:t>
      </w:r>
      <w:r w:rsidR="007320FE">
        <w:t>.</w:t>
      </w:r>
      <w:r w:rsidRPr="00584D33">
        <w:t xml:space="preserve"> </w:t>
      </w:r>
      <w:r w:rsidR="004A51BE">
        <w:t xml:space="preserve"> </w:t>
      </w:r>
      <w:r w:rsidR="0058142C">
        <w:t>These</w:t>
      </w:r>
      <w:r w:rsidRPr="00584D33">
        <w:t xml:space="preserve"> exhibit</w:t>
      </w:r>
      <w:r w:rsidR="0058142C">
        <w:t>s incorporate</w:t>
      </w:r>
      <w:r w:rsidRPr="00584D33">
        <w:t xml:space="preserve"> revisions to certain adjustments made in the Company’s </w:t>
      </w:r>
      <w:r w:rsidR="004A51BE">
        <w:t>initial</w:t>
      </w:r>
      <w:r w:rsidR="004A51BE" w:rsidRPr="00584D33">
        <w:t xml:space="preserve"> </w:t>
      </w:r>
      <w:r w:rsidRPr="00584D33">
        <w:t>filing</w:t>
      </w:r>
      <w:r w:rsidR="0058142C">
        <w:t>,</w:t>
      </w:r>
      <w:r w:rsidRPr="00584D33">
        <w:t xml:space="preserve"> and </w:t>
      </w:r>
      <w:r w:rsidR="0058142C">
        <w:t>provide</w:t>
      </w:r>
      <w:r w:rsidR="004A51BE">
        <w:t xml:space="preserve"> </w:t>
      </w:r>
      <w:r w:rsidRPr="00584D33">
        <w:t>update</w:t>
      </w:r>
      <w:r w:rsidR="00470A29">
        <w:t>s</w:t>
      </w:r>
      <w:r w:rsidR="004A51BE">
        <w:t xml:space="preserve"> to</w:t>
      </w:r>
      <w:r w:rsidRPr="00584D33">
        <w:t xml:space="preserve"> </w:t>
      </w:r>
      <w:r w:rsidR="0058142C">
        <w:t>my initial calculations presented in</w:t>
      </w:r>
      <w:r w:rsidRPr="00584D33">
        <w:t xml:space="preserve"> Exhibit No.</w:t>
      </w:r>
      <w:r w:rsidR="005D3C18">
        <w:t xml:space="preserve"> </w:t>
      </w:r>
      <w:r w:rsidR="002606EB">
        <w:t>SEM</w:t>
      </w:r>
      <w:r w:rsidR="007320FE">
        <w:t>-3</w:t>
      </w:r>
      <w:r w:rsidR="0058142C">
        <w:t xml:space="preserve"> (Year 1 increase) and Exhibit No. SEM-4 (Year 2 increase)</w:t>
      </w:r>
      <w:r w:rsidRPr="00584D33">
        <w:t>.</w:t>
      </w:r>
    </w:p>
    <w:p w:rsidR="00584D33" w:rsidRPr="00B46B12" w:rsidRDefault="00584D33" w:rsidP="004A19A1">
      <w:pPr>
        <w:pStyle w:val="Question"/>
        <w:widowControl w:val="0"/>
        <w:jc w:val="left"/>
        <w:rPr>
          <w:rStyle w:val="Strong"/>
          <w:b/>
        </w:rPr>
      </w:pPr>
      <w:r w:rsidRPr="00B46B12">
        <w:rPr>
          <w:rStyle w:val="Strong"/>
          <w:b/>
        </w:rPr>
        <w:t>Q.</w:t>
      </w:r>
      <w:r w:rsidRPr="00B46B12">
        <w:rPr>
          <w:rStyle w:val="Strong"/>
          <w:b/>
        </w:rPr>
        <w:tab/>
        <w:t xml:space="preserve">Is the Company incorporating any </w:t>
      </w:r>
      <w:r w:rsidR="005D3C18">
        <w:rPr>
          <w:rStyle w:val="Strong"/>
          <w:b/>
        </w:rPr>
        <w:t xml:space="preserve">of the </w:t>
      </w:r>
      <w:r w:rsidRPr="00B46B12">
        <w:rPr>
          <w:rStyle w:val="Strong"/>
          <w:b/>
        </w:rPr>
        <w:t>updates, correction</w:t>
      </w:r>
      <w:r w:rsidR="005D3C18">
        <w:rPr>
          <w:rStyle w:val="Strong"/>
          <w:b/>
        </w:rPr>
        <w:t>s</w:t>
      </w:r>
      <w:r w:rsidRPr="00B46B12">
        <w:rPr>
          <w:rStyle w:val="Strong"/>
          <w:b/>
        </w:rPr>
        <w:t xml:space="preserve">, or adjustments proposed by </w:t>
      </w:r>
      <w:r w:rsidR="0058142C">
        <w:rPr>
          <w:rStyle w:val="Strong"/>
          <w:b/>
        </w:rPr>
        <w:t>other parties</w:t>
      </w:r>
      <w:r w:rsidRPr="00B46B12">
        <w:rPr>
          <w:rStyle w:val="Strong"/>
          <w:b/>
        </w:rPr>
        <w:t xml:space="preserve"> in its </w:t>
      </w:r>
      <w:r w:rsidR="00470A29">
        <w:rPr>
          <w:rStyle w:val="Strong"/>
          <w:b/>
        </w:rPr>
        <w:t xml:space="preserve">rebuttal </w:t>
      </w:r>
      <w:r w:rsidRPr="00B46B12">
        <w:rPr>
          <w:rStyle w:val="Strong"/>
          <w:b/>
        </w:rPr>
        <w:t>revenue requirement calculation</w:t>
      </w:r>
      <w:r w:rsidR="0058142C">
        <w:rPr>
          <w:rStyle w:val="Strong"/>
          <w:b/>
        </w:rPr>
        <w:t>s</w:t>
      </w:r>
      <w:r w:rsidRPr="00B46B12">
        <w:rPr>
          <w:rStyle w:val="Strong"/>
          <w:b/>
        </w:rPr>
        <w:t>?</w:t>
      </w:r>
    </w:p>
    <w:p w:rsidR="00647886" w:rsidRDefault="00584D33" w:rsidP="004A19A1">
      <w:pPr>
        <w:pStyle w:val="Answer"/>
        <w:widowControl w:val="0"/>
        <w:jc w:val="left"/>
      </w:pPr>
      <w:r w:rsidRPr="007320FE">
        <w:t>A.</w:t>
      </w:r>
      <w:r w:rsidRPr="007320FE">
        <w:tab/>
        <w:t>Yes, the Company</w:t>
      </w:r>
      <w:r w:rsidR="000301E3">
        <w:t xml:space="preserve"> has</w:t>
      </w:r>
      <w:r w:rsidRPr="007320FE">
        <w:t xml:space="preserve"> incorporated the following revisions to </w:t>
      </w:r>
      <w:r w:rsidR="005D3C18">
        <w:t xml:space="preserve">revenue requirement </w:t>
      </w:r>
      <w:r w:rsidRPr="007320FE">
        <w:t xml:space="preserve">adjustments </w:t>
      </w:r>
      <w:r w:rsidR="00470A29">
        <w:t xml:space="preserve">proposed </w:t>
      </w:r>
      <w:r w:rsidRPr="007320FE">
        <w:t xml:space="preserve">in its </w:t>
      </w:r>
      <w:r w:rsidR="00470A29">
        <w:t>initial</w:t>
      </w:r>
      <w:r w:rsidRPr="007320FE">
        <w:t xml:space="preserve"> filing, including s</w:t>
      </w:r>
      <w:r w:rsidR="00091A08">
        <w:t xml:space="preserve">everal </w:t>
      </w:r>
      <w:r w:rsidR="005D3C18">
        <w:t xml:space="preserve">adjustments </w:t>
      </w:r>
      <w:r w:rsidRPr="007320FE">
        <w:t xml:space="preserve">proposed by </w:t>
      </w:r>
      <w:r w:rsidR="00E41CAB">
        <w:t>the P</w:t>
      </w:r>
      <w:r w:rsidRPr="007320FE">
        <w:t>arties</w:t>
      </w:r>
      <w:r w:rsidR="00041F02">
        <w:t>.</w:t>
      </w:r>
      <w:r w:rsidRPr="007320FE">
        <w:t xml:space="preserve"> </w:t>
      </w:r>
      <w:r w:rsidR="00470A29">
        <w:t xml:space="preserve"> </w:t>
      </w:r>
      <w:r w:rsidRPr="007320FE">
        <w:t xml:space="preserve">Each </w:t>
      </w:r>
      <w:r w:rsidR="000301E3">
        <w:t xml:space="preserve">revision </w:t>
      </w:r>
      <w:r w:rsidR="00357820">
        <w:t xml:space="preserve">is </w:t>
      </w:r>
      <w:r w:rsidRPr="007320FE">
        <w:t xml:space="preserve">described </w:t>
      </w:r>
      <w:r w:rsidR="005D3C18">
        <w:t>in more detail later in this testimony</w:t>
      </w:r>
      <w:r w:rsidRPr="007320FE">
        <w:t xml:space="preserve">. </w:t>
      </w:r>
      <w:r w:rsidR="00647886">
        <w:br w:type="page"/>
      </w:r>
    </w:p>
    <w:p w:rsidR="00E328BD" w:rsidRPr="00E328BD" w:rsidRDefault="00E328BD" w:rsidP="00721549">
      <w:pPr>
        <w:pStyle w:val="Answer"/>
        <w:suppressLineNumbers/>
        <w:jc w:val="center"/>
        <w:rPr>
          <w:b/>
        </w:rPr>
      </w:pPr>
      <w:r w:rsidRPr="00E328BD">
        <w:rPr>
          <w:b/>
        </w:rPr>
        <w:t>TABLE 1—Year 1 Revenue Requirement Increase</w:t>
      </w:r>
    </w:p>
    <w:tbl>
      <w:tblPr>
        <w:tblW w:w="8205" w:type="dxa"/>
        <w:jc w:val="center"/>
        <w:tblInd w:w="93" w:type="dxa"/>
        <w:tblLook w:val="04A0" w:firstRow="1" w:lastRow="0" w:firstColumn="1" w:lastColumn="0" w:noHBand="0" w:noVBand="1"/>
      </w:tblPr>
      <w:tblGrid>
        <w:gridCol w:w="554"/>
        <w:gridCol w:w="4861"/>
        <w:gridCol w:w="2790"/>
      </w:tblGrid>
      <w:tr w:rsidR="001C101C" w:rsidRPr="001C101C" w:rsidTr="001C101C">
        <w:trPr>
          <w:trHeight w:val="255"/>
          <w:jc w:val="center"/>
        </w:trPr>
        <w:tc>
          <w:tcPr>
            <w:tcW w:w="5415" w:type="dxa"/>
            <w:gridSpan w:val="2"/>
            <w:tcBorders>
              <w:top w:val="single" w:sz="4" w:space="0" w:color="auto"/>
              <w:left w:val="single" w:sz="4" w:space="0" w:color="auto"/>
              <w:bottom w:val="nil"/>
              <w:right w:val="nil"/>
            </w:tcBorders>
            <w:shd w:val="clear" w:color="000000" w:fill="FFFFFF"/>
            <w:noWrap/>
            <w:vAlign w:val="bottom"/>
            <w:hideMark/>
          </w:tcPr>
          <w:p w:rsidR="001C101C" w:rsidRPr="001C101C" w:rsidRDefault="001C101C" w:rsidP="001C101C">
            <w:pPr>
              <w:jc w:val="left"/>
              <w:rPr>
                <w:b/>
                <w:bCs/>
                <w:sz w:val="18"/>
                <w:szCs w:val="18"/>
              </w:rPr>
            </w:pPr>
            <w:bookmarkStart w:id="3" w:name="RANGE!A1:C26"/>
            <w:r w:rsidRPr="001C101C">
              <w:rPr>
                <w:b/>
                <w:bCs/>
                <w:sz w:val="18"/>
                <w:szCs w:val="18"/>
              </w:rPr>
              <w:t>Calculated Revenue Requirement for Year 1</w:t>
            </w:r>
            <w:bookmarkEnd w:id="3"/>
          </w:p>
        </w:tc>
        <w:tc>
          <w:tcPr>
            <w:tcW w:w="2790" w:type="dxa"/>
            <w:tcBorders>
              <w:top w:val="single" w:sz="4" w:space="0" w:color="auto"/>
              <w:left w:val="nil"/>
              <w:bottom w:val="nil"/>
              <w:right w:val="single" w:sz="4" w:space="0" w:color="auto"/>
            </w:tcBorders>
            <w:shd w:val="clear" w:color="000000" w:fill="FFFFFF"/>
            <w:noWrap/>
            <w:vAlign w:val="bottom"/>
            <w:hideMark/>
          </w:tcPr>
          <w:p w:rsidR="001C101C" w:rsidRPr="001C101C" w:rsidRDefault="001C101C" w:rsidP="001C101C">
            <w:pPr>
              <w:jc w:val="right"/>
              <w:rPr>
                <w:b/>
                <w:bCs/>
                <w:sz w:val="18"/>
                <w:szCs w:val="18"/>
              </w:rPr>
            </w:pPr>
            <w:r w:rsidRPr="001C101C">
              <w:rPr>
                <w:b/>
                <w:bCs/>
                <w:sz w:val="18"/>
                <w:szCs w:val="18"/>
              </w:rPr>
              <w:t xml:space="preserve">$10,746,470 </w:t>
            </w:r>
          </w:p>
        </w:tc>
      </w:tr>
      <w:tr w:rsidR="001C101C" w:rsidRPr="001C101C" w:rsidTr="001C101C">
        <w:trPr>
          <w:trHeight w:val="255"/>
          <w:jc w:val="center"/>
        </w:trPr>
        <w:tc>
          <w:tcPr>
            <w:tcW w:w="5415" w:type="dxa"/>
            <w:gridSpan w:val="2"/>
            <w:tcBorders>
              <w:top w:val="nil"/>
              <w:left w:val="single" w:sz="4" w:space="0" w:color="auto"/>
              <w:bottom w:val="nil"/>
              <w:right w:val="nil"/>
            </w:tcBorders>
            <w:shd w:val="clear" w:color="000000" w:fill="FFFFFF"/>
            <w:noWrap/>
            <w:vAlign w:val="bottom"/>
            <w:hideMark/>
          </w:tcPr>
          <w:p w:rsidR="001C101C" w:rsidRPr="001C101C" w:rsidRDefault="001C101C" w:rsidP="001C101C">
            <w:pPr>
              <w:jc w:val="left"/>
              <w:rPr>
                <w:b/>
                <w:bCs/>
                <w:sz w:val="18"/>
                <w:szCs w:val="18"/>
              </w:rPr>
            </w:pPr>
            <w:r w:rsidRPr="001C101C">
              <w:rPr>
                <w:b/>
                <w:bCs/>
                <w:sz w:val="18"/>
                <w:szCs w:val="18"/>
              </w:rPr>
              <w:t>Amount Not Requested</w:t>
            </w:r>
          </w:p>
        </w:tc>
        <w:tc>
          <w:tcPr>
            <w:tcW w:w="2790" w:type="dxa"/>
            <w:tcBorders>
              <w:top w:val="nil"/>
              <w:left w:val="nil"/>
              <w:bottom w:val="nil"/>
              <w:right w:val="single" w:sz="4" w:space="0" w:color="auto"/>
            </w:tcBorders>
            <w:shd w:val="clear" w:color="000000" w:fill="FFFFFF"/>
            <w:noWrap/>
            <w:vAlign w:val="bottom"/>
            <w:hideMark/>
          </w:tcPr>
          <w:p w:rsidR="001C101C" w:rsidRPr="001C101C" w:rsidRDefault="001C101C" w:rsidP="001C101C">
            <w:pPr>
              <w:jc w:val="right"/>
              <w:rPr>
                <w:b/>
                <w:bCs/>
                <w:sz w:val="18"/>
                <w:szCs w:val="18"/>
              </w:rPr>
            </w:pPr>
            <w:r w:rsidRPr="001C101C">
              <w:rPr>
                <w:b/>
                <w:bCs/>
                <w:sz w:val="18"/>
                <w:szCs w:val="18"/>
              </w:rPr>
              <w:t>($746,470)</w:t>
            </w:r>
          </w:p>
        </w:tc>
      </w:tr>
      <w:tr w:rsidR="001C101C" w:rsidRPr="001C101C" w:rsidTr="001C101C">
        <w:trPr>
          <w:trHeight w:val="255"/>
          <w:jc w:val="center"/>
        </w:trPr>
        <w:tc>
          <w:tcPr>
            <w:tcW w:w="5415" w:type="dxa"/>
            <w:gridSpan w:val="2"/>
            <w:tcBorders>
              <w:top w:val="nil"/>
              <w:left w:val="single" w:sz="4" w:space="0" w:color="auto"/>
              <w:bottom w:val="nil"/>
              <w:right w:val="nil"/>
            </w:tcBorders>
            <w:shd w:val="clear" w:color="000000" w:fill="FFFFFF"/>
            <w:noWrap/>
            <w:vAlign w:val="bottom"/>
            <w:hideMark/>
          </w:tcPr>
          <w:p w:rsidR="001C101C" w:rsidRPr="001C101C" w:rsidRDefault="001C101C" w:rsidP="001C101C">
            <w:pPr>
              <w:jc w:val="left"/>
              <w:rPr>
                <w:b/>
                <w:bCs/>
                <w:sz w:val="18"/>
                <w:szCs w:val="18"/>
              </w:rPr>
            </w:pPr>
            <w:r w:rsidRPr="001C101C">
              <w:rPr>
                <w:b/>
                <w:bCs/>
                <w:sz w:val="18"/>
                <w:szCs w:val="18"/>
              </w:rPr>
              <w:t>Filed Revenue Requirement for Year 1</w:t>
            </w:r>
          </w:p>
        </w:tc>
        <w:tc>
          <w:tcPr>
            <w:tcW w:w="2790" w:type="dxa"/>
            <w:tcBorders>
              <w:top w:val="nil"/>
              <w:left w:val="nil"/>
              <w:bottom w:val="nil"/>
              <w:right w:val="single" w:sz="4" w:space="0" w:color="auto"/>
            </w:tcBorders>
            <w:shd w:val="clear" w:color="000000" w:fill="FFFFFF"/>
            <w:noWrap/>
            <w:vAlign w:val="bottom"/>
            <w:hideMark/>
          </w:tcPr>
          <w:p w:rsidR="001C101C" w:rsidRPr="001C101C" w:rsidRDefault="001C101C" w:rsidP="001C101C">
            <w:pPr>
              <w:jc w:val="right"/>
              <w:rPr>
                <w:b/>
                <w:bCs/>
                <w:sz w:val="18"/>
                <w:szCs w:val="18"/>
              </w:rPr>
            </w:pPr>
            <w:r w:rsidRPr="001C101C">
              <w:rPr>
                <w:b/>
                <w:bCs/>
                <w:sz w:val="18"/>
                <w:szCs w:val="18"/>
              </w:rPr>
              <w:t xml:space="preserve">$10,000,000 </w:t>
            </w:r>
          </w:p>
        </w:tc>
      </w:tr>
      <w:tr w:rsidR="001C101C" w:rsidRPr="001C101C" w:rsidTr="001C101C">
        <w:trPr>
          <w:trHeight w:val="255"/>
          <w:jc w:val="center"/>
        </w:trPr>
        <w:tc>
          <w:tcPr>
            <w:tcW w:w="554" w:type="dxa"/>
            <w:tcBorders>
              <w:top w:val="nil"/>
              <w:left w:val="single" w:sz="4" w:space="0" w:color="auto"/>
              <w:bottom w:val="nil"/>
              <w:right w:val="nil"/>
            </w:tcBorders>
            <w:shd w:val="clear" w:color="000000" w:fill="FFFFFF"/>
            <w:noWrap/>
            <w:vAlign w:val="bottom"/>
            <w:hideMark/>
          </w:tcPr>
          <w:p w:rsidR="001C101C" w:rsidRPr="001C101C" w:rsidRDefault="001C101C" w:rsidP="001C101C">
            <w:pPr>
              <w:jc w:val="left"/>
              <w:rPr>
                <w:sz w:val="18"/>
                <w:szCs w:val="18"/>
              </w:rPr>
            </w:pPr>
            <w:r w:rsidRPr="001C101C">
              <w:rPr>
                <w:sz w:val="18"/>
                <w:szCs w:val="18"/>
              </w:rPr>
              <w:t> </w:t>
            </w:r>
          </w:p>
        </w:tc>
        <w:tc>
          <w:tcPr>
            <w:tcW w:w="4861" w:type="dxa"/>
            <w:tcBorders>
              <w:top w:val="nil"/>
              <w:left w:val="nil"/>
              <w:bottom w:val="nil"/>
              <w:right w:val="nil"/>
            </w:tcBorders>
            <w:shd w:val="clear" w:color="000000" w:fill="FFFFFF"/>
            <w:noWrap/>
            <w:vAlign w:val="bottom"/>
            <w:hideMark/>
          </w:tcPr>
          <w:p w:rsidR="001C101C" w:rsidRPr="001C101C" w:rsidRDefault="001C101C" w:rsidP="001C101C">
            <w:pPr>
              <w:jc w:val="left"/>
              <w:rPr>
                <w:sz w:val="18"/>
                <w:szCs w:val="18"/>
              </w:rPr>
            </w:pPr>
            <w:r w:rsidRPr="001C101C">
              <w:rPr>
                <w:sz w:val="18"/>
                <w:szCs w:val="18"/>
              </w:rPr>
              <w:t> </w:t>
            </w:r>
          </w:p>
        </w:tc>
        <w:tc>
          <w:tcPr>
            <w:tcW w:w="2790" w:type="dxa"/>
            <w:tcBorders>
              <w:top w:val="nil"/>
              <w:left w:val="nil"/>
              <w:bottom w:val="nil"/>
              <w:right w:val="single" w:sz="4" w:space="0" w:color="auto"/>
            </w:tcBorders>
            <w:shd w:val="clear" w:color="000000" w:fill="FFFFFF"/>
            <w:noWrap/>
            <w:vAlign w:val="bottom"/>
            <w:hideMark/>
          </w:tcPr>
          <w:p w:rsidR="001C101C" w:rsidRPr="001C101C" w:rsidRDefault="001C101C" w:rsidP="001C101C">
            <w:pPr>
              <w:jc w:val="left"/>
              <w:rPr>
                <w:sz w:val="18"/>
                <w:szCs w:val="18"/>
              </w:rPr>
            </w:pPr>
            <w:r w:rsidRPr="001C101C">
              <w:rPr>
                <w:sz w:val="18"/>
                <w:szCs w:val="18"/>
              </w:rPr>
              <w:t> </w:t>
            </w:r>
          </w:p>
        </w:tc>
      </w:tr>
      <w:tr w:rsidR="001C101C" w:rsidRPr="001C101C" w:rsidTr="001C101C">
        <w:trPr>
          <w:trHeight w:val="255"/>
          <w:jc w:val="center"/>
        </w:trPr>
        <w:tc>
          <w:tcPr>
            <w:tcW w:w="5415" w:type="dxa"/>
            <w:gridSpan w:val="2"/>
            <w:tcBorders>
              <w:top w:val="nil"/>
              <w:left w:val="single" w:sz="4" w:space="0" w:color="auto"/>
              <w:bottom w:val="single" w:sz="4" w:space="0" w:color="auto"/>
              <w:right w:val="nil"/>
            </w:tcBorders>
            <w:shd w:val="clear" w:color="000000" w:fill="FFFFFF"/>
            <w:noWrap/>
            <w:vAlign w:val="bottom"/>
            <w:hideMark/>
          </w:tcPr>
          <w:p w:rsidR="001C101C" w:rsidRPr="001C101C" w:rsidRDefault="001C101C" w:rsidP="001C101C">
            <w:pPr>
              <w:jc w:val="left"/>
              <w:rPr>
                <w:sz w:val="18"/>
                <w:szCs w:val="18"/>
              </w:rPr>
            </w:pPr>
            <w:r w:rsidRPr="001C101C">
              <w:rPr>
                <w:sz w:val="18"/>
                <w:szCs w:val="18"/>
              </w:rPr>
              <w:t>Adjustments Accepted or Partially Accepted by Company in Rebuttal</w:t>
            </w:r>
          </w:p>
        </w:tc>
        <w:tc>
          <w:tcPr>
            <w:tcW w:w="2790" w:type="dxa"/>
            <w:tcBorders>
              <w:top w:val="nil"/>
              <w:left w:val="nil"/>
              <w:bottom w:val="single" w:sz="4" w:space="0" w:color="auto"/>
              <w:right w:val="single" w:sz="4" w:space="0" w:color="auto"/>
            </w:tcBorders>
            <w:shd w:val="clear" w:color="000000" w:fill="FFFFFF"/>
            <w:noWrap/>
            <w:vAlign w:val="bottom"/>
            <w:hideMark/>
          </w:tcPr>
          <w:p w:rsidR="001C101C" w:rsidRPr="001C101C" w:rsidRDefault="001C101C" w:rsidP="001C101C">
            <w:pPr>
              <w:jc w:val="right"/>
              <w:rPr>
                <w:sz w:val="18"/>
                <w:szCs w:val="18"/>
              </w:rPr>
            </w:pPr>
            <w:r w:rsidRPr="001C101C">
              <w:rPr>
                <w:sz w:val="18"/>
                <w:szCs w:val="18"/>
              </w:rPr>
              <w:t>Revenue Requirement Impact ($)</w:t>
            </w:r>
          </w:p>
        </w:tc>
      </w:tr>
      <w:tr w:rsidR="001C101C" w:rsidRPr="001C101C" w:rsidTr="001C101C">
        <w:trPr>
          <w:trHeight w:val="255"/>
          <w:jc w:val="center"/>
        </w:trPr>
        <w:tc>
          <w:tcPr>
            <w:tcW w:w="554" w:type="dxa"/>
            <w:tcBorders>
              <w:top w:val="nil"/>
              <w:left w:val="single" w:sz="4" w:space="0" w:color="auto"/>
              <w:bottom w:val="nil"/>
              <w:right w:val="nil"/>
            </w:tcBorders>
            <w:shd w:val="clear" w:color="000000" w:fill="FFFFFF"/>
            <w:noWrap/>
            <w:vAlign w:val="bottom"/>
            <w:hideMark/>
          </w:tcPr>
          <w:p w:rsidR="001C101C" w:rsidRPr="001C101C" w:rsidRDefault="001C101C" w:rsidP="001C101C">
            <w:pPr>
              <w:jc w:val="center"/>
              <w:rPr>
                <w:sz w:val="18"/>
                <w:szCs w:val="18"/>
              </w:rPr>
            </w:pPr>
            <w:r w:rsidRPr="001C101C">
              <w:rPr>
                <w:sz w:val="18"/>
                <w:szCs w:val="18"/>
              </w:rPr>
              <w:t>4.1</w:t>
            </w:r>
          </w:p>
        </w:tc>
        <w:tc>
          <w:tcPr>
            <w:tcW w:w="4861" w:type="dxa"/>
            <w:tcBorders>
              <w:top w:val="nil"/>
              <w:left w:val="nil"/>
              <w:bottom w:val="nil"/>
              <w:right w:val="nil"/>
            </w:tcBorders>
            <w:shd w:val="clear" w:color="000000" w:fill="FFFFFF"/>
            <w:noWrap/>
            <w:vAlign w:val="bottom"/>
            <w:hideMark/>
          </w:tcPr>
          <w:p w:rsidR="001C101C" w:rsidRPr="001C101C" w:rsidRDefault="001C101C" w:rsidP="001C101C">
            <w:pPr>
              <w:jc w:val="left"/>
              <w:rPr>
                <w:sz w:val="18"/>
                <w:szCs w:val="18"/>
              </w:rPr>
            </w:pPr>
            <w:r w:rsidRPr="001C101C">
              <w:rPr>
                <w:sz w:val="18"/>
                <w:szCs w:val="18"/>
              </w:rPr>
              <w:t>Miscellaneous Expense &amp; Revenue</w:t>
            </w:r>
          </w:p>
        </w:tc>
        <w:tc>
          <w:tcPr>
            <w:tcW w:w="2790" w:type="dxa"/>
            <w:tcBorders>
              <w:top w:val="nil"/>
              <w:left w:val="nil"/>
              <w:bottom w:val="nil"/>
              <w:right w:val="single" w:sz="4" w:space="0" w:color="auto"/>
            </w:tcBorders>
            <w:shd w:val="clear" w:color="000000" w:fill="FFFFFF"/>
            <w:noWrap/>
            <w:vAlign w:val="bottom"/>
            <w:hideMark/>
          </w:tcPr>
          <w:p w:rsidR="001C101C" w:rsidRPr="001C101C" w:rsidRDefault="001C101C" w:rsidP="001C101C">
            <w:pPr>
              <w:jc w:val="right"/>
              <w:rPr>
                <w:sz w:val="18"/>
                <w:szCs w:val="18"/>
              </w:rPr>
            </w:pPr>
            <w:r w:rsidRPr="001C101C">
              <w:rPr>
                <w:sz w:val="18"/>
                <w:szCs w:val="18"/>
              </w:rPr>
              <w:t xml:space="preserve">$101,677 </w:t>
            </w:r>
          </w:p>
        </w:tc>
      </w:tr>
      <w:tr w:rsidR="001C101C" w:rsidRPr="001C101C" w:rsidTr="001C101C">
        <w:trPr>
          <w:trHeight w:val="255"/>
          <w:jc w:val="center"/>
        </w:trPr>
        <w:tc>
          <w:tcPr>
            <w:tcW w:w="554" w:type="dxa"/>
            <w:tcBorders>
              <w:top w:val="nil"/>
              <w:left w:val="single" w:sz="4" w:space="0" w:color="auto"/>
              <w:bottom w:val="nil"/>
              <w:right w:val="nil"/>
            </w:tcBorders>
            <w:shd w:val="clear" w:color="000000" w:fill="FFFFFF"/>
            <w:noWrap/>
            <w:vAlign w:val="bottom"/>
            <w:hideMark/>
          </w:tcPr>
          <w:p w:rsidR="001C101C" w:rsidRPr="001C101C" w:rsidRDefault="001C101C" w:rsidP="001C101C">
            <w:pPr>
              <w:jc w:val="center"/>
              <w:rPr>
                <w:sz w:val="18"/>
                <w:szCs w:val="18"/>
              </w:rPr>
            </w:pPr>
            <w:r w:rsidRPr="001C101C">
              <w:rPr>
                <w:sz w:val="18"/>
                <w:szCs w:val="18"/>
              </w:rPr>
              <w:t>4.9</w:t>
            </w:r>
          </w:p>
        </w:tc>
        <w:tc>
          <w:tcPr>
            <w:tcW w:w="4861" w:type="dxa"/>
            <w:tcBorders>
              <w:top w:val="nil"/>
              <w:left w:val="nil"/>
              <w:bottom w:val="nil"/>
              <w:right w:val="nil"/>
            </w:tcBorders>
            <w:shd w:val="clear" w:color="000000" w:fill="FFFFFF"/>
            <w:noWrap/>
            <w:vAlign w:val="bottom"/>
            <w:hideMark/>
          </w:tcPr>
          <w:p w:rsidR="001C101C" w:rsidRPr="001C101C" w:rsidRDefault="001C101C" w:rsidP="001C101C">
            <w:pPr>
              <w:jc w:val="left"/>
              <w:rPr>
                <w:sz w:val="18"/>
                <w:szCs w:val="18"/>
              </w:rPr>
            </w:pPr>
            <w:r w:rsidRPr="001C101C">
              <w:rPr>
                <w:sz w:val="18"/>
                <w:szCs w:val="18"/>
              </w:rPr>
              <w:t>Membership and Subscriptions</w:t>
            </w:r>
          </w:p>
        </w:tc>
        <w:tc>
          <w:tcPr>
            <w:tcW w:w="2790" w:type="dxa"/>
            <w:tcBorders>
              <w:top w:val="nil"/>
              <w:left w:val="nil"/>
              <w:bottom w:val="nil"/>
              <w:right w:val="single" w:sz="4" w:space="0" w:color="auto"/>
            </w:tcBorders>
            <w:shd w:val="clear" w:color="000000" w:fill="FFFFFF"/>
            <w:noWrap/>
            <w:vAlign w:val="bottom"/>
            <w:hideMark/>
          </w:tcPr>
          <w:p w:rsidR="001C101C" w:rsidRPr="001C101C" w:rsidRDefault="001C101C" w:rsidP="001C101C">
            <w:pPr>
              <w:jc w:val="right"/>
              <w:rPr>
                <w:sz w:val="18"/>
                <w:szCs w:val="18"/>
              </w:rPr>
            </w:pPr>
            <w:r w:rsidRPr="001C101C">
              <w:rPr>
                <w:sz w:val="18"/>
                <w:szCs w:val="18"/>
              </w:rPr>
              <w:t>($2,085)</w:t>
            </w:r>
          </w:p>
        </w:tc>
      </w:tr>
      <w:tr w:rsidR="001C101C" w:rsidRPr="001C101C" w:rsidTr="001C101C">
        <w:trPr>
          <w:trHeight w:val="255"/>
          <w:jc w:val="center"/>
        </w:trPr>
        <w:tc>
          <w:tcPr>
            <w:tcW w:w="554" w:type="dxa"/>
            <w:tcBorders>
              <w:top w:val="nil"/>
              <w:left w:val="single" w:sz="4" w:space="0" w:color="auto"/>
              <w:bottom w:val="nil"/>
              <w:right w:val="nil"/>
            </w:tcBorders>
            <w:shd w:val="clear" w:color="000000" w:fill="FFFFFF"/>
            <w:noWrap/>
            <w:vAlign w:val="bottom"/>
            <w:hideMark/>
          </w:tcPr>
          <w:p w:rsidR="001C101C" w:rsidRPr="001C101C" w:rsidRDefault="001C101C" w:rsidP="001C101C">
            <w:pPr>
              <w:jc w:val="center"/>
              <w:rPr>
                <w:sz w:val="18"/>
                <w:szCs w:val="18"/>
              </w:rPr>
            </w:pPr>
            <w:r w:rsidRPr="001C101C">
              <w:rPr>
                <w:sz w:val="18"/>
                <w:szCs w:val="18"/>
              </w:rPr>
              <w:t>4.11</w:t>
            </w:r>
          </w:p>
        </w:tc>
        <w:tc>
          <w:tcPr>
            <w:tcW w:w="4861" w:type="dxa"/>
            <w:tcBorders>
              <w:top w:val="nil"/>
              <w:left w:val="nil"/>
              <w:bottom w:val="nil"/>
              <w:right w:val="nil"/>
            </w:tcBorders>
            <w:shd w:val="clear" w:color="000000" w:fill="FFFFFF"/>
            <w:noWrap/>
            <w:vAlign w:val="bottom"/>
            <w:hideMark/>
          </w:tcPr>
          <w:p w:rsidR="001C101C" w:rsidRPr="001C101C" w:rsidRDefault="001C101C" w:rsidP="001C101C">
            <w:pPr>
              <w:jc w:val="left"/>
              <w:rPr>
                <w:sz w:val="18"/>
                <w:szCs w:val="18"/>
              </w:rPr>
            </w:pPr>
            <w:r w:rsidRPr="001C101C">
              <w:rPr>
                <w:sz w:val="18"/>
                <w:szCs w:val="18"/>
              </w:rPr>
              <w:t>Full Time Equivalent Reductions</w:t>
            </w:r>
          </w:p>
        </w:tc>
        <w:tc>
          <w:tcPr>
            <w:tcW w:w="2790" w:type="dxa"/>
            <w:tcBorders>
              <w:top w:val="nil"/>
              <w:left w:val="nil"/>
              <w:bottom w:val="nil"/>
              <w:right w:val="single" w:sz="4" w:space="0" w:color="auto"/>
            </w:tcBorders>
            <w:shd w:val="clear" w:color="000000" w:fill="FFFFFF"/>
            <w:noWrap/>
            <w:vAlign w:val="bottom"/>
            <w:hideMark/>
          </w:tcPr>
          <w:p w:rsidR="001C101C" w:rsidRPr="001C101C" w:rsidRDefault="001C101C" w:rsidP="001C101C">
            <w:pPr>
              <w:jc w:val="right"/>
              <w:rPr>
                <w:sz w:val="18"/>
                <w:szCs w:val="18"/>
              </w:rPr>
            </w:pPr>
            <w:r w:rsidRPr="001C101C">
              <w:rPr>
                <w:sz w:val="18"/>
                <w:szCs w:val="18"/>
              </w:rPr>
              <w:t>($874,949)</w:t>
            </w:r>
          </w:p>
        </w:tc>
      </w:tr>
      <w:tr w:rsidR="001C101C" w:rsidRPr="001C101C" w:rsidTr="001C101C">
        <w:trPr>
          <w:trHeight w:val="255"/>
          <w:jc w:val="center"/>
        </w:trPr>
        <w:tc>
          <w:tcPr>
            <w:tcW w:w="554" w:type="dxa"/>
            <w:tcBorders>
              <w:top w:val="nil"/>
              <w:left w:val="single" w:sz="4" w:space="0" w:color="auto"/>
              <w:bottom w:val="nil"/>
              <w:right w:val="nil"/>
            </w:tcBorders>
            <w:shd w:val="clear" w:color="000000" w:fill="FFFFFF"/>
            <w:noWrap/>
            <w:vAlign w:val="bottom"/>
            <w:hideMark/>
          </w:tcPr>
          <w:p w:rsidR="001C101C" w:rsidRPr="001C101C" w:rsidRDefault="001C101C" w:rsidP="001C101C">
            <w:pPr>
              <w:jc w:val="center"/>
              <w:rPr>
                <w:sz w:val="18"/>
                <w:szCs w:val="18"/>
              </w:rPr>
            </w:pPr>
            <w:r w:rsidRPr="001C101C">
              <w:rPr>
                <w:sz w:val="18"/>
                <w:szCs w:val="18"/>
              </w:rPr>
              <w:t>5.2</w:t>
            </w:r>
          </w:p>
        </w:tc>
        <w:tc>
          <w:tcPr>
            <w:tcW w:w="4861" w:type="dxa"/>
            <w:tcBorders>
              <w:top w:val="nil"/>
              <w:left w:val="nil"/>
              <w:bottom w:val="nil"/>
              <w:right w:val="nil"/>
            </w:tcBorders>
            <w:shd w:val="clear" w:color="000000" w:fill="FFFFFF"/>
            <w:noWrap/>
            <w:vAlign w:val="bottom"/>
            <w:hideMark/>
          </w:tcPr>
          <w:p w:rsidR="001C101C" w:rsidRPr="001C101C" w:rsidRDefault="001C101C" w:rsidP="001C101C">
            <w:pPr>
              <w:jc w:val="left"/>
              <w:rPr>
                <w:sz w:val="18"/>
                <w:szCs w:val="18"/>
              </w:rPr>
            </w:pPr>
            <w:r w:rsidRPr="001C101C">
              <w:rPr>
                <w:sz w:val="18"/>
                <w:szCs w:val="18"/>
              </w:rPr>
              <w:t>Colstrip #3 Removal</w:t>
            </w:r>
          </w:p>
        </w:tc>
        <w:tc>
          <w:tcPr>
            <w:tcW w:w="2790" w:type="dxa"/>
            <w:tcBorders>
              <w:top w:val="nil"/>
              <w:left w:val="nil"/>
              <w:bottom w:val="nil"/>
              <w:right w:val="single" w:sz="4" w:space="0" w:color="auto"/>
            </w:tcBorders>
            <w:shd w:val="clear" w:color="000000" w:fill="FFFFFF"/>
            <w:noWrap/>
            <w:vAlign w:val="bottom"/>
            <w:hideMark/>
          </w:tcPr>
          <w:p w:rsidR="001C101C" w:rsidRPr="001C101C" w:rsidRDefault="001C101C" w:rsidP="001C101C">
            <w:pPr>
              <w:jc w:val="right"/>
              <w:rPr>
                <w:sz w:val="18"/>
                <w:szCs w:val="18"/>
              </w:rPr>
            </w:pPr>
            <w:r w:rsidRPr="001C101C">
              <w:rPr>
                <w:sz w:val="18"/>
                <w:szCs w:val="18"/>
              </w:rPr>
              <w:t>($829,873)</w:t>
            </w:r>
          </w:p>
        </w:tc>
      </w:tr>
      <w:tr w:rsidR="001C101C" w:rsidRPr="001C101C" w:rsidTr="001C101C">
        <w:trPr>
          <w:trHeight w:val="255"/>
          <w:jc w:val="center"/>
        </w:trPr>
        <w:tc>
          <w:tcPr>
            <w:tcW w:w="554" w:type="dxa"/>
            <w:tcBorders>
              <w:top w:val="nil"/>
              <w:left w:val="single" w:sz="4" w:space="0" w:color="auto"/>
              <w:bottom w:val="nil"/>
              <w:right w:val="nil"/>
            </w:tcBorders>
            <w:shd w:val="clear" w:color="000000" w:fill="FFFFFF"/>
            <w:noWrap/>
            <w:vAlign w:val="bottom"/>
            <w:hideMark/>
          </w:tcPr>
          <w:p w:rsidR="001C101C" w:rsidRPr="001C101C" w:rsidRDefault="001C101C" w:rsidP="001C101C">
            <w:pPr>
              <w:jc w:val="center"/>
              <w:rPr>
                <w:sz w:val="18"/>
                <w:szCs w:val="18"/>
              </w:rPr>
            </w:pPr>
            <w:r w:rsidRPr="001C101C">
              <w:rPr>
                <w:sz w:val="18"/>
                <w:szCs w:val="18"/>
              </w:rPr>
              <w:t>5.3</w:t>
            </w:r>
          </w:p>
        </w:tc>
        <w:tc>
          <w:tcPr>
            <w:tcW w:w="4861" w:type="dxa"/>
            <w:tcBorders>
              <w:top w:val="nil"/>
              <w:left w:val="nil"/>
              <w:bottom w:val="nil"/>
              <w:right w:val="nil"/>
            </w:tcBorders>
            <w:shd w:val="clear" w:color="000000" w:fill="FFFFFF"/>
            <w:noWrap/>
            <w:vAlign w:val="bottom"/>
            <w:hideMark/>
          </w:tcPr>
          <w:p w:rsidR="001C101C" w:rsidRPr="001C101C" w:rsidRDefault="001C101C" w:rsidP="001C101C">
            <w:pPr>
              <w:jc w:val="left"/>
              <w:rPr>
                <w:sz w:val="18"/>
                <w:szCs w:val="18"/>
              </w:rPr>
            </w:pPr>
            <w:r w:rsidRPr="001C101C">
              <w:rPr>
                <w:sz w:val="18"/>
                <w:szCs w:val="18"/>
              </w:rPr>
              <w:t>EIM Costs Removal</w:t>
            </w:r>
          </w:p>
        </w:tc>
        <w:tc>
          <w:tcPr>
            <w:tcW w:w="2790" w:type="dxa"/>
            <w:tcBorders>
              <w:top w:val="nil"/>
              <w:left w:val="nil"/>
              <w:bottom w:val="nil"/>
              <w:right w:val="single" w:sz="4" w:space="0" w:color="auto"/>
            </w:tcBorders>
            <w:shd w:val="clear" w:color="000000" w:fill="FFFFFF"/>
            <w:noWrap/>
            <w:vAlign w:val="bottom"/>
            <w:hideMark/>
          </w:tcPr>
          <w:p w:rsidR="001C101C" w:rsidRPr="001C101C" w:rsidRDefault="001C101C" w:rsidP="001C101C">
            <w:pPr>
              <w:jc w:val="right"/>
              <w:rPr>
                <w:sz w:val="18"/>
                <w:szCs w:val="18"/>
              </w:rPr>
            </w:pPr>
            <w:r w:rsidRPr="001C101C">
              <w:rPr>
                <w:sz w:val="18"/>
                <w:szCs w:val="18"/>
              </w:rPr>
              <w:t>($526,900)</w:t>
            </w:r>
          </w:p>
        </w:tc>
      </w:tr>
      <w:tr w:rsidR="001C101C" w:rsidRPr="001C101C" w:rsidTr="001C101C">
        <w:trPr>
          <w:trHeight w:val="255"/>
          <w:jc w:val="center"/>
        </w:trPr>
        <w:tc>
          <w:tcPr>
            <w:tcW w:w="554" w:type="dxa"/>
            <w:tcBorders>
              <w:top w:val="nil"/>
              <w:left w:val="single" w:sz="4" w:space="0" w:color="auto"/>
              <w:bottom w:val="nil"/>
              <w:right w:val="nil"/>
            </w:tcBorders>
            <w:shd w:val="clear" w:color="000000" w:fill="FFFFFF"/>
            <w:noWrap/>
            <w:vAlign w:val="bottom"/>
            <w:hideMark/>
          </w:tcPr>
          <w:p w:rsidR="001C101C" w:rsidRPr="001C101C" w:rsidRDefault="001C101C" w:rsidP="001C101C">
            <w:pPr>
              <w:jc w:val="center"/>
              <w:rPr>
                <w:sz w:val="18"/>
                <w:szCs w:val="18"/>
              </w:rPr>
            </w:pPr>
            <w:r w:rsidRPr="001C101C">
              <w:rPr>
                <w:sz w:val="18"/>
                <w:szCs w:val="18"/>
              </w:rPr>
              <w:t>6.5</w:t>
            </w:r>
          </w:p>
        </w:tc>
        <w:tc>
          <w:tcPr>
            <w:tcW w:w="4861" w:type="dxa"/>
            <w:tcBorders>
              <w:top w:val="nil"/>
              <w:left w:val="nil"/>
              <w:bottom w:val="nil"/>
              <w:right w:val="nil"/>
            </w:tcBorders>
            <w:shd w:val="clear" w:color="000000" w:fill="FFFFFF"/>
            <w:noWrap/>
            <w:vAlign w:val="bottom"/>
            <w:hideMark/>
          </w:tcPr>
          <w:p w:rsidR="001C101C" w:rsidRPr="001C101C" w:rsidRDefault="001C101C" w:rsidP="001C101C">
            <w:pPr>
              <w:jc w:val="left"/>
              <w:rPr>
                <w:sz w:val="18"/>
                <w:szCs w:val="18"/>
              </w:rPr>
            </w:pPr>
            <w:r w:rsidRPr="001C101C">
              <w:rPr>
                <w:sz w:val="18"/>
                <w:szCs w:val="18"/>
              </w:rPr>
              <w:t>Retired Asset Depreciation Expense Removal</w:t>
            </w:r>
          </w:p>
        </w:tc>
        <w:tc>
          <w:tcPr>
            <w:tcW w:w="2790" w:type="dxa"/>
            <w:tcBorders>
              <w:top w:val="nil"/>
              <w:left w:val="nil"/>
              <w:bottom w:val="nil"/>
              <w:right w:val="single" w:sz="4" w:space="0" w:color="auto"/>
            </w:tcBorders>
            <w:shd w:val="clear" w:color="000000" w:fill="FFFFFF"/>
            <w:noWrap/>
            <w:vAlign w:val="bottom"/>
            <w:hideMark/>
          </w:tcPr>
          <w:p w:rsidR="001C101C" w:rsidRPr="001C101C" w:rsidRDefault="001C101C" w:rsidP="001C101C">
            <w:pPr>
              <w:jc w:val="right"/>
              <w:rPr>
                <w:sz w:val="18"/>
                <w:szCs w:val="18"/>
              </w:rPr>
            </w:pPr>
            <w:r w:rsidRPr="001C101C">
              <w:rPr>
                <w:sz w:val="18"/>
                <w:szCs w:val="18"/>
              </w:rPr>
              <w:t>($136,978)</w:t>
            </w:r>
          </w:p>
        </w:tc>
      </w:tr>
      <w:tr w:rsidR="001C101C" w:rsidRPr="001C101C" w:rsidTr="001C101C">
        <w:trPr>
          <w:trHeight w:val="255"/>
          <w:jc w:val="center"/>
        </w:trPr>
        <w:tc>
          <w:tcPr>
            <w:tcW w:w="554" w:type="dxa"/>
            <w:tcBorders>
              <w:top w:val="nil"/>
              <w:left w:val="single" w:sz="4" w:space="0" w:color="auto"/>
              <w:bottom w:val="nil"/>
              <w:right w:val="nil"/>
            </w:tcBorders>
            <w:shd w:val="clear" w:color="000000" w:fill="FFFFFF"/>
            <w:noWrap/>
            <w:vAlign w:val="bottom"/>
            <w:hideMark/>
          </w:tcPr>
          <w:p w:rsidR="001C101C" w:rsidRPr="001C101C" w:rsidRDefault="001C101C" w:rsidP="001C101C">
            <w:pPr>
              <w:jc w:val="center"/>
              <w:rPr>
                <w:sz w:val="18"/>
                <w:szCs w:val="18"/>
              </w:rPr>
            </w:pPr>
            <w:r w:rsidRPr="001C101C">
              <w:rPr>
                <w:sz w:val="18"/>
                <w:szCs w:val="18"/>
              </w:rPr>
              <w:t>7.2</w:t>
            </w:r>
          </w:p>
        </w:tc>
        <w:tc>
          <w:tcPr>
            <w:tcW w:w="4861" w:type="dxa"/>
            <w:tcBorders>
              <w:top w:val="nil"/>
              <w:left w:val="nil"/>
              <w:bottom w:val="nil"/>
              <w:right w:val="nil"/>
            </w:tcBorders>
            <w:shd w:val="clear" w:color="000000" w:fill="FFFFFF"/>
            <w:noWrap/>
            <w:vAlign w:val="bottom"/>
            <w:hideMark/>
          </w:tcPr>
          <w:p w:rsidR="001C101C" w:rsidRPr="001C101C" w:rsidRDefault="001C101C" w:rsidP="001C101C">
            <w:pPr>
              <w:jc w:val="left"/>
              <w:rPr>
                <w:sz w:val="18"/>
                <w:szCs w:val="18"/>
              </w:rPr>
            </w:pPr>
            <w:r w:rsidRPr="001C101C">
              <w:rPr>
                <w:sz w:val="18"/>
                <w:szCs w:val="18"/>
              </w:rPr>
              <w:t>Property Tax Expense</w:t>
            </w:r>
          </w:p>
        </w:tc>
        <w:tc>
          <w:tcPr>
            <w:tcW w:w="2790" w:type="dxa"/>
            <w:tcBorders>
              <w:top w:val="nil"/>
              <w:left w:val="nil"/>
              <w:bottom w:val="nil"/>
              <w:right w:val="single" w:sz="4" w:space="0" w:color="auto"/>
            </w:tcBorders>
            <w:shd w:val="clear" w:color="000000" w:fill="FFFFFF"/>
            <w:noWrap/>
            <w:vAlign w:val="bottom"/>
            <w:hideMark/>
          </w:tcPr>
          <w:p w:rsidR="001C101C" w:rsidRPr="001C101C" w:rsidRDefault="001C101C" w:rsidP="001C101C">
            <w:pPr>
              <w:jc w:val="right"/>
              <w:rPr>
                <w:sz w:val="18"/>
                <w:szCs w:val="18"/>
              </w:rPr>
            </w:pPr>
            <w:r w:rsidRPr="001C101C">
              <w:rPr>
                <w:sz w:val="18"/>
                <w:szCs w:val="18"/>
              </w:rPr>
              <w:t xml:space="preserve">$226,458 </w:t>
            </w:r>
          </w:p>
        </w:tc>
      </w:tr>
      <w:tr w:rsidR="001C101C" w:rsidRPr="001C101C" w:rsidTr="001C101C">
        <w:trPr>
          <w:trHeight w:val="255"/>
          <w:jc w:val="center"/>
        </w:trPr>
        <w:tc>
          <w:tcPr>
            <w:tcW w:w="554" w:type="dxa"/>
            <w:tcBorders>
              <w:top w:val="nil"/>
              <w:left w:val="single" w:sz="4" w:space="0" w:color="auto"/>
              <w:bottom w:val="nil"/>
              <w:right w:val="nil"/>
            </w:tcBorders>
            <w:shd w:val="clear" w:color="000000" w:fill="FFFFFF"/>
            <w:noWrap/>
            <w:vAlign w:val="bottom"/>
            <w:hideMark/>
          </w:tcPr>
          <w:p w:rsidR="001C101C" w:rsidRPr="001C101C" w:rsidRDefault="001C101C" w:rsidP="001C101C">
            <w:pPr>
              <w:jc w:val="center"/>
              <w:rPr>
                <w:sz w:val="18"/>
                <w:szCs w:val="18"/>
              </w:rPr>
            </w:pPr>
            <w:r w:rsidRPr="001C101C">
              <w:rPr>
                <w:sz w:val="18"/>
                <w:szCs w:val="18"/>
              </w:rPr>
              <w:t>7.4</w:t>
            </w:r>
          </w:p>
        </w:tc>
        <w:tc>
          <w:tcPr>
            <w:tcW w:w="4861" w:type="dxa"/>
            <w:tcBorders>
              <w:top w:val="nil"/>
              <w:left w:val="nil"/>
              <w:bottom w:val="nil"/>
              <w:right w:val="nil"/>
            </w:tcBorders>
            <w:shd w:val="clear" w:color="000000" w:fill="FFFFFF"/>
            <w:noWrap/>
            <w:vAlign w:val="bottom"/>
            <w:hideMark/>
          </w:tcPr>
          <w:p w:rsidR="001C101C" w:rsidRPr="001C101C" w:rsidRDefault="001C101C" w:rsidP="001C101C">
            <w:pPr>
              <w:jc w:val="left"/>
              <w:rPr>
                <w:sz w:val="18"/>
                <w:szCs w:val="18"/>
              </w:rPr>
            </w:pPr>
            <w:r w:rsidRPr="001C101C">
              <w:rPr>
                <w:sz w:val="18"/>
                <w:szCs w:val="18"/>
              </w:rPr>
              <w:t>PowerTax ADIT Balance</w:t>
            </w:r>
          </w:p>
        </w:tc>
        <w:tc>
          <w:tcPr>
            <w:tcW w:w="2790" w:type="dxa"/>
            <w:tcBorders>
              <w:top w:val="nil"/>
              <w:left w:val="nil"/>
              <w:bottom w:val="nil"/>
              <w:right w:val="single" w:sz="4" w:space="0" w:color="auto"/>
            </w:tcBorders>
            <w:shd w:val="clear" w:color="000000" w:fill="FFFFFF"/>
            <w:noWrap/>
            <w:vAlign w:val="bottom"/>
            <w:hideMark/>
          </w:tcPr>
          <w:p w:rsidR="001C101C" w:rsidRPr="001C101C" w:rsidRDefault="001C101C" w:rsidP="001C101C">
            <w:pPr>
              <w:jc w:val="right"/>
              <w:rPr>
                <w:sz w:val="18"/>
                <w:szCs w:val="18"/>
              </w:rPr>
            </w:pPr>
            <w:r w:rsidRPr="001C101C">
              <w:rPr>
                <w:sz w:val="18"/>
                <w:szCs w:val="18"/>
              </w:rPr>
              <w:t xml:space="preserve">$24,933 </w:t>
            </w:r>
          </w:p>
        </w:tc>
      </w:tr>
      <w:tr w:rsidR="001C101C" w:rsidRPr="001C101C" w:rsidTr="001C101C">
        <w:trPr>
          <w:trHeight w:val="255"/>
          <w:jc w:val="center"/>
        </w:trPr>
        <w:tc>
          <w:tcPr>
            <w:tcW w:w="554" w:type="dxa"/>
            <w:tcBorders>
              <w:top w:val="nil"/>
              <w:left w:val="single" w:sz="4" w:space="0" w:color="auto"/>
              <w:bottom w:val="nil"/>
              <w:right w:val="nil"/>
            </w:tcBorders>
            <w:shd w:val="clear" w:color="000000" w:fill="FFFFFF"/>
            <w:noWrap/>
            <w:vAlign w:val="bottom"/>
            <w:hideMark/>
          </w:tcPr>
          <w:p w:rsidR="001C101C" w:rsidRPr="001C101C" w:rsidRDefault="001C101C" w:rsidP="001C101C">
            <w:pPr>
              <w:jc w:val="center"/>
              <w:rPr>
                <w:sz w:val="18"/>
                <w:szCs w:val="18"/>
              </w:rPr>
            </w:pPr>
            <w:r w:rsidRPr="001C101C">
              <w:rPr>
                <w:sz w:val="18"/>
                <w:szCs w:val="18"/>
              </w:rPr>
              <w:t>7.7</w:t>
            </w:r>
          </w:p>
        </w:tc>
        <w:tc>
          <w:tcPr>
            <w:tcW w:w="4861" w:type="dxa"/>
            <w:tcBorders>
              <w:top w:val="nil"/>
              <w:left w:val="nil"/>
              <w:bottom w:val="nil"/>
              <w:right w:val="nil"/>
            </w:tcBorders>
            <w:shd w:val="clear" w:color="000000" w:fill="FFFFFF"/>
            <w:noWrap/>
            <w:vAlign w:val="bottom"/>
            <w:hideMark/>
          </w:tcPr>
          <w:p w:rsidR="001C101C" w:rsidRPr="001C101C" w:rsidRDefault="001C101C" w:rsidP="001C101C">
            <w:pPr>
              <w:jc w:val="left"/>
              <w:rPr>
                <w:sz w:val="18"/>
                <w:szCs w:val="18"/>
              </w:rPr>
            </w:pPr>
            <w:r w:rsidRPr="001C101C">
              <w:rPr>
                <w:sz w:val="18"/>
                <w:szCs w:val="18"/>
              </w:rPr>
              <w:t>Remove Deferred State Tax Expense &amp; Balance</w:t>
            </w:r>
          </w:p>
        </w:tc>
        <w:tc>
          <w:tcPr>
            <w:tcW w:w="2790" w:type="dxa"/>
            <w:tcBorders>
              <w:top w:val="nil"/>
              <w:left w:val="nil"/>
              <w:bottom w:val="nil"/>
              <w:right w:val="single" w:sz="4" w:space="0" w:color="auto"/>
            </w:tcBorders>
            <w:shd w:val="clear" w:color="000000" w:fill="FFFFFF"/>
            <w:noWrap/>
            <w:vAlign w:val="bottom"/>
            <w:hideMark/>
          </w:tcPr>
          <w:p w:rsidR="001C101C" w:rsidRPr="001C101C" w:rsidRDefault="001C101C" w:rsidP="001C101C">
            <w:pPr>
              <w:jc w:val="right"/>
              <w:rPr>
                <w:sz w:val="18"/>
                <w:szCs w:val="18"/>
              </w:rPr>
            </w:pPr>
            <w:r w:rsidRPr="001C101C">
              <w:rPr>
                <w:sz w:val="18"/>
                <w:szCs w:val="18"/>
              </w:rPr>
              <w:t>($98,122)</w:t>
            </w:r>
          </w:p>
        </w:tc>
      </w:tr>
      <w:tr w:rsidR="001C101C" w:rsidRPr="001C101C" w:rsidTr="001C101C">
        <w:trPr>
          <w:trHeight w:val="255"/>
          <w:jc w:val="center"/>
        </w:trPr>
        <w:tc>
          <w:tcPr>
            <w:tcW w:w="554" w:type="dxa"/>
            <w:tcBorders>
              <w:top w:val="nil"/>
              <w:left w:val="single" w:sz="4" w:space="0" w:color="auto"/>
              <w:bottom w:val="nil"/>
              <w:right w:val="nil"/>
            </w:tcBorders>
            <w:shd w:val="clear" w:color="000000" w:fill="FFFFFF"/>
            <w:noWrap/>
            <w:vAlign w:val="bottom"/>
            <w:hideMark/>
          </w:tcPr>
          <w:p w:rsidR="001C101C" w:rsidRPr="001C101C" w:rsidRDefault="001C101C" w:rsidP="001C101C">
            <w:pPr>
              <w:jc w:val="center"/>
              <w:rPr>
                <w:sz w:val="18"/>
                <w:szCs w:val="18"/>
              </w:rPr>
            </w:pPr>
            <w:r w:rsidRPr="001C101C">
              <w:rPr>
                <w:sz w:val="18"/>
                <w:szCs w:val="18"/>
              </w:rPr>
              <w:t>8.4</w:t>
            </w:r>
          </w:p>
        </w:tc>
        <w:tc>
          <w:tcPr>
            <w:tcW w:w="4861" w:type="dxa"/>
            <w:tcBorders>
              <w:top w:val="nil"/>
              <w:left w:val="nil"/>
              <w:bottom w:val="nil"/>
              <w:right w:val="nil"/>
            </w:tcBorders>
            <w:shd w:val="clear" w:color="000000" w:fill="FFFFFF"/>
            <w:noWrap/>
            <w:vAlign w:val="bottom"/>
            <w:hideMark/>
          </w:tcPr>
          <w:p w:rsidR="001C101C" w:rsidRPr="001C101C" w:rsidRDefault="001C101C" w:rsidP="001C101C">
            <w:pPr>
              <w:jc w:val="left"/>
              <w:rPr>
                <w:sz w:val="18"/>
                <w:szCs w:val="18"/>
              </w:rPr>
            </w:pPr>
            <w:r w:rsidRPr="001C101C">
              <w:rPr>
                <w:sz w:val="18"/>
                <w:szCs w:val="18"/>
              </w:rPr>
              <w:t>Pro Forma Major Plant Additions</w:t>
            </w:r>
          </w:p>
        </w:tc>
        <w:tc>
          <w:tcPr>
            <w:tcW w:w="2790" w:type="dxa"/>
            <w:tcBorders>
              <w:top w:val="nil"/>
              <w:left w:val="nil"/>
              <w:bottom w:val="nil"/>
              <w:right w:val="single" w:sz="4" w:space="0" w:color="auto"/>
            </w:tcBorders>
            <w:shd w:val="clear" w:color="000000" w:fill="FFFFFF"/>
            <w:noWrap/>
            <w:vAlign w:val="bottom"/>
            <w:hideMark/>
          </w:tcPr>
          <w:p w:rsidR="001C101C" w:rsidRPr="001C101C" w:rsidRDefault="001C101C" w:rsidP="001C101C">
            <w:pPr>
              <w:jc w:val="right"/>
              <w:rPr>
                <w:sz w:val="18"/>
                <w:szCs w:val="18"/>
              </w:rPr>
            </w:pPr>
            <w:r w:rsidRPr="001C101C">
              <w:rPr>
                <w:sz w:val="18"/>
                <w:szCs w:val="18"/>
              </w:rPr>
              <w:t>($653,709)</w:t>
            </w:r>
          </w:p>
        </w:tc>
      </w:tr>
      <w:tr w:rsidR="001C101C" w:rsidRPr="001C101C" w:rsidTr="001C101C">
        <w:trPr>
          <w:trHeight w:val="255"/>
          <w:jc w:val="center"/>
        </w:trPr>
        <w:tc>
          <w:tcPr>
            <w:tcW w:w="5415" w:type="dxa"/>
            <w:gridSpan w:val="2"/>
            <w:tcBorders>
              <w:top w:val="nil"/>
              <w:left w:val="single" w:sz="4" w:space="0" w:color="auto"/>
              <w:bottom w:val="nil"/>
              <w:right w:val="nil"/>
            </w:tcBorders>
            <w:shd w:val="clear" w:color="000000" w:fill="FFFFFF"/>
            <w:noWrap/>
            <w:vAlign w:val="bottom"/>
            <w:hideMark/>
          </w:tcPr>
          <w:p w:rsidR="001C101C" w:rsidRPr="001C101C" w:rsidRDefault="001C101C" w:rsidP="001C101C">
            <w:pPr>
              <w:jc w:val="left"/>
              <w:rPr>
                <w:b/>
                <w:bCs/>
                <w:i/>
                <w:iCs/>
                <w:sz w:val="18"/>
                <w:szCs w:val="18"/>
              </w:rPr>
            </w:pPr>
            <w:r w:rsidRPr="001C101C">
              <w:rPr>
                <w:b/>
                <w:bCs/>
                <w:i/>
                <w:iCs/>
                <w:sz w:val="18"/>
                <w:szCs w:val="18"/>
              </w:rPr>
              <w:t>Total Impact of Adjustments Accepted</w:t>
            </w:r>
          </w:p>
        </w:tc>
        <w:tc>
          <w:tcPr>
            <w:tcW w:w="2790" w:type="dxa"/>
            <w:tcBorders>
              <w:top w:val="nil"/>
              <w:left w:val="nil"/>
              <w:bottom w:val="nil"/>
              <w:right w:val="single" w:sz="4" w:space="0" w:color="auto"/>
            </w:tcBorders>
            <w:shd w:val="clear" w:color="000000" w:fill="FFFFFF"/>
            <w:noWrap/>
            <w:vAlign w:val="bottom"/>
            <w:hideMark/>
          </w:tcPr>
          <w:p w:rsidR="001C101C" w:rsidRPr="001C101C" w:rsidRDefault="001C101C" w:rsidP="001C101C">
            <w:pPr>
              <w:jc w:val="right"/>
              <w:rPr>
                <w:b/>
                <w:bCs/>
                <w:i/>
                <w:iCs/>
                <w:sz w:val="18"/>
                <w:szCs w:val="18"/>
              </w:rPr>
            </w:pPr>
            <w:r w:rsidRPr="001C101C">
              <w:rPr>
                <w:b/>
                <w:bCs/>
                <w:i/>
                <w:iCs/>
                <w:sz w:val="18"/>
                <w:szCs w:val="18"/>
              </w:rPr>
              <w:t>($2,769,550)</w:t>
            </w:r>
          </w:p>
        </w:tc>
      </w:tr>
      <w:tr w:rsidR="001C101C" w:rsidRPr="001C101C" w:rsidTr="001C101C">
        <w:trPr>
          <w:trHeight w:val="75"/>
          <w:jc w:val="center"/>
        </w:trPr>
        <w:tc>
          <w:tcPr>
            <w:tcW w:w="554" w:type="dxa"/>
            <w:tcBorders>
              <w:top w:val="nil"/>
              <w:left w:val="single" w:sz="4" w:space="0" w:color="auto"/>
              <w:bottom w:val="nil"/>
              <w:right w:val="nil"/>
            </w:tcBorders>
            <w:shd w:val="clear" w:color="000000" w:fill="FFFFFF"/>
            <w:noWrap/>
            <w:vAlign w:val="bottom"/>
            <w:hideMark/>
          </w:tcPr>
          <w:p w:rsidR="001C101C" w:rsidRPr="001C101C" w:rsidRDefault="001C101C" w:rsidP="001C101C">
            <w:pPr>
              <w:jc w:val="left"/>
              <w:rPr>
                <w:b/>
                <w:bCs/>
                <w:i/>
                <w:iCs/>
                <w:sz w:val="18"/>
                <w:szCs w:val="18"/>
              </w:rPr>
            </w:pPr>
            <w:r w:rsidRPr="001C101C">
              <w:rPr>
                <w:b/>
                <w:bCs/>
                <w:i/>
                <w:iCs/>
                <w:sz w:val="18"/>
                <w:szCs w:val="18"/>
              </w:rPr>
              <w:t> </w:t>
            </w:r>
          </w:p>
        </w:tc>
        <w:tc>
          <w:tcPr>
            <w:tcW w:w="4861" w:type="dxa"/>
            <w:tcBorders>
              <w:top w:val="nil"/>
              <w:left w:val="nil"/>
              <w:bottom w:val="nil"/>
              <w:right w:val="nil"/>
            </w:tcBorders>
            <w:shd w:val="clear" w:color="000000" w:fill="FFFFFF"/>
            <w:noWrap/>
            <w:vAlign w:val="bottom"/>
            <w:hideMark/>
          </w:tcPr>
          <w:p w:rsidR="001C101C" w:rsidRPr="001C101C" w:rsidRDefault="001C101C" w:rsidP="001C101C">
            <w:pPr>
              <w:jc w:val="left"/>
              <w:rPr>
                <w:b/>
                <w:bCs/>
                <w:i/>
                <w:iCs/>
                <w:sz w:val="18"/>
                <w:szCs w:val="18"/>
              </w:rPr>
            </w:pPr>
            <w:r w:rsidRPr="001C101C">
              <w:rPr>
                <w:b/>
                <w:bCs/>
                <w:i/>
                <w:iCs/>
                <w:sz w:val="18"/>
                <w:szCs w:val="18"/>
              </w:rPr>
              <w:t> </w:t>
            </w:r>
          </w:p>
        </w:tc>
        <w:tc>
          <w:tcPr>
            <w:tcW w:w="2790" w:type="dxa"/>
            <w:tcBorders>
              <w:top w:val="nil"/>
              <w:left w:val="nil"/>
              <w:bottom w:val="nil"/>
              <w:right w:val="single" w:sz="4" w:space="0" w:color="auto"/>
            </w:tcBorders>
            <w:shd w:val="clear" w:color="000000" w:fill="FFFFFF"/>
            <w:noWrap/>
            <w:vAlign w:val="bottom"/>
            <w:hideMark/>
          </w:tcPr>
          <w:p w:rsidR="001C101C" w:rsidRPr="001C101C" w:rsidRDefault="001C101C" w:rsidP="001C101C">
            <w:pPr>
              <w:jc w:val="left"/>
              <w:rPr>
                <w:b/>
                <w:bCs/>
                <w:i/>
                <w:iCs/>
                <w:sz w:val="18"/>
                <w:szCs w:val="18"/>
              </w:rPr>
            </w:pPr>
            <w:r w:rsidRPr="001C101C">
              <w:rPr>
                <w:b/>
                <w:bCs/>
                <w:i/>
                <w:iCs/>
                <w:sz w:val="18"/>
                <w:szCs w:val="18"/>
              </w:rPr>
              <w:t> </w:t>
            </w:r>
          </w:p>
        </w:tc>
      </w:tr>
      <w:tr w:rsidR="001C101C" w:rsidRPr="001C101C" w:rsidTr="001C101C">
        <w:trPr>
          <w:trHeight w:val="270"/>
          <w:jc w:val="center"/>
        </w:trPr>
        <w:tc>
          <w:tcPr>
            <w:tcW w:w="5415" w:type="dxa"/>
            <w:gridSpan w:val="2"/>
            <w:tcBorders>
              <w:top w:val="single" w:sz="4" w:space="0" w:color="auto"/>
              <w:left w:val="single" w:sz="4" w:space="0" w:color="auto"/>
              <w:bottom w:val="double" w:sz="6" w:space="0" w:color="auto"/>
              <w:right w:val="nil"/>
            </w:tcBorders>
            <w:shd w:val="clear" w:color="000000" w:fill="FFFFFF"/>
            <w:noWrap/>
            <w:vAlign w:val="bottom"/>
            <w:hideMark/>
          </w:tcPr>
          <w:p w:rsidR="001C101C" w:rsidRPr="001C101C" w:rsidRDefault="001C101C" w:rsidP="001C101C">
            <w:pPr>
              <w:jc w:val="left"/>
              <w:rPr>
                <w:b/>
                <w:bCs/>
                <w:sz w:val="18"/>
                <w:szCs w:val="18"/>
              </w:rPr>
            </w:pPr>
            <w:r w:rsidRPr="001C101C">
              <w:rPr>
                <w:b/>
                <w:bCs/>
                <w:sz w:val="18"/>
                <w:szCs w:val="18"/>
              </w:rPr>
              <w:t>Revised Revenue Requirement</w:t>
            </w:r>
          </w:p>
        </w:tc>
        <w:tc>
          <w:tcPr>
            <w:tcW w:w="2790" w:type="dxa"/>
            <w:tcBorders>
              <w:top w:val="single" w:sz="4" w:space="0" w:color="auto"/>
              <w:left w:val="nil"/>
              <w:bottom w:val="double" w:sz="6" w:space="0" w:color="auto"/>
              <w:right w:val="single" w:sz="4" w:space="0" w:color="auto"/>
            </w:tcBorders>
            <w:shd w:val="clear" w:color="000000" w:fill="FFFFFF"/>
            <w:noWrap/>
            <w:vAlign w:val="bottom"/>
            <w:hideMark/>
          </w:tcPr>
          <w:p w:rsidR="001C101C" w:rsidRPr="001C101C" w:rsidRDefault="001C101C" w:rsidP="001C101C">
            <w:pPr>
              <w:jc w:val="right"/>
              <w:rPr>
                <w:b/>
                <w:bCs/>
                <w:sz w:val="18"/>
                <w:szCs w:val="18"/>
              </w:rPr>
            </w:pPr>
            <w:r w:rsidRPr="001C101C">
              <w:rPr>
                <w:b/>
                <w:bCs/>
                <w:sz w:val="18"/>
                <w:szCs w:val="18"/>
              </w:rPr>
              <w:t xml:space="preserve">$7,976,920 </w:t>
            </w:r>
          </w:p>
        </w:tc>
      </w:tr>
      <w:tr w:rsidR="001C101C" w:rsidRPr="001C101C" w:rsidTr="001C101C">
        <w:trPr>
          <w:trHeight w:val="270"/>
          <w:jc w:val="center"/>
        </w:trPr>
        <w:tc>
          <w:tcPr>
            <w:tcW w:w="554" w:type="dxa"/>
            <w:tcBorders>
              <w:top w:val="nil"/>
              <w:left w:val="single" w:sz="4" w:space="0" w:color="auto"/>
              <w:bottom w:val="nil"/>
              <w:right w:val="nil"/>
            </w:tcBorders>
            <w:shd w:val="clear" w:color="000000" w:fill="FFFFFF"/>
            <w:noWrap/>
            <w:vAlign w:val="bottom"/>
            <w:hideMark/>
          </w:tcPr>
          <w:p w:rsidR="001C101C" w:rsidRPr="001C101C" w:rsidRDefault="001C101C" w:rsidP="001C101C">
            <w:pPr>
              <w:jc w:val="left"/>
              <w:rPr>
                <w:sz w:val="18"/>
                <w:szCs w:val="18"/>
              </w:rPr>
            </w:pPr>
            <w:r w:rsidRPr="001C101C">
              <w:rPr>
                <w:sz w:val="18"/>
                <w:szCs w:val="18"/>
              </w:rPr>
              <w:t> </w:t>
            </w:r>
          </w:p>
        </w:tc>
        <w:tc>
          <w:tcPr>
            <w:tcW w:w="4861" w:type="dxa"/>
            <w:tcBorders>
              <w:top w:val="nil"/>
              <w:left w:val="nil"/>
              <w:bottom w:val="nil"/>
              <w:right w:val="nil"/>
            </w:tcBorders>
            <w:shd w:val="clear" w:color="000000" w:fill="FFFFFF"/>
            <w:noWrap/>
            <w:vAlign w:val="bottom"/>
            <w:hideMark/>
          </w:tcPr>
          <w:p w:rsidR="001C101C" w:rsidRPr="001C101C" w:rsidRDefault="001C101C" w:rsidP="001C101C">
            <w:pPr>
              <w:jc w:val="left"/>
              <w:rPr>
                <w:sz w:val="18"/>
                <w:szCs w:val="18"/>
              </w:rPr>
            </w:pPr>
            <w:r w:rsidRPr="001C101C">
              <w:rPr>
                <w:sz w:val="18"/>
                <w:szCs w:val="18"/>
              </w:rPr>
              <w:t> </w:t>
            </w:r>
          </w:p>
        </w:tc>
        <w:tc>
          <w:tcPr>
            <w:tcW w:w="2790" w:type="dxa"/>
            <w:tcBorders>
              <w:top w:val="nil"/>
              <w:left w:val="nil"/>
              <w:bottom w:val="nil"/>
              <w:right w:val="single" w:sz="4" w:space="0" w:color="auto"/>
            </w:tcBorders>
            <w:shd w:val="clear" w:color="000000" w:fill="FFFFFF"/>
            <w:noWrap/>
            <w:vAlign w:val="bottom"/>
            <w:hideMark/>
          </w:tcPr>
          <w:p w:rsidR="001C101C" w:rsidRPr="001C101C" w:rsidRDefault="001C101C" w:rsidP="001C101C">
            <w:pPr>
              <w:jc w:val="left"/>
              <w:rPr>
                <w:sz w:val="18"/>
                <w:szCs w:val="18"/>
              </w:rPr>
            </w:pPr>
            <w:r w:rsidRPr="001C101C">
              <w:rPr>
                <w:sz w:val="18"/>
                <w:szCs w:val="18"/>
              </w:rPr>
              <w:t> </w:t>
            </w:r>
          </w:p>
        </w:tc>
      </w:tr>
      <w:tr w:rsidR="001C101C" w:rsidRPr="001C101C" w:rsidTr="001C101C">
        <w:trPr>
          <w:trHeight w:val="255"/>
          <w:jc w:val="center"/>
        </w:trPr>
        <w:tc>
          <w:tcPr>
            <w:tcW w:w="5415" w:type="dxa"/>
            <w:gridSpan w:val="2"/>
            <w:tcBorders>
              <w:top w:val="nil"/>
              <w:left w:val="single" w:sz="4" w:space="0" w:color="auto"/>
              <w:bottom w:val="single" w:sz="4" w:space="0" w:color="auto"/>
              <w:right w:val="nil"/>
            </w:tcBorders>
            <w:shd w:val="clear" w:color="000000" w:fill="FFFFFF"/>
            <w:noWrap/>
            <w:vAlign w:val="bottom"/>
            <w:hideMark/>
          </w:tcPr>
          <w:p w:rsidR="001C101C" w:rsidRPr="001C101C" w:rsidRDefault="001C101C" w:rsidP="001C101C">
            <w:pPr>
              <w:jc w:val="left"/>
              <w:rPr>
                <w:sz w:val="18"/>
                <w:szCs w:val="18"/>
              </w:rPr>
            </w:pPr>
            <w:r w:rsidRPr="001C101C">
              <w:rPr>
                <w:sz w:val="18"/>
                <w:szCs w:val="18"/>
              </w:rPr>
              <w:t>Adjustments Revised by the Company in Rebuttal</w:t>
            </w:r>
          </w:p>
        </w:tc>
        <w:tc>
          <w:tcPr>
            <w:tcW w:w="2790" w:type="dxa"/>
            <w:tcBorders>
              <w:top w:val="nil"/>
              <w:left w:val="nil"/>
              <w:bottom w:val="single" w:sz="4" w:space="0" w:color="auto"/>
              <w:right w:val="single" w:sz="4" w:space="0" w:color="auto"/>
            </w:tcBorders>
            <w:shd w:val="clear" w:color="000000" w:fill="FFFFFF"/>
            <w:noWrap/>
            <w:vAlign w:val="bottom"/>
            <w:hideMark/>
          </w:tcPr>
          <w:p w:rsidR="001C101C" w:rsidRPr="001C101C" w:rsidRDefault="001C101C" w:rsidP="001C101C">
            <w:pPr>
              <w:jc w:val="right"/>
              <w:rPr>
                <w:sz w:val="18"/>
                <w:szCs w:val="18"/>
              </w:rPr>
            </w:pPr>
            <w:r w:rsidRPr="001C101C">
              <w:rPr>
                <w:sz w:val="18"/>
                <w:szCs w:val="18"/>
              </w:rPr>
              <w:t>Revenue Requirement Impact ($)</w:t>
            </w:r>
          </w:p>
        </w:tc>
      </w:tr>
      <w:tr w:rsidR="001C101C" w:rsidRPr="001C101C" w:rsidTr="001C101C">
        <w:trPr>
          <w:trHeight w:val="255"/>
          <w:jc w:val="center"/>
        </w:trPr>
        <w:tc>
          <w:tcPr>
            <w:tcW w:w="554" w:type="dxa"/>
            <w:tcBorders>
              <w:top w:val="nil"/>
              <w:left w:val="single" w:sz="4" w:space="0" w:color="auto"/>
              <w:bottom w:val="nil"/>
              <w:right w:val="nil"/>
            </w:tcBorders>
            <w:shd w:val="clear" w:color="000000" w:fill="FFFFFF"/>
            <w:noWrap/>
            <w:vAlign w:val="bottom"/>
            <w:hideMark/>
          </w:tcPr>
          <w:p w:rsidR="001C101C" w:rsidRPr="001C101C" w:rsidRDefault="001C101C" w:rsidP="001C101C">
            <w:pPr>
              <w:jc w:val="center"/>
              <w:rPr>
                <w:sz w:val="18"/>
                <w:szCs w:val="18"/>
              </w:rPr>
            </w:pPr>
            <w:r w:rsidRPr="001C101C">
              <w:rPr>
                <w:sz w:val="18"/>
                <w:szCs w:val="18"/>
              </w:rPr>
              <w:t>4.2</w:t>
            </w:r>
          </w:p>
        </w:tc>
        <w:tc>
          <w:tcPr>
            <w:tcW w:w="4861" w:type="dxa"/>
            <w:tcBorders>
              <w:top w:val="nil"/>
              <w:left w:val="nil"/>
              <w:bottom w:val="nil"/>
              <w:right w:val="nil"/>
            </w:tcBorders>
            <w:shd w:val="clear" w:color="000000" w:fill="FFFFFF"/>
            <w:noWrap/>
            <w:vAlign w:val="bottom"/>
            <w:hideMark/>
          </w:tcPr>
          <w:p w:rsidR="001C101C" w:rsidRPr="001C101C" w:rsidRDefault="001C101C" w:rsidP="001C101C">
            <w:pPr>
              <w:jc w:val="left"/>
              <w:rPr>
                <w:sz w:val="18"/>
                <w:szCs w:val="18"/>
              </w:rPr>
            </w:pPr>
            <w:r w:rsidRPr="001C101C">
              <w:rPr>
                <w:sz w:val="18"/>
                <w:szCs w:val="18"/>
              </w:rPr>
              <w:t>General Wage Increase</w:t>
            </w:r>
          </w:p>
        </w:tc>
        <w:tc>
          <w:tcPr>
            <w:tcW w:w="2790" w:type="dxa"/>
            <w:tcBorders>
              <w:top w:val="nil"/>
              <w:left w:val="nil"/>
              <w:bottom w:val="nil"/>
              <w:right w:val="single" w:sz="4" w:space="0" w:color="auto"/>
            </w:tcBorders>
            <w:shd w:val="clear" w:color="000000" w:fill="FFFFFF"/>
            <w:noWrap/>
            <w:vAlign w:val="bottom"/>
            <w:hideMark/>
          </w:tcPr>
          <w:p w:rsidR="001C101C" w:rsidRPr="001C101C" w:rsidRDefault="001C101C" w:rsidP="001C101C">
            <w:pPr>
              <w:jc w:val="right"/>
              <w:rPr>
                <w:sz w:val="18"/>
                <w:szCs w:val="18"/>
              </w:rPr>
            </w:pPr>
            <w:r w:rsidRPr="001C101C">
              <w:rPr>
                <w:sz w:val="18"/>
                <w:szCs w:val="18"/>
              </w:rPr>
              <w:t xml:space="preserve">$537,169 </w:t>
            </w:r>
          </w:p>
        </w:tc>
      </w:tr>
      <w:tr w:rsidR="001C101C" w:rsidRPr="001C101C" w:rsidTr="001C101C">
        <w:trPr>
          <w:trHeight w:val="255"/>
          <w:jc w:val="center"/>
        </w:trPr>
        <w:tc>
          <w:tcPr>
            <w:tcW w:w="554" w:type="dxa"/>
            <w:tcBorders>
              <w:top w:val="nil"/>
              <w:left w:val="single" w:sz="4" w:space="0" w:color="auto"/>
              <w:bottom w:val="nil"/>
              <w:right w:val="nil"/>
            </w:tcBorders>
            <w:shd w:val="clear" w:color="000000" w:fill="FFFFFF"/>
            <w:noWrap/>
            <w:vAlign w:val="bottom"/>
            <w:hideMark/>
          </w:tcPr>
          <w:p w:rsidR="001C101C" w:rsidRPr="001C101C" w:rsidRDefault="001C101C" w:rsidP="001C101C">
            <w:pPr>
              <w:jc w:val="center"/>
              <w:rPr>
                <w:sz w:val="18"/>
                <w:szCs w:val="18"/>
              </w:rPr>
            </w:pPr>
            <w:r w:rsidRPr="001C101C">
              <w:rPr>
                <w:sz w:val="18"/>
                <w:szCs w:val="18"/>
              </w:rPr>
              <w:t>6.4</w:t>
            </w:r>
          </w:p>
        </w:tc>
        <w:tc>
          <w:tcPr>
            <w:tcW w:w="4861" w:type="dxa"/>
            <w:tcBorders>
              <w:top w:val="nil"/>
              <w:left w:val="nil"/>
              <w:bottom w:val="nil"/>
              <w:right w:val="nil"/>
            </w:tcBorders>
            <w:shd w:val="clear" w:color="000000" w:fill="FFFFFF"/>
            <w:noWrap/>
            <w:vAlign w:val="bottom"/>
            <w:hideMark/>
          </w:tcPr>
          <w:p w:rsidR="001C101C" w:rsidRPr="001C101C" w:rsidRDefault="001C101C" w:rsidP="001C101C">
            <w:pPr>
              <w:jc w:val="left"/>
              <w:rPr>
                <w:sz w:val="18"/>
                <w:szCs w:val="18"/>
              </w:rPr>
            </w:pPr>
            <w:r w:rsidRPr="001C101C">
              <w:rPr>
                <w:sz w:val="18"/>
                <w:szCs w:val="18"/>
              </w:rPr>
              <w:t>Accelerated Depreciation - Colstrip &amp; Jim Bridger</w:t>
            </w:r>
          </w:p>
        </w:tc>
        <w:tc>
          <w:tcPr>
            <w:tcW w:w="2790" w:type="dxa"/>
            <w:tcBorders>
              <w:top w:val="nil"/>
              <w:left w:val="nil"/>
              <w:bottom w:val="nil"/>
              <w:right w:val="single" w:sz="4" w:space="0" w:color="auto"/>
            </w:tcBorders>
            <w:shd w:val="clear" w:color="000000" w:fill="FFFFFF"/>
            <w:noWrap/>
            <w:vAlign w:val="bottom"/>
            <w:hideMark/>
          </w:tcPr>
          <w:p w:rsidR="001C101C" w:rsidRPr="001C101C" w:rsidRDefault="001C101C" w:rsidP="001C101C">
            <w:pPr>
              <w:jc w:val="right"/>
              <w:rPr>
                <w:sz w:val="18"/>
                <w:szCs w:val="18"/>
              </w:rPr>
            </w:pPr>
            <w:r w:rsidRPr="001C101C">
              <w:rPr>
                <w:sz w:val="18"/>
                <w:szCs w:val="18"/>
              </w:rPr>
              <w:t xml:space="preserve">$273,897 </w:t>
            </w:r>
          </w:p>
        </w:tc>
      </w:tr>
      <w:tr w:rsidR="001C101C" w:rsidRPr="001C101C" w:rsidTr="001C101C">
        <w:trPr>
          <w:trHeight w:val="255"/>
          <w:jc w:val="center"/>
        </w:trPr>
        <w:tc>
          <w:tcPr>
            <w:tcW w:w="554" w:type="dxa"/>
            <w:tcBorders>
              <w:top w:val="nil"/>
              <w:left w:val="single" w:sz="4" w:space="0" w:color="auto"/>
              <w:bottom w:val="nil"/>
              <w:right w:val="nil"/>
            </w:tcBorders>
            <w:shd w:val="clear" w:color="000000" w:fill="FFFFFF"/>
            <w:noWrap/>
            <w:vAlign w:val="bottom"/>
            <w:hideMark/>
          </w:tcPr>
          <w:p w:rsidR="001C101C" w:rsidRPr="001C101C" w:rsidRDefault="001C101C" w:rsidP="001C101C">
            <w:pPr>
              <w:jc w:val="center"/>
              <w:rPr>
                <w:sz w:val="18"/>
                <w:szCs w:val="18"/>
              </w:rPr>
            </w:pPr>
            <w:r w:rsidRPr="001C101C">
              <w:rPr>
                <w:sz w:val="18"/>
                <w:szCs w:val="18"/>
              </w:rPr>
              <w:t>7.3</w:t>
            </w:r>
          </w:p>
        </w:tc>
        <w:tc>
          <w:tcPr>
            <w:tcW w:w="4861" w:type="dxa"/>
            <w:tcBorders>
              <w:top w:val="nil"/>
              <w:left w:val="nil"/>
              <w:bottom w:val="nil"/>
              <w:right w:val="nil"/>
            </w:tcBorders>
            <w:shd w:val="clear" w:color="000000" w:fill="FFFFFF"/>
            <w:noWrap/>
            <w:vAlign w:val="bottom"/>
            <w:hideMark/>
          </w:tcPr>
          <w:p w:rsidR="001C101C" w:rsidRPr="001C101C" w:rsidRDefault="001C101C" w:rsidP="001C101C">
            <w:pPr>
              <w:jc w:val="left"/>
              <w:rPr>
                <w:sz w:val="18"/>
                <w:szCs w:val="18"/>
              </w:rPr>
            </w:pPr>
            <w:r w:rsidRPr="001C101C">
              <w:rPr>
                <w:sz w:val="18"/>
                <w:szCs w:val="18"/>
              </w:rPr>
              <w:t>Production Tax Credits</w:t>
            </w:r>
          </w:p>
        </w:tc>
        <w:tc>
          <w:tcPr>
            <w:tcW w:w="2790" w:type="dxa"/>
            <w:tcBorders>
              <w:top w:val="nil"/>
              <w:left w:val="nil"/>
              <w:bottom w:val="nil"/>
              <w:right w:val="single" w:sz="4" w:space="0" w:color="auto"/>
            </w:tcBorders>
            <w:shd w:val="clear" w:color="000000" w:fill="FFFFFF"/>
            <w:noWrap/>
            <w:vAlign w:val="bottom"/>
            <w:hideMark/>
          </w:tcPr>
          <w:p w:rsidR="001C101C" w:rsidRPr="001C101C" w:rsidRDefault="001C101C" w:rsidP="001C101C">
            <w:pPr>
              <w:jc w:val="right"/>
              <w:rPr>
                <w:sz w:val="18"/>
                <w:szCs w:val="18"/>
              </w:rPr>
            </w:pPr>
            <w:r w:rsidRPr="001C101C">
              <w:rPr>
                <w:sz w:val="18"/>
                <w:szCs w:val="18"/>
              </w:rPr>
              <w:t xml:space="preserve">$251,089 </w:t>
            </w:r>
          </w:p>
        </w:tc>
      </w:tr>
      <w:tr w:rsidR="001C101C" w:rsidRPr="001C101C" w:rsidTr="001C101C">
        <w:trPr>
          <w:trHeight w:val="255"/>
          <w:jc w:val="center"/>
        </w:trPr>
        <w:tc>
          <w:tcPr>
            <w:tcW w:w="5415" w:type="dxa"/>
            <w:gridSpan w:val="2"/>
            <w:tcBorders>
              <w:top w:val="nil"/>
              <w:left w:val="single" w:sz="4" w:space="0" w:color="auto"/>
              <w:bottom w:val="nil"/>
              <w:right w:val="nil"/>
            </w:tcBorders>
            <w:shd w:val="clear" w:color="000000" w:fill="FFFFFF"/>
            <w:noWrap/>
            <w:vAlign w:val="bottom"/>
            <w:hideMark/>
          </w:tcPr>
          <w:p w:rsidR="001C101C" w:rsidRPr="001C101C" w:rsidRDefault="001C101C" w:rsidP="001C101C">
            <w:pPr>
              <w:jc w:val="left"/>
              <w:rPr>
                <w:b/>
                <w:bCs/>
                <w:i/>
                <w:iCs/>
                <w:sz w:val="18"/>
                <w:szCs w:val="18"/>
              </w:rPr>
            </w:pPr>
            <w:r w:rsidRPr="001C101C">
              <w:rPr>
                <w:b/>
                <w:bCs/>
                <w:i/>
                <w:iCs/>
                <w:sz w:val="18"/>
                <w:szCs w:val="18"/>
              </w:rPr>
              <w:t>Total Impact of Revisions</w:t>
            </w:r>
          </w:p>
        </w:tc>
        <w:tc>
          <w:tcPr>
            <w:tcW w:w="2790" w:type="dxa"/>
            <w:tcBorders>
              <w:top w:val="nil"/>
              <w:left w:val="nil"/>
              <w:bottom w:val="nil"/>
              <w:right w:val="single" w:sz="4" w:space="0" w:color="auto"/>
            </w:tcBorders>
            <w:shd w:val="clear" w:color="000000" w:fill="FFFFFF"/>
            <w:noWrap/>
            <w:vAlign w:val="bottom"/>
            <w:hideMark/>
          </w:tcPr>
          <w:p w:rsidR="001C101C" w:rsidRPr="001C101C" w:rsidRDefault="001C101C" w:rsidP="001C101C">
            <w:pPr>
              <w:jc w:val="right"/>
              <w:rPr>
                <w:b/>
                <w:bCs/>
                <w:i/>
                <w:iCs/>
                <w:sz w:val="18"/>
                <w:szCs w:val="18"/>
              </w:rPr>
            </w:pPr>
            <w:r w:rsidRPr="001C101C">
              <w:rPr>
                <w:b/>
                <w:bCs/>
                <w:i/>
                <w:iCs/>
                <w:sz w:val="18"/>
                <w:szCs w:val="18"/>
              </w:rPr>
              <w:t xml:space="preserve">$1,062,155 </w:t>
            </w:r>
          </w:p>
        </w:tc>
      </w:tr>
      <w:tr w:rsidR="001C101C" w:rsidRPr="001C101C" w:rsidTr="001C101C">
        <w:trPr>
          <w:trHeight w:val="75"/>
          <w:jc w:val="center"/>
        </w:trPr>
        <w:tc>
          <w:tcPr>
            <w:tcW w:w="554" w:type="dxa"/>
            <w:tcBorders>
              <w:top w:val="nil"/>
              <w:left w:val="single" w:sz="4" w:space="0" w:color="auto"/>
              <w:bottom w:val="nil"/>
              <w:right w:val="nil"/>
            </w:tcBorders>
            <w:shd w:val="clear" w:color="000000" w:fill="FFFFFF"/>
            <w:noWrap/>
            <w:vAlign w:val="bottom"/>
            <w:hideMark/>
          </w:tcPr>
          <w:p w:rsidR="001C101C" w:rsidRPr="001C101C" w:rsidRDefault="001C101C" w:rsidP="001C101C">
            <w:pPr>
              <w:jc w:val="left"/>
              <w:rPr>
                <w:sz w:val="18"/>
                <w:szCs w:val="18"/>
              </w:rPr>
            </w:pPr>
            <w:r w:rsidRPr="001C101C">
              <w:rPr>
                <w:sz w:val="18"/>
                <w:szCs w:val="18"/>
              </w:rPr>
              <w:t> </w:t>
            </w:r>
          </w:p>
        </w:tc>
        <w:tc>
          <w:tcPr>
            <w:tcW w:w="4861" w:type="dxa"/>
            <w:tcBorders>
              <w:top w:val="nil"/>
              <w:left w:val="nil"/>
              <w:bottom w:val="nil"/>
              <w:right w:val="nil"/>
            </w:tcBorders>
            <w:shd w:val="clear" w:color="000000" w:fill="FFFFFF"/>
            <w:noWrap/>
            <w:vAlign w:val="bottom"/>
            <w:hideMark/>
          </w:tcPr>
          <w:p w:rsidR="001C101C" w:rsidRPr="001C101C" w:rsidRDefault="001C101C" w:rsidP="001C101C">
            <w:pPr>
              <w:jc w:val="left"/>
              <w:rPr>
                <w:sz w:val="18"/>
                <w:szCs w:val="18"/>
              </w:rPr>
            </w:pPr>
            <w:r w:rsidRPr="001C101C">
              <w:rPr>
                <w:sz w:val="18"/>
                <w:szCs w:val="18"/>
              </w:rPr>
              <w:t> </w:t>
            </w:r>
          </w:p>
        </w:tc>
        <w:tc>
          <w:tcPr>
            <w:tcW w:w="2790" w:type="dxa"/>
            <w:tcBorders>
              <w:top w:val="nil"/>
              <w:left w:val="nil"/>
              <w:bottom w:val="nil"/>
              <w:right w:val="single" w:sz="4" w:space="0" w:color="auto"/>
            </w:tcBorders>
            <w:shd w:val="clear" w:color="000000" w:fill="FFFFFF"/>
            <w:noWrap/>
            <w:vAlign w:val="bottom"/>
            <w:hideMark/>
          </w:tcPr>
          <w:p w:rsidR="001C101C" w:rsidRPr="001C101C" w:rsidRDefault="001C101C" w:rsidP="001C101C">
            <w:pPr>
              <w:jc w:val="left"/>
              <w:rPr>
                <w:sz w:val="18"/>
                <w:szCs w:val="18"/>
              </w:rPr>
            </w:pPr>
            <w:r w:rsidRPr="001C101C">
              <w:rPr>
                <w:sz w:val="18"/>
                <w:szCs w:val="18"/>
              </w:rPr>
              <w:t> </w:t>
            </w:r>
          </w:p>
        </w:tc>
      </w:tr>
      <w:tr w:rsidR="001C101C" w:rsidRPr="001C101C" w:rsidTr="001C101C">
        <w:trPr>
          <w:trHeight w:val="270"/>
          <w:jc w:val="center"/>
        </w:trPr>
        <w:tc>
          <w:tcPr>
            <w:tcW w:w="5415" w:type="dxa"/>
            <w:gridSpan w:val="2"/>
            <w:tcBorders>
              <w:top w:val="single" w:sz="4" w:space="0" w:color="auto"/>
              <w:left w:val="single" w:sz="4" w:space="0" w:color="auto"/>
              <w:bottom w:val="double" w:sz="6" w:space="0" w:color="auto"/>
              <w:right w:val="nil"/>
            </w:tcBorders>
            <w:shd w:val="clear" w:color="000000" w:fill="FFFFFF"/>
            <w:noWrap/>
            <w:vAlign w:val="bottom"/>
            <w:hideMark/>
          </w:tcPr>
          <w:p w:rsidR="001C101C" w:rsidRPr="001C101C" w:rsidRDefault="001C101C" w:rsidP="001C101C">
            <w:pPr>
              <w:jc w:val="left"/>
              <w:rPr>
                <w:b/>
                <w:bCs/>
                <w:sz w:val="18"/>
                <w:szCs w:val="18"/>
              </w:rPr>
            </w:pPr>
            <w:r w:rsidRPr="001C101C">
              <w:rPr>
                <w:b/>
                <w:bCs/>
                <w:sz w:val="18"/>
                <w:szCs w:val="18"/>
              </w:rPr>
              <w:t>Rebuttal Revenue Requirement</w:t>
            </w:r>
          </w:p>
        </w:tc>
        <w:tc>
          <w:tcPr>
            <w:tcW w:w="2790" w:type="dxa"/>
            <w:tcBorders>
              <w:top w:val="single" w:sz="4" w:space="0" w:color="auto"/>
              <w:left w:val="nil"/>
              <w:bottom w:val="double" w:sz="6" w:space="0" w:color="auto"/>
              <w:right w:val="single" w:sz="4" w:space="0" w:color="auto"/>
            </w:tcBorders>
            <w:shd w:val="clear" w:color="000000" w:fill="FFFFFF"/>
            <w:noWrap/>
            <w:vAlign w:val="bottom"/>
            <w:hideMark/>
          </w:tcPr>
          <w:p w:rsidR="001C101C" w:rsidRPr="001C101C" w:rsidRDefault="001C101C" w:rsidP="001C101C">
            <w:pPr>
              <w:jc w:val="right"/>
              <w:rPr>
                <w:b/>
                <w:bCs/>
                <w:sz w:val="18"/>
                <w:szCs w:val="18"/>
              </w:rPr>
            </w:pPr>
            <w:r w:rsidRPr="001C101C">
              <w:rPr>
                <w:b/>
                <w:bCs/>
                <w:sz w:val="18"/>
                <w:szCs w:val="18"/>
              </w:rPr>
              <w:t xml:space="preserve">$9,039,075 </w:t>
            </w:r>
          </w:p>
        </w:tc>
      </w:tr>
    </w:tbl>
    <w:p w:rsidR="00E328BD" w:rsidRDefault="00E328BD" w:rsidP="00E328BD">
      <w:pPr>
        <w:pStyle w:val="Answer"/>
        <w:suppressLineNumbers/>
        <w:spacing w:line="240" w:lineRule="auto"/>
        <w:jc w:val="center"/>
        <w:rPr>
          <w:b/>
        </w:rPr>
      </w:pPr>
    </w:p>
    <w:p w:rsidR="00E328BD" w:rsidRPr="00E328BD" w:rsidRDefault="00E328BD" w:rsidP="00E328BD">
      <w:pPr>
        <w:pStyle w:val="Answer"/>
        <w:suppressLineNumbers/>
        <w:jc w:val="center"/>
        <w:rPr>
          <w:b/>
        </w:rPr>
      </w:pPr>
      <w:r>
        <w:rPr>
          <w:b/>
        </w:rPr>
        <w:t>TABLE 2</w:t>
      </w:r>
      <w:r w:rsidRPr="00E328BD">
        <w:rPr>
          <w:b/>
        </w:rPr>
        <w:t xml:space="preserve">—Year </w:t>
      </w:r>
      <w:r>
        <w:rPr>
          <w:b/>
        </w:rPr>
        <w:t>2</w:t>
      </w:r>
      <w:r w:rsidRPr="00E328BD">
        <w:rPr>
          <w:b/>
        </w:rPr>
        <w:t xml:space="preserve"> Revenue Requirement Increase</w:t>
      </w:r>
    </w:p>
    <w:tbl>
      <w:tblPr>
        <w:tblW w:w="8168" w:type="dxa"/>
        <w:jc w:val="center"/>
        <w:tblInd w:w="93" w:type="dxa"/>
        <w:tblLook w:val="04A0" w:firstRow="1" w:lastRow="0" w:firstColumn="1" w:lastColumn="0" w:noHBand="0" w:noVBand="1"/>
      </w:tblPr>
      <w:tblGrid>
        <w:gridCol w:w="306"/>
        <w:gridCol w:w="5128"/>
        <w:gridCol w:w="2734"/>
      </w:tblGrid>
      <w:tr w:rsidR="001C101C" w:rsidRPr="001C101C" w:rsidTr="001C101C">
        <w:trPr>
          <w:trHeight w:val="255"/>
          <w:jc w:val="center"/>
        </w:trPr>
        <w:tc>
          <w:tcPr>
            <w:tcW w:w="5434" w:type="dxa"/>
            <w:gridSpan w:val="2"/>
            <w:tcBorders>
              <w:top w:val="single" w:sz="4" w:space="0" w:color="auto"/>
              <w:left w:val="single" w:sz="4" w:space="0" w:color="auto"/>
              <w:bottom w:val="nil"/>
              <w:right w:val="nil"/>
            </w:tcBorders>
            <w:shd w:val="clear" w:color="000000" w:fill="FFFFFF"/>
            <w:noWrap/>
            <w:vAlign w:val="bottom"/>
            <w:hideMark/>
          </w:tcPr>
          <w:p w:rsidR="001C101C" w:rsidRPr="001C101C" w:rsidRDefault="001C101C" w:rsidP="001C101C">
            <w:pPr>
              <w:jc w:val="left"/>
              <w:rPr>
                <w:b/>
                <w:bCs/>
                <w:sz w:val="18"/>
                <w:szCs w:val="18"/>
              </w:rPr>
            </w:pPr>
            <w:bookmarkStart w:id="4" w:name="RANGE!A1:C27"/>
            <w:r w:rsidRPr="001C101C">
              <w:rPr>
                <w:b/>
                <w:bCs/>
                <w:sz w:val="18"/>
                <w:szCs w:val="18"/>
              </w:rPr>
              <w:t>Calculated Revenue Requirement for Year 2</w:t>
            </w:r>
            <w:bookmarkEnd w:id="4"/>
          </w:p>
        </w:tc>
        <w:tc>
          <w:tcPr>
            <w:tcW w:w="2734" w:type="dxa"/>
            <w:tcBorders>
              <w:top w:val="single" w:sz="4" w:space="0" w:color="auto"/>
              <w:left w:val="nil"/>
              <w:bottom w:val="nil"/>
              <w:right w:val="single" w:sz="4" w:space="0" w:color="auto"/>
            </w:tcBorders>
            <w:shd w:val="clear" w:color="000000" w:fill="FFFFFF"/>
            <w:noWrap/>
            <w:vAlign w:val="bottom"/>
            <w:hideMark/>
          </w:tcPr>
          <w:p w:rsidR="001C101C" w:rsidRPr="001C101C" w:rsidRDefault="001C101C" w:rsidP="001C101C">
            <w:pPr>
              <w:jc w:val="right"/>
              <w:rPr>
                <w:b/>
                <w:bCs/>
                <w:sz w:val="18"/>
                <w:szCs w:val="18"/>
              </w:rPr>
            </w:pPr>
            <w:r w:rsidRPr="001C101C">
              <w:rPr>
                <w:b/>
                <w:bCs/>
                <w:sz w:val="18"/>
                <w:szCs w:val="18"/>
              </w:rPr>
              <w:t xml:space="preserve">$10,550,094 </w:t>
            </w:r>
          </w:p>
        </w:tc>
      </w:tr>
      <w:tr w:rsidR="001C101C" w:rsidRPr="001C101C" w:rsidTr="001C101C">
        <w:trPr>
          <w:trHeight w:val="255"/>
          <w:jc w:val="center"/>
        </w:trPr>
        <w:tc>
          <w:tcPr>
            <w:tcW w:w="5434" w:type="dxa"/>
            <w:gridSpan w:val="2"/>
            <w:tcBorders>
              <w:top w:val="nil"/>
              <w:left w:val="single" w:sz="4" w:space="0" w:color="auto"/>
              <w:bottom w:val="nil"/>
              <w:right w:val="nil"/>
            </w:tcBorders>
            <w:shd w:val="clear" w:color="000000" w:fill="FFFFFF"/>
            <w:noWrap/>
            <w:vAlign w:val="bottom"/>
            <w:hideMark/>
          </w:tcPr>
          <w:p w:rsidR="001C101C" w:rsidRPr="001C101C" w:rsidRDefault="001C101C" w:rsidP="001C101C">
            <w:pPr>
              <w:jc w:val="left"/>
              <w:rPr>
                <w:b/>
                <w:bCs/>
                <w:sz w:val="18"/>
                <w:szCs w:val="18"/>
              </w:rPr>
            </w:pPr>
            <w:r w:rsidRPr="001C101C">
              <w:rPr>
                <w:b/>
                <w:bCs/>
                <w:sz w:val="18"/>
                <w:szCs w:val="18"/>
              </w:rPr>
              <w:t>Amount Not Requested</w:t>
            </w:r>
          </w:p>
        </w:tc>
        <w:tc>
          <w:tcPr>
            <w:tcW w:w="2734" w:type="dxa"/>
            <w:tcBorders>
              <w:top w:val="nil"/>
              <w:left w:val="nil"/>
              <w:bottom w:val="nil"/>
              <w:right w:val="single" w:sz="4" w:space="0" w:color="auto"/>
            </w:tcBorders>
            <w:shd w:val="clear" w:color="000000" w:fill="FFFFFF"/>
            <w:noWrap/>
            <w:vAlign w:val="bottom"/>
            <w:hideMark/>
          </w:tcPr>
          <w:p w:rsidR="001C101C" w:rsidRPr="001C101C" w:rsidRDefault="001C101C" w:rsidP="001C101C">
            <w:pPr>
              <w:jc w:val="right"/>
              <w:rPr>
                <w:b/>
                <w:bCs/>
                <w:sz w:val="18"/>
                <w:szCs w:val="18"/>
              </w:rPr>
            </w:pPr>
            <w:r w:rsidRPr="001C101C">
              <w:rPr>
                <w:b/>
                <w:bCs/>
                <w:sz w:val="18"/>
                <w:szCs w:val="18"/>
              </w:rPr>
              <w:t>($230,094)</w:t>
            </w:r>
          </w:p>
        </w:tc>
      </w:tr>
      <w:tr w:rsidR="001C101C" w:rsidRPr="001C101C" w:rsidTr="001C101C">
        <w:trPr>
          <w:trHeight w:val="255"/>
          <w:jc w:val="center"/>
        </w:trPr>
        <w:tc>
          <w:tcPr>
            <w:tcW w:w="5434" w:type="dxa"/>
            <w:gridSpan w:val="2"/>
            <w:tcBorders>
              <w:top w:val="nil"/>
              <w:left w:val="single" w:sz="4" w:space="0" w:color="auto"/>
              <w:bottom w:val="nil"/>
              <w:right w:val="nil"/>
            </w:tcBorders>
            <w:shd w:val="clear" w:color="000000" w:fill="FFFFFF"/>
            <w:noWrap/>
            <w:vAlign w:val="bottom"/>
            <w:hideMark/>
          </w:tcPr>
          <w:p w:rsidR="001C101C" w:rsidRPr="001C101C" w:rsidRDefault="001C101C" w:rsidP="001C101C">
            <w:pPr>
              <w:jc w:val="left"/>
              <w:rPr>
                <w:b/>
                <w:bCs/>
                <w:sz w:val="18"/>
                <w:szCs w:val="18"/>
              </w:rPr>
            </w:pPr>
            <w:r w:rsidRPr="001C101C">
              <w:rPr>
                <w:b/>
                <w:bCs/>
                <w:sz w:val="18"/>
                <w:szCs w:val="18"/>
              </w:rPr>
              <w:t>Filed Revenue Requirement for Year 2</w:t>
            </w:r>
          </w:p>
        </w:tc>
        <w:tc>
          <w:tcPr>
            <w:tcW w:w="2734" w:type="dxa"/>
            <w:tcBorders>
              <w:top w:val="nil"/>
              <w:left w:val="nil"/>
              <w:bottom w:val="nil"/>
              <w:right w:val="single" w:sz="4" w:space="0" w:color="auto"/>
            </w:tcBorders>
            <w:shd w:val="clear" w:color="000000" w:fill="FFFFFF"/>
            <w:noWrap/>
            <w:vAlign w:val="bottom"/>
            <w:hideMark/>
          </w:tcPr>
          <w:p w:rsidR="001C101C" w:rsidRPr="001C101C" w:rsidRDefault="001C101C" w:rsidP="001C101C">
            <w:pPr>
              <w:jc w:val="right"/>
              <w:rPr>
                <w:b/>
                <w:bCs/>
                <w:sz w:val="18"/>
                <w:szCs w:val="18"/>
              </w:rPr>
            </w:pPr>
            <w:r w:rsidRPr="001C101C">
              <w:rPr>
                <w:b/>
                <w:bCs/>
                <w:sz w:val="18"/>
                <w:szCs w:val="18"/>
              </w:rPr>
              <w:t xml:space="preserve">$10,320,000 </w:t>
            </w:r>
          </w:p>
        </w:tc>
      </w:tr>
      <w:tr w:rsidR="001C101C" w:rsidRPr="001C101C" w:rsidTr="001C101C">
        <w:trPr>
          <w:trHeight w:val="255"/>
          <w:jc w:val="center"/>
        </w:trPr>
        <w:tc>
          <w:tcPr>
            <w:tcW w:w="306" w:type="dxa"/>
            <w:tcBorders>
              <w:top w:val="nil"/>
              <w:left w:val="single" w:sz="4" w:space="0" w:color="auto"/>
              <w:bottom w:val="nil"/>
              <w:right w:val="nil"/>
            </w:tcBorders>
            <w:shd w:val="clear" w:color="000000" w:fill="FFFFFF"/>
            <w:noWrap/>
            <w:vAlign w:val="bottom"/>
            <w:hideMark/>
          </w:tcPr>
          <w:p w:rsidR="001C101C" w:rsidRPr="001C101C" w:rsidRDefault="001C101C" w:rsidP="001C101C">
            <w:pPr>
              <w:jc w:val="left"/>
              <w:rPr>
                <w:sz w:val="18"/>
                <w:szCs w:val="18"/>
              </w:rPr>
            </w:pPr>
            <w:r w:rsidRPr="001C101C">
              <w:rPr>
                <w:sz w:val="18"/>
                <w:szCs w:val="18"/>
              </w:rPr>
              <w:t> </w:t>
            </w:r>
          </w:p>
        </w:tc>
        <w:tc>
          <w:tcPr>
            <w:tcW w:w="5128" w:type="dxa"/>
            <w:tcBorders>
              <w:top w:val="nil"/>
              <w:left w:val="nil"/>
              <w:bottom w:val="nil"/>
              <w:right w:val="nil"/>
            </w:tcBorders>
            <w:shd w:val="clear" w:color="000000" w:fill="FFFFFF"/>
            <w:noWrap/>
            <w:vAlign w:val="bottom"/>
            <w:hideMark/>
          </w:tcPr>
          <w:p w:rsidR="001C101C" w:rsidRPr="001C101C" w:rsidRDefault="001C101C" w:rsidP="001C101C">
            <w:pPr>
              <w:jc w:val="left"/>
              <w:rPr>
                <w:sz w:val="18"/>
                <w:szCs w:val="18"/>
              </w:rPr>
            </w:pPr>
            <w:r w:rsidRPr="001C101C">
              <w:rPr>
                <w:sz w:val="18"/>
                <w:szCs w:val="18"/>
              </w:rPr>
              <w:t> </w:t>
            </w:r>
          </w:p>
        </w:tc>
        <w:tc>
          <w:tcPr>
            <w:tcW w:w="2734" w:type="dxa"/>
            <w:tcBorders>
              <w:top w:val="nil"/>
              <w:left w:val="nil"/>
              <w:bottom w:val="nil"/>
              <w:right w:val="single" w:sz="4" w:space="0" w:color="auto"/>
            </w:tcBorders>
            <w:shd w:val="clear" w:color="000000" w:fill="FFFFFF"/>
            <w:noWrap/>
            <w:vAlign w:val="bottom"/>
            <w:hideMark/>
          </w:tcPr>
          <w:p w:rsidR="001C101C" w:rsidRPr="001C101C" w:rsidRDefault="001C101C" w:rsidP="001C101C">
            <w:pPr>
              <w:jc w:val="left"/>
              <w:rPr>
                <w:sz w:val="18"/>
                <w:szCs w:val="18"/>
              </w:rPr>
            </w:pPr>
            <w:r w:rsidRPr="001C101C">
              <w:rPr>
                <w:sz w:val="18"/>
                <w:szCs w:val="18"/>
              </w:rPr>
              <w:t> </w:t>
            </w:r>
          </w:p>
        </w:tc>
      </w:tr>
      <w:tr w:rsidR="001C101C" w:rsidRPr="001C101C" w:rsidTr="001C101C">
        <w:trPr>
          <w:trHeight w:val="255"/>
          <w:jc w:val="center"/>
        </w:trPr>
        <w:tc>
          <w:tcPr>
            <w:tcW w:w="5434" w:type="dxa"/>
            <w:gridSpan w:val="2"/>
            <w:tcBorders>
              <w:top w:val="nil"/>
              <w:left w:val="single" w:sz="4" w:space="0" w:color="auto"/>
              <w:bottom w:val="single" w:sz="4" w:space="0" w:color="auto"/>
              <w:right w:val="nil"/>
            </w:tcBorders>
            <w:shd w:val="clear" w:color="000000" w:fill="FFFFFF"/>
            <w:noWrap/>
            <w:vAlign w:val="bottom"/>
            <w:hideMark/>
          </w:tcPr>
          <w:p w:rsidR="001C101C" w:rsidRPr="001C101C" w:rsidRDefault="001C101C" w:rsidP="001C101C">
            <w:pPr>
              <w:jc w:val="left"/>
              <w:rPr>
                <w:sz w:val="18"/>
                <w:szCs w:val="18"/>
              </w:rPr>
            </w:pPr>
            <w:r w:rsidRPr="001C101C">
              <w:rPr>
                <w:sz w:val="18"/>
                <w:szCs w:val="18"/>
              </w:rPr>
              <w:t>Adjustments Revised by the Company in Rebuttal</w:t>
            </w:r>
          </w:p>
        </w:tc>
        <w:tc>
          <w:tcPr>
            <w:tcW w:w="2734" w:type="dxa"/>
            <w:tcBorders>
              <w:top w:val="nil"/>
              <w:left w:val="nil"/>
              <w:bottom w:val="single" w:sz="4" w:space="0" w:color="auto"/>
              <w:right w:val="single" w:sz="4" w:space="0" w:color="auto"/>
            </w:tcBorders>
            <w:shd w:val="clear" w:color="000000" w:fill="FFFFFF"/>
            <w:noWrap/>
            <w:vAlign w:val="bottom"/>
            <w:hideMark/>
          </w:tcPr>
          <w:p w:rsidR="001C101C" w:rsidRPr="001C101C" w:rsidRDefault="001C101C" w:rsidP="001C101C">
            <w:pPr>
              <w:jc w:val="right"/>
              <w:rPr>
                <w:sz w:val="18"/>
                <w:szCs w:val="18"/>
              </w:rPr>
            </w:pPr>
            <w:r w:rsidRPr="001C101C">
              <w:rPr>
                <w:sz w:val="18"/>
                <w:szCs w:val="18"/>
              </w:rPr>
              <w:t>Revenue Requirement Impact ($)</w:t>
            </w:r>
          </w:p>
        </w:tc>
      </w:tr>
      <w:tr w:rsidR="001C101C" w:rsidRPr="001C101C" w:rsidTr="001C101C">
        <w:trPr>
          <w:trHeight w:val="255"/>
          <w:jc w:val="center"/>
        </w:trPr>
        <w:tc>
          <w:tcPr>
            <w:tcW w:w="306" w:type="dxa"/>
            <w:tcBorders>
              <w:top w:val="nil"/>
              <w:left w:val="single" w:sz="4" w:space="0" w:color="auto"/>
              <w:bottom w:val="nil"/>
              <w:right w:val="nil"/>
            </w:tcBorders>
            <w:shd w:val="clear" w:color="000000" w:fill="FFFFFF"/>
            <w:noWrap/>
            <w:vAlign w:val="bottom"/>
            <w:hideMark/>
          </w:tcPr>
          <w:p w:rsidR="001C101C" w:rsidRPr="001C101C" w:rsidRDefault="001C101C" w:rsidP="001C101C">
            <w:pPr>
              <w:jc w:val="center"/>
              <w:rPr>
                <w:sz w:val="18"/>
                <w:szCs w:val="18"/>
              </w:rPr>
            </w:pPr>
            <w:r w:rsidRPr="001C101C">
              <w:rPr>
                <w:sz w:val="18"/>
                <w:szCs w:val="18"/>
              </w:rPr>
              <w:t>1</w:t>
            </w:r>
          </w:p>
        </w:tc>
        <w:tc>
          <w:tcPr>
            <w:tcW w:w="5128" w:type="dxa"/>
            <w:tcBorders>
              <w:top w:val="nil"/>
              <w:left w:val="nil"/>
              <w:bottom w:val="nil"/>
              <w:right w:val="nil"/>
            </w:tcBorders>
            <w:shd w:val="clear" w:color="000000" w:fill="FFFFFF"/>
            <w:noWrap/>
            <w:vAlign w:val="bottom"/>
            <w:hideMark/>
          </w:tcPr>
          <w:p w:rsidR="001C101C" w:rsidRPr="001C101C" w:rsidRDefault="001C101C" w:rsidP="001C101C">
            <w:pPr>
              <w:jc w:val="left"/>
              <w:rPr>
                <w:sz w:val="18"/>
                <w:szCs w:val="18"/>
              </w:rPr>
            </w:pPr>
            <w:r w:rsidRPr="001C101C">
              <w:rPr>
                <w:sz w:val="18"/>
                <w:szCs w:val="18"/>
              </w:rPr>
              <w:t>Jim Bridger Unit 4 Overhaul &amp; SCR Installation</w:t>
            </w:r>
          </w:p>
        </w:tc>
        <w:tc>
          <w:tcPr>
            <w:tcW w:w="2734" w:type="dxa"/>
            <w:tcBorders>
              <w:top w:val="nil"/>
              <w:left w:val="nil"/>
              <w:bottom w:val="nil"/>
              <w:right w:val="single" w:sz="4" w:space="0" w:color="auto"/>
            </w:tcBorders>
            <w:shd w:val="clear" w:color="000000" w:fill="FFFFFF"/>
            <w:noWrap/>
            <w:vAlign w:val="bottom"/>
            <w:hideMark/>
          </w:tcPr>
          <w:p w:rsidR="001C101C" w:rsidRPr="001C101C" w:rsidRDefault="001C101C" w:rsidP="001C101C">
            <w:pPr>
              <w:jc w:val="right"/>
              <w:rPr>
                <w:sz w:val="18"/>
                <w:szCs w:val="18"/>
              </w:rPr>
            </w:pPr>
            <w:r w:rsidRPr="001C101C">
              <w:rPr>
                <w:sz w:val="18"/>
                <w:szCs w:val="18"/>
              </w:rPr>
              <w:t>($829,625)</w:t>
            </w:r>
          </w:p>
        </w:tc>
      </w:tr>
      <w:tr w:rsidR="001C101C" w:rsidRPr="001C101C" w:rsidTr="001C101C">
        <w:trPr>
          <w:trHeight w:val="255"/>
          <w:jc w:val="center"/>
        </w:trPr>
        <w:tc>
          <w:tcPr>
            <w:tcW w:w="306" w:type="dxa"/>
            <w:tcBorders>
              <w:top w:val="nil"/>
              <w:left w:val="single" w:sz="4" w:space="0" w:color="auto"/>
              <w:bottom w:val="nil"/>
              <w:right w:val="nil"/>
            </w:tcBorders>
            <w:shd w:val="clear" w:color="000000" w:fill="FFFFFF"/>
            <w:noWrap/>
            <w:vAlign w:val="bottom"/>
            <w:hideMark/>
          </w:tcPr>
          <w:p w:rsidR="001C101C" w:rsidRPr="001C101C" w:rsidRDefault="001C101C" w:rsidP="001C101C">
            <w:pPr>
              <w:jc w:val="center"/>
              <w:rPr>
                <w:sz w:val="18"/>
                <w:szCs w:val="18"/>
              </w:rPr>
            </w:pPr>
            <w:r w:rsidRPr="001C101C">
              <w:rPr>
                <w:sz w:val="18"/>
                <w:szCs w:val="18"/>
              </w:rPr>
              <w:t>2</w:t>
            </w:r>
          </w:p>
        </w:tc>
        <w:tc>
          <w:tcPr>
            <w:tcW w:w="5128" w:type="dxa"/>
            <w:tcBorders>
              <w:top w:val="nil"/>
              <w:left w:val="nil"/>
              <w:bottom w:val="nil"/>
              <w:right w:val="nil"/>
            </w:tcBorders>
            <w:shd w:val="clear" w:color="000000" w:fill="FFFFFF"/>
            <w:noWrap/>
            <w:vAlign w:val="bottom"/>
            <w:hideMark/>
          </w:tcPr>
          <w:p w:rsidR="001C101C" w:rsidRPr="001C101C" w:rsidRDefault="001C101C" w:rsidP="001C101C">
            <w:pPr>
              <w:jc w:val="left"/>
              <w:rPr>
                <w:sz w:val="18"/>
                <w:szCs w:val="18"/>
              </w:rPr>
            </w:pPr>
            <w:r w:rsidRPr="001C101C">
              <w:rPr>
                <w:sz w:val="18"/>
                <w:szCs w:val="18"/>
              </w:rPr>
              <w:t>SCADA EMS Replacement &amp; Upgrade</w:t>
            </w:r>
          </w:p>
        </w:tc>
        <w:tc>
          <w:tcPr>
            <w:tcW w:w="2734" w:type="dxa"/>
            <w:tcBorders>
              <w:top w:val="nil"/>
              <w:left w:val="nil"/>
              <w:bottom w:val="nil"/>
              <w:right w:val="single" w:sz="4" w:space="0" w:color="auto"/>
            </w:tcBorders>
            <w:shd w:val="clear" w:color="000000" w:fill="FFFFFF"/>
            <w:noWrap/>
            <w:vAlign w:val="bottom"/>
            <w:hideMark/>
          </w:tcPr>
          <w:p w:rsidR="001C101C" w:rsidRPr="001C101C" w:rsidRDefault="001C101C" w:rsidP="001C101C">
            <w:pPr>
              <w:jc w:val="right"/>
              <w:rPr>
                <w:sz w:val="18"/>
                <w:szCs w:val="18"/>
              </w:rPr>
            </w:pPr>
            <w:r w:rsidRPr="001C101C">
              <w:rPr>
                <w:sz w:val="18"/>
                <w:szCs w:val="18"/>
              </w:rPr>
              <w:t>($53,066)</w:t>
            </w:r>
          </w:p>
        </w:tc>
      </w:tr>
      <w:tr w:rsidR="001C101C" w:rsidRPr="001C101C" w:rsidTr="001C101C">
        <w:trPr>
          <w:trHeight w:val="255"/>
          <w:jc w:val="center"/>
        </w:trPr>
        <w:tc>
          <w:tcPr>
            <w:tcW w:w="306" w:type="dxa"/>
            <w:tcBorders>
              <w:top w:val="nil"/>
              <w:left w:val="single" w:sz="4" w:space="0" w:color="auto"/>
              <w:bottom w:val="nil"/>
              <w:right w:val="nil"/>
            </w:tcBorders>
            <w:shd w:val="clear" w:color="000000" w:fill="FFFFFF"/>
            <w:noWrap/>
            <w:vAlign w:val="bottom"/>
            <w:hideMark/>
          </w:tcPr>
          <w:p w:rsidR="001C101C" w:rsidRPr="001C101C" w:rsidRDefault="001C101C" w:rsidP="001C101C">
            <w:pPr>
              <w:jc w:val="center"/>
              <w:rPr>
                <w:sz w:val="18"/>
                <w:szCs w:val="18"/>
              </w:rPr>
            </w:pPr>
            <w:r w:rsidRPr="001C101C">
              <w:rPr>
                <w:sz w:val="18"/>
                <w:szCs w:val="18"/>
              </w:rPr>
              <w:t>3</w:t>
            </w:r>
          </w:p>
        </w:tc>
        <w:tc>
          <w:tcPr>
            <w:tcW w:w="5128" w:type="dxa"/>
            <w:tcBorders>
              <w:top w:val="nil"/>
              <w:left w:val="nil"/>
              <w:bottom w:val="nil"/>
              <w:right w:val="nil"/>
            </w:tcBorders>
            <w:shd w:val="clear" w:color="000000" w:fill="FFFFFF"/>
            <w:noWrap/>
            <w:vAlign w:val="bottom"/>
            <w:hideMark/>
          </w:tcPr>
          <w:p w:rsidR="001C101C" w:rsidRPr="001C101C" w:rsidRDefault="001C101C" w:rsidP="001C101C">
            <w:pPr>
              <w:jc w:val="left"/>
              <w:rPr>
                <w:sz w:val="18"/>
                <w:szCs w:val="18"/>
              </w:rPr>
            </w:pPr>
            <w:r w:rsidRPr="001C101C">
              <w:rPr>
                <w:sz w:val="18"/>
                <w:szCs w:val="18"/>
              </w:rPr>
              <w:t>Union Gap Transmission Project</w:t>
            </w:r>
          </w:p>
        </w:tc>
        <w:tc>
          <w:tcPr>
            <w:tcW w:w="2734" w:type="dxa"/>
            <w:tcBorders>
              <w:top w:val="nil"/>
              <w:left w:val="nil"/>
              <w:bottom w:val="nil"/>
              <w:right w:val="single" w:sz="4" w:space="0" w:color="auto"/>
            </w:tcBorders>
            <w:shd w:val="clear" w:color="000000" w:fill="FFFFFF"/>
            <w:noWrap/>
            <w:vAlign w:val="bottom"/>
            <w:hideMark/>
          </w:tcPr>
          <w:p w:rsidR="001C101C" w:rsidRPr="001C101C" w:rsidRDefault="001C101C" w:rsidP="001C101C">
            <w:pPr>
              <w:jc w:val="right"/>
              <w:rPr>
                <w:sz w:val="18"/>
                <w:szCs w:val="18"/>
              </w:rPr>
            </w:pPr>
            <w:r w:rsidRPr="001C101C">
              <w:rPr>
                <w:sz w:val="18"/>
                <w:szCs w:val="18"/>
              </w:rPr>
              <w:t>($111,346)</w:t>
            </w:r>
          </w:p>
        </w:tc>
      </w:tr>
      <w:tr w:rsidR="001C101C" w:rsidRPr="001C101C" w:rsidTr="001C101C">
        <w:trPr>
          <w:trHeight w:val="255"/>
          <w:jc w:val="center"/>
        </w:trPr>
        <w:tc>
          <w:tcPr>
            <w:tcW w:w="306" w:type="dxa"/>
            <w:tcBorders>
              <w:top w:val="nil"/>
              <w:left w:val="single" w:sz="4" w:space="0" w:color="auto"/>
              <w:bottom w:val="nil"/>
              <w:right w:val="nil"/>
            </w:tcBorders>
            <w:shd w:val="clear" w:color="000000" w:fill="FFFFFF"/>
            <w:noWrap/>
            <w:vAlign w:val="bottom"/>
            <w:hideMark/>
          </w:tcPr>
          <w:p w:rsidR="001C101C" w:rsidRPr="001C101C" w:rsidRDefault="001C101C" w:rsidP="001C101C">
            <w:pPr>
              <w:jc w:val="center"/>
              <w:rPr>
                <w:sz w:val="18"/>
                <w:szCs w:val="18"/>
              </w:rPr>
            </w:pPr>
            <w:r w:rsidRPr="001C101C">
              <w:rPr>
                <w:sz w:val="18"/>
                <w:szCs w:val="18"/>
              </w:rPr>
              <w:t>4</w:t>
            </w:r>
          </w:p>
        </w:tc>
        <w:tc>
          <w:tcPr>
            <w:tcW w:w="5128" w:type="dxa"/>
            <w:tcBorders>
              <w:top w:val="nil"/>
              <w:left w:val="nil"/>
              <w:bottom w:val="nil"/>
              <w:right w:val="nil"/>
            </w:tcBorders>
            <w:shd w:val="clear" w:color="000000" w:fill="FFFFFF"/>
            <w:noWrap/>
            <w:vAlign w:val="bottom"/>
            <w:hideMark/>
          </w:tcPr>
          <w:p w:rsidR="001C101C" w:rsidRPr="001C101C" w:rsidRDefault="001C101C" w:rsidP="001C101C">
            <w:pPr>
              <w:jc w:val="left"/>
              <w:rPr>
                <w:sz w:val="18"/>
                <w:szCs w:val="18"/>
              </w:rPr>
            </w:pPr>
            <w:r w:rsidRPr="001C101C">
              <w:rPr>
                <w:sz w:val="18"/>
                <w:szCs w:val="18"/>
              </w:rPr>
              <w:t>Production Tax Credit</w:t>
            </w:r>
            <w:r>
              <w:rPr>
                <w:sz w:val="18"/>
                <w:szCs w:val="18"/>
              </w:rPr>
              <w:t>s</w:t>
            </w:r>
          </w:p>
        </w:tc>
        <w:tc>
          <w:tcPr>
            <w:tcW w:w="2734" w:type="dxa"/>
            <w:tcBorders>
              <w:top w:val="nil"/>
              <w:left w:val="nil"/>
              <w:bottom w:val="nil"/>
              <w:right w:val="single" w:sz="4" w:space="0" w:color="auto"/>
            </w:tcBorders>
            <w:shd w:val="clear" w:color="000000" w:fill="FFFFFF"/>
            <w:noWrap/>
            <w:vAlign w:val="bottom"/>
            <w:hideMark/>
          </w:tcPr>
          <w:p w:rsidR="001C101C" w:rsidRPr="001C101C" w:rsidRDefault="001C101C" w:rsidP="001C101C">
            <w:pPr>
              <w:jc w:val="right"/>
              <w:rPr>
                <w:sz w:val="18"/>
                <w:szCs w:val="18"/>
              </w:rPr>
            </w:pPr>
            <w:r w:rsidRPr="001C101C">
              <w:rPr>
                <w:sz w:val="18"/>
                <w:szCs w:val="18"/>
              </w:rPr>
              <w:t xml:space="preserve">$615,295 </w:t>
            </w:r>
          </w:p>
        </w:tc>
      </w:tr>
      <w:tr w:rsidR="001C101C" w:rsidRPr="001C101C" w:rsidTr="001C101C">
        <w:trPr>
          <w:trHeight w:val="255"/>
          <w:jc w:val="center"/>
        </w:trPr>
        <w:tc>
          <w:tcPr>
            <w:tcW w:w="306" w:type="dxa"/>
            <w:tcBorders>
              <w:top w:val="nil"/>
              <w:left w:val="single" w:sz="4" w:space="0" w:color="auto"/>
              <w:bottom w:val="nil"/>
              <w:right w:val="nil"/>
            </w:tcBorders>
            <w:shd w:val="clear" w:color="000000" w:fill="FFFFFF"/>
            <w:noWrap/>
            <w:vAlign w:val="bottom"/>
            <w:hideMark/>
          </w:tcPr>
          <w:p w:rsidR="001C101C" w:rsidRPr="001C101C" w:rsidRDefault="001C101C" w:rsidP="001C101C">
            <w:pPr>
              <w:jc w:val="center"/>
              <w:rPr>
                <w:sz w:val="18"/>
                <w:szCs w:val="18"/>
              </w:rPr>
            </w:pPr>
            <w:r w:rsidRPr="001C101C">
              <w:rPr>
                <w:sz w:val="18"/>
                <w:szCs w:val="18"/>
              </w:rPr>
              <w:t>5</w:t>
            </w:r>
          </w:p>
        </w:tc>
        <w:tc>
          <w:tcPr>
            <w:tcW w:w="5128" w:type="dxa"/>
            <w:tcBorders>
              <w:top w:val="nil"/>
              <w:left w:val="nil"/>
              <w:bottom w:val="nil"/>
              <w:right w:val="nil"/>
            </w:tcBorders>
            <w:shd w:val="clear" w:color="000000" w:fill="FFFFFF"/>
            <w:noWrap/>
            <w:vAlign w:val="bottom"/>
            <w:hideMark/>
          </w:tcPr>
          <w:p w:rsidR="001C101C" w:rsidRPr="001C101C" w:rsidRDefault="001C101C" w:rsidP="001C101C">
            <w:pPr>
              <w:jc w:val="left"/>
              <w:rPr>
                <w:sz w:val="18"/>
                <w:szCs w:val="18"/>
              </w:rPr>
            </w:pPr>
            <w:r w:rsidRPr="001C101C">
              <w:rPr>
                <w:sz w:val="18"/>
                <w:szCs w:val="18"/>
              </w:rPr>
              <w:t>Remove Deferred State Tax Expense &amp; Balance</w:t>
            </w:r>
          </w:p>
        </w:tc>
        <w:tc>
          <w:tcPr>
            <w:tcW w:w="2734" w:type="dxa"/>
            <w:tcBorders>
              <w:top w:val="nil"/>
              <w:left w:val="nil"/>
              <w:bottom w:val="nil"/>
              <w:right w:val="single" w:sz="4" w:space="0" w:color="auto"/>
            </w:tcBorders>
            <w:shd w:val="clear" w:color="000000" w:fill="FFFFFF"/>
            <w:noWrap/>
            <w:vAlign w:val="bottom"/>
            <w:hideMark/>
          </w:tcPr>
          <w:p w:rsidR="001C101C" w:rsidRPr="001C101C" w:rsidRDefault="001C101C" w:rsidP="001C101C">
            <w:pPr>
              <w:jc w:val="right"/>
              <w:rPr>
                <w:sz w:val="18"/>
                <w:szCs w:val="18"/>
              </w:rPr>
            </w:pPr>
            <w:r w:rsidRPr="001C101C">
              <w:rPr>
                <w:sz w:val="18"/>
                <w:szCs w:val="18"/>
              </w:rPr>
              <w:t xml:space="preserve">$171,942 </w:t>
            </w:r>
          </w:p>
        </w:tc>
      </w:tr>
      <w:tr w:rsidR="001C101C" w:rsidRPr="001C101C" w:rsidTr="001C101C">
        <w:trPr>
          <w:trHeight w:val="255"/>
          <w:jc w:val="center"/>
        </w:trPr>
        <w:tc>
          <w:tcPr>
            <w:tcW w:w="306" w:type="dxa"/>
            <w:tcBorders>
              <w:top w:val="nil"/>
              <w:left w:val="single" w:sz="4" w:space="0" w:color="auto"/>
              <w:bottom w:val="nil"/>
              <w:right w:val="nil"/>
            </w:tcBorders>
            <w:shd w:val="clear" w:color="000000" w:fill="FFFFFF"/>
            <w:noWrap/>
            <w:vAlign w:val="bottom"/>
            <w:hideMark/>
          </w:tcPr>
          <w:p w:rsidR="001C101C" w:rsidRPr="001C101C" w:rsidRDefault="001C101C" w:rsidP="001C101C">
            <w:pPr>
              <w:jc w:val="center"/>
              <w:rPr>
                <w:sz w:val="18"/>
                <w:szCs w:val="18"/>
              </w:rPr>
            </w:pPr>
            <w:r w:rsidRPr="001C101C">
              <w:rPr>
                <w:sz w:val="18"/>
                <w:szCs w:val="18"/>
              </w:rPr>
              <w:t>6</w:t>
            </w:r>
          </w:p>
        </w:tc>
        <w:tc>
          <w:tcPr>
            <w:tcW w:w="5128" w:type="dxa"/>
            <w:tcBorders>
              <w:top w:val="nil"/>
              <w:left w:val="nil"/>
              <w:bottom w:val="nil"/>
              <w:right w:val="nil"/>
            </w:tcBorders>
            <w:shd w:val="clear" w:color="000000" w:fill="FFFFFF"/>
            <w:noWrap/>
            <w:vAlign w:val="bottom"/>
            <w:hideMark/>
          </w:tcPr>
          <w:p w:rsidR="001C101C" w:rsidRPr="001C101C" w:rsidRDefault="001C101C" w:rsidP="001C101C">
            <w:pPr>
              <w:jc w:val="left"/>
              <w:rPr>
                <w:sz w:val="18"/>
                <w:szCs w:val="18"/>
              </w:rPr>
            </w:pPr>
            <w:r w:rsidRPr="001C101C">
              <w:rPr>
                <w:sz w:val="18"/>
                <w:szCs w:val="18"/>
              </w:rPr>
              <w:t>Interest True Up</w:t>
            </w:r>
          </w:p>
        </w:tc>
        <w:tc>
          <w:tcPr>
            <w:tcW w:w="2734" w:type="dxa"/>
            <w:tcBorders>
              <w:top w:val="nil"/>
              <w:left w:val="nil"/>
              <w:bottom w:val="nil"/>
              <w:right w:val="single" w:sz="4" w:space="0" w:color="auto"/>
            </w:tcBorders>
            <w:shd w:val="clear" w:color="000000" w:fill="FFFFFF"/>
            <w:noWrap/>
            <w:vAlign w:val="bottom"/>
            <w:hideMark/>
          </w:tcPr>
          <w:p w:rsidR="001C101C" w:rsidRPr="001C101C" w:rsidRDefault="001C101C" w:rsidP="001C101C">
            <w:pPr>
              <w:jc w:val="right"/>
              <w:rPr>
                <w:sz w:val="18"/>
                <w:szCs w:val="18"/>
              </w:rPr>
            </w:pPr>
            <w:r w:rsidRPr="001C101C">
              <w:rPr>
                <w:sz w:val="18"/>
                <w:szCs w:val="18"/>
              </w:rPr>
              <w:t xml:space="preserve">$105,192 </w:t>
            </w:r>
          </w:p>
        </w:tc>
      </w:tr>
      <w:tr w:rsidR="001C101C" w:rsidRPr="001C101C" w:rsidTr="001C101C">
        <w:trPr>
          <w:trHeight w:val="255"/>
          <w:jc w:val="center"/>
        </w:trPr>
        <w:tc>
          <w:tcPr>
            <w:tcW w:w="306" w:type="dxa"/>
            <w:tcBorders>
              <w:top w:val="nil"/>
              <w:left w:val="single" w:sz="4" w:space="0" w:color="auto"/>
              <w:bottom w:val="nil"/>
              <w:right w:val="nil"/>
            </w:tcBorders>
            <w:shd w:val="clear" w:color="000000" w:fill="FFFFFF"/>
            <w:noWrap/>
            <w:vAlign w:val="bottom"/>
            <w:hideMark/>
          </w:tcPr>
          <w:p w:rsidR="001C101C" w:rsidRPr="001C101C" w:rsidRDefault="001C101C" w:rsidP="001C101C">
            <w:pPr>
              <w:jc w:val="center"/>
              <w:rPr>
                <w:sz w:val="18"/>
                <w:szCs w:val="18"/>
              </w:rPr>
            </w:pPr>
            <w:r w:rsidRPr="001C101C">
              <w:rPr>
                <w:sz w:val="18"/>
                <w:szCs w:val="18"/>
              </w:rPr>
              <w:t>7</w:t>
            </w:r>
          </w:p>
        </w:tc>
        <w:tc>
          <w:tcPr>
            <w:tcW w:w="5128" w:type="dxa"/>
            <w:tcBorders>
              <w:top w:val="nil"/>
              <w:left w:val="nil"/>
              <w:bottom w:val="nil"/>
              <w:right w:val="nil"/>
            </w:tcBorders>
            <w:shd w:val="clear" w:color="000000" w:fill="FFFFFF"/>
            <w:noWrap/>
            <w:vAlign w:val="bottom"/>
            <w:hideMark/>
          </w:tcPr>
          <w:p w:rsidR="001C101C" w:rsidRPr="001C101C" w:rsidRDefault="001C101C" w:rsidP="001C101C">
            <w:pPr>
              <w:jc w:val="left"/>
              <w:rPr>
                <w:sz w:val="18"/>
                <w:szCs w:val="18"/>
              </w:rPr>
            </w:pPr>
            <w:r w:rsidRPr="001C101C">
              <w:rPr>
                <w:sz w:val="18"/>
                <w:szCs w:val="18"/>
              </w:rPr>
              <w:t>Retired Asset Depreciation Expense Removal</w:t>
            </w:r>
          </w:p>
        </w:tc>
        <w:tc>
          <w:tcPr>
            <w:tcW w:w="2734" w:type="dxa"/>
            <w:tcBorders>
              <w:top w:val="nil"/>
              <w:left w:val="nil"/>
              <w:bottom w:val="nil"/>
              <w:right w:val="single" w:sz="4" w:space="0" w:color="auto"/>
            </w:tcBorders>
            <w:shd w:val="clear" w:color="000000" w:fill="FFFFFF"/>
            <w:noWrap/>
            <w:vAlign w:val="bottom"/>
            <w:hideMark/>
          </w:tcPr>
          <w:p w:rsidR="001C101C" w:rsidRPr="001C101C" w:rsidRDefault="001C101C" w:rsidP="001C101C">
            <w:pPr>
              <w:jc w:val="right"/>
              <w:rPr>
                <w:sz w:val="18"/>
                <w:szCs w:val="18"/>
              </w:rPr>
            </w:pPr>
            <w:r w:rsidRPr="001C101C">
              <w:rPr>
                <w:sz w:val="18"/>
                <w:szCs w:val="18"/>
              </w:rPr>
              <w:t>($64,917)</w:t>
            </w:r>
          </w:p>
        </w:tc>
      </w:tr>
      <w:tr w:rsidR="001C101C" w:rsidRPr="001C101C" w:rsidTr="001C101C">
        <w:trPr>
          <w:trHeight w:val="255"/>
          <w:jc w:val="center"/>
        </w:trPr>
        <w:tc>
          <w:tcPr>
            <w:tcW w:w="5434" w:type="dxa"/>
            <w:gridSpan w:val="2"/>
            <w:tcBorders>
              <w:top w:val="nil"/>
              <w:left w:val="single" w:sz="4" w:space="0" w:color="auto"/>
              <w:bottom w:val="nil"/>
              <w:right w:val="nil"/>
            </w:tcBorders>
            <w:shd w:val="clear" w:color="000000" w:fill="FFFFFF"/>
            <w:noWrap/>
            <w:vAlign w:val="bottom"/>
            <w:hideMark/>
          </w:tcPr>
          <w:p w:rsidR="001C101C" w:rsidRPr="001C101C" w:rsidRDefault="001C101C" w:rsidP="001C101C">
            <w:pPr>
              <w:jc w:val="left"/>
              <w:rPr>
                <w:b/>
                <w:bCs/>
                <w:i/>
                <w:iCs/>
                <w:sz w:val="18"/>
                <w:szCs w:val="18"/>
              </w:rPr>
            </w:pPr>
            <w:r w:rsidRPr="001C101C">
              <w:rPr>
                <w:b/>
                <w:bCs/>
                <w:i/>
                <w:iCs/>
                <w:sz w:val="18"/>
                <w:szCs w:val="18"/>
              </w:rPr>
              <w:t>Total Impact of Revisions</w:t>
            </w:r>
          </w:p>
        </w:tc>
        <w:tc>
          <w:tcPr>
            <w:tcW w:w="2734" w:type="dxa"/>
            <w:tcBorders>
              <w:top w:val="nil"/>
              <w:left w:val="nil"/>
              <w:bottom w:val="nil"/>
              <w:right w:val="single" w:sz="4" w:space="0" w:color="auto"/>
            </w:tcBorders>
            <w:shd w:val="clear" w:color="000000" w:fill="FFFFFF"/>
            <w:noWrap/>
            <w:vAlign w:val="bottom"/>
            <w:hideMark/>
          </w:tcPr>
          <w:p w:rsidR="001C101C" w:rsidRPr="001C101C" w:rsidRDefault="001C101C" w:rsidP="001C101C">
            <w:pPr>
              <w:jc w:val="right"/>
              <w:rPr>
                <w:b/>
                <w:bCs/>
                <w:i/>
                <w:iCs/>
                <w:sz w:val="18"/>
                <w:szCs w:val="18"/>
              </w:rPr>
            </w:pPr>
            <w:r w:rsidRPr="001C101C">
              <w:rPr>
                <w:b/>
                <w:bCs/>
                <w:i/>
                <w:iCs/>
                <w:sz w:val="18"/>
                <w:szCs w:val="18"/>
              </w:rPr>
              <w:t>($166,523)</w:t>
            </w:r>
          </w:p>
        </w:tc>
      </w:tr>
      <w:tr w:rsidR="001C101C" w:rsidRPr="001C101C" w:rsidTr="001C101C">
        <w:trPr>
          <w:trHeight w:val="270"/>
          <w:jc w:val="center"/>
        </w:trPr>
        <w:tc>
          <w:tcPr>
            <w:tcW w:w="5434" w:type="dxa"/>
            <w:gridSpan w:val="2"/>
            <w:tcBorders>
              <w:top w:val="single" w:sz="4" w:space="0" w:color="auto"/>
              <w:left w:val="single" w:sz="4" w:space="0" w:color="auto"/>
              <w:bottom w:val="double" w:sz="6" w:space="0" w:color="auto"/>
              <w:right w:val="nil"/>
            </w:tcBorders>
            <w:shd w:val="clear" w:color="000000" w:fill="FFFFFF"/>
            <w:noWrap/>
            <w:vAlign w:val="bottom"/>
            <w:hideMark/>
          </w:tcPr>
          <w:p w:rsidR="001C101C" w:rsidRPr="001C101C" w:rsidRDefault="001C101C" w:rsidP="001C101C">
            <w:pPr>
              <w:jc w:val="left"/>
              <w:outlineLvl w:val="0"/>
              <w:rPr>
                <w:b/>
                <w:bCs/>
                <w:sz w:val="18"/>
                <w:szCs w:val="18"/>
              </w:rPr>
            </w:pPr>
            <w:bookmarkStart w:id="5" w:name="_Toc447729283"/>
            <w:r w:rsidRPr="001C101C">
              <w:rPr>
                <w:b/>
                <w:bCs/>
                <w:sz w:val="18"/>
                <w:szCs w:val="18"/>
              </w:rPr>
              <w:t>Revised Revenue Requirement Before Exclusion</w:t>
            </w:r>
            <w:bookmarkEnd w:id="5"/>
          </w:p>
        </w:tc>
        <w:tc>
          <w:tcPr>
            <w:tcW w:w="2734" w:type="dxa"/>
            <w:tcBorders>
              <w:top w:val="single" w:sz="4" w:space="0" w:color="auto"/>
              <w:left w:val="nil"/>
              <w:bottom w:val="double" w:sz="6" w:space="0" w:color="auto"/>
              <w:right w:val="single" w:sz="4" w:space="0" w:color="auto"/>
            </w:tcBorders>
            <w:shd w:val="clear" w:color="000000" w:fill="FFFFFF"/>
            <w:noWrap/>
            <w:vAlign w:val="bottom"/>
            <w:hideMark/>
          </w:tcPr>
          <w:p w:rsidR="001C101C" w:rsidRPr="001F0D2D" w:rsidRDefault="001C101C" w:rsidP="001F0D2D">
            <w:pPr>
              <w:jc w:val="right"/>
              <w:rPr>
                <w:b/>
                <w:sz w:val="18"/>
                <w:szCs w:val="18"/>
              </w:rPr>
            </w:pPr>
            <w:r w:rsidRPr="001F0D2D">
              <w:rPr>
                <w:b/>
                <w:sz w:val="18"/>
                <w:szCs w:val="18"/>
              </w:rPr>
              <w:t xml:space="preserve">$10,383,571 </w:t>
            </w:r>
          </w:p>
        </w:tc>
      </w:tr>
      <w:tr w:rsidR="001C101C" w:rsidRPr="001C101C" w:rsidTr="001C101C">
        <w:trPr>
          <w:trHeight w:val="75"/>
          <w:jc w:val="center"/>
        </w:trPr>
        <w:tc>
          <w:tcPr>
            <w:tcW w:w="306" w:type="dxa"/>
            <w:tcBorders>
              <w:top w:val="nil"/>
              <w:left w:val="single" w:sz="4" w:space="0" w:color="auto"/>
              <w:bottom w:val="nil"/>
              <w:right w:val="nil"/>
            </w:tcBorders>
            <w:shd w:val="clear" w:color="000000" w:fill="FFFFFF"/>
            <w:noWrap/>
            <w:vAlign w:val="bottom"/>
            <w:hideMark/>
          </w:tcPr>
          <w:p w:rsidR="001C101C" w:rsidRPr="001C101C" w:rsidRDefault="001C101C" w:rsidP="001C101C">
            <w:pPr>
              <w:jc w:val="left"/>
              <w:rPr>
                <w:b/>
                <w:bCs/>
                <w:i/>
                <w:iCs/>
                <w:sz w:val="18"/>
                <w:szCs w:val="18"/>
              </w:rPr>
            </w:pPr>
            <w:r w:rsidRPr="001C101C">
              <w:rPr>
                <w:b/>
                <w:bCs/>
                <w:i/>
                <w:iCs/>
                <w:sz w:val="18"/>
                <w:szCs w:val="18"/>
              </w:rPr>
              <w:t> </w:t>
            </w:r>
          </w:p>
        </w:tc>
        <w:tc>
          <w:tcPr>
            <w:tcW w:w="5128" w:type="dxa"/>
            <w:tcBorders>
              <w:top w:val="nil"/>
              <w:left w:val="nil"/>
              <w:bottom w:val="nil"/>
              <w:right w:val="nil"/>
            </w:tcBorders>
            <w:shd w:val="clear" w:color="000000" w:fill="FFFFFF"/>
            <w:noWrap/>
            <w:vAlign w:val="bottom"/>
            <w:hideMark/>
          </w:tcPr>
          <w:p w:rsidR="001C101C" w:rsidRPr="001C101C" w:rsidRDefault="001C101C" w:rsidP="001C101C">
            <w:pPr>
              <w:jc w:val="left"/>
              <w:rPr>
                <w:b/>
                <w:bCs/>
                <w:i/>
                <w:iCs/>
                <w:sz w:val="18"/>
                <w:szCs w:val="18"/>
              </w:rPr>
            </w:pPr>
            <w:r w:rsidRPr="001C101C">
              <w:rPr>
                <w:b/>
                <w:bCs/>
                <w:i/>
                <w:iCs/>
                <w:sz w:val="18"/>
                <w:szCs w:val="18"/>
              </w:rPr>
              <w:t> </w:t>
            </w:r>
          </w:p>
        </w:tc>
        <w:tc>
          <w:tcPr>
            <w:tcW w:w="2734" w:type="dxa"/>
            <w:tcBorders>
              <w:top w:val="nil"/>
              <w:left w:val="nil"/>
              <w:bottom w:val="nil"/>
              <w:right w:val="single" w:sz="4" w:space="0" w:color="auto"/>
            </w:tcBorders>
            <w:shd w:val="clear" w:color="000000" w:fill="FFFFFF"/>
            <w:noWrap/>
            <w:vAlign w:val="bottom"/>
            <w:hideMark/>
          </w:tcPr>
          <w:p w:rsidR="001C101C" w:rsidRPr="001C101C" w:rsidRDefault="001C101C" w:rsidP="001C101C">
            <w:pPr>
              <w:jc w:val="left"/>
              <w:rPr>
                <w:b/>
                <w:bCs/>
                <w:i/>
                <w:iCs/>
                <w:sz w:val="18"/>
                <w:szCs w:val="18"/>
              </w:rPr>
            </w:pPr>
            <w:r w:rsidRPr="001C101C">
              <w:rPr>
                <w:b/>
                <w:bCs/>
                <w:i/>
                <w:iCs/>
                <w:sz w:val="18"/>
                <w:szCs w:val="18"/>
              </w:rPr>
              <w:t> </w:t>
            </w:r>
          </w:p>
        </w:tc>
      </w:tr>
      <w:tr w:rsidR="001C101C" w:rsidRPr="001C101C" w:rsidTr="001C101C">
        <w:trPr>
          <w:trHeight w:val="255"/>
          <w:jc w:val="center"/>
        </w:trPr>
        <w:tc>
          <w:tcPr>
            <w:tcW w:w="5434" w:type="dxa"/>
            <w:gridSpan w:val="2"/>
            <w:tcBorders>
              <w:top w:val="nil"/>
              <w:left w:val="single" w:sz="4" w:space="0" w:color="auto"/>
              <w:bottom w:val="nil"/>
              <w:right w:val="nil"/>
            </w:tcBorders>
            <w:shd w:val="clear" w:color="000000" w:fill="FFFFFF"/>
            <w:noWrap/>
            <w:vAlign w:val="bottom"/>
            <w:hideMark/>
          </w:tcPr>
          <w:p w:rsidR="001C101C" w:rsidRPr="001C101C" w:rsidRDefault="001C101C" w:rsidP="001C101C">
            <w:pPr>
              <w:jc w:val="left"/>
              <w:rPr>
                <w:b/>
                <w:bCs/>
                <w:i/>
                <w:iCs/>
                <w:sz w:val="18"/>
                <w:szCs w:val="18"/>
              </w:rPr>
            </w:pPr>
            <w:r w:rsidRPr="001C101C">
              <w:rPr>
                <w:b/>
                <w:bCs/>
                <w:i/>
                <w:iCs/>
                <w:sz w:val="18"/>
                <w:szCs w:val="18"/>
              </w:rPr>
              <w:t>Amount not Requested</w:t>
            </w:r>
          </w:p>
        </w:tc>
        <w:tc>
          <w:tcPr>
            <w:tcW w:w="2734" w:type="dxa"/>
            <w:tcBorders>
              <w:top w:val="nil"/>
              <w:left w:val="nil"/>
              <w:bottom w:val="nil"/>
              <w:right w:val="single" w:sz="4" w:space="0" w:color="auto"/>
            </w:tcBorders>
            <w:shd w:val="clear" w:color="000000" w:fill="FFFFFF"/>
            <w:noWrap/>
            <w:vAlign w:val="bottom"/>
            <w:hideMark/>
          </w:tcPr>
          <w:p w:rsidR="001C101C" w:rsidRPr="001C101C" w:rsidRDefault="001C101C" w:rsidP="001C101C">
            <w:pPr>
              <w:jc w:val="right"/>
              <w:rPr>
                <w:b/>
                <w:bCs/>
                <w:i/>
                <w:iCs/>
                <w:sz w:val="18"/>
                <w:szCs w:val="18"/>
              </w:rPr>
            </w:pPr>
            <w:r w:rsidRPr="001C101C">
              <w:rPr>
                <w:b/>
                <w:bCs/>
                <w:i/>
                <w:iCs/>
                <w:sz w:val="18"/>
                <w:szCs w:val="18"/>
              </w:rPr>
              <w:t>($63,571)</w:t>
            </w:r>
          </w:p>
        </w:tc>
      </w:tr>
      <w:tr w:rsidR="001C101C" w:rsidRPr="001C101C" w:rsidTr="001C101C">
        <w:trPr>
          <w:trHeight w:val="90"/>
          <w:jc w:val="center"/>
        </w:trPr>
        <w:tc>
          <w:tcPr>
            <w:tcW w:w="306" w:type="dxa"/>
            <w:tcBorders>
              <w:top w:val="nil"/>
              <w:left w:val="single" w:sz="4" w:space="0" w:color="auto"/>
              <w:bottom w:val="nil"/>
              <w:right w:val="nil"/>
            </w:tcBorders>
            <w:shd w:val="clear" w:color="000000" w:fill="FFFFFF"/>
            <w:noWrap/>
            <w:vAlign w:val="bottom"/>
            <w:hideMark/>
          </w:tcPr>
          <w:p w:rsidR="001C101C" w:rsidRPr="001C101C" w:rsidRDefault="001C101C" w:rsidP="001C101C">
            <w:pPr>
              <w:jc w:val="left"/>
              <w:rPr>
                <w:sz w:val="18"/>
                <w:szCs w:val="18"/>
              </w:rPr>
            </w:pPr>
            <w:r w:rsidRPr="001C101C">
              <w:rPr>
                <w:sz w:val="18"/>
                <w:szCs w:val="18"/>
              </w:rPr>
              <w:t> </w:t>
            </w:r>
          </w:p>
        </w:tc>
        <w:tc>
          <w:tcPr>
            <w:tcW w:w="5128" w:type="dxa"/>
            <w:tcBorders>
              <w:top w:val="nil"/>
              <w:left w:val="nil"/>
              <w:bottom w:val="nil"/>
              <w:right w:val="nil"/>
            </w:tcBorders>
            <w:shd w:val="clear" w:color="000000" w:fill="FFFFFF"/>
            <w:noWrap/>
            <w:vAlign w:val="bottom"/>
            <w:hideMark/>
          </w:tcPr>
          <w:p w:rsidR="001C101C" w:rsidRPr="001C101C" w:rsidRDefault="001C101C" w:rsidP="001C101C">
            <w:pPr>
              <w:jc w:val="left"/>
              <w:rPr>
                <w:sz w:val="18"/>
                <w:szCs w:val="18"/>
              </w:rPr>
            </w:pPr>
            <w:r w:rsidRPr="001C101C">
              <w:rPr>
                <w:sz w:val="18"/>
                <w:szCs w:val="18"/>
              </w:rPr>
              <w:t> </w:t>
            </w:r>
          </w:p>
        </w:tc>
        <w:tc>
          <w:tcPr>
            <w:tcW w:w="2734" w:type="dxa"/>
            <w:tcBorders>
              <w:top w:val="nil"/>
              <w:left w:val="nil"/>
              <w:bottom w:val="nil"/>
              <w:right w:val="single" w:sz="4" w:space="0" w:color="auto"/>
            </w:tcBorders>
            <w:shd w:val="clear" w:color="000000" w:fill="FFFFFF"/>
            <w:noWrap/>
            <w:vAlign w:val="bottom"/>
            <w:hideMark/>
          </w:tcPr>
          <w:p w:rsidR="001C101C" w:rsidRPr="001C101C" w:rsidRDefault="001C101C" w:rsidP="001C101C">
            <w:pPr>
              <w:jc w:val="left"/>
              <w:rPr>
                <w:sz w:val="18"/>
                <w:szCs w:val="18"/>
              </w:rPr>
            </w:pPr>
            <w:r w:rsidRPr="001C101C">
              <w:rPr>
                <w:sz w:val="18"/>
                <w:szCs w:val="18"/>
              </w:rPr>
              <w:t> </w:t>
            </w:r>
          </w:p>
        </w:tc>
      </w:tr>
      <w:tr w:rsidR="001C101C" w:rsidRPr="001C101C" w:rsidTr="001C101C">
        <w:trPr>
          <w:trHeight w:val="270"/>
          <w:jc w:val="center"/>
        </w:trPr>
        <w:tc>
          <w:tcPr>
            <w:tcW w:w="5434" w:type="dxa"/>
            <w:gridSpan w:val="2"/>
            <w:tcBorders>
              <w:top w:val="single" w:sz="4" w:space="0" w:color="auto"/>
              <w:left w:val="single" w:sz="4" w:space="0" w:color="auto"/>
              <w:bottom w:val="double" w:sz="6" w:space="0" w:color="auto"/>
              <w:right w:val="nil"/>
            </w:tcBorders>
            <w:shd w:val="clear" w:color="000000" w:fill="FFFFFF"/>
            <w:noWrap/>
            <w:vAlign w:val="bottom"/>
            <w:hideMark/>
          </w:tcPr>
          <w:p w:rsidR="001C101C" w:rsidRPr="001C101C" w:rsidRDefault="001C101C" w:rsidP="001C101C">
            <w:pPr>
              <w:jc w:val="left"/>
              <w:rPr>
                <w:b/>
                <w:bCs/>
                <w:sz w:val="18"/>
                <w:szCs w:val="18"/>
              </w:rPr>
            </w:pPr>
            <w:r w:rsidRPr="001C101C">
              <w:rPr>
                <w:b/>
                <w:bCs/>
                <w:sz w:val="18"/>
                <w:szCs w:val="18"/>
              </w:rPr>
              <w:t>Rebuttal Revenue Requirement</w:t>
            </w:r>
          </w:p>
        </w:tc>
        <w:tc>
          <w:tcPr>
            <w:tcW w:w="2734" w:type="dxa"/>
            <w:tcBorders>
              <w:top w:val="single" w:sz="4" w:space="0" w:color="auto"/>
              <w:left w:val="nil"/>
              <w:bottom w:val="double" w:sz="6" w:space="0" w:color="auto"/>
              <w:right w:val="single" w:sz="4" w:space="0" w:color="auto"/>
            </w:tcBorders>
            <w:shd w:val="clear" w:color="000000" w:fill="FFFFFF"/>
            <w:noWrap/>
            <w:vAlign w:val="bottom"/>
            <w:hideMark/>
          </w:tcPr>
          <w:p w:rsidR="001C101C" w:rsidRPr="001C101C" w:rsidRDefault="001C101C" w:rsidP="001C101C">
            <w:pPr>
              <w:jc w:val="right"/>
              <w:rPr>
                <w:b/>
                <w:bCs/>
                <w:sz w:val="18"/>
                <w:szCs w:val="18"/>
              </w:rPr>
            </w:pPr>
            <w:r w:rsidRPr="001C101C">
              <w:rPr>
                <w:b/>
                <w:bCs/>
                <w:sz w:val="18"/>
                <w:szCs w:val="18"/>
              </w:rPr>
              <w:t xml:space="preserve">$10,320,000 </w:t>
            </w:r>
          </w:p>
        </w:tc>
      </w:tr>
    </w:tbl>
    <w:p w:rsidR="00B46B12" w:rsidRPr="00776658" w:rsidRDefault="00B46B12" w:rsidP="00B46B12">
      <w:pPr>
        <w:pStyle w:val="Question"/>
        <w:jc w:val="left"/>
        <w:rPr>
          <w:rStyle w:val="Strong"/>
          <w:b/>
        </w:rPr>
      </w:pPr>
      <w:r w:rsidRPr="00B46B12">
        <w:rPr>
          <w:rStyle w:val="Strong"/>
          <w:b/>
        </w:rPr>
        <w:t>Q.</w:t>
      </w:r>
      <w:r w:rsidRPr="00B46B12">
        <w:rPr>
          <w:rStyle w:val="Strong"/>
          <w:b/>
        </w:rPr>
        <w:tab/>
      </w:r>
      <w:r>
        <w:rPr>
          <w:rStyle w:val="Strong"/>
          <w:b/>
        </w:rPr>
        <w:t xml:space="preserve">Please describe </w:t>
      </w:r>
      <w:r w:rsidRPr="00776658">
        <w:rPr>
          <w:rStyle w:val="Strong"/>
          <w:b/>
        </w:rPr>
        <w:t>Exhibit No.</w:t>
      </w:r>
      <w:r w:rsidR="005D3C18">
        <w:rPr>
          <w:rStyle w:val="Strong"/>
          <w:b/>
        </w:rPr>
        <w:t xml:space="preserve"> </w:t>
      </w:r>
      <w:r w:rsidRPr="00A65B51">
        <w:rPr>
          <w:rStyle w:val="Strong"/>
          <w:b/>
        </w:rPr>
        <w:t>S</w:t>
      </w:r>
      <w:r w:rsidR="002606EB">
        <w:rPr>
          <w:rStyle w:val="Strong"/>
          <w:b/>
        </w:rPr>
        <w:t>EM</w:t>
      </w:r>
      <w:r w:rsidRPr="00A65B51">
        <w:rPr>
          <w:rStyle w:val="Strong"/>
          <w:b/>
        </w:rPr>
        <w:t>-</w:t>
      </w:r>
      <w:r w:rsidR="00E17FF4">
        <w:rPr>
          <w:rStyle w:val="Strong"/>
          <w:b/>
        </w:rPr>
        <w:t>8</w:t>
      </w:r>
      <w:r w:rsidRPr="00776658">
        <w:rPr>
          <w:rStyle w:val="Strong"/>
          <w:b/>
        </w:rPr>
        <w:t>.</w:t>
      </w:r>
    </w:p>
    <w:p w:rsidR="00042F40" w:rsidRDefault="00B46B12" w:rsidP="00B25DE0">
      <w:pPr>
        <w:pStyle w:val="Answer"/>
        <w:jc w:val="left"/>
      </w:pPr>
      <w:r w:rsidRPr="00776658">
        <w:t>A.</w:t>
      </w:r>
      <w:r w:rsidRPr="00776658">
        <w:tab/>
        <w:t>Exhibit No.</w:t>
      </w:r>
      <w:r w:rsidR="005D3C18">
        <w:t xml:space="preserve"> </w:t>
      </w:r>
      <w:r w:rsidRPr="00A65B51">
        <w:t>S</w:t>
      </w:r>
      <w:r w:rsidR="002606EB">
        <w:t>EM</w:t>
      </w:r>
      <w:r w:rsidRPr="00A65B51">
        <w:t>-</w:t>
      </w:r>
      <w:r w:rsidR="006B1BEB">
        <w:t>8</w:t>
      </w:r>
      <w:r w:rsidRPr="00776658">
        <w:t xml:space="preserve"> is the Company’s Washington Results of Operations Report (Report)</w:t>
      </w:r>
      <w:r w:rsidR="00B25DE0" w:rsidRPr="00776658">
        <w:t>, revised to incorporate changes and updates outlined in the table above</w:t>
      </w:r>
      <w:r w:rsidRPr="00776658">
        <w:t xml:space="preserve">.  The </w:t>
      </w:r>
      <w:r w:rsidRPr="0041734B">
        <w:t xml:space="preserve">Report </w:t>
      </w:r>
      <w:r w:rsidR="00B25DE0" w:rsidRPr="0041734B">
        <w:t>is organized in a manner similar to Exhibit No.</w:t>
      </w:r>
      <w:r w:rsidR="005D3C18" w:rsidRPr="0041734B">
        <w:t xml:space="preserve"> </w:t>
      </w:r>
      <w:r w:rsidR="00B25DE0" w:rsidRPr="0041734B">
        <w:t>S</w:t>
      </w:r>
      <w:r w:rsidR="002606EB" w:rsidRPr="0041734B">
        <w:t>EM</w:t>
      </w:r>
      <w:r w:rsidR="00B25DE0" w:rsidRPr="0041734B">
        <w:t>-3</w:t>
      </w:r>
      <w:r w:rsidR="00B25DE0">
        <w:t>:</w:t>
      </w:r>
    </w:p>
    <w:p w:rsidR="00B25DE0" w:rsidRDefault="00B25DE0" w:rsidP="00721549">
      <w:pPr>
        <w:pStyle w:val="Answer"/>
        <w:numPr>
          <w:ilvl w:val="0"/>
          <w:numId w:val="15"/>
        </w:numPr>
        <w:ind w:left="1080"/>
        <w:jc w:val="left"/>
      </w:pPr>
      <w:r>
        <w:t>Tab 1</w:t>
      </w:r>
      <w:r w:rsidR="004953BF">
        <w:t xml:space="preserve"> (</w:t>
      </w:r>
      <w:r>
        <w:t>Summary</w:t>
      </w:r>
      <w:r w:rsidR="004953BF">
        <w:t>) r</w:t>
      </w:r>
      <w:r>
        <w:t>eflects the Washington-allocated results based on the WCA</w:t>
      </w:r>
      <w:r w:rsidR="00C226DF">
        <w:t>.</w:t>
      </w:r>
    </w:p>
    <w:p w:rsidR="00C226DF" w:rsidRDefault="00C226DF" w:rsidP="00721549">
      <w:pPr>
        <w:pStyle w:val="Answer"/>
        <w:numPr>
          <w:ilvl w:val="0"/>
          <w:numId w:val="15"/>
        </w:numPr>
        <w:ind w:left="1080"/>
        <w:jc w:val="left"/>
      </w:pPr>
      <w:r>
        <w:t>Tab 2</w:t>
      </w:r>
      <w:r w:rsidR="004953BF">
        <w:t xml:space="preserve"> (</w:t>
      </w:r>
      <w:r>
        <w:t>Results of Operations</w:t>
      </w:r>
      <w:r w:rsidR="004953BF">
        <w:t>) d</w:t>
      </w:r>
      <w:r>
        <w:t>etails the Company’s overall rebuttal revenue requirement</w:t>
      </w:r>
      <w:r w:rsidR="00470A29">
        <w:t xml:space="preserve"> by Federal Energy Regulatory Commission (FERC) account and WCA allocation factor.</w:t>
      </w:r>
    </w:p>
    <w:p w:rsidR="00D74299" w:rsidRDefault="00C226DF" w:rsidP="001C101C">
      <w:pPr>
        <w:pStyle w:val="Answer"/>
        <w:numPr>
          <w:ilvl w:val="0"/>
          <w:numId w:val="15"/>
        </w:numPr>
        <w:ind w:left="1080"/>
        <w:jc w:val="left"/>
      </w:pPr>
      <w:r>
        <w:t>Tab</w:t>
      </w:r>
      <w:r w:rsidR="00470A29">
        <w:t>s</w:t>
      </w:r>
      <w:r>
        <w:t xml:space="preserve"> 3 through </w:t>
      </w:r>
      <w:r w:rsidR="004E5B3E">
        <w:t>8</w:t>
      </w:r>
      <w:r w:rsidR="004953BF">
        <w:t xml:space="preserve"> p</w:t>
      </w:r>
      <w:r>
        <w:t xml:space="preserve">rovide supporting documentation for </w:t>
      </w:r>
      <w:r w:rsidR="00470A29">
        <w:t xml:space="preserve">restating and pro forma </w:t>
      </w:r>
      <w:r>
        <w:t>adjustment</w:t>
      </w:r>
      <w:r w:rsidR="00470A29">
        <w:t>s</w:t>
      </w:r>
      <w:r>
        <w:t xml:space="preserve"> that ha</w:t>
      </w:r>
      <w:r w:rsidR="00470A29">
        <w:t>ve</w:t>
      </w:r>
      <w:r>
        <w:t xml:space="preserve"> been revised or updated in the calculation of </w:t>
      </w:r>
      <w:r w:rsidR="005D3C18">
        <w:t xml:space="preserve">the Company’s </w:t>
      </w:r>
      <w:r>
        <w:t>rebuttal revenue requirement.</w:t>
      </w:r>
    </w:p>
    <w:p w:rsidR="00391699" w:rsidRDefault="00E17FF4" w:rsidP="00A65B51">
      <w:pPr>
        <w:pStyle w:val="Heading1"/>
        <w:spacing w:after="240" w:line="240" w:lineRule="auto"/>
        <w:jc w:val="center"/>
      </w:pPr>
      <w:bookmarkStart w:id="6" w:name="_Toc447729284"/>
      <w:r>
        <w:t>ADJUSTMENTS ACCEPTED OR PARTIALLY ACCEPTED BY THE COMPANY</w:t>
      </w:r>
      <w:bookmarkEnd w:id="6"/>
    </w:p>
    <w:p w:rsidR="006B4E0E" w:rsidRDefault="006B4E0E" w:rsidP="006B4E0E">
      <w:pPr>
        <w:pStyle w:val="Heading2"/>
      </w:pPr>
      <w:bookmarkStart w:id="7" w:name="_Toc447729285"/>
      <w:r>
        <w:t>Colstrip 3 Removal</w:t>
      </w:r>
      <w:bookmarkEnd w:id="7"/>
    </w:p>
    <w:p w:rsidR="006B4E0E" w:rsidRDefault="006B4E0E" w:rsidP="006B4E0E">
      <w:pPr>
        <w:pStyle w:val="Answer"/>
        <w:jc w:val="left"/>
        <w:rPr>
          <w:b/>
        </w:rPr>
      </w:pPr>
      <w:r w:rsidRPr="00511D0A">
        <w:rPr>
          <w:b/>
        </w:rPr>
        <w:t>Q.</w:t>
      </w:r>
      <w:r w:rsidRPr="00511D0A">
        <w:rPr>
          <w:b/>
        </w:rPr>
        <w:tab/>
      </w:r>
      <w:r>
        <w:rPr>
          <w:b/>
        </w:rPr>
        <w:t>Please describ</w:t>
      </w:r>
      <w:r w:rsidRPr="00664B6C">
        <w:rPr>
          <w:b/>
        </w:rPr>
        <w:t xml:space="preserve">e the adjustment proposed by </w:t>
      </w:r>
      <w:r>
        <w:rPr>
          <w:b/>
        </w:rPr>
        <w:t>Boise</w:t>
      </w:r>
      <w:r w:rsidRPr="00664B6C">
        <w:rPr>
          <w:b/>
        </w:rPr>
        <w:t xml:space="preserve"> </w:t>
      </w:r>
      <w:r w:rsidR="00ED5A67">
        <w:rPr>
          <w:b/>
        </w:rPr>
        <w:t>regarding</w:t>
      </w:r>
      <w:r w:rsidRPr="00664B6C">
        <w:rPr>
          <w:b/>
        </w:rPr>
        <w:t xml:space="preserve"> </w:t>
      </w:r>
      <w:r w:rsidR="00D37BBA">
        <w:rPr>
          <w:b/>
        </w:rPr>
        <w:t>the Operation</w:t>
      </w:r>
      <w:r w:rsidR="00384C9E">
        <w:rPr>
          <w:b/>
        </w:rPr>
        <w:t>s</w:t>
      </w:r>
      <w:r w:rsidR="00D37BBA">
        <w:rPr>
          <w:b/>
        </w:rPr>
        <w:t xml:space="preserve"> and Maintenance (O&amp;M) </w:t>
      </w:r>
      <w:r w:rsidR="00384C9E">
        <w:rPr>
          <w:b/>
        </w:rPr>
        <w:t>expense</w:t>
      </w:r>
      <w:r w:rsidR="001C101C">
        <w:rPr>
          <w:b/>
        </w:rPr>
        <w:t xml:space="preserve"> associated with U</w:t>
      </w:r>
      <w:r w:rsidR="00D37BBA">
        <w:rPr>
          <w:b/>
        </w:rPr>
        <w:t>nit 3 of the Colstrip generating plan</w:t>
      </w:r>
      <w:r w:rsidR="00464EFD">
        <w:rPr>
          <w:b/>
        </w:rPr>
        <w:t>t</w:t>
      </w:r>
      <w:r w:rsidR="00D37BBA">
        <w:rPr>
          <w:b/>
        </w:rPr>
        <w:t xml:space="preserve"> (</w:t>
      </w:r>
      <w:r>
        <w:rPr>
          <w:b/>
        </w:rPr>
        <w:t>Colstrip 3</w:t>
      </w:r>
      <w:r w:rsidR="00D37BBA">
        <w:rPr>
          <w:b/>
        </w:rPr>
        <w:t>).</w:t>
      </w:r>
    </w:p>
    <w:p w:rsidR="006B4E0E" w:rsidRDefault="006B4E0E" w:rsidP="006B4E0E">
      <w:pPr>
        <w:pStyle w:val="Answer"/>
        <w:widowControl w:val="0"/>
        <w:jc w:val="left"/>
      </w:pPr>
      <w:r>
        <w:t>A</w:t>
      </w:r>
      <w:r w:rsidRPr="000B676A">
        <w:t>.</w:t>
      </w:r>
      <w:r w:rsidRPr="000B676A">
        <w:tab/>
      </w:r>
      <w:r>
        <w:t xml:space="preserve">Boise proposes </w:t>
      </w:r>
      <w:r w:rsidR="002926C2">
        <w:t xml:space="preserve">an adjustment that removes the </w:t>
      </w:r>
      <w:r>
        <w:t xml:space="preserve">Colstrip 3 O&amp;M costs </w:t>
      </w:r>
      <w:r w:rsidR="009F211B">
        <w:t xml:space="preserve">because </w:t>
      </w:r>
      <w:r>
        <w:t>Colstrip 3 is not included in Washington rates.</w:t>
      </w:r>
      <w:r w:rsidR="006F3A71">
        <w:rPr>
          <w:rStyle w:val="FootnoteReference"/>
        </w:rPr>
        <w:footnoteReference w:id="1"/>
      </w:r>
    </w:p>
    <w:p w:rsidR="006B4E0E" w:rsidRDefault="006B4E0E" w:rsidP="006B4E0E">
      <w:pPr>
        <w:pStyle w:val="Answer"/>
        <w:jc w:val="left"/>
        <w:rPr>
          <w:b/>
        </w:rPr>
      </w:pPr>
      <w:r w:rsidRPr="00511D0A">
        <w:rPr>
          <w:b/>
        </w:rPr>
        <w:t>Q.</w:t>
      </w:r>
      <w:r w:rsidRPr="00511D0A">
        <w:rPr>
          <w:b/>
        </w:rPr>
        <w:tab/>
      </w:r>
      <w:r>
        <w:rPr>
          <w:b/>
        </w:rPr>
        <w:t xml:space="preserve">Why </w:t>
      </w:r>
      <w:r w:rsidR="000301E3">
        <w:rPr>
          <w:b/>
        </w:rPr>
        <w:t xml:space="preserve">weren’t </w:t>
      </w:r>
      <w:r>
        <w:rPr>
          <w:b/>
        </w:rPr>
        <w:t xml:space="preserve">the Colstrip 3 O&amp;M costs removed </w:t>
      </w:r>
      <w:r w:rsidR="0026338F">
        <w:rPr>
          <w:b/>
        </w:rPr>
        <w:t>in the Company’s initial filing</w:t>
      </w:r>
      <w:r>
        <w:rPr>
          <w:b/>
        </w:rPr>
        <w:t>?</w:t>
      </w:r>
    </w:p>
    <w:p w:rsidR="006B4E0E" w:rsidRDefault="006B4E0E" w:rsidP="006B4E0E">
      <w:pPr>
        <w:pStyle w:val="Answer"/>
        <w:widowControl w:val="0"/>
        <w:jc w:val="left"/>
      </w:pPr>
      <w:r>
        <w:t>A</w:t>
      </w:r>
      <w:r w:rsidRPr="000B676A">
        <w:t>.</w:t>
      </w:r>
      <w:r w:rsidRPr="000B676A">
        <w:tab/>
      </w:r>
      <w:r w:rsidR="0026338F">
        <w:t>In the initial filing, t</w:t>
      </w:r>
      <w:r>
        <w:t xml:space="preserve">he Company prepared the Colstrip 3 removal adjustment </w:t>
      </w:r>
      <w:r w:rsidR="001C101C">
        <w:t xml:space="preserve">consistent with the methodology used in previous cases.  </w:t>
      </w:r>
      <w:r w:rsidR="00A20EFC">
        <w:t xml:space="preserve">Upon further review, </w:t>
      </w:r>
      <w:r w:rsidR="006E49EA">
        <w:t xml:space="preserve">however, </w:t>
      </w:r>
      <w:r w:rsidR="00A20EFC">
        <w:t>the Company agrees with Boise that these costs should be removed</w:t>
      </w:r>
      <w:r w:rsidR="001C101C">
        <w:t xml:space="preserve"> as it is more consistent with the WCA</w:t>
      </w:r>
      <w:r w:rsidR="006E49EA">
        <w:t>.  T</w:t>
      </w:r>
      <w:r w:rsidR="001C101C">
        <w:t>he</w:t>
      </w:r>
      <w:r w:rsidR="000A4E2C">
        <w:t xml:space="preserve"> </w:t>
      </w:r>
      <w:r w:rsidR="00F47DBF">
        <w:t xml:space="preserve">Company’s acceptance of this adjustment is </w:t>
      </w:r>
      <w:r w:rsidR="000A4E2C">
        <w:t xml:space="preserve">reflected </w:t>
      </w:r>
      <w:r w:rsidR="00A20EFC">
        <w:t>in revised adjustment 5.2 (Colstrip 3 Removal).</w:t>
      </w:r>
    </w:p>
    <w:p w:rsidR="0026338F" w:rsidRDefault="006B4E0E" w:rsidP="0058142C">
      <w:pPr>
        <w:pStyle w:val="Question"/>
        <w:jc w:val="left"/>
      </w:pPr>
      <w:r w:rsidRPr="005B1C34">
        <w:rPr>
          <w:rStyle w:val="Strong"/>
          <w:b/>
        </w:rPr>
        <w:t>Q.</w:t>
      </w:r>
      <w:r w:rsidRPr="005B1C34">
        <w:rPr>
          <w:rStyle w:val="Strong"/>
          <w:b/>
        </w:rPr>
        <w:tab/>
      </w:r>
      <w:r w:rsidR="00F47DBF">
        <w:rPr>
          <w:rStyle w:val="Strong"/>
          <w:b/>
        </w:rPr>
        <w:t>Did Boise’s adjustment capture all O&amp;M costs associated with Colstrip 3</w:t>
      </w:r>
      <w:r>
        <w:t xml:space="preserve">?  </w:t>
      </w:r>
    </w:p>
    <w:p w:rsidR="006B4E0E" w:rsidRPr="00FA2ACE" w:rsidRDefault="006B4E0E" w:rsidP="0058142C">
      <w:pPr>
        <w:pStyle w:val="Question"/>
        <w:jc w:val="left"/>
      </w:pPr>
      <w:r w:rsidRPr="0058142C">
        <w:rPr>
          <w:b w:val="0"/>
        </w:rPr>
        <w:t>A.</w:t>
      </w:r>
      <w:r w:rsidRPr="0058142C">
        <w:rPr>
          <w:b w:val="0"/>
        </w:rPr>
        <w:tab/>
      </w:r>
      <w:r w:rsidR="00A20EFC" w:rsidRPr="0058142C">
        <w:rPr>
          <w:b w:val="0"/>
        </w:rPr>
        <w:t xml:space="preserve">No.  </w:t>
      </w:r>
      <w:r w:rsidRPr="0058142C">
        <w:rPr>
          <w:b w:val="0"/>
        </w:rPr>
        <w:t xml:space="preserve">Boise’s proposed adjustment does not include </w:t>
      </w:r>
      <w:r w:rsidR="00321629" w:rsidRPr="0058142C">
        <w:rPr>
          <w:b w:val="0"/>
        </w:rPr>
        <w:t xml:space="preserve">costs recorded in FERC 501.45, 511, 924.3 and 925, totaling $773,000 </w:t>
      </w:r>
      <w:r w:rsidR="00F47DBF">
        <w:rPr>
          <w:b w:val="0"/>
        </w:rPr>
        <w:t>on a total-</w:t>
      </w:r>
      <w:r w:rsidR="00321629" w:rsidRPr="0058142C">
        <w:rPr>
          <w:b w:val="0"/>
        </w:rPr>
        <w:t>company</w:t>
      </w:r>
      <w:r w:rsidR="00F47DBF">
        <w:rPr>
          <w:b w:val="0"/>
        </w:rPr>
        <w:t xml:space="preserve"> basis</w:t>
      </w:r>
      <w:r w:rsidR="00321629" w:rsidRPr="0058142C">
        <w:rPr>
          <w:b w:val="0"/>
        </w:rPr>
        <w:t xml:space="preserve">.  </w:t>
      </w:r>
      <w:r w:rsidR="00D007DC" w:rsidRPr="0058142C">
        <w:rPr>
          <w:b w:val="0"/>
        </w:rPr>
        <w:t>T</w:t>
      </w:r>
      <w:r w:rsidRPr="0058142C">
        <w:rPr>
          <w:b w:val="0"/>
        </w:rPr>
        <w:t xml:space="preserve">he Company </w:t>
      </w:r>
      <w:r w:rsidR="00F47DBF">
        <w:rPr>
          <w:b w:val="0"/>
        </w:rPr>
        <w:t>has removed</w:t>
      </w:r>
      <w:r w:rsidR="00F960EB">
        <w:rPr>
          <w:b w:val="0"/>
        </w:rPr>
        <w:t xml:space="preserve"> all </w:t>
      </w:r>
      <w:r w:rsidR="00F47DBF">
        <w:rPr>
          <w:b w:val="0"/>
        </w:rPr>
        <w:t>costs associated with Colstrip 3 O&amp;M using</w:t>
      </w:r>
      <w:r w:rsidR="00D007DC" w:rsidRPr="0058142C">
        <w:rPr>
          <w:b w:val="0"/>
        </w:rPr>
        <w:t xml:space="preserve"> the net plant proration</w:t>
      </w:r>
      <w:r w:rsidR="00F47DBF">
        <w:rPr>
          <w:b w:val="0"/>
        </w:rPr>
        <w:t xml:space="preserve"> between Colstrip 3 and 4</w:t>
      </w:r>
      <w:r w:rsidR="002B7896">
        <w:rPr>
          <w:b w:val="0"/>
        </w:rPr>
        <w:t>, consistent with Boise’s proposed methodology</w:t>
      </w:r>
      <w:r w:rsidR="00F960EB">
        <w:rPr>
          <w:b w:val="0"/>
        </w:rPr>
        <w:t>.</w:t>
      </w:r>
      <w:r w:rsidR="00D007DC" w:rsidRPr="0058142C">
        <w:rPr>
          <w:rStyle w:val="FootnoteReference"/>
          <w:b w:val="0"/>
        </w:rPr>
        <w:footnoteReference w:id="2"/>
      </w:r>
    </w:p>
    <w:p w:rsidR="00BE15FC" w:rsidRDefault="00BE15FC" w:rsidP="00BE15FC">
      <w:pPr>
        <w:pStyle w:val="Heading2"/>
        <w:jc w:val="left"/>
      </w:pPr>
      <w:bookmarkStart w:id="8" w:name="_Toc447729286"/>
      <w:r>
        <w:t>Pro Forma Major Plant Additions</w:t>
      </w:r>
      <w:bookmarkEnd w:id="8"/>
      <w:r>
        <w:t xml:space="preserve"> </w:t>
      </w:r>
    </w:p>
    <w:p w:rsidR="00BE15FC" w:rsidRDefault="00BE15FC" w:rsidP="00BE15FC">
      <w:pPr>
        <w:pStyle w:val="Answer"/>
        <w:jc w:val="left"/>
        <w:rPr>
          <w:b/>
        </w:rPr>
      </w:pPr>
      <w:r w:rsidRPr="00E67523">
        <w:rPr>
          <w:b/>
        </w:rPr>
        <w:t>Q.</w:t>
      </w:r>
      <w:r w:rsidRPr="00E67523">
        <w:rPr>
          <w:b/>
        </w:rPr>
        <w:tab/>
      </w:r>
      <w:r>
        <w:rPr>
          <w:b/>
        </w:rPr>
        <w:t>Please describe the Company’s proposed pro forma adjustment for the Jim Bridger Unit 3 overhaul project.</w:t>
      </w:r>
    </w:p>
    <w:p w:rsidR="00BE15FC" w:rsidRDefault="00BE15FC" w:rsidP="00BE15FC">
      <w:pPr>
        <w:pStyle w:val="Answer"/>
        <w:jc w:val="left"/>
      </w:pPr>
      <w:r w:rsidRPr="00A65B51">
        <w:t>A.</w:t>
      </w:r>
      <w:r w:rsidRPr="00A65B51">
        <w:tab/>
        <w:t>This pro forma adjustment adds to rate base</w:t>
      </w:r>
      <w:r>
        <w:t xml:space="preserve"> on an </w:t>
      </w:r>
      <w:r w:rsidR="00E76F51">
        <w:t>average of monthly averages (</w:t>
      </w:r>
      <w:r>
        <w:t>AMA</w:t>
      </w:r>
      <w:r w:rsidR="00E76F51">
        <w:t>)</w:t>
      </w:r>
      <w:r>
        <w:t xml:space="preserve"> basis </w:t>
      </w:r>
      <w:r w:rsidR="00823CB6">
        <w:t xml:space="preserve">plant </w:t>
      </w:r>
      <w:r>
        <w:t xml:space="preserve">additions associated with the Jim Bridger Unit 3 overhaul project that were placed in service </w:t>
      </w:r>
      <w:r w:rsidR="00F47DBF">
        <w:t>through</w:t>
      </w:r>
      <w:r>
        <w:t xml:space="preserve"> December 31, 2015</w:t>
      </w:r>
      <w:r w:rsidRPr="00A65B51">
        <w:t>.</w:t>
      </w:r>
    </w:p>
    <w:p w:rsidR="00BE15FC" w:rsidRPr="00E67523" w:rsidRDefault="00BE15FC" w:rsidP="00BE15FC">
      <w:pPr>
        <w:pStyle w:val="Answer"/>
        <w:jc w:val="left"/>
        <w:rPr>
          <w:b/>
        </w:rPr>
      </w:pPr>
      <w:r w:rsidRPr="00E67523">
        <w:rPr>
          <w:b/>
        </w:rPr>
        <w:t>Q.</w:t>
      </w:r>
      <w:r w:rsidRPr="00E67523">
        <w:rPr>
          <w:b/>
        </w:rPr>
        <w:tab/>
      </w:r>
      <w:r>
        <w:rPr>
          <w:b/>
        </w:rPr>
        <w:t xml:space="preserve">Is the Company updating its pro forma adjustment for these major </w:t>
      </w:r>
      <w:r w:rsidR="00823CB6">
        <w:rPr>
          <w:b/>
        </w:rPr>
        <w:t xml:space="preserve">plant </w:t>
      </w:r>
      <w:r>
        <w:rPr>
          <w:b/>
        </w:rPr>
        <w:t xml:space="preserve">additions in rebuttal?  </w:t>
      </w:r>
    </w:p>
    <w:p w:rsidR="00BE15FC" w:rsidRDefault="00BE15FC" w:rsidP="00BE15FC">
      <w:pPr>
        <w:pStyle w:val="Answer"/>
        <w:jc w:val="left"/>
      </w:pPr>
      <w:r w:rsidRPr="00C262D6">
        <w:t>A.</w:t>
      </w:r>
      <w:r w:rsidRPr="00C262D6">
        <w:tab/>
      </w:r>
      <w:r>
        <w:t xml:space="preserve">Yes.  </w:t>
      </w:r>
      <w:r w:rsidR="00870F75">
        <w:t>Because</w:t>
      </w:r>
      <w:r>
        <w:t xml:space="preserve"> these </w:t>
      </w:r>
      <w:r w:rsidR="00823CB6">
        <w:t xml:space="preserve">plant </w:t>
      </w:r>
      <w:r>
        <w:t>additions were scheduled to be placed in service around the time of the Company’s filing, actual costs were not available</w:t>
      </w:r>
      <w:r w:rsidR="006E49EA">
        <w:t xml:space="preserve"> for inclusion </w:t>
      </w:r>
      <w:r>
        <w:t xml:space="preserve">in the </w:t>
      </w:r>
      <w:r w:rsidR="006E49EA">
        <w:t xml:space="preserve">initial </w:t>
      </w:r>
      <w:r>
        <w:t>revenue requirement calculation</w:t>
      </w:r>
      <w:r w:rsidRPr="00357820">
        <w:t xml:space="preserve">.  </w:t>
      </w:r>
      <w:r w:rsidR="006E49EA" w:rsidRPr="00357820">
        <w:t xml:space="preserve">For that reason, </w:t>
      </w:r>
      <w:r w:rsidRPr="00357820">
        <w:t xml:space="preserve">estimated capital costs were used for the initial filing.  As proposed by </w:t>
      </w:r>
      <w:r w:rsidR="002B48F8" w:rsidRPr="00357820">
        <w:t>Public Counsel and Boise</w:t>
      </w:r>
      <w:r w:rsidRPr="00357820">
        <w:t>, the</w:t>
      </w:r>
      <w:r>
        <w:t xml:space="preserve"> Company has updated the adjustment to reflect actual costs for the Jim Bridger Unit 3 overhaul project placed in service through December 31, 2015.</w:t>
      </w:r>
      <w:r w:rsidR="002B48F8">
        <w:rPr>
          <w:rStyle w:val="FootnoteReference"/>
        </w:rPr>
        <w:footnoteReference w:id="3"/>
      </w:r>
      <w:r>
        <w:t xml:space="preserve">  </w:t>
      </w:r>
      <w:r w:rsidR="004E5B3E">
        <w:t>Actual r</w:t>
      </w:r>
      <w:r>
        <w:t>emoval cos</w:t>
      </w:r>
      <w:r w:rsidR="004E5B3E">
        <w:t xml:space="preserve">ts associated with this project are </w:t>
      </w:r>
      <w:r>
        <w:t xml:space="preserve">reflected in the accumulated reserve balance.  </w:t>
      </w:r>
    </w:p>
    <w:p w:rsidR="001011A4" w:rsidRDefault="001011A4" w:rsidP="001011A4">
      <w:pPr>
        <w:pStyle w:val="Answer"/>
        <w:suppressLineNumbers/>
        <w:jc w:val="left"/>
      </w:pPr>
    </w:p>
    <w:p w:rsidR="00AF3144" w:rsidRPr="002B7431" w:rsidRDefault="00AF3144" w:rsidP="00AF3144">
      <w:pPr>
        <w:pStyle w:val="Answer"/>
        <w:jc w:val="left"/>
      </w:pPr>
      <w:r>
        <w:rPr>
          <w:b/>
        </w:rPr>
        <w:t>Q.</w:t>
      </w:r>
      <w:r>
        <w:rPr>
          <w:b/>
        </w:rPr>
        <w:tab/>
        <w:t>Did Parties propose any other adjustments related to pro forma plant additions?</w:t>
      </w:r>
    </w:p>
    <w:p w:rsidR="00AF3144" w:rsidRDefault="00AF3144" w:rsidP="00AF3144">
      <w:pPr>
        <w:pStyle w:val="Answer"/>
        <w:jc w:val="left"/>
      </w:pPr>
      <w:r>
        <w:t>A.</w:t>
      </w:r>
      <w:r>
        <w:tab/>
        <w:t>Yes</w:t>
      </w:r>
      <w:r w:rsidRPr="002A5A10">
        <w:t xml:space="preserve">.  </w:t>
      </w:r>
      <w:r w:rsidR="002B48F8" w:rsidRPr="002A5A10">
        <w:t>Staff, Public Counsel, and Boise</w:t>
      </w:r>
      <w:r w:rsidR="00C72DAC" w:rsidRPr="002A5A10">
        <w:t xml:space="preserve"> recommended</w:t>
      </w:r>
      <w:r w:rsidR="00C72DAC">
        <w:t xml:space="preserve"> an adjustment based on legislation extending bonus depreciation.</w:t>
      </w:r>
      <w:r w:rsidR="002B48F8">
        <w:rPr>
          <w:rStyle w:val="FootnoteReference"/>
        </w:rPr>
        <w:footnoteReference w:id="4"/>
      </w:r>
      <w:r w:rsidR="00C72DAC">
        <w:t xml:space="preserve">  </w:t>
      </w:r>
      <w:r>
        <w:t xml:space="preserve">On December 18, 2015, President </w:t>
      </w:r>
      <w:r w:rsidR="002B48F8">
        <w:t xml:space="preserve">Obama </w:t>
      </w:r>
      <w:r>
        <w:t xml:space="preserve">signed into law the Protecting Americans from Tax Hikes (PATH) Act of 2015, which extended bonus depreciation on capital additions.  </w:t>
      </w:r>
      <w:r w:rsidR="002B48F8">
        <w:t>The Company agrees</w:t>
      </w:r>
      <w:r>
        <w:t xml:space="preserve"> that the impact of the PATH Act should be reflected in this filing for pro forma major plant additions.</w:t>
      </w:r>
      <w:r w:rsidR="0025575A">
        <w:t xml:space="preserve">  Accordingly, adjustment 8.4 (Pro Forma Major Plant Additions) has been updated to reflect this change.</w:t>
      </w:r>
    </w:p>
    <w:p w:rsidR="0025575A" w:rsidRDefault="0025575A" w:rsidP="00AF3144">
      <w:pPr>
        <w:pStyle w:val="Answer"/>
        <w:jc w:val="left"/>
        <w:rPr>
          <w:b/>
        </w:rPr>
      </w:pPr>
      <w:r>
        <w:rPr>
          <w:b/>
        </w:rPr>
        <w:t>Q.</w:t>
      </w:r>
      <w:r>
        <w:rPr>
          <w:b/>
        </w:rPr>
        <w:tab/>
        <w:t>Are there any other revisions to the pro forma major plant additions?</w:t>
      </w:r>
    </w:p>
    <w:p w:rsidR="00E05FDD" w:rsidRDefault="0025575A" w:rsidP="0025575A">
      <w:pPr>
        <w:pStyle w:val="Answer"/>
        <w:jc w:val="left"/>
      </w:pPr>
      <w:r>
        <w:t>A.</w:t>
      </w:r>
      <w:r>
        <w:tab/>
        <w:t>Yes</w:t>
      </w:r>
      <w:r w:rsidR="00BE15FC">
        <w:t xml:space="preserve">, the </w:t>
      </w:r>
      <w:r w:rsidR="00870F75">
        <w:t xml:space="preserve">Company has updated </w:t>
      </w:r>
      <w:r w:rsidR="00BE15FC">
        <w:t xml:space="preserve">balances </w:t>
      </w:r>
      <w:r>
        <w:t xml:space="preserve">for pro forma plant additions to reflect </w:t>
      </w:r>
      <w:r w:rsidR="002B48F8">
        <w:t>AMA levels for the rate year, using the</w:t>
      </w:r>
      <w:r w:rsidR="00BE15FC">
        <w:t xml:space="preserve"> anticipated effective date of July 1, 2016</w:t>
      </w:r>
      <w:r w:rsidR="002B48F8">
        <w:t>, for the first-year rate increase</w:t>
      </w:r>
      <w:r w:rsidR="00BE15FC">
        <w:t xml:space="preserve">.  </w:t>
      </w:r>
      <w:r w:rsidR="002B48F8">
        <w:t xml:space="preserve">The Company’s initial filing reflected balances on an AMA basis assuming an effective date of May 1, 2016.  </w:t>
      </w:r>
    </w:p>
    <w:p w:rsidR="00E05FDD" w:rsidRDefault="00E05FDD" w:rsidP="00E05FDD">
      <w:pPr>
        <w:pStyle w:val="Answer"/>
        <w:jc w:val="left"/>
        <w:rPr>
          <w:b/>
        </w:rPr>
      </w:pPr>
      <w:r>
        <w:rPr>
          <w:b/>
        </w:rPr>
        <w:t xml:space="preserve">Q. </w:t>
      </w:r>
      <w:r>
        <w:rPr>
          <w:b/>
        </w:rPr>
        <w:tab/>
        <w:t>What is the total impact of the updates to the Company’s pro forma major plant additions adjustment?</w:t>
      </w:r>
    </w:p>
    <w:p w:rsidR="00BE15FC" w:rsidRDefault="00E05FDD" w:rsidP="00E05FDD">
      <w:pPr>
        <w:pStyle w:val="Answer"/>
        <w:jc w:val="left"/>
      </w:pPr>
      <w:r w:rsidRPr="00E05FDD">
        <w:t>A.</w:t>
      </w:r>
      <w:r w:rsidRPr="00E05FDD">
        <w:tab/>
      </w:r>
      <w:r w:rsidR="00BE15FC">
        <w:t xml:space="preserve">The Company’s revised adjustment for pro forma major </w:t>
      </w:r>
      <w:r w:rsidR="00823CB6">
        <w:t xml:space="preserve">plant </w:t>
      </w:r>
      <w:r w:rsidR="00BE15FC">
        <w:t>a</w:t>
      </w:r>
      <w:r w:rsidR="00BE15FC" w:rsidRPr="003A542E">
        <w:t xml:space="preserve">dditions </w:t>
      </w:r>
      <w:r w:rsidR="00BE15FC" w:rsidRPr="00F26C2D">
        <w:t>decreases</w:t>
      </w:r>
      <w:r w:rsidR="00BE15FC" w:rsidRPr="003A542E">
        <w:t xml:space="preserve"> revenue requirement by </w:t>
      </w:r>
      <w:r>
        <w:t xml:space="preserve">approximately </w:t>
      </w:r>
      <w:r w:rsidR="00BE15FC" w:rsidRPr="00F26C2D">
        <w:t>$</w:t>
      </w:r>
      <w:r w:rsidR="00BE15FC">
        <w:t>6</w:t>
      </w:r>
      <w:r w:rsidR="00B95578">
        <w:t>54</w:t>
      </w:r>
      <w:r w:rsidR="00BE15FC" w:rsidRPr="00F26C2D">
        <w:t>,000</w:t>
      </w:r>
      <w:r>
        <w:t xml:space="preserve"> from the Company’s initial filing</w:t>
      </w:r>
      <w:r w:rsidR="00BE15FC" w:rsidRPr="003A542E">
        <w:t>.</w:t>
      </w:r>
      <w:r w:rsidR="00BE15FC">
        <w:t xml:space="preserve">  </w:t>
      </w:r>
      <w:r>
        <w:t>The prudence</w:t>
      </w:r>
      <w:r w:rsidR="00BE15FC">
        <w:t xml:space="preserve"> of these </w:t>
      </w:r>
      <w:r w:rsidR="00823CB6">
        <w:t xml:space="preserve">plant </w:t>
      </w:r>
      <w:r w:rsidR="00BE15FC">
        <w:t xml:space="preserve">additions </w:t>
      </w:r>
      <w:r>
        <w:t>is</w:t>
      </w:r>
      <w:r w:rsidR="00BE15FC">
        <w:t xml:space="preserve"> discussed in the rebuttal testimonies of </w:t>
      </w:r>
      <w:r w:rsidR="004A19A1">
        <w:t xml:space="preserve">     </w:t>
      </w:r>
      <w:r w:rsidR="00BE15FC">
        <w:t>Mr. Chad A. Teply</w:t>
      </w:r>
      <w:r w:rsidR="00107D04">
        <w:t>, Mr. Dana Ralston,</w:t>
      </w:r>
      <w:r w:rsidR="00BE15FC">
        <w:t xml:space="preserve"> and Mr. Rick T. Link.</w:t>
      </w:r>
      <w:r w:rsidRPr="00E05FDD">
        <w:t xml:space="preserve"> </w:t>
      </w:r>
      <w:r>
        <w:t xml:space="preserve"> These revisions are reflected in Exhibit No. SEM-8, page 8.4.  </w:t>
      </w:r>
    </w:p>
    <w:p w:rsidR="001011A4" w:rsidRDefault="001011A4" w:rsidP="001011A4">
      <w:pPr>
        <w:pStyle w:val="Answer"/>
        <w:suppressLineNumbers/>
        <w:jc w:val="left"/>
      </w:pPr>
    </w:p>
    <w:p w:rsidR="001011A4" w:rsidRPr="00E05FDD" w:rsidRDefault="001011A4" w:rsidP="001011A4">
      <w:pPr>
        <w:pStyle w:val="Answer"/>
        <w:suppressLineNumbers/>
        <w:jc w:val="left"/>
        <w:rPr>
          <w:b/>
        </w:rPr>
      </w:pPr>
    </w:p>
    <w:p w:rsidR="00A85EBD" w:rsidRDefault="00A85EBD" w:rsidP="00A85EBD">
      <w:pPr>
        <w:pStyle w:val="Answer"/>
        <w:widowControl w:val="0"/>
        <w:jc w:val="left"/>
        <w:rPr>
          <w:b/>
        </w:rPr>
      </w:pPr>
      <w:r>
        <w:rPr>
          <w:b/>
        </w:rPr>
        <w:t>E</w:t>
      </w:r>
      <w:r w:rsidR="00465DAA">
        <w:rPr>
          <w:b/>
        </w:rPr>
        <w:t xml:space="preserve">nergy </w:t>
      </w:r>
      <w:r>
        <w:rPr>
          <w:b/>
        </w:rPr>
        <w:t>I</w:t>
      </w:r>
      <w:r w:rsidR="00465DAA">
        <w:rPr>
          <w:b/>
        </w:rPr>
        <w:t xml:space="preserve">mbalance </w:t>
      </w:r>
      <w:r>
        <w:rPr>
          <w:b/>
        </w:rPr>
        <w:t>M</w:t>
      </w:r>
      <w:r w:rsidR="00465DAA">
        <w:rPr>
          <w:b/>
        </w:rPr>
        <w:t>arket</w:t>
      </w:r>
      <w:r>
        <w:rPr>
          <w:b/>
        </w:rPr>
        <w:t xml:space="preserve"> Costs Removal</w:t>
      </w:r>
    </w:p>
    <w:p w:rsidR="00A85EBD" w:rsidRDefault="00A85EBD" w:rsidP="00A85EBD">
      <w:pPr>
        <w:pStyle w:val="Answer"/>
        <w:jc w:val="left"/>
        <w:rPr>
          <w:b/>
        </w:rPr>
      </w:pPr>
      <w:r w:rsidRPr="00511D0A">
        <w:rPr>
          <w:b/>
        </w:rPr>
        <w:t>Q.</w:t>
      </w:r>
      <w:r w:rsidRPr="00511D0A">
        <w:rPr>
          <w:b/>
        </w:rPr>
        <w:tab/>
      </w:r>
      <w:r>
        <w:rPr>
          <w:b/>
        </w:rPr>
        <w:t xml:space="preserve">What is Boise’s proposal </w:t>
      </w:r>
      <w:r w:rsidR="00CE6405">
        <w:rPr>
          <w:b/>
        </w:rPr>
        <w:t>regarding</w:t>
      </w:r>
      <w:r>
        <w:rPr>
          <w:b/>
        </w:rPr>
        <w:t xml:space="preserve"> Energy Imbalance Market (EIM) costs?</w:t>
      </w:r>
    </w:p>
    <w:p w:rsidR="00A85EBD" w:rsidRDefault="00A85EBD" w:rsidP="00A85EBD">
      <w:pPr>
        <w:pStyle w:val="Answer"/>
        <w:widowControl w:val="0"/>
        <w:jc w:val="left"/>
      </w:pPr>
      <w:r>
        <w:t>A</w:t>
      </w:r>
      <w:r w:rsidRPr="000B676A">
        <w:t>.</w:t>
      </w:r>
      <w:r w:rsidRPr="000B676A">
        <w:tab/>
      </w:r>
      <w:r>
        <w:t xml:space="preserve">Because EIM benefits will be reflected in net power costs (NPC) and incorporated in the Company’s Power Cost Adjustment Mechanism </w:t>
      </w:r>
      <w:r w:rsidR="00090FA0">
        <w:t xml:space="preserve">(PCAM) </w:t>
      </w:r>
      <w:r>
        <w:t xml:space="preserve">to be </w:t>
      </w:r>
      <w:r w:rsidRPr="00B95578">
        <w:t>filed June 1, 2016,</w:t>
      </w:r>
      <w:r>
        <w:t xml:space="preserve"> Boise propos</w:t>
      </w:r>
      <w:r w:rsidR="004D130E">
        <w:t>es</w:t>
      </w:r>
      <w:r>
        <w:t xml:space="preserve"> to include EIM costs, including the return on rate base, in the PCAM to match the costs and associated benefits in the same filing.</w:t>
      </w:r>
    </w:p>
    <w:p w:rsidR="00A85EBD" w:rsidRPr="005B1C34" w:rsidRDefault="00A85EBD" w:rsidP="00A85EBD">
      <w:pPr>
        <w:pStyle w:val="Question"/>
        <w:jc w:val="left"/>
        <w:rPr>
          <w:rStyle w:val="Strong"/>
          <w:b/>
        </w:rPr>
      </w:pPr>
      <w:r w:rsidRPr="005B1C34">
        <w:rPr>
          <w:rStyle w:val="Strong"/>
          <w:b/>
        </w:rPr>
        <w:t>Q.</w:t>
      </w:r>
      <w:r w:rsidRPr="005B1C34">
        <w:rPr>
          <w:rStyle w:val="Strong"/>
          <w:b/>
        </w:rPr>
        <w:tab/>
      </w:r>
      <w:r w:rsidR="00A8661C">
        <w:rPr>
          <w:rStyle w:val="Strong"/>
          <w:b/>
        </w:rPr>
        <w:t xml:space="preserve">Does the </w:t>
      </w:r>
      <w:r>
        <w:rPr>
          <w:rStyle w:val="Strong"/>
          <w:b/>
        </w:rPr>
        <w:t xml:space="preserve">Company agree </w:t>
      </w:r>
      <w:r w:rsidR="00A8661C">
        <w:rPr>
          <w:rStyle w:val="Strong"/>
          <w:b/>
        </w:rPr>
        <w:t>with</w:t>
      </w:r>
      <w:r>
        <w:rPr>
          <w:rStyle w:val="Strong"/>
          <w:b/>
        </w:rPr>
        <w:t xml:space="preserve"> this approach?</w:t>
      </w:r>
    </w:p>
    <w:p w:rsidR="00A85EBD" w:rsidRDefault="00A85EBD" w:rsidP="00A85EBD">
      <w:pPr>
        <w:pStyle w:val="Answer"/>
        <w:jc w:val="left"/>
      </w:pPr>
      <w:r w:rsidRPr="007320FE">
        <w:t>A.</w:t>
      </w:r>
      <w:r w:rsidRPr="007320FE">
        <w:tab/>
      </w:r>
      <w:r w:rsidR="00E05FDD">
        <w:t>Yes.  To provide a proper matching of costs and benefits associated with EIM, the Company agrees with Boise’s proposal with certain modifications</w:t>
      </w:r>
      <w:r>
        <w:t xml:space="preserve">. </w:t>
      </w:r>
    </w:p>
    <w:p w:rsidR="00A85EBD" w:rsidRPr="005B1C34" w:rsidRDefault="00A85EBD" w:rsidP="00A85EBD">
      <w:pPr>
        <w:pStyle w:val="Question"/>
        <w:jc w:val="left"/>
        <w:rPr>
          <w:rStyle w:val="Strong"/>
          <w:b/>
        </w:rPr>
      </w:pPr>
      <w:r w:rsidRPr="005B1C34">
        <w:rPr>
          <w:rStyle w:val="Strong"/>
          <w:b/>
        </w:rPr>
        <w:t>Q.</w:t>
      </w:r>
      <w:r w:rsidRPr="005B1C34">
        <w:rPr>
          <w:rStyle w:val="Strong"/>
          <w:b/>
        </w:rPr>
        <w:tab/>
      </w:r>
      <w:r w:rsidR="00E05FDD">
        <w:rPr>
          <w:rStyle w:val="Strong"/>
          <w:b/>
        </w:rPr>
        <w:t>What modifications did the Company make to Boise’s proposal</w:t>
      </w:r>
      <w:r>
        <w:rPr>
          <w:rStyle w:val="Strong"/>
          <w:b/>
        </w:rPr>
        <w:t>?</w:t>
      </w:r>
    </w:p>
    <w:p w:rsidR="00DF1665" w:rsidRDefault="00A85EBD" w:rsidP="00A85EBD">
      <w:pPr>
        <w:pStyle w:val="Answer"/>
        <w:jc w:val="left"/>
      </w:pPr>
      <w:r w:rsidRPr="007320FE">
        <w:t>A.</w:t>
      </w:r>
      <w:r w:rsidRPr="007320FE">
        <w:tab/>
      </w:r>
      <w:r w:rsidR="00E05FDD">
        <w:t xml:space="preserve">The Company has revised Boise’s proposed adjustment to include removal of </w:t>
      </w:r>
      <w:r>
        <w:t>depreciation and amortization expense</w:t>
      </w:r>
      <w:r w:rsidR="00E05FDD">
        <w:t xml:space="preserve"> associated with EIM</w:t>
      </w:r>
      <w:r>
        <w:t>.</w:t>
      </w:r>
      <w:r>
        <w:rPr>
          <w:rStyle w:val="FootnoteReference"/>
        </w:rPr>
        <w:footnoteReference w:id="5"/>
      </w:r>
      <w:r>
        <w:t xml:space="preserve">  The Company has prepared adjustment 5.3 (EIM Costs Removal</w:t>
      </w:r>
      <w:r w:rsidR="00EC20F5">
        <w:t xml:space="preserve">) to reflect the removal of all EIM-related </w:t>
      </w:r>
      <w:r>
        <w:t>costs.</w:t>
      </w:r>
      <w:r w:rsidR="00EC20F5">
        <w:rPr>
          <w:rStyle w:val="FootnoteReference"/>
        </w:rPr>
        <w:footnoteReference w:id="6"/>
      </w:r>
      <w:r>
        <w:t xml:space="preserve">  </w:t>
      </w:r>
      <w:r w:rsidR="007555E6">
        <w:t xml:space="preserve">Table </w:t>
      </w:r>
      <w:r w:rsidR="00EC20F5">
        <w:t>3</w:t>
      </w:r>
      <w:r w:rsidR="007555E6">
        <w:t xml:space="preserve"> below provides </w:t>
      </w:r>
      <w:r w:rsidR="00DF1665">
        <w:t xml:space="preserve">a summary of EIM costs removed in this adjustment.  </w:t>
      </w:r>
    </w:p>
    <w:p w:rsidR="001011A4" w:rsidRDefault="001011A4" w:rsidP="00EC20F5">
      <w:pPr>
        <w:pStyle w:val="Answer"/>
        <w:suppressLineNumbers/>
        <w:jc w:val="center"/>
        <w:rPr>
          <w:b/>
        </w:rPr>
      </w:pPr>
    </w:p>
    <w:p w:rsidR="001011A4" w:rsidRDefault="001011A4" w:rsidP="00EC20F5">
      <w:pPr>
        <w:pStyle w:val="Answer"/>
        <w:suppressLineNumbers/>
        <w:jc w:val="center"/>
        <w:rPr>
          <w:b/>
        </w:rPr>
      </w:pPr>
    </w:p>
    <w:p w:rsidR="001011A4" w:rsidRDefault="001011A4" w:rsidP="00EC20F5">
      <w:pPr>
        <w:pStyle w:val="Answer"/>
        <w:suppressLineNumbers/>
        <w:jc w:val="center"/>
        <w:rPr>
          <w:b/>
        </w:rPr>
      </w:pPr>
    </w:p>
    <w:p w:rsidR="001011A4" w:rsidRDefault="001011A4" w:rsidP="00EC20F5">
      <w:pPr>
        <w:pStyle w:val="Answer"/>
        <w:suppressLineNumbers/>
        <w:jc w:val="center"/>
        <w:rPr>
          <w:b/>
        </w:rPr>
      </w:pPr>
    </w:p>
    <w:p w:rsidR="001011A4" w:rsidRDefault="001011A4" w:rsidP="00EC20F5">
      <w:pPr>
        <w:pStyle w:val="Answer"/>
        <w:suppressLineNumbers/>
        <w:jc w:val="center"/>
        <w:rPr>
          <w:b/>
        </w:rPr>
      </w:pPr>
    </w:p>
    <w:p w:rsidR="001011A4" w:rsidRDefault="001011A4" w:rsidP="00EC20F5">
      <w:pPr>
        <w:pStyle w:val="Answer"/>
        <w:suppressLineNumbers/>
        <w:jc w:val="center"/>
        <w:rPr>
          <w:b/>
        </w:rPr>
      </w:pPr>
    </w:p>
    <w:p w:rsidR="001011A4" w:rsidRDefault="001011A4" w:rsidP="00EC20F5">
      <w:pPr>
        <w:pStyle w:val="Answer"/>
        <w:suppressLineNumbers/>
        <w:jc w:val="center"/>
        <w:rPr>
          <w:b/>
        </w:rPr>
      </w:pPr>
    </w:p>
    <w:p w:rsidR="00AD7425" w:rsidRDefault="00EC20F5" w:rsidP="00EC20F5">
      <w:pPr>
        <w:pStyle w:val="Answer"/>
        <w:suppressLineNumbers/>
        <w:jc w:val="center"/>
        <w:rPr>
          <w:b/>
        </w:rPr>
      </w:pPr>
      <w:r w:rsidRPr="00EC20F5">
        <w:rPr>
          <w:b/>
        </w:rPr>
        <w:t>TABLE 3</w:t>
      </w:r>
      <w:r>
        <w:rPr>
          <w:b/>
        </w:rPr>
        <w:t>—EIM Costs</w:t>
      </w:r>
    </w:p>
    <w:tbl>
      <w:tblPr>
        <w:tblW w:w="6423" w:type="dxa"/>
        <w:jc w:val="center"/>
        <w:tblInd w:w="-144" w:type="dxa"/>
        <w:tblLook w:val="04A0" w:firstRow="1" w:lastRow="0" w:firstColumn="1" w:lastColumn="0" w:noHBand="0" w:noVBand="1"/>
      </w:tblPr>
      <w:tblGrid>
        <w:gridCol w:w="3397"/>
        <w:gridCol w:w="266"/>
        <w:gridCol w:w="1420"/>
        <w:gridCol w:w="1340"/>
      </w:tblGrid>
      <w:tr w:rsidR="00EC20F5" w:rsidRPr="00EC20F5" w:rsidTr="00EC20F5">
        <w:trPr>
          <w:trHeight w:val="255"/>
          <w:jc w:val="center"/>
        </w:trPr>
        <w:tc>
          <w:tcPr>
            <w:tcW w:w="3397" w:type="dxa"/>
            <w:tcBorders>
              <w:top w:val="nil"/>
              <w:left w:val="nil"/>
              <w:bottom w:val="nil"/>
              <w:right w:val="nil"/>
            </w:tcBorders>
            <w:shd w:val="clear" w:color="000000" w:fill="FFFFFF"/>
            <w:vAlign w:val="bottom"/>
            <w:hideMark/>
          </w:tcPr>
          <w:p w:rsidR="00EC20F5" w:rsidRPr="00EC20F5" w:rsidRDefault="00EC20F5" w:rsidP="00EC20F5">
            <w:pPr>
              <w:jc w:val="left"/>
              <w:rPr>
                <w:sz w:val="20"/>
                <w:szCs w:val="20"/>
              </w:rPr>
            </w:pPr>
            <w:r w:rsidRPr="00EC20F5">
              <w:rPr>
                <w:sz w:val="20"/>
                <w:szCs w:val="20"/>
              </w:rPr>
              <w:t> </w:t>
            </w:r>
          </w:p>
        </w:tc>
        <w:tc>
          <w:tcPr>
            <w:tcW w:w="266" w:type="dxa"/>
            <w:tcBorders>
              <w:top w:val="nil"/>
              <w:left w:val="nil"/>
              <w:bottom w:val="nil"/>
              <w:right w:val="nil"/>
            </w:tcBorders>
            <w:shd w:val="clear" w:color="000000" w:fill="FFFFFF"/>
            <w:vAlign w:val="bottom"/>
            <w:hideMark/>
          </w:tcPr>
          <w:p w:rsidR="00EC20F5" w:rsidRPr="00EC20F5" w:rsidRDefault="00EC20F5" w:rsidP="00EC20F5">
            <w:pPr>
              <w:jc w:val="left"/>
              <w:rPr>
                <w:sz w:val="20"/>
                <w:szCs w:val="20"/>
              </w:rPr>
            </w:pPr>
            <w:r w:rsidRPr="00EC20F5">
              <w:rPr>
                <w:sz w:val="20"/>
                <w:szCs w:val="20"/>
              </w:rPr>
              <w:t> </w:t>
            </w:r>
          </w:p>
        </w:tc>
        <w:tc>
          <w:tcPr>
            <w:tcW w:w="1420" w:type="dxa"/>
            <w:tcBorders>
              <w:top w:val="nil"/>
              <w:left w:val="nil"/>
              <w:bottom w:val="nil"/>
              <w:right w:val="nil"/>
            </w:tcBorders>
            <w:shd w:val="clear" w:color="000000" w:fill="FFFFFF"/>
            <w:noWrap/>
            <w:vAlign w:val="center"/>
            <w:hideMark/>
          </w:tcPr>
          <w:p w:rsidR="00EC20F5" w:rsidRPr="00EC20F5" w:rsidRDefault="00EC20F5" w:rsidP="00EC20F5">
            <w:pPr>
              <w:jc w:val="center"/>
              <w:rPr>
                <w:b/>
                <w:bCs/>
                <w:sz w:val="20"/>
                <w:szCs w:val="20"/>
              </w:rPr>
            </w:pPr>
            <w:r w:rsidRPr="00EC20F5">
              <w:rPr>
                <w:b/>
                <w:bCs/>
                <w:sz w:val="20"/>
                <w:szCs w:val="20"/>
              </w:rPr>
              <w:t xml:space="preserve">Total </w:t>
            </w:r>
          </w:p>
        </w:tc>
        <w:tc>
          <w:tcPr>
            <w:tcW w:w="1340" w:type="dxa"/>
            <w:tcBorders>
              <w:top w:val="nil"/>
              <w:left w:val="nil"/>
              <w:bottom w:val="nil"/>
              <w:right w:val="nil"/>
            </w:tcBorders>
            <w:shd w:val="clear" w:color="000000" w:fill="FFFFFF"/>
            <w:noWrap/>
            <w:vAlign w:val="center"/>
            <w:hideMark/>
          </w:tcPr>
          <w:p w:rsidR="00EC20F5" w:rsidRPr="00EC20F5" w:rsidRDefault="00EC20F5" w:rsidP="00EC20F5">
            <w:pPr>
              <w:jc w:val="center"/>
              <w:rPr>
                <w:b/>
                <w:bCs/>
                <w:sz w:val="20"/>
                <w:szCs w:val="20"/>
              </w:rPr>
            </w:pPr>
            <w:r w:rsidRPr="00EC20F5">
              <w:rPr>
                <w:b/>
                <w:bCs/>
                <w:sz w:val="20"/>
                <w:szCs w:val="20"/>
              </w:rPr>
              <w:t>Washington</w:t>
            </w:r>
          </w:p>
        </w:tc>
      </w:tr>
      <w:tr w:rsidR="00EC20F5" w:rsidRPr="00EC20F5" w:rsidTr="00EC20F5">
        <w:trPr>
          <w:trHeight w:val="255"/>
          <w:jc w:val="center"/>
        </w:trPr>
        <w:tc>
          <w:tcPr>
            <w:tcW w:w="3397" w:type="dxa"/>
            <w:tcBorders>
              <w:top w:val="nil"/>
              <w:left w:val="nil"/>
              <w:bottom w:val="nil"/>
              <w:right w:val="nil"/>
            </w:tcBorders>
            <w:shd w:val="clear" w:color="000000" w:fill="FFFFFF"/>
            <w:noWrap/>
            <w:vAlign w:val="bottom"/>
            <w:hideMark/>
          </w:tcPr>
          <w:p w:rsidR="00EC20F5" w:rsidRPr="00EC20F5" w:rsidRDefault="00EC20F5" w:rsidP="00EC20F5">
            <w:pPr>
              <w:jc w:val="left"/>
              <w:rPr>
                <w:sz w:val="20"/>
                <w:szCs w:val="20"/>
              </w:rPr>
            </w:pPr>
            <w:r w:rsidRPr="00EC20F5">
              <w:rPr>
                <w:sz w:val="20"/>
                <w:szCs w:val="20"/>
              </w:rPr>
              <w:t> </w:t>
            </w:r>
          </w:p>
        </w:tc>
        <w:tc>
          <w:tcPr>
            <w:tcW w:w="266" w:type="dxa"/>
            <w:tcBorders>
              <w:top w:val="nil"/>
              <w:left w:val="nil"/>
              <w:bottom w:val="nil"/>
              <w:right w:val="nil"/>
            </w:tcBorders>
            <w:shd w:val="clear" w:color="000000" w:fill="FFFFFF"/>
            <w:noWrap/>
            <w:vAlign w:val="bottom"/>
            <w:hideMark/>
          </w:tcPr>
          <w:p w:rsidR="00EC20F5" w:rsidRPr="00EC20F5" w:rsidRDefault="00EC20F5" w:rsidP="00EC20F5">
            <w:pPr>
              <w:jc w:val="left"/>
              <w:rPr>
                <w:sz w:val="20"/>
                <w:szCs w:val="20"/>
              </w:rPr>
            </w:pPr>
            <w:r w:rsidRPr="00EC20F5">
              <w:rPr>
                <w:sz w:val="20"/>
                <w:szCs w:val="20"/>
              </w:rPr>
              <w:t> </w:t>
            </w:r>
          </w:p>
        </w:tc>
        <w:tc>
          <w:tcPr>
            <w:tcW w:w="1420" w:type="dxa"/>
            <w:tcBorders>
              <w:top w:val="nil"/>
              <w:left w:val="nil"/>
              <w:bottom w:val="single" w:sz="4" w:space="0" w:color="auto"/>
              <w:right w:val="nil"/>
            </w:tcBorders>
            <w:shd w:val="clear" w:color="000000" w:fill="FFFFFF"/>
            <w:noWrap/>
            <w:vAlign w:val="center"/>
            <w:hideMark/>
          </w:tcPr>
          <w:p w:rsidR="00EC20F5" w:rsidRPr="00EC20F5" w:rsidRDefault="00EC20F5" w:rsidP="00EC20F5">
            <w:pPr>
              <w:jc w:val="center"/>
              <w:rPr>
                <w:b/>
                <w:bCs/>
                <w:sz w:val="20"/>
                <w:szCs w:val="20"/>
              </w:rPr>
            </w:pPr>
            <w:r w:rsidRPr="00EC20F5">
              <w:rPr>
                <w:b/>
                <w:bCs/>
                <w:sz w:val="20"/>
                <w:szCs w:val="20"/>
              </w:rPr>
              <w:t>Company</w:t>
            </w:r>
          </w:p>
        </w:tc>
        <w:tc>
          <w:tcPr>
            <w:tcW w:w="1340" w:type="dxa"/>
            <w:tcBorders>
              <w:top w:val="nil"/>
              <w:left w:val="nil"/>
              <w:bottom w:val="single" w:sz="4" w:space="0" w:color="auto"/>
              <w:right w:val="nil"/>
            </w:tcBorders>
            <w:shd w:val="clear" w:color="000000" w:fill="FFFFFF"/>
            <w:noWrap/>
            <w:vAlign w:val="center"/>
            <w:hideMark/>
          </w:tcPr>
          <w:p w:rsidR="00EC20F5" w:rsidRPr="00EC20F5" w:rsidRDefault="00EC20F5" w:rsidP="00EC20F5">
            <w:pPr>
              <w:jc w:val="center"/>
              <w:rPr>
                <w:b/>
                <w:bCs/>
                <w:sz w:val="20"/>
                <w:szCs w:val="20"/>
              </w:rPr>
            </w:pPr>
            <w:r w:rsidRPr="00EC20F5">
              <w:rPr>
                <w:b/>
                <w:bCs/>
                <w:sz w:val="20"/>
                <w:szCs w:val="20"/>
              </w:rPr>
              <w:t>Allocated</w:t>
            </w:r>
          </w:p>
        </w:tc>
      </w:tr>
      <w:tr w:rsidR="00EC20F5" w:rsidRPr="00EC20F5" w:rsidTr="00EC20F5">
        <w:trPr>
          <w:trHeight w:val="255"/>
          <w:jc w:val="center"/>
        </w:trPr>
        <w:tc>
          <w:tcPr>
            <w:tcW w:w="3397" w:type="dxa"/>
            <w:tcBorders>
              <w:top w:val="nil"/>
              <w:left w:val="nil"/>
              <w:bottom w:val="nil"/>
              <w:right w:val="nil"/>
            </w:tcBorders>
            <w:shd w:val="clear" w:color="000000" w:fill="FFFFFF"/>
            <w:noWrap/>
            <w:vAlign w:val="bottom"/>
            <w:hideMark/>
          </w:tcPr>
          <w:p w:rsidR="00EC20F5" w:rsidRPr="00EC20F5" w:rsidRDefault="00EC20F5" w:rsidP="00EC20F5">
            <w:pPr>
              <w:jc w:val="left"/>
              <w:rPr>
                <w:sz w:val="20"/>
                <w:szCs w:val="20"/>
              </w:rPr>
            </w:pPr>
            <w:r w:rsidRPr="00EC20F5">
              <w:rPr>
                <w:sz w:val="20"/>
                <w:szCs w:val="20"/>
              </w:rPr>
              <w:t>Capital Investment</w:t>
            </w:r>
          </w:p>
        </w:tc>
        <w:tc>
          <w:tcPr>
            <w:tcW w:w="266" w:type="dxa"/>
            <w:tcBorders>
              <w:top w:val="nil"/>
              <w:left w:val="nil"/>
              <w:bottom w:val="nil"/>
              <w:right w:val="nil"/>
            </w:tcBorders>
            <w:shd w:val="clear" w:color="000000" w:fill="FFFFFF"/>
            <w:noWrap/>
            <w:vAlign w:val="bottom"/>
            <w:hideMark/>
          </w:tcPr>
          <w:p w:rsidR="00EC20F5" w:rsidRPr="00EC20F5" w:rsidRDefault="00EC20F5" w:rsidP="00EC20F5">
            <w:pPr>
              <w:jc w:val="left"/>
              <w:rPr>
                <w:sz w:val="20"/>
                <w:szCs w:val="20"/>
              </w:rPr>
            </w:pPr>
            <w:r w:rsidRPr="00EC20F5">
              <w:rPr>
                <w:sz w:val="20"/>
                <w:szCs w:val="20"/>
              </w:rPr>
              <w:t> </w:t>
            </w:r>
          </w:p>
        </w:tc>
        <w:tc>
          <w:tcPr>
            <w:tcW w:w="1420" w:type="dxa"/>
            <w:tcBorders>
              <w:top w:val="nil"/>
              <w:left w:val="single" w:sz="4" w:space="0" w:color="auto"/>
              <w:bottom w:val="nil"/>
              <w:right w:val="single" w:sz="4" w:space="0" w:color="auto"/>
            </w:tcBorders>
            <w:shd w:val="clear" w:color="000000" w:fill="FFFFFF"/>
            <w:noWrap/>
            <w:vAlign w:val="bottom"/>
            <w:hideMark/>
          </w:tcPr>
          <w:p w:rsidR="00EC20F5" w:rsidRPr="00EC20F5" w:rsidRDefault="00EC20F5" w:rsidP="00EC20F5">
            <w:pPr>
              <w:jc w:val="right"/>
              <w:rPr>
                <w:sz w:val="20"/>
                <w:szCs w:val="20"/>
              </w:rPr>
            </w:pPr>
            <w:r w:rsidRPr="00EC20F5">
              <w:rPr>
                <w:sz w:val="20"/>
                <w:szCs w:val="20"/>
              </w:rPr>
              <w:t xml:space="preserve">$16,221,428 </w:t>
            </w:r>
          </w:p>
        </w:tc>
        <w:tc>
          <w:tcPr>
            <w:tcW w:w="1340" w:type="dxa"/>
            <w:tcBorders>
              <w:top w:val="nil"/>
              <w:left w:val="nil"/>
              <w:bottom w:val="nil"/>
              <w:right w:val="single" w:sz="4" w:space="0" w:color="auto"/>
            </w:tcBorders>
            <w:shd w:val="clear" w:color="000000" w:fill="FFFFFF"/>
            <w:noWrap/>
            <w:vAlign w:val="bottom"/>
            <w:hideMark/>
          </w:tcPr>
          <w:p w:rsidR="00EC20F5" w:rsidRPr="00EC20F5" w:rsidRDefault="00EC20F5" w:rsidP="00EC20F5">
            <w:pPr>
              <w:jc w:val="right"/>
              <w:rPr>
                <w:sz w:val="20"/>
                <w:szCs w:val="20"/>
              </w:rPr>
            </w:pPr>
            <w:r w:rsidRPr="00EC20F5">
              <w:rPr>
                <w:sz w:val="20"/>
                <w:szCs w:val="20"/>
              </w:rPr>
              <w:t xml:space="preserve">$1,898,279 </w:t>
            </w:r>
          </w:p>
        </w:tc>
      </w:tr>
      <w:tr w:rsidR="00EC20F5" w:rsidRPr="00EC20F5" w:rsidTr="00EC20F5">
        <w:trPr>
          <w:trHeight w:val="255"/>
          <w:jc w:val="center"/>
        </w:trPr>
        <w:tc>
          <w:tcPr>
            <w:tcW w:w="3397" w:type="dxa"/>
            <w:tcBorders>
              <w:top w:val="nil"/>
              <w:left w:val="nil"/>
              <w:bottom w:val="nil"/>
              <w:right w:val="nil"/>
            </w:tcBorders>
            <w:shd w:val="clear" w:color="000000" w:fill="FFFFFF"/>
            <w:noWrap/>
            <w:vAlign w:val="bottom"/>
            <w:hideMark/>
          </w:tcPr>
          <w:p w:rsidR="00EC20F5" w:rsidRPr="00EC20F5" w:rsidRDefault="00EC20F5" w:rsidP="00EC20F5">
            <w:pPr>
              <w:jc w:val="left"/>
              <w:rPr>
                <w:sz w:val="20"/>
                <w:szCs w:val="20"/>
              </w:rPr>
            </w:pPr>
            <w:r w:rsidRPr="00EC20F5">
              <w:rPr>
                <w:sz w:val="20"/>
                <w:szCs w:val="20"/>
              </w:rPr>
              <w:t>Accumulated Deferred Income Taxes</w:t>
            </w:r>
          </w:p>
        </w:tc>
        <w:tc>
          <w:tcPr>
            <w:tcW w:w="266" w:type="dxa"/>
            <w:tcBorders>
              <w:top w:val="nil"/>
              <w:left w:val="nil"/>
              <w:bottom w:val="nil"/>
              <w:right w:val="nil"/>
            </w:tcBorders>
            <w:shd w:val="clear" w:color="000000" w:fill="FFFFFF"/>
            <w:noWrap/>
            <w:vAlign w:val="bottom"/>
            <w:hideMark/>
          </w:tcPr>
          <w:p w:rsidR="00EC20F5" w:rsidRPr="00EC20F5" w:rsidRDefault="00EC20F5" w:rsidP="00EC20F5">
            <w:pPr>
              <w:jc w:val="left"/>
              <w:rPr>
                <w:sz w:val="20"/>
                <w:szCs w:val="20"/>
              </w:rPr>
            </w:pPr>
            <w:r w:rsidRPr="00EC20F5">
              <w:rPr>
                <w:sz w:val="20"/>
                <w:szCs w:val="20"/>
              </w:rPr>
              <w:t> </w:t>
            </w:r>
          </w:p>
        </w:tc>
        <w:tc>
          <w:tcPr>
            <w:tcW w:w="1420" w:type="dxa"/>
            <w:tcBorders>
              <w:top w:val="nil"/>
              <w:left w:val="single" w:sz="4" w:space="0" w:color="auto"/>
              <w:bottom w:val="nil"/>
              <w:right w:val="single" w:sz="4" w:space="0" w:color="auto"/>
            </w:tcBorders>
            <w:shd w:val="clear" w:color="000000" w:fill="FFFFFF"/>
            <w:noWrap/>
            <w:vAlign w:val="bottom"/>
            <w:hideMark/>
          </w:tcPr>
          <w:p w:rsidR="00EC20F5" w:rsidRPr="00EC20F5" w:rsidRDefault="00EC20F5" w:rsidP="00EC20F5">
            <w:pPr>
              <w:jc w:val="right"/>
              <w:rPr>
                <w:sz w:val="20"/>
                <w:szCs w:val="20"/>
              </w:rPr>
            </w:pPr>
            <w:r w:rsidRPr="00EC20F5">
              <w:rPr>
                <w:sz w:val="20"/>
                <w:szCs w:val="20"/>
              </w:rPr>
              <w:t>($3,659,044)</w:t>
            </w:r>
          </w:p>
        </w:tc>
        <w:tc>
          <w:tcPr>
            <w:tcW w:w="1340" w:type="dxa"/>
            <w:tcBorders>
              <w:top w:val="nil"/>
              <w:left w:val="nil"/>
              <w:bottom w:val="nil"/>
              <w:right w:val="single" w:sz="4" w:space="0" w:color="auto"/>
            </w:tcBorders>
            <w:shd w:val="clear" w:color="000000" w:fill="FFFFFF"/>
            <w:noWrap/>
            <w:vAlign w:val="bottom"/>
            <w:hideMark/>
          </w:tcPr>
          <w:p w:rsidR="00EC20F5" w:rsidRPr="00EC20F5" w:rsidRDefault="00EC20F5" w:rsidP="00EC20F5">
            <w:pPr>
              <w:jc w:val="right"/>
              <w:rPr>
                <w:sz w:val="20"/>
                <w:szCs w:val="20"/>
              </w:rPr>
            </w:pPr>
            <w:r w:rsidRPr="00EC20F5">
              <w:rPr>
                <w:sz w:val="20"/>
                <w:szCs w:val="20"/>
              </w:rPr>
              <w:t>($437,169)</w:t>
            </w:r>
          </w:p>
        </w:tc>
      </w:tr>
      <w:tr w:rsidR="00EC20F5" w:rsidRPr="00EC20F5" w:rsidTr="00EC20F5">
        <w:trPr>
          <w:trHeight w:val="255"/>
          <w:jc w:val="center"/>
        </w:trPr>
        <w:tc>
          <w:tcPr>
            <w:tcW w:w="3397" w:type="dxa"/>
            <w:tcBorders>
              <w:top w:val="nil"/>
              <w:left w:val="nil"/>
              <w:bottom w:val="nil"/>
              <w:right w:val="nil"/>
            </w:tcBorders>
            <w:shd w:val="clear" w:color="000000" w:fill="FFFFFF"/>
            <w:noWrap/>
            <w:vAlign w:val="bottom"/>
            <w:hideMark/>
          </w:tcPr>
          <w:p w:rsidR="00EC20F5" w:rsidRPr="00EC20F5" w:rsidRDefault="00EC20F5" w:rsidP="00EC20F5">
            <w:pPr>
              <w:jc w:val="left"/>
              <w:rPr>
                <w:sz w:val="20"/>
                <w:szCs w:val="20"/>
              </w:rPr>
            </w:pPr>
            <w:r w:rsidRPr="00EC20F5">
              <w:rPr>
                <w:sz w:val="20"/>
                <w:szCs w:val="20"/>
              </w:rPr>
              <w:t>Depreciation Reserve</w:t>
            </w:r>
          </w:p>
        </w:tc>
        <w:tc>
          <w:tcPr>
            <w:tcW w:w="266" w:type="dxa"/>
            <w:tcBorders>
              <w:top w:val="nil"/>
              <w:left w:val="nil"/>
              <w:bottom w:val="nil"/>
              <w:right w:val="nil"/>
            </w:tcBorders>
            <w:shd w:val="clear" w:color="000000" w:fill="FFFFFF"/>
            <w:noWrap/>
            <w:vAlign w:val="bottom"/>
            <w:hideMark/>
          </w:tcPr>
          <w:p w:rsidR="00EC20F5" w:rsidRPr="00EC20F5" w:rsidRDefault="00EC20F5" w:rsidP="00EC20F5">
            <w:pPr>
              <w:jc w:val="left"/>
              <w:rPr>
                <w:sz w:val="20"/>
                <w:szCs w:val="20"/>
              </w:rPr>
            </w:pPr>
            <w:r w:rsidRPr="00EC20F5">
              <w:rPr>
                <w:sz w:val="20"/>
                <w:szCs w:val="20"/>
              </w:rPr>
              <w:t> </w:t>
            </w:r>
          </w:p>
        </w:tc>
        <w:tc>
          <w:tcPr>
            <w:tcW w:w="1420" w:type="dxa"/>
            <w:tcBorders>
              <w:top w:val="nil"/>
              <w:left w:val="single" w:sz="4" w:space="0" w:color="auto"/>
              <w:bottom w:val="nil"/>
              <w:right w:val="single" w:sz="4" w:space="0" w:color="auto"/>
            </w:tcBorders>
            <w:shd w:val="clear" w:color="000000" w:fill="FFFFFF"/>
            <w:noWrap/>
            <w:vAlign w:val="bottom"/>
            <w:hideMark/>
          </w:tcPr>
          <w:p w:rsidR="00EC20F5" w:rsidRPr="00EC20F5" w:rsidRDefault="00EC20F5" w:rsidP="00EC20F5">
            <w:pPr>
              <w:jc w:val="right"/>
              <w:rPr>
                <w:sz w:val="20"/>
                <w:szCs w:val="20"/>
              </w:rPr>
            </w:pPr>
            <w:r w:rsidRPr="00EC20F5">
              <w:rPr>
                <w:sz w:val="20"/>
                <w:szCs w:val="20"/>
              </w:rPr>
              <w:t>($1,901,111)</w:t>
            </w:r>
          </w:p>
        </w:tc>
        <w:tc>
          <w:tcPr>
            <w:tcW w:w="1340" w:type="dxa"/>
            <w:tcBorders>
              <w:top w:val="nil"/>
              <w:left w:val="nil"/>
              <w:bottom w:val="single" w:sz="4" w:space="0" w:color="auto"/>
              <w:right w:val="single" w:sz="4" w:space="0" w:color="auto"/>
            </w:tcBorders>
            <w:shd w:val="clear" w:color="000000" w:fill="FFFFFF"/>
            <w:noWrap/>
            <w:vAlign w:val="bottom"/>
            <w:hideMark/>
          </w:tcPr>
          <w:p w:rsidR="00EC20F5" w:rsidRPr="00EC20F5" w:rsidRDefault="00EC20F5" w:rsidP="00EC20F5">
            <w:pPr>
              <w:jc w:val="right"/>
              <w:rPr>
                <w:sz w:val="20"/>
                <w:szCs w:val="20"/>
              </w:rPr>
            </w:pPr>
            <w:r w:rsidRPr="00EC20F5">
              <w:rPr>
                <w:sz w:val="20"/>
                <w:szCs w:val="20"/>
              </w:rPr>
              <w:t>($234,779)</w:t>
            </w:r>
          </w:p>
        </w:tc>
      </w:tr>
      <w:tr w:rsidR="00EC20F5" w:rsidRPr="00EC20F5" w:rsidTr="00EC20F5">
        <w:trPr>
          <w:trHeight w:val="255"/>
          <w:jc w:val="center"/>
        </w:trPr>
        <w:tc>
          <w:tcPr>
            <w:tcW w:w="3397" w:type="dxa"/>
            <w:tcBorders>
              <w:top w:val="nil"/>
              <w:left w:val="nil"/>
              <w:bottom w:val="nil"/>
              <w:right w:val="nil"/>
            </w:tcBorders>
            <w:shd w:val="clear" w:color="000000" w:fill="FFFFFF"/>
            <w:noWrap/>
            <w:vAlign w:val="bottom"/>
            <w:hideMark/>
          </w:tcPr>
          <w:p w:rsidR="00EC20F5" w:rsidRPr="00EC20F5" w:rsidRDefault="00EC20F5" w:rsidP="00EC20F5">
            <w:pPr>
              <w:jc w:val="left"/>
              <w:rPr>
                <w:sz w:val="20"/>
                <w:szCs w:val="20"/>
              </w:rPr>
            </w:pPr>
            <w:r w:rsidRPr="00EC20F5">
              <w:rPr>
                <w:sz w:val="20"/>
                <w:szCs w:val="20"/>
              </w:rPr>
              <w:t>Net Rate Base</w:t>
            </w:r>
          </w:p>
        </w:tc>
        <w:tc>
          <w:tcPr>
            <w:tcW w:w="266" w:type="dxa"/>
            <w:tcBorders>
              <w:top w:val="nil"/>
              <w:left w:val="nil"/>
              <w:bottom w:val="nil"/>
              <w:right w:val="nil"/>
            </w:tcBorders>
            <w:shd w:val="clear" w:color="000000" w:fill="FFFFFF"/>
            <w:noWrap/>
            <w:vAlign w:val="bottom"/>
            <w:hideMark/>
          </w:tcPr>
          <w:p w:rsidR="00EC20F5" w:rsidRPr="00EC20F5" w:rsidRDefault="00EC20F5" w:rsidP="00EC20F5">
            <w:pPr>
              <w:jc w:val="left"/>
              <w:rPr>
                <w:sz w:val="20"/>
                <w:szCs w:val="20"/>
              </w:rPr>
            </w:pPr>
            <w:r w:rsidRPr="00EC20F5">
              <w:rPr>
                <w:sz w:val="20"/>
                <w:szCs w:val="20"/>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C20F5" w:rsidRPr="00EC20F5" w:rsidRDefault="00EC20F5" w:rsidP="00EC20F5">
            <w:pPr>
              <w:jc w:val="right"/>
              <w:rPr>
                <w:sz w:val="20"/>
                <w:szCs w:val="20"/>
              </w:rPr>
            </w:pPr>
            <w:r w:rsidRPr="00EC20F5">
              <w:rPr>
                <w:sz w:val="20"/>
                <w:szCs w:val="20"/>
              </w:rPr>
              <w:t xml:space="preserve">$10,661,273 </w:t>
            </w:r>
          </w:p>
        </w:tc>
        <w:tc>
          <w:tcPr>
            <w:tcW w:w="1340" w:type="dxa"/>
            <w:tcBorders>
              <w:top w:val="nil"/>
              <w:left w:val="nil"/>
              <w:bottom w:val="single" w:sz="4" w:space="0" w:color="auto"/>
              <w:right w:val="single" w:sz="4" w:space="0" w:color="auto"/>
            </w:tcBorders>
            <w:shd w:val="clear" w:color="000000" w:fill="FFFFFF"/>
            <w:noWrap/>
            <w:vAlign w:val="bottom"/>
            <w:hideMark/>
          </w:tcPr>
          <w:p w:rsidR="00EC20F5" w:rsidRPr="00EC20F5" w:rsidRDefault="00EC20F5" w:rsidP="00EC20F5">
            <w:pPr>
              <w:jc w:val="right"/>
              <w:rPr>
                <w:sz w:val="20"/>
                <w:szCs w:val="20"/>
              </w:rPr>
            </w:pPr>
            <w:r w:rsidRPr="00EC20F5">
              <w:rPr>
                <w:sz w:val="20"/>
                <w:szCs w:val="20"/>
              </w:rPr>
              <w:t xml:space="preserve">$1,226,330 </w:t>
            </w:r>
          </w:p>
        </w:tc>
      </w:tr>
      <w:tr w:rsidR="00EC20F5" w:rsidRPr="00EC20F5" w:rsidTr="00EC20F5">
        <w:trPr>
          <w:trHeight w:val="255"/>
          <w:jc w:val="center"/>
        </w:trPr>
        <w:tc>
          <w:tcPr>
            <w:tcW w:w="3397" w:type="dxa"/>
            <w:tcBorders>
              <w:top w:val="nil"/>
              <w:left w:val="nil"/>
              <w:bottom w:val="nil"/>
              <w:right w:val="nil"/>
            </w:tcBorders>
            <w:shd w:val="clear" w:color="000000" w:fill="FFFFFF"/>
            <w:noWrap/>
            <w:vAlign w:val="bottom"/>
            <w:hideMark/>
          </w:tcPr>
          <w:p w:rsidR="00EC20F5" w:rsidRPr="00EC20F5" w:rsidRDefault="00EC20F5" w:rsidP="00EC20F5">
            <w:pPr>
              <w:jc w:val="left"/>
              <w:rPr>
                <w:sz w:val="20"/>
                <w:szCs w:val="20"/>
              </w:rPr>
            </w:pPr>
            <w:r w:rsidRPr="00EC20F5">
              <w:rPr>
                <w:sz w:val="20"/>
                <w:szCs w:val="20"/>
              </w:rPr>
              <w:t> </w:t>
            </w:r>
          </w:p>
        </w:tc>
        <w:tc>
          <w:tcPr>
            <w:tcW w:w="266" w:type="dxa"/>
            <w:tcBorders>
              <w:top w:val="nil"/>
              <w:left w:val="nil"/>
              <w:bottom w:val="nil"/>
              <w:right w:val="nil"/>
            </w:tcBorders>
            <w:shd w:val="clear" w:color="000000" w:fill="FFFFFF"/>
            <w:noWrap/>
            <w:vAlign w:val="bottom"/>
            <w:hideMark/>
          </w:tcPr>
          <w:p w:rsidR="00EC20F5" w:rsidRPr="00EC20F5" w:rsidRDefault="00EC20F5" w:rsidP="00EC20F5">
            <w:pPr>
              <w:jc w:val="left"/>
              <w:rPr>
                <w:sz w:val="20"/>
                <w:szCs w:val="20"/>
              </w:rPr>
            </w:pPr>
            <w:r w:rsidRPr="00EC20F5">
              <w:rPr>
                <w:sz w:val="20"/>
                <w:szCs w:val="20"/>
              </w:rPr>
              <w:t> </w:t>
            </w:r>
          </w:p>
        </w:tc>
        <w:tc>
          <w:tcPr>
            <w:tcW w:w="1420" w:type="dxa"/>
            <w:tcBorders>
              <w:top w:val="nil"/>
              <w:left w:val="single" w:sz="4" w:space="0" w:color="auto"/>
              <w:bottom w:val="nil"/>
              <w:right w:val="single" w:sz="4" w:space="0" w:color="auto"/>
            </w:tcBorders>
            <w:shd w:val="clear" w:color="000000" w:fill="FFFFFF"/>
            <w:noWrap/>
            <w:vAlign w:val="bottom"/>
            <w:hideMark/>
          </w:tcPr>
          <w:p w:rsidR="00EC20F5" w:rsidRPr="00EC20F5" w:rsidRDefault="00EC20F5" w:rsidP="00EC20F5">
            <w:pPr>
              <w:jc w:val="left"/>
              <w:rPr>
                <w:sz w:val="20"/>
                <w:szCs w:val="20"/>
              </w:rPr>
            </w:pPr>
            <w:r w:rsidRPr="00EC20F5">
              <w:rPr>
                <w:sz w:val="20"/>
                <w:szCs w:val="20"/>
              </w:rPr>
              <w:t> </w:t>
            </w:r>
          </w:p>
        </w:tc>
        <w:tc>
          <w:tcPr>
            <w:tcW w:w="1340" w:type="dxa"/>
            <w:tcBorders>
              <w:top w:val="nil"/>
              <w:left w:val="nil"/>
              <w:bottom w:val="nil"/>
              <w:right w:val="single" w:sz="4" w:space="0" w:color="auto"/>
            </w:tcBorders>
            <w:shd w:val="clear" w:color="000000" w:fill="FFFFFF"/>
            <w:noWrap/>
            <w:vAlign w:val="bottom"/>
            <w:hideMark/>
          </w:tcPr>
          <w:p w:rsidR="00EC20F5" w:rsidRPr="00EC20F5" w:rsidRDefault="00EC20F5" w:rsidP="00EC20F5">
            <w:pPr>
              <w:jc w:val="left"/>
              <w:rPr>
                <w:sz w:val="20"/>
                <w:szCs w:val="20"/>
              </w:rPr>
            </w:pPr>
            <w:r w:rsidRPr="00EC20F5">
              <w:rPr>
                <w:sz w:val="20"/>
                <w:szCs w:val="20"/>
              </w:rPr>
              <w:t> </w:t>
            </w:r>
          </w:p>
        </w:tc>
      </w:tr>
      <w:tr w:rsidR="00EC20F5" w:rsidRPr="00EC20F5" w:rsidTr="00EC20F5">
        <w:trPr>
          <w:trHeight w:val="255"/>
          <w:jc w:val="center"/>
        </w:trPr>
        <w:tc>
          <w:tcPr>
            <w:tcW w:w="3397" w:type="dxa"/>
            <w:tcBorders>
              <w:top w:val="nil"/>
              <w:left w:val="nil"/>
              <w:bottom w:val="nil"/>
              <w:right w:val="nil"/>
            </w:tcBorders>
            <w:shd w:val="clear" w:color="000000" w:fill="FFFFFF"/>
            <w:noWrap/>
            <w:vAlign w:val="bottom"/>
            <w:hideMark/>
          </w:tcPr>
          <w:p w:rsidR="00EC20F5" w:rsidRPr="00EC20F5" w:rsidRDefault="00EC20F5" w:rsidP="00EC20F5">
            <w:pPr>
              <w:jc w:val="left"/>
              <w:rPr>
                <w:sz w:val="20"/>
                <w:szCs w:val="20"/>
              </w:rPr>
            </w:pPr>
            <w:r w:rsidRPr="00EC20F5">
              <w:rPr>
                <w:sz w:val="20"/>
                <w:szCs w:val="20"/>
              </w:rPr>
              <w:t> </w:t>
            </w:r>
          </w:p>
        </w:tc>
        <w:tc>
          <w:tcPr>
            <w:tcW w:w="266" w:type="dxa"/>
            <w:tcBorders>
              <w:top w:val="nil"/>
              <w:left w:val="nil"/>
              <w:bottom w:val="nil"/>
              <w:right w:val="nil"/>
            </w:tcBorders>
            <w:shd w:val="clear" w:color="000000" w:fill="FFFFFF"/>
            <w:noWrap/>
            <w:vAlign w:val="bottom"/>
            <w:hideMark/>
          </w:tcPr>
          <w:p w:rsidR="00EC20F5" w:rsidRPr="00EC20F5" w:rsidRDefault="00EC20F5" w:rsidP="00EC20F5">
            <w:pPr>
              <w:jc w:val="left"/>
              <w:rPr>
                <w:sz w:val="20"/>
                <w:szCs w:val="20"/>
              </w:rPr>
            </w:pPr>
            <w:r w:rsidRPr="00EC20F5">
              <w:rPr>
                <w:sz w:val="20"/>
                <w:szCs w:val="20"/>
              </w:rPr>
              <w:t> </w:t>
            </w:r>
          </w:p>
        </w:tc>
        <w:tc>
          <w:tcPr>
            <w:tcW w:w="1420" w:type="dxa"/>
            <w:tcBorders>
              <w:top w:val="nil"/>
              <w:left w:val="single" w:sz="4" w:space="0" w:color="auto"/>
              <w:bottom w:val="nil"/>
              <w:right w:val="single" w:sz="4" w:space="0" w:color="auto"/>
            </w:tcBorders>
            <w:shd w:val="clear" w:color="000000" w:fill="FFFFFF"/>
            <w:noWrap/>
            <w:vAlign w:val="bottom"/>
            <w:hideMark/>
          </w:tcPr>
          <w:p w:rsidR="00EC20F5" w:rsidRPr="00EC20F5" w:rsidRDefault="00EC20F5" w:rsidP="00EC20F5">
            <w:pPr>
              <w:jc w:val="right"/>
              <w:rPr>
                <w:sz w:val="20"/>
                <w:szCs w:val="20"/>
              </w:rPr>
            </w:pPr>
            <w:r w:rsidRPr="00EC20F5">
              <w:rPr>
                <w:sz w:val="20"/>
                <w:szCs w:val="20"/>
              </w:rPr>
              <w:t>9.81%</w:t>
            </w:r>
          </w:p>
        </w:tc>
        <w:tc>
          <w:tcPr>
            <w:tcW w:w="1340" w:type="dxa"/>
            <w:tcBorders>
              <w:top w:val="nil"/>
              <w:left w:val="nil"/>
              <w:bottom w:val="nil"/>
              <w:right w:val="single" w:sz="4" w:space="0" w:color="auto"/>
            </w:tcBorders>
            <w:shd w:val="clear" w:color="000000" w:fill="FFFFFF"/>
            <w:noWrap/>
            <w:vAlign w:val="bottom"/>
            <w:hideMark/>
          </w:tcPr>
          <w:p w:rsidR="00EC20F5" w:rsidRPr="00EC20F5" w:rsidRDefault="00EC20F5" w:rsidP="00EC20F5">
            <w:pPr>
              <w:jc w:val="right"/>
              <w:rPr>
                <w:sz w:val="20"/>
                <w:szCs w:val="20"/>
              </w:rPr>
            </w:pPr>
            <w:r w:rsidRPr="00EC20F5">
              <w:rPr>
                <w:sz w:val="20"/>
                <w:szCs w:val="20"/>
              </w:rPr>
              <w:t>9.81%</w:t>
            </w:r>
          </w:p>
        </w:tc>
      </w:tr>
      <w:tr w:rsidR="00EC20F5" w:rsidRPr="00EC20F5" w:rsidTr="00EC20F5">
        <w:trPr>
          <w:trHeight w:val="255"/>
          <w:jc w:val="center"/>
        </w:trPr>
        <w:tc>
          <w:tcPr>
            <w:tcW w:w="3397" w:type="dxa"/>
            <w:tcBorders>
              <w:top w:val="nil"/>
              <w:left w:val="nil"/>
              <w:bottom w:val="nil"/>
              <w:right w:val="nil"/>
            </w:tcBorders>
            <w:shd w:val="clear" w:color="000000" w:fill="FFFFFF"/>
            <w:noWrap/>
            <w:vAlign w:val="bottom"/>
            <w:hideMark/>
          </w:tcPr>
          <w:p w:rsidR="00EC20F5" w:rsidRPr="00EC20F5" w:rsidRDefault="00EC20F5" w:rsidP="00EC20F5">
            <w:pPr>
              <w:jc w:val="left"/>
              <w:rPr>
                <w:sz w:val="20"/>
                <w:szCs w:val="20"/>
              </w:rPr>
            </w:pPr>
            <w:r w:rsidRPr="00EC20F5">
              <w:rPr>
                <w:sz w:val="20"/>
                <w:szCs w:val="20"/>
              </w:rPr>
              <w:t>Pre-Tax Return on Rate Base</w:t>
            </w:r>
          </w:p>
        </w:tc>
        <w:tc>
          <w:tcPr>
            <w:tcW w:w="266" w:type="dxa"/>
            <w:tcBorders>
              <w:top w:val="nil"/>
              <w:left w:val="nil"/>
              <w:bottom w:val="nil"/>
              <w:right w:val="nil"/>
            </w:tcBorders>
            <w:shd w:val="clear" w:color="000000" w:fill="FFFFFF"/>
            <w:noWrap/>
            <w:vAlign w:val="bottom"/>
            <w:hideMark/>
          </w:tcPr>
          <w:p w:rsidR="00EC20F5" w:rsidRPr="00EC20F5" w:rsidRDefault="00EC20F5" w:rsidP="00EC20F5">
            <w:pPr>
              <w:jc w:val="left"/>
              <w:rPr>
                <w:sz w:val="20"/>
                <w:szCs w:val="20"/>
              </w:rPr>
            </w:pPr>
            <w:r w:rsidRPr="00EC20F5">
              <w:rPr>
                <w:sz w:val="20"/>
                <w:szCs w:val="20"/>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C20F5" w:rsidRPr="00EC20F5" w:rsidRDefault="00EC20F5" w:rsidP="00EC20F5">
            <w:pPr>
              <w:jc w:val="right"/>
              <w:rPr>
                <w:sz w:val="20"/>
                <w:szCs w:val="20"/>
              </w:rPr>
            </w:pPr>
            <w:r w:rsidRPr="00EC20F5">
              <w:rPr>
                <w:sz w:val="20"/>
                <w:szCs w:val="20"/>
              </w:rPr>
              <w:t xml:space="preserve">$1,046,119 </w:t>
            </w:r>
          </w:p>
        </w:tc>
        <w:tc>
          <w:tcPr>
            <w:tcW w:w="1340" w:type="dxa"/>
            <w:tcBorders>
              <w:top w:val="single" w:sz="4" w:space="0" w:color="auto"/>
              <w:left w:val="nil"/>
              <w:bottom w:val="single" w:sz="4" w:space="0" w:color="auto"/>
              <w:right w:val="single" w:sz="4" w:space="0" w:color="auto"/>
            </w:tcBorders>
            <w:shd w:val="clear" w:color="000000" w:fill="FFFFFF"/>
            <w:noWrap/>
            <w:vAlign w:val="bottom"/>
            <w:hideMark/>
          </w:tcPr>
          <w:p w:rsidR="00EC20F5" w:rsidRPr="00EC20F5" w:rsidRDefault="00EC20F5" w:rsidP="00EC20F5">
            <w:pPr>
              <w:jc w:val="right"/>
              <w:rPr>
                <w:sz w:val="20"/>
                <w:szCs w:val="20"/>
              </w:rPr>
            </w:pPr>
            <w:r w:rsidRPr="00EC20F5">
              <w:rPr>
                <w:sz w:val="20"/>
                <w:szCs w:val="20"/>
              </w:rPr>
              <w:t xml:space="preserve">$120,332 </w:t>
            </w:r>
          </w:p>
        </w:tc>
      </w:tr>
      <w:tr w:rsidR="00EC20F5" w:rsidRPr="00EC20F5" w:rsidTr="00EC20F5">
        <w:trPr>
          <w:trHeight w:val="255"/>
          <w:jc w:val="center"/>
        </w:trPr>
        <w:tc>
          <w:tcPr>
            <w:tcW w:w="3397" w:type="dxa"/>
            <w:tcBorders>
              <w:top w:val="nil"/>
              <w:left w:val="nil"/>
              <w:bottom w:val="nil"/>
              <w:right w:val="nil"/>
            </w:tcBorders>
            <w:shd w:val="clear" w:color="000000" w:fill="FFFFFF"/>
            <w:noWrap/>
            <w:vAlign w:val="bottom"/>
            <w:hideMark/>
          </w:tcPr>
          <w:p w:rsidR="00EC20F5" w:rsidRPr="00EC20F5" w:rsidRDefault="00EC20F5" w:rsidP="00EC20F5">
            <w:pPr>
              <w:jc w:val="left"/>
              <w:rPr>
                <w:sz w:val="20"/>
                <w:szCs w:val="20"/>
              </w:rPr>
            </w:pPr>
            <w:r w:rsidRPr="00EC20F5">
              <w:rPr>
                <w:sz w:val="20"/>
                <w:szCs w:val="20"/>
              </w:rPr>
              <w:t> </w:t>
            </w:r>
          </w:p>
        </w:tc>
        <w:tc>
          <w:tcPr>
            <w:tcW w:w="266" w:type="dxa"/>
            <w:tcBorders>
              <w:top w:val="nil"/>
              <w:left w:val="nil"/>
              <w:bottom w:val="nil"/>
              <w:right w:val="nil"/>
            </w:tcBorders>
            <w:shd w:val="clear" w:color="000000" w:fill="FFFFFF"/>
            <w:noWrap/>
            <w:vAlign w:val="bottom"/>
            <w:hideMark/>
          </w:tcPr>
          <w:p w:rsidR="00EC20F5" w:rsidRPr="00EC20F5" w:rsidRDefault="00EC20F5" w:rsidP="00EC20F5">
            <w:pPr>
              <w:jc w:val="left"/>
              <w:rPr>
                <w:sz w:val="20"/>
                <w:szCs w:val="20"/>
              </w:rPr>
            </w:pPr>
            <w:r w:rsidRPr="00EC20F5">
              <w:rPr>
                <w:sz w:val="20"/>
                <w:szCs w:val="20"/>
              </w:rPr>
              <w:t> </w:t>
            </w:r>
          </w:p>
        </w:tc>
        <w:tc>
          <w:tcPr>
            <w:tcW w:w="1420" w:type="dxa"/>
            <w:tcBorders>
              <w:top w:val="nil"/>
              <w:left w:val="single" w:sz="4" w:space="0" w:color="auto"/>
              <w:bottom w:val="nil"/>
              <w:right w:val="single" w:sz="4" w:space="0" w:color="auto"/>
            </w:tcBorders>
            <w:shd w:val="clear" w:color="000000" w:fill="FFFFFF"/>
            <w:noWrap/>
            <w:vAlign w:val="bottom"/>
            <w:hideMark/>
          </w:tcPr>
          <w:p w:rsidR="00EC20F5" w:rsidRPr="00EC20F5" w:rsidRDefault="00EC20F5" w:rsidP="00EC20F5">
            <w:pPr>
              <w:jc w:val="left"/>
              <w:rPr>
                <w:sz w:val="20"/>
                <w:szCs w:val="20"/>
              </w:rPr>
            </w:pPr>
            <w:r w:rsidRPr="00EC20F5">
              <w:rPr>
                <w:sz w:val="20"/>
                <w:szCs w:val="20"/>
              </w:rPr>
              <w:t> </w:t>
            </w:r>
          </w:p>
        </w:tc>
        <w:tc>
          <w:tcPr>
            <w:tcW w:w="1340" w:type="dxa"/>
            <w:tcBorders>
              <w:top w:val="nil"/>
              <w:left w:val="nil"/>
              <w:bottom w:val="nil"/>
              <w:right w:val="single" w:sz="4" w:space="0" w:color="auto"/>
            </w:tcBorders>
            <w:shd w:val="clear" w:color="000000" w:fill="FFFFFF"/>
            <w:noWrap/>
            <w:vAlign w:val="bottom"/>
            <w:hideMark/>
          </w:tcPr>
          <w:p w:rsidR="00EC20F5" w:rsidRPr="00EC20F5" w:rsidRDefault="00EC20F5" w:rsidP="00EC20F5">
            <w:pPr>
              <w:jc w:val="left"/>
              <w:rPr>
                <w:sz w:val="20"/>
                <w:szCs w:val="20"/>
              </w:rPr>
            </w:pPr>
            <w:r w:rsidRPr="00EC20F5">
              <w:rPr>
                <w:sz w:val="20"/>
                <w:szCs w:val="20"/>
              </w:rPr>
              <w:t> </w:t>
            </w:r>
          </w:p>
        </w:tc>
      </w:tr>
      <w:tr w:rsidR="00EC20F5" w:rsidRPr="00EC20F5" w:rsidTr="00EC20F5">
        <w:trPr>
          <w:trHeight w:val="255"/>
          <w:jc w:val="center"/>
        </w:trPr>
        <w:tc>
          <w:tcPr>
            <w:tcW w:w="3397" w:type="dxa"/>
            <w:tcBorders>
              <w:top w:val="nil"/>
              <w:left w:val="nil"/>
              <w:bottom w:val="nil"/>
              <w:right w:val="nil"/>
            </w:tcBorders>
            <w:shd w:val="clear" w:color="000000" w:fill="FFFFFF"/>
            <w:noWrap/>
            <w:vAlign w:val="bottom"/>
            <w:hideMark/>
          </w:tcPr>
          <w:p w:rsidR="00EC20F5" w:rsidRPr="00EC20F5" w:rsidRDefault="00EC20F5" w:rsidP="00EC20F5">
            <w:pPr>
              <w:jc w:val="left"/>
              <w:rPr>
                <w:sz w:val="20"/>
                <w:szCs w:val="20"/>
              </w:rPr>
            </w:pPr>
            <w:r w:rsidRPr="00EC20F5">
              <w:rPr>
                <w:sz w:val="20"/>
                <w:szCs w:val="20"/>
              </w:rPr>
              <w:t>Operation &amp; Maintenance (Ongoing)</w:t>
            </w:r>
          </w:p>
        </w:tc>
        <w:tc>
          <w:tcPr>
            <w:tcW w:w="266" w:type="dxa"/>
            <w:tcBorders>
              <w:top w:val="nil"/>
              <w:left w:val="nil"/>
              <w:bottom w:val="nil"/>
              <w:right w:val="nil"/>
            </w:tcBorders>
            <w:shd w:val="clear" w:color="000000" w:fill="FFFFFF"/>
            <w:noWrap/>
            <w:vAlign w:val="bottom"/>
            <w:hideMark/>
          </w:tcPr>
          <w:p w:rsidR="00EC20F5" w:rsidRPr="00EC20F5" w:rsidRDefault="00EC20F5" w:rsidP="00EC20F5">
            <w:pPr>
              <w:jc w:val="left"/>
              <w:rPr>
                <w:sz w:val="20"/>
                <w:szCs w:val="20"/>
              </w:rPr>
            </w:pPr>
            <w:r w:rsidRPr="00EC20F5">
              <w:rPr>
                <w:sz w:val="20"/>
                <w:szCs w:val="20"/>
              </w:rPr>
              <w:t> </w:t>
            </w:r>
          </w:p>
        </w:tc>
        <w:tc>
          <w:tcPr>
            <w:tcW w:w="1420" w:type="dxa"/>
            <w:tcBorders>
              <w:top w:val="nil"/>
              <w:left w:val="single" w:sz="4" w:space="0" w:color="auto"/>
              <w:bottom w:val="nil"/>
              <w:right w:val="single" w:sz="4" w:space="0" w:color="auto"/>
            </w:tcBorders>
            <w:shd w:val="clear" w:color="000000" w:fill="FFFFFF"/>
            <w:noWrap/>
            <w:vAlign w:val="bottom"/>
            <w:hideMark/>
          </w:tcPr>
          <w:p w:rsidR="00EC20F5" w:rsidRPr="00EC20F5" w:rsidRDefault="00EC20F5" w:rsidP="00EC20F5">
            <w:pPr>
              <w:jc w:val="right"/>
              <w:rPr>
                <w:sz w:val="20"/>
                <w:szCs w:val="20"/>
              </w:rPr>
            </w:pPr>
            <w:r w:rsidRPr="00EC20F5">
              <w:rPr>
                <w:sz w:val="20"/>
                <w:szCs w:val="20"/>
              </w:rPr>
              <w:t xml:space="preserve">$1,829,872 </w:t>
            </w:r>
          </w:p>
        </w:tc>
        <w:tc>
          <w:tcPr>
            <w:tcW w:w="1340" w:type="dxa"/>
            <w:tcBorders>
              <w:top w:val="nil"/>
              <w:left w:val="nil"/>
              <w:bottom w:val="nil"/>
              <w:right w:val="single" w:sz="4" w:space="0" w:color="auto"/>
            </w:tcBorders>
            <w:shd w:val="clear" w:color="000000" w:fill="FFFFFF"/>
            <w:noWrap/>
            <w:vAlign w:val="bottom"/>
            <w:hideMark/>
          </w:tcPr>
          <w:p w:rsidR="00EC20F5" w:rsidRPr="00EC20F5" w:rsidRDefault="00EC20F5" w:rsidP="00EC20F5">
            <w:pPr>
              <w:jc w:val="right"/>
              <w:rPr>
                <w:sz w:val="20"/>
                <w:szCs w:val="20"/>
              </w:rPr>
            </w:pPr>
            <w:r w:rsidRPr="00EC20F5">
              <w:rPr>
                <w:sz w:val="20"/>
                <w:szCs w:val="20"/>
              </w:rPr>
              <w:t xml:space="preserve">$150,141 </w:t>
            </w:r>
          </w:p>
        </w:tc>
      </w:tr>
      <w:tr w:rsidR="00EC20F5" w:rsidRPr="00EC20F5" w:rsidTr="00EC20F5">
        <w:trPr>
          <w:trHeight w:val="255"/>
          <w:jc w:val="center"/>
        </w:trPr>
        <w:tc>
          <w:tcPr>
            <w:tcW w:w="3397" w:type="dxa"/>
            <w:tcBorders>
              <w:top w:val="nil"/>
              <w:left w:val="nil"/>
              <w:bottom w:val="nil"/>
              <w:right w:val="nil"/>
            </w:tcBorders>
            <w:shd w:val="clear" w:color="000000" w:fill="FFFFFF"/>
            <w:noWrap/>
            <w:vAlign w:val="bottom"/>
            <w:hideMark/>
          </w:tcPr>
          <w:p w:rsidR="00EC20F5" w:rsidRPr="00EC20F5" w:rsidRDefault="00EC20F5" w:rsidP="00EC20F5">
            <w:pPr>
              <w:jc w:val="left"/>
              <w:rPr>
                <w:sz w:val="20"/>
                <w:szCs w:val="20"/>
              </w:rPr>
            </w:pPr>
            <w:r w:rsidRPr="00EC20F5">
              <w:rPr>
                <w:sz w:val="20"/>
                <w:szCs w:val="20"/>
              </w:rPr>
              <w:t>Depreciation</w:t>
            </w:r>
          </w:p>
        </w:tc>
        <w:tc>
          <w:tcPr>
            <w:tcW w:w="266" w:type="dxa"/>
            <w:tcBorders>
              <w:top w:val="nil"/>
              <w:left w:val="nil"/>
              <w:bottom w:val="nil"/>
              <w:right w:val="nil"/>
            </w:tcBorders>
            <w:shd w:val="clear" w:color="000000" w:fill="FFFFFF"/>
            <w:noWrap/>
            <w:vAlign w:val="bottom"/>
            <w:hideMark/>
          </w:tcPr>
          <w:p w:rsidR="00EC20F5" w:rsidRPr="00EC20F5" w:rsidRDefault="00EC20F5" w:rsidP="00EC20F5">
            <w:pPr>
              <w:jc w:val="left"/>
              <w:rPr>
                <w:sz w:val="20"/>
                <w:szCs w:val="20"/>
              </w:rPr>
            </w:pPr>
            <w:r w:rsidRPr="00EC20F5">
              <w:rPr>
                <w:sz w:val="20"/>
                <w:szCs w:val="20"/>
              </w:rPr>
              <w:t> </w:t>
            </w:r>
          </w:p>
        </w:tc>
        <w:tc>
          <w:tcPr>
            <w:tcW w:w="1420" w:type="dxa"/>
            <w:tcBorders>
              <w:top w:val="nil"/>
              <w:left w:val="single" w:sz="4" w:space="0" w:color="auto"/>
              <w:bottom w:val="nil"/>
              <w:right w:val="single" w:sz="4" w:space="0" w:color="auto"/>
            </w:tcBorders>
            <w:shd w:val="clear" w:color="000000" w:fill="FFFFFF"/>
            <w:noWrap/>
            <w:vAlign w:val="bottom"/>
            <w:hideMark/>
          </w:tcPr>
          <w:p w:rsidR="00EC20F5" w:rsidRPr="00EC20F5" w:rsidRDefault="00EC20F5" w:rsidP="00EC20F5">
            <w:pPr>
              <w:jc w:val="right"/>
              <w:rPr>
                <w:sz w:val="20"/>
                <w:szCs w:val="20"/>
              </w:rPr>
            </w:pPr>
            <w:r w:rsidRPr="00EC20F5">
              <w:rPr>
                <w:sz w:val="20"/>
                <w:szCs w:val="20"/>
              </w:rPr>
              <w:t xml:space="preserve">$1,801,185 </w:t>
            </w:r>
          </w:p>
        </w:tc>
        <w:tc>
          <w:tcPr>
            <w:tcW w:w="1340" w:type="dxa"/>
            <w:tcBorders>
              <w:top w:val="nil"/>
              <w:left w:val="nil"/>
              <w:bottom w:val="nil"/>
              <w:right w:val="single" w:sz="4" w:space="0" w:color="auto"/>
            </w:tcBorders>
            <w:shd w:val="clear" w:color="000000" w:fill="FFFFFF"/>
            <w:noWrap/>
            <w:vAlign w:val="bottom"/>
            <w:hideMark/>
          </w:tcPr>
          <w:p w:rsidR="00EC20F5" w:rsidRPr="00EC20F5" w:rsidRDefault="00EC20F5" w:rsidP="00EC20F5">
            <w:pPr>
              <w:jc w:val="right"/>
              <w:rPr>
                <w:sz w:val="20"/>
                <w:szCs w:val="20"/>
              </w:rPr>
            </w:pPr>
            <w:r w:rsidRPr="00EC20F5">
              <w:rPr>
                <w:sz w:val="20"/>
                <w:szCs w:val="20"/>
              </w:rPr>
              <w:t xml:space="preserve">$228,886 </w:t>
            </w:r>
          </w:p>
        </w:tc>
      </w:tr>
      <w:tr w:rsidR="00EC20F5" w:rsidRPr="00EC20F5" w:rsidTr="00EC20F5">
        <w:trPr>
          <w:trHeight w:val="255"/>
          <w:jc w:val="center"/>
        </w:trPr>
        <w:tc>
          <w:tcPr>
            <w:tcW w:w="3397" w:type="dxa"/>
            <w:tcBorders>
              <w:top w:val="nil"/>
              <w:left w:val="nil"/>
              <w:bottom w:val="nil"/>
              <w:right w:val="nil"/>
            </w:tcBorders>
            <w:shd w:val="clear" w:color="000000" w:fill="FFFFFF"/>
            <w:noWrap/>
            <w:vAlign w:val="bottom"/>
            <w:hideMark/>
          </w:tcPr>
          <w:p w:rsidR="00EC20F5" w:rsidRPr="00EC20F5" w:rsidRDefault="00EC20F5" w:rsidP="00EC20F5">
            <w:pPr>
              <w:jc w:val="left"/>
              <w:rPr>
                <w:color w:val="000000"/>
                <w:sz w:val="20"/>
                <w:szCs w:val="20"/>
              </w:rPr>
            </w:pPr>
            <w:r w:rsidRPr="00EC20F5">
              <w:rPr>
                <w:color w:val="000000"/>
                <w:sz w:val="20"/>
                <w:szCs w:val="20"/>
              </w:rPr>
              <w:t>Total Expenses</w:t>
            </w:r>
          </w:p>
        </w:tc>
        <w:tc>
          <w:tcPr>
            <w:tcW w:w="266" w:type="dxa"/>
            <w:tcBorders>
              <w:top w:val="nil"/>
              <w:left w:val="nil"/>
              <w:bottom w:val="nil"/>
              <w:right w:val="nil"/>
            </w:tcBorders>
            <w:shd w:val="clear" w:color="000000" w:fill="FFFFFF"/>
            <w:noWrap/>
            <w:vAlign w:val="bottom"/>
            <w:hideMark/>
          </w:tcPr>
          <w:p w:rsidR="00EC20F5" w:rsidRPr="00EC20F5" w:rsidRDefault="00EC20F5" w:rsidP="00EC20F5">
            <w:pPr>
              <w:jc w:val="left"/>
              <w:rPr>
                <w:sz w:val="20"/>
                <w:szCs w:val="20"/>
              </w:rPr>
            </w:pPr>
            <w:r w:rsidRPr="00EC20F5">
              <w:rPr>
                <w:sz w:val="20"/>
                <w:szCs w:val="20"/>
              </w:rPr>
              <w:t> </w:t>
            </w:r>
          </w:p>
        </w:tc>
        <w:tc>
          <w:tcPr>
            <w:tcW w:w="14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C20F5" w:rsidRPr="00EC20F5" w:rsidRDefault="00EC20F5" w:rsidP="00EC20F5">
            <w:pPr>
              <w:jc w:val="right"/>
              <w:rPr>
                <w:sz w:val="20"/>
                <w:szCs w:val="20"/>
              </w:rPr>
            </w:pPr>
            <w:r w:rsidRPr="00EC20F5">
              <w:rPr>
                <w:sz w:val="20"/>
                <w:szCs w:val="20"/>
              </w:rPr>
              <w:t xml:space="preserve">$3,631,057 </w:t>
            </w:r>
          </w:p>
        </w:tc>
        <w:tc>
          <w:tcPr>
            <w:tcW w:w="1340" w:type="dxa"/>
            <w:tcBorders>
              <w:top w:val="single" w:sz="4" w:space="0" w:color="auto"/>
              <w:left w:val="nil"/>
              <w:bottom w:val="single" w:sz="4" w:space="0" w:color="auto"/>
              <w:right w:val="single" w:sz="4" w:space="0" w:color="auto"/>
            </w:tcBorders>
            <w:shd w:val="clear" w:color="000000" w:fill="FFFFFF"/>
            <w:noWrap/>
            <w:vAlign w:val="bottom"/>
            <w:hideMark/>
          </w:tcPr>
          <w:p w:rsidR="00EC20F5" w:rsidRPr="00EC20F5" w:rsidRDefault="00EC20F5" w:rsidP="00EC20F5">
            <w:pPr>
              <w:jc w:val="right"/>
              <w:rPr>
                <w:sz w:val="20"/>
                <w:szCs w:val="20"/>
              </w:rPr>
            </w:pPr>
            <w:r w:rsidRPr="00EC20F5">
              <w:rPr>
                <w:sz w:val="20"/>
                <w:szCs w:val="20"/>
              </w:rPr>
              <w:t xml:space="preserve">$379,027 </w:t>
            </w:r>
          </w:p>
        </w:tc>
      </w:tr>
      <w:tr w:rsidR="00EC20F5" w:rsidRPr="00EC20F5" w:rsidTr="00EC20F5">
        <w:trPr>
          <w:trHeight w:val="90"/>
          <w:jc w:val="center"/>
        </w:trPr>
        <w:tc>
          <w:tcPr>
            <w:tcW w:w="3397" w:type="dxa"/>
            <w:tcBorders>
              <w:top w:val="nil"/>
              <w:left w:val="nil"/>
              <w:bottom w:val="nil"/>
              <w:right w:val="nil"/>
            </w:tcBorders>
            <w:shd w:val="clear" w:color="000000" w:fill="FFFFFF"/>
            <w:noWrap/>
            <w:vAlign w:val="bottom"/>
            <w:hideMark/>
          </w:tcPr>
          <w:p w:rsidR="00EC20F5" w:rsidRPr="00EC20F5" w:rsidRDefault="00EC20F5" w:rsidP="00EC20F5">
            <w:pPr>
              <w:jc w:val="left"/>
              <w:rPr>
                <w:sz w:val="20"/>
                <w:szCs w:val="20"/>
              </w:rPr>
            </w:pPr>
            <w:r w:rsidRPr="00EC20F5">
              <w:rPr>
                <w:sz w:val="20"/>
                <w:szCs w:val="20"/>
              </w:rPr>
              <w:t> </w:t>
            </w:r>
          </w:p>
        </w:tc>
        <w:tc>
          <w:tcPr>
            <w:tcW w:w="266" w:type="dxa"/>
            <w:tcBorders>
              <w:top w:val="nil"/>
              <w:left w:val="nil"/>
              <w:bottom w:val="nil"/>
              <w:right w:val="nil"/>
            </w:tcBorders>
            <w:shd w:val="clear" w:color="000000" w:fill="FFFFFF"/>
            <w:noWrap/>
            <w:vAlign w:val="bottom"/>
            <w:hideMark/>
          </w:tcPr>
          <w:p w:rsidR="00EC20F5" w:rsidRPr="00EC20F5" w:rsidRDefault="00EC20F5" w:rsidP="00EC20F5">
            <w:pPr>
              <w:jc w:val="left"/>
              <w:rPr>
                <w:sz w:val="20"/>
                <w:szCs w:val="20"/>
              </w:rPr>
            </w:pPr>
            <w:r w:rsidRPr="00EC20F5">
              <w:rPr>
                <w:sz w:val="20"/>
                <w:szCs w:val="20"/>
              </w:rPr>
              <w:t> </w:t>
            </w:r>
          </w:p>
        </w:tc>
        <w:tc>
          <w:tcPr>
            <w:tcW w:w="1420" w:type="dxa"/>
            <w:tcBorders>
              <w:top w:val="nil"/>
              <w:left w:val="nil"/>
              <w:bottom w:val="nil"/>
              <w:right w:val="nil"/>
            </w:tcBorders>
            <w:shd w:val="clear" w:color="000000" w:fill="FFFFFF"/>
            <w:noWrap/>
            <w:vAlign w:val="bottom"/>
            <w:hideMark/>
          </w:tcPr>
          <w:p w:rsidR="00EC20F5" w:rsidRPr="00EC20F5" w:rsidRDefault="00EC20F5" w:rsidP="00EC20F5">
            <w:pPr>
              <w:jc w:val="left"/>
              <w:rPr>
                <w:sz w:val="20"/>
                <w:szCs w:val="20"/>
              </w:rPr>
            </w:pPr>
            <w:r w:rsidRPr="00EC20F5">
              <w:rPr>
                <w:sz w:val="20"/>
                <w:szCs w:val="20"/>
              </w:rPr>
              <w:t> </w:t>
            </w:r>
          </w:p>
        </w:tc>
        <w:tc>
          <w:tcPr>
            <w:tcW w:w="1340" w:type="dxa"/>
            <w:tcBorders>
              <w:top w:val="nil"/>
              <w:left w:val="nil"/>
              <w:bottom w:val="nil"/>
              <w:right w:val="nil"/>
            </w:tcBorders>
            <w:shd w:val="clear" w:color="000000" w:fill="FFFFFF"/>
            <w:noWrap/>
            <w:vAlign w:val="bottom"/>
            <w:hideMark/>
          </w:tcPr>
          <w:p w:rsidR="00EC20F5" w:rsidRPr="00EC20F5" w:rsidRDefault="00EC20F5" w:rsidP="00EC20F5">
            <w:pPr>
              <w:jc w:val="left"/>
              <w:rPr>
                <w:sz w:val="20"/>
                <w:szCs w:val="20"/>
              </w:rPr>
            </w:pPr>
            <w:r w:rsidRPr="00EC20F5">
              <w:rPr>
                <w:sz w:val="20"/>
                <w:szCs w:val="20"/>
              </w:rPr>
              <w:t> </w:t>
            </w:r>
          </w:p>
        </w:tc>
      </w:tr>
      <w:tr w:rsidR="00EC20F5" w:rsidRPr="00EC20F5" w:rsidTr="00EC20F5">
        <w:trPr>
          <w:trHeight w:val="270"/>
          <w:jc w:val="center"/>
        </w:trPr>
        <w:tc>
          <w:tcPr>
            <w:tcW w:w="3397" w:type="dxa"/>
            <w:tcBorders>
              <w:top w:val="nil"/>
              <w:left w:val="nil"/>
              <w:bottom w:val="nil"/>
              <w:right w:val="nil"/>
            </w:tcBorders>
            <w:shd w:val="clear" w:color="000000" w:fill="FFFFFF"/>
            <w:noWrap/>
            <w:vAlign w:val="bottom"/>
            <w:hideMark/>
          </w:tcPr>
          <w:p w:rsidR="00EC20F5" w:rsidRPr="00EC20F5" w:rsidRDefault="00EC20F5" w:rsidP="00EC20F5">
            <w:pPr>
              <w:jc w:val="left"/>
              <w:rPr>
                <w:b/>
                <w:bCs/>
                <w:sz w:val="20"/>
                <w:szCs w:val="20"/>
              </w:rPr>
            </w:pPr>
            <w:r w:rsidRPr="00EC20F5">
              <w:rPr>
                <w:b/>
                <w:bCs/>
                <w:sz w:val="20"/>
                <w:szCs w:val="20"/>
              </w:rPr>
              <w:t>Total EIM Costs</w:t>
            </w:r>
            <w:r>
              <w:rPr>
                <w:b/>
                <w:bCs/>
                <w:sz w:val="20"/>
                <w:szCs w:val="20"/>
              </w:rPr>
              <w:t xml:space="preserve"> (before revenue sensitive items)</w:t>
            </w:r>
          </w:p>
        </w:tc>
        <w:tc>
          <w:tcPr>
            <w:tcW w:w="266" w:type="dxa"/>
            <w:tcBorders>
              <w:top w:val="nil"/>
              <w:left w:val="nil"/>
              <w:bottom w:val="nil"/>
              <w:right w:val="nil"/>
            </w:tcBorders>
            <w:shd w:val="clear" w:color="000000" w:fill="FFFFFF"/>
            <w:noWrap/>
            <w:vAlign w:val="bottom"/>
            <w:hideMark/>
          </w:tcPr>
          <w:p w:rsidR="00EC20F5" w:rsidRPr="00EC20F5" w:rsidRDefault="00EC20F5" w:rsidP="00EC20F5">
            <w:pPr>
              <w:jc w:val="left"/>
              <w:rPr>
                <w:b/>
                <w:bCs/>
                <w:sz w:val="20"/>
                <w:szCs w:val="20"/>
              </w:rPr>
            </w:pPr>
            <w:r w:rsidRPr="00EC20F5">
              <w:rPr>
                <w:b/>
                <w:bCs/>
                <w:sz w:val="20"/>
                <w:szCs w:val="20"/>
              </w:rPr>
              <w:t> </w:t>
            </w:r>
          </w:p>
        </w:tc>
        <w:tc>
          <w:tcPr>
            <w:tcW w:w="1420" w:type="dxa"/>
            <w:tcBorders>
              <w:top w:val="single" w:sz="4" w:space="0" w:color="auto"/>
              <w:left w:val="nil"/>
              <w:bottom w:val="double" w:sz="6" w:space="0" w:color="auto"/>
              <w:right w:val="nil"/>
            </w:tcBorders>
            <w:shd w:val="clear" w:color="000000" w:fill="FFFFFF"/>
            <w:noWrap/>
            <w:vAlign w:val="bottom"/>
            <w:hideMark/>
          </w:tcPr>
          <w:p w:rsidR="00EC20F5" w:rsidRPr="00EC20F5" w:rsidRDefault="00EC20F5" w:rsidP="00EC20F5">
            <w:pPr>
              <w:jc w:val="right"/>
              <w:rPr>
                <w:b/>
                <w:bCs/>
                <w:sz w:val="20"/>
                <w:szCs w:val="20"/>
              </w:rPr>
            </w:pPr>
            <w:r w:rsidRPr="00EC20F5">
              <w:rPr>
                <w:b/>
                <w:bCs/>
                <w:sz w:val="20"/>
                <w:szCs w:val="20"/>
              </w:rPr>
              <w:t xml:space="preserve">$4,677,176 </w:t>
            </w:r>
          </w:p>
        </w:tc>
        <w:tc>
          <w:tcPr>
            <w:tcW w:w="1340" w:type="dxa"/>
            <w:tcBorders>
              <w:top w:val="single" w:sz="4" w:space="0" w:color="auto"/>
              <w:left w:val="nil"/>
              <w:bottom w:val="double" w:sz="6" w:space="0" w:color="auto"/>
              <w:right w:val="nil"/>
            </w:tcBorders>
            <w:shd w:val="clear" w:color="000000" w:fill="FFFFFF"/>
            <w:noWrap/>
            <w:vAlign w:val="bottom"/>
            <w:hideMark/>
          </w:tcPr>
          <w:p w:rsidR="00EC20F5" w:rsidRPr="00EC20F5" w:rsidRDefault="00EC20F5" w:rsidP="00EC20F5">
            <w:pPr>
              <w:jc w:val="right"/>
              <w:rPr>
                <w:b/>
                <w:bCs/>
                <w:sz w:val="20"/>
                <w:szCs w:val="20"/>
              </w:rPr>
            </w:pPr>
            <w:r w:rsidRPr="00EC20F5">
              <w:rPr>
                <w:b/>
                <w:bCs/>
                <w:sz w:val="20"/>
                <w:szCs w:val="20"/>
              </w:rPr>
              <w:t xml:space="preserve">$499,358 </w:t>
            </w:r>
          </w:p>
        </w:tc>
      </w:tr>
    </w:tbl>
    <w:p w:rsidR="00EC20F5" w:rsidRPr="00EC20F5" w:rsidRDefault="00EC20F5" w:rsidP="00EC20F5">
      <w:pPr>
        <w:pStyle w:val="Answer"/>
        <w:suppressLineNumbers/>
        <w:jc w:val="center"/>
        <w:rPr>
          <w:b/>
        </w:rPr>
      </w:pPr>
    </w:p>
    <w:p w:rsidR="00E87138" w:rsidRPr="00CF189B" w:rsidRDefault="00095F6B" w:rsidP="00E87138">
      <w:pPr>
        <w:pStyle w:val="Heading2"/>
        <w:rPr>
          <w:color w:val="000000" w:themeColor="text1"/>
        </w:rPr>
      </w:pPr>
      <w:bookmarkStart w:id="9" w:name="_Toc447729287"/>
      <w:r>
        <w:rPr>
          <w:color w:val="000000" w:themeColor="text1"/>
        </w:rPr>
        <w:t>Labor</w:t>
      </w:r>
      <w:r w:rsidR="00E87138">
        <w:rPr>
          <w:color w:val="000000" w:themeColor="text1"/>
        </w:rPr>
        <w:t xml:space="preserve"> and </w:t>
      </w:r>
      <w:r>
        <w:rPr>
          <w:color w:val="000000" w:themeColor="text1"/>
        </w:rPr>
        <w:t>Benefits</w:t>
      </w:r>
      <w:bookmarkEnd w:id="9"/>
      <w:r w:rsidR="00E87138">
        <w:rPr>
          <w:color w:val="000000" w:themeColor="text1"/>
        </w:rPr>
        <w:t xml:space="preserve"> </w:t>
      </w:r>
    </w:p>
    <w:p w:rsidR="00E87138" w:rsidRPr="00CF189B" w:rsidRDefault="00E87138" w:rsidP="00E87138">
      <w:pPr>
        <w:pStyle w:val="Question"/>
        <w:jc w:val="left"/>
        <w:rPr>
          <w:rStyle w:val="Strong"/>
          <w:b/>
          <w:color w:val="000000" w:themeColor="text1"/>
        </w:rPr>
      </w:pPr>
      <w:r w:rsidRPr="00CF189B">
        <w:rPr>
          <w:rStyle w:val="Strong"/>
          <w:b/>
          <w:color w:val="000000" w:themeColor="text1"/>
        </w:rPr>
        <w:t>Q.</w:t>
      </w:r>
      <w:r w:rsidRPr="00CF189B">
        <w:rPr>
          <w:rStyle w:val="Strong"/>
          <w:b/>
          <w:color w:val="000000" w:themeColor="text1"/>
        </w:rPr>
        <w:tab/>
        <w:t xml:space="preserve">Please summarize Public Counsel’s position regarding the Company’s proposed </w:t>
      </w:r>
      <w:r>
        <w:rPr>
          <w:rStyle w:val="Strong"/>
          <w:b/>
          <w:color w:val="000000" w:themeColor="text1"/>
        </w:rPr>
        <w:t>labor</w:t>
      </w:r>
      <w:r w:rsidR="00095F6B">
        <w:rPr>
          <w:rStyle w:val="Strong"/>
          <w:b/>
          <w:color w:val="000000" w:themeColor="text1"/>
        </w:rPr>
        <w:t xml:space="preserve"> and benefit</w:t>
      </w:r>
      <w:r>
        <w:rPr>
          <w:rStyle w:val="Strong"/>
          <w:b/>
          <w:color w:val="000000" w:themeColor="text1"/>
        </w:rPr>
        <w:t xml:space="preserve"> adjustments.</w:t>
      </w:r>
    </w:p>
    <w:p w:rsidR="00E87138" w:rsidRPr="00CF189B" w:rsidRDefault="00E87138" w:rsidP="00E87138">
      <w:pPr>
        <w:pStyle w:val="Answer"/>
        <w:jc w:val="left"/>
        <w:rPr>
          <w:color w:val="000000" w:themeColor="text1"/>
        </w:rPr>
      </w:pPr>
      <w:r w:rsidRPr="00CF189B">
        <w:rPr>
          <w:color w:val="000000" w:themeColor="text1"/>
        </w:rPr>
        <w:t>A.</w:t>
      </w:r>
      <w:r w:rsidRPr="00CF189B">
        <w:rPr>
          <w:color w:val="000000" w:themeColor="text1"/>
        </w:rPr>
        <w:tab/>
        <w:t xml:space="preserve">Public Counsel recommends several modifications to the Company’s proposed </w:t>
      </w:r>
      <w:r w:rsidR="005570CB">
        <w:rPr>
          <w:color w:val="000000" w:themeColor="text1"/>
        </w:rPr>
        <w:t>labor costs</w:t>
      </w:r>
      <w:r w:rsidRPr="00CF189B">
        <w:rPr>
          <w:color w:val="000000" w:themeColor="text1"/>
        </w:rPr>
        <w:t xml:space="preserve">.  Specifically, Public Counsel recommends: </w:t>
      </w:r>
    </w:p>
    <w:p w:rsidR="00E87138" w:rsidRPr="00CF189B" w:rsidRDefault="00E87138" w:rsidP="00E87138">
      <w:pPr>
        <w:pStyle w:val="Answer"/>
        <w:numPr>
          <w:ilvl w:val="0"/>
          <w:numId w:val="18"/>
        </w:numPr>
        <w:ind w:left="1080"/>
        <w:jc w:val="left"/>
        <w:rPr>
          <w:b/>
          <w:bCs/>
          <w:color w:val="000000" w:themeColor="text1"/>
        </w:rPr>
      </w:pPr>
      <w:r w:rsidRPr="00CF189B">
        <w:rPr>
          <w:color w:val="000000" w:themeColor="text1"/>
        </w:rPr>
        <w:t>Reducing full-time-equivalent (FTE) employees (and associated costs) to reflect the actual FTE employee level as of December 2015</w:t>
      </w:r>
      <w:r>
        <w:rPr>
          <w:color w:val="000000" w:themeColor="text1"/>
        </w:rPr>
        <w:t>.</w:t>
      </w:r>
      <w:r w:rsidR="005570CB">
        <w:rPr>
          <w:rStyle w:val="FootnoteReference"/>
          <w:color w:val="000000" w:themeColor="text1"/>
        </w:rPr>
        <w:footnoteReference w:id="7"/>
      </w:r>
    </w:p>
    <w:p w:rsidR="00E87138" w:rsidRPr="00CF189B" w:rsidRDefault="00E87138" w:rsidP="00E87138">
      <w:pPr>
        <w:pStyle w:val="Answer"/>
        <w:numPr>
          <w:ilvl w:val="0"/>
          <w:numId w:val="18"/>
        </w:numPr>
        <w:ind w:left="1080"/>
        <w:jc w:val="left"/>
        <w:rPr>
          <w:b/>
          <w:bCs/>
          <w:color w:val="000000" w:themeColor="text1"/>
        </w:rPr>
      </w:pPr>
      <w:r w:rsidRPr="00CF189B">
        <w:rPr>
          <w:color w:val="000000" w:themeColor="text1"/>
        </w:rPr>
        <w:t>Reducing pension and post-retirement benefits other than pension (PBOP)</w:t>
      </w:r>
      <w:r>
        <w:rPr>
          <w:rStyle w:val="FootnoteReference"/>
          <w:color w:val="000000" w:themeColor="text1"/>
        </w:rPr>
        <w:footnoteReference w:id="8"/>
      </w:r>
      <w:r w:rsidRPr="00CF189B">
        <w:rPr>
          <w:color w:val="000000" w:themeColor="text1"/>
        </w:rPr>
        <w:t xml:space="preserve"> expenses to reflect information provided by the Company through discovery.</w:t>
      </w:r>
      <w:r w:rsidR="005570CB">
        <w:rPr>
          <w:rStyle w:val="FootnoteReference"/>
          <w:color w:val="000000" w:themeColor="text1"/>
        </w:rPr>
        <w:footnoteReference w:id="9"/>
      </w:r>
    </w:p>
    <w:p w:rsidR="00E87138" w:rsidRPr="00CF189B" w:rsidRDefault="00E87138" w:rsidP="00E87138">
      <w:pPr>
        <w:pStyle w:val="Answer"/>
        <w:numPr>
          <w:ilvl w:val="0"/>
          <w:numId w:val="18"/>
        </w:numPr>
        <w:ind w:left="1080"/>
        <w:jc w:val="left"/>
        <w:rPr>
          <w:b/>
          <w:bCs/>
          <w:color w:val="000000" w:themeColor="text1"/>
        </w:rPr>
      </w:pPr>
      <w:r w:rsidRPr="00CF189B">
        <w:rPr>
          <w:bCs/>
          <w:color w:val="000000" w:themeColor="text1"/>
        </w:rPr>
        <w:t>Normalization of other salary overheads by averaging calendar year 2014 and calendar year 2015 expenses.</w:t>
      </w:r>
      <w:r w:rsidR="003768E5">
        <w:rPr>
          <w:rStyle w:val="FootnoteReference"/>
          <w:bCs/>
          <w:color w:val="000000" w:themeColor="text1"/>
        </w:rPr>
        <w:footnoteReference w:id="10"/>
      </w:r>
    </w:p>
    <w:p w:rsidR="00E87138" w:rsidRPr="0058142C" w:rsidRDefault="00E87138" w:rsidP="00E87138">
      <w:pPr>
        <w:pStyle w:val="Answer"/>
        <w:widowControl w:val="0"/>
        <w:jc w:val="left"/>
        <w:rPr>
          <w:rStyle w:val="Strong"/>
          <w:color w:val="000000" w:themeColor="text1"/>
        </w:rPr>
      </w:pPr>
      <w:r w:rsidRPr="00CF189B">
        <w:rPr>
          <w:rStyle w:val="Strong"/>
          <w:color w:val="000000" w:themeColor="text1"/>
        </w:rPr>
        <w:t>Q.</w:t>
      </w:r>
      <w:r w:rsidRPr="00CF189B">
        <w:rPr>
          <w:rStyle w:val="Strong"/>
          <w:color w:val="000000" w:themeColor="text1"/>
        </w:rPr>
        <w:tab/>
      </w:r>
      <w:r w:rsidRPr="0058142C">
        <w:rPr>
          <w:rStyle w:val="Strong"/>
          <w:color w:val="000000" w:themeColor="text1"/>
        </w:rPr>
        <w:t>What is the Company’s position on Public Counsel’s recommendation regarding FTE levels?</w:t>
      </w:r>
    </w:p>
    <w:p w:rsidR="00E87138" w:rsidRDefault="00E87138" w:rsidP="00E87138">
      <w:pPr>
        <w:pStyle w:val="Answer"/>
        <w:jc w:val="left"/>
        <w:rPr>
          <w:color w:val="000000" w:themeColor="text1"/>
        </w:rPr>
      </w:pPr>
      <w:r w:rsidRPr="0058142C">
        <w:rPr>
          <w:rStyle w:val="Strong"/>
          <w:b w:val="0"/>
          <w:color w:val="000000" w:themeColor="text1"/>
        </w:rPr>
        <w:t>A.</w:t>
      </w:r>
      <w:r w:rsidRPr="0058142C">
        <w:rPr>
          <w:rStyle w:val="Strong"/>
          <w:b w:val="0"/>
          <w:color w:val="000000" w:themeColor="text1"/>
        </w:rPr>
        <w:tab/>
      </w:r>
      <w:r w:rsidR="005570CB">
        <w:rPr>
          <w:color w:val="000000" w:themeColor="text1"/>
        </w:rPr>
        <w:t>A</w:t>
      </w:r>
      <w:r w:rsidR="005570CB" w:rsidRPr="0058142C">
        <w:rPr>
          <w:rStyle w:val="Strong"/>
          <w:b w:val="0"/>
          <w:color w:val="000000" w:themeColor="text1"/>
        </w:rPr>
        <w:t xml:space="preserve">s discussed in the rebuttal testimony of </w:t>
      </w:r>
      <w:r w:rsidR="004A19A1">
        <w:rPr>
          <w:rStyle w:val="Strong"/>
          <w:b w:val="0"/>
          <w:color w:val="000000" w:themeColor="text1"/>
        </w:rPr>
        <w:t xml:space="preserve">Ms. </w:t>
      </w:r>
      <w:r w:rsidR="005570CB" w:rsidRPr="0058142C">
        <w:rPr>
          <w:rStyle w:val="Strong"/>
          <w:b w:val="0"/>
          <w:color w:val="000000" w:themeColor="text1"/>
        </w:rPr>
        <w:t>Kathryn C. Hymas</w:t>
      </w:r>
      <w:r w:rsidR="005570CB">
        <w:rPr>
          <w:rStyle w:val="Strong"/>
          <w:b w:val="0"/>
          <w:color w:val="000000" w:themeColor="text1"/>
        </w:rPr>
        <w:t>,</w:t>
      </w:r>
      <w:r w:rsidR="005570CB" w:rsidRPr="0058142C">
        <w:rPr>
          <w:rStyle w:val="Strong"/>
          <w:b w:val="0"/>
          <w:color w:val="000000" w:themeColor="text1"/>
        </w:rPr>
        <w:t xml:space="preserve"> the Company </w:t>
      </w:r>
      <w:r w:rsidR="005570CB">
        <w:rPr>
          <w:rStyle w:val="Strong"/>
          <w:b w:val="0"/>
          <w:color w:val="000000" w:themeColor="text1"/>
        </w:rPr>
        <w:t>recommends that the Commission accept Pu</w:t>
      </w:r>
      <w:r w:rsidR="005570CB" w:rsidRPr="0058142C">
        <w:rPr>
          <w:rStyle w:val="Strong"/>
          <w:b w:val="0"/>
          <w:color w:val="000000" w:themeColor="text1"/>
        </w:rPr>
        <w:t xml:space="preserve">blic Counsel’s proposed </w:t>
      </w:r>
      <w:r w:rsidR="005570CB">
        <w:rPr>
          <w:rStyle w:val="Strong"/>
          <w:b w:val="0"/>
          <w:color w:val="000000" w:themeColor="text1"/>
        </w:rPr>
        <w:t xml:space="preserve">FTE </w:t>
      </w:r>
      <w:r w:rsidR="005570CB" w:rsidRPr="0058142C">
        <w:rPr>
          <w:rStyle w:val="Strong"/>
          <w:b w:val="0"/>
          <w:color w:val="000000" w:themeColor="text1"/>
        </w:rPr>
        <w:t xml:space="preserve">adjustment </w:t>
      </w:r>
      <w:r w:rsidR="005570CB">
        <w:rPr>
          <w:rStyle w:val="Strong"/>
          <w:b w:val="0"/>
          <w:color w:val="000000" w:themeColor="text1"/>
        </w:rPr>
        <w:t xml:space="preserve">updated to the most recent period available, as of March 2016, with a corresponding update to wages, by including salary increases up through June 2016.  </w:t>
      </w:r>
      <w:r w:rsidR="00D7355A" w:rsidRPr="00CF189B">
        <w:rPr>
          <w:color w:val="000000" w:themeColor="text1"/>
        </w:rPr>
        <w:t xml:space="preserve">As explained in my direct testimony, the Company’s only adjustment to wages and benefits </w:t>
      </w:r>
      <w:r w:rsidR="00D7355A">
        <w:rPr>
          <w:color w:val="000000" w:themeColor="text1"/>
        </w:rPr>
        <w:t>was</w:t>
      </w:r>
      <w:r w:rsidR="00D7355A" w:rsidRPr="00CF189B">
        <w:rPr>
          <w:color w:val="000000" w:themeColor="text1"/>
        </w:rPr>
        <w:t xml:space="preserve"> to annualize wages for the twelve months ended June 2015 by taking into account actual wage increases for each labor group.  No pro forma adjustments to wages or benefits </w:t>
      </w:r>
      <w:r w:rsidR="00D7355A">
        <w:rPr>
          <w:color w:val="000000" w:themeColor="text1"/>
        </w:rPr>
        <w:t>were</w:t>
      </w:r>
      <w:r w:rsidR="00D7355A" w:rsidRPr="00CF189B">
        <w:rPr>
          <w:color w:val="000000" w:themeColor="text1"/>
        </w:rPr>
        <w:t xml:space="preserve"> included in th</w:t>
      </w:r>
      <w:r w:rsidR="005570CB">
        <w:rPr>
          <w:color w:val="000000" w:themeColor="text1"/>
        </w:rPr>
        <w:t>e initial filing</w:t>
      </w:r>
      <w:r w:rsidR="00D7355A">
        <w:rPr>
          <w:color w:val="000000" w:themeColor="text1"/>
        </w:rPr>
        <w:t xml:space="preserve">.  </w:t>
      </w:r>
      <w:r w:rsidR="00C77239">
        <w:rPr>
          <w:rStyle w:val="Strong"/>
          <w:b w:val="0"/>
          <w:color w:val="000000" w:themeColor="text1"/>
        </w:rPr>
        <w:t xml:space="preserve">Table </w:t>
      </w:r>
      <w:r w:rsidR="005570CB">
        <w:rPr>
          <w:rStyle w:val="Strong"/>
          <w:b w:val="0"/>
          <w:color w:val="000000" w:themeColor="text1"/>
        </w:rPr>
        <w:t>4</w:t>
      </w:r>
      <w:r w:rsidR="00C77239">
        <w:rPr>
          <w:color w:val="000000" w:themeColor="text1"/>
        </w:rPr>
        <w:t xml:space="preserve"> below </w:t>
      </w:r>
      <w:r w:rsidR="005570CB">
        <w:rPr>
          <w:color w:val="000000" w:themeColor="text1"/>
        </w:rPr>
        <w:t xml:space="preserve">reflects </w:t>
      </w:r>
      <w:r w:rsidR="00C77239">
        <w:rPr>
          <w:color w:val="000000" w:themeColor="text1"/>
        </w:rPr>
        <w:t>the net impact of the changes</w:t>
      </w:r>
      <w:r w:rsidR="005570CB">
        <w:rPr>
          <w:color w:val="000000" w:themeColor="text1"/>
        </w:rPr>
        <w:t xml:space="preserve"> proposed by the Company in rebuttal, which </w:t>
      </w:r>
      <w:r w:rsidR="00C77239">
        <w:rPr>
          <w:color w:val="000000" w:themeColor="text1"/>
        </w:rPr>
        <w:t>is a $3</w:t>
      </w:r>
      <w:r w:rsidR="00BD3ACE">
        <w:rPr>
          <w:color w:val="000000" w:themeColor="text1"/>
        </w:rPr>
        <w:t>2</w:t>
      </w:r>
      <w:r w:rsidR="005570CB">
        <w:rPr>
          <w:color w:val="000000" w:themeColor="text1"/>
        </w:rPr>
        <w:t>2,</w:t>
      </w:r>
      <w:r w:rsidR="00234700">
        <w:rPr>
          <w:color w:val="000000" w:themeColor="text1"/>
        </w:rPr>
        <w:t>263</w:t>
      </w:r>
      <w:r w:rsidR="005570CB">
        <w:rPr>
          <w:color w:val="000000" w:themeColor="text1"/>
        </w:rPr>
        <w:t xml:space="preserve"> reduction in </w:t>
      </w:r>
      <w:r w:rsidR="00C77239">
        <w:rPr>
          <w:color w:val="000000" w:themeColor="text1"/>
        </w:rPr>
        <w:t>Washington allocated expense.</w:t>
      </w:r>
    </w:p>
    <w:p w:rsidR="003236C9" w:rsidRPr="00234700" w:rsidRDefault="003236C9" w:rsidP="00495D49">
      <w:pPr>
        <w:pStyle w:val="Answer"/>
        <w:suppressLineNumbers/>
        <w:jc w:val="center"/>
        <w:rPr>
          <w:b/>
          <w:color w:val="000000" w:themeColor="text1"/>
        </w:rPr>
      </w:pPr>
      <w:r w:rsidRPr="00234700">
        <w:rPr>
          <w:b/>
          <w:color w:val="000000" w:themeColor="text1"/>
        </w:rPr>
        <w:t>T</w:t>
      </w:r>
      <w:r w:rsidR="00234700" w:rsidRPr="00234700">
        <w:rPr>
          <w:b/>
          <w:color w:val="000000" w:themeColor="text1"/>
        </w:rPr>
        <w:t>ABLE</w:t>
      </w:r>
      <w:r w:rsidRPr="00234700">
        <w:rPr>
          <w:b/>
          <w:color w:val="000000" w:themeColor="text1"/>
        </w:rPr>
        <w:t xml:space="preserve"> </w:t>
      </w:r>
      <w:r w:rsidR="005570CB" w:rsidRPr="00234700">
        <w:rPr>
          <w:b/>
          <w:color w:val="000000" w:themeColor="text1"/>
        </w:rPr>
        <w:t>4—Impact of Labor and Wage Adjustments</w:t>
      </w:r>
    </w:p>
    <w:tbl>
      <w:tblPr>
        <w:tblW w:w="6500" w:type="dxa"/>
        <w:jc w:val="center"/>
        <w:tblInd w:w="93" w:type="dxa"/>
        <w:tblLook w:val="04A0" w:firstRow="1" w:lastRow="0" w:firstColumn="1" w:lastColumn="0" w:noHBand="0" w:noVBand="1"/>
      </w:tblPr>
      <w:tblGrid>
        <w:gridCol w:w="4900"/>
        <w:gridCol w:w="1600"/>
      </w:tblGrid>
      <w:tr w:rsidR="00234700" w:rsidRPr="00234700" w:rsidTr="00234700">
        <w:trPr>
          <w:trHeight w:val="510"/>
          <w:jc w:val="center"/>
        </w:trPr>
        <w:tc>
          <w:tcPr>
            <w:tcW w:w="4900" w:type="dxa"/>
            <w:tcBorders>
              <w:top w:val="nil"/>
              <w:left w:val="nil"/>
              <w:bottom w:val="nil"/>
              <w:right w:val="nil"/>
            </w:tcBorders>
            <w:shd w:val="clear" w:color="000000" w:fill="FFFFFF"/>
            <w:noWrap/>
            <w:vAlign w:val="bottom"/>
            <w:hideMark/>
          </w:tcPr>
          <w:p w:rsidR="00234700" w:rsidRPr="00234700" w:rsidRDefault="00234700" w:rsidP="00234700">
            <w:pPr>
              <w:jc w:val="left"/>
              <w:rPr>
                <w:b/>
                <w:bCs/>
                <w:color w:val="000000"/>
                <w:sz w:val="20"/>
                <w:szCs w:val="20"/>
              </w:rPr>
            </w:pPr>
            <w:r w:rsidRPr="00234700">
              <w:rPr>
                <w:b/>
                <w:bCs/>
                <w:color w:val="000000"/>
                <w:sz w:val="20"/>
                <w:szCs w:val="20"/>
              </w:rPr>
              <w:t>Description of Change</w:t>
            </w:r>
          </w:p>
        </w:tc>
        <w:tc>
          <w:tcPr>
            <w:tcW w:w="1600" w:type="dxa"/>
            <w:tcBorders>
              <w:top w:val="nil"/>
              <w:left w:val="nil"/>
              <w:bottom w:val="nil"/>
              <w:right w:val="nil"/>
            </w:tcBorders>
            <w:shd w:val="clear" w:color="000000" w:fill="FFFFFF"/>
            <w:vAlign w:val="bottom"/>
            <w:hideMark/>
          </w:tcPr>
          <w:p w:rsidR="00234700" w:rsidRPr="00234700" w:rsidRDefault="00234700" w:rsidP="00234700">
            <w:pPr>
              <w:jc w:val="center"/>
              <w:rPr>
                <w:b/>
                <w:bCs/>
                <w:color w:val="000000"/>
                <w:sz w:val="20"/>
                <w:szCs w:val="20"/>
              </w:rPr>
            </w:pPr>
            <w:r w:rsidRPr="00234700">
              <w:rPr>
                <w:b/>
                <w:bCs/>
                <w:color w:val="000000"/>
                <w:sz w:val="20"/>
                <w:szCs w:val="20"/>
              </w:rPr>
              <w:t>WA-Allocated Expense</w:t>
            </w:r>
          </w:p>
        </w:tc>
      </w:tr>
      <w:tr w:rsidR="00234700" w:rsidRPr="00234700" w:rsidTr="00234700">
        <w:trPr>
          <w:trHeight w:val="255"/>
          <w:jc w:val="center"/>
        </w:trPr>
        <w:tc>
          <w:tcPr>
            <w:tcW w:w="4900" w:type="dxa"/>
            <w:tcBorders>
              <w:top w:val="nil"/>
              <w:left w:val="nil"/>
              <w:bottom w:val="nil"/>
              <w:right w:val="nil"/>
            </w:tcBorders>
            <w:shd w:val="clear" w:color="000000" w:fill="FFFFFF"/>
            <w:noWrap/>
            <w:vAlign w:val="bottom"/>
            <w:hideMark/>
          </w:tcPr>
          <w:p w:rsidR="00234700" w:rsidRPr="00234700" w:rsidRDefault="00234700" w:rsidP="00234700">
            <w:pPr>
              <w:jc w:val="left"/>
              <w:rPr>
                <w:color w:val="000000"/>
                <w:sz w:val="20"/>
                <w:szCs w:val="20"/>
              </w:rPr>
            </w:pPr>
            <w:r w:rsidRPr="00234700">
              <w:rPr>
                <w:color w:val="000000"/>
                <w:sz w:val="20"/>
                <w:szCs w:val="20"/>
              </w:rPr>
              <w:t>December 2015 FTE Update Proposed by Public Counsel</w:t>
            </w:r>
          </w:p>
        </w:tc>
        <w:tc>
          <w:tcPr>
            <w:tcW w:w="1600" w:type="dxa"/>
            <w:tcBorders>
              <w:top w:val="nil"/>
              <w:left w:val="nil"/>
              <w:bottom w:val="nil"/>
              <w:right w:val="nil"/>
            </w:tcBorders>
            <w:shd w:val="clear" w:color="000000" w:fill="FFFFFF"/>
            <w:noWrap/>
            <w:vAlign w:val="bottom"/>
            <w:hideMark/>
          </w:tcPr>
          <w:p w:rsidR="00234700" w:rsidRPr="00234700" w:rsidRDefault="00234700" w:rsidP="00234700">
            <w:pPr>
              <w:jc w:val="right"/>
              <w:rPr>
                <w:color w:val="000000"/>
                <w:sz w:val="20"/>
                <w:szCs w:val="20"/>
              </w:rPr>
            </w:pPr>
            <w:r w:rsidRPr="00234700">
              <w:rPr>
                <w:color w:val="000000"/>
                <w:sz w:val="20"/>
                <w:szCs w:val="20"/>
              </w:rPr>
              <w:t>($655,673)</w:t>
            </w:r>
          </w:p>
        </w:tc>
      </w:tr>
      <w:tr w:rsidR="00234700" w:rsidRPr="00234700" w:rsidTr="00234700">
        <w:trPr>
          <w:trHeight w:val="255"/>
          <w:jc w:val="center"/>
        </w:trPr>
        <w:tc>
          <w:tcPr>
            <w:tcW w:w="4900" w:type="dxa"/>
            <w:tcBorders>
              <w:top w:val="nil"/>
              <w:left w:val="nil"/>
              <w:bottom w:val="nil"/>
              <w:right w:val="nil"/>
            </w:tcBorders>
            <w:shd w:val="clear" w:color="000000" w:fill="FFFFFF"/>
            <w:noWrap/>
            <w:vAlign w:val="bottom"/>
            <w:hideMark/>
          </w:tcPr>
          <w:p w:rsidR="00234700" w:rsidRPr="00234700" w:rsidRDefault="00234700" w:rsidP="00234700">
            <w:pPr>
              <w:jc w:val="left"/>
              <w:rPr>
                <w:color w:val="000000"/>
                <w:sz w:val="20"/>
                <w:szCs w:val="20"/>
              </w:rPr>
            </w:pPr>
            <w:r w:rsidRPr="00234700">
              <w:rPr>
                <w:color w:val="000000"/>
                <w:sz w:val="20"/>
                <w:szCs w:val="20"/>
              </w:rPr>
              <w:t>Additional Adjustment to March 2016 FTE Level</w:t>
            </w:r>
          </w:p>
        </w:tc>
        <w:tc>
          <w:tcPr>
            <w:tcW w:w="1600" w:type="dxa"/>
            <w:tcBorders>
              <w:top w:val="nil"/>
              <w:left w:val="nil"/>
              <w:bottom w:val="single" w:sz="4" w:space="0" w:color="auto"/>
              <w:right w:val="nil"/>
            </w:tcBorders>
            <w:shd w:val="clear" w:color="000000" w:fill="FFFFFF"/>
            <w:noWrap/>
            <w:vAlign w:val="bottom"/>
            <w:hideMark/>
          </w:tcPr>
          <w:p w:rsidR="00234700" w:rsidRPr="00234700" w:rsidRDefault="00234700" w:rsidP="00234700">
            <w:pPr>
              <w:jc w:val="right"/>
              <w:rPr>
                <w:color w:val="000000"/>
                <w:sz w:val="20"/>
                <w:szCs w:val="20"/>
              </w:rPr>
            </w:pPr>
            <w:r w:rsidRPr="00234700">
              <w:rPr>
                <w:color w:val="000000"/>
                <w:sz w:val="20"/>
                <w:szCs w:val="20"/>
              </w:rPr>
              <w:t>($179,082)</w:t>
            </w:r>
          </w:p>
        </w:tc>
      </w:tr>
      <w:tr w:rsidR="00234700" w:rsidRPr="00234700" w:rsidTr="00234700">
        <w:trPr>
          <w:trHeight w:val="255"/>
          <w:jc w:val="center"/>
        </w:trPr>
        <w:tc>
          <w:tcPr>
            <w:tcW w:w="4900" w:type="dxa"/>
            <w:tcBorders>
              <w:top w:val="nil"/>
              <w:left w:val="nil"/>
              <w:bottom w:val="nil"/>
              <w:right w:val="nil"/>
            </w:tcBorders>
            <w:shd w:val="clear" w:color="000000" w:fill="FFFFFF"/>
            <w:noWrap/>
            <w:vAlign w:val="bottom"/>
            <w:hideMark/>
          </w:tcPr>
          <w:p w:rsidR="00234700" w:rsidRPr="00234700" w:rsidRDefault="00234700" w:rsidP="00234700">
            <w:pPr>
              <w:jc w:val="left"/>
              <w:rPr>
                <w:color w:val="000000"/>
                <w:sz w:val="20"/>
                <w:szCs w:val="20"/>
              </w:rPr>
            </w:pPr>
            <w:r w:rsidRPr="00234700">
              <w:rPr>
                <w:color w:val="000000"/>
                <w:sz w:val="20"/>
                <w:szCs w:val="20"/>
              </w:rPr>
              <w:t>Total Reduction in Expense of March 2016 FTE Update</w:t>
            </w:r>
          </w:p>
        </w:tc>
        <w:tc>
          <w:tcPr>
            <w:tcW w:w="1600" w:type="dxa"/>
            <w:tcBorders>
              <w:top w:val="nil"/>
              <w:left w:val="nil"/>
              <w:bottom w:val="nil"/>
              <w:right w:val="nil"/>
            </w:tcBorders>
            <w:shd w:val="clear" w:color="000000" w:fill="FFFFFF"/>
            <w:noWrap/>
            <w:vAlign w:val="bottom"/>
            <w:hideMark/>
          </w:tcPr>
          <w:p w:rsidR="00234700" w:rsidRPr="00234700" w:rsidRDefault="00234700" w:rsidP="00234700">
            <w:pPr>
              <w:jc w:val="right"/>
              <w:rPr>
                <w:color w:val="000000"/>
                <w:sz w:val="20"/>
                <w:szCs w:val="20"/>
              </w:rPr>
            </w:pPr>
            <w:r w:rsidRPr="00234700">
              <w:rPr>
                <w:color w:val="000000"/>
                <w:sz w:val="20"/>
                <w:szCs w:val="20"/>
              </w:rPr>
              <w:t>($834,755)</w:t>
            </w:r>
          </w:p>
        </w:tc>
      </w:tr>
      <w:tr w:rsidR="00234700" w:rsidRPr="00234700" w:rsidTr="00234700">
        <w:trPr>
          <w:trHeight w:val="255"/>
          <w:jc w:val="center"/>
        </w:trPr>
        <w:tc>
          <w:tcPr>
            <w:tcW w:w="4900" w:type="dxa"/>
            <w:tcBorders>
              <w:top w:val="nil"/>
              <w:left w:val="nil"/>
              <w:bottom w:val="nil"/>
              <w:right w:val="nil"/>
            </w:tcBorders>
            <w:shd w:val="clear" w:color="000000" w:fill="FFFFFF"/>
            <w:noWrap/>
            <w:vAlign w:val="bottom"/>
            <w:hideMark/>
          </w:tcPr>
          <w:p w:rsidR="00234700" w:rsidRPr="00234700" w:rsidRDefault="00234700" w:rsidP="00234700">
            <w:pPr>
              <w:jc w:val="left"/>
              <w:rPr>
                <w:color w:val="000000"/>
                <w:sz w:val="20"/>
                <w:szCs w:val="20"/>
              </w:rPr>
            </w:pPr>
            <w:r w:rsidRPr="00234700">
              <w:rPr>
                <w:color w:val="000000"/>
                <w:sz w:val="20"/>
                <w:szCs w:val="20"/>
              </w:rPr>
              <w:t>Wage Adjustment to June 2016</w:t>
            </w:r>
          </w:p>
        </w:tc>
        <w:tc>
          <w:tcPr>
            <w:tcW w:w="1600" w:type="dxa"/>
            <w:tcBorders>
              <w:top w:val="nil"/>
              <w:left w:val="nil"/>
              <w:bottom w:val="single" w:sz="4" w:space="0" w:color="auto"/>
              <w:right w:val="nil"/>
            </w:tcBorders>
            <w:shd w:val="clear" w:color="000000" w:fill="FFFFFF"/>
            <w:noWrap/>
            <w:vAlign w:val="bottom"/>
            <w:hideMark/>
          </w:tcPr>
          <w:p w:rsidR="00234700" w:rsidRPr="00234700" w:rsidRDefault="00234700" w:rsidP="00234700">
            <w:pPr>
              <w:jc w:val="right"/>
              <w:rPr>
                <w:color w:val="000000"/>
                <w:sz w:val="20"/>
                <w:szCs w:val="20"/>
              </w:rPr>
            </w:pPr>
            <w:r w:rsidRPr="00234700">
              <w:rPr>
                <w:color w:val="000000"/>
                <w:sz w:val="20"/>
                <w:szCs w:val="20"/>
              </w:rPr>
              <w:t xml:space="preserve">$512,492 </w:t>
            </w:r>
          </w:p>
        </w:tc>
      </w:tr>
      <w:tr w:rsidR="00234700" w:rsidRPr="00234700" w:rsidTr="00234700">
        <w:trPr>
          <w:trHeight w:val="270"/>
          <w:jc w:val="center"/>
        </w:trPr>
        <w:tc>
          <w:tcPr>
            <w:tcW w:w="4900" w:type="dxa"/>
            <w:tcBorders>
              <w:top w:val="nil"/>
              <w:left w:val="nil"/>
              <w:bottom w:val="nil"/>
              <w:right w:val="nil"/>
            </w:tcBorders>
            <w:shd w:val="clear" w:color="000000" w:fill="FFFFFF"/>
            <w:noWrap/>
            <w:vAlign w:val="bottom"/>
            <w:hideMark/>
          </w:tcPr>
          <w:p w:rsidR="00234700" w:rsidRPr="00234700" w:rsidRDefault="00234700" w:rsidP="00234700">
            <w:pPr>
              <w:jc w:val="left"/>
              <w:rPr>
                <w:color w:val="000000"/>
                <w:sz w:val="20"/>
                <w:szCs w:val="20"/>
              </w:rPr>
            </w:pPr>
            <w:r w:rsidRPr="00234700">
              <w:rPr>
                <w:color w:val="000000"/>
                <w:sz w:val="20"/>
                <w:szCs w:val="20"/>
              </w:rPr>
              <w:t>Net Expense Impact of FTE &amp; Wages Update in Rebuttal</w:t>
            </w:r>
          </w:p>
        </w:tc>
        <w:tc>
          <w:tcPr>
            <w:tcW w:w="1600" w:type="dxa"/>
            <w:tcBorders>
              <w:top w:val="nil"/>
              <w:left w:val="nil"/>
              <w:bottom w:val="single" w:sz="8" w:space="0" w:color="auto"/>
              <w:right w:val="nil"/>
            </w:tcBorders>
            <w:shd w:val="clear" w:color="000000" w:fill="FFFFFF"/>
            <w:noWrap/>
            <w:vAlign w:val="bottom"/>
            <w:hideMark/>
          </w:tcPr>
          <w:p w:rsidR="00234700" w:rsidRPr="00234700" w:rsidRDefault="00234700" w:rsidP="00234700">
            <w:pPr>
              <w:jc w:val="right"/>
              <w:rPr>
                <w:color w:val="000000"/>
                <w:sz w:val="20"/>
                <w:szCs w:val="20"/>
              </w:rPr>
            </w:pPr>
            <w:r w:rsidRPr="00234700">
              <w:rPr>
                <w:color w:val="000000"/>
                <w:sz w:val="20"/>
                <w:szCs w:val="20"/>
              </w:rPr>
              <w:t>($322,263)</w:t>
            </w:r>
          </w:p>
        </w:tc>
      </w:tr>
    </w:tbl>
    <w:p w:rsidR="00234700" w:rsidRDefault="00234700" w:rsidP="001011A4">
      <w:pPr>
        <w:pStyle w:val="Answer"/>
        <w:suppressLineNumbers/>
        <w:ind w:firstLine="0"/>
        <w:jc w:val="left"/>
        <w:rPr>
          <w:color w:val="000000" w:themeColor="text1"/>
        </w:rPr>
      </w:pPr>
    </w:p>
    <w:p w:rsidR="003236C9" w:rsidRDefault="003236C9" w:rsidP="0058142C">
      <w:pPr>
        <w:pStyle w:val="Answer"/>
        <w:ind w:firstLine="0"/>
        <w:jc w:val="left"/>
        <w:rPr>
          <w:color w:val="000000" w:themeColor="text1"/>
        </w:rPr>
      </w:pPr>
      <w:r>
        <w:rPr>
          <w:color w:val="000000" w:themeColor="text1"/>
        </w:rPr>
        <w:t>These updates are reflected in adjustment 4.2 (General Wage Increase) and new adjustment 4.11 (FTE Reduction).</w:t>
      </w:r>
    </w:p>
    <w:p w:rsidR="001011A4" w:rsidRDefault="001011A4" w:rsidP="001011A4">
      <w:pPr>
        <w:pStyle w:val="Answer"/>
        <w:suppressLineNumbers/>
        <w:ind w:firstLine="0"/>
        <w:jc w:val="left"/>
        <w:rPr>
          <w:color w:val="000000" w:themeColor="text1"/>
        </w:rPr>
      </w:pPr>
    </w:p>
    <w:p w:rsidR="00234700" w:rsidRDefault="00234700" w:rsidP="00234700">
      <w:pPr>
        <w:pStyle w:val="Question"/>
        <w:widowControl w:val="0"/>
        <w:jc w:val="left"/>
      </w:pPr>
      <w:r>
        <w:t>Q.</w:t>
      </w:r>
      <w:r>
        <w:tab/>
        <w:t>Please describe Public Counsel’s and Boise’s proposed adjustments related to pension and PBOP expense.</w:t>
      </w:r>
    </w:p>
    <w:p w:rsidR="00234700" w:rsidRDefault="00234700" w:rsidP="00234700">
      <w:pPr>
        <w:tabs>
          <w:tab w:val="left" w:pos="720"/>
        </w:tabs>
        <w:spacing w:line="480" w:lineRule="auto"/>
        <w:ind w:left="720" w:hanging="720"/>
        <w:jc w:val="left"/>
      </w:pPr>
      <w:r>
        <w:t>A.</w:t>
      </w:r>
      <w:r>
        <w:tab/>
        <w:t>Public Counsel and Boise both propose post-test year adjustments to pension and PBOP expenses based on updated actuarial reports.</w:t>
      </w:r>
      <w:r>
        <w:rPr>
          <w:rStyle w:val="FootnoteReference"/>
        </w:rPr>
        <w:footnoteReference w:id="11"/>
      </w:r>
      <w:r>
        <w:t xml:space="preserve">  </w:t>
      </w:r>
    </w:p>
    <w:p w:rsidR="00B84935" w:rsidRPr="00126CCF" w:rsidRDefault="00B84935" w:rsidP="00B84935">
      <w:pPr>
        <w:pStyle w:val="Answer"/>
        <w:widowControl w:val="0"/>
        <w:jc w:val="left"/>
        <w:rPr>
          <w:rStyle w:val="Strong"/>
          <w:color w:val="000000" w:themeColor="text1"/>
        </w:rPr>
      </w:pPr>
      <w:r w:rsidRPr="00CF189B">
        <w:rPr>
          <w:rStyle w:val="Strong"/>
          <w:color w:val="000000" w:themeColor="text1"/>
        </w:rPr>
        <w:t>Q.</w:t>
      </w:r>
      <w:r w:rsidRPr="00CF189B">
        <w:rPr>
          <w:rStyle w:val="Strong"/>
          <w:color w:val="000000" w:themeColor="text1"/>
        </w:rPr>
        <w:tab/>
      </w:r>
      <w:r w:rsidRPr="00126CCF">
        <w:rPr>
          <w:rStyle w:val="Strong"/>
          <w:color w:val="000000" w:themeColor="text1"/>
        </w:rPr>
        <w:t xml:space="preserve">What is the Company’s position on Public Counsel’s </w:t>
      </w:r>
      <w:r w:rsidR="00234700">
        <w:rPr>
          <w:rStyle w:val="Strong"/>
          <w:color w:val="000000" w:themeColor="text1"/>
        </w:rPr>
        <w:t xml:space="preserve">and Boise’s </w:t>
      </w:r>
      <w:r w:rsidRPr="00126CCF">
        <w:rPr>
          <w:rStyle w:val="Strong"/>
          <w:color w:val="000000" w:themeColor="text1"/>
        </w:rPr>
        <w:t>recommendation</w:t>
      </w:r>
      <w:r w:rsidR="00234700">
        <w:rPr>
          <w:rStyle w:val="Strong"/>
          <w:color w:val="000000" w:themeColor="text1"/>
        </w:rPr>
        <w:t>s</w:t>
      </w:r>
      <w:r w:rsidRPr="00126CCF">
        <w:rPr>
          <w:rStyle w:val="Strong"/>
          <w:color w:val="000000" w:themeColor="text1"/>
        </w:rPr>
        <w:t xml:space="preserve"> regarding </w:t>
      </w:r>
      <w:r>
        <w:rPr>
          <w:rStyle w:val="Strong"/>
          <w:color w:val="000000" w:themeColor="text1"/>
        </w:rPr>
        <w:t>benefits expense</w:t>
      </w:r>
      <w:r w:rsidRPr="00126CCF">
        <w:rPr>
          <w:rStyle w:val="Strong"/>
          <w:color w:val="000000" w:themeColor="text1"/>
        </w:rPr>
        <w:t>?</w:t>
      </w:r>
    </w:p>
    <w:p w:rsidR="00B84935" w:rsidRDefault="00B84935" w:rsidP="00B84935">
      <w:pPr>
        <w:pStyle w:val="Answer"/>
        <w:jc w:val="left"/>
        <w:rPr>
          <w:rStyle w:val="Strong"/>
          <w:b w:val="0"/>
          <w:color w:val="000000" w:themeColor="text1"/>
        </w:rPr>
      </w:pPr>
      <w:r w:rsidRPr="00126CCF">
        <w:rPr>
          <w:rStyle w:val="Strong"/>
          <w:b w:val="0"/>
          <w:color w:val="000000" w:themeColor="text1"/>
        </w:rPr>
        <w:t>A.</w:t>
      </w:r>
      <w:r w:rsidRPr="00126CCF">
        <w:rPr>
          <w:rStyle w:val="Strong"/>
          <w:b w:val="0"/>
          <w:color w:val="000000" w:themeColor="text1"/>
        </w:rPr>
        <w:tab/>
      </w:r>
      <w:r w:rsidR="00191717">
        <w:rPr>
          <w:rStyle w:val="Strong"/>
          <w:b w:val="0"/>
          <w:color w:val="000000" w:themeColor="text1"/>
        </w:rPr>
        <w:t>As discussed in the rebuttal testimony of Ms. Hymas, t</w:t>
      </w:r>
      <w:r w:rsidR="00234700">
        <w:rPr>
          <w:rStyle w:val="Strong"/>
          <w:b w:val="0"/>
          <w:color w:val="000000" w:themeColor="text1"/>
        </w:rPr>
        <w:t xml:space="preserve">he Company </w:t>
      </w:r>
      <w:r w:rsidR="00191717">
        <w:rPr>
          <w:rStyle w:val="Strong"/>
          <w:b w:val="0"/>
          <w:color w:val="000000" w:themeColor="text1"/>
        </w:rPr>
        <w:t xml:space="preserve">believes that Public Counsel’s and Boise’s adjustments are inappropriate and should be rejected because they do not account for offsetting increases in other benefit categories.  </w:t>
      </w:r>
    </w:p>
    <w:p w:rsidR="005E5C08" w:rsidRPr="00F0793B" w:rsidRDefault="005E5C08" w:rsidP="005E5C08">
      <w:pPr>
        <w:pStyle w:val="Heading2"/>
        <w:jc w:val="left"/>
      </w:pPr>
      <w:bookmarkStart w:id="10" w:name="_Toc447729288"/>
      <w:r>
        <w:t>Property Taxes</w:t>
      </w:r>
      <w:bookmarkEnd w:id="10"/>
    </w:p>
    <w:p w:rsidR="005E5C08" w:rsidRDefault="005E5C08" w:rsidP="005E5C08">
      <w:pPr>
        <w:pStyle w:val="Answer"/>
        <w:widowControl w:val="0"/>
        <w:jc w:val="left"/>
        <w:rPr>
          <w:b/>
        </w:rPr>
      </w:pPr>
      <w:r w:rsidRPr="00F0793B">
        <w:rPr>
          <w:b/>
        </w:rPr>
        <w:t>Q.</w:t>
      </w:r>
      <w:r w:rsidRPr="00F0793B">
        <w:rPr>
          <w:b/>
        </w:rPr>
        <w:tab/>
        <w:t xml:space="preserve">Did </w:t>
      </w:r>
      <w:r>
        <w:rPr>
          <w:b/>
        </w:rPr>
        <w:t>Staff propose changes</w:t>
      </w:r>
      <w:r w:rsidRPr="00F0793B">
        <w:rPr>
          <w:b/>
        </w:rPr>
        <w:t xml:space="preserve"> </w:t>
      </w:r>
      <w:r>
        <w:rPr>
          <w:b/>
        </w:rPr>
        <w:t xml:space="preserve">to </w:t>
      </w:r>
      <w:r w:rsidRPr="00F0793B">
        <w:rPr>
          <w:b/>
        </w:rPr>
        <w:t xml:space="preserve">the Company’s </w:t>
      </w:r>
      <w:r>
        <w:rPr>
          <w:b/>
        </w:rPr>
        <w:t>p</w:t>
      </w:r>
      <w:r w:rsidRPr="00F0793B">
        <w:rPr>
          <w:b/>
        </w:rPr>
        <w:t xml:space="preserve">roperty </w:t>
      </w:r>
      <w:r>
        <w:rPr>
          <w:b/>
        </w:rPr>
        <w:t>t</w:t>
      </w:r>
      <w:r w:rsidRPr="00F0793B">
        <w:rPr>
          <w:b/>
        </w:rPr>
        <w:t>ax adjustment?</w:t>
      </w:r>
    </w:p>
    <w:p w:rsidR="005E5C08" w:rsidRDefault="005E5C08" w:rsidP="006A7101">
      <w:pPr>
        <w:pStyle w:val="Answer"/>
        <w:widowControl w:val="0"/>
        <w:jc w:val="left"/>
      </w:pPr>
      <w:r w:rsidRPr="00F0793B">
        <w:t>A.</w:t>
      </w:r>
      <w:r w:rsidRPr="00F0793B">
        <w:tab/>
        <w:t>Yes</w:t>
      </w:r>
      <w:r>
        <w:t xml:space="preserve">. </w:t>
      </w:r>
      <w:r w:rsidRPr="00F0793B">
        <w:t xml:space="preserve"> </w:t>
      </w:r>
      <w:r>
        <w:t>In its testimony,</w:t>
      </w:r>
      <w:r w:rsidR="006A7101" w:rsidRPr="006A7101">
        <w:rPr>
          <w:rStyle w:val="FootnoteReference"/>
        </w:rPr>
        <w:t xml:space="preserve"> </w:t>
      </w:r>
      <w:r w:rsidR="006A7101">
        <w:rPr>
          <w:rStyle w:val="FootnoteReference"/>
        </w:rPr>
        <w:footnoteReference w:id="12"/>
      </w:r>
      <w:r>
        <w:t xml:space="preserve"> </w:t>
      </w:r>
      <w:r w:rsidR="006A7101">
        <w:t xml:space="preserve">and as clarified through discovery, </w:t>
      </w:r>
      <w:r w:rsidRPr="00F0793B">
        <w:t xml:space="preserve">Staff </w:t>
      </w:r>
      <w:r w:rsidR="006A7101">
        <w:t>is “supportive of the Company updating the adjustment so property tax expenses reflect the latest recorded amounts as of time of rebuttal.”</w:t>
      </w:r>
      <w:r>
        <w:rPr>
          <w:rStyle w:val="FootnoteReference"/>
        </w:rPr>
        <w:footnoteReference w:id="13"/>
      </w:r>
      <w:r w:rsidR="006A7101">
        <w:t xml:space="preserve">  Accordingly, </w:t>
      </w:r>
      <w:r>
        <w:t xml:space="preserve">the Company has updated its property tax adjustment to reflect </w:t>
      </w:r>
      <w:r w:rsidR="006A7101">
        <w:t>expense amounts</w:t>
      </w:r>
      <w:r>
        <w:t xml:space="preserve"> </w:t>
      </w:r>
      <w:r w:rsidR="006A7101">
        <w:t>recorded through February 2016</w:t>
      </w:r>
      <w:r>
        <w:t xml:space="preserve">.  This update increases the Company’s revenue requirement by </w:t>
      </w:r>
      <w:r w:rsidRPr="0058142C">
        <w:t>$2</w:t>
      </w:r>
      <w:r>
        <w:t>2</w:t>
      </w:r>
      <w:r w:rsidRPr="0058142C">
        <w:t>6,000</w:t>
      </w:r>
      <w:r>
        <w:t>.</w:t>
      </w:r>
    </w:p>
    <w:p w:rsidR="00C7556F" w:rsidRDefault="00C7556F" w:rsidP="005E5C08">
      <w:pPr>
        <w:pStyle w:val="Answer"/>
        <w:jc w:val="left"/>
        <w:rPr>
          <w:b/>
        </w:rPr>
      </w:pPr>
      <w:r>
        <w:rPr>
          <w:b/>
        </w:rPr>
        <w:t>Retired Asset Depreciation Expense Removal</w:t>
      </w:r>
    </w:p>
    <w:p w:rsidR="00C7556F" w:rsidRDefault="00C7556F" w:rsidP="00C7556F">
      <w:pPr>
        <w:pStyle w:val="Answer"/>
        <w:jc w:val="left"/>
        <w:rPr>
          <w:b/>
        </w:rPr>
      </w:pPr>
      <w:r w:rsidRPr="00511D0A">
        <w:rPr>
          <w:b/>
        </w:rPr>
        <w:t>Q.</w:t>
      </w:r>
      <w:r w:rsidRPr="00511D0A">
        <w:rPr>
          <w:b/>
        </w:rPr>
        <w:tab/>
      </w:r>
      <w:r>
        <w:rPr>
          <w:b/>
        </w:rPr>
        <w:t xml:space="preserve">Did </w:t>
      </w:r>
      <w:r w:rsidR="00AB6E20">
        <w:rPr>
          <w:b/>
        </w:rPr>
        <w:t>Public Counsel</w:t>
      </w:r>
      <w:r>
        <w:rPr>
          <w:b/>
        </w:rPr>
        <w:t xml:space="preserve"> propose</w:t>
      </w:r>
      <w:r w:rsidR="00AB6E20">
        <w:rPr>
          <w:b/>
        </w:rPr>
        <w:t xml:space="preserve"> an </w:t>
      </w:r>
      <w:r>
        <w:rPr>
          <w:b/>
        </w:rPr>
        <w:t>adjustment to depreciation expense</w:t>
      </w:r>
      <w:r w:rsidR="00AB6E20">
        <w:rPr>
          <w:b/>
        </w:rPr>
        <w:t xml:space="preserve"> for retired assets</w:t>
      </w:r>
      <w:r>
        <w:rPr>
          <w:b/>
        </w:rPr>
        <w:t>?</w:t>
      </w:r>
    </w:p>
    <w:p w:rsidR="00AB6E20" w:rsidRDefault="00C7556F" w:rsidP="00C7556F">
      <w:pPr>
        <w:pStyle w:val="Answer"/>
        <w:widowControl w:val="0"/>
        <w:jc w:val="left"/>
      </w:pPr>
      <w:r w:rsidRPr="000B676A">
        <w:t>A.</w:t>
      </w:r>
      <w:r w:rsidRPr="000B676A">
        <w:tab/>
      </w:r>
      <w:r>
        <w:t>Yes.  P</w:t>
      </w:r>
      <w:r w:rsidRPr="000B676A">
        <w:t xml:space="preserve">ublic Counsel </w:t>
      </w:r>
      <w:r>
        <w:t xml:space="preserve">proposed an adjustment to reflect the reduced depreciation expense </w:t>
      </w:r>
      <w:r w:rsidR="00AB6E20">
        <w:t xml:space="preserve">for retirements </w:t>
      </w:r>
      <w:r>
        <w:t xml:space="preserve">associated with pro forma major plant </w:t>
      </w:r>
      <w:r w:rsidR="00AB6E20">
        <w:t>additions</w:t>
      </w:r>
      <w:r>
        <w:t>.</w:t>
      </w:r>
      <w:r>
        <w:rPr>
          <w:rStyle w:val="FootnoteReference"/>
        </w:rPr>
        <w:footnoteReference w:id="14"/>
      </w:r>
      <w:r>
        <w:t xml:space="preserve">  </w:t>
      </w:r>
    </w:p>
    <w:p w:rsidR="00AB6E20" w:rsidRPr="00AB6E20" w:rsidRDefault="00AB6E20" w:rsidP="00C7556F">
      <w:pPr>
        <w:pStyle w:val="Answer"/>
        <w:widowControl w:val="0"/>
        <w:jc w:val="left"/>
        <w:rPr>
          <w:b/>
        </w:rPr>
      </w:pPr>
      <w:r w:rsidRPr="00AB6E20">
        <w:rPr>
          <w:b/>
        </w:rPr>
        <w:t>Q.</w:t>
      </w:r>
      <w:r w:rsidRPr="00AB6E20">
        <w:rPr>
          <w:b/>
        </w:rPr>
        <w:tab/>
        <w:t>Does the Company agree with this proposed adjustment?</w:t>
      </w:r>
    </w:p>
    <w:p w:rsidR="00C7556F" w:rsidRDefault="00AB6E20" w:rsidP="00AB6E20">
      <w:pPr>
        <w:pStyle w:val="Answer"/>
        <w:widowControl w:val="0"/>
        <w:jc w:val="left"/>
      </w:pPr>
      <w:r>
        <w:t>A.</w:t>
      </w:r>
      <w:r>
        <w:tab/>
        <w:t xml:space="preserve">Yes.  </w:t>
      </w:r>
      <w:r w:rsidR="00C7556F">
        <w:t>The Company agrees that this adjustment is appropriate</w:t>
      </w:r>
      <w:r>
        <w:t xml:space="preserve"> for retirements associated with pro forma major </w:t>
      </w:r>
      <w:r w:rsidR="002E38DF">
        <w:t>plant</w:t>
      </w:r>
      <w:r>
        <w:t xml:space="preserve"> additions</w:t>
      </w:r>
      <w:r w:rsidR="00C7556F">
        <w:t xml:space="preserve">.  Accordingly, the Company prepared adjustment 6.5 (Retired Assets Depreciation Expense Removal) to reflect the removal of depreciation expense associated with the Jim Bridger </w:t>
      </w:r>
      <w:r w:rsidR="00BD2BCB">
        <w:t xml:space="preserve">Unit </w:t>
      </w:r>
      <w:r w:rsidR="00C7556F">
        <w:t>3 overhaul retirements.</w:t>
      </w:r>
      <w:r w:rsidR="002E38DF">
        <w:rPr>
          <w:rStyle w:val="FootnoteReference"/>
        </w:rPr>
        <w:footnoteReference w:id="15"/>
      </w:r>
      <w:r w:rsidR="002E38DF">
        <w:t xml:space="preserve">  A similar adjustme</w:t>
      </w:r>
      <w:r w:rsidR="007E57EA">
        <w:t>nt has been prepared for Year 2 for retirements associated with Jim Bridger Unit 4 overhaul as discussed later in this testimony.</w:t>
      </w:r>
    </w:p>
    <w:p w:rsidR="00AD34B1" w:rsidRDefault="00AD34B1" w:rsidP="00AD34B1">
      <w:pPr>
        <w:pStyle w:val="Heading2"/>
      </w:pPr>
      <w:bookmarkStart w:id="11" w:name="_Toc447729289"/>
      <w:r>
        <w:t>Miscellaneous Expense and Revenue</w:t>
      </w:r>
      <w:bookmarkEnd w:id="11"/>
    </w:p>
    <w:p w:rsidR="002E38DF" w:rsidRDefault="00AD34B1" w:rsidP="002E38DF">
      <w:pPr>
        <w:pStyle w:val="Question"/>
        <w:jc w:val="left"/>
      </w:pPr>
      <w:r w:rsidRPr="005B1C34">
        <w:rPr>
          <w:rStyle w:val="Strong"/>
          <w:b/>
        </w:rPr>
        <w:t>Q.</w:t>
      </w:r>
      <w:r w:rsidRPr="005B1C34">
        <w:rPr>
          <w:rStyle w:val="Strong"/>
          <w:b/>
        </w:rPr>
        <w:tab/>
      </w:r>
      <w:r w:rsidR="0082019F">
        <w:t>Please descri</w:t>
      </w:r>
      <w:r w:rsidR="00664B6C">
        <w:t>b</w:t>
      </w:r>
      <w:r w:rsidR="0082019F">
        <w:t xml:space="preserve">e the adjustment proposed by </w:t>
      </w:r>
      <w:r w:rsidR="000D50C0">
        <w:t>Boise</w:t>
      </w:r>
      <w:r w:rsidR="0082019F">
        <w:t xml:space="preserve"> </w:t>
      </w:r>
      <w:r w:rsidR="0038588B">
        <w:t>regarding</w:t>
      </w:r>
      <w:r w:rsidR="0082019F">
        <w:t xml:space="preserve"> </w:t>
      </w:r>
      <w:proofErr w:type="spellStart"/>
      <w:r w:rsidR="0082019F">
        <w:t>Cholla</w:t>
      </w:r>
      <w:proofErr w:type="spellEnd"/>
      <w:r w:rsidR="0082019F">
        <w:t xml:space="preserve"> </w:t>
      </w:r>
      <w:proofErr w:type="spellStart"/>
      <w:r w:rsidR="0082019F">
        <w:t>O&amp;M</w:t>
      </w:r>
      <w:proofErr w:type="spellEnd"/>
      <w:r w:rsidR="002E38DF">
        <w:t>.</w:t>
      </w:r>
    </w:p>
    <w:p w:rsidR="00AD34B1" w:rsidRPr="002E38DF" w:rsidRDefault="00AD34B1" w:rsidP="002E38DF">
      <w:pPr>
        <w:pStyle w:val="Question"/>
        <w:jc w:val="left"/>
        <w:rPr>
          <w:b w:val="0"/>
        </w:rPr>
      </w:pPr>
      <w:r w:rsidRPr="002E38DF">
        <w:rPr>
          <w:b w:val="0"/>
        </w:rPr>
        <w:t>A.</w:t>
      </w:r>
      <w:r w:rsidRPr="002E38DF">
        <w:rPr>
          <w:b w:val="0"/>
        </w:rPr>
        <w:tab/>
      </w:r>
      <w:r w:rsidR="000D50C0" w:rsidRPr="002E38DF">
        <w:rPr>
          <w:b w:val="0"/>
        </w:rPr>
        <w:t>Boise</w:t>
      </w:r>
      <w:r w:rsidR="0082019F" w:rsidRPr="002E38DF">
        <w:rPr>
          <w:b w:val="0"/>
        </w:rPr>
        <w:t xml:space="preserve"> recommends correcting the allocation of a credit related to O&amp;M expense at the </w:t>
      </w:r>
      <w:proofErr w:type="spellStart"/>
      <w:r w:rsidR="0082019F" w:rsidRPr="002E38DF">
        <w:rPr>
          <w:b w:val="0"/>
        </w:rPr>
        <w:t>Cholla</w:t>
      </w:r>
      <w:proofErr w:type="spellEnd"/>
      <w:r w:rsidR="0082019F" w:rsidRPr="002E38DF">
        <w:rPr>
          <w:b w:val="0"/>
        </w:rPr>
        <w:t xml:space="preserve"> </w:t>
      </w:r>
      <w:r w:rsidR="0038588B" w:rsidRPr="002E38DF">
        <w:rPr>
          <w:b w:val="0"/>
        </w:rPr>
        <w:t>generating plan</w:t>
      </w:r>
      <w:r w:rsidR="002F57D1" w:rsidRPr="002E38DF">
        <w:rPr>
          <w:b w:val="0"/>
        </w:rPr>
        <w:t>t</w:t>
      </w:r>
      <w:r w:rsidR="0082019F" w:rsidRPr="002E38DF">
        <w:rPr>
          <w:b w:val="0"/>
        </w:rPr>
        <w:t>, which was incorrectly allocated to Washington</w:t>
      </w:r>
      <w:r w:rsidR="00EF3609">
        <w:rPr>
          <w:b w:val="0"/>
        </w:rPr>
        <w:t xml:space="preserve"> in the Company’s initial filing</w:t>
      </w:r>
      <w:r w:rsidR="0038588B" w:rsidRPr="002E38DF">
        <w:rPr>
          <w:b w:val="0"/>
        </w:rPr>
        <w:t>.</w:t>
      </w:r>
      <w:r w:rsidR="00BB1838" w:rsidRPr="002E38DF">
        <w:rPr>
          <w:rStyle w:val="FootnoteReference"/>
          <w:b w:val="0"/>
        </w:rPr>
        <w:footnoteReference w:id="16"/>
      </w:r>
      <w:r w:rsidR="0038588B" w:rsidRPr="002E38DF">
        <w:rPr>
          <w:b w:val="0"/>
        </w:rPr>
        <w:t xml:space="preserve">  The </w:t>
      </w:r>
      <w:proofErr w:type="spellStart"/>
      <w:r w:rsidR="0082019F" w:rsidRPr="002E38DF">
        <w:rPr>
          <w:b w:val="0"/>
        </w:rPr>
        <w:t>Cholla</w:t>
      </w:r>
      <w:proofErr w:type="spellEnd"/>
      <w:r w:rsidR="0082019F" w:rsidRPr="002E38DF">
        <w:rPr>
          <w:b w:val="0"/>
        </w:rPr>
        <w:t xml:space="preserve"> plant is </w:t>
      </w:r>
      <w:r w:rsidR="006A39DB">
        <w:rPr>
          <w:b w:val="0"/>
        </w:rPr>
        <w:t>not located in the west control area</w:t>
      </w:r>
      <w:r w:rsidR="005C2AB9" w:rsidRPr="002E38DF">
        <w:rPr>
          <w:b w:val="0"/>
        </w:rPr>
        <w:t>, and is</w:t>
      </w:r>
      <w:r w:rsidR="0038588B" w:rsidRPr="002E38DF">
        <w:rPr>
          <w:b w:val="0"/>
        </w:rPr>
        <w:t xml:space="preserve"> </w:t>
      </w:r>
      <w:r w:rsidR="006A39DB">
        <w:rPr>
          <w:b w:val="0"/>
        </w:rPr>
        <w:t xml:space="preserve">therefore </w:t>
      </w:r>
      <w:r w:rsidR="0038588B" w:rsidRPr="002E38DF">
        <w:rPr>
          <w:b w:val="0"/>
        </w:rPr>
        <w:t>not included in Washington rates.</w:t>
      </w:r>
      <w:r w:rsidR="0082019F" w:rsidRPr="002E38DF">
        <w:rPr>
          <w:b w:val="0"/>
        </w:rPr>
        <w:t xml:space="preserve"> </w:t>
      </w:r>
    </w:p>
    <w:p w:rsidR="0082019F" w:rsidRPr="005B1C34" w:rsidRDefault="0082019F" w:rsidP="0082019F">
      <w:pPr>
        <w:pStyle w:val="Question"/>
        <w:jc w:val="left"/>
        <w:rPr>
          <w:rStyle w:val="Strong"/>
          <w:b/>
        </w:rPr>
      </w:pPr>
      <w:r w:rsidRPr="005B1C34">
        <w:rPr>
          <w:rStyle w:val="Strong"/>
          <w:b/>
        </w:rPr>
        <w:t>Q.</w:t>
      </w:r>
      <w:r w:rsidRPr="005B1C34">
        <w:rPr>
          <w:rStyle w:val="Strong"/>
          <w:b/>
        </w:rPr>
        <w:tab/>
      </w:r>
      <w:r>
        <w:rPr>
          <w:rStyle w:val="Strong"/>
          <w:b/>
        </w:rPr>
        <w:t xml:space="preserve">Does the Company agree with </w:t>
      </w:r>
      <w:r w:rsidR="000D50C0">
        <w:rPr>
          <w:rStyle w:val="Strong"/>
          <w:b/>
        </w:rPr>
        <w:t>Boise’s</w:t>
      </w:r>
      <w:r>
        <w:rPr>
          <w:rStyle w:val="Strong"/>
          <w:b/>
        </w:rPr>
        <w:t xml:space="preserve"> proposal to remove the </w:t>
      </w:r>
      <w:proofErr w:type="spellStart"/>
      <w:r>
        <w:rPr>
          <w:rStyle w:val="Strong"/>
          <w:b/>
        </w:rPr>
        <w:t>Cholla</w:t>
      </w:r>
      <w:proofErr w:type="spellEnd"/>
      <w:r>
        <w:rPr>
          <w:rStyle w:val="Strong"/>
          <w:b/>
        </w:rPr>
        <w:t xml:space="preserve"> </w:t>
      </w:r>
      <w:proofErr w:type="spellStart"/>
      <w:r>
        <w:rPr>
          <w:rStyle w:val="Strong"/>
          <w:b/>
        </w:rPr>
        <w:t>O&amp;M</w:t>
      </w:r>
      <w:proofErr w:type="spellEnd"/>
      <w:r>
        <w:rPr>
          <w:rStyle w:val="Strong"/>
          <w:b/>
        </w:rPr>
        <w:t xml:space="preserve"> credit from Washington revenue requirement</w:t>
      </w:r>
      <w:r>
        <w:t xml:space="preserve">?  </w:t>
      </w:r>
    </w:p>
    <w:p w:rsidR="007154E3" w:rsidRPr="001F0D2D" w:rsidRDefault="0082019F" w:rsidP="0082019F">
      <w:pPr>
        <w:pStyle w:val="Answer"/>
        <w:jc w:val="left"/>
        <w:rPr>
          <w:szCs w:val="24"/>
        </w:rPr>
      </w:pPr>
      <w:r w:rsidRPr="007320FE">
        <w:t>A.</w:t>
      </w:r>
      <w:r w:rsidRPr="007320FE">
        <w:tab/>
      </w:r>
      <w:r>
        <w:t xml:space="preserve">Yes, the Company accepts </w:t>
      </w:r>
      <w:r w:rsidR="000D50C0">
        <w:t>Boise’s</w:t>
      </w:r>
      <w:r>
        <w:t xml:space="preserve"> adjustment</w:t>
      </w:r>
      <w:r w:rsidR="001D6307">
        <w:t xml:space="preserve"> and has corrected adjustment 4.1 (Miscellaneous Expense and Revenue) for this item</w:t>
      </w:r>
      <w:r w:rsidR="007154E3">
        <w:t xml:space="preserve">, </w:t>
      </w:r>
      <w:r w:rsidR="007154E3" w:rsidRPr="00FA7792">
        <w:rPr>
          <w:szCs w:val="24"/>
        </w:rPr>
        <w:t>which</w:t>
      </w:r>
      <w:r w:rsidR="007154E3" w:rsidRPr="001F0D2D">
        <w:rPr>
          <w:iCs/>
          <w:szCs w:val="24"/>
        </w:rPr>
        <w:t xml:space="preserve"> </w:t>
      </w:r>
      <w:r w:rsidRPr="001F0D2D">
        <w:rPr>
          <w:szCs w:val="24"/>
        </w:rPr>
        <w:t>increase</w:t>
      </w:r>
      <w:r w:rsidR="007154E3" w:rsidRPr="001F0D2D">
        <w:rPr>
          <w:szCs w:val="24"/>
        </w:rPr>
        <w:t>s</w:t>
      </w:r>
      <w:r w:rsidRPr="001F0D2D">
        <w:rPr>
          <w:szCs w:val="24"/>
        </w:rPr>
        <w:t xml:space="preserve"> </w:t>
      </w:r>
    </w:p>
    <w:p w:rsidR="0082019F" w:rsidRPr="00FA7792" w:rsidRDefault="0082019F" w:rsidP="007154E3">
      <w:pPr>
        <w:pStyle w:val="Answer"/>
        <w:ind w:firstLine="0"/>
        <w:jc w:val="left"/>
        <w:rPr>
          <w:szCs w:val="24"/>
        </w:rPr>
      </w:pPr>
      <w:r w:rsidRPr="001F0D2D">
        <w:rPr>
          <w:szCs w:val="24"/>
        </w:rPr>
        <w:t xml:space="preserve">revenue requirement </w:t>
      </w:r>
      <w:r w:rsidR="007154E3" w:rsidRPr="001F0D2D">
        <w:rPr>
          <w:szCs w:val="24"/>
        </w:rPr>
        <w:t>by</w:t>
      </w:r>
      <w:r w:rsidRPr="001F0D2D">
        <w:rPr>
          <w:szCs w:val="24"/>
        </w:rPr>
        <w:t xml:space="preserve"> </w:t>
      </w:r>
      <w:r w:rsidR="001D6307" w:rsidRPr="001F0D2D">
        <w:rPr>
          <w:szCs w:val="24"/>
        </w:rPr>
        <w:t>$</w:t>
      </w:r>
      <w:r w:rsidR="00FA18B5" w:rsidRPr="001F0D2D">
        <w:rPr>
          <w:szCs w:val="24"/>
        </w:rPr>
        <w:t>102</w:t>
      </w:r>
      <w:r w:rsidR="001D6307" w:rsidRPr="001F0D2D">
        <w:rPr>
          <w:szCs w:val="24"/>
        </w:rPr>
        <w:t>,000</w:t>
      </w:r>
      <w:r w:rsidRPr="001F0D2D">
        <w:rPr>
          <w:szCs w:val="24"/>
        </w:rPr>
        <w:t>.</w:t>
      </w:r>
      <w:r w:rsidRPr="00FA7792">
        <w:rPr>
          <w:szCs w:val="24"/>
        </w:rPr>
        <w:t xml:space="preserve"> </w:t>
      </w:r>
    </w:p>
    <w:p w:rsidR="00BC201C" w:rsidRDefault="00BC201C" w:rsidP="00BC201C">
      <w:pPr>
        <w:pStyle w:val="Heading2"/>
      </w:pPr>
      <w:bookmarkStart w:id="12" w:name="_Toc447729290"/>
      <w:r w:rsidRPr="0029333D">
        <w:t>M</w:t>
      </w:r>
      <w:r>
        <w:t>emberships and Subscriptions</w:t>
      </w:r>
      <w:bookmarkEnd w:id="12"/>
      <w:r w:rsidRPr="0029333D">
        <w:t xml:space="preserve"> </w:t>
      </w:r>
    </w:p>
    <w:p w:rsidR="00BC201C" w:rsidRDefault="00BC201C" w:rsidP="00BC201C">
      <w:pPr>
        <w:pStyle w:val="Answer"/>
        <w:jc w:val="left"/>
        <w:rPr>
          <w:b/>
        </w:rPr>
      </w:pPr>
      <w:r w:rsidRPr="00511D0A">
        <w:rPr>
          <w:b/>
        </w:rPr>
        <w:t>Q.</w:t>
      </w:r>
      <w:r w:rsidRPr="00511D0A">
        <w:rPr>
          <w:b/>
        </w:rPr>
        <w:tab/>
      </w:r>
      <w:r>
        <w:rPr>
          <w:b/>
        </w:rPr>
        <w:t xml:space="preserve">Did the Company adopt any of </w:t>
      </w:r>
      <w:r w:rsidR="00A42EA4">
        <w:rPr>
          <w:b/>
        </w:rPr>
        <w:t>Staff’s</w:t>
      </w:r>
      <w:r>
        <w:rPr>
          <w:b/>
        </w:rPr>
        <w:t xml:space="preserve"> proposed adjustments to memberships and subscriptions?</w:t>
      </w:r>
    </w:p>
    <w:p w:rsidR="00BC201C" w:rsidRDefault="00BC201C" w:rsidP="00BC201C">
      <w:pPr>
        <w:pStyle w:val="Answer"/>
        <w:widowControl w:val="0"/>
        <w:jc w:val="left"/>
      </w:pPr>
      <w:r>
        <w:t>A</w:t>
      </w:r>
      <w:r w:rsidRPr="000B676A">
        <w:t>.</w:t>
      </w:r>
      <w:r w:rsidRPr="000B676A">
        <w:tab/>
      </w:r>
      <w:r>
        <w:t>Yes.  Staff proposed an adjustment to remove the costs associated with the Utah Taxpayers Association and Wyoming Taxpayers Association memberships.</w:t>
      </w:r>
      <w:r w:rsidR="00081256">
        <w:rPr>
          <w:rStyle w:val="FootnoteReference"/>
        </w:rPr>
        <w:footnoteReference w:id="17"/>
      </w:r>
      <w:r>
        <w:t xml:space="preserve">  </w:t>
      </w:r>
      <w:r w:rsidR="00A42EA4">
        <w:t xml:space="preserve">Despite the fact that there are </w:t>
      </w:r>
      <w:r w:rsidR="003A52B1">
        <w:t>west control area</w:t>
      </w:r>
      <w:r w:rsidR="00A42EA4">
        <w:t xml:space="preserve"> assets located in Wyoming, f</w:t>
      </w:r>
      <w:r>
        <w:t xml:space="preserve">or the purposes of this proceeding, the Company </w:t>
      </w:r>
      <w:r w:rsidR="003A52B1">
        <w:t>agrees</w:t>
      </w:r>
      <w:r>
        <w:t xml:space="preserve"> to remove the $29,899 costs on a total company basis, or $1,990 Washington allocated, for these two memberships</w:t>
      </w:r>
      <w:r w:rsidR="00A42EA4">
        <w:t>, as reflected</w:t>
      </w:r>
      <w:r>
        <w:t xml:space="preserve"> in adjustment 4.9 </w:t>
      </w:r>
      <w:r w:rsidR="00A42EA4">
        <w:t>(Memberships and Subscriptions)</w:t>
      </w:r>
      <w:r>
        <w:t>.</w:t>
      </w:r>
    </w:p>
    <w:p w:rsidR="00BC201C" w:rsidRDefault="00BC201C" w:rsidP="00BC201C">
      <w:pPr>
        <w:pStyle w:val="Answer"/>
        <w:jc w:val="left"/>
        <w:rPr>
          <w:b/>
        </w:rPr>
      </w:pPr>
      <w:r w:rsidRPr="00511D0A">
        <w:rPr>
          <w:b/>
        </w:rPr>
        <w:t>Q.</w:t>
      </w:r>
      <w:r w:rsidRPr="00511D0A">
        <w:rPr>
          <w:b/>
        </w:rPr>
        <w:tab/>
      </w:r>
      <w:r w:rsidR="0055611A">
        <w:rPr>
          <w:b/>
        </w:rPr>
        <w:t>Does</w:t>
      </w:r>
      <w:r>
        <w:rPr>
          <w:b/>
        </w:rPr>
        <w:t xml:space="preserve"> Staff</w:t>
      </w:r>
      <w:r w:rsidR="0055611A">
        <w:rPr>
          <w:b/>
        </w:rPr>
        <w:t xml:space="preserve"> </w:t>
      </w:r>
      <w:r>
        <w:rPr>
          <w:b/>
        </w:rPr>
        <w:t>propose</w:t>
      </w:r>
      <w:r w:rsidR="0055611A">
        <w:rPr>
          <w:b/>
        </w:rPr>
        <w:t xml:space="preserve"> any</w:t>
      </w:r>
      <w:r>
        <w:rPr>
          <w:b/>
        </w:rPr>
        <w:t xml:space="preserve"> adjustments to memberships and subscriptions </w:t>
      </w:r>
      <w:r w:rsidR="0055611A">
        <w:rPr>
          <w:b/>
        </w:rPr>
        <w:t xml:space="preserve">that the Company </w:t>
      </w:r>
      <w:r>
        <w:rPr>
          <w:b/>
        </w:rPr>
        <w:t xml:space="preserve">does </w:t>
      </w:r>
      <w:r w:rsidR="0055611A">
        <w:rPr>
          <w:b/>
        </w:rPr>
        <w:t>not</w:t>
      </w:r>
      <w:r>
        <w:rPr>
          <w:b/>
        </w:rPr>
        <w:t xml:space="preserve"> </w:t>
      </w:r>
      <w:r w:rsidR="009615ED">
        <w:rPr>
          <w:b/>
        </w:rPr>
        <w:t>accept</w:t>
      </w:r>
      <w:r>
        <w:rPr>
          <w:b/>
        </w:rPr>
        <w:t>?</w:t>
      </w:r>
    </w:p>
    <w:p w:rsidR="00E100E2" w:rsidRDefault="00BC201C" w:rsidP="00BC201C">
      <w:pPr>
        <w:pStyle w:val="Answer"/>
        <w:widowControl w:val="0"/>
        <w:jc w:val="left"/>
      </w:pPr>
      <w:r>
        <w:t>A</w:t>
      </w:r>
      <w:r w:rsidRPr="000B676A">
        <w:t>.</w:t>
      </w:r>
      <w:r w:rsidRPr="000B676A">
        <w:tab/>
      </w:r>
      <w:r w:rsidR="0055611A">
        <w:t xml:space="preserve">Yes.  </w:t>
      </w:r>
      <w:r>
        <w:t>Staff</w:t>
      </w:r>
      <w:r w:rsidRPr="000B676A">
        <w:t xml:space="preserve"> </w:t>
      </w:r>
      <w:r>
        <w:t xml:space="preserve">also proposed an adjustment to </w:t>
      </w:r>
      <w:r w:rsidR="003A52B1">
        <w:t>remove costs associated with</w:t>
      </w:r>
      <w:r>
        <w:t xml:space="preserve"> the Yakima County Development Association</w:t>
      </w:r>
      <w:r w:rsidR="009D653D">
        <w:t>, which</w:t>
      </w:r>
      <w:r>
        <w:t xml:space="preserve"> </w:t>
      </w:r>
      <w:r w:rsidR="003A52B1">
        <w:t>is</w:t>
      </w:r>
      <w:r>
        <w:t xml:space="preserve"> $12,000</w:t>
      </w:r>
      <w:r w:rsidR="003A52B1">
        <w:t xml:space="preserve"> on a Washington allocated basis</w:t>
      </w:r>
      <w:r>
        <w:t>.</w:t>
      </w:r>
      <w:r w:rsidR="00031FAE">
        <w:rPr>
          <w:rStyle w:val="FootnoteReference"/>
        </w:rPr>
        <w:footnoteReference w:id="18"/>
      </w:r>
      <w:r>
        <w:t xml:space="preserve">  Staff </w:t>
      </w:r>
      <w:r w:rsidR="00B65905">
        <w:t>states that it</w:t>
      </w:r>
      <w:r w:rsidR="00AE5F08">
        <w:t>s recommendation is</w:t>
      </w:r>
      <w:r w:rsidR="00E100E2">
        <w:t xml:space="preserve"> </w:t>
      </w:r>
      <w:r w:rsidR="00AE5F08">
        <w:t>based</w:t>
      </w:r>
      <w:r>
        <w:t xml:space="preserve"> on the Company’s response to Staff Data Request No. 151 in which </w:t>
      </w:r>
      <w:r w:rsidR="00B675FF">
        <w:t>“</w:t>
      </w:r>
      <w:r>
        <w:t>the Company states</w:t>
      </w:r>
      <w:r w:rsidR="00B675FF">
        <w:t xml:space="preserve"> that the purpose of thes</w:t>
      </w:r>
      <w:r w:rsidR="00D172AA">
        <w:t xml:space="preserve">e memberships is to strengthen </w:t>
      </w:r>
      <w:r w:rsidR="00B675FF">
        <w:t>relationship</w:t>
      </w:r>
      <w:r w:rsidR="00D172AA">
        <w:t>s</w:t>
      </w:r>
      <w:r w:rsidR="00B675FF">
        <w:t>.”</w:t>
      </w:r>
      <w:r w:rsidR="00D172AA">
        <w:rPr>
          <w:rStyle w:val="FootnoteReference"/>
        </w:rPr>
        <w:footnoteReference w:id="19"/>
      </w:r>
      <w:r w:rsidR="00B675FF">
        <w:t xml:space="preserve"> </w:t>
      </w:r>
      <w:r w:rsidR="00465ED4">
        <w:t xml:space="preserve"> </w:t>
      </w:r>
      <w:r w:rsidR="00D172AA">
        <w:t>Staff states</w:t>
      </w:r>
      <w:r w:rsidR="00B675FF">
        <w:t xml:space="preserve"> that </w:t>
      </w:r>
      <w:r w:rsidR="00D172AA">
        <w:t>“</w:t>
      </w:r>
      <w:r w:rsidR="00B675FF">
        <w:t>strengthening relationships is not the core business of providing electric service”</w:t>
      </w:r>
      <w:r w:rsidR="00D172AA">
        <w:t xml:space="preserve"> and therefore concludes that the</w:t>
      </w:r>
      <w:r w:rsidR="00B675FF">
        <w:t xml:space="preserve"> expenses should be excluded.</w:t>
      </w:r>
      <w:r w:rsidR="00D172AA">
        <w:rPr>
          <w:rStyle w:val="FootnoteReference"/>
        </w:rPr>
        <w:footnoteReference w:id="20"/>
      </w:r>
      <w:r>
        <w:t xml:space="preserve">  </w:t>
      </w:r>
      <w:r w:rsidR="00E100E2">
        <w:t>Staff’s characterization of the Company’s data response, however, is incomplete and misleading.  In fact, the Company</w:t>
      </w:r>
      <w:r w:rsidR="0055611A">
        <w:t xml:space="preserve"> fully explained </w:t>
      </w:r>
      <w:r w:rsidR="00873F08">
        <w:t xml:space="preserve">that </w:t>
      </w:r>
      <w:r w:rsidR="0055611A">
        <w:t>the purpose for the membership</w:t>
      </w:r>
      <w:r w:rsidR="00873F08">
        <w:t xml:space="preserve"> is to</w:t>
      </w:r>
      <w:r w:rsidR="003A52B1">
        <w:t>:</w:t>
      </w:r>
      <w:r w:rsidR="00D172AA">
        <w:t xml:space="preserve"> </w:t>
      </w:r>
    </w:p>
    <w:p w:rsidR="00BC201C" w:rsidRDefault="003A52B1" w:rsidP="0058142C">
      <w:pPr>
        <w:pStyle w:val="Answer"/>
        <w:widowControl w:val="0"/>
        <w:spacing w:line="240" w:lineRule="auto"/>
        <w:ind w:left="2160" w:right="1440" w:firstLine="0"/>
        <w:jc w:val="left"/>
      </w:pPr>
      <w:r>
        <w:rPr>
          <w:szCs w:val="24"/>
        </w:rPr>
        <w:t xml:space="preserve">[strengthen] relationships </w:t>
      </w:r>
      <w:r w:rsidR="00BC201C" w:rsidRPr="00646800">
        <w:rPr>
          <w:szCs w:val="24"/>
        </w:rPr>
        <w:t>with key community and business leaders and building sustainable communities through enhanced economic development, environmental and educational opportunities.</w:t>
      </w:r>
      <w:r w:rsidR="00BC201C" w:rsidRPr="00D266D1">
        <w:t xml:space="preserve"> </w:t>
      </w:r>
      <w:r w:rsidR="00BC201C">
        <w:t xml:space="preserve"> </w:t>
      </w:r>
      <w:r w:rsidR="00BC201C" w:rsidRPr="00646800">
        <w:t>The Company supports state and regional economic development agencies that work directly with expanding and relocating companies throughout its six state service territory.  In this manner, the Company indirectly assists prospective customers with their siting decisions; to the extent that customers locate in the Company’s service territory, these decisions enhance electrical system asset utilization and reduce overall costs.</w:t>
      </w:r>
      <w:r w:rsidR="00D36578">
        <w:rPr>
          <w:rStyle w:val="FootnoteReference"/>
        </w:rPr>
        <w:footnoteReference w:id="21"/>
      </w:r>
      <w:r w:rsidR="00BC201C" w:rsidRPr="00646800">
        <w:t xml:space="preserve">  </w:t>
      </w:r>
    </w:p>
    <w:p w:rsidR="00E100E2" w:rsidRDefault="00E100E2" w:rsidP="001011A4">
      <w:pPr>
        <w:pStyle w:val="Answer"/>
        <w:widowControl w:val="0"/>
        <w:suppressLineNumbers/>
        <w:spacing w:line="240" w:lineRule="auto"/>
        <w:ind w:left="2160" w:right="1440" w:firstLine="0"/>
        <w:jc w:val="left"/>
      </w:pPr>
    </w:p>
    <w:p w:rsidR="00D36578" w:rsidRDefault="00FA0585" w:rsidP="0058142C">
      <w:pPr>
        <w:pStyle w:val="Answer"/>
        <w:widowControl w:val="0"/>
        <w:ind w:firstLine="720"/>
        <w:jc w:val="left"/>
      </w:pPr>
      <w:r>
        <w:t xml:space="preserve">These specific costs were made in a Washington community and </w:t>
      </w:r>
      <w:r w:rsidR="00BC201C">
        <w:t>the Company believes these amounts are a</w:t>
      </w:r>
      <w:r w:rsidR="0059032B">
        <w:t>ppropriately</w:t>
      </w:r>
      <w:r w:rsidR="00BC201C">
        <w:t xml:space="preserve"> assigned to Washington</w:t>
      </w:r>
      <w:r>
        <w:t xml:space="preserve"> customers</w:t>
      </w:r>
      <w:r w:rsidR="00BC201C">
        <w:t>.</w:t>
      </w:r>
    </w:p>
    <w:p w:rsidR="00D36578" w:rsidRDefault="00D36578" w:rsidP="00D36578">
      <w:pPr>
        <w:pStyle w:val="Heading2"/>
        <w:jc w:val="left"/>
      </w:pPr>
      <w:bookmarkStart w:id="13" w:name="_Toc447729291"/>
      <w:r>
        <w:t>Interest True Up</w:t>
      </w:r>
      <w:bookmarkEnd w:id="13"/>
    </w:p>
    <w:p w:rsidR="00D36578" w:rsidRDefault="00D36578" w:rsidP="00D36578">
      <w:pPr>
        <w:pStyle w:val="Answer"/>
        <w:widowControl w:val="0"/>
        <w:jc w:val="left"/>
        <w:rPr>
          <w:b/>
        </w:rPr>
      </w:pPr>
      <w:r>
        <w:rPr>
          <w:b/>
        </w:rPr>
        <w:t>Q.</w:t>
      </w:r>
      <w:r>
        <w:rPr>
          <w:b/>
        </w:rPr>
        <w:tab/>
        <w:t xml:space="preserve">Did the Company make any revisions to adjustment 7.1 (Interest True Up)?  </w:t>
      </w:r>
    </w:p>
    <w:p w:rsidR="00BC201C" w:rsidRDefault="00D36578" w:rsidP="00D36578">
      <w:pPr>
        <w:pStyle w:val="Answer"/>
        <w:jc w:val="left"/>
      </w:pPr>
      <w:r w:rsidRPr="00996C1B">
        <w:t>A.</w:t>
      </w:r>
      <w:r w:rsidRPr="00996C1B">
        <w:tab/>
        <w:t xml:space="preserve">Yes.  </w:t>
      </w:r>
      <w:r>
        <w:t>The Company updated adjustment 7.1 to incorporate the impacts of the other adjustments included as part of the Company’s rebuttal position.  No other changes have been made to this adjustment</w:t>
      </w:r>
      <w:r w:rsidR="00E8602A">
        <w:t xml:space="preserve">. </w:t>
      </w:r>
    </w:p>
    <w:p w:rsidR="00D36578" w:rsidRPr="00E41CAB" w:rsidRDefault="00D36578" w:rsidP="00D36578">
      <w:pPr>
        <w:pStyle w:val="Answer"/>
        <w:jc w:val="left"/>
      </w:pPr>
      <w:r w:rsidRPr="00A65B51">
        <w:rPr>
          <w:b/>
        </w:rPr>
        <w:t>Remove Deferred State Tax Expense and Balance</w:t>
      </w:r>
    </w:p>
    <w:p w:rsidR="00D36578" w:rsidRPr="002B7431" w:rsidRDefault="00D36578" w:rsidP="00D36578">
      <w:pPr>
        <w:pStyle w:val="Answer"/>
        <w:jc w:val="left"/>
      </w:pPr>
      <w:r w:rsidRPr="0037593A">
        <w:rPr>
          <w:b/>
        </w:rPr>
        <w:t>Q.</w:t>
      </w:r>
      <w:r>
        <w:tab/>
      </w:r>
      <w:r>
        <w:rPr>
          <w:b/>
        </w:rPr>
        <w:t>Please d</w:t>
      </w:r>
      <w:r w:rsidRPr="0037593A">
        <w:rPr>
          <w:b/>
        </w:rPr>
        <w:t>escribe the</w:t>
      </w:r>
      <w:r>
        <w:rPr>
          <w:b/>
        </w:rPr>
        <w:t xml:space="preserve"> Company’s</w:t>
      </w:r>
      <w:r w:rsidRPr="0037593A">
        <w:rPr>
          <w:b/>
        </w:rPr>
        <w:t xml:space="preserve"> update to </w:t>
      </w:r>
      <w:r w:rsidR="00C7004F">
        <w:rPr>
          <w:b/>
        </w:rPr>
        <w:t xml:space="preserve">adjustments 7.4 (Power Tax ADIT balances) and </w:t>
      </w:r>
      <w:r>
        <w:rPr>
          <w:b/>
        </w:rPr>
        <w:t>a</w:t>
      </w:r>
      <w:r w:rsidRPr="0037593A">
        <w:rPr>
          <w:b/>
        </w:rPr>
        <w:t xml:space="preserve">djustment 7.7 </w:t>
      </w:r>
      <w:r>
        <w:rPr>
          <w:b/>
        </w:rPr>
        <w:t>(</w:t>
      </w:r>
      <w:r w:rsidRPr="0037593A">
        <w:rPr>
          <w:b/>
        </w:rPr>
        <w:t>Remove Deferred State Tax Expense and Balance</w:t>
      </w:r>
      <w:r>
        <w:rPr>
          <w:b/>
        </w:rPr>
        <w:t>)</w:t>
      </w:r>
      <w:r w:rsidRPr="0037593A">
        <w:rPr>
          <w:b/>
        </w:rPr>
        <w:t>.</w:t>
      </w:r>
    </w:p>
    <w:p w:rsidR="00D36578" w:rsidRDefault="00D36578" w:rsidP="00D36578">
      <w:pPr>
        <w:pStyle w:val="Answer"/>
        <w:jc w:val="left"/>
      </w:pPr>
      <w:r>
        <w:t>A.</w:t>
      </w:r>
      <w:r>
        <w:tab/>
        <w:t>The Company updated adjustment</w:t>
      </w:r>
      <w:r w:rsidR="00C7004F">
        <w:t>s</w:t>
      </w:r>
      <w:r>
        <w:t xml:space="preserve"> </w:t>
      </w:r>
      <w:r w:rsidR="00C7004F">
        <w:t xml:space="preserve">7.4 and </w:t>
      </w:r>
      <w:r>
        <w:t>7.7 to reflect the impact of the Company’s rebuttal adjustments to revenue requirement.  If additional adjustments proposed by other parties to this case are accepted by the Commission, adjustment</w:t>
      </w:r>
      <w:r w:rsidR="00C7004F">
        <w:t>s 7.4 and</w:t>
      </w:r>
      <w:r w:rsidR="00BF1D03">
        <w:t xml:space="preserve"> </w:t>
      </w:r>
      <w:r>
        <w:t xml:space="preserve">7.7 will need to be updated.  </w:t>
      </w:r>
    </w:p>
    <w:p w:rsidR="001011A4" w:rsidRDefault="001011A4" w:rsidP="001011A4">
      <w:pPr>
        <w:pStyle w:val="Answer"/>
        <w:suppressLineNumbers/>
        <w:jc w:val="left"/>
      </w:pPr>
    </w:p>
    <w:p w:rsidR="001011A4" w:rsidRDefault="001011A4" w:rsidP="001011A4">
      <w:pPr>
        <w:pStyle w:val="Answer"/>
        <w:suppressLineNumbers/>
        <w:jc w:val="left"/>
      </w:pPr>
    </w:p>
    <w:p w:rsidR="001011A4" w:rsidRDefault="001011A4" w:rsidP="001011A4">
      <w:pPr>
        <w:pStyle w:val="Answer"/>
        <w:suppressLineNumbers/>
        <w:jc w:val="left"/>
      </w:pPr>
    </w:p>
    <w:p w:rsidR="00495D49" w:rsidRDefault="00495D49" w:rsidP="001011A4">
      <w:pPr>
        <w:pStyle w:val="Answer"/>
        <w:suppressLineNumbers/>
        <w:jc w:val="left"/>
      </w:pPr>
    </w:p>
    <w:p w:rsidR="00B95578" w:rsidRDefault="000D5E2A" w:rsidP="00B95578">
      <w:pPr>
        <w:pStyle w:val="Heading1"/>
        <w:spacing w:after="240" w:line="240" w:lineRule="auto"/>
        <w:jc w:val="center"/>
      </w:pPr>
      <w:bookmarkStart w:id="14" w:name="_Toc447729292"/>
      <w:r>
        <w:t>OTHER ADJUSTMENTS REVISED BY THE COMPANY</w:t>
      </w:r>
      <w:bookmarkEnd w:id="14"/>
    </w:p>
    <w:p w:rsidR="00B95578" w:rsidRDefault="00B95578" w:rsidP="00D36578">
      <w:pPr>
        <w:pStyle w:val="Answer"/>
        <w:jc w:val="left"/>
        <w:rPr>
          <w:b/>
        </w:rPr>
      </w:pPr>
      <w:r>
        <w:rPr>
          <w:b/>
        </w:rPr>
        <w:t>Accelerated Depreciation</w:t>
      </w:r>
    </w:p>
    <w:p w:rsidR="00B95578" w:rsidRDefault="00B95578" w:rsidP="00D36578">
      <w:pPr>
        <w:pStyle w:val="Answer"/>
        <w:jc w:val="left"/>
        <w:rPr>
          <w:b/>
        </w:rPr>
      </w:pPr>
      <w:r>
        <w:rPr>
          <w:b/>
        </w:rPr>
        <w:t>Q.</w:t>
      </w:r>
      <w:r>
        <w:rPr>
          <w:b/>
        </w:rPr>
        <w:tab/>
        <w:t xml:space="preserve">Did the Company make any revisions to </w:t>
      </w:r>
      <w:r w:rsidR="005A592B">
        <w:rPr>
          <w:b/>
        </w:rPr>
        <w:t>the</w:t>
      </w:r>
      <w:r>
        <w:rPr>
          <w:b/>
        </w:rPr>
        <w:t xml:space="preserve"> adjustment for </w:t>
      </w:r>
      <w:r w:rsidR="005A592B">
        <w:rPr>
          <w:b/>
        </w:rPr>
        <w:t xml:space="preserve">its </w:t>
      </w:r>
      <w:r>
        <w:rPr>
          <w:b/>
        </w:rPr>
        <w:t>accelerated depreciation</w:t>
      </w:r>
      <w:r w:rsidR="005A592B">
        <w:rPr>
          <w:b/>
        </w:rPr>
        <w:t xml:space="preserve"> proposal?</w:t>
      </w:r>
    </w:p>
    <w:p w:rsidR="005A592B" w:rsidRDefault="005A592B" w:rsidP="00D36578">
      <w:pPr>
        <w:pStyle w:val="Answer"/>
        <w:jc w:val="left"/>
      </w:pPr>
      <w:r>
        <w:t>A.</w:t>
      </w:r>
      <w:r>
        <w:tab/>
        <w:t xml:space="preserve">Yes.  The Company has revised adjustment 6.4 (Accelerated Depreciation – Colstrip &amp; Jim Bridger) to reflect the anticipated </w:t>
      </w:r>
      <w:r w:rsidR="004E18AF">
        <w:t xml:space="preserve">rate </w:t>
      </w:r>
      <w:r>
        <w:t xml:space="preserve">effective date of July 1, 2016.  </w:t>
      </w:r>
      <w:r w:rsidR="00B031A7">
        <w:t xml:space="preserve">The Company’s initial filing assumed a May 1, 2016 rate effective date, and that accelerated depreciation would be implemented at that time.  </w:t>
      </w:r>
      <w:r w:rsidR="0055611A">
        <w:t xml:space="preserve">Adjustment 6.4 has </w:t>
      </w:r>
      <w:r>
        <w:t xml:space="preserve">been revised to </w:t>
      </w:r>
      <w:r w:rsidR="00B031A7">
        <w:t xml:space="preserve">implement accelerated depreciation on July 1, 2016.  In addition, Adjustment 6.4 </w:t>
      </w:r>
      <w:r>
        <w:t>take</w:t>
      </w:r>
      <w:r w:rsidR="00B031A7">
        <w:t>s</w:t>
      </w:r>
      <w:r>
        <w:t xml:space="preserve"> into account </w:t>
      </w:r>
      <w:r w:rsidR="00B031A7">
        <w:t xml:space="preserve">actual capital costs associated with Jim Bridger Unit 3 overhaul as discussed above, and </w:t>
      </w:r>
      <w:r>
        <w:t>tax depreciation impacts in accordance with tax normalization requirements in Washington.</w:t>
      </w:r>
    </w:p>
    <w:p w:rsidR="005A592B" w:rsidRDefault="005A592B" w:rsidP="00D36578">
      <w:pPr>
        <w:pStyle w:val="Answer"/>
        <w:jc w:val="left"/>
      </w:pPr>
      <w:r>
        <w:tab/>
      </w:r>
      <w:r>
        <w:tab/>
        <w:t xml:space="preserve">For further discussion of the Company’s </w:t>
      </w:r>
      <w:r w:rsidR="00534907">
        <w:t xml:space="preserve">policy </w:t>
      </w:r>
      <w:r>
        <w:t xml:space="preserve">proposal on accelerating depreciation on the Jim Bridger </w:t>
      </w:r>
      <w:r w:rsidR="00534907">
        <w:t xml:space="preserve">plant </w:t>
      </w:r>
      <w:r>
        <w:t xml:space="preserve">and Colstrip </w:t>
      </w:r>
      <w:r w:rsidR="00534907">
        <w:t>Unit 4</w:t>
      </w:r>
      <w:r>
        <w:t>, please see the rebuttal testimony of Mr. Dalley.</w:t>
      </w:r>
    </w:p>
    <w:p w:rsidR="007A7B79" w:rsidRDefault="007A7B79" w:rsidP="00D36578">
      <w:pPr>
        <w:pStyle w:val="Answer"/>
        <w:jc w:val="left"/>
        <w:rPr>
          <w:b/>
        </w:rPr>
      </w:pPr>
      <w:r>
        <w:rPr>
          <w:b/>
        </w:rPr>
        <w:t>Production Tax Credits</w:t>
      </w:r>
    </w:p>
    <w:p w:rsidR="007A7B79" w:rsidRDefault="007A7B79" w:rsidP="00D36578">
      <w:pPr>
        <w:pStyle w:val="Answer"/>
        <w:jc w:val="left"/>
        <w:rPr>
          <w:b/>
        </w:rPr>
      </w:pPr>
      <w:r>
        <w:rPr>
          <w:b/>
        </w:rPr>
        <w:t>Q.</w:t>
      </w:r>
      <w:r>
        <w:rPr>
          <w:b/>
        </w:rPr>
        <w:tab/>
        <w:t xml:space="preserve">Did the Company make any changes to its adjustment for </w:t>
      </w:r>
      <w:r w:rsidR="00E768DB">
        <w:rPr>
          <w:b/>
        </w:rPr>
        <w:t xml:space="preserve">production tax credits </w:t>
      </w:r>
      <w:r>
        <w:rPr>
          <w:b/>
        </w:rPr>
        <w:t>PTC</w:t>
      </w:r>
      <w:r w:rsidR="00E768DB">
        <w:rPr>
          <w:b/>
        </w:rPr>
        <w:t>s</w:t>
      </w:r>
      <w:r>
        <w:rPr>
          <w:b/>
        </w:rPr>
        <w:t>?</w:t>
      </w:r>
    </w:p>
    <w:p w:rsidR="007A7B79" w:rsidRDefault="007A7B79" w:rsidP="00D36578">
      <w:pPr>
        <w:pStyle w:val="Answer"/>
        <w:jc w:val="left"/>
      </w:pPr>
      <w:r>
        <w:t>A.</w:t>
      </w:r>
      <w:r>
        <w:tab/>
        <w:t xml:space="preserve">Yes, </w:t>
      </w:r>
      <w:r w:rsidR="004C6D45">
        <w:t xml:space="preserve">similar to adjustments described above, </w:t>
      </w:r>
      <w:r>
        <w:t xml:space="preserve">the Company has updated adjustment 7.3 (Production Tax Credits) </w:t>
      </w:r>
      <w:r w:rsidR="004C6D45">
        <w:t>to reflect the revised rate effective period beginning J</w:t>
      </w:r>
      <w:r>
        <w:t>uly</w:t>
      </w:r>
      <w:r w:rsidR="004C6D45">
        <w:t xml:space="preserve"> </w:t>
      </w:r>
      <w:r>
        <w:t>1, 2016.</w:t>
      </w:r>
    </w:p>
    <w:p w:rsidR="001011A4" w:rsidRDefault="001011A4" w:rsidP="001011A4">
      <w:pPr>
        <w:pStyle w:val="Answer"/>
        <w:suppressLineNumbers/>
        <w:jc w:val="left"/>
      </w:pPr>
    </w:p>
    <w:p w:rsidR="001011A4" w:rsidRDefault="001011A4" w:rsidP="001011A4">
      <w:pPr>
        <w:pStyle w:val="Answer"/>
        <w:suppressLineNumbers/>
        <w:jc w:val="left"/>
      </w:pPr>
    </w:p>
    <w:p w:rsidR="001933E3" w:rsidRDefault="000D5E2A" w:rsidP="001933E3">
      <w:pPr>
        <w:pStyle w:val="Heading1"/>
        <w:spacing w:after="240" w:line="240" w:lineRule="auto"/>
        <w:jc w:val="center"/>
      </w:pPr>
      <w:bookmarkStart w:id="15" w:name="_Toc447729293"/>
      <w:r>
        <w:t>STAFF ADJUSTMENTS NOT ACCEPTED BY THE COMPANY</w:t>
      </w:r>
      <w:bookmarkEnd w:id="15"/>
    </w:p>
    <w:p w:rsidR="001933E3" w:rsidRDefault="001933E3" w:rsidP="001933E3">
      <w:pPr>
        <w:pStyle w:val="Heading2"/>
      </w:pPr>
      <w:bookmarkStart w:id="16" w:name="_Toc447729294"/>
      <w:r>
        <w:t>Environmental Remediation Costs</w:t>
      </w:r>
      <w:bookmarkEnd w:id="16"/>
    </w:p>
    <w:p w:rsidR="001933E3" w:rsidRDefault="001933E3" w:rsidP="001933E3">
      <w:pPr>
        <w:pStyle w:val="Answer"/>
        <w:jc w:val="left"/>
        <w:rPr>
          <w:b/>
        </w:rPr>
      </w:pPr>
      <w:r w:rsidRPr="00511D0A">
        <w:rPr>
          <w:b/>
        </w:rPr>
        <w:t>Q.</w:t>
      </w:r>
      <w:r w:rsidR="0059032B">
        <w:rPr>
          <w:b/>
        </w:rPr>
        <w:tab/>
      </w:r>
      <w:r>
        <w:rPr>
          <w:b/>
        </w:rPr>
        <w:t>Please describ</w:t>
      </w:r>
      <w:r w:rsidRPr="00664B6C">
        <w:rPr>
          <w:b/>
        </w:rPr>
        <w:t xml:space="preserve">e </w:t>
      </w:r>
      <w:r>
        <w:rPr>
          <w:b/>
        </w:rPr>
        <w:t>Staff’s proposed adjustment to environmental remediation costs.</w:t>
      </w:r>
    </w:p>
    <w:p w:rsidR="001933E3" w:rsidRDefault="001933E3" w:rsidP="001933E3">
      <w:pPr>
        <w:pStyle w:val="Answer"/>
        <w:widowControl w:val="0"/>
        <w:jc w:val="left"/>
      </w:pPr>
      <w:r>
        <w:t>A</w:t>
      </w:r>
      <w:r w:rsidRPr="000B676A">
        <w:t>.</w:t>
      </w:r>
      <w:r w:rsidRPr="000B676A">
        <w:tab/>
      </w:r>
      <w:r>
        <w:t xml:space="preserve">Staff proposes allocating </w:t>
      </w:r>
      <w:r w:rsidR="00DD0470">
        <w:t xml:space="preserve">to Washington </w:t>
      </w:r>
      <w:r>
        <w:t xml:space="preserve">only those costs for environmental remediation projects located in the </w:t>
      </w:r>
      <w:r w:rsidR="00DD0470">
        <w:t>w</w:t>
      </w:r>
      <w:r>
        <w:t xml:space="preserve">est </w:t>
      </w:r>
      <w:r w:rsidR="00DD0470">
        <w:t>c</w:t>
      </w:r>
      <w:r>
        <w:t xml:space="preserve">ontrol </w:t>
      </w:r>
      <w:r w:rsidR="00DD0470">
        <w:t>a</w:t>
      </w:r>
      <w:r>
        <w:t>rea.</w:t>
      </w:r>
      <w:r>
        <w:rPr>
          <w:rStyle w:val="FootnoteReference"/>
        </w:rPr>
        <w:footnoteReference w:id="22"/>
      </w:r>
      <w:r>
        <w:t xml:space="preserve"> </w:t>
      </w:r>
    </w:p>
    <w:p w:rsidR="001933E3" w:rsidRDefault="001933E3" w:rsidP="001933E3">
      <w:pPr>
        <w:pStyle w:val="Answer"/>
        <w:jc w:val="left"/>
        <w:rPr>
          <w:b/>
        </w:rPr>
      </w:pPr>
      <w:r w:rsidRPr="00511D0A">
        <w:rPr>
          <w:b/>
        </w:rPr>
        <w:t>Q.</w:t>
      </w:r>
      <w:r w:rsidRPr="00511D0A">
        <w:rPr>
          <w:b/>
        </w:rPr>
        <w:tab/>
      </w:r>
      <w:r w:rsidR="00DD0470">
        <w:rPr>
          <w:b/>
        </w:rPr>
        <w:t>How did the Company allocate environmental remediation costs to Washington?</w:t>
      </w:r>
    </w:p>
    <w:p w:rsidR="00DD0470" w:rsidRDefault="001933E3" w:rsidP="001933E3">
      <w:pPr>
        <w:pStyle w:val="Answer"/>
        <w:widowControl w:val="0"/>
        <w:jc w:val="left"/>
      </w:pPr>
      <w:r>
        <w:t>A</w:t>
      </w:r>
      <w:r w:rsidRPr="000B676A">
        <w:t>.</w:t>
      </w:r>
      <w:r w:rsidRPr="000B676A">
        <w:tab/>
      </w:r>
      <w:r w:rsidR="00DD0470">
        <w:t>The Compa</w:t>
      </w:r>
      <w:r w:rsidR="003A3304">
        <w:t>n</w:t>
      </w:r>
      <w:r w:rsidR="00DD0470">
        <w:t>y has allocated costs associated with environmental remediation using the System Overhead (SO) factor.  Th</w:t>
      </w:r>
      <w:r w:rsidR="003A3304">
        <w:t>is</w:t>
      </w:r>
      <w:r w:rsidR="00DD0470">
        <w:t xml:space="preserve"> treatment is consistent with </w:t>
      </w:r>
      <w:r w:rsidR="003A3304">
        <w:t>the allocation of environmental remediation expenses in each of the Company’s general rate cases since</w:t>
      </w:r>
      <w:r w:rsidR="00DD0470">
        <w:t xml:space="preserve"> the adoption of the WCA.</w:t>
      </w:r>
    </w:p>
    <w:p w:rsidR="003A3304" w:rsidRPr="003A3304" w:rsidRDefault="003A3304" w:rsidP="003A3304">
      <w:pPr>
        <w:pStyle w:val="Answer"/>
        <w:widowControl w:val="0"/>
        <w:jc w:val="left"/>
        <w:rPr>
          <w:b/>
        </w:rPr>
      </w:pPr>
      <w:r w:rsidRPr="003A3304">
        <w:rPr>
          <w:b/>
        </w:rPr>
        <w:t>Q.</w:t>
      </w:r>
      <w:r w:rsidRPr="003A3304">
        <w:rPr>
          <w:b/>
        </w:rPr>
        <w:tab/>
        <w:t>Does the Company agree with Staff’s proposed modification?</w:t>
      </w:r>
    </w:p>
    <w:p w:rsidR="00816A00" w:rsidRDefault="003A3304" w:rsidP="003A3304">
      <w:pPr>
        <w:pStyle w:val="Answer"/>
        <w:widowControl w:val="0"/>
        <w:jc w:val="left"/>
      </w:pPr>
      <w:r>
        <w:t>A.</w:t>
      </w:r>
      <w:r>
        <w:tab/>
        <w:t>No.  The Commission has stated in previous filings that selective allocation modifications are inappropriate and cannot be implemented</w:t>
      </w:r>
      <w:r w:rsidR="00816A00">
        <w:t xml:space="preserve"> absent a comprehensive examination of the methodology.</w:t>
      </w:r>
      <w:r>
        <w:rPr>
          <w:rStyle w:val="FootnoteReference"/>
        </w:rPr>
        <w:footnoteReference w:id="23"/>
      </w:r>
      <w:r>
        <w:t xml:space="preserve">  Given the Commission’s direction in previous cases and the limited issues presented in this proceeding, Staff’s proposed modification should be rejected.</w:t>
      </w:r>
    </w:p>
    <w:p w:rsidR="001933E3" w:rsidRDefault="001933E3" w:rsidP="001933E3">
      <w:pPr>
        <w:pStyle w:val="Answer"/>
        <w:jc w:val="left"/>
        <w:rPr>
          <w:b/>
        </w:rPr>
      </w:pPr>
      <w:r w:rsidRPr="00511D0A">
        <w:rPr>
          <w:b/>
        </w:rPr>
        <w:t>Q.</w:t>
      </w:r>
      <w:r w:rsidRPr="00511D0A">
        <w:rPr>
          <w:b/>
        </w:rPr>
        <w:tab/>
      </w:r>
      <w:r w:rsidR="003A3304">
        <w:rPr>
          <w:b/>
        </w:rPr>
        <w:t>Despite the Company’s recommendation that Staff’s adjustment be rejected, a</w:t>
      </w:r>
      <w:r>
        <w:rPr>
          <w:b/>
        </w:rPr>
        <w:t xml:space="preserve">re there </w:t>
      </w:r>
      <w:r w:rsidR="003A3304">
        <w:rPr>
          <w:b/>
        </w:rPr>
        <w:t>calculation errors</w:t>
      </w:r>
      <w:r>
        <w:rPr>
          <w:b/>
        </w:rPr>
        <w:t xml:space="preserve"> in Staff’s proposal?</w:t>
      </w:r>
    </w:p>
    <w:p w:rsidR="00C81A52" w:rsidRDefault="001933E3" w:rsidP="001933E3">
      <w:pPr>
        <w:pStyle w:val="Answer"/>
        <w:widowControl w:val="0"/>
        <w:jc w:val="left"/>
      </w:pPr>
      <w:r>
        <w:t>A</w:t>
      </w:r>
      <w:r w:rsidRPr="000B676A">
        <w:t>.</w:t>
      </w:r>
      <w:r w:rsidRPr="000B676A">
        <w:tab/>
      </w:r>
      <w:r>
        <w:t xml:space="preserve">Yes.  </w:t>
      </w:r>
      <w:r w:rsidR="00C81A52">
        <w:t>Staff’s testimony recommends allocating west control area environmental remediation costs to Washington.  Staff’s calculations, however, include only those environmental remediation costs associated with facilities located within Washington, not the entire west control area.  In addition, Staff has applied the system overhead allocation factor for those same environmental costs, thus allocating 6.65 percent of these amounts to Washington customers.  This treatment results in Washington customers paying a small fraction of environmental remediation costs for projects in Washington and zero costs associated with environmental remediation costs for projects located elsewhere.</w:t>
      </w:r>
    </w:p>
    <w:p w:rsidR="00C81A52" w:rsidRPr="00AB5391" w:rsidRDefault="00C81A52" w:rsidP="001933E3">
      <w:pPr>
        <w:pStyle w:val="Answer"/>
        <w:widowControl w:val="0"/>
        <w:jc w:val="left"/>
        <w:rPr>
          <w:b/>
        </w:rPr>
      </w:pPr>
      <w:r w:rsidRPr="00AB5391">
        <w:rPr>
          <w:b/>
        </w:rPr>
        <w:t>Q.</w:t>
      </w:r>
      <w:r w:rsidRPr="00AB5391">
        <w:rPr>
          <w:b/>
        </w:rPr>
        <w:tab/>
        <w:t>If Staff’s recommendation was calculated correctly, what would the result be?</w:t>
      </w:r>
    </w:p>
    <w:p w:rsidR="001933E3" w:rsidRDefault="00C81A52" w:rsidP="001933E3">
      <w:pPr>
        <w:pStyle w:val="Answer"/>
        <w:widowControl w:val="0"/>
        <w:jc w:val="left"/>
      </w:pPr>
      <w:r>
        <w:t>A.</w:t>
      </w:r>
      <w:r>
        <w:tab/>
      </w:r>
      <w:r w:rsidR="001933E3">
        <w:t xml:space="preserve">When </w:t>
      </w:r>
      <w:r w:rsidR="00AF608B">
        <w:t xml:space="preserve">the correct </w:t>
      </w:r>
      <w:r w:rsidR="001933E3">
        <w:t xml:space="preserve">WCA factors are applied to </w:t>
      </w:r>
      <w:r w:rsidR="00115842">
        <w:t xml:space="preserve">west control area environmental remediation </w:t>
      </w:r>
      <w:r w:rsidR="001933E3">
        <w:t>costs, the allocation to Washington customers increases by approximately $</w:t>
      </w:r>
      <w:r w:rsidR="006944B8">
        <w:t>1</w:t>
      </w:r>
      <w:r w:rsidR="001933E3">
        <w:t>3</w:t>
      </w:r>
      <w:r w:rsidR="006944B8">
        <w:t>7,000</w:t>
      </w:r>
      <w:r w:rsidR="00115842">
        <w:t xml:space="preserve"> compared to the Company’s filing</w:t>
      </w:r>
      <w:r w:rsidR="006944B8">
        <w:t>.</w:t>
      </w:r>
    </w:p>
    <w:p w:rsidR="007A091B" w:rsidRDefault="006944B8" w:rsidP="001933E3">
      <w:pPr>
        <w:pStyle w:val="Answer"/>
        <w:widowControl w:val="0"/>
        <w:jc w:val="left"/>
      </w:pPr>
      <w:r>
        <w:tab/>
      </w:r>
      <w:r w:rsidR="007A091B">
        <w:tab/>
      </w:r>
      <w:r w:rsidR="00803309">
        <w:t xml:space="preserve">Table </w:t>
      </w:r>
      <w:r w:rsidR="00115842">
        <w:t>5</w:t>
      </w:r>
      <w:r w:rsidR="00803309">
        <w:t xml:space="preserve"> below provides </w:t>
      </w:r>
      <w:r w:rsidR="007A091B">
        <w:t xml:space="preserve">a comparison of the </w:t>
      </w:r>
      <w:r w:rsidR="00803309">
        <w:t xml:space="preserve">costs allocated to Washington customers depending on whether the costs are allocated on a system or a </w:t>
      </w:r>
      <w:r w:rsidR="00D53B5F">
        <w:t>w</w:t>
      </w:r>
      <w:r w:rsidR="00803309">
        <w:t xml:space="preserve">est </w:t>
      </w:r>
      <w:r w:rsidR="00D53B5F">
        <w:t>c</w:t>
      </w:r>
      <w:r w:rsidR="00803309">
        <w:t xml:space="preserve">ontrol </w:t>
      </w:r>
      <w:r w:rsidR="00D53B5F">
        <w:t>a</w:t>
      </w:r>
      <w:r w:rsidR="00803309">
        <w:t>rea basis</w:t>
      </w:r>
      <w:r w:rsidR="007A091B">
        <w:t xml:space="preserve">.  While the Washington </w:t>
      </w:r>
      <w:r w:rsidR="00BA7296">
        <w:t>revenue requirement is</w:t>
      </w:r>
      <w:r w:rsidR="007A091B">
        <w:t xml:space="preserve"> higher under a </w:t>
      </w:r>
      <w:r w:rsidR="00D53B5F">
        <w:t>w</w:t>
      </w:r>
      <w:r w:rsidR="00803309">
        <w:t xml:space="preserve">est </w:t>
      </w:r>
      <w:r w:rsidR="00D53B5F">
        <w:t>c</w:t>
      </w:r>
      <w:r w:rsidR="00803309">
        <w:t xml:space="preserve">ontrol </w:t>
      </w:r>
      <w:r w:rsidR="00D53B5F">
        <w:t>a</w:t>
      </w:r>
      <w:r w:rsidR="00803309">
        <w:t>rea</w:t>
      </w:r>
      <w:r w:rsidR="007A091B">
        <w:t xml:space="preserve"> allocation, the Company recommends that these c</w:t>
      </w:r>
      <w:r w:rsidR="00115842">
        <w:t xml:space="preserve">osts continue to be treated as </w:t>
      </w:r>
      <w:r w:rsidR="007A091B">
        <w:t>system cost</w:t>
      </w:r>
      <w:r w:rsidR="00CD6C23">
        <w:t>s</w:t>
      </w:r>
      <w:r w:rsidR="007A091B">
        <w:t xml:space="preserve"> and </w:t>
      </w:r>
      <w:r w:rsidR="00CD6C23">
        <w:t xml:space="preserve">be </w:t>
      </w:r>
      <w:r w:rsidR="007A091B">
        <w:t>allocated as such.</w:t>
      </w:r>
    </w:p>
    <w:p w:rsidR="001011A4" w:rsidRDefault="001011A4" w:rsidP="001011A4">
      <w:pPr>
        <w:suppressLineNumbers/>
        <w:jc w:val="center"/>
        <w:rPr>
          <w:b/>
        </w:rPr>
      </w:pPr>
    </w:p>
    <w:p w:rsidR="001011A4" w:rsidRDefault="001011A4" w:rsidP="001011A4">
      <w:pPr>
        <w:suppressLineNumbers/>
        <w:jc w:val="center"/>
        <w:rPr>
          <w:b/>
        </w:rPr>
      </w:pPr>
    </w:p>
    <w:p w:rsidR="001011A4" w:rsidRDefault="001011A4" w:rsidP="001011A4">
      <w:pPr>
        <w:suppressLineNumbers/>
        <w:jc w:val="center"/>
        <w:rPr>
          <w:b/>
        </w:rPr>
      </w:pPr>
    </w:p>
    <w:p w:rsidR="001011A4" w:rsidRDefault="001011A4" w:rsidP="001011A4">
      <w:pPr>
        <w:suppressLineNumbers/>
        <w:jc w:val="center"/>
        <w:rPr>
          <w:b/>
        </w:rPr>
      </w:pPr>
    </w:p>
    <w:p w:rsidR="001011A4" w:rsidRDefault="001011A4" w:rsidP="001011A4">
      <w:pPr>
        <w:suppressLineNumbers/>
        <w:jc w:val="center"/>
        <w:rPr>
          <w:b/>
        </w:rPr>
      </w:pPr>
    </w:p>
    <w:p w:rsidR="001011A4" w:rsidRDefault="001011A4" w:rsidP="001011A4">
      <w:pPr>
        <w:suppressLineNumbers/>
        <w:jc w:val="center"/>
        <w:rPr>
          <w:b/>
        </w:rPr>
      </w:pPr>
    </w:p>
    <w:p w:rsidR="001011A4" w:rsidRDefault="001011A4" w:rsidP="001011A4">
      <w:pPr>
        <w:suppressLineNumbers/>
        <w:jc w:val="center"/>
        <w:rPr>
          <w:b/>
        </w:rPr>
      </w:pPr>
    </w:p>
    <w:p w:rsidR="001011A4" w:rsidRDefault="001011A4" w:rsidP="001011A4">
      <w:pPr>
        <w:suppressLineNumbers/>
        <w:jc w:val="center"/>
        <w:rPr>
          <w:b/>
        </w:rPr>
      </w:pPr>
    </w:p>
    <w:p w:rsidR="001011A4" w:rsidRDefault="001011A4" w:rsidP="001011A4">
      <w:pPr>
        <w:suppressLineNumbers/>
        <w:jc w:val="center"/>
        <w:rPr>
          <w:b/>
        </w:rPr>
      </w:pPr>
    </w:p>
    <w:p w:rsidR="001011A4" w:rsidRDefault="001011A4" w:rsidP="001011A4">
      <w:pPr>
        <w:suppressLineNumbers/>
        <w:jc w:val="center"/>
        <w:rPr>
          <w:b/>
        </w:rPr>
      </w:pPr>
    </w:p>
    <w:p w:rsidR="001011A4" w:rsidRDefault="001011A4" w:rsidP="001011A4">
      <w:pPr>
        <w:suppressLineNumbers/>
        <w:jc w:val="center"/>
        <w:rPr>
          <w:b/>
        </w:rPr>
      </w:pPr>
    </w:p>
    <w:p w:rsidR="001011A4" w:rsidRDefault="001011A4" w:rsidP="001011A4">
      <w:pPr>
        <w:suppressLineNumbers/>
        <w:jc w:val="center"/>
        <w:rPr>
          <w:b/>
        </w:rPr>
      </w:pPr>
    </w:p>
    <w:p w:rsidR="001011A4" w:rsidRDefault="001011A4" w:rsidP="001011A4">
      <w:pPr>
        <w:suppressLineNumbers/>
        <w:jc w:val="center"/>
        <w:rPr>
          <w:b/>
        </w:rPr>
      </w:pPr>
    </w:p>
    <w:p w:rsidR="001011A4" w:rsidRDefault="001011A4" w:rsidP="001011A4">
      <w:pPr>
        <w:suppressLineNumbers/>
        <w:jc w:val="center"/>
        <w:rPr>
          <w:b/>
        </w:rPr>
      </w:pPr>
    </w:p>
    <w:p w:rsidR="001011A4" w:rsidRDefault="001011A4" w:rsidP="001011A4">
      <w:pPr>
        <w:suppressLineNumbers/>
        <w:jc w:val="center"/>
        <w:rPr>
          <w:b/>
        </w:rPr>
      </w:pPr>
    </w:p>
    <w:p w:rsidR="001011A4" w:rsidRDefault="001011A4" w:rsidP="001011A4">
      <w:pPr>
        <w:suppressLineNumbers/>
        <w:jc w:val="center"/>
        <w:rPr>
          <w:b/>
        </w:rPr>
      </w:pPr>
    </w:p>
    <w:p w:rsidR="007A091B" w:rsidRDefault="00D53B5F" w:rsidP="001011A4">
      <w:pPr>
        <w:suppressLineNumbers/>
        <w:jc w:val="center"/>
        <w:rPr>
          <w:b/>
        </w:rPr>
      </w:pPr>
      <w:r w:rsidRPr="00D53B5F">
        <w:rPr>
          <w:b/>
        </w:rPr>
        <w:t>Table 5—Environmental Remediation Costs</w:t>
      </w:r>
    </w:p>
    <w:tbl>
      <w:tblPr>
        <w:tblW w:w="6120" w:type="dxa"/>
        <w:jc w:val="center"/>
        <w:tblCellMar>
          <w:left w:w="0" w:type="dxa"/>
          <w:right w:w="0" w:type="dxa"/>
        </w:tblCellMar>
        <w:tblLook w:val="04A0" w:firstRow="1" w:lastRow="0" w:firstColumn="1" w:lastColumn="0" w:noHBand="0" w:noVBand="1"/>
      </w:tblPr>
      <w:tblGrid>
        <w:gridCol w:w="2220"/>
        <w:gridCol w:w="882"/>
        <w:gridCol w:w="1485"/>
        <w:gridCol w:w="1533"/>
      </w:tblGrid>
      <w:tr w:rsidR="000D5E2A" w:rsidTr="001F0D2D">
        <w:trPr>
          <w:trHeight w:val="255"/>
          <w:jc w:val="center"/>
        </w:trPr>
        <w:tc>
          <w:tcPr>
            <w:tcW w:w="6120" w:type="dxa"/>
            <w:gridSpan w:val="4"/>
            <w:tcBorders>
              <w:top w:val="nil"/>
              <w:left w:val="nil"/>
              <w:bottom w:val="nil"/>
              <w:right w:val="nil"/>
            </w:tcBorders>
            <w:shd w:val="clear" w:color="000000" w:fill="FFFFFF"/>
            <w:noWrap/>
            <w:tcMar>
              <w:top w:w="15" w:type="dxa"/>
              <w:left w:w="15" w:type="dxa"/>
              <w:bottom w:w="0" w:type="dxa"/>
              <w:right w:w="15" w:type="dxa"/>
            </w:tcMar>
            <w:vAlign w:val="bottom"/>
            <w:hideMark/>
          </w:tcPr>
          <w:p w:rsidR="000D5E2A" w:rsidRDefault="000D5E2A" w:rsidP="000D5E2A">
            <w:pPr>
              <w:jc w:val="center"/>
              <w:rPr>
                <w:b/>
                <w:bCs/>
                <w:sz w:val="20"/>
                <w:szCs w:val="20"/>
              </w:rPr>
            </w:pPr>
            <w:r>
              <w:rPr>
                <w:b/>
                <w:bCs/>
                <w:sz w:val="20"/>
                <w:szCs w:val="20"/>
              </w:rPr>
              <w:t>Company Proposal - Consistent with Prior Cases</w:t>
            </w:r>
          </w:p>
        </w:tc>
      </w:tr>
      <w:tr w:rsidR="000D5E2A" w:rsidTr="001F0D2D">
        <w:trPr>
          <w:trHeight w:val="60"/>
          <w:jc w:val="center"/>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0D5E2A" w:rsidRDefault="000D5E2A" w:rsidP="001F0D2D">
            <w:pPr>
              <w:jc w:val="center"/>
              <w:rPr>
                <w:sz w:val="20"/>
                <w:szCs w:val="20"/>
              </w:rPr>
            </w:pP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0D5E2A" w:rsidRDefault="000D5E2A" w:rsidP="001F0D2D">
            <w:pPr>
              <w:jc w:val="center"/>
              <w:rPr>
                <w:sz w:val="20"/>
                <w:szCs w:val="20"/>
              </w:rPr>
            </w:pP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0D5E2A" w:rsidRDefault="000D5E2A" w:rsidP="001F0D2D">
            <w:pPr>
              <w:jc w:val="center"/>
              <w:rPr>
                <w:sz w:val="20"/>
                <w:szCs w:val="20"/>
              </w:rPr>
            </w:pP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0D5E2A" w:rsidRDefault="000D5E2A" w:rsidP="001F0D2D">
            <w:pPr>
              <w:jc w:val="center"/>
              <w:rPr>
                <w:sz w:val="20"/>
                <w:szCs w:val="20"/>
              </w:rPr>
            </w:pPr>
          </w:p>
        </w:tc>
      </w:tr>
      <w:tr w:rsidR="000D5E2A" w:rsidTr="001F0D2D">
        <w:trPr>
          <w:trHeight w:val="510"/>
          <w:jc w:val="center"/>
        </w:trPr>
        <w:tc>
          <w:tcPr>
            <w:tcW w:w="23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0D5E2A" w:rsidRDefault="000D5E2A" w:rsidP="000D5E2A">
            <w:pPr>
              <w:jc w:val="center"/>
              <w:rPr>
                <w:b/>
                <w:bCs/>
                <w:sz w:val="20"/>
                <w:szCs w:val="20"/>
              </w:rPr>
            </w:pPr>
            <w:r>
              <w:rPr>
                <w:b/>
                <w:bCs/>
                <w:sz w:val="20"/>
                <w:szCs w:val="20"/>
              </w:rPr>
              <w:t xml:space="preserve">Total Co. </w:t>
            </w:r>
            <w:proofErr w:type="spellStart"/>
            <w:r>
              <w:rPr>
                <w:b/>
                <w:bCs/>
                <w:sz w:val="20"/>
                <w:szCs w:val="20"/>
              </w:rPr>
              <w:t>Enviromental</w:t>
            </w:r>
            <w:proofErr w:type="spellEnd"/>
            <w:r>
              <w:rPr>
                <w:b/>
                <w:bCs/>
                <w:sz w:val="20"/>
                <w:szCs w:val="20"/>
              </w:rPr>
              <w:t xml:space="preserve"> Remediation Projects</w:t>
            </w:r>
          </w:p>
        </w:tc>
        <w:tc>
          <w:tcPr>
            <w:tcW w:w="0" w:type="auto"/>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0D5E2A" w:rsidRDefault="000D5E2A" w:rsidP="000D5E2A">
            <w:pPr>
              <w:jc w:val="center"/>
              <w:rPr>
                <w:b/>
                <w:bCs/>
                <w:sz w:val="20"/>
                <w:szCs w:val="20"/>
              </w:rPr>
            </w:pPr>
            <w:r>
              <w:rPr>
                <w:b/>
                <w:bCs/>
                <w:sz w:val="20"/>
                <w:szCs w:val="20"/>
              </w:rPr>
              <w:t>Factor</w:t>
            </w:r>
          </w:p>
        </w:tc>
        <w:tc>
          <w:tcPr>
            <w:tcW w:w="144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0D5E2A" w:rsidRDefault="000D5E2A" w:rsidP="00246710">
            <w:pPr>
              <w:jc w:val="center"/>
              <w:rPr>
                <w:b/>
                <w:bCs/>
                <w:sz w:val="20"/>
                <w:szCs w:val="20"/>
              </w:rPr>
            </w:pPr>
            <w:r>
              <w:rPr>
                <w:b/>
                <w:bCs/>
                <w:sz w:val="20"/>
                <w:szCs w:val="20"/>
              </w:rPr>
              <w:t>Allocation %</w:t>
            </w:r>
          </w:p>
        </w:tc>
        <w:tc>
          <w:tcPr>
            <w:tcW w:w="136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0D5E2A" w:rsidRDefault="000D5E2A">
            <w:pPr>
              <w:jc w:val="center"/>
              <w:rPr>
                <w:b/>
                <w:bCs/>
                <w:sz w:val="20"/>
                <w:szCs w:val="20"/>
              </w:rPr>
            </w:pPr>
            <w:r>
              <w:rPr>
                <w:b/>
                <w:bCs/>
                <w:sz w:val="20"/>
                <w:szCs w:val="20"/>
              </w:rPr>
              <w:t>Washington</w:t>
            </w:r>
            <w:r>
              <w:rPr>
                <w:b/>
                <w:bCs/>
                <w:sz w:val="20"/>
                <w:szCs w:val="20"/>
              </w:rPr>
              <w:br/>
              <w:t>Allocated</w:t>
            </w:r>
          </w:p>
        </w:tc>
      </w:tr>
      <w:tr w:rsidR="000D5E2A" w:rsidTr="001F0D2D">
        <w:trPr>
          <w:trHeight w:val="255"/>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0D5E2A" w:rsidRDefault="000D5E2A" w:rsidP="000D5E2A">
            <w:pPr>
              <w:jc w:val="center"/>
              <w:rPr>
                <w:b/>
                <w:bCs/>
                <w:sz w:val="20"/>
                <w:szCs w:val="20"/>
              </w:rPr>
            </w:pPr>
            <w:r>
              <w:rPr>
                <w:b/>
                <w:bCs/>
                <w:sz w:val="20"/>
                <w:szCs w:val="20"/>
              </w:rPr>
              <w:t>$10,159,261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0D5E2A" w:rsidRDefault="000D5E2A" w:rsidP="000D5E2A">
            <w:pPr>
              <w:jc w:val="center"/>
              <w:rPr>
                <w:b/>
                <w:bCs/>
                <w:sz w:val="20"/>
                <w:szCs w:val="20"/>
              </w:rPr>
            </w:pPr>
            <w:r>
              <w:rPr>
                <w:b/>
                <w:bCs/>
                <w:sz w:val="20"/>
                <w:szCs w:val="20"/>
              </w:rPr>
              <w:t>SO</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0D5E2A" w:rsidRDefault="000D5E2A" w:rsidP="00246710">
            <w:pPr>
              <w:jc w:val="center"/>
              <w:rPr>
                <w:b/>
                <w:bCs/>
                <w:sz w:val="20"/>
                <w:szCs w:val="20"/>
              </w:rPr>
            </w:pPr>
            <w:r>
              <w:rPr>
                <w:b/>
                <w:bCs/>
                <w:sz w:val="20"/>
                <w:szCs w:val="20"/>
              </w:rPr>
              <w:t>6.655%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0D5E2A" w:rsidRDefault="000D5E2A" w:rsidP="001F0D2D">
            <w:pPr>
              <w:jc w:val="center"/>
              <w:rPr>
                <w:b/>
                <w:bCs/>
                <w:sz w:val="20"/>
                <w:szCs w:val="20"/>
              </w:rPr>
            </w:pPr>
            <w:r>
              <w:rPr>
                <w:b/>
                <w:bCs/>
                <w:sz w:val="20"/>
                <w:szCs w:val="20"/>
              </w:rPr>
              <w:t>$676,079</w:t>
            </w:r>
          </w:p>
        </w:tc>
      </w:tr>
      <w:tr w:rsidR="000D5E2A" w:rsidTr="001F0D2D">
        <w:trPr>
          <w:trHeight w:val="255"/>
          <w:jc w:val="center"/>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0D5E2A" w:rsidRDefault="000D5E2A" w:rsidP="001F0D2D">
            <w:pPr>
              <w:jc w:val="center"/>
              <w:rPr>
                <w:sz w:val="20"/>
                <w:szCs w:val="20"/>
              </w:rPr>
            </w:pP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0D5E2A" w:rsidRDefault="000D5E2A" w:rsidP="001F0D2D">
            <w:pPr>
              <w:jc w:val="center"/>
              <w:rPr>
                <w:sz w:val="20"/>
                <w:szCs w:val="20"/>
              </w:rPr>
            </w:pP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0D5E2A" w:rsidRDefault="000D5E2A" w:rsidP="001F0D2D">
            <w:pPr>
              <w:jc w:val="center"/>
              <w:rPr>
                <w:sz w:val="20"/>
                <w:szCs w:val="20"/>
              </w:rPr>
            </w:pP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0D5E2A" w:rsidRDefault="000D5E2A" w:rsidP="001F0D2D">
            <w:pPr>
              <w:jc w:val="center"/>
              <w:rPr>
                <w:sz w:val="20"/>
                <w:szCs w:val="20"/>
              </w:rPr>
            </w:pPr>
          </w:p>
        </w:tc>
      </w:tr>
      <w:tr w:rsidR="000D5E2A" w:rsidTr="001F0D2D">
        <w:trPr>
          <w:trHeight w:val="255"/>
          <w:jc w:val="center"/>
        </w:trPr>
        <w:tc>
          <w:tcPr>
            <w:tcW w:w="0" w:type="auto"/>
            <w:gridSpan w:val="4"/>
            <w:tcBorders>
              <w:top w:val="nil"/>
              <w:left w:val="nil"/>
              <w:bottom w:val="nil"/>
              <w:right w:val="nil"/>
            </w:tcBorders>
            <w:shd w:val="clear" w:color="000000" w:fill="FFFFFF"/>
            <w:noWrap/>
            <w:tcMar>
              <w:top w:w="15" w:type="dxa"/>
              <w:left w:w="15" w:type="dxa"/>
              <w:bottom w:w="0" w:type="dxa"/>
              <w:right w:w="15" w:type="dxa"/>
            </w:tcMar>
            <w:vAlign w:val="bottom"/>
            <w:hideMark/>
          </w:tcPr>
          <w:p w:rsidR="000D5E2A" w:rsidRDefault="000D5E2A" w:rsidP="000D5E2A">
            <w:pPr>
              <w:jc w:val="center"/>
              <w:rPr>
                <w:b/>
                <w:bCs/>
                <w:sz w:val="20"/>
                <w:szCs w:val="20"/>
              </w:rPr>
            </w:pPr>
            <w:r>
              <w:rPr>
                <w:b/>
                <w:bCs/>
                <w:sz w:val="20"/>
                <w:szCs w:val="20"/>
              </w:rPr>
              <w:t>Staff Proposal - Per Exhibit</w:t>
            </w:r>
            <w:r w:rsidR="0093393C">
              <w:rPr>
                <w:b/>
                <w:bCs/>
                <w:sz w:val="20"/>
                <w:szCs w:val="20"/>
              </w:rPr>
              <w:t xml:space="preserve"> No.</w:t>
            </w:r>
            <w:r>
              <w:rPr>
                <w:b/>
                <w:bCs/>
                <w:sz w:val="20"/>
                <w:szCs w:val="20"/>
              </w:rPr>
              <w:t xml:space="preserve"> JLB-2</w:t>
            </w:r>
          </w:p>
        </w:tc>
      </w:tr>
      <w:tr w:rsidR="000D5E2A" w:rsidTr="001F0D2D">
        <w:trPr>
          <w:trHeight w:val="120"/>
          <w:jc w:val="center"/>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0D5E2A" w:rsidRDefault="000D5E2A" w:rsidP="000D5E2A">
            <w:pPr>
              <w:jc w:val="center"/>
              <w:rPr>
                <w:b/>
                <w:bCs/>
                <w:sz w:val="20"/>
                <w:szCs w:val="20"/>
              </w:rPr>
            </w:pP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0D5E2A" w:rsidRDefault="000D5E2A" w:rsidP="000D5E2A">
            <w:pPr>
              <w:jc w:val="center"/>
              <w:rPr>
                <w:b/>
                <w:bCs/>
                <w:sz w:val="20"/>
                <w:szCs w:val="20"/>
              </w:rPr>
            </w:pP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0D5E2A" w:rsidRDefault="000D5E2A" w:rsidP="00246710">
            <w:pPr>
              <w:jc w:val="center"/>
              <w:rPr>
                <w:b/>
                <w:bCs/>
                <w:sz w:val="20"/>
                <w:szCs w:val="20"/>
              </w:rPr>
            </w:pP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0D5E2A" w:rsidRDefault="000D5E2A">
            <w:pPr>
              <w:jc w:val="center"/>
              <w:rPr>
                <w:b/>
                <w:bCs/>
                <w:sz w:val="20"/>
                <w:szCs w:val="20"/>
              </w:rPr>
            </w:pPr>
          </w:p>
        </w:tc>
      </w:tr>
      <w:tr w:rsidR="000D5E2A" w:rsidTr="001F0D2D">
        <w:trPr>
          <w:trHeight w:val="510"/>
          <w:jc w:val="center"/>
        </w:trPr>
        <w:tc>
          <w:tcPr>
            <w:tcW w:w="23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0D5E2A" w:rsidRDefault="000D5E2A" w:rsidP="000D5E2A">
            <w:pPr>
              <w:jc w:val="center"/>
              <w:rPr>
                <w:b/>
                <w:bCs/>
                <w:sz w:val="20"/>
                <w:szCs w:val="20"/>
              </w:rPr>
            </w:pPr>
            <w:r>
              <w:rPr>
                <w:b/>
                <w:bCs/>
                <w:sz w:val="20"/>
                <w:szCs w:val="20"/>
              </w:rPr>
              <w:t xml:space="preserve">Total Co. </w:t>
            </w:r>
            <w:proofErr w:type="spellStart"/>
            <w:r>
              <w:rPr>
                <w:b/>
                <w:bCs/>
                <w:sz w:val="20"/>
                <w:szCs w:val="20"/>
              </w:rPr>
              <w:t>Enviromental</w:t>
            </w:r>
            <w:proofErr w:type="spellEnd"/>
            <w:r>
              <w:rPr>
                <w:b/>
                <w:bCs/>
                <w:sz w:val="20"/>
                <w:szCs w:val="20"/>
              </w:rPr>
              <w:t xml:space="preserve"> Remediation Projects</w:t>
            </w:r>
          </w:p>
        </w:tc>
        <w:tc>
          <w:tcPr>
            <w:tcW w:w="0" w:type="auto"/>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0D5E2A" w:rsidRDefault="000D5E2A" w:rsidP="000D5E2A">
            <w:pPr>
              <w:jc w:val="center"/>
              <w:rPr>
                <w:b/>
                <w:bCs/>
                <w:sz w:val="20"/>
                <w:szCs w:val="20"/>
              </w:rPr>
            </w:pPr>
            <w:r>
              <w:rPr>
                <w:b/>
                <w:bCs/>
                <w:sz w:val="20"/>
                <w:szCs w:val="20"/>
              </w:rPr>
              <w:t>Factor</w:t>
            </w:r>
          </w:p>
        </w:tc>
        <w:tc>
          <w:tcPr>
            <w:tcW w:w="144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0D5E2A" w:rsidRDefault="000D5E2A" w:rsidP="00246710">
            <w:pPr>
              <w:jc w:val="center"/>
              <w:rPr>
                <w:b/>
                <w:bCs/>
                <w:sz w:val="20"/>
                <w:szCs w:val="20"/>
              </w:rPr>
            </w:pPr>
            <w:r>
              <w:rPr>
                <w:b/>
                <w:bCs/>
                <w:sz w:val="20"/>
                <w:szCs w:val="20"/>
              </w:rPr>
              <w:t>Allocation %</w:t>
            </w:r>
          </w:p>
        </w:tc>
        <w:tc>
          <w:tcPr>
            <w:tcW w:w="136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0D5E2A" w:rsidRDefault="000D5E2A">
            <w:pPr>
              <w:jc w:val="center"/>
              <w:rPr>
                <w:b/>
                <w:bCs/>
                <w:sz w:val="20"/>
                <w:szCs w:val="20"/>
              </w:rPr>
            </w:pPr>
            <w:r>
              <w:rPr>
                <w:b/>
                <w:bCs/>
                <w:sz w:val="20"/>
                <w:szCs w:val="20"/>
              </w:rPr>
              <w:t>Washington</w:t>
            </w:r>
            <w:r>
              <w:rPr>
                <w:b/>
                <w:bCs/>
                <w:sz w:val="20"/>
                <w:szCs w:val="20"/>
              </w:rPr>
              <w:br/>
              <w:t>Allocated</w:t>
            </w:r>
          </w:p>
        </w:tc>
      </w:tr>
      <w:tr w:rsidR="000D5E2A" w:rsidTr="001F0D2D">
        <w:trPr>
          <w:trHeight w:val="255"/>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0D5E2A" w:rsidRDefault="000D5E2A" w:rsidP="000D5E2A">
            <w:pPr>
              <w:jc w:val="center"/>
              <w:rPr>
                <w:b/>
                <w:bCs/>
                <w:sz w:val="20"/>
                <w:szCs w:val="20"/>
              </w:rPr>
            </w:pPr>
            <w:r>
              <w:rPr>
                <w:b/>
                <w:bCs/>
                <w:sz w:val="20"/>
                <w:szCs w:val="20"/>
              </w:rPr>
              <w:t>$7,543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0D5E2A" w:rsidRDefault="000D5E2A" w:rsidP="000D5E2A">
            <w:pPr>
              <w:jc w:val="center"/>
              <w:rPr>
                <w:b/>
                <w:bCs/>
                <w:sz w:val="20"/>
                <w:szCs w:val="20"/>
              </w:rPr>
            </w:pPr>
            <w:r>
              <w:rPr>
                <w:b/>
                <w:bCs/>
                <w:sz w:val="20"/>
                <w:szCs w:val="20"/>
              </w:rPr>
              <w:t>SO</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0D5E2A" w:rsidRDefault="000D5E2A" w:rsidP="00246710">
            <w:pPr>
              <w:jc w:val="center"/>
              <w:rPr>
                <w:b/>
                <w:bCs/>
                <w:sz w:val="20"/>
                <w:szCs w:val="20"/>
              </w:rPr>
            </w:pPr>
            <w:r>
              <w:rPr>
                <w:b/>
                <w:bCs/>
                <w:sz w:val="20"/>
                <w:szCs w:val="20"/>
              </w:rPr>
              <w:t>6.655%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0D5E2A" w:rsidRDefault="000D5E2A" w:rsidP="001F0D2D">
            <w:pPr>
              <w:jc w:val="center"/>
              <w:rPr>
                <w:b/>
                <w:bCs/>
                <w:sz w:val="20"/>
                <w:szCs w:val="20"/>
              </w:rPr>
            </w:pPr>
            <w:r>
              <w:rPr>
                <w:b/>
                <w:bCs/>
                <w:sz w:val="20"/>
                <w:szCs w:val="20"/>
              </w:rPr>
              <w:t>$502</w:t>
            </w:r>
          </w:p>
        </w:tc>
      </w:tr>
      <w:tr w:rsidR="000D5E2A" w:rsidTr="001F0D2D">
        <w:trPr>
          <w:trHeight w:val="255"/>
          <w:jc w:val="center"/>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0D5E2A" w:rsidRDefault="000D5E2A" w:rsidP="001F0D2D">
            <w:pPr>
              <w:jc w:val="center"/>
              <w:rPr>
                <w:sz w:val="20"/>
                <w:szCs w:val="20"/>
              </w:rPr>
            </w:pP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0D5E2A" w:rsidRDefault="000D5E2A" w:rsidP="001F0D2D">
            <w:pPr>
              <w:jc w:val="center"/>
              <w:rPr>
                <w:sz w:val="20"/>
                <w:szCs w:val="20"/>
              </w:rPr>
            </w:pP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0D5E2A" w:rsidRDefault="000D5E2A" w:rsidP="001F0D2D">
            <w:pPr>
              <w:jc w:val="center"/>
              <w:rPr>
                <w:sz w:val="20"/>
                <w:szCs w:val="20"/>
              </w:rPr>
            </w:pP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0D5E2A" w:rsidRDefault="000D5E2A" w:rsidP="001F0D2D">
            <w:pPr>
              <w:jc w:val="center"/>
              <w:rPr>
                <w:sz w:val="20"/>
                <w:szCs w:val="20"/>
              </w:rPr>
            </w:pPr>
          </w:p>
        </w:tc>
      </w:tr>
      <w:tr w:rsidR="000D5E2A" w:rsidTr="001F0D2D">
        <w:trPr>
          <w:trHeight w:val="255"/>
          <w:jc w:val="center"/>
        </w:trPr>
        <w:tc>
          <w:tcPr>
            <w:tcW w:w="0" w:type="auto"/>
            <w:gridSpan w:val="4"/>
            <w:tcBorders>
              <w:top w:val="nil"/>
              <w:left w:val="nil"/>
              <w:bottom w:val="nil"/>
              <w:right w:val="nil"/>
            </w:tcBorders>
            <w:shd w:val="clear" w:color="000000" w:fill="FFFFFF"/>
            <w:noWrap/>
            <w:tcMar>
              <w:top w:w="15" w:type="dxa"/>
              <w:left w:w="15" w:type="dxa"/>
              <w:bottom w:w="0" w:type="dxa"/>
              <w:right w:w="15" w:type="dxa"/>
            </w:tcMar>
            <w:vAlign w:val="bottom"/>
            <w:hideMark/>
          </w:tcPr>
          <w:p w:rsidR="000D5E2A" w:rsidRDefault="000D5E2A" w:rsidP="000D5E2A">
            <w:pPr>
              <w:jc w:val="center"/>
              <w:rPr>
                <w:b/>
                <w:bCs/>
                <w:sz w:val="20"/>
                <w:szCs w:val="20"/>
              </w:rPr>
            </w:pPr>
            <w:r>
              <w:rPr>
                <w:b/>
                <w:bCs/>
                <w:sz w:val="20"/>
                <w:szCs w:val="20"/>
              </w:rPr>
              <w:t>Staff Proposal - Corrected</w:t>
            </w:r>
          </w:p>
        </w:tc>
      </w:tr>
      <w:tr w:rsidR="000D5E2A" w:rsidTr="001F0D2D">
        <w:trPr>
          <w:trHeight w:val="60"/>
          <w:jc w:val="center"/>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0D5E2A" w:rsidRDefault="000D5E2A" w:rsidP="001F0D2D">
            <w:pPr>
              <w:jc w:val="center"/>
              <w:rPr>
                <w:sz w:val="20"/>
                <w:szCs w:val="20"/>
              </w:rPr>
            </w:pP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0D5E2A" w:rsidRDefault="000D5E2A" w:rsidP="001F0D2D">
            <w:pPr>
              <w:jc w:val="center"/>
              <w:rPr>
                <w:sz w:val="20"/>
                <w:szCs w:val="20"/>
              </w:rPr>
            </w:pP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0D5E2A" w:rsidRDefault="000D5E2A" w:rsidP="001F0D2D">
            <w:pPr>
              <w:jc w:val="center"/>
              <w:rPr>
                <w:sz w:val="20"/>
                <w:szCs w:val="20"/>
              </w:rPr>
            </w:pP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rsidR="000D5E2A" w:rsidRDefault="000D5E2A" w:rsidP="001F0D2D">
            <w:pPr>
              <w:jc w:val="center"/>
              <w:rPr>
                <w:sz w:val="20"/>
                <w:szCs w:val="20"/>
              </w:rPr>
            </w:pPr>
          </w:p>
        </w:tc>
      </w:tr>
      <w:tr w:rsidR="000D5E2A" w:rsidTr="001F0D2D">
        <w:trPr>
          <w:trHeight w:val="510"/>
          <w:jc w:val="center"/>
        </w:trPr>
        <w:tc>
          <w:tcPr>
            <w:tcW w:w="230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0D5E2A" w:rsidRDefault="000D5E2A" w:rsidP="000D5E2A">
            <w:pPr>
              <w:jc w:val="center"/>
              <w:rPr>
                <w:b/>
                <w:bCs/>
                <w:sz w:val="20"/>
                <w:szCs w:val="20"/>
              </w:rPr>
            </w:pPr>
            <w:r>
              <w:rPr>
                <w:b/>
                <w:bCs/>
                <w:sz w:val="20"/>
                <w:szCs w:val="20"/>
              </w:rPr>
              <w:t xml:space="preserve">Total Co. </w:t>
            </w:r>
            <w:proofErr w:type="spellStart"/>
            <w:r>
              <w:rPr>
                <w:b/>
                <w:bCs/>
                <w:sz w:val="20"/>
                <w:szCs w:val="20"/>
              </w:rPr>
              <w:t>Enviromental</w:t>
            </w:r>
            <w:proofErr w:type="spellEnd"/>
            <w:r>
              <w:rPr>
                <w:b/>
                <w:bCs/>
                <w:sz w:val="20"/>
                <w:szCs w:val="20"/>
              </w:rPr>
              <w:t xml:space="preserve"> Remediation Projects</w:t>
            </w:r>
          </w:p>
        </w:tc>
        <w:tc>
          <w:tcPr>
            <w:tcW w:w="0" w:type="auto"/>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0D5E2A" w:rsidRDefault="000D5E2A" w:rsidP="000D5E2A">
            <w:pPr>
              <w:jc w:val="center"/>
              <w:rPr>
                <w:b/>
                <w:bCs/>
                <w:sz w:val="20"/>
                <w:szCs w:val="20"/>
              </w:rPr>
            </w:pPr>
            <w:r>
              <w:rPr>
                <w:b/>
                <w:bCs/>
                <w:sz w:val="20"/>
                <w:szCs w:val="20"/>
              </w:rPr>
              <w:t>Factor*</w:t>
            </w:r>
          </w:p>
        </w:tc>
        <w:tc>
          <w:tcPr>
            <w:tcW w:w="144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0D5E2A" w:rsidRDefault="000D5E2A" w:rsidP="00246710">
            <w:pPr>
              <w:jc w:val="center"/>
              <w:rPr>
                <w:b/>
                <w:bCs/>
                <w:sz w:val="20"/>
                <w:szCs w:val="20"/>
              </w:rPr>
            </w:pPr>
            <w:r>
              <w:rPr>
                <w:b/>
                <w:bCs/>
                <w:sz w:val="20"/>
                <w:szCs w:val="20"/>
              </w:rPr>
              <w:t>Allocation %</w:t>
            </w:r>
          </w:p>
        </w:tc>
        <w:tc>
          <w:tcPr>
            <w:tcW w:w="136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0D5E2A" w:rsidRDefault="000D5E2A">
            <w:pPr>
              <w:jc w:val="center"/>
              <w:rPr>
                <w:b/>
                <w:bCs/>
                <w:sz w:val="20"/>
                <w:szCs w:val="20"/>
              </w:rPr>
            </w:pPr>
            <w:r>
              <w:rPr>
                <w:b/>
                <w:bCs/>
                <w:sz w:val="20"/>
                <w:szCs w:val="20"/>
              </w:rPr>
              <w:t>Washington</w:t>
            </w:r>
            <w:r>
              <w:rPr>
                <w:b/>
                <w:bCs/>
                <w:sz w:val="20"/>
                <w:szCs w:val="20"/>
              </w:rPr>
              <w:br/>
              <w:t>Allocated</w:t>
            </w:r>
          </w:p>
        </w:tc>
      </w:tr>
      <w:tr w:rsidR="000D5E2A" w:rsidTr="001F0D2D">
        <w:trPr>
          <w:trHeight w:val="255"/>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0D5E2A" w:rsidRDefault="000D5E2A" w:rsidP="001F0D2D">
            <w:pPr>
              <w:jc w:val="center"/>
              <w:rPr>
                <w:sz w:val="20"/>
                <w:szCs w:val="20"/>
              </w:rPr>
            </w:pPr>
            <w:r>
              <w:rPr>
                <w:sz w:val="20"/>
                <w:szCs w:val="20"/>
              </w:rPr>
              <w:t>$3,138,348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0D5E2A" w:rsidRDefault="000D5E2A" w:rsidP="000D5E2A">
            <w:pPr>
              <w:jc w:val="center"/>
              <w:rPr>
                <w:sz w:val="20"/>
                <w:szCs w:val="20"/>
              </w:rPr>
            </w:pPr>
            <w:r>
              <w:rPr>
                <w:sz w:val="20"/>
                <w:szCs w:val="20"/>
              </w:rPr>
              <w:t>CAGW</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0D5E2A" w:rsidRDefault="000D5E2A" w:rsidP="000D5E2A">
            <w:pPr>
              <w:jc w:val="center"/>
              <w:rPr>
                <w:sz w:val="20"/>
                <w:szCs w:val="20"/>
              </w:rPr>
            </w:pPr>
            <w:r>
              <w:rPr>
                <w:sz w:val="20"/>
                <w:szCs w:val="20"/>
              </w:rPr>
              <w:t>22.565%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0D5E2A" w:rsidRDefault="000D5E2A" w:rsidP="001F0D2D">
            <w:pPr>
              <w:jc w:val="center"/>
              <w:rPr>
                <w:sz w:val="20"/>
                <w:szCs w:val="20"/>
              </w:rPr>
            </w:pPr>
            <w:r>
              <w:rPr>
                <w:sz w:val="20"/>
                <w:szCs w:val="20"/>
              </w:rPr>
              <w:t>$708,170</w:t>
            </w:r>
          </w:p>
        </w:tc>
      </w:tr>
      <w:tr w:rsidR="000D5E2A" w:rsidTr="001F0D2D">
        <w:trPr>
          <w:trHeight w:val="255"/>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0D5E2A" w:rsidRDefault="000D5E2A" w:rsidP="001F0D2D">
            <w:pPr>
              <w:jc w:val="center"/>
              <w:rPr>
                <w:sz w:val="20"/>
                <w:szCs w:val="20"/>
              </w:rPr>
            </w:pPr>
            <w:r>
              <w:rPr>
                <w:sz w:val="20"/>
                <w:szCs w:val="20"/>
              </w:rPr>
              <w:t>$5,993,041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0D5E2A" w:rsidRDefault="000D5E2A" w:rsidP="000D5E2A">
            <w:pPr>
              <w:jc w:val="center"/>
              <w:rPr>
                <w:sz w:val="20"/>
                <w:szCs w:val="20"/>
              </w:rPr>
            </w:pPr>
            <w:r>
              <w:rPr>
                <w:sz w:val="20"/>
                <w:szCs w:val="20"/>
              </w:rPr>
              <w:t>CAGE</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0D5E2A" w:rsidRDefault="000D5E2A" w:rsidP="000D5E2A">
            <w:pPr>
              <w:jc w:val="center"/>
              <w:rPr>
                <w:sz w:val="20"/>
                <w:szCs w:val="20"/>
              </w:rPr>
            </w:pPr>
            <w:r>
              <w:rPr>
                <w:sz w:val="20"/>
                <w:szCs w:val="20"/>
              </w:rPr>
              <w:t>0.000%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0D5E2A" w:rsidRDefault="000D5E2A" w:rsidP="001F0D2D">
            <w:pPr>
              <w:jc w:val="center"/>
              <w:rPr>
                <w:sz w:val="20"/>
                <w:szCs w:val="20"/>
              </w:rPr>
            </w:pPr>
            <w:r>
              <w:rPr>
                <w:sz w:val="20"/>
                <w:szCs w:val="20"/>
              </w:rPr>
              <w:t>$0</w:t>
            </w:r>
          </w:p>
        </w:tc>
      </w:tr>
      <w:tr w:rsidR="000D5E2A" w:rsidTr="001F0D2D">
        <w:trPr>
          <w:trHeight w:val="255"/>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0D5E2A" w:rsidRDefault="000D5E2A" w:rsidP="001F0D2D">
            <w:pPr>
              <w:jc w:val="center"/>
              <w:rPr>
                <w:sz w:val="20"/>
                <w:szCs w:val="20"/>
              </w:rPr>
            </w:pPr>
            <w:r>
              <w:rPr>
                <w:sz w:val="20"/>
                <w:szCs w:val="20"/>
              </w:rPr>
              <w:t>$228,747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0D5E2A" w:rsidRDefault="000D5E2A" w:rsidP="000D5E2A">
            <w:pPr>
              <w:jc w:val="center"/>
              <w:rPr>
                <w:sz w:val="20"/>
                <w:szCs w:val="20"/>
              </w:rPr>
            </w:pPr>
            <w:r>
              <w:rPr>
                <w:sz w:val="20"/>
                <w:szCs w:val="20"/>
              </w:rPr>
              <w:t>JBG</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0D5E2A" w:rsidRDefault="000D5E2A" w:rsidP="000D5E2A">
            <w:pPr>
              <w:jc w:val="center"/>
              <w:rPr>
                <w:sz w:val="20"/>
                <w:szCs w:val="20"/>
              </w:rPr>
            </w:pPr>
            <w:r>
              <w:rPr>
                <w:sz w:val="20"/>
                <w:szCs w:val="20"/>
              </w:rPr>
              <w:t>22.437%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0D5E2A" w:rsidRDefault="000D5E2A" w:rsidP="001F0D2D">
            <w:pPr>
              <w:jc w:val="center"/>
              <w:rPr>
                <w:sz w:val="20"/>
                <w:szCs w:val="20"/>
              </w:rPr>
            </w:pPr>
            <w:r>
              <w:rPr>
                <w:sz w:val="20"/>
                <w:szCs w:val="20"/>
              </w:rPr>
              <w:t>$51,324</w:t>
            </w:r>
          </w:p>
        </w:tc>
      </w:tr>
      <w:tr w:rsidR="000D5E2A" w:rsidTr="001F0D2D">
        <w:trPr>
          <w:trHeight w:val="255"/>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0D5E2A" w:rsidRDefault="000D5E2A" w:rsidP="001F0D2D">
            <w:pPr>
              <w:jc w:val="center"/>
              <w:rPr>
                <w:sz w:val="20"/>
                <w:szCs w:val="20"/>
              </w:rPr>
            </w:pPr>
            <w:r>
              <w:rPr>
                <w:sz w:val="20"/>
                <w:szCs w:val="20"/>
              </w:rPr>
              <w:t>$799,126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0D5E2A" w:rsidRDefault="000D5E2A" w:rsidP="000D5E2A">
            <w:pPr>
              <w:jc w:val="center"/>
              <w:rPr>
                <w:sz w:val="20"/>
                <w:szCs w:val="20"/>
              </w:rPr>
            </w:pPr>
            <w:r>
              <w:rPr>
                <w:sz w:val="20"/>
                <w:szCs w:val="20"/>
              </w:rPr>
              <w:t>SO</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0D5E2A" w:rsidRDefault="000D5E2A" w:rsidP="000D5E2A">
            <w:pPr>
              <w:jc w:val="center"/>
              <w:rPr>
                <w:sz w:val="20"/>
                <w:szCs w:val="20"/>
              </w:rPr>
            </w:pPr>
            <w:r>
              <w:rPr>
                <w:sz w:val="20"/>
                <w:szCs w:val="20"/>
              </w:rPr>
              <w:t>6.655%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0D5E2A" w:rsidRDefault="000D5E2A" w:rsidP="001F0D2D">
            <w:pPr>
              <w:jc w:val="center"/>
              <w:rPr>
                <w:sz w:val="20"/>
                <w:szCs w:val="20"/>
              </w:rPr>
            </w:pPr>
            <w:r>
              <w:rPr>
                <w:sz w:val="20"/>
                <w:szCs w:val="20"/>
              </w:rPr>
              <w:t>$53,180</w:t>
            </w:r>
          </w:p>
        </w:tc>
      </w:tr>
      <w:tr w:rsidR="000D5E2A" w:rsidTr="001F0D2D">
        <w:trPr>
          <w:trHeight w:val="255"/>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0D5E2A" w:rsidRDefault="000D5E2A" w:rsidP="001F0D2D">
            <w:pPr>
              <w:jc w:val="center"/>
              <w:rPr>
                <w:b/>
                <w:bCs/>
                <w:sz w:val="20"/>
                <w:szCs w:val="20"/>
              </w:rPr>
            </w:pPr>
            <w:r>
              <w:rPr>
                <w:b/>
                <w:bCs/>
                <w:sz w:val="20"/>
                <w:szCs w:val="20"/>
              </w:rPr>
              <w:t>$10,159,261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0D5E2A" w:rsidRDefault="000D5E2A" w:rsidP="000D5E2A">
            <w:pPr>
              <w:jc w:val="center"/>
              <w:rPr>
                <w:b/>
                <w:bCs/>
                <w:sz w:val="20"/>
                <w:szCs w:val="20"/>
              </w:rPr>
            </w:pPr>
            <w:r>
              <w:rPr>
                <w:b/>
                <w:bCs/>
                <w:sz w:val="20"/>
                <w:szCs w:val="20"/>
              </w:rPr>
              <w:t>Total</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0D5E2A" w:rsidRDefault="000D5E2A" w:rsidP="000D5E2A">
            <w:pPr>
              <w:jc w:val="center"/>
              <w:rPr>
                <w:b/>
                <w:bCs/>
                <w:sz w:val="20"/>
                <w:szCs w:val="20"/>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0D5E2A" w:rsidRDefault="000D5E2A" w:rsidP="001F0D2D">
            <w:pPr>
              <w:jc w:val="center"/>
              <w:rPr>
                <w:b/>
                <w:bCs/>
                <w:sz w:val="20"/>
                <w:szCs w:val="20"/>
              </w:rPr>
            </w:pPr>
            <w:r>
              <w:rPr>
                <w:b/>
                <w:bCs/>
                <w:sz w:val="20"/>
                <w:szCs w:val="20"/>
              </w:rPr>
              <w:t>$812,674</w:t>
            </w:r>
          </w:p>
        </w:tc>
      </w:tr>
      <w:tr w:rsidR="000D5E2A" w:rsidTr="001F0D2D">
        <w:trPr>
          <w:trHeight w:val="255"/>
          <w:jc w:val="center"/>
        </w:trPr>
        <w:tc>
          <w:tcPr>
            <w:tcW w:w="0" w:type="auto"/>
            <w:gridSpan w:val="4"/>
            <w:tcBorders>
              <w:top w:val="nil"/>
              <w:left w:val="nil"/>
              <w:bottom w:val="nil"/>
              <w:right w:val="nil"/>
            </w:tcBorders>
            <w:shd w:val="clear" w:color="000000" w:fill="FFFFFF"/>
            <w:noWrap/>
            <w:tcMar>
              <w:top w:w="15" w:type="dxa"/>
              <w:left w:w="15" w:type="dxa"/>
              <w:bottom w:w="0" w:type="dxa"/>
              <w:right w:w="15" w:type="dxa"/>
            </w:tcMar>
            <w:vAlign w:val="bottom"/>
            <w:hideMark/>
          </w:tcPr>
          <w:p w:rsidR="000D5E2A" w:rsidRDefault="000D5E2A" w:rsidP="001F0D2D">
            <w:pPr>
              <w:jc w:val="center"/>
              <w:rPr>
                <w:sz w:val="20"/>
                <w:szCs w:val="20"/>
              </w:rPr>
            </w:pPr>
            <w:r>
              <w:rPr>
                <w:sz w:val="20"/>
                <w:szCs w:val="20"/>
              </w:rPr>
              <w:t>*The SO factor allocates total-company costs that for facilities in Wyoming</w:t>
            </w:r>
          </w:p>
        </w:tc>
      </w:tr>
      <w:tr w:rsidR="000D5E2A" w:rsidTr="001F0D2D">
        <w:trPr>
          <w:trHeight w:val="255"/>
          <w:jc w:val="center"/>
        </w:trPr>
        <w:tc>
          <w:tcPr>
            <w:tcW w:w="0" w:type="auto"/>
            <w:gridSpan w:val="4"/>
            <w:tcBorders>
              <w:top w:val="nil"/>
              <w:left w:val="nil"/>
              <w:bottom w:val="nil"/>
              <w:right w:val="nil"/>
            </w:tcBorders>
            <w:shd w:val="clear" w:color="000000" w:fill="FFFFFF"/>
            <w:noWrap/>
            <w:tcMar>
              <w:top w:w="15" w:type="dxa"/>
              <w:left w:w="15" w:type="dxa"/>
              <w:bottom w:w="0" w:type="dxa"/>
              <w:right w:w="15" w:type="dxa"/>
            </w:tcMar>
            <w:vAlign w:val="bottom"/>
            <w:hideMark/>
          </w:tcPr>
          <w:p w:rsidR="000D5E2A" w:rsidRDefault="000D5E2A" w:rsidP="000D5E2A">
            <w:pPr>
              <w:rPr>
                <w:sz w:val="20"/>
                <w:szCs w:val="20"/>
              </w:rPr>
            </w:pPr>
            <w:r>
              <w:rPr>
                <w:sz w:val="20"/>
                <w:szCs w:val="20"/>
              </w:rPr>
              <w:t xml:space="preserve">  that serve Washington customers such as the Jim Bridger plant.</w:t>
            </w:r>
          </w:p>
        </w:tc>
      </w:tr>
      <w:tr w:rsidR="000D5E2A" w:rsidTr="000D5E2A">
        <w:trPr>
          <w:trHeight w:val="255"/>
          <w:jc w:val="center"/>
        </w:trPr>
        <w:tc>
          <w:tcPr>
            <w:tcW w:w="0" w:type="auto"/>
            <w:gridSpan w:val="4"/>
            <w:tcBorders>
              <w:top w:val="nil"/>
              <w:left w:val="nil"/>
              <w:bottom w:val="nil"/>
              <w:right w:val="nil"/>
            </w:tcBorders>
            <w:shd w:val="clear" w:color="000000" w:fill="FFFFFF"/>
            <w:noWrap/>
            <w:tcMar>
              <w:top w:w="15" w:type="dxa"/>
              <w:left w:w="15" w:type="dxa"/>
              <w:bottom w:w="0" w:type="dxa"/>
              <w:right w:w="15" w:type="dxa"/>
            </w:tcMar>
            <w:vAlign w:val="bottom"/>
          </w:tcPr>
          <w:p w:rsidR="000D5E2A" w:rsidRDefault="000D5E2A" w:rsidP="000D5E2A">
            <w:pPr>
              <w:jc w:val="center"/>
              <w:rPr>
                <w:sz w:val="20"/>
                <w:szCs w:val="20"/>
              </w:rPr>
            </w:pPr>
          </w:p>
        </w:tc>
      </w:tr>
    </w:tbl>
    <w:p w:rsidR="005A6996" w:rsidRDefault="005A6996" w:rsidP="005A6996">
      <w:pPr>
        <w:pStyle w:val="Heading2"/>
        <w:jc w:val="left"/>
      </w:pPr>
      <w:bookmarkStart w:id="17" w:name="_Toc447729295"/>
      <w:r>
        <w:t>Idaho Power Asset Exchange</w:t>
      </w:r>
      <w:bookmarkEnd w:id="17"/>
    </w:p>
    <w:p w:rsidR="00CF189B" w:rsidRPr="00CF189B" w:rsidRDefault="00CF189B" w:rsidP="00CF189B">
      <w:pPr>
        <w:pStyle w:val="Answer"/>
        <w:jc w:val="left"/>
        <w:rPr>
          <w:b/>
          <w:color w:val="000000" w:themeColor="text1"/>
        </w:rPr>
      </w:pPr>
      <w:r w:rsidRPr="00CF189B">
        <w:rPr>
          <w:b/>
          <w:color w:val="000000" w:themeColor="text1"/>
        </w:rPr>
        <w:t>Q.</w:t>
      </w:r>
      <w:r w:rsidRPr="00CF189B">
        <w:rPr>
          <w:b/>
          <w:color w:val="000000" w:themeColor="text1"/>
        </w:rPr>
        <w:tab/>
        <w:t xml:space="preserve">Please summarize Staff’s proposed adjustment </w:t>
      </w:r>
      <w:r w:rsidR="00854244">
        <w:rPr>
          <w:b/>
          <w:color w:val="000000" w:themeColor="text1"/>
        </w:rPr>
        <w:t>regarding the</w:t>
      </w:r>
      <w:r w:rsidRPr="00CF189B">
        <w:rPr>
          <w:b/>
          <w:color w:val="000000" w:themeColor="text1"/>
        </w:rPr>
        <w:t xml:space="preserve"> Idaho Power Asset Exchange.</w:t>
      </w:r>
    </w:p>
    <w:p w:rsidR="00CF189B" w:rsidRPr="00CF189B" w:rsidRDefault="00CF189B" w:rsidP="00FF6D08">
      <w:pPr>
        <w:spacing w:line="480" w:lineRule="auto"/>
        <w:ind w:left="720" w:hanging="720"/>
        <w:jc w:val="left"/>
        <w:rPr>
          <w:color w:val="000000" w:themeColor="text1"/>
        </w:rPr>
      </w:pPr>
      <w:r w:rsidRPr="00CF189B">
        <w:rPr>
          <w:color w:val="000000" w:themeColor="text1"/>
        </w:rPr>
        <w:t>A.</w:t>
      </w:r>
      <w:r w:rsidRPr="00CF189B">
        <w:rPr>
          <w:color w:val="000000" w:themeColor="text1"/>
        </w:rPr>
        <w:tab/>
        <w:t xml:space="preserve">Staff addresses the Company’s proposed changes related to the Idaho Power Asset Exchange (Exchange) </w:t>
      </w:r>
      <w:r w:rsidR="0086643E">
        <w:rPr>
          <w:color w:val="000000" w:themeColor="text1"/>
        </w:rPr>
        <w:t>based on Staff’s placement of the assets into one of three different categories.</w:t>
      </w:r>
      <w:r w:rsidR="00A426DA">
        <w:rPr>
          <w:rStyle w:val="FootnoteReference"/>
          <w:color w:val="000000" w:themeColor="text1"/>
        </w:rPr>
        <w:footnoteReference w:id="24"/>
      </w:r>
      <w:r w:rsidR="0086643E">
        <w:rPr>
          <w:color w:val="000000" w:themeColor="text1"/>
        </w:rPr>
        <w:t xml:space="preserve"> </w:t>
      </w:r>
      <w:r w:rsidRPr="00CF189B">
        <w:rPr>
          <w:color w:val="000000" w:themeColor="text1"/>
        </w:rPr>
        <w:t xml:space="preserve"> “Exchanged Assets” refers to the assets acquired or sold in the Exchange.  “Correction Assets” refers to assets that have always been part of the Company’s </w:t>
      </w:r>
      <w:r w:rsidR="00013DDF">
        <w:rPr>
          <w:color w:val="000000" w:themeColor="text1"/>
        </w:rPr>
        <w:t>w</w:t>
      </w:r>
      <w:r w:rsidRPr="00CF189B">
        <w:rPr>
          <w:color w:val="000000" w:themeColor="text1"/>
        </w:rPr>
        <w:t>est</w:t>
      </w:r>
      <w:r w:rsidR="00A1367C">
        <w:rPr>
          <w:color w:val="000000" w:themeColor="text1"/>
        </w:rPr>
        <w:t xml:space="preserve"> </w:t>
      </w:r>
      <w:r w:rsidR="00013DDF">
        <w:rPr>
          <w:color w:val="000000" w:themeColor="text1"/>
        </w:rPr>
        <w:t>c</w:t>
      </w:r>
      <w:r w:rsidRPr="00CF189B">
        <w:rPr>
          <w:color w:val="000000" w:themeColor="text1"/>
        </w:rPr>
        <w:t xml:space="preserve">ontrol </w:t>
      </w:r>
      <w:r w:rsidR="00013DDF">
        <w:rPr>
          <w:color w:val="000000" w:themeColor="text1"/>
        </w:rPr>
        <w:t>a</w:t>
      </w:r>
      <w:r w:rsidRPr="00CF189B">
        <w:rPr>
          <w:color w:val="000000" w:themeColor="text1"/>
        </w:rPr>
        <w:t xml:space="preserve">rea, but which the Company has inadvertently excluded in previous cost allocations.  Finally, “Reassignment Assets” refers to assets </w:t>
      </w:r>
      <w:r w:rsidR="008D7619">
        <w:rPr>
          <w:color w:val="000000" w:themeColor="text1"/>
        </w:rPr>
        <w:t>that</w:t>
      </w:r>
      <w:r w:rsidR="008D7619" w:rsidRPr="00CF189B">
        <w:rPr>
          <w:color w:val="000000" w:themeColor="text1"/>
        </w:rPr>
        <w:t xml:space="preserve"> </w:t>
      </w:r>
      <w:r w:rsidRPr="00CF189B">
        <w:rPr>
          <w:color w:val="000000" w:themeColor="text1"/>
        </w:rPr>
        <w:t xml:space="preserve">were identified as requiring a change of allocation to the </w:t>
      </w:r>
      <w:r w:rsidR="00013DDF">
        <w:rPr>
          <w:color w:val="000000" w:themeColor="text1"/>
        </w:rPr>
        <w:t>w</w:t>
      </w:r>
      <w:r w:rsidR="00B33489">
        <w:rPr>
          <w:color w:val="000000" w:themeColor="text1"/>
        </w:rPr>
        <w:t>e</w:t>
      </w:r>
      <w:r w:rsidR="00B33489" w:rsidRPr="00CF189B">
        <w:rPr>
          <w:color w:val="000000" w:themeColor="text1"/>
        </w:rPr>
        <w:t xml:space="preserve">st </w:t>
      </w:r>
      <w:r w:rsidR="00013DDF">
        <w:rPr>
          <w:color w:val="000000" w:themeColor="text1"/>
        </w:rPr>
        <w:t>c</w:t>
      </w:r>
      <w:r w:rsidR="00B33489" w:rsidRPr="00CF189B">
        <w:rPr>
          <w:color w:val="000000" w:themeColor="text1"/>
        </w:rPr>
        <w:t xml:space="preserve">ontrol </w:t>
      </w:r>
      <w:r w:rsidR="00013DDF">
        <w:rPr>
          <w:color w:val="000000" w:themeColor="text1"/>
        </w:rPr>
        <w:t>a</w:t>
      </w:r>
      <w:r w:rsidR="00B33489" w:rsidRPr="00CF189B">
        <w:rPr>
          <w:color w:val="000000" w:themeColor="text1"/>
        </w:rPr>
        <w:t>rea</w:t>
      </w:r>
      <w:r w:rsidRPr="00CF189B">
        <w:rPr>
          <w:color w:val="000000" w:themeColor="text1"/>
        </w:rPr>
        <w:t xml:space="preserve"> as a result of the Exchange.  Staff recommend</w:t>
      </w:r>
      <w:r w:rsidR="00B33489">
        <w:rPr>
          <w:color w:val="000000" w:themeColor="text1"/>
        </w:rPr>
        <w:t xml:space="preserve">s approval of the reallocation of the </w:t>
      </w:r>
      <w:r w:rsidRPr="00CF189B">
        <w:rPr>
          <w:color w:val="000000" w:themeColor="text1"/>
        </w:rPr>
        <w:t>“Correction Assets</w:t>
      </w:r>
      <w:r w:rsidR="00666A34">
        <w:rPr>
          <w:color w:val="000000" w:themeColor="text1"/>
        </w:rPr>
        <w:t>.</w:t>
      </w:r>
      <w:r w:rsidRPr="00CF189B">
        <w:rPr>
          <w:color w:val="000000" w:themeColor="text1"/>
        </w:rPr>
        <w:t xml:space="preserve">” </w:t>
      </w:r>
      <w:r w:rsidR="00F359B0">
        <w:rPr>
          <w:color w:val="000000" w:themeColor="text1"/>
        </w:rPr>
        <w:t xml:space="preserve"> </w:t>
      </w:r>
      <w:r w:rsidR="00666A34">
        <w:rPr>
          <w:color w:val="000000" w:themeColor="text1"/>
        </w:rPr>
        <w:t xml:space="preserve">However, citing a lack of observable benefits to Washington customers, Staff rejects </w:t>
      </w:r>
      <w:r w:rsidR="00B33489">
        <w:rPr>
          <w:color w:val="000000" w:themeColor="text1"/>
        </w:rPr>
        <w:t xml:space="preserve">the reallocation of the </w:t>
      </w:r>
      <w:r w:rsidRPr="00CF189B">
        <w:rPr>
          <w:color w:val="000000" w:themeColor="text1"/>
        </w:rPr>
        <w:t xml:space="preserve">“Reassignment Assets” </w:t>
      </w:r>
      <w:r w:rsidR="00B33489">
        <w:rPr>
          <w:color w:val="000000" w:themeColor="text1"/>
        </w:rPr>
        <w:t>and</w:t>
      </w:r>
      <w:r w:rsidRPr="00CF189B">
        <w:rPr>
          <w:color w:val="000000" w:themeColor="text1"/>
        </w:rPr>
        <w:t xml:space="preserve"> “Exchanged Assets</w:t>
      </w:r>
      <w:r w:rsidR="00B33489">
        <w:rPr>
          <w:color w:val="000000" w:themeColor="text1"/>
        </w:rPr>
        <w:t>.</w:t>
      </w:r>
      <w:r w:rsidRPr="00CF189B">
        <w:rPr>
          <w:color w:val="000000" w:themeColor="text1"/>
        </w:rPr>
        <w:t>”</w:t>
      </w:r>
      <w:r w:rsidR="00FC1A56">
        <w:rPr>
          <w:rStyle w:val="FootnoteReference"/>
          <w:color w:val="000000" w:themeColor="text1"/>
        </w:rPr>
        <w:footnoteReference w:id="25"/>
      </w:r>
    </w:p>
    <w:p w:rsidR="00CF189B" w:rsidRPr="00CF189B" w:rsidRDefault="00CF189B" w:rsidP="00CF189B">
      <w:pPr>
        <w:pStyle w:val="Answer"/>
        <w:jc w:val="left"/>
        <w:rPr>
          <w:b/>
          <w:color w:val="000000" w:themeColor="text1"/>
        </w:rPr>
      </w:pPr>
      <w:r w:rsidRPr="00CF189B">
        <w:rPr>
          <w:b/>
          <w:color w:val="000000" w:themeColor="text1"/>
        </w:rPr>
        <w:t>Q</w:t>
      </w:r>
      <w:r w:rsidR="001F0D2D">
        <w:rPr>
          <w:b/>
          <w:color w:val="000000" w:themeColor="text1"/>
        </w:rPr>
        <w:t>.</w:t>
      </w:r>
      <w:r w:rsidRPr="00CF189B">
        <w:rPr>
          <w:b/>
          <w:color w:val="000000" w:themeColor="text1"/>
        </w:rPr>
        <w:t xml:space="preserve"> </w:t>
      </w:r>
      <w:r w:rsidRPr="00CF189B">
        <w:rPr>
          <w:b/>
          <w:color w:val="000000" w:themeColor="text1"/>
        </w:rPr>
        <w:tab/>
        <w:t>What are the aggregate plant balances of each of the three categories identified by Staff?</w:t>
      </w:r>
    </w:p>
    <w:p w:rsidR="00CF189B" w:rsidRPr="00CF189B" w:rsidRDefault="00CF189B" w:rsidP="00CF189B">
      <w:pPr>
        <w:pStyle w:val="Answer"/>
        <w:jc w:val="left"/>
        <w:rPr>
          <w:color w:val="000000" w:themeColor="text1"/>
        </w:rPr>
      </w:pPr>
      <w:r w:rsidRPr="00CF189B">
        <w:rPr>
          <w:color w:val="000000" w:themeColor="text1"/>
        </w:rPr>
        <w:t>A</w:t>
      </w:r>
      <w:r w:rsidR="001F0D2D">
        <w:rPr>
          <w:color w:val="000000" w:themeColor="text1"/>
        </w:rPr>
        <w:t>.</w:t>
      </w:r>
      <w:r w:rsidRPr="00CF189B">
        <w:rPr>
          <w:color w:val="000000" w:themeColor="text1"/>
        </w:rPr>
        <w:tab/>
        <w:t>The following tables summarize the net plant balances in each of the</w:t>
      </w:r>
      <w:r w:rsidR="00E768DB">
        <w:rPr>
          <w:color w:val="000000" w:themeColor="text1"/>
        </w:rPr>
        <w:t xml:space="preserve"> categories identified by Staff.</w:t>
      </w:r>
      <w:r w:rsidRPr="00CF189B">
        <w:rPr>
          <w:color w:val="000000" w:themeColor="text1"/>
        </w:rPr>
        <w:t xml:space="preserve"> </w:t>
      </w:r>
    </w:p>
    <w:p w:rsidR="00CF189B" w:rsidRDefault="00CF189B" w:rsidP="001F0D2D">
      <w:pPr>
        <w:pStyle w:val="Answer"/>
        <w:suppressLineNumbers/>
        <w:jc w:val="center"/>
        <w:rPr>
          <w:color w:val="000000" w:themeColor="text1"/>
        </w:rPr>
      </w:pPr>
      <w:r w:rsidRPr="00013DDF">
        <w:rPr>
          <w:b/>
          <w:color w:val="000000" w:themeColor="text1"/>
        </w:rPr>
        <w:t>T</w:t>
      </w:r>
      <w:r w:rsidR="00013DDF" w:rsidRPr="00013DDF">
        <w:rPr>
          <w:b/>
          <w:color w:val="000000" w:themeColor="text1"/>
        </w:rPr>
        <w:t>ABLE</w:t>
      </w:r>
      <w:r w:rsidRPr="00013DDF">
        <w:rPr>
          <w:b/>
          <w:color w:val="000000" w:themeColor="text1"/>
        </w:rPr>
        <w:t xml:space="preserve"> </w:t>
      </w:r>
      <w:r w:rsidR="00013DDF" w:rsidRPr="00013DDF">
        <w:rPr>
          <w:b/>
          <w:color w:val="000000" w:themeColor="text1"/>
        </w:rPr>
        <w:t>6—Idaho Asset Exchange</w:t>
      </w:r>
      <w:r w:rsidRPr="00CF189B">
        <w:rPr>
          <w:color w:val="000000" w:themeColor="text1"/>
        </w:rPr>
        <w:t>.</w:t>
      </w:r>
    </w:p>
    <w:p w:rsidR="00CF189B" w:rsidRPr="00CF189B" w:rsidRDefault="00CF189B" w:rsidP="001F0D2D">
      <w:pPr>
        <w:pStyle w:val="Answer"/>
        <w:suppressLineNumbers/>
        <w:jc w:val="center"/>
        <w:rPr>
          <w:color w:val="000000" w:themeColor="text1"/>
        </w:rPr>
      </w:pPr>
      <w:r>
        <w:rPr>
          <w:color w:val="000000" w:themeColor="text1"/>
        </w:rPr>
        <w:t>($thousands)</w:t>
      </w:r>
    </w:p>
    <w:p w:rsidR="00CF189B" w:rsidRPr="00CF189B" w:rsidRDefault="00CF189B" w:rsidP="001B374C">
      <w:pPr>
        <w:pStyle w:val="Answer"/>
        <w:suppressLineNumbers/>
        <w:jc w:val="center"/>
        <w:rPr>
          <w:color w:val="000000" w:themeColor="text1"/>
        </w:rPr>
      </w:pPr>
      <w:r w:rsidRPr="00CF189B">
        <w:rPr>
          <w:noProof/>
          <w:color w:val="000000" w:themeColor="text1"/>
        </w:rPr>
        <w:drawing>
          <wp:inline distT="0" distB="0" distL="0" distR="0" wp14:anchorId="1F636AF4" wp14:editId="440ACB5D">
            <wp:extent cx="4933950" cy="445732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33950" cy="4457325"/>
                    </a:xfrm>
                    <a:prstGeom prst="rect">
                      <a:avLst/>
                    </a:prstGeom>
                    <a:noFill/>
                    <a:ln>
                      <a:noFill/>
                    </a:ln>
                  </pic:spPr>
                </pic:pic>
              </a:graphicData>
            </a:graphic>
          </wp:inline>
        </w:drawing>
      </w:r>
    </w:p>
    <w:p w:rsidR="00F04126" w:rsidRDefault="00F04126" w:rsidP="00686513">
      <w:pPr>
        <w:spacing w:line="480" w:lineRule="auto"/>
        <w:ind w:left="720" w:hanging="720"/>
        <w:jc w:val="left"/>
        <w:rPr>
          <w:rFonts w:eastAsia="Calibri"/>
          <w:b/>
        </w:rPr>
      </w:pPr>
      <w:r>
        <w:rPr>
          <w:b/>
          <w:color w:val="000000" w:themeColor="text1"/>
        </w:rPr>
        <w:t>Q.</w:t>
      </w:r>
      <w:r>
        <w:rPr>
          <w:b/>
          <w:color w:val="000000" w:themeColor="text1"/>
        </w:rPr>
        <w:tab/>
        <w:t xml:space="preserve">Does the </w:t>
      </w:r>
      <w:r w:rsidR="00CF0105">
        <w:rPr>
          <w:b/>
          <w:color w:val="000000" w:themeColor="text1"/>
        </w:rPr>
        <w:t xml:space="preserve">Washington </w:t>
      </w:r>
      <w:r>
        <w:rPr>
          <w:b/>
          <w:color w:val="000000" w:themeColor="text1"/>
        </w:rPr>
        <w:t>impact of the Exchange differ from what was estimated in the request for approval of the exchange in</w:t>
      </w:r>
      <w:r w:rsidRPr="00F04126">
        <w:rPr>
          <w:rFonts w:eastAsia="Calibri"/>
          <w:b/>
        </w:rPr>
        <w:t xml:space="preserve"> </w:t>
      </w:r>
      <w:r w:rsidR="00CF0105">
        <w:rPr>
          <w:rFonts w:eastAsia="Calibri"/>
          <w:b/>
        </w:rPr>
        <w:t xml:space="preserve">Docket </w:t>
      </w:r>
      <w:r w:rsidRPr="00F04126">
        <w:rPr>
          <w:rFonts w:eastAsia="Calibri"/>
          <w:b/>
        </w:rPr>
        <w:t>UE-144136</w:t>
      </w:r>
      <w:r>
        <w:rPr>
          <w:rFonts w:eastAsia="Calibri"/>
          <w:b/>
        </w:rPr>
        <w:t>?</w:t>
      </w:r>
    </w:p>
    <w:p w:rsidR="00F04126" w:rsidRPr="00F04126" w:rsidRDefault="00F04126" w:rsidP="00686513">
      <w:pPr>
        <w:spacing w:line="480" w:lineRule="auto"/>
        <w:ind w:left="720" w:hanging="720"/>
        <w:jc w:val="left"/>
        <w:rPr>
          <w:color w:val="000000" w:themeColor="text1"/>
        </w:rPr>
      </w:pPr>
      <w:r>
        <w:rPr>
          <w:color w:val="000000" w:themeColor="text1"/>
        </w:rPr>
        <w:t>A.</w:t>
      </w:r>
      <w:r>
        <w:rPr>
          <w:color w:val="000000" w:themeColor="text1"/>
        </w:rPr>
        <w:tab/>
        <w:t xml:space="preserve">Yes, </w:t>
      </w:r>
      <w:r w:rsidR="008A032B">
        <w:rPr>
          <w:color w:val="000000" w:themeColor="text1"/>
        </w:rPr>
        <w:t>the Company originally estimated a</w:t>
      </w:r>
      <w:r w:rsidR="00686513">
        <w:rPr>
          <w:color w:val="000000" w:themeColor="text1"/>
        </w:rPr>
        <w:t xml:space="preserve"> slight</w:t>
      </w:r>
      <w:r w:rsidR="008A032B">
        <w:rPr>
          <w:color w:val="000000" w:themeColor="text1"/>
        </w:rPr>
        <w:t xml:space="preserve"> decrease </w:t>
      </w:r>
      <w:r w:rsidR="00686513">
        <w:rPr>
          <w:color w:val="000000" w:themeColor="text1"/>
        </w:rPr>
        <w:t>in Washington-</w:t>
      </w:r>
      <w:r w:rsidR="008A032B">
        <w:rPr>
          <w:color w:val="000000" w:themeColor="text1"/>
        </w:rPr>
        <w:t xml:space="preserve">allocated rate base </w:t>
      </w:r>
      <w:r w:rsidR="00686513">
        <w:rPr>
          <w:color w:val="000000" w:themeColor="text1"/>
        </w:rPr>
        <w:t xml:space="preserve">and a slight increase in net power costs </w:t>
      </w:r>
      <w:r w:rsidR="008A032B">
        <w:rPr>
          <w:color w:val="000000" w:themeColor="text1"/>
        </w:rPr>
        <w:t xml:space="preserve">as a result of the Exchange.  </w:t>
      </w:r>
      <w:r w:rsidR="00B3777C">
        <w:rPr>
          <w:color w:val="000000" w:themeColor="text1"/>
        </w:rPr>
        <w:t>T</w:t>
      </w:r>
      <w:r w:rsidR="00686513">
        <w:rPr>
          <w:color w:val="000000" w:themeColor="text1"/>
        </w:rPr>
        <w:t>hese high-level initial</w:t>
      </w:r>
      <w:r w:rsidR="008A032B">
        <w:rPr>
          <w:color w:val="000000" w:themeColor="text1"/>
        </w:rPr>
        <w:t xml:space="preserve"> </w:t>
      </w:r>
      <w:r w:rsidR="00686513">
        <w:rPr>
          <w:color w:val="000000" w:themeColor="text1"/>
        </w:rPr>
        <w:t>projections</w:t>
      </w:r>
      <w:r w:rsidR="00B3777C">
        <w:rPr>
          <w:color w:val="000000" w:themeColor="text1"/>
        </w:rPr>
        <w:t>, however,</w:t>
      </w:r>
      <w:r w:rsidR="008A032B">
        <w:rPr>
          <w:color w:val="000000" w:themeColor="text1"/>
        </w:rPr>
        <w:t xml:space="preserve"> </w:t>
      </w:r>
      <w:r w:rsidR="00686513">
        <w:rPr>
          <w:color w:val="000000" w:themeColor="text1"/>
        </w:rPr>
        <w:t>were</w:t>
      </w:r>
      <w:r w:rsidR="008A032B">
        <w:rPr>
          <w:color w:val="000000" w:themeColor="text1"/>
        </w:rPr>
        <w:t xml:space="preserve"> based on preliminary analysis of the transaction.  </w:t>
      </w:r>
      <w:r w:rsidR="008A032B">
        <w:t xml:space="preserve">Since the time of this preliminary analysis, the Company conducted the detailed analysis required to include the exchange in the Company’s accounting system as a result of the executed transaction.  This </w:t>
      </w:r>
      <w:r w:rsidR="00F359B0">
        <w:t xml:space="preserve">detailed </w:t>
      </w:r>
      <w:r w:rsidR="008A032B">
        <w:t xml:space="preserve">analysis included verifying plant balances and allocation factors associated with each of the assets involved in the </w:t>
      </w:r>
      <w:r w:rsidR="00CD6C23">
        <w:t>E</w:t>
      </w:r>
      <w:r w:rsidR="008A032B">
        <w:t>xchange.  The result of the more detailed ana</w:t>
      </w:r>
      <w:r w:rsidR="00686513">
        <w:t>lysis is an increase Washington-</w:t>
      </w:r>
      <w:r w:rsidR="008A032B">
        <w:t xml:space="preserve">allocated rate base under the WCA.  </w:t>
      </w:r>
    </w:p>
    <w:p w:rsidR="00CF189B" w:rsidRPr="00CF189B" w:rsidRDefault="00CF189B" w:rsidP="00CF189B">
      <w:pPr>
        <w:pStyle w:val="Answer"/>
        <w:jc w:val="left"/>
        <w:rPr>
          <w:b/>
          <w:color w:val="000000" w:themeColor="text1"/>
        </w:rPr>
      </w:pPr>
      <w:r w:rsidRPr="00CF189B">
        <w:rPr>
          <w:b/>
          <w:color w:val="000000" w:themeColor="text1"/>
        </w:rPr>
        <w:t>Q.</w:t>
      </w:r>
      <w:r w:rsidRPr="00CF189B">
        <w:rPr>
          <w:b/>
          <w:color w:val="000000" w:themeColor="text1"/>
        </w:rPr>
        <w:tab/>
        <w:t>Did the Company make any changes in rebuttal to account for Staff’s recommendation?</w:t>
      </w:r>
    </w:p>
    <w:p w:rsidR="00CF189B" w:rsidRPr="00CF189B" w:rsidRDefault="00CF189B" w:rsidP="00686513">
      <w:pPr>
        <w:spacing w:line="480" w:lineRule="auto"/>
        <w:ind w:left="720" w:hanging="720"/>
        <w:jc w:val="left"/>
        <w:rPr>
          <w:color w:val="000000" w:themeColor="text1"/>
        </w:rPr>
      </w:pPr>
      <w:r w:rsidRPr="00CF189B">
        <w:rPr>
          <w:color w:val="000000" w:themeColor="text1"/>
        </w:rPr>
        <w:t>A.</w:t>
      </w:r>
      <w:r w:rsidRPr="00CF189B">
        <w:rPr>
          <w:color w:val="000000" w:themeColor="text1"/>
        </w:rPr>
        <w:tab/>
        <w:t xml:space="preserve">No.  </w:t>
      </w:r>
      <w:r w:rsidR="00FC1A56">
        <w:rPr>
          <w:color w:val="000000" w:themeColor="text1"/>
        </w:rPr>
        <w:t xml:space="preserve">Contrary to </w:t>
      </w:r>
      <w:r w:rsidR="00013DDF">
        <w:rPr>
          <w:color w:val="000000" w:themeColor="text1"/>
        </w:rPr>
        <w:t>Staff</w:t>
      </w:r>
      <w:r w:rsidR="00FC1A56">
        <w:rPr>
          <w:color w:val="000000" w:themeColor="text1"/>
        </w:rPr>
        <w:t>’s testimony, and a</w:t>
      </w:r>
      <w:r w:rsidR="00B3777C">
        <w:rPr>
          <w:color w:val="000000" w:themeColor="text1"/>
        </w:rPr>
        <w:t xml:space="preserve">s described in the rebuttal testimony of </w:t>
      </w:r>
      <w:r w:rsidR="00E768DB">
        <w:rPr>
          <w:color w:val="000000" w:themeColor="text1"/>
        </w:rPr>
        <w:t xml:space="preserve">    </w:t>
      </w:r>
      <w:r w:rsidRPr="00CF189B">
        <w:rPr>
          <w:color w:val="000000" w:themeColor="text1"/>
        </w:rPr>
        <w:t>Mr. Richard A. Vail</w:t>
      </w:r>
      <w:r w:rsidR="00B3777C">
        <w:rPr>
          <w:color w:val="000000" w:themeColor="text1"/>
        </w:rPr>
        <w:t xml:space="preserve">, the Exchange </w:t>
      </w:r>
      <w:r w:rsidR="00307302">
        <w:rPr>
          <w:color w:val="000000" w:themeColor="text1"/>
        </w:rPr>
        <w:t>provides</w:t>
      </w:r>
      <w:r w:rsidR="00B3777C">
        <w:rPr>
          <w:color w:val="000000" w:themeColor="text1"/>
        </w:rPr>
        <w:t xml:space="preserve"> </w:t>
      </w:r>
      <w:r w:rsidR="00307302">
        <w:rPr>
          <w:color w:val="000000" w:themeColor="text1"/>
        </w:rPr>
        <w:t xml:space="preserve">significant reliability and flexibility </w:t>
      </w:r>
      <w:r w:rsidR="00B3777C">
        <w:rPr>
          <w:color w:val="000000" w:themeColor="text1"/>
        </w:rPr>
        <w:t>benefits</w:t>
      </w:r>
      <w:r w:rsidR="00307302">
        <w:rPr>
          <w:color w:val="000000" w:themeColor="text1"/>
        </w:rPr>
        <w:t xml:space="preserve"> </w:t>
      </w:r>
      <w:r w:rsidR="00B3777C">
        <w:rPr>
          <w:color w:val="000000" w:themeColor="text1"/>
        </w:rPr>
        <w:t xml:space="preserve">to </w:t>
      </w:r>
      <w:r w:rsidR="00307302">
        <w:rPr>
          <w:color w:val="000000" w:themeColor="text1"/>
        </w:rPr>
        <w:t>serve Washington customers.  Accordingly, the</w:t>
      </w:r>
      <w:r w:rsidR="00B3777C">
        <w:rPr>
          <w:color w:val="000000" w:themeColor="text1"/>
        </w:rPr>
        <w:t xml:space="preserve"> exchanged assets are used and useful</w:t>
      </w:r>
      <w:r w:rsidR="00307302">
        <w:rPr>
          <w:color w:val="000000" w:themeColor="text1"/>
        </w:rPr>
        <w:t xml:space="preserve"> and should be included in Washington rates</w:t>
      </w:r>
      <w:r w:rsidR="00B3777C">
        <w:rPr>
          <w:color w:val="000000" w:themeColor="text1"/>
        </w:rPr>
        <w:t>.</w:t>
      </w:r>
    </w:p>
    <w:p w:rsidR="00CF189B" w:rsidRPr="00CF189B" w:rsidRDefault="00CF189B" w:rsidP="00CF189B">
      <w:pPr>
        <w:pStyle w:val="Answer"/>
        <w:jc w:val="left"/>
        <w:rPr>
          <w:b/>
          <w:color w:val="000000" w:themeColor="text1"/>
        </w:rPr>
      </w:pPr>
      <w:r w:rsidRPr="00CF189B">
        <w:rPr>
          <w:b/>
          <w:color w:val="000000" w:themeColor="text1"/>
        </w:rPr>
        <w:t>Q.</w:t>
      </w:r>
      <w:r w:rsidRPr="00CF189B">
        <w:rPr>
          <w:b/>
          <w:color w:val="000000" w:themeColor="text1"/>
        </w:rPr>
        <w:tab/>
      </w:r>
      <w:r w:rsidR="00551DB8">
        <w:rPr>
          <w:b/>
          <w:color w:val="000000" w:themeColor="text1"/>
        </w:rPr>
        <w:t>Did Staff challenge the revenue requirement modeling of the Exchange</w:t>
      </w:r>
      <w:r w:rsidRPr="00CF189B">
        <w:rPr>
          <w:b/>
          <w:color w:val="000000" w:themeColor="text1"/>
        </w:rPr>
        <w:t>?</w:t>
      </w:r>
    </w:p>
    <w:p w:rsidR="00CF189B" w:rsidRDefault="00CF189B" w:rsidP="00686513">
      <w:pPr>
        <w:spacing w:line="480" w:lineRule="auto"/>
        <w:ind w:left="720" w:hanging="720"/>
        <w:jc w:val="left"/>
        <w:rPr>
          <w:color w:val="000000" w:themeColor="text1"/>
        </w:rPr>
      </w:pPr>
      <w:r w:rsidRPr="00CF189B">
        <w:rPr>
          <w:color w:val="000000" w:themeColor="text1"/>
        </w:rPr>
        <w:t>A.</w:t>
      </w:r>
      <w:r w:rsidRPr="00CF189B">
        <w:rPr>
          <w:color w:val="000000" w:themeColor="text1"/>
        </w:rPr>
        <w:tab/>
      </w:r>
      <w:r w:rsidR="00551DB8">
        <w:rPr>
          <w:color w:val="000000" w:themeColor="text1"/>
        </w:rPr>
        <w:t xml:space="preserve">No.  </w:t>
      </w:r>
      <w:r w:rsidRPr="00CF189B">
        <w:rPr>
          <w:color w:val="000000" w:themeColor="text1"/>
        </w:rPr>
        <w:t>Staff agrees with the manner in which the Company presents the results of the Exchange.</w:t>
      </w:r>
      <w:r w:rsidRPr="00CF189B">
        <w:rPr>
          <w:rStyle w:val="FootnoteReference"/>
          <w:color w:val="000000" w:themeColor="text1"/>
        </w:rPr>
        <w:footnoteReference w:id="26"/>
      </w:r>
      <w:r w:rsidRPr="00CF189B">
        <w:rPr>
          <w:color w:val="000000" w:themeColor="text1"/>
        </w:rPr>
        <w:t xml:space="preserve">  </w:t>
      </w:r>
    </w:p>
    <w:p w:rsidR="0014727C" w:rsidRDefault="0014727C" w:rsidP="0014727C">
      <w:pPr>
        <w:suppressLineNumbers/>
        <w:spacing w:line="480" w:lineRule="auto"/>
        <w:ind w:left="720" w:hanging="720"/>
        <w:jc w:val="left"/>
        <w:rPr>
          <w:color w:val="000000" w:themeColor="text1"/>
        </w:rPr>
      </w:pPr>
    </w:p>
    <w:p w:rsidR="0014727C" w:rsidRPr="00CF189B" w:rsidRDefault="0014727C" w:rsidP="0014727C">
      <w:pPr>
        <w:suppressLineNumbers/>
        <w:spacing w:line="480" w:lineRule="auto"/>
        <w:ind w:left="720" w:hanging="720"/>
        <w:jc w:val="left"/>
        <w:rPr>
          <w:color w:val="000000" w:themeColor="text1"/>
        </w:rPr>
      </w:pPr>
    </w:p>
    <w:p w:rsidR="00307302" w:rsidRDefault="00CF189B" w:rsidP="00307302">
      <w:pPr>
        <w:pStyle w:val="Answer"/>
        <w:jc w:val="left"/>
        <w:rPr>
          <w:b/>
          <w:color w:val="000000" w:themeColor="text1"/>
        </w:rPr>
      </w:pPr>
      <w:r w:rsidRPr="00CF189B">
        <w:rPr>
          <w:b/>
          <w:color w:val="000000" w:themeColor="text1"/>
        </w:rPr>
        <w:t>Q.</w:t>
      </w:r>
      <w:r w:rsidRPr="00CF189B">
        <w:rPr>
          <w:b/>
          <w:color w:val="000000" w:themeColor="text1"/>
        </w:rPr>
        <w:tab/>
      </w:r>
      <w:r w:rsidR="00307302">
        <w:rPr>
          <w:b/>
          <w:color w:val="000000" w:themeColor="text1"/>
        </w:rPr>
        <w:t>Despite the Company’s disagreement with Staff’s recommendation, has Staff’s adjustment been calculated correctly?</w:t>
      </w:r>
    </w:p>
    <w:p w:rsidR="001933E3" w:rsidRPr="00CF189B" w:rsidRDefault="00CF189B" w:rsidP="00246710">
      <w:pPr>
        <w:pStyle w:val="Answer"/>
        <w:jc w:val="left"/>
        <w:rPr>
          <w:color w:val="000000" w:themeColor="text1"/>
        </w:rPr>
      </w:pPr>
      <w:r w:rsidRPr="00307302">
        <w:rPr>
          <w:color w:val="000000" w:themeColor="text1"/>
        </w:rPr>
        <w:t>A.</w:t>
      </w:r>
      <w:r w:rsidRPr="00307302">
        <w:rPr>
          <w:color w:val="000000" w:themeColor="text1"/>
        </w:rPr>
        <w:tab/>
      </w:r>
      <w:r w:rsidR="007F072E" w:rsidRPr="00307302">
        <w:rPr>
          <w:color w:val="000000" w:themeColor="text1"/>
        </w:rPr>
        <w:t>No.  Staff</w:t>
      </w:r>
      <w:r w:rsidR="00307302">
        <w:rPr>
          <w:color w:val="000000" w:themeColor="text1"/>
        </w:rPr>
        <w:t>’s removal of certain assets is incomplete and does not remove all of the components from the revenue requirement model.  Specifically, not all of the accumulated depreciation or depreciation expense were removed.  Staff also did not appropriately account for the associated impacts of its recommendation as part of end-of-period plant and reserve adjustments</w:t>
      </w:r>
      <w:r w:rsidR="00DB52AB">
        <w:rPr>
          <w:color w:val="000000" w:themeColor="text1"/>
        </w:rPr>
        <w:t xml:space="preserve"> (Adjustments 8.11, 6.1, and 6.2)</w:t>
      </w:r>
      <w:r w:rsidR="00307302">
        <w:rPr>
          <w:color w:val="000000" w:themeColor="text1"/>
        </w:rPr>
        <w:t>.  Accordingly, even if Staff’s recommendation is accepted, the revenue requirement impact of Staff’s adjustment is overstated by approximately $137,000.</w:t>
      </w:r>
      <w:r w:rsidRPr="00307302">
        <w:rPr>
          <w:color w:val="000000" w:themeColor="text1"/>
        </w:rPr>
        <w:t xml:space="preserve"> </w:t>
      </w:r>
      <w:r w:rsidRPr="00CF189B">
        <w:rPr>
          <w:color w:val="000000" w:themeColor="text1"/>
        </w:rPr>
        <w:tab/>
      </w:r>
      <w:r w:rsidRPr="00CF189B">
        <w:rPr>
          <w:color w:val="000000" w:themeColor="text1"/>
        </w:rPr>
        <w:tab/>
      </w:r>
    </w:p>
    <w:p w:rsidR="001933E3" w:rsidRPr="00CF189B" w:rsidRDefault="000D5E2A" w:rsidP="001933E3">
      <w:pPr>
        <w:pStyle w:val="Heading1"/>
        <w:spacing w:after="240" w:line="240" w:lineRule="auto"/>
        <w:jc w:val="center"/>
        <w:rPr>
          <w:color w:val="000000" w:themeColor="text1"/>
        </w:rPr>
      </w:pPr>
      <w:bookmarkStart w:id="18" w:name="_Toc447729296"/>
      <w:r>
        <w:rPr>
          <w:color w:val="000000" w:themeColor="text1"/>
        </w:rPr>
        <w:t>PUBLIC COUNSEL ADJUSTMENTS NOT ACCEPTED BY THE COMPANY</w:t>
      </w:r>
      <w:bookmarkEnd w:id="18"/>
    </w:p>
    <w:p w:rsidR="0020508D" w:rsidRDefault="0020508D" w:rsidP="00903424">
      <w:pPr>
        <w:pStyle w:val="Answer"/>
        <w:jc w:val="left"/>
        <w:rPr>
          <w:rStyle w:val="Strong"/>
        </w:rPr>
      </w:pPr>
      <w:r>
        <w:rPr>
          <w:rStyle w:val="Strong"/>
        </w:rPr>
        <w:t>Accelerated Depreciation</w:t>
      </w:r>
    </w:p>
    <w:p w:rsidR="0020508D" w:rsidRDefault="0020508D" w:rsidP="00903424">
      <w:pPr>
        <w:pStyle w:val="Answer"/>
        <w:jc w:val="left"/>
        <w:rPr>
          <w:rStyle w:val="Strong"/>
        </w:rPr>
      </w:pPr>
      <w:r>
        <w:rPr>
          <w:rStyle w:val="Strong"/>
        </w:rPr>
        <w:t>Q.</w:t>
      </w:r>
      <w:r>
        <w:rPr>
          <w:rStyle w:val="Strong"/>
        </w:rPr>
        <w:tab/>
        <w:t xml:space="preserve">Does Public Counsel support the Company’s proposal for accelerating the depreciation rates on Jim Bridger </w:t>
      </w:r>
      <w:r w:rsidR="00DB52AB">
        <w:rPr>
          <w:rStyle w:val="Strong"/>
        </w:rPr>
        <w:t xml:space="preserve">plant </w:t>
      </w:r>
      <w:r>
        <w:rPr>
          <w:rStyle w:val="Strong"/>
        </w:rPr>
        <w:t>and Colstrip</w:t>
      </w:r>
      <w:r w:rsidR="00DB52AB">
        <w:rPr>
          <w:rStyle w:val="Strong"/>
        </w:rPr>
        <w:t xml:space="preserve"> Unit 3</w:t>
      </w:r>
      <w:r>
        <w:rPr>
          <w:rStyle w:val="Strong"/>
        </w:rPr>
        <w:t>?</w:t>
      </w:r>
    </w:p>
    <w:p w:rsidR="0020508D" w:rsidRDefault="0020508D" w:rsidP="00903424">
      <w:pPr>
        <w:pStyle w:val="Answer"/>
        <w:jc w:val="left"/>
        <w:rPr>
          <w:rStyle w:val="Strong"/>
          <w:b w:val="0"/>
        </w:rPr>
      </w:pPr>
      <w:r>
        <w:rPr>
          <w:rStyle w:val="Strong"/>
          <w:b w:val="0"/>
        </w:rPr>
        <w:t>A.</w:t>
      </w:r>
      <w:r>
        <w:rPr>
          <w:rStyle w:val="Strong"/>
          <w:b w:val="0"/>
        </w:rPr>
        <w:tab/>
        <w:t>No, Public Counsel does not agree with the Company’s proposal.</w:t>
      </w:r>
      <w:r w:rsidR="003F18A2">
        <w:rPr>
          <w:rStyle w:val="FootnoteReference"/>
          <w:bCs/>
        </w:rPr>
        <w:footnoteReference w:id="27"/>
      </w:r>
    </w:p>
    <w:p w:rsidR="0020508D" w:rsidRDefault="0020508D" w:rsidP="00903424">
      <w:pPr>
        <w:pStyle w:val="Answer"/>
        <w:jc w:val="left"/>
        <w:rPr>
          <w:rStyle w:val="Strong"/>
        </w:rPr>
      </w:pPr>
      <w:r>
        <w:rPr>
          <w:rStyle w:val="Strong"/>
        </w:rPr>
        <w:t>Q.</w:t>
      </w:r>
      <w:r>
        <w:rPr>
          <w:rStyle w:val="Strong"/>
        </w:rPr>
        <w:tab/>
        <w:t>Does Public Counsel have</w:t>
      </w:r>
      <w:r w:rsidR="00DB52AB">
        <w:rPr>
          <w:rStyle w:val="Strong"/>
        </w:rPr>
        <w:t xml:space="preserve"> an alternative</w:t>
      </w:r>
      <w:r>
        <w:rPr>
          <w:rStyle w:val="Strong"/>
        </w:rPr>
        <w:t xml:space="preserve"> recommendation for the accounting should the Company’s accelerated proposal be accepted by the Commission?</w:t>
      </w:r>
    </w:p>
    <w:p w:rsidR="0020508D" w:rsidRDefault="0020508D" w:rsidP="00903424">
      <w:pPr>
        <w:pStyle w:val="Answer"/>
        <w:jc w:val="left"/>
        <w:rPr>
          <w:rStyle w:val="Strong"/>
          <w:b w:val="0"/>
        </w:rPr>
      </w:pPr>
      <w:r>
        <w:rPr>
          <w:rStyle w:val="Strong"/>
          <w:b w:val="0"/>
        </w:rPr>
        <w:t>A.</w:t>
      </w:r>
      <w:r>
        <w:rPr>
          <w:rStyle w:val="Strong"/>
          <w:b w:val="0"/>
        </w:rPr>
        <w:tab/>
        <w:t xml:space="preserve">Yes, Public Counsel is recommending that the </w:t>
      </w:r>
      <w:r w:rsidR="006D6458">
        <w:rPr>
          <w:rStyle w:val="Strong"/>
          <w:b w:val="0"/>
        </w:rPr>
        <w:t xml:space="preserve">incremental depreciation </w:t>
      </w:r>
      <w:r w:rsidR="00F359B0">
        <w:rPr>
          <w:rStyle w:val="Strong"/>
          <w:b w:val="0"/>
        </w:rPr>
        <w:t xml:space="preserve">related to </w:t>
      </w:r>
      <w:r w:rsidR="006D6458">
        <w:rPr>
          <w:rStyle w:val="Strong"/>
          <w:b w:val="0"/>
        </w:rPr>
        <w:t xml:space="preserve">acceleration be recorded in a regulatory liability (FERC </w:t>
      </w:r>
      <w:r w:rsidR="00DB52AB">
        <w:rPr>
          <w:rStyle w:val="Strong"/>
          <w:b w:val="0"/>
        </w:rPr>
        <w:t xml:space="preserve">Account </w:t>
      </w:r>
      <w:r w:rsidR="006D6458">
        <w:rPr>
          <w:rStyle w:val="Strong"/>
          <w:b w:val="0"/>
        </w:rPr>
        <w:t xml:space="preserve">254) as opposed to the accumulated reserve (FERC </w:t>
      </w:r>
      <w:r w:rsidR="00DB52AB">
        <w:rPr>
          <w:rStyle w:val="Strong"/>
          <w:b w:val="0"/>
        </w:rPr>
        <w:t xml:space="preserve">Account </w:t>
      </w:r>
      <w:r w:rsidR="006D6458">
        <w:rPr>
          <w:rStyle w:val="Strong"/>
          <w:b w:val="0"/>
        </w:rPr>
        <w:t>108).</w:t>
      </w:r>
      <w:r w:rsidR="003F18A2">
        <w:rPr>
          <w:rStyle w:val="FootnoteReference"/>
          <w:bCs/>
        </w:rPr>
        <w:footnoteReference w:id="28"/>
      </w:r>
      <w:r w:rsidR="00DB52AB">
        <w:rPr>
          <w:rStyle w:val="Strong"/>
          <w:b w:val="0"/>
        </w:rPr>
        <w:t xml:space="preserve">  </w:t>
      </w:r>
    </w:p>
    <w:p w:rsidR="006D6458" w:rsidRDefault="006D6458" w:rsidP="00903424">
      <w:pPr>
        <w:pStyle w:val="Answer"/>
        <w:jc w:val="left"/>
        <w:rPr>
          <w:rStyle w:val="Strong"/>
        </w:rPr>
      </w:pPr>
      <w:r>
        <w:rPr>
          <w:rStyle w:val="Strong"/>
        </w:rPr>
        <w:t>Q.</w:t>
      </w:r>
      <w:r>
        <w:rPr>
          <w:rStyle w:val="Strong"/>
        </w:rPr>
        <w:tab/>
        <w:t>Does the Company agree with this proposal?</w:t>
      </w:r>
    </w:p>
    <w:p w:rsidR="00E64FEA" w:rsidRDefault="006D6458" w:rsidP="006D6458">
      <w:pPr>
        <w:pStyle w:val="Answer"/>
        <w:jc w:val="left"/>
        <w:rPr>
          <w:rStyle w:val="Strong"/>
          <w:b w:val="0"/>
        </w:rPr>
      </w:pPr>
      <w:r>
        <w:rPr>
          <w:rStyle w:val="Strong"/>
          <w:b w:val="0"/>
        </w:rPr>
        <w:t>A.</w:t>
      </w:r>
      <w:r>
        <w:rPr>
          <w:rStyle w:val="Strong"/>
          <w:b w:val="0"/>
        </w:rPr>
        <w:tab/>
        <w:t xml:space="preserve">No.  </w:t>
      </w:r>
      <w:r w:rsidR="00DB52AB">
        <w:rPr>
          <w:rStyle w:val="Strong"/>
          <w:b w:val="0"/>
        </w:rPr>
        <w:t>As discussed in the rebuttal testimony of Mr. Dalley, Public Counsel’s alternative recommendation is unnecessary.  T</w:t>
      </w:r>
      <w:r>
        <w:rPr>
          <w:rStyle w:val="Strong"/>
          <w:b w:val="0"/>
        </w:rPr>
        <w:t xml:space="preserve">he </w:t>
      </w:r>
      <w:r w:rsidR="006C4BD9">
        <w:rPr>
          <w:rStyle w:val="Strong"/>
          <w:b w:val="0"/>
        </w:rPr>
        <w:t>C</w:t>
      </w:r>
      <w:r>
        <w:rPr>
          <w:rStyle w:val="Strong"/>
          <w:b w:val="0"/>
        </w:rPr>
        <w:t xml:space="preserve">ompany believes that accumulated depreciation is appropriately recorded in FERC </w:t>
      </w:r>
      <w:r w:rsidR="00DB52AB">
        <w:rPr>
          <w:rStyle w:val="Strong"/>
          <w:b w:val="0"/>
        </w:rPr>
        <w:t xml:space="preserve">Account </w:t>
      </w:r>
      <w:r>
        <w:rPr>
          <w:rStyle w:val="Strong"/>
          <w:b w:val="0"/>
        </w:rPr>
        <w:t>108, Accumulated provision for depreciation of electric utility plant, per the guidelines set forth in FERC’s Uniform System of Accounts</w:t>
      </w:r>
      <w:r w:rsidR="006C4BD9">
        <w:rPr>
          <w:rStyle w:val="Strong"/>
          <w:b w:val="0"/>
        </w:rPr>
        <w:t xml:space="preserve">.  FERC </w:t>
      </w:r>
      <w:r w:rsidR="00DB52AB">
        <w:rPr>
          <w:rStyle w:val="Strong"/>
          <w:b w:val="0"/>
        </w:rPr>
        <w:t xml:space="preserve">Account </w:t>
      </w:r>
      <w:r w:rsidR="006C4BD9">
        <w:rPr>
          <w:rStyle w:val="Strong"/>
          <w:b w:val="0"/>
        </w:rPr>
        <w:t>108 is explained as follows</w:t>
      </w:r>
      <w:r w:rsidR="00041D1A">
        <w:rPr>
          <w:rStyle w:val="Strong"/>
          <w:b w:val="0"/>
        </w:rPr>
        <w:t>:</w:t>
      </w:r>
    </w:p>
    <w:p w:rsidR="006D6458" w:rsidRPr="00DB52AB" w:rsidRDefault="006D6458" w:rsidP="00DB52AB">
      <w:pPr>
        <w:pStyle w:val="Heading5"/>
        <w:ind w:left="1440" w:right="1080"/>
        <w:jc w:val="left"/>
        <w:rPr>
          <w:rFonts w:ascii="Times New Roman" w:hAnsi="Times New Roman" w:cs="Times New Roman"/>
          <w:b/>
          <w:color w:val="000000" w:themeColor="text1"/>
        </w:rPr>
      </w:pPr>
      <w:r w:rsidRPr="00DB52AB">
        <w:rPr>
          <w:rFonts w:ascii="Times New Roman" w:hAnsi="Times New Roman" w:cs="Times New Roman"/>
          <w:b/>
          <w:color w:val="000000" w:themeColor="text1"/>
        </w:rPr>
        <w:t xml:space="preserve">108 Accumulated provision for depreciation of electric utility plant (Major only). </w:t>
      </w:r>
    </w:p>
    <w:p w:rsidR="006D6458" w:rsidRPr="00DB52AB" w:rsidRDefault="006D6458" w:rsidP="00DB52AB">
      <w:pPr>
        <w:pStyle w:val="NormalWeb"/>
        <w:ind w:left="1440" w:right="1080"/>
        <w:rPr>
          <w:color w:val="000000" w:themeColor="text1"/>
        </w:rPr>
      </w:pPr>
      <w:r w:rsidRPr="00DB52AB">
        <w:rPr>
          <w:color w:val="000000" w:themeColor="text1"/>
        </w:rPr>
        <w:t xml:space="preserve">A. </w:t>
      </w:r>
      <w:r w:rsidR="0093393C">
        <w:rPr>
          <w:color w:val="000000" w:themeColor="text1"/>
        </w:rPr>
        <w:t xml:space="preserve"> </w:t>
      </w:r>
      <w:r w:rsidRPr="00DB52AB">
        <w:rPr>
          <w:color w:val="000000" w:themeColor="text1"/>
        </w:rPr>
        <w:t xml:space="preserve">This account shall be credited with the following: </w:t>
      </w:r>
    </w:p>
    <w:p w:rsidR="006D6458" w:rsidRPr="00DB52AB" w:rsidRDefault="006D6458" w:rsidP="00DB52AB">
      <w:pPr>
        <w:pStyle w:val="NormalWeb"/>
        <w:ind w:left="1440" w:right="1080"/>
        <w:rPr>
          <w:color w:val="000000" w:themeColor="text1"/>
        </w:rPr>
      </w:pPr>
      <w:r w:rsidRPr="00DB52AB">
        <w:rPr>
          <w:color w:val="000000" w:themeColor="text1"/>
        </w:rPr>
        <w:t xml:space="preserve">(1) Amounts charged to account 403, Depreciation Expense, or to clearing accounts for current depreciation expense for electric plant in service. </w:t>
      </w:r>
    </w:p>
    <w:p w:rsidR="006D6458" w:rsidRDefault="006D6458" w:rsidP="006D6458">
      <w:pPr>
        <w:pStyle w:val="Answer"/>
        <w:jc w:val="left"/>
        <w:rPr>
          <w:rStyle w:val="Strong"/>
          <w:b w:val="0"/>
        </w:rPr>
      </w:pPr>
      <w:r>
        <w:rPr>
          <w:rStyle w:val="Strong"/>
          <w:b w:val="0"/>
        </w:rPr>
        <w:tab/>
      </w:r>
      <w:r w:rsidR="00C45728">
        <w:rPr>
          <w:rStyle w:val="Strong"/>
          <w:b w:val="0"/>
        </w:rPr>
        <w:t>Following Public Counsel’s proposal would create a difference in the way depreciation is accounted for on the Company’s books for Washington compared to its other states and would not be in accordance with FERC</w:t>
      </w:r>
      <w:r w:rsidR="00E768DB">
        <w:rPr>
          <w:rStyle w:val="Strong"/>
          <w:b w:val="0"/>
        </w:rPr>
        <w:t xml:space="preserve"> guidelines</w:t>
      </w:r>
      <w:r w:rsidR="00C45728">
        <w:rPr>
          <w:rStyle w:val="Strong"/>
          <w:b w:val="0"/>
        </w:rPr>
        <w:t>.</w:t>
      </w:r>
    </w:p>
    <w:p w:rsidR="001933E3" w:rsidRPr="007D6C1A" w:rsidRDefault="000D5E2A" w:rsidP="00E64FEA">
      <w:pPr>
        <w:pStyle w:val="Heading1"/>
        <w:spacing w:after="240" w:line="240" w:lineRule="auto"/>
        <w:jc w:val="center"/>
        <w:rPr>
          <w:rStyle w:val="Strong"/>
          <w:b/>
        </w:rPr>
      </w:pPr>
      <w:bookmarkStart w:id="19" w:name="_Toc447729297"/>
      <w:r>
        <w:t>BOISE ADJUSTMENTS NOT ACCEPTED BY THE COMPANY</w:t>
      </w:r>
      <w:bookmarkEnd w:id="19"/>
    </w:p>
    <w:p w:rsidR="008E6EFC" w:rsidRDefault="00360C92" w:rsidP="00F73423">
      <w:pPr>
        <w:pStyle w:val="Answer"/>
        <w:widowControl w:val="0"/>
        <w:jc w:val="left"/>
        <w:rPr>
          <w:b/>
        </w:rPr>
      </w:pPr>
      <w:r>
        <w:rPr>
          <w:b/>
        </w:rPr>
        <w:t>Other Power Supply Expenses</w:t>
      </w:r>
    </w:p>
    <w:p w:rsidR="00360C92" w:rsidRDefault="00360C92" w:rsidP="00360C92">
      <w:pPr>
        <w:pStyle w:val="Answer"/>
        <w:jc w:val="left"/>
        <w:rPr>
          <w:b/>
        </w:rPr>
      </w:pPr>
      <w:r>
        <w:rPr>
          <w:b/>
        </w:rPr>
        <w:t>Q.</w:t>
      </w:r>
      <w:r>
        <w:rPr>
          <w:b/>
        </w:rPr>
        <w:tab/>
      </w:r>
      <w:r w:rsidR="00E45D80">
        <w:rPr>
          <w:b/>
        </w:rPr>
        <w:t xml:space="preserve">Please describe the adjustment proposed by Boise </w:t>
      </w:r>
      <w:r w:rsidR="00E90270">
        <w:rPr>
          <w:b/>
        </w:rPr>
        <w:t>regarding</w:t>
      </w:r>
      <w:r w:rsidR="00E45D80">
        <w:rPr>
          <w:b/>
        </w:rPr>
        <w:t xml:space="preserve"> </w:t>
      </w:r>
      <w:r w:rsidR="00DB52AB">
        <w:rPr>
          <w:b/>
        </w:rPr>
        <w:t>other power supply expenses</w:t>
      </w:r>
      <w:r w:rsidR="00E45D80">
        <w:rPr>
          <w:b/>
        </w:rPr>
        <w:t>.</w:t>
      </w:r>
    </w:p>
    <w:p w:rsidR="000210A7" w:rsidRDefault="00360C92" w:rsidP="00360C92">
      <w:pPr>
        <w:pStyle w:val="Answer"/>
        <w:widowControl w:val="0"/>
        <w:jc w:val="left"/>
      </w:pPr>
      <w:r>
        <w:t>A</w:t>
      </w:r>
      <w:r w:rsidRPr="000B676A">
        <w:t>.</w:t>
      </w:r>
      <w:r w:rsidRPr="000B676A">
        <w:tab/>
      </w:r>
      <w:r w:rsidR="000210A7">
        <w:t xml:space="preserve">Boise </w:t>
      </w:r>
      <w:r w:rsidR="00DB52AB">
        <w:t>recommends</w:t>
      </w:r>
      <w:r w:rsidR="000210A7">
        <w:t xml:space="preserve"> a modification to</w:t>
      </w:r>
      <w:r w:rsidR="00DB52AB">
        <w:t xml:space="preserve"> the WCA to change the way that certain other power supply expenses are </w:t>
      </w:r>
      <w:r w:rsidR="000210A7">
        <w:t>allocated to Washington.</w:t>
      </w:r>
      <w:r w:rsidR="004C417A">
        <w:rPr>
          <w:rStyle w:val="FootnoteReference"/>
        </w:rPr>
        <w:footnoteReference w:id="29"/>
      </w:r>
      <w:r w:rsidR="000210A7">
        <w:t xml:space="preserve">  </w:t>
      </w:r>
      <w:r w:rsidR="008A73C1">
        <w:t>Specifically, Boise is reallocating expenses in FERC Account 557</w:t>
      </w:r>
      <w:r w:rsidR="000570C1">
        <w:t xml:space="preserve"> from a System Generation</w:t>
      </w:r>
      <w:r w:rsidR="00E768DB">
        <w:t xml:space="preserve"> (SG)</w:t>
      </w:r>
      <w:r w:rsidR="000570C1">
        <w:t xml:space="preserve"> factor to a </w:t>
      </w:r>
      <w:r w:rsidR="00E768DB">
        <w:t>SO</w:t>
      </w:r>
      <w:r w:rsidR="000570C1">
        <w:t xml:space="preserve"> factor—reducing Washington revenue requirement by approximately $557,000</w:t>
      </w:r>
      <w:r w:rsidR="008A73C1">
        <w:t>.</w:t>
      </w:r>
      <w:r w:rsidR="000570C1">
        <w:rPr>
          <w:rStyle w:val="FootnoteReference"/>
        </w:rPr>
        <w:footnoteReference w:id="30"/>
      </w:r>
    </w:p>
    <w:p w:rsidR="008A73C1" w:rsidRPr="008A73C1" w:rsidRDefault="008A73C1" w:rsidP="00360C92">
      <w:pPr>
        <w:pStyle w:val="Answer"/>
        <w:widowControl w:val="0"/>
        <w:jc w:val="left"/>
        <w:rPr>
          <w:b/>
        </w:rPr>
      </w:pPr>
      <w:r w:rsidRPr="008A73C1">
        <w:rPr>
          <w:b/>
        </w:rPr>
        <w:t>Q.</w:t>
      </w:r>
      <w:r w:rsidRPr="008A73C1">
        <w:rPr>
          <w:b/>
        </w:rPr>
        <w:tab/>
        <w:t>What is the basis of Boise’s adjustment?</w:t>
      </w:r>
    </w:p>
    <w:p w:rsidR="00701215" w:rsidRDefault="008A73C1" w:rsidP="00701215">
      <w:pPr>
        <w:pStyle w:val="Answer"/>
        <w:widowControl w:val="0"/>
        <w:jc w:val="left"/>
      </w:pPr>
      <w:r>
        <w:t>A.</w:t>
      </w:r>
      <w:r>
        <w:tab/>
        <w:t xml:space="preserve">Based on a detailed accounting extract provided by the Company through discovery, Boise identified expenses recorded in FERC Account 557 with a general office location and argues these amounts should be allocated using a </w:t>
      </w:r>
      <w:r w:rsidR="00E768DB">
        <w:t>SO</w:t>
      </w:r>
      <w:r>
        <w:t xml:space="preserve"> factor.  </w:t>
      </w:r>
    </w:p>
    <w:p w:rsidR="00701215" w:rsidRPr="00701215" w:rsidRDefault="00701215" w:rsidP="00701215">
      <w:pPr>
        <w:pStyle w:val="Answer"/>
        <w:widowControl w:val="0"/>
        <w:jc w:val="left"/>
        <w:rPr>
          <w:b/>
        </w:rPr>
      </w:pPr>
      <w:r w:rsidRPr="00701215">
        <w:rPr>
          <w:b/>
        </w:rPr>
        <w:t>Q.</w:t>
      </w:r>
      <w:r w:rsidRPr="00701215">
        <w:rPr>
          <w:b/>
        </w:rPr>
        <w:tab/>
        <w:t>Does the Company agree with Boise’s adjustment?</w:t>
      </w:r>
    </w:p>
    <w:p w:rsidR="009D46CB" w:rsidRDefault="00701215" w:rsidP="009D46CB">
      <w:pPr>
        <w:pStyle w:val="Answer"/>
        <w:widowControl w:val="0"/>
        <w:jc w:val="left"/>
      </w:pPr>
      <w:r>
        <w:t>A.</w:t>
      </w:r>
      <w:r>
        <w:tab/>
        <w:t xml:space="preserve">No.  </w:t>
      </w:r>
      <w:r w:rsidR="008A73C1">
        <w:t>Boise mistakenly relies on a section of the WCA allocation manual to support its conclusion.  The section of the manual that Boise refers to, however, is not describing the allocation of costs in FERC Account 557.  That section of the manual is describing FERC Account 920</w:t>
      </w:r>
      <w:r w:rsidR="000570C1">
        <w:t xml:space="preserve"> through 935.  In fact, the costs Boise </w:t>
      </w:r>
      <w:r>
        <w:t>proposes to reallocate</w:t>
      </w:r>
      <w:r w:rsidR="000570C1">
        <w:t xml:space="preserve"> are</w:t>
      </w:r>
      <w:r>
        <w:t xml:space="preserve"> </w:t>
      </w:r>
      <w:r w:rsidRPr="00701215">
        <w:t xml:space="preserve">generation expenses such as administration and engineering </w:t>
      </w:r>
      <w:r>
        <w:t xml:space="preserve">that </w:t>
      </w:r>
      <w:r w:rsidRPr="00701215">
        <w:t>cannot be assigned to specific resources.</w:t>
      </w:r>
      <w:r>
        <w:t xml:space="preserve"> </w:t>
      </w:r>
      <w:r w:rsidRPr="00701215">
        <w:t xml:space="preserve"> </w:t>
      </w:r>
      <w:r>
        <w:t>Per the WCA allocation manual, “[t]</w:t>
      </w:r>
      <w:proofErr w:type="spellStart"/>
      <w:r w:rsidRPr="00701215">
        <w:t>hese</w:t>
      </w:r>
      <w:proofErr w:type="spellEnd"/>
      <w:r w:rsidRPr="00701215">
        <w:t xml:space="preserve"> costs are allocat</w:t>
      </w:r>
      <w:r w:rsidR="00E768DB">
        <w:t>ed using the SG</w:t>
      </w:r>
      <w:r w:rsidRPr="00701215">
        <w:t xml:space="preserve"> factor.</w:t>
      </w:r>
      <w:r>
        <w:t>”</w:t>
      </w:r>
      <w:r>
        <w:rPr>
          <w:rStyle w:val="FootnoteReference"/>
        </w:rPr>
        <w:footnoteReference w:id="31"/>
      </w:r>
      <w:r w:rsidRPr="00701215">
        <w:t xml:space="preserve"> </w:t>
      </w:r>
      <w:r>
        <w:t xml:space="preserve"> </w:t>
      </w:r>
      <w:r w:rsidR="009D46CB">
        <w:t xml:space="preserve">This treatment is consistent with the allocation of costs in this account since the WCA was implemented.  </w:t>
      </w:r>
    </w:p>
    <w:p w:rsidR="009D46CB" w:rsidRPr="009D46CB" w:rsidRDefault="009D46CB" w:rsidP="009D46CB">
      <w:pPr>
        <w:pStyle w:val="Answer"/>
        <w:widowControl w:val="0"/>
        <w:jc w:val="left"/>
        <w:rPr>
          <w:b/>
        </w:rPr>
      </w:pPr>
      <w:r w:rsidRPr="009D46CB">
        <w:rPr>
          <w:b/>
        </w:rPr>
        <w:t>Q.</w:t>
      </w:r>
      <w:r w:rsidRPr="009D46CB">
        <w:rPr>
          <w:b/>
        </w:rPr>
        <w:tab/>
        <w:t>Does the WCA allocation manual provide a list of allocation factors to be used for FERC Account 557?</w:t>
      </w:r>
    </w:p>
    <w:p w:rsidR="000570C1" w:rsidRDefault="009D46CB" w:rsidP="009D46CB">
      <w:pPr>
        <w:pStyle w:val="Answer"/>
        <w:widowControl w:val="0"/>
        <w:jc w:val="left"/>
      </w:pPr>
      <w:r>
        <w:t>A.</w:t>
      </w:r>
      <w:r>
        <w:tab/>
        <w:t>Yes.  T</w:t>
      </w:r>
      <w:r w:rsidR="000570C1">
        <w:t xml:space="preserve">he </w:t>
      </w:r>
      <w:r w:rsidR="00701215">
        <w:t xml:space="preserve">WCA allocation </w:t>
      </w:r>
      <w:r w:rsidR="000570C1">
        <w:t xml:space="preserve">manual </w:t>
      </w:r>
      <w:r w:rsidR="00701215">
        <w:t>provides a list of FERC accounts and associated allocation factors, and the</w:t>
      </w:r>
      <w:r w:rsidR="000570C1">
        <w:t xml:space="preserve"> </w:t>
      </w:r>
      <w:r w:rsidR="00495D49">
        <w:t>SO</w:t>
      </w:r>
      <w:r w:rsidR="000570C1">
        <w:t xml:space="preserve"> factor is not </w:t>
      </w:r>
      <w:r w:rsidR="00701215">
        <w:t>listed</w:t>
      </w:r>
      <w:r w:rsidR="000570C1">
        <w:t xml:space="preserve"> as a factor used for </w:t>
      </w:r>
      <w:r w:rsidR="00701215">
        <w:t>FERC Account 557</w:t>
      </w:r>
      <w:r w:rsidR="000570C1">
        <w:t>.</w:t>
      </w:r>
      <w:r>
        <w:t xml:space="preserve">  </w:t>
      </w:r>
    </w:p>
    <w:p w:rsidR="009D46CB" w:rsidRPr="009D46CB" w:rsidRDefault="009D46CB" w:rsidP="009D46CB">
      <w:pPr>
        <w:pStyle w:val="Answer"/>
        <w:widowControl w:val="0"/>
        <w:jc w:val="left"/>
        <w:rPr>
          <w:b/>
        </w:rPr>
      </w:pPr>
      <w:r w:rsidRPr="009D46CB">
        <w:rPr>
          <w:b/>
        </w:rPr>
        <w:t>Q.</w:t>
      </w:r>
      <w:r w:rsidRPr="009D46CB">
        <w:rPr>
          <w:b/>
        </w:rPr>
        <w:tab/>
        <w:t>Has the Commission rejected similar “one-off” allocation methodology proposals in previous cases?</w:t>
      </w:r>
    </w:p>
    <w:p w:rsidR="009D46CB" w:rsidRDefault="009D46CB" w:rsidP="009D46CB">
      <w:pPr>
        <w:pStyle w:val="Answer"/>
        <w:widowControl w:val="0"/>
        <w:jc w:val="left"/>
      </w:pPr>
      <w:r>
        <w:t>A.</w:t>
      </w:r>
      <w:r>
        <w:tab/>
        <w:t>Yes.  As discussed above, the Commission has clearly articulated that changes in the allocation methodology should be done on a more comprehensive basis.</w:t>
      </w:r>
      <w:r>
        <w:rPr>
          <w:rStyle w:val="FootnoteReference"/>
        </w:rPr>
        <w:footnoteReference w:id="32"/>
      </w:r>
      <w:r>
        <w:t xml:space="preserve">  In </w:t>
      </w:r>
      <w:r w:rsidR="004867EB">
        <w:t>addition</w:t>
      </w:r>
      <w:r>
        <w:t xml:space="preserve">, given the limited issues in this case, the Company recommends </w:t>
      </w:r>
      <w:r w:rsidR="004867EB">
        <w:t>Boise’s</w:t>
      </w:r>
      <w:r>
        <w:t xml:space="preserve"> proposal be rejected.</w:t>
      </w:r>
    </w:p>
    <w:p w:rsidR="00893F7D" w:rsidRPr="001F0D2D" w:rsidRDefault="004E764E" w:rsidP="00893F7D">
      <w:pPr>
        <w:pStyle w:val="Answer"/>
        <w:jc w:val="left"/>
        <w:rPr>
          <w:b/>
          <w:szCs w:val="24"/>
        </w:rPr>
      </w:pPr>
      <w:r w:rsidRPr="001F0D2D">
        <w:rPr>
          <w:b/>
          <w:szCs w:val="24"/>
        </w:rPr>
        <w:t>Transmission O&amp;M Expenses</w:t>
      </w:r>
    </w:p>
    <w:p w:rsidR="004E764E" w:rsidRDefault="004E764E" w:rsidP="004E764E">
      <w:pPr>
        <w:pStyle w:val="Answer"/>
        <w:jc w:val="left"/>
        <w:rPr>
          <w:b/>
        </w:rPr>
      </w:pPr>
      <w:r w:rsidRPr="00511D0A">
        <w:rPr>
          <w:b/>
        </w:rPr>
        <w:t>Q.</w:t>
      </w:r>
      <w:r w:rsidRPr="00511D0A">
        <w:rPr>
          <w:b/>
        </w:rPr>
        <w:tab/>
      </w:r>
      <w:r>
        <w:rPr>
          <w:b/>
        </w:rPr>
        <w:t xml:space="preserve">Please describe the adjustment proposed by Boise </w:t>
      </w:r>
      <w:r w:rsidR="004D5A41">
        <w:rPr>
          <w:b/>
        </w:rPr>
        <w:t>regarding</w:t>
      </w:r>
      <w:r>
        <w:rPr>
          <w:b/>
        </w:rPr>
        <w:t xml:space="preserve"> the allocation of certain transmission O&amp;M expenses.</w:t>
      </w:r>
    </w:p>
    <w:p w:rsidR="004867EB" w:rsidRDefault="004E764E" w:rsidP="004E764E">
      <w:pPr>
        <w:pStyle w:val="Answer"/>
        <w:jc w:val="left"/>
      </w:pPr>
      <w:r w:rsidRPr="000B676A">
        <w:t>A.</w:t>
      </w:r>
      <w:r w:rsidRPr="000B676A">
        <w:tab/>
      </w:r>
      <w:r w:rsidR="00624B36">
        <w:t>Boise has also proposed a modific</w:t>
      </w:r>
      <w:r w:rsidR="00D10B98">
        <w:t>ation to the WCA to change how t</w:t>
      </w:r>
      <w:r w:rsidR="00624B36">
        <w:t>ransmission O&amp;M expenses are allocated.</w:t>
      </w:r>
      <w:r w:rsidR="00C815ED">
        <w:rPr>
          <w:rStyle w:val="FootnoteReference"/>
        </w:rPr>
        <w:footnoteReference w:id="33"/>
      </w:r>
      <w:r w:rsidR="00624B36">
        <w:t xml:space="preserve">  </w:t>
      </w:r>
      <w:r w:rsidR="00D10B98">
        <w:rPr>
          <w:szCs w:val="24"/>
        </w:rPr>
        <w:t>Boise believes that t</w:t>
      </w:r>
      <w:r w:rsidR="004867EB" w:rsidRPr="004867EB">
        <w:rPr>
          <w:szCs w:val="24"/>
        </w:rPr>
        <w:t xml:space="preserve">ransmission O&amp;M expense should be allocated in a manner more consistent with transmission revenues, which is based on the Wheeling Revenue Generation (WRG) factor.  </w:t>
      </w:r>
    </w:p>
    <w:p w:rsidR="004867EB" w:rsidRPr="004867EB" w:rsidRDefault="004867EB" w:rsidP="004E764E">
      <w:pPr>
        <w:pStyle w:val="Answer"/>
        <w:jc w:val="left"/>
        <w:rPr>
          <w:b/>
        </w:rPr>
      </w:pPr>
      <w:r w:rsidRPr="004867EB">
        <w:rPr>
          <w:b/>
        </w:rPr>
        <w:t>Q.</w:t>
      </w:r>
      <w:r w:rsidRPr="004867EB">
        <w:rPr>
          <w:b/>
        </w:rPr>
        <w:tab/>
        <w:t>How does the Company allocate transmission O&amp;M expenses?</w:t>
      </w:r>
    </w:p>
    <w:p w:rsidR="004E764E" w:rsidRPr="004867EB" w:rsidRDefault="004867EB" w:rsidP="004E764E">
      <w:pPr>
        <w:pStyle w:val="Answer"/>
        <w:jc w:val="left"/>
        <w:rPr>
          <w:szCs w:val="24"/>
        </w:rPr>
      </w:pPr>
      <w:r w:rsidRPr="004867EB">
        <w:rPr>
          <w:szCs w:val="24"/>
        </w:rPr>
        <w:t>A.</w:t>
      </w:r>
      <w:r w:rsidRPr="004867EB">
        <w:rPr>
          <w:szCs w:val="24"/>
        </w:rPr>
        <w:tab/>
      </w:r>
      <w:r w:rsidR="00D10B98">
        <w:rPr>
          <w:szCs w:val="24"/>
        </w:rPr>
        <w:t xml:space="preserve">In compliance with the Commission-approved WCA, </w:t>
      </w:r>
      <w:r>
        <w:rPr>
          <w:szCs w:val="24"/>
        </w:rPr>
        <w:t>t</w:t>
      </w:r>
      <w:r w:rsidR="004E764E" w:rsidRPr="004867EB">
        <w:rPr>
          <w:szCs w:val="24"/>
        </w:rPr>
        <w:t xml:space="preserve">he Company allocates transmission O&amp;M </w:t>
      </w:r>
      <w:r>
        <w:rPr>
          <w:szCs w:val="24"/>
        </w:rPr>
        <w:t>using the Control Area Generation West factor for transmission O&amp;M expense related to west control area assets and Control Area Generation East factor for east control area assets</w:t>
      </w:r>
      <w:r w:rsidR="00D10B98">
        <w:rPr>
          <w:szCs w:val="24"/>
        </w:rPr>
        <w:t xml:space="preserve"> (consistent with the allocation of the underlying plant balances, accumulated depreciation balances, and depreciation expense).</w:t>
      </w:r>
      <w:r>
        <w:rPr>
          <w:szCs w:val="24"/>
        </w:rPr>
        <w:t xml:space="preserve">  Costs not assignable to a specific control area, such as the Company’s transmission grid operations, are allocated on a </w:t>
      </w:r>
      <w:r w:rsidR="00495D49">
        <w:rPr>
          <w:szCs w:val="24"/>
        </w:rPr>
        <w:t>SG</w:t>
      </w:r>
      <w:r>
        <w:rPr>
          <w:szCs w:val="24"/>
        </w:rPr>
        <w:t xml:space="preserve"> factor</w:t>
      </w:r>
      <w:r w:rsidR="004E764E" w:rsidRPr="004867EB">
        <w:rPr>
          <w:szCs w:val="24"/>
        </w:rPr>
        <w:t>.</w:t>
      </w:r>
      <w:r>
        <w:rPr>
          <w:rStyle w:val="FootnoteReference"/>
          <w:szCs w:val="24"/>
        </w:rPr>
        <w:footnoteReference w:id="34"/>
      </w:r>
      <w:r w:rsidR="004E764E" w:rsidRPr="004867EB">
        <w:rPr>
          <w:szCs w:val="24"/>
        </w:rPr>
        <w:t xml:space="preserve">  </w:t>
      </w:r>
    </w:p>
    <w:p w:rsidR="004E764E" w:rsidRPr="00D10B98" w:rsidRDefault="004E764E" w:rsidP="004E764E">
      <w:pPr>
        <w:pStyle w:val="Answer"/>
        <w:jc w:val="left"/>
        <w:rPr>
          <w:b/>
          <w:szCs w:val="24"/>
        </w:rPr>
      </w:pPr>
      <w:r w:rsidRPr="00511D0A">
        <w:rPr>
          <w:b/>
        </w:rPr>
        <w:t>Q.</w:t>
      </w:r>
      <w:r w:rsidRPr="00511D0A">
        <w:rPr>
          <w:b/>
        </w:rPr>
        <w:tab/>
      </w:r>
      <w:r>
        <w:rPr>
          <w:b/>
        </w:rPr>
        <w:t xml:space="preserve">Does the Company agree with Boise’s argument that transmission O&amp;M expense </w:t>
      </w:r>
      <w:r w:rsidRPr="00D10B98">
        <w:rPr>
          <w:b/>
          <w:szCs w:val="24"/>
        </w:rPr>
        <w:t xml:space="preserve">should be allocated </w:t>
      </w:r>
      <w:r w:rsidR="00C50FEF" w:rsidRPr="00D10B98">
        <w:rPr>
          <w:b/>
          <w:szCs w:val="24"/>
        </w:rPr>
        <w:t xml:space="preserve">using the </w:t>
      </w:r>
      <w:r w:rsidR="004867EB" w:rsidRPr="00D10B98">
        <w:rPr>
          <w:b/>
          <w:szCs w:val="24"/>
        </w:rPr>
        <w:t>Wheeling Revenue Generation</w:t>
      </w:r>
      <w:r w:rsidRPr="00D10B98">
        <w:rPr>
          <w:b/>
          <w:szCs w:val="24"/>
        </w:rPr>
        <w:t xml:space="preserve"> factor?</w:t>
      </w:r>
    </w:p>
    <w:p w:rsidR="004E764E" w:rsidRPr="00D10B98" w:rsidRDefault="004E764E" w:rsidP="004E764E">
      <w:pPr>
        <w:pStyle w:val="Answer"/>
        <w:jc w:val="left"/>
        <w:rPr>
          <w:szCs w:val="24"/>
        </w:rPr>
      </w:pPr>
      <w:r w:rsidRPr="00D10B98">
        <w:rPr>
          <w:szCs w:val="24"/>
        </w:rPr>
        <w:t>A.</w:t>
      </w:r>
      <w:r w:rsidRPr="00D10B98">
        <w:rPr>
          <w:szCs w:val="24"/>
        </w:rPr>
        <w:tab/>
        <w:t>No</w:t>
      </w:r>
      <w:r w:rsidR="005325CE" w:rsidRPr="00D10B98">
        <w:rPr>
          <w:szCs w:val="24"/>
        </w:rPr>
        <w:t xml:space="preserve">. </w:t>
      </w:r>
      <w:r w:rsidRPr="00D10B98">
        <w:rPr>
          <w:szCs w:val="24"/>
        </w:rPr>
        <w:t xml:space="preserve"> </w:t>
      </w:r>
      <w:r w:rsidR="00D10B98" w:rsidRPr="00D10B98">
        <w:rPr>
          <w:szCs w:val="24"/>
        </w:rPr>
        <w:t>Boise’s</w:t>
      </w:r>
      <w:r w:rsidRPr="00D10B98">
        <w:rPr>
          <w:szCs w:val="24"/>
        </w:rPr>
        <w:t xml:space="preserve"> proposal is not consistent with the WCA</w:t>
      </w:r>
      <w:r w:rsidR="00D10B98" w:rsidRPr="00D10B98">
        <w:rPr>
          <w:szCs w:val="24"/>
        </w:rPr>
        <w:t xml:space="preserve">.  </w:t>
      </w:r>
      <w:r w:rsidR="00D10B98">
        <w:rPr>
          <w:szCs w:val="24"/>
        </w:rPr>
        <w:t>There is no foundational basis to allocate these transmission costs on a factor used to allocate wheeling revenues.  As stated above, t</w:t>
      </w:r>
      <w:r w:rsidR="005325CE" w:rsidRPr="00D10B98">
        <w:rPr>
          <w:szCs w:val="24"/>
        </w:rPr>
        <w:t xml:space="preserve">he Commission has repeatedly indicated that it will not make </w:t>
      </w:r>
      <w:r w:rsidR="00D10B98">
        <w:rPr>
          <w:szCs w:val="24"/>
        </w:rPr>
        <w:t>selective</w:t>
      </w:r>
      <w:r w:rsidR="005325CE" w:rsidRPr="00D10B98">
        <w:rPr>
          <w:szCs w:val="24"/>
        </w:rPr>
        <w:t xml:space="preserve"> modifications to the WCA such as those proposed by Boise.</w:t>
      </w:r>
      <w:r w:rsidR="00D10B98">
        <w:rPr>
          <w:szCs w:val="24"/>
        </w:rPr>
        <w:t xml:space="preserve"> </w:t>
      </w:r>
    </w:p>
    <w:p w:rsidR="00495D49" w:rsidRDefault="00495D49" w:rsidP="00495D49">
      <w:pPr>
        <w:pStyle w:val="Answer"/>
        <w:suppressLineNumbers/>
        <w:jc w:val="left"/>
        <w:rPr>
          <w:b/>
        </w:rPr>
      </w:pPr>
    </w:p>
    <w:p w:rsidR="00EF669F" w:rsidRDefault="00EF669F" w:rsidP="00EF669F">
      <w:pPr>
        <w:pStyle w:val="Answer"/>
        <w:jc w:val="left"/>
        <w:rPr>
          <w:b/>
        </w:rPr>
      </w:pPr>
      <w:r>
        <w:rPr>
          <w:b/>
        </w:rPr>
        <w:t>Hydro Deferral Balance</w:t>
      </w:r>
    </w:p>
    <w:p w:rsidR="00EF669F" w:rsidRDefault="00EF669F" w:rsidP="00EF669F">
      <w:pPr>
        <w:pStyle w:val="Answer"/>
        <w:jc w:val="left"/>
        <w:rPr>
          <w:b/>
        </w:rPr>
      </w:pPr>
      <w:r>
        <w:rPr>
          <w:b/>
        </w:rPr>
        <w:t>Q.</w:t>
      </w:r>
      <w:r>
        <w:rPr>
          <w:b/>
        </w:rPr>
        <w:tab/>
        <w:t>Did Boise include any proposals related to the Company’s deferral balances?</w:t>
      </w:r>
    </w:p>
    <w:p w:rsidR="00EF669F" w:rsidRDefault="00EF669F" w:rsidP="00EF669F">
      <w:pPr>
        <w:pStyle w:val="Answer"/>
        <w:jc w:val="left"/>
      </w:pPr>
      <w:r>
        <w:t>A.</w:t>
      </w:r>
      <w:r>
        <w:tab/>
        <w:t>Yes.  Boise proposes including the approximately $132,000 credit balance in the hydro deferral account in the Company’s revenue requirement for this proceeding.</w:t>
      </w:r>
      <w:r w:rsidR="00C815ED">
        <w:rPr>
          <w:rStyle w:val="FootnoteReference"/>
        </w:rPr>
        <w:footnoteReference w:id="35"/>
      </w:r>
    </w:p>
    <w:p w:rsidR="00EF669F" w:rsidRDefault="00EF669F" w:rsidP="00EF669F">
      <w:pPr>
        <w:pStyle w:val="Answer"/>
        <w:jc w:val="left"/>
        <w:rPr>
          <w:b/>
        </w:rPr>
      </w:pPr>
      <w:r>
        <w:rPr>
          <w:b/>
        </w:rPr>
        <w:t>Q.</w:t>
      </w:r>
      <w:r>
        <w:rPr>
          <w:b/>
        </w:rPr>
        <w:tab/>
        <w:t>Does the Company agree with the proposed treatment for this deferral balance?</w:t>
      </w:r>
    </w:p>
    <w:p w:rsidR="00EF669F" w:rsidRDefault="00EF669F" w:rsidP="00EF669F">
      <w:pPr>
        <w:pStyle w:val="Answer"/>
        <w:jc w:val="left"/>
      </w:pPr>
      <w:r>
        <w:t>A.</w:t>
      </w:r>
      <w:r>
        <w:tab/>
        <w:t xml:space="preserve">No.  The Company agrees that this </w:t>
      </w:r>
      <w:r w:rsidR="00D10B98">
        <w:t>credit</w:t>
      </w:r>
      <w:r>
        <w:t xml:space="preserve"> should be </w:t>
      </w:r>
      <w:r w:rsidR="001E222A">
        <w:t>provided</w:t>
      </w:r>
      <w:r>
        <w:t xml:space="preserve"> to customers.  Building this credit into base rates, however, is improper, particularly in light of the Company’s proposed rate plan and stay-out period.  The deferral balance represents a small, residual over-collection from the deferral approved in Docket UE-080220 and is not an on-going credit.  If this </w:t>
      </w:r>
      <w:r w:rsidR="00BA69D1">
        <w:t>amount</w:t>
      </w:r>
      <w:r>
        <w:t xml:space="preserve"> is included in base rates</w:t>
      </w:r>
      <w:r w:rsidR="00BA69D1">
        <w:t xml:space="preserve"> for the duration of the rate plan</w:t>
      </w:r>
      <w:r>
        <w:t xml:space="preserve">, as Boise recommends, then it would result in </w:t>
      </w:r>
      <w:r w:rsidR="00BA69D1">
        <w:t>a credit</w:t>
      </w:r>
      <w:r>
        <w:t xml:space="preserve"> to customers </w:t>
      </w:r>
      <w:r w:rsidR="00BA69D1">
        <w:t>of nearly two times the existing balance</w:t>
      </w:r>
      <w:r>
        <w:t xml:space="preserve">.  </w:t>
      </w:r>
    </w:p>
    <w:p w:rsidR="00EF669F" w:rsidRDefault="00EF669F" w:rsidP="00EF669F">
      <w:pPr>
        <w:pStyle w:val="Answer"/>
        <w:jc w:val="left"/>
        <w:rPr>
          <w:b/>
        </w:rPr>
      </w:pPr>
      <w:r>
        <w:rPr>
          <w:b/>
        </w:rPr>
        <w:t>Q.</w:t>
      </w:r>
      <w:r>
        <w:rPr>
          <w:b/>
        </w:rPr>
        <w:tab/>
        <w:t>Does the Company have an alternate proposal to credit this balance to customers?</w:t>
      </w:r>
    </w:p>
    <w:p w:rsidR="00EF669F" w:rsidRDefault="00EF669F" w:rsidP="00EF669F">
      <w:pPr>
        <w:pStyle w:val="Answer"/>
        <w:jc w:val="left"/>
      </w:pPr>
      <w:r>
        <w:t>A.</w:t>
      </w:r>
      <w:r>
        <w:tab/>
        <w:t>Yes.  The Company proposes including this balance in Schedule 96</w:t>
      </w:r>
      <w:r w:rsidR="003C2F49">
        <w:t>—</w:t>
      </w:r>
      <w:r w:rsidR="00BA69D1">
        <w:t>Renewable</w:t>
      </w:r>
      <w:r w:rsidR="003C2F49">
        <w:t xml:space="preserve"> </w:t>
      </w:r>
      <w:r w:rsidR="00BA69D1">
        <w:t xml:space="preserve">Energy Revenue </w:t>
      </w:r>
      <w:r>
        <w:t xml:space="preserve">tariff schedule, thereby reducing the balance currently collected from customers.  </w:t>
      </w:r>
      <w:r w:rsidR="003C2F49">
        <w:t xml:space="preserve">Addressing the credit in this manner is more appropriate for a one-time item. </w:t>
      </w:r>
    </w:p>
    <w:p w:rsidR="001A4DC7" w:rsidRPr="00893681" w:rsidRDefault="00EF669F" w:rsidP="0058142C">
      <w:pPr>
        <w:pStyle w:val="Heading2"/>
        <w:jc w:val="center"/>
      </w:pPr>
      <w:bookmarkStart w:id="20" w:name="_Toc447729298"/>
      <w:r w:rsidRPr="00EF669F">
        <w:t>USE OF END-OF-PERIOD RATE BASE</w:t>
      </w:r>
      <w:bookmarkEnd w:id="20"/>
    </w:p>
    <w:p w:rsidR="00D80443" w:rsidRDefault="00D80443" w:rsidP="00AD1F53">
      <w:pPr>
        <w:pStyle w:val="Answer"/>
        <w:jc w:val="left"/>
        <w:rPr>
          <w:b/>
        </w:rPr>
      </w:pPr>
      <w:r>
        <w:rPr>
          <w:b/>
        </w:rPr>
        <w:t>Q.</w:t>
      </w:r>
      <w:r>
        <w:rPr>
          <w:b/>
        </w:rPr>
        <w:tab/>
      </w:r>
      <w:r w:rsidR="007E375D">
        <w:rPr>
          <w:b/>
        </w:rPr>
        <w:t>Do parties</w:t>
      </w:r>
      <w:r w:rsidR="00EF669F">
        <w:rPr>
          <w:b/>
        </w:rPr>
        <w:t xml:space="preserve"> </w:t>
      </w:r>
      <w:r>
        <w:rPr>
          <w:b/>
        </w:rPr>
        <w:t xml:space="preserve">support the </w:t>
      </w:r>
      <w:r w:rsidR="009C3D46">
        <w:rPr>
          <w:b/>
        </w:rPr>
        <w:t xml:space="preserve">Company’s proposal to </w:t>
      </w:r>
      <w:r>
        <w:rPr>
          <w:b/>
        </w:rPr>
        <w:t xml:space="preserve">use of </w:t>
      </w:r>
      <w:r w:rsidR="009A16D8">
        <w:rPr>
          <w:b/>
        </w:rPr>
        <w:t xml:space="preserve">end-of-period </w:t>
      </w:r>
      <w:r>
        <w:rPr>
          <w:b/>
        </w:rPr>
        <w:t xml:space="preserve">balances </w:t>
      </w:r>
      <w:r w:rsidR="009C3D46">
        <w:rPr>
          <w:b/>
        </w:rPr>
        <w:t>to determine rate base</w:t>
      </w:r>
      <w:r>
        <w:rPr>
          <w:b/>
        </w:rPr>
        <w:t>?</w:t>
      </w:r>
    </w:p>
    <w:p w:rsidR="009C3D46" w:rsidRDefault="00D80443" w:rsidP="00AD1F53">
      <w:pPr>
        <w:pStyle w:val="Answer"/>
        <w:jc w:val="left"/>
      </w:pPr>
      <w:r>
        <w:t>A.</w:t>
      </w:r>
      <w:r>
        <w:tab/>
      </w:r>
      <w:r w:rsidR="00F42640">
        <w:t>Staff supports the Company’s use of end-of-period balances as a way to reduce the impacts of regulatory lag,</w:t>
      </w:r>
      <w:r w:rsidR="00F42640">
        <w:rPr>
          <w:rStyle w:val="FootnoteReference"/>
        </w:rPr>
        <w:footnoteReference w:id="36"/>
      </w:r>
      <w:r w:rsidR="00F42640">
        <w:t xml:space="preserve"> and more closely align rate base balances with the rate effective periods.</w:t>
      </w:r>
      <w:r w:rsidR="00F42640">
        <w:rPr>
          <w:rStyle w:val="FootnoteReference"/>
        </w:rPr>
        <w:footnoteReference w:id="37"/>
      </w:r>
      <w:r w:rsidR="00F42640">
        <w:t xml:space="preserve">  </w:t>
      </w:r>
      <w:r w:rsidR="009C3D46">
        <w:t>Both Boise and Public Counsel</w:t>
      </w:r>
      <w:r w:rsidR="00F42640">
        <w:t>, however,</w:t>
      </w:r>
      <w:r w:rsidR="009C3D46">
        <w:t xml:space="preserve"> object to the use of end-of-period rate base.</w:t>
      </w:r>
      <w:r w:rsidR="00DA51D5">
        <w:rPr>
          <w:rStyle w:val="FootnoteReference"/>
        </w:rPr>
        <w:footnoteReference w:id="38"/>
      </w:r>
      <w:r w:rsidR="009C3D46">
        <w:t xml:space="preserve">  While Mr. Dalley responds generally to Boise’s and Public Counsel’s objections in his testimony, I will address </w:t>
      </w:r>
      <w:r w:rsidR="00D34195">
        <w:t>the more technical aspects of their arguments.</w:t>
      </w:r>
      <w:r w:rsidR="009C3D46">
        <w:t xml:space="preserve">  </w:t>
      </w:r>
    </w:p>
    <w:p w:rsidR="005D59B3" w:rsidRDefault="009C3D46" w:rsidP="00E8602A">
      <w:pPr>
        <w:pStyle w:val="Answer"/>
        <w:jc w:val="left"/>
        <w:rPr>
          <w:b/>
        </w:rPr>
      </w:pPr>
      <w:r>
        <w:rPr>
          <w:b/>
        </w:rPr>
        <w:t>Q.</w:t>
      </w:r>
      <w:r>
        <w:rPr>
          <w:b/>
        </w:rPr>
        <w:tab/>
        <w:t>Boise criticizes the Company for recommending end-of-period balances for the historic</w:t>
      </w:r>
      <w:r w:rsidR="007E375D">
        <w:rPr>
          <w:b/>
        </w:rPr>
        <w:t>al</w:t>
      </w:r>
      <w:r>
        <w:rPr>
          <w:b/>
        </w:rPr>
        <w:t xml:space="preserve"> period, while relying on AMA rate base for the pro forma changes.</w:t>
      </w:r>
      <w:r w:rsidR="005528B9">
        <w:rPr>
          <w:rStyle w:val="FootnoteReference"/>
          <w:b/>
        </w:rPr>
        <w:footnoteReference w:id="39"/>
      </w:r>
      <w:r>
        <w:rPr>
          <w:b/>
        </w:rPr>
        <w:t xml:space="preserve">  </w:t>
      </w:r>
      <w:r w:rsidR="005D59B3">
        <w:rPr>
          <w:b/>
        </w:rPr>
        <w:t xml:space="preserve">Why does the Company believe it is appropriate to use </w:t>
      </w:r>
      <w:r w:rsidR="0001711F">
        <w:rPr>
          <w:b/>
        </w:rPr>
        <w:t xml:space="preserve">end-of-period </w:t>
      </w:r>
      <w:r w:rsidR="005D59B3">
        <w:rPr>
          <w:b/>
        </w:rPr>
        <w:t>for historic</w:t>
      </w:r>
      <w:r w:rsidR="007E375D">
        <w:rPr>
          <w:b/>
        </w:rPr>
        <w:t>al</w:t>
      </w:r>
      <w:r w:rsidR="005D59B3">
        <w:rPr>
          <w:b/>
        </w:rPr>
        <w:t xml:space="preserve"> balances, but AMA for pro forma adjustments?</w:t>
      </w:r>
    </w:p>
    <w:p w:rsidR="002C5D91" w:rsidRDefault="005D59B3" w:rsidP="00D80443">
      <w:pPr>
        <w:pStyle w:val="Answer"/>
        <w:jc w:val="left"/>
      </w:pPr>
      <w:r>
        <w:t>A.</w:t>
      </w:r>
      <w:r>
        <w:tab/>
        <w:t xml:space="preserve">The use of </w:t>
      </w:r>
      <w:r w:rsidR="0001711F">
        <w:t xml:space="preserve">end-of-period </w:t>
      </w:r>
      <w:r>
        <w:t xml:space="preserve">for the June 30, 2015 </w:t>
      </w:r>
      <w:r w:rsidR="007E375D">
        <w:t>historical</w:t>
      </w:r>
      <w:r>
        <w:t xml:space="preserve"> balances </w:t>
      </w:r>
      <w:r w:rsidR="00542C7C">
        <w:t xml:space="preserve">is a better </w:t>
      </w:r>
      <w:r w:rsidR="007E375D">
        <w:t>indicator</w:t>
      </w:r>
      <w:r w:rsidR="00542C7C">
        <w:t xml:space="preserve"> of rate base during the rate</w:t>
      </w:r>
      <w:r w:rsidR="007E375D">
        <w:t>-</w:t>
      </w:r>
      <w:r w:rsidR="00542C7C">
        <w:t>effective periods by bringing the AMA rate base balances forward six months.</w:t>
      </w:r>
      <w:r w:rsidR="006B7F2D">
        <w:t xml:space="preserve">  </w:t>
      </w:r>
      <w:r w:rsidR="00542C7C">
        <w:t>P</w:t>
      </w:r>
      <w:r>
        <w:t xml:space="preserve">ro forma </w:t>
      </w:r>
      <w:r w:rsidR="00542C7C">
        <w:t xml:space="preserve">rate base </w:t>
      </w:r>
      <w:r>
        <w:t xml:space="preserve">adjustments </w:t>
      </w:r>
      <w:r w:rsidR="00542C7C">
        <w:t xml:space="preserve">are then incorporated on an AMA basis to reflect the average rate base impact of these changes.  The combination of these approaches </w:t>
      </w:r>
      <w:r>
        <w:t xml:space="preserve">provides a closer </w:t>
      </w:r>
      <w:r w:rsidR="007E375D">
        <w:t>representation</w:t>
      </w:r>
      <w:r>
        <w:t xml:space="preserve"> of the average rat</w:t>
      </w:r>
      <w:r w:rsidR="007E375D">
        <w:t>e base that will be in place during the rate-</w:t>
      </w:r>
      <w:r>
        <w:t>effective period.</w:t>
      </w:r>
      <w:r w:rsidR="00F202FC">
        <w:t xml:space="preserve"> </w:t>
      </w:r>
      <w:r>
        <w:t xml:space="preserve">  </w:t>
      </w:r>
      <w:r w:rsidR="0001711F">
        <w:t xml:space="preserve">Thus, the Company’s approach </w:t>
      </w:r>
      <w:r>
        <w:t xml:space="preserve">appropriately </w:t>
      </w:r>
      <w:r w:rsidR="0001711F">
        <w:t xml:space="preserve">matches </w:t>
      </w:r>
      <w:r>
        <w:t>expected rate base</w:t>
      </w:r>
      <w:r w:rsidR="007E375D">
        <w:t xml:space="preserve"> with the revenues for the rate-</w:t>
      </w:r>
      <w:r>
        <w:t>effective period.</w:t>
      </w:r>
    </w:p>
    <w:p w:rsidR="003752A1" w:rsidRDefault="007E375D" w:rsidP="00013DDF">
      <w:pPr>
        <w:tabs>
          <w:tab w:val="left" w:pos="720"/>
        </w:tabs>
        <w:spacing w:line="480" w:lineRule="auto"/>
        <w:jc w:val="center"/>
        <w:rPr>
          <w:b/>
        </w:rPr>
      </w:pPr>
      <w:r>
        <w:rPr>
          <w:b/>
        </w:rPr>
        <w:t>SECOND-YEAR RATE INCREASE</w:t>
      </w:r>
    </w:p>
    <w:p w:rsidR="00683EA1" w:rsidRDefault="00683EA1" w:rsidP="00683EA1">
      <w:pPr>
        <w:pStyle w:val="Answer"/>
        <w:jc w:val="left"/>
        <w:rPr>
          <w:b/>
        </w:rPr>
      </w:pPr>
      <w:r>
        <w:rPr>
          <w:b/>
        </w:rPr>
        <w:t>Q.</w:t>
      </w:r>
      <w:r>
        <w:rPr>
          <w:b/>
        </w:rPr>
        <w:tab/>
        <w:t>Does the Company have any updates to the second year of its proposed two-year rate plan?</w:t>
      </w:r>
    </w:p>
    <w:p w:rsidR="00683EA1" w:rsidRDefault="00683EA1" w:rsidP="00683EA1">
      <w:pPr>
        <w:pStyle w:val="Answer"/>
        <w:jc w:val="left"/>
      </w:pPr>
      <w:r>
        <w:t>A.</w:t>
      </w:r>
      <w:r>
        <w:tab/>
        <w:t>Yes, as previously stated, the Company agrees to implement the PATH Act, which impacts the revenue requirement in both years.  The Company also incorporated additional updates to pro forma plant additions in the second year based on updated information since the Company’s initial filing</w:t>
      </w:r>
      <w:r w:rsidR="004C3893">
        <w:t xml:space="preserve"> and the removal of depreciation expense on asset retirements associated with these pro forma additions</w:t>
      </w:r>
      <w:r>
        <w:t>.   The Company has updated balances for pro forma plant additions to reflect AMA levels for the second year, using the anticipated effective date of July 1, 2017, for the second-year rate increase.  The Company’s initial filing reflected balances on an AMA basis assuming an effective date of May 1, 2017.  The net impact of these changes does not result in a change to the Company’s requested second-year rate increase of $10.3 million.</w:t>
      </w:r>
    </w:p>
    <w:p w:rsidR="00683EA1" w:rsidRDefault="00683EA1" w:rsidP="00683EA1">
      <w:pPr>
        <w:pStyle w:val="Answer"/>
        <w:jc w:val="left"/>
        <w:rPr>
          <w:b/>
        </w:rPr>
      </w:pPr>
      <w:r>
        <w:rPr>
          <w:b/>
        </w:rPr>
        <w:t>Q.</w:t>
      </w:r>
      <w:r>
        <w:rPr>
          <w:b/>
        </w:rPr>
        <w:tab/>
        <w:t>Does Boise propose changes regarding the second-year rate increase?</w:t>
      </w:r>
    </w:p>
    <w:p w:rsidR="00683EA1" w:rsidRDefault="00683EA1" w:rsidP="00683EA1">
      <w:pPr>
        <w:pStyle w:val="Answer"/>
        <w:jc w:val="left"/>
      </w:pPr>
      <w:r>
        <w:t>A.</w:t>
      </w:r>
      <w:r>
        <w:tab/>
        <w:t>Yes, Boise proposes adjusting the coal plant reserves on an AMA basis in the second year if accelerated depreciation is approved.</w:t>
      </w:r>
      <w:r>
        <w:rPr>
          <w:rStyle w:val="FootnoteReference"/>
        </w:rPr>
        <w:footnoteReference w:id="40"/>
      </w:r>
    </w:p>
    <w:p w:rsidR="00683EA1" w:rsidRDefault="00683EA1" w:rsidP="00683EA1">
      <w:pPr>
        <w:pStyle w:val="Answer"/>
        <w:jc w:val="left"/>
        <w:rPr>
          <w:b/>
        </w:rPr>
      </w:pPr>
      <w:r>
        <w:rPr>
          <w:b/>
        </w:rPr>
        <w:t>Q.</w:t>
      </w:r>
      <w:r>
        <w:rPr>
          <w:b/>
        </w:rPr>
        <w:tab/>
        <w:t>Does the Company agree with this proposal?</w:t>
      </w:r>
    </w:p>
    <w:p w:rsidR="00683EA1" w:rsidRDefault="00683EA1" w:rsidP="00683EA1">
      <w:pPr>
        <w:pStyle w:val="Answer"/>
        <w:jc w:val="left"/>
      </w:pPr>
      <w:r>
        <w:t>A.</w:t>
      </w:r>
      <w:r>
        <w:tab/>
        <w:t xml:space="preserve">No.  The first-year rate increase was developed using a full Commission Basis Report model with restating and limited pro forma adjustments.  Accelerated depreciation is reflected as one of those pro forma adjustments, including the accumulated depreciation impact on rate base balances.  The Company has not prepared a full Commission Basis Report model for the second year of the rate plan.  As discussed in direct testimony, this proposal was designed to identify discrete changes in the second year of the rate plan that would allow the Company the opportunity to earn its authorized rate of return and provide rate stability to customers.  Notably, the Company has not reflected routine investments to rate base or other cost categories other than the </w:t>
      </w:r>
      <w:r w:rsidRPr="006C54FF">
        <w:t>four</w:t>
      </w:r>
      <w:r>
        <w:t xml:space="preserve"> discrete adjustments identified as part of this filing.  Accordingly, adjusting all of the accumulated depreciation associated with the Company’s coal-fueled generation assets for the second year would be one-sided and inappropriate.   </w:t>
      </w:r>
    </w:p>
    <w:p w:rsidR="006C54FF" w:rsidRPr="006C54FF" w:rsidRDefault="006C54FF" w:rsidP="00683EA1">
      <w:pPr>
        <w:pStyle w:val="Answer"/>
        <w:jc w:val="left"/>
        <w:rPr>
          <w:b/>
        </w:rPr>
      </w:pPr>
      <w:r w:rsidRPr="006C54FF">
        <w:rPr>
          <w:b/>
        </w:rPr>
        <w:t>Q.</w:t>
      </w:r>
      <w:r w:rsidRPr="006C54FF">
        <w:rPr>
          <w:b/>
        </w:rPr>
        <w:tab/>
        <w:t>Despite disagreeing with Boise’s proposal, is Boise’s adjustment calculated correctly?</w:t>
      </w:r>
    </w:p>
    <w:p w:rsidR="006C54FF" w:rsidRPr="000F55A4" w:rsidRDefault="006C54FF" w:rsidP="00683EA1">
      <w:pPr>
        <w:pStyle w:val="Answer"/>
        <w:jc w:val="left"/>
      </w:pPr>
      <w:r>
        <w:t>A.</w:t>
      </w:r>
      <w:r>
        <w:tab/>
        <w:t>No.  Boise uses incorrect tax balances in its calculation of the related accumulated deferred income tax adjustment.  This error results in an overstatement of the adjustment by approximately $700,000 on a Washington revenue requirement basis.</w:t>
      </w:r>
    </w:p>
    <w:p w:rsidR="00143B75" w:rsidRDefault="002D6B6B" w:rsidP="003752A1">
      <w:pPr>
        <w:pStyle w:val="Answer"/>
        <w:jc w:val="left"/>
        <w:rPr>
          <w:b/>
        </w:rPr>
      </w:pPr>
      <w:r>
        <w:rPr>
          <w:b/>
        </w:rPr>
        <w:t>Q.</w:t>
      </w:r>
      <w:r>
        <w:rPr>
          <w:b/>
        </w:rPr>
        <w:tab/>
      </w:r>
      <w:r w:rsidR="00683EA1">
        <w:rPr>
          <w:b/>
        </w:rPr>
        <w:t>Does Boise</w:t>
      </w:r>
      <w:r w:rsidR="00143B75">
        <w:rPr>
          <w:b/>
        </w:rPr>
        <w:t xml:space="preserve"> have</w:t>
      </w:r>
      <w:r w:rsidR="00683EA1">
        <w:rPr>
          <w:b/>
        </w:rPr>
        <w:t xml:space="preserve"> any other</w:t>
      </w:r>
      <w:r w:rsidR="00143B75">
        <w:rPr>
          <w:b/>
        </w:rPr>
        <w:t xml:space="preserve"> proposed adjustments to the second year request?</w:t>
      </w:r>
    </w:p>
    <w:p w:rsidR="00143B75" w:rsidRDefault="004C473D" w:rsidP="003752A1">
      <w:pPr>
        <w:pStyle w:val="Answer"/>
        <w:jc w:val="left"/>
      </w:pPr>
      <w:r>
        <w:t>A.</w:t>
      </w:r>
      <w:r>
        <w:tab/>
        <w:t>Yes</w:t>
      </w:r>
      <w:r w:rsidR="002C1DBA">
        <w:t xml:space="preserve">. </w:t>
      </w:r>
      <w:r>
        <w:t xml:space="preserve"> Boise proposes </w:t>
      </w:r>
      <w:r w:rsidR="002C1DBA">
        <w:t xml:space="preserve">a blanket reduction of 8.08 percent for all </w:t>
      </w:r>
      <w:r>
        <w:t>major plant additions</w:t>
      </w:r>
      <w:r w:rsidR="002C1DBA">
        <w:t xml:space="preserve"> added in the second year.</w:t>
      </w:r>
      <w:r w:rsidR="003260FA">
        <w:rPr>
          <w:rStyle w:val="FootnoteReference"/>
        </w:rPr>
        <w:footnoteReference w:id="41"/>
      </w:r>
      <w:r w:rsidR="002C1DBA">
        <w:t xml:space="preserve">  Boise calculates this adjustment based on the </w:t>
      </w:r>
      <w:r>
        <w:t xml:space="preserve">difference between the estimates included for </w:t>
      </w:r>
      <w:r w:rsidR="002D6B6B">
        <w:t>first-year</w:t>
      </w:r>
      <w:r>
        <w:t xml:space="preserve"> major plant additions at the time of the filing and the final in-service amounts provided in the Company’s response to Boise Data Request 20.</w:t>
      </w:r>
    </w:p>
    <w:p w:rsidR="0031729E" w:rsidRDefault="0031729E" w:rsidP="003752A1">
      <w:pPr>
        <w:pStyle w:val="Answer"/>
        <w:jc w:val="left"/>
        <w:rPr>
          <w:b/>
        </w:rPr>
      </w:pPr>
      <w:r>
        <w:rPr>
          <w:b/>
        </w:rPr>
        <w:t>Q.</w:t>
      </w:r>
      <w:r>
        <w:rPr>
          <w:b/>
        </w:rPr>
        <w:tab/>
        <w:t>What is Boise’s reasoning for this adjustment?</w:t>
      </w:r>
    </w:p>
    <w:p w:rsidR="0031729E" w:rsidRDefault="0031729E" w:rsidP="003752A1">
      <w:pPr>
        <w:pStyle w:val="Answer"/>
        <w:jc w:val="left"/>
      </w:pPr>
      <w:r>
        <w:t>A.</w:t>
      </w:r>
      <w:r>
        <w:tab/>
        <w:t xml:space="preserve">Boise alleges that </w:t>
      </w:r>
      <w:r w:rsidR="002C1DBA">
        <w:t xml:space="preserve">the Company unreasonably overestimates the amount of its pro forma </w:t>
      </w:r>
      <w:r w:rsidR="00823CB6">
        <w:t xml:space="preserve">plant </w:t>
      </w:r>
      <w:r w:rsidR="002C1DBA">
        <w:t xml:space="preserve">additions and this adjustment is intended to account for this </w:t>
      </w:r>
      <w:r>
        <w:t>“forecast error</w:t>
      </w:r>
      <w:r w:rsidR="002C1DBA">
        <w:t>.</w:t>
      </w:r>
      <w:r>
        <w:t>”</w:t>
      </w:r>
      <w:r w:rsidR="00C817B1">
        <w:rPr>
          <w:rStyle w:val="FootnoteReference"/>
        </w:rPr>
        <w:footnoteReference w:id="42"/>
      </w:r>
      <w:r>
        <w:t xml:space="preserve"> </w:t>
      </w:r>
    </w:p>
    <w:p w:rsidR="0031729E" w:rsidRDefault="0031729E" w:rsidP="003752A1">
      <w:pPr>
        <w:pStyle w:val="Answer"/>
        <w:jc w:val="left"/>
        <w:rPr>
          <w:b/>
        </w:rPr>
      </w:pPr>
      <w:r>
        <w:rPr>
          <w:b/>
        </w:rPr>
        <w:t>Q.</w:t>
      </w:r>
      <w:r>
        <w:rPr>
          <w:b/>
        </w:rPr>
        <w:tab/>
        <w:t xml:space="preserve">Does the Company agree with Boise’s </w:t>
      </w:r>
      <w:r w:rsidR="002D6B6B">
        <w:rPr>
          <w:b/>
        </w:rPr>
        <w:t>adjustment</w:t>
      </w:r>
      <w:r>
        <w:rPr>
          <w:b/>
        </w:rPr>
        <w:t>?</w:t>
      </w:r>
    </w:p>
    <w:p w:rsidR="007C53C2" w:rsidRDefault="0031729E" w:rsidP="002D6B6B">
      <w:pPr>
        <w:pStyle w:val="Answer"/>
        <w:jc w:val="left"/>
      </w:pPr>
      <w:r>
        <w:t>A.</w:t>
      </w:r>
      <w:r>
        <w:tab/>
        <w:t xml:space="preserve">No.  </w:t>
      </w:r>
      <w:r w:rsidR="002C1DBA">
        <w:t xml:space="preserve">The Company’s </w:t>
      </w:r>
      <w:r w:rsidR="002D6B6B">
        <w:t xml:space="preserve">rebuttal </w:t>
      </w:r>
      <w:r w:rsidR="002C1DBA">
        <w:t xml:space="preserve">filing </w:t>
      </w:r>
      <w:r w:rsidR="002D6B6B">
        <w:t xml:space="preserve">reflects actual costs for projects in service for the first-year rate increase and the latest available information for projects that will be placed in service for the second-year increase.  </w:t>
      </w:r>
      <w:r w:rsidR="007C53C2">
        <w:t xml:space="preserve">The Company has stated that it will file attestations for each of the three </w:t>
      </w:r>
      <w:r w:rsidR="002D6B6B">
        <w:t>major plant additions reflected in the Company’s second-year rate increase</w:t>
      </w:r>
      <w:r w:rsidR="007C53C2">
        <w:t xml:space="preserve"> verifying that these assets are used and useful and known and measureable.</w:t>
      </w:r>
    </w:p>
    <w:p w:rsidR="00B304EA" w:rsidRDefault="00B304EA" w:rsidP="00F40E23">
      <w:pPr>
        <w:pStyle w:val="Answer"/>
        <w:jc w:val="left"/>
        <w:rPr>
          <w:b/>
        </w:rPr>
      </w:pPr>
      <w:r w:rsidRPr="003351CB">
        <w:rPr>
          <w:b/>
        </w:rPr>
        <w:t xml:space="preserve">Q. </w:t>
      </w:r>
      <w:r w:rsidRPr="003351CB">
        <w:rPr>
          <w:b/>
        </w:rPr>
        <w:tab/>
        <w:t xml:space="preserve">Does this conclude your </w:t>
      </w:r>
      <w:r w:rsidR="00EE074B">
        <w:rPr>
          <w:b/>
        </w:rPr>
        <w:t xml:space="preserve">rebuttal </w:t>
      </w:r>
      <w:r w:rsidRPr="003351CB">
        <w:rPr>
          <w:b/>
        </w:rPr>
        <w:t>testimony?</w:t>
      </w:r>
    </w:p>
    <w:p w:rsidR="0063086A" w:rsidRDefault="007E3164" w:rsidP="007E3164">
      <w:pPr>
        <w:pStyle w:val="Answer"/>
        <w:jc w:val="left"/>
      </w:pPr>
      <w:r>
        <w:t>A.</w:t>
      </w:r>
      <w:r>
        <w:tab/>
        <w:t>Yes</w:t>
      </w:r>
    </w:p>
    <w:sectPr w:rsidR="0063086A" w:rsidSect="001E55BB">
      <w:headerReference w:type="default" r:id="rId15"/>
      <w:footerReference w:type="default" r:id="rId16"/>
      <w:pgSz w:w="12240" w:h="15840" w:code="1"/>
      <w:pgMar w:top="1440" w:right="1440" w:bottom="1440" w:left="1800" w:header="720" w:footer="720" w:gutter="0"/>
      <w:lnNumType w:countBy="1"/>
      <w:pgNumType w:start="1"/>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23853F" w15:done="0"/>
  <w15:commentEx w15:paraId="4B59BAF6" w15:done="0"/>
  <w15:commentEx w15:paraId="4EBB9B47" w15:done="0"/>
  <w15:commentEx w15:paraId="0E40C105" w15:done="0"/>
  <w15:commentEx w15:paraId="6539A891" w15:done="0"/>
  <w15:commentEx w15:paraId="7004B504" w15:done="0"/>
  <w15:commentEx w15:paraId="7FA13B55" w15:done="0"/>
  <w15:commentEx w15:paraId="676E26D6" w15:done="0"/>
  <w15:commentEx w15:paraId="07D4BC6F" w15:done="0"/>
  <w15:commentEx w15:paraId="5A77FF26" w15:done="0"/>
  <w15:commentEx w15:paraId="074D95E4" w15:done="0"/>
  <w15:commentEx w15:paraId="467BFBB5" w15:done="0"/>
  <w15:commentEx w15:paraId="17E1AEAF" w15:done="0"/>
  <w15:commentEx w15:paraId="0D091E65" w15:done="0"/>
  <w15:commentEx w15:paraId="31DFBDAB" w15:done="0"/>
  <w15:commentEx w15:paraId="51E59801" w15:done="0"/>
  <w15:commentEx w15:paraId="05004F7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9A1" w:rsidRDefault="004A19A1">
      <w:r>
        <w:separator/>
      </w:r>
    </w:p>
  </w:endnote>
  <w:endnote w:type="continuationSeparator" w:id="0">
    <w:p w:rsidR="004A19A1" w:rsidRDefault="004A1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D77" w:rsidRDefault="00EA2D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9A1" w:rsidRDefault="004A19A1" w:rsidP="005405E9">
    <w:pPr>
      <w:pStyle w:val="Footer"/>
    </w:pPr>
    <w:r>
      <w:t>Rebuttal Testimony of Shelley E. McCoy</w:t>
    </w:r>
    <w:r>
      <w:tab/>
    </w:r>
    <w:r>
      <w:tab/>
      <w:t>Exhibit No. SEM-6T</w:t>
    </w:r>
  </w:p>
  <w:p w:rsidR="004A19A1" w:rsidRDefault="004A19A1" w:rsidP="005405E9">
    <w:pPr>
      <w:pStyle w:val="Footer"/>
    </w:pPr>
    <w:r>
      <w:tab/>
    </w:r>
    <w:r>
      <w:tab/>
      <w:t xml:space="preserve">Page </w:t>
    </w:r>
    <w:r>
      <w:fldChar w:fldCharType="begin"/>
    </w:r>
    <w:r>
      <w:instrText xml:space="preserve"> PAGE   \* MERGEFORMAT </w:instrText>
    </w:r>
    <w:r>
      <w:fldChar w:fldCharType="separate"/>
    </w:r>
    <w:r w:rsidR="00EA2D77">
      <w:rPr>
        <w:noProof/>
      </w:rPr>
      <w:t>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9A1" w:rsidRDefault="004A19A1" w:rsidP="0057329B">
    <w:pPr>
      <w:pStyle w:val="Footer"/>
      <w:tabs>
        <w:tab w:val="clear" w:pos="8640"/>
        <w:tab w:val="right" w:pos="9000"/>
      </w:tabs>
      <w:jc w:val="left"/>
    </w:pPr>
    <w:r>
      <w:t>Rebuttal Testimony of Natasha C. Siores</w:t>
    </w:r>
    <w:r>
      <w:tab/>
    </w:r>
    <w:r>
      <w:tab/>
      <w:t>Exhibit No. NCS-10T</w:t>
    </w:r>
  </w:p>
  <w:p w:rsidR="004A19A1" w:rsidRDefault="004A19A1" w:rsidP="00251181">
    <w:pPr>
      <w:pStyle w:val="Footer"/>
      <w:jc w:val="right"/>
    </w:pPr>
    <w:r>
      <w:t xml:space="preserve">Page </w:t>
    </w:r>
    <w:sdt>
      <w:sdtPr>
        <w:id w:val="-61081743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9A1" w:rsidRDefault="004A19A1">
    <w:pPr>
      <w:pStyle w:val="Footer"/>
    </w:pPr>
    <w:r>
      <w:t>Rebuttal Testimony of Shelley E. McCoy</w:t>
    </w:r>
    <w:r>
      <w:tab/>
    </w:r>
    <w:r>
      <w:tab/>
      <w:t>Exhibit No. SEM-6T</w:t>
    </w:r>
  </w:p>
  <w:p w:rsidR="004A19A1" w:rsidRDefault="004A19A1">
    <w:pPr>
      <w:pStyle w:val="Footer"/>
    </w:pPr>
    <w:r>
      <w:tab/>
    </w:r>
    <w:r>
      <w:tab/>
      <w:t xml:space="preserve">Page </w:t>
    </w:r>
    <w:r>
      <w:fldChar w:fldCharType="begin"/>
    </w:r>
    <w:r>
      <w:instrText xml:space="preserve"> PAGE   \* MERGEFORMAT </w:instrText>
    </w:r>
    <w:r>
      <w:fldChar w:fldCharType="separate"/>
    </w:r>
    <w:r w:rsidR="00EA2D77">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9A1" w:rsidRDefault="004A19A1">
      <w:r>
        <w:separator/>
      </w:r>
    </w:p>
  </w:footnote>
  <w:footnote w:type="continuationSeparator" w:id="0">
    <w:p w:rsidR="004A19A1" w:rsidRDefault="004A19A1">
      <w:r>
        <w:continuationSeparator/>
      </w:r>
    </w:p>
  </w:footnote>
  <w:footnote w:id="1">
    <w:p w:rsidR="004A19A1" w:rsidRDefault="004A19A1" w:rsidP="001F0D2D">
      <w:pPr>
        <w:pStyle w:val="FootnoteText"/>
        <w:jc w:val="left"/>
      </w:pPr>
      <w:r>
        <w:rPr>
          <w:rStyle w:val="FootnoteReference"/>
        </w:rPr>
        <w:footnoteRef/>
      </w:r>
      <w:r>
        <w:t xml:space="preserve"> Mullins, </w:t>
      </w:r>
      <w:proofErr w:type="spellStart"/>
      <w:r>
        <w:t>Exh</w:t>
      </w:r>
      <w:proofErr w:type="spellEnd"/>
      <w:r>
        <w:t>. No. BGM-1CT 23:14-26:13.</w:t>
      </w:r>
    </w:p>
  </w:footnote>
  <w:footnote w:id="2">
    <w:p w:rsidR="004A19A1" w:rsidRDefault="004A19A1" w:rsidP="001F0D2D">
      <w:pPr>
        <w:pStyle w:val="FootnoteText"/>
        <w:jc w:val="left"/>
      </w:pPr>
      <w:r>
        <w:rPr>
          <w:rStyle w:val="FootnoteReference"/>
        </w:rPr>
        <w:footnoteRef/>
      </w:r>
      <w:r>
        <w:t xml:space="preserve"> Mullins, </w:t>
      </w:r>
      <w:proofErr w:type="spellStart"/>
      <w:r>
        <w:t>Exh</w:t>
      </w:r>
      <w:proofErr w:type="spellEnd"/>
      <w:r>
        <w:t>. No. BGM-1CT 26:9-10.</w:t>
      </w:r>
    </w:p>
  </w:footnote>
  <w:footnote w:id="3">
    <w:p w:rsidR="004A19A1" w:rsidRDefault="004A19A1" w:rsidP="001F0D2D">
      <w:pPr>
        <w:pStyle w:val="FootnoteText"/>
        <w:jc w:val="left"/>
      </w:pPr>
      <w:r>
        <w:rPr>
          <w:rStyle w:val="FootnoteReference"/>
        </w:rPr>
        <w:footnoteRef/>
      </w:r>
      <w:r>
        <w:t xml:space="preserve"> </w:t>
      </w:r>
      <w:proofErr w:type="spellStart"/>
      <w:r>
        <w:t>Ramas</w:t>
      </w:r>
      <w:proofErr w:type="spellEnd"/>
      <w:r>
        <w:t xml:space="preserve">, </w:t>
      </w:r>
      <w:proofErr w:type="spellStart"/>
      <w:r>
        <w:t>Exh</w:t>
      </w:r>
      <w:proofErr w:type="spellEnd"/>
      <w:r>
        <w:t xml:space="preserve">. No. DMR-1T Revised (3/29/16) 30:3-20; Mullins, </w:t>
      </w:r>
      <w:proofErr w:type="spellStart"/>
      <w:r>
        <w:t>Exh</w:t>
      </w:r>
      <w:proofErr w:type="spellEnd"/>
      <w:r>
        <w:t>. No. BGM-1CT 17:7-11.</w:t>
      </w:r>
    </w:p>
  </w:footnote>
  <w:footnote w:id="4">
    <w:p w:rsidR="004A19A1" w:rsidRDefault="004A19A1" w:rsidP="001F0D2D">
      <w:pPr>
        <w:pStyle w:val="FootnoteText"/>
        <w:jc w:val="left"/>
      </w:pPr>
      <w:r>
        <w:rPr>
          <w:rStyle w:val="FootnoteReference"/>
        </w:rPr>
        <w:footnoteRef/>
      </w:r>
      <w:r>
        <w:t xml:space="preserve"> Ball, </w:t>
      </w:r>
      <w:proofErr w:type="spellStart"/>
      <w:r>
        <w:t>Exh</w:t>
      </w:r>
      <w:proofErr w:type="spellEnd"/>
      <w:r>
        <w:t xml:space="preserve">. No. JLB-1T 6:3-9; </w:t>
      </w:r>
      <w:proofErr w:type="spellStart"/>
      <w:r>
        <w:t>Ramas</w:t>
      </w:r>
      <w:proofErr w:type="spellEnd"/>
      <w:r>
        <w:t xml:space="preserve">, </w:t>
      </w:r>
      <w:proofErr w:type="spellStart"/>
      <w:r>
        <w:t>Exh</w:t>
      </w:r>
      <w:proofErr w:type="spellEnd"/>
      <w:r>
        <w:t xml:space="preserve">. No. DMR-1T Revised (3/29/16) 4:21-5:9; Mullins </w:t>
      </w:r>
      <w:proofErr w:type="spellStart"/>
      <w:r>
        <w:t>Exh</w:t>
      </w:r>
      <w:proofErr w:type="spellEnd"/>
      <w:r>
        <w:t>. No. BGM-1CT 40:14-16.</w:t>
      </w:r>
    </w:p>
  </w:footnote>
  <w:footnote w:id="5">
    <w:p w:rsidR="004A19A1" w:rsidRDefault="004A19A1" w:rsidP="001F0D2D">
      <w:pPr>
        <w:pStyle w:val="FootnoteText"/>
        <w:jc w:val="left"/>
      </w:pPr>
      <w:r>
        <w:rPr>
          <w:rStyle w:val="FootnoteReference"/>
        </w:rPr>
        <w:footnoteRef/>
      </w:r>
      <w:r>
        <w:t xml:space="preserve"> Mullins, </w:t>
      </w:r>
      <w:proofErr w:type="spellStart"/>
      <w:r>
        <w:t>Exh</w:t>
      </w:r>
      <w:proofErr w:type="spellEnd"/>
      <w:r>
        <w:t>. No. BGM-3 1:20-21.</w:t>
      </w:r>
    </w:p>
  </w:footnote>
  <w:footnote w:id="6">
    <w:p w:rsidR="004A19A1" w:rsidRDefault="004A19A1" w:rsidP="001F0D2D">
      <w:pPr>
        <w:pStyle w:val="FootnoteText"/>
        <w:jc w:val="left"/>
      </w:pPr>
      <w:r>
        <w:rPr>
          <w:rStyle w:val="FootnoteReference"/>
        </w:rPr>
        <w:footnoteRef/>
      </w:r>
      <w:r>
        <w:t xml:space="preserve"> EIM costs recorded to net power cost accounts were not reflected in the Company’s initial filing as all net power costs were removed.</w:t>
      </w:r>
    </w:p>
  </w:footnote>
  <w:footnote w:id="7">
    <w:p w:rsidR="004A19A1" w:rsidRPr="00B17531" w:rsidRDefault="004A19A1" w:rsidP="001F0D2D">
      <w:pPr>
        <w:pStyle w:val="FootnoteText"/>
        <w:jc w:val="left"/>
      </w:pPr>
      <w:r w:rsidRPr="00B17531">
        <w:rPr>
          <w:rStyle w:val="FootnoteReference"/>
        </w:rPr>
        <w:footnoteRef/>
      </w:r>
      <w:r w:rsidRPr="00B17531">
        <w:t xml:space="preserve"> </w:t>
      </w:r>
      <w:proofErr w:type="spellStart"/>
      <w:r>
        <w:t>Ramas</w:t>
      </w:r>
      <w:proofErr w:type="spellEnd"/>
      <w:r>
        <w:t xml:space="preserve">, </w:t>
      </w:r>
      <w:proofErr w:type="spellStart"/>
      <w:r>
        <w:t>Exh</w:t>
      </w:r>
      <w:proofErr w:type="spellEnd"/>
      <w:r>
        <w:t>. No. DMR-1T Revised (3/29/16)</w:t>
      </w:r>
      <w:r w:rsidRPr="00B17531">
        <w:t xml:space="preserve"> 36:6-22.</w:t>
      </w:r>
    </w:p>
  </w:footnote>
  <w:footnote w:id="8">
    <w:p w:rsidR="004A19A1" w:rsidRPr="00B17531" w:rsidRDefault="004A19A1" w:rsidP="001F0D2D">
      <w:pPr>
        <w:pStyle w:val="FootnoteText"/>
        <w:jc w:val="left"/>
      </w:pPr>
      <w:r w:rsidRPr="00B17531">
        <w:rPr>
          <w:rStyle w:val="FootnoteReference"/>
        </w:rPr>
        <w:footnoteRef/>
      </w:r>
      <w:r w:rsidRPr="00B17531">
        <w:t>Public Counsel and Boise both refer to these amounts as Other Post-Employment Benefits (OPEB), however, the Company believes that they are actually referring to Post Retirement Benefits Other Than Pensions, (PBOP).  PBOP relates to benefit costs for retirees while OPEB relates to costs associated with former employees that did not retire from the Company.  In response to DR2.1, Public Counsel indicated that OPEB and PBOP were used interchangeably in testimony.</w:t>
      </w:r>
    </w:p>
  </w:footnote>
  <w:footnote w:id="9">
    <w:p w:rsidR="004A19A1" w:rsidRDefault="004A19A1" w:rsidP="001F0D2D">
      <w:pPr>
        <w:pStyle w:val="FootnoteText"/>
        <w:jc w:val="left"/>
      </w:pPr>
      <w:r w:rsidRPr="00B17531">
        <w:rPr>
          <w:rStyle w:val="FootnoteReference"/>
        </w:rPr>
        <w:footnoteRef/>
      </w:r>
      <w:r w:rsidRPr="00B17531">
        <w:t xml:space="preserve"> </w:t>
      </w:r>
      <w:proofErr w:type="spellStart"/>
      <w:r>
        <w:t>Ramas</w:t>
      </w:r>
      <w:proofErr w:type="spellEnd"/>
      <w:r>
        <w:t xml:space="preserve">, </w:t>
      </w:r>
      <w:proofErr w:type="spellStart"/>
      <w:r>
        <w:t>Exh</w:t>
      </w:r>
      <w:proofErr w:type="spellEnd"/>
      <w:r>
        <w:t>. No. DMR-1T Revised (3/29/16) 38:5-10, 40:3-11.</w:t>
      </w:r>
    </w:p>
  </w:footnote>
  <w:footnote w:id="10">
    <w:p w:rsidR="004A19A1" w:rsidRDefault="004A19A1" w:rsidP="001F0D2D">
      <w:pPr>
        <w:pStyle w:val="FootnoteText"/>
        <w:jc w:val="left"/>
      </w:pPr>
      <w:r>
        <w:rPr>
          <w:rStyle w:val="FootnoteReference"/>
        </w:rPr>
        <w:footnoteRef/>
      </w:r>
      <w:r>
        <w:t xml:space="preserve"> </w:t>
      </w:r>
      <w:proofErr w:type="spellStart"/>
      <w:r>
        <w:t>Ramas</w:t>
      </w:r>
      <w:proofErr w:type="spellEnd"/>
      <w:r>
        <w:t xml:space="preserve">, </w:t>
      </w:r>
      <w:proofErr w:type="spellStart"/>
      <w:r>
        <w:t>Exh</w:t>
      </w:r>
      <w:proofErr w:type="spellEnd"/>
      <w:r>
        <w:t>. No. DMR-1T Revised (3/29/16) 33:12-41:13.</w:t>
      </w:r>
    </w:p>
  </w:footnote>
  <w:footnote w:id="11">
    <w:p w:rsidR="004A19A1" w:rsidRDefault="004A19A1" w:rsidP="00234700">
      <w:pPr>
        <w:pStyle w:val="FootnoteText"/>
        <w:jc w:val="left"/>
      </w:pPr>
      <w:r>
        <w:rPr>
          <w:rStyle w:val="FootnoteReference"/>
        </w:rPr>
        <w:footnoteRef/>
      </w:r>
      <w:r>
        <w:t xml:space="preserve"> </w:t>
      </w:r>
      <w:proofErr w:type="spellStart"/>
      <w:r>
        <w:t>Ramas</w:t>
      </w:r>
      <w:proofErr w:type="spellEnd"/>
      <w:r>
        <w:t xml:space="preserve">, </w:t>
      </w:r>
      <w:proofErr w:type="spellStart"/>
      <w:r>
        <w:t>Exh</w:t>
      </w:r>
      <w:proofErr w:type="spellEnd"/>
      <w:r>
        <w:t xml:space="preserve">. No. DMR-1T Revised (3/29/16) 37:1-40:9; Mullins, </w:t>
      </w:r>
      <w:proofErr w:type="spellStart"/>
      <w:r>
        <w:t>Exh</w:t>
      </w:r>
      <w:proofErr w:type="spellEnd"/>
      <w:r>
        <w:t>. No. BGM-1CT 30:8-31:17.</w:t>
      </w:r>
    </w:p>
  </w:footnote>
  <w:footnote w:id="12">
    <w:p w:rsidR="004A19A1" w:rsidRDefault="004A19A1" w:rsidP="001F0D2D">
      <w:pPr>
        <w:pStyle w:val="FootnoteText"/>
        <w:jc w:val="left"/>
      </w:pPr>
      <w:r>
        <w:rPr>
          <w:rStyle w:val="FootnoteReference"/>
        </w:rPr>
        <w:footnoteRef/>
      </w:r>
      <w:r>
        <w:t xml:space="preserve"> O’Connell, </w:t>
      </w:r>
      <w:proofErr w:type="spellStart"/>
      <w:r>
        <w:t>Exh</w:t>
      </w:r>
      <w:proofErr w:type="spellEnd"/>
      <w:r>
        <w:t>. No. ECO-1T 31:5-7.</w:t>
      </w:r>
    </w:p>
  </w:footnote>
  <w:footnote w:id="13">
    <w:p w:rsidR="004A19A1" w:rsidRDefault="004A19A1" w:rsidP="001F0D2D">
      <w:pPr>
        <w:pStyle w:val="FootnoteText"/>
        <w:jc w:val="left"/>
      </w:pPr>
      <w:r>
        <w:rPr>
          <w:rStyle w:val="FootnoteReference"/>
        </w:rPr>
        <w:footnoteRef/>
      </w:r>
      <w:r>
        <w:t xml:space="preserve"> </w:t>
      </w:r>
      <w:proofErr w:type="spellStart"/>
      <w:r>
        <w:t>Exh</w:t>
      </w:r>
      <w:proofErr w:type="spellEnd"/>
      <w:r>
        <w:t>. No. SEM-8, page  7.2.3 (Staff’s Response to PacifiCorp DR 3).</w:t>
      </w:r>
    </w:p>
  </w:footnote>
  <w:footnote w:id="14">
    <w:p w:rsidR="004A19A1" w:rsidRDefault="004A19A1" w:rsidP="001F0D2D">
      <w:pPr>
        <w:pStyle w:val="FootnoteText"/>
        <w:jc w:val="left"/>
      </w:pPr>
      <w:r>
        <w:rPr>
          <w:rStyle w:val="FootnoteReference"/>
        </w:rPr>
        <w:footnoteRef/>
      </w:r>
      <w:r>
        <w:t xml:space="preserve"> </w:t>
      </w:r>
      <w:proofErr w:type="spellStart"/>
      <w:r>
        <w:t>Ramas</w:t>
      </w:r>
      <w:proofErr w:type="spellEnd"/>
      <w:r>
        <w:t xml:space="preserve">, </w:t>
      </w:r>
      <w:proofErr w:type="spellStart"/>
      <w:r>
        <w:t>Exh</w:t>
      </w:r>
      <w:proofErr w:type="spellEnd"/>
      <w:r>
        <w:t>. No. DMR-3 Revised (3/29/16) 1-3.</w:t>
      </w:r>
    </w:p>
  </w:footnote>
  <w:footnote w:id="15">
    <w:p w:rsidR="004A19A1" w:rsidRDefault="004A19A1" w:rsidP="001F0D2D">
      <w:pPr>
        <w:pStyle w:val="FootnoteText"/>
        <w:jc w:val="left"/>
      </w:pPr>
      <w:r>
        <w:rPr>
          <w:rStyle w:val="FootnoteReference"/>
        </w:rPr>
        <w:footnoteRef/>
      </w:r>
      <w:r>
        <w:t xml:space="preserve"> This adjustment uses depreciation rates consistent with the Company’s proposal for accelerated depreciation.</w:t>
      </w:r>
    </w:p>
  </w:footnote>
  <w:footnote w:id="16">
    <w:p w:rsidR="004A19A1" w:rsidRDefault="004A19A1" w:rsidP="001F0D2D">
      <w:pPr>
        <w:pStyle w:val="FootnoteText"/>
        <w:jc w:val="left"/>
      </w:pPr>
      <w:r>
        <w:rPr>
          <w:rStyle w:val="FootnoteReference"/>
        </w:rPr>
        <w:footnoteRef/>
      </w:r>
      <w:r>
        <w:t xml:space="preserve"> Mullins, </w:t>
      </w:r>
      <w:proofErr w:type="spellStart"/>
      <w:r>
        <w:t>Exh</w:t>
      </w:r>
      <w:proofErr w:type="spellEnd"/>
      <w:r>
        <w:t>. No. BGM-1CT 33:5-11.</w:t>
      </w:r>
    </w:p>
  </w:footnote>
  <w:footnote w:id="17">
    <w:p w:rsidR="004A19A1" w:rsidRDefault="004A19A1" w:rsidP="001F0D2D">
      <w:pPr>
        <w:pStyle w:val="FootnoteText"/>
        <w:jc w:val="left"/>
      </w:pPr>
      <w:r>
        <w:rPr>
          <w:rStyle w:val="FootnoteReference"/>
        </w:rPr>
        <w:footnoteRef/>
      </w:r>
      <w:r>
        <w:t xml:space="preserve"> Van Meter, </w:t>
      </w:r>
      <w:proofErr w:type="spellStart"/>
      <w:r>
        <w:t>Exh</w:t>
      </w:r>
      <w:proofErr w:type="spellEnd"/>
      <w:r>
        <w:t>. No. TMV-1T 4:6-15.</w:t>
      </w:r>
    </w:p>
  </w:footnote>
  <w:footnote w:id="18">
    <w:p w:rsidR="004A19A1" w:rsidRDefault="004A19A1" w:rsidP="001F0D2D">
      <w:pPr>
        <w:pStyle w:val="FootnoteText"/>
        <w:jc w:val="left"/>
      </w:pPr>
      <w:r>
        <w:rPr>
          <w:rStyle w:val="FootnoteReference"/>
        </w:rPr>
        <w:footnoteRef/>
      </w:r>
      <w:r>
        <w:t xml:space="preserve"> </w:t>
      </w:r>
      <w:r w:rsidRPr="00BC2A7A">
        <w:rPr>
          <w:i/>
        </w:rPr>
        <w:t>Id</w:t>
      </w:r>
      <w:r>
        <w:rPr>
          <w:i/>
        </w:rPr>
        <w:t xml:space="preserve">. </w:t>
      </w:r>
      <w:r>
        <w:t>at 4:16-5:3.</w:t>
      </w:r>
    </w:p>
  </w:footnote>
  <w:footnote w:id="19">
    <w:p w:rsidR="004A19A1" w:rsidRDefault="004A19A1" w:rsidP="001F0D2D">
      <w:pPr>
        <w:pStyle w:val="FootnoteText"/>
        <w:jc w:val="left"/>
      </w:pPr>
      <w:r>
        <w:rPr>
          <w:rStyle w:val="FootnoteReference"/>
        </w:rPr>
        <w:footnoteRef/>
      </w:r>
      <w:r>
        <w:t xml:space="preserve"> </w:t>
      </w:r>
      <w:r w:rsidRPr="00BC2A7A">
        <w:rPr>
          <w:i/>
        </w:rPr>
        <w:t>Id.</w:t>
      </w:r>
      <w:r>
        <w:rPr>
          <w:i/>
        </w:rPr>
        <w:t xml:space="preserve"> </w:t>
      </w:r>
      <w:r>
        <w:t>at 5:11-12.</w:t>
      </w:r>
    </w:p>
  </w:footnote>
  <w:footnote w:id="20">
    <w:p w:rsidR="004A19A1" w:rsidRDefault="004A19A1" w:rsidP="001F0D2D">
      <w:pPr>
        <w:pStyle w:val="FootnoteText"/>
        <w:jc w:val="left"/>
      </w:pPr>
      <w:r>
        <w:rPr>
          <w:rStyle w:val="FootnoteReference"/>
        </w:rPr>
        <w:footnoteRef/>
      </w:r>
      <w:r>
        <w:t xml:space="preserve"> </w:t>
      </w:r>
      <w:r w:rsidRPr="00BC2A7A">
        <w:rPr>
          <w:i/>
        </w:rPr>
        <w:t>Id</w:t>
      </w:r>
      <w:r>
        <w:rPr>
          <w:i/>
        </w:rPr>
        <w:t xml:space="preserve">. </w:t>
      </w:r>
      <w:r>
        <w:t>at 5:12-13.</w:t>
      </w:r>
    </w:p>
  </w:footnote>
  <w:footnote w:id="21">
    <w:p w:rsidR="004A19A1" w:rsidRDefault="004A19A1" w:rsidP="001F0D2D">
      <w:pPr>
        <w:pStyle w:val="FootnoteText"/>
        <w:jc w:val="left"/>
      </w:pPr>
      <w:r>
        <w:rPr>
          <w:rStyle w:val="FootnoteReference"/>
        </w:rPr>
        <w:footnoteRef/>
      </w:r>
      <w:r>
        <w:t xml:space="preserve"> Exhibit No. </w:t>
      </w:r>
      <w:r w:rsidRPr="002B42A4">
        <w:t>SEM-12</w:t>
      </w:r>
      <w:r w:rsidR="00E768DB">
        <w:t xml:space="preserve"> </w:t>
      </w:r>
      <w:r>
        <w:t>(Staff Data Request No. 151).</w:t>
      </w:r>
    </w:p>
  </w:footnote>
  <w:footnote w:id="22">
    <w:p w:rsidR="004A19A1" w:rsidRDefault="004A19A1" w:rsidP="001F0D2D">
      <w:pPr>
        <w:pStyle w:val="FootnoteText"/>
        <w:jc w:val="left"/>
      </w:pPr>
      <w:r>
        <w:rPr>
          <w:rStyle w:val="FootnoteReference"/>
        </w:rPr>
        <w:footnoteRef/>
      </w:r>
      <w:r>
        <w:t xml:space="preserve"> O’Connell, </w:t>
      </w:r>
      <w:proofErr w:type="spellStart"/>
      <w:r>
        <w:t>Exh</w:t>
      </w:r>
      <w:proofErr w:type="spellEnd"/>
      <w:r>
        <w:t>. No. ECO-1T 32:10-11.</w:t>
      </w:r>
    </w:p>
  </w:footnote>
  <w:footnote w:id="23">
    <w:p w:rsidR="004A19A1" w:rsidRDefault="004A19A1" w:rsidP="002B42A4">
      <w:pPr>
        <w:pStyle w:val="FootnoteText"/>
      </w:pPr>
      <w:r>
        <w:rPr>
          <w:rStyle w:val="FootnoteReference"/>
        </w:rPr>
        <w:footnoteRef/>
      </w:r>
      <w:r>
        <w:t xml:space="preserve"> </w:t>
      </w:r>
      <w:r w:rsidRPr="000851E7">
        <w:t>In Order 05 of Docket UE-130043 the Co</w:t>
      </w:r>
      <w:r>
        <w:t>mmission rejected attempts to modify the WCA, stating that the WCA methodology “…is a comprehensive methodology with multiple factors.”</w:t>
      </w:r>
      <w:r w:rsidRPr="000851E7">
        <w:rPr>
          <w:i/>
        </w:rPr>
        <w:t xml:space="preserve">  Wash. </w:t>
      </w:r>
      <w:proofErr w:type="spellStart"/>
      <w:r w:rsidRPr="000851E7">
        <w:rPr>
          <w:i/>
        </w:rPr>
        <w:t>Utils</w:t>
      </w:r>
      <w:proofErr w:type="spellEnd"/>
      <w:r w:rsidRPr="000851E7">
        <w:rPr>
          <w:i/>
        </w:rPr>
        <w:t xml:space="preserve">. &amp; Transp. </w:t>
      </w:r>
      <w:proofErr w:type="spellStart"/>
      <w:r w:rsidRPr="000851E7">
        <w:rPr>
          <w:i/>
        </w:rPr>
        <w:t>Comm’n</w:t>
      </w:r>
      <w:proofErr w:type="spellEnd"/>
      <w:r w:rsidRPr="000851E7">
        <w:rPr>
          <w:i/>
        </w:rPr>
        <w:t xml:space="preserve"> v. Pacific Power &amp; Light Co.</w:t>
      </w:r>
      <w:r>
        <w:t>, Docket UE-130043, Order 05</w:t>
      </w:r>
      <w:r w:rsidRPr="002B42A4">
        <w:t xml:space="preserve"> ¶</w:t>
      </w:r>
      <w:r>
        <w:t xml:space="preserve"> 92(Dec. 4, 2013).</w:t>
      </w:r>
      <w:r w:rsidRPr="002B42A4">
        <w:t xml:space="preserve"> </w:t>
      </w:r>
      <w:r>
        <w:t xml:space="preserve">The Commission went on to state: “We believe that any changes should be considered in the context of an overall review of that methodology.” </w:t>
      </w:r>
      <w:r w:rsidRPr="002B42A4">
        <w:rPr>
          <w:i/>
        </w:rPr>
        <w:t>Id.</w:t>
      </w:r>
    </w:p>
  </w:footnote>
  <w:footnote w:id="24">
    <w:p w:rsidR="004A19A1" w:rsidRDefault="004A19A1" w:rsidP="001F0D2D">
      <w:pPr>
        <w:pStyle w:val="FootnoteText"/>
        <w:jc w:val="left"/>
      </w:pPr>
      <w:r>
        <w:rPr>
          <w:rStyle w:val="FootnoteReference"/>
        </w:rPr>
        <w:footnoteRef/>
      </w:r>
      <w:r>
        <w:t xml:space="preserve"> Ball, </w:t>
      </w:r>
      <w:proofErr w:type="spellStart"/>
      <w:r>
        <w:t>Exh</w:t>
      </w:r>
      <w:proofErr w:type="spellEnd"/>
      <w:r>
        <w:t>. No. JLB-1T 61:1-16.</w:t>
      </w:r>
    </w:p>
  </w:footnote>
  <w:footnote w:id="25">
    <w:p w:rsidR="004A19A1" w:rsidRDefault="004A19A1" w:rsidP="001F0D2D">
      <w:pPr>
        <w:pStyle w:val="FootnoteText"/>
        <w:jc w:val="left"/>
      </w:pPr>
      <w:r>
        <w:rPr>
          <w:rStyle w:val="FootnoteReference"/>
        </w:rPr>
        <w:footnoteRef/>
      </w:r>
      <w:r>
        <w:t xml:space="preserve"> Ball, </w:t>
      </w:r>
      <w:proofErr w:type="spellStart"/>
      <w:r>
        <w:t>Exh</w:t>
      </w:r>
      <w:proofErr w:type="spellEnd"/>
      <w:r>
        <w:t>. No. JLB-1T 63:3-9.</w:t>
      </w:r>
    </w:p>
  </w:footnote>
  <w:footnote w:id="26">
    <w:p w:rsidR="004A19A1" w:rsidRDefault="004A19A1" w:rsidP="001F0D2D">
      <w:pPr>
        <w:pStyle w:val="FootnoteText"/>
        <w:jc w:val="left"/>
      </w:pPr>
      <w:r>
        <w:rPr>
          <w:rStyle w:val="FootnoteReference"/>
        </w:rPr>
        <w:footnoteRef/>
      </w:r>
      <w:r>
        <w:t xml:space="preserve"> Ball, </w:t>
      </w:r>
      <w:proofErr w:type="spellStart"/>
      <w:r>
        <w:t>Exh</w:t>
      </w:r>
      <w:proofErr w:type="spellEnd"/>
      <w:r>
        <w:t>. No. JLB-1T 62:13 -15.</w:t>
      </w:r>
    </w:p>
  </w:footnote>
  <w:footnote w:id="27">
    <w:p w:rsidR="004A19A1" w:rsidRPr="004A19A1" w:rsidRDefault="004A19A1" w:rsidP="001F0D2D">
      <w:pPr>
        <w:pStyle w:val="FootnoteText"/>
        <w:jc w:val="left"/>
      </w:pPr>
      <w:r>
        <w:rPr>
          <w:rStyle w:val="FootnoteReference"/>
        </w:rPr>
        <w:footnoteRef/>
      </w:r>
      <w:r w:rsidRPr="004A19A1">
        <w:t xml:space="preserve"> </w:t>
      </w:r>
      <w:proofErr w:type="spellStart"/>
      <w:r w:rsidRPr="004A19A1">
        <w:t>Ramas</w:t>
      </w:r>
      <w:proofErr w:type="spellEnd"/>
      <w:r w:rsidRPr="004A19A1">
        <w:t xml:space="preserve">, </w:t>
      </w:r>
      <w:proofErr w:type="spellStart"/>
      <w:r w:rsidRPr="004A19A1">
        <w:t>Exh</w:t>
      </w:r>
      <w:proofErr w:type="spellEnd"/>
      <w:r w:rsidRPr="004A19A1">
        <w:t>. No. DMR-1T Revised (3/29/16) 20:1.</w:t>
      </w:r>
    </w:p>
  </w:footnote>
  <w:footnote w:id="28">
    <w:p w:rsidR="004A19A1" w:rsidRPr="004A19A1" w:rsidRDefault="004A19A1" w:rsidP="001F0D2D">
      <w:pPr>
        <w:pStyle w:val="FootnoteText"/>
        <w:jc w:val="left"/>
      </w:pPr>
      <w:r>
        <w:rPr>
          <w:rStyle w:val="FootnoteReference"/>
        </w:rPr>
        <w:footnoteRef/>
      </w:r>
      <w:r w:rsidRPr="004A19A1">
        <w:t xml:space="preserve"> </w:t>
      </w:r>
      <w:proofErr w:type="spellStart"/>
      <w:r w:rsidRPr="004A19A1">
        <w:t>Ramas</w:t>
      </w:r>
      <w:proofErr w:type="spellEnd"/>
      <w:r w:rsidRPr="004A19A1">
        <w:t xml:space="preserve">, </w:t>
      </w:r>
      <w:proofErr w:type="spellStart"/>
      <w:r w:rsidRPr="004A19A1">
        <w:t>Exh</w:t>
      </w:r>
      <w:proofErr w:type="spellEnd"/>
      <w:r w:rsidRPr="004A19A1">
        <w:t>. No. DMR-1T Revised (3/29/16) 25:9-28:23.</w:t>
      </w:r>
    </w:p>
  </w:footnote>
  <w:footnote w:id="29">
    <w:p w:rsidR="004A19A1" w:rsidRDefault="004A19A1" w:rsidP="001F0D2D">
      <w:pPr>
        <w:pStyle w:val="FootnoteText"/>
        <w:jc w:val="left"/>
      </w:pPr>
      <w:r>
        <w:rPr>
          <w:rStyle w:val="FootnoteReference"/>
        </w:rPr>
        <w:footnoteRef/>
      </w:r>
      <w:r>
        <w:t xml:space="preserve"> Mullins, </w:t>
      </w:r>
      <w:proofErr w:type="spellStart"/>
      <w:r>
        <w:t>Exh</w:t>
      </w:r>
      <w:proofErr w:type="spellEnd"/>
      <w:r>
        <w:t>. No. BGM-1CT 32:4-33:4.</w:t>
      </w:r>
    </w:p>
  </w:footnote>
  <w:footnote w:id="30">
    <w:p w:rsidR="004A19A1" w:rsidRDefault="004A19A1" w:rsidP="001F0D2D">
      <w:pPr>
        <w:pStyle w:val="FootnoteText"/>
        <w:jc w:val="left"/>
      </w:pPr>
      <w:r>
        <w:rPr>
          <w:rStyle w:val="FootnoteReference"/>
        </w:rPr>
        <w:footnoteRef/>
      </w:r>
      <w:r>
        <w:t xml:space="preserve"> Mullins, </w:t>
      </w:r>
      <w:proofErr w:type="spellStart"/>
      <w:r>
        <w:t>Exh</w:t>
      </w:r>
      <w:proofErr w:type="spellEnd"/>
      <w:r>
        <w:t>. No. BGM-3.</w:t>
      </w:r>
    </w:p>
  </w:footnote>
  <w:footnote w:id="31">
    <w:p w:rsidR="004A19A1" w:rsidRDefault="004A19A1" w:rsidP="001F0D2D">
      <w:pPr>
        <w:pStyle w:val="FootnoteText"/>
        <w:jc w:val="left"/>
      </w:pPr>
      <w:r>
        <w:rPr>
          <w:rStyle w:val="FootnoteReference"/>
        </w:rPr>
        <w:footnoteRef/>
      </w:r>
      <w:r>
        <w:t xml:space="preserve"> Manual page 3.</w:t>
      </w:r>
    </w:p>
  </w:footnote>
  <w:footnote w:id="32">
    <w:p w:rsidR="004A19A1" w:rsidRDefault="004A19A1" w:rsidP="001F0D2D">
      <w:pPr>
        <w:pStyle w:val="FootnoteText"/>
        <w:jc w:val="left"/>
      </w:pPr>
      <w:r>
        <w:rPr>
          <w:rStyle w:val="FootnoteReference"/>
        </w:rPr>
        <w:footnoteRef/>
      </w:r>
      <w:r>
        <w:t xml:space="preserve"> </w:t>
      </w:r>
      <w:r w:rsidRPr="000851E7">
        <w:rPr>
          <w:i/>
        </w:rPr>
        <w:t xml:space="preserve">Wash. </w:t>
      </w:r>
      <w:proofErr w:type="spellStart"/>
      <w:r w:rsidRPr="000851E7">
        <w:rPr>
          <w:i/>
        </w:rPr>
        <w:t>Utils</w:t>
      </w:r>
      <w:proofErr w:type="spellEnd"/>
      <w:r w:rsidRPr="000851E7">
        <w:rPr>
          <w:i/>
        </w:rPr>
        <w:t xml:space="preserve">. &amp; Transp. </w:t>
      </w:r>
      <w:proofErr w:type="spellStart"/>
      <w:r w:rsidRPr="000851E7">
        <w:rPr>
          <w:i/>
        </w:rPr>
        <w:t>Comm’n</w:t>
      </w:r>
      <w:proofErr w:type="spellEnd"/>
      <w:r w:rsidRPr="000851E7">
        <w:rPr>
          <w:i/>
        </w:rPr>
        <w:t xml:space="preserve"> v. Pacific Power &amp; Light Co.</w:t>
      </w:r>
      <w:r>
        <w:t>, Docket UE-130043, Order 05</w:t>
      </w:r>
      <w:r w:rsidRPr="002B42A4">
        <w:t xml:space="preserve"> ¶</w:t>
      </w:r>
      <w:r>
        <w:t xml:space="preserve"> 92(Dec. 4, 2013).</w:t>
      </w:r>
      <w:r w:rsidRPr="00CE7322">
        <w:t xml:space="preserve"> </w:t>
      </w:r>
    </w:p>
  </w:footnote>
  <w:footnote w:id="33">
    <w:p w:rsidR="004A19A1" w:rsidRDefault="004A19A1" w:rsidP="001F0D2D">
      <w:pPr>
        <w:pStyle w:val="FootnoteText"/>
        <w:jc w:val="left"/>
      </w:pPr>
      <w:r>
        <w:rPr>
          <w:rStyle w:val="FootnoteReference"/>
        </w:rPr>
        <w:footnoteRef/>
      </w:r>
      <w:r>
        <w:t xml:space="preserve"> Mullins, </w:t>
      </w:r>
      <w:proofErr w:type="spellStart"/>
      <w:r>
        <w:t>Exh</w:t>
      </w:r>
      <w:proofErr w:type="spellEnd"/>
      <w:r>
        <w:t>. No. BGM-1CT 27:1-30:6.</w:t>
      </w:r>
    </w:p>
  </w:footnote>
  <w:footnote w:id="34">
    <w:p w:rsidR="004A19A1" w:rsidRDefault="004A19A1" w:rsidP="001F0D2D">
      <w:pPr>
        <w:pStyle w:val="FootnoteText"/>
        <w:jc w:val="left"/>
      </w:pPr>
      <w:r>
        <w:rPr>
          <w:rStyle w:val="FootnoteReference"/>
        </w:rPr>
        <w:footnoteRef/>
      </w:r>
      <w:r>
        <w:t xml:space="preserve"> Manual page 3.</w:t>
      </w:r>
    </w:p>
  </w:footnote>
  <w:footnote w:id="35">
    <w:p w:rsidR="004A19A1" w:rsidRDefault="004A19A1" w:rsidP="001F0D2D">
      <w:pPr>
        <w:pStyle w:val="FootnoteText"/>
        <w:jc w:val="left"/>
      </w:pPr>
      <w:r>
        <w:rPr>
          <w:rStyle w:val="FootnoteReference"/>
        </w:rPr>
        <w:footnoteRef/>
      </w:r>
      <w:r>
        <w:t xml:space="preserve"> Mullins, </w:t>
      </w:r>
      <w:proofErr w:type="spellStart"/>
      <w:r>
        <w:t>Exh</w:t>
      </w:r>
      <w:proofErr w:type="spellEnd"/>
      <w:r>
        <w:t>. No. BGM-1CT 36:6-18.</w:t>
      </w:r>
    </w:p>
  </w:footnote>
  <w:footnote w:id="36">
    <w:p w:rsidR="004A19A1" w:rsidRDefault="004A19A1" w:rsidP="001F0D2D">
      <w:pPr>
        <w:pStyle w:val="FootnoteText"/>
        <w:jc w:val="left"/>
      </w:pPr>
      <w:r>
        <w:rPr>
          <w:rStyle w:val="FootnoteReference"/>
        </w:rPr>
        <w:footnoteRef/>
      </w:r>
      <w:r>
        <w:t xml:space="preserve"> Huang, </w:t>
      </w:r>
      <w:proofErr w:type="spellStart"/>
      <w:r>
        <w:t>Exh</w:t>
      </w:r>
      <w:proofErr w:type="spellEnd"/>
      <w:r>
        <w:t>. No. JH-1T 4:12-13.</w:t>
      </w:r>
    </w:p>
  </w:footnote>
  <w:footnote w:id="37">
    <w:p w:rsidR="004A19A1" w:rsidRDefault="004A19A1" w:rsidP="001F0D2D">
      <w:pPr>
        <w:pStyle w:val="FootnoteText"/>
        <w:jc w:val="left"/>
      </w:pPr>
      <w:r>
        <w:rPr>
          <w:rStyle w:val="FootnoteReference"/>
        </w:rPr>
        <w:footnoteRef/>
      </w:r>
      <w:r>
        <w:t xml:space="preserve"> Huang, </w:t>
      </w:r>
      <w:proofErr w:type="spellStart"/>
      <w:r>
        <w:t>Exh</w:t>
      </w:r>
      <w:proofErr w:type="spellEnd"/>
      <w:r>
        <w:t>. No. JH-1T 4:7-9.</w:t>
      </w:r>
    </w:p>
  </w:footnote>
  <w:footnote w:id="38">
    <w:p w:rsidR="004A19A1" w:rsidRDefault="004A19A1" w:rsidP="001F0D2D">
      <w:pPr>
        <w:pStyle w:val="FootnoteText"/>
        <w:jc w:val="left"/>
      </w:pPr>
      <w:r>
        <w:rPr>
          <w:rStyle w:val="FootnoteReference"/>
        </w:rPr>
        <w:footnoteRef/>
      </w:r>
      <w:r>
        <w:t xml:space="preserve"> </w:t>
      </w:r>
      <w:proofErr w:type="spellStart"/>
      <w:r>
        <w:t>Ramas</w:t>
      </w:r>
      <w:proofErr w:type="spellEnd"/>
      <w:r>
        <w:t xml:space="preserve">, </w:t>
      </w:r>
      <w:proofErr w:type="spellStart"/>
      <w:r>
        <w:t>Exh</w:t>
      </w:r>
      <w:proofErr w:type="spellEnd"/>
      <w:r>
        <w:t xml:space="preserve">. No. DMR-1T Revised (3/29/16) 9:9-17; Mullins, </w:t>
      </w:r>
      <w:proofErr w:type="spellStart"/>
      <w:r>
        <w:t>Exh</w:t>
      </w:r>
      <w:proofErr w:type="spellEnd"/>
      <w:r>
        <w:t>. No. BGM-1CT 22:8-20.</w:t>
      </w:r>
    </w:p>
  </w:footnote>
  <w:footnote w:id="39">
    <w:p w:rsidR="004A19A1" w:rsidRDefault="004A19A1" w:rsidP="001F0D2D">
      <w:pPr>
        <w:pStyle w:val="FootnoteText"/>
        <w:jc w:val="left"/>
      </w:pPr>
      <w:r>
        <w:rPr>
          <w:rStyle w:val="FootnoteReference"/>
        </w:rPr>
        <w:footnoteRef/>
      </w:r>
      <w:r>
        <w:t xml:space="preserve"> Mullins, </w:t>
      </w:r>
      <w:proofErr w:type="spellStart"/>
      <w:r>
        <w:t>Exh</w:t>
      </w:r>
      <w:proofErr w:type="spellEnd"/>
      <w:r>
        <w:t>. No. BGM-1CT 21:5-7.</w:t>
      </w:r>
    </w:p>
  </w:footnote>
  <w:footnote w:id="40">
    <w:p w:rsidR="004A19A1" w:rsidRDefault="004A19A1" w:rsidP="001F0D2D">
      <w:pPr>
        <w:pStyle w:val="FootnoteText"/>
        <w:jc w:val="left"/>
      </w:pPr>
      <w:r>
        <w:rPr>
          <w:rStyle w:val="FootnoteReference"/>
        </w:rPr>
        <w:footnoteRef/>
      </w:r>
      <w:r>
        <w:t xml:space="preserve"> Mullins, </w:t>
      </w:r>
      <w:proofErr w:type="spellStart"/>
      <w:r>
        <w:t>Exh</w:t>
      </w:r>
      <w:proofErr w:type="spellEnd"/>
      <w:r>
        <w:t>. No. BGM-1CT 39:4-8.</w:t>
      </w:r>
    </w:p>
  </w:footnote>
  <w:footnote w:id="41">
    <w:p w:rsidR="004A19A1" w:rsidRDefault="004A19A1" w:rsidP="001F0D2D">
      <w:pPr>
        <w:pStyle w:val="FootnoteText"/>
        <w:jc w:val="left"/>
      </w:pPr>
      <w:r>
        <w:rPr>
          <w:rStyle w:val="FootnoteReference"/>
        </w:rPr>
        <w:footnoteRef/>
      </w:r>
      <w:r>
        <w:t xml:space="preserve"> Mullins, </w:t>
      </w:r>
      <w:proofErr w:type="spellStart"/>
      <w:r>
        <w:t>Exh</w:t>
      </w:r>
      <w:proofErr w:type="spellEnd"/>
      <w:r>
        <w:t>. No. BGM-1CT 41:3-14.</w:t>
      </w:r>
    </w:p>
  </w:footnote>
  <w:footnote w:id="42">
    <w:p w:rsidR="004A19A1" w:rsidRDefault="004A19A1" w:rsidP="001F0D2D">
      <w:pPr>
        <w:pStyle w:val="FootnoteText"/>
        <w:jc w:val="left"/>
      </w:pPr>
      <w:r>
        <w:rPr>
          <w:rStyle w:val="FootnoteReference"/>
        </w:rPr>
        <w:footnoteRef/>
      </w:r>
      <w:r>
        <w:t xml:space="preserve"> Mullins, </w:t>
      </w:r>
      <w:proofErr w:type="spellStart"/>
      <w:r>
        <w:t>Exh</w:t>
      </w:r>
      <w:proofErr w:type="spellEnd"/>
      <w:r>
        <w:t>. No. BGM-1CT 41:16-22.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D77" w:rsidRDefault="00EA2D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D77" w:rsidRDefault="00EA2D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D77" w:rsidRDefault="00EA2D7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9A1" w:rsidRDefault="004A19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50BE"/>
    <w:multiLevelType w:val="hybridMultilevel"/>
    <w:tmpl w:val="958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732E24"/>
    <w:multiLevelType w:val="hybridMultilevel"/>
    <w:tmpl w:val="430A64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2575413D"/>
    <w:multiLevelType w:val="hybridMultilevel"/>
    <w:tmpl w:val="AEAA3E7E"/>
    <w:lvl w:ilvl="0" w:tplc="E9CCC0E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D5406B"/>
    <w:multiLevelType w:val="multilevel"/>
    <w:tmpl w:val="9AC4D5DC"/>
    <w:lvl w:ilvl="0">
      <w:start w:val="1"/>
      <w:numFmt w:val="bullet"/>
      <w:lvlText w:val=""/>
      <w:lvlJc w:val="left"/>
      <w:pPr>
        <w:tabs>
          <w:tab w:val="num" w:pos="1440"/>
        </w:tabs>
        <w:ind w:left="1440" w:hanging="360"/>
      </w:pPr>
      <w:rPr>
        <w:rFonts w:ascii="Symbol" w:hAnsi="Symbol" w:hint="default"/>
        <w:sz w:val="24"/>
      </w:rPr>
    </w:lvl>
    <w:lvl w:ilvl="1">
      <w:start w:val="1"/>
      <w:numFmt w:val="bullet"/>
      <w:lvlText w:val="o"/>
      <w:lvlJc w:val="left"/>
      <w:pPr>
        <w:tabs>
          <w:tab w:val="num" w:pos="2160"/>
        </w:tabs>
        <w:ind w:left="2160" w:hanging="360"/>
      </w:pPr>
      <w:rPr>
        <w:rFonts w:ascii="Courier New" w:hAnsi="Courier New" w:hint="default"/>
        <w:color w:val="auto"/>
        <w:sz w:val="24"/>
      </w:rPr>
    </w:lvl>
    <w:lvl w:ilvl="2">
      <w:start w:val="1"/>
      <w:numFmt w:val="bullet"/>
      <w:lvlText w:val=""/>
      <w:lvlJc w:val="left"/>
      <w:pPr>
        <w:tabs>
          <w:tab w:val="num" w:pos="-540"/>
        </w:tabs>
        <w:ind w:left="-540" w:hanging="360"/>
      </w:pPr>
      <w:rPr>
        <w:rFonts w:ascii="Wingdings" w:hAnsi="Wingdings" w:hint="default"/>
      </w:rPr>
    </w:lvl>
    <w:lvl w:ilvl="3">
      <w:start w:val="1"/>
      <w:numFmt w:val="bullet"/>
      <w:lvlText w:val=""/>
      <w:lvlJc w:val="left"/>
      <w:pPr>
        <w:tabs>
          <w:tab w:val="num" w:pos="180"/>
        </w:tabs>
        <w:ind w:left="180" w:hanging="360"/>
      </w:pPr>
      <w:rPr>
        <w:rFonts w:ascii="Symbol" w:hAnsi="Symbol" w:hint="default"/>
      </w:rPr>
    </w:lvl>
    <w:lvl w:ilvl="4">
      <w:start w:val="1"/>
      <w:numFmt w:val="bullet"/>
      <w:lvlText w:val="o"/>
      <w:lvlJc w:val="left"/>
      <w:pPr>
        <w:tabs>
          <w:tab w:val="num" w:pos="900"/>
        </w:tabs>
        <w:ind w:left="900" w:hanging="360"/>
      </w:pPr>
      <w:rPr>
        <w:rFonts w:ascii="Courier New" w:hAnsi="Courier New" w:hint="default"/>
      </w:rPr>
    </w:lvl>
    <w:lvl w:ilvl="5">
      <w:start w:val="1"/>
      <w:numFmt w:val="bullet"/>
      <w:lvlText w:val=""/>
      <w:lvlJc w:val="left"/>
      <w:pPr>
        <w:tabs>
          <w:tab w:val="num" w:pos="1620"/>
        </w:tabs>
        <w:ind w:left="1620" w:hanging="360"/>
      </w:pPr>
      <w:rPr>
        <w:rFonts w:ascii="Wingdings" w:hAnsi="Wingdings" w:hint="default"/>
      </w:rPr>
    </w:lvl>
    <w:lvl w:ilvl="6">
      <w:start w:val="1"/>
      <w:numFmt w:val="bullet"/>
      <w:lvlText w:val=""/>
      <w:lvlJc w:val="left"/>
      <w:pPr>
        <w:tabs>
          <w:tab w:val="num" w:pos="2340"/>
        </w:tabs>
        <w:ind w:left="2340" w:hanging="360"/>
      </w:pPr>
      <w:rPr>
        <w:rFonts w:ascii="Symbol" w:hAnsi="Symbol" w:hint="default"/>
      </w:rPr>
    </w:lvl>
    <w:lvl w:ilvl="7">
      <w:start w:val="1"/>
      <w:numFmt w:val="bullet"/>
      <w:lvlText w:val="o"/>
      <w:lvlJc w:val="left"/>
      <w:pPr>
        <w:tabs>
          <w:tab w:val="num" w:pos="3060"/>
        </w:tabs>
        <w:ind w:left="3060" w:hanging="360"/>
      </w:pPr>
      <w:rPr>
        <w:rFonts w:ascii="Courier New" w:hAnsi="Courier New" w:cs="Courier New" w:hint="default"/>
      </w:rPr>
    </w:lvl>
    <w:lvl w:ilvl="8">
      <w:start w:val="1"/>
      <w:numFmt w:val="bullet"/>
      <w:lvlText w:val=""/>
      <w:lvlJc w:val="left"/>
      <w:pPr>
        <w:tabs>
          <w:tab w:val="num" w:pos="3780"/>
        </w:tabs>
        <w:ind w:left="3780" w:hanging="360"/>
      </w:pPr>
      <w:rPr>
        <w:rFonts w:ascii="Wingdings" w:hAnsi="Wingdings" w:hint="default"/>
      </w:rPr>
    </w:lvl>
  </w:abstractNum>
  <w:abstractNum w:abstractNumId="4">
    <w:nsid w:val="3F475ABD"/>
    <w:multiLevelType w:val="multilevel"/>
    <w:tmpl w:val="CA94107A"/>
    <w:lvl w:ilvl="0">
      <w:start w:val="1"/>
      <w:numFmt w:val="bullet"/>
      <w:lvlText w:val=""/>
      <w:lvlJc w:val="left"/>
      <w:pPr>
        <w:tabs>
          <w:tab w:val="num" w:pos="3960"/>
        </w:tabs>
        <w:ind w:left="3960" w:hanging="360"/>
      </w:pPr>
      <w:rPr>
        <w:rFonts w:ascii="Symbol" w:hAnsi="Symbol"/>
        <w:sz w:val="24"/>
      </w:rPr>
    </w:lvl>
    <w:lvl w:ilvl="1">
      <w:start w:val="1"/>
      <w:numFmt w:val="bullet"/>
      <w:lvlText w:val="o"/>
      <w:lvlJc w:val="left"/>
      <w:pPr>
        <w:tabs>
          <w:tab w:val="num" w:pos="1260"/>
        </w:tabs>
        <w:ind w:left="1260" w:hanging="360"/>
      </w:pPr>
      <w:rPr>
        <w:rFonts w:ascii="Courier New" w:hAnsi="Courier New" w:cs="Courier New" w:hint="default"/>
      </w:rPr>
    </w:lvl>
    <w:lvl w:ilvl="2">
      <w:start w:val="1"/>
      <w:numFmt w:val="bullet"/>
      <w:lvlText w:val=""/>
      <w:lvlJc w:val="left"/>
      <w:pPr>
        <w:tabs>
          <w:tab w:val="num" w:pos="1980"/>
        </w:tabs>
        <w:ind w:left="1980" w:hanging="360"/>
      </w:pPr>
      <w:rPr>
        <w:rFonts w:ascii="Wingdings" w:hAnsi="Wingdings" w:hint="default"/>
      </w:rPr>
    </w:lvl>
    <w:lvl w:ilvl="3">
      <w:start w:val="1"/>
      <w:numFmt w:val="bullet"/>
      <w:lvlText w:val=""/>
      <w:lvlJc w:val="left"/>
      <w:pPr>
        <w:tabs>
          <w:tab w:val="num" w:pos="2700"/>
        </w:tabs>
        <w:ind w:left="2700" w:hanging="360"/>
      </w:pPr>
      <w:rPr>
        <w:rFonts w:ascii="Symbol" w:hAnsi="Symbol" w:hint="default"/>
      </w:rPr>
    </w:lvl>
    <w:lvl w:ilvl="4">
      <w:start w:val="1"/>
      <w:numFmt w:val="bullet"/>
      <w:lvlText w:val="o"/>
      <w:lvlJc w:val="left"/>
      <w:pPr>
        <w:tabs>
          <w:tab w:val="num" w:pos="3420"/>
        </w:tabs>
        <w:ind w:left="3420" w:hanging="360"/>
      </w:pPr>
      <w:rPr>
        <w:rFonts w:ascii="Courier New" w:hAnsi="Courier New" w:cs="Courier New" w:hint="default"/>
      </w:rPr>
    </w:lvl>
    <w:lvl w:ilvl="5">
      <w:start w:val="1"/>
      <w:numFmt w:val="bullet"/>
      <w:lvlText w:val=""/>
      <w:lvlJc w:val="left"/>
      <w:pPr>
        <w:tabs>
          <w:tab w:val="num" w:pos="4140"/>
        </w:tabs>
        <w:ind w:left="4140" w:hanging="360"/>
      </w:pPr>
      <w:rPr>
        <w:rFonts w:ascii="Wingdings" w:hAnsi="Wingdings" w:hint="default"/>
      </w:rPr>
    </w:lvl>
    <w:lvl w:ilvl="6">
      <w:start w:val="1"/>
      <w:numFmt w:val="bullet"/>
      <w:lvlText w:val=""/>
      <w:lvlJc w:val="left"/>
      <w:pPr>
        <w:tabs>
          <w:tab w:val="num" w:pos="4860"/>
        </w:tabs>
        <w:ind w:left="4860" w:hanging="360"/>
      </w:pPr>
      <w:rPr>
        <w:rFonts w:ascii="Symbol" w:hAnsi="Symbol" w:hint="default"/>
      </w:rPr>
    </w:lvl>
    <w:lvl w:ilvl="7">
      <w:start w:val="1"/>
      <w:numFmt w:val="bullet"/>
      <w:lvlText w:val="o"/>
      <w:lvlJc w:val="left"/>
      <w:pPr>
        <w:tabs>
          <w:tab w:val="num" w:pos="5580"/>
        </w:tabs>
        <w:ind w:left="5580" w:hanging="360"/>
      </w:pPr>
      <w:rPr>
        <w:rFonts w:ascii="Courier New" w:hAnsi="Courier New" w:cs="Courier New" w:hint="default"/>
      </w:rPr>
    </w:lvl>
    <w:lvl w:ilvl="8">
      <w:start w:val="1"/>
      <w:numFmt w:val="bullet"/>
      <w:lvlText w:val=""/>
      <w:lvlJc w:val="left"/>
      <w:pPr>
        <w:tabs>
          <w:tab w:val="num" w:pos="6300"/>
        </w:tabs>
        <w:ind w:left="6300" w:hanging="360"/>
      </w:pPr>
      <w:rPr>
        <w:rFonts w:ascii="Wingdings" w:hAnsi="Wingdings" w:hint="default"/>
      </w:rPr>
    </w:lvl>
  </w:abstractNum>
  <w:abstractNum w:abstractNumId="5">
    <w:nsid w:val="451B65C8"/>
    <w:multiLevelType w:val="hybridMultilevel"/>
    <w:tmpl w:val="3C26CE1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485D5536"/>
    <w:multiLevelType w:val="hybridMultilevel"/>
    <w:tmpl w:val="5EB270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82D0747"/>
    <w:multiLevelType w:val="hybridMultilevel"/>
    <w:tmpl w:val="A3A810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4D7A5E"/>
    <w:multiLevelType w:val="singleLevel"/>
    <w:tmpl w:val="8234A596"/>
    <w:lvl w:ilvl="0">
      <w:start w:val="17"/>
      <w:numFmt w:val="upperLetter"/>
      <w:lvlText w:val="%1."/>
      <w:lvlJc w:val="left"/>
      <w:pPr>
        <w:tabs>
          <w:tab w:val="num" w:pos="720"/>
        </w:tabs>
        <w:ind w:left="720" w:hanging="720"/>
      </w:pPr>
      <w:rPr>
        <w:rFonts w:hint="default"/>
      </w:rPr>
    </w:lvl>
  </w:abstractNum>
  <w:abstractNum w:abstractNumId="9">
    <w:nsid w:val="653863DC"/>
    <w:multiLevelType w:val="hybridMultilevel"/>
    <w:tmpl w:val="F68E26D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5E0977"/>
    <w:multiLevelType w:val="hybridMultilevel"/>
    <w:tmpl w:val="A0F684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6A841D27"/>
    <w:multiLevelType w:val="hybridMultilevel"/>
    <w:tmpl w:val="2AB269D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6CDF7404"/>
    <w:multiLevelType w:val="hybridMultilevel"/>
    <w:tmpl w:val="FE92ABF0"/>
    <w:lvl w:ilvl="0" w:tplc="5C78F0D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6CE6009A"/>
    <w:multiLevelType w:val="hybridMultilevel"/>
    <w:tmpl w:val="89E22E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E450AE2"/>
    <w:multiLevelType w:val="hybridMultilevel"/>
    <w:tmpl w:val="5C2A1AA8"/>
    <w:lvl w:ilvl="0" w:tplc="04090001">
      <w:start w:val="1"/>
      <w:numFmt w:val="bullet"/>
      <w:lvlText w:val=""/>
      <w:lvlJc w:val="left"/>
      <w:pPr>
        <w:tabs>
          <w:tab w:val="num" w:pos="1260"/>
        </w:tabs>
        <w:ind w:left="12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FAA1BD7"/>
    <w:multiLevelType w:val="hybridMultilevel"/>
    <w:tmpl w:val="84589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A82EDE"/>
    <w:multiLevelType w:val="singleLevel"/>
    <w:tmpl w:val="938617F0"/>
    <w:lvl w:ilvl="0">
      <w:start w:val="1"/>
      <w:numFmt w:val="upperLetter"/>
      <w:lvlText w:val="%1."/>
      <w:lvlJc w:val="left"/>
      <w:pPr>
        <w:tabs>
          <w:tab w:val="num" w:pos="720"/>
        </w:tabs>
        <w:ind w:left="720" w:hanging="720"/>
      </w:pPr>
      <w:rPr>
        <w:rFonts w:hint="default"/>
      </w:rPr>
    </w:lvl>
  </w:abstractNum>
  <w:num w:numId="1">
    <w:abstractNumId w:val="4"/>
  </w:num>
  <w:num w:numId="2">
    <w:abstractNumId w:val="3"/>
  </w:num>
  <w:num w:numId="3">
    <w:abstractNumId w:val="12"/>
  </w:num>
  <w:num w:numId="4">
    <w:abstractNumId w:val="5"/>
  </w:num>
  <w:num w:numId="5">
    <w:abstractNumId w:val="8"/>
  </w:num>
  <w:num w:numId="6">
    <w:abstractNumId w:val="16"/>
  </w:num>
  <w:num w:numId="7">
    <w:abstractNumId w:val="14"/>
  </w:num>
  <w:num w:numId="8">
    <w:abstractNumId w:val="1"/>
  </w:num>
  <w:num w:numId="9">
    <w:abstractNumId w:val="7"/>
  </w:num>
  <w:num w:numId="10">
    <w:abstractNumId w:val="9"/>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0"/>
  </w:num>
  <w:num w:numId="14">
    <w:abstractNumId w:val="13"/>
  </w:num>
  <w:num w:numId="15">
    <w:abstractNumId w:val="15"/>
  </w:num>
  <w:num w:numId="16">
    <w:abstractNumId w:val="2"/>
  </w:num>
  <w:num w:numId="17">
    <w:abstractNumId w:val="6"/>
  </w:num>
  <w:num w:numId="18">
    <w:abstractNumId w:val="10"/>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am Lowney">
    <w15:presenceInfo w15:providerId="None" w15:userId="Adam Lowney"/>
  </w15:person>
  <w15:person w15:author="Lisa Rackner">
    <w15:presenceInfo w15:providerId="None" w15:userId="Lisa Rackn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embedSystemFonts/>
  <w:activeWritingStyle w:appName="MSWord" w:lang="en-US"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BED"/>
    <w:rsid w:val="00000138"/>
    <w:rsid w:val="00000B97"/>
    <w:rsid w:val="00000CA7"/>
    <w:rsid w:val="00000F08"/>
    <w:rsid w:val="00000FEC"/>
    <w:rsid w:val="00001309"/>
    <w:rsid w:val="00001380"/>
    <w:rsid w:val="00002246"/>
    <w:rsid w:val="0000367F"/>
    <w:rsid w:val="000045C5"/>
    <w:rsid w:val="00004D06"/>
    <w:rsid w:val="00004F1A"/>
    <w:rsid w:val="000051B8"/>
    <w:rsid w:val="00005C40"/>
    <w:rsid w:val="00005E3D"/>
    <w:rsid w:val="000061DA"/>
    <w:rsid w:val="00006901"/>
    <w:rsid w:val="00006B7A"/>
    <w:rsid w:val="00006C52"/>
    <w:rsid w:val="00006CE5"/>
    <w:rsid w:val="00010042"/>
    <w:rsid w:val="00011270"/>
    <w:rsid w:val="00012C06"/>
    <w:rsid w:val="00012DA5"/>
    <w:rsid w:val="000133C4"/>
    <w:rsid w:val="000137A9"/>
    <w:rsid w:val="00013AF3"/>
    <w:rsid w:val="00013DDF"/>
    <w:rsid w:val="00013FF4"/>
    <w:rsid w:val="00014C14"/>
    <w:rsid w:val="000160CD"/>
    <w:rsid w:val="0001711F"/>
    <w:rsid w:val="0001734D"/>
    <w:rsid w:val="000178DE"/>
    <w:rsid w:val="00017D99"/>
    <w:rsid w:val="00017EFF"/>
    <w:rsid w:val="00020B67"/>
    <w:rsid w:val="000210A7"/>
    <w:rsid w:val="00021457"/>
    <w:rsid w:val="000216A7"/>
    <w:rsid w:val="000232B7"/>
    <w:rsid w:val="00023AE4"/>
    <w:rsid w:val="00023CCA"/>
    <w:rsid w:val="00024672"/>
    <w:rsid w:val="0002692B"/>
    <w:rsid w:val="00026EE2"/>
    <w:rsid w:val="0002717D"/>
    <w:rsid w:val="000272A1"/>
    <w:rsid w:val="000275B7"/>
    <w:rsid w:val="00027EA3"/>
    <w:rsid w:val="00027F29"/>
    <w:rsid w:val="0003006A"/>
    <w:rsid w:val="000301E3"/>
    <w:rsid w:val="00030279"/>
    <w:rsid w:val="0003142F"/>
    <w:rsid w:val="00031EAE"/>
    <w:rsid w:val="00031FAE"/>
    <w:rsid w:val="000336EB"/>
    <w:rsid w:val="000339D1"/>
    <w:rsid w:val="00033F77"/>
    <w:rsid w:val="0003410E"/>
    <w:rsid w:val="00034979"/>
    <w:rsid w:val="0003603B"/>
    <w:rsid w:val="000365B3"/>
    <w:rsid w:val="000403A8"/>
    <w:rsid w:val="00041D1A"/>
    <w:rsid w:val="00041F02"/>
    <w:rsid w:val="00042F40"/>
    <w:rsid w:val="00042FEB"/>
    <w:rsid w:val="00044931"/>
    <w:rsid w:val="00045A75"/>
    <w:rsid w:val="00047979"/>
    <w:rsid w:val="00047B91"/>
    <w:rsid w:val="0005017E"/>
    <w:rsid w:val="00051A38"/>
    <w:rsid w:val="00051D0C"/>
    <w:rsid w:val="000522D0"/>
    <w:rsid w:val="00052601"/>
    <w:rsid w:val="00052D73"/>
    <w:rsid w:val="00053B12"/>
    <w:rsid w:val="00053E88"/>
    <w:rsid w:val="00054DCA"/>
    <w:rsid w:val="00056554"/>
    <w:rsid w:val="00056EC9"/>
    <w:rsid w:val="000570C1"/>
    <w:rsid w:val="000576E2"/>
    <w:rsid w:val="000579A1"/>
    <w:rsid w:val="000604C1"/>
    <w:rsid w:val="000606D0"/>
    <w:rsid w:val="000612FD"/>
    <w:rsid w:val="0006267A"/>
    <w:rsid w:val="00063D8B"/>
    <w:rsid w:val="0006417F"/>
    <w:rsid w:val="000641A2"/>
    <w:rsid w:val="00064289"/>
    <w:rsid w:val="000642A0"/>
    <w:rsid w:val="000647DF"/>
    <w:rsid w:val="000663D3"/>
    <w:rsid w:val="00066E9D"/>
    <w:rsid w:val="00066F70"/>
    <w:rsid w:val="00067C4E"/>
    <w:rsid w:val="0007097D"/>
    <w:rsid w:val="00070C89"/>
    <w:rsid w:val="000730C1"/>
    <w:rsid w:val="00073FF0"/>
    <w:rsid w:val="0007404D"/>
    <w:rsid w:val="00075261"/>
    <w:rsid w:val="00076168"/>
    <w:rsid w:val="0007675C"/>
    <w:rsid w:val="000778C7"/>
    <w:rsid w:val="00077EA3"/>
    <w:rsid w:val="000808BA"/>
    <w:rsid w:val="00080F84"/>
    <w:rsid w:val="00081256"/>
    <w:rsid w:val="000817CE"/>
    <w:rsid w:val="00081991"/>
    <w:rsid w:val="00081B12"/>
    <w:rsid w:val="000831F1"/>
    <w:rsid w:val="00084604"/>
    <w:rsid w:val="00084F13"/>
    <w:rsid w:val="0008500D"/>
    <w:rsid w:val="000851E7"/>
    <w:rsid w:val="000858D3"/>
    <w:rsid w:val="0008721E"/>
    <w:rsid w:val="00087466"/>
    <w:rsid w:val="00090FA0"/>
    <w:rsid w:val="00091A08"/>
    <w:rsid w:val="00091B1B"/>
    <w:rsid w:val="00091DA9"/>
    <w:rsid w:val="00091EF7"/>
    <w:rsid w:val="00093142"/>
    <w:rsid w:val="00093B5B"/>
    <w:rsid w:val="00093C59"/>
    <w:rsid w:val="000946FC"/>
    <w:rsid w:val="00095242"/>
    <w:rsid w:val="00095F6B"/>
    <w:rsid w:val="0009636F"/>
    <w:rsid w:val="000978BB"/>
    <w:rsid w:val="000A059F"/>
    <w:rsid w:val="000A09F1"/>
    <w:rsid w:val="000A126D"/>
    <w:rsid w:val="000A49D1"/>
    <w:rsid w:val="000A4BD9"/>
    <w:rsid w:val="000A4E21"/>
    <w:rsid w:val="000A4E2C"/>
    <w:rsid w:val="000A4E41"/>
    <w:rsid w:val="000A5264"/>
    <w:rsid w:val="000A7191"/>
    <w:rsid w:val="000A759E"/>
    <w:rsid w:val="000B01FA"/>
    <w:rsid w:val="000B0596"/>
    <w:rsid w:val="000B0A23"/>
    <w:rsid w:val="000B0FE8"/>
    <w:rsid w:val="000B1623"/>
    <w:rsid w:val="000B1663"/>
    <w:rsid w:val="000B184C"/>
    <w:rsid w:val="000B2679"/>
    <w:rsid w:val="000B43CC"/>
    <w:rsid w:val="000B5540"/>
    <w:rsid w:val="000B676A"/>
    <w:rsid w:val="000B6B5D"/>
    <w:rsid w:val="000B7905"/>
    <w:rsid w:val="000C02CC"/>
    <w:rsid w:val="000C08C0"/>
    <w:rsid w:val="000C08CA"/>
    <w:rsid w:val="000C096A"/>
    <w:rsid w:val="000C12A8"/>
    <w:rsid w:val="000C1420"/>
    <w:rsid w:val="000C1C80"/>
    <w:rsid w:val="000C3CE2"/>
    <w:rsid w:val="000C3E53"/>
    <w:rsid w:val="000C470D"/>
    <w:rsid w:val="000C4959"/>
    <w:rsid w:val="000C53BF"/>
    <w:rsid w:val="000C6AAC"/>
    <w:rsid w:val="000C6D2E"/>
    <w:rsid w:val="000D058F"/>
    <w:rsid w:val="000D0976"/>
    <w:rsid w:val="000D09A2"/>
    <w:rsid w:val="000D1C7D"/>
    <w:rsid w:val="000D3C05"/>
    <w:rsid w:val="000D3EEF"/>
    <w:rsid w:val="000D49B6"/>
    <w:rsid w:val="000D4DD0"/>
    <w:rsid w:val="000D50C0"/>
    <w:rsid w:val="000D5E2A"/>
    <w:rsid w:val="000D6957"/>
    <w:rsid w:val="000D7282"/>
    <w:rsid w:val="000D78F5"/>
    <w:rsid w:val="000E0250"/>
    <w:rsid w:val="000E112D"/>
    <w:rsid w:val="000E189A"/>
    <w:rsid w:val="000E1CA9"/>
    <w:rsid w:val="000E26D4"/>
    <w:rsid w:val="000E2A6F"/>
    <w:rsid w:val="000E3767"/>
    <w:rsid w:val="000E413A"/>
    <w:rsid w:val="000E442A"/>
    <w:rsid w:val="000F0627"/>
    <w:rsid w:val="000F09F5"/>
    <w:rsid w:val="000F1156"/>
    <w:rsid w:val="000F20CC"/>
    <w:rsid w:val="000F3CD3"/>
    <w:rsid w:val="000F44A0"/>
    <w:rsid w:val="000F55A4"/>
    <w:rsid w:val="000F59EA"/>
    <w:rsid w:val="001004B6"/>
    <w:rsid w:val="001011A4"/>
    <w:rsid w:val="00101E5D"/>
    <w:rsid w:val="001023AD"/>
    <w:rsid w:val="00103512"/>
    <w:rsid w:val="00103916"/>
    <w:rsid w:val="001044C6"/>
    <w:rsid w:val="00105EBF"/>
    <w:rsid w:val="0010676F"/>
    <w:rsid w:val="001078BF"/>
    <w:rsid w:val="00107C02"/>
    <w:rsid w:val="00107D04"/>
    <w:rsid w:val="00111679"/>
    <w:rsid w:val="0011438B"/>
    <w:rsid w:val="0011579F"/>
    <w:rsid w:val="00115842"/>
    <w:rsid w:val="00115873"/>
    <w:rsid w:val="00116594"/>
    <w:rsid w:val="00116A61"/>
    <w:rsid w:val="00117A24"/>
    <w:rsid w:val="001212ED"/>
    <w:rsid w:val="001229D5"/>
    <w:rsid w:val="0012464D"/>
    <w:rsid w:val="00124669"/>
    <w:rsid w:val="00126E87"/>
    <w:rsid w:val="001301B0"/>
    <w:rsid w:val="0013033E"/>
    <w:rsid w:val="00130868"/>
    <w:rsid w:val="00130B17"/>
    <w:rsid w:val="001316F2"/>
    <w:rsid w:val="00131919"/>
    <w:rsid w:val="00131D77"/>
    <w:rsid w:val="001338F4"/>
    <w:rsid w:val="00133C14"/>
    <w:rsid w:val="001350A8"/>
    <w:rsid w:val="00135851"/>
    <w:rsid w:val="00135BA2"/>
    <w:rsid w:val="00135F8C"/>
    <w:rsid w:val="00136D2F"/>
    <w:rsid w:val="00136FF4"/>
    <w:rsid w:val="0014045A"/>
    <w:rsid w:val="00141071"/>
    <w:rsid w:val="00141D12"/>
    <w:rsid w:val="00141D3D"/>
    <w:rsid w:val="0014281F"/>
    <w:rsid w:val="001428B4"/>
    <w:rsid w:val="00142AF1"/>
    <w:rsid w:val="0014369E"/>
    <w:rsid w:val="00143B75"/>
    <w:rsid w:val="00144108"/>
    <w:rsid w:val="00144D82"/>
    <w:rsid w:val="00144DC3"/>
    <w:rsid w:val="001459F8"/>
    <w:rsid w:val="00146640"/>
    <w:rsid w:val="001466BA"/>
    <w:rsid w:val="00146C12"/>
    <w:rsid w:val="0014727C"/>
    <w:rsid w:val="001473A6"/>
    <w:rsid w:val="001473D7"/>
    <w:rsid w:val="0015007D"/>
    <w:rsid w:val="001506EB"/>
    <w:rsid w:val="00150CF3"/>
    <w:rsid w:val="00150D52"/>
    <w:rsid w:val="00153BB5"/>
    <w:rsid w:val="00154BA6"/>
    <w:rsid w:val="0015516F"/>
    <w:rsid w:val="0015597C"/>
    <w:rsid w:val="001571C3"/>
    <w:rsid w:val="0016090F"/>
    <w:rsid w:val="00160A98"/>
    <w:rsid w:val="0016195B"/>
    <w:rsid w:val="00161BB2"/>
    <w:rsid w:val="00161BD4"/>
    <w:rsid w:val="00161CE6"/>
    <w:rsid w:val="00162C3E"/>
    <w:rsid w:val="0016334B"/>
    <w:rsid w:val="00164054"/>
    <w:rsid w:val="001644F0"/>
    <w:rsid w:val="0016495F"/>
    <w:rsid w:val="001652DD"/>
    <w:rsid w:val="001653DD"/>
    <w:rsid w:val="00165A56"/>
    <w:rsid w:val="00166DEA"/>
    <w:rsid w:val="0016712B"/>
    <w:rsid w:val="001701E5"/>
    <w:rsid w:val="001715A9"/>
    <w:rsid w:val="001734C3"/>
    <w:rsid w:val="00173502"/>
    <w:rsid w:val="001759AC"/>
    <w:rsid w:val="001815E6"/>
    <w:rsid w:val="0018388E"/>
    <w:rsid w:val="00183A00"/>
    <w:rsid w:val="00183EE2"/>
    <w:rsid w:val="001854A6"/>
    <w:rsid w:val="001862DD"/>
    <w:rsid w:val="00187717"/>
    <w:rsid w:val="00190C40"/>
    <w:rsid w:val="001913B3"/>
    <w:rsid w:val="00191717"/>
    <w:rsid w:val="001933E3"/>
    <w:rsid w:val="0019379D"/>
    <w:rsid w:val="00194042"/>
    <w:rsid w:val="00194CC5"/>
    <w:rsid w:val="00194DD9"/>
    <w:rsid w:val="00196E2F"/>
    <w:rsid w:val="0019740F"/>
    <w:rsid w:val="00197B16"/>
    <w:rsid w:val="001A0351"/>
    <w:rsid w:val="001A0B44"/>
    <w:rsid w:val="001A3907"/>
    <w:rsid w:val="001A411F"/>
    <w:rsid w:val="001A4911"/>
    <w:rsid w:val="001A4DC7"/>
    <w:rsid w:val="001A506B"/>
    <w:rsid w:val="001A521A"/>
    <w:rsid w:val="001A54C4"/>
    <w:rsid w:val="001A5D0F"/>
    <w:rsid w:val="001A741A"/>
    <w:rsid w:val="001A75F8"/>
    <w:rsid w:val="001A7AB9"/>
    <w:rsid w:val="001A7E97"/>
    <w:rsid w:val="001B0809"/>
    <w:rsid w:val="001B1987"/>
    <w:rsid w:val="001B1B1B"/>
    <w:rsid w:val="001B2105"/>
    <w:rsid w:val="001B2703"/>
    <w:rsid w:val="001B27C5"/>
    <w:rsid w:val="001B286B"/>
    <w:rsid w:val="001B374C"/>
    <w:rsid w:val="001B540B"/>
    <w:rsid w:val="001B5D0D"/>
    <w:rsid w:val="001B5E2B"/>
    <w:rsid w:val="001B5FFD"/>
    <w:rsid w:val="001B6A4F"/>
    <w:rsid w:val="001B6E2A"/>
    <w:rsid w:val="001B707E"/>
    <w:rsid w:val="001C014F"/>
    <w:rsid w:val="001C0E0F"/>
    <w:rsid w:val="001C101C"/>
    <w:rsid w:val="001C1CE5"/>
    <w:rsid w:val="001C4E25"/>
    <w:rsid w:val="001C6304"/>
    <w:rsid w:val="001D0093"/>
    <w:rsid w:val="001D06B6"/>
    <w:rsid w:val="001D3236"/>
    <w:rsid w:val="001D45E2"/>
    <w:rsid w:val="001D53CE"/>
    <w:rsid w:val="001D5443"/>
    <w:rsid w:val="001D5A51"/>
    <w:rsid w:val="001D6307"/>
    <w:rsid w:val="001D6B12"/>
    <w:rsid w:val="001D73D5"/>
    <w:rsid w:val="001E19BC"/>
    <w:rsid w:val="001E222A"/>
    <w:rsid w:val="001E2E3C"/>
    <w:rsid w:val="001E379A"/>
    <w:rsid w:val="001E55BB"/>
    <w:rsid w:val="001E56D7"/>
    <w:rsid w:val="001E5A2D"/>
    <w:rsid w:val="001E641D"/>
    <w:rsid w:val="001F07E7"/>
    <w:rsid w:val="001F0D2D"/>
    <w:rsid w:val="001F0DB7"/>
    <w:rsid w:val="001F1275"/>
    <w:rsid w:val="001F1F45"/>
    <w:rsid w:val="001F5E04"/>
    <w:rsid w:val="001F642A"/>
    <w:rsid w:val="001F6690"/>
    <w:rsid w:val="001F6794"/>
    <w:rsid w:val="001F7272"/>
    <w:rsid w:val="002005A9"/>
    <w:rsid w:val="00200EB7"/>
    <w:rsid w:val="00202E2A"/>
    <w:rsid w:val="00203ABB"/>
    <w:rsid w:val="00204BAE"/>
    <w:rsid w:val="00204C74"/>
    <w:rsid w:val="0020508D"/>
    <w:rsid w:val="00205503"/>
    <w:rsid w:val="00205D00"/>
    <w:rsid w:val="002079BD"/>
    <w:rsid w:val="00211180"/>
    <w:rsid w:val="00211DCC"/>
    <w:rsid w:val="002128A6"/>
    <w:rsid w:val="002137D7"/>
    <w:rsid w:val="00213C8A"/>
    <w:rsid w:val="002157A2"/>
    <w:rsid w:val="00215FD3"/>
    <w:rsid w:val="00217819"/>
    <w:rsid w:val="00217A7B"/>
    <w:rsid w:val="00221CB1"/>
    <w:rsid w:val="002225BA"/>
    <w:rsid w:val="002228F2"/>
    <w:rsid w:val="002232C7"/>
    <w:rsid w:val="00223CB5"/>
    <w:rsid w:val="00224298"/>
    <w:rsid w:val="00224D16"/>
    <w:rsid w:val="002253E0"/>
    <w:rsid w:val="00225A5C"/>
    <w:rsid w:val="00230765"/>
    <w:rsid w:val="00230782"/>
    <w:rsid w:val="0023147E"/>
    <w:rsid w:val="0023233B"/>
    <w:rsid w:val="00232E26"/>
    <w:rsid w:val="002335A8"/>
    <w:rsid w:val="00233C61"/>
    <w:rsid w:val="0023401F"/>
    <w:rsid w:val="002340E5"/>
    <w:rsid w:val="00234700"/>
    <w:rsid w:val="00234E26"/>
    <w:rsid w:val="002352A6"/>
    <w:rsid w:val="00235E1F"/>
    <w:rsid w:val="0023710A"/>
    <w:rsid w:val="00237FBC"/>
    <w:rsid w:val="00242829"/>
    <w:rsid w:val="002428B5"/>
    <w:rsid w:val="00242E2F"/>
    <w:rsid w:val="00243879"/>
    <w:rsid w:val="0024549C"/>
    <w:rsid w:val="00246447"/>
    <w:rsid w:val="00246710"/>
    <w:rsid w:val="002467DD"/>
    <w:rsid w:val="00247009"/>
    <w:rsid w:val="00250991"/>
    <w:rsid w:val="00250D66"/>
    <w:rsid w:val="00250FF8"/>
    <w:rsid w:val="00251181"/>
    <w:rsid w:val="00251A3C"/>
    <w:rsid w:val="00251FAB"/>
    <w:rsid w:val="002522A5"/>
    <w:rsid w:val="00252C42"/>
    <w:rsid w:val="0025575A"/>
    <w:rsid w:val="002557D9"/>
    <w:rsid w:val="002566EE"/>
    <w:rsid w:val="00256C4D"/>
    <w:rsid w:val="00256C54"/>
    <w:rsid w:val="00256D86"/>
    <w:rsid w:val="002571BC"/>
    <w:rsid w:val="002606EB"/>
    <w:rsid w:val="0026092C"/>
    <w:rsid w:val="00260BBA"/>
    <w:rsid w:val="00260D70"/>
    <w:rsid w:val="00261A6D"/>
    <w:rsid w:val="00261DA1"/>
    <w:rsid w:val="00262DA7"/>
    <w:rsid w:val="0026338F"/>
    <w:rsid w:val="0026439C"/>
    <w:rsid w:val="002656AD"/>
    <w:rsid w:val="002656B0"/>
    <w:rsid w:val="00265ABF"/>
    <w:rsid w:val="00265B2F"/>
    <w:rsid w:val="00265E21"/>
    <w:rsid w:val="002660E2"/>
    <w:rsid w:val="002662AC"/>
    <w:rsid w:val="002708FE"/>
    <w:rsid w:val="00271C4A"/>
    <w:rsid w:val="002723E4"/>
    <w:rsid w:val="00272AAF"/>
    <w:rsid w:val="00272CE1"/>
    <w:rsid w:val="00274739"/>
    <w:rsid w:val="00274EAF"/>
    <w:rsid w:val="002755A6"/>
    <w:rsid w:val="00276792"/>
    <w:rsid w:val="00276B59"/>
    <w:rsid w:val="00277B0C"/>
    <w:rsid w:val="002802EB"/>
    <w:rsid w:val="002816E7"/>
    <w:rsid w:val="002817E8"/>
    <w:rsid w:val="00281E3F"/>
    <w:rsid w:val="002825AC"/>
    <w:rsid w:val="002836A0"/>
    <w:rsid w:val="0028408C"/>
    <w:rsid w:val="00284828"/>
    <w:rsid w:val="00285A58"/>
    <w:rsid w:val="0028619F"/>
    <w:rsid w:val="00286589"/>
    <w:rsid w:val="002865EA"/>
    <w:rsid w:val="00291CE6"/>
    <w:rsid w:val="002926C2"/>
    <w:rsid w:val="002933BD"/>
    <w:rsid w:val="00294916"/>
    <w:rsid w:val="00295604"/>
    <w:rsid w:val="00295B5F"/>
    <w:rsid w:val="00295D1D"/>
    <w:rsid w:val="002963F2"/>
    <w:rsid w:val="002A1165"/>
    <w:rsid w:val="002A1E06"/>
    <w:rsid w:val="002A2104"/>
    <w:rsid w:val="002A2129"/>
    <w:rsid w:val="002A2C0B"/>
    <w:rsid w:val="002A2D19"/>
    <w:rsid w:val="002A371C"/>
    <w:rsid w:val="002A3BB1"/>
    <w:rsid w:val="002A4CD8"/>
    <w:rsid w:val="002A5A10"/>
    <w:rsid w:val="002A7795"/>
    <w:rsid w:val="002A7B2B"/>
    <w:rsid w:val="002A7D72"/>
    <w:rsid w:val="002B0219"/>
    <w:rsid w:val="002B0A21"/>
    <w:rsid w:val="002B1E51"/>
    <w:rsid w:val="002B1EB7"/>
    <w:rsid w:val="002B3095"/>
    <w:rsid w:val="002B42A4"/>
    <w:rsid w:val="002B48F8"/>
    <w:rsid w:val="002B50A0"/>
    <w:rsid w:val="002B5650"/>
    <w:rsid w:val="002B66F5"/>
    <w:rsid w:val="002B7431"/>
    <w:rsid w:val="002B7896"/>
    <w:rsid w:val="002B7943"/>
    <w:rsid w:val="002B79FC"/>
    <w:rsid w:val="002B7A77"/>
    <w:rsid w:val="002C1DBA"/>
    <w:rsid w:val="002C28E6"/>
    <w:rsid w:val="002C4EF6"/>
    <w:rsid w:val="002C53EC"/>
    <w:rsid w:val="002C5CA1"/>
    <w:rsid w:val="002C5D91"/>
    <w:rsid w:val="002D08EA"/>
    <w:rsid w:val="002D0BA0"/>
    <w:rsid w:val="002D202F"/>
    <w:rsid w:val="002D2AE0"/>
    <w:rsid w:val="002D2DBB"/>
    <w:rsid w:val="002D3F4F"/>
    <w:rsid w:val="002D410A"/>
    <w:rsid w:val="002D420E"/>
    <w:rsid w:val="002D4FF0"/>
    <w:rsid w:val="002D594D"/>
    <w:rsid w:val="002D5BCF"/>
    <w:rsid w:val="002D6B6B"/>
    <w:rsid w:val="002E0911"/>
    <w:rsid w:val="002E0ED6"/>
    <w:rsid w:val="002E152F"/>
    <w:rsid w:val="002E1F07"/>
    <w:rsid w:val="002E3322"/>
    <w:rsid w:val="002E38DF"/>
    <w:rsid w:val="002E55FC"/>
    <w:rsid w:val="002E5966"/>
    <w:rsid w:val="002E7D3D"/>
    <w:rsid w:val="002E7FB0"/>
    <w:rsid w:val="002F1320"/>
    <w:rsid w:val="002F1FF5"/>
    <w:rsid w:val="002F2F6D"/>
    <w:rsid w:val="002F305D"/>
    <w:rsid w:val="002F337F"/>
    <w:rsid w:val="002F3A67"/>
    <w:rsid w:val="002F4334"/>
    <w:rsid w:val="002F4809"/>
    <w:rsid w:val="002F5350"/>
    <w:rsid w:val="002F57D1"/>
    <w:rsid w:val="002F668B"/>
    <w:rsid w:val="002F6EBB"/>
    <w:rsid w:val="002F6FB8"/>
    <w:rsid w:val="003004F9"/>
    <w:rsid w:val="00300E4D"/>
    <w:rsid w:val="00300F93"/>
    <w:rsid w:val="00305566"/>
    <w:rsid w:val="00305AC5"/>
    <w:rsid w:val="003062C0"/>
    <w:rsid w:val="0030634F"/>
    <w:rsid w:val="003071E8"/>
    <w:rsid w:val="00307302"/>
    <w:rsid w:val="00307B43"/>
    <w:rsid w:val="00307B8B"/>
    <w:rsid w:val="00310AF5"/>
    <w:rsid w:val="00310B8B"/>
    <w:rsid w:val="0031201D"/>
    <w:rsid w:val="0031254E"/>
    <w:rsid w:val="00313FEC"/>
    <w:rsid w:val="00314277"/>
    <w:rsid w:val="00315543"/>
    <w:rsid w:val="003169D9"/>
    <w:rsid w:val="0031729E"/>
    <w:rsid w:val="0032045B"/>
    <w:rsid w:val="00320C8D"/>
    <w:rsid w:val="00321629"/>
    <w:rsid w:val="003219E5"/>
    <w:rsid w:val="0032296F"/>
    <w:rsid w:val="003229AC"/>
    <w:rsid w:val="00322B73"/>
    <w:rsid w:val="003236C9"/>
    <w:rsid w:val="00324001"/>
    <w:rsid w:val="0032453A"/>
    <w:rsid w:val="003258BF"/>
    <w:rsid w:val="00325D6B"/>
    <w:rsid w:val="003260FA"/>
    <w:rsid w:val="003267CD"/>
    <w:rsid w:val="00326923"/>
    <w:rsid w:val="00326A49"/>
    <w:rsid w:val="00326BE2"/>
    <w:rsid w:val="00326C9F"/>
    <w:rsid w:val="00331481"/>
    <w:rsid w:val="00332389"/>
    <w:rsid w:val="00334533"/>
    <w:rsid w:val="00334E51"/>
    <w:rsid w:val="003351CB"/>
    <w:rsid w:val="00336DD0"/>
    <w:rsid w:val="00337AF5"/>
    <w:rsid w:val="00337B29"/>
    <w:rsid w:val="00340AAA"/>
    <w:rsid w:val="00340C47"/>
    <w:rsid w:val="00340CAA"/>
    <w:rsid w:val="003411D9"/>
    <w:rsid w:val="0034136B"/>
    <w:rsid w:val="003414F4"/>
    <w:rsid w:val="0034271D"/>
    <w:rsid w:val="00342C9A"/>
    <w:rsid w:val="00343793"/>
    <w:rsid w:val="0034432B"/>
    <w:rsid w:val="00344AB9"/>
    <w:rsid w:val="003465B9"/>
    <w:rsid w:val="00350162"/>
    <w:rsid w:val="00350803"/>
    <w:rsid w:val="00350D1B"/>
    <w:rsid w:val="0035125B"/>
    <w:rsid w:val="00352074"/>
    <w:rsid w:val="00353823"/>
    <w:rsid w:val="00355593"/>
    <w:rsid w:val="00356064"/>
    <w:rsid w:val="00357820"/>
    <w:rsid w:val="00360161"/>
    <w:rsid w:val="00360C92"/>
    <w:rsid w:val="00362D30"/>
    <w:rsid w:val="00363366"/>
    <w:rsid w:val="00363AC7"/>
    <w:rsid w:val="00365341"/>
    <w:rsid w:val="00365E59"/>
    <w:rsid w:val="0036635F"/>
    <w:rsid w:val="003667F7"/>
    <w:rsid w:val="003710B8"/>
    <w:rsid w:val="003722B6"/>
    <w:rsid w:val="00373B77"/>
    <w:rsid w:val="00373C60"/>
    <w:rsid w:val="0037439A"/>
    <w:rsid w:val="003752A1"/>
    <w:rsid w:val="00375464"/>
    <w:rsid w:val="0037593A"/>
    <w:rsid w:val="00376287"/>
    <w:rsid w:val="003768E5"/>
    <w:rsid w:val="00376FFA"/>
    <w:rsid w:val="0037737D"/>
    <w:rsid w:val="00380F58"/>
    <w:rsid w:val="00381B18"/>
    <w:rsid w:val="0038232F"/>
    <w:rsid w:val="00382381"/>
    <w:rsid w:val="003845F5"/>
    <w:rsid w:val="00384974"/>
    <w:rsid w:val="00384C9E"/>
    <w:rsid w:val="003853FB"/>
    <w:rsid w:val="0038541C"/>
    <w:rsid w:val="0038588B"/>
    <w:rsid w:val="003866AE"/>
    <w:rsid w:val="00386A12"/>
    <w:rsid w:val="00386B2E"/>
    <w:rsid w:val="00386FCD"/>
    <w:rsid w:val="00387CBA"/>
    <w:rsid w:val="003903DF"/>
    <w:rsid w:val="00390A17"/>
    <w:rsid w:val="00391699"/>
    <w:rsid w:val="003916B2"/>
    <w:rsid w:val="00391921"/>
    <w:rsid w:val="00391C3A"/>
    <w:rsid w:val="00391E6A"/>
    <w:rsid w:val="00393E22"/>
    <w:rsid w:val="0039401A"/>
    <w:rsid w:val="00394AC5"/>
    <w:rsid w:val="00394F3B"/>
    <w:rsid w:val="003965CB"/>
    <w:rsid w:val="003971E5"/>
    <w:rsid w:val="003A006C"/>
    <w:rsid w:val="003A0ECB"/>
    <w:rsid w:val="003A1B53"/>
    <w:rsid w:val="003A2574"/>
    <w:rsid w:val="003A285E"/>
    <w:rsid w:val="003A3304"/>
    <w:rsid w:val="003A3A99"/>
    <w:rsid w:val="003A4521"/>
    <w:rsid w:val="003A52B1"/>
    <w:rsid w:val="003A542E"/>
    <w:rsid w:val="003A5ABA"/>
    <w:rsid w:val="003A61A6"/>
    <w:rsid w:val="003A67F6"/>
    <w:rsid w:val="003A6B2A"/>
    <w:rsid w:val="003B0C80"/>
    <w:rsid w:val="003B2465"/>
    <w:rsid w:val="003B253A"/>
    <w:rsid w:val="003B2B11"/>
    <w:rsid w:val="003B2C76"/>
    <w:rsid w:val="003B37C8"/>
    <w:rsid w:val="003B456E"/>
    <w:rsid w:val="003B49E3"/>
    <w:rsid w:val="003B4F04"/>
    <w:rsid w:val="003B5420"/>
    <w:rsid w:val="003B558F"/>
    <w:rsid w:val="003B65EC"/>
    <w:rsid w:val="003B678C"/>
    <w:rsid w:val="003C0B33"/>
    <w:rsid w:val="003C0C5F"/>
    <w:rsid w:val="003C0CDB"/>
    <w:rsid w:val="003C203D"/>
    <w:rsid w:val="003C2F49"/>
    <w:rsid w:val="003C2F98"/>
    <w:rsid w:val="003C2FB3"/>
    <w:rsid w:val="003C3218"/>
    <w:rsid w:val="003C3360"/>
    <w:rsid w:val="003C415D"/>
    <w:rsid w:val="003C4B4B"/>
    <w:rsid w:val="003C530C"/>
    <w:rsid w:val="003C5FEE"/>
    <w:rsid w:val="003D0827"/>
    <w:rsid w:val="003D17E5"/>
    <w:rsid w:val="003D1BB8"/>
    <w:rsid w:val="003D284F"/>
    <w:rsid w:val="003D2EC1"/>
    <w:rsid w:val="003D3608"/>
    <w:rsid w:val="003D3AF1"/>
    <w:rsid w:val="003D48CE"/>
    <w:rsid w:val="003D517E"/>
    <w:rsid w:val="003D6966"/>
    <w:rsid w:val="003D6A44"/>
    <w:rsid w:val="003D7FE1"/>
    <w:rsid w:val="003E14B8"/>
    <w:rsid w:val="003E3320"/>
    <w:rsid w:val="003E3EFC"/>
    <w:rsid w:val="003E4B7E"/>
    <w:rsid w:val="003E4F6A"/>
    <w:rsid w:val="003E4F81"/>
    <w:rsid w:val="003F03D4"/>
    <w:rsid w:val="003F18A2"/>
    <w:rsid w:val="003F38D4"/>
    <w:rsid w:val="003F484E"/>
    <w:rsid w:val="003F50DA"/>
    <w:rsid w:val="003F5EF3"/>
    <w:rsid w:val="004002A9"/>
    <w:rsid w:val="00404015"/>
    <w:rsid w:val="00404D64"/>
    <w:rsid w:val="004057CE"/>
    <w:rsid w:val="00405B31"/>
    <w:rsid w:val="00405F1F"/>
    <w:rsid w:val="0040619F"/>
    <w:rsid w:val="00406D9A"/>
    <w:rsid w:val="00407450"/>
    <w:rsid w:val="004077D0"/>
    <w:rsid w:val="00410086"/>
    <w:rsid w:val="00411124"/>
    <w:rsid w:val="00411232"/>
    <w:rsid w:val="0041131D"/>
    <w:rsid w:val="004122AD"/>
    <w:rsid w:val="00412E2E"/>
    <w:rsid w:val="0041358B"/>
    <w:rsid w:val="00415814"/>
    <w:rsid w:val="00415A6A"/>
    <w:rsid w:val="00415FB1"/>
    <w:rsid w:val="0041632A"/>
    <w:rsid w:val="0041734B"/>
    <w:rsid w:val="00417DDE"/>
    <w:rsid w:val="00417E79"/>
    <w:rsid w:val="00420658"/>
    <w:rsid w:val="0042103E"/>
    <w:rsid w:val="004213C1"/>
    <w:rsid w:val="00421A10"/>
    <w:rsid w:val="00422C1E"/>
    <w:rsid w:val="00423399"/>
    <w:rsid w:val="00423A93"/>
    <w:rsid w:val="00423EDF"/>
    <w:rsid w:val="00424709"/>
    <w:rsid w:val="004267A5"/>
    <w:rsid w:val="004269A1"/>
    <w:rsid w:val="00427324"/>
    <w:rsid w:val="00427402"/>
    <w:rsid w:val="00430148"/>
    <w:rsid w:val="00430F20"/>
    <w:rsid w:val="00431206"/>
    <w:rsid w:val="0043203A"/>
    <w:rsid w:val="00432EC1"/>
    <w:rsid w:val="004338C6"/>
    <w:rsid w:val="00433A9E"/>
    <w:rsid w:val="00434C77"/>
    <w:rsid w:val="0043556F"/>
    <w:rsid w:val="00435762"/>
    <w:rsid w:val="0043593A"/>
    <w:rsid w:val="00436808"/>
    <w:rsid w:val="00436F27"/>
    <w:rsid w:val="00437853"/>
    <w:rsid w:val="004405B0"/>
    <w:rsid w:val="004422DA"/>
    <w:rsid w:val="00442406"/>
    <w:rsid w:val="00442529"/>
    <w:rsid w:val="00442CC2"/>
    <w:rsid w:val="00443C88"/>
    <w:rsid w:val="0044464C"/>
    <w:rsid w:val="00446EF5"/>
    <w:rsid w:val="004475AA"/>
    <w:rsid w:val="00447AEF"/>
    <w:rsid w:val="004513F6"/>
    <w:rsid w:val="004516D0"/>
    <w:rsid w:val="004528F2"/>
    <w:rsid w:val="004557C5"/>
    <w:rsid w:val="00455FE5"/>
    <w:rsid w:val="00456BE6"/>
    <w:rsid w:val="00456FEF"/>
    <w:rsid w:val="004613AD"/>
    <w:rsid w:val="0046281C"/>
    <w:rsid w:val="00464EFD"/>
    <w:rsid w:val="00465733"/>
    <w:rsid w:val="00465C1D"/>
    <w:rsid w:val="00465DAA"/>
    <w:rsid w:val="00465ED4"/>
    <w:rsid w:val="00466597"/>
    <w:rsid w:val="00466D86"/>
    <w:rsid w:val="004678CF"/>
    <w:rsid w:val="00470581"/>
    <w:rsid w:val="004709EA"/>
    <w:rsid w:val="00470A29"/>
    <w:rsid w:val="00471086"/>
    <w:rsid w:val="0047125C"/>
    <w:rsid w:val="00471606"/>
    <w:rsid w:val="00471A11"/>
    <w:rsid w:val="00472C1B"/>
    <w:rsid w:val="00472F63"/>
    <w:rsid w:val="00473DF2"/>
    <w:rsid w:val="00474379"/>
    <w:rsid w:val="004757CC"/>
    <w:rsid w:val="00475863"/>
    <w:rsid w:val="00480889"/>
    <w:rsid w:val="00480DEE"/>
    <w:rsid w:val="0048153F"/>
    <w:rsid w:val="00481E04"/>
    <w:rsid w:val="00482202"/>
    <w:rsid w:val="00482449"/>
    <w:rsid w:val="00482567"/>
    <w:rsid w:val="004832E9"/>
    <w:rsid w:val="00483F0B"/>
    <w:rsid w:val="00484938"/>
    <w:rsid w:val="00484C85"/>
    <w:rsid w:val="004858D2"/>
    <w:rsid w:val="00485DFE"/>
    <w:rsid w:val="004867EB"/>
    <w:rsid w:val="004903AE"/>
    <w:rsid w:val="004905E7"/>
    <w:rsid w:val="00491C17"/>
    <w:rsid w:val="00491D65"/>
    <w:rsid w:val="0049432C"/>
    <w:rsid w:val="00494CA0"/>
    <w:rsid w:val="004953BF"/>
    <w:rsid w:val="0049541F"/>
    <w:rsid w:val="0049591B"/>
    <w:rsid w:val="00495D49"/>
    <w:rsid w:val="00496269"/>
    <w:rsid w:val="004969AC"/>
    <w:rsid w:val="00497625"/>
    <w:rsid w:val="00497AE9"/>
    <w:rsid w:val="004A058C"/>
    <w:rsid w:val="004A08EB"/>
    <w:rsid w:val="004A0C7A"/>
    <w:rsid w:val="004A19A1"/>
    <w:rsid w:val="004A2642"/>
    <w:rsid w:val="004A51BE"/>
    <w:rsid w:val="004A5703"/>
    <w:rsid w:val="004A698D"/>
    <w:rsid w:val="004A7243"/>
    <w:rsid w:val="004A7748"/>
    <w:rsid w:val="004A7858"/>
    <w:rsid w:val="004B1C87"/>
    <w:rsid w:val="004B297B"/>
    <w:rsid w:val="004B2BCC"/>
    <w:rsid w:val="004B5C0B"/>
    <w:rsid w:val="004B5F5D"/>
    <w:rsid w:val="004B69CE"/>
    <w:rsid w:val="004B6F88"/>
    <w:rsid w:val="004B78BE"/>
    <w:rsid w:val="004B7B16"/>
    <w:rsid w:val="004B7D52"/>
    <w:rsid w:val="004C0452"/>
    <w:rsid w:val="004C15BA"/>
    <w:rsid w:val="004C196A"/>
    <w:rsid w:val="004C271B"/>
    <w:rsid w:val="004C29BF"/>
    <w:rsid w:val="004C3893"/>
    <w:rsid w:val="004C417A"/>
    <w:rsid w:val="004C460F"/>
    <w:rsid w:val="004C4723"/>
    <w:rsid w:val="004C473D"/>
    <w:rsid w:val="004C4F40"/>
    <w:rsid w:val="004C55A4"/>
    <w:rsid w:val="004C6521"/>
    <w:rsid w:val="004C658B"/>
    <w:rsid w:val="004C6BA1"/>
    <w:rsid w:val="004C6C88"/>
    <w:rsid w:val="004C6D45"/>
    <w:rsid w:val="004C719D"/>
    <w:rsid w:val="004D130E"/>
    <w:rsid w:val="004D250C"/>
    <w:rsid w:val="004D2C0A"/>
    <w:rsid w:val="004D43E0"/>
    <w:rsid w:val="004D50BD"/>
    <w:rsid w:val="004D5A41"/>
    <w:rsid w:val="004D70B8"/>
    <w:rsid w:val="004D747A"/>
    <w:rsid w:val="004D77EA"/>
    <w:rsid w:val="004E02AB"/>
    <w:rsid w:val="004E18AF"/>
    <w:rsid w:val="004E370C"/>
    <w:rsid w:val="004E504E"/>
    <w:rsid w:val="004E5750"/>
    <w:rsid w:val="004E5B3E"/>
    <w:rsid w:val="004E6FFE"/>
    <w:rsid w:val="004E764E"/>
    <w:rsid w:val="004F0738"/>
    <w:rsid w:val="004F4847"/>
    <w:rsid w:val="004F4D0B"/>
    <w:rsid w:val="004F5149"/>
    <w:rsid w:val="004F74A6"/>
    <w:rsid w:val="004F78BB"/>
    <w:rsid w:val="004F7B30"/>
    <w:rsid w:val="00500B22"/>
    <w:rsid w:val="00500C92"/>
    <w:rsid w:val="00502D23"/>
    <w:rsid w:val="00502D97"/>
    <w:rsid w:val="00503156"/>
    <w:rsid w:val="005034E1"/>
    <w:rsid w:val="00503D92"/>
    <w:rsid w:val="00504BDD"/>
    <w:rsid w:val="00505535"/>
    <w:rsid w:val="00506F66"/>
    <w:rsid w:val="00507DAC"/>
    <w:rsid w:val="005105D2"/>
    <w:rsid w:val="00510835"/>
    <w:rsid w:val="0051101A"/>
    <w:rsid w:val="00511D0A"/>
    <w:rsid w:val="00513614"/>
    <w:rsid w:val="00513BC0"/>
    <w:rsid w:val="005142BE"/>
    <w:rsid w:val="0051467A"/>
    <w:rsid w:val="00514B24"/>
    <w:rsid w:val="00515614"/>
    <w:rsid w:val="00515E2D"/>
    <w:rsid w:val="00516DA7"/>
    <w:rsid w:val="0051787E"/>
    <w:rsid w:val="00520AB5"/>
    <w:rsid w:val="005215C1"/>
    <w:rsid w:val="00521861"/>
    <w:rsid w:val="005229D5"/>
    <w:rsid w:val="0052399F"/>
    <w:rsid w:val="00523EB7"/>
    <w:rsid w:val="005246B9"/>
    <w:rsid w:val="0052484B"/>
    <w:rsid w:val="005254BE"/>
    <w:rsid w:val="00525966"/>
    <w:rsid w:val="005262C8"/>
    <w:rsid w:val="00526ABE"/>
    <w:rsid w:val="0052717A"/>
    <w:rsid w:val="00527743"/>
    <w:rsid w:val="005308EA"/>
    <w:rsid w:val="00530E86"/>
    <w:rsid w:val="00531FF4"/>
    <w:rsid w:val="0053244F"/>
    <w:rsid w:val="005325CE"/>
    <w:rsid w:val="00533451"/>
    <w:rsid w:val="005339B9"/>
    <w:rsid w:val="00534907"/>
    <w:rsid w:val="005359D3"/>
    <w:rsid w:val="00535A2B"/>
    <w:rsid w:val="00536D87"/>
    <w:rsid w:val="00537710"/>
    <w:rsid w:val="005405E9"/>
    <w:rsid w:val="00541C46"/>
    <w:rsid w:val="0054297B"/>
    <w:rsid w:val="00542C7C"/>
    <w:rsid w:val="00545157"/>
    <w:rsid w:val="005453F8"/>
    <w:rsid w:val="00550599"/>
    <w:rsid w:val="005509A8"/>
    <w:rsid w:val="0055139D"/>
    <w:rsid w:val="0055169C"/>
    <w:rsid w:val="0055194E"/>
    <w:rsid w:val="00551DB8"/>
    <w:rsid w:val="005528B9"/>
    <w:rsid w:val="0055320C"/>
    <w:rsid w:val="0055385B"/>
    <w:rsid w:val="00554736"/>
    <w:rsid w:val="00554C36"/>
    <w:rsid w:val="00554C5D"/>
    <w:rsid w:val="0055611A"/>
    <w:rsid w:val="005563F6"/>
    <w:rsid w:val="0055698B"/>
    <w:rsid w:val="005570CB"/>
    <w:rsid w:val="0055785E"/>
    <w:rsid w:val="005578EC"/>
    <w:rsid w:val="005579B4"/>
    <w:rsid w:val="0056145D"/>
    <w:rsid w:val="005637E9"/>
    <w:rsid w:val="00563FBE"/>
    <w:rsid w:val="00565489"/>
    <w:rsid w:val="00566106"/>
    <w:rsid w:val="00572776"/>
    <w:rsid w:val="00572CA1"/>
    <w:rsid w:val="0057329B"/>
    <w:rsid w:val="00575532"/>
    <w:rsid w:val="00575849"/>
    <w:rsid w:val="005763BB"/>
    <w:rsid w:val="00576B07"/>
    <w:rsid w:val="00577DE9"/>
    <w:rsid w:val="005808C7"/>
    <w:rsid w:val="0058130A"/>
    <w:rsid w:val="0058142C"/>
    <w:rsid w:val="005841B2"/>
    <w:rsid w:val="005844BC"/>
    <w:rsid w:val="0058485B"/>
    <w:rsid w:val="00584D33"/>
    <w:rsid w:val="00585D82"/>
    <w:rsid w:val="005865E6"/>
    <w:rsid w:val="00587D8D"/>
    <w:rsid w:val="0059032B"/>
    <w:rsid w:val="00590528"/>
    <w:rsid w:val="005907D4"/>
    <w:rsid w:val="005908F7"/>
    <w:rsid w:val="00591711"/>
    <w:rsid w:val="005924EB"/>
    <w:rsid w:val="00592F0D"/>
    <w:rsid w:val="00592FD6"/>
    <w:rsid w:val="005932AA"/>
    <w:rsid w:val="0059377C"/>
    <w:rsid w:val="00593A3E"/>
    <w:rsid w:val="005952E2"/>
    <w:rsid w:val="00596A77"/>
    <w:rsid w:val="00596E7D"/>
    <w:rsid w:val="005A0E9D"/>
    <w:rsid w:val="005A131F"/>
    <w:rsid w:val="005A246D"/>
    <w:rsid w:val="005A2499"/>
    <w:rsid w:val="005A28D5"/>
    <w:rsid w:val="005A2EC3"/>
    <w:rsid w:val="005A2FC5"/>
    <w:rsid w:val="005A30BA"/>
    <w:rsid w:val="005A391E"/>
    <w:rsid w:val="005A43DA"/>
    <w:rsid w:val="005A4D06"/>
    <w:rsid w:val="005A592B"/>
    <w:rsid w:val="005A6996"/>
    <w:rsid w:val="005A717D"/>
    <w:rsid w:val="005A723B"/>
    <w:rsid w:val="005A73AA"/>
    <w:rsid w:val="005B01D6"/>
    <w:rsid w:val="005B193A"/>
    <w:rsid w:val="005B1C34"/>
    <w:rsid w:val="005B35C0"/>
    <w:rsid w:val="005B3B32"/>
    <w:rsid w:val="005B4A39"/>
    <w:rsid w:val="005B6614"/>
    <w:rsid w:val="005B6D96"/>
    <w:rsid w:val="005B748E"/>
    <w:rsid w:val="005C02EF"/>
    <w:rsid w:val="005C1193"/>
    <w:rsid w:val="005C2AB9"/>
    <w:rsid w:val="005C4463"/>
    <w:rsid w:val="005C557D"/>
    <w:rsid w:val="005C6B32"/>
    <w:rsid w:val="005C71E6"/>
    <w:rsid w:val="005D0960"/>
    <w:rsid w:val="005D14FB"/>
    <w:rsid w:val="005D194C"/>
    <w:rsid w:val="005D1DB8"/>
    <w:rsid w:val="005D1EE9"/>
    <w:rsid w:val="005D3759"/>
    <w:rsid w:val="005D39D0"/>
    <w:rsid w:val="005D3C18"/>
    <w:rsid w:val="005D3ECC"/>
    <w:rsid w:val="005D4307"/>
    <w:rsid w:val="005D59B3"/>
    <w:rsid w:val="005D7222"/>
    <w:rsid w:val="005D747F"/>
    <w:rsid w:val="005D769E"/>
    <w:rsid w:val="005E00C0"/>
    <w:rsid w:val="005E0C1C"/>
    <w:rsid w:val="005E2263"/>
    <w:rsid w:val="005E2BA9"/>
    <w:rsid w:val="005E4259"/>
    <w:rsid w:val="005E4BEC"/>
    <w:rsid w:val="005E5C08"/>
    <w:rsid w:val="005E5ECB"/>
    <w:rsid w:val="005E759E"/>
    <w:rsid w:val="005F0889"/>
    <w:rsid w:val="005F09E9"/>
    <w:rsid w:val="005F0A75"/>
    <w:rsid w:val="005F0EED"/>
    <w:rsid w:val="005F0F1F"/>
    <w:rsid w:val="005F2A83"/>
    <w:rsid w:val="005F2BA2"/>
    <w:rsid w:val="005F4034"/>
    <w:rsid w:val="005F4B42"/>
    <w:rsid w:val="005F5B9A"/>
    <w:rsid w:val="005F60A3"/>
    <w:rsid w:val="005F6ED9"/>
    <w:rsid w:val="005F7A0F"/>
    <w:rsid w:val="005F7AD8"/>
    <w:rsid w:val="006032DF"/>
    <w:rsid w:val="00604B94"/>
    <w:rsid w:val="006051A8"/>
    <w:rsid w:val="006051C9"/>
    <w:rsid w:val="00605F8A"/>
    <w:rsid w:val="006114D0"/>
    <w:rsid w:val="00613DEC"/>
    <w:rsid w:val="0061550F"/>
    <w:rsid w:val="00615769"/>
    <w:rsid w:val="00616C58"/>
    <w:rsid w:val="00617802"/>
    <w:rsid w:val="00620424"/>
    <w:rsid w:val="00620F37"/>
    <w:rsid w:val="00621BC7"/>
    <w:rsid w:val="00622E39"/>
    <w:rsid w:val="00623EB1"/>
    <w:rsid w:val="00624B36"/>
    <w:rsid w:val="00624BF0"/>
    <w:rsid w:val="00625166"/>
    <w:rsid w:val="00625247"/>
    <w:rsid w:val="0063086A"/>
    <w:rsid w:val="006314EA"/>
    <w:rsid w:val="00631647"/>
    <w:rsid w:val="006320B9"/>
    <w:rsid w:val="00632E42"/>
    <w:rsid w:val="00634217"/>
    <w:rsid w:val="00634348"/>
    <w:rsid w:val="006352EA"/>
    <w:rsid w:val="00636412"/>
    <w:rsid w:val="006365E9"/>
    <w:rsid w:val="00636F1E"/>
    <w:rsid w:val="00637290"/>
    <w:rsid w:val="00637689"/>
    <w:rsid w:val="00637E2E"/>
    <w:rsid w:val="00640CF1"/>
    <w:rsid w:val="00640E35"/>
    <w:rsid w:val="006419B1"/>
    <w:rsid w:val="00641C04"/>
    <w:rsid w:val="00643255"/>
    <w:rsid w:val="00643638"/>
    <w:rsid w:val="00643AD5"/>
    <w:rsid w:val="006447F6"/>
    <w:rsid w:val="0064582C"/>
    <w:rsid w:val="00646800"/>
    <w:rsid w:val="00647886"/>
    <w:rsid w:val="006478BB"/>
    <w:rsid w:val="006514FE"/>
    <w:rsid w:val="00652031"/>
    <w:rsid w:val="00653511"/>
    <w:rsid w:val="00654FA2"/>
    <w:rsid w:val="00655850"/>
    <w:rsid w:val="0065615E"/>
    <w:rsid w:val="00656881"/>
    <w:rsid w:val="00660998"/>
    <w:rsid w:val="00660C91"/>
    <w:rsid w:val="00660FA9"/>
    <w:rsid w:val="00661E36"/>
    <w:rsid w:val="00663277"/>
    <w:rsid w:val="00663278"/>
    <w:rsid w:val="00664B6C"/>
    <w:rsid w:val="00666A34"/>
    <w:rsid w:val="00666DA5"/>
    <w:rsid w:val="006678F2"/>
    <w:rsid w:val="00670506"/>
    <w:rsid w:val="0067053C"/>
    <w:rsid w:val="00671E93"/>
    <w:rsid w:val="00672422"/>
    <w:rsid w:val="006732A9"/>
    <w:rsid w:val="00673621"/>
    <w:rsid w:val="00673684"/>
    <w:rsid w:val="00673CD6"/>
    <w:rsid w:val="006745B4"/>
    <w:rsid w:val="00674C64"/>
    <w:rsid w:val="0067522B"/>
    <w:rsid w:val="00675328"/>
    <w:rsid w:val="0067634F"/>
    <w:rsid w:val="0068054F"/>
    <w:rsid w:val="0068215D"/>
    <w:rsid w:val="00683827"/>
    <w:rsid w:val="00683EA1"/>
    <w:rsid w:val="006844B6"/>
    <w:rsid w:val="00686194"/>
    <w:rsid w:val="00686513"/>
    <w:rsid w:val="006873B6"/>
    <w:rsid w:val="00687C84"/>
    <w:rsid w:val="00690BCC"/>
    <w:rsid w:val="00691211"/>
    <w:rsid w:val="0069147C"/>
    <w:rsid w:val="006918E7"/>
    <w:rsid w:val="00692517"/>
    <w:rsid w:val="0069359C"/>
    <w:rsid w:val="006936A9"/>
    <w:rsid w:val="006944B8"/>
    <w:rsid w:val="0069466B"/>
    <w:rsid w:val="00694ACB"/>
    <w:rsid w:val="00695770"/>
    <w:rsid w:val="00696479"/>
    <w:rsid w:val="0069709F"/>
    <w:rsid w:val="0069725C"/>
    <w:rsid w:val="00697890"/>
    <w:rsid w:val="006A0F03"/>
    <w:rsid w:val="006A16C0"/>
    <w:rsid w:val="006A1B5E"/>
    <w:rsid w:val="006A21F9"/>
    <w:rsid w:val="006A39DB"/>
    <w:rsid w:val="006A5F0C"/>
    <w:rsid w:val="006A607A"/>
    <w:rsid w:val="006A6D1D"/>
    <w:rsid w:val="006A7101"/>
    <w:rsid w:val="006B1BC3"/>
    <w:rsid w:val="006B1BEB"/>
    <w:rsid w:val="006B2747"/>
    <w:rsid w:val="006B381B"/>
    <w:rsid w:val="006B3996"/>
    <w:rsid w:val="006B4723"/>
    <w:rsid w:val="006B4E0E"/>
    <w:rsid w:val="006B61B1"/>
    <w:rsid w:val="006B67CB"/>
    <w:rsid w:val="006B7462"/>
    <w:rsid w:val="006B7F2D"/>
    <w:rsid w:val="006C0A2B"/>
    <w:rsid w:val="006C2815"/>
    <w:rsid w:val="006C43AE"/>
    <w:rsid w:val="006C4429"/>
    <w:rsid w:val="006C45C5"/>
    <w:rsid w:val="006C4BD9"/>
    <w:rsid w:val="006C4F98"/>
    <w:rsid w:val="006C5438"/>
    <w:rsid w:val="006C54FF"/>
    <w:rsid w:val="006C6C52"/>
    <w:rsid w:val="006C7734"/>
    <w:rsid w:val="006C7C7B"/>
    <w:rsid w:val="006D03ED"/>
    <w:rsid w:val="006D06C8"/>
    <w:rsid w:val="006D0DBC"/>
    <w:rsid w:val="006D1017"/>
    <w:rsid w:val="006D13B7"/>
    <w:rsid w:val="006D3A5B"/>
    <w:rsid w:val="006D4226"/>
    <w:rsid w:val="006D46B6"/>
    <w:rsid w:val="006D5E03"/>
    <w:rsid w:val="006D6458"/>
    <w:rsid w:val="006D64F6"/>
    <w:rsid w:val="006D7D82"/>
    <w:rsid w:val="006E076B"/>
    <w:rsid w:val="006E0F94"/>
    <w:rsid w:val="006E1072"/>
    <w:rsid w:val="006E11CE"/>
    <w:rsid w:val="006E49EA"/>
    <w:rsid w:val="006E6030"/>
    <w:rsid w:val="006E6159"/>
    <w:rsid w:val="006E74C8"/>
    <w:rsid w:val="006F052F"/>
    <w:rsid w:val="006F0BE5"/>
    <w:rsid w:val="006F232E"/>
    <w:rsid w:val="006F3A71"/>
    <w:rsid w:val="006F5F13"/>
    <w:rsid w:val="006F6375"/>
    <w:rsid w:val="00700B78"/>
    <w:rsid w:val="00701215"/>
    <w:rsid w:val="0070176F"/>
    <w:rsid w:val="00701818"/>
    <w:rsid w:val="00701F64"/>
    <w:rsid w:val="00702C78"/>
    <w:rsid w:val="00703667"/>
    <w:rsid w:val="00704F21"/>
    <w:rsid w:val="007055AC"/>
    <w:rsid w:val="00705E19"/>
    <w:rsid w:val="007061A1"/>
    <w:rsid w:val="00706D42"/>
    <w:rsid w:val="00707B36"/>
    <w:rsid w:val="00710403"/>
    <w:rsid w:val="0071158C"/>
    <w:rsid w:val="00711D2F"/>
    <w:rsid w:val="007126D1"/>
    <w:rsid w:val="00712BE8"/>
    <w:rsid w:val="00712D5E"/>
    <w:rsid w:val="007154E3"/>
    <w:rsid w:val="00717388"/>
    <w:rsid w:val="00717955"/>
    <w:rsid w:val="00717D5C"/>
    <w:rsid w:val="00717E5C"/>
    <w:rsid w:val="00721549"/>
    <w:rsid w:val="00721941"/>
    <w:rsid w:val="0072223B"/>
    <w:rsid w:val="00724AA1"/>
    <w:rsid w:val="00725668"/>
    <w:rsid w:val="00725E04"/>
    <w:rsid w:val="00730A7B"/>
    <w:rsid w:val="00732036"/>
    <w:rsid w:val="007320FE"/>
    <w:rsid w:val="0073259B"/>
    <w:rsid w:val="0073318E"/>
    <w:rsid w:val="00733862"/>
    <w:rsid w:val="007338FA"/>
    <w:rsid w:val="0073565D"/>
    <w:rsid w:val="00736228"/>
    <w:rsid w:val="0073713D"/>
    <w:rsid w:val="00737B4D"/>
    <w:rsid w:val="007400E2"/>
    <w:rsid w:val="007406B1"/>
    <w:rsid w:val="00741CB5"/>
    <w:rsid w:val="007437C8"/>
    <w:rsid w:val="00744F47"/>
    <w:rsid w:val="007450F9"/>
    <w:rsid w:val="007451D1"/>
    <w:rsid w:val="00745310"/>
    <w:rsid w:val="00747C47"/>
    <w:rsid w:val="00750948"/>
    <w:rsid w:val="007517BF"/>
    <w:rsid w:val="0075355E"/>
    <w:rsid w:val="00753782"/>
    <w:rsid w:val="007555E6"/>
    <w:rsid w:val="00757988"/>
    <w:rsid w:val="00757B70"/>
    <w:rsid w:val="007611FB"/>
    <w:rsid w:val="00762124"/>
    <w:rsid w:val="00763372"/>
    <w:rsid w:val="00763769"/>
    <w:rsid w:val="007638E7"/>
    <w:rsid w:val="00763E92"/>
    <w:rsid w:val="00765784"/>
    <w:rsid w:val="00765AA4"/>
    <w:rsid w:val="00765F34"/>
    <w:rsid w:val="00766FDD"/>
    <w:rsid w:val="0076794D"/>
    <w:rsid w:val="00770000"/>
    <w:rsid w:val="007703C8"/>
    <w:rsid w:val="0077094D"/>
    <w:rsid w:val="00770DA4"/>
    <w:rsid w:val="007711DF"/>
    <w:rsid w:val="00772415"/>
    <w:rsid w:val="007734A5"/>
    <w:rsid w:val="007734B4"/>
    <w:rsid w:val="00773608"/>
    <w:rsid w:val="00773EC2"/>
    <w:rsid w:val="007749AC"/>
    <w:rsid w:val="00774CFC"/>
    <w:rsid w:val="00774EAC"/>
    <w:rsid w:val="00775D27"/>
    <w:rsid w:val="00775D6B"/>
    <w:rsid w:val="00776658"/>
    <w:rsid w:val="007771F3"/>
    <w:rsid w:val="007820AC"/>
    <w:rsid w:val="00782321"/>
    <w:rsid w:val="00783F06"/>
    <w:rsid w:val="0078420A"/>
    <w:rsid w:val="0078449D"/>
    <w:rsid w:val="007853BB"/>
    <w:rsid w:val="00785C53"/>
    <w:rsid w:val="00786A60"/>
    <w:rsid w:val="00787C84"/>
    <w:rsid w:val="0079033E"/>
    <w:rsid w:val="007916F1"/>
    <w:rsid w:val="0079211B"/>
    <w:rsid w:val="00793876"/>
    <w:rsid w:val="00793AA7"/>
    <w:rsid w:val="0079408F"/>
    <w:rsid w:val="00794C81"/>
    <w:rsid w:val="00794F18"/>
    <w:rsid w:val="007963DD"/>
    <w:rsid w:val="00796613"/>
    <w:rsid w:val="0079683B"/>
    <w:rsid w:val="007A059D"/>
    <w:rsid w:val="007A091B"/>
    <w:rsid w:val="007A1BFD"/>
    <w:rsid w:val="007A40AF"/>
    <w:rsid w:val="007A4334"/>
    <w:rsid w:val="007A4D89"/>
    <w:rsid w:val="007A61E0"/>
    <w:rsid w:val="007A68E8"/>
    <w:rsid w:val="007A70CD"/>
    <w:rsid w:val="007A76E8"/>
    <w:rsid w:val="007A7B79"/>
    <w:rsid w:val="007B046A"/>
    <w:rsid w:val="007B05CE"/>
    <w:rsid w:val="007B1609"/>
    <w:rsid w:val="007B3132"/>
    <w:rsid w:val="007B5053"/>
    <w:rsid w:val="007B6EF7"/>
    <w:rsid w:val="007B73F5"/>
    <w:rsid w:val="007C0CA2"/>
    <w:rsid w:val="007C101E"/>
    <w:rsid w:val="007C1311"/>
    <w:rsid w:val="007C170A"/>
    <w:rsid w:val="007C1ADD"/>
    <w:rsid w:val="007C1DBE"/>
    <w:rsid w:val="007C2E15"/>
    <w:rsid w:val="007C478F"/>
    <w:rsid w:val="007C4ECC"/>
    <w:rsid w:val="007C53C2"/>
    <w:rsid w:val="007C58F8"/>
    <w:rsid w:val="007C612F"/>
    <w:rsid w:val="007C62B3"/>
    <w:rsid w:val="007C6943"/>
    <w:rsid w:val="007C6A4C"/>
    <w:rsid w:val="007D109A"/>
    <w:rsid w:val="007D1D70"/>
    <w:rsid w:val="007D210E"/>
    <w:rsid w:val="007D260E"/>
    <w:rsid w:val="007D2BE6"/>
    <w:rsid w:val="007D5379"/>
    <w:rsid w:val="007D5821"/>
    <w:rsid w:val="007D6C1A"/>
    <w:rsid w:val="007D7FBF"/>
    <w:rsid w:val="007E0B33"/>
    <w:rsid w:val="007E2420"/>
    <w:rsid w:val="007E3164"/>
    <w:rsid w:val="007E375D"/>
    <w:rsid w:val="007E3AE2"/>
    <w:rsid w:val="007E4217"/>
    <w:rsid w:val="007E4856"/>
    <w:rsid w:val="007E5129"/>
    <w:rsid w:val="007E57EA"/>
    <w:rsid w:val="007E6D7A"/>
    <w:rsid w:val="007F072E"/>
    <w:rsid w:val="007F24BB"/>
    <w:rsid w:val="007F2587"/>
    <w:rsid w:val="007F2A00"/>
    <w:rsid w:val="007F2E8F"/>
    <w:rsid w:val="007F502F"/>
    <w:rsid w:val="007F6011"/>
    <w:rsid w:val="007F6F73"/>
    <w:rsid w:val="007F6FEE"/>
    <w:rsid w:val="007F7980"/>
    <w:rsid w:val="007F7BAB"/>
    <w:rsid w:val="0080061E"/>
    <w:rsid w:val="00800C10"/>
    <w:rsid w:val="00801569"/>
    <w:rsid w:val="008020CB"/>
    <w:rsid w:val="00802508"/>
    <w:rsid w:val="00802FDA"/>
    <w:rsid w:val="00803309"/>
    <w:rsid w:val="00804632"/>
    <w:rsid w:val="00804B9A"/>
    <w:rsid w:val="00804D22"/>
    <w:rsid w:val="0080594B"/>
    <w:rsid w:val="00807631"/>
    <w:rsid w:val="0081339B"/>
    <w:rsid w:val="008147D7"/>
    <w:rsid w:val="00816A00"/>
    <w:rsid w:val="0082019F"/>
    <w:rsid w:val="0082029B"/>
    <w:rsid w:val="00820906"/>
    <w:rsid w:val="00821661"/>
    <w:rsid w:val="008221DD"/>
    <w:rsid w:val="00823CB6"/>
    <w:rsid w:val="00823EDD"/>
    <w:rsid w:val="0082457F"/>
    <w:rsid w:val="0082644E"/>
    <w:rsid w:val="008264A5"/>
    <w:rsid w:val="00826916"/>
    <w:rsid w:val="0082766E"/>
    <w:rsid w:val="00831D77"/>
    <w:rsid w:val="00834CF3"/>
    <w:rsid w:val="00835215"/>
    <w:rsid w:val="00835462"/>
    <w:rsid w:val="00837DBA"/>
    <w:rsid w:val="00840FC4"/>
    <w:rsid w:val="00841085"/>
    <w:rsid w:val="0084148D"/>
    <w:rsid w:val="00841928"/>
    <w:rsid w:val="00842021"/>
    <w:rsid w:val="0084452C"/>
    <w:rsid w:val="00845CEC"/>
    <w:rsid w:val="0084756F"/>
    <w:rsid w:val="008478B7"/>
    <w:rsid w:val="00847AB0"/>
    <w:rsid w:val="00851BBF"/>
    <w:rsid w:val="00853CCA"/>
    <w:rsid w:val="0085401D"/>
    <w:rsid w:val="00854244"/>
    <w:rsid w:val="0085448E"/>
    <w:rsid w:val="00856031"/>
    <w:rsid w:val="00856A1D"/>
    <w:rsid w:val="00856A2B"/>
    <w:rsid w:val="00857009"/>
    <w:rsid w:val="0085757D"/>
    <w:rsid w:val="00857FB3"/>
    <w:rsid w:val="00860056"/>
    <w:rsid w:val="00860E91"/>
    <w:rsid w:val="00861464"/>
    <w:rsid w:val="0086165B"/>
    <w:rsid w:val="00861936"/>
    <w:rsid w:val="008631E9"/>
    <w:rsid w:val="00863375"/>
    <w:rsid w:val="00863CBF"/>
    <w:rsid w:val="00863D08"/>
    <w:rsid w:val="008645AE"/>
    <w:rsid w:val="00864E5C"/>
    <w:rsid w:val="0086643E"/>
    <w:rsid w:val="00870458"/>
    <w:rsid w:val="00870A2E"/>
    <w:rsid w:val="00870DA1"/>
    <w:rsid w:val="00870F75"/>
    <w:rsid w:val="00873F08"/>
    <w:rsid w:val="00874424"/>
    <w:rsid w:val="00874658"/>
    <w:rsid w:val="00874B86"/>
    <w:rsid w:val="00876F7D"/>
    <w:rsid w:val="0087766B"/>
    <w:rsid w:val="008777FC"/>
    <w:rsid w:val="008805F6"/>
    <w:rsid w:val="00880788"/>
    <w:rsid w:val="00880F10"/>
    <w:rsid w:val="008810A4"/>
    <w:rsid w:val="00881960"/>
    <w:rsid w:val="00881E49"/>
    <w:rsid w:val="008832A4"/>
    <w:rsid w:val="0088428E"/>
    <w:rsid w:val="00885C4F"/>
    <w:rsid w:val="00885F3E"/>
    <w:rsid w:val="00886711"/>
    <w:rsid w:val="008869FD"/>
    <w:rsid w:val="00890D88"/>
    <w:rsid w:val="00890F21"/>
    <w:rsid w:val="0089232C"/>
    <w:rsid w:val="00892FB6"/>
    <w:rsid w:val="00893681"/>
    <w:rsid w:val="00893F7D"/>
    <w:rsid w:val="0089636E"/>
    <w:rsid w:val="00896DE0"/>
    <w:rsid w:val="00897166"/>
    <w:rsid w:val="008A032B"/>
    <w:rsid w:val="008A07A9"/>
    <w:rsid w:val="008A0C86"/>
    <w:rsid w:val="008A0DE3"/>
    <w:rsid w:val="008A0EB8"/>
    <w:rsid w:val="008A101F"/>
    <w:rsid w:val="008A3161"/>
    <w:rsid w:val="008A344B"/>
    <w:rsid w:val="008A4ABF"/>
    <w:rsid w:val="008A4F78"/>
    <w:rsid w:val="008A650F"/>
    <w:rsid w:val="008A71BA"/>
    <w:rsid w:val="008A73C1"/>
    <w:rsid w:val="008B0B49"/>
    <w:rsid w:val="008B0EA6"/>
    <w:rsid w:val="008B12E3"/>
    <w:rsid w:val="008B2A52"/>
    <w:rsid w:val="008B2F2C"/>
    <w:rsid w:val="008B2FB9"/>
    <w:rsid w:val="008B47D0"/>
    <w:rsid w:val="008B5FF1"/>
    <w:rsid w:val="008B637C"/>
    <w:rsid w:val="008B686D"/>
    <w:rsid w:val="008B7831"/>
    <w:rsid w:val="008C2BE2"/>
    <w:rsid w:val="008C2C58"/>
    <w:rsid w:val="008C35B9"/>
    <w:rsid w:val="008C4E45"/>
    <w:rsid w:val="008C5ABA"/>
    <w:rsid w:val="008C5F71"/>
    <w:rsid w:val="008D00BA"/>
    <w:rsid w:val="008D0FDF"/>
    <w:rsid w:val="008D1167"/>
    <w:rsid w:val="008D1560"/>
    <w:rsid w:val="008D15C8"/>
    <w:rsid w:val="008D3491"/>
    <w:rsid w:val="008D3496"/>
    <w:rsid w:val="008D389D"/>
    <w:rsid w:val="008D3A42"/>
    <w:rsid w:val="008D49A8"/>
    <w:rsid w:val="008D5A5F"/>
    <w:rsid w:val="008D6874"/>
    <w:rsid w:val="008D6C9F"/>
    <w:rsid w:val="008D72B2"/>
    <w:rsid w:val="008D72ED"/>
    <w:rsid w:val="008D7619"/>
    <w:rsid w:val="008E3B21"/>
    <w:rsid w:val="008E3BAC"/>
    <w:rsid w:val="008E4368"/>
    <w:rsid w:val="008E5512"/>
    <w:rsid w:val="008E55E5"/>
    <w:rsid w:val="008E5C59"/>
    <w:rsid w:val="008E5EA0"/>
    <w:rsid w:val="008E6CAC"/>
    <w:rsid w:val="008E6EFC"/>
    <w:rsid w:val="008E72DC"/>
    <w:rsid w:val="008F0227"/>
    <w:rsid w:val="008F0230"/>
    <w:rsid w:val="008F031E"/>
    <w:rsid w:val="008F2C9F"/>
    <w:rsid w:val="008F380B"/>
    <w:rsid w:val="008F625A"/>
    <w:rsid w:val="008F72DD"/>
    <w:rsid w:val="008F732C"/>
    <w:rsid w:val="008F7611"/>
    <w:rsid w:val="00901189"/>
    <w:rsid w:val="00902F83"/>
    <w:rsid w:val="0090339E"/>
    <w:rsid w:val="00903424"/>
    <w:rsid w:val="00904139"/>
    <w:rsid w:val="009051CF"/>
    <w:rsid w:val="00905B24"/>
    <w:rsid w:val="00905F1D"/>
    <w:rsid w:val="009066B1"/>
    <w:rsid w:val="00907148"/>
    <w:rsid w:val="00907607"/>
    <w:rsid w:val="00910D2C"/>
    <w:rsid w:val="00911C10"/>
    <w:rsid w:val="0091204D"/>
    <w:rsid w:val="00915190"/>
    <w:rsid w:val="00915B51"/>
    <w:rsid w:val="0091617D"/>
    <w:rsid w:val="00916400"/>
    <w:rsid w:val="0091737B"/>
    <w:rsid w:val="00917B43"/>
    <w:rsid w:val="00920952"/>
    <w:rsid w:val="009233A8"/>
    <w:rsid w:val="00926798"/>
    <w:rsid w:val="009300BB"/>
    <w:rsid w:val="009313DC"/>
    <w:rsid w:val="009316FB"/>
    <w:rsid w:val="00932485"/>
    <w:rsid w:val="00932C32"/>
    <w:rsid w:val="00932DAF"/>
    <w:rsid w:val="0093393C"/>
    <w:rsid w:val="009359B5"/>
    <w:rsid w:val="00935A3A"/>
    <w:rsid w:val="00936D45"/>
    <w:rsid w:val="0093789A"/>
    <w:rsid w:val="00941C57"/>
    <w:rsid w:val="00942858"/>
    <w:rsid w:val="00942FA3"/>
    <w:rsid w:val="009436ED"/>
    <w:rsid w:val="00943B6D"/>
    <w:rsid w:val="00943CBD"/>
    <w:rsid w:val="0094418C"/>
    <w:rsid w:val="00944B95"/>
    <w:rsid w:val="00944C93"/>
    <w:rsid w:val="00944CF5"/>
    <w:rsid w:val="009475DC"/>
    <w:rsid w:val="00950312"/>
    <w:rsid w:val="00951B11"/>
    <w:rsid w:val="00952A44"/>
    <w:rsid w:val="00952F0C"/>
    <w:rsid w:val="00954D63"/>
    <w:rsid w:val="00954EF5"/>
    <w:rsid w:val="0095519C"/>
    <w:rsid w:val="00956B04"/>
    <w:rsid w:val="00957194"/>
    <w:rsid w:val="009615ED"/>
    <w:rsid w:val="00961CF4"/>
    <w:rsid w:val="00963919"/>
    <w:rsid w:val="00965257"/>
    <w:rsid w:val="009672CF"/>
    <w:rsid w:val="009677A4"/>
    <w:rsid w:val="00967BCF"/>
    <w:rsid w:val="00967D90"/>
    <w:rsid w:val="00970AE4"/>
    <w:rsid w:val="00970CB5"/>
    <w:rsid w:val="00970DD8"/>
    <w:rsid w:val="00976AF0"/>
    <w:rsid w:val="00977026"/>
    <w:rsid w:val="00977090"/>
    <w:rsid w:val="009772D3"/>
    <w:rsid w:val="00980186"/>
    <w:rsid w:val="009817FF"/>
    <w:rsid w:val="00981C5F"/>
    <w:rsid w:val="009821FA"/>
    <w:rsid w:val="00982CE1"/>
    <w:rsid w:val="009844E5"/>
    <w:rsid w:val="00985448"/>
    <w:rsid w:val="009858AC"/>
    <w:rsid w:val="009901BB"/>
    <w:rsid w:val="0099046C"/>
    <w:rsid w:val="00990581"/>
    <w:rsid w:val="00990990"/>
    <w:rsid w:val="00991804"/>
    <w:rsid w:val="0099260A"/>
    <w:rsid w:val="00993164"/>
    <w:rsid w:val="00993D21"/>
    <w:rsid w:val="009946EE"/>
    <w:rsid w:val="00994706"/>
    <w:rsid w:val="00994EC3"/>
    <w:rsid w:val="009950C9"/>
    <w:rsid w:val="00995D74"/>
    <w:rsid w:val="00996C1B"/>
    <w:rsid w:val="009A03C0"/>
    <w:rsid w:val="009A045F"/>
    <w:rsid w:val="009A16D8"/>
    <w:rsid w:val="009A20BB"/>
    <w:rsid w:val="009A2DB0"/>
    <w:rsid w:val="009A4E69"/>
    <w:rsid w:val="009A5A2E"/>
    <w:rsid w:val="009A6F2C"/>
    <w:rsid w:val="009A71C0"/>
    <w:rsid w:val="009B03E6"/>
    <w:rsid w:val="009B2431"/>
    <w:rsid w:val="009B2B16"/>
    <w:rsid w:val="009B2D3A"/>
    <w:rsid w:val="009B31C1"/>
    <w:rsid w:val="009B3C27"/>
    <w:rsid w:val="009B47ED"/>
    <w:rsid w:val="009B4AB2"/>
    <w:rsid w:val="009B4DD6"/>
    <w:rsid w:val="009B532E"/>
    <w:rsid w:val="009B590E"/>
    <w:rsid w:val="009B62A8"/>
    <w:rsid w:val="009C04AF"/>
    <w:rsid w:val="009C1516"/>
    <w:rsid w:val="009C1C7E"/>
    <w:rsid w:val="009C3D46"/>
    <w:rsid w:val="009C4F0D"/>
    <w:rsid w:val="009C5416"/>
    <w:rsid w:val="009C7253"/>
    <w:rsid w:val="009C776C"/>
    <w:rsid w:val="009D0482"/>
    <w:rsid w:val="009D08E7"/>
    <w:rsid w:val="009D1226"/>
    <w:rsid w:val="009D333B"/>
    <w:rsid w:val="009D39E2"/>
    <w:rsid w:val="009D42CE"/>
    <w:rsid w:val="009D46CB"/>
    <w:rsid w:val="009D4D61"/>
    <w:rsid w:val="009D4FD2"/>
    <w:rsid w:val="009D5718"/>
    <w:rsid w:val="009D653D"/>
    <w:rsid w:val="009D6EC8"/>
    <w:rsid w:val="009E1285"/>
    <w:rsid w:val="009E1B1C"/>
    <w:rsid w:val="009E1C9F"/>
    <w:rsid w:val="009E20E9"/>
    <w:rsid w:val="009E2D00"/>
    <w:rsid w:val="009E39AB"/>
    <w:rsid w:val="009E532B"/>
    <w:rsid w:val="009E6CFD"/>
    <w:rsid w:val="009E7249"/>
    <w:rsid w:val="009E78A8"/>
    <w:rsid w:val="009E7E76"/>
    <w:rsid w:val="009F1C1B"/>
    <w:rsid w:val="009F211B"/>
    <w:rsid w:val="009F225C"/>
    <w:rsid w:val="009F32CA"/>
    <w:rsid w:val="009F476E"/>
    <w:rsid w:val="009F7B29"/>
    <w:rsid w:val="00A022AC"/>
    <w:rsid w:val="00A0239C"/>
    <w:rsid w:val="00A0242D"/>
    <w:rsid w:val="00A028CD"/>
    <w:rsid w:val="00A02D32"/>
    <w:rsid w:val="00A03245"/>
    <w:rsid w:val="00A03A0D"/>
    <w:rsid w:val="00A03B9B"/>
    <w:rsid w:val="00A03F2D"/>
    <w:rsid w:val="00A04CD7"/>
    <w:rsid w:val="00A04DE3"/>
    <w:rsid w:val="00A05625"/>
    <w:rsid w:val="00A05CA0"/>
    <w:rsid w:val="00A127DA"/>
    <w:rsid w:val="00A12958"/>
    <w:rsid w:val="00A12A91"/>
    <w:rsid w:val="00A12CCA"/>
    <w:rsid w:val="00A1367C"/>
    <w:rsid w:val="00A13B3D"/>
    <w:rsid w:val="00A13C5A"/>
    <w:rsid w:val="00A20EFC"/>
    <w:rsid w:val="00A2119F"/>
    <w:rsid w:val="00A214AF"/>
    <w:rsid w:val="00A2199D"/>
    <w:rsid w:val="00A21D77"/>
    <w:rsid w:val="00A22435"/>
    <w:rsid w:val="00A2294D"/>
    <w:rsid w:val="00A22C3C"/>
    <w:rsid w:val="00A23026"/>
    <w:rsid w:val="00A23E53"/>
    <w:rsid w:val="00A24550"/>
    <w:rsid w:val="00A249D9"/>
    <w:rsid w:val="00A2639D"/>
    <w:rsid w:val="00A2742C"/>
    <w:rsid w:val="00A27F7A"/>
    <w:rsid w:val="00A30CD7"/>
    <w:rsid w:val="00A324A6"/>
    <w:rsid w:val="00A32DBA"/>
    <w:rsid w:val="00A33DA5"/>
    <w:rsid w:val="00A340C0"/>
    <w:rsid w:val="00A34A96"/>
    <w:rsid w:val="00A35ADC"/>
    <w:rsid w:val="00A36676"/>
    <w:rsid w:val="00A37A56"/>
    <w:rsid w:val="00A40A11"/>
    <w:rsid w:val="00A41674"/>
    <w:rsid w:val="00A421E4"/>
    <w:rsid w:val="00A422EF"/>
    <w:rsid w:val="00A426DA"/>
    <w:rsid w:val="00A42EA4"/>
    <w:rsid w:val="00A4343D"/>
    <w:rsid w:val="00A46613"/>
    <w:rsid w:val="00A46FCB"/>
    <w:rsid w:val="00A477C9"/>
    <w:rsid w:val="00A47EDE"/>
    <w:rsid w:val="00A51257"/>
    <w:rsid w:val="00A539E7"/>
    <w:rsid w:val="00A53BCB"/>
    <w:rsid w:val="00A5642C"/>
    <w:rsid w:val="00A56793"/>
    <w:rsid w:val="00A56C31"/>
    <w:rsid w:val="00A5782D"/>
    <w:rsid w:val="00A604C8"/>
    <w:rsid w:val="00A60994"/>
    <w:rsid w:val="00A61CBD"/>
    <w:rsid w:val="00A637D0"/>
    <w:rsid w:val="00A63914"/>
    <w:rsid w:val="00A63BA3"/>
    <w:rsid w:val="00A6462B"/>
    <w:rsid w:val="00A64FBB"/>
    <w:rsid w:val="00A6567F"/>
    <w:rsid w:val="00A65B51"/>
    <w:rsid w:val="00A667E6"/>
    <w:rsid w:val="00A66A80"/>
    <w:rsid w:val="00A675F1"/>
    <w:rsid w:val="00A67911"/>
    <w:rsid w:val="00A708DE"/>
    <w:rsid w:val="00A71149"/>
    <w:rsid w:val="00A760E5"/>
    <w:rsid w:val="00A770FC"/>
    <w:rsid w:val="00A7769E"/>
    <w:rsid w:val="00A77982"/>
    <w:rsid w:val="00A81375"/>
    <w:rsid w:val="00A815E1"/>
    <w:rsid w:val="00A82242"/>
    <w:rsid w:val="00A836BB"/>
    <w:rsid w:val="00A836C7"/>
    <w:rsid w:val="00A83814"/>
    <w:rsid w:val="00A8445B"/>
    <w:rsid w:val="00A8525D"/>
    <w:rsid w:val="00A8592A"/>
    <w:rsid w:val="00A85EBD"/>
    <w:rsid w:val="00A8661C"/>
    <w:rsid w:val="00A86F4D"/>
    <w:rsid w:val="00A8798A"/>
    <w:rsid w:val="00A9117E"/>
    <w:rsid w:val="00A913F6"/>
    <w:rsid w:val="00A92753"/>
    <w:rsid w:val="00A937AB"/>
    <w:rsid w:val="00A95D17"/>
    <w:rsid w:val="00A962B8"/>
    <w:rsid w:val="00AA0288"/>
    <w:rsid w:val="00AA07F4"/>
    <w:rsid w:val="00AA0A75"/>
    <w:rsid w:val="00AA1C27"/>
    <w:rsid w:val="00AA2D38"/>
    <w:rsid w:val="00AA3669"/>
    <w:rsid w:val="00AA4860"/>
    <w:rsid w:val="00AA489E"/>
    <w:rsid w:val="00AA59D7"/>
    <w:rsid w:val="00AA5A28"/>
    <w:rsid w:val="00AA63A0"/>
    <w:rsid w:val="00AA6898"/>
    <w:rsid w:val="00AA6998"/>
    <w:rsid w:val="00AA781C"/>
    <w:rsid w:val="00AB0160"/>
    <w:rsid w:val="00AB34C6"/>
    <w:rsid w:val="00AB42CD"/>
    <w:rsid w:val="00AB449E"/>
    <w:rsid w:val="00AB491C"/>
    <w:rsid w:val="00AB4E9F"/>
    <w:rsid w:val="00AB5391"/>
    <w:rsid w:val="00AB6D9E"/>
    <w:rsid w:val="00AB6E20"/>
    <w:rsid w:val="00AC0172"/>
    <w:rsid w:val="00AC0390"/>
    <w:rsid w:val="00AC0929"/>
    <w:rsid w:val="00AC0C1F"/>
    <w:rsid w:val="00AC0D40"/>
    <w:rsid w:val="00AC1674"/>
    <w:rsid w:val="00AC22D2"/>
    <w:rsid w:val="00AC26D5"/>
    <w:rsid w:val="00AC28B6"/>
    <w:rsid w:val="00AC3122"/>
    <w:rsid w:val="00AC539F"/>
    <w:rsid w:val="00AC6AD2"/>
    <w:rsid w:val="00AD0168"/>
    <w:rsid w:val="00AD11E5"/>
    <w:rsid w:val="00AD12E3"/>
    <w:rsid w:val="00AD1CF2"/>
    <w:rsid w:val="00AD1F53"/>
    <w:rsid w:val="00AD2418"/>
    <w:rsid w:val="00AD28DF"/>
    <w:rsid w:val="00AD2CB9"/>
    <w:rsid w:val="00AD34B1"/>
    <w:rsid w:val="00AD3A77"/>
    <w:rsid w:val="00AD523A"/>
    <w:rsid w:val="00AD544F"/>
    <w:rsid w:val="00AD60D4"/>
    <w:rsid w:val="00AD68F1"/>
    <w:rsid w:val="00AD7425"/>
    <w:rsid w:val="00AD7783"/>
    <w:rsid w:val="00AE0A50"/>
    <w:rsid w:val="00AE0A6F"/>
    <w:rsid w:val="00AE1B7B"/>
    <w:rsid w:val="00AE2545"/>
    <w:rsid w:val="00AE2EBC"/>
    <w:rsid w:val="00AE313D"/>
    <w:rsid w:val="00AE416F"/>
    <w:rsid w:val="00AE4A68"/>
    <w:rsid w:val="00AE5002"/>
    <w:rsid w:val="00AE5F08"/>
    <w:rsid w:val="00AE6463"/>
    <w:rsid w:val="00AE7042"/>
    <w:rsid w:val="00AE7AD5"/>
    <w:rsid w:val="00AF1701"/>
    <w:rsid w:val="00AF22D0"/>
    <w:rsid w:val="00AF3109"/>
    <w:rsid w:val="00AF3144"/>
    <w:rsid w:val="00AF3186"/>
    <w:rsid w:val="00AF31BD"/>
    <w:rsid w:val="00AF449E"/>
    <w:rsid w:val="00AF4ACA"/>
    <w:rsid w:val="00AF4C87"/>
    <w:rsid w:val="00AF506C"/>
    <w:rsid w:val="00AF5545"/>
    <w:rsid w:val="00AF608B"/>
    <w:rsid w:val="00AF64D0"/>
    <w:rsid w:val="00AF6ED8"/>
    <w:rsid w:val="00AF7E7A"/>
    <w:rsid w:val="00AF7F61"/>
    <w:rsid w:val="00B004E4"/>
    <w:rsid w:val="00B00543"/>
    <w:rsid w:val="00B01484"/>
    <w:rsid w:val="00B01C97"/>
    <w:rsid w:val="00B02446"/>
    <w:rsid w:val="00B031A7"/>
    <w:rsid w:val="00B03466"/>
    <w:rsid w:val="00B044DD"/>
    <w:rsid w:val="00B068A2"/>
    <w:rsid w:val="00B07119"/>
    <w:rsid w:val="00B10222"/>
    <w:rsid w:val="00B106B8"/>
    <w:rsid w:val="00B11DBE"/>
    <w:rsid w:val="00B14FFC"/>
    <w:rsid w:val="00B16AC7"/>
    <w:rsid w:val="00B17531"/>
    <w:rsid w:val="00B1754B"/>
    <w:rsid w:val="00B207C8"/>
    <w:rsid w:val="00B21340"/>
    <w:rsid w:val="00B21398"/>
    <w:rsid w:val="00B21E63"/>
    <w:rsid w:val="00B23288"/>
    <w:rsid w:val="00B23556"/>
    <w:rsid w:val="00B24DB8"/>
    <w:rsid w:val="00B24EEF"/>
    <w:rsid w:val="00B25505"/>
    <w:rsid w:val="00B256B7"/>
    <w:rsid w:val="00B25DE0"/>
    <w:rsid w:val="00B265A9"/>
    <w:rsid w:val="00B2786E"/>
    <w:rsid w:val="00B27D7F"/>
    <w:rsid w:val="00B30473"/>
    <w:rsid w:val="00B304EA"/>
    <w:rsid w:val="00B316CA"/>
    <w:rsid w:val="00B320F5"/>
    <w:rsid w:val="00B322D5"/>
    <w:rsid w:val="00B32EBC"/>
    <w:rsid w:val="00B32F71"/>
    <w:rsid w:val="00B33489"/>
    <w:rsid w:val="00B34D63"/>
    <w:rsid w:val="00B36332"/>
    <w:rsid w:val="00B37185"/>
    <w:rsid w:val="00B3777C"/>
    <w:rsid w:val="00B41B15"/>
    <w:rsid w:val="00B42DE2"/>
    <w:rsid w:val="00B44C4B"/>
    <w:rsid w:val="00B46B12"/>
    <w:rsid w:val="00B50A35"/>
    <w:rsid w:val="00B51196"/>
    <w:rsid w:val="00B52E58"/>
    <w:rsid w:val="00B53739"/>
    <w:rsid w:val="00B53B35"/>
    <w:rsid w:val="00B543D0"/>
    <w:rsid w:val="00B5469C"/>
    <w:rsid w:val="00B547AC"/>
    <w:rsid w:val="00B56AF2"/>
    <w:rsid w:val="00B61584"/>
    <w:rsid w:val="00B61DDE"/>
    <w:rsid w:val="00B64130"/>
    <w:rsid w:val="00B64C0B"/>
    <w:rsid w:val="00B658C9"/>
    <w:rsid w:val="00B65905"/>
    <w:rsid w:val="00B66088"/>
    <w:rsid w:val="00B660B9"/>
    <w:rsid w:val="00B66829"/>
    <w:rsid w:val="00B67265"/>
    <w:rsid w:val="00B675FF"/>
    <w:rsid w:val="00B708CA"/>
    <w:rsid w:val="00B7266D"/>
    <w:rsid w:val="00B74219"/>
    <w:rsid w:val="00B75476"/>
    <w:rsid w:val="00B75E56"/>
    <w:rsid w:val="00B761CB"/>
    <w:rsid w:val="00B77105"/>
    <w:rsid w:val="00B77CD7"/>
    <w:rsid w:val="00B8073A"/>
    <w:rsid w:val="00B808FD"/>
    <w:rsid w:val="00B81304"/>
    <w:rsid w:val="00B83114"/>
    <w:rsid w:val="00B84935"/>
    <w:rsid w:val="00B9046A"/>
    <w:rsid w:val="00B91138"/>
    <w:rsid w:val="00B914C8"/>
    <w:rsid w:val="00B929D2"/>
    <w:rsid w:val="00B92AD5"/>
    <w:rsid w:val="00B939F7"/>
    <w:rsid w:val="00B93CFE"/>
    <w:rsid w:val="00B94A26"/>
    <w:rsid w:val="00B95578"/>
    <w:rsid w:val="00B963C3"/>
    <w:rsid w:val="00B968D7"/>
    <w:rsid w:val="00B972B5"/>
    <w:rsid w:val="00B974CF"/>
    <w:rsid w:val="00B97EE6"/>
    <w:rsid w:val="00BA00DF"/>
    <w:rsid w:val="00BA06CC"/>
    <w:rsid w:val="00BA17D0"/>
    <w:rsid w:val="00BA189C"/>
    <w:rsid w:val="00BA2BF0"/>
    <w:rsid w:val="00BA3EDA"/>
    <w:rsid w:val="00BA4B9B"/>
    <w:rsid w:val="00BA4BFA"/>
    <w:rsid w:val="00BA572B"/>
    <w:rsid w:val="00BA5EDE"/>
    <w:rsid w:val="00BA6931"/>
    <w:rsid w:val="00BA69D1"/>
    <w:rsid w:val="00BA6CAF"/>
    <w:rsid w:val="00BA7296"/>
    <w:rsid w:val="00BB0E0B"/>
    <w:rsid w:val="00BB1838"/>
    <w:rsid w:val="00BB1ADC"/>
    <w:rsid w:val="00BB1C29"/>
    <w:rsid w:val="00BB34CC"/>
    <w:rsid w:val="00BB4772"/>
    <w:rsid w:val="00BB49A2"/>
    <w:rsid w:val="00BB7183"/>
    <w:rsid w:val="00BC0693"/>
    <w:rsid w:val="00BC0810"/>
    <w:rsid w:val="00BC08E2"/>
    <w:rsid w:val="00BC0EE6"/>
    <w:rsid w:val="00BC17F1"/>
    <w:rsid w:val="00BC201C"/>
    <w:rsid w:val="00BC265C"/>
    <w:rsid w:val="00BC2A7A"/>
    <w:rsid w:val="00BC3819"/>
    <w:rsid w:val="00BC3866"/>
    <w:rsid w:val="00BC53EC"/>
    <w:rsid w:val="00BC572A"/>
    <w:rsid w:val="00BC58C7"/>
    <w:rsid w:val="00BC7BB4"/>
    <w:rsid w:val="00BD0C2C"/>
    <w:rsid w:val="00BD1F9C"/>
    <w:rsid w:val="00BD2BCB"/>
    <w:rsid w:val="00BD3ACE"/>
    <w:rsid w:val="00BD4532"/>
    <w:rsid w:val="00BD49BE"/>
    <w:rsid w:val="00BD6099"/>
    <w:rsid w:val="00BD67BA"/>
    <w:rsid w:val="00BD6A73"/>
    <w:rsid w:val="00BE01FD"/>
    <w:rsid w:val="00BE1237"/>
    <w:rsid w:val="00BE15FC"/>
    <w:rsid w:val="00BE314A"/>
    <w:rsid w:val="00BE3BF6"/>
    <w:rsid w:val="00BE3C01"/>
    <w:rsid w:val="00BE5146"/>
    <w:rsid w:val="00BE57C3"/>
    <w:rsid w:val="00BE7F52"/>
    <w:rsid w:val="00BF19B5"/>
    <w:rsid w:val="00BF1D03"/>
    <w:rsid w:val="00BF1FCF"/>
    <w:rsid w:val="00BF275D"/>
    <w:rsid w:val="00BF30E3"/>
    <w:rsid w:val="00BF31F1"/>
    <w:rsid w:val="00BF3202"/>
    <w:rsid w:val="00BF345B"/>
    <w:rsid w:val="00BF35E1"/>
    <w:rsid w:val="00BF39A8"/>
    <w:rsid w:val="00BF49F6"/>
    <w:rsid w:val="00BF726F"/>
    <w:rsid w:val="00BF73BE"/>
    <w:rsid w:val="00BF7A47"/>
    <w:rsid w:val="00BF7C73"/>
    <w:rsid w:val="00BF7E8F"/>
    <w:rsid w:val="00C00078"/>
    <w:rsid w:val="00C00230"/>
    <w:rsid w:val="00C01D31"/>
    <w:rsid w:val="00C026A2"/>
    <w:rsid w:val="00C02F80"/>
    <w:rsid w:val="00C036EC"/>
    <w:rsid w:val="00C03BF2"/>
    <w:rsid w:val="00C03EE7"/>
    <w:rsid w:val="00C06F43"/>
    <w:rsid w:val="00C11338"/>
    <w:rsid w:val="00C11806"/>
    <w:rsid w:val="00C11F1B"/>
    <w:rsid w:val="00C132B0"/>
    <w:rsid w:val="00C13E98"/>
    <w:rsid w:val="00C13F6C"/>
    <w:rsid w:val="00C14956"/>
    <w:rsid w:val="00C15019"/>
    <w:rsid w:val="00C157A7"/>
    <w:rsid w:val="00C17258"/>
    <w:rsid w:val="00C212B3"/>
    <w:rsid w:val="00C21EB1"/>
    <w:rsid w:val="00C2209D"/>
    <w:rsid w:val="00C226DF"/>
    <w:rsid w:val="00C227A5"/>
    <w:rsid w:val="00C24017"/>
    <w:rsid w:val="00C262D6"/>
    <w:rsid w:val="00C30A5E"/>
    <w:rsid w:val="00C347C5"/>
    <w:rsid w:val="00C40B29"/>
    <w:rsid w:val="00C42094"/>
    <w:rsid w:val="00C42615"/>
    <w:rsid w:val="00C43346"/>
    <w:rsid w:val="00C4347D"/>
    <w:rsid w:val="00C43607"/>
    <w:rsid w:val="00C438F5"/>
    <w:rsid w:val="00C43EE1"/>
    <w:rsid w:val="00C44256"/>
    <w:rsid w:val="00C4448B"/>
    <w:rsid w:val="00C45728"/>
    <w:rsid w:val="00C50FEF"/>
    <w:rsid w:val="00C51198"/>
    <w:rsid w:val="00C54A6D"/>
    <w:rsid w:val="00C54B30"/>
    <w:rsid w:val="00C55A41"/>
    <w:rsid w:val="00C57220"/>
    <w:rsid w:val="00C60165"/>
    <w:rsid w:val="00C60A78"/>
    <w:rsid w:val="00C611D8"/>
    <w:rsid w:val="00C618F9"/>
    <w:rsid w:val="00C61A99"/>
    <w:rsid w:val="00C625E0"/>
    <w:rsid w:val="00C6319A"/>
    <w:rsid w:val="00C633C5"/>
    <w:rsid w:val="00C644DC"/>
    <w:rsid w:val="00C644EC"/>
    <w:rsid w:val="00C6499D"/>
    <w:rsid w:val="00C67CEF"/>
    <w:rsid w:val="00C7004F"/>
    <w:rsid w:val="00C7106E"/>
    <w:rsid w:val="00C72BA5"/>
    <w:rsid w:val="00C72D82"/>
    <w:rsid w:val="00C72DAC"/>
    <w:rsid w:val="00C733B6"/>
    <w:rsid w:val="00C736F3"/>
    <w:rsid w:val="00C7556F"/>
    <w:rsid w:val="00C75839"/>
    <w:rsid w:val="00C77239"/>
    <w:rsid w:val="00C8088A"/>
    <w:rsid w:val="00C815ED"/>
    <w:rsid w:val="00C817B1"/>
    <w:rsid w:val="00C81A52"/>
    <w:rsid w:val="00C82408"/>
    <w:rsid w:val="00C82505"/>
    <w:rsid w:val="00C82862"/>
    <w:rsid w:val="00C82BC4"/>
    <w:rsid w:val="00C82C06"/>
    <w:rsid w:val="00C8323B"/>
    <w:rsid w:val="00C835AF"/>
    <w:rsid w:val="00C86737"/>
    <w:rsid w:val="00C87562"/>
    <w:rsid w:val="00C91D65"/>
    <w:rsid w:val="00C92AD3"/>
    <w:rsid w:val="00C93EB0"/>
    <w:rsid w:val="00C949DA"/>
    <w:rsid w:val="00C95224"/>
    <w:rsid w:val="00C95CA4"/>
    <w:rsid w:val="00C95D88"/>
    <w:rsid w:val="00C96D2B"/>
    <w:rsid w:val="00C97527"/>
    <w:rsid w:val="00C97DD1"/>
    <w:rsid w:val="00CA07A5"/>
    <w:rsid w:val="00CA26E8"/>
    <w:rsid w:val="00CA4614"/>
    <w:rsid w:val="00CA4A6F"/>
    <w:rsid w:val="00CA59D1"/>
    <w:rsid w:val="00CA68D7"/>
    <w:rsid w:val="00CA6E5C"/>
    <w:rsid w:val="00CA702C"/>
    <w:rsid w:val="00CA72CC"/>
    <w:rsid w:val="00CA7DDE"/>
    <w:rsid w:val="00CB0136"/>
    <w:rsid w:val="00CB05CC"/>
    <w:rsid w:val="00CB0B63"/>
    <w:rsid w:val="00CB130B"/>
    <w:rsid w:val="00CB1BF8"/>
    <w:rsid w:val="00CB2802"/>
    <w:rsid w:val="00CB59D0"/>
    <w:rsid w:val="00CB5E02"/>
    <w:rsid w:val="00CB7C04"/>
    <w:rsid w:val="00CC0371"/>
    <w:rsid w:val="00CC0B15"/>
    <w:rsid w:val="00CC327A"/>
    <w:rsid w:val="00CC3357"/>
    <w:rsid w:val="00CC649D"/>
    <w:rsid w:val="00CC6810"/>
    <w:rsid w:val="00CC7AF4"/>
    <w:rsid w:val="00CC7D04"/>
    <w:rsid w:val="00CD0138"/>
    <w:rsid w:val="00CD2E1A"/>
    <w:rsid w:val="00CD3750"/>
    <w:rsid w:val="00CD465F"/>
    <w:rsid w:val="00CD63FA"/>
    <w:rsid w:val="00CD643F"/>
    <w:rsid w:val="00CD6B18"/>
    <w:rsid w:val="00CD6C23"/>
    <w:rsid w:val="00CD6C4E"/>
    <w:rsid w:val="00CD7390"/>
    <w:rsid w:val="00CD7586"/>
    <w:rsid w:val="00CD7EFA"/>
    <w:rsid w:val="00CE15C5"/>
    <w:rsid w:val="00CE2251"/>
    <w:rsid w:val="00CE49EA"/>
    <w:rsid w:val="00CE5ACD"/>
    <w:rsid w:val="00CE6405"/>
    <w:rsid w:val="00CE72D2"/>
    <w:rsid w:val="00CE7322"/>
    <w:rsid w:val="00CE7531"/>
    <w:rsid w:val="00CF0105"/>
    <w:rsid w:val="00CF04A2"/>
    <w:rsid w:val="00CF0C9D"/>
    <w:rsid w:val="00CF0CCD"/>
    <w:rsid w:val="00CF15B9"/>
    <w:rsid w:val="00CF189B"/>
    <w:rsid w:val="00CF38F2"/>
    <w:rsid w:val="00CF43A5"/>
    <w:rsid w:val="00CF5A45"/>
    <w:rsid w:val="00CF5DA4"/>
    <w:rsid w:val="00CF6794"/>
    <w:rsid w:val="00CF6BD7"/>
    <w:rsid w:val="00D00640"/>
    <w:rsid w:val="00D007DC"/>
    <w:rsid w:val="00D00815"/>
    <w:rsid w:val="00D01D64"/>
    <w:rsid w:val="00D02B6F"/>
    <w:rsid w:val="00D02BB0"/>
    <w:rsid w:val="00D03729"/>
    <w:rsid w:val="00D03BB7"/>
    <w:rsid w:val="00D05A75"/>
    <w:rsid w:val="00D05BD2"/>
    <w:rsid w:val="00D065FD"/>
    <w:rsid w:val="00D07F56"/>
    <w:rsid w:val="00D07FE3"/>
    <w:rsid w:val="00D10B98"/>
    <w:rsid w:val="00D12009"/>
    <w:rsid w:val="00D12B86"/>
    <w:rsid w:val="00D13C89"/>
    <w:rsid w:val="00D13FE1"/>
    <w:rsid w:val="00D14107"/>
    <w:rsid w:val="00D14E95"/>
    <w:rsid w:val="00D14EA5"/>
    <w:rsid w:val="00D16FE4"/>
    <w:rsid w:val="00D172AA"/>
    <w:rsid w:val="00D2001D"/>
    <w:rsid w:val="00D21972"/>
    <w:rsid w:val="00D21B75"/>
    <w:rsid w:val="00D22D0C"/>
    <w:rsid w:val="00D22E24"/>
    <w:rsid w:val="00D236DE"/>
    <w:rsid w:val="00D24A29"/>
    <w:rsid w:val="00D274FC"/>
    <w:rsid w:val="00D27923"/>
    <w:rsid w:val="00D30920"/>
    <w:rsid w:val="00D30E03"/>
    <w:rsid w:val="00D34195"/>
    <w:rsid w:val="00D35988"/>
    <w:rsid w:val="00D35AFA"/>
    <w:rsid w:val="00D36578"/>
    <w:rsid w:val="00D37BBA"/>
    <w:rsid w:val="00D4018E"/>
    <w:rsid w:val="00D41D6C"/>
    <w:rsid w:val="00D42C78"/>
    <w:rsid w:val="00D43304"/>
    <w:rsid w:val="00D448BA"/>
    <w:rsid w:val="00D45133"/>
    <w:rsid w:val="00D451DA"/>
    <w:rsid w:val="00D454CE"/>
    <w:rsid w:val="00D46ABA"/>
    <w:rsid w:val="00D4724B"/>
    <w:rsid w:val="00D47B7A"/>
    <w:rsid w:val="00D47BE6"/>
    <w:rsid w:val="00D508EA"/>
    <w:rsid w:val="00D50EB7"/>
    <w:rsid w:val="00D510E7"/>
    <w:rsid w:val="00D51362"/>
    <w:rsid w:val="00D51834"/>
    <w:rsid w:val="00D52E1C"/>
    <w:rsid w:val="00D53B5F"/>
    <w:rsid w:val="00D53D0B"/>
    <w:rsid w:val="00D53DBD"/>
    <w:rsid w:val="00D5553D"/>
    <w:rsid w:val="00D566CA"/>
    <w:rsid w:val="00D56F00"/>
    <w:rsid w:val="00D574DA"/>
    <w:rsid w:val="00D608AD"/>
    <w:rsid w:val="00D62F53"/>
    <w:rsid w:val="00D63653"/>
    <w:rsid w:val="00D63EDB"/>
    <w:rsid w:val="00D63EF9"/>
    <w:rsid w:val="00D642FA"/>
    <w:rsid w:val="00D65841"/>
    <w:rsid w:val="00D6698F"/>
    <w:rsid w:val="00D71021"/>
    <w:rsid w:val="00D713CD"/>
    <w:rsid w:val="00D72041"/>
    <w:rsid w:val="00D72953"/>
    <w:rsid w:val="00D72DB5"/>
    <w:rsid w:val="00D7355A"/>
    <w:rsid w:val="00D74299"/>
    <w:rsid w:val="00D7457C"/>
    <w:rsid w:val="00D752F3"/>
    <w:rsid w:val="00D77405"/>
    <w:rsid w:val="00D80443"/>
    <w:rsid w:val="00D8070E"/>
    <w:rsid w:val="00D82574"/>
    <w:rsid w:val="00D8284A"/>
    <w:rsid w:val="00D83F6A"/>
    <w:rsid w:val="00D843FF"/>
    <w:rsid w:val="00D91DDF"/>
    <w:rsid w:val="00D92FAF"/>
    <w:rsid w:val="00D9410B"/>
    <w:rsid w:val="00D95386"/>
    <w:rsid w:val="00D95456"/>
    <w:rsid w:val="00D96CB9"/>
    <w:rsid w:val="00D96EEE"/>
    <w:rsid w:val="00D97295"/>
    <w:rsid w:val="00D97BED"/>
    <w:rsid w:val="00DA3DAD"/>
    <w:rsid w:val="00DA4041"/>
    <w:rsid w:val="00DA4095"/>
    <w:rsid w:val="00DA51D5"/>
    <w:rsid w:val="00DA6741"/>
    <w:rsid w:val="00DA6907"/>
    <w:rsid w:val="00DA6D2B"/>
    <w:rsid w:val="00DA6FA6"/>
    <w:rsid w:val="00DB12F8"/>
    <w:rsid w:val="00DB1D87"/>
    <w:rsid w:val="00DB1FF1"/>
    <w:rsid w:val="00DB4315"/>
    <w:rsid w:val="00DB4F8F"/>
    <w:rsid w:val="00DB52AB"/>
    <w:rsid w:val="00DB6451"/>
    <w:rsid w:val="00DB6A87"/>
    <w:rsid w:val="00DC02FE"/>
    <w:rsid w:val="00DC0E80"/>
    <w:rsid w:val="00DC15C6"/>
    <w:rsid w:val="00DC1608"/>
    <w:rsid w:val="00DC1CD2"/>
    <w:rsid w:val="00DC3515"/>
    <w:rsid w:val="00DD0470"/>
    <w:rsid w:val="00DD5473"/>
    <w:rsid w:val="00DD58EC"/>
    <w:rsid w:val="00DD5FF2"/>
    <w:rsid w:val="00DD6DA3"/>
    <w:rsid w:val="00DD79BA"/>
    <w:rsid w:val="00DE07A3"/>
    <w:rsid w:val="00DE24ED"/>
    <w:rsid w:val="00DE2AB4"/>
    <w:rsid w:val="00DE4D45"/>
    <w:rsid w:val="00DE58DE"/>
    <w:rsid w:val="00DE6FE5"/>
    <w:rsid w:val="00DE787A"/>
    <w:rsid w:val="00DE7BBA"/>
    <w:rsid w:val="00DF02A6"/>
    <w:rsid w:val="00DF093D"/>
    <w:rsid w:val="00DF1665"/>
    <w:rsid w:val="00DF2E8E"/>
    <w:rsid w:val="00DF4F01"/>
    <w:rsid w:val="00DF5890"/>
    <w:rsid w:val="00DF597C"/>
    <w:rsid w:val="00DF6519"/>
    <w:rsid w:val="00E0114C"/>
    <w:rsid w:val="00E01311"/>
    <w:rsid w:val="00E0224C"/>
    <w:rsid w:val="00E0239A"/>
    <w:rsid w:val="00E02CDB"/>
    <w:rsid w:val="00E03DE6"/>
    <w:rsid w:val="00E0504D"/>
    <w:rsid w:val="00E058F2"/>
    <w:rsid w:val="00E05FDD"/>
    <w:rsid w:val="00E0771B"/>
    <w:rsid w:val="00E079D7"/>
    <w:rsid w:val="00E07A7D"/>
    <w:rsid w:val="00E100E2"/>
    <w:rsid w:val="00E11A2B"/>
    <w:rsid w:val="00E11AA0"/>
    <w:rsid w:val="00E12050"/>
    <w:rsid w:val="00E1396A"/>
    <w:rsid w:val="00E14718"/>
    <w:rsid w:val="00E14F0F"/>
    <w:rsid w:val="00E15CC4"/>
    <w:rsid w:val="00E15D27"/>
    <w:rsid w:val="00E1702A"/>
    <w:rsid w:val="00E17CA9"/>
    <w:rsid w:val="00E17FF4"/>
    <w:rsid w:val="00E215E8"/>
    <w:rsid w:val="00E22169"/>
    <w:rsid w:val="00E24C07"/>
    <w:rsid w:val="00E24FC3"/>
    <w:rsid w:val="00E25DDD"/>
    <w:rsid w:val="00E26CA7"/>
    <w:rsid w:val="00E277A1"/>
    <w:rsid w:val="00E3049A"/>
    <w:rsid w:val="00E31985"/>
    <w:rsid w:val="00E32241"/>
    <w:rsid w:val="00E32496"/>
    <w:rsid w:val="00E328BD"/>
    <w:rsid w:val="00E33A2D"/>
    <w:rsid w:val="00E33E1B"/>
    <w:rsid w:val="00E36237"/>
    <w:rsid w:val="00E3698C"/>
    <w:rsid w:val="00E40CD6"/>
    <w:rsid w:val="00E41CAB"/>
    <w:rsid w:val="00E44030"/>
    <w:rsid w:val="00E45B3E"/>
    <w:rsid w:val="00E45D80"/>
    <w:rsid w:val="00E45DB2"/>
    <w:rsid w:val="00E45E63"/>
    <w:rsid w:val="00E46535"/>
    <w:rsid w:val="00E501E3"/>
    <w:rsid w:val="00E50856"/>
    <w:rsid w:val="00E5295D"/>
    <w:rsid w:val="00E535AB"/>
    <w:rsid w:val="00E5384E"/>
    <w:rsid w:val="00E57D3C"/>
    <w:rsid w:val="00E61ED6"/>
    <w:rsid w:val="00E64FEA"/>
    <w:rsid w:val="00E67523"/>
    <w:rsid w:val="00E67551"/>
    <w:rsid w:val="00E679F5"/>
    <w:rsid w:val="00E67C76"/>
    <w:rsid w:val="00E708D8"/>
    <w:rsid w:val="00E710F7"/>
    <w:rsid w:val="00E71822"/>
    <w:rsid w:val="00E72BA6"/>
    <w:rsid w:val="00E737BA"/>
    <w:rsid w:val="00E73A49"/>
    <w:rsid w:val="00E768DB"/>
    <w:rsid w:val="00E76F51"/>
    <w:rsid w:val="00E8036A"/>
    <w:rsid w:val="00E80388"/>
    <w:rsid w:val="00E8134F"/>
    <w:rsid w:val="00E81627"/>
    <w:rsid w:val="00E82203"/>
    <w:rsid w:val="00E8228F"/>
    <w:rsid w:val="00E8285B"/>
    <w:rsid w:val="00E831FC"/>
    <w:rsid w:val="00E84171"/>
    <w:rsid w:val="00E85551"/>
    <w:rsid w:val="00E85C35"/>
    <w:rsid w:val="00E85DCD"/>
    <w:rsid w:val="00E8602A"/>
    <w:rsid w:val="00E8622F"/>
    <w:rsid w:val="00E87138"/>
    <w:rsid w:val="00E8745B"/>
    <w:rsid w:val="00E90270"/>
    <w:rsid w:val="00E90703"/>
    <w:rsid w:val="00E9113C"/>
    <w:rsid w:val="00E9190D"/>
    <w:rsid w:val="00E92266"/>
    <w:rsid w:val="00E927DE"/>
    <w:rsid w:val="00E92BB5"/>
    <w:rsid w:val="00E94E64"/>
    <w:rsid w:val="00E952A0"/>
    <w:rsid w:val="00E9614E"/>
    <w:rsid w:val="00E97190"/>
    <w:rsid w:val="00E9732D"/>
    <w:rsid w:val="00E976AF"/>
    <w:rsid w:val="00EA0773"/>
    <w:rsid w:val="00EA1465"/>
    <w:rsid w:val="00EA187B"/>
    <w:rsid w:val="00EA1FCE"/>
    <w:rsid w:val="00EA2D77"/>
    <w:rsid w:val="00EA2F9C"/>
    <w:rsid w:val="00EA30A2"/>
    <w:rsid w:val="00EA3474"/>
    <w:rsid w:val="00EA347C"/>
    <w:rsid w:val="00EA37E9"/>
    <w:rsid w:val="00EA41A1"/>
    <w:rsid w:val="00EA4AD0"/>
    <w:rsid w:val="00EA4E9B"/>
    <w:rsid w:val="00EA669E"/>
    <w:rsid w:val="00EA7006"/>
    <w:rsid w:val="00EA748C"/>
    <w:rsid w:val="00EB01C9"/>
    <w:rsid w:val="00EB01E8"/>
    <w:rsid w:val="00EB073D"/>
    <w:rsid w:val="00EB0C2A"/>
    <w:rsid w:val="00EB247F"/>
    <w:rsid w:val="00EB2548"/>
    <w:rsid w:val="00EB5C92"/>
    <w:rsid w:val="00EB5DC7"/>
    <w:rsid w:val="00EB6259"/>
    <w:rsid w:val="00EB6CA0"/>
    <w:rsid w:val="00EC13B0"/>
    <w:rsid w:val="00EC20F5"/>
    <w:rsid w:val="00EC2B03"/>
    <w:rsid w:val="00EC30A8"/>
    <w:rsid w:val="00EC4658"/>
    <w:rsid w:val="00EC477D"/>
    <w:rsid w:val="00EC4808"/>
    <w:rsid w:val="00EC4FA5"/>
    <w:rsid w:val="00EC5168"/>
    <w:rsid w:val="00EC5969"/>
    <w:rsid w:val="00EC5F9B"/>
    <w:rsid w:val="00EC5FB8"/>
    <w:rsid w:val="00EC6E2F"/>
    <w:rsid w:val="00EC7822"/>
    <w:rsid w:val="00EC7D16"/>
    <w:rsid w:val="00ED00A0"/>
    <w:rsid w:val="00ED0366"/>
    <w:rsid w:val="00ED0E51"/>
    <w:rsid w:val="00ED2859"/>
    <w:rsid w:val="00ED3D08"/>
    <w:rsid w:val="00ED43CE"/>
    <w:rsid w:val="00ED4B56"/>
    <w:rsid w:val="00ED4CFB"/>
    <w:rsid w:val="00ED4F81"/>
    <w:rsid w:val="00ED5411"/>
    <w:rsid w:val="00ED5A67"/>
    <w:rsid w:val="00ED6ACC"/>
    <w:rsid w:val="00EE006E"/>
    <w:rsid w:val="00EE074B"/>
    <w:rsid w:val="00EE09A7"/>
    <w:rsid w:val="00EE108C"/>
    <w:rsid w:val="00EE254C"/>
    <w:rsid w:val="00EE4691"/>
    <w:rsid w:val="00EE49CD"/>
    <w:rsid w:val="00EE62B3"/>
    <w:rsid w:val="00EE6695"/>
    <w:rsid w:val="00EE674C"/>
    <w:rsid w:val="00EE7852"/>
    <w:rsid w:val="00EF0361"/>
    <w:rsid w:val="00EF0A02"/>
    <w:rsid w:val="00EF0E3D"/>
    <w:rsid w:val="00EF2F41"/>
    <w:rsid w:val="00EF3485"/>
    <w:rsid w:val="00EF3609"/>
    <w:rsid w:val="00EF3DE7"/>
    <w:rsid w:val="00EF49E2"/>
    <w:rsid w:val="00EF669F"/>
    <w:rsid w:val="00EF68BC"/>
    <w:rsid w:val="00EF6D9C"/>
    <w:rsid w:val="00EF72D0"/>
    <w:rsid w:val="00EF7608"/>
    <w:rsid w:val="00EF7779"/>
    <w:rsid w:val="00EF7C4E"/>
    <w:rsid w:val="00F002E6"/>
    <w:rsid w:val="00F00366"/>
    <w:rsid w:val="00F004A3"/>
    <w:rsid w:val="00F01691"/>
    <w:rsid w:val="00F016F5"/>
    <w:rsid w:val="00F02544"/>
    <w:rsid w:val="00F0286D"/>
    <w:rsid w:val="00F02BB9"/>
    <w:rsid w:val="00F03975"/>
    <w:rsid w:val="00F03B32"/>
    <w:rsid w:val="00F03B41"/>
    <w:rsid w:val="00F04126"/>
    <w:rsid w:val="00F04CF3"/>
    <w:rsid w:val="00F0619D"/>
    <w:rsid w:val="00F06733"/>
    <w:rsid w:val="00F06EDA"/>
    <w:rsid w:val="00F07420"/>
    <w:rsid w:val="00F0793B"/>
    <w:rsid w:val="00F10CC1"/>
    <w:rsid w:val="00F11187"/>
    <w:rsid w:val="00F1323C"/>
    <w:rsid w:val="00F13A9E"/>
    <w:rsid w:val="00F13F9B"/>
    <w:rsid w:val="00F15E7C"/>
    <w:rsid w:val="00F168FB"/>
    <w:rsid w:val="00F16E86"/>
    <w:rsid w:val="00F202FC"/>
    <w:rsid w:val="00F2036E"/>
    <w:rsid w:val="00F20C4A"/>
    <w:rsid w:val="00F2170E"/>
    <w:rsid w:val="00F24F81"/>
    <w:rsid w:val="00F26225"/>
    <w:rsid w:val="00F26C2D"/>
    <w:rsid w:val="00F30AE8"/>
    <w:rsid w:val="00F31004"/>
    <w:rsid w:val="00F311C6"/>
    <w:rsid w:val="00F33AD2"/>
    <w:rsid w:val="00F342B0"/>
    <w:rsid w:val="00F3461C"/>
    <w:rsid w:val="00F34FAF"/>
    <w:rsid w:val="00F35496"/>
    <w:rsid w:val="00F3567F"/>
    <w:rsid w:val="00F359B0"/>
    <w:rsid w:val="00F361C1"/>
    <w:rsid w:val="00F367C2"/>
    <w:rsid w:val="00F36D17"/>
    <w:rsid w:val="00F37865"/>
    <w:rsid w:val="00F400DB"/>
    <w:rsid w:val="00F40183"/>
    <w:rsid w:val="00F40418"/>
    <w:rsid w:val="00F40958"/>
    <w:rsid w:val="00F40E23"/>
    <w:rsid w:val="00F41F48"/>
    <w:rsid w:val="00F42640"/>
    <w:rsid w:val="00F42870"/>
    <w:rsid w:val="00F42E9F"/>
    <w:rsid w:val="00F433E4"/>
    <w:rsid w:val="00F441A8"/>
    <w:rsid w:val="00F450B8"/>
    <w:rsid w:val="00F4543A"/>
    <w:rsid w:val="00F4615E"/>
    <w:rsid w:val="00F46EEB"/>
    <w:rsid w:val="00F47DBF"/>
    <w:rsid w:val="00F5012F"/>
    <w:rsid w:val="00F5077A"/>
    <w:rsid w:val="00F509D2"/>
    <w:rsid w:val="00F50A39"/>
    <w:rsid w:val="00F50E06"/>
    <w:rsid w:val="00F50FBD"/>
    <w:rsid w:val="00F51171"/>
    <w:rsid w:val="00F52169"/>
    <w:rsid w:val="00F5250C"/>
    <w:rsid w:val="00F53681"/>
    <w:rsid w:val="00F53CAD"/>
    <w:rsid w:val="00F545CC"/>
    <w:rsid w:val="00F5723D"/>
    <w:rsid w:val="00F5727C"/>
    <w:rsid w:val="00F57F1F"/>
    <w:rsid w:val="00F63A71"/>
    <w:rsid w:val="00F63B22"/>
    <w:rsid w:val="00F642F5"/>
    <w:rsid w:val="00F649E4"/>
    <w:rsid w:val="00F66819"/>
    <w:rsid w:val="00F66C91"/>
    <w:rsid w:val="00F70898"/>
    <w:rsid w:val="00F70BAD"/>
    <w:rsid w:val="00F716AE"/>
    <w:rsid w:val="00F71EA6"/>
    <w:rsid w:val="00F71F69"/>
    <w:rsid w:val="00F72667"/>
    <w:rsid w:val="00F73395"/>
    <w:rsid w:val="00F73423"/>
    <w:rsid w:val="00F74AB5"/>
    <w:rsid w:val="00F750FC"/>
    <w:rsid w:val="00F7520C"/>
    <w:rsid w:val="00F75756"/>
    <w:rsid w:val="00F75787"/>
    <w:rsid w:val="00F75B16"/>
    <w:rsid w:val="00F75D09"/>
    <w:rsid w:val="00F76544"/>
    <w:rsid w:val="00F76FD0"/>
    <w:rsid w:val="00F806AF"/>
    <w:rsid w:val="00F80931"/>
    <w:rsid w:val="00F80C68"/>
    <w:rsid w:val="00F83BDB"/>
    <w:rsid w:val="00F8481A"/>
    <w:rsid w:val="00F84B91"/>
    <w:rsid w:val="00F8509C"/>
    <w:rsid w:val="00F854B9"/>
    <w:rsid w:val="00F90199"/>
    <w:rsid w:val="00F92D1A"/>
    <w:rsid w:val="00F93455"/>
    <w:rsid w:val="00F93F21"/>
    <w:rsid w:val="00F94B81"/>
    <w:rsid w:val="00F955D1"/>
    <w:rsid w:val="00F9595E"/>
    <w:rsid w:val="00F960EB"/>
    <w:rsid w:val="00F96628"/>
    <w:rsid w:val="00F966B8"/>
    <w:rsid w:val="00F969CA"/>
    <w:rsid w:val="00F97283"/>
    <w:rsid w:val="00F97712"/>
    <w:rsid w:val="00F97F7E"/>
    <w:rsid w:val="00FA04D7"/>
    <w:rsid w:val="00FA0585"/>
    <w:rsid w:val="00FA0BB6"/>
    <w:rsid w:val="00FA13E5"/>
    <w:rsid w:val="00FA18B5"/>
    <w:rsid w:val="00FA192E"/>
    <w:rsid w:val="00FA2383"/>
    <w:rsid w:val="00FA2834"/>
    <w:rsid w:val="00FA2ACE"/>
    <w:rsid w:val="00FA561E"/>
    <w:rsid w:val="00FA661F"/>
    <w:rsid w:val="00FA69D1"/>
    <w:rsid w:val="00FA76CB"/>
    <w:rsid w:val="00FA7746"/>
    <w:rsid w:val="00FA7792"/>
    <w:rsid w:val="00FB0939"/>
    <w:rsid w:val="00FB11CF"/>
    <w:rsid w:val="00FB203E"/>
    <w:rsid w:val="00FB27FA"/>
    <w:rsid w:val="00FB2FCD"/>
    <w:rsid w:val="00FB4D29"/>
    <w:rsid w:val="00FB5A12"/>
    <w:rsid w:val="00FB60FC"/>
    <w:rsid w:val="00FC196E"/>
    <w:rsid w:val="00FC1A56"/>
    <w:rsid w:val="00FC2733"/>
    <w:rsid w:val="00FC2D5B"/>
    <w:rsid w:val="00FC348B"/>
    <w:rsid w:val="00FC48B3"/>
    <w:rsid w:val="00FC4FD8"/>
    <w:rsid w:val="00FC59ED"/>
    <w:rsid w:val="00FC6570"/>
    <w:rsid w:val="00FC68D8"/>
    <w:rsid w:val="00FD07CA"/>
    <w:rsid w:val="00FD2666"/>
    <w:rsid w:val="00FD38BC"/>
    <w:rsid w:val="00FD629D"/>
    <w:rsid w:val="00FD69F1"/>
    <w:rsid w:val="00FD6BAD"/>
    <w:rsid w:val="00FD6EB5"/>
    <w:rsid w:val="00FD7BC2"/>
    <w:rsid w:val="00FE0246"/>
    <w:rsid w:val="00FE090C"/>
    <w:rsid w:val="00FE0D46"/>
    <w:rsid w:val="00FE0D5C"/>
    <w:rsid w:val="00FE1824"/>
    <w:rsid w:val="00FE1CED"/>
    <w:rsid w:val="00FE30D8"/>
    <w:rsid w:val="00FE538E"/>
    <w:rsid w:val="00FE5D9F"/>
    <w:rsid w:val="00FE6484"/>
    <w:rsid w:val="00FE74E3"/>
    <w:rsid w:val="00FE76B8"/>
    <w:rsid w:val="00FE7736"/>
    <w:rsid w:val="00FF1A5D"/>
    <w:rsid w:val="00FF1CDF"/>
    <w:rsid w:val="00FF1DC9"/>
    <w:rsid w:val="00FF2472"/>
    <w:rsid w:val="00FF4CE0"/>
    <w:rsid w:val="00FF5D2E"/>
    <w:rsid w:val="00FF67A1"/>
    <w:rsid w:val="00FF6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787"/>
    <w:pPr>
      <w:jc w:val="both"/>
    </w:pPr>
    <w:rPr>
      <w:sz w:val="24"/>
      <w:szCs w:val="24"/>
    </w:rPr>
  </w:style>
  <w:style w:type="paragraph" w:styleId="Heading1">
    <w:name w:val="heading 1"/>
    <w:basedOn w:val="Heading2"/>
    <w:next w:val="Normal"/>
    <w:qFormat/>
    <w:rsid w:val="003965CB"/>
    <w:pPr>
      <w:outlineLvl w:val="0"/>
    </w:pPr>
    <w:rPr>
      <w:caps/>
      <w:szCs w:val="28"/>
    </w:rPr>
  </w:style>
  <w:style w:type="paragraph" w:styleId="Heading2">
    <w:name w:val="heading 2"/>
    <w:basedOn w:val="Normal"/>
    <w:next w:val="Normal"/>
    <w:qFormat/>
    <w:rsid w:val="00F75787"/>
    <w:pPr>
      <w:keepNext/>
      <w:spacing w:line="480" w:lineRule="auto"/>
      <w:outlineLvl w:val="1"/>
    </w:pPr>
    <w:rPr>
      <w:b/>
      <w:bCs/>
      <w:iCs/>
    </w:rPr>
  </w:style>
  <w:style w:type="paragraph" w:styleId="Heading3">
    <w:name w:val="heading 3"/>
    <w:basedOn w:val="Heading2"/>
    <w:next w:val="Normal"/>
    <w:qFormat/>
    <w:rsid w:val="00F75787"/>
    <w:pPr>
      <w:outlineLvl w:val="2"/>
    </w:pPr>
    <w:rPr>
      <w:b w:val="0"/>
      <w:u w:val="single"/>
    </w:rPr>
  </w:style>
  <w:style w:type="paragraph" w:styleId="Heading5">
    <w:name w:val="heading 5"/>
    <w:basedOn w:val="Normal"/>
    <w:next w:val="Normal"/>
    <w:link w:val="Heading5Char"/>
    <w:uiPriority w:val="9"/>
    <w:semiHidden/>
    <w:unhideWhenUsed/>
    <w:qFormat/>
    <w:rsid w:val="006D645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qFormat/>
    <w:rsid w:val="00F7578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706D42"/>
  </w:style>
  <w:style w:type="paragraph" w:customStyle="1" w:styleId="Question">
    <w:name w:val="Question"/>
    <w:basedOn w:val="Normal"/>
    <w:link w:val="QuestionChar"/>
    <w:rsid w:val="00F75787"/>
    <w:pPr>
      <w:spacing w:line="480" w:lineRule="auto"/>
      <w:ind w:left="720" w:hanging="720"/>
    </w:pPr>
    <w:rPr>
      <w:b/>
      <w:bCs/>
      <w:szCs w:val="20"/>
    </w:rPr>
  </w:style>
  <w:style w:type="character" w:customStyle="1" w:styleId="QuestionChar">
    <w:name w:val="Question Char"/>
    <w:basedOn w:val="DefaultParagraphFont"/>
    <w:link w:val="Question"/>
    <w:rsid w:val="00D91DDF"/>
    <w:rPr>
      <w:b/>
      <w:bCs/>
      <w:sz w:val="24"/>
      <w:lang w:val="en-US" w:eastAsia="en-US" w:bidi="ar-SA"/>
    </w:rPr>
  </w:style>
  <w:style w:type="paragraph" w:customStyle="1" w:styleId="Answer">
    <w:name w:val="Answer"/>
    <w:basedOn w:val="Normal"/>
    <w:link w:val="AnswerChar1"/>
    <w:qFormat/>
    <w:rsid w:val="00F75787"/>
    <w:pPr>
      <w:spacing w:line="480" w:lineRule="auto"/>
      <w:ind w:left="720" w:hanging="720"/>
    </w:pPr>
    <w:rPr>
      <w:szCs w:val="20"/>
    </w:rPr>
  </w:style>
  <w:style w:type="character" w:customStyle="1" w:styleId="AnswerChar1">
    <w:name w:val="Answer Char1"/>
    <w:basedOn w:val="DefaultParagraphFont"/>
    <w:link w:val="Answer"/>
    <w:rsid w:val="00841928"/>
    <w:rPr>
      <w:sz w:val="24"/>
      <w:lang w:val="en-US" w:eastAsia="en-US" w:bidi="ar-SA"/>
    </w:rPr>
  </w:style>
  <w:style w:type="character" w:styleId="PageNumber">
    <w:name w:val="page number"/>
    <w:basedOn w:val="DefaultParagraphFont"/>
    <w:rsid w:val="00802508"/>
  </w:style>
  <w:style w:type="paragraph" w:customStyle="1" w:styleId="Bullet">
    <w:name w:val="Bullet"/>
    <w:basedOn w:val="Answer"/>
    <w:rsid w:val="00770000"/>
    <w:pPr>
      <w:tabs>
        <w:tab w:val="num" w:pos="2160"/>
      </w:tabs>
      <w:ind w:left="2160" w:hanging="360"/>
    </w:pPr>
  </w:style>
  <w:style w:type="character" w:styleId="CommentReference">
    <w:name w:val="annotation reference"/>
    <w:basedOn w:val="DefaultParagraphFont"/>
    <w:uiPriority w:val="99"/>
    <w:semiHidden/>
    <w:rsid w:val="00F75787"/>
    <w:rPr>
      <w:sz w:val="16"/>
      <w:szCs w:val="16"/>
    </w:rPr>
  </w:style>
  <w:style w:type="paragraph" w:styleId="CommentText">
    <w:name w:val="annotation text"/>
    <w:basedOn w:val="Normal"/>
    <w:link w:val="CommentTextChar"/>
    <w:semiHidden/>
    <w:rsid w:val="00F75787"/>
    <w:rPr>
      <w:sz w:val="20"/>
      <w:szCs w:val="20"/>
    </w:rPr>
  </w:style>
  <w:style w:type="paragraph" w:styleId="CommentSubject">
    <w:name w:val="annotation subject"/>
    <w:basedOn w:val="CommentText"/>
    <w:next w:val="CommentText"/>
    <w:semiHidden/>
    <w:rsid w:val="00F75787"/>
    <w:rPr>
      <w:b/>
      <w:bCs/>
    </w:rPr>
  </w:style>
  <w:style w:type="paragraph" w:styleId="Header">
    <w:name w:val="header"/>
    <w:basedOn w:val="Normal"/>
    <w:rsid w:val="00F75787"/>
    <w:pPr>
      <w:tabs>
        <w:tab w:val="center" w:pos="4320"/>
        <w:tab w:val="right" w:pos="8640"/>
      </w:tabs>
    </w:pPr>
  </w:style>
  <w:style w:type="paragraph" w:styleId="Footer">
    <w:name w:val="footer"/>
    <w:basedOn w:val="Normal"/>
    <w:link w:val="FooterChar"/>
    <w:uiPriority w:val="99"/>
    <w:rsid w:val="00F75787"/>
    <w:pPr>
      <w:tabs>
        <w:tab w:val="center" w:pos="4320"/>
        <w:tab w:val="right" w:pos="8640"/>
      </w:tabs>
    </w:pPr>
  </w:style>
  <w:style w:type="paragraph" w:styleId="BalloonText">
    <w:name w:val="Balloon Text"/>
    <w:basedOn w:val="Normal"/>
    <w:semiHidden/>
    <w:rsid w:val="00217819"/>
    <w:rPr>
      <w:rFonts w:ascii="Tahoma" w:hAnsi="Tahoma" w:cs="Tahoma"/>
      <w:sz w:val="16"/>
      <w:szCs w:val="16"/>
    </w:rPr>
  </w:style>
  <w:style w:type="paragraph" w:styleId="Quote">
    <w:name w:val="Quote"/>
    <w:basedOn w:val="Normal"/>
    <w:qFormat/>
    <w:rsid w:val="00EF0A02"/>
    <w:pPr>
      <w:spacing w:after="240"/>
      <w:ind w:left="1440"/>
    </w:pPr>
  </w:style>
  <w:style w:type="paragraph" w:customStyle="1" w:styleId="answer0">
    <w:name w:val="answer"/>
    <w:basedOn w:val="Normal"/>
    <w:link w:val="answerChar"/>
    <w:rsid w:val="003B49E3"/>
    <w:pPr>
      <w:spacing w:before="100" w:beforeAutospacing="1" w:after="100" w:afterAutospacing="1"/>
      <w:jc w:val="left"/>
    </w:pPr>
  </w:style>
  <w:style w:type="character" w:customStyle="1" w:styleId="answerChar">
    <w:name w:val="answer Char"/>
    <w:basedOn w:val="DefaultParagraphFont"/>
    <w:link w:val="answer0"/>
    <w:rsid w:val="003C203D"/>
    <w:rPr>
      <w:sz w:val="24"/>
      <w:szCs w:val="24"/>
      <w:lang w:val="en-US" w:eastAsia="en-US" w:bidi="ar-SA"/>
    </w:rPr>
  </w:style>
  <w:style w:type="paragraph" w:customStyle="1" w:styleId="CharChar">
    <w:name w:val="Char Char"/>
    <w:basedOn w:val="Normal"/>
    <w:rsid w:val="00001380"/>
    <w:pPr>
      <w:spacing w:after="160" w:line="240" w:lineRule="exact"/>
      <w:jc w:val="left"/>
    </w:pPr>
    <w:rPr>
      <w:rFonts w:ascii="Verdana" w:hAnsi="Verdana"/>
      <w:sz w:val="20"/>
      <w:szCs w:val="20"/>
    </w:r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fn"/>
    <w:basedOn w:val="Normal"/>
    <w:link w:val="FootnoteTextChar1"/>
    <w:uiPriority w:val="99"/>
    <w:qFormat/>
    <w:rsid w:val="004A698D"/>
    <w:rPr>
      <w:sz w:val="20"/>
      <w:szCs w:val="20"/>
    </w:rPr>
  </w:style>
  <w:style w:type="character" w:styleId="FootnoteReference">
    <w:name w:val="footnote reference"/>
    <w:aliases w:val="Style 3,o,fr,Style 13,Style 12,Style 15,Style 17,Style 9,o1,fr1,o2,fr2,o3,fr3,Style 18,(NECG) Footnote Reference,Style 20,Style 7,Style 8,Style 19,Style 28,Style 11,Style 16,Styl,Style 6"/>
    <w:basedOn w:val="DefaultParagraphFont"/>
    <w:uiPriority w:val="99"/>
    <w:qFormat/>
    <w:rsid w:val="004A698D"/>
    <w:rPr>
      <w:vertAlign w:val="superscript"/>
    </w:rPr>
  </w:style>
  <w:style w:type="character" w:customStyle="1" w:styleId="AnswerChar0">
    <w:name w:val="Answer Char"/>
    <w:basedOn w:val="DefaultParagraphFont"/>
    <w:rsid w:val="00712D5E"/>
    <w:rPr>
      <w:sz w:val="24"/>
      <w:lang w:val="en-US" w:eastAsia="en-US" w:bidi="ar-SA"/>
    </w:rPr>
  </w:style>
  <w:style w:type="paragraph" w:customStyle="1" w:styleId="Commitmenttable">
    <w:name w:val="Commitment table"/>
    <w:basedOn w:val="Normal"/>
    <w:rsid w:val="00D14E95"/>
    <w:pPr>
      <w:spacing w:before="60" w:after="60"/>
    </w:pPr>
    <w:rPr>
      <w:sz w:val="20"/>
      <w:szCs w:val="20"/>
    </w:rPr>
  </w:style>
  <w:style w:type="paragraph" w:customStyle="1" w:styleId="CommitmenttableIndent">
    <w:name w:val="Commitment table Indent"/>
    <w:basedOn w:val="Normal"/>
    <w:rsid w:val="00D14E95"/>
    <w:pPr>
      <w:spacing w:before="60" w:after="60"/>
      <w:ind w:left="720"/>
    </w:pPr>
    <w:rPr>
      <w:sz w:val="20"/>
      <w:szCs w:val="20"/>
    </w:rPr>
  </w:style>
  <w:style w:type="table" w:styleId="TableGrid">
    <w:name w:val="Table Grid"/>
    <w:basedOn w:val="TableNormal"/>
    <w:rsid w:val="00B04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rsid w:val="0070176F"/>
    <w:pPr>
      <w:spacing w:after="160" w:line="240" w:lineRule="exact"/>
      <w:jc w:val="left"/>
    </w:pPr>
    <w:rPr>
      <w:rFonts w:ascii="Verdana" w:hAnsi="Verdana"/>
      <w:sz w:val="20"/>
      <w:szCs w:val="20"/>
    </w:rPr>
  </w:style>
  <w:style w:type="paragraph" w:styleId="BodyText">
    <w:name w:val="Body Text"/>
    <w:basedOn w:val="Normal"/>
    <w:rsid w:val="00AF506C"/>
    <w:pPr>
      <w:spacing w:line="480" w:lineRule="auto"/>
      <w:ind w:firstLine="720"/>
      <w:jc w:val="left"/>
    </w:pPr>
    <w:rPr>
      <w:szCs w:val="20"/>
    </w:rPr>
  </w:style>
  <w:style w:type="paragraph" w:customStyle="1" w:styleId="CharChar2">
    <w:name w:val="Char Char2"/>
    <w:basedOn w:val="Normal"/>
    <w:rsid w:val="005246B9"/>
    <w:pPr>
      <w:spacing w:after="160" w:line="240" w:lineRule="exact"/>
      <w:jc w:val="left"/>
    </w:pPr>
    <w:rPr>
      <w:rFonts w:ascii="Verdana" w:hAnsi="Verdana"/>
      <w:sz w:val="20"/>
      <w:szCs w:val="20"/>
    </w:rPr>
  </w:style>
  <w:style w:type="paragraph" w:styleId="NormalWeb">
    <w:name w:val="Normal (Web)"/>
    <w:basedOn w:val="Normal"/>
    <w:uiPriority w:val="99"/>
    <w:unhideWhenUsed/>
    <w:rsid w:val="000F44A0"/>
    <w:pPr>
      <w:spacing w:before="100" w:beforeAutospacing="1" w:after="100" w:afterAutospacing="1"/>
      <w:jc w:val="left"/>
    </w:pPr>
  </w:style>
  <w:style w:type="paragraph" w:styleId="BodyTextIndent">
    <w:name w:val="Body Text Indent"/>
    <w:basedOn w:val="Normal"/>
    <w:link w:val="BodyTextIndentChar"/>
    <w:uiPriority w:val="99"/>
    <w:semiHidden/>
    <w:unhideWhenUsed/>
    <w:rsid w:val="0014281F"/>
    <w:pPr>
      <w:spacing w:after="120"/>
      <w:ind w:left="360"/>
    </w:pPr>
  </w:style>
  <w:style w:type="character" w:customStyle="1" w:styleId="BodyTextIndentChar">
    <w:name w:val="Body Text Indent Char"/>
    <w:basedOn w:val="DefaultParagraphFont"/>
    <w:link w:val="BodyTextIndent"/>
    <w:uiPriority w:val="99"/>
    <w:semiHidden/>
    <w:rsid w:val="0014281F"/>
    <w:rPr>
      <w:sz w:val="24"/>
      <w:szCs w:val="24"/>
    </w:rPr>
  </w:style>
  <w:style w:type="paragraph" w:styleId="BodyTextIndent2">
    <w:name w:val="Body Text Indent 2"/>
    <w:basedOn w:val="Normal"/>
    <w:link w:val="BodyTextIndent2Char"/>
    <w:uiPriority w:val="99"/>
    <w:unhideWhenUsed/>
    <w:rsid w:val="00967BCF"/>
    <w:pPr>
      <w:spacing w:after="120" w:line="480" w:lineRule="auto"/>
      <w:ind w:left="360"/>
    </w:pPr>
  </w:style>
  <w:style w:type="character" w:customStyle="1" w:styleId="BodyTextIndent2Char">
    <w:name w:val="Body Text Indent 2 Char"/>
    <w:basedOn w:val="DefaultParagraphFont"/>
    <w:link w:val="BodyTextIndent2"/>
    <w:uiPriority w:val="99"/>
    <w:rsid w:val="00967BCF"/>
    <w:rPr>
      <w:sz w:val="24"/>
      <w:szCs w:val="24"/>
    </w:rPr>
  </w:style>
  <w:style w:type="character" w:customStyle="1" w:styleId="QuestionChar1">
    <w:name w:val="Question Char1"/>
    <w:basedOn w:val="DefaultParagraphFont"/>
    <w:rsid w:val="00967BCF"/>
    <w:rPr>
      <w:b/>
      <w:bCs/>
      <w:sz w:val="24"/>
      <w:szCs w:val="24"/>
      <w:lang w:val="en-US" w:eastAsia="en-US" w:bidi="ar-SA"/>
    </w:rPr>
  </w:style>
  <w:style w:type="paragraph" w:customStyle="1" w:styleId="AutoNumBodyCharCharCharChar">
    <w:name w:val="AutoNum Body Char Char Char Char"/>
    <w:basedOn w:val="Normal"/>
    <w:link w:val="AutoNumBodyCharCharCharCharChar"/>
    <w:autoRedefine/>
    <w:qFormat/>
    <w:rsid w:val="00BB1C29"/>
    <w:pPr>
      <w:widowControl w:val="0"/>
      <w:ind w:left="1440"/>
      <w:jc w:val="left"/>
    </w:pPr>
    <w:rPr>
      <w:color w:val="000000"/>
    </w:rPr>
  </w:style>
  <w:style w:type="character" w:customStyle="1" w:styleId="AutoNumBodyCharCharCharCharChar">
    <w:name w:val="AutoNum Body Char Char Char Char Char"/>
    <w:basedOn w:val="DefaultParagraphFont"/>
    <w:link w:val="AutoNumBodyCharCharCharChar"/>
    <w:rsid w:val="00BB1C29"/>
    <w:rPr>
      <w:color w:val="000000"/>
      <w:sz w:val="24"/>
      <w:szCs w:val="24"/>
    </w:rPr>
  </w:style>
  <w:style w:type="character" w:customStyle="1" w:styleId="FooterChar">
    <w:name w:val="Footer Char"/>
    <w:basedOn w:val="DefaultParagraphFont"/>
    <w:link w:val="Footer"/>
    <w:uiPriority w:val="99"/>
    <w:rsid w:val="00DD5473"/>
    <w:rPr>
      <w:sz w:val="24"/>
      <w:szCs w:val="24"/>
    </w:rPr>
  </w:style>
  <w:style w:type="character" w:customStyle="1" w:styleId="CommentTextChar">
    <w:name w:val="Comment Text Char"/>
    <w:basedOn w:val="DefaultParagraphFont"/>
    <w:link w:val="CommentText"/>
    <w:uiPriority w:val="99"/>
    <w:semiHidden/>
    <w:rsid w:val="009E1B1C"/>
  </w:style>
  <w:style w:type="paragraph" w:styleId="ListParagraph">
    <w:name w:val="List Paragraph"/>
    <w:basedOn w:val="Normal"/>
    <w:uiPriority w:val="34"/>
    <w:qFormat/>
    <w:rsid w:val="00EC5969"/>
    <w:pPr>
      <w:ind w:left="720"/>
      <w:contextualSpacing/>
    </w:pPr>
  </w:style>
  <w:style w:type="character" w:customStyle="1" w:styleId="T11">
    <w:name w:val="T11"/>
    <w:hidden/>
    <w:rsid w:val="00845CEC"/>
    <w:rPr>
      <w:b/>
    </w:rPr>
  </w:style>
  <w:style w:type="character" w:styleId="Strong">
    <w:name w:val="Strong"/>
    <w:basedOn w:val="DefaultParagraphFont"/>
    <w:uiPriority w:val="22"/>
    <w:qFormat/>
    <w:rsid w:val="00584D33"/>
    <w:rPr>
      <w:b/>
      <w:bCs/>
    </w:rPr>
  </w:style>
  <w:style w:type="paragraph" w:styleId="TOCHeading">
    <w:name w:val="TOC Heading"/>
    <w:basedOn w:val="Heading1"/>
    <w:next w:val="Normal"/>
    <w:uiPriority w:val="39"/>
    <w:semiHidden/>
    <w:unhideWhenUsed/>
    <w:qFormat/>
    <w:rsid w:val="00890D88"/>
    <w:pPr>
      <w:keepLines/>
      <w:spacing w:before="480" w:line="276" w:lineRule="auto"/>
      <w:jc w:val="left"/>
      <w:outlineLvl w:val="9"/>
    </w:pPr>
    <w:rPr>
      <w:rFonts w:asciiTheme="majorHAnsi" w:eastAsiaTheme="majorEastAsia" w:hAnsiTheme="majorHAnsi" w:cstheme="majorBidi"/>
      <w:iCs w:val="0"/>
      <w:caps w:val="0"/>
      <w:color w:val="365F91" w:themeColor="accent1" w:themeShade="BF"/>
      <w:sz w:val="28"/>
      <w:lang w:eastAsia="ja-JP"/>
    </w:rPr>
  </w:style>
  <w:style w:type="paragraph" w:styleId="TOC1">
    <w:name w:val="toc 1"/>
    <w:basedOn w:val="Normal"/>
    <w:next w:val="Normal"/>
    <w:autoRedefine/>
    <w:uiPriority w:val="39"/>
    <w:unhideWhenUsed/>
    <w:rsid w:val="00480DEE"/>
    <w:pPr>
      <w:suppressLineNumbers/>
      <w:tabs>
        <w:tab w:val="right" w:leader="dot" w:pos="8990"/>
      </w:tabs>
      <w:spacing w:line="360" w:lineRule="auto"/>
      <w:jc w:val="left"/>
    </w:pPr>
  </w:style>
  <w:style w:type="paragraph" w:styleId="TOC2">
    <w:name w:val="toc 2"/>
    <w:basedOn w:val="Normal"/>
    <w:next w:val="Normal"/>
    <w:autoRedefine/>
    <w:uiPriority w:val="39"/>
    <w:unhideWhenUsed/>
    <w:rsid w:val="00890D88"/>
    <w:pPr>
      <w:spacing w:after="100"/>
      <w:ind w:left="240"/>
    </w:pPr>
  </w:style>
  <w:style w:type="character" w:styleId="Hyperlink">
    <w:name w:val="Hyperlink"/>
    <w:basedOn w:val="DefaultParagraphFont"/>
    <w:uiPriority w:val="99"/>
    <w:unhideWhenUsed/>
    <w:rsid w:val="00890D88"/>
    <w:rPr>
      <w:color w:val="0000FF" w:themeColor="hyperlink"/>
      <w:u w:val="single"/>
    </w:rPr>
  </w:style>
  <w:style w:type="table" w:styleId="LightList">
    <w:name w:val="Light List"/>
    <w:basedOn w:val="TableNormal"/>
    <w:uiPriority w:val="61"/>
    <w:rsid w:val="00F0254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EndnoteText">
    <w:name w:val="endnote text"/>
    <w:basedOn w:val="Normal"/>
    <w:link w:val="EndnoteTextChar"/>
    <w:uiPriority w:val="99"/>
    <w:semiHidden/>
    <w:unhideWhenUsed/>
    <w:rsid w:val="004528F2"/>
    <w:rPr>
      <w:sz w:val="20"/>
      <w:szCs w:val="20"/>
    </w:rPr>
  </w:style>
  <w:style w:type="character" w:customStyle="1" w:styleId="EndnoteTextChar">
    <w:name w:val="Endnote Text Char"/>
    <w:basedOn w:val="DefaultParagraphFont"/>
    <w:link w:val="EndnoteText"/>
    <w:uiPriority w:val="99"/>
    <w:semiHidden/>
    <w:rsid w:val="004528F2"/>
  </w:style>
  <w:style w:type="character" w:styleId="EndnoteReference">
    <w:name w:val="endnote reference"/>
    <w:basedOn w:val="DefaultParagraphFont"/>
    <w:uiPriority w:val="99"/>
    <w:semiHidden/>
    <w:unhideWhenUsed/>
    <w:rsid w:val="004528F2"/>
    <w:rPr>
      <w:vertAlign w:val="superscript"/>
    </w:rPr>
  </w:style>
  <w:style w:type="character" w:customStyle="1" w:styleId="Heading5Char">
    <w:name w:val="Heading 5 Char"/>
    <w:basedOn w:val="DefaultParagraphFont"/>
    <w:link w:val="Heading5"/>
    <w:uiPriority w:val="9"/>
    <w:semiHidden/>
    <w:rsid w:val="006D6458"/>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9"/>
    <w:rsid w:val="002C5D91"/>
    <w:rPr>
      <w:b/>
      <w:bCs/>
      <w:sz w:val="22"/>
      <w:szCs w:val="22"/>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n Char"/>
    <w:basedOn w:val="DefaultParagraphFont"/>
    <w:link w:val="FootnoteText"/>
    <w:uiPriority w:val="99"/>
    <w:rsid w:val="002C5D91"/>
  </w:style>
  <w:style w:type="paragraph" w:styleId="Revision">
    <w:name w:val="Revision"/>
    <w:hidden/>
    <w:uiPriority w:val="99"/>
    <w:semiHidden/>
    <w:rsid w:val="002B48F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787"/>
    <w:pPr>
      <w:jc w:val="both"/>
    </w:pPr>
    <w:rPr>
      <w:sz w:val="24"/>
      <w:szCs w:val="24"/>
    </w:rPr>
  </w:style>
  <w:style w:type="paragraph" w:styleId="Heading1">
    <w:name w:val="heading 1"/>
    <w:basedOn w:val="Heading2"/>
    <w:next w:val="Normal"/>
    <w:qFormat/>
    <w:rsid w:val="003965CB"/>
    <w:pPr>
      <w:outlineLvl w:val="0"/>
    </w:pPr>
    <w:rPr>
      <w:caps/>
      <w:szCs w:val="28"/>
    </w:rPr>
  </w:style>
  <w:style w:type="paragraph" w:styleId="Heading2">
    <w:name w:val="heading 2"/>
    <w:basedOn w:val="Normal"/>
    <w:next w:val="Normal"/>
    <w:qFormat/>
    <w:rsid w:val="00F75787"/>
    <w:pPr>
      <w:keepNext/>
      <w:spacing w:line="480" w:lineRule="auto"/>
      <w:outlineLvl w:val="1"/>
    </w:pPr>
    <w:rPr>
      <w:b/>
      <w:bCs/>
      <w:iCs/>
    </w:rPr>
  </w:style>
  <w:style w:type="paragraph" w:styleId="Heading3">
    <w:name w:val="heading 3"/>
    <w:basedOn w:val="Heading2"/>
    <w:next w:val="Normal"/>
    <w:qFormat/>
    <w:rsid w:val="00F75787"/>
    <w:pPr>
      <w:outlineLvl w:val="2"/>
    </w:pPr>
    <w:rPr>
      <w:b w:val="0"/>
      <w:u w:val="single"/>
    </w:rPr>
  </w:style>
  <w:style w:type="paragraph" w:styleId="Heading5">
    <w:name w:val="heading 5"/>
    <w:basedOn w:val="Normal"/>
    <w:next w:val="Normal"/>
    <w:link w:val="Heading5Char"/>
    <w:uiPriority w:val="9"/>
    <w:semiHidden/>
    <w:unhideWhenUsed/>
    <w:qFormat/>
    <w:rsid w:val="006D645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qFormat/>
    <w:rsid w:val="00F7578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706D42"/>
  </w:style>
  <w:style w:type="paragraph" w:customStyle="1" w:styleId="Question">
    <w:name w:val="Question"/>
    <w:basedOn w:val="Normal"/>
    <w:link w:val="QuestionChar"/>
    <w:rsid w:val="00F75787"/>
    <w:pPr>
      <w:spacing w:line="480" w:lineRule="auto"/>
      <w:ind w:left="720" w:hanging="720"/>
    </w:pPr>
    <w:rPr>
      <w:b/>
      <w:bCs/>
      <w:szCs w:val="20"/>
    </w:rPr>
  </w:style>
  <w:style w:type="character" w:customStyle="1" w:styleId="QuestionChar">
    <w:name w:val="Question Char"/>
    <w:basedOn w:val="DefaultParagraphFont"/>
    <w:link w:val="Question"/>
    <w:rsid w:val="00D91DDF"/>
    <w:rPr>
      <w:b/>
      <w:bCs/>
      <w:sz w:val="24"/>
      <w:lang w:val="en-US" w:eastAsia="en-US" w:bidi="ar-SA"/>
    </w:rPr>
  </w:style>
  <w:style w:type="paragraph" w:customStyle="1" w:styleId="Answer">
    <w:name w:val="Answer"/>
    <w:basedOn w:val="Normal"/>
    <w:link w:val="AnswerChar1"/>
    <w:qFormat/>
    <w:rsid w:val="00F75787"/>
    <w:pPr>
      <w:spacing w:line="480" w:lineRule="auto"/>
      <w:ind w:left="720" w:hanging="720"/>
    </w:pPr>
    <w:rPr>
      <w:szCs w:val="20"/>
    </w:rPr>
  </w:style>
  <w:style w:type="character" w:customStyle="1" w:styleId="AnswerChar1">
    <w:name w:val="Answer Char1"/>
    <w:basedOn w:val="DefaultParagraphFont"/>
    <w:link w:val="Answer"/>
    <w:rsid w:val="00841928"/>
    <w:rPr>
      <w:sz w:val="24"/>
      <w:lang w:val="en-US" w:eastAsia="en-US" w:bidi="ar-SA"/>
    </w:rPr>
  </w:style>
  <w:style w:type="character" w:styleId="PageNumber">
    <w:name w:val="page number"/>
    <w:basedOn w:val="DefaultParagraphFont"/>
    <w:rsid w:val="00802508"/>
  </w:style>
  <w:style w:type="paragraph" w:customStyle="1" w:styleId="Bullet">
    <w:name w:val="Bullet"/>
    <w:basedOn w:val="Answer"/>
    <w:rsid w:val="00770000"/>
    <w:pPr>
      <w:tabs>
        <w:tab w:val="num" w:pos="2160"/>
      </w:tabs>
      <w:ind w:left="2160" w:hanging="360"/>
    </w:pPr>
  </w:style>
  <w:style w:type="character" w:styleId="CommentReference">
    <w:name w:val="annotation reference"/>
    <w:basedOn w:val="DefaultParagraphFont"/>
    <w:uiPriority w:val="99"/>
    <w:semiHidden/>
    <w:rsid w:val="00F75787"/>
    <w:rPr>
      <w:sz w:val="16"/>
      <w:szCs w:val="16"/>
    </w:rPr>
  </w:style>
  <w:style w:type="paragraph" w:styleId="CommentText">
    <w:name w:val="annotation text"/>
    <w:basedOn w:val="Normal"/>
    <w:link w:val="CommentTextChar"/>
    <w:semiHidden/>
    <w:rsid w:val="00F75787"/>
    <w:rPr>
      <w:sz w:val="20"/>
      <w:szCs w:val="20"/>
    </w:rPr>
  </w:style>
  <w:style w:type="paragraph" w:styleId="CommentSubject">
    <w:name w:val="annotation subject"/>
    <w:basedOn w:val="CommentText"/>
    <w:next w:val="CommentText"/>
    <w:semiHidden/>
    <w:rsid w:val="00F75787"/>
    <w:rPr>
      <w:b/>
      <w:bCs/>
    </w:rPr>
  </w:style>
  <w:style w:type="paragraph" w:styleId="Header">
    <w:name w:val="header"/>
    <w:basedOn w:val="Normal"/>
    <w:rsid w:val="00F75787"/>
    <w:pPr>
      <w:tabs>
        <w:tab w:val="center" w:pos="4320"/>
        <w:tab w:val="right" w:pos="8640"/>
      </w:tabs>
    </w:pPr>
  </w:style>
  <w:style w:type="paragraph" w:styleId="Footer">
    <w:name w:val="footer"/>
    <w:basedOn w:val="Normal"/>
    <w:link w:val="FooterChar"/>
    <w:uiPriority w:val="99"/>
    <w:rsid w:val="00F75787"/>
    <w:pPr>
      <w:tabs>
        <w:tab w:val="center" w:pos="4320"/>
        <w:tab w:val="right" w:pos="8640"/>
      </w:tabs>
    </w:pPr>
  </w:style>
  <w:style w:type="paragraph" w:styleId="BalloonText">
    <w:name w:val="Balloon Text"/>
    <w:basedOn w:val="Normal"/>
    <w:semiHidden/>
    <w:rsid w:val="00217819"/>
    <w:rPr>
      <w:rFonts w:ascii="Tahoma" w:hAnsi="Tahoma" w:cs="Tahoma"/>
      <w:sz w:val="16"/>
      <w:szCs w:val="16"/>
    </w:rPr>
  </w:style>
  <w:style w:type="paragraph" w:styleId="Quote">
    <w:name w:val="Quote"/>
    <w:basedOn w:val="Normal"/>
    <w:qFormat/>
    <w:rsid w:val="00EF0A02"/>
    <w:pPr>
      <w:spacing w:after="240"/>
      <w:ind w:left="1440"/>
    </w:pPr>
  </w:style>
  <w:style w:type="paragraph" w:customStyle="1" w:styleId="answer0">
    <w:name w:val="answer"/>
    <w:basedOn w:val="Normal"/>
    <w:link w:val="answerChar"/>
    <w:rsid w:val="003B49E3"/>
    <w:pPr>
      <w:spacing w:before="100" w:beforeAutospacing="1" w:after="100" w:afterAutospacing="1"/>
      <w:jc w:val="left"/>
    </w:pPr>
  </w:style>
  <w:style w:type="character" w:customStyle="1" w:styleId="answerChar">
    <w:name w:val="answer Char"/>
    <w:basedOn w:val="DefaultParagraphFont"/>
    <w:link w:val="answer0"/>
    <w:rsid w:val="003C203D"/>
    <w:rPr>
      <w:sz w:val="24"/>
      <w:szCs w:val="24"/>
      <w:lang w:val="en-US" w:eastAsia="en-US" w:bidi="ar-SA"/>
    </w:rPr>
  </w:style>
  <w:style w:type="paragraph" w:customStyle="1" w:styleId="CharChar">
    <w:name w:val="Char Char"/>
    <w:basedOn w:val="Normal"/>
    <w:rsid w:val="00001380"/>
    <w:pPr>
      <w:spacing w:after="160" w:line="240" w:lineRule="exact"/>
      <w:jc w:val="left"/>
    </w:pPr>
    <w:rPr>
      <w:rFonts w:ascii="Verdana" w:hAnsi="Verdana"/>
      <w:sz w:val="20"/>
      <w:szCs w:val="20"/>
    </w:r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fn"/>
    <w:basedOn w:val="Normal"/>
    <w:link w:val="FootnoteTextChar1"/>
    <w:uiPriority w:val="99"/>
    <w:qFormat/>
    <w:rsid w:val="004A698D"/>
    <w:rPr>
      <w:sz w:val="20"/>
      <w:szCs w:val="20"/>
    </w:rPr>
  </w:style>
  <w:style w:type="character" w:styleId="FootnoteReference">
    <w:name w:val="footnote reference"/>
    <w:aliases w:val="Style 3,o,fr,Style 13,Style 12,Style 15,Style 17,Style 9,o1,fr1,o2,fr2,o3,fr3,Style 18,(NECG) Footnote Reference,Style 20,Style 7,Style 8,Style 19,Style 28,Style 11,Style 16,Styl,Style 6"/>
    <w:basedOn w:val="DefaultParagraphFont"/>
    <w:uiPriority w:val="99"/>
    <w:qFormat/>
    <w:rsid w:val="004A698D"/>
    <w:rPr>
      <w:vertAlign w:val="superscript"/>
    </w:rPr>
  </w:style>
  <w:style w:type="character" w:customStyle="1" w:styleId="AnswerChar0">
    <w:name w:val="Answer Char"/>
    <w:basedOn w:val="DefaultParagraphFont"/>
    <w:rsid w:val="00712D5E"/>
    <w:rPr>
      <w:sz w:val="24"/>
      <w:lang w:val="en-US" w:eastAsia="en-US" w:bidi="ar-SA"/>
    </w:rPr>
  </w:style>
  <w:style w:type="paragraph" w:customStyle="1" w:styleId="Commitmenttable">
    <w:name w:val="Commitment table"/>
    <w:basedOn w:val="Normal"/>
    <w:rsid w:val="00D14E95"/>
    <w:pPr>
      <w:spacing w:before="60" w:after="60"/>
    </w:pPr>
    <w:rPr>
      <w:sz w:val="20"/>
      <w:szCs w:val="20"/>
    </w:rPr>
  </w:style>
  <w:style w:type="paragraph" w:customStyle="1" w:styleId="CommitmenttableIndent">
    <w:name w:val="Commitment table Indent"/>
    <w:basedOn w:val="Normal"/>
    <w:rsid w:val="00D14E95"/>
    <w:pPr>
      <w:spacing w:before="60" w:after="60"/>
      <w:ind w:left="720"/>
    </w:pPr>
    <w:rPr>
      <w:sz w:val="20"/>
      <w:szCs w:val="20"/>
    </w:rPr>
  </w:style>
  <w:style w:type="table" w:styleId="TableGrid">
    <w:name w:val="Table Grid"/>
    <w:basedOn w:val="TableNormal"/>
    <w:rsid w:val="00B04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rsid w:val="0070176F"/>
    <w:pPr>
      <w:spacing w:after="160" w:line="240" w:lineRule="exact"/>
      <w:jc w:val="left"/>
    </w:pPr>
    <w:rPr>
      <w:rFonts w:ascii="Verdana" w:hAnsi="Verdana"/>
      <w:sz w:val="20"/>
      <w:szCs w:val="20"/>
    </w:rPr>
  </w:style>
  <w:style w:type="paragraph" w:styleId="BodyText">
    <w:name w:val="Body Text"/>
    <w:basedOn w:val="Normal"/>
    <w:rsid w:val="00AF506C"/>
    <w:pPr>
      <w:spacing w:line="480" w:lineRule="auto"/>
      <w:ind w:firstLine="720"/>
      <w:jc w:val="left"/>
    </w:pPr>
    <w:rPr>
      <w:szCs w:val="20"/>
    </w:rPr>
  </w:style>
  <w:style w:type="paragraph" w:customStyle="1" w:styleId="CharChar2">
    <w:name w:val="Char Char2"/>
    <w:basedOn w:val="Normal"/>
    <w:rsid w:val="005246B9"/>
    <w:pPr>
      <w:spacing w:after="160" w:line="240" w:lineRule="exact"/>
      <w:jc w:val="left"/>
    </w:pPr>
    <w:rPr>
      <w:rFonts w:ascii="Verdana" w:hAnsi="Verdana"/>
      <w:sz w:val="20"/>
      <w:szCs w:val="20"/>
    </w:rPr>
  </w:style>
  <w:style w:type="paragraph" w:styleId="NormalWeb">
    <w:name w:val="Normal (Web)"/>
    <w:basedOn w:val="Normal"/>
    <w:uiPriority w:val="99"/>
    <w:unhideWhenUsed/>
    <w:rsid w:val="000F44A0"/>
    <w:pPr>
      <w:spacing w:before="100" w:beforeAutospacing="1" w:after="100" w:afterAutospacing="1"/>
      <w:jc w:val="left"/>
    </w:pPr>
  </w:style>
  <w:style w:type="paragraph" w:styleId="BodyTextIndent">
    <w:name w:val="Body Text Indent"/>
    <w:basedOn w:val="Normal"/>
    <w:link w:val="BodyTextIndentChar"/>
    <w:uiPriority w:val="99"/>
    <w:semiHidden/>
    <w:unhideWhenUsed/>
    <w:rsid w:val="0014281F"/>
    <w:pPr>
      <w:spacing w:after="120"/>
      <w:ind w:left="360"/>
    </w:pPr>
  </w:style>
  <w:style w:type="character" w:customStyle="1" w:styleId="BodyTextIndentChar">
    <w:name w:val="Body Text Indent Char"/>
    <w:basedOn w:val="DefaultParagraphFont"/>
    <w:link w:val="BodyTextIndent"/>
    <w:uiPriority w:val="99"/>
    <w:semiHidden/>
    <w:rsid w:val="0014281F"/>
    <w:rPr>
      <w:sz w:val="24"/>
      <w:szCs w:val="24"/>
    </w:rPr>
  </w:style>
  <w:style w:type="paragraph" w:styleId="BodyTextIndent2">
    <w:name w:val="Body Text Indent 2"/>
    <w:basedOn w:val="Normal"/>
    <w:link w:val="BodyTextIndent2Char"/>
    <w:uiPriority w:val="99"/>
    <w:unhideWhenUsed/>
    <w:rsid w:val="00967BCF"/>
    <w:pPr>
      <w:spacing w:after="120" w:line="480" w:lineRule="auto"/>
      <w:ind w:left="360"/>
    </w:pPr>
  </w:style>
  <w:style w:type="character" w:customStyle="1" w:styleId="BodyTextIndent2Char">
    <w:name w:val="Body Text Indent 2 Char"/>
    <w:basedOn w:val="DefaultParagraphFont"/>
    <w:link w:val="BodyTextIndent2"/>
    <w:uiPriority w:val="99"/>
    <w:rsid w:val="00967BCF"/>
    <w:rPr>
      <w:sz w:val="24"/>
      <w:szCs w:val="24"/>
    </w:rPr>
  </w:style>
  <w:style w:type="character" w:customStyle="1" w:styleId="QuestionChar1">
    <w:name w:val="Question Char1"/>
    <w:basedOn w:val="DefaultParagraphFont"/>
    <w:rsid w:val="00967BCF"/>
    <w:rPr>
      <w:b/>
      <w:bCs/>
      <w:sz w:val="24"/>
      <w:szCs w:val="24"/>
      <w:lang w:val="en-US" w:eastAsia="en-US" w:bidi="ar-SA"/>
    </w:rPr>
  </w:style>
  <w:style w:type="paragraph" w:customStyle="1" w:styleId="AutoNumBodyCharCharCharChar">
    <w:name w:val="AutoNum Body Char Char Char Char"/>
    <w:basedOn w:val="Normal"/>
    <w:link w:val="AutoNumBodyCharCharCharCharChar"/>
    <w:autoRedefine/>
    <w:qFormat/>
    <w:rsid w:val="00BB1C29"/>
    <w:pPr>
      <w:widowControl w:val="0"/>
      <w:ind w:left="1440"/>
      <w:jc w:val="left"/>
    </w:pPr>
    <w:rPr>
      <w:color w:val="000000"/>
    </w:rPr>
  </w:style>
  <w:style w:type="character" w:customStyle="1" w:styleId="AutoNumBodyCharCharCharCharChar">
    <w:name w:val="AutoNum Body Char Char Char Char Char"/>
    <w:basedOn w:val="DefaultParagraphFont"/>
    <w:link w:val="AutoNumBodyCharCharCharChar"/>
    <w:rsid w:val="00BB1C29"/>
    <w:rPr>
      <w:color w:val="000000"/>
      <w:sz w:val="24"/>
      <w:szCs w:val="24"/>
    </w:rPr>
  </w:style>
  <w:style w:type="character" w:customStyle="1" w:styleId="FooterChar">
    <w:name w:val="Footer Char"/>
    <w:basedOn w:val="DefaultParagraphFont"/>
    <w:link w:val="Footer"/>
    <w:uiPriority w:val="99"/>
    <w:rsid w:val="00DD5473"/>
    <w:rPr>
      <w:sz w:val="24"/>
      <w:szCs w:val="24"/>
    </w:rPr>
  </w:style>
  <w:style w:type="character" w:customStyle="1" w:styleId="CommentTextChar">
    <w:name w:val="Comment Text Char"/>
    <w:basedOn w:val="DefaultParagraphFont"/>
    <w:link w:val="CommentText"/>
    <w:uiPriority w:val="99"/>
    <w:semiHidden/>
    <w:rsid w:val="009E1B1C"/>
  </w:style>
  <w:style w:type="paragraph" w:styleId="ListParagraph">
    <w:name w:val="List Paragraph"/>
    <w:basedOn w:val="Normal"/>
    <w:uiPriority w:val="34"/>
    <w:qFormat/>
    <w:rsid w:val="00EC5969"/>
    <w:pPr>
      <w:ind w:left="720"/>
      <w:contextualSpacing/>
    </w:pPr>
  </w:style>
  <w:style w:type="character" w:customStyle="1" w:styleId="T11">
    <w:name w:val="T11"/>
    <w:hidden/>
    <w:rsid w:val="00845CEC"/>
    <w:rPr>
      <w:b/>
    </w:rPr>
  </w:style>
  <w:style w:type="character" w:styleId="Strong">
    <w:name w:val="Strong"/>
    <w:basedOn w:val="DefaultParagraphFont"/>
    <w:uiPriority w:val="22"/>
    <w:qFormat/>
    <w:rsid w:val="00584D33"/>
    <w:rPr>
      <w:b/>
      <w:bCs/>
    </w:rPr>
  </w:style>
  <w:style w:type="paragraph" w:styleId="TOCHeading">
    <w:name w:val="TOC Heading"/>
    <w:basedOn w:val="Heading1"/>
    <w:next w:val="Normal"/>
    <w:uiPriority w:val="39"/>
    <w:semiHidden/>
    <w:unhideWhenUsed/>
    <w:qFormat/>
    <w:rsid w:val="00890D88"/>
    <w:pPr>
      <w:keepLines/>
      <w:spacing w:before="480" w:line="276" w:lineRule="auto"/>
      <w:jc w:val="left"/>
      <w:outlineLvl w:val="9"/>
    </w:pPr>
    <w:rPr>
      <w:rFonts w:asciiTheme="majorHAnsi" w:eastAsiaTheme="majorEastAsia" w:hAnsiTheme="majorHAnsi" w:cstheme="majorBidi"/>
      <w:iCs w:val="0"/>
      <w:caps w:val="0"/>
      <w:color w:val="365F91" w:themeColor="accent1" w:themeShade="BF"/>
      <w:sz w:val="28"/>
      <w:lang w:eastAsia="ja-JP"/>
    </w:rPr>
  </w:style>
  <w:style w:type="paragraph" w:styleId="TOC1">
    <w:name w:val="toc 1"/>
    <w:basedOn w:val="Normal"/>
    <w:next w:val="Normal"/>
    <w:autoRedefine/>
    <w:uiPriority w:val="39"/>
    <w:unhideWhenUsed/>
    <w:rsid w:val="00480DEE"/>
    <w:pPr>
      <w:suppressLineNumbers/>
      <w:tabs>
        <w:tab w:val="right" w:leader="dot" w:pos="8990"/>
      </w:tabs>
      <w:spacing w:line="360" w:lineRule="auto"/>
      <w:jc w:val="left"/>
    </w:pPr>
  </w:style>
  <w:style w:type="paragraph" w:styleId="TOC2">
    <w:name w:val="toc 2"/>
    <w:basedOn w:val="Normal"/>
    <w:next w:val="Normal"/>
    <w:autoRedefine/>
    <w:uiPriority w:val="39"/>
    <w:unhideWhenUsed/>
    <w:rsid w:val="00890D88"/>
    <w:pPr>
      <w:spacing w:after="100"/>
      <w:ind w:left="240"/>
    </w:pPr>
  </w:style>
  <w:style w:type="character" w:styleId="Hyperlink">
    <w:name w:val="Hyperlink"/>
    <w:basedOn w:val="DefaultParagraphFont"/>
    <w:uiPriority w:val="99"/>
    <w:unhideWhenUsed/>
    <w:rsid w:val="00890D88"/>
    <w:rPr>
      <w:color w:val="0000FF" w:themeColor="hyperlink"/>
      <w:u w:val="single"/>
    </w:rPr>
  </w:style>
  <w:style w:type="table" w:styleId="LightList">
    <w:name w:val="Light List"/>
    <w:basedOn w:val="TableNormal"/>
    <w:uiPriority w:val="61"/>
    <w:rsid w:val="00F0254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EndnoteText">
    <w:name w:val="endnote text"/>
    <w:basedOn w:val="Normal"/>
    <w:link w:val="EndnoteTextChar"/>
    <w:uiPriority w:val="99"/>
    <w:semiHidden/>
    <w:unhideWhenUsed/>
    <w:rsid w:val="004528F2"/>
    <w:rPr>
      <w:sz w:val="20"/>
      <w:szCs w:val="20"/>
    </w:rPr>
  </w:style>
  <w:style w:type="character" w:customStyle="1" w:styleId="EndnoteTextChar">
    <w:name w:val="Endnote Text Char"/>
    <w:basedOn w:val="DefaultParagraphFont"/>
    <w:link w:val="EndnoteText"/>
    <w:uiPriority w:val="99"/>
    <w:semiHidden/>
    <w:rsid w:val="004528F2"/>
  </w:style>
  <w:style w:type="character" w:styleId="EndnoteReference">
    <w:name w:val="endnote reference"/>
    <w:basedOn w:val="DefaultParagraphFont"/>
    <w:uiPriority w:val="99"/>
    <w:semiHidden/>
    <w:unhideWhenUsed/>
    <w:rsid w:val="004528F2"/>
    <w:rPr>
      <w:vertAlign w:val="superscript"/>
    </w:rPr>
  </w:style>
  <w:style w:type="character" w:customStyle="1" w:styleId="Heading5Char">
    <w:name w:val="Heading 5 Char"/>
    <w:basedOn w:val="DefaultParagraphFont"/>
    <w:link w:val="Heading5"/>
    <w:uiPriority w:val="9"/>
    <w:semiHidden/>
    <w:rsid w:val="006D6458"/>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9"/>
    <w:rsid w:val="002C5D91"/>
    <w:rPr>
      <w:b/>
      <w:bCs/>
      <w:sz w:val="22"/>
      <w:szCs w:val="22"/>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n Char"/>
    <w:basedOn w:val="DefaultParagraphFont"/>
    <w:link w:val="FootnoteText"/>
    <w:uiPriority w:val="99"/>
    <w:rsid w:val="002C5D91"/>
  </w:style>
  <w:style w:type="paragraph" w:styleId="Revision">
    <w:name w:val="Revision"/>
    <w:hidden/>
    <w:uiPriority w:val="99"/>
    <w:semiHidden/>
    <w:rsid w:val="002B48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8581">
      <w:bodyDiv w:val="1"/>
      <w:marLeft w:val="0"/>
      <w:marRight w:val="0"/>
      <w:marTop w:val="0"/>
      <w:marBottom w:val="0"/>
      <w:divBdr>
        <w:top w:val="none" w:sz="0" w:space="0" w:color="auto"/>
        <w:left w:val="none" w:sz="0" w:space="0" w:color="auto"/>
        <w:bottom w:val="none" w:sz="0" w:space="0" w:color="auto"/>
        <w:right w:val="none" w:sz="0" w:space="0" w:color="auto"/>
      </w:divBdr>
    </w:div>
    <w:div w:id="70542122">
      <w:bodyDiv w:val="1"/>
      <w:marLeft w:val="0"/>
      <w:marRight w:val="0"/>
      <w:marTop w:val="0"/>
      <w:marBottom w:val="0"/>
      <w:divBdr>
        <w:top w:val="none" w:sz="0" w:space="0" w:color="auto"/>
        <w:left w:val="none" w:sz="0" w:space="0" w:color="auto"/>
        <w:bottom w:val="none" w:sz="0" w:space="0" w:color="auto"/>
        <w:right w:val="none" w:sz="0" w:space="0" w:color="auto"/>
      </w:divBdr>
    </w:div>
    <w:div w:id="77676630">
      <w:bodyDiv w:val="1"/>
      <w:marLeft w:val="0"/>
      <w:marRight w:val="0"/>
      <w:marTop w:val="0"/>
      <w:marBottom w:val="0"/>
      <w:divBdr>
        <w:top w:val="none" w:sz="0" w:space="0" w:color="auto"/>
        <w:left w:val="none" w:sz="0" w:space="0" w:color="auto"/>
        <w:bottom w:val="none" w:sz="0" w:space="0" w:color="auto"/>
        <w:right w:val="none" w:sz="0" w:space="0" w:color="auto"/>
      </w:divBdr>
    </w:div>
    <w:div w:id="112214103">
      <w:bodyDiv w:val="1"/>
      <w:marLeft w:val="0"/>
      <w:marRight w:val="0"/>
      <w:marTop w:val="0"/>
      <w:marBottom w:val="0"/>
      <w:divBdr>
        <w:top w:val="none" w:sz="0" w:space="0" w:color="auto"/>
        <w:left w:val="none" w:sz="0" w:space="0" w:color="auto"/>
        <w:bottom w:val="none" w:sz="0" w:space="0" w:color="auto"/>
        <w:right w:val="none" w:sz="0" w:space="0" w:color="auto"/>
      </w:divBdr>
    </w:div>
    <w:div w:id="121927622">
      <w:bodyDiv w:val="1"/>
      <w:marLeft w:val="0"/>
      <w:marRight w:val="0"/>
      <w:marTop w:val="0"/>
      <w:marBottom w:val="0"/>
      <w:divBdr>
        <w:top w:val="none" w:sz="0" w:space="0" w:color="auto"/>
        <w:left w:val="none" w:sz="0" w:space="0" w:color="auto"/>
        <w:bottom w:val="none" w:sz="0" w:space="0" w:color="auto"/>
        <w:right w:val="none" w:sz="0" w:space="0" w:color="auto"/>
      </w:divBdr>
    </w:div>
    <w:div w:id="186794993">
      <w:bodyDiv w:val="1"/>
      <w:marLeft w:val="0"/>
      <w:marRight w:val="0"/>
      <w:marTop w:val="0"/>
      <w:marBottom w:val="0"/>
      <w:divBdr>
        <w:top w:val="none" w:sz="0" w:space="0" w:color="auto"/>
        <w:left w:val="none" w:sz="0" w:space="0" w:color="auto"/>
        <w:bottom w:val="none" w:sz="0" w:space="0" w:color="auto"/>
        <w:right w:val="none" w:sz="0" w:space="0" w:color="auto"/>
      </w:divBdr>
    </w:div>
    <w:div w:id="284703293">
      <w:bodyDiv w:val="1"/>
      <w:marLeft w:val="0"/>
      <w:marRight w:val="0"/>
      <w:marTop w:val="0"/>
      <w:marBottom w:val="0"/>
      <w:divBdr>
        <w:top w:val="none" w:sz="0" w:space="0" w:color="auto"/>
        <w:left w:val="none" w:sz="0" w:space="0" w:color="auto"/>
        <w:bottom w:val="none" w:sz="0" w:space="0" w:color="auto"/>
        <w:right w:val="none" w:sz="0" w:space="0" w:color="auto"/>
      </w:divBdr>
    </w:div>
    <w:div w:id="294258881">
      <w:bodyDiv w:val="1"/>
      <w:marLeft w:val="0"/>
      <w:marRight w:val="0"/>
      <w:marTop w:val="0"/>
      <w:marBottom w:val="0"/>
      <w:divBdr>
        <w:top w:val="none" w:sz="0" w:space="0" w:color="auto"/>
        <w:left w:val="none" w:sz="0" w:space="0" w:color="auto"/>
        <w:bottom w:val="none" w:sz="0" w:space="0" w:color="auto"/>
        <w:right w:val="none" w:sz="0" w:space="0" w:color="auto"/>
      </w:divBdr>
    </w:div>
    <w:div w:id="313687454">
      <w:bodyDiv w:val="1"/>
      <w:marLeft w:val="0"/>
      <w:marRight w:val="0"/>
      <w:marTop w:val="0"/>
      <w:marBottom w:val="0"/>
      <w:divBdr>
        <w:top w:val="none" w:sz="0" w:space="0" w:color="auto"/>
        <w:left w:val="none" w:sz="0" w:space="0" w:color="auto"/>
        <w:bottom w:val="none" w:sz="0" w:space="0" w:color="auto"/>
        <w:right w:val="none" w:sz="0" w:space="0" w:color="auto"/>
      </w:divBdr>
    </w:div>
    <w:div w:id="384762035">
      <w:bodyDiv w:val="1"/>
      <w:marLeft w:val="0"/>
      <w:marRight w:val="0"/>
      <w:marTop w:val="0"/>
      <w:marBottom w:val="0"/>
      <w:divBdr>
        <w:top w:val="none" w:sz="0" w:space="0" w:color="auto"/>
        <w:left w:val="none" w:sz="0" w:space="0" w:color="auto"/>
        <w:bottom w:val="none" w:sz="0" w:space="0" w:color="auto"/>
        <w:right w:val="none" w:sz="0" w:space="0" w:color="auto"/>
      </w:divBdr>
    </w:div>
    <w:div w:id="399404852">
      <w:bodyDiv w:val="1"/>
      <w:marLeft w:val="0"/>
      <w:marRight w:val="0"/>
      <w:marTop w:val="0"/>
      <w:marBottom w:val="0"/>
      <w:divBdr>
        <w:top w:val="none" w:sz="0" w:space="0" w:color="auto"/>
        <w:left w:val="none" w:sz="0" w:space="0" w:color="auto"/>
        <w:bottom w:val="none" w:sz="0" w:space="0" w:color="auto"/>
        <w:right w:val="none" w:sz="0" w:space="0" w:color="auto"/>
      </w:divBdr>
    </w:div>
    <w:div w:id="584850836">
      <w:bodyDiv w:val="1"/>
      <w:marLeft w:val="0"/>
      <w:marRight w:val="0"/>
      <w:marTop w:val="0"/>
      <w:marBottom w:val="0"/>
      <w:divBdr>
        <w:top w:val="none" w:sz="0" w:space="0" w:color="auto"/>
        <w:left w:val="none" w:sz="0" w:space="0" w:color="auto"/>
        <w:bottom w:val="none" w:sz="0" w:space="0" w:color="auto"/>
        <w:right w:val="none" w:sz="0" w:space="0" w:color="auto"/>
      </w:divBdr>
      <w:divsChild>
        <w:div w:id="240650461">
          <w:marLeft w:val="0"/>
          <w:marRight w:val="0"/>
          <w:marTop w:val="0"/>
          <w:marBottom w:val="0"/>
          <w:divBdr>
            <w:top w:val="none" w:sz="0" w:space="0" w:color="auto"/>
            <w:left w:val="none" w:sz="0" w:space="0" w:color="auto"/>
            <w:bottom w:val="none" w:sz="0" w:space="0" w:color="auto"/>
            <w:right w:val="none" w:sz="0" w:space="0" w:color="auto"/>
          </w:divBdr>
        </w:div>
      </w:divsChild>
    </w:div>
    <w:div w:id="632715475">
      <w:bodyDiv w:val="1"/>
      <w:marLeft w:val="0"/>
      <w:marRight w:val="0"/>
      <w:marTop w:val="0"/>
      <w:marBottom w:val="0"/>
      <w:divBdr>
        <w:top w:val="none" w:sz="0" w:space="0" w:color="auto"/>
        <w:left w:val="none" w:sz="0" w:space="0" w:color="auto"/>
        <w:bottom w:val="none" w:sz="0" w:space="0" w:color="auto"/>
        <w:right w:val="none" w:sz="0" w:space="0" w:color="auto"/>
      </w:divBdr>
    </w:div>
    <w:div w:id="705523810">
      <w:bodyDiv w:val="1"/>
      <w:marLeft w:val="0"/>
      <w:marRight w:val="0"/>
      <w:marTop w:val="0"/>
      <w:marBottom w:val="0"/>
      <w:divBdr>
        <w:top w:val="none" w:sz="0" w:space="0" w:color="auto"/>
        <w:left w:val="none" w:sz="0" w:space="0" w:color="auto"/>
        <w:bottom w:val="none" w:sz="0" w:space="0" w:color="auto"/>
        <w:right w:val="none" w:sz="0" w:space="0" w:color="auto"/>
      </w:divBdr>
    </w:div>
    <w:div w:id="834877055">
      <w:bodyDiv w:val="1"/>
      <w:marLeft w:val="0"/>
      <w:marRight w:val="0"/>
      <w:marTop w:val="0"/>
      <w:marBottom w:val="0"/>
      <w:divBdr>
        <w:top w:val="none" w:sz="0" w:space="0" w:color="auto"/>
        <w:left w:val="none" w:sz="0" w:space="0" w:color="auto"/>
        <w:bottom w:val="none" w:sz="0" w:space="0" w:color="auto"/>
        <w:right w:val="none" w:sz="0" w:space="0" w:color="auto"/>
      </w:divBdr>
    </w:div>
    <w:div w:id="855853279">
      <w:bodyDiv w:val="1"/>
      <w:marLeft w:val="0"/>
      <w:marRight w:val="0"/>
      <w:marTop w:val="0"/>
      <w:marBottom w:val="0"/>
      <w:divBdr>
        <w:top w:val="none" w:sz="0" w:space="0" w:color="auto"/>
        <w:left w:val="none" w:sz="0" w:space="0" w:color="auto"/>
        <w:bottom w:val="none" w:sz="0" w:space="0" w:color="auto"/>
        <w:right w:val="none" w:sz="0" w:space="0" w:color="auto"/>
      </w:divBdr>
    </w:div>
    <w:div w:id="865172140">
      <w:bodyDiv w:val="1"/>
      <w:marLeft w:val="0"/>
      <w:marRight w:val="0"/>
      <w:marTop w:val="0"/>
      <w:marBottom w:val="0"/>
      <w:divBdr>
        <w:top w:val="none" w:sz="0" w:space="0" w:color="auto"/>
        <w:left w:val="none" w:sz="0" w:space="0" w:color="auto"/>
        <w:bottom w:val="none" w:sz="0" w:space="0" w:color="auto"/>
        <w:right w:val="none" w:sz="0" w:space="0" w:color="auto"/>
      </w:divBdr>
    </w:div>
    <w:div w:id="866214910">
      <w:bodyDiv w:val="1"/>
      <w:marLeft w:val="0"/>
      <w:marRight w:val="0"/>
      <w:marTop w:val="0"/>
      <w:marBottom w:val="0"/>
      <w:divBdr>
        <w:top w:val="none" w:sz="0" w:space="0" w:color="auto"/>
        <w:left w:val="none" w:sz="0" w:space="0" w:color="auto"/>
        <w:bottom w:val="none" w:sz="0" w:space="0" w:color="auto"/>
        <w:right w:val="none" w:sz="0" w:space="0" w:color="auto"/>
      </w:divBdr>
    </w:div>
    <w:div w:id="908611295">
      <w:bodyDiv w:val="1"/>
      <w:marLeft w:val="0"/>
      <w:marRight w:val="0"/>
      <w:marTop w:val="0"/>
      <w:marBottom w:val="0"/>
      <w:divBdr>
        <w:top w:val="none" w:sz="0" w:space="0" w:color="auto"/>
        <w:left w:val="none" w:sz="0" w:space="0" w:color="auto"/>
        <w:bottom w:val="none" w:sz="0" w:space="0" w:color="auto"/>
        <w:right w:val="none" w:sz="0" w:space="0" w:color="auto"/>
      </w:divBdr>
    </w:div>
    <w:div w:id="925455188">
      <w:bodyDiv w:val="1"/>
      <w:marLeft w:val="0"/>
      <w:marRight w:val="0"/>
      <w:marTop w:val="0"/>
      <w:marBottom w:val="0"/>
      <w:divBdr>
        <w:top w:val="none" w:sz="0" w:space="0" w:color="auto"/>
        <w:left w:val="none" w:sz="0" w:space="0" w:color="auto"/>
        <w:bottom w:val="none" w:sz="0" w:space="0" w:color="auto"/>
        <w:right w:val="none" w:sz="0" w:space="0" w:color="auto"/>
      </w:divBdr>
    </w:div>
    <w:div w:id="975067592">
      <w:bodyDiv w:val="1"/>
      <w:marLeft w:val="0"/>
      <w:marRight w:val="0"/>
      <w:marTop w:val="30"/>
      <w:marBottom w:val="750"/>
      <w:divBdr>
        <w:top w:val="none" w:sz="0" w:space="0" w:color="auto"/>
        <w:left w:val="none" w:sz="0" w:space="0" w:color="auto"/>
        <w:bottom w:val="none" w:sz="0" w:space="0" w:color="auto"/>
        <w:right w:val="none" w:sz="0" w:space="0" w:color="auto"/>
      </w:divBdr>
      <w:divsChild>
        <w:div w:id="647168478">
          <w:marLeft w:val="0"/>
          <w:marRight w:val="0"/>
          <w:marTop w:val="0"/>
          <w:marBottom w:val="0"/>
          <w:divBdr>
            <w:top w:val="none" w:sz="0" w:space="0" w:color="auto"/>
            <w:left w:val="none" w:sz="0" w:space="0" w:color="auto"/>
            <w:bottom w:val="none" w:sz="0" w:space="0" w:color="auto"/>
            <w:right w:val="none" w:sz="0" w:space="0" w:color="auto"/>
          </w:divBdr>
        </w:div>
      </w:divsChild>
    </w:div>
    <w:div w:id="993534630">
      <w:bodyDiv w:val="1"/>
      <w:marLeft w:val="0"/>
      <w:marRight w:val="0"/>
      <w:marTop w:val="0"/>
      <w:marBottom w:val="0"/>
      <w:divBdr>
        <w:top w:val="none" w:sz="0" w:space="0" w:color="auto"/>
        <w:left w:val="none" w:sz="0" w:space="0" w:color="auto"/>
        <w:bottom w:val="none" w:sz="0" w:space="0" w:color="auto"/>
        <w:right w:val="none" w:sz="0" w:space="0" w:color="auto"/>
      </w:divBdr>
    </w:div>
    <w:div w:id="1019045031">
      <w:bodyDiv w:val="1"/>
      <w:marLeft w:val="0"/>
      <w:marRight w:val="0"/>
      <w:marTop w:val="0"/>
      <w:marBottom w:val="0"/>
      <w:divBdr>
        <w:top w:val="none" w:sz="0" w:space="0" w:color="auto"/>
        <w:left w:val="none" w:sz="0" w:space="0" w:color="auto"/>
        <w:bottom w:val="none" w:sz="0" w:space="0" w:color="auto"/>
        <w:right w:val="none" w:sz="0" w:space="0" w:color="auto"/>
      </w:divBdr>
    </w:div>
    <w:div w:id="1029064622">
      <w:bodyDiv w:val="1"/>
      <w:marLeft w:val="0"/>
      <w:marRight w:val="0"/>
      <w:marTop w:val="0"/>
      <w:marBottom w:val="0"/>
      <w:divBdr>
        <w:top w:val="none" w:sz="0" w:space="0" w:color="auto"/>
        <w:left w:val="none" w:sz="0" w:space="0" w:color="auto"/>
        <w:bottom w:val="none" w:sz="0" w:space="0" w:color="auto"/>
        <w:right w:val="none" w:sz="0" w:space="0" w:color="auto"/>
      </w:divBdr>
    </w:div>
    <w:div w:id="1044713137">
      <w:bodyDiv w:val="1"/>
      <w:marLeft w:val="0"/>
      <w:marRight w:val="0"/>
      <w:marTop w:val="0"/>
      <w:marBottom w:val="0"/>
      <w:divBdr>
        <w:top w:val="none" w:sz="0" w:space="0" w:color="auto"/>
        <w:left w:val="none" w:sz="0" w:space="0" w:color="auto"/>
        <w:bottom w:val="none" w:sz="0" w:space="0" w:color="auto"/>
        <w:right w:val="none" w:sz="0" w:space="0" w:color="auto"/>
      </w:divBdr>
    </w:div>
    <w:div w:id="1078405178">
      <w:bodyDiv w:val="1"/>
      <w:marLeft w:val="0"/>
      <w:marRight w:val="0"/>
      <w:marTop w:val="0"/>
      <w:marBottom w:val="0"/>
      <w:divBdr>
        <w:top w:val="none" w:sz="0" w:space="0" w:color="auto"/>
        <w:left w:val="none" w:sz="0" w:space="0" w:color="auto"/>
        <w:bottom w:val="none" w:sz="0" w:space="0" w:color="auto"/>
        <w:right w:val="none" w:sz="0" w:space="0" w:color="auto"/>
      </w:divBdr>
    </w:div>
    <w:div w:id="1211917333">
      <w:bodyDiv w:val="1"/>
      <w:marLeft w:val="0"/>
      <w:marRight w:val="0"/>
      <w:marTop w:val="0"/>
      <w:marBottom w:val="0"/>
      <w:divBdr>
        <w:top w:val="none" w:sz="0" w:space="0" w:color="auto"/>
        <w:left w:val="none" w:sz="0" w:space="0" w:color="auto"/>
        <w:bottom w:val="none" w:sz="0" w:space="0" w:color="auto"/>
        <w:right w:val="none" w:sz="0" w:space="0" w:color="auto"/>
      </w:divBdr>
      <w:divsChild>
        <w:div w:id="73209646">
          <w:marLeft w:val="0"/>
          <w:marRight w:val="0"/>
          <w:marTop w:val="0"/>
          <w:marBottom w:val="0"/>
          <w:divBdr>
            <w:top w:val="none" w:sz="0" w:space="0" w:color="auto"/>
            <w:left w:val="none" w:sz="0" w:space="0" w:color="auto"/>
            <w:bottom w:val="none" w:sz="0" w:space="0" w:color="auto"/>
            <w:right w:val="none" w:sz="0" w:space="0" w:color="auto"/>
          </w:divBdr>
        </w:div>
      </w:divsChild>
    </w:div>
    <w:div w:id="1241983945">
      <w:bodyDiv w:val="1"/>
      <w:marLeft w:val="0"/>
      <w:marRight w:val="0"/>
      <w:marTop w:val="0"/>
      <w:marBottom w:val="0"/>
      <w:divBdr>
        <w:top w:val="none" w:sz="0" w:space="0" w:color="auto"/>
        <w:left w:val="none" w:sz="0" w:space="0" w:color="auto"/>
        <w:bottom w:val="none" w:sz="0" w:space="0" w:color="auto"/>
        <w:right w:val="none" w:sz="0" w:space="0" w:color="auto"/>
      </w:divBdr>
    </w:div>
    <w:div w:id="1267956767">
      <w:bodyDiv w:val="1"/>
      <w:marLeft w:val="0"/>
      <w:marRight w:val="0"/>
      <w:marTop w:val="0"/>
      <w:marBottom w:val="0"/>
      <w:divBdr>
        <w:top w:val="none" w:sz="0" w:space="0" w:color="auto"/>
        <w:left w:val="none" w:sz="0" w:space="0" w:color="auto"/>
        <w:bottom w:val="none" w:sz="0" w:space="0" w:color="auto"/>
        <w:right w:val="none" w:sz="0" w:space="0" w:color="auto"/>
      </w:divBdr>
    </w:div>
    <w:div w:id="1295017173">
      <w:bodyDiv w:val="1"/>
      <w:marLeft w:val="0"/>
      <w:marRight w:val="0"/>
      <w:marTop w:val="0"/>
      <w:marBottom w:val="0"/>
      <w:divBdr>
        <w:top w:val="none" w:sz="0" w:space="0" w:color="auto"/>
        <w:left w:val="none" w:sz="0" w:space="0" w:color="auto"/>
        <w:bottom w:val="none" w:sz="0" w:space="0" w:color="auto"/>
        <w:right w:val="none" w:sz="0" w:space="0" w:color="auto"/>
      </w:divBdr>
    </w:div>
    <w:div w:id="1590655974">
      <w:bodyDiv w:val="1"/>
      <w:marLeft w:val="0"/>
      <w:marRight w:val="0"/>
      <w:marTop w:val="0"/>
      <w:marBottom w:val="0"/>
      <w:divBdr>
        <w:top w:val="none" w:sz="0" w:space="0" w:color="auto"/>
        <w:left w:val="none" w:sz="0" w:space="0" w:color="auto"/>
        <w:bottom w:val="none" w:sz="0" w:space="0" w:color="auto"/>
        <w:right w:val="none" w:sz="0" w:space="0" w:color="auto"/>
      </w:divBdr>
    </w:div>
    <w:div w:id="1744327859">
      <w:bodyDiv w:val="1"/>
      <w:marLeft w:val="0"/>
      <w:marRight w:val="0"/>
      <w:marTop w:val="0"/>
      <w:marBottom w:val="0"/>
      <w:divBdr>
        <w:top w:val="none" w:sz="0" w:space="0" w:color="auto"/>
        <w:left w:val="none" w:sz="0" w:space="0" w:color="auto"/>
        <w:bottom w:val="none" w:sz="0" w:space="0" w:color="auto"/>
        <w:right w:val="none" w:sz="0" w:space="0" w:color="auto"/>
      </w:divBdr>
    </w:div>
    <w:div w:id="1769736570">
      <w:bodyDiv w:val="1"/>
      <w:marLeft w:val="0"/>
      <w:marRight w:val="0"/>
      <w:marTop w:val="0"/>
      <w:marBottom w:val="0"/>
      <w:divBdr>
        <w:top w:val="none" w:sz="0" w:space="0" w:color="auto"/>
        <w:left w:val="none" w:sz="0" w:space="0" w:color="auto"/>
        <w:bottom w:val="none" w:sz="0" w:space="0" w:color="auto"/>
        <w:right w:val="none" w:sz="0" w:space="0" w:color="auto"/>
      </w:divBdr>
    </w:div>
    <w:div w:id="1824858650">
      <w:bodyDiv w:val="1"/>
      <w:marLeft w:val="0"/>
      <w:marRight w:val="0"/>
      <w:marTop w:val="0"/>
      <w:marBottom w:val="0"/>
      <w:divBdr>
        <w:top w:val="none" w:sz="0" w:space="0" w:color="auto"/>
        <w:left w:val="none" w:sz="0" w:space="0" w:color="auto"/>
        <w:bottom w:val="none" w:sz="0" w:space="0" w:color="auto"/>
        <w:right w:val="none" w:sz="0" w:space="0" w:color="auto"/>
      </w:divBdr>
    </w:div>
    <w:div w:id="1917785327">
      <w:bodyDiv w:val="1"/>
      <w:marLeft w:val="0"/>
      <w:marRight w:val="0"/>
      <w:marTop w:val="0"/>
      <w:marBottom w:val="0"/>
      <w:divBdr>
        <w:top w:val="none" w:sz="0" w:space="0" w:color="auto"/>
        <w:left w:val="none" w:sz="0" w:space="0" w:color="auto"/>
        <w:bottom w:val="none" w:sz="0" w:space="0" w:color="auto"/>
        <w:right w:val="none" w:sz="0" w:space="0" w:color="auto"/>
      </w:divBdr>
    </w:div>
    <w:div w:id="1921014007">
      <w:bodyDiv w:val="1"/>
      <w:marLeft w:val="0"/>
      <w:marRight w:val="0"/>
      <w:marTop w:val="0"/>
      <w:marBottom w:val="0"/>
      <w:divBdr>
        <w:top w:val="none" w:sz="0" w:space="0" w:color="auto"/>
        <w:left w:val="none" w:sz="0" w:space="0" w:color="auto"/>
        <w:bottom w:val="none" w:sz="0" w:space="0" w:color="auto"/>
        <w:right w:val="none" w:sz="0" w:space="0" w:color="auto"/>
      </w:divBdr>
    </w:div>
    <w:div w:id="1926765238">
      <w:bodyDiv w:val="1"/>
      <w:marLeft w:val="0"/>
      <w:marRight w:val="0"/>
      <w:marTop w:val="0"/>
      <w:marBottom w:val="0"/>
      <w:divBdr>
        <w:top w:val="none" w:sz="0" w:space="0" w:color="auto"/>
        <w:left w:val="none" w:sz="0" w:space="0" w:color="auto"/>
        <w:bottom w:val="none" w:sz="0" w:space="0" w:color="auto"/>
        <w:right w:val="none" w:sz="0" w:space="0" w:color="auto"/>
      </w:divBdr>
    </w:div>
    <w:div w:id="192795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customXml" Target="../customXml/item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customXml" Target="../customXml/item3.xml"/><Relationship Id="rId10" Type="http://schemas.openxmlformats.org/officeDocument/2006/relationships/footer" Target="footer1.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2016-04-07T07:00:00+00:00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CA1422C-BBA2-4526-A2C7-8CFFC87CB714}"/>
</file>

<file path=customXml/itemProps2.xml><?xml version="1.0" encoding="utf-8"?>
<ds:datastoreItem xmlns:ds="http://schemas.openxmlformats.org/officeDocument/2006/customXml" ds:itemID="{D90AED13-E56E-45C0-B995-38F8E73FCE09}"/>
</file>

<file path=customXml/itemProps3.xml><?xml version="1.0" encoding="utf-8"?>
<ds:datastoreItem xmlns:ds="http://schemas.openxmlformats.org/officeDocument/2006/customXml" ds:itemID="{A518B72D-9A00-4A36-AF42-644479353AAE}"/>
</file>

<file path=customXml/itemProps4.xml><?xml version="1.0" encoding="utf-8"?>
<ds:datastoreItem xmlns:ds="http://schemas.openxmlformats.org/officeDocument/2006/customXml" ds:itemID="{4FE1AB18-46FB-43D6-9843-69DD3BCD2A52}"/>
</file>

<file path=docProps/app.xml><?xml version="1.0" encoding="utf-8"?>
<Properties xmlns="http://schemas.openxmlformats.org/officeDocument/2006/extended-properties" xmlns:vt="http://schemas.openxmlformats.org/officeDocument/2006/docPropsVTypes">
  <Template>Normal.dotm</Template>
  <TotalTime>0</TotalTime>
  <Pages>30</Pages>
  <Words>6087</Words>
  <Characters>34696</Characters>
  <Application>Microsoft Office Word</Application>
  <DocSecurity>0</DocSecurity>
  <Lines>289</Lines>
  <Paragraphs>81</Paragraphs>
  <ScaleCrop>false</ScaleCrop>
  <Company/>
  <LinksUpToDate>false</LinksUpToDate>
  <CharactersWithSpaces>40702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2016-04-07T16:31:00Z</dcterms:created>
  <dcterms:modified xsi:type="dcterms:W3CDTF">2016-04-07T16:31:00Z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0x0101006E56B4D1795A2E4DB2F0B01679ED314A007595E2AA379E88449A4F511BF799667C</vt:lpwstr>
  </property>
  <property fmtid="{D5CDD505-2E9C-101B-9397-08002B2CF9AE}" pid="4" name="_docset_NoMedatataSyncRequired">
    <vt:lpwstr>False</vt:lpwstr>
  </property>
</Properties>
</file>