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BC" w:rsidRDefault="004E6EBC">
      <w:pPr>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17"/>
        <w:gridCol w:w="7859"/>
      </w:tblGrid>
      <w:tr w:rsidR="004E6EBC">
        <w:trPr>
          <w:trHeight w:val="494"/>
          <w:jc w:val="center"/>
        </w:trPr>
        <w:tc>
          <w:tcPr>
            <w:tcW w:w="9576" w:type="dxa"/>
            <w:gridSpan w:val="2"/>
            <w:vAlign w:val="center"/>
          </w:tcPr>
          <w:p w:rsidR="004E6EBC" w:rsidRDefault="004E6EBC">
            <w:pPr>
              <w:keepNext/>
              <w:jc w:val="center"/>
              <w:rPr>
                <w:b/>
                <w:sz w:val="28"/>
                <w:szCs w:val="28"/>
              </w:rPr>
            </w:pPr>
            <w:r>
              <w:rPr>
                <w:b/>
                <w:sz w:val="28"/>
                <w:szCs w:val="28"/>
              </w:rPr>
              <w:t>Description of Staff Eyes Only Documents and Redacted Portions of HC-R Documents</w:t>
            </w:r>
          </w:p>
        </w:tc>
      </w:tr>
      <w:tr w:rsidR="004E6EBC">
        <w:trPr>
          <w:trHeight w:val="413"/>
          <w:jc w:val="center"/>
        </w:trPr>
        <w:tc>
          <w:tcPr>
            <w:tcW w:w="1717" w:type="dxa"/>
            <w:vAlign w:val="center"/>
          </w:tcPr>
          <w:p w:rsidR="004E6EBC" w:rsidRDefault="004E6EBC">
            <w:pPr>
              <w:keepNext/>
              <w:jc w:val="center"/>
              <w:rPr>
                <w:b/>
                <w:sz w:val="20"/>
                <w:szCs w:val="20"/>
              </w:rPr>
            </w:pPr>
            <w:r>
              <w:rPr>
                <w:b/>
                <w:sz w:val="20"/>
                <w:szCs w:val="20"/>
              </w:rPr>
              <w:t>Document</w:t>
            </w:r>
          </w:p>
        </w:tc>
        <w:tc>
          <w:tcPr>
            <w:tcW w:w="7859" w:type="dxa"/>
            <w:vAlign w:val="center"/>
          </w:tcPr>
          <w:p w:rsidR="004E6EBC" w:rsidRDefault="004E6EBC">
            <w:pPr>
              <w:keepNext/>
              <w:jc w:val="center"/>
              <w:rPr>
                <w:b/>
                <w:sz w:val="20"/>
                <w:szCs w:val="20"/>
              </w:rPr>
            </w:pPr>
            <w:r>
              <w:rPr>
                <w:b/>
                <w:sz w:val="20"/>
                <w:szCs w:val="20"/>
              </w:rPr>
              <w:t>Description of Confidential Information</w:t>
            </w:r>
          </w:p>
        </w:tc>
      </w:tr>
      <w:tr w:rsidR="004E6EBC">
        <w:trPr>
          <w:jc w:val="center"/>
        </w:trPr>
        <w:tc>
          <w:tcPr>
            <w:tcW w:w="1717" w:type="dxa"/>
          </w:tcPr>
          <w:p w:rsidR="004E6EBC" w:rsidRDefault="004E6EBC">
            <w:pPr>
              <w:keepNext/>
              <w:rPr>
                <w:sz w:val="20"/>
                <w:szCs w:val="20"/>
              </w:rPr>
            </w:pPr>
          </w:p>
        </w:tc>
        <w:tc>
          <w:tcPr>
            <w:tcW w:w="7859" w:type="dxa"/>
          </w:tcPr>
          <w:p w:rsidR="004E6EBC" w:rsidRDefault="004E6EBC">
            <w:pPr>
              <w:keepNext/>
              <w:rPr>
                <w:sz w:val="20"/>
                <w:szCs w:val="20"/>
              </w:rPr>
            </w:pPr>
          </w:p>
        </w:tc>
      </w:tr>
      <w:tr w:rsidR="004E6EBC">
        <w:trPr>
          <w:jc w:val="center"/>
        </w:trPr>
        <w:tc>
          <w:tcPr>
            <w:tcW w:w="1717" w:type="dxa"/>
          </w:tcPr>
          <w:p w:rsidR="004E6EBC" w:rsidRDefault="004E6EBC">
            <w:pPr>
              <w:keepNext/>
              <w:rPr>
                <w:sz w:val="20"/>
                <w:szCs w:val="20"/>
              </w:rPr>
            </w:pPr>
            <w:r>
              <w:rPr>
                <w:sz w:val="20"/>
                <w:szCs w:val="20"/>
              </w:rPr>
              <w:t>4c-37 HC</w:t>
            </w:r>
          </w:p>
        </w:tc>
        <w:tc>
          <w:tcPr>
            <w:tcW w:w="7859" w:type="dxa"/>
          </w:tcPr>
          <w:p w:rsidR="004E6EBC" w:rsidRDefault="004E6EBC">
            <w:pPr>
              <w:keepNext/>
              <w:rPr>
                <w:sz w:val="20"/>
                <w:szCs w:val="20"/>
              </w:rPr>
            </w:pPr>
            <w:r>
              <w:rPr>
                <w:sz w:val="20"/>
                <w:szCs w:val="20"/>
              </w:rPr>
              <w:t>In addition to a transaction with CenturyLink, the Qwest management and Board of Directors evaluated other merger, acquisition, and investment opportunities.  Redacted information addresses and analyzes these other alternatives, and constitutes extremely sensitive information, which is not related to the transaction with CenturyLink.  Documents addressing the CenturyLink transaction are being disclosed as HC.</w:t>
            </w:r>
          </w:p>
        </w:tc>
      </w:tr>
      <w:tr w:rsidR="004E6EBC">
        <w:trPr>
          <w:jc w:val="center"/>
        </w:trPr>
        <w:tc>
          <w:tcPr>
            <w:tcW w:w="1717" w:type="dxa"/>
          </w:tcPr>
          <w:p w:rsidR="004E6EBC" w:rsidRDefault="004E6EBC">
            <w:pPr>
              <w:keepNext/>
              <w:rPr>
                <w:sz w:val="20"/>
                <w:szCs w:val="20"/>
              </w:rPr>
            </w:pPr>
            <w:r>
              <w:rPr>
                <w:sz w:val="20"/>
                <w:szCs w:val="20"/>
              </w:rPr>
              <w:t>4c-39 HC</w:t>
            </w:r>
          </w:p>
        </w:tc>
        <w:tc>
          <w:tcPr>
            <w:tcW w:w="7859" w:type="dxa"/>
          </w:tcPr>
          <w:p w:rsidR="004E6EBC" w:rsidRDefault="004E6EBC">
            <w:pPr>
              <w:keepNext/>
              <w:rPr>
                <w:sz w:val="20"/>
                <w:szCs w:val="20"/>
              </w:rPr>
            </w:pPr>
            <w:r>
              <w:rPr>
                <w:sz w:val="20"/>
                <w:szCs w:val="20"/>
              </w:rPr>
              <w:t>CenturyLink document  -- contains detailed information concerning CenturyLink business plans, strategies, and performance.</w:t>
            </w:r>
          </w:p>
        </w:tc>
      </w:tr>
      <w:tr w:rsidR="004E6EBC">
        <w:trPr>
          <w:jc w:val="center"/>
        </w:trPr>
        <w:tc>
          <w:tcPr>
            <w:tcW w:w="1717" w:type="dxa"/>
          </w:tcPr>
          <w:p w:rsidR="004E6EBC" w:rsidRDefault="004E6EBC">
            <w:pPr>
              <w:keepNext/>
              <w:rPr>
                <w:sz w:val="20"/>
                <w:szCs w:val="20"/>
              </w:rPr>
            </w:pPr>
            <w:r>
              <w:rPr>
                <w:sz w:val="20"/>
                <w:szCs w:val="20"/>
              </w:rPr>
              <w:t>4c-42 HC</w:t>
            </w:r>
          </w:p>
        </w:tc>
        <w:tc>
          <w:tcPr>
            <w:tcW w:w="7859" w:type="dxa"/>
          </w:tcPr>
          <w:p w:rsidR="004E6EBC" w:rsidRDefault="004E6EBC">
            <w:pPr>
              <w:keepNext/>
              <w:rPr>
                <w:sz w:val="20"/>
                <w:szCs w:val="20"/>
              </w:rPr>
            </w:pPr>
            <w:r>
              <w:rPr>
                <w:sz w:val="20"/>
                <w:szCs w:val="20"/>
              </w:rPr>
              <w:t>CenturyLink document  -- contains detailed information concerning CenturyLink operations, plans, strategies, and performance.</w:t>
            </w:r>
          </w:p>
        </w:tc>
      </w:tr>
      <w:tr w:rsidR="004E6EBC">
        <w:trPr>
          <w:jc w:val="center"/>
        </w:trPr>
        <w:tc>
          <w:tcPr>
            <w:tcW w:w="1717" w:type="dxa"/>
          </w:tcPr>
          <w:p w:rsidR="004E6EBC" w:rsidRDefault="004E6EBC">
            <w:pPr>
              <w:keepNext/>
              <w:rPr>
                <w:sz w:val="20"/>
                <w:szCs w:val="20"/>
              </w:rPr>
            </w:pPr>
            <w:r>
              <w:rPr>
                <w:sz w:val="20"/>
                <w:szCs w:val="20"/>
              </w:rPr>
              <w:t>4c-44 See CenturyLink</w:t>
            </w:r>
          </w:p>
        </w:tc>
        <w:tc>
          <w:tcPr>
            <w:tcW w:w="7859" w:type="dxa"/>
          </w:tcPr>
          <w:p w:rsidR="004E6EBC" w:rsidRDefault="004E6EBC">
            <w:pPr>
              <w:keepNext/>
              <w:rPr>
                <w:sz w:val="20"/>
                <w:szCs w:val="20"/>
              </w:rPr>
            </w:pPr>
            <w:r>
              <w:rPr>
                <w:sz w:val="20"/>
                <w:szCs w:val="20"/>
              </w:rPr>
              <w:t>CenturyLink document  -- contains detailed information concerning all aspects of CenturyLink business plans, strategies, and performance.</w:t>
            </w:r>
          </w:p>
        </w:tc>
      </w:tr>
      <w:tr w:rsidR="004E6EBC">
        <w:trPr>
          <w:jc w:val="center"/>
        </w:trPr>
        <w:tc>
          <w:tcPr>
            <w:tcW w:w="1717" w:type="dxa"/>
          </w:tcPr>
          <w:p w:rsidR="004E6EBC" w:rsidRDefault="004E6EBC">
            <w:pPr>
              <w:keepNext/>
              <w:rPr>
                <w:sz w:val="20"/>
                <w:szCs w:val="20"/>
              </w:rPr>
            </w:pPr>
            <w:r>
              <w:rPr>
                <w:sz w:val="20"/>
                <w:szCs w:val="20"/>
              </w:rPr>
              <w:t>4c-46 See CenturyLink</w:t>
            </w:r>
          </w:p>
        </w:tc>
        <w:tc>
          <w:tcPr>
            <w:tcW w:w="7859" w:type="dxa"/>
          </w:tcPr>
          <w:p w:rsidR="004E6EBC" w:rsidRDefault="004E6EBC">
            <w:pPr>
              <w:keepNext/>
              <w:rPr>
                <w:sz w:val="20"/>
                <w:szCs w:val="20"/>
              </w:rPr>
            </w:pPr>
            <w:r>
              <w:rPr>
                <w:sz w:val="20"/>
                <w:szCs w:val="20"/>
              </w:rPr>
              <w:t>CenturyLink document – contains detailed information concerning CenturyLink strategies and plans.</w:t>
            </w:r>
          </w:p>
        </w:tc>
      </w:tr>
      <w:tr w:rsidR="004E6EBC">
        <w:trPr>
          <w:jc w:val="center"/>
        </w:trPr>
        <w:tc>
          <w:tcPr>
            <w:tcW w:w="1717" w:type="dxa"/>
          </w:tcPr>
          <w:p w:rsidR="004E6EBC" w:rsidRDefault="004E6EBC">
            <w:pPr>
              <w:keepNext/>
              <w:rPr>
                <w:sz w:val="20"/>
                <w:szCs w:val="20"/>
              </w:rPr>
            </w:pPr>
            <w:r>
              <w:rPr>
                <w:sz w:val="20"/>
                <w:szCs w:val="20"/>
              </w:rPr>
              <w:t>4c-48 SEO</w:t>
            </w:r>
          </w:p>
        </w:tc>
        <w:tc>
          <w:tcPr>
            <w:tcW w:w="7859" w:type="dxa"/>
          </w:tcPr>
          <w:p w:rsidR="004E6EBC" w:rsidRDefault="004E6EBC">
            <w:pPr>
              <w:keepNext/>
              <w:rPr>
                <w:sz w:val="20"/>
                <w:szCs w:val="20"/>
              </w:rPr>
            </w:pPr>
            <w:r>
              <w:rPr>
                <w:sz w:val="20"/>
                <w:szCs w:val="20"/>
              </w:rPr>
              <w:t>CenturyLink document – contains detailed information regarding networks, equipment, business and marketing strategies regarding IPTV (video over internet protocol)</w:t>
            </w:r>
          </w:p>
        </w:tc>
      </w:tr>
      <w:tr w:rsidR="004E6EBC">
        <w:trPr>
          <w:jc w:val="center"/>
        </w:trPr>
        <w:tc>
          <w:tcPr>
            <w:tcW w:w="1717" w:type="dxa"/>
          </w:tcPr>
          <w:p w:rsidR="004E6EBC" w:rsidRDefault="004E6EBC">
            <w:pPr>
              <w:keepNext/>
              <w:rPr>
                <w:sz w:val="20"/>
                <w:szCs w:val="20"/>
              </w:rPr>
            </w:pPr>
            <w:r>
              <w:rPr>
                <w:sz w:val="20"/>
                <w:szCs w:val="20"/>
              </w:rPr>
              <w:t>4c-53 See CenturyLink</w:t>
            </w:r>
          </w:p>
        </w:tc>
        <w:tc>
          <w:tcPr>
            <w:tcW w:w="7859" w:type="dxa"/>
          </w:tcPr>
          <w:p w:rsidR="004E6EBC" w:rsidRDefault="004E6EBC">
            <w:pPr>
              <w:keepNext/>
              <w:rPr>
                <w:sz w:val="20"/>
                <w:szCs w:val="20"/>
              </w:rPr>
            </w:pPr>
            <w:r>
              <w:rPr>
                <w:sz w:val="20"/>
                <w:szCs w:val="20"/>
              </w:rPr>
              <w:t>CenturyLink document – contains detailed information regarding CenturyLink operations, performance, and strategies.</w:t>
            </w:r>
          </w:p>
        </w:tc>
      </w:tr>
      <w:tr w:rsidR="004E6EBC">
        <w:trPr>
          <w:jc w:val="center"/>
        </w:trPr>
        <w:tc>
          <w:tcPr>
            <w:tcW w:w="1717" w:type="dxa"/>
          </w:tcPr>
          <w:p w:rsidR="004E6EBC" w:rsidRDefault="004E6EBC">
            <w:pPr>
              <w:keepNext/>
              <w:rPr>
                <w:sz w:val="20"/>
                <w:szCs w:val="20"/>
              </w:rPr>
            </w:pPr>
            <w:r>
              <w:rPr>
                <w:sz w:val="20"/>
                <w:szCs w:val="20"/>
              </w:rPr>
              <w:t>4c-57 HC</w:t>
            </w:r>
          </w:p>
        </w:tc>
        <w:tc>
          <w:tcPr>
            <w:tcW w:w="7859" w:type="dxa"/>
          </w:tcPr>
          <w:p w:rsidR="004E6EBC" w:rsidRDefault="004E6EBC">
            <w:pPr>
              <w:keepNext/>
              <w:rPr>
                <w:sz w:val="20"/>
                <w:szCs w:val="20"/>
              </w:rPr>
            </w:pPr>
            <w:r>
              <w:rPr>
                <w:sz w:val="20"/>
                <w:szCs w:val="20"/>
              </w:rPr>
              <w:t xml:space="preserve">Qwest is redacting one line on page 2, which references one of the possible merger, acquisition, and investment opportunities under evaluation by the Board and senior management; the remainder of the document is being disclosed as HC </w:t>
            </w:r>
          </w:p>
        </w:tc>
      </w:tr>
      <w:tr w:rsidR="004E6EBC">
        <w:trPr>
          <w:jc w:val="center"/>
        </w:trPr>
        <w:tc>
          <w:tcPr>
            <w:tcW w:w="1717" w:type="dxa"/>
          </w:tcPr>
          <w:p w:rsidR="004E6EBC" w:rsidRDefault="004E6EBC">
            <w:pPr>
              <w:keepNext/>
              <w:rPr>
                <w:sz w:val="20"/>
                <w:szCs w:val="20"/>
              </w:rPr>
            </w:pPr>
            <w:r>
              <w:rPr>
                <w:sz w:val="20"/>
                <w:szCs w:val="20"/>
              </w:rPr>
              <w:t>4c-61 HC</w:t>
            </w:r>
          </w:p>
        </w:tc>
        <w:tc>
          <w:tcPr>
            <w:tcW w:w="7859" w:type="dxa"/>
          </w:tcPr>
          <w:p w:rsidR="004E6EBC" w:rsidRDefault="004E6EBC">
            <w:pPr>
              <w:keepNext/>
              <w:rPr>
                <w:sz w:val="20"/>
                <w:szCs w:val="20"/>
              </w:rPr>
            </w:pPr>
            <w:r>
              <w:rPr>
                <w:sz w:val="20"/>
                <w:szCs w:val="20"/>
              </w:rPr>
              <w:t>Redacting only a section from the last page, which describes one of the strategic investments under review by Qwest’s senior management; it does not address the CenturyLink transaction</w:t>
            </w:r>
          </w:p>
        </w:tc>
      </w:tr>
      <w:tr w:rsidR="004E6EBC">
        <w:trPr>
          <w:jc w:val="center"/>
        </w:trPr>
        <w:tc>
          <w:tcPr>
            <w:tcW w:w="1717" w:type="dxa"/>
          </w:tcPr>
          <w:p w:rsidR="004E6EBC" w:rsidRDefault="004E6EBC">
            <w:pPr>
              <w:keepNext/>
              <w:rPr>
                <w:sz w:val="20"/>
                <w:szCs w:val="20"/>
              </w:rPr>
            </w:pPr>
            <w:r>
              <w:rPr>
                <w:sz w:val="20"/>
                <w:szCs w:val="20"/>
              </w:rPr>
              <w:t>4c-65 HC</w:t>
            </w:r>
          </w:p>
        </w:tc>
        <w:tc>
          <w:tcPr>
            <w:tcW w:w="7859" w:type="dxa"/>
          </w:tcPr>
          <w:p w:rsidR="004E6EBC" w:rsidRDefault="004E6EBC">
            <w:pPr>
              <w:keepNext/>
              <w:rPr>
                <w:sz w:val="20"/>
                <w:szCs w:val="20"/>
              </w:rPr>
            </w:pPr>
            <w:r>
              <w:rPr>
                <w:sz w:val="20"/>
                <w:szCs w:val="20"/>
              </w:rPr>
              <w:t>Redacted information outlines other merger, acquisition, or investment opportunities under review by Qwest; these documents contain highly sensitive information, and are not related to the CenturyLink transaction. Documents addressing the CenturyLink transaction are being disclosed as HC.</w:t>
            </w:r>
          </w:p>
        </w:tc>
      </w:tr>
      <w:tr w:rsidR="004E6EBC">
        <w:trPr>
          <w:jc w:val="center"/>
        </w:trPr>
        <w:tc>
          <w:tcPr>
            <w:tcW w:w="1717" w:type="dxa"/>
          </w:tcPr>
          <w:p w:rsidR="004E6EBC" w:rsidRDefault="004E6EBC">
            <w:pPr>
              <w:keepNext/>
              <w:rPr>
                <w:sz w:val="20"/>
                <w:szCs w:val="20"/>
              </w:rPr>
            </w:pPr>
            <w:r>
              <w:rPr>
                <w:sz w:val="20"/>
                <w:szCs w:val="20"/>
              </w:rPr>
              <w:t>4c-69 HC</w:t>
            </w:r>
          </w:p>
        </w:tc>
        <w:tc>
          <w:tcPr>
            <w:tcW w:w="7859" w:type="dxa"/>
          </w:tcPr>
          <w:p w:rsidR="004E6EBC" w:rsidRDefault="004E6EBC">
            <w:pPr>
              <w:keepNext/>
              <w:rPr>
                <w:sz w:val="20"/>
                <w:szCs w:val="20"/>
              </w:rPr>
            </w:pPr>
            <w:r>
              <w:rPr>
                <w:sz w:val="20"/>
                <w:szCs w:val="20"/>
              </w:rPr>
              <w:t>Redacted information references the merger, acquisition, and investment opportunities under consideration by Qwest, and comparing the CenturyLink transaction to those other opportunities; remaining information discussing CenturyLink transaction is disclosed as HC</w:t>
            </w:r>
          </w:p>
        </w:tc>
      </w:tr>
      <w:tr w:rsidR="004E6EBC">
        <w:trPr>
          <w:jc w:val="center"/>
        </w:trPr>
        <w:tc>
          <w:tcPr>
            <w:tcW w:w="1717" w:type="dxa"/>
          </w:tcPr>
          <w:p w:rsidR="004E6EBC" w:rsidRDefault="004E6EBC">
            <w:pPr>
              <w:keepNext/>
              <w:rPr>
                <w:sz w:val="20"/>
                <w:szCs w:val="20"/>
              </w:rPr>
            </w:pPr>
            <w:r>
              <w:rPr>
                <w:sz w:val="20"/>
                <w:szCs w:val="20"/>
              </w:rPr>
              <w:t>4c-71 HC</w:t>
            </w:r>
          </w:p>
        </w:tc>
        <w:tc>
          <w:tcPr>
            <w:tcW w:w="7859" w:type="dxa"/>
          </w:tcPr>
          <w:p w:rsidR="004E6EBC" w:rsidRDefault="004E6EBC">
            <w:pPr>
              <w:keepNext/>
              <w:rPr>
                <w:sz w:val="20"/>
                <w:szCs w:val="20"/>
              </w:rPr>
            </w:pPr>
            <w:r>
              <w:rPr>
                <w:sz w:val="20"/>
                <w:szCs w:val="20"/>
              </w:rPr>
              <w:t>Entire document is redacted; authored by Tom Wilten, VP for Corporate Development, and responsible for analyzing merger, acquisition, and investment opportunities to the company.  This document outlines the full panoply of M &amp; A opportunities under review by the company, compares them, and addresses the sequencing of any possible transactions. This document contains information that continues to be highly sensitive.</w:t>
            </w:r>
          </w:p>
        </w:tc>
      </w:tr>
      <w:tr w:rsidR="004E6EBC">
        <w:trPr>
          <w:jc w:val="center"/>
        </w:trPr>
        <w:tc>
          <w:tcPr>
            <w:tcW w:w="1717" w:type="dxa"/>
          </w:tcPr>
          <w:p w:rsidR="004E6EBC" w:rsidRDefault="004E6EBC">
            <w:pPr>
              <w:keepNext/>
              <w:rPr>
                <w:sz w:val="20"/>
                <w:szCs w:val="20"/>
              </w:rPr>
            </w:pPr>
            <w:r>
              <w:rPr>
                <w:sz w:val="20"/>
                <w:szCs w:val="20"/>
              </w:rPr>
              <w:t>4c-76 HC</w:t>
            </w:r>
          </w:p>
        </w:tc>
        <w:tc>
          <w:tcPr>
            <w:tcW w:w="7859" w:type="dxa"/>
          </w:tcPr>
          <w:p w:rsidR="004E6EBC" w:rsidRDefault="004E6EBC">
            <w:pPr>
              <w:keepNext/>
              <w:rPr>
                <w:sz w:val="20"/>
                <w:szCs w:val="20"/>
              </w:rPr>
            </w:pPr>
            <w:r>
              <w:rPr>
                <w:sz w:val="20"/>
                <w:szCs w:val="20"/>
              </w:rPr>
              <w:t>Entire document is redacted; authored by Tom Wilten, VP for Corporate Development, and responsible for analyzing merger, acquisition, and investment opportunities to the company.  This document outlines the full panoply of M &amp; A opportunities under review by the company, compares them, and addresses the sequencing of any possible transactions. This document contains information that continues to be highly sensitive.</w:t>
            </w:r>
          </w:p>
        </w:tc>
      </w:tr>
      <w:tr w:rsidR="004E6EBC">
        <w:trPr>
          <w:jc w:val="center"/>
        </w:trPr>
        <w:tc>
          <w:tcPr>
            <w:tcW w:w="1717" w:type="dxa"/>
          </w:tcPr>
          <w:p w:rsidR="004E6EBC" w:rsidRDefault="004E6EBC">
            <w:pPr>
              <w:keepNext/>
              <w:rPr>
                <w:sz w:val="20"/>
                <w:szCs w:val="20"/>
              </w:rPr>
            </w:pPr>
            <w:r>
              <w:rPr>
                <w:sz w:val="20"/>
                <w:szCs w:val="20"/>
              </w:rPr>
              <w:t>4c-81 SEO</w:t>
            </w:r>
          </w:p>
        </w:tc>
        <w:tc>
          <w:tcPr>
            <w:tcW w:w="7859" w:type="dxa"/>
          </w:tcPr>
          <w:p w:rsidR="004E6EBC" w:rsidRDefault="004E6EBC">
            <w:pPr>
              <w:keepNext/>
              <w:rPr>
                <w:sz w:val="20"/>
                <w:szCs w:val="20"/>
              </w:rPr>
            </w:pPr>
            <w:r>
              <w:rPr>
                <w:sz w:val="20"/>
                <w:szCs w:val="20"/>
              </w:rPr>
              <w:t>CenturyLink document  containing detailed information regarding proprietary customer satisfaction tracking and measurement data.</w:t>
            </w:r>
          </w:p>
        </w:tc>
      </w:tr>
      <w:tr w:rsidR="004E6EBC">
        <w:trPr>
          <w:jc w:val="center"/>
        </w:trPr>
        <w:tc>
          <w:tcPr>
            <w:tcW w:w="1717" w:type="dxa"/>
          </w:tcPr>
          <w:p w:rsidR="004E6EBC" w:rsidRDefault="004E6EBC">
            <w:pPr>
              <w:keepNext/>
              <w:rPr>
                <w:sz w:val="20"/>
                <w:szCs w:val="20"/>
              </w:rPr>
            </w:pPr>
            <w:r>
              <w:rPr>
                <w:sz w:val="20"/>
                <w:szCs w:val="20"/>
              </w:rPr>
              <w:t>4c-82 SEO</w:t>
            </w:r>
          </w:p>
        </w:tc>
        <w:tc>
          <w:tcPr>
            <w:tcW w:w="7859" w:type="dxa"/>
          </w:tcPr>
          <w:p w:rsidR="004E6EBC" w:rsidRDefault="004E6EBC">
            <w:pPr>
              <w:keepNext/>
              <w:rPr>
                <w:sz w:val="20"/>
                <w:szCs w:val="20"/>
              </w:rPr>
            </w:pPr>
            <w:r>
              <w:rPr>
                <w:sz w:val="20"/>
                <w:szCs w:val="20"/>
              </w:rPr>
              <w:t>CenturyLink document  containing detailed information regarding CenturyLink marketing and sales strategies.</w:t>
            </w:r>
          </w:p>
        </w:tc>
      </w:tr>
    </w:tbl>
    <w:p w:rsidR="004E6EBC" w:rsidRDefault="004E6EBC">
      <w:pPr>
        <w:rPr>
          <w:sz w:val="20"/>
          <w:szCs w:val="20"/>
        </w:rPr>
      </w:pPr>
    </w:p>
    <w:p w:rsidR="004E6EBC" w:rsidRDefault="004E6EBC"/>
    <w:sectPr w:rsidR="004E6EBC" w:rsidSect="0067748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EBC" w:rsidRDefault="004E6EBC">
      <w:r>
        <w:separator/>
      </w:r>
    </w:p>
  </w:endnote>
  <w:endnote w:type="continuationSeparator" w:id="1">
    <w:p w:rsidR="004E6EBC" w:rsidRDefault="004E6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EBC" w:rsidRDefault="004E6EBC">
      <w:r>
        <w:separator/>
      </w:r>
    </w:p>
  </w:footnote>
  <w:footnote w:type="continuationSeparator" w:id="1">
    <w:p w:rsidR="004E6EBC" w:rsidRDefault="004E6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BC" w:rsidRDefault="004E6EBC">
    <w:pPr>
      <w:pStyle w:val="Header"/>
      <w:jc w:val="center"/>
    </w:pPr>
    <w:r>
      <w:t>ATTACHMENT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83A"/>
    <w:multiLevelType w:val="multilevel"/>
    <w:tmpl w:val="0409001D"/>
    <w:styleLink w:val="Outline"/>
    <w:lvl w:ilvl="0">
      <w:start w:val="1"/>
      <w:numFmt w:val="upperRoman"/>
      <w:lvlText w:val="%1)"/>
      <w:lvlJc w:val="left"/>
      <w:pPr>
        <w:ind w:left="360" w:hanging="360"/>
      </w:pPr>
      <w:rPr>
        <w:rFonts w:cs="Times New Roman"/>
      </w:rPr>
    </w:lvl>
    <w:lvl w:ilvl="1">
      <w:start w:val="1"/>
      <w:numFmt w:val="upp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lowerRoman"/>
      <w:lvlText w:val="(%5)"/>
      <w:lvlJc w:val="left"/>
      <w:pPr>
        <w:ind w:left="1800" w:hanging="360"/>
      </w:pPr>
      <w:rPr>
        <w:rFonts w:cs="Times New Roman"/>
      </w:rPr>
    </w:lvl>
    <w:lvl w:ilvl="5">
      <w:start w:val="1"/>
      <w:numFmt w:val="upp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2F02F4C"/>
    <w:multiLevelType w:val="multilevel"/>
    <w:tmpl w:val="0409001D"/>
    <w:styleLink w:val="Style2"/>
    <w:lvl w:ilvl="0">
      <w:start w:val="1"/>
      <w:numFmt w:val="upperRoman"/>
      <w:lvlText w:val="%1)"/>
      <w:lvlJc w:val="left"/>
      <w:pPr>
        <w:ind w:left="360" w:hanging="360"/>
      </w:pPr>
      <w:rPr>
        <w:rFonts w:cs="Times New Roman"/>
      </w:rPr>
    </w:lvl>
    <w:lvl w:ilvl="1">
      <w:start w:val="1"/>
      <w:numFmt w:val="upp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lowerRoman"/>
      <w:lvlText w:val="(%5)"/>
      <w:lvlJc w:val="left"/>
      <w:pPr>
        <w:ind w:left="1800" w:hanging="360"/>
      </w:pPr>
      <w:rPr>
        <w:rFonts w:cs="Times New Roman"/>
      </w:rPr>
    </w:lvl>
    <w:lvl w:ilvl="5">
      <w:start w:val="1"/>
      <w:numFmt w:val="upp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displayBackgroundShape/>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EBC"/>
    <w:rsid w:val="004E6EBC"/>
    <w:rsid w:val="006774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28"/>
    </w:rPr>
  </w:style>
  <w:style w:type="paragraph" w:styleId="Heading2">
    <w:name w:val="heading 2"/>
    <w:basedOn w:val="Normal"/>
    <w:next w:val="Normal"/>
    <w:link w:val="Heading2Char"/>
    <w:uiPriority w:val="99"/>
    <w:qFormat/>
    <w:pPr>
      <w:keepNext/>
      <w:keepLines/>
      <w:spacing w:before="200"/>
      <w:outlineLvl w:val="1"/>
    </w:pPr>
    <w:rPr>
      <w:b/>
      <w:bCs/>
      <w:i/>
      <w:sz w:val="26"/>
      <w:szCs w:val="26"/>
    </w:rPr>
  </w:style>
  <w:style w:type="paragraph" w:styleId="Heading3">
    <w:name w:val="heading 3"/>
    <w:basedOn w:val="Normal"/>
    <w:next w:val="Normal"/>
    <w:link w:val="Heading3Char"/>
    <w:uiPriority w:val="99"/>
    <w:qFormat/>
    <w:pPr>
      <w:keepNext/>
      <w:keepLines/>
      <w:spacing w:before="200"/>
      <w:ind w:left="720"/>
      <w:outlineLvl w:val="2"/>
    </w:pPr>
    <w:rPr>
      <w:b/>
      <w:bCs/>
    </w:rPr>
  </w:style>
  <w:style w:type="paragraph" w:styleId="Heading4">
    <w:name w:val="heading 4"/>
    <w:basedOn w:val="Normal"/>
    <w:next w:val="Normal"/>
    <w:link w:val="Heading4Char"/>
    <w:uiPriority w:val="99"/>
    <w:qFormat/>
    <w:pPr>
      <w:keepNext/>
      <w:ind w:left="1440"/>
      <w:outlineLvl w:val="3"/>
    </w:pPr>
    <w:rPr>
      <w:bCs/>
      <w:i/>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sz w:val="24"/>
      <w:szCs w:val="24"/>
    </w:rPr>
  </w:style>
  <w:style w:type="character" w:customStyle="1" w:styleId="Heading2Char">
    <w:name w:val="Heading 2 Char"/>
    <w:basedOn w:val="DefaultParagraphFont"/>
    <w:link w:val="Heading2"/>
    <w:uiPriority w:val="99"/>
    <w:locked/>
    <w:rPr>
      <w:rFonts w:ascii="Calibri" w:hAnsi="Calibri" w:cs="Times New Roman"/>
      <w:b/>
      <w:bCs/>
      <w:i/>
      <w:sz w:val="26"/>
      <w:szCs w:val="26"/>
    </w:rPr>
  </w:style>
  <w:style w:type="character" w:customStyle="1" w:styleId="Heading3Char">
    <w:name w:val="Heading 3 Char"/>
    <w:basedOn w:val="DefaultParagraphFont"/>
    <w:link w:val="Heading3"/>
    <w:uiPriority w:val="99"/>
    <w:semiHidden/>
    <w:locked/>
    <w:rPr>
      <w:rFonts w:ascii="Calibri" w:hAnsi="Calibri" w:cs="Times New Roman"/>
      <w:b/>
      <w:bCs/>
      <w:sz w:val="24"/>
      <w:szCs w:val="24"/>
    </w:rPr>
  </w:style>
  <w:style w:type="character" w:customStyle="1" w:styleId="Heading4Char">
    <w:name w:val="Heading 4 Char"/>
    <w:basedOn w:val="DefaultParagraphFont"/>
    <w:link w:val="Heading4"/>
    <w:uiPriority w:val="99"/>
    <w:locked/>
    <w:rPr>
      <w:rFonts w:ascii="Calibri" w:hAnsi="Calibri" w:cs="Times New Roman"/>
      <w:bCs/>
      <w:i/>
      <w:sz w:val="28"/>
      <w:szCs w:val="28"/>
    </w:rPr>
  </w:style>
  <w:style w:type="character" w:styleId="Emphasis">
    <w:name w:val="Emphasis"/>
    <w:basedOn w:val="DefaultParagraphFont"/>
    <w:uiPriority w:val="99"/>
    <w:qFormat/>
    <w:rPr>
      <w:rFonts w:cs="Times New Roman"/>
      <w:i/>
    </w:rPr>
  </w:style>
  <w:style w:type="paragraph" w:customStyle="1" w:styleId="NormalDS">
    <w:name w:val="Normal DS"/>
    <w:basedOn w:val="Normal"/>
    <w:link w:val="NormalDSChar"/>
    <w:autoRedefine/>
    <w:uiPriority w:val="99"/>
    <w:pPr>
      <w:spacing w:line="480" w:lineRule="auto"/>
    </w:pPr>
  </w:style>
  <w:style w:type="paragraph" w:customStyle="1" w:styleId="Style1">
    <w:name w:val="Style1"/>
    <w:uiPriority w:val="99"/>
    <w:pPr>
      <w:spacing w:after="200" w:line="276" w:lineRule="auto"/>
    </w:pPr>
    <w:rPr>
      <w:rFonts w:ascii="Book Antiqua" w:hAnsi="Book Antiqua"/>
      <w:smallCaps/>
      <w:sz w:val="26"/>
      <w:szCs w:val="24"/>
    </w:rPr>
  </w:style>
  <w:style w:type="paragraph" w:customStyle="1" w:styleId="LawFirm">
    <w:name w:val="Law Firm"/>
    <w:next w:val="Normal"/>
    <w:uiPriority w:val="99"/>
    <w:rPr>
      <w:rFonts w:ascii="Book Antiqua" w:hAnsi="Book Antiqua"/>
      <w:smallCaps/>
      <w:sz w:val="24"/>
      <w:szCs w:val="24"/>
    </w:rPr>
  </w:style>
  <w:style w:type="paragraph" w:customStyle="1" w:styleId="IndentedQuote">
    <w:name w:val="Indented Quote"/>
    <w:next w:val="Normal"/>
    <w:link w:val="IndentedQuoteChar"/>
    <w:uiPriority w:val="99"/>
    <w:pPr>
      <w:ind w:left="720" w:right="720"/>
    </w:pPr>
    <w:rPr>
      <w:szCs w:val="24"/>
    </w:rPr>
  </w:style>
  <w:style w:type="character" w:customStyle="1" w:styleId="IndentedQuoteChar">
    <w:name w:val="Indented Quote Char"/>
    <w:basedOn w:val="DefaultParagraphFont"/>
    <w:link w:val="IndentedQuote"/>
    <w:uiPriority w:val="99"/>
    <w:locked/>
    <w:rPr>
      <w:rFonts w:cs="Times New Roman"/>
      <w:sz w:val="24"/>
      <w:szCs w:val="24"/>
      <w:lang w:val="en-US" w:eastAsia="en-US" w:bidi="ar-SA"/>
    </w:rPr>
  </w:style>
  <w:style w:type="character" w:customStyle="1" w:styleId="NormalDSChar">
    <w:name w:val="Normal DS Char"/>
    <w:basedOn w:val="DefaultParagraphFont"/>
    <w:link w:val="NormalDS"/>
    <w:uiPriority w:val="99"/>
    <w:locked/>
    <w:rPr>
      <w:rFonts w:cs="Times New Roman"/>
      <w:sz w:val="24"/>
      <w:szCs w:val="24"/>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ListParagraph">
    <w:name w:val="List Paragraph"/>
    <w:basedOn w:val="Normal"/>
    <w:uiPriority w:val="99"/>
    <w:qFormat/>
    <w:pPr>
      <w:spacing w:before="120" w:after="120"/>
      <w:ind w:left="720"/>
      <w:contextualSpacing/>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numbering" w:customStyle="1" w:styleId="Outline">
    <w:name w:val="Outline"/>
    <w:rsid w:val="004E6EBC"/>
    <w:pPr>
      <w:numPr>
        <w:numId w:val="2"/>
      </w:numPr>
    </w:pPr>
  </w:style>
  <w:style w:type="numbering" w:customStyle="1" w:styleId="Style2">
    <w:name w:val="Style2"/>
    <w:rsid w:val="004E6EBC"/>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2010-09-28T07:00:00+00:00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1F4620E-71D3-4B6F-84F3-ADDCCD481CAF}"/>
</file>

<file path=customXml/itemProps2.xml><?xml version="1.0" encoding="utf-8"?>
<ds:datastoreItem xmlns:ds="http://schemas.openxmlformats.org/officeDocument/2006/customXml" ds:itemID="{0E4872E1-D425-4DF7-BB1C-C20EE6699008}"/>
</file>

<file path=customXml/itemProps3.xml><?xml version="1.0" encoding="utf-8"?>
<ds:datastoreItem xmlns:ds="http://schemas.openxmlformats.org/officeDocument/2006/customXml" ds:itemID="{9DA95E22-C65B-4852-B063-157DAA87EFC9}"/>
</file>

<file path=customXml/itemProps4.xml><?xml version="1.0" encoding="utf-8"?>
<ds:datastoreItem xmlns:ds="http://schemas.openxmlformats.org/officeDocument/2006/customXml" ds:itemID="{0B42E5F5-424F-4961-9253-ECC220FF0901}"/>
</file>

<file path=docProps/app.xml><?xml version="1.0" encoding="utf-8"?>
<Properties xmlns="http://schemas.openxmlformats.org/officeDocument/2006/extended-properties" xmlns:vt="http://schemas.openxmlformats.org/officeDocument/2006/docPropsVTypes">
  <Template>Normal_Wordconv</Template>
  <TotalTime>1</TotalTime>
  <Pages>1</Pages>
  <Words>531</Words>
  <Characters>3028</Characters>
  <Application>Microsoft Office Outlook</Application>
  <DocSecurity>0</DocSecurity>
  <Lines>0</Lines>
  <Paragraphs>0</Paragraphs>
  <ScaleCrop>false</ScaleCrop>
  <Company>Qwest Communications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Redaction Guide for In Camera Review</dc:title>
  <dc:subject/>
  <dc:creator>Tim Goodwin</dc:creator>
  <cp:keywords/>
  <dc:description/>
  <cp:lastModifiedBy>Leslie D. Johnson</cp:lastModifiedBy>
  <cp:revision>2</cp:revision>
  <dcterms:created xsi:type="dcterms:W3CDTF">2010-09-28T21:14:00Z</dcterms:created>
  <dcterms:modified xsi:type="dcterms:W3CDTF">2010-09-28T21:14:00Z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0x0101006E56B4D1795A2E4DB2F0B01679ED314A0005C87BED8F1E1C429DF53B67807A0FD9</vt:lpwstr>
  </property>
  <property fmtid="{D5CDD505-2E9C-101B-9397-08002B2CF9AE}" pid="4" name="_docset_NoMedatataSyncRequired">
    <vt:lpwstr>False</vt:lpwstr>
  </property>
</Properties>
</file>