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501861">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CC09E8">
        <w:t>06</w:t>
      </w:r>
      <w:r w:rsidR="004F3EA5">
        <w:t>/</w:t>
      </w:r>
      <w:r w:rsidR="00CC09E8">
        <w:t>07</w:t>
      </w:r>
      <w:r w:rsidR="00A43B06">
        <w:t>/201</w:t>
      </w:r>
      <w:r w:rsidR="00D241CB">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B71689">
        <w:t>Patrick Ehrbar</w:t>
      </w:r>
    </w:p>
    <w:p w:rsidR="001004DE" w:rsidRDefault="00C73FA6" w:rsidP="0040408A">
      <w:pPr>
        <w:pStyle w:val="Heading1"/>
        <w:tabs>
          <w:tab w:val="clear" w:pos="4320"/>
          <w:tab w:val="left" w:pos="5040"/>
        </w:tabs>
      </w:pPr>
      <w:r>
        <w:t>REQUESTER:</w:t>
      </w:r>
      <w:r>
        <w:tab/>
      </w:r>
      <w:r w:rsidR="005C45F1">
        <w:t>Public Counsel/Energy Project</w:t>
      </w:r>
      <w:r w:rsidR="00FD536A">
        <w:tab/>
        <w:t>RESPONDER:</w:t>
      </w:r>
      <w:r w:rsidR="00FD536A">
        <w:tab/>
      </w:r>
      <w:r w:rsidR="004F3EA5">
        <w:t>Patrick Ehrbar</w:t>
      </w:r>
    </w:p>
    <w:p w:rsidR="001004DE" w:rsidRDefault="00FD536A" w:rsidP="00501861">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F3EA5">
        <w:t>4</w:t>
      </w:r>
      <w:r w:rsidR="00106BD0">
        <w:t>9</w:t>
      </w:r>
      <w:r w:rsidR="00CC09E8">
        <w:t xml:space="preserve"> </w:t>
      </w:r>
      <w:r w:rsidR="00997EC8">
        <w:t xml:space="preserve">- </w:t>
      </w:r>
      <w:r w:rsidR="00CC09E8">
        <w:t>Revised</w:t>
      </w:r>
      <w:r w:rsidR="004A7704">
        <w:tab/>
      </w:r>
      <w:r w:rsidR="00FD536A">
        <w:t>TELEPHONE:</w:t>
      </w:r>
      <w:r w:rsidR="00FD536A">
        <w:tab/>
        <w:t>(509) 495-</w:t>
      </w:r>
      <w:r w:rsidR="004F3EA5">
        <w:t>8620</w:t>
      </w:r>
    </w:p>
    <w:p w:rsidR="00FD536A" w:rsidRDefault="00AA791F" w:rsidP="00501861">
      <w:pPr>
        <w:tabs>
          <w:tab w:val="left" w:pos="1890"/>
          <w:tab w:val="left" w:pos="5040"/>
          <w:tab w:val="left" w:pos="6480"/>
        </w:tabs>
        <w:ind w:right="-648"/>
        <w:rPr>
          <w:sz w:val="24"/>
          <w:szCs w:val="24"/>
        </w:rPr>
      </w:pPr>
      <w:r>
        <w:rPr>
          <w:sz w:val="24"/>
          <w:szCs w:val="24"/>
        </w:rPr>
        <w:tab/>
      </w:r>
      <w:r>
        <w:rPr>
          <w:sz w:val="24"/>
          <w:szCs w:val="24"/>
        </w:rPr>
        <w:tab/>
        <w:t>EMAIL:</w:t>
      </w:r>
      <w:r>
        <w:rPr>
          <w:sz w:val="24"/>
          <w:szCs w:val="24"/>
        </w:rPr>
        <w:tab/>
      </w:r>
      <w:r w:rsidR="00941853">
        <w:rPr>
          <w:sz w:val="24"/>
          <w:szCs w:val="24"/>
        </w:rPr>
        <w:tab/>
      </w:r>
      <w:r w:rsidR="004F3EA5">
        <w:rPr>
          <w:sz w:val="24"/>
          <w:szCs w:val="24"/>
        </w:rPr>
        <w:t>pat.ehrbar</w:t>
      </w:r>
      <w:r w:rsidR="00417AA4">
        <w:rPr>
          <w:sz w:val="24"/>
          <w:szCs w:val="24"/>
        </w:rPr>
        <w:t>@avistacorp.com</w:t>
      </w:r>
    </w:p>
    <w:p w:rsidR="000E629D" w:rsidRDefault="000E629D">
      <w:pPr>
        <w:tabs>
          <w:tab w:val="left" w:pos="1890"/>
          <w:tab w:val="left" w:pos="4320"/>
          <w:tab w:val="left" w:pos="6480"/>
        </w:tabs>
        <w:rPr>
          <w:sz w:val="24"/>
          <w:szCs w:val="24"/>
        </w:rPr>
      </w:pPr>
    </w:p>
    <w:p w:rsidR="00D95C14" w:rsidRPr="00E8518F" w:rsidRDefault="00FD536A" w:rsidP="00FA2E8E">
      <w:pPr>
        <w:ind w:left="1440" w:hanging="1440"/>
        <w:rPr>
          <w:sz w:val="24"/>
          <w:szCs w:val="24"/>
        </w:rPr>
      </w:pPr>
      <w:r w:rsidRPr="00E8518F">
        <w:rPr>
          <w:b/>
          <w:bCs/>
          <w:sz w:val="24"/>
          <w:szCs w:val="24"/>
        </w:rPr>
        <w:t>REQUEST:</w:t>
      </w:r>
    </w:p>
    <w:p w:rsidR="00D241CB" w:rsidRPr="00E8518F" w:rsidRDefault="00D241CB" w:rsidP="00FA2E8E">
      <w:pPr>
        <w:ind w:left="1440" w:hanging="1440"/>
        <w:rPr>
          <w:sz w:val="24"/>
          <w:szCs w:val="24"/>
        </w:rPr>
      </w:pPr>
    </w:p>
    <w:p w:rsidR="00106BD0" w:rsidRDefault="00106BD0" w:rsidP="00106BD0">
      <w:pPr>
        <w:pStyle w:val="Default"/>
        <w:spacing w:after="240"/>
        <w:jc w:val="both"/>
      </w:pPr>
      <w:r w:rsidRPr="00106BD0">
        <w:t>With regard to Avista’s response to Public Counsel and The Energy Project Joint Data Request No. 24, provide the estimated customer class bill impacts for the net revenue requirement identified in Public Counsel and The Energy Project Joint Data Request No. 23 separately for gas and electric ratepayers, using the current customer class rate design and an allocation of AMI costs and benefits that reflects the manner in which Avista is proposing to allocate AMI-related costs in this pending rate case.  In the response, identify whether Avista prefers or recommends recovery of the net revenue requirement in a fixed customer charge or through volumetric rates.</w:t>
      </w:r>
    </w:p>
    <w:p w:rsidR="00B71689" w:rsidRDefault="00B71689" w:rsidP="000E629D">
      <w:pPr>
        <w:tabs>
          <w:tab w:val="left" w:pos="1890"/>
          <w:tab w:val="left" w:pos="4320"/>
          <w:tab w:val="left" w:pos="6480"/>
        </w:tabs>
        <w:jc w:val="both"/>
        <w:rPr>
          <w:b/>
          <w:sz w:val="24"/>
          <w:szCs w:val="24"/>
        </w:rPr>
      </w:pPr>
    </w:p>
    <w:p w:rsidR="00D40664" w:rsidRPr="00A60D4E" w:rsidRDefault="00FD536A" w:rsidP="000E629D">
      <w:pPr>
        <w:tabs>
          <w:tab w:val="left" w:pos="1890"/>
          <w:tab w:val="left" w:pos="4320"/>
          <w:tab w:val="left" w:pos="6480"/>
        </w:tabs>
        <w:jc w:val="both"/>
        <w:rPr>
          <w:b/>
          <w:sz w:val="24"/>
          <w:szCs w:val="24"/>
        </w:rPr>
      </w:pPr>
      <w:r w:rsidRPr="00A60D4E">
        <w:rPr>
          <w:b/>
          <w:sz w:val="24"/>
          <w:szCs w:val="24"/>
        </w:rPr>
        <w:t>RESPONSE:</w:t>
      </w:r>
    </w:p>
    <w:p w:rsidR="005C2774" w:rsidRDefault="005C2774" w:rsidP="000E629D">
      <w:pPr>
        <w:tabs>
          <w:tab w:val="left" w:pos="1890"/>
          <w:tab w:val="left" w:pos="4320"/>
          <w:tab w:val="left" w:pos="6480"/>
        </w:tabs>
        <w:jc w:val="both"/>
        <w:rPr>
          <w:sz w:val="24"/>
          <w:szCs w:val="24"/>
        </w:rPr>
      </w:pPr>
    </w:p>
    <w:p w:rsidR="00997EC8" w:rsidRDefault="00997EC8" w:rsidP="005961F7">
      <w:pPr>
        <w:pStyle w:val="Default"/>
        <w:spacing w:after="240"/>
        <w:jc w:val="both"/>
      </w:pPr>
      <w:r>
        <w:t>The Company has revised the attachment labeled “PC/EP_DR_049 Attachment A – Revised” in order to align with the revised response to PC/EP – 023 – Revised.</w:t>
      </w:r>
    </w:p>
    <w:p w:rsidR="00C47DEF" w:rsidRDefault="005961F7" w:rsidP="005961F7">
      <w:pPr>
        <w:pStyle w:val="Default"/>
        <w:spacing w:after="240"/>
        <w:jc w:val="both"/>
      </w:pPr>
      <w:r>
        <w:t>Please see the Company’s response to PC/EP</w:t>
      </w:r>
      <w:r w:rsidR="00512C64">
        <w:t>_DR_</w:t>
      </w:r>
      <w:r>
        <w:t xml:space="preserve">040 which provides an analysis of how the costs related to the AMI investment included in the Company’s case were allocated to the Company’s service schedules, and the estimated impact to each service schedule.  </w:t>
      </w:r>
      <w:r w:rsidR="000D1A6F">
        <w:t>Please also see the Company’s response to PC/EP</w:t>
      </w:r>
      <w:r w:rsidR="00512C64">
        <w:t>_DR_</w:t>
      </w:r>
      <w:r w:rsidR="000D1A6F">
        <w:t>047</w:t>
      </w:r>
      <w:r w:rsidR="00997EC8">
        <w:t xml:space="preserve"> </w:t>
      </w:r>
      <w:r w:rsidR="00C47DEF">
        <w:t>–</w:t>
      </w:r>
      <w:r w:rsidR="00997EC8">
        <w:t xml:space="preserve"> Revised</w:t>
      </w:r>
    </w:p>
    <w:p w:rsidR="000D1A6F" w:rsidRDefault="000D1A6F" w:rsidP="005961F7">
      <w:pPr>
        <w:pStyle w:val="Default"/>
        <w:spacing w:after="240"/>
        <w:jc w:val="both"/>
      </w:pPr>
      <w:r>
        <w:t xml:space="preserve">Please see </w:t>
      </w:r>
      <w:r w:rsidR="00997EC8">
        <w:t>“</w:t>
      </w:r>
      <w:r w:rsidRPr="00490638">
        <w:t>PC</w:t>
      </w:r>
      <w:r w:rsidR="00512C64">
        <w:t>/</w:t>
      </w:r>
      <w:r w:rsidRPr="00490638">
        <w:t>EP_DR_04</w:t>
      </w:r>
      <w:r>
        <w:t>9</w:t>
      </w:r>
      <w:r w:rsidRPr="00490638">
        <w:t xml:space="preserve"> Attachment A</w:t>
      </w:r>
      <w:r w:rsidR="00997EC8">
        <w:t xml:space="preserve"> – Revised” </w:t>
      </w:r>
      <w:r>
        <w:t>which takes the “analysis” included in PC/EP</w:t>
      </w:r>
      <w:r w:rsidR="00512C64">
        <w:t>_DR_</w:t>
      </w:r>
      <w:r>
        <w:t>04</w:t>
      </w:r>
      <w:r w:rsidR="00396B9B">
        <w:t>0 and PC</w:t>
      </w:r>
      <w:r w:rsidR="00512C64">
        <w:t>/</w:t>
      </w:r>
      <w:r w:rsidR="00396B9B">
        <w:t>EP</w:t>
      </w:r>
      <w:r w:rsidR="00512C64">
        <w:t>_DR_</w:t>
      </w:r>
      <w:r w:rsidR="00396B9B">
        <w:t>047</w:t>
      </w:r>
      <w:r w:rsidR="00997EC8">
        <w:t xml:space="preserve"> - Revised</w:t>
      </w:r>
      <w:r w:rsidR="00396B9B">
        <w:t xml:space="preserve"> </w:t>
      </w:r>
      <w:r>
        <w:t xml:space="preserve">and provides for the estimated allocation of the net revenue requirement to the rate schedule level, as well as the estimated </w:t>
      </w:r>
      <w:r w:rsidR="00396B9B">
        <w:t xml:space="preserve">monthly </w:t>
      </w:r>
      <w:r>
        <w:t>bill impact.  Th</w:t>
      </w:r>
      <w:r w:rsidR="00C47DEF">
        <w:t xml:space="preserve">is analysis is based on the following </w:t>
      </w:r>
      <w:r>
        <w:t>assumptions:</w:t>
      </w:r>
    </w:p>
    <w:p w:rsidR="000D1A6F" w:rsidRDefault="000D1A6F" w:rsidP="000D1A6F">
      <w:pPr>
        <w:pStyle w:val="Default"/>
        <w:numPr>
          <w:ilvl w:val="0"/>
          <w:numId w:val="36"/>
        </w:numPr>
        <w:jc w:val="both"/>
      </w:pPr>
      <w:r>
        <w:t>Total revenue requirement is unchanged for 21 years</w:t>
      </w:r>
    </w:p>
    <w:p w:rsidR="000D1A6F" w:rsidRDefault="000D1A6F" w:rsidP="000D1A6F">
      <w:pPr>
        <w:pStyle w:val="Default"/>
        <w:numPr>
          <w:ilvl w:val="0"/>
          <w:numId w:val="36"/>
        </w:numPr>
        <w:jc w:val="both"/>
      </w:pPr>
      <w:r>
        <w:t>The allocation of costs to electric and natural gas service in year 1 will hold for years 2-21</w:t>
      </w:r>
    </w:p>
    <w:p w:rsidR="000D1A6F" w:rsidRDefault="000D1A6F" w:rsidP="000D1A6F">
      <w:pPr>
        <w:pStyle w:val="Default"/>
        <w:numPr>
          <w:ilvl w:val="0"/>
          <w:numId w:val="36"/>
        </w:numPr>
        <w:jc w:val="both"/>
      </w:pPr>
      <w:r>
        <w:t>The cost of service studies are approved as filed</w:t>
      </w:r>
    </w:p>
    <w:p w:rsidR="000D1A6F" w:rsidRDefault="000D1A6F" w:rsidP="000D1A6F">
      <w:pPr>
        <w:pStyle w:val="Default"/>
        <w:numPr>
          <w:ilvl w:val="0"/>
          <w:numId w:val="36"/>
        </w:numPr>
        <w:jc w:val="both"/>
      </w:pPr>
      <w:r>
        <w:t>The allocation factors included in the cost of service studies will not change for years 2-21.</w:t>
      </w:r>
    </w:p>
    <w:p w:rsidR="000D1A6F" w:rsidRDefault="000D1A6F" w:rsidP="000D1A6F">
      <w:pPr>
        <w:pStyle w:val="Default"/>
        <w:numPr>
          <w:ilvl w:val="0"/>
          <w:numId w:val="36"/>
        </w:numPr>
        <w:jc w:val="both"/>
      </w:pPr>
      <w:r>
        <w:t>The proposed rate spread in this case is approved as filed</w:t>
      </w:r>
    </w:p>
    <w:p w:rsidR="000D1A6F" w:rsidRDefault="000D1A6F" w:rsidP="000D1A6F">
      <w:pPr>
        <w:pStyle w:val="Default"/>
        <w:numPr>
          <w:ilvl w:val="0"/>
          <w:numId w:val="36"/>
        </w:numPr>
        <w:jc w:val="both"/>
      </w:pPr>
      <w:r>
        <w:t>The proposed rate spread in all future cases will be the same as filed in this case</w:t>
      </w:r>
    </w:p>
    <w:p w:rsidR="000D1A6F" w:rsidRDefault="000D1A6F" w:rsidP="000D1A6F">
      <w:pPr>
        <w:pStyle w:val="Default"/>
        <w:numPr>
          <w:ilvl w:val="0"/>
          <w:numId w:val="36"/>
        </w:numPr>
        <w:jc w:val="both"/>
      </w:pPr>
      <w:bookmarkStart w:id="0" w:name="_GoBack"/>
      <w:bookmarkEnd w:id="0"/>
      <w:r>
        <w:t>The number of customers and customer bills does not change</w:t>
      </w:r>
    </w:p>
    <w:p w:rsidR="005961F7" w:rsidRDefault="005961F7" w:rsidP="000E629D">
      <w:pPr>
        <w:tabs>
          <w:tab w:val="left" w:pos="1890"/>
          <w:tab w:val="left" w:pos="4320"/>
          <w:tab w:val="left" w:pos="6480"/>
        </w:tabs>
        <w:jc w:val="both"/>
        <w:rPr>
          <w:sz w:val="24"/>
          <w:szCs w:val="24"/>
        </w:rPr>
      </w:pPr>
    </w:p>
    <w:p w:rsidR="000D1A6F" w:rsidRPr="00A60D4E" w:rsidRDefault="000D1A6F" w:rsidP="000E629D">
      <w:pPr>
        <w:tabs>
          <w:tab w:val="left" w:pos="1890"/>
          <w:tab w:val="left" w:pos="4320"/>
          <w:tab w:val="left" w:pos="6480"/>
        </w:tabs>
        <w:jc w:val="both"/>
        <w:rPr>
          <w:sz w:val="24"/>
          <w:szCs w:val="24"/>
        </w:rPr>
      </w:pPr>
      <w:r>
        <w:rPr>
          <w:sz w:val="24"/>
          <w:szCs w:val="24"/>
        </w:rPr>
        <w:t>The Company believes that the majority of its fixed costs, such as the costs associated with AMI, should be recovered in a fixed monthly charge</w:t>
      </w:r>
      <w:r w:rsidR="00396B9B">
        <w:rPr>
          <w:sz w:val="24"/>
          <w:szCs w:val="24"/>
        </w:rPr>
        <w:t>.</w:t>
      </w:r>
    </w:p>
    <w:sectPr w:rsidR="000D1A6F" w:rsidRPr="00A60D4E" w:rsidSect="00501861">
      <w:headerReference w:type="default" r:id="rId11"/>
      <w:footerReference w:type="default" r:id="rId12"/>
      <w:footerReference w:type="first" r:id="rId13"/>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14" w:rsidRDefault="00BE6814">
      <w:r>
        <w:separator/>
      </w:r>
    </w:p>
  </w:endnote>
  <w:endnote w:type="continuationSeparator" w:id="0">
    <w:p w:rsidR="00BE6814" w:rsidRDefault="00BE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C47DEF">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C47DEF">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C47DEF">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14" w:rsidRDefault="00BE6814">
      <w:r>
        <w:separator/>
      </w:r>
    </w:p>
  </w:footnote>
  <w:footnote w:type="continuationSeparator" w:id="0">
    <w:p w:rsidR="00BE6814" w:rsidRDefault="00BE6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71439"/>
    <w:multiLevelType w:val="hybridMultilevel"/>
    <w:tmpl w:val="1BF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8"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6"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7"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0"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5"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6"/>
  </w:num>
  <w:num w:numId="4">
    <w:abstractNumId w:val="0"/>
  </w:num>
  <w:num w:numId="5">
    <w:abstractNumId w:val="33"/>
  </w:num>
  <w:num w:numId="6">
    <w:abstractNumId w:val="30"/>
  </w:num>
  <w:num w:numId="7">
    <w:abstractNumId w:val="9"/>
  </w:num>
  <w:num w:numId="8">
    <w:abstractNumId w:val="32"/>
  </w:num>
  <w:num w:numId="9">
    <w:abstractNumId w:val="3"/>
  </w:num>
  <w:num w:numId="10">
    <w:abstractNumId w:val="23"/>
  </w:num>
  <w:num w:numId="11">
    <w:abstractNumId w:val="2"/>
  </w:num>
  <w:num w:numId="12">
    <w:abstractNumId w:val="11"/>
  </w:num>
  <w:num w:numId="13">
    <w:abstractNumId w:val="34"/>
  </w:num>
  <w:num w:numId="14">
    <w:abstractNumId w:val="4"/>
  </w:num>
  <w:num w:numId="15">
    <w:abstractNumId w:val="5"/>
  </w:num>
  <w:num w:numId="16">
    <w:abstractNumId w:val="6"/>
  </w:num>
  <w:num w:numId="17">
    <w:abstractNumId w:val="20"/>
  </w:num>
  <w:num w:numId="18">
    <w:abstractNumId w:val="29"/>
  </w:num>
  <w:num w:numId="19">
    <w:abstractNumId w:val="13"/>
  </w:num>
  <w:num w:numId="20">
    <w:abstractNumId w:val="17"/>
  </w:num>
  <w:num w:numId="21">
    <w:abstractNumId w:val="1"/>
  </w:num>
  <w:num w:numId="22">
    <w:abstractNumId w:val="26"/>
  </w:num>
  <w:num w:numId="23">
    <w:abstractNumId w:val="19"/>
  </w:num>
  <w:num w:numId="24">
    <w:abstractNumId w:val="14"/>
  </w:num>
  <w:num w:numId="25">
    <w:abstractNumId w:val="31"/>
  </w:num>
  <w:num w:numId="26">
    <w:abstractNumId w:val="28"/>
  </w:num>
  <w:num w:numId="27">
    <w:abstractNumId w:val="12"/>
  </w:num>
  <w:num w:numId="28">
    <w:abstractNumId w:val="18"/>
  </w:num>
  <w:num w:numId="29">
    <w:abstractNumId w:val="2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5"/>
  </w:num>
  <w:num w:numId="33">
    <w:abstractNumId w:val="35"/>
  </w:num>
  <w:num w:numId="34">
    <w:abstractNumId w:val="10"/>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337C7"/>
    <w:rsid w:val="00056C64"/>
    <w:rsid w:val="000668AD"/>
    <w:rsid w:val="00081D52"/>
    <w:rsid w:val="000859CA"/>
    <w:rsid w:val="000B7695"/>
    <w:rsid w:val="000D1A6F"/>
    <w:rsid w:val="000E398F"/>
    <w:rsid w:val="000E629D"/>
    <w:rsid w:val="001004DE"/>
    <w:rsid w:val="00103567"/>
    <w:rsid w:val="00106BD0"/>
    <w:rsid w:val="0011273E"/>
    <w:rsid w:val="0012408C"/>
    <w:rsid w:val="00132713"/>
    <w:rsid w:val="0014150E"/>
    <w:rsid w:val="00150A6D"/>
    <w:rsid w:val="00162796"/>
    <w:rsid w:val="00170A2B"/>
    <w:rsid w:val="00177390"/>
    <w:rsid w:val="0019350D"/>
    <w:rsid w:val="001A142E"/>
    <w:rsid w:val="001C0DD6"/>
    <w:rsid w:val="001E06F3"/>
    <w:rsid w:val="001E07A6"/>
    <w:rsid w:val="001F2C4B"/>
    <w:rsid w:val="001F6472"/>
    <w:rsid w:val="00200E39"/>
    <w:rsid w:val="002146D9"/>
    <w:rsid w:val="00236EDE"/>
    <w:rsid w:val="0024476C"/>
    <w:rsid w:val="002677D5"/>
    <w:rsid w:val="0027069C"/>
    <w:rsid w:val="002821F9"/>
    <w:rsid w:val="002959CB"/>
    <w:rsid w:val="002B16E6"/>
    <w:rsid w:val="002E674E"/>
    <w:rsid w:val="00316168"/>
    <w:rsid w:val="00321DA8"/>
    <w:rsid w:val="00330308"/>
    <w:rsid w:val="003348C4"/>
    <w:rsid w:val="003564E0"/>
    <w:rsid w:val="00375C8C"/>
    <w:rsid w:val="00383DD3"/>
    <w:rsid w:val="0038419A"/>
    <w:rsid w:val="00390A4F"/>
    <w:rsid w:val="00396B9B"/>
    <w:rsid w:val="003B0ABF"/>
    <w:rsid w:val="003B4E20"/>
    <w:rsid w:val="003C0AED"/>
    <w:rsid w:val="003C1D9A"/>
    <w:rsid w:val="003C319E"/>
    <w:rsid w:val="003E2A56"/>
    <w:rsid w:val="003E2DF6"/>
    <w:rsid w:val="003E487F"/>
    <w:rsid w:val="003E50F1"/>
    <w:rsid w:val="003F65BC"/>
    <w:rsid w:val="0040408A"/>
    <w:rsid w:val="00417AA4"/>
    <w:rsid w:val="00422CC4"/>
    <w:rsid w:val="00446369"/>
    <w:rsid w:val="00490B2C"/>
    <w:rsid w:val="004A7704"/>
    <w:rsid w:val="004B30E7"/>
    <w:rsid w:val="004F03CE"/>
    <w:rsid w:val="004F3EA5"/>
    <w:rsid w:val="004F7DA8"/>
    <w:rsid w:val="00500F1F"/>
    <w:rsid w:val="00501861"/>
    <w:rsid w:val="005048A8"/>
    <w:rsid w:val="005050C4"/>
    <w:rsid w:val="00512C64"/>
    <w:rsid w:val="00521A5C"/>
    <w:rsid w:val="005270BA"/>
    <w:rsid w:val="0055045F"/>
    <w:rsid w:val="005906BD"/>
    <w:rsid w:val="00591481"/>
    <w:rsid w:val="005961F7"/>
    <w:rsid w:val="005A2255"/>
    <w:rsid w:val="005A4604"/>
    <w:rsid w:val="005A49F0"/>
    <w:rsid w:val="005C1EDF"/>
    <w:rsid w:val="005C2774"/>
    <w:rsid w:val="005C45F1"/>
    <w:rsid w:val="005D660A"/>
    <w:rsid w:val="005D72D7"/>
    <w:rsid w:val="00603734"/>
    <w:rsid w:val="006045D3"/>
    <w:rsid w:val="00633F9B"/>
    <w:rsid w:val="00663AE9"/>
    <w:rsid w:val="006663A7"/>
    <w:rsid w:val="006718CF"/>
    <w:rsid w:val="00676960"/>
    <w:rsid w:val="00676BD3"/>
    <w:rsid w:val="006A6CF9"/>
    <w:rsid w:val="006C178A"/>
    <w:rsid w:val="006E54A7"/>
    <w:rsid w:val="00720FD7"/>
    <w:rsid w:val="00741CF2"/>
    <w:rsid w:val="00753FE9"/>
    <w:rsid w:val="00754422"/>
    <w:rsid w:val="0076538A"/>
    <w:rsid w:val="007675DB"/>
    <w:rsid w:val="007A30D4"/>
    <w:rsid w:val="007B5EE6"/>
    <w:rsid w:val="007D5DBD"/>
    <w:rsid w:val="007E3A66"/>
    <w:rsid w:val="007F518A"/>
    <w:rsid w:val="008022DE"/>
    <w:rsid w:val="008074FC"/>
    <w:rsid w:val="0082063D"/>
    <w:rsid w:val="00850594"/>
    <w:rsid w:val="00877489"/>
    <w:rsid w:val="008D1DFC"/>
    <w:rsid w:val="008E3932"/>
    <w:rsid w:val="008F5FC8"/>
    <w:rsid w:val="009052D2"/>
    <w:rsid w:val="009257B1"/>
    <w:rsid w:val="00925CD6"/>
    <w:rsid w:val="00937C93"/>
    <w:rsid w:val="00941853"/>
    <w:rsid w:val="00944C19"/>
    <w:rsid w:val="00947417"/>
    <w:rsid w:val="00957712"/>
    <w:rsid w:val="00976D3A"/>
    <w:rsid w:val="0098154E"/>
    <w:rsid w:val="00997EC8"/>
    <w:rsid w:val="009B1274"/>
    <w:rsid w:val="009C6A86"/>
    <w:rsid w:val="009F713C"/>
    <w:rsid w:val="00A02F6F"/>
    <w:rsid w:val="00A30055"/>
    <w:rsid w:val="00A43B06"/>
    <w:rsid w:val="00A56BC4"/>
    <w:rsid w:val="00A60D4E"/>
    <w:rsid w:val="00A82D5A"/>
    <w:rsid w:val="00A96A19"/>
    <w:rsid w:val="00AA791F"/>
    <w:rsid w:val="00AB5D5A"/>
    <w:rsid w:val="00AF09F0"/>
    <w:rsid w:val="00B131FC"/>
    <w:rsid w:val="00B1716B"/>
    <w:rsid w:val="00B41482"/>
    <w:rsid w:val="00B43681"/>
    <w:rsid w:val="00B67BE9"/>
    <w:rsid w:val="00B71689"/>
    <w:rsid w:val="00B71ED1"/>
    <w:rsid w:val="00B72352"/>
    <w:rsid w:val="00B76EAC"/>
    <w:rsid w:val="00B954C3"/>
    <w:rsid w:val="00BA4F5A"/>
    <w:rsid w:val="00BB73DC"/>
    <w:rsid w:val="00BD5789"/>
    <w:rsid w:val="00BE63AB"/>
    <w:rsid w:val="00BE6814"/>
    <w:rsid w:val="00C040A5"/>
    <w:rsid w:val="00C15A22"/>
    <w:rsid w:val="00C30697"/>
    <w:rsid w:val="00C47DEF"/>
    <w:rsid w:val="00C54A4F"/>
    <w:rsid w:val="00C73FA6"/>
    <w:rsid w:val="00C83E18"/>
    <w:rsid w:val="00CA15F9"/>
    <w:rsid w:val="00CA63F8"/>
    <w:rsid w:val="00CC09E8"/>
    <w:rsid w:val="00CD4D4E"/>
    <w:rsid w:val="00CE4078"/>
    <w:rsid w:val="00CF3794"/>
    <w:rsid w:val="00D241CB"/>
    <w:rsid w:val="00D376F6"/>
    <w:rsid w:val="00D40664"/>
    <w:rsid w:val="00D41724"/>
    <w:rsid w:val="00D56C54"/>
    <w:rsid w:val="00D6636F"/>
    <w:rsid w:val="00D75120"/>
    <w:rsid w:val="00D77A4E"/>
    <w:rsid w:val="00D95C14"/>
    <w:rsid w:val="00DA234F"/>
    <w:rsid w:val="00DB4781"/>
    <w:rsid w:val="00DB79EB"/>
    <w:rsid w:val="00DE5D38"/>
    <w:rsid w:val="00E404F2"/>
    <w:rsid w:val="00E43DB3"/>
    <w:rsid w:val="00E5056E"/>
    <w:rsid w:val="00E607D6"/>
    <w:rsid w:val="00E64D12"/>
    <w:rsid w:val="00E71248"/>
    <w:rsid w:val="00E84640"/>
    <w:rsid w:val="00E84C7F"/>
    <w:rsid w:val="00E8518F"/>
    <w:rsid w:val="00E94E42"/>
    <w:rsid w:val="00EA2239"/>
    <w:rsid w:val="00EB2DC9"/>
    <w:rsid w:val="00EB59A3"/>
    <w:rsid w:val="00EC527F"/>
    <w:rsid w:val="00EC6C6D"/>
    <w:rsid w:val="00ED6C6D"/>
    <w:rsid w:val="00EE30BA"/>
    <w:rsid w:val="00F06D34"/>
    <w:rsid w:val="00F268AE"/>
    <w:rsid w:val="00F45461"/>
    <w:rsid w:val="00F514A7"/>
    <w:rsid w:val="00F516ED"/>
    <w:rsid w:val="00F731E6"/>
    <w:rsid w:val="00F7737B"/>
    <w:rsid w:val="00F808B0"/>
    <w:rsid w:val="00F90D79"/>
    <w:rsid w:val="00FA2E8E"/>
    <w:rsid w:val="00FA4AFD"/>
    <w:rsid w:val="00FB5ABF"/>
    <w:rsid w:val="00FB7492"/>
    <w:rsid w:val="00FC099B"/>
    <w:rsid w:val="00FC1828"/>
    <w:rsid w:val="00FD0578"/>
    <w:rsid w:val="00FD159D"/>
    <w:rsid w:val="00FD536A"/>
    <w:rsid w:val="00FD6FAC"/>
    <w:rsid w:val="00FE0542"/>
    <w:rsid w:val="00FE5D49"/>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779035089">
      <w:bodyDiv w:val="1"/>
      <w:marLeft w:val="0"/>
      <w:marRight w:val="0"/>
      <w:marTop w:val="0"/>
      <w:marBottom w:val="0"/>
      <w:divBdr>
        <w:top w:val="none" w:sz="0" w:space="0" w:color="auto"/>
        <w:left w:val="none" w:sz="0" w:space="0" w:color="auto"/>
        <w:bottom w:val="none" w:sz="0" w:space="0" w:color="auto"/>
        <w:right w:val="none" w:sz="0" w:space="0" w:color="auto"/>
      </w:divBdr>
    </w:div>
    <w:div w:id="937445371">
      <w:bodyDiv w:val="1"/>
      <w:marLeft w:val="0"/>
      <w:marRight w:val="0"/>
      <w:marTop w:val="0"/>
      <w:marBottom w:val="0"/>
      <w:divBdr>
        <w:top w:val="none" w:sz="0" w:space="0" w:color="auto"/>
        <w:left w:val="none" w:sz="0" w:space="0" w:color="auto"/>
        <w:bottom w:val="none" w:sz="0" w:space="0" w:color="auto"/>
        <w:right w:val="none" w:sz="0" w:space="0" w:color="auto"/>
      </w:divBdr>
    </w:div>
    <w:div w:id="992101346">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337420033">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 w:id="20518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1D1A-4F75-4A74-BAEC-ED104DBB746A}"/>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828B2E48-1F6C-4534-B446-FCA83A12A2DB}"/>
</file>

<file path=customXml/itemProps5.xml><?xml version="1.0" encoding="utf-8"?>
<ds:datastoreItem xmlns:ds="http://schemas.openxmlformats.org/officeDocument/2006/customXml" ds:itemID="{9EB0F710-14DD-496E-9320-19336E45EA29}"/>
</file>

<file path=docProps/app.xml><?xml version="1.0" encoding="utf-8"?>
<Properties xmlns="http://schemas.openxmlformats.org/officeDocument/2006/extended-properties" xmlns:vt="http://schemas.openxmlformats.org/officeDocument/2006/docPropsVTypes">
  <Template>Normal.dotm</Template>
  <TotalTime>37</TotalTime>
  <Pages>1</Pages>
  <Words>388</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Kimball, Paul</cp:lastModifiedBy>
  <cp:revision>20</cp:revision>
  <cp:lastPrinted>2016-06-09T21:35:00Z</cp:lastPrinted>
  <dcterms:created xsi:type="dcterms:W3CDTF">2016-04-25T16:45:00Z</dcterms:created>
  <dcterms:modified xsi:type="dcterms:W3CDTF">2016-06-09T21:35:00Z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