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71" w:rsidRDefault="00321A71" w:rsidP="00321A71">
      <w:pPr>
        <w:pStyle w:val="Header"/>
        <w:rPr>
          <w:rFonts w:ascii="Times New Roman" w:hAnsi="Times New Roman"/>
        </w:rPr>
      </w:pPr>
      <w:bookmarkStart w:id="0" w:name="_GoBack"/>
      <w:bookmarkEnd w:id="0"/>
    </w:p>
    <w:p w:rsidR="00321A71" w:rsidRDefault="00321A71" w:rsidP="00321A71">
      <w:pPr>
        <w:pStyle w:val="Header"/>
        <w:rPr>
          <w:rFonts w:ascii="Times New Roman" w:hAnsi="Times New Roman"/>
        </w:rPr>
      </w:pPr>
    </w:p>
    <w:p w:rsidR="00321A71" w:rsidRDefault="00321A71" w:rsidP="00321A71">
      <w:pPr>
        <w:pStyle w:val="Header"/>
        <w:rPr>
          <w:rFonts w:ascii="Times New Roman" w:hAnsi="Times New Roman"/>
        </w:rPr>
      </w:pPr>
    </w:p>
    <w:p w:rsidR="00321A71" w:rsidRDefault="00321A71" w:rsidP="00321A71">
      <w:pPr>
        <w:pStyle w:val="Header"/>
        <w:rPr>
          <w:rFonts w:ascii="Times New Roman" w:hAnsi="Times New Roman"/>
        </w:rPr>
      </w:pPr>
    </w:p>
    <w:p w:rsidR="00321A71" w:rsidRDefault="00321A71" w:rsidP="00321A71">
      <w:pPr>
        <w:pStyle w:val="Header"/>
        <w:rPr>
          <w:rFonts w:ascii="Times New Roman" w:hAnsi="Times New Roman"/>
        </w:rPr>
      </w:pPr>
    </w:p>
    <w:p w:rsidR="00321A71" w:rsidRPr="00DF3A6A" w:rsidRDefault="00321A71" w:rsidP="00321A71">
      <w:pPr>
        <w:pStyle w:val="Header"/>
        <w:rPr>
          <w:rFonts w:ascii="Times New Roman" w:hAnsi="Times New Roman"/>
          <w:b/>
        </w:rPr>
      </w:pPr>
      <w:r w:rsidRPr="00DF3A6A">
        <w:rPr>
          <w:rFonts w:ascii="Times New Roman" w:hAnsi="Times New Roman"/>
          <w:b/>
        </w:rPr>
        <w:t>BEFORE THE WASHINGTON UTILITIES AND TRANSPORTATION COMMISSION</w:t>
      </w:r>
    </w:p>
    <w:p w:rsidR="00321A71" w:rsidRPr="00DF3A6A" w:rsidRDefault="00321A71" w:rsidP="00321A71">
      <w:pPr>
        <w:pStyle w:val="Header"/>
        <w:rPr>
          <w:rFonts w:ascii="Times New Roman" w:hAnsi="Times New Roman"/>
          <w:b/>
        </w:rPr>
      </w:pPr>
    </w:p>
    <w:p w:rsidR="00321A71" w:rsidRPr="00DF3A6A" w:rsidRDefault="00321A71" w:rsidP="00321A71">
      <w:pPr>
        <w:pStyle w:val="Header"/>
        <w:rPr>
          <w:rFonts w:ascii="Times New Roman" w:hAnsi="Times New Roman"/>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A71" w:rsidRPr="00DF3A6A" w:rsidTr="001978FD">
        <w:tc>
          <w:tcPr>
            <w:tcW w:w="4590" w:type="dxa"/>
            <w:tcBorders>
              <w:top w:val="single" w:sz="6" w:space="0" w:color="FFFFFF"/>
              <w:left w:val="single" w:sz="6" w:space="0" w:color="FFFFFF"/>
              <w:bottom w:val="single" w:sz="7" w:space="0" w:color="000000"/>
              <w:right w:val="single" w:sz="6" w:space="0" w:color="FFFFFF"/>
            </w:tcBorders>
          </w:tcPr>
          <w:p w:rsidR="00321A71" w:rsidRPr="00DF3A6A" w:rsidRDefault="00321A71" w:rsidP="001978FD">
            <w:pPr>
              <w:pStyle w:val="Header"/>
              <w:tabs>
                <w:tab w:val="left" w:pos="681"/>
                <w:tab w:val="left" w:pos="1401"/>
              </w:tabs>
              <w:rPr>
                <w:rFonts w:ascii="Times New Roman" w:hAnsi="Times New Roman"/>
                <w:b/>
                <w:bCs/>
              </w:rPr>
            </w:pPr>
            <w:r w:rsidRPr="00DF3A6A">
              <w:rPr>
                <w:rFonts w:ascii="Times New Roman" w:hAnsi="Times New Roman"/>
                <w:b/>
                <w:bCs/>
              </w:rPr>
              <w:t>In the Matter of the Petition of</w:t>
            </w:r>
          </w:p>
          <w:p w:rsidR="00321A71" w:rsidRPr="00DF3A6A" w:rsidRDefault="00321A71" w:rsidP="001978FD">
            <w:pPr>
              <w:pStyle w:val="Header"/>
              <w:tabs>
                <w:tab w:val="left" w:pos="681"/>
                <w:tab w:val="left" w:pos="1401"/>
              </w:tabs>
              <w:rPr>
                <w:rFonts w:ascii="Times New Roman" w:hAnsi="Times New Roman"/>
                <w:b/>
                <w:bCs/>
              </w:rPr>
            </w:pPr>
          </w:p>
          <w:p w:rsidR="00321A71" w:rsidRPr="00DF3A6A" w:rsidRDefault="00321A71" w:rsidP="001978FD">
            <w:pPr>
              <w:pStyle w:val="Header"/>
              <w:tabs>
                <w:tab w:val="left" w:pos="681"/>
                <w:tab w:val="left" w:pos="1401"/>
              </w:tabs>
              <w:rPr>
                <w:rFonts w:ascii="Times New Roman" w:hAnsi="Times New Roman"/>
                <w:b/>
                <w:bCs/>
              </w:rPr>
            </w:pPr>
            <w:r w:rsidRPr="00DF3A6A">
              <w:rPr>
                <w:rFonts w:ascii="Times New Roman" w:hAnsi="Times New Roman"/>
                <w:b/>
                <w:bCs/>
              </w:rPr>
              <w:t>PUGET SOUND ENERGY, INC.</w:t>
            </w:r>
          </w:p>
          <w:p w:rsidR="00321A71" w:rsidRPr="00DF3A6A" w:rsidRDefault="00321A71" w:rsidP="001978FD">
            <w:pPr>
              <w:pStyle w:val="Header"/>
              <w:tabs>
                <w:tab w:val="left" w:pos="681"/>
                <w:tab w:val="left" w:pos="1401"/>
              </w:tabs>
              <w:rPr>
                <w:rFonts w:ascii="Times New Roman" w:hAnsi="Times New Roman"/>
                <w:b/>
                <w:bCs/>
              </w:rPr>
            </w:pPr>
          </w:p>
          <w:p w:rsidR="00321A71" w:rsidRPr="00DF3A6A" w:rsidRDefault="00321A71" w:rsidP="001978FD">
            <w:pPr>
              <w:pStyle w:val="Header"/>
              <w:tabs>
                <w:tab w:val="left" w:pos="681"/>
                <w:tab w:val="left" w:pos="1401"/>
              </w:tabs>
              <w:rPr>
                <w:rFonts w:ascii="Times New Roman" w:hAnsi="Times New Roman"/>
                <w:b/>
              </w:rPr>
            </w:pPr>
            <w:r w:rsidRPr="00DF3A6A">
              <w:rPr>
                <w:rFonts w:ascii="Times New Roman" w:hAnsi="Times New Roman"/>
                <w:b/>
                <w:bCs/>
              </w:rPr>
              <w:t>for a Determination of Emissions Compliance</w:t>
            </w:r>
          </w:p>
          <w:p w:rsidR="00321A71" w:rsidRPr="00DF3A6A" w:rsidRDefault="00321A71" w:rsidP="001978FD">
            <w:pPr>
              <w:pStyle w:val="Header"/>
              <w:tabs>
                <w:tab w:val="left" w:pos="681"/>
                <w:tab w:val="left" w:pos="1401"/>
              </w:tabs>
              <w:rPr>
                <w:rFonts w:ascii="Times New Roman" w:hAnsi="Times New Roman"/>
                <w:b/>
              </w:rPr>
            </w:pPr>
          </w:p>
        </w:tc>
        <w:tc>
          <w:tcPr>
            <w:tcW w:w="4590" w:type="dxa"/>
            <w:tcBorders>
              <w:top w:val="single" w:sz="6" w:space="0" w:color="FFFFFF"/>
              <w:left w:val="single" w:sz="7" w:space="0" w:color="000000"/>
              <w:bottom w:val="single" w:sz="6" w:space="0" w:color="FFFFFF"/>
              <w:right w:val="single" w:sz="6" w:space="0" w:color="FFFFFF"/>
            </w:tcBorders>
          </w:tcPr>
          <w:p w:rsidR="00321A71" w:rsidRPr="00DF3A6A" w:rsidRDefault="00321A71" w:rsidP="001978FD">
            <w:pPr>
              <w:pStyle w:val="Header"/>
              <w:ind w:left="416"/>
              <w:rPr>
                <w:rFonts w:ascii="Times New Roman" w:hAnsi="Times New Roman"/>
                <w:b/>
              </w:rPr>
            </w:pPr>
            <w:r w:rsidRPr="00DF3A6A">
              <w:rPr>
                <w:rFonts w:ascii="Times New Roman" w:hAnsi="Times New Roman"/>
                <w:b/>
              </w:rPr>
              <w:t>DOCKET UE-121594</w:t>
            </w:r>
          </w:p>
          <w:p w:rsidR="00321A71" w:rsidRPr="00DF3A6A" w:rsidRDefault="00321A71" w:rsidP="001978FD">
            <w:pPr>
              <w:pStyle w:val="Header"/>
              <w:ind w:left="416"/>
              <w:rPr>
                <w:rFonts w:ascii="Times New Roman" w:hAnsi="Times New Roman"/>
                <w:b/>
              </w:rPr>
            </w:pPr>
          </w:p>
          <w:p w:rsidR="00321A71" w:rsidRPr="00DF3A6A" w:rsidRDefault="00321A71" w:rsidP="001978FD">
            <w:pPr>
              <w:pStyle w:val="BodyTextIndent2"/>
              <w:ind w:left="416"/>
              <w:rPr>
                <w:rFonts w:ascii="Times New Roman" w:hAnsi="Times New Roman"/>
                <w:b/>
              </w:rPr>
            </w:pPr>
          </w:p>
          <w:p w:rsidR="00321A71" w:rsidRPr="00DF3A6A" w:rsidRDefault="00321A71" w:rsidP="001978FD">
            <w:pPr>
              <w:pStyle w:val="Header"/>
              <w:ind w:left="416"/>
              <w:rPr>
                <w:rFonts w:ascii="Times New Roman" w:hAnsi="Times New Roman"/>
                <w:b/>
              </w:rPr>
            </w:pPr>
          </w:p>
        </w:tc>
      </w:tr>
    </w:tbl>
    <w:p w:rsidR="00321A71" w:rsidRPr="00DF3A6A" w:rsidRDefault="00321A71" w:rsidP="00321A71">
      <w:pPr>
        <w:pStyle w:val="ListParagraph"/>
        <w:ind w:left="0"/>
        <w:rPr>
          <w:rFonts w:ascii="Times New Roman" w:hAnsi="Times New Roman" w:cs="Times New Roman"/>
          <w:b/>
          <w:sz w:val="24"/>
          <w:szCs w:val="24"/>
        </w:rPr>
      </w:pPr>
    </w:p>
    <w:p w:rsidR="00321A71" w:rsidRDefault="00321A71" w:rsidP="00321A71">
      <w:pPr>
        <w:rPr>
          <w:rFonts w:ascii="Times New Roman" w:hAnsi="Times New Roman"/>
          <w:b/>
        </w:rPr>
      </w:pPr>
    </w:p>
    <w:p w:rsidR="00321A71" w:rsidRDefault="00321A71" w:rsidP="00321A71">
      <w:pPr>
        <w:rPr>
          <w:rFonts w:ascii="Times New Roman" w:hAnsi="Times New Roman"/>
          <w:b/>
        </w:rPr>
      </w:pPr>
    </w:p>
    <w:p w:rsidR="00321A71" w:rsidRDefault="00321A71" w:rsidP="00321A71">
      <w:pPr>
        <w:rPr>
          <w:rFonts w:ascii="Times New Roman" w:hAnsi="Times New Roman"/>
          <w:b/>
        </w:rPr>
      </w:pPr>
    </w:p>
    <w:p w:rsidR="00321A71" w:rsidRDefault="00321A71" w:rsidP="00D5266E">
      <w:pPr>
        <w:rPr>
          <w:rFonts w:ascii="Times New Roman" w:hAnsi="Times New Roman"/>
          <w:b/>
        </w:rPr>
      </w:pPr>
    </w:p>
    <w:p w:rsidR="00D5266E" w:rsidRDefault="00D5266E" w:rsidP="00D5266E">
      <w:pPr>
        <w:jc w:val="center"/>
        <w:rPr>
          <w:rFonts w:ascii="Times New Roman" w:hAnsi="Times New Roman"/>
          <w:b/>
        </w:rPr>
      </w:pPr>
      <w:r>
        <w:rPr>
          <w:rFonts w:ascii="Times New Roman" w:hAnsi="Times New Roman"/>
          <w:b/>
        </w:rPr>
        <w:t xml:space="preserve">UTILITIES AND TRANSPORTATION COMMISSION </w:t>
      </w:r>
      <w:r w:rsidR="00321A71">
        <w:rPr>
          <w:rFonts w:ascii="Times New Roman" w:hAnsi="Times New Roman"/>
          <w:b/>
        </w:rPr>
        <w:t xml:space="preserve">STAFF REPORT ON </w:t>
      </w:r>
      <w:r>
        <w:rPr>
          <w:rFonts w:ascii="Times New Roman" w:hAnsi="Times New Roman"/>
          <w:b/>
        </w:rPr>
        <w:t>GREENHOUSE GAS</w:t>
      </w:r>
      <w:r w:rsidR="00321A71">
        <w:rPr>
          <w:rFonts w:ascii="Times New Roman" w:hAnsi="Times New Roman"/>
          <w:b/>
        </w:rPr>
        <w:t xml:space="preserve"> EMISSIONS </w:t>
      </w:r>
      <w:r>
        <w:rPr>
          <w:rFonts w:ascii="Times New Roman" w:hAnsi="Times New Roman"/>
          <w:b/>
        </w:rPr>
        <w:t xml:space="preserve">PERFORMANCE </w:t>
      </w:r>
      <w:r w:rsidR="00321A71">
        <w:rPr>
          <w:rFonts w:ascii="Times New Roman" w:hAnsi="Times New Roman"/>
          <w:b/>
        </w:rPr>
        <w:t xml:space="preserve">STANDARD </w:t>
      </w:r>
    </w:p>
    <w:p w:rsidR="00321A71" w:rsidRDefault="00321A71" w:rsidP="00D5266E">
      <w:pPr>
        <w:jc w:val="center"/>
        <w:rPr>
          <w:rFonts w:ascii="Times New Roman" w:hAnsi="Times New Roman"/>
          <w:b/>
        </w:rPr>
      </w:pPr>
      <w:r>
        <w:rPr>
          <w:rFonts w:ascii="Times New Roman" w:hAnsi="Times New Roman"/>
          <w:b/>
        </w:rPr>
        <w:t xml:space="preserve">IN THE CONTEXT OF </w:t>
      </w:r>
    </w:p>
    <w:p w:rsidR="00321A71" w:rsidRPr="006228A0" w:rsidRDefault="00321A71" w:rsidP="00D5266E">
      <w:pPr>
        <w:jc w:val="center"/>
        <w:rPr>
          <w:rFonts w:ascii="Times New Roman" w:hAnsi="Times New Roman"/>
          <w:b/>
        </w:rPr>
      </w:pPr>
      <w:r>
        <w:rPr>
          <w:rFonts w:ascii="Times New Roman" w:hAnsi="Times New Roman"/>
          <w:b/>
        </w:rPr>
        <w:t>PSE’S ACQUISITION OF THE FERNDALE GENERATION STATION</w:t>
      </w:r>
    </w:p>
    <w:p w:rsidR="00321A71" w:rsidRDefault="00321A71" w:rsidP="00321A71">
      <w:pPr>
        <w:rPr>
          <w:rFonts w:ascii="Times New Roman" w:hAnsi="Times New Roman"/>
          <w:b/>
        </w:rPr>
      </w:pPr>
    </w:p>
    <w:p w:rsidR="00596AE0" w:rsidRDefault="00596AE0" w:rsidP="00321A71">
      <w:pPr>
        <w:rPr>
          <w:rFonts w:ascii="Times New Roman" w:hAnsi="Times New Roman"/>
          <w:b/>
        </w:rPr>
      </w:pPr>
    </w:p>
    <w:p w:rsidR="00596AE0" w:rsidRDefault="00596AE0" w:rsidP="00321A71">
      <w:pPr>
        <w:rPr>
          <w:rFonts w:ascii="Times New Roman" w:hAnsi="Times New Roman"/>
          <w:b/>
        </w:rPr>
      </w:pPr>
    </w:p>
    <w:p w:rsidR="00596AE0" w:rsidRPr="00596AE0" w:rsidRDefault="00596AE0" w:rsidP="00596AE0">
      <w:pPr>
        <w:ind w:left="3600" w:firstLine="720"/>
        <w:rPr>
          <w:rFonts w:ascii="Times New Roman" w:hAnsi="Times New Roman"/>
          <w:b/>
          <w:bCs/>
        </w:rPr>
      </w:pPr>
      <w:r>
        <w:rPr>
          <w:rFonts w:ascii="Times New Roman" w:hAnsi="Times New Roman"/>
          <w:b/>
          <w:bCs/>
        </w:rPr>
        <w:t>October 26, 2012</w:t>
      </w:r>
    </w:p>
    <w:p w:rsidR="00596AE0" w:rsidRPr="00596AE0" w:rsidRDefault="00596AE0" w:rsidP="00596AE0">
      <w:pPr>
        <w:rPr>
          <w:rFonts w:ascii="Times New Roman" w:hAnsi="Times New Roman"/>
          <w:b/>
          <w:bCs/>
        </w:rPr>
      </w:pPr>
    </w:p>
    <w:p w:rsidR="00596AE0" w:rsidRPr="00596AE0" w:rsidRDefault="00596AE0" w:rsidP="00596AE0">
      <w:pPr>
        <w:rPr>
          <w:rFonts w:ascii="Times New Roman" w:hAnsi="Times New Roman"/>
          <w:b/>
          <w:bCs/>
        </w:rPr>
      </w:pP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t>ROBERT M. MCKENNA</w:t>
      </w:r>
    </w:p>
    <w:p w:rsidR="00596AE0" w:rsidRPr="00596AE0" w:rsidRDefault="00596AE0" w:rsidP="00596AE0">
      <w:pPr>
        <w:rPr>
          <w:rFonts w:ascii="Times New Roman" w:hAnsi="Times New Roman"/>
          <w:b/>
          <w:bCs/>
        </w:rPr>
      </w:pP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t xml:space="preserve">Attorney General </w:t>
      </w:r>
    </w:p>
    <w:p w:rsidR="00596AE0" w:rsidRPr="00596AE0" w:rsidRDefault="00596AE0" w:rsidP="00596AE0">
      <w:pPr>
        <w:rPr>
          <w:rFonts w:ascii="Times New Roman" w:hAnsi="Times New Roman"/>
          <w:b/>
          <w:bCs/>
        </w:rPr>
      </w:pPr>
    </w:p>
    <w:p w:rsidR="00596AE0" w:rsidRPr="00596AE0" w:rsidRDefault="00596AE0" w:rsidP="00596AE0">
      <w:pPr>
        <w:rPr>
          <w:rFonts w:ascii="Times New Roman" w:hAnsi="Times New Roman"/>
          <w:b/>
        </w:rPr>
      </w:pP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sidRPr="00596AE0">
        <w:rPr>
          <w:rFonts w:ascii="Times New Roman" w:hAnsi="Times New Roman"/>
          <w:b/>
          <w:bCs/>
        </w:rPr>
        <w:tab/>
      </w:r>
      <w:r>
        <w:rPr>
          <w:rFonts w:ascii="Times New Roman" w:hAnsi="Times New Roman"/>
          <w:b/>
          <w:bCs/>
        </w:rPr>
        <w:t>DONALD T. TROTTER</w:t>
      </w:r>
      <w:r w:rsidRPr="00596AE0">
        <w:rPr>
          <w:rFonts w:ascii="Times New Roman" w:hAnsi="Times New Roman"/>
          <w:b/>
          <w:bCs/>
        </w:rPr>
        <w:t xml:space="preserve"> </w:t>
      </w:r>
      <w:r w:rsidRPr="00596AE0">
        <w:rPr>
          <w:rFonts w:ascii="Times New Roman" w:hAnsi="Times New Roman"/>
          <w:b/>
        </w:rPr>
        <w:t xml:space="preserve"> </w:t>
      </w:r>
    </w:p>
    <w:p w:rsidR="00596AE0" w:rsidRPr="00596AE0" w:rsidRDefault="00596AE0" w:rsidP="00596AE0">
      <w:pPr>
        <w:rPr>
          <w:rFonts w:ascii="Times New Roman" w:hAnsi="Times New Roman"/>
          <w:b/>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t xml:space="preserve">Assistant Attorney General </w:t>
      </w:r>
    </w:p>
    <w:p w:rsidR="00596AE0" w:rsidRPr="00596AE0" w:rsidRDefault="00596AE0" w:rsidP="00596AE0">
      <w:pPr>
        <w:rPr>
          <w:rFonts w:ascii="Times New Roman" w:hAnsi="Times New Roman"/>
          <w:b/>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t xml:space="preserve">Office of the Attorney General </w:t>
      </w:r>
    </w:p>
    <w:p w:rsidR="00596AE0" w:rsidRPr="00596AE0" w:rsidRDefault="00596AE0" w:rsidP="00596AE0">
      <w:pPr>
        <w:rPr>
          <w:rFonts w:ascii="Times New Roman" w:hAnsi="Times New Roman"/>
          <w:b/>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t>Utilities &amp; Transportation Division</w:t>
      </w:r>
    </w:p>
    <w:p w:rsidR="00596AE0" w:rsidRPr="00596AE0" w:rsidRDefault="00596AE0" w:rsidP="00596AE0">
      <w:pPr>
        <w:rPr>
          <w:rFonts w:ascii="Times New Roman" w:hAnsi="Times New Roman"/>
          <w:b/>
        </w:rPr>
      </w:pPr>
    </w:p>
    <w:p w:rsidR="00596AE0" w:rsidRPr="00596AE0" w:rsidRDefault="00596AE0" w:rsidP="00596AE0">
      <w:pPr>
        <w:rPr>
          <w:rFonts w:ascii="Times New Roman" w:hAnsi="Times New Roman"/>
          <w:b/>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smartTag w:uri="urn:schemas-microsoft-com:office:smarttags" w:element="address">
        <w:smartTag w:uri="urn:schemas-microsoft-com:office:smarttags" w:element="Street">
          <w:r w:rsidRPr="00596AE0">
            <w:rPr>
              <w:rFonts w:ascii="Times New Roman" w:hAnsi="Times New Roman"/>
              <w:b/>
            </w:rPr>
            <w:t>1400 S Evergreen Park Drive SW</w:t>
          </w:r>
        </w:smartTag>
      </w:smartTag>
      <w:r w:rsidRPr="00596AE0">
        <w:rPr>
          <w:rFonts w:ascii="Times New Roman" w:hAnsi="Times New Roman"/>
          <w:b/>
        </w:rPr>
        <w:t xml:space="preserve"> </w:t>
      </w:r>
    </w:p>
    <w:p w:rsidR="00596AE0" w:rsidRPr="00596AE0" w:rsidRDefault="00596AE0" w:rsidP="00596AE0">
      <w:pPr>
        <w:rPr>
          <w:rFonts w:ascii="Times New Roman" w:hAnsi="Times New Roman"/>
          <w:b/>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596AE0">
                <w:rPr>
                  <w:rFonts w:ascii="Times New Roman" w:hAnsi="Times New Roman"/>
                  <w:b/>
                </w:rPr>
                <w:t>P.O. Box</w:t>
              </w:r>
            </w:smartTag>
          </w:smartTag>
          <w:r w:rsidRPr="00596AE0">
            <w:rPr>
              <w:rFonts w:ascii="Times New Roman" w:hAnsi="Times New Roman"/>
              <w:b/>
            </w:rPr>
            <w:t xml:space="preserve"> 40128</w:t>
          </w:r>
        </w:smartTag>
      </w:smartTag>
    </w:p>
    <w:p w:rsidR="00596AE0" w:rsidRPr="00596AE0" w:rsidRDefault="00596AE0" w:rsidP="00596AE0">
      <w:pPr>
        <w:rPr>
          <w:rFonts w:ascii="Times New Roman" w:hAnsi="Times New Roman"/>
          <w:b/>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smartTag w:uri="urn:schemas-microsoft-com:office:smarttags" w:element="City">
        <w:smartTag w:uri="urn:schemas-microsoft-com:office:smarttags" w:element="place">
          <w:r w:rsidRPr="00596AE0">
            <w:rPr>
              <w:rFonts w:ascii="Times New Roman" w:hAnsi="Times New Roman"/>
              <w:b/>
            </w:rPr>
            <w:t>Olympia</w:t>
          </w:r>
        </w:smartTag>
        <w:r w:rsidRPr="00596AE0">
          <w:rPr>
            <w:rFonts w:ascii="Times New Roman" w:hAnsi="Times New Roman"/>
            <w:b/>
          </w:rPr>
          <w:t xml:space="preserve">, </w:t>
        </w:r>
        <w:smartTag w:uri="urn:schemas-microsoft-com:office:smarttags" w:element="PostalCode">
          <w:smartTag w:uri="urn:schemas-microsoft-com:office:smarttags" w:element="State">
            <w:r w:rsidRPr="00596AE0">
              <w:rPr>
                <w:rFonts w:ascii="Times New Roman" w:hAnsi="Times New Roman"/>
                <w:b/>
              </w:rPr>
              <w:t>WA</w:t>
            </w:r>
          </w:smartTag>
        </w:smartTag>
        <w:r w:rsidRPr="00596AE0">
          <w:rPr>
            <w:rFonts w:ascii="Times New Roman" w:hAnsi="Times New Roman"/>
            <w:b/>
          </w:rPr>
          <w:t xml:space="preserve">  </w:t>
        </w:r>
        <w:smartTag w:uri="urn:schemas-microsoft-com:office:smarttags" w:element="PostalCode">
          <w:r w:rsidRPr="00596AE0">
            <w:rPr>
              <w:rFonts w:ascii="Times New Roman" w:hAnsi="Times New Roman"/>
              <w:b/>
            </w:rPr>
            <w:t>98504-0128</w:t>
          </w:r>
        </w:smartTag>
      </w:smartTag>
      <w:r w:rsidRPr="00596AE0">
        <w:rPr>
          <w:rFonts w:ascii="Times New Roman" w:hAnsi="Times New Roman"/>
          <w:b/>
        </w:rPr>
        <w:t xml:space="preserve"> </w:t>
      </w:r>
    </w:p>
    <w:p w:rsidR="00596AE0" w:rsidRPr="00596AE0" w:rsidRDefault="00596AE0" w:rsidP="00596AE0">
      <w:pPr>
        <w:rPr>
          <w:rFonts w:ascii="Times New Roman" w:hAnsi="Times New Roman"/>
          <w:b/>
          <w:bCs/>
        </w:rPr>
      </w:pP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r>
      <w:r w:rsidRPr="00596AE0">
        <w:rPr>
          <w:rFonts w:ascii="Times New Roman" w:hAnsi="Times New Roman"/>
          <w:b/>
        </w:rPr>
        <w:tab/>
        <w:t>(360) 664-</w:t>
      </w:r>
      <w:r>
        <w:rPr>
          <w:rFonts w:ascii="Times New Roman" w:hAnsi="Times New Roman"/>
          <w:b/>
        </w:rPr>
        <w:t>1189</w:t>
      </w:r>
    </w:p>
    <w:p w:rsidR="00321A71" w:rsidRPr="00596AE0" w:rsidRDefault="00321A71" w:rsidP="00321A71">
      <w:pPr>
        <w:rPr>
          <w:rFonts w:ascii="Times New Roman" w:hAnsi="Times New Roman"/>
          <w:b/>
        </w:rPr>
      </w:pPr>
    </w:p>
    <w:p w:rsidR="00321A71" w:rsidRDefault="00321A71" w:rsidP="00321A71">
      <w:pPr>
        <w:rPr>
          <w:rFonts w:ascii="Times New Roman" w:hAnsi="Times New Roman"/>
          <w:b/>
        </w:rPr>
      </w:pPr>
    </w:p>
    <w:p w:rsidR="00321A71" w:rsidRDefault="00321A71">
      <w:pPr>
        <w:spacing w:after="200" w:line="276" w:lineRule="auto"/>
        <w:rPr>
          <w:rFonts w:ascii="Times New Roman" w:hAnsi="Times New Roman"/>
          <w:b/>
        </w:rPr>
        <w:sectPr w:rsidR="00321A71" w:rsidSect="00321A71">
          <w:footerReference w:type="default" r:id="rId9"/>
          <w:pgSz w:w="12240" w:h="15840"/>
          <w:pgMar w:top="1440" w:right="1440" w:bottom="1440" w:left="1440" w:header="720" w:footer="720" w:gutter="0"/>
          <w:pgNumType w:start="1"/>
          <w:cols w:space="720"/>
          <w:titlePg/>
          <w:docGrid w:linePitch="360"/>
        </w:sectPr>
      </w:pPr>
    </w:p>
    <w:p w:rsidR="00321A71" w:rsidRDefault="006228A0" w:rsidP="00321A71">
      <w:pPr>
        <w:spacing w:line="480" w:lineRule="auto"/>
        <w:rPr>
          <w:rFonts w:ascii="Times New Roman" w:hAnsi="Times New Roman"/>
        </w:rPr>
      </w:pPr>
      <w:r>
        <w:rPr>
          <w:rFonts w:ascii="Times New Roman" w:hAnsi="Times New Roman"/>
        </w:rPr>
        <w:lastRenderedPageBreak/>
        <w:tab/>
      </w:r>
      <w:r w:rsidR="00662E3E">
        <w:rPr>
          <w:rFonts w:ascii="Times New Roman" w:hAnsi="Times New Roman"/>
        </w:rPr>
        <w:t xml:space="preserve">This report summarizes </w:t>
      </w:r>
      <w:r w:rsidR="00D5266E">
        <w:rPr>
          <w:rFonts w:ascii="Times New Roman" w:hAnsi="Times New Roman"/>
        </w:rPr>
        <w:t xml:space="preserve">Utilities and Transportation Commission </w:t>
      </w:r>
      <w:r w:rsidR="00662E3E">
        <w:rPr>
          <w:rFonts w:ascii="Times New Roman" w:hAnsi="Times New Roman"/>
        </w:rPr>
        <w:t xml:space="preserve">Staff's (Staff) analysis of the greenhouse gas (GHG) emissions performance standard </w:t>
      </w:r>
      <w:r w:rsidR="00D5266E">
        <w:rPr>
          <w:rFonts w:ascii="Times New Roman" w:hAnsi="Times New Roman"/>
        </w:rPr>
        <w:t xml:space="preserve">found in RCW 80.80.040 </w:t>
      </w:r>
      <w:r w:rsidR="00662E3E">
        <w:rPr>
          <w:rFonts w:ascii="Times New Roman" w:hAnsi="Times New Roman"/>
        </w:rPr>
        <w:t xml:space="preserve">as it relates to Puget Sound Energy, Inc.’s (PSE) acquisition of the Ferndale Generation Station.  </w:t>
      </w:r>
      <w:r w:rsidR="004543A4">
        <w:rPr>
          <w:rFonts w:ascii="Times New Roman" w:hAnsi="Times New Roman"/>
        </w:rPr>
        <w:t xml:space="preserve">Staff concludes the commission </w:t>
      </w:r>
      <w:r w:rsidR="007A14AA">
        <w:rPr>
          <w:rFonts w:ascii="Times New Roman" w:hAnsi="Times New Roman"/>
        </w:rPr>
        <w:t xml:space="preserve">should </w:t>
      </w:r>
      <w:r w:rsidR="004543A4">
        <w:rPr>
          <w:rFonts w:ascii="Times New Roman" w:hAnsi="Times New Roman"/>
        </w:rPr>
        <w:t>grant PSE’s Petition with three conditions.</w:t>
      </w:r>
      <w:r w:rsidR="00321A71">
        <w:rPr>
          <w:rFonts w:ascii="Times New Roman" w:hAnsi="Times New Roman"/>
        </w:rPr>
        <w:t xml:space="preserve">  </w:t>
      </w:r>
    </w:p>
    <w:p w:rsidR="006228A0" w:rsidRDefault="004543A4" w:rsidP="006D0966">
      <w:pPr>
        <w:ind w:left="1440" w:hanging="720"/>
        <w:rPr>
          <w:rFonts w:ascii="Times New Roman" w:hAnsi="Times New Roman"/>
          <w:b/>
        </w:rPr>
      </w:pPr>
      <w:r>
        <w:rPr>
          <w:rFonts w:ascii="Times New Roman" w:hAnsi="Times New Roman"/>
          <w:b/>
        </w:rPr>
        <w:t>1.</w:t>
      </w:r>
      <w:r>
        <w:rPr>
          <w:rFonts w:ascii="Times New Roman" w:hAnsi="Times New Roman"/>
          <w:b/>
        </w:rPr>
        <w:tab/>
        <w:t>The GHG Emissions Performance Standard and its applicability to PSE’s acquisition of the Ferndale Generation Station</w:t>
      </w:r>
    </w:p>
    <w:p w:rsidR="004543A4" w:rsidRPr="00321A71" w:rsidRDefault="004543A4" w:rsidP="00321A71">
      <w:pPr>
        <w:ind w:left="1440" w:hanging="720"/>
        <w:rPr>
          <w:rFonts w:ascii="Times New Roman" w:hAnsi="Times New Roman"/>
          <w:b/>
        </w:rPr>
      </w:pPr>
    </w:p>
    <w:p w:rsidR="00D7758F" w:rsidRPr="00FB4148" w:rsidRDefault="006228A0" w:rsidP="006228A0">
      <w:pPr>
        <w:spacing w:line="480" w:lineRule="auto"/>
        <w:rPr>
          <w:rFonts w:ascii="Times New Roman" w:hAnsi="Times New Roman"/>
        </w:rPr>
      </w:pPr>
      <w:r>
        <w:rPr>
          <w:rFonts w:ascii="Times New Roman" w:hAnsi="Times New Roman"/>
        </w:rPr>
        <w:tab/>
      </w:r>
      <w:r w:rsidR="00D7758F" w:rsidRPr="00FB4148">
        <w:rPr>
          <w:rFonts w:ascii="Times New Roman" w:hAnsi="Times New Roman"/>
        </w:rPr>
        <w:t>As it applies in this case, the GHG performance standard is “one thousand one hundred pounds of greenhouse gases per megawatt-hour.”</w:t>
      </w:r>
      <w:r w:rsidR="00D7758F" w:rsidRPr="00FB4148">
        <w:rPr>
          <w:rFonts w:ascii="Times New Roman" w:hAnsi="Times New Roman"/>
          <w:vertAlign w:val="superscript"/>
        </w:rPr>
        <w:footnoteReference w:id="1"/>
      </w:r>
      <w:r w:rsidR="00D7758F" w:rsidRPr="00FB4148">
        <w:rPr>
          <w:rFonts w:ascii="Times New Roman" w:hAnsi="Times New Roman"/>
        </w:rPr>
        <w:t xml:space="preserve">  </w:t>
      </w:r>
      <w:r w:rsidR="009801DC" w:rsidRPr="00FB4148">
        <w:rPr>
          <w:rFonts w:ascii="Times New Roman" w:hAnsi="Times New Roman"/>
        </w:rPr>
        <w:t xml:space="preserve">The GHG emissions performance standard </w:t>
      </w:r>
      <w:r w:rsidR="00D7758F" w:rsidRPr="00FB4148">
        <w:rPr>
          <w:rFonts w:ascii="Times New Roman" w:hAnsi="Times New Roman"/>
        </w:rPr>
        <w:t>must be met by an [1] “electrical company” that acquires [2] “baseload electric generation” via a [3] “long-term financial commitment” [4] “after June 30, 2008.”</w:t>
      </w:r>
      <w:r w:rsidR="00D7758F" w:rsidRPr="00FB4148">
        <w:rPr>
          <w:rStyle w:val="FootnoteReference"/>
          <w:rFonts w:ascii="Times New Roman" w:hAnsi="Times New Roman"/>
        </w:rPr>
        <w:footnoteReference w:id="2"/>
      </w:r>
      <w:r w:rsidR="00D7758F" w:rsidRPr="00FB4148">
        <w:rPr>
          <w:rFonts w:ascii="Times New Roman" w:hAnsi="Times New Roman"/>
        </w:rPr>
        <w:t xml:space="preserve">  As RCW 80.80.060(1) states: “No electrical company may enter into a long-term financial commitment unless the baseload electric generation supplied under such a long-term financial commitment complies with the greenhouse gases emiss</w:t>
      </w:r>
      <w:r w:rsidR="00321A71">
        <w:rPr>
          <w:rFonts w:ascii="Times New Roman" w:hAnsi="Times New Roman"/>
        </w:rPr>
        <w:t xml:space="preserve">ions performance standard.”  </w:t>
      </w:r>
    </w:p>
    <w:p w:rsidR="00CC55B3" w:rsidRPr="00FB4148" w:rsidRDefault="006228A0" w:rsidP="006228A0">
      <w:pPr>
        <w:spacing w:line="480" w:lineRule="auto"/>
        <w:rPr>
          <w:rFonts w:ascii="Times New Roman" w:hAnsi="Times New Roman"/>
        </w:rPr>
      </w:pPr>
      <w:r>
        <w:rPr>
          <w:rFonts w:ascii="Times New Roman" w:hAnsi="Times New Roman"/>
        </w:rPr>
        <w:tab/>
      </w:r>
      <w:r w:rsidR="00D7758F" w:rsidRPr="00FB4148">
        <w:rPr>
          <w:rFonts w:ascii="Times New Roman" w:hAnsi="Times New Roman"/>
        </w:rPr>
        <w:t>PSE qualifies as an “electrical company” because that term means “a company owned by investors that meets the definition of RCW 80.04.010,”</w:t>
      </w:r>
      <w:r w:rsidR="00D7758F" w:rsidRPr="00FB4148">
        <w:rPr>
          <w:rStyle w:val="FootnoteReference"/>
          <w:rFonts w:ascii="Times New Roman" w:hAnsi="Times New Roman"/>
        </w:rPr>
        <w:footnoteReference w:id="3"/>
      </w:r>
      <w:r w:rsidR="00D7758F" w:rsidRPr="00FB4148">
        <w:rPr>
          <w:rFonts w:ascii="Times New Roman" w:hAnsi="Times New Roman"/>
        </w:rPr>
        <w:t xml:space="preserve"> which in turn defines </w:t>
      </w:r>
      <w:r w:rsidR="00F66AD6">
        <w:rPr>
          <w:rFonts w:ascii="Times New Roman" w:hAnsi="Times New Roman"/>
        </w:rPr>
        <w:t>e</w:t>
      </w:r>
      <w:r w:rsidR="00D7758F" w:rsidRPr="00FB4148">
        <w:rPr>
          <w:rFonts w:ascii="Times New Roman" w:hAnsi="Times New Roman"/>
        </w:rPr>
        <w:t xml:space="preserve">lectric companies subject to Commission regulation.  </w:t>
      </w:r>
    </w:p>
    <w:p w:rsidR="009801DC" w:rsidRPr="00FB4148" w:rsidDel="00CC55B3" w:rsidRDefault="006228A0" w:rsidP="006228A0">
      <w:pPr>
        <w:spacing w:line="480" w:lineRule="auto"/>
        <w:rPr>
          <w:rFonts w:ascii="Times New Roman" w:hAnsi="Times New Roman"/>
        </w:rPr>
      </w:pPr>
      <w:r>
        <w:rPr>
          <w:rFonts w:ascii="Times New Roman" w:hAnsi="Times New Roman"/>
        </w:rPr>
        <w:tab/>
        <w:t xml:space="preserve">PSE’s acquisition of the plant will be a </w:t>
      </w:r>
      <w:r w:rsidR="00930DE2" w:rsidRPr="00FB4148">
        <w:rPr>
          <w:rFonts w:ascii="Times New Roman" w:hAnsi="Times New Roman"/>
        </w:rPr>
        <w:t xml:space="preserve">“long-term financial commitment” </w:t>
      </w:r>
      <w:r>
        <w:rPr>
          <w:rFonts w:ascii="Times New Roman" w:hAnsi="Times New Roman"/>
        </w:rPr>
        <w:t xml:space="preserve">because that term </w:t>
      </w:r>
      <w:r w:rsidR="00930DE2" w:rsidRPr="00FB4148">
        <w:rPr>
          <w:rFonts w:ascii="Times New Roman" w:hAnsi="Times New Roman"/>
        </w:rPr>
        <w:t xml:space="preserve">includes a “new </w:t>
      </w:r>
      <w:r w:rsidR="009801DC" w:rsidRPr="00FB4148">
        <w:rPr>
          <w:rFonts w:ascii="Times New Roman" w:hAnsi="Times New Roman"/>
        </w:rPr>
        <w:t>ownership</w:t>
      </w:r>
      <w:r w:rsidR="00930DE2" w:rsidRPr="00FB4148">
        <w:rPr>
          <w:rFonts w:ascii="Times New Roman" w:hAnsi="Times New Roman"/>
        </w:rPr>
        <w:t xml:space="preserve"> interest”.</w:t>
      </w:r>
      <w:r w:rsidR="00930DE2" w:rsidRPr="00FB4148">
        <w:rPr>
          <w:rStyle w:val="FootnoteReference"/>
          <w:rFonts w:ascii="Times New Roman" w:hAnsi="Times New Roman"/>
        </w:rPr>
        <w:footnoteReference w:id="4"/>
      </w:r>
      <w:r w:rsidR="00930DE2" w:rsidRPr="00FB4148">
        <w:rPr>
          <w:rFonts w:ascii="Times New Roman" w:hAnsi="Times New Roman"/>
        </w:rPr>
        <w:t xml:space="preserve">  </w:t>
      </w:r>
      <w:r w:rsidR="00D7758F" w:rsidRPr="00FB4148">
        <w:rPr>
          <w:rFonts w:ascii="Times New Roman" w:hAnsi="Times New Roman"/>
        </w:rPr>
        <w:t xml:space="preserve">PSE </w:t>
      </w:r>
      <w:r w:rsidR="00CC55B3" w:rsidRPr="00FB4148">
        <w:rPr>
          <w:rFonts w:ascii="Times New Roman" w:hAnsi="Times New Roman"/>
        </w:rPr>
        <w:t xml:space="preserve">will </w:t>
      </w:r>
      <w:r w:rsidR="00930DE2" w:rsidRPr="00FB4148">
        <w:rPr>
          <w:rFonts w:ascii="Times New Roman" w:hAnsi="Times New Roman"/>
        </w:rPr>
        <w:t xml:space="preserve">have a new ownership interest </w:t>
      </w:r>
      <w:r w:rsidR="009801DC" w:rsidRPr="00FB4148">
        <w:rPr>
          <w:rFonts w:ascii="Times New Roman" w:hAnsi="Times New Roman"/>
        </w:rPr>
        <w:t>in Tenaska’s</w:t>
      </w:r>
      <w:r w:rsidR="00C06BD3" w:rsidRPr="00FB4148">
        <w:rPr>
          <w:rFonts w:ascii="Times New Roman" w:hAnsi="Times New Roman"/>
        </w:rPr>
        <w:t xml:space="preserve"> Ferndale </w:t>
      </w:r>
      <w:r>
        <w:rPr>
          <w:rFonts w:ascii="Times New Roman" w:hAnsi="Times New Roman"/>
        </w:rPr>
        <w:t>G</w:t>
      </w:r>
      <w:r w:rsidR="00C06BD3" w:rsidRPr="00FB4148">
        <w:rPr>
          <w:rFonts w:ascii="Times New Roman" w:hAnsi="Times New Roman"/>
        </w:rPr>
        <w:t>eneration Station</w:t>
      </w:r>
      <w:r w:rsidR="00D7758F" w:rsidRPr="00FB4148">
        <w:rPr>
          <w:rFonts w:ascii="Times New Roman" w:hAnsi="Times New Roman"/>
        </w:rPr>
        <w:t xml:space="preserve"> </w:t>
      </w:r>
      <w:r w:rsidR="00C06BD3" w:rsidRPr="00FB4148">
        <w:rPr>
          <w:rFonts w:ascii="Times New Roman" w:hAnsi="Times New Roman"/>
        </w:rPr>
        <w:t>(</w:t>
      </w:r>
      <w:r w:rsidR="0082144B" w:rsidRPr="00FB4148">
        <w:rPr>
          <w:rFonts w:ascii="Times New Roman" w:hAnsi="Times New Roman"/>
        </w:rPr>
        <w:t>Ferndale Generation Station</w:t>
      </w:r>
      <w:r w:rsidR="00C06BD3" w:rsidRPr="00FB4148">
        <w:rPr>
          <w:rFonts w:ascii="Times New Roman" w:hAnsi="Times New Roman"/>
        </w:rPr>
        <w:t>)</w:t>
      </w:r>
      <w:r w:rsidR="00D7758F" w:rsidRPr="00FB4148">
        <w:rPr>
          <w:rFonts w:ascii="Times New Roman" w:hAnsi="Times New Roman"/>
        </w:rPr>
        <w:t xml:space="preserve"> </w:t>
      </w:r>
      <w:r w:rsidR="00930DE2" w:rsidRPr="00FB4148">
        <w:rPr>
          <w:rFonts w:ascii="Times New Roman" w:hAnsi="Times New Roman"/>
        </w:rPr>
        <w:t>as</w:t>
      </w:r>
      <w:r w:rsidR="00CC55B3" w:rsidRPr="00FB4148">
        <w:rPr>
          <w:rFonts w:ascii="Times New Roman" w:hAnsi="Times New Roman"/>
        </w:rPr>
        <w:t xml:space="preserve"> shown in</w:t>
      </w:r>
      <w:r w:rsidR="00930DE2" w:rsidRPr="00FB4148">
        <w:rPr>
          <w:rFonts w:ascii="Times New Roman" w:hAnsi="Times New Roman"/>
        </w:rPr>
        <w:t xml:space="preserve"> </w:t>
      </w:r>
      <w:r w:rsidR="00CC55B3" w:rsidRPr="00FB4148">
        <w:rPr>
          <w:rFonts w:ascii="Times New Roman" w:hAnsi="Times New Roman"/>
        </w:rPr>
        <w:t xml:space="preserve">the Final </w:t>
      </w:r>
      <w:r w:rsidR="00CC55B3" w:rsidRPr="00FB4148">
        <w:rPr>
          <w:rFonts w:ascii="Times New Roman" w:hAnsi="Times New Roman"/>
        </w:rPr>
        <w:lastRenderedPageBreak/>
        <w:t>Asset Acquisition Agreement</w:t>
      </w:r>
      <w:r w:rsidR="00930DE2" w:rsidRPr="00FB4148">
        <w:rPr>
          <w:rFonts w:ascii="Times New Roman" w:hAnsi="Times New Roman"/>
        </w:rPr>
        <w:t xml:space="preserve"> PSE filed on October 16, 2012</w:t>
      </w:r>
      <w:r w:rsidR="00F66AD6">
        <w:rPr>
          <w:rFonts w:ascii="Times New Roman" w:hAnsi="Times New Roman"/>
        </w:rPr>
        <w:t>,</w:t>
      </w:r>
      <w:r w:rsidR="00930DE2" w:rsidRPr="00FB4148">
        <w:rPr>
          <w:rFonts w:ascii="Times New Roman" w:hAnsi="Times New Roman"/>
        </w:rPr>
        <w:t xml:space="preserve"> in this docket.</w:t>
      </w:r>
      <w:r w:rsidR="009801DC" w:rsidRPr="00FB4148">
        <w:rPr>
          <w:rFonts w:ascii="Times New Roman" w:hAnsi="Times New Roman"/>
        </w:rPr>
        <w:t xml:space="preserve">  The transaction will be completed this year.</w:t>
      </w:r>
    </w:p>
    <w:p w:rsidR="00F66AD6" w:rsidRPr="00FB4148" w:rsidRDefault="006228A0" w:rsidP="006228A0">
      <w:pPr>
        <w:spacing w:line="480" w:lineRule="auto"/>
        <w:rPr>
          <w:rFonts w:ascii="Times New Roman" w:hAnsi="Times New Roman"/>
        </w:rPr>
      </w:pPr>
      <w:r>
        <w:rPr>
          <w:rFonts w:ascii="Times New Roman" w:hAnsi="Times New Roman"/>
          <w:b/>
        </w:rPr>
        <w:tab/>
      </w:r>
      <w:r w:rsidRPr="00321A71">
        <w:rPr>
          <w:rFonts w:ascii="Times New Roman" w:hAnsi="Times New Roman"/>
        </w:rPr>
        <w:t>T</w:t>
      </w:r>
      <w:r w:rsidR="00426E49" w:rsidRPr="00321A71">
        <w:rPr>
          <w:rFonts w:ascii="Times New Roman" w:hAnsi="Times New Roman"/>
        </w:rPr>
        <w:t xml:space="preserve">he </w:t>
      </w:r>
      <w:r w:rsidR="00F66AD6" w:rsidRPr="00321A71">
        <w:rPr>
          <w:rFonts w:ascii="Times New Roman" w:hAnsi="Times New Roman"/>
        </w:rPr>
        <w:t>Ferndale</w:t>
      </w:r>
      <w:r w:rsidR="00426E49" w:rsidRPr="00321A71">
        <w:rPr>
          <w:rFonts w:ascii="Times New Roman" w:hAnsi="Times New Roman"/>
        </w:rPr>
        <w:t xml:space="preserve"> Generation Station</w:t>
      </w:r>
      <w:r w:rsidR="00F66AD6" w:rsidRPr="00321A71">
        <w:rPr>
          <w:rFonts w:ascii="Times New Roman" w:hAnsi="Times New Roman"/>
        </w:rPr>
        <w:t xml:space="preserve"> </w:t>
      </w:r>
      <w:r>
        <w:rPr>
          <w:rFonts w:ascii="Times New Roman" w:hAnsi="Times New Roman"/>
        </w:rPr>
        <w:t xml:space="preserve">is </w:t>
      </w:r>
      <w:r w:rsidR="00F66AD6" w:rsidRPr="00321A71">
        <w:rPr>
          <w:rFonts w:ascii="Times New Roman" w:hAnsi="Times New Roman"/>
        </w:rPr>
        <w:t>“baseload electric generation”</w:t>
      </w:r>
      <w:r>
        <w:rPr>
          <w:rFonts w:ascii="Times New Roman" w:hAnsi="Times New Roman"/>
        </w:rPr>
        <w:t xml:space="preserve">.  </w:t>
      </w:r>
      <w:r w:rsidR="00F66AD6" w:rsidRPr="00FB4148">
        <w:rPr>
          <w:rFonts w:ascii="Times New Roman" w:hAnsi="Times New Roman"/>
        </w:rPr>
        <w:t>“Baseload electric generation” is defined as a power plant “designed and intended to provide electricity at an annualized plant capacity factor of at least sixty percent.”</w:t>
      </w:r>
      <w:r w:rsidR="003073AA">
        <w:rPr>
          <w:rStyle w:val="FootnoteReference"/>
          <w:rFonts w:ascii="Times New Roman" w:hAnsi="Times New Roman"/>
        </w:rPr>
        <w:footnoteReference w:id="5"/>
      </w:r>
      <w:r w:rsidR="00F66AD6" w:rsidRPr="00FB4148">
        <w:rPr>
          <w:rFonts w:ascii="Times New Roman" w:hAnsi="Times New Roman"/>
        </w:rPr>
        <w:t xml:space="preserve">  </w:t>
      </w:r>
      <w:r w:rsidR="00F66AD6">
        <w:rPr>
          <w:rFonts w:ascii="Times New Roman" w:hAnsi="Times New Roman"/>
        </w:rPr>
        <w:t>The</w:t>
      </w:r>
      <w:r w:rsidR="00F66AD6" w:rsidRPr="00FB4148">
        <w:rPr>
          <w:rFonts w:ascii="Times New Roman" w:hAnsi="Times New Roman"/>
        </w:rPr>
        <w:t xml:space="preserve"> initial air quality permitting documents requested approval to operate continuously as a cogeneration plant, i.e. producing electricity and steam with a capacity factor well over 60%.  </w:t>
      </w:r>
    </w:p>
    <w:p w:rsidR="00321A71" w:rsidRDefault="004543A4" w:rsidP="006D0966">
      <w:pPr>
        <w:ind w:left="1440" w:hanging="720"/>
        <w:rPr>
          <w:rFonts w:ascii="Times New Roman" w:hAnsi="Times New Roman"/>
        </w:rPr>
      </w:pPr>
      <w:r>
        <w:rPr>
          <w:rFonts w:ascii="Times New Roman" w:hAnsi="Times New Roman"/>
          <w:b/>
        </w:rPr>
        <w:t>2.</w:t>
      </w:r>
      <w:r>
        <w:rPr>
          <w:rFonts w:ascii="Times New Roman" w:hAnsi="Times New Roman"/>
          <w:b/>
        </w:rPr>
        <w:tab/>
        <w:t xml:space="preserve">The GHG emissions performance standard, as it relates to the Ferndale Generation Station </w:t>
      </w:r>
    </w:p>
    <w:p w:rsidR="00321A71" w:rsidRDefault="00321A71" w:rsidP="00321A71">
      <w:pPr>
        <w:ind w:left="720" w:hanging="720"/>
        <w:rPr>
          <w:rFonts w:ascii="Times New Roman" w:hAnsi="Times New Roman"/>
        </w:rPr>
      </w:pPr>
    </w:p>
    <w:p w:rsidR="0076739C" w:rsidRPr="00FB4148" w:rsidRDefault="004543A4" w:rsidP="006228A0">
      <w:pPr>
        <w:spacing w:line="480" w:lineRule="auto"/>
        <w:rPr>
          <w:rFonts w:ascii="Times New Roman" w:hAnsi="Times New Roman"/>
        </w:rPr>
      </w:pPr>
      <w:r>
        <w:rPr>
          <w:rFonts w:ascii="Times New Roman" w:hAnsi="Times New Roman"/>
        </w:rPr>
        <w:tab/>
      </w:r>
      <w:r w:rsidR="006228A0">
        <w:rPr>
          <w:rFonts w:ascii="Times New Roman" w:hAnsi="Times New Roman"/>
        </w:rPr>
        <w:t>T</w:t>
      </w:r>
      <w:r w:rsidR="00930DE2" w:rsidRPr="006228A0">
        <w:rPr>
          <w:rFonts w:ascii="Times New Roman" w:hAnsi="Times New Roman"/>
        </w:rPr>
        <w:t xml:space="preserve">he </w:t>
      </w:r>
      <w:r w:rsidR="00F66AD6" w:rsidRPr="006228A0">
        <w:rPr>
          <w:rFonts w:ascii="Times New Roman" w:hAnsi="Times New Roman"/>
        </w:rPr>
        <w:t>Ferndale</w:t>
      </w:r>
      <w:r w:rsidR="00426E49" w:rsidRPr="006228A0">
        <w:rPr>
          <w:rFonts w:ascii="Times New Roman" w:hAnsi="Times New Roman"/>
        </w:rPr>
        <w:t xml:space="preserve"> Generation Station</w:t>
      </w:r>
      <w:r w:rsidR="00F66AD6" w:rsidRPr="006228A0">
        <w:rPr>
          <w:rFonts w:ascii="Times New Roman" w:hAnsi="Times New Roman"/>
        </w:rPr>
        <w:t xml:space="preserve"> </w:t>
      </w:r>
      <w:r w:rsidR="006228A0">
        <w:rPr>
          <w:rFonts w:ascii="Times New Roman" w:hAnsi="Times New Roman"/>
        </w:rPr>
        <w:t xml:space="preserve">is </w:t>
      </w:r>
      <w:r w:rsidR="00930DE2" w:rsidRPr="006228A0">
        <w:rPr>
          <w:rFonts w:ascii="Times New Roman" w:hAnsi="Times New Roman"/>
        </w:rPr>
        <w:t>a cogeneration plant</w:t>
      </w:r>
      <w:r w:rsidR="006228A0">
        <w:rPr>
          <w:rFonts w:ascii="Times New Roman" w:hAnsi="Times New Roman"/>
        </w:rPr>
        <w:t xml:space="preserve">.  </w:t>
      </w:r>
      <w:r w:rsidR="00ED26D0" w:rsidRPr="00FB4148">
        <w:rPr>
          <w:rFonts w:ascii="Times New Roman" w:hAnsi="Times New Roman"/>
        </w:rPr>
        <w:t>A cogeneration plant is designed to generate power as well as supply steam</w:t>
      </w:r>
      <w:r w:rsidR="0076739C" w:rsidRPr="00FB4148">
        <w:rPr>
          <w:rFonts w:ascii="Times New Roman" w:hAnsi="Times New Roman"/>
        </w:rPr>
        <w:t>, typically to industrial customers for process heat.  In a combined-cycle combustion turbine (CCCT) there are two stages of electricity generation</w:t>
      </w:r>
      <w:r w:rsidR="00930DE2" w:rsidRPr="00FB4148">
        <w:rPr>
          <w:rFonts w:ascii="Times New Roman" w:hAnsi="Times New Roman"/>
        </w:rPr>
        <w:t>:</w:t>
      </w:r>
      <w:r w:rsidR="0076739C" w:rsidRPr="00FB4148">
        <w:rPr>
          <w:rFonts w:ascii="Times New Roman" w:hAnsi="Times New Roman"/>
        </w:rPr>
        <w:t xml:space="preserve"> the combustion turbine generator and the steam turbine generator.  Inside the steam turbine part of the plant</w:t>
      </w:r>
      <w:r w:rsidR="00930DE2" w:rsidRPr="00FB4148">
        <w:rPr>
          <w:rFonts w:ascii="Times New Roman" w:hAnsi="Times New Roman"/>
        </w:rPr>
        <w:t>,</w:t>
      </w:r>
      <w:r w:rsidR="0076739C" w:rsidRPr="00FB4148">
        <w:rPr>
          <w:rFonts w:ascii="Times New Roman" w:hAnsi="Times New Roman"/>
        </w:rPr>
        <w:t xml:space="preserve"> the pressure and temperature of the steam is reduced as energy is transferred from the steam to the rotating turbine.  In a cogeneration plant</w:t>
      </w:r>
      <w:r w:rsidR="00930DE2" w:rsidRPr="00FB4148">
        <w:rPr>
          <w:rFonts w:ascii="Times New Roman" w:hAnsi="Times New Roman"/>
        </w:rPr>
        <w:t>,</w:t>
      </w:r>
      <w:r w:rsidR="0076739C" w:rsidRPr="00FB4148">
        <w:rPr>
          <w:rFonts w:ascii="Times New Roman" w:hAnsi="Times New Roman"/>
        </w:rPr>
        <w:t xml:space="preserve"> some of the steam </w:t>
      </w:r>
      <w:r w:rsidR="0040640E" w:rsidRPr="00FB4148">
        <w:rPr>
          <w:rFonts w:ascii="Times New Roman" w:hAnsi="Times New Roman"/>
        </w:rPr>
        <w:t xml:space="preserve">may be </w:t>
      </w:r>
      <w:r w:rsidR="0076739C" w:rsidRPr="00FB4148">
        <w:rPr>
          <w:rFonts w:ascii="Times New Roman" w:hAnsi="Times New Roman"/>
        </w:rPr>
        <w:t>diverted from the steam turbine to be used for its heat value, measured in British The</w:t>
      </w:r>
      <w:r w:rsidR="0053634B" w:rsidRPr="00FB4148">
        <w:rPr>
          <w:rFonts w:ascii="Times New Roman" w:hAnsi="Times New Roman"/>
        </w:rPr>
        <w:t>r</w:t>
      </w:r>
      <w:r w:rsidR="0076739C" w:rsidRPr="00FB4148">
        <w:rPr>
          <w:rFonts w:ascii="Times New Roman" w:hAnsi="Times New Roman"/>
        </w:rPr>
        <w:t xml:space="preserve">mal Units, BTUs, instead of </w:t>
      </w:r>
      <w:r w:rsidR="00930DE2" w:rsidRPr="00FB4148">
        <w:rPr>
          <w:rFonts w:ascii="Times New Roman" w:hAnsi="Times New Roman"/>
        </w:rPr>
        <w:t xml:space="preserve">being </w:t>
      </w:r>
      <w:r w:rsidR="0076739C" w:rsidRPr="00FB4148">
        <w:rPr>
          <w:rFonts w:ascii="Times New Roman" w:hAnsi="Times New Roman"/>
        </w:rPr>
        <w:t xml:space="preserve">used to generate electricity, measured in </w:t>
      </w:r>
      <w:r w:rsidR="00D5266E">
        <w:rPr>
          <w:rFonts w:ascii="Times New Roman" w:hAnsi="Times New Roman"/>
        </w:rPr>
        <w:t>megawatt-hours (</w:t>
      </w:r>
      <w:r w:rsidR="0076739C" w:rsidRPr="00FB4148">
        <w:rPr>
          <w:rFonts w:ascii="Times New Roman" w:hAnsi="Times New Roman"/>
        </w:rPr>
        <w:t>MWh</w:t>
      </w:r>
      <w:r w:rsidR="00D5266E">
        <w:rPr>
          <w:rFonts w:ascii="Times New Roman" w:hAnsi="Times New Roman"/>
        </w:rPr>
        <w:t>)</w:t>
      </w:r>
      <w:r w:rsidR="0076739C" w:rsidRPr="00FB4148">
        <w:rPr>
          <w:rFonts w:ascii="Times New Roman" w:hAnsi="Times New Roman"/>
        </w:rPr>
        <w:t>.</w:t>
      </w:r>
      <w:r w:rsidR="0040640E" w:rsidRPr="00FB4148">
        <w:rPr>
          <w:rFonts w:ascii="Times New Roman" w:hAnsi="Times New Roman"/>
        </w:rPr>
        <w:t xml:space="preserve">  An alternative approach for a CCCT </w:t>
      </w:r>
      <w:r w:rsidR="00297EFC" w:rsidRPr="00FB4148">
        <w:rPr>
          <w:rFonts w:ascii="Times New Roman" w:hAnsi="Times New Roman"/>
        </w:rPr>
        <w:t xml:space="preserve">cogeneration plant </w:t>
      </w:r>
      <w:r w:rsidR="0040640E" w:rsidRPr="00FB4148">
        <w:rPr>
          <w:rFonts w:ascii="Times New Roman" w:hAnsi="Times New Roman"/>
        </w:rPr>
        <w:t>would be for all of the steam produced to be u</w:t>
      </w:r>
      <w:r w:rsidR="00930DE2" w:rsidRPr="00FB4148">
        <w:rPr>
          <w:rFonts w:ascii="Times New Roman" w:hAnsi="Times New Roman"/>
        </w:rPr>
        <w:t>sed</w:t>
      </w:r>
      <w:r w:rsidR="0040640E" w:rsidRPr="00FB4148">
        <w:rPr>
          <w:rFonts w:ascii="Times New Roman" w:hAnsi="Times New Roman"/>
        </w:rPr>
        <w:t xml:space="preserve"> in industrial processes and electricity produced </w:t>
      </w:r>
      <w:r w:rsidR="00297EFC" w:rsidRPr="00FB4148">
        <w:rPr>
          <w:rFonts w:ascii="Times New Roman" w:hAnsi="Times New Roman"/>
        </w:rPr>
        <w:t>on</w:t>
      </w:r>
      <w:r w:rsidR="0040640E" w:rsidRPr="00FB4148">
        <w:rPr>
          <w:rFonts w:ascii="Times New Roman" w:hAnsi="Times New Roman"/>
        </w:rPr>
        <w:t>ly from the combustion turbine.</w:t>
      </w:r>
    </w:p>
    <w:p w:rsidR="00930DE2" w:rsidRPr="00FB4148" w:rsidRDefault="006228A0" w:rsidP="006228A0">
      <w:pPr>
        <w:spacing w:line="480" w:lineRule="auto"/>
        <w:rPr>
          <w:rFonts w:ascii="Times New Roman" w:hAnsi="Times New Roman"/>
        </w:rPr>
      </w:pPr>
      <w:r>
        <w:rPr>
          <w:rFonts w:ascii="Times New Roman" w:hAnsi="Times New Roman"/>
        </w:rPr>
        <w:tab/>
      </w:r>
      <w:r w:rsidR="00BD4628" w:rsidRPr="00FB4148">
        <w:rPr>
          <w:rFonts w:ascii="Times New Roman" w:hAnsi="Times New Roman"/>
        </w:rPr>
        <w:t xml:space="preserve">The GHG </w:t>
      </w:r>
      <w:r w:rsidR="00930DE2" w:rsidRPr="00FB4148">
        <w:rPr>
          <w:rFonts w:ascii="Times New Roman" w:hAnsi="Times New Roman"/>
        </w:rPr>
        <w:t xml:space="preserve">emissions performance </w:t>
      </w:r>
      <w:r w:rsidR="00BD4628" w:rsidRPr="00FB4148">
        <w:rPr>
          <w:rFonts w:ascii="Times New Roman" w:hAnsi="Times New Roman"/>
        </w:rPr>
        <w:t>standard is stated in the units of pounds of greenhouse gases per MWh of electricity.  In the cogeneration scenario</w:t>
      </w:r>
      <w:r w:rsidR="00930DE2" w:rsidRPr="00FB4148">
        <w:rPr>
          <w:rFonts w:ascii="Times New Roman" w:hAnsi="Times New Roman"/>
        </w:rPr>
        <w:t>,</w:t>
      </w:r>
      <w:r w:rsidR="00BD4628" w:rsidRPr="00FB4148">
        <w:rPr>
          <w:rFonts w:ascii="Times New Roman" w:hAnsi="Times New Roman"/>
        </w:rPr>
        <w:t xml:space="preserve"> where steam is removed for an industrial process, there are standard methods to calculate the equivalent </w:t>
      </w:r>
      <w:r w:rsidR="00BD4628" w:rsidRPr="00FB4148">
        <w:rPr>
          <w:rFonts w:ascii="Times New Roman" w:hAnsi="Times New Roman"/>
        </w:rPr>
        <w:lastRenderedPageBreak/>
        <w:t>MWh from the quantity and condition</w:t>
      </w:r>
      <w:r w:rsidR="0040640E" w:rsidRPr="00FB4148">
        <w:rPr>
          <w:rFonts w:ascii="Times New Roman" w:hAnsi="Times New Roman"/>
        </w:rPr>
        <w:t xml:space="preserve"> (quality)</w:t>
      </w:r>
      <w:r w:rsidR="00BD4628" w:rsidRPr="00FB4148">
        <w:rPr>
          <w:rFonts w:ascii="Times New Roman" w:hAnsi="Times New Roman"/>
        </w:rPr>
        <w:t xml:space="preserve"> of the steam </w:t>
      </w:r>
      <w:r w:rsidR="0040640E" w:rsidRPr="00FB4148">
        <w:rPr>
          <w:rFonts w:ascii="Times New Roman" w:hAnsi="Times New Roman"/>
        </w:rPr>
        <w:t>provided to the industrial or other user</w:t>
      </w:r>
      <w:r w:rsidR="00BD4628" w:rsidRPr="00FB4148">
        <w:rPr>
          <w:rFonts w:ascii="Times New Roman" w:hAnsi="Times New Roman"/>
        </w:rPr>
        <w:t>.  This is accounted for in the Dep</w:t>
      </w:r>
      <w:r w:rsidR="00930DE2" w:rsidRPr="00FB4148">
        <w:rPr>
          <w:rFonts w:ascii="Times New Roman" w:hAnsi="Times New Roman"/>
        </w:rPr>
        <w:t>artment</w:t>
      </w:r>
      <w:r w:rsidR="00BD4628" w:rsidRPr="00FB4148">
        <w:rPr>
          <w:rFonts w:ascii="Times New Roman" w:hAnsi="Times New Roman"/>
        </w:rPr>
        <w:t xml:space="preserve"> of Ecology </w:t>
      </w:r>
      <w:r w:rsidR="00930DE2" w:rsidRPr="00FB4148">
        <w:rPr>
          <w:rFonts w:ascii="Times New Roman" w:hAnsi="Times New Roman"/>
        </w:rPr>
        <w:t xml:space="preserve">(Ecology) </w:t>
      </w:r>
      <w:r w:rsidR="00BD4628" w:rsidRPr="00FB4148">
        <w:rPr>
          <w:rFonts w:ascii="Times New Roman" w:hAnsi="Times New Roman"/>
        </w:rPr>
        <w:t xml:space="preserve">rule on GHG </w:t>
      </w:r>
      <w:r w:rsidR="000F04F3" w:rsidRPr="00FB4148">
        <w:rPr>
          <w:rFonts w:ascii="Times New Roman" w:hAnsi="Times New Roman"/>
        </w:rPr>
        <w:t>where a</w:t>
      </w:r>
      <w:r w:rsidR="00D5266E">
        <w:rPr>
          <w:rFonts w:ascii="Times New Roman" w:hAnsi="Times New Roman"/>
        </w:rPr>
        <w:t xml:space="preserve"> definition of a</w:t>
      </w:r>
      <w:r w:rsidR="00BD4628" w:rsidRPr="00FB4148">
        <w:rPr>
          <w:rFonts w:ascii="Times New Roman" w:hAnsi="Times New Roman"/>
        </w:rPr>
        <w:t xml:space="preserve"> MWh</w:t>
      </w:r>
      <w:r w:rsidR="00BD4628" w:rsidRPr="00FB4148">
        <w:rPr>
          <w:rFonts w:ascii="Times New Roman" w:hAnsi="Times New Roman"/>
          <w:vertAlign w:val="subscript"/>
        </w:rPr>
        <w:t>eq</w:t>
      </w:r>
      <w:r w:rsidR="00BD4628" w:rsidRPr="00FB4148">
        <w:rPr>
          <w:rFonts w:ascii="Times New Roman" w:hAnsi="Times New Roman"/>
        </w:rPr>
        <w:t xml:space="preserve"> (Megawatt hour equivalent) for converting the thermal energy back to the equivalent electrical energy</w:t>
      </w:r>
      <w:r w:rsidR="00930DE2" w:rsidRPr="00FB4148">
        <w:rPr>
          <w:rFonts w:ascii="Times New Roman" w:hAnsi="Times New Roman"/>
        </w:rPr>
        <w:t xml:space="preserve"> is included</w:t>
      </w:r>
      <w:r w:rsidR="00BD4628" w:rsidRPr="00FB4148">
        <w:rPr>
          <w:rFonts w:ascii="Times New Roman" w:hAnsi="Times New Roman"/>
        </w:rPr>
        <w:t>.</w:t>
      </w:r>
      <w:r w:rsidR="00BD4628" w:rsidRPr="00FB4148">
        <w:rPr>
          <w:rStyle w:val="FootnoteReference"/>
          <w:rFonts w:ascii="Times New Roman" w:hAnsi="Times New Roman"/>
        </w:rPr>
        <w:footnoteReference w:id="6"/>
      </w:r>
      <w:r w:rsidR="00BD4628" w:rsidRPr="00FB4148">
        <w:rPr>
          <w:rFonts w:ascii="Times New Roman" w:hAnsi="Times New Roman"/>
        </w:rPr>
        <w:t xml:space="preserve"> </w:t>
      </w:r>
      <w:r w:rsidR="0082144B" w:rsidRPr="00FB4148">
        <w:rPr>
          <w:rFonts w:ascii="Times New Roman" w:hAnsi="Times New Roman"/>
        </w:rPr>
        <w:t xml:space="preserve"> </w:t>
      </w:r>
    </w:p>
    <w:p w:rsidR="00930DE2" w:rsidRPr="00FB4148" w:rsidRDefault="00930DE2" w:rsidP="006228A0">
      <w:pPr>
        <w:spacing w:line="480" w:lineRule="auto"/>
        <w:rPr>
          <w:rFonts w:ascii="Times New Roman" w:hAnsi="Times New Roman"/>
        </w:rPr>
      </w:pPr>
      <w:r w:rsidRPr="00FB4148">
        <w:rPr>
          <w:rFonts w:ascii="Times New Roman" w:hAnsi="Times New Roman"/>
        </w:rPr>
        <w:tab/>
      </w:r>
      <w:r w:rsidR="0082144B" w:rsidRPr="00FB4148">
        <w:rPr>
          <w:rFonts w:ascii="Times New Roman" w:hAnsi="Times New Roman"/>
        </w:rPr>
        <w:t>Ecology also defines “</w:t>
      </w:r>
      <w:r w:rsidRPr="00FB4148">
        <w:rPr>
          <w:rFonts w:ascii="Times New Roman" w:hAnsi="Times New Roman"/>
        </w:rPr>
        <w:t>b</w:t>
      </w:r>
      <w:r w:rsidR="0082144B" w:rsidRPr="00FB4148">
        <w:rPr>
          <w:rFonts w:ascii="Times New Roman" w:hAnsi="Times New Roman"/>
        </w:rPr>
        <w:t>aseload electric cogeneration facility” to accommodate the need to account for the correct equivalent energy calculation of the GHG standard for cogeneration facilities.</w:t>
      </w:r>
      <w:r w:rsidR="0082144B" w:rsidRPr="00FB4148">
        <w:rPr>
          <w:rStyle w:val="FootnoteReference"/>
          <w:rFonts w:ascii="Times New Roman" w:hAnsi="Times New Roman"/>
        </w:rPr>
        <w:footnoteReference w:id="7"/>
      </w:r>
      <w:r w:rsidR="00037CD6" w:rsidRPr="00FB4148">
        <w:rPr>
          <w:rFonts w:ascii="Times New Roman" w:hAnsi="Times New Roman"/>
        </w:rPr>
        <w:t xml:space="preserve">  To meet the definition of a baseload electric cogeneration facility</w:t>
      </w:r>
      <w:r w:rsidRPr="00FB4148">
        <w:rPr>
          <w:rFonts w:ascii="Times New Roman" w:hAnsi="Times New Roman"/>
        </w:rPr>
        <w:t>,</w:t>
      </w:r>
      <w:r w:rsidR="00037CD6" w:rsidRPr="00FB4148">
        <w:rPr>
          <w:rFonts w:ascii="Times New Roman" w:hAnsi="Times New Roman"/>
        </w:rPr>
        <w:t xml:space="preserve"> the cogeneration plant must be a PURPA (Public Utility Regulatory Policies Act) </w:t>
      </w:r>
      <w:r w:rsidR="008462D2" w:rsidRPr="00FB4148">
        <w:rPr>
          <w:rFonts w:ascii="Times New Roman" w:hAnsi="Times New Roman"/>
        </w:rPr>
        <w:t>“</w:t>
      </w:r>
      <w:r w:rsidR="00037CD6" w:rsidRPr="00FB4148">
        <w:rPr>
          <w:rFonts w:ascii="Times New Roman" w:hAnsi="Times New Roman"/>
        </w:rPr>
        <w:t>qualifying facility</w:t>
      </w:r>
      <w:r w:rsidR="008462D2" w:rsidRPr="00FB4148">
        <w:rPr>
          <w:rFonts w:ascii="Times New Roman" w:hAnsi="Times New Roman"/>
        </w:rPr>
        <w:t>”</w:t>
      </w:r>
      <w:r w:rsidRPr="00FB4148">
        <w:rPr>
          <w:rFonts w:ascii="Times New Roman" w:hAnsi="Times New Roman"/>
        </w:rPr>
        <w:t xml:space="preserve"> (QF)</w:t>
      </w:r>
      <w:r w:rsidR="00037CD6" w:rsidRPr="00FB4148">
        <w:rPr>
          <w:rFonts w:ascii="Times New Roman" w:hAnsi="Times New Roman"/>
        </w:rPr>
        <w:t>.</w:t>
      </w:r>
      <w:r w:rsidR="00037CD6" w:rsidRPr="00FB4148">
        <w:rPr>
          <w:rStyle w:val="FootnoteReference"/>
          <w:rFonts w:ascii="Times New Roman" w:hAnsi="Times New Roman"/>
        </w:rPr>
        <w:footnoteReference w:id="8"/>
      </w:r>
      <w:r w:rsidR="00037CD6" w:rsidRPr="00FB4148">
        <w:rPr>
          <w:rFonts w:ascii="Times New Roman" w:hAnsi="Times New Roman"/>
        </w:rPr>
        <w:t xml:space="preserve"> </w:t>
      </w:r>
      <w:r w:rsidR="00297EFC" w:rsidRPr="00FB4148">
        <w:rPr>
          <w:rFonts w:ascii="Times New Roman" w:hAnsi="Times New Roman"/>
        </w:rPr>
        <w:t xml:space="preserve"> </w:t>
      </w:r>
    </w:p>
    <w:p w:rsidR="000E2480" w:rsidRPr="00FB4148" w:rsidRDefault="00930DE2" w:rsidP="006228A0">
      <w:pPr>
        <w:spacing w:line="480" w:lineRule="auto"/>
        <w:rPr>
          <w:rFonts w:ascii="Times New Roman" w:hAnsi="Times New Roman"/>
        </w:rPr>
      </w:pPr>
      <w:r w:rsidRPr="00FB4148">
        <w:rPr>
          <w:rFonts w:ascii="Times New Roman" w:hAnsi="Times New Roman"/>
        </w:rPr>
        <w:tab/>
      </w:r>
      <w:r w:rsidR="00195F9D" w:rsidRPr="00FB4148">
        <w:rPr>
          <w:rFonts w:ascii="Times New Roman" w:hAnsi="Times New Roman"/>
        </w:rPr>
        <w:t xml:space="preserve">As operated by </w:t>
      </w:r>
      <w:r w:rsidRPr="00FB4148">
        <w:rPr>
          <w:rFonts w:ascii="Times New Roman" w:hAnsi="Times New Roman"/>
        </w:rPr>
        <w:t>Tenaska ownership, t</w:t>
      </w:r>
      <w:r w:rsidR="00297EFC" w:rsidRPr="00FB4148">
        <w:rPr>
          <w:rFonts w:ascii="Times New Roman" w:hAnsi="Times New Roman"/>
        </w:rPr>
        <w:t>he Ferndale Generati</w:t>
      </w:r>
      <w:r w:rsidR="00457834" w:rsidRPr="00FB4148">
        <w:rPr>
          <w:rFonts w:ascii="Times New Roman" w:hAnsi="Times New Roman"/>
        </w:rPr>
        <w:t xml:space="preserve">on Station is a </w:t>
      </w:r>
      <w:r w:rsidR="008462D2" w:rsidRPr="00FB4148">
        <w:rPr>
          <w:rFonts w:ascii="Times New Roman" w:hAnsi="Times New Roman"/>
        </w:rPr>
        <w:t>QF,</w:t>
      </w:r>
      <w:r w:rsidR="00457834" w:rsidRPr="00FB4148">
        <w:rPr>
          <w:rFonts w:ascii="Times New Roman" w:hAnsi="Times New Roman"/>
        </w:rPr>
        <w:t xml:space="preserve"> as shown in </w:t>
      </w:r>
      <w:r w:rsidR="008462D2" w:rsidRPr="00FB4148">
        <w:rPr>
          <w:rFonts w:ascii="Times New Roman" w:hAnsi="Times New Roman"/>
        </w:rPr>
        <w:t xml:space="preserve">PSE’s </w:t>
      </w:r>
      <w:r w:rsidR="00457834" w:rsidRPr="00FB4148">
        <w:rPr>
          <w:rFonts w:ascii="Times New Roman" w:hAnsi="Times New Roman"/>
        </w:rPr>
        <w:t xml:space="preserve">response to </w:t>
      </w:r>
      <w:r w:rsidR="00D5266E">
        <w:rPr>
          <w:rFonts w:ascii="Times New Roman" w:hAnsi="Times New Roman"/>
        </w:rPr>
        <w:t>Commission</w:t>
      </w:r>
      <w:r w:rsidR="008462D2" w:rsidRPr="00FB4148">
        <w:rPr>
          <w:rFonts w:ascii="Times New Roman" w:hAnsi="Times New Roman"/>
        </w:rPr>
        <w:t xml:space="preserve"> </w:t>
      </w:r>
      <w:r w:rsidR="00457834" w:rsidRPr="00FB4148">
        <w:rPr>
          <w:rFonts w:ascii="Times New Roman" w:hAnsi="Times New Roman"/>
        </w:rPr>
        <w:t xml:space="preserve">Staff Data Request 16.  </w:t>
      </w:r>
      <w:r w:rsidR="00195F9D" w:rsidRPr="00FB4148">
        <w:rPr>
          <w:rFonts w:ascii="Times New Roman" w:hAnsi="Times New Roman"/>
        </w:rPr>
        <w:t>If the facility continues to be a QF, t</w:t>
      </w:r>
      <w:r w:rsidR="00457834" w:rsidRPr="00FB4148">
        <w:rPr>
          <w:rFonts w:ascii="Times New Roman" w:hAnsi="Times New Roman"/>
        </w:rPr>
        <w:t>his allows the GHG emissions calculation to account for the energy value of the steam as equivalent to electrical generation for this plant.</w:t>
      </w:r>
      <w:r w:rsidR="00195F9D" w:rsidRPr="00FB4148">
        <w:rPr>
          <w:rFonts w:ascii="Times New Roman" w:hAnsi="Times New Roman"/>
        </w:rPr>
        <w:t xml:space="preserve">  However, PSE has indicated it will not operate the plant as a QF.</w:t>
      </w:r>
      <w:r w:rsidR="00195F9D" w:rsidRPr="00FB4148">
        <w:rPr>
          <w:rStyle w:val="FootnoteReference"/>
          <w:rFonts w:ascii="Times New Roman" w:hAnsi="Times New Roman"/>
        </w:rPr>
        <w:footnoteReference w:id="9"/>
      </w:r>
    </w:p>
    <w:p w:rsidR="004543A4" w:rsidRDefault="004543A4" w:rsidP="00321A71">
      <w:pPr>
        <w:ind w:left="1440" w:hanging="720"/>
        <w:rPr>
          <w:rFonts w:ascii="Times New Roman" w:hAnsi="Times New Roman"/>
          <w:b/>
        </w:rPr>
      </w:pPr>
      <w:r>
        <w:rPr>
          <w:rFonts w:ascii="Times New Roman" w:hAnsi="Times New Roman"/>
          <w:b/>
        </w:rPr>
        <w:t>3.</w:t>
      </w:r>
      <w:r>
        <w:rPr>
          <w:rFonts w:ascii="Times New Roman" w:hAnsi="Times New Roman"/>
          <w:b/>
        </w:rPr>
        <w:tab/>
        <w:t>Whether the Ferndale Generation Station meets the GHG emissions performance standard depends on how it is operated</w:t>
      </w:r>
    </w:p>
    <w:p w:rsidR="004543A4" w:rsidRDefault="004543A4" w:rsidP="00321A71">
      <w:pPr>
        <w:tabs>
          <w:tab w:val="left" w:pos="720"/>
        </w:tabs>
        <w:rPr>
          <w:rFonts w:ascii="Times New Roman" w:hAnsi="Times New Roman"/>
          <w:b/>
        </w:rPr>
      </w:pPr>
    </w:p>
    <w:p w:rsidR="009801DC" w:rsidRPr="00FB4148" w:rsidRDefault="006228A0" w:rsidP="004543A4">
      <w:pPr>
        <w:tabs>
          <w:tab w:val="left" w:pos="720"/>
        </w:tabs>
        <w:spacing w:line="480" w:lineRule="auto"/>
        <w:rPr>
          <w:rFonts w:ascii="Times New Roman" w:hAnsi="Times New Roman"/>
        </w:rPr>
      </w:pPr>
      <w:r>
        <w:rPr>
          <w:rFonts w:ascii="Times New Roman" w:hAnsi="Times New Roman"/>
          <w:b/>
        </w:rPr>
        <w:tab/>
      </w:r>
      <w:r w:rsidR="008462D2" w:rsidRPr="00FB4148">
        <w:rPr>
          <w:rFonts w:ascii="Times New Roman" w:hAnsi="Times New Roman"/>
        </w:rPr>
        <w:t xml:space="preserve">Under its </w:t>
      </w:r>
      <w:r w:rsidR="009801DC" w:rsidRPr="00FB4148">
        <w:rPr>
          <w:rFonts w:ascii="Times New Roman" w:hAnsi="Times New Roman"/>
        </w:rPr>
        <w:t xml:space="preserve">air quality </w:t>
      </w:r>
      <w:r w:rsidR="00EF5D23" w:rsidRPr="00FB4148">
        <w:rPr>
          <w:rFonts w:ascii="Times New Roman" w:hAnsi="Times New Roman"/>
        </w:rPr>
        <w:t>permi</w:t>
      </w:r>
      <w:r w:rsidR="009801DC" w:rsidRPr="00FB4148">
        <w:rPr>
          <w:rFonts w:ascii="Times New Roman" w:hAnsi="Times New Roman"/>
        </w:rPr>
        <w:t>t</w:t>
      </w:r>
      <w:r w:rsidR="00EF5D23" w:rsidRPr="00FB4148">
        <w:rPr>
          <w:rFonts w:ascii="Times New Roman" w:hAnsi="Times New Roman"/>
        </w:rPr>
        <w:t>, the Ferndale Generation Station is not required to meet the current GHG emission</w:t>
      </w:r>
      <w:r w:rsidR="009801DC" w:rsidRPr="00FB4148">
        <w:rPr>
          <w:rFonts w:ascii="Times New Roman" w:hAnsi="Times New Roman"/>
        </w:rPr>
        <w:t>s</w:t>
      </w:r>
      <w:r w:rsidR="00EF5D23" w:rsidRPr="00FB4148">
        <w:rPr>
          <w:rFonts w:ascii="Times New Roman" w:hAnsi="Times New Roman"/>
        </w:rPr>
        <w:t xml:space="preserve"> limits.  </w:t>
      </w:r>
      <w:r w:rsidR="009801DC" w:rsidRPr="00FB4148">
        <w:rPr>
          <w:rFonts w:ascii="Times New Roman" w:hAnsi="Times New Roman"/>
        </w:rPr>
        <w:t>The plant is a dual fuel plant, able to use both natural gas and fuel oil</w:t>
      </w:r>
      <w:r w:rsidR="00290BF1" w:rsidRPr="00FB4148">
        <w:rPr>
          <w:rFonts w:ascii="Times New Roman" w:hAnsi="Times New Roman"/>
        </w:rPr>
        <w:t xml:space="preserve"> in the combustion turbine</w:t>
      </w:r>
      <w:r w:rsidR="009801DC" w:rsidRPr="00FB4148">
        <w:rPr>
          <w:rFonts w:ascii="Times New Roman" w:hAnsi="Times New Roman"/>
        </w:rPr>
        <w:t xml:space="preserve">.  If the plant were run extensively with fuel oil, it would exceed the GHG emissions performance standard.  We recognize it is not currently </w:t>
      </w:r>
      <w:r w:rsidR="009801DC" w:rsidRPr="00FB4148">
        <w:rPr>
          <w:rFonts w:ascii="Times New Roman" w:hAnsi="Times New Roman"/>
        </w:rPr>
        <w:lastRenderedPageBreak/>
        <w:t>economic to run the plant with extensive use of fuel oil, but the economics can change, as can the plant’s ability to access natural gas (e.g., pipeline disruption).</w:t>
      </w:r>
    </w:p>
    <w:p w:rsidR="00195F9D" w:rsidRPr="00FB4148" w:rsidRDefault="00195F9D" w:rsidP="006228A0">
      <w:pPr>
        <w:spacing w:line="480" w:lineRule="auto"/>
        <w:rPr>
          <w:rFonts w:ascii="Times New Roman" w:hAnsi="Times New Roman"/>
        </w:rPr>
      </w:pPr>
      <w:r w:rsidRPr="00FB4148">
        <w:rPr>
          <w:rFonts w:ascii="Times New Roman" w:hAnsi="Times New Roman"/>
        </w:rPr>
        <w:tab/>
        <w:t>PSE has submitted an Excel spreadsheet (in PSE Petition Exhibit B) containing emission calculations, electrical</w:t>
      </w:r>
      <w:r w:rsidR="00426E49">
        <w:rPr>
          <w:rFonts w:ascii="Times New Roman" w:hAnsi="Times New Roman"/>
        </w:rPr>
        <w:t xml:space="preserve"> generation</w:t>
      </w:r>
      <w:r w:rsidRPr="00FB4148">
        <w:rPr>
          <w:rFonts w:ascii="Times New Roman" w:hAnsi="Times New Roman"/>
        </w:rPr>
        <w:t xml:space="preserve">, and steam output information for the facility for the years 2000 </w:t>
      </w:r>
      <w:r w:rsidR="00965C11" w:rsidRPr="00FB4148">
        <w:rPr>
          <w:rFonts w:ascii="Times New Roman" w:hAnsi="Times New Roman"/>
        </w:rPr>
        <w:t>through</w:t>
      </w:r>
      <w:r w:rsidRPr="00FB4148">
        <w:rPr>
          <w:rFonts w:ascii="Times New Roman" w:hAnsi="Times New Roman"/>
        </w:rPr>
        <w:t xml:space="preserve"> 2012.  The information contained in these calculations indicate that if operated as it has during this time period, the plant has the capability to operate and meet the  GHG emission standard, whether it was a QF or not.  (The Ferndale Generation Station was grandfathered into compliance</w:t>
      </w:r>
      <w:r w:rsidRPr="00FB4148">
        <w:rPr>
          <w:rStyle w:val="FootnoteReference"/>
          <w:rFonts w:ascii="Times New Roman" w:hAnsi="Times New Roman"/>
        </w:rPr>
        <w:footnoteReference w:id="10"/>
      </w:r>
      <w:r w:rsidRPr="00FB4148">
        <w:rPr>
          <w:rFonts w:ascii="Times New Roman" w:hAnsi="Times New Roman"/>
        </w:rPr>
        <w:t xml:space="preserve"> with the GHG emission standard and has not been required to meet the current GHG emission limits).  </w:t>
      </w:r>
    </w:p>
    <w:p w:rsidR="00195F9D" w:rsidRPr="00FB4148" w:rsidRDefault="009801DC" w:rsidP="006228A0">
      <w:pPr>
        <w:spacing w:line="480" w:lineRule="auto"/>
        <w:rPr>
          <w:rFonts w:ascii="Times New Roman" w:hAnsi="Times New Roman"/>
        </w:rPr>
      </w:pPr>
      <w:r w:rsidRPr="00FB4148">
        <w:rPr>
          <w:rFonts w:ascii="Times New Roman" w:hAnsi="Times New Roman"/>
        </w:rPr>
        <w:tab/>
      </w:r>
      <w:r w:rsidR="008462D2" w:rsidRPr="00FB4148">
        <w:rPr>
          <w:rFonts w:ascii="Times New Roman" w:hAnsi="Times New Roman"/>
        </w:rPr>
        <w:t xml:space="preserve">To </w:t>
      </w:r>
      <w:r w:rsidR="00195F9D" w:rsidRPr="00FB4148">
        <w:rPr>
          <w:rFonts w:ascii="Times New Roman" w:hAnsi="Times New Roman"/>
        </w:rPr>
        <w:t xml:space="preserve">further </w:t>
      </w:r>
      <w:r w:rsidR="008462D2" w:rsidRPr="00FB4148">
        <w:rPr>
          <w:rFonts w:ascii="Times New Roman" w:hAnsi="Times New Roman"/>
        </w:rPr>
        <w:t xml:space="preserve">analyze this issue (and other issues), </w:t>
      </w:r>
      <w:r w:rsidR="00D5266E">
        <w:rPr>
          <w:rFonts w:ascii="Times New Roman" w:hAnsi="Times New Roman"/>
        </w:rPr>
        <w:t>Commission</w:t>
      </w:r>
      <w:r w:rsidR="008462D2" w:rsidRPr="00FB4148">
        <w:rPr>
          <w:rFonts w:ascii="Times New Roman" w:hAnsi="Times New Roman"/>
        </w:rPr>
        <w:t xml:space="preserve"> Staff consulted with </w:t>
      </w:r>
      <w:r w:rsidR="0048487A" w:rsidRPr="00FB4148">
        <w:rPr>
          <w:rFonts w:ascii="Times New Roman" w:hAnsi="Times New Roman"/>
        </w:rPr>
        <w:t xml:space="preserve">Mr. </w:t>
      </w:r>
      <w:r w:rsidR="0062481D" w:rsidRPr="00FB4148">
        <w:rPr>
          <w:rFonts w:ascii="Times New Roman" w:hAnsi="Times New Roman"/>
        </w:rPr>
        <w:t>Alan Newman of the Department of Ecology</w:t>
      </w:r>
      <w:r w:rsidR="0048487A" w:rsidRPr="00FB4148">
        <w:rPr>
          <w:rFonts w:ascii="Times New Roman" w:hAnsi="Times New Roman"/>
        </w:rPr>
        <w:t>’s Air Quality Program</w:t>
      </w:r>
      <w:r w:rsidR="00426E49">
        <w:rPr>
          <w:rFonts w:ascii="Times New Roman" w:hAnsi="Times New Roman"/>
        </w:rPr>
        <w:t>.</w:t>
      </w:r>
      <w:r w:rsidR="008462D2" w:rsidRPr="00FB4148">
        <w:rPr>
          <w:rFonts w:ascii="Times New Roman" w:hAnsi="Times New Roman"/>
        </w:rPr>
        <w:t xml:space="preserve">  </w:t>
      </w:r>
      <w:r w:rsidR="00195F9D" w:rsidRPr="00FB4148">
        <w:rPr>
          <w:rFonts w:ascii="Times New Roman" w:hAnsi="Times New Roman"/>
        </w:rPr>
        <w:t xml:space="preserve">Mr. Newman agrees with PSE that based on historical operation, the Ferndale Generation </w:t>
      </w:r>
      <w:r w:rsidR="00426E49">
        <w:rPr>
          <w:rFonts w:ascii="Times New Roman" w:hAnsi="Times New Roman"/>
        </w:rPr>
        <w:t>S</w:t>
      </w:r>
      <w:r w:rsidR="00426E49" w:rsidRPr="00FB4148">
        <w:rPr>
          <w:rFonts w:ascii="Times New Roman" w:hAnsi="Times New Roman"/>
        </w:rPr>
        <w:t xml:space="preserve">tation </w:t>
      </w:r>
      <w:r w:rsidR="00195F9D" w:rsidRPr="00FB4148">
        <w:rPr>
          <w:rFonts w:ascii="Times New Roman" w:hAnsi="Times New Roman"/>
        </w:rPr>
        <w:t xml:space="preserve">has demonstrated it can meet the GHG emission standard.  </w:t>
      </w:r>
    </w:p>
    <w:p w:rsidR="00183085" w:rsidRPr="00FB4148" w:rsidRDefault="00195F9D" w:rsidP="006228A0">
      <w:pPr>
        <w:spacing w:line="480" w:lineRule="auto"/>
        <w:rPr>
          <w:rFonts w:ascii="Times New Roman" w:hAnsi="Times New Roman"/>
        </w:rPr>
      </w:pPr>
      <w:r w:rsidRPr="00FB4148">
        <w:rPr>
          <w:rFonts w:ascii="Times New Roman" w:hAnsi="Times New Roman"/>
        </w:rPr>
        <w:tab/>
        <w:t>However,  u</w:t>
      </w:r>
      <w:r w:rsidR="00183085" w:rsidRPr="00FB4148">
        <w:rPr>
          <w:rFonts w:ascii="Times New Roman" w:hAnsi="Times New Roman"/>
        </w:rPr>
        <w:t xml:space="preserve">sing the information in the </w:t>
      </w:r>
      <w:r w:rsidR="008462D2" w:rsidRPr="00FB4148">
        <w:rPr>
          <w:rFonts w:ascii="Times New Roman" w:hAnsi="Times New Roman"/>
        </w:rPr>
        <w:t xml:space="preserve">1991 air quality </w:t>
      </w:r>
      <w:r w:rsidR="00183085" w:rsidRPr="00FB4148">
        <w:rPr>
          <w:rFonts w:ascii="Times New Roman" w:hAnsi="Times New Roman"/>
        </w:rPr>
        <w:t>permit application</w:t>
      </w:r>
      <w:r w:rsidR="00AD575C">
        <w:rPr>
          <w:rFonts w:ascii="Times New Roman" w:hAnsi="Times New Roman"/>
        </w:rPr>
        <w:t xml:space="preserve"> for the plant</w:t>
      </w:r>
      <w:r w:rsidR="00183085" w:rsidRPr="00FB4148">
        <w:rPr>
          <w:rFonts w:ascii="Times New Roman" w:hAnsi="Times New Roman"/>
        </w:rPr>
        <w:t xml:space="preserve">, </w:t>
      </w:r>
      <w:r w:rsidR="008462D2" w:rsidRPr="00FB4148">
        <w:rPr>
          <w:rFonts w:ascii="Times New Roman" w:hAnsi="Times New Roman"/>
        </w:rPr>
        <w:t xml:space="preserve">the plant’s current air quality permit, as well as the plant’s operating capabilities and history, </w:t>
      </w:r>
      <w:r w:rsidR="00EF5D23" w:rsidRPr="00FB4148">
        <w:rPr>
          <w:rFonts w:ascii="Times New Roman" w:hAnsi="Times New Roman"/>
        </w:rPr>
        <w:t>Mr. Newman</w:t>
      </w:r>
      <w:r w:rsidR="00183085" w:rsidRPr="00FB4148">
        <w:rPr>
          <w:rFonts w:ascii="Times New Roman" w:hAnsi="Times New Roman"/>
        </w:rPr>
        <w:t xml:space="preserve"> </w:t>
      </w:r>
      <w:r w:rsidR="008462D2" w:rsidRPr="00FB4148">
        <w:rPr>
          <w:rFonts w:ascii="Times New Roman" w:hAnsi="Times New Roman"/>
        </w:rPr>
        <w:t xml:space="preserve">concluded </w:t>
      </w:r>
      <w:r w:rsidR="00183085" w:rsidRPr="00FB4148">
        <w:rPr>
          <w:rFonts w:ascii="Times New Roman" w:hAnsi="Times New Roman"/>
        </w:rPr>
        <w:t xml:space="preserve">that the plant </w:t>
      </w:r>
      <w:r w:rsidR="0048487A" w:rsidRPr="00FB4148">
        <w:rPr>
          <w:rFonts w:ascii="Times New Roman" w:hAnsi="Times New Roman"/>
        </w:rPr>
        <w:t>c</w:t>
      </w:r>
      <w:r w:rsidR="00EF5D23" w:rsidRPr="00FB4148">
        <w:rPr>
          <w:rFonts w:ascii="Times New Roman" w:hAnsi="Times New Roman"/>
        </w:rPr>
        <w:t>an</w:t>
      </w:r>
      <w:r w:rsidR="0048487A" w:rsidRPr="00FB4148">
        <w:rPr>
          <w:rFonts w:ascii="Times New Roman" w:hAnsi="Times New Roman"/>
        </w:rPr>
        <w:t xml:space="preserve"> be operated in a manner </w:t>
      </w:r>
      <w:r w:rsidR="008462D2" w:rsidRPr="00FB4148">
        <w:rPr>
          <w:rFonts w:ascii="Times New Roman" w:hAnsi="Times New Roman"/>
        </w:rPr>
        <w:t xml:space="preserve">that would exceed </w:t>
      </w:r>
      <w:r w:rsidR="00183085" w:rsidRPr="00FB4148">
        <w:rPr>
          <w:rFonts w:ascii="Times New Roman" w:hAnsi="Times New Roman"/>
        </w:rPr>
        <w:t xml:space="preserve">the </w:t>
      </w:r>
      <w:r w:rsidR="005D27BA" w:rsidRPr="00FB4148">
        <w:rPr>
          <w:rFonts w:ascii="Times New Roman" w:hAnsi="Times New Roman"/>
        </w:rPr>
        <w:t>1</w:t>
      </w:r>
      <w:r w:rsidR="0048487A" w:rsidRPr="00FB4148">
        <w:rPr>
          <w:rFonts w:ascii="Times New Roman" w:hAnsi="Times New Roman"/>
        </w:rPr>
        <w:t>,</w:t>
      </w:r>
      <w:r w:rsidR="005D27BA" w:rsidRPr="00FB4148">
        <w:rPr>
          <w:rFonts w:ascii="Times New Roman" w:hAnsi="Times New Roman"/>
        </w:rPr>
        <w:t xml:space="preserve">100 </w:t>
      </w:r>
      <w:r w:rsidR="009801DC" w:rsidRPr="00FB4148">
        <w:rPr>
          <w:rFonts w:ascii="Times New Roman" w:hAnsi="Times New Roman"/>
        </w:rPr>
        <w:t>lb.</w:t>
      </w:r>
      <w:r w:rsidR="005D27BA" w:rsidRPr="00FB4148">
        <w:rPr>
          <w:rFonts w:ascii="Times New Roman" w:hAnsi="Times New Roman"/>
        </w:rPr>
        <w:t xml:space="preserve">/MWh </w:t>
      </w:r>
      <w:r w:rsidR="00183085" w:rsidRPr="00FB4148">
        <w:rPr>
          <w:rFonts w:ascii="Times New Roman" w:hAnsi="Times New Roman"/>
        </w:rPr>
        <w:t>standard</w:t>
      </w:r>
      <w:r w:rsidR="008462D2" w:rsidRPr="00FB4148">
        <w:rPr>
          <w:rFonts w:ascii="Times New Roman" w:hAnsi="Times New Roman"/>
        </w:rPr>
        <w:t>.</w:t>
      </w:r>
      <w:r w:rsidR="009F4CC8" w:rsidRPr="00FB4148">
        <w:rPr>
          <w:rStyle w:val="FootnoteReference"/>
          <w:rFonts w:ascii="Times New Roman" w:hAnsi="Times New Roman"/>
        </w:rPr>
        <w:footnoteReference w:id="11"/>
      </w:r>
      <w:r w:rsidR="00183085" w:rsidRPr="00FB4148">
        <w:rPr>
          <w:rFonts w:ascii="Times New Roman" w:hAnsi="Times New Roman"/>
        </w:rPr>
        <w:t xml:space="preserve">    </w:t>
      </w:r>
    </w:p>
    <w:p w:rsidR="006228A0" w:rsidRDefault="006228A0" w:rsidP="00321A71">
      <w:pPr>
        <w:spacing w:line="480" w:lineRule="auto"/>
        <w:rPr>
          <w:rFonts w:ascii="Times New Roman" w:hAnsi="Times New Roman"/>
        </w:rPr>
      </w:pPr>
      <w:r>
        <w:rPr>
          <w:rFonts w:ascii="Times New Roman" w:hAnsi="Times New Roman"/>
        </w:rPr>
        <w:tab/>
      </w:r>
      <w:r w:rsidR="008462D2" w:rsidRPr="006228A0">
        <w:rPr>
          <w:rFonts w:ascii="Times New Roman" w:hAnsi="Times New Roman"/>
        </w:rPr>
        <w:t xml:space="preserve">On the other hand, </w:t>
      </w:r>
      <w:r w:rsidR="00EF5D23" w:rsidRPr="006228A0">
        <w:rPr>
          <w:rFonts w:ascii="Times New Roman" w:hAnsi="Times New Roman"/>
        </w:rPr>
        <w:t xml:space="preserve">the design and historical operation of </w:t>
      </w:r>
      <w:r w:rsidR="00D41B0F" w:rsidRPr="006228A0">
        <w:rPr>
          <w:rFonts w:ascii="Times New Roman" w:hAnsi="Times New Roman"/>
        </w:rPr>
        <w:t>the Ferndale Generation Station</w:t>
      </w:r>
      <w:r w:rsidR="00836CB3" w:rsidRPr="006228A0">
        <w:rPr>
          <w:rFonts w:ascii="Times New Roman" w:hAnsi="Times New Roman"/>
        </w:rPr>
        <w:t xml:space="preserve"> </w:t>
      </w:r>
      <w:r w:rsidR="00EF5D23" w:rsidRPr="006228A0">
        <w:rPr>
          <w:rFonts w:ascii="Times New Roman" w:hAnsi="Times New Roman"/>
        </w:rPr>
        <w:t xml:space="preserve">indicate that </w:t>
      </w:r>
      <w:r w:rsidR="00D12B87" w:rsidRPr="006228A0">
        <w:rPr>
          <w:rFonts w:ascii="Times New Roman" w:hAnsi="Times New Roman"/>
        </w:rPr>
        <w:t xml:space="preserve">PSE can </w:t>
      </w:r>
      <w:r w:rsidR="008462D2" w:rsidRPr="006228A0">
        <w:rPr>
          <w:rFonts w:ascii="Times New Roman" w:hAnsi="Times New Roman"/>
        </w:rPr>
        <w:t>operate</w:t>
      </w:r>
      <w:r w:rsidR="00D12B87" w:rsidRPr="006228A0">
        <w:rPr>
          <w:rFonts w:ascii="Times New Roman" w:hAnsi="Times New Roman"/>
        </w:rPr>
        <w:t xml:space="preserve"> the plant</w:t>
      </w:r>
      <w:r w:rsidR="008462D2" w:rsidRPr="006228A0">
        <w:rPr>
          <w:rFonts w:ascii="Times New Roman" w:hAnsi="Times New Roman"/>
        </w:rPr>
        <w:t xml:space="preserve"> in a manner that would </w:t>
      </w:r>
      <w:r w:rsidR="00836CB3" w:rsidRPr="006228A0">
        <w:rPr>
          <w:rFonts w:ascii="Times New Roman" w:hAnsi="Times New Roman"/>
        </w:rPr>
        <w:t>comply with that GHG performance standard</w:t>
      </w:r>
      <w:r>
        <w:rPr>
          <w:rFonts w:ascii="Times New Roman" w:hAnsi="Times New Roman"/>
        </w:rPr>
        <w:t xml:space="preserve">.  </w:t>
      </w:r>
      <w:r w:rsidR="00D12B87" w:rsidRPr="00FB4148">
        <w:rPr>
          <w:rFonts w:ascii="Times New Roman" w:hAnsi="Times New Roman"/>
        </w:rPr>
        <w:t>Historically, the plant has emitted less than 1,100 pounds of GHG emissions per megawatt hour on an annual basis.  Moreover, t</w:t>
      </w:r>
      <w:r w:rsidR="00CC201E" w:rsidRPr="00FB4148">
        <w:rPr>
          <w:rFonts w:ascii="Times New Roman" w:hAnsi="Times New Roman"/>
        </w:rPr>
        <w:t xml:space="preserve">he values shown in the </w:t>
      </w:r>
      <w:r w:rsidR="00CC201E" w:rsidRPr="00FB4148">
        <w:rPr>
          <w:rFonts w:ascii="Times New Roman" w:hAnsi="Times New Roman"/>
        </w:rPr>
        <w:lastRenderedPageBreak/>
        <w:t>PSE Petition Exhibit B demonstrate that this facility can meet the current GHG standard.  These results indicate that if the facility is operated in a manner similar to how it has operated since 2000, that the facility can meet the GHG emission</w:t>
      </w:r>
      <w:r w:rsidR="00D12B87" w:rsidRPr="00FB4148">
        <w:rPr>
          <w:rFonts w:ascii="Times New Roman" w:hAnsi="Times New Roman"/>
        </w:rPr>
        <w:t>s</w:t>
      </w:r>
      <w:r w:rsidR="00CC201E" w:rsidRPr="00FB4148">
        <w:rPr>
          <w:rFonts w:ascii="Times New Roman" w:hAnsi="Times New Roman"/>
        </w:rPr>
        <w:t xml:space="preserve"> performance standard.  </w:t>
      </w:r>
    </w:p>
    <w:p w:rsidR="00CC201E" w:rsidRPr="00FB4148" w:rsidRDefault="006228A0" w:rsidP="006228A0">
      <w:pPr>
        <w:spacing w:line="480" w:lineRule="auto"/>
        <w:rPr>
          <w:rFonts w:ascii="Times New Roman" w:hAnsi="Times New Roman"/>
        </w:rPr>
      </w:pPr>
      <w:r>
        <w:rPr>
          <w:rFonts w:ascii="Times New Roman" w:hAnsi="Times New Roman"/>
        </w:rPr>
        <w:tab/>
      </w:r>
      <w:r w:rsidR="00CC201E" w:rsidRPr="00FB4148">
        <w:rPr>
          <w:rFonts w:ascii="Times New Roman" w:hAnsi="Times New Roman"/>
        </w:rPr>
        <w:t xml:space="preserve">Mr. Newman confirmed the results of PSE’s calculations through his own independent calculations.  He concludes that the values shown in the PSE Petition Exhibit B were based on acceptable emission calculation methods for greenhouse gas emissions.  </w:t>
      </w:r>
    </w:p>
    <w:p w:rsidR="00257400" w:rsidRDefault="006228A0" w:rsidP="006228A0">
      <w:pPr>
        <w:tabs>
          <w:tab w:val="left" w:pos="-1440"/>
        </w:tabs>
        <w:spacing w:line="480" w:lineRule="auto"/>
        <w:rPr>
          <w:rFonts w:ascii="Times New Roman" w:hAnsi="Times New Roman"/>
        </w:rPr>
      </w:pPr>
      <w:r>
        <w:rPr>
          <w:rFonts w:ascii="Times New Roman" w:hAnsi="Times New Roman"/>
        </w:rPr>
        <w:tab/>
      </w:r>
      <w:r w:rsidR="007C316D" w:rsidRPr="00FB4148">
        <w:rPr>
          <w:rFonts w:ascii="Times New Roman" w:hAnsi="Times New Roman"/>
        </w:rPr>
        <w:t xml:space="preserve">PSE has committed to installing </w:t>
      </w:r>
      <w:r w:rsidR="00FB4148" w:rsidRPr="00FB4148">
        <w:rPr>
          <w:rFonts w:ascii="Times New Roman" w:hAnsi="Times New Roman"/>
        </w:rPr>
        <w:t>continuous parametric monitoring equipment in compliance with 40 C.F.R., Part 75, Appendix G.  This equipment</w:t>
      </w:r>
      <w:r w:rsidR="007C316D" w:rsidRPr="00FB4148">
        <w:rPr>
          <w:rFonts w:ascii="Times New Roman" w:hAnsi="Times New Roman"/>
        </w:rPr>
        <w:t xml:space="preserve"> will </w:t>
      </w:r>
      <w:r w:rsidR="00F51D08">
        <w:rPr>
          <w:rFonts w:ascii="Times New Roman" w:hAnsi="Times New Roman"/>
        </w:rPr>
        <w:t xml:space="preserve">allow the Company to </w:t>
      </w:r>
      <w:r w:rsidR="007C316D" w:rsidRPr="00FB4148">
        <w:rPr>
          <w:rFonts w:ascii="Times New Roman" w:hAnsi="Times New Roman"/>
        </w:rPr>
        <w:t xml:space="preserve">demonstrate going forward </w:t>
      </w:r>
      <w:r w:rsidR="00F51D08">
        <w:rPr>
          <w:rFonts w:ascii="Times New Roman" w:hAnsi="Times New Roman"/>
        </w:rPr>
        <w:t xml:space="preserve">with standard methods </w:t>
      </w:r>
      <w:r w:rsidR="007C316D" w:rsidRPr="00FB4148">
        <w:rPr>
          <w:rFonts w:ascii="Times New Roman" w:hAnsi="Times New Roman"/>
        </w:rPr>
        <w:t xml:space="preserve">that it will not exceed the </w:t>
      </w:r>
      <w:r w:rsidR="00257400" w:rsidRPr="00FB4148">
        <w:rPr>
          <w:rFonts w:ascii="Times New Roman" w:hAnsi="Times New Roman"/>
        </w:rPr>
        <w:t xml:space="preserve">current </w:t>
      </w:r>
      <w:r w:rsidR="007C316D" w:rsidRPr="00FB4148">
        <w:rPr>
          <w:rFonts w:ascii="Times New Roman" w:hAnsi="Times New Roman"/>
        </w:rPr>
        <w:t xml:space="preserve">annual GHG </w:t>
      </w:r>
      <w:r w:rsidR="00D12B87" w:rsidRPr="00FB4148">
        <w:rPr>
          <w:rFonts w:ascii="Times New Roman" w:hAnsi="Times New Roman"/>
        </w:rPr>
        <w:t xml:space="preserve">emissions performance </w:t>
      </w:r>
      <w:r w:rsidR="007C316D" w:rsidRPr="00FB4148">
        <w:rPr>
          <w:rFonts w:ascii="Times New Roman" w:hAnsi="Times New Roman"/>
        </w:rPr>
        <w:t>stan</w:t>
      </w:r>
      <w:r w:rsidR="00257400" w:rsidRPr="00FB4148">
        <w:rPr>
          <w:rFonts w:ascii="Times New Roman" w:hAnsi="Times New Roman"/>
        </w:rPr>
        <w:t>dard.</w:t>
      </w:r>
      <w:r w:rsidR="00425F7F" w:rsidRPr="00FB4148">
        <w:rPr>
          <w:rStyle w:val="FootnoteReference"/>
          <w:rFonts w:ascii="Times New Roman" w:hAnsi="Times New Roman"/>
        </w:rPr>
        <w:footnoteReference w:id="12"/>
      </w:r>
      <w:r w:rsidR="00257400" w:rsidRPr="00FB4148">
        <w:rPr>
          <w:rFonts w:ascii="Times New Roman" w:hAnsi="Times New Roman"/>
        </w:rPr>
        <w:t xml:space="preserve">   </w:t>
      </w:r>
    </w:p>
    <w:p w:rsidR="004543A4" w:rsidRPr="00321A71" w:rsidRDefault="004543A4" w:rsidP="006228A0">
      <w:pPr>
        <w:tabs>
          <w:tab w:val="left" w:pos="-1440"/>
        </w:tabs>
        <w:spacing w:line="480" w:lineRule="auto"/>
        <w:rPr>
          <w:rFonts w:ascii="Times New Roman" w:hAnsi="Times New Roman"/>
          <w:b/>
        </w:rPr>
      </w:pPr>
      <w:r>
        <w:rPr>
          <w:rFonts w:ascii="Times New Roman" w:hAnsi="Times New Roman"/>
        </w:rPr>
        <w:tab/>
      </w:r>
      <w:r>
        <w:rPr>
          <w:rFonts w:ascii="Times New Roman" w:hAnsi="Times New Roman"/>
          <w:b/>
        </w:rPr>
        <w:t>4.</w:t>
      </w:r>
      <w:r>
        <w:rPr>
          <w:rFonts w:ascii="Times New Roman" w:hAnsi="Times New Roman"/>
          <w:b/>
        </w:rPr>
        <w:tab/>
      </w:r>
      <w:r w:rsidR="00D5266E">
        <w:rPr>
          <w:rFonts w:ascii="Times New Roman" w:hAnsi="Times New Roman"/>
          <w:b/>
        </w:rPr>
        <w:t>Commission</w:t>
      </w:r>
      <w:r>
        <w:rPr>
          <w:rFonts w:ascii="Times New Roman" w:hAnsi="Times New Roman"/>
          <w:b/>
        </w:rPr>
        <w:t xml:space="preserve"> Staff’s conclusions and recommended conditions</w:t>
      </w:r>
    </w:p>
    <w:p w:rsidR="00836CB3" w:rsidRPr="00FB4148" w:rsidRDefault="00257400" w:rsidP="006228A0">
      <w:pPr>
        <w:tabs>
          <w:tab w:val="left" w:pos="-1440"/>
        </w:tabs>
        <w:spacing w:line="480" w:lineRule="auto"/>
        <w:rPr>
          <w:rFonts w:ascii="Times New Roman" w:hAnsi="Times New Roman"/>
        </w:rPr>
      </w:pPr>
      <w:r w:rsidRPr="00FB4148">
        <w:rPr>
          <w:rFonts w:ascii="Times New Roman" w:hAnsi="Times New Roman"/>
        </w:rPr>
        <w:tab/>
      </w:r>
      <w:r w:rsidR="00EF5D23" w:rsidRPr="00FB4148">
        <w:rPr>
          <w:rFonts w:ascii="Times New Roman" w:hAnsi="Times New Roman"/>
        </w:rPr>
        <w:t xml:space="preserve">Based on </w:t>
      </w:r>
      <w:r w:rsidR="00D12B87" w:rsidRPr="00FB4148">
        <w:rPr>
          <w:rFonts w:ascii="Times New Roman" w:hAnsi="Times New Roman"/>
        </w:rPr>
        <w:t>PSE’s P</w:t>
      </w:r>
      <w:r w:rsidRPr="00FB4148">
        <w:rPr>
          <w:rFonts w:ascii="Times New Roman" w:hAnsi="Times New Roman"/>
        </w:rPr>
        <w:t xml:space="preserve">etition, </w:t>
      </w:r>
      <w:r w:rsidR="00D12B87" w:rsidRPr="00FB4148">
        <w:rPr>
          <w:rFonts w:ascii="Times New Roman" w:hAnsi="Times New Roman"/>
        </w:rPr>
        <w:t xml:space="preserve">a </w:t>
      </w:r>
      <w:r w:rsidRPr="00FB4148">
        <w:rPr>
          <w:rFonts w:ascii="Times New Roman" w:hAnsi="Times New Roman"/>
        </w:rPr>
        <w:t>review of requested data</w:t>
      </w:r>
      <w:r w:rsidR="00426E49">
        <w:rPr>
          <w:rFonts w:ascii="Times New Roman" w:hAnsi="Times New Roman"/>
        </w:rPr>
        <w:t>,</w:t>
      </w:r>
      <w:r w:rsidRPr="00FB4148">
        <w:rPr>
          <w:rFonts w:ascii="Times New Roman" w:hAnsi="Times New Roman"/>
        </w:rPr>
        <w:t xml:space="preserve"> and </w:t>
      </w:r>
      <w:r w:rsidR="00EF5D23" w:rsidRPr="00FB4148">
        <w:rPr>
          <w:rFonts w:ascii="Times New Roman" w:hAnsi="Times New Roman"/>
        </w:rPr>
        <w:t xml:space="preserve">consultation with </w:t>
      </w:r>
      <w:r w:rsidR="00836CB3" w:rsidRPr="00FB4148">
        <w:rPr>
          <w:rFonts w:ascii="Times New Roman" w:hAnsi="Times New Roman"/>
        </w:rPr>
        <w:t>Ecology</w:t>
      </w:r>
      <w:r w:rsidR="00D12B87" w:rsidRPr="00FB4148">
        <w:rPr>
          <w:rFonts w:ascii="Times New Roman" w:hAnsi="Times New Roman"/>
        </w:rPr>
        <w:t xml:space="preserve">, Staff concludes that </w:t>
      </w:r>
      <w:r w:rsidR="00836CB3" w:rsidRPr="00FB4148">
        <w:rPr>
          <w:rFonts w:ascii="Times New Roman" w:hAnsi="Times New Roman"/>
        </w:rPr>
        <w:t>th</w:t>
      </w:r>
      <w:r w:rsidR="00EF5D23" w:rsidRPr="00FB4148">
        <w:rPr>
          <w:rFonts w:ascii="Times New Roman" w:hAnsi="Times New Roman"/>
        </w:rPr>
        <w:t>e</w:t>
      </w:r>
      <w:r w:rsidR="00836CB3" w:rsidRPr="00FB4148">
        <w:rPr>
          <w:rFonts w:ascii="Times New Roman" w:hAnsi="Times New Roman"/>
        </w:rPr>
        <w:t xml:space="preserve"> </w:t>
      </w:r>
      <w:r w:rsidR="00D41B0F" w:rsidRPr="00FB4148">
        <w:rPr>
          <w:rFonts w:ascii="Times New Roman" w:hAnsi="Times New Roman"/>
        </w:rPr>
        <w:t>Ferndale Generation Station</w:t>
      </w:r>
      <w:r w:rsidR="00F534F3" w:rsidRPr="00FB4148">
        <w:rPr>
          <w:rFonts w:ascii="Times New Roman" w:hAnsi="Times New Roman"/>
        </w:rPr>
        <w:t xml:space="preserve"> can continue to </w:t>
      </w:r>
      <w:r w:rsidR="00D12B87" w:rsidRPr="00FB4148">
        <w:rPr>
          <w:rFonts w:ascii="Times New Roman" w:hAnsi="Times New Roman"/>
        </w:rPr>
        <w:t xml:space="preserve">be operated in compliance with </w:t>
      </w:r>
      <w:r w:rsidR="00F534F3" w:rsidRPr="00FB4148">
        <w:rPr>
          <w:rFonts w:ascii="Times New Roman" w:hAnsi="Times New Roman"/>
        </w:rPr>
        <w:t>the</w:t>
      </w:r>
      <w:r w:rsidR="00836CB3" w:rsidRPr="00FB4148">
        <w:rPr>
          <w:rFonts w:ascii="Times New Roman" w:hAnsi="Times New Roman"/>
        </w:rPr>
        <w:t xml:space="preserve"> </w:t>
      </w:r>
      <w:r w:rsidR="00F534F3" w:rsidRPr="00FB4148">
        <w:rPr>
          <w:rFonts w:ascii="Times New Roman" w:hAnsi="Times New Roman"/>
        </w:rPr>
        <w:t xml:space="preserve">current </w:t>
      </w:r>
      <w:r w:rsidR="00836CB3" w:rsidRPr="00FB4148">
        <w:rPr>
          <w:rFonts w:ascii="Times New Roman" w:hAnsi="Times New Roman"/>
        </w:rPr>
        <w:t xml:space="preserve">GHG emissions performance standard.  </w:t>
      </w:r>
      <w:r w:rsidR="004543A4">
        <w:rPr>
          <w:rFonts w:ascii="Times New Roman" w:hAnsi="Times New Roman"/>
        </w:rPr>
        <w:t>T</w:t>
      </w:r>
      <w:r w:rsidR="00836CB3" w:rsidRPr="00FB4148">
        <w:rPr>
          <w:rFonts w:ascii="Times New Roman" w:hAnsi="Times New Roman"/>
        </w:rPr>
        <w:t>h</w:t>
      </w:r>
      <w:r w:rsidR="00D12B87" w:rsidRPr="00FB4148">
        <w:rPr>
          <w:rFonts w:ascii="Times New Roman" w:hAnsi="Times New Roman"/>
        </w:rPr>
        <w:t xml:space="preserve">e Commission should grant </w:t>
      </w:r>
      <w:r w:rsidR="009801DC" w:rsidRPr="00FB4148">
        <w:rPr>
          <w:rFonts w:ascii="Times New Roman" w:hAnsi="Times New Roman"/>
        </w:rPr>
        <w:t>PSE’s</w:t>
      </w:r>
      <w:r w:rsidR="00D12B87" w:rsidRPr="00FB4148">
        <w:rPr>
          <w:rFonts w:ascii="Times New Roman" w:hAnsi="Times New Roman"/>
        </w:rPr>
        <w:t xml:space="preserve"> Petition, subject to </w:t>
      </w:r>
      <w:r w:rsidR="009801DC" w:rsidRPr="00FB4148">
        <w:rPr>
          <w:rFonts w:ascii="Times New Roman" w:hAnsi="Times New Roman"/>
        </w:rPr>
        <w:t xml:space="preserve">three </w:t>
      </w:r>
      <w:r w:rsidR="00D12B87" w:rsidRPr="00FB4148">
        <w:rPr>
          <w:rFonts w:ascii="Times New Roman" w:hAnsi="Times New Roman"/>
        </w:rPr>
        <w:t>conditions</w:t>
      </w:r>
      <w:r w:rsidR="006228A0">
        <w:rPr>
          <w:rFonts w:ascii="Times New Roman" w:hAnsi="Times New Roman"/>
        </w:rPr>
        <w:t>:</w:t>
      </w:r>
    </w:p>
    <w:p w:rsidR="00257400" w:rsidRDefault="000E6430" w:rsidP="0087182D">
      <w:pPr>
        <w:pStyle w:val="ListParagraph"/>
        <w:numPr>
          <w:ilvl w:val="0"/>
          <w:numId w:val="2"/>
        </w:numPr>
        <w:ind w:left="1440" w:hanging="720"/>
        <w:rPr>
          <w:rFonts w:ascii="Times New Roman" w:hAnsi="Times New Roman" w:cs="Times New Roman"/>
          <w:sz w:val="24"/>
          <w:szCs w:val="24"/>
        </w:rPr>
      </w:pPr>
      <w:r>
        <w:rPr>
          <w:rFonts w:ascii="Times New Roman" w:hAnsi="Times New Roman" w:cs="Times New Roman"/>
          <w:sz w:val="24"/>
          <w:szCs w:val="24"/>
        </w:rPr>
        <w:t xml:space="preserve">Within 90 days after the date PSE acquires ownership of the Ferndale Generation Station, </w:t>
      </w:r>
      <w:r w:rsidR="00D12B87" w:rsidRPr="00FB4148">
        <w:rPr>
          <w:rFonts w:ascii="Times New Roman" w:hAnsi="Times New Roman" w:cs="Times New Roman"/>
          <w:sz w:val="24"/>
          <w:szCs w:val="24"/>
        </w:rPr>
        <w:t>PSE shall i</w:t>
      </w:r>
      <w:r w:rsidR="00257400" w:rsidRPr="00FB4148">
        <w:rPr>
          <w:rFonts w:ascii="Times New Roman" w:hAnsi="Times New Roman" w:cs="Times New Roman"/>
          <w:sz w:val="24"/>
          <w:szCs w:val="24"/>
        </w:rPr>
        <w:t xml:space="preserve">nstall </w:t>
      </w:r>
      <w:r w:rsidR="00FB4148" w:rsidRPr="00FB4148">
        <w:rPr>
          <w:rFonts w:ascii="Times New Roman" w:hAnsi="Times New Roman" w:cs="Times New Roman"/>
          <w:sz w:val="24"/>
          <w:szCs w:val="24"/>
        </w:rPr>
        <w:t xml:space="preserve">continuous parametric monitoring equipment in compliance with 40 C.F.R. Part 75, Appendix G </w:t>
      </w:r>
      <w:r w:rsidR="00257400" w:rsidRPr="00FB4148">
        <w:rPr>
          <w:rFonts w:ascii="Times New Roman" w:hAnsi="Times New Roman" w:cs="Times New Roman"/>
          <w:sz w:val="24"/>
          <w:szCs w:val="24"/>
        </w:rPr>
        <w:t xml:space="preserve">at the Ferndale Generation Station to assure future compliance with the </w:t>
      </w:r>
      <w:r w:rsidR="00D12B87" w:rsidRPr="00FB4148">
        <w:rPr>
          <w:rFonts w:ascii="Times New Roman" w:hAnsi="Times New Roman" w:cs="Times New Roman"/>
          <w:sz w:val="24"/>
          <w:szCs w:val="24"/>
        </w:rPr>
        <w:t xml:space="preserve">applicable </w:t>
      </w:r>
      <w:r w:rsidR="00257400" w:rsidRPr="00FB4148">
        <w:rPr>
          <w:rFonts w:ascii="Times New Roman" w:hAnsi="Times New Roman" w:cs="Times New Roman"/>
          <w:sz w:val="24"/>
          <w:szCs w:val="24"/>
        </w:rPr>
        <w:t xml:space="preserve">GHG </w:t>
      </w:r>
      <w:r w:rsidR="00D12B87" w:rsidRPr="00FB4148">
        <w:rPr>
          <w:rFonts w:ascii="Times New Roman" w:hAnsi="Times New Roman" w:cs="Times New Roman"/>
          <w:sz w:val="24"/>
          <w:szCs w:val="24"/>
        </w:rPr>
        <w:t>performance standard.</w:t>
      </w:r>
      <w:r w:rsidR="00257400" w:rsidRPr="00FB4148">
        <w:rPr>
          <w:rFonts w:ascii="Times New Roman" w:hAnsi="Times New Roman" w:cs="Times New Roman"/>
          <w:sz w:val="24"/>
          <w:szCs w:val="24"/>
        </w:rPr>
        <w:t xml:space="preserve"> </w:t>
      </w:r>
    </w:p>
    <w:p w:rsidR="0087182D" w:rsidRPr="00FB4148" w:rsidRDefault="0087182D" w:rsidP="0087182D">
      <w:pPr>
        <w:pStyle w:val="ListParagraph"/>
        <w:ind w:left="1440"/>
        <w:rPr>
          <w:rFonts w:ascii="Times New Roman" w:hAnsi="Times New Roman" w:cs="Times New Roman"/>
          <w:sz w:val="24"/>
          <w:szCs w:val="24"/>
        </w:rPr>
      </w:pPr>
    </w:p>
    <w:p w:rsidR="008244CE" w:rsidRDefault="00D12B87" w:rsidP="0087182D">
      <w:pPr>
        <w:pStyle w:val="ListParagraph"/>
        <w:numPr>
          <w:ilvl w:val="0"/>
          <w:numId w:val="2"/>
        </w:numPr>
        <w:ind w:left="1440" w:hanging="720"/>
        <w:rPr>
          <w:rFonts w:ascii="Times New Roman" w:hAnsi="Times New Roman" w:cs="Times New Roman"/>
          <w:sz w:val="24"/>
          <w:szCs w:val="24"/>
        </w:rPr>
      </w:pPr>
      <w:r w:rsidRPr="00FB4148">
        <w:rPr>
          <w:rFonts w:ascii="Times New Roman" w:hAnsi="Times New Roman" w:cs="Times New Roman"/>
          <w:sz w:val="24"/>
          <w:szCs w:val="24"/>
        </w:rPr>
        <w:t>PSE shall o</w:t>
      </w:r>
      <w:r w:rsidR="008244CE" w:rsidRPr="00FB4148">
        <w:rPr>
          <w:rFonts w:ascii="Times New Roman" w:hAnsi="Times New Roman" w:cs="Times New Roman"/>
          <w:sz w:val="24"/>
          <w:szCs w:val="24"/>
        </w:rPr>
        <w:t xml:space="preserve">perate the Ferndale Generation Station so that it does not exceed the </w:t>
      </w:r>
      <w:r w:rsidRPr="00FB4148">
        <w:rPr>
          <w:rFonts w:ascii="Times New Roman" w:hAnsi="Times New Roman" w:cs="Times New Roman"/>
          <w:sz w:val="24"/>
          <w:szCs w:val="24"/>
        </w:rPr>
        <w:t xml:space="preserve">applicable </w:t>
      </w:r>
      <w:r w:rsidR="008244CE" w:rsidRPr="00FB4148">
        <w:rPr>
          <w:rFonts w:ascii="Times New Roman" w:hAnsi="Times New Roman" w:cs="Times New Roman"/>
          <w:sz w:val="24"/>
          <w:szCs w:val="24"/>
        </w:rPr>
        <w:t xml:space="preserve">GHG emissions </w:t>
      </w:r>
      <w:r w:rsidRPr="00FB4148">
        <w:rPr>
          <w:rFonts w:ascii="Times New Roman" w:hAnsi="Times New Roman" w:cs="Times New Roman"/>
          <w:sz w:val="24"/>
          <w:szCs w:val="24"/>
        </w:rPr>
        <w:t xml:space="preserve">performance </w:t>
      </w:r>
      <w:r w:rsidR="008244CE" w:rsidRPr="00FB4148">
        <w:rPr>
          <w:rFonts w:ascii="Times New Roman" w:hAnsi="Times New Roman" w:cs="Times New Roman"/>
          <w:sz w:val="24"/>
          <w:szCs w:val="24"/>
        </w:rPr>
        <w:t>standard.</w:t>
      </w:r>
    </w:p>
    <w:p w:rsidR="0087182D" w:rsidRPr="00FB4148" w:rsidRDefault="0087182D" w:rsidP="0087182D">
      <w:pPr>
        <w:pStyle w:val="ListParagraph"/>
        <w:ind w:left="1440"/>
        <w:rPr>
          <w:rFonts w:ascii="Times New Roman" w:hAnsi="Times New Roman" w:cs="Times New Roman"/>
          <w:sz w:val="24"/>
          <w:szCs w:val="24"/>
        </w:rPr>
      </w:pPr>
    </w:p>
    <w:p w:rsidR="009F4CC8" w:rsidRPr="004543A4" w:rsidRDefault="00D12B87" w:rsidP="0087182D">
      <w:pPr>
        <w:pStyle w:val="ListParagraph"/>
        <w:numPr>
          <w:ilvl w:val="0"/>
          <w:numId w:val="2"/>
        </w:numPr>
        <w:ind w:left="1440" w:hanging="720"/>
        <w:rPr>
          <w:rFonts w:ascii="Times New Roman" w:hAnsi="Times New Roman"/>
        </w:rPr>
      </w:pPr>
      <w:r w:rsidRPr="004543A4">
        <w:rPr>
          <w:rFonts w:ascii="Times New Roman" w:hAnsi="Times New Roman" w:cs="Times New Roman"/>
          <w:sz w:val="24"/>
          <w:szCs w:val="24"/>
        </w:rPr>
        <w:t>PSE must r</w:t>
      </w:r>
      <w:r w:rsidR="00257400" w:rsidRPr="004543A4">
        <w:rPr>
          <w:rFonts w:ascii="Times New Roman" w:hAnsi="Times New Roman" w:cs="Times New Roman"/>
          <w:sz w:val="24"/>
          <w:szCs w:val="24"/>
        </w:rPr>
        <w:t xml:space="preserve">eport measured GHG emissions </w:t>
      </w:r>
      <w:r w:rsidR="008244CE" w:rsidRPr="004543A4">
        <w:rPr>
          <w:rFonts w:ascii="Times New Roman" w:hAnsi="Times New Roman" w:cs="Times New Roman"/>
          <w:sz w:val="24"/>
          <w:szCs w:val="24"/>
        </w:rPr>
        <w:t>at least annually to the local air authority and Dep</w:t>
      </w:r>
      <w:r w:rsidR="009801DC" w:rsidRPr="004543A4">
        <w:rPr>
          <w:rFonts w:ascii="Times New Roman" w:hAnsi="Times New Roman" w:cs="Times New Roman"/>
          <w:sz w:val="24"/>
          <w:szCs w:val="24"/>
        </w:rPr>
        <w:t>artment</w:t>
      </w:r>
      <w:r w:rsidR="008244CE" w:rsidRPr="004543A4">
        <w:rPr>
          <w:rFonts w:ascii="Times New Roman" w:hAnsi="Times New Roman" w:cs="Times New Roman"/>
          <w:sz w:val="24"/>
          <w:szCs w:val="24"/>
        </w:rPr>
        <w:t xml:space="preserve"> of Ecology Air Quality Program.</w:t>
      </w:r>
    </w:p>
    <w:sectPr w:rsidR="009F4CC8" w:rsidRPr="004543A4" w:rsidSect="00321A71">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B5" w:rsidRDefault="00E868B5" w:rsidP="009F4CC8">
      <w:r>
        <w:separator/>
      </w:r>
    </w:p>
  </w:endnote>
  <w:endnote w:type="continuationSeparator" w:id="0">
    <w:p w:rsidR="00E868B5" w:rsidRDefault="00E868B5" w:rsidP="009F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451860794"/>
      <w:docPartObj>
        <w:docPartGallery w:val="Page Numbers (Bottom of Page)"/>
        <w:docPartUnique/>
      </w:docPartObj>
    </w:sdtPr>
    <w:sdtEndPr>
      <w:rPr>
        <w:noProof/>
      </w:rPr>
    </w:sdtEndPr>
    <w:sdtContent>
      <w:p w:rsidR="00321A71" w:rsidRPr="00321A71" w:rsidRDefault="00321A71" w:rsidP="00321A71">
        <w:pPr>
          <w:pStyle w:val="Footer"/>
          <w:rPr>
            <w:rFonts w:ascii="Times New Roman" w:hAnsi="Times New Roman"/>
            <w:sz w:val="20"/>
            <w:szCs w:val="20"/>
          </w:rPr>
        </w:pPr>
      </w:p>
      <w:p w:rsidR="008244CE" w:rsidRPr="00321A71" w:rsidRDefault="0087182D">
        <w:pPr>
          <w:pStyle w:val="Footer"/>
          <w:rPr>
            <w:rFonts w:ascii="Times New Roman" w:hAnsi="Times New Roman"/>
            <w:sz w:val="20"/>
            <w:szCs w:val="20"/>
          </w:rPr>
        </w:pPr>
        <w:r>
          <w:rPr>
            <w:rFonts w:ascii="Times New Roman" w:hAnsi="Times New Roman"/>
            <w:sz w:val="20"/>
            <w:szCs w:val="20"/>
          </w:rPr>
          <w:t xml:space="preserve">COMMISSION </w:t>
        </w:r>
        <w:r w:rsidR="00321A71" w:rsidRPr="00321A71">
          <w:rPr>
            <w:rFonts w:ascii="Times New Roman" w:hAnsi="Times New Roman"/>
            <w:sz w:val="20"/>
            <w:szCs w:val="20"/>
          </w:rPr>
          <w:t xml:space="preserve">STAFF REPORT - </w:t>
        </w:r>
        <w:r w:rsidR="008244CE" w:rsidRPr="00321A71">
          <w:rPr>
            <w:rFonts w:ascii="Times New Roman" w:hAnsi="Times New Roman"/>
            <w:sz w:val="20"/>
            <w:szCs w:val="20"/>
          </w:rPr>
          <w:fldChar w:fldCharType="begin"/>
        </w:r>
        <w:r w:rsidR="008244CE" w:rsidRPr="00321A71">
          <w:rPr>
            <w:rFonts w:ascii="Times New Roman" w:hAnsi="Times New Roman"/>
            <w:sz w:val="20"/>
            <w:szCs w:val="20"/>
          </w:rPr>
          <w:instrText xml:space="preserve"> PAGE   \* MERGEFORMAT </w:instrText>
        </w:r>
        <w:r w:rsidR="008244CE" w:rsidRPr="00321A71">
          <w:rPr>
            <w:rFonts w:ascii="Times New Roman" w:hAnsi="Times New Roman"/>
            <w:sz w:val="20"/>
            <w:szCs w:val="20"/>
          </w:rPr>
          <w:fldChar w:fldCharType="separate"/>
        </w:r>
        <w:r w:rsidR="00007D06">
          <w:rPr>
            <w:rFonts w:ascii="Times New Roman" w:hAnsi="Times New Roman"/>
            <w:noProof/>
            <w:sz w:val="20"/>
            <w:szCs w:val="20"/>
          </w:rPr>
          <w:t>5</w:t>
        </w:r>
        <w:r w:rsidR="008244CE" w:rsidRPr="00321A71">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B5" w:rsidRDefault="00E868B5" w:rsidP="009F4CC8">
      <w:r>
        <w:separator/>
      </w:r>
    </w:p>
  </w:footnote>
  <w:footnote w:type="continuationSeparator" w:id="0">
    <w:p w:rsidR="00E868B5" w:rsidRDefault="00E868B5" w:rsidP="009F4CC8">
      <w:r>
        <w:continuationSeparator/>
      </w:r>
    </w:p>
  </w:footnote>
  <w:footnote w:id="1">
    <w:p w:rsidR="00D7758F" w:rsidRPr="00FB4148" w:rsidRDefault="00D7758F" w:rsidP="00D7758F">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80.80.040(1)(a).  According to the statute, this is the applicable standard until the Washington Department of Commerce (formerly the Department of Community, Trade and Economic Development)</w:t>
      </w:r>
      <w:r w:rsidRPr="00FB4148" w:rsidDel="00EA21CE">
        <w:rPr>
          <w:rFonts w:ascii="Times New Roman" w:hAnsi="Times New Roman"/>
        </w:rPr>
        <w:t xml:space="preserve"> </w:t>
      </w:r>
      <w:r w:rsidRPr="00FB4148">
        <w:rPr>
          <w:rFonts w:ascii="Times New Roman" w:hAnsi="Times New Roman"/>
        </w:rPr>
        <w:t>develops a different standard.  RCW 80.80.040(1)(b) and 80.80.050.</w:t>
      </w:r>
    </w:p>
  </w:footnote>
  <w:footnote w:id="2">
    <w:p w:rsidR="00D7758F" w:rsidRPr="00FB4148" w:rsidRDefault="00D7758F" w:rsidP="00D7758F">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80.80.040(1).</w:t>
      </w:r>
    </w:p>
  </w:footnote>
  <w:footnote w:id="3">
    <w:p w:rsidR="00D7758F" w:rsidRPr="00FB4148" w:rsidRDefault="00D7758F" w:rsidP="00D7758F">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80.80.010(12).</w:t>
      </w:r>
    </w:p>
  </w:footnote>
  <w:footnote w:id="4">
    <w:p w:rsidR="00930DE2" w:rsidRPr="00FB4148" w:rsidRDefault="00930DE2">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80.80.010(16).</w:t>
      </w:r>
    </w:p>
  </w:footnote>
  <w:footnote w:id="5">
    <w:p w:rsidR="003073AA" w:rsidRPr="006D0966" w:rsidRDefault="003073AA">
      <w:pPr>
        <w:pStyle w:val="FootnoteText"/>
        <w:rPr>
          <w:rFonts w:ascii="Times New Roman" w:hAnsi="Times New Roman"/>
        </w:rPr>
      </w:pPr>
      <w:r w:rsidRPr="006D0966">
        <w:rPr>
          <w:rStyle w:val="FootnoteReference"/>
          <w:rFonts w:ascii="Times New Roman" w:hAnsi="Times New Roman"/>
        </w:rPr>
        <w:footnoteRef/>
      </w:r>
      <w:r w:rsidRPr="006D0966">
        <w:rPr>
          <w:rFonts w:ascii="Times New Roman" w:hAnsi="Times New Roman"/>
        </w:rPr>
        <w:t xml:space="preserve"> RCW 80.80.010(4).</w:t>
      </w:r>
    </w:p>
  </w:footnote>
  <w:footnote w:id="6">
    <w:p w:rsidR="00BD4628" w:rsidRPr="00FB4148" w:rsidRDefault="00BD4628">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w:t>
      </w:r>
      <w:r w:rsidR="008462D2" w:rsidRPr="00FB4148">
        <w:rPr>
          <w:rFonts w:ascii="Times New Roman" w:hAnsi="Times New Roman"/>
        </w:rPr>
        <w:t xml:space="preserve">WAC </w:t>
      </w:r>
      <w:r w:rsidRPr="00FB4148">
        <w:rPr>
          <w:rFonts w:ascii="Times New Roman" w:hAnsi="Times New Roman"/>
        </w:rPr>
        <w:t>173-407-110.</w:t>
      </w:r>
      <w:r w:rsidR="0082144B" w:rsidRPr="00FB4148">
        <w:rPr>
          <w:rFonts w:ascii="Times New Roman" w:hAnsi="Times New Roman"/>
        </w:rPr>
        <w:t xml:space="preserve">  Where, 1MWh</w:t>
      </w:r>
      <w:r w:rsidR="0082144B" w:rsidRPr="00FB4148">
        <w:rPr>
          <w:rFonts w:ascii="Times New Roman" w:hAnsi="Times New Roman"/>
          <w:vertAlign w:val="subscript"/>
        </w:rPr>
        <w:t>eq</w:t>
      </w:r>
      <w:r w:rsidR="0082144B" w:rsidRPr="00FB4148">
        <w:rPr>
          <w:rFonts w:ascii="Times New Roman" w:hAnsi="Times New Roman"/>
        </w:rPr>
        <w:t xml:space="preserve"> = 3.413 million BTUs of thermal energy.</w:t>
      </w:r>
      <w:r w:rsidRPr="00FB4148">
        <w:rPr>
          <w:rFonts w:ascii="Times New Roman" w:hAnsi="Times New Roman"/>
        </w:rPr>
        <w:t xml:space="preserve"> The </w:t>
      </w:r>
      <w:r w:rsidR="00D5266E">
        <w:rPr>
          <w:rFonts w:ascii="Times New Roman" w:hAnsi="Times New Roman"/>
        </w:rPr>
        <w:t>Commission’s</w:t>
      </w:r>
      <w:r w:rsidRPr="00FB4148">
        <w:rPr>
          <w:rFonts w:ascii="Times New Roman" w:hAnsi="Times New Roman"/>
        </w:rPr>
        <w:t xml:space="preserve"> GHG rule directly references the Ecology rule, 173-407, in the definition of “Greenhouse gas emissions performance standard” at </w:t>
      </w:r>
      <w:r w:rsidR="008462D2" w:rsidRPr="00FB4148">
        <w:rPr>
          <w:rFonts w:ascii="Times New Roman" w:hAnsi="Times New Roman"/>
        </w:rPr>
        <w:t xml:space="preserve">WAC </w:t>
      </w:r>
      <w:r w:rsidRPr="00FB4148">
        <w:rPr>
          <w:rFonts w:ascii="Times New Roman" w:hAnsi="Times New Roman"/>
        </w:rPr>
        <w:t>480-100-405(</w:t>
      </w:r>
      <w:r w:rsidR="0082144B" w:rsidRPr="00FB4148">
        <w:rPr>
          <w:rFonts w:ascii="Times New Roman" w:hAnsi="Times New Roman"/>
        </w:rPr>
        <w:t xml:space="preserve">2)(c). </w:t>
      </w:r>
      <w:r w:rsidR="005D27BA" w:rsidRPr="00FB4148">
        <w:rPr>
          <w:rFonts w:ascii="Times New Roman" w:hAnsi="Times New Roman"/>
        </w:rPr>
        <w:t xml:space="preserve"> This energy conversion approach is also contained in the FERC regulations on cogeneration and Qualified Facilities</w:t>
      </w:r>
      <w:r w:rsidR="008462D2" w:rsidRPr="00FB4148">
        <w:rPr>
          <w:rFonts w:ascii="Times New Roman" w:hAnsi="Times New Roman"/>
        </w:rPr>
        <w:t>.</w:t>
      </w:r>
    </w:p>
  </w:footnote>
  <w:footnote w:id="7">
    <w:p w:rsidR="0082144B" w:rsidRPr="00FB4148" w:rsidRDefault="0082144B">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w:t>
      </w:r>
      <w:r w:rsidR="008462D2" w:rsidRPr="00FB4148">
        <w:rPr>
          <w:rFonts w:ascii="Times New Roman" w:hAnsi="Times New Roman"/>
        </w:rPr>
        <w:t xml:space="preserve">WAC </w:t>
      </w:r>
      <w:r w:rsidRPr="00FB4148">
        <w:rPr>
          <w:rFonts w:ascii="Times New Roman" w:hAnsi="Times New Roman"/>
        </w:rPr>
        <w:t xml:space="preserve">173-407-110.  </w:t>
      </w:r>
    </w:p>
  </w:footnote>
  <w:footnote w:id="8">
    <w:p w:rsidR="00037CD6" w:rsidRPr="00FB4148" w:rsidRDefault="00037CD6">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See definition of a “cogeneration facility” at </w:t>
      </w:r>
      <w:r w:rsidR="008462D2" w:rsidRPr="00FB4148">
        <w:rPr>
          <w:rFonts w:ascii="Times New Roman" w:hAnsi="Times New Roman"/>
        </w:rPr>
        <w:t xml:space="preserve">WAC </w:t>
      </w:r>
      <w:r w:rsidRPr="00FB4148">
        <w:rPr>
          <w:rFonts w:ascii="Times New Roman" w:hAnsi="Times New Roman"/>
        </w:rPr>
        <w:t>173-407-110</w:t>
      </w:r>
      <w:r w:rsidR="00195F9D" w:rsidRPr="00FB4148">
        <w:rPr>
          <w:rFonts w:ascii="Times New Roman" w:hAnsi="Times New Roman"/>
        </w:rPr>
        <w:t xml:space="preserve"> and WAC 173-407-150(1)</w:t>
      </w:r>
      <w:r w:rsidRPr="00FB4148">
        <w:rPr>
          <w:rFonts w:ascii="Times New Roman" w:hAnsi="Times New Roman"/>
        </w:rPr>
        <w:t xml:space="preserve">.  </w:t>
      </w:r>
    </w:p>
  </w:footnote>
  <w:footnote w:id="9">
    <w:p w:rsidR="00195F9D" w:rsidRPr="00FB4148" w:rsidRDefault="00195F9D">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PSE Response to </w:t>
      </w:r>
      <w:r w:rsidR="00D5266E">
        <w:rPr>
          <w:rFonts w:ascii="Times New Roman" w:hAnsi="Times New Roman"/>
        </w:rPr>
        <w:t>Commission</w:t>
      </w:r>
      <w:r w:rsidRPr="00FB4148">
        <w:rPr>
          <w:rFonts w:ascii="Times New Roman" w:hAnsi="Times New Roman"/>
        </w:rPr>
        <w:t xml:space="preserve"> Staff Data Request 17.</w:t>
      </w:r>
    </w:p>
  </w:footnote>
  <w:footnote w:id="10">
    <w:p w:rsidR="00195F9D" w:rsidRPr="00FB4148" w:rsidRDefault="00195F9D" w:rsidP="00195F9D">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80.80.040(3)(a) and (5)</w:t>
      </w:r>
    </w:p>
  </w:footnote>
  <w:footnote w:id="11">
    <w:p w:rsidR="009F4CC8" w:rsidRPr="00FB4148" w:rsidRDefault="009F4CC8">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Current air quality permits (i.e. PSD 91-04) allows up to 1500 hours per year operating the turbines on #2 distillate </w:t>
      </w:r>
      <w:r w:rsidR="00CC201E" w:rsidRPr="00FB4148">
        <w:rPr>
          <w:rFonts w:ascii="Times New Roman" w:hAnsi="Times New Roman"/>
        </w:rPr>
        <w:t xml:space="preserve">fuel </w:t>
      </w:r>
      <w:r w:rsidRPr="00FB4148">
        <w:rPr>
          <w:rFonts w:ascii="Times New Roman" w:hAnsi="Times New Roman"/>
        </w:rPr>
        <w:t xml:space="preserve">oil.  This much fuel </w:t>
      </w:r>
      <w:r w:rsidR="00D12B87" w:rsidRPr="00FB4148">
        <w:rPr>
          <w:rFonts w:ascii="Times New Roman" w:hAnsi="Times New Roman"/>
        </w:rPr>
        <w:t xml:space="preserve">oil </w:t>
      </w:r>
      <w:r w:rsidRPr="00FB4148">
        <w:rPr>
          <w:rFonts w:ascii="Times New Roman" w:hAnsi="Times New Roman"/>
        </w:rPr>
        <w:t>usage will cause the power plant to exceed the GHG emission performance standard by a significant amount.</w:t>
      </w:r>
    </w:p>
  </w:footnote>
  <w:footnote w:id="12">
    <w:p w:rsidR="00425F7F" w:rsidRPr="006D0966" w:rsidRDefault="00425F7F">
      <w:pPr>
        <w:pStyle w:val="FootnoteText"/>
        <w:rPr>
          <w:rFonts w:ascii="Times New Roman" w:hAnsi="Times New Roman"/>
        </w:rPr>
      </w:pPr>
      <w:r w:rsidRPr="006D0966">
        <w:rPr>
          <w:rStyle w:val="FootnoteReference"/>
          <w:rFonts w:ascii="Times New Roman" w:hAnsi="Times New Roman"/>
        </w:rPr>
        <w:footnoteRef/>
      </w:r>
      <w:r w:rsidRPr="006D0966">
        <w:rPr>
          <w:rFonts w:ascii="Times New Roman" w:hAnsi="Times New Roman"/>
        </w:rPr>
        <w:t xml:space="preserve"> PSE response to </w:t>
      </w:r>
      <w:r w:rsidR="00D5266E">
        <w:rPr>
          <w:rFonts w:ascii="Times New Roman" w:hAnsi="Times New Roman"/>
        </w:rPr>
        <w:t>Commission</w:t>
      </w:r>
      <w:r w:rsidR="00D12B87" w:rsidRPr="006D0966">
        <w:rPr>
          <w:rFonts w:ascii="Times New Roman" w:hAnsi="Times New Roman"/>
        </w:rPr>
        <w:t xml:space="preserve"> </w:t>
      </w:r>
      <w:r w:rsidRPr="006D0966">
        <w:rPr>
          <w:rFonts w:ascii="Times New Roman" w:hAnsi="Times New Roman"/>
        </w:rPr>
        <w:t>Staff Data Request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23F"/>
    <w:multiLevelType w:val="hybridMultilevel"/>
    <w:tmpl w:val="FB9E8F82"/>
    <w:lvl w:ilvl="0" w:tplc="7F2658B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DB3B35"/>
    <w:multiLevelType w:val="hybridMultilevel"/>
    <w:tmpl w:val="23E684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80"/>
    <w:rsid w:val="00007D06"/>
    <w:rsid w:val="00037CD6"/>
    <w:rsid w:val="000528BF"/>
    <w:rsid w:val="00085682"/>
    <w:rsid w:val="00090815"/>
    <w:rsid w:val="000E2480"/>
    <w:rsid w:val="000E6430"/>
    <w:rsid w:val="000F04F3"/>
    <w:rsid w:val="00137290"/>
    <w:rsid w:val="00165501"/>
    <w:rsid w:val="00183085"/>
    <w:rsid w:val="00190A05"/>
    <w:rsid w:val="00195F9D"/>
    <w:rsid w:val="00195FED"/>
    <w:rsid w:val="001C0D5F"/>
    <w:rsid w:val="0023269F"/>
    <w:rsid w:val="00257400"/>
    <w:rsid w:val="00290BF1"/>
    <w:rsid w:val="00296C79"/>
    <w:rsid w:val="00297EFC"/>
    <w:rsid w:val="003073AA"/>
    <w:rsid w:val="00321A71"/>
    <w:rsid w:val="00324A54"/>
    <w:rsid w:val="00351FD8"/>
    <w:rsid w:val="00352A4A"/>
    <w:rsid w:val="0040640E"/>
    <w:rsid w:val="00425F7F"/>
    <w:rsid w:val="00426E49"/>
    <w:rsid w:val="00440195"/>
    <w:rsid w:val="004543A4"/>
    <w:rsid w:val="00457834"/>
    <w:rsid w:val="00465627"/>
    <w:rsid w:val="0048487A"/>
    <w:rsid w:val="00533B55"/>
    <w:rsid w:val="0053634B"/>
    <w:rsid w:val="00575420"/>
    <w:rsid w:val="00596AE0"/>
    <w:rsid w:val="005A6157"/>
    <w:rsid w:val="005C2DCA"/>
    <w:rsid w:val="005D27BA"/>
    <w:rsid w:val="00615E9E"/>
    <w:rsid w:val="006228A0"/>
    <w:rsid w:val="0062481D"/>
    <w:rsid w:val="00662E3E"/>
    <w:rsid w:val="00675BB2"/>
    <w:rsid w:val="006D0966"/>
    <w:rsid w:val="00766FFC"/>
    <w:rsid w:val="0076739C"/>
    <w:rsid w:val="0079708E"/>
    <w:rsid w:val="007A14AA"/>
    <w:rsid w:val="007C316D"/>
    <w:rsid w:val="0082144B"/>
    <w:rsid w:val="008244CE"/>
    <w:rsid w:val="00836CB3"/>
    <w:rsid w:val="008462D2"/>
    <w:rsid w:val="0087182D"/>
    <w:rsid w:val="008C13B0"/>
    <w:rsid w:val="008F40EE"/>
    <w:rsid w:val="00930DE2"/>
    <w:rsid w:val="00931A72"/>
    <w:rsid w:val="00964129"/>
    <w:rsid w:val="00965C11"/>
    <w:rsid w:val="009801DC"/>
    <w:rsid w:val="009E544B"/>
    <w:rsid w:val="009F4CC8"/>
    <w:rsid w:val="00A70311"/>
    <w:rsid w:val="00A80BFF"/>
    <w:rsid w:val="00A831B7"/>
    <w:rsid w:val="00AD575C"/>
    <w:rsid w:val="00BD4628"/>
    <w:rsid w:val="00C06BD3"/>
    <w:rsid w:val="00C8745D"/>
    <w:rsid w:val="00CC201E"/>
    <w:rsid w:val="00CC55B3"/>
    <w:rsid w:val="00CE23BB"/>
    <w:rsid w:val="00D12B87"/>
    <w:rsid w:val="00D41B0F"/>
    <w:rsid w:val="00D5266E"/>
    <w:rsid w:val="00D7758F"/>
    <w:rsid w:val="00DF3A6A"/>
    <w:rsid w:val="00E80CD2"/>
    <w:rsid w:val="00E868B5"/>
    <w:rsid w:val="00ED26D0"/>
    <w:rsid w:val="00EF5D23"/>
    <w:rsid w:val="00F1511E"/>
    <w:rsid w:val="00F51D08"/>
    <w:rsid w:val="00F534F3"/>
    <w:rsid w:val="00F66AD6"/>
    <w:rsid w:val="00F938A3"/>
    <w:rsid w:val="00FB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80"/>
    <w:pPr>
      <w:spacing w:after="0" w:line="240" w:lineRule="auto"/>
    </w:pPr>
    <w:rPr>
      <w:rFonts w:ascii="Palatino Linotype" w:eastAsia="Times New Roman" w:hAnsi="Palatino Linotyp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480"/>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62481D"/>
    <w:rPr>
      <w:rFonts w:ascii="Tahoma" w:hAnsi="Tahoma" w:cs="Tahoma"/>
      <w:sz w:val="16"/>
      <w:szCs w:val="16"/>
    </w:rPr>
  </w:style>
  <w:style w:type="character" w:customStyle="1" w:styleId="BalloonTextChar">
    <w:name w:val="Balloon Text Char"/>
    <w:basedOn w:val="DefaultParagraphFont"/>
    <w:link w:val="BalloonText"/>
    <w:uiPriority w:val="99"/>
    <w:semiHidden/>
    <w:rsid w:val="0062481D"/>
    <w:rPr>
      <w:rFonts w:ascii="Tahoma" w:eastAsia="Times New Roman" w:hAnsi="Tahoma" w:cs="Tahoma"/>
      <w:sz w:val="16"/>
      <w:szCs w:val="16"/>
    </w:rPr>
  </w:style>
  <w:style w:type="paragraph" w:styleId="FootnoteText">
    <w:name w:val="footnote text"/>
    <w:basedOn w:val="Normal"/>
    <w:link w:val="FootnoteTextChar"/>
    <w:uiPriority w:val="99"/>
    <w:unhideWhenUsed/>
    <w:rsid w:val="009F4CC8"/>
    <w:rPr>
      <w:sz w:val="20"/>
      <w:szCs w:val="20"/>
    </w:rPr>
  </w:style>
  <w:style w:type="character" w:customStyle="1" w:styleId="FootnoteTextChar">
    <w:name w:val="Footnote Text Char"/>
    <w:basedOn w:val="DefaultParagraphFont"/>
    <w:link w:val="FootnoteText"/>
    <w:uiPriority w:val="99"/>
    <w:rsid w:val="009F4CC8"/>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9F4CC8"/>
    <w:rPr>
      <w:vertAlign w:val="superscript"/>
    </w:rPr>
  </w:style>
  <w:style w:type="character" w:styleId="CommentReference">
    <w:name w:val="annotation reference"/>
    <w:basedOn w:val="DefaultParagraphFont"/>
    <w:uiPriority w:val="99"/>
    <w:semiHidden/>
    <w:unhideWhenUsed/>
    <w:rsid w:val="00037CD6"/>
    <w:rPr>
      <w:sz w:val="16"/>
      <w:szCs w:val="16"/>
    </w:rPr>
  </w:style>
  <w:style w:type="paragraph" w:styleId="CommentText">
    <w:name w:val="annotation text"/>
    <w:basedOn w:val="Normal"/>
    <w:link w:val="CommentTextChar"/>
    <w:uiPriority w:val="99"/>
    <w:semiHidden/>
    <w:unhideWhenUsed/>
    <w:rsid w:val="00037CD6"/>
    <w:rPr>
      <w:sz w:val="20"/>
      <w:szCs w:val="20"/>
    </w:rPr>
  </w:style>
  <w:style w:type="character" w:customStyle="1" w:styleId="CommentTextChar">
    <w:name w:val="Comment Text Char"/>
    <w:basedOn w:val="DefaultParagraphFont"/>
    <w:link w:val="CommentText"/>
    <w:uiPriority w:val="99"/>
    <w:semiHidden/>
    <w:rsid w:val="00037CD6"/>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37CD6"/>
    <w:rPr>
      <w:b/>
      <w:bCs/>
    </w:rPr>
  </w:style>
  <w:style w:type="character" w:customStyle="1" w:styleId="CommentSubjectChar">
    <w:name w:val="Comment Subject Char"/>
    <w:basedOn w:val="CommentTextChar"/>
    <w:link w:val="CommentSubject"/>
    <w:uiPriority w:val="99"/>
    <w:semiHidden/>
    <w:rsid w:val="00037CD6"/>
    <w:rPr>
      <w:rFonts w:ascii="Palatino Linotype" w:eastAsia="Times New Roman" w:hAnsi="Palatino Linotype" w:cs="Times New Roman"/>
      <w:b/>
      <w:bCs/>
      <w:sz w:val="20"/>
      <w:szCs w:val="20"/>
    </w:rPr>
  </w:style>
  <w:style w:type="paragraph" w:styleId="Header">
    <w:name w:val="header"/>
    <w:basedOn w:val="Normal"/>
    <w:link w:val="HeaderChar"/>
    <w:unhideWhenUsed/>
    <w:rsid w:val="008244CE"/>
    <w:pPr>
      <w:tabs>
        <w:tab w:val="center" w:pos="4680"/>
        <w:tab w:val="right" w:pos="9360"/>
      </w:tabs>
    </w:pPr>
  </w:style>
  <w:style w:type="character" w:customStyle="1" w:styleId="HeaderChar">
    <w:name w:val="Header Char"/>
    <w:basedOn w:val="DefaultParagraphFont"/>
    <w:link w:val="Header"/>
    <w:uiPriority w:val="99"/>
    <w:rsid w:val="008244CE"/>
    <w:rPr>
      <w:rFonts w:ascii="Palatino Linotype" w:eastAsia="Times New Roman" w:hAnsi="Palatino Linotype" w:cs="Times New Roman"/>
      <w:szCs w:val="24"/>
    </w:rPr>
  </w:style>
  <w:style w:type="paragraph" w:styleId="Footer">
    <w:name w:val="footer"/>
    <w:basedOn w:val="Normal"/>
    <w:link w:val="FooterChar"/>
    <w:uiPriority w:val="99"/>
    <w:unhideWhenUsed/>
    <w:rsid w:val="008244CE"/>
    <w:pPr>
      <w:tabs>
        <w:tab w:val="center" w:pos="4680"/>
        <w:tab w:val="right" w:pos="9360"/>
      </w:tabs>
    </w:pPr>
  </w:style>
  <w:style w:type="character" w:customStyle="1" w:styleId="FooterChar">
    <w:name w:val="Footer Char"/>
    <w:basedOn w:val="DefaultParagraphFont"/>
    <w:link w:val="Footer"/>
    <w:uiPriority w:val="99"/>
    <w:rsid w:val="008244CE"/>
    <w:rPr>
      <w:rFonts w:ascii="Palatino Linotype" w:eastAsia="Times New Roman" w:hAnsi="Palatino Linotype" w:cs="Times New Roman"/>
      <w:szCs w:val="24"/>
    </w:rPr>
  </w:style>
  <w:style w:type="paragraph" w:styleId="BodyTextIndent2">
    <w:name w:val="Body Text Indent 2"/>
    <w:basedOn w:val="Normal"/>
    <w:link w:val="BodyTextIndent2Char"/>
    <w:rsid w:val="00321A71"/>
    <w:pPr>
      <w:ind w:left="686"/>
    </w:pPr>
  </w:style>
  <w:style w:type="character" w:customStyle="1" w:styleId="BodyTextIndent2Char">
    <w:name w:val="Body Text Indent 2 Char"/>
    <w:basedOn w:val="DefaultParagraphFont"/>
    <w:link w:val="BodyTextIndent2"/>
    <w:rsid w:val="00321A71"/>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80"/>
    <w:pPr>
      <w:spacing w:after="0" w:line="240" w:lineRule="auto"/>
    </w:pPr>
    <w:rPr>
      <w:rFonts w:ascii="Palatino Linotype" w:eastAsia="Times New Roman" w:hAnsi="Palatino Linotyp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480"/>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62481D"/>
    <w:rPr>
      <w:rFonts w:ascii="Tahoma" w:hAnsi="Tahoma" w:cs="Tahoma"/>
      <w:sz w:val="16"/>
      <w:szCs w:val="16"/>
    </w:rPr>
  </w:style>
  <w:style w:type="character" w:customStyle="1" w:styleId="BalloonTextChar">
    <w:name w:val="Balloon Text Char"/>
    <w:basedOn w:val="DefaultParagraphFont"/>
    <w:link w:val="BalloonText"/>
    <w:uiPriority w:val="99"/>
    <w:semiHidden/>
    <w:rsid w:val="0062481D"/>
    <w:rPr>
      <w:rFonts w:ascii="Tahoma" w:eastAsia="Times New Roman" w:hAnsi="Tahoma" w:cs="Tahoma"/>
      <w:sz w:val="16"/>
      <w:szCs w:val="16"/>
    </w:rPr>
  </w:style>
  <w:style w:type="paragraph" w:styleId="FootnoteText">
    <w:name w:val="footnote text"/>
    <w:basedOn w:val="Normal"/>
    <w:link w:val="FootnoteTextChar"/>
    <w:uiPriority w:val="99"/>
    <w:unhideWhenUsed/>
    <w:rsid w:val="009F4CC8"/>
    <w:rPr>
      <w:sz w:val="20"/>
      <w:szCs w:val="20"/>
    </w:rPr>
  </w:style>
  <w:style w:type="character" w:customStyle="1" w:styleId="FootnoteTextChar">
    <w:name w:val="Footnote Text Char"/>
    <w:basedOn w:val="DefaultParagraphFont"/>
    <w:link w:val="FootnoteText"/>
    <w:uiPriority w:val="99"/>
    <w:rsid w:val="009F4CC8"/>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9F4CC8"/>
    <w:rPr>
      <w:vertAlign w:val="superscript"/>
    </w:rPr>
  </w:style>
  <w:style w:type="character" w:styleId="CommentReference">
    <w:name w:val="annotation reference"/>
    <w:basedOn w:val="DefaultParagraphFont"/>
    <w:uiPriority w:val="99"/>
    <w:semiHidden/>
    <w:unhideWhenUsed/>
    <w:rsid w:val="00037CD6"/>
    <w:rPr>
      <w:sz w:val="16"/>
      <w:szCs w:val="16"/>
    </w:rPr>
  </w:style>
  <w:style w:type="paragraph" w:styleId="CommentText">
    <w:name w:val="annotation text"/>
    <w:basedOn w:val="Normal"/>
    <w:link w:val="CommentTextChar"/>
    <w:uiPriority w:val="99"/>
    <w:semiHidden/>
    <w:unhideWhenUsed/>
    <w:rsid w:val="00037CD6"/>
    <w:rPr>
      <w:sz w:val="20"/>
      <w:szCs w:val="20"/>
    </w:rPr>
  </w:style>
  <w:style w:type="character" w:customStyle="1" w:styleId="CommentTextChar">
    <w:name w:val="Comment Text Char"/>
    <w:basedOn w:val="DefaultParagraphFont"/>
    <w:link w:val="CommentText"/>
    <w:uiPriority w:val="99"/>
    <w:semiHidden/>
    <w:rsid w:val="00037CD6"/>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37CD6"/>
    <w:rPr>
      <w:b/>
      <w:bCs/>
    </w:rPr>
  </w:style>
  <w:style w:type="character" w:customStyle="1" w:styleId="CommentSubjectChar">
    <w:name w:val="Comment Subject Char"/>
    <w:basedOn w:val="CommentTextChar"/>
    <w:link w:val="CommentSubject"/>
    <w:uiPriority w:val="99"/>
    <w:semiHidden/>
    <w:rsid w:val="00037CD6"/>
    <w:rPr>
      <w:rFonts w:ascii="Palatino Linotype" w:eastAsia="Times New Roman" w:hAnsi="Palatino Linotype" w:cs="Times New Roman"/>
      <w:b/>
      <w:bCs/>
      <w:sz w:val="20"/>
      <w:szCs w:val="20"/>
    </w:rPr>
  </w:style>
  <w:style w:type="paragraph" w:styleId="Header">
    <w:name w:val="header"/>
    <w:basedOn w:val="Normal"/>
    <w:link w:val="HeaderChar"/>
    <w:unhideWhenUsed/>
    <w:rsid w:val="008244CE"/>
    <w:pPr>
      <w:tabs>
        <w:tab w:val="center" w:pos="4680"/>
        <w:tab w:val="right" w:pos="9360"/>
      </w:tabs>
    </w:pPr>
  </w:style>
  <w:style w:type="character" w:customStyle="1" w:styleId="HeaderChar">
    <w:name w:val="Header Char"/>
    <w:basedOn w:val="DefaultParagraphFont"/>
    <w:link w:val="Header"/>
    <w:uiPriority w:val="99"/>
    <w:rsid w:val="008244CE"/>
    <w:rPr>
      <w:rFonts w:ascii="Palatino Linotype" w:eastAsia="Times New Roman" w:hAnsi="Palatino Linotype" w:cs="Times New Roman"/>
      <w:szCs w:val="24"/>
    </w:rPr>
  </w:style>
  <w:style w:type="paragraph" w:styleId="Footer">
    <w:name w:val="footer"/>
    <w:basedOn w:val="Normal"/>
    <w:link w:val="FooterChar"/>
    <w:uiPriority w:val="99"/>
    <w:unhideWhenUsed/>
    <w:rsid w:val="008244CE"/>
    <w:pPr>
      <w:tabs>
        <w:tab w:val="center" w:pos="4680"/>
        <w:tab w:val="right" w:pos="9360"/>
      </w:tabs>
    </w:pPr>
  </w:style>
  <w:style w:type="character" w:customStyle="1" w:styleId="FooterChar">
    <w:name w:val="Footer Char"/>
    <w:basedOn w:val="DefaultParagraphFont"/>
    <w:link w:val="Footer"/>
    <w:uiPriority w:val="99"/>
    <w:rsid w:val="008244CE"/>
    <w:rPr>
      <w:rFonts w:ascii="Palatino Linotype" w:eastAsia="Times New Roman" w:hAnsi="Palatino Linotype" w:cs="Times New Roman"/>
      <w:szCs w:val="24"/>
    </w:rPr>
  </w:style>
  <w:style w:type="paragraph" w:styleId="BodyTextIndent2">
    <w:name w:val="Body Text Indent 2"/>
    <w:basedOn w:val="Normal"/>
    <w:link w:val="BodyTextIndent2Char"/>
    <w:rsid w:val="00321A71"/>
    <w:pPr>
      <w:ind w:left="686"/>
    </w:pPr>
  </w:style>
  <w:style w:type="character" w:customStyle="1" w:styleId="BodyTextIndent2Char">
    <w:name w:val="Body Text Indent 2 Char"/>
    <w:basedOn w:val="DefaultParagraphFont"/>
    <w:link w:val="BodyTextIndent2"/>
    <w:rsid w:val="00321A71"/>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2012-10-02T07:00:00+00:00</OpenedDate>
    <Date1 xmlns="dc463f71-b30c-4ab2-9473-d307f9d35888">2012-10-26T07:00:00+00:00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44761AB3F444EB6EA30EF4D65D3CE" ma:contentTypeVersion="139" ma:contentTypeDescription="" ma:contentTypeScope="" ma:versionID="583543bac3b46633c1f21fc58bae5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65F28-9E38-4658-A1F3-371A52BE8647}"/>
</file>

<file path=customXml/itemProps2.xml><?xml version="1.0" encoding="utf-8"?>
<ds:datastoreItem xmlns:ds="http://schemas.openxmlformats.org/officeDocument/2006/customXml" ds:itemID="{864A989D-21B0-47DC-9541-28FE46B3C9E2}"/>
</file>

<file path=customXml/itemProps3.xml><?xml version="1.0" encoding="utf-8"?>
<ds:datastoreItem xmlns:ds="http://schemas.openxmlformats.org/officeDocument/2006/customXml" ds:itemID="{E1457203-E94F-4FE9-882D-9FFBBB335A8A}"/>
</file>

<file path=customXml/itemProps4.xml><?xml version="1.0" encoding="utf-8"?>
<ds:datastoreItem xmlns:ds="http://schemas.openxmlformats.org/officeDocument/2006/customXml" ds:itemID="{A8FB5F6B-0A84-468B-978D-FC637122D07A}"/>
</file>

<file path=customXml/itemProps5.xml><?xml version="1.0" encoding="utf-8"?>
<ds:datastoreItem xmlns:ds="http://schemas.openxmlformats.org/officeDocument/2006/customXml" ds:itemID="{6B3A0485-D76C-4B38-B2D4-87B2C9C38643}"/>
</file>

<file path=docProps/app.xml><?xml version="1.0" encoding="utf-8"?>
<Properties xmlns="http://schemas.openxmlformats.org/officeDocument/2006/extended-properties" xmlns:vt="http://schemas.openxmlformats.org/officeDocument/2006/docPropsVTypes">
  <Template>Normal.dotm</Template>
  <TotalTime>19</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11</cp:revision>
  <cp:lastPrinted>2012-10-26T22:13:00Z</cp:lastPrinted>
  <dcterms:created xsi:type="dcterms:W3CDTF">2012-10-26T20:38:00Z</dcterms:created>
  <dcterms:modified xsi:type="dcterms:W3CDTF">2012-10-26T22:13:00Z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0x0101006E56B4D1795A2E4DB2F0B01679ED314A0030744761AB3F444EB6EA30EF4D65D3CE</vt:lpwstr>
  </property>
  <property fmtid="{D5CDD505-2E9C-101B-9397-08002B2CF9AE}" pid="3" name="_docset_NoMedatataSyncRequired">
    <vt:lpwstr>False</vt:lpwstr>
  </property>
</Properties>
</file>