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numbering.xml" ContentType="application/vnd.openxmlformats-officedocument.wordprocessingml.numbering+xml"/>
  <Override PartName="/docProps/custom.xml" ContentType="application/vnd.openxmlformats-officedocument.custom-properties+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eastAsia="Times New Roman" w:hAnsi="Times New Roman" w:cs="Times New Roman"/>
          <w:b w:val="0"/>
          <w:bCs w:val="0"/>
          <w:color w:val="auto"/>
          <w:sz w:val="24"/>
          <w:szCs w:val="24"/>
          <w:lang w:eastAsia="en-US"/>
        </w:rPr>
        <w:id w:val="-1219815219"/>
        <w:docPartObj>
          <w:docPartGallery w:val="Table of Contents"/>
          <w:docPartUnique/>
        </w:docPartObj>
      </w:sdtPr>
      <w:sdtEndPr>
        <w:rPr>
          <w:noProof/>
        </w:rPr>
      </w:sdtEndPr>
      <w:sdtContent>
        <w:p w:rsidR="007B0B78" w:rsidRPr="007B0B78" w:rsidRDefault="007B0B78" w:rsidP="007B0B78">
          <w:pPr>
            <w:pStyle w:val="TOCHeading"/>
            <w:suppressLineNumbers/>
            <w:spacing w:before="0" w:line="480" w:lineRule="auto"/>
            <w:jc w:val="center"/>
            <w:rPr>
              <w:rFonts w:ascii="Times New Roman" w:hAnsi="Times New Roman" w:cs="Times New Roman"/>
              <w:color w:val="auto"/>
              <w:sz w:val="24"/>
              <w:szCs w:val="24"/>
            </w:rPr>
          </w:pPr>
          <w:r w:rsidRPr="007B0B78">
            <w:rPr>
              <w:rFonts w:ascii="Times New Roman" w:hAnsi="Times New Roman" w:cs="Times New Roman"/>
              <w:color w:val="auto"/>
              <w:sz w:val="24"/>
              <w:szCs w:val="24"/>
            </w:rPr>
            <w:t>TABLE OF CONTENTS</w:t>
          </w:r>
        </w:p>
        <w:p w:rsidR="007B0B78" w:rsidRPr="007B0B78" w:rsidRDefault="007B0B78" w:rsidP="007B0B78">
          <w:pPr>
            <w:pStyle w:val="TOC1"/>
            <w:suppressLineNumbers/>
            <w:tabs>
              <w:tab w:val="right" w:leader="dot" w:pos="8990"/>
            </w:tabs>
            <w:spacing w:after="0" w:line="360" w:lineRule="auto"/>
            <w:rPr>
              <w:rFonts w:ascii="Times New Roman" w:hAnsi="Times New Roman" w:cs="Times New Roman"/>
              <w:noProof/>
            </w:rPr>
          </w:pPr>
          <w:r w:rsidRPr="007B0B78">
            <w:rPr>
              <w:rFonts w:ascii="Times New Roman" w:hAnsi="Times New Roman" w:cs="Times New Roman"/>
            </w:rPr>
            <w:fldChar w:fldCharType="begin"/>
          </w:r>
          <w:r w:rsidRPr="007B0B78">
            <w:rPr>
              <w:rFonts w:ascii="Times New Roman" w:hAnsi="Times New Roman" w:cs="Times New Roman"/>
            </w:rPr>
            <w:instrText xml:space="preserve"> TOC \o "1-3" \h \z \u </w:instrText>
          </w:r>
          <w:r w:rsidRPr="007B0B78">
            <w:rPr>
              <w:rFonts w:ascii="Times New Roman" w:hAnsi="Times New Roman" w:cs="Times New Roman"/>
            </w:rPr>
            <w:fldChar w:fldCharType="separate"/>
          </w:r>
          <w:hyperlink w:anchor="_Toc447715553" w:history="1">
            <w:r w:rsidRPr="007B0B78">
              <w:rPr>
                <w:rStyle w:val="Hyperlink"/>
                <w:rFonts w:ascii="Times New Roman" w:hAnsi="Times New Roman" w:cs="Times New Roman"/>
                <w:noProof/>
              </w:rPr>
              <w:t>PURPOSE AND SUMMARY OF REBUTTAL TESTIMONY</w:t>
            </w:r>
            <w:r w:rsidRPr="007B0B78">
              <w:rPr>
                <w:rFonts w:ascii="Times New Roman" w:hAnsi="Times New Roman" w:cs="Times New Roman"/>
                <w:noProof/>
                <w:webHidden/>
              </w:rPr>
              <w:tab/>
            </w:r>
            <w:r w:rsidRPr="007B0B78">
              <w:rPr>
                <w:rFonts w:ascii="Times New Roman" w:hAnsi="Times New Roman" w:cs="Times New Roman"/>
                <w:noProof/>
                <w:webHidden/>
              </w:rPr>
              <w:fldChar w:fldCharType="begin"/>
            </w:r>
            <w:r w:rsidRPr="007B0B78">
              <w:rPr>
                <w:rFonts w:ascii="Times New Roman" w:hAnsi="Times New Roman" w:cs="Times New Roman"/>
                <w:noProof/>
                <w:webHidden/>
              </w:rPr>
              <w:instrText xml:space="preserve"> PAGEREF _Toc447715553 \h </w:instrText>
            </w:r>
            <w:r w:rsidRPr="007B0B78">
              <w:rPr>
                <w:rFonts w:ascii="Times New Roman" w:hAnsi="Times New Roman" w:cs="Times New Roman"/>
                <w:noProof/>
                <w:webHidden/>
              </w:rPr>
            </w:r>
            <w:r w:rsidRPr="007B0B78">
              <w:rPr>
                <w:rFonts w:ascii="Times New Roman" w:hAnsi="Times New Roman" w:cs="Times New Roman"/>
                <w:noProof/>
                <w:webHidden/>
              </w:rPr>
              <w:fldChar w:fldCharType="separate"/>
            </w:r>
            <w:r w:rsidR="00957855">
              <w:rPr>
                <w:rFonts w:ascii="Times New Roman" w:hAnsi="Times New Roman" w:cs="Times New Roman"/>
                <w:noProof/>
                <w:webHidden/>
              </w:rPr>
              <w:t>1</w:t>
            </w:r>
            <w:r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54" w:history="1">
            <w:r w:rsidR="007B0B78" w:rsidRPr="007B0B78">
              <w:rPr>
                <w:rStyle w:val="Hyperlink"/>
                <w:rFonts w:ascii="Times New Roman" w:hAnsi="Times New Roman" w:cs="Times New Roman"/>
                <w:noProof/>
              </w:rPr>
              <w:t>COAL COSTS</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_Toc447715554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4</w:t>
            </w:r>
            <w:r w:rsidR="007B0B78"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55" w:history="1">
            <w:r w:rsidR="007B0B78" w:rsidRPr="007B0B78">
              <w:rPr>
                <w:rStyle w:val="Hyperlink"/>
                <w:rFonts w:ascii="Times New Roman" w:hAnsi="Times New Roman" w:cs="Times New Roman"/>
                <w:noProof/>
              </w:rPr>
              <w:t>NATURAL GAS PRICES</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_Toc447715555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10</w:t>
            </w:r>
            <w:r w:rsidR="007B0B78"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56" w:history="1">
            <w:r w:rsidR="007B0B78" w:rsidRPr="007B0B78">
              <w:rPr>
                <w:rStyle w:val="Hyperlink"/>
                <w:rFonts w:ascii="Times New Roman" w:hAnsi="Times New Roman" w:cs="Times New Roman"/>
                <w:noProof/>
              </w:rPr>
              <w:t>REPLACEMENT POWER COSTS</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_Toc447715556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22</w:t>
            </w:r>
            <w:r w:rsidR="007B0B78"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57" w:history="1">
            <w:r w:rsidR="007B0B78" w:rsidRPr="007B0B78">
              <w:rPr>
                <w:rStyle w:val="Hyperlink"/>
                <w:rFonts w:ascii="Times New Roman" w:hAnsi="Times New Roman" w:cs="Times New Roman"/>
                <w:noProof/>
              </w:rPr>
              <w:t>EPC COSTS</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_Toc447715557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26</w:t>
            </w:r>
            <w:r w:rsidR="007B0B78"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58" w:history="1">
            <w:r w:rsidR="007B0B78" w:rsidRPr="007B0B78">
              <w:rPr>
                <w:rStyle w:val="Hyperlink"/>
                <w:rFonts w:ascii="Times New Roman" w:hAnsi="Times New Roman" w:cs="Times New Roman"/>
                <w:noProof/>
              </w:rPr>
              <w:t>IRP ANALYSIS</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_Toc447715558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27</w:t>
            </w:r>
            <w:r w:rsidR="007B0B78"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59" w:history="1">
            <w:r w:rsidR="007B0B78" w:rsidRPr="007B0B78">
              <w:rPr>
                <w:rStyle w:val="Hyperlink"/>
                <w:rFonts w:ascii="Times New Roman" w:hAnsi="Times New Roman" w:cs="Times New Roman"/>
                <w:noProof/>
              </w:rPr>
              <w:t>WCA ANALYSIS</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_Toc447715559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31</w:t>
            </w:r>
            <w:r w:rsidR="007B0B78"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60" w:history="1">
            <w:r w:rsidR="007B0B78" w:rsidRPr="007B0B78">
              <w:rPr>
                <w:rStyle w:val="Hyperlink"/>
                <w:rFonts w:ascii="Times New Roman" w:hAnsi="Times New Roman" w:cs="Times New Roman"/>
                <w:noProof/>
              </w:rPr>
              <w:t>OTHER ISSUES</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_Toc447715560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34</w:t>
            </w:r>
            <w:r w:rsidR="007B0B78" w:rsidRPr="007B0B78">
              <w:rPr>
                <w:rFonts w:ascii="Times New Roman" w:hAnsi="Times New Roman" w:cs="Times New Roman"/>
                <w:noProof/>
                <w:webHidden/>
              </w:rPr>
              <w:fldChar w:fldCharType="end"/>
            </w:r>
          </w:hyperlink>
        </w:p>
        <w:p w:rsidR="007B0B78" w:rsidRPr="007B0B78" w:rsidRDefault="00D106D9" w:rsidP="007B0B78">
          <w:pPr>
            <w:pStyle w:val="TOC1"/>
            <w:suppressLineNumbers/>
            <w:tabs>
              <w:tab w:val="right" w:leader="dot" w:pos="8990"/>
            </w:tabs>
            <w:spacing w:after="0" w:line="360" w:lineRule="auto"/>
            <w:rPr>
              <w:rFonts w:ascii="Times New Roman" w:hAnsi="Times New Roman" w:cs="Times New Roman"/>
              <w:noProof/>
            </w:rPr>
          </w:pPr>
          <w:hyperlink w:anchor="_Toc447715561" w:history="1">
            <w:r w:rsidR="007B0B78" w:rsidRPr="007B0B78">
              <w:rPr>
                <w:rStyle w:val="Hyperlink"/>
                <w:rFonts w:ascii="Times New Roman" w:hAnsi="Times New Roman" w:cs="Times New Roman"/>
                <w:noProof/>
              </w:rPr>
              <w:t>CONCLUSION</w:t>
            </w:r>
            <w:r w:rsidR="007B0B78" w:rsidRPr="007B0B78">
              <w:rPr>
                <w:rFonts w:ascii="Times New Roman" w:hAnsi="Times New Roman" w:cs="Times New Roman"/>
                <w:noProof/>
                <w:webHidden/>
              </w:rPr>
              <w:tab/>
            </w:r>
            <w:r w:rsidR="007B0B78" w:rsidRPr="007B0B78">
              <w:rPr>
                <w:rFonts w:ascii="Times New Roman" w:hAnsi="Times New Roman" w:cs="Times New Roman"/>
                <w:noProof/>
                <w:webHidden/>
              </w:rPr>
              <w:fldChar w:fldCharType="begin"/>
            </w:r>
            <w:r w:rsidR="007B0B78" w:rsidRPr="007B0B78">
              <w:rPr>
                <w:rFonts w:ascii="Times New Roman" w:hAnsi="Times New Roman" w:cs="Times New Roman"/>
                <w:noProof/>
                <w:webHidden/>
              </w:rPr>
              <w:instrText xml:space="preserve"> PAGEREF _Toc447715561 \h </w:instrText>
            </w:r>
            <w:r w:rsidR="007B0B78" w:rsidRPr="007B0B78">
              <w:rPr>
                <w:rFonts w:ascii="Times New Roman" w:hAnsi="Times New Roman" w:cs="Times New Roman"/>
                <w:noProof/>
                <w:webHidden/>
              </w:rPr>
            </w:r>
            <w:r w:rsidR="007B0B78" w:rsidRPr="007B0B78">
              <w:rPr>
                <w:rFonts w:ascii="Times New Roman" w:hAnsi="Times New Roman" w:cs="Times New Roman"/>
                <w:noProof/>
                <w:webHidden/>
              </w:rPr>
              <w:fldChar w:fldCharType="separate"/>
            </w:r>
            <w:r w:rsidR="00957855">
              <w:rPr>
                <w:rFonts w:ascii="Times New Roman" w:hAnsi="Times New Roman" w:cs="Times New Roman"/>
                <w:noProof/>
                <w:webHidden/>
              </w:rPr>
              <w:t>36</w:t>
            </w:r>
            <w:r w:rsidR="007B0B78" w:rsidRPr="007B0B78">
              <w:rPr>
                <w:rFonts w:ascii="Times New Roman" w:hAnsi="Times New Roman" w:cs="Times New Roman"/>
                <w:noProof/>
                <w:webHidden/>
              </w:rPr>
              <w:fldChar w:fldCharType="end"/>
            </w:r>
          </w:hyperlink>
        </w:p>
        <w:p w:rsidR="007B0B78" w:rsidRPr="007B0B78" w:rsidRDefault="007B0B78" w:rsidP="007B0B78">
          <w:pPr>
            <w:suppressLineNumbers/>
            <w:spacing w:line="360" w:lineRule="auto"/>
            <w:rPr>
              <w:rFonts w:ascii="Times New Roman" w:hAnsi="Times New Roman" w:cs="Times New Roman"/>
            </w:rPr>
          </w:pPr>
          <w:r w:rsidRPr="007B0B78">
            <w:rPr>
              <w:rFonts w:ascii="Times New Roman" w:hAnsi="Times New Roman" w:cs="Times New Roman"/>
              <w:b/>
              <w:bCs/>
              <w:noProof/>
            </w:rPr>
            <w:fldChar w:fldCharType="end"/>
          </w:r>
        </w:p>
      </w:sdtContent>
    </w:sdt>
    <w:p w:rsidR="007B0B78" w:rsidRPr="007B0B78" w:rsidRDefault="007B0B78" w:rsidP="007B0B78">
      <w:pPr>
        <w:suppressLineNumbers/>
        <w:spacing w:line="360" w:lineRule="auto"/>
        <w:ind w:left="720" w:hanging="720"/>
        <w:rPr>
          <w:rFonts w:ascii="Times New Roman" w:hAnsi="Times New Roman" w:cs="Times New Roman"/>
          <w:b/>
          <w:bCs/>
        </w:rPr>
      </w:pPr>
    </w:p>
    <w:p w:rsidR="007B0B78" w:rsidRDefault="001F5746" w:rsidP="001F5746">
      <w:pPr>
        <w:suppressLineNumbers/>
        <w:spacing w:line="360" w:lineRule="auto"/>
        <w:ind w:left="720" w:hanging="720"/>
        <w:jc w:val="center"/>
        <w:rPr>
          <w:rFonts w:ascii="Times New Roman" w:hAnsi="Times New Roman" w:cs="Times New Roman"/>
          <w:b/>
          <w:bCs/>
        </w:rPr>
      </w:pPr>
      <w:r>
        <w:rPr>
          <w:rFonts w:ascii="Times New Roman" w:hAnsi="Times New Roman" w:cs="Times New Roman"/>
          <w:b/>
          <w:bCs/>
        </w:rPr>
        <w:t>ATTACHED EXHIBITS</w:t>
      </w:r>
    </w:p>
    <w:p w:rsidR="001F5746" w:rsidRDefault="002C4CAD" w:rsidP="009044B3">
      <w:pPr>
        <w:suppressLineNumbers/>
        <w:ind w:left="720" w:hanging="720"/>
        <w:rPr>
          <w:rFonts w:ascii="Times New Roman" w:hAnsi="Times New Roman" w:cs="Times New Roman"/>
          <w:bCs/>
        </w:rPr>
      </w:pPr>
      <w:proofErr w:type="gramStart"/>
      <w:r>
        <w:rPr>
          <w:rFonts w:ascii="Times New Roman" w:hAnsi="Times New Roman" w:cs="Times New Roman"/>
          <w:bCs/>
        </w:rPr>
        <w:t xml:space="preserve">Confidential </w:t>
      </w:r>
      <w:r w:rsidR="001F5746">
        <w:rPr>
          <w:rFonts w:ascii="Times New Roman" w:hAnsi="Times New Roman" w:cs="Times New Roman"/>
          <w:bCs/>
        </w:rPr>
        <w:t>Exhibit No.</w:t>
      </w:r>
      <w:proofErr w:type="gramEnd"/>
      <w:r w:rsidR="001F5746">
        <w:rPr>
          <w:rFonts w:ascii="Times New Roman" w:hAnsi="Times New Roman" w:cs="Times New Roman"/>
          <w:bCs/>
        </w:rPr>
        <w:t xml:space="preserve"> RTL-12</w:t>
      </w:r>
      <w:r>
        <w:rPr>
          <w:rFonts w:ascii="Times New Roman" w:hAnsi="Times New Roman" w:cs="Times New Roman"/>
          <w:bCs/>
        </w:rPr>
        <w:t>C</w:t>
      </w:r>
      <w:r w:rsidR="001F5746">
        <w:rPr>
          <w:rFonts w:ascii="Times New Roman" w:hAnsi="Times New Roman" w:cs="Times New Roman"/>
          <w:bCs/>
        </w:rPr>
        <w:t>—</w:t>
      </w:r>
      <w:proofErr w:type="spellStart"/>
      <w:r w:rsidR="001F5746">
        <w:rPr>
          <w:rFonts w:ascii="Times New Roman" w:hAnsi="Times New Roman" w:cs="Times New Roman"/>
          <w:bCs/>
        </w:rPr>
        <w:t>WUTC</w:t>
      </w:r>
      <w:proofErr w:type="spellEnd"/>
      <w:r w:rsidR="001F5746">
        <w:rPr>
          <w:rFonts w:ascii="Times New Roman" w:hAnsi="Times New Roman" w:cs="Times New Roman"/>
          <w:bCs/>
        </w:rPr>
        <w:t xml:space="preserve"> Staff Response to Company Data Request 4</w:t>
      </w:r>
    </w:p>
    <w:p w:rsidR="009044B3" w:rsidRDefault="009044B3" w:rsidP="009044B3">
      <w:pPr>
        <w:suppressLineNumbers/>
        <w:ind w:left="720" w:hanging="720"/>
        <w:rPr>
          <w:rFonts w:ascii="Times New Roman" w:hAnsi="Times New Roman" w:cs="Times New Roman"/>
          <w:bCs/>
        </w:rPr>
      </w:pPr>
    </w:p>
    <w:p w:rsidR="001F5746" w:rsidRPr="001F5746" w:rsidRDefault="001F5746" w:rsidP="009044B3">
      <w:pPr>
        <w:suppressLineNumbers/>
        <w:ind w:left="3600" w:hanging="3600"/>
        <w:rPr>
          <w:rFonts w:ascii="Times New Roman" w:hAnsi="Times New Roman" w:cs="Times New Roman"/>
          <w:bCs/>
        </w:rPr>
      </w:pPr>
      <w:proofErr w:type="gramStart"/>
      <w:r>
        <w:rPr>
          <w:rFonts w:ascii="Times New Roman" w:hAnsi="Times New Roman" w:cs="Times New Roman"/>
          <w:bCs/>
        </w:rPr>
        <w:t>Confidential Exhibit No.</w:t>
      </w:r>
      <w:proofErr w:type="gramEnd"/>
      <w:r>
        <w:rPr>
          <w:rFonts w:ascii="Times New Roman" w:hAnsi="Times New Roman" w:cs="Times New Roman"/>
          <w:bCs/>
        </w:rPr>
        <w:t xml:space="preserve"> RTL-13C—</w:t>
      </w:r>
      <w:r w:rsidR="009044B3">
        <w:rPr>
          <w:rFonts w:ascii="Times New Roman" w:hAnsi="Times New Roman" w:cs="Times New Roman"/>
          <w:bCs/>
        </w:rPr>
        <w:t>Summary of the Impact of a Shortened Depreciable   Life for Jim Bridger</w:t>
      </w:r>
    </w:p>
    <w:p w:rsidR="007B0B78" w:rsidRPr="007B0B78" w:rsidRDefault="007B0B78" w:rsidP="007B0B78">
      <w:pPr>
        <w:suppressLineNumbers/>
        <w:spacing w:line="360" w:lineRule="auto"/>
        <w:ind w:left="720" w:hanging="720"/>
        <w:rPr>
          <w:rFonts w:ascii="Times New Roman" w:hAnsi="Times New Roman" w:cs="Times New Roman"/>
          <w:b/>
          <w:bCs/>
        </w:rPr>
      </w:pPr>
    </w:p>
    <w:p w:rsidR="007B0B78" w:rsidRDefault="007B0B78" w:rsidP="00E8332D">
      <w:pPr>
        <w:spacing w:line="480" w:lineRule="auto"/>
        <w:ind w:left="720" w:hanging="720"/>
        <w:rPr>
          <w:rFonts w:ascii="Times New Roman" w:hAnsi="Times New Roman" w:cs="Times New Roman"/>
          <w:b/>
          <w:bCs/>
        </w:rPr>
        <w:sectPr w:rsidR="007B0B78" w:rsidSect="007B0B7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800" w:header="720" w:footer="720" w:gutter="0"/>
          <w:lnNumType w:countBy="1"/>
          <w:pgNumType w:fmt="lowerRoman" w:start="1"/>
          <w:cols w:space="720"/>
          <w:docGrid w:linePitch="360"/>
        </w:sectPr>
      </w:pPr>
    </w:p>
    <w:p w:rsidR="00EE235A" w:rsidRDefault="00AD778C" w:rsidP="00E8332D">
      <w:pPr>
        <w:spacing w:line="480" w:lineRule="auto"/>
        <w:ind w:left="720" w:hanging="720"/>
        <w:rPr>
          <w:rFonts w:ascii="Times New Roman" w:hAnsi="Times New Roman" w:cs="Times New Roman"/>
        </w:rPr>
      </w:pPr>
      <w:r w:rsidRPr="0053680D">
        <w:rPr>
          <w:rFonts w:ascii="Times New Roman" w:hAnsi="Times New Roman" w:cs="Times New Roman"/>
          <w:b/>
          <w:bCs/>
        </w:rPr>
        <w:lastRenderedPageBreak/>
        <w:t>Q.</w:t>
      </w:r>
      <w:r w:rsidRPr="0053680D">
        <w:rPr>
          <w:rFonts w:ascii="Times New Roman" w:hAnsi="Times New Roman" w:cs="Times New Roman"/>
          <w:b/>
          <w:bCs/>
        </w:rPr>
        <w:tab/>
      </w:r>
      <w:r w:rsidR="00336A04">
        <w:rPr>
          <w:rFonts w:ascii="Times New Roman" w:hAnsi="Times New Roman" w:cs="Times New Roman"/>
          <w:b/>
          <w:bCs/>
        </w:rPr>
        <w:t xml:space="preserve">Are you the same Rick T. Link </w:t>
      </w:r>
      <w:r w:rsidR="00C43849" w:rsidRPr="00017351">
        <w:rPr>
          <w:rFonts w:ascii="Times New Roman" w:hAnsi="Times New Roman"/>
          <w:b/>
        </w:rPr>
        <w:t>who submitted direct testimony in this case on behalf of Pacific Power &amp; Light Company (Pacific Power or Company), a division of PacifiCorp</w:t>
      </w:r>
      <w:r w:rsidR="001B3F8A">
        <w:rPr>
          <w:rFonts w:ascii="Times New Roman" w:hAnsi="Times New Roman" w:cs="Times New Roman"/>
          <w:b/>
          <w:bCs/>
        </w:rPr>
        <w:t>?</w:t>
      </w:r>
    </w:p>
    <w:p w:rsidR="004D7EE8" w:rsidRDefault="00AD778C" w:rsidP="00E8332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b/>
          <w:bCs/>
        </w:rPr>
        <w:tab/>
      </w:r>
      <w:r w:rsidR="00336A04">
        <w:rPr>
          <w:rFonts w:ascii="Times New Roman" w:hAnsi="Times New Roman" w:cs="Times New Roman"/>
        </w:rPr>
        <w:t>Yes</w:t>
      </w:r>
      <w:r w:rsidR="00784867">
        <w:rPr>
          <w:rFonts w:ascii="Times New Roman" w:hAnsi="Times New Roman" w:cs="Times New Roman"/>
        </w:rPr>
        <w:t>.</w:t>
      </w:r>
    </w:p>
    <w:p w:rsidR="00EE235A" w:rsidRDefault="00336A04" w:rsidP="00E5513D">
      <w:pPr>
        <w:pStyle w:val="Heading1"/>
      </w:pPr>
      <w:bookmarkStart w:id="1" w:name="_Toc447715553"/>
      <w:r>
        <w:t>PURPOSE AND SUMMARY OF REBUTTAL TESTIMONY</w:t>
      </w:r>
      <w:bookmarkEnd w:id="1"/>
    </w:p>
    <w:p w:rsidR="00EE235A" w:rsidRDefault="00AD778C" w:rsidP="00E8332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336A04">
        <w:rPr>
          <w:rFonts w:ascii="Times New Roman" w:hAnsi="Times New Roman" w:cs="Times New Roman"/>
          <w:b/>
          <w:bCs/>
        </w:rPr>
        <w:t>What is the purpose of your rebuttal testimony?</w:t>
      </w:r>
    </w:p>
    <w:p w:rsidR="001B3F8A" w:rsidRDefault="00AD778C" w:rsidP="001B3F8A">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784867">
        <w:rPr>
          <w:rFonts w:ascii="Times New Roman" w:hAnsi="Times New Roman" w:cs="Times New Roman"/>
        </w:rPr>
        <w:t xml:space="preserve">I </w:t>
      </w:r>
      <w:r w:rsidR="00336A04">
        <w:rPr>
          <w:rFonts w:ascii="Times New Roman" w:hAnsi="Times New Roman" w:cs="Times New Roman"/>
        </w:rPr>
        <w:t xml:space="preserve">respond to the testimony </w:t>
      </w:r>
      <w:r w:rsidR="00B230EF">
        <w:rPr>
          <w:rFonts w:ascii="Times New Roman" w:hAnsi="Times New Roman" w:cs="Times New Roman"/>
        </w:rPr>
        <w:t xml:space="preserve">filed by Staff </w:t>
      </w:r>
      <w:r w:rsidR="00336A04">
        <w:rPr>
          <w:rFonts w:ascii="Times New Roman" w:hAnsi="Times New Roman" w:cs="Times New Roman"/>
        </w:rPr>
        <w:t xml:space="preserve">of </w:t>
      </w:r>
      <w:r w:rsidR="00B230EF">
        <w:rPr>
          <w:rFonts w:ascii="Times New Roman" w:hAnsi="Times New Roman" w:cs="Times New Roman"/>
        </w:rPr>
        <w:t xml:space="preserve">the </w:t>
      </w:r>
      <w:r w:rsidR="00336A04">
        <w:rPr>
          <w:rFonts w:ascii="Times New Roman" w:hAnsi="Times New Roman" w:cs="Times New Roman"/>
        </w:rPr>
        <w:t xml:space="preserve">Washington Utilities and Transportation Commission </w:t>
      </w:r>
      <w:r w:rsidR="00523746">
        <w:rPr>
          <w:rFonts w:ascii="Times New Roman" w:hAnsi="Times New Roman" w:cs="Times New Roman"/>
        </w:rPr>
        <w:t xml:space="preserve">(Commission) </w:t>
      </w:r>
      <w:r w:rsidR="00336A04">
        <w:rPr>
          <w:rFonts w:ascii="Times New Roman" w:hAnsi="Times New Roman" w:cs="Times New Roman"/>
        </w:rPr>
        <w:t xml:space="preserve">witness Mr. Jeremy B. </w:t>
      </w:r>
      <w:proofErr w:type="spellStart"/>
      <w:r w:rsidR="00336A04">
        <w:rPr>
          <w:rFonts w:ascii="Times New Roman" w:hAnsi="Times New Roman" w:cs="Times New Roman"/>
        </w:rPr>
        <w:t>Twitchell</w:t>
      </w:r>
      <w:proofErr w:type="spellEnd"/>
      <w:r w:rsidR="00336A04">
        <w:rPr>
          <w:rFonts w:ascii="Times New Roman" w:hAnsi="Times New Roman" w:cs="Times New Roman"/>
        </w:rPr>
        <w:t xml:space="preserve"> and Sierra Club witness </w:t>
      </w:r>
      <w:r w:rsidR="00C43849">
        <w:rPr>
          <w:rFonts w:ascii="Times New Roman" w:hAnsi="Times New Roman" w:cs="Times New Roman"/>
        </w:rPr>
        <w:t>D</w:t>
      </w:r>
      <w:r w:rsidR="00336A04">
        <w:rPr>
          <w:rFonts w:ascii="Times New Roman" w:hAnsi="Times New Roman" w:cs="Times New Roman"/>
        </w:rPr>
        <w:t>r. Jeremy I. Fisher</w:t>
      </w:r>
      <w:r w:rsidR="00784867">
        <w:rPr>
          <w:rFonts w:ascii="Times New Roman" w:hAnsi="Times New Roman" w:cs="Times New Roman"/>
        </w:rPr>
        <w:t>.</w:t>
      </w:r>
      <w:r w:rsidR="00DD03D8">
        <w:rPr>
          <w:rFonts w:ascii="Times New Roman" w:hAnsi="Times New Roman" w:cs="Times New Roman"/>
        </w:rPr>
        <w:t xml:space="preserve"> </w:t>
      </w:r>
      <w:r w:rsidR="00FE33F8">
        <w:rPr>
          <w:rFonts w:ascii="Times New Roman" w:hAnsi="Times New Roman" w:cs="Times New Roman"/>
        </w:rPr>
        <w:t xml:space="preserve"> </w:t>
      </w:r>
      <w:r w:rsidR="00DD03D8">
        <w:rPr>
          <w:rFonts w:ascii="Times New Roman" w:hAnsi="Times New Roman" w:cs="Times New Roman"/>
        </w:rPr>
        <w:t xml:space="preserve">My rebuttal testimony responds to assertions made by Staff and Sierra Club that Pacific Power acted imprudently when deciding to install selective catalytic reduction </w:t>
      </w:r>
      <w:r w:rsidR="00321382">
        <w:rPr>
          <w:rFonts w:ascii="Times New Roman" w:hAnsi="Times New Roman" w:cs="Times New Roman"/>
        </w:rPr>
        <w:t xml:space="preserve">systems </w:t>
      </w:r>
      <w:r w:rsidR="00DD03D8">
        <w:rPr>
          <w:rFonts w:ascii="Times New Roman" w:hAnsi="Times New Roman" w:cs="Times New Roman"/>
        </w:rPr>
        <w:t>(SCR</w:t>
      </w:r>
      <w:r w:rsidR="00321382">
        <w:rPr>
          <w:rFonts w:ascii="Times New Roman" w:hAnsi="Times New Roman" w:cs="Times New Roman"/>
        </w:rPr>
        <w:t>s</w:t>
      </w:r>
      <w:r w:rsidR="00DD03D8">
        <w:rPr>
          <w:rFonts w:ascii="Times New Roman" w:hAnsi="Times New Roman" w:cs="Times New Roman"/>
        </w:rPr>
        <w:t xml:space="preserve">) on </w:t>
      </w:r>
      <w:r w:rsidR="00044910">
        <w:rPr>
          <w:rFonts w:ascii="Times New Roman" w:hAnsi="Times New Roman" w:cs="Times New Roman"/>
        </w:rPr>
        <w:t xml:space="preserve">Units 3 and 4 of the Jim Bridger </w:t>
      </w:r>
      <w:r w:rsidR="00523746">
        <w:rPr>
          <w:rFonts w:ascii="Times New Roman" w:hAnsi="Times New Roman" w:cs="Times New Roman"/>
        </w:rPr>
        <w:t>g</w:t>
      </w:r>
      <w:r w:rsidR="00044910">
        <w:rPr>
          <w:rFonts w:ascii="Times New Roman" w:hAnsi="Times New Roman" w:cs="Times New Roman"/>
        </w:rPr>
        <w:t>enerating plant (</w:t>
      </w:r>
      <w:r w:rsidR="00DD03D8">
        <w:rPr>
          <w:rFonts w:ascii="Times New Roman" w:hAnsi="Times New Roman" w:cs="Times New Roman"/>
        </w:rPr>
        <w:t>Jim Bridger Units 3 and 4</w:t>
      </w:r>
      <w:r w:rsidR="00044910">
        <w:rPr>
          <w:rFonts w:ascii="Times New Roman" w:hAnsi="Times New Roman" w:cs="Times New Roman"/>
        </w:rPr>
        <w:t>)</w:t>
      </w:r>
      <w:r w:rsidR="00DD03D8">
        <w:rPr>
          <w:rFonts w:ascii="Times New Roman" w:hAnsi="Times New Roman" w:cs="Times New Roman"/>
        </w:rPr>
        <w:t>.</w:t>
      </w:r>
      <w:r w:rsidR="001B3F8A">
        <w:rPr>
          <w:rFonts w:ascii="Times New Roman" w:hAnsi="Times New Roman" w:cs="Times New Roman"/>
        </w:rPr>
        <w:t xml:space="preserve"> </w:t>
      </w:r>
      <w:r w:rsidR="00FE33F8">
        <w:rPr>
          <w:rFonts w:ascii="Times New Roman" w:hAnsi="Times New Roman" w:cs="Times New Roman"/>
        </w:rPr>
        <w:t xml:space="preserve"> </w:t>
      </w:r>
      <w:r w:rsidR="001B3F8A">
        <w:rPr>
          <w:rFonts w:ascii="Times New Roman" w:hAnsi="Times New Roman" w:cs="Times New Roman"/>
        </w:rPr>
        <w:t xml:space="preserve">Specifically, I respond to </w:t>
      </w:r>
      <w:r w:rsidR="00523746">
        <w:rPr>
          <w:rFonts w:ascii="Times New Roman" w:hAnsi="Times New Roman" w:cs="Times New Roman"/>
        </w:rPr>
        <w:t xml:space="preserve">the </w:t>
      </w:r>
      <w:r w:rsidR="001B3F8A">
        <w:rPr>
          <w:rFonts w:ascii="Times New Roman" w:hAnsi="Times New Roman" w:cs="Times New Roman"/>
        </w:rPr>
        <w:t xml:space="preserve">adjustments </w:t>
      </w:r>
      <w:r w:rsidR="00523746">
        <w:rPr>
          <w:rFonts w:ascii="Times New Roman" w:hAnsi="Times New Roman" w:cs="Times New Roman"/>
        </w:rPr>
        <w:t xml:space="preserve">proposed by Staff and Sierra Club </w:t>
      </w:r>
      <w:r w:rsidR="001B3F8A">
        <w:rPr>
          <w:rFonts w:ascii="Times New Roman" w:hAnsi="Times New Roman" w:cs="Times New Roman"/>
        </w:rPr>
        <w:t xml:space="preserve">to the Company’s Jim Bridger </w:t>
      </w:r>
      <w:r w:rsidR="00321382">
        <w:rPr>
          <w:rFonts w:ascii="Times New Roman" w:hAnsi="Times New Roman" w:cs="Times New Roman"/>
        </w:rPr>
        <w:t>Units 3 and 4</w:t>
      </w:r>
      <w:r w:rsidR="00937EA0">
        <w:rPr>
          <w:rFonts w:ascii="Times New Roman" w:hAnsi="Times New Roman" w:cs="Times New Roman"/>
        </w:rPr>
        <w:t xml:space="preserve"> </w:t>
      </w:r>
      <w:r w:rsidR="001B3F8A">
        <w:rPr>
          <w:rFonts w:ascii="Times New Roman" w:hAnsi="Times New Roman" w:cs="Times New Roman"/>
        </w:rPr>
        <w:t xml:space="preserve">SCR </w:t>
      </w:r>
      <w:proofErr w:type="gramStart"/>
      <w:r w:rsidR="001B3F8A">
        <w:rPr>
          <w:rFonts w:ascii="Times New Roman" w:hAnsi="Times New Roman" w:cs="Times New Roman"/>
        </w:rPr>
        <w:t>analysis</w:t>
      </w:r>
      <w:proofErr w:type="gramEnd"/>
      <w:r w:rsidR="001B3F8A">
        <w:rPr>
          <w:rFonts w:ascii="Times New Roman" w:hAnsi="Times New Roman" w:cs="Times New Roman"/>
        </w:rPr>
        <w:t>.</w:t>
      </w:r>
      <w:r w:rsidR="00C84904">
        <w:rPr>
          <w:rFonts w:ascii="Times New Roman" w:hAnsi="Times New Roman" w:cs="Times New Roman"/>
        </w:rPr>
        <w:t xml:space="preserve"> </w:t>
      </w:r>
      <w:r w:rsidR="00E07186">
        <w:rPr>
          <w:rFonts w:ascii="Times New Roman" w:hAnsi="Times New Roman" w:cs="Times New Roman"/>
        </w:rPr>
        <w:t xml:space="preserve"> I also respond to the direct testimony of the Public Counsel Division of the Attorney General’s Office (Public Counsel) witness Ms. Donna A. </w:t>
      </w:r>
      <w:proofErr w:type="spellStart"/>
      <w:r w:rsidR="00E07186">
        <w:rPr>
          <w:rFonts w:ascii="Times New Roman" w:hAnsi="Times New Roman" w:cs="Times New Roman"/>
        </w:rPr>
        <w:t>Ramas</w:t>
      </w:r>
      <w:proofErr w:type="spellEnd"/>
      <w:r w:rsidR="00E07186">
        <w:rPr>
          <w:rFonts w:ascii="Times New Roman" w:hAnsi="Times New Roman" w:cs="Times New Roman"/>
        </w:rPr>
        <w:t xml:space="preserve"> related to Jim Bridger SCR benefits if the </w:t>
      </w:r>
      <w:r w:rsidR="00C84904">
        <w:rPr>
          <w:rFonts w:ascii="Times New Roman" w:hAnsi="Times New Roman" w:cs="Times New Roman"/>
        </w:rPr>
        <w:t xml:space="preserve">Commission shortens </w:t>
      </w:r>
      <w:r w:rsidR="00B14FDE">
        <w:rPr>
          <w:rFonts w:ascii="Times New Roman" w:hAnsi="Times New Roman" w:cs="Times New Roman"/>
        </w:rPr>
        <w:t xml:space="preserve">the </w:t>
      </w:r>
      <w:r w:rsidR="00E07186">
        <w:rPr>
          <w:rFonts w:ascii="Times New Roman" w:hAnsi="Times New Roman" w:cs="Times New Roman"/>
        </w:rPr>
        <w:t>depreciable life of the Jim Bridger plant to 2025.</w:t>
      </w:r>
    </w:p>
    <w:p w:rsidR="00DD03D8" w:rsidRDefault="00DD03D8" w:rsidP="00DD03D8">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Please summarize your rebuttal testimony.</w:t>
      </w:r>
    </w:p>
    <w:p w:rsidR="00DD03D8" w:rsidRDefault="00DD03D8" w:rsidP="008F7DBB">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1B3F8A">
        <w:rPr>
          <w:rFonts w:ascii="Times New Roman" w:hAnsi="Times New Roman" w:cs="Times New Roman"/>
        </w:rPr>
        <w:t xml:space="preserve">My rebuttal testimony identifies significant errors in </w:t>
      </w:r>
      <w:r w:rsidR="00E34C77">
        <w:rPr>
          <w:rFonts w:ascii="Times New Roman" w:hAnsi="Times New Roman" w:cs="Times New Roman"/>
        </w:rPr>
        <w:t xml:space="preserve">the calculations and assumptions used by </w:t>
      </w:r>
      <w:r w:rsidR="001B3F8A">
        <w:rPr>
          <w:rFonts w:ascii="Times New Roman" w:hAnsi="Times New Roman" w:cs="Times New Roman"/>
        </w:rPr>
        <w:t xml:space="preserve">Staff and Sierra Club </w:t>
      </w:r>
      <w:r w:rsidR="00E34C77">
        <w:rPr>
          <w:rFonts w:ascii="Times New Roman" w:hAnsi="Times New Roman" w:cs="Times New Roman"/>
        </w:rPr>
        <w:t xml:space="preserve">to identify </w:t>
      </w:r>
      <w:r w:rsidR="001B3F8A">
        <w:rPr>
          <w:rFonts w:ascii="Times New Roman" w:hAnsi="Times New Roman" w:cs="Times New Roman"/>
        </w:rPr>
        <w:t xml:space="preserve">proposed adjustments </w:t>
      </w:r>
      <w:r w:rsidR="00E34C77">
        <w:rPr>
          <w:rFonts w:ascii="Times New Roman" w:hAnsi="Times New Roman" w:cs="Times New Roman"/>
        </w:rPr>
        <w:t>that erroneously support claims that converting Jim Bridger Unit</w:t>
      </w:r>
      <w:r w:rsidR="0052359B">
        <w:rPr>
          <w:rFonts w:ascii="Times New Roman" w:hAnsi="Times New Roman" w:cs="Times New Roman"/>
        </w:rPr>
        <w:t>s</w:t>
      </w:r>
      <w:r w:rsidR="00E34C77">
        <w:rPr>
          <w:rFonts w:ascii="Times New Roman" w:hAnsi="Times New Roman" w:cs="Times New Roman"/>
        </w:rPr>
        <w:t xml:space="preserve"> 3 and 4 to operate as gas-fueled facilities would be lower cost than installing SCRs.</w:t>
      </w:r>
    </w:p>
    <w:p w:rsidR="00321382" w:rsidRDefault="00E5513D" w:rsidP="008F7DBB">
      <w:pPr>
        <w:spacing w:line="480" w:lineRule="auto"/>
        <w:ind w:left="720" w:hanging="720"/>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6991325F" wp14:editId="02464407">
                <wp:simplePos x="0" y="0"/>
                <wp:positionH relativeFrom="column">
                  <wp:posOffset>333375</wp:posOffset>
                </wp:positionH>
                <wp:positionV relativeFrom="paragraph">
                  <wp:posOffset>-609600</wp:posOffset>
                </wp:positionV>
                <wp:extent cx="5143500" cy="504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6.25pt;margin-top:-48pt;width:405pt;height:39.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" filled="f" stroked="f" strokeweight=".5pt">
                <v:textbo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E34C77">
        <w:rPr>
          <w:rFonts w:ascii="Times New Roman" w:hAnsi="Times New Roman" w:cs="Times New Roman"/>
        </w:rPr>
        <w:tab/>
      </w:r>
      <w:r w:rsidR="00E34C77">
        <w:rPr>
          <w:rFonts w:ascii="Times New Roman" w:hAnsi="Times New Roman" w:cs="Times New Roman"/>
        </w:rPr>
        <w:tab/>
        <w:t xml:space="preserve">Staff incorrectly calculates </w:t>
      </w:r>
      <w:r w:rsidR="003F5128">
        <w:rPr>
          <w:rFonts w:ascii="Times New Roman" w:hAnsi="Times New Roman" w:cs="Times New Roman"/>
        </w:rPr>
        <w:t xml:space="preserve">corrections and </w:t>
      </w:r>
      <w:r w:rsidR="00E34C77">
        <w:rPr>
          <w:rFonts w:ascii="Times New Roman" w:hAnsi="Times New Roman" w:cs="Times New Roman"/>
        </w:rPr>
        <w:t>adjustments related to coal costs, natural gas price assumptions</w:t>
      </w:r>
      <w:r w:rsidR="00FF6572">
        <w:rPr>
          <w:rFonts w:ascii="Times New Roman" w:hAnsi="Times New Roman" w:cs="Times New Roman"/>
        </w:rPr>
        <w:t>,</w:t>
      </w:r>
      <w:r w:rsidR="00E34C77">
        <w:rPr>
          <w:rFonts w:ascii="Times New Roman" w:hAnsi="Times New Roman" w:cs="Times New Roman"/>
        </w:rPr>
        <w:t xml:space="preserve"> and replacement power costs that purportedly erode benefits of the SCR compliance alternative.</w:t>
      </w:r>
      <w:r w:rsidR="003F5128">
        <w:rPr>
          <w:rStyle w:val="FootnoteReference"/>
          <w:rFonts w:ascii="Times New Roman" w:hAnsi="Times New Roman"/>
        </w:rPr>
        <w:footnoteReference w:id="2"/>
      </w:r>
      <w:r w:rsidR="00E34C77">
        <w:rPr>
          <w:rFonts w:ascii="Times New Roman" w:hAnsi="Times New Roman" w:cs="Times New Roman"/>
        </w:rPr>
        <w:t xml:space="preserve"> </w:t>
      </w:r>
      <w:r w:rsidR="00FE33F8">
        <w:rPr>
          <w:rFonts w:ascii="Times New Roman" w:hAnsi="Times New Roman" w:cs="Times New Roman"/>
        </w:rPr>
        <w:t xml:space="preserve"> </w:t>
      </w:r>
      <w:r w:rsidR="00321382">
        <w:rPr>
          <w:rFonts w:ascii="Times New Roman" w:hAnsi="Times New Roman" w:cs="Times New Roman"/>
        </w:rPr>
        <w:t xml:space="preserve">Confidential </w:t>
      </w:r>
      <w:r w:rsidR="001E01DC">
        <w:rPr>
          <w:rFonts w:ascii="Times New Roman" w:hAnsi="Times New Roman" w:cs="Times New Roman"/>
        </w:rPr>
        <w:t xml:space="preserve">Figure </w:t>
      </w:r>
      <w:r w:rsidR="00321382">
        <w:rPr>
          <w:rFonts w:ascii="Times New Roman" w:hAnsi="Times New Roman" w:cs="Times New Roman"/>
        </w:rPr>
        <w:t>1 summarizes the impact of Staff’s errors</w:t>
      </w:r>
      <w:r w:rsidR="00392D07">
        <w:rPr>
          <w:rFonts w:ascii="Times New Roman" w:hAnsi="Times New Roman" w:cs="Times New Roman"/>
        </w:rPr>
        <w:t>, which</w:t>
      </w:r>
      <w:r w:rsidR="005C51D1">
        <w:rPr>
          <w:rFonts w:ascii="Times New Roman" w:hAnsi="Times New Roman" w:cs="Times New Roman"/>
        </w:rPr>
        <w:t>,</w:t>
      </w:r>
      <w:r w:rsidR="00392D07">
        <w:rPr>
          <w:rFonts w:ascii="Times New Roman" w:hAnsi="Times New Roman" w:cs="Times New Roman"/>
        </w:rPr>
        <w:t xml:space="preserve"> in aggregate, </w:t>
      </w:r>
      <w:r w:rsidR="00406EBF">
        <w:rPr>
          <w:rFonts w:ascii="Times New Roman" w:hAnsi="Times New Roman" w:cs="Times New Roman"/>
        </w:rPr>
        <w:t xml:space="preserve">incorrectly assign </w:t>
      </w:r>
      <w:r w:rsidR="004A232F">
        <w:rPr>
          <w:rFonts w:ascii="Times New Roman" w:hAnsi="Times New Roman" w:cs="Times New Roman"/>
        </w:rPr>
        <w:t xml:space="preserve">more than </w:t>
      </w:r>
      <w:r w:rsidR="005C06D0" w:rsidRPr="005C06D0">
        <w:rPr>
          <w:rFonts w:ascii="Times New Roman" w:hAnsi="Times New Roman" w:cs="Times New Roman"/>
          <w:highlight w:val="black"/>
          <w:shd w:val="clear" w:color="auto" w:fill="D9D9D9" w:themeFill="background1" w:themeFillShade="D9"/>
        </w:rPr>
        <w:t>____</w:t>
      </w:r>
      <w:r w:rsidR="00392D07" w:rsidRPr="005C06D0">
        <w:rPr>
          <w:rFonts w:ascii="Times New Roman" w:hAnsi="Times New Roman" w:cs="Times New Roman"/>
          <w:highlight w:val="black"/>
        </w:rPr>
        <w:t xml:space="preserve"> </w:t>
      </w:r>
      <w:r w:rsidR="005C06D0" w:rsidRPr="005C06D0">
        <w:rPr>
          <w:rFonts w:ascii="Times New Roman" w:hAnsi="Times New Roman" w:cs="Times New Roman"/>
          <w:highlight w:val="black"/>
          <w:shd w:val="clear" w:color="auto" w:fill="D9D9D9" w:themeFill="background1" w:themeFillShade="D9"/>
        </w:rPr>
        <w:t>________</w:t>
      </w:r>
      <w:r w:rsidR="00406EBF">
        <w:rPr>
          <w:rFonts w:ascii="Times New Roman" w:hAnsi="Times New Roman" w:cs="Times New Roman"/>
        </w:rPr>
        <w:t xml:space="preserve"> of cost to the SCR compliance case</w:t>
      </w:r>
      <w:r w:rsidR="004A232F">
        <w:rPr>
          <w:rFonts w:ascii="Times New Roman" w:hAnsi="Times New Roman" w:cs="Times New Roman"/>
        </w:rPr>
        <w:t>.</w:t>
      </w:r>
    </w:p>
    <w:p w:rsidR="00321382" w:rsidRDefault="00321382" w:rsidP="00E5513D">
      <w:pPr>
        <w:keepNext/>
        <w:suppressLineNumbers/>
        <w:ind w:left="720" w:hanging="720"/>
        <w:jc w:val="center"/>
        <w:rPr>
          <w:rFonts w:ascii="Times New Roman" w:hAnsi="Times New Roman" w:cs="Times New Roman"/>
          <w:b/>
        </w:rPr>
      </w:pPr>
      <w:r>
        <w:rPr>
          <w:rFonts w:ascii="Times New Roman" w:hAnsi="Times New Roman" w:cs="Times New Roman"/>
          <w:b/>
        </w:rPr>
        <w:t xml:space="preserve">Confidential </w:t>
      </w:r>
      <w:r w:rsidR="00C5725A">
        <w:rPr>
          <w:rFonts w:ascii="Times New Roman" w:hAnsi="Times New Roman" w:cs="Times New Roman"/>
          <w:b/>
        </w:rPr>
        <w:t>Figure</w:t>
      </w:r>
      <w:r>
        <w:rPr>
          <w:rFonts w:ascii="Times New Roman" w:hAnsi="Times New Roman" w:cs="Times New Roman"/>
          <w:b/>
        </w:rPr>
        <w:t xml:space="preserve"> 1</w:t>
      </w:r>
    </w:p>
    <w:p w:rsidR="00321382" w:rsidRDefault="00C5725A" w:rsidP="00E5513D">
      <w:pPr>
        <w:keepNext/>
        <w:suppressLineNumbers/>
        <w:ind w:left="720" w:hanging="720"/>
        <w:jc w:val="center"/>
        <w:rPr>
          <w:rFonts w:ascii="Times New Roman" w:hAnsi="Times New Roman" w:cs="Times New Roman"/>
          <w:b/>
        </w:rPr>
      </w:pPr>
      <w:r>
        <w:rPr>
          <w:rFonts w:ascii="Times New Roman" w:hAnsi="Times New Roman" w:cs="Times New Roman"/>
          <w:b/>
        </w:rPr>
        <w:t>Impact of Staff Errors</w:t>
      </w:r>
    </w:p>
    <w:p w:rsidR="00C5725A" w:rsidRDefault="005C06D0" w:rsidP="00E5513D">
      <w:pPr>
        <w:suppressLineNumbers/>
        <w:spacing w:after="240"/>
        <w:ind w:left="720" w:hanging="720"/>
        <w:jc w:val="center"/>
        <w:rPr>
          <w:noProof/>
        </w:rPr>
      </w:pPr>
      <w:r>
        <w:rPr>
          <w:noProof/>
        </w:rPr>
        <mc:AlternateContent>
          <mc:Choice Requires="wps">
            <w:drawing>
              <wp:anchor distT="0" distB="0" distL="114300" distR="114300" simplePos="0" relativeHeight="251680768" behindDoc="0" locked="0" layoutInCell="1" allowOverlap="1">
                <wp:simplePos x="0" y="0"/>
                <wp:positionH relativeFrom="column">
                  <wp:posOffset>123825</wp:posOffset>
                </wp:positionH>
                <wp:positionV relativeFrom="paragraph">
                  <wp:posOffset>68580</wp:posOffset>
                </wp:positionV>
                <wp:extent cx="5495925" cy="34766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5495925" cy="34766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9.75pt;margin-top:5.4pt;width:432.75pt;height:273.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" fillcolor="black [3213]" strokecolor="black [3213]" strokeweight="2pt"/>
            </w:pict>
          </mc:Fallback>
        </mc:AlternateContent>
      </w: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noProof/>
        </w:rPr>
      </w:pPr>
    </w:p>
    <w:p w:rsidR="005C06D0" w:rsidRDefault="005C06D0" w:rsidP="00E5513D">
      <w:pPr>
        <w:suppressLineNumbers/>
        <w:spacing w:after="240"/>
        <w:ind w:left="720" w:hanging="720"/>
        <w:jc w:val="center"/>
        <w:rPr>
          <w:rFonts w:ascii="Times New Roman" w:hAnsi="Times New Roman" w:cs="Times New Roman"/>
          <w:b/>
        </w:rPr>
      </w:pPr>
    </w:p>
    <w:p w:rsidR="00FF6572" w:rsidRDefault="00E34C77" w:rsidP="00141AC5">
      <w:pPr>
        <w:spacing w:line="480" w:lineRule="auto"/>
        <w:ind w:left="720" w:firstLine="720"/>
        <w:rPr>
          <w:rFonts w:ascii="Times New Roman" w:hAnsi="Times New Roman" w:cs="Times New Roman"/>
        </w:rPr>
      </w:pPr>
      <w:r>
        <w:rPr>
          <w:rFonts w:ascii="Times New Roman" w:hAnsi="Times New Roman" w:cs="Times New Roman"/>
        </w:rPr>
        <w:t xml:space="preserve">I describe how Staff’s comparative coal cost analysis is based on the use of incorrect data that when corrected completely eliminates its proposed </w:t>
      </w:r>
      <w:r w:rsidR="005C06D0" w:rsidRPr="005C06D0">
        <w:rPr>
          <w:rFonts w:ascii="Times New Roman" w:hAnsi="Times New Roman" w:cs="Times New Roman"/>
          <w:highlight w:val="black"/>
        </w:rPr>
        <w:t>_________</w:t>
      </w:r>
      <w:r>
        <w:rPr>
          <w:rFonts w:ascii="Times New Roman" w:hAnsi="Times New Roman" w:cs="Times New Roman"/>
        </w:rPr>
        <w:t xml:space="preserve"> adjustment to reduce SCR</w:t>
      </w:r>
      <w:r w:rsidR="00755A19">
        <w:rPr>
          <w:rFonts w:ascii="Times New Roman" w:hAnsi="Times New Roman" w:cs="Times New Roman"/>
        </w:rPr>
        <w:t xml:space="preserve"> </w:t>
      </w:r>
      <w:r>
        <w:rPr>
          <w:rFonts w:ascii="Times New Roman" w:hAnsi="Times New Roman" w:cs="Times New Roman"/>
        </w:rPr>
        <w:t xml:space="preserve">benefits. </w:t>
      </w:r>
    </w:p>
    <w:p w:rsidR="00FF6572" w:rsidRDefault="00E34C77" w:rsidP="00141AC5">
      <w:pPr>
        <w:spacing w:line="480" w:lineRule="auto"/>
        <w:ind w:left="720" w:firstLine="720"/>
        <w:rPr>
          <w:rFonts w:ascii="Times New Roman" w:hAnsi="Times New Roman" w:cs="Times New Roman"/>
        </w:rPr>
      </w:pPr>
      <w:r>
        <w:rPr>
          <w:rFonts w:ascii="Times New Roman" w:hAnsi="Times New Roman" w:cs="Times New Roman"/>
        </w:rPr>
        <w:t xml:space="preserve">I describe how Staff’s comparative </w:t>
      </w:r>
      <w:r w:rsidR="00914F92">
        <w:rPr>
          <w:rFonts w:ascii="Times New Roman" w:hAnsi="Times New Roman" w:cs="Times New Roman"/>
        </w:rPr>
        <w:t>natural gas price</w:t>
      </w:r>
      <w:r>
        <w:rPr>
          <w:rFonts w:ascii="Times New Roman" w:hAnsi="Times New Roman" w:cs="Times New Roman"/>
        </w:rPr>
        <w:t xml:space="preserve"> analysis inappropriately compares </w:t>
      </w:r>
      <w:r w:rsidR="00914F92">
        <w:rPr>
          <w:rFonts w:ascii="Times New Roman" w:hAnsi="Times New Roman" w:cs="Times New Roman"/>
        </w:rPr>
        <w:t>nominal prices with real prices</w:t>
      </w:r>
      <w:r w:rsidR="009F1FCD">
        <w:rPr>
          <w:rFonts w:ascii="Times New Roman" w:hAnsi="Times New Roman" w:cs="Times New Roman"/>
        </w:rPr>
        <w:t>.  When this error is</w:t>
      </w:r>
      <w:r w:rsidR="00914F92">
        <w:rPr>
          <w:rFonts w:ascii="Times New Roman" w:hAnsi="Times New Roman" w:cs="Times New Roman"/>
        </w:rPr>
        <w:t xml:space="preserve"> corrected</w:t>
      </w:r>
      <w:r w:rsidR="009F1FCD">
        <w:rPr>
          <w:rFonts w:ascii="Times New Roman" w:hAnsi="Times New Roman" w:cs="Times New Roman"/>
        </w:rPr>
        <w:t xml:space="preserve"> Staff’s</w:t>
      </w:r>
      <w:r w:rsidR="00914F92">
        <w:rPr>
          <w:rFonts w:ascii="Times New Roman" w:hAnsi="Times New Roman" w:cs="Times New Roman"/>
        </w:rPr>
        <w:t xml:space="preserve"> proposed </w:t>
      </w:r>
      <w:r w:rsidR="005C06D0" w:rsidRPr="005C06D0">
        <w:rPr>
          <w:rFonts w:ascii="Times New Roman" w:hAnsi="Times New Roman" w:cs="Times New Roman"/>
          <w:highlight w:val="black"/>
        </w:rPr>
        <w:t>___________</w:t>
      </w:r>
      <w:r w:rsidR="00914F92">
        <w:rPr>
          <w:rFonts w:ascii="Times New Roman" w:hAnsi="Times New Roman" w:cs="Times New Roman"/>
        </w:rPr>
        <w:t xml:space="preserve"> adjustment to </w:t>
      </w:r>
      <w:r w:rsidR="00406EBF">
        <w:rPr>
          <w:rFonts w:ascii="Times New Roman" w:hAnsi="Times New Roman" w:cs="Times New Roman"/>
        </w:rPr>
        <w:t xml:space="preserve">reduce </w:t>
      </w:r>
      <w:r w:rsidR="00914F92">
        <w:rPr>
          <w:rFonts w:ascii="Times New Roman" w:hAnsi="Times New Roman" w:cs="Times New Roman"/>
        </w:rPr>
        <w:t>SCR benefits</w:t>
      </w:r>
      <w:r w:rsidR="007F544B">
        <w:rPr>
          <w:rFonts w:ascii="Times New Roman" w:hAnsi="Times New Roman" w:cs="Times New Roman"/>
        </w:rPr>
        <w:t xml:space="preserve"> is completely eliminated</w:t>
      </w:r>
      <w:r w:rsidR="00914F92">
        <w:rPr>
          <w:rFonts w:ascii="Times New Roman" w:hAnsi="Times New Roman" w:cs="Times New Roman"/>
        </w:rPr>
        <w:t xml:space="preserve">. </w:t>
      </w:r>
      <w:r w:rsidR="00FE33F8">
        <w:rPr>
          <w:rFonts w:ascii="Times New Roman" w:hAnsi="Times New Roman" w:cs="Times New Roman"/>
        </w:rPr>
        <w:t xml:space="preserve"> </w:t>
      </w:r>
      <w:r w:rsidR="00914F92">
        <w:rPr>
          <w:rFonts w:ascii="Times New Roman" w:hAnsi="Times New Roman" w:cs="Times New Roman"/>
        </w:rPr>
        <w:t xml:space="preserve">In fact, correcting for this error </w:t>
      </w:r>
      <w:r w:rsidR="00914F92" w:rsidRPr="00302504">
        <w:rPr>
          <w:rFonts w:ascii="Times New Roman" w:hAnsi="Times New Roman" w:cs="Times New Roman"/>
          <w:i/>
        </w:rPr>
        <w:t>adds</w:t>
      </w:r>
      <w:r w:rsidR="00914F92">
        <w:rPr>
          <w:rFonts w:ascii="Times New Roman" w:hAnsi="Times New Roman" w:cs="Times New Roman"/>
        </w:rPr>
        <w:t xml:space="preserve"> </w:t>
      </w:r>
      <w:r w:rsidR="005C06D0" w:rsidRPr="005C06D0">
        <w:rPr>
          <w:rFonts w:ascii="Times New Roman" w:hAnsi="Times New Roman" w:cs="Times New Roman"/>
          <w:highlight w:val="black"/>
        </w:rPr>
        <w:t>_________</w:t>
      </w:r>
      <w:r w:rsidR="00914F92">
        <w:rPr>
          <w:rFonts w:ascii="Times New Roman" w:hAnsi="Times New Roman" w:cs="Times New Roman"/>
        </w:rPr>
        <w:t xml:space="preserve"> of </w:t>
      </w:r>
      <w:proofErr w:type="spellStart"/>
      <w:r w:rsidR="00914F92">
        <w:rPr>
          <w:rFonts w:ascii="Times New Roman" w:hAnsi="Times New Roman" w:cs="Times New Roman"/>
        </w:rPr>
        <w:t>SCR</w:t>
      </w:r>
      <w:proofErr w:type="spellEnd"/>
      <w:r w:rsidR="00914F92">
        <w:rPr>
          <w:rFonts w:ascii="Times New Roman" w:hAnsi="Times New Roman" w:cs="Times New Roman"/>
        </w:rPr>
        <w:t xml:space="preserve"> </w:t>
      </w:r>
      <w:r w:rsidR="00914F92" w:rsidRPr="00243BB3">
        <w:rPr>
          <w:rFonts w:ascii="Times New Roman" w:hAnsi="Times New Roman" w:cs="Times New Roman"/>
        </w:rPr>
        <w:t>benefits</w:t>
      </w:r>
      <w:r w:rsidR="00914F92">
        <w:rPr>
          <w:rFonts w:ascii="Times New Roman" w:hAnsi="Times New Roman" w:cs="Times New Roman"/>
        </w:rPr>
        <w:t xml:space="preserve"> when compared to the Company’s analysis updated to reflect natural gas prices from the September 2013 official forward price curve (OFPC). </w:t>
      </w:r>
      <w:r w:rsidR="00B230EF">
        <w:rPr>
          <w:rFonts w:ascii="Times New Roman" w:hAnsi="Times New Roman" w:cs="Times New Roman"/>
        </w:rPr>
        <w:t xml:space="preserve"> </w:t>
      </w:r>
      <w:r w:rsidR="00EE1E15">
        <w:rPr>
          <w:rFonts w:ascii="Times New Roman" w:hAnsi="Times New Roman" w:cs="Times New Roman"/>
        </w:rPr>
        <w:t>Staff also fails to address natural gas price uncertainty in its comparative gas price analysis.</w:t>
      </w:r>
    </w:p>
    <w:p w:rsidR="009B2BB9" w:rsidRDefault="00E5513D" w:rsidP="00141AC5">
      <w:pPr>
        <w:spacing w:line="480" w:lineRule="auto"/>
        <w:ind w:left="720"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0FB18792" wp14:editId="28AAAE94">
                <wp:simplePos x="0" y="0"/>
                <wp:positionH relativeFrom="column">
                  <wp:posOffset>200025</wp:posOffset>
                </wp:positionH>
                <wp:positionV relativeFrom="paragraph">
                  <wp:posOffset>-2390775</wp:posOffset>
                </wp:positionV>
                <wp:extent cx="5457825" cy="552450"/>
                <wp:effectExtent l="0" t="0" r="0" b="0"/>
                <wp:wrapNone/>
                <wp:docPr id="5" name="Text Box 5"/>
                <wp:cNvGraphicFramePr/>
                <a:graphic xmlns:a="http://schemas.openxmlformats.org/drawingml/2006/main">
                  <a:graphicData uri="http://schemas.microsoft.com/office/word/2010/wordprocessingShape">
                    <wps:wsp>
                      <wps:cNvSpPr txBox="1"/>
                      <wps:spPr>
                        <a:xfrm>
                          <a:off x="0" y="0"/>
                          <a:ext cx="54578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7" type="#_x0000_t202" style="position:absolute;left:0;text-align:left;margin-left:15.75pt;margin-top:-188.25pt;width:429.7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" filled="f" stroked="f" strokeweight=".5pt">
                <v:textbo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6876F2">
        <w:rPr>
          <w:rFonts w:ascii="Times New Roman" w:hAnsi="Times New Roman" w:cs="Times New Roman"/>
        </w:rPr>
        <w:t xml:space="preserve">Furthermore, </w:t>
      </w:r>
      <w:r w:rsidR="00914F92">
        <w:rPr>
          <w:rFonts w:ascii="Times New Roman" w:hAnsi="Times New Roman" w:cs="Times New Roman"/>
        </w:rPr>
        <w:t xml:space="preserve">I describe </w:t>
      </w:r>
      <w:r w:rsidR="00F91BD3">
        <w:rPr>
          <w:rFonts w:ascii="Times New Roman" w:hAnsi="Times New Roman" w:cs="Times New Roman"/>
        </w:rPr>
        <w:t>that alternative unit outage assumptions supporting Staff’s replacement power cost analysis are fundamentally flawed</w:t>
      </w:r>
      <w:r w:rsidR="006876F2">
        <w:rPr>
          <w:rFonts w:ascii="Times New Roman" w:hAnsi="Times New Roman" w:cs="Times New Roman"/>
        </w:rPr>
        <w:t xml:space="preserve"> and</w:t>
      </w:r>
      <w:r w:rsidR="00F91BD3">
        <w:rPr>
          <w:rFonts w:ascii="Times New Roman" w:hAnsi="Times New Roman" w:cs="Times New Roman"/>
        </w:rPr>
        <w:t xml:space="preserve"> that its calculations are incomplete, and therefore, its proposed </w:t>
      </w:r>
      <w:r w:rsidR="005C06D0" w:rsidRPr="005C06D0">
        <w:rPr>
          <w:rFonts w:ascii="Times New Roman" w:hAnsi="Times New Roman" w:cs="Times New Roman"/>
          <w:highlight w:val="black"/>
        </w:rPr>
        <w:t>___________</w:t>
      </w:r>
      <w:r w:rsidR="00F91BD3">
        <w:rPr>
          <w:rFonts w:ascii="Times New Roman" w:hAnsi="Times New Roman" w:cs="Times New Roman"/>
        </w:rPr>
        <w:t xml:space="preserve"> downward adjustment to SCR benefits is not valid.</w:t>
      </w:r>
    </w:p>
    <w:p w:rsidR="000B4104" w:rsidRDefault="009B2BB9" w:rsidP="008F7DBB">
      <w:pPr>
        <w:spacing w:line="48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Sierra Club inappropriately calculates adjustments related to coal costs and natural gas prices. </w:t>
      </w:r>
      <w:r w:rsidR="00FE33F8">
        <w:rPr>
          <w:rFonts w:ascii="Times New Roman" w:hAnsi="Times New Roman" w:cs="Times New Roman"/>
        </w:rPr>
        <w:t xml:space="preserve"> </w:t>
      </w:r>
      <w:r>
        <w:rPr>
          <w:rFonts w:ascii="Times New Roman" w:hAnsi="Times New Roman" w:cs="Times New Roman"/>
        </w:rPr>
        <w:t xml:space="preserve">In both instances, Sierra Club uses information that was </w:t>
      </w:r>
      <w:r w:rsidR="00EE1E15">
        <w:rPr>
          <w:rFonts w:ascii="Times New Roman" w:hAnsi="Times New Roman" w:cs="Times New Roman"/>
        </w:rPr>
        <w:t xml:space="preserve">available after the Company decided to move forward with the Jim Bridger </w:t>
      </w:r>
      <w:r w:rsidR="001002BA">
        <w:rPr>
          <w:rFonts w:ascii="Times New Roman" w:hAnsi="Times New Roman" w:cs="Times New Roman"/>
        </w:rPr>
        <w:t xml:space="preserve">Units 3 and 4 </w:t>
      </w:r>
      <w:r w:rsidR="00EE1E15">
        <w:rPr>
          <w:rFonts w:ascii="Times New Roman" w:hAnsi="Times New Roman" w:cs="Times New Roman"/>
        </w:rPr>
        <w:t xml:space="preserve">SCRs to calculate </w:t>
      </w:r>
      <w:r>
        <w:rPr>
          <w:rFonts w:ascii="Times New Roman" w:hAnsi="Times New Roman" w:cs="Times New Roman"/>
        </w:rPr>
        <w:t>adjus</w:t>
      </w:r>
      <w:r w:rsidR="00EE1E15">
        <w:rPr>
          <w:rFonts w:ascii="Times New Roman" w:hAnsi="Times New Roman" w:cs="Times New Roman"/>
        </w:rPr>
        <w:t xml:space="preserve">tments that reduce SCR benefits. </w:t>
      </w:r>
      <w:r w:rsidR="0052359B">
        <w:rPr>
          <w:rFonts w:ascii="Times New Roman" w:hAnsi="Times New Roman" w:cs="Times New Roman"/>
        </w:rPr>
        <w:t xml:space="preserve"> </w:t>
      </w:r>
      <w:r w:rsidR="00EE1E15">
        <w:rPr>
          <w:rFonts w:ascii="Times New Roman" w:hAnsi="Times New Roman" w:cs="Times New Roman"/>
        </w:rPr>
        <w:t xml:space="preserve">Sierra Club mischaracterizes natural gas price forecast assumptions available to the Company in fall 2013, and similar to Staff, ignores natural gas price uncertainty in its comparative natural gas price analysis. </w:t>
      </w:r>
      <w:r w:rsidR="0052359B">
        <w:rPr>
          <w:rFonts w:ascii="Times New Roman" w:hAnsi="Times New Roman" w:cs="Times New Roman"/>
        </w:rPr>
        <w:t xml:space="preserve"> </w:t>
      </w:r>
      <w:r w:rsidR="00EE1E15">
        <w:rPr>
          <w:rFonts w:ascii="Times New Roman" w:hAnsi="Times New Roman" w:cs="Times New Roman"/>
        </w:rPr>
        <w:t>Consequently, Sierra Club’s proposed natural gas price forec</w:t>
      </w:r>
      <w:r w:rsidR="00494965">
        <w:rPr>
          <w:rFonts w:ascii="Times New Roman" w:hAnsi="Times New Roman" w:cs="Times New Roman"/>
        </w:rPr>
        <w:t>ast adjustment</w:t>
      </w:r>
      <w:r w:rsidR="00420B35">
        <w:rPr>
          <w:rFonts w:ascii="Times New Roman" w:hAnsi="Times New Roman" w:cs="Times New Roman"/>
        </w:rPr>
        <w:t>, which purportedly</w:t>
      </w:r>
      <w:r w:rsidR="00494965">
        <w:rPr>
          <w:rFonts w:ascii="Times New Roman" w:hAnsi="Times New Roman" w:cs="Times New Roman"/>
        </w:rPr>
        <w:t xml:space="preserve"> reduces </w:t>
      </w:r>
      <w:proofErr w:type="spellStart"/>
      <w:r w:rsidR="00494965">
        <w:rPr>
          <w:rFonts w:ascii="Times New Roman" w:hAnsi="Times New Roman" w:cs="Times New Roman"/>
        </w:rPr>
        <w:t>SCR</w:t>
      </w:r>
      <w:proofErr w:type="spellEnd"/>
      <w:r w:rsidR="00494965">
        <w:rPr>
          <w:rFonts w:ascii="Times New Roman" w:hAnsi="Times New Roman" w:cs="Times New Roman"/>
        </w:rPr>
        <w:t xml:space="preserve"> </w:t>
      </w:r>
      <w:r w:rsidR="00EE1E15">
        <w:rPr>
          <w:rFonts w:ascii="Times New Roman" w:hAnsi="Times New Roman" w:cs="Times New Roman"/>
        </w:rPr>
        <w:t xml:space="preserve">benefits by </w:t>
      </w:r>
      <w:r w:rsidR="005C06D0" w:rsidRPr="005C06D0">
        <w:rPr>
          <w:rFonts w:ascii="Times New Roman" w:hAnsi="Times New Roman" w:cs="Times New Roman"/>
          <w:highlight w:val="black"/>
        </w:rPr>
        <w:t>___________</w:t>
      </w:r>
      <w:r w:rsidR="009430E3">
        <w:rPr>
          <w:rFonts w:ascii="Times New Roman" w:hAnsi="Times New Roman" w:cs="Times New Roman"/>
        </w:rPr>
        <w:t>,</w:t>
      </w:r>
      <w:r w:rsidR="00EE1E15">
        <w:rPr>
          <w:rFonts w:ascii="Times New Roman" w:hAnsi="Times New Roman" w:cs="Times New Roman"/>
        </w:rPr>
        <w:t xml:space="preserve"> is not valid. </w:t>
      </w:r>
    </w:p>
    <w:p w:rsidR="009F2103" w:rsidRDefault="00EE1E15" w:rsidP="00141AC5">
      <w:pPr>
        <w:spacing w:line="480" w:lineRule="auto"/>
        <w:ind w:left="720" w:firstLine="720"/>
        <w:rPr>
          <w:rFonts w:ascii="Times New Roman" w:hAnsi="Times New Roman" w:cs="Times New Roman"/>
        </w:rPr>
      </w:pPr>
      <w:r>
        <w:rPr>
          <w:rFonts w:ascii="Times New Roman" w:hAnsi="Times New Roman" w:cs="Times New Roman"/>
        </w:rPr>
        <w:t xml:space="preserve">Sierra Club uses coal cost assumptions for the Jim Bridger plant that were developed long after the Company decided to proceed with installation of </w:t>
      </w:r>
      <w:r w:rsidR="00494965">
        <w:rPr>
          <w:rFonts w:ascii="Times New Roman" w:hAnsi="Times New Roman" w:cs="Times New Roman"/>
        </w:rPr>
        <w:t xml:space="preserve">the </w:t>
      </w:r>
      <w:r>
        <w:rPr>
          <w:rFonts w:ascii="Times New Roman" w:hAnsi="Times New Roman" w:cs="Times New Roman"/>
        </w:rPr>
        <w:t>SCR</w:t>
      </w:r>
      <w:r w:rsidR="0052359B">
        <w:rPr>
          <w:rFonts w:ascii="Times New Roman" w:hAnsi="Times New Roman" w:cs="Times New Roman"/>
        </w:rPr>
        <w:t>s</w:t>
      </w:r>
      <w:r>
        <w:rPr>
          <w:rFonts w:ascii="Times New Roman" w:hAnsi="Times New Roman" w:cs="Times New Roman"/>
        </w:rPr>
        <w:t xml:space="preserve">. </w:t>
      </w:r>
      <w:r w:rsidR="00596969">
        <w:rPr>
          <w:rFonts w:ascii="Times New Roman" w:hAnsi="Times New Roman" w:cs="Times New Roman"/>
        </w:rPr>
        <w:t xml:space="preserve"> </w:t>
      </w:r>
      <w:r>
        <w:rPr>
          <w:rFonts w:ascii="Times New Roman" w:hAnsi="Times New Roman" w:cs="Times New Roman"/>
        </w:rPr>
        <w:t xml:space="preserve">Even if this </w:t>
      </w:r>
      <w:r w:rsidR="009F2103">
        <w:rPr>
          <w:rFonts w:ascii="Times New Roman" w:hAnsi="Times New Roman" w:cs="Times New Roman"/>
        </w:rPr>
        <w:t xml:space="preserve">coal cost </w:t>
      </w:r>
      <w:r>
        <w:rPr>
          <w:rFonts w:ascii="Times New Roman" w:hAnsi="Times New Roman" w:cs="Times New Roman"/>
        </w:rPr>
        <w:t xml:space="preserve">forecast </w:t>
      </w:r>
      <w:r w:rsidR="00596969">
        <w:rPr>
          <w:rFonts w:ascii="Times New Roman" w:hAnsi="Times New Roman" w:cs="Times New Roman"/>
        </w:rPr>
        <w:t xml:space="preserve">had </w:t>
      </w:r>
      <w:r>
        <w:rPr>
          <w:rFonts w:ascii="Times New Roman" w:hAnsi="Times New Roman" w:cs="Times New Roman"/>
        </w:rPr>
        <w:t xml:space="preserve">somehow </w:t>
      </w:r>
      <w:r w:rsidR="00596969">
        <w:rPr>
          <w:rFonts w:ascii="Times New Roman" w:hAnsi="Times New Roman" w:cs="Times New Roman"/>
        </w:rPr>
        <w:t xml:space="preserve">been </w:t>
      </w:r>
      <w:r>
        <w:rPr>
          <w:rFonts w:ascii="Times New Roman" w:hAnsi="Times New Roman" w:cs="Times New Roman"/>
        </w:rPr>
        <w:t>available to the Company in fall 2013</w:t>
      </w:r>
      <w:r w:rsidR="00596969">
        <w:rPr>
          <w:rFonts w:ascii="Times New Roman" w:hAnsi="Times New Roman" w:cs="Times New Roman"/>
        </w:rPr>
        <w:t xml:space="preserve"> (which it was not)</w:t>
      </w:r>
      <w:r>
        <w:rPr>
          <w:rFonts w:ascii="Times New Roman" w:hAnsi="Times New Roman" w:cs="Times New Roman"/>
        </w:rPr>
        <w:t xml:space="preserve">, </w:t>
      </w:r>
      <w:r w:rsidR="00596969">
        <w:rPr>
          <w:rFonts w:ascii="Times New Roman" w:hAnsi="Times New Roman" w:cs="Times New Roman"/>
        </w:rPr>
        <w:t xml:space="preserve">there are </w:t>
      </w:r>
      <w:r w:rsidR="009F2103">
        <w:rPr>
          <w:rFonts w:ascii="Times New Roman" w:hAnsi="Times New Roman" w:cs="Times New Roman"/>
        </w:rPr>
        <w:t xml:space="preserve">errors in </w:t>
      </w:r>
      <w:r>
        <w:rPr>
          <w:rFonts w:ascii="Times New Roman" w:hAnsi="Times New Roman" w:cs="Times New Roman"/>
        </w:rPr>
        <w:t>Sierra Club</w:t>
      </w:r>
      <w:r w:rsidR="009F2103">
        <w:rPr>
          <w:rFonts w:ascii="Times New Roman" w:hAnsi="Times New Roman" w:cs="Times New Roman"/>
        </w:rPr>
        <w:t>’s</w:t>
      </w:r>
      <w:r>
        <w:rPr>
          <w:rFonts w:ascii="Times New Roman" w:hAnsi="Times New Roman" w:cs="Times New Roman"/>
        </w:rPr>
        <w:t xml:space="preserve"> </w:t>
      </w:r>
      <w:r w:rsidR="009F2103">
        <w:rPr>
          <w:rFonts w:ascii="Times New Roman" w:hAnsi="Times New Roman" w:cs="Times New Roman"/>
        </w:rPr>
        <w:t xml:space="preserve">calculations that cause it to overstate </w:t>
      </w:r>
      <w:r w:rsidR="00596969">
        <w:rPr>
          <w:rFonts w:ascii="Times New Roman" w:hAnsi="Times New Roman" w:cs="Times New Roman"/>
        </w:rPr>
        <w:t>the</w:t>
      </w:r>
      <w:r w:rsidR="009F2103">
        <w:rPr>
          <w:rFonts w:ascii="Times New Roman" w:hAnsi="Times New Roman" w:cs="Times New Roman"/>
        </w:rPr>
        <w:t xml:space="preserve"> proposed adjustment reducing SCR benefits of </w:t>
      </w:r>
      <w:r w:rsidR="005C06D0" w:rsidRPr="005C06D0">
        <w:rPr>
          <w:rFonts w:ascii="Times New Roman" w:hAnsi="Times New Roman" w:cs="Times New Roman"/>
          <w:highlight w:val="black"/>
        </w:rPr>
        <w:t>___________</w:t>
      </w:r>
      <w:r w:rsidR="009F2103">
        <w:rPr>
          <w:rFonts w:ascii="Times New Roman" w:hAnsi="Times New Roman" w:cs="Times New Roman"/>
        </w:rPr>
        <w:t xml:space="preserve"> by </w:t>
      </w:r>
      <w:r w:rsidR="005C06D0" w:rsidRPr="005C06D0">
        <w:rPr>
          <w:rFonts w:ascii="Times New Roman" w:hAnsi="Times New Roman" w:cs="Times New Roman"/>
          <w:highlight w:val="black"/>
        </w:rPr>
        <w:t>____</w:t>
      </w:r>
      <w:r w:rsidR="009F2103" w:rsidRPr="00141AC5">
        <w:rPr>
          <w:rFonts w:ascii="Times New Roman" w:hAnsi="Times New Roman" w:cs="Times New Roman"/>
          <w:highlight w:val="darkGray"/>
        </w:rPr>
        <w:t xml:space="preserve"> </w:t>
      </w:r>
      <w:r w:rsidR="002932C4" w:rsidRPr="002932C4">
        <w:rPr>
          <w:rFonts w:ascii="Times New Roman" w:hAnsi="Times New Roman" w:cs="Times New Roman"/>
          <w:highlight w:val="black"/>
        </w:rPr>
        <w:t>______</w:t>
      </w:r>
      <w:r w:rsidR="009F2103">
        <w:rPr>
          <w:rFonts w:ascii="Times New Roman" w:hAnsi="Times New Roman" w:cs="Times New Roman"/>
        </w:rPr>
        <w:t xml:space="preserve">. </w:t>
      </w:r>
      <w:r w:rsidR="00FE33F8">
        <w:rPr>
          <w:rFonts w:ascii="Times New Roman" w:hAnsi="Times New Roman" w:cs="Times New Roman"/>
        </w:rPr>
        <w:t xml:space="preserve"> </w:t>
      </w:r>
      <w:r w:rsidR="00BE4808">
        <w:rPr>
          <w:rFonts w:ascii="Times New Roman" w:hAnsi="Times New Roman" w:cs="Times New Roman"/>
        </w:rPr>
        <w:t xml:space="preserve">Thus, </w:t>
      </w:r>
      <w:r w:rsidR="009F2103">
        <w:rPr>
          <w:rFonts w:ascii="Times New Roman" w:hAnsi="Times New Roman" w:cs="Times New Roman"/>
        </w:rPr>
        <w:t xml:space="preserve">Sierra Club’s coal cost adjustment </w:t>
      </w:r>
      <w:r w:rsidR="00BE4808">
        <w:rPr>
          <w:rFonts w:ascii="Times New Roman" w:hAnsi="Times New Roman" w:cs="Times New Roman"/>
        </w:rPr>
        <w:t xml:space="preserve">(when corrected) </w:t>
      </w:r>
      <w:r w:rsidR="009F2103">
        <w:rPr>
          <w:rFonts w:ascii="Times New Roman" w:hAnsi="Times New Roman" w:cs="Times New Roman"/>
        </w:rPr>
        <w:t>does not support its conclusion that gas conversion would be lower cost.</w:t>
      </w:r>
    </w:p>
    <w:p w:rsidR="00591C02" w:rsidRDefault="00E5513D" w:rsidP="008F7DBB">
      <w:pPr>
        <w:spacing w:line="480" w:lineRule="auto"/>
        <w:ind w:left="720" w:hanging="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F822A2" wp14:editId="68556389">
                <wp:simplePos x="0" y="0"/>
                <wp:positionH relativeFrom="column">
                  <wp:posOffset>476250</wp:posOffset>
                </wp:positionH>
                <wp:positionV relativeFrom="paragraph">
                  <wp:posOffset>-1377315</wp:posOffset>
                </wp:positionV>
                <wp:extent cx="4962525" cy="542925"/>
                <wp:effectExtent l="0" t="0" r="0" b="0"/>
                <wp:wrapNone/>
                <wp:docPr id="6" name="Text Box 6"/>
                <wp:cNvGraphicFramePr/>
                <a:graphic xmlns:a="http://schemas.openxmlformats.org/drawingml/2006/main">
                  <a:graphicData uri="http://schemas.microsoft.com/office/word/2010/wordprocessingShape">
                    <wps:wsp>
                      <wps:cNvSpPr txBox="1"/>
                      <wps:spPr>
                        <a:xfrm>
                          <a:off x="0" y="0"/>
                          <a:ext cx="49625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8" type="#_x0000_t202" style="position:absolute;left:0;text-align:left;margin-left:37.5pt;margin-top:-108.45pt;width:390.75pt;height:4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" filled="f" stroked="f" strokeweight=".5pt">
                <v:textbo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9F2103">
        <w:rPr>
          <w:rFonts w:ascii="Times New Roman" w:hAnsi="Times New Roman" w:cs="Times New Roman"/>
        </w:rPr>
        <w:tab/>
      </w:r>
      <w:r w:rsidR="009F2103">
        <w:rPr>
          <w:rFonts w:ascii="Times New Roman" w:hAnsi="Times New Roman" w:cs="Times New Roman"/>
        </w:rPr>
        <w:tab/>
        <w:t xml:space="preserve">I </w:t>
      </w:r>
      <w:r w:rsidR="00591C02">
        <w:rPr>
          <w:rFonts w:ascii="Times New Roman" w:hAnsi="Times New Roman" w:cs="Times New Roman"/>
        </w:rPr>
        <w:t xml:space="preserve">also </w:t>
      </w:r>
      <w:r w:rsidR="009F2103">
        <w:rPr>
          <w:rFonts w:ascii="Times New Roman" w:hAnsi="Times New Roman" w:cs="Times New Roman"/>
        </w:rPr>
        <w:t>respond to Staff’s claim that the Company did not provide Jim Bridger</w:t>
      </w:r>
      <w:r w:rsidR="00591C02">
        <w:rPr>
          <w:rFonts w:ascii="Times New Roman" w:hAnsi="Times New Roman" w:cs="Times New Roman"/>
        </w:rPr>
        <w:t xml:space="preserve"> </w:t>
      </w:r>
      <w:r w:rsidR="001002BA">
        <w:rPr>
          <w:rFonts w:ascii="Times New Roman" w:hAnsi="Times New Roman" w:cs="Times New Roman"/>
        </w:rPr>
        <w:t>Units 3 and 4</w:t>
      </w:r>
      <w:r w:rsidR="00494965">
        <w:rPr>
          <w:rFonts w:ascii="Times New Roman" w:hAnsi="Times New Roman" w:cs="Times New Roman"/>
        </w:rPr>
        <w:t xml:space="preserve"> </w:t>
      </w:r>
      <w:r w:rsidR="00591C02">
        <w:rPr>
          <w:rFonts w:ascii="Times New Roman" w:hAnsi="Times New Roman" w:cs="Times New Roman"/>
        </w:rPr>
        <w:t>SCR</w:t>
      </w:r>
      <w:r w:rsidR="00141E39">
        <w:rPr>
          <w:rFonts w:ascii="Times New Roman" w:hAnsi="Times New Roman" w:cs="Times New Roman"/>
        </w:rPr>
        <w:t xml:space="preserve"> </w:t>
      </w:r>
      <w:r w:rsidR="00591C02">
        <w:rPr>
          <w:rFonts w:ascii="Times New Roman" w:hAnsi="Times New Roman" w:cs="Times New Roman"/>
        </w:rPr>
        <w:t>analysis requested by the C</w:t>
      </w:r>
      <w:r w:rsidR="009F2103">
        <w:rPr>
          <w:rFonts w:ascii="Times New Roman" w:hAnsi="Times New Roman" w:cs="Times New Roman"/>
        </w:rPr>
        <w:t xml:space="preserve">ommission in the Company’s 2013 Integrated Resource Plan (IRP) Update. </w:t>
      </w:r>
      <w:r w:rsidR="00FE33F8">
        <w:rPr>
          <w:rFonts w:ascii="Times New Roman" w:hAnsi="Times New Roman" w:cs="Times New Roman"/>
        </w:rPr>
        <w:t xml:space="preserve"> </w:t>
      </w:r>
      <w:r w:rsidR="009F2103">
        <w:rPr>
          <w:rFonts w:ascii="Times New Roman" w:hAnsi="Times New Roman" w:cs="Times New Roman"/>
        </w:rPr>
        <w:t xml:space="preserve">I describe the </w:t>
      </w:r>
      <w:r w:rsidR="0092404D">
        <w:rPr>
          <w:rFonts w:ascii="Times New Roman" w:hAnsi="Times New Roman" w:cs="Times New Roman"/>
        </w:rPr>
        <w:t xml:space="preserve">Commission’s request for additional analysis in the 2013 IRP Update, the </w:t>
      </w:r>
      <w:r w:rsidR="009F2103">
        <w:rPr>
          <w:rFonts w:ascii="Times New Roman" w:hAnsi="Times New Roman" w:cs="Times New Roman"/>
        </w:rPr>
        <w:t xml:space="preserve">information presented in the Company’s 2013 IRP, and how the Company satisfied </w:t>
      </w:r>
      <w:r w:rsidR="0092404D">
        <w:rPr>
          <w:rFonts w:ascii="Times New Roman" w:hAnsi="Times New Roman" w:cs="Times New Roman"/>
        </w:rPr>
        <w:t xml:space="preserve">the Commission’s </w:t>
      </w:r>
      <w:r w:rsidR="009F2103">
        <w:rPr>
          <w:rFonts w:ascii="Times New Roman" w:hAnsi="Times New Roman" w:cs="Times New Roman"/>
        </w:rPr>
        <w:t>request.</w:t>
      </w:r>
      <w:r w:rsidR="00591C02">
        <w:rPr>
          <w:rFonts w:ascii="Times New Roman" w:hAnsi="Times New Roman" w:cs="Times New Roman"/>
        </w:rPr>
        <w:t xml:space="preserve"> </w:t>
      </w:r>
    </w:p>
    <w:p w:rsidR="009B2BB9" w:rsidRDefault="00591C02" w:rsidP="00591C02">
      <w:pPr>
        <w:spacing w:line="480" w:lineRule="auto"/>
        <w:ind w:left="720" w:firstLine="720"/>
        <w:rPr>
          <w:rFonts w:ascii="Times New Roman" w:hAnsi="Times New Roman" w:cs="Times New Roman"/>
        </w:rPr>
      </w:pPr>
      <w:r>
        <w:rPr>
          <w:rFonts w:ascii="Times New Roman" w:hAnsi="Times New Roman" w:cs="Times New Roman"/>
        </w:rPr>
        <w:t xml:space="preserve">Finally, I respond to comments raised by Staff and Sierra Club related to the Company’s analysis </w:t>
      </w:r>
      <w:r w:rsidR="00794E60">
        <w:rPr>
          <w:rFonts w:ascii="Times New Roman" w:hAnsi="Times New Roman" w:cs="Times New Roman"/>
        </w:rPr>
        <w:t>under the</w:t>
      </w:r>
      <w:r>
        <w:rPr>
          <w:rFonts w:ascii="Times New Roman" w:hAnsi="Times New Roman" w:cs="Times New Roman"/>
        </w:rPr>
        <w:t xml:space="preserve"> West Control Area</w:t>
      </w:r>
      <w:r w:rsidR="00794E60">
        <w:rPr>
          <w:rFonts w:ascii="Times New Roman" w:hAnsi="Times New Roman" w:cs="Times New Roman"/>
        </w:rPr>
        <w:t xml:space="preserve"> inter</w:t>
      </w:r>
      <w:r w:rsidR="00B230EF">
        <w:rPr>
          <w:rFonts w:ascii="Times New Roman" w:hAnsi="Times New Roman" w:cs="Times New Roman"/>
        </w:rPr>
        <w:t>-</w:t>
      </w:r>
      <w:r w:rsidR="00794E60">
        <w:rPr>
          <w:rFonts w:ascii="Times New Roman" w:hAnsi="Times New Roman" w:cs="Times New Roman"/>
        </w:rPr>
        <w:t>jurisdictional allocation methodology</w:t>
      </w:r>
      <w:r>
        <w:rPr>
          <w:rFonts w:ascii="Times New Roman" w:hAnsi="Times New Roman" w:cs="Times New Roman"/>
        </w:rPr>
        <w:t xml:space="preserve"> (WCA). </w:t>
      </w:r>
      <w:r w:rsidR="00FE33F8">
        <w:rPr>
          <w:rFonts w:ascii="Times New Roman" w:hAnsi="Times New Roman" w:cs="Times New Roman"/>
        </w:rPr>
        <w:t xml:space="preserve"> </w:t>
      </w:r>
      <w:r w:rsidR="001D7AAC">
        <w:rPr>
          <w:rFonts w:ascii="Times New Roman" w:hAnsi="Times New Roman" w:cs="Times New Roman"/>
        </w:rPr>
        <w:t>T</w:t>
      </w:r>
      <w:r>
        <w:rPr>
          <w:rFonts w:ascii="Times New Roman" w:hAnsi="Times New Roman" w:cs="Times New Roman"/>
        </w:rPr>
        <w:t>his analysis</w:t>
      </w:r>
      <w:r w:rsidR="001D7AAC">
        <w:rPr>
          <w:rFonts w:ascii="Times New Roman" w:hAnsi="Times New Roman" w:cs="Times New Roman"/>
        </w:rPr>
        <w:t xml:space="preserve"> was</w:t>
      </w:r>
      <w:r>
        <w:rPr>
          <w:rFonts w:ascii="Times New Roman" w:hAnsi="Times New Roman" w:cs="Times New Roman"/>
        </w:rPr>
        <w:t xml:space="preserve"> presented in my direct testimony for illustrative purposes only,</w:t>
      </w:r>
      <w:r w:rsidR="001D7AAC">
        <w:rPr>
          <w:rFonts w:ascii="Times New Roman" w:hAnsi="Times New Roman" w:cs="Times New Roman"/>
        </w:rPr>
        <w:t xml:space="preserve"> but</w:t>
      </w:r>
      <w:r>
        <w:rPr>
          <w:rFonts w:ascii="Times New Roman" w:hAnsi="Times New Roman" w:cs="Times New Roman"/>
        </w:rPr>
        <w:t xml:space="preserve"> it is </w:t>
      </w:r>
      <w:r w:rsidR="001D7AAC">
        <w:rPr>
          <w:rFonts w:ascii="Times New Roman" w:hAnsi="Times New Roman" w:cs="Times New Roman"/>
        </w:rPr>
        <w:t xml:space="preserve">nonetheless </w:t>
      </w:r>
      <w:r>
        <w:rPr>
          <w:rFonts w:ascii="Times New Roman" w:hAnsi="Times New Roman" w:cs="Times New Roman"/>
        </w:rPr>
        <w:t xml:space="preserve">reasonable. </w:t>
      </w:r>
      <w:r w:rsidR="00FE33F8">
        <w:rPr>
          <w:rFonts w:ascii="Times New Roman" w:hAnsi="Times New Roman" w:cs="Times New Roman"/>
        </w:rPr>
        <w:t xml:space="preserve"> </w:t>
      </w:r>
      <w:r>
        <w:rPr>
          <w:rFonts w:ascii="Times New Roman" w:hAnsi="Times New Roman" w:cs="Times New Roman"/>
        </w:rPr>
        <w:t xml:space="preserve">I describe how the WCA analysis uses the </w:t>
      </w:r>
      <w:r w:rsidRPr="007664FC">
        <w:rPr>
          <w:rFonts w:ascii="Times New Roman" w:hAnsi="Times New Roman" w:cs="Times New Roman"/>
        </w:rPr>
        <w:t xml:space="preserve">same method to allocate the Company’s system-wide actual net power cost results to the </w:t>
      </w:r>
      <w:r w:rsidR="00601E06">
        <w:rPr>
          <w:rFonts w:ascii="Times New Roman" w:hAnsi="Times New Roman" w:cs="Times New Roman"/>
        </w:rPr>
        <w:t>west control areal</w:t>
      </w:r>
      <w:r w:rsidRPr="007664FC">
        <w:rPr>
          <w:rFonts w:ascii="Times New Roman" w:hAnsi="Times New Roman" w:cs="Times New Roman"/>
        </w:rPr>
        <w:t xml:space="preserve"> for comparison against the cost included in rates as part of the Company’s </w:t>
      </w:r>
      <w:r w:rsidR="001E01DC">
        <w:rPr>
          <w:rFonts w:ascii="Times New Roman" w:hAnsi="Times New Roman" w:cs="Times New Roman"/>
        </w:rPr>
        <w:t>p</w:t>
      </w:r>
      <w:r w:rsidRPr="007664FC">
        <w:rPr>
          <w:rFonts w:ascii="Times New Roman" w:hAnsi="Times New Roman" w:cs="Times New Roman"/>
        </w:rPr>
        <w:t xml:space="preserve">ower </w:t>
      </w:r>
      <w:r w:rsidR="001E01DC">
        <w:rPr>
          <w:rFonts w:ascii="Times New Roman" w:hAnsi="Times New Roman" w:cs="Times New Roman"/>
        </w:rPr>
        <w:t>c</w:t>
      </w:r>
      <w:r w:rsidRPr="007664FC">
        <w:rPr>
          <w:rFonts w:ascii="Times New Roman" w:hAnsi="Times New Roman" w:cs="Times New Roman"/>
        </w:rPr>
        <w:t xml:space="preserve">ost </w:t>
      </w:r>
      <w:r w:rsidR="001E01DC">
        <w:rPr>
          <w:rFonts w:ascii="Times New Roman" w:hAnsi="Times New Roman" w:cs="Times New Roman"/>
        </w:rPr>
        <w:t>a</w:t>
      </w:r>
      <w:r w:rsidRPr="007664FC">
        <w:rPr>
          <w:rFonts w:ascii="Times New Roman" w:hAnsi="Times New Roman" w:cs="Times New Roman"/>
        </w:rPr>
        <w:t xml:space="preserve">djustment </w:t>
      </w:r>
      <w:r w:rsidR="001E01DC">
        <w:rPr>
          <w:rFonts w:ascii="Times New Roman" w:hAnsi="Times New Roman" w:cs="Times New Roman"/>
        </w:rPr>
        <w:t>m</w:t>
      </w:r>
      <w:r w:rsidRPr="007664FC">
        <w:rPr>
          <w:rFonts w:ascii="Times New Roman" w:hAnsi="Times New Roman" w:cs="Times New Roman"/>
        </w:rPr>
        <w:t>echanism.</w:t>
      </w:r>
    </w:p>
    <w:p w:rsidR="00045333" w:rsidRPr="00045333" w:rsidRDefault="00045333" w:rsidP="00E5513D">
      <w:pPr>
        <w:pStyle w:val="Heading1"/>
      </w:pPr>
      <w:bookmarkStart w:id="2" w:name="_Toc447715554"/>
      <w:r>
        <w:t>COAL COSTS</w:t>
      </w:r>
      <w:bookmarkEnd w:id="2"/>
    </w:p>
    <w:p w:rsidR="001D4B3D" w:rsidRDefault="001D4B3D" w:rsidP="001D4B3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503D9E">
        <w:rPr>
          <w:rFonts w:ascii="Times New Roman" w:hAnsi="Times New Roman" w:cs="Times New Roman"/>
          <w:b/>
          <w:bCs/>
        </w:rPr>
        <w:t>Did Staff review coal cost projections used in the Company’s Jim Bridger SCR analysis</w:t>
      </w:r>
      <w:r>
        <w:rPr>
          <w:rFonts w:ascii="Times New Roman" w:hAnsi="Times New Roman" w:cs="Times New Roman"/>
          <w:b/>
          <w:bCs/>
        </w:rPr>
        <w:t>?</w:t>
      </w:r>
    </w:p>
    <w:p w:rsidR="001D4B3D" w:rsidRDefault="001D4B3D" w:rsidP="001D4B3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503D9E">
        <w:rPr>
          <w:rFonts w:ascii="Times New Roman" w:hAnsi="Times New Roman" w:cs="Times New Roman"/>
        </w:rPr>
        <w:t xml:space="preserve">Yes. </w:t>
      </w:r>
      <w:r w:rsidR="0086696A">
        <w:rPr>
          <w:rFonts w:ascii="Times New Roman" w:hAnsi="Times New Roman" w:cs="Times New Roman"/>
        </w:rPr>
        <w:t xml:space="preserve"> </w:t>
      </w:r>
      <w:r w:rsidR="00503D9E">
        <w:rPr>
          <w:rFonts w:ascii="Times New Roman" w:hAnsi="Times New Roman" w:cs="Times New Roman"/>
        </w:rPr>
        <w:t xml:space="preserve">Staff compared </w:t>
      </w:r>
      <w:r w:rsidR="00BC07BB">
        <w:rPr>
          <w:rFonts w:ascii="Times New Roman" w:hAnsi="Times New Roman" w:cs="Times New Roman"/>
        </w:rPr>
        <w:t xml:space="preserve">the life-of-plant fuel cost forecasts for the Jim Bridger plant </w:t>
      </w:r>
      <w:r w:rsidR="00503D9E">
        <w:rPr>
          <w:rFonts w:ascii="Times New Roman" w:hAnsi="Times New Roman" w:cs="Times New Roman"/>
        </w:rPr>
        <w:t xml:space="preserve">used in the Company’s </w:t>
      </w:r>
      <w:r w:rsidR="0095108F">
        <w:rPr>
          <w:rFonts w:ascii="Times New Roman" w:hAnsi="Times New Roman" w:cs="Times New Roman"/>
        </w:rPr>
        <w:t xml:space="preserve">SCR </w:t>
      </w:r>
      <w:r w:rsidR="00503D9E">
        <w:rPr>
          <w:rFonts w:ascii="Times New Roman" w:hAnsi="Times New Roman" w:cs="Times New Roman"/>
        </w:rPr>
        <w:t xml:space="preserve">analysis with coal cost projections it claims are based on the Bridger </w:t>
      </w:r>
      <w:r w:rsidR="000B4104">
        <w:rPr>
          <w:rFonts w:ascii="Times New Roman" w:hAnsi="Times New Roman" w:cs="Times New Roman"/>
        </w:rPr>
        <w:t>Coal Company</w:t>
      </w:r>
      <w:r w:rsidR="002F58D7">
        <w:rPr>
          <w:rFonts w:ascii="Times New Roman" w:hAnsi="Times New Roman" w:cs="Times New Roman"/>
        </w:rPr>
        <w:t xml:space="preserve"> </w:t>
      </w:r>
      <w:r w:rsidR="00503D9E">
        <w:rPr>
          <w:rFonts w:ascii="Times New Roman" w:hAnsi="Times New Roman" w:cs="Times New Roman"/>
        </w:rPr>
        <w:t>mine plan</w:t>
      </w:r>
      <w:r w:rsidR="0095108F">
        <w:rPr>
          <w:rFonts w:ascii="Times New Roman" w:hAnsi="Times New Roman" w:cs="Times New Roman"/>
        </w:rPr>
        <w:t xml:space="preserve"> finalized in October 2013</w:t>
      </w:r>
      <w:r w:rsidR="00BC07BB">
        <w:rPr>
          <w:rFonts w:ascii="Times New Roman" w:hAnsi="Times New Roman" w:cs="Times New Roman"/>
        </w:rPr>
        <w:t>.</w:t>
      </w:r>
      <w:r w:rsidR="002F58D7">
        <w:rPr>
          <w:rStyle w:val="FootnoteReference"/>
          <w:rFonts w:ascii="Times New Roman" w:hAnsi="Times New Roman"/>
        </w:rPr>
        <w:footnoteReference w:id="3"/>
      </w:r>
      <w:r w:rsidR="00BC07BB">
        <w:rPr>
          <w:rFonts w:ascii="Times New Roman" w:hAnsi="Times New Roman" w:cs="Times New Roman"/>
        </w:rPr>
        <w:t xml:space="preserve"> </w:t>
      </w:r>
      <w:r w:rsidR="00FE33F8">
        <w:rPr>
          <w:rFonts w:ascii="Times New Roman" w:hAnsi="Times New Roman" w:cs="Times New Roman"/>
        </w:rPr>
        <w:t xml:space="preserve"> </w:t>
      </w:r>
      <w:r w:rsidR="00BC07BB">
        <w:rPr>
          <w:rFonts w:ascii="Times New Roman" w:hAnsi="Times New Roman" w:cs="Times New Roman"/>
        </w:rPr>
        <w:t xml:space="preserve">Staff asserts that coal costs from what it describes as the 2013 Bridger Coal Company mine plan are </w:t>
      </w:r>
      <w:r w:rsidR="002932C4" w:rsidRPr="002932C4">
        <w:rPr>
          <w:rFonts w:ascii="Times New Roman" w:hAnsi="Times New Roman" w:cs="Times New Roman"/>
          <w:highlight w:val="black"/>
        </w:rPr>
        <w:t>__</w:t>
      </w:r>
      <w:r w:rsidR="00B230EF">
        <w:rPr>
          <w:rFonts w:ascii="Times New Roman" w:hAnsi="Times New Roman" w:cs="Times New Roman"/>
        </w:rPr>
        <w:t> </w:t>
      </w:r>
      <w:r w:rsidR="00BC07BB">
        <w:rPr>
          <w:rFonts w:ascii="Times New Roman" w:hAnsi="Times New Roman" w:cs="Times New Roman"/>
        </w:rPr>
        <w:t xml:space="preserve">percent higher than coal costs used in the Company’s Jim Bridger SCR analysis and </w:t>
      </w:r>
      <w:r w:rsidR="00BC6DF5">
        <w:rPr>
          <w:rFonts w:ascii="Times New Roman" w:hAnsi="Times New Roman" w:cs="Times New Roman"/>
        </w:rPr>
        <w:t xml:space="preserve">argues </w:t>
      </w:r>
      <w:r w:rsidR="00BC07BB">
        <w:rPr>
          <w:rFonts w:ascii="Times New Roman" w:hAnsi="Times New Roman" w:cs="Times New Roman"/>
        </w:rPr>
        <w:t xml:space="preserve">that the Company should have updated its analysis to reflect these updated projections </w:t>
      </w:r>
      <w:r w:rsidR="00BC6DF5">
        <w:rPr>
          <w:rFonts w:ascii="Times New Roman" w:hAnsi="Times New Roman" w:cs="Times New Roman"/>
        </w:rPr>
        <w:t xml:space="preserve">before </w:t>
      </w:r>
      <w:r w:rsidR="00BC07BB">
        <w:rPr>
          <w:rFonts w:ascii="Times New Roman" w:hAnsi="Times New Roman" w:cs="Times New Roman"/>
        </w:rPr>
        <w:t>issuing</w:t>
      </w:r>
      <w:r w:rsidR="0095108F">
        <w:rPr>
          <w:rFonts w:ascii="Times New Roman" w:hAnsi="Times New Roman" w:cs="Times New Roman"/>
        </w:rPr>
        <w:t xml:space="preserve"> </w:t>
      </w:r>
      <w:r w:rsidR="00BC07BB">
        <w:rPr>
          <w:rFonts w:ascii="Times New Roman" w:hAnsi="Times New Roman" w:cs="Times New Roman"/>
        </w:rPr>
        <w:t>the</w:t>
      </w:r>
      <w:r w:rsidR="0095108F">
        <w:rPr>
          <w:rFonts w:ascii="Times New Roman" w:hAnsi="Times New Roman" w:cs="Times New Roman"/>
        </w:rPr>
        <w:t xml:space="preserve"> </w:t>
      </w:r>
      <w:r w:rsidR="008A069C">
        <w:rPr>
          <w:rFonts w:ascii="Times New Roman" w:hAnsi="Times New Roman" w:cs="Times New Roman"/>
        </w:rPr>
        <w:t>Full N</w:t>
      </w:r>
      <w:r w:rsidR="0095108F">
        <w:rPr>
          <w:rFonts w:ascii="Times New Roman" w:hAnsi="Times New Roman" w:cs="Times New Roman"/>
        </w:rPr>
        <w:t xml:space="preserve">otice to </w:t>
      </w:r>
      <w:r w:rsidR="008A069C">
        <w:rPr>
          <w:rFonts w:ascii="Times New Roman" w:hAnsi="Times New Roman" w:cs="Times New Roman"/>
        </w:rPr>
        <w:t>P</w:t>
      </w:r>
      <w:r w:rsidR="0095108F">
        <w:rPr>
          <w:rFonts w:ascii="Times New Roman" w:hAnsi="Times New Roman" w:cs="Times New Roman"/>
        </w:rPr>
        <w:t xml:space="preserve">roceed </w:t>
      </w:r>
      <w:r w:rsidR="008A069C">
        <w:rPr>
          <w:rFonts w:ascii="Times New Roman" w:hAnsi="Times New Roman" w:cs="Times New Roman"/>
        </w:rPr>
        <w:t xml:space="preserve">(FNTP) </w:t>
      </w:r>
      <w:r w:rsidR="0095108F">
        <w:rPr>
          <w:rFonts w:ascii="Times New Roman" w:hAnsi="Times New Roman" w:cs="Times New Roman"/>
        </w:rPr>
        <w:t>to the engineer</w:t>
      </w:r>
      <w:r w:rsidR="00E96084">
        <w:rPr>
          <w:rFonts w:ascii="Times New Roman" w:hAnsi="Times New Roman" w:cs="Times New Roman"/>
        </w:rPr>
        <w:t>ing</w:t>
      </w:r>
      <w:r w:rsidR="0095108F">
        <w:rPr>
          <w:rFonts w:ascii="Times New Roman" w:hAnsi="Times New Roman" w:cs="Times New Roman"/>
        </w:rPr>
        <w:t>, procure</w:t>
      </w:r>
      <w:r w:rsidR="00E96084">
        <w:rPr>
          <w:rFonts w:ascii="Times New Roman" w:hAnsi="Times New Roman" w:cs="Times New Roman"/>
        </w:rPr>
        <w:t>ment</w:t>
      </w:r>
      <w:r w:rsidR="0095108F">
        <w:rPr>
          <w:rFonts w:ascii="Times New Roman" w:hAnsi="Times New Roman" w:cs="Times New Roman"/>
        </w:rPr>
        <w:t>, and construct</w:t>
      </w:r>
      <w:r w:rsidR="00E96084">
        <w:rPr>
          <w:rFonts w:ascii="Times New Roman" w:hAnsi="Times New Roman" w:cs="Times New Roman"/>
        </w:rPr>
        <w:t>ion services</w:t>
      </w:r>
      <w:r w:rsidR="00EF36A7">
        <w:rPr>
          <w:rFonts w:ascii="Times New Roman" w:hAnsi="Times New Roman" w:cs="Times New Roman"/>
        </w:rPr>
        <w:t xml:space="preserve"> (EPC)</w:t>
      </w:r>
      <w:r w:rsidR="0095108F">
        <w:rPr>
          <w:rFonts w:ascii="Times New Roman" w:hAnsi="Times New Roman" w:cs="Times New Roman"/>
        </w:rPr>
        <w:t xml:space="preserve"> contract</w:t>
      </w:r>
      <w:r w:rsidR="00A43C15">
        <w:rPr>
          <w:rFonts w:ascii="Times New Roman" w:hAnsi="Times New Roman" w:cs="Times New Roman"/>
        </w:rPr>
        <w:t>or</w:t>
      </w:r>
      <w:r w:rsidR="0095108F">
        <w:rPr>
          <w:rFonts w:ascii="Times New Roman" w:hAnsi="Times New Roman" w:cs="Times New Roman"/>
        </w:rPr>
        <w:t xml:space="preserve"> on December 1, 2013.</w:t>
      </w:r>
    </w:p>
    <w:p w:rsidR="0095108F" w:rsidRDefault="00E5513D" w:rsidP="0095108F">
      <w:pPr>
        <w:spacing w:line="480" w:lineRule="auto"/>
        <w:ind w:left="720" w:hanging="72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2ED871F0" wp14:editId="4097BEA2">
                <wp:simplePos x="0" y="0"/>
                <wp:positionH relativeFrom="column">
                  <wp:posOffset>419100</wp:posOffset>
                </wp:positionH>
                <wp:positionV relativeFrom="paragraph">
                  <wp:posOffset>-1689735</wp:posOffset>
                </wp:positionV>
                <wp:extent cx="5038725" cy="647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50387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left:0;text-align:left;margin-left:33pt;margin-top:-133.05pt;width:396.7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" filled="f" stroked="f" strokeweight=".5pt">
                <v:textbox>
                  <w:txbxContent>
                    <w:p w:rsidR="009D3D41" w:rsidRDefault="009D3D41" w:rsidP="00E5513D">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E5513D">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95108F" w:rsidRPr="0053680D">
        <w:rPr>
          <w:rFonts w:ascii="Times New Roman" w:hAnsi="Times New Roman" w:cs="Times New Roman"/>
          <w:b/>
          <w:bCs/>
        </w:rPr>
        <w:t>Q.</w:t>
      </w:r>
      <w:r w:rsidR="0095108F" w:rsidRPr="0053680D">
        <w:rPr>
          <w:rFonts w:ascii="Times New Roman" w:hAnsi="Times New Roman" w:cs="Times New Roman"/>
          <w:b/>
          <w:bCs/>
        </w:rPr>
        <w:tab/>
      </w:r>
      <w:r w:rsidR="00A43C15">
        <w:rPr>
          <w:rFonts w:ascii="Times New Roman" w:hAnsi="Times New Roman" w:cs="Times New Roman"/>
          <w:b/>
          <w:bCs/>
        </w:rPr>
        <w:t>Describe how Staff use</w:t>
      </w:r>
      <w:r w:rsidR="001E01DC">
        <w:rPr>
          <w:rFonts w:ascii="Times New Roman" w:hAnsi="Times New Roman" w:cs="Times New Roman"/>
          <w:b/>
          <w:bCs/>
        </w:rPr>
        <w:t>s</w:t>
      </w:r>
      <w:r w:rsidR="00A43C15">
        <w:rPr>
          <w:rFonts w:ascii="Times New Roman" w:hAnsi="Times New Roman" w:cs="Times New Roman"/>
          <w:b/>
          <w:bCs/>
        </w:rPr>
        <w:t xml:space="preserve"> its comparative analysis to apply an adjustment to the Company’s Jim Bridger </w:t>
      </w:r>
      <w:r w:rsidR="00A43C15" w:rsidRPr="00141E39">
        <w:rPr>
          <w:rFonts w:ascii="Times New Roman" w:hAnsi="Times New Roman" w:cs="Times New Roman"/>
          <w:b/>
          <w:bCs/>
        </w:rPr>
        <w:t xml:space="preserve">SCR </w:t>
      </w:r>
      <w:r w:rsidR="00A43C15">
        <w:rPr>
          <w:rFonts w:ascii="Times New Roman" w:hAnsi="Times New Roman" w:cs="Times New Roman"/>
          <w:b/>
          <w:bCs/>
        </w:rPr>
        <w:t>analysis.</w:t>
      </w:r>
    </w:p>
    <w:p w:rsidR="0095108F" w:rsidRDefault="0095108F" w:rsidP="0095108F">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Staff </w:t>
      </w:r>
      <w:r w:rsidR="00C05BE5">
        <w:rPr>
          <w:rFonts w:ascii="Times New Roman" w:hAnsi="Times New Roman" w:cs="Times New Roman"/>
        </w:rPr>
        <w:t xml:space="preserve">applies coal costs from what it characterizes as the finalized 2013 </w:t>
      </w:r>
      <w:r>
        <w:rPr>
          <w:rFonts w:ascii="Times New Roman" w:hAnsi="Times New Roman" w:cs="Times New Roman"/>
        </w:rPr>
        <w:t xml:space="preserve">Bridger Coal </w:t>
      </w:r>
      <w:r w:rsidR="00BC07BB">
        <w:rPr>
          <w:rFonts w:ascii="Times New Roman" w:hAnsi="Times New Roman" w:cs="Times New Roman"/>
        </w:rPr>
        <w:t xml:space="preserve">Company </w:t>
      </w:r>
      <w:r w:rsidR="00C05BE5">
        <w:rPr>
          <w:rFonts w:ascii="Times New Roman" w:hAnsi="Times New Roman" w:cs="Times New Roman"/>
        </w:rPr>
        <w:t xml:space="preserve">mine plan to </w:t>
      </w:r>
      <w:r w:rsidR="008836F0">
        <w:rPr>
          <w:rFonts w:ascii="Times New Roman" w:hAnsi="Times New Roman" w:cs="Times New Roman"/>
        </w:rPr>
        <w:t xml:space="preserve">Jim Bridger </w:t>
      </w:r>
      <w:r w:rsidR="00C05BE5">
        <w:rPr>
          <w:rFonts w:ascii="Times New Roman" w:hAnsi="Times New Roman" w:cs="Times New Roman"/>
        </w:rPr>
        <w:t xml:space="preserve">fuel consumption </w:t>
      </w:r>
      <w:r w:rsidR="008836F0">
        <w:rPr>
          <w:rFonts w:ascii="Times New Roman" w:hAnsi="Times New Roman" w:cs="Times New Roman"/>
        </w:rPr>
        <w:t xml:space="preserve">data </w:t>
      </w:r>
      <w:r w:rsidR="00BC07BB">
        <w:rPr>
          <w:rFonts w:ascii="Times New Roman" w:hAnsi="Times New Roman" w:cs="Times New Roman"/>
        </w:rPr>
        <w:t>taken from the</w:t>
      </w:r>
      <w:r w:rsidR="00C05BE5">
        <w:rPr>
          <w:rFonts w:ascii="Times New Roman" w:hAnsi="Times New Roman" w:cs="Times New Roman"/>
        </w:rPr>
        <w:t xml:space="preserve"> Company’s analysis to calculate annual fuel costs</w:t>
      </w:r>
      <w:r w:rsidR="00BC07BB">
        <w:rPr>
          <w:rFonts w:ascii="Times New Roman" w:hAnsi="Times New Roman" w:cs="Times New Roman"/>
        </w:rPr>
        <w:t xml:space="preserve">. </w:t>
      </w:r>
      <w:r w:rsidR="00FE33F8">
        <w:rPr>
          <w:rFonts w:ascii="Times New Roman" w:hAnsi="Times New Roman" w:cs="Times New Roman"/>
        </w:rPr>
        <w:t xml:space="preserve"> </w:t>
      </w:r>
      <w:r w:rsidR="00BC07BB">
        <w:rPr>
          <w:rFonts w:ascii="Times New Roman" w:hAnsi="Times New Roman" w:cs="Times New Roman"/>
        </w:rPr>
        <w:t>Staff use</w:t>
      </w:r>
      <w:r w:rsidR="000B4104">
        <w:rPr>
          <w:rFonts w:ascii="Times New Roman" w:hAnsi="Times New Roman" w:cs="Times New Roman"/>
        </w:rPr>
        <w:t>s</w:t>
      </w:r>
      <w:r w:rsidR="00BC07BB">
        <w:rPr>
          <w:rFonts w:ascii="Times New Roman" w:hAnsi="Times New Roman" w:cs="Times New Roman"/>
        </w:rPr>
        <w:t xml:space="preserve"> these annual coal costs to calculate Jim Bridger fuel costs on</w:t>
      </w:r>
      <w:r w:rsidR="00C05BE5">
        <w:rPr>
          <w:rFonts w:ascii="Times New Roman" w:hAnsi="Times New Roman" w:cs="Times New Roman"/>
        </w:rPr>
        <w:t xml:space="preserve"> </w:t>
      </w:r>
      <w:r w:rsidR="008836F0">
        <w:rPr>
          <w:rFonts w:ascii="Times New Roman" w:hAnsi="Times New Roman" w:cs="Times New Roman"/>
        </w:rPr>
        <w:t xml:space="preserve">a </w:t>
      </w:r>
      <w:r w:rsidR="00C05BE5">
        <w:rPr>
          <w:rFonts w:ascii="Times New Roman" w:hAnsi="Times New Roman" w:cs="Times New Roman"/>
        </w:rPr>
        <w:t>present value basis</w:t>
      </w:r>
      <w:r w:rsidR="008836F0">
        <w:rPr>
          <w:rFonts w:ascii="Times New Roman" w:hAnsi="Times New Roman" w:cs="Times New Roman"/>
        </w:rPr>
        <w:t xml:space="preserve"> and </w:t>
      </w:r>
      <w:r w:rsidR="00C05BE5">
        <w:rPr>
          <w:rFonts w:ascii="Times New Roman" w:hAnsi="Times New Roman" w:cs="Times New Roman"/>
        </w:rPr>
        <w:t>concludes that the Company’s base case analysis overstate</w:t>
      </w:r>
      <w:r w:rsidR="000B4104">
        <w:rPr>
          <w:rFonts w:ascii="Times New Roman" w:hAnsi="Times New Roman" w:cs="Times New Roman"/>
        </w:rPr>
        <w:t>s</w:t>
      </w:r>
      <w:r w:rsidR="00C05BE5">
        <w:rPr>
          <w:rFonts w:ascii="Times New Roman" w:hAnsi="Times New Roman" w:cs="Times New Roman"/>
        </w:rPr>
        <w:t xml:space="preserve"> Jim Bridger SCR benefits by </w:t>
      </w:r>
      <w:r w:rsidR="002932C4" w:rsidRPr="005C06D0">
        <w:rPr>
          <w:rFonts w:ascii="Times New Roman" w:hAnsi="Times New Roman" w:cs="Times New Roman"/>
          <w:highlight w:val="black"/>
        </w:rPr>
        <w:t>___________</w:t>
      </w:r>
      <w:r w:rsidR="000B4104">
        <w:rPr>
          <w:rFonts w:ascii="Times New Roman" w:hAnsi="Times New Roman" w:cs="Times New Roman"/>
        </w:rPr>
        <w:t>,</w:t>
      </w:r>
      <w:r w:rsidR="001E01DC">
        <w:rPr>
          <w:rStyle w:val="FootnoteReference"/>
          <w:rFonts w:ascii="Times New Roman" w:hAnsi="Times New Roman"/>
        </w:rPr>
        <w:footnoteReference w:id="4"/>
      </w:r>
      <w:r w:rsidR="000B4104">
        <w:rPr>
          <w:rFonts w:ascii="Times New Roman" w:hAnsi="Times New Roman" w:cs="Times New Roman"/>
        </w:rPr>
        <w:t xml:space="preserve"> which it uses to support </w:t>
      </w:r>
      <w:proofErr w:type="spellStart"/>
      <w:r w:rsidR="000B4104">
        <w:rPr>
          <w:rFonts w:ascii="Times New Roman" w:hAnsi="Times New Roman" w:cs="Times New Roman"/>
        </w:rPr>
        <w:t>a</w:t>
      </w:r>
      <w:proofErr w:type="spellEnd"/>
      <w:r w:rsidR="000B4104">
        <w:rPr>
          <w:rFonts w:ascii="Times New Roman" w:hAnsi="Times New Roman" w:cs="Times New Roman"/>
        </w:rPr>
        <w:t xml:space="preserve"> </w:t>
      </w:r>
      <w:r w:rsidR="002932C4" w:rsidRPr="005C06D0">
        <w:rPr>
          <w:rFonts w:ascii="Times New Roman" w:hAnsi="Times New Roman" w:cs="Times New Roman"/>
          <w:highlight w:val="black"/>
        </w:rPr>
        <w:t>_</w:t>
      </w:r>
      <w:r w:rsidR="002932C4">
        <w:rPr>
          <w:rFonts w:ascii="Times New Roman" w:hAnsi="Times New Roman" w:cs="Times New Roman"/>
          <w:highlight w:val="black"/>
        </w:rPr>
        <w:t>________</w:t>
      </w:r>
      <w:r w:rsidR="000B4104">
        <w:rPr>
          <w:rFonts w:ascii="Times New Roman" w:hAnsi="Times New Roman" w:cs="Times New Roman"/>
        </w:rPr>
        <w:t xml:space="preserve"> adjustment to the Company’s analysis</w:t>
      </w:r>
      <w:r w:rsidR="00C05BE5">
        <w:rPr>
          <w:rFonts w:ascii="Times New Roman" w:hAnsi="Times New Roman" w:cs="Times New Roman"/>
        </w:rPr>
        <w:t>.</w:t>
      </w:r>
      <w:r w:rsidR="009C24FF">
        <w:rPr>
          <w:rStyle w:val="FootnoteReference"/>
          <w:rFonts w:ascii="Times New Roman" w:hAnsi="Times New Roman"/>
        </w:rPr>
        <w:footnoteReference w:id="5"/>
      </w:r>
      <w:r w:rsidR="00C05BE5">
        <w:rPr>
          <w:rFonts w:ascii="Times New Roman" w:hAnsi="Times New Roman" w:cs="Times New Roman"/>
        </w:rPr>
        <w:t xml:space="preserve"> </w:t>
      </w:r>
      <w:r w:rsidR="00FE33F8">
        <w:rPr>
          <w:rFonts w:ascii="Times New Roman" w:hAnsi="Times New Roman" w:cs="Times New Roman"/>
        </w:rPr>
        <w:t xml:space="preserve"> </w:t>
      </w:r>
      <w:r w:rsidR="00C05BE5">
        <w:rPr>
          <w:rFonts w:ascii="Times New Roman" w:hAnsi="Times New Roman" w:cs="Times New Roman"/>
        </w:rPr>
        <w:t xml:space="preserve">Staff notes that its calculation </w:t>
      </w:r>
      <w:r w:rsidR="000254DD">
        <w:rPr>
          <w:rFonts w:ascii="Times New Roman" w:hAnsi="Times New Roman" w:cs="Times New Roman"/>
        </w:rPr>
        <w:t>ignores</w:t>
      </w:r>
      <w:r w:rsidR="00C05BE5">
        <w:rPr>
          <w:rFonts w:ascii="Times New Roman" w:hAnsi="Times New Roman" w:cs="Times New Roman"/>
        </w:rPr>
        <w:t xml:space="preserve"> </w:t>
      </w:r>
      <w:r w:rsidR="000254DD">
        <w:rPr>
          <w:rFonts w:ascii="Times New Roman" w:hAnsi="Times New Roman" w:cs="Times New Roman"/>
        </w:rPr>
        <w:t>costs associated with supplemental coal obtained from the Black Butte Mine on the basis it would have a negligible impact on its proposed adjustment.</w:t>
      </w:r>
      <w:r w:rsidR="009C24FF">
        <w:rPr>
          <w:rStyle w:val="FootnoteReference"/>
          <w:rFonts w:ascii="Times New Roman" w:hAnsi="Times New Roman"/>
        </w:rPr>
        <w:footnoteReference w:id="6"/>
      </w:r>
    </w:p>
    <w:p w:rsidR="000254DD" w:rsidRDefault="000254DD" w:rsidP="000254D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Is Staff’s comparative analysis of </w:t>
      </w:r>
      <w:r w:rsidR="003E2D5B">
        <w:rPr>
          <w:rFonts w:ascii="Times New Roman" w:hAnsi="Times New Roman" w:cs="Times New Roman"/>
          <w:b/>
          <w:bCs/>
        </w:rPr>
        <w:t xml:space="preserve">Bridger </w:t>
      </w:r>
      <w:r w:rsidR="00494965">
        <w:rPr>
          <w:rFonts w:ascii="Times New Roman" w:hAnsi="Times New Roman" w:cs="Times New Roman"/>
          <w:b/>
          <w:bCs/>
        </w:rPr>
        <w:t>c</w:t>
      </w:r>
      <w:r w:rsidR="003E2D5B">
        <w:rPr>
          <w:rFonts w:ascii="Times New Roman" w:hAnsi="Times New Roman" w:cs="Times New Roman"/>
          <w:b/>
          <w:bCs/>
        </w:rPr>
        <w:t>oal</w:t>
      </w:r>
      <w:r>
        <w:rPr>
          <w:rFonts w:ascii="Times New Roman" w:hAnsi="Times New Roman" w:cs="Times New Roman"/>
          <w:b/>
          <w:bCs/>
        </w:rPr>
        <w:t xml:space="preserve"> costs accurate?</w:t>
      </w:r>
    </w:p>
    <w:p w:rsidR="000254DD" w:rsidRDefault="000254DD" w:rsidP="000254D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No.</w:t>
      </w:r>
      <w:r w:rsidR="00E96084">
        <w:rPr>
          <w:rFonts w:ascii="Times New Roman" w:hAnsi="Times New Roman" w:cs="Times New Roman"/>
        </w:rPr>
        <w:t xml:space="preserve"> </w:t>
      </w:r>
      <w:r>
        <w:rPr>
          <w:rFonts w:ascii="Times New Roman" w:hAnsi="Times New Roman" w:cs="Times New Roman"/>
        </w:rPr>
        <w:t xml:space="preserve"> Staff’s analysis is </w:t>
      </w:r>
      <w:r w:rsidR="003E2D5B">
        <w:rPr>
          <w:rFonts w:ascii="Times New Roman" w:hAnsi="Times New Roman" w:cs="Times New Roman"/>
        </w:rPr>
        <w:t>fundamentally flawed, rendering its conclusions and proposed adjustment invalid</w:t>
      </w:r>
      <w:r>
        <w:rPr>
          <w:rFonts w:ascii="Times New Roman" w:hAnsi="Times New Roman" w:cs="Times New Roman"/>
        </w:rPr>
        <w:t>.</w:t>
      </w:r>
      <w:r w:rsidR="003E2D5B">
        <w:rPr>
          <w:rFonts w:ascii="Times New Roman" w:hAnsi="Times New Roman" w:cs="Times New Roman"/>
        </w:rPr>
        <w:t xml:space="preserve"> </w:t>
      </w:r>
      <w:r w:rsidR="00CE44A7">
        <w:rPr>
          <w:rFonts w:ascii="Times New Roman" w:hAnsi="Times New Roman" w:cs="Times New Roman"/>
        </w:rPr>
        <w:t xml:space="preserve"> </w:t>
      </w:r>
      <w:r w:rsidR="00C11C15">
        <w:rPr>
          <w:rFonts w:ascii="Times New Roman" w:hAnsi="Times New Roman" w:cs="Times New Roman"/>
        </w:rPr>
        <w:t xml:space="preserve">Staff failed to recognize that </w:t>
      </w:r>
      <w:r w:rsidR="00DC1E92">
        <w:rPr>
          <w:rFonts w:ascii="Times New Roman" w:hAnsi="Times New Roman" w:cs="Times New Roman"/>
        </w:rPr>
        <w:t xml:space="preserve">its calculated </w:t>
      </w:r>
      <w:r w:rsidR="002932C4" w:rsidRPr="002932C4">
        <w:rPr>
          <w:rFonts w:ascii="Times New Roman" w:hAnsi="Times New Roman" w:cs="Times New Roman"/>
          <w:highlight w:val="black"/>
        </w:rPr>
        <w:t>__</w:t>
      </w:r>
      <w:r w:rsidR="00C11C15">
        <w:rPr>
          <w:rFonts w:ascii="Times New Roman" w:hAnsi="Times New Roman" w:cs="Times New Roman"/>
        </w:rPr>
        <w:t xml:space="preserve"> percent increase </w:t>
      </w:r>
      <w:r w:rsidR="00DC1E92">
        <w:rPr>
          <w:rFonts w:ascii="Times New Roman" w:hAnsi="Times New Roman" w:cs="Times New Roman"/>
        </w:rPr>
        <w:t xml:space="preserve">in </w:t>
      </w:r>
      <w:r w:rsidR="00C11C15">
        <w:rPr>
          <w:rFonts w:ascii="Times New Roman" w:hAnsi="Times New Roman" w:cs="Times New Roman"/>
        </w:rPr>
        <w:t xml:space="preserve">coal costs is driven by </w:t>
      </w:r>
      <w:r w:rsidR="008836F0">
        <w:rPr>
          <w:rFonts w:ascii="Times New Roman" w:hAnsi="Times New Roman" w:cs="Times New Roman"/>
        </w:rPr>
        <w:t xml:space="preserve">Bridger Coal Company </w:t>
      </w:r>
      <w:r w:rsidR="00C11C15">
        <w:rPr>
          <w:rFonts w:ascii="Times New Roman" w:hAnsi="Times New Roman" w:cs="Times New Roman"/>
        </w:rPr>
        <w:t xml:space="preserve">operating costs that were </w:t>
      </w:r>
      <w:r w:rsidR="00DC1E92">
        <w:rPr>
          <w:rFonts w:ascii="Times New Roman" w:hAnsi="Times New Roman" w:cs="Times New Roman"/>
        </w:rPr>
        <w:t xml:space="preserve">appropriately excluded from </w:t>
      </w:r>
      <w:r w:rsidR="00C11C15">
        <w:rPr>
          <w:rFonts w:ascii="Times New Roman" w:hAnsi="Times New Roman" w:cs="Times New Roman"/>
        </w:rPr>
        <w:t xml:space="preserve">the coal cost forecast </w:t>
      </w:r>
      <w:r w:rsidR="00DC1E92">
        <w:rPr>
          <w:rFonts w:ascii="Times New Roman" w:hAnsi="Times New Roman" w:cs="Times New Roman"/>
        </w:rPr>
        <w:t xml:space="preserve">used in the Company’s Jim Bridger </w:t>
      </w:r>
      <w:proofErr w:type="spellStart"/>
      <w:r w:rsidR="00DC1E92">
        <w:rPr>
          <w:rFonts w:ascii="Times New Roman" w:hAnsi="Times New Roman" w:cs="Times New Roman"/>
        </w:rPr>
        <w:t>SCR</w:t>
      </w:r>
      <w:proofErr w:type="spellEnd"/>
      <w:r w:rsidR="00DC1E92">
        <w:rPr>
          <w:rFonts w:ascii="Times New Roman" w:hAnsi="Times New Roman" w:cs="Times New Roman"/>
        </w:rPr>
        <w:t xml:space="preserve"> analysis.</w:t>
      </w:r>
    </w:p>
    <w:p w:rsidR="00E5513D" w:rsidRDefault="00E5513D" w:rsidP="00E5513D">
      <w:pPr>
        <w:suppressLineNumbers/>
        <w:spacing w:line="480" w:lineRule="auto"/>
        <w:ind w:left="720" w:hanging="720"/>
        <w:rPr>
          <w:rFonts w:ascii="Times New Roman" w:hAnsi="Times New Roman" w:cs="Times New Roman"/>
          <w:b/>
          <w:bCs/>
        </w:rPr>
      </w:pPr>
    </w:p>
    <w:p w:rsidR="00045333" w:rsidRDefault="00045333" w:rsidP="00045333">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624CD9">
        <w:rPr>
          <w:rFonts w:ascii="Times New Roman" w:hAnsi="Times New Roman" w:cs="Times New Roman"/>
          <w:b/>
          <w:bCs/>
        </w:rPr>
        <w:t>What costs are included in Bridger Coal</w:t>
      </w:r>
      <w:r w:rsidR="008836F0">
        <w:rPr>
          <w:rFonts w:ascii="Times New Roman" w:hAnsi="Times New Roman" w:cs="Times New Roman"/>
          <w:b/>
          <w:bCs/>
        </w:rPr>
        <w:t xml:space="preserve"> Company</w:t>
      </w:r>
      <w:r w:rsidR="00624CD9">
        <w:rPr>
          <w:rFonts w:ascii="Times New Roman" w:hAnsi="Times New Roman" w:cs="Times New Roman"/>
          <w:b/>
          <w:bCs/>
        </w:rPr>
        <w:t>’s mine operating costs</w:t>
      </w:r>
      <w:r w:rsidR="00083556">
        <w:rPr>
          <w:rFonts w:ascii="Times New Roman" w:hAnsi="Times New Roman" w:cs="Times New Roman"/>
          <w:b/>
          <w:bCs/>
        </w:rPr>
        <w:t>?</w:t>
      </w:r>
    </w:p>
    <w:p w:rsidR="00624CD9" w:rsidRDefault="00045333" w:rsidP="00045333">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624CD9">
        <w:rPr>
          <w:rFonts w:ascii="Times New Roman" w:hAnsi="Times New Roman" w:cs="Times New Roman"/>
        </w:rPr>
        <w:t>Bridger Coal</w:t>
      </w:r>
      <w:r w:rsidR="008836F0">
        <w:rPr>
          <w:rFonts w:ascii="Times New Roman" w:hAnsi="Times New Roman" w:cs="Times New Roman"/>
        </w:rPr>
        <w:t xml:space="preserve"> Company</w:t>
      </w:r>
      <w:r w:rsidR="00624CD9">
        <w:rPr>
          <w:rFonts w:ascii="Times New Roman" w:hAnsi="Times New Roman" w:cs="Times New Roman"/>
        </w:rPr>
        <w:t>’s mine operating costs include both cash and accrued expenditures along with the non-cash costs of depreciation, depletion</w:t>
      </w:r>
      <w:r w:rsidR="00E96084">
        <w:rPr>
          <w:rFonts w:ascii="Times New Roman" w:hAnsi="Times New Roman" w:cs="Times New Roman"/>
        </w:rPr>
        <w:t>,</w:t>
      </w:r>
      <w:r w:rsidR="00624CD9">
        <w:rPr>
          <w:rFonts w:ascii="Times New Roman" w:hAnsi="Times New Roman" w:cs="Times New Roman"/>
        </w:rPr>
        <w:t xml:space="preserve"> and amortization.</w:t>
      </w:r>
    </w:p>
    <w:p w:rsidR="00624CD9" w:rsidRDefault="00624CD9" w:rsidP="00624CD9">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Did </w:t>
      </w:r>
      <w:r w:rsidR="001E01DC">
        <w:rPr>
          <w:rFonts w:ascii="Times New Roman" w:hAnsi="Times New Roman" w:cs="Times New Roman"/>
          <w:b/>
          <w:bCs/>
        </w:rPr>
        <w:t xml:space="preserve">the </w:t>
      </w:r>
      <w:r>
        <w:rPr>
          <w:rFonts w:ascii="Times New Roman" w:hAnsi="Times New Roman" w:cs="Times New Roman"/>
          <w:b/>
          <w:bCs/>
        </w:rPr>
        <w:t xml:space="preserve">Bridger Coal </w:t>
      </w:r>
      <w:r w:rsidR="00083707">
        <w:rPr>
          <w:rFonts w:ascii="Times New Roman" w:hAnsi="Times New Roman" w:cs="Times New Roman"/>
          <w:b/>
          <w:bCs/>
        </w:rPr>
        <w:t xml:space="preserve">Company </w:t>
      </w:r>
      <w:r>
        <w:rPr>
          <w:rFonts w:ascii="Times New Roman" w:hAnsi="Times New Roman" w:cs="Times New Roman"/>
          <w:b/>
          <w:bCs/>
        </w:rPr>
        <w:t xml:space="preserve">operating costs </w:t>
      </w:r>
      <w:r w:rsidR="00CE44A7">
        <w:rPr>
          <w:rFonts w:ascii="Times New Roman" w:hAnsi="Times New Roman" w:cs="Times New Roman"/>
          <w:b/>
          <w:bCs/>
        </w:rPr>
        <w:t xml:space="preserve">used </w:t>
      </w:r>
      <w:r>
        <w:rPr>
          <w:rFonts w:ascii="Times New Roman" w:hAnsi="Times New Roman" w:cs="Times New Roman"/>
          <w:b/>
          <w:bCs/>
        </w:rPr>
        <w:t xml:space="preserve">in the Company’s Jim Bridger </w:t>
      </w:r>
      <w:r w:rsidRPr="00484183">
        <w:rPr>
          <w:rFonts w:ascii="Times New Roman" w:hAnsi="Times New Roman" w:cs="Times New Roman"/>
          <w:b/>
          <w:bCs/>
        </w:rPr>
        <w:t>SCR analysis</w:t>
      </w:r>
      <w:r>
        <w:rPr>
          <w:rFonts w:ascii="Times New Roman" w:hAnsi="Times New Roman" w:cs="Times New Roman"/>
          <w:b/>
          <w:bCs/>
        </w:rPr>
        <w:t xml:space="preserve"> include depreciation, depletion and amortization costs from past investments?</w:t>
      </w:r>
    </w:p>
    <w:p w:rsidR="0097705F" w:rsidRDefault="00624CD9" w:rsidP="00624CD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No. </w:t>
      </w:r>
      <w:r w:rsidR="0052359B">
        <w:rPr>
          <w:rFonts w:ascii="Times New Roman" w:hAnsi="Times New Roman" w:cs="Times New Roman"/>
        </w:rPr>
        <w:t xml:space="preserve"> </w:t>
      </w:r>
      <w:r>
        <w:rPr>
          <w:rFonts w:ascii="Times New Roman" w:hAnsi="Times New Roman" w:cs="Times New Roman"/>
        </w:rPr>
        <w:t xml:space="preserve">The </w:t>
      </w:r>
      <w:r w:rsidR="00DC1E92">
        <w:rPr>
          <w:rFonts w:ascii="Times New Roman" w:hAnsi="Times New Roman" w:cs="Times New Roman"/>
        </w:rPr>
        <w:t xml:space="preserve">Company’s </w:t>
      </w:r>
      <w:r>
        <w:rPr>
          <w:rFonts w:ascii="Times New Roman" w:hAnsi="Times New Roman" w:cs="Times New Roman"/>
        </w:rPr>
        <w:t xml:space="preserve">Jim Bridger SCR analysis </w:t>
      </w:r>
      <w:r w:rsidR="00CE44A7">
        <w:rPr>
          <w:rFonts w:ascii="Times New Roman" w:hAnsi="Times New Roman" w:cs="Times New Roman"/>
        </w:rPr>
        <w:t>calculates</w:t>
      </w:r>
      <w:r>
        <w:rPr>
          <w:rFonts w:ascii="Times New Roman" w:hAnsi="Times New Roman" w:cs="Times New Roman"/>
        </w:rPr>
        <w:t xml:space="preserve"> the impact of future compliance </w:t>
      </w:r>
      <w:r w:rsidR="0097705F">
        <w:rPr>
          <w:rFonts w:ascii="Times New Roman" w:hAnsi="Times New Roman" w:cs="Times New Roman"/>
        </w:rPr>
        <w:t xml:space="preserve">scenarios </w:t>
      </w:r>
      <w:r>
        <w:rPr>
          <w:rFonts w:ascii="Times New Roman" w:hAnsi="Times New Roman" w:cs="Times New Roman"/>
        </w:rPr>
        <w:t>on customers</w:t>
      </w:r>
      <w:r w:rsidR="0097705F">
        <w:rPr>
          <w:rFonts w:ascii="Times New Roman" w:hAnsi="Times New Roman" w:cs="Times New Roman"/>
        </w:rPr>
        <w:t>.</w:t>
      </w:r>
      <w:r w:rsidR="00CE44A7">
        <w:rPr>
          <w:rFonts w:ascii="Times New Roman" w:hAnsi="Times New Roman" w:cs="Times New Roman"/>
        </w:rPr>
        <w:t xml:space="preserve"> </w:t>
      </w:r>
      <w:r w:rsidR="0097705F">
        <w:rPr>
          <w:rFonts w:ascii="Times New Roman" w:hAnsi="Times New Roman" w:cs="Times New Roman"/>
        </w:rPr>
        <w:t xml:space="preserve"> The </w:t>
      </w:r>
      <w:r w:rsidR="008836F0">
        <w:rPr>
          <w:rFonts w:ascii="Times New Roman" w:hAnsi="Times New Roman" w:cs="Times New Roman"/>
        </w:rPr>
        <w:t xml:space="preserve">Company’s </w:t>
      </w:r>
      <w:r w:rsidR="0097705F">
        <w:rPr>
          <w:rFonts w:ascii="Times New Roman" w:hAnsi="Times New Roman" w:cs="Times New Roman"/>
        </w:rPr>
        <w:t xml:space="preserve">analysis excludes </w:t>
      </w:r>
      <w:r>
        <w:rPr>
          <w:rFonts w:ascii="Times New Roman" w:hAnsi="Times New Roman" w:cs="Times New Roman"/>
        </w:rPr>
        <w:t>depreciation, depletion</w:t>
      </w:r>
      <w:r w:rsidR="00E96084">
        <w:rPr>
          <w:rFonts w:ascii="Times New Roman" w:hAnsi="Times New Roman" w:cs="Times New Roman"/>
        </w:rPr>
        <w:t>,</w:t>
      </w:r>
      <w:r>
        <w:rPr>
          <w:rFonts w:ascii="Times New Roman" w:hAnsi="Times New Roman" w:cs="Times New Roman"/>
        </w:rPr>
        <w:t xml:space="preserve"> and amortization </w:t>
      </w:r>
      <w:r w:rsidR="0097705F">
        <w:rPr>
          <w:rFonts w:ascii="Times New Roman" w:hAnsi="Times New Roman" w:cs="Times New Roman"/>
        </w:rPr>
        <w:t xml:space="preserve">costs from </w:t>
      </w:r>
      <w:r>
        <w:rPr>
          <w:rFonts w:ascii="Times New Roman" w:hAnsi="Times New Roman" w:cs="Times New Roman"/>
        </w:rPr>
        <w:t>past investments</w:t>
      </w:r>
      <w:r w:rsidR="0097705F">
        <w:rPr>
          <w:rFonts w:ascii="Times New Roman" w:hAnsi="Times New Roman" w:cs="Times New Roman"/>
        </w:rPr>
        <w:t xml:space="preserve">, because these </w:t>
      </w:r>
      <w:r w:rsidR="00406EBF">
        <w:rPr>
          <w:rFonts w:ascii="Times New Roman" w:hAnsi="Times New Roman" w:cs="Times New Roman"/>
        </w:rPr>
        <w:t xml:space="preserve">non-cash </w:t>
      </w:r>
      <w:r w:rsidR="0097705F">
        <w:rPr>
          <w:rFonts w:ascii="Times New Roman" w:hAnsi="Times New Roman" w:cs="Times New Roman"/>
        </w:rPr>
        <w:t xml:space="preserve">costs are the same among all </w:t>
      </w:r>
      <w:r w:rsidR="008836F0">
        <w:rPr>
          <w:rFonts w:ascii="Times New Roman" w:hAnsi="Times New Roman" w:cs="Times New Roman"/>
        </w:rPr>
        <w:t xml:space="preserve">future </w:t>
      </w:r>
      <w:r w:rsidR="0097705F">
        <w:rPr>
          <w:rFonts w:ascii="Times New Roman" w:hAnsi="Times New Roman" w:cs="Times New Roman"/>
        </w:rPr>
        <w:t>compliance scenarios</w:t>
      </w:r>
      <w:r w:rsidR="008836F0">
        <w:rPr>
          <w:rFonts w:ascii="Times New Roman" w:hAnsi="Times New Roman" w:cs="Times New Roman"/>
        </w:rPr>
        <w:t xml:space="preserve"> and</w:t>
      </w:r>
      <w:r w:rsidR="00E96084">
        <w:rPr>
          <w:rFonts w:ascii="Times New Roman" w:hAnsi="Times New Roman" w:cs="Times New Roman"/>
        </w:rPr>
        <w:t>,</w:t>
      </w:r>
      <w:r w:rsidR="008836F0">
        <w:rPr>
          <w:rFonts w:ascii="Times New Roman" w:hAnsi="Times New Roman" w:cs="Times New Roman"/>
        </w:rPr>
        <w:t xml:space="preserve"> therefore, have </w:t>
      </w:r>
      <w:r w:rsidR="0097705F">
        <w:rPr>
          <w:rFonts w:ascii="Times New Roman" w:hAnsi="Times New Roman" w:cs="Times New Roman"/>
        </w:rPr>
        <w:t>no impact on the Jim Bridger SCR analysis.</w:t>
      </w:r>
    </w:p>
    <w:p w:rsidR="0097705F" w:rsidRDefault="0097705F" w:rsidP="0097705F">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Does the Company’s analysis </w:t>
      </w:r>
      <w:r w:rsidR="00DC1E92">
        <w:rPr>
          <w:rFonts w:ascii="Times New Roman" w:hAnsi="Times New Roman" w:cs="Times New Roman"/>
          <w:b/>
          <w:bCs/>
        </w:rPr>
        <w:t>include</w:t>
      </w:r>
      <w:r>
        <w:rPr>
          <w:rFonts w:ascii="Times New Roman" w:hAnsi="Times New Roman" w:cs="Times New Roman"/>
          <w:b/>
          <w:bCs/>
        </w:rPr>
        <w:t xml:space="preserve"> the return on and return of </w:t>
      </w:r>
      <w:r w:rsidR="008836F0">
        <w:rPr>
          <w:rFonts w:ascii="Times New Roman" w:hAnsi="Times New Roman" w:cs="Times New Roman"/>
          <w:b/>
          <w:bCs/>
        </w:rPr>
        <w:t>Bridger Coal Company’s future capital expenditure projections</w:t>
      </w:r>
      <w:r>
        <w:rPr>
          <w:rFonts w:ascii="Times New Roman" w:hAnsi="Times New Roman" w:cs="Times New Roman"/>
          <w:b/>
          <w:bCs/>
        </w:rPr>
        <w:t>?</w:t>
      </w:r>
    </w:p>
    <w:p w:rsidR="00045333" w:rsidRDefault="0097705F" w:rsidP="00302504">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CE44A7">
        <w:rPr>
          <w:rFonts w:ascii="Times New Roman" w:hAnsi="Times New Roman" w:cs="Times New Roman"/>
        </w:rPr>
        <w:t xml:space="preserve"> </w:t>
      </w:r>
      <w:r w:rsidR="00DC1E92">
        <w:rPr>
          <w:rFonts w:ascii="Times New Roman" w:hAnsi="Times New Roman" w:cs="Times New Roman"/>
        </w:rPr>
        <w:t xml:space="preserve">Unlike past investments, forecasted capital expenditures are </w:t>
      </w:r>
      <w:r w:rsidR="00A14D86">
        <w:rPr>
          <w:rFonts w:ascii="Times New Roman" w:hAnsi="Times New Roman" w:cs="Times New Roman"/>
        </w:rPr>
        <w:t xml:space="preserve">affected </w:t>
      </w:r>
      <w:r w:rsidR="00DC1E92">
        <w:rPr>
          <w:rFonts w:ascii="Times New Roman" w:hAnsi="Times New Roman" w:cs="Times New Roman"/>
        </w:rPr>
        <w:t xml:space="preserve">by different compliance alternatives. </w:t>
      </w:r>
      <w:r w:rsidR="00FE33F8">
        <w:rPr>
          <w:rFonts w:ascii="Times New Roman" w:hAnsi="Times New Roman" w:cs="Times New Roman"/>
        </w:rPr>
        <w:t xml:space="preserve"> </w:t>
      </w:r>
      <w:r w:rsidR="00DC1E92">
        <w:rPr>
          <w:rFonts w:ascii="Times New Roman" w:hAnsi="Times New Roman" w:cs="Times New Roman"/>
        </w:rPr>
        <w:t xml:space="preserve">The Company’s analysis </w:t>
      </w:r>
      <w:r w:rsidR="0052359B">
        <w:rPr>
          <w:rFonts w:ascii="Times New Roman" w:hAnsi="Times New Roman" w:cs="Times New Roman"/>
        </w:rPr>
        <w:t xml:space="preserve">considers two compliance scenarios.  In </w:t>
      </w:r>
      <w:r w:rsidR="00DC1E92">
        <w:rPr>
          <w:rFonts w:ascii="Times New Roman" w:hAnsi="Times New Roman" w:cs="Times New Roman"/>
        </w:rPr>
        <w:t xml:space="preserve">one </w:t>
      </w:r>
      <w:r w:rsidR="00116B0A">
        <w:rPr>
          <w:rFonts w:ascii="Times New Roman" w:hAnsi="Times New Roman" w:cs="Times New Roman"/>
        </w:rPr>
        <w:t>scenario</w:t>
      </w:r>
      <w:r w:rsidR="0052359B">
        <w:rPr>
          <w:rFonts w:ascii="Times New Roman" w:hAnsi="Times New Roman" w:cs="Times New Roman"/>
        </w:rPr>
        <w:t xml:space="preserve">, the Company </w:t>
      </w:r>
      <w:r w:rsidR="00116B0A">
        <w:rPr>
          <w:rFonts w:ascii="Times New Roman" w:hAnsi="Times New Roman" w:cs="Times New Roman"/>
        </w:rPr>
        <w:t xml:space="preserve">assumes </w:t>
      </w:r>
      <w:r w:rsidR="000E2057">
        <w:rPr>
          <w:rFonts w:ascii="Times New Roman" w:hAnsi="Times New Roman" w:cs="Times New Roman"/>
        </w:rPr>
        <w:t xml:space="preserve">all Jim Bridger units continue operating as </w:t>
      </w:r>
      <w:r>
        <w:rPr>
          <w:rFonts w:ascii="Times New Roman" w:hAnsi="Times New Roman" w:cs="Times New Roman"/>
        </w:rPr>
        <w:t xml:space="preserve">coal-fueled </w:t>
      </w:r>
      <w:r w:rsidR="000E2057">
        <w:rPr>
          <w:rFonts w:ascii="Times New Roman" w:hAnsi="Times New Roman" w:cs="Times New Roman"/>
        </w:rPr>
        <w:t>assets with installation of SCR</w:t>
      </w:r>
      <w:r w:rsidR="003B38F1">
        <w:rPr>
          <w:rFonts w:ascii="Times New Roman" w:hAnsi="Times New Roman" w:cs="Times New Roman"/>
        </w:rPr>
        <w:t xml:space="preserve">s </w:t>
      </w:r>
      <w:r w:rsidR="000E2057">
        <w:rPr>
          <w:rFonts w:ascii="Times New Roman" w:hAnsi="Times New Roman" w:cs="Times New Roman"/>
        </w:rPr>
        <w:t>on Jim Bridger Units 3 and</w:t>
      </w:r>
      <w:r w:rsidR="00E96084">
        <w:rPr>
          <w:rFonts w:ascii="Times New Roman" w:hAnsi="Times New Roman" w:cs="Times New Roman"/>
        </w:rPr>
        <w:t> </w:t>
      </w:r>
      <w:r w:rsidR="000E2057">
        <w:rPr>
          <w:rFonts w:ascii="Times New Roman" w:hAnsi="Times New Roman" w:cs="Times New Roman"/>
        </w:rPr>
        <w:t xml:space="preserve">4. </w:t>
      </w:r>
      <w:r w:rsidR="00243BB3">
        <w:rPr>
          <w:rFonts w:ascii="Times New Roman" w:hAnsi="Times New Roman" w:cs="Times New Roman"/>
        </w:rPr>
        <w:t xml:space="preserve"> Bridger Coal Company future capital cost projections are specifically tailored for this compliance scenario.  In the second compliance scenario, the Company assumes</w:t>
      </w:r>
      <w:r w:rsidR="000E2057">
        <w:rPr>
          <w:rFonts w:ascii="Times New Roman" w:hAnsi="Times New Roman" w:cs="Times New Roman"/>
        </w:rPr>
        <w:t xml:space="preserve"> </w:t>
      </w:r>
      <w:r w:rsidR="00243BB3">
        <w:rPr>
          <w:rFonts w:ascii="Times New Roman" w:hAnsi="Times New Roman" w:cs="Times New Roman"/>
        </w:rPr>
        <w:t xml:space="preserve">Jim Bridger </w:t>
      </w:r>
      <w:r w:rsidR="008920EF">
        <w:rPr>
          <w:rFonts w:ascii="Times New Roman" w:hAnsi="Times New Roman" w:cs="Times New Roman"/>
        </w:rPr>
        <w:t xml:space="preserve">Units 1 and 2 </w:t>
      </w:r>
      <w:r w:rsidR="000E2057">
        <w:rPr>
          <w:rFonts w:ascii="Times New Roman" w:hAnsi="Times New Roman" w:cs="Times New Roman"/>
        </w:rPr>
        <w:t xml:space="preserve">continue operating as coal-fueled assets and Jim Bridger Units 3 and 4 begin operating as </w:t>
      </w:r>
      <w:r>
        <w:rPr>
          <w:rFonts w:ascii="Times New Roman" w:hAnsi="Times New Roman" w:cs="Times New Roman"/>
        </w:rPr>
        <w:t xml:space="preserve">gas-fueled </w:t>
      </w:r>
      <w:r w:rsidR="000E2057">
        <w:rPr>
          <w:rFonts w:ascii="Times New Roman" w:hAnsi="Times New Roman" w:cs="Times New Roman"/>
        </w:rPr>
        <w:t xml:space="preserve">assets </w:t>
      </w:r>
      <w:r>
        <w:rPr>
          <w:rFonts w:ascii="Times New Roman" w:hAnsi="Times New Roman" w:cs="Times New Roman"/>
        </w:rPr>
        <w:t>without installation of SCRs</w:t>
      </w:r>
      <w:r w:rsidR="00E96084">
        <w:rPr>
          <w:rFonts w:ascii="Times New Roman" w:hAnsi="Times New Roman" w:cs="Times New Roman"/>
        </w:rPr>
        <w:t>.  Again</w:t>
      </w:r>
      <w:r w:rsidR="00243BB3">
        <w:rPr>
          <w:rFonts w:ascii="Times New Roman" w:hAnsi="Times New Roman" w:cs="Times New Roman"/>
        </w:rPr>
        <w:t xml:space="preserve">, Bridger Coal Company future capital cost projections are specifically tailored to this compliance scenario.  </w:t>
      </w:r>
      <w:r w:rsidR="00E96084">
        <w:rPr>
          <w:rFonts w:ascii="Times New Roman" w:hAnsi="Times New Roman" w:cs="Times New Roman"/>
        </w:rPr>
        <w:t>The r</w:t>
      </w:r>
      <w:r w:rsidR="00E24CAD">
        <w:rPr>
          <w:rFonts w:ascii="Times New Roman" w:hAnsi="Times New Roman" w:cs="Times New Roman"/>
        </w:rPr>
        <w:t xml:space="preserve">evenue requirement </w:t>
      </w:r>
      <w:r w:rsidR="00A743B7">
        <w:rPr>
          <w:rFonts w:ascii="Times New Roman" w:hAnsi="Times New Roman" w:cs="Times New Roman"/>
        </w:rPr>
        <w:t>associated with</w:t>
      </w:r>
      <w:r w:rsidR="00DC1E92">
        <w:rPr>
          <w:rFonts w:ascii="Times New Roman" w:hAnsi="Times New Roman" w:cs="Times New Roman"/>
        </w:rPr>
        <w:t xml:space="preserve"> forecasted capital expenditures is included in the Company’s analysis because forecasted capital expenditures vary between compliance scenarios</w:t>
      </w:r>
      <w:r w:rsidR="000E2057">
        <w:rPr>
          <w:rFonts w:ascii="Times New Roman" w:hAnsi="Times New Roman" w:cs="Times New Roman"/>
        </w:rPr>
        <w:t>.</w:t>
      </w:r>
    </w:p>
    <w:p w:rsidR="001D4B3D" w:rsidRDefault="008F273B" w:rsidP="001D4B3D">
      <w:pPr>
        <w:spacing w:line="480" w:lineRule="auto"/>
        <w:ind w:left="720" w:hanging="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18791A68" wp14:editId="78F6BB2E">
                <wp:simplePos x="0" y="0"/>
                <wp:positionH relativeFrom="column">
                  <wp:posOffset>323850</wp:posOffset>
                </wp:positionH>
                <wp:positionV relativeFrom="paragraph">
                  <wp:posOffset>-1670685</wp:posOffset>
                </wp:positionV>
                <wp:extent cx="5105400" cy="533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1054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0" type="#_x0000_t202" style="position:absolute;left:0;text-align:left;margin-left:25.5pt;margin-top:-131.55pt;width:402pt;height:42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1D4B3D" w:rsidRPr="0053680D">
        <w:rPr>
          <w:rFonts w:ascii="Times New Roman" w:hAnsi="Times New Roman" w:cs="Times New Roman"/>
          <w:b/>
          <w:bCs/>
        </w:rPr>
        <w:t>Q.</w:t>
      </w:r>
      <w:r w:rsidR="001D4B3D" w:rsidRPr="0053680D">
        <w:rPr>
          <w:rFonts w:ascii="Times New Roman" w:hAnsi="Times New Roman" w:cs="Times New Roman"/>
          <w:b/>
          <w:bCs/>
        </w:rPr>
        <w:tab/>
      </w:r>
      <w:r w:rsidR="001D4B3D">
        <w:rPr>
          <w:rFonts w:ascii="Times New Roman" w:hAnsi="Times New Roman" w:cs="Times New Roman"/>
          <w:b/>
          <w:bCs/>
        </w:rPr>
        <w:t xml:space="preserve">What costs did Staff </w:t>
      </w:r>
      <w:r w:rsidR="00E80124">
        <w:rPr>
          <w:rFonts w:ascii="Times New Roman" w:hAnsi="Times New Roman" w:cs="Times New Roman"/>
          <w:b/>
          <w:bCs/>
        </w:rPr>
        <w:t>include</w:t>
      </w:r>
      <w:r w:rsidR="001D4B3D">
        <w:rPr>
          <w:rFonts w:ascii="Times New Roman" w:hAnsi="Times New Roman" w:cs="Times New Roman"/>
          <w:b/>
          <w:bCs/>
        </w:rPr>
        <w:t xml:space="preserve"> </w:t>
      </w:r>
      <w:r w:rsidR="00E80124">
        <w:rPr>
          <w:rFonts w:ascii="Times New Roman" w:hAnsi="Times New Roman" w:cs="Times New Roman"/>
          <w:b/>
          <w:bCs/>
        </w:rPr>
        <w:t xml:space="preserve">when it compared </w:t>
      </w:r>
      <w:r w:rsidR="00083707">
        <w:rPr>
          <w:rFonts w:ascii="Times New Roman" w:hAnsi="Times New Roman" w:cs="Times New Roman"/>
          <w:b/>
          <w:bCs/>
        </w:rPr>
        <w:t xml:space="preserve">fuel </w:t>
      </w:r>
      <w:r w:rsidR="00E80124">
        <w:rPr>
          <w:rFonts w:ascii="Times New Roman" w:hAnsi="Times New Roman" w:cs="Times New Roman"/>
          <w:b/>
          <w:bCs/>
        </w:rPr>
        <w:t xml:space="preserve">costs from what it characterizes as the finalized 2013 Bridger Coal </w:t>
      </w:r>
      <w:r w:rsidR="00E96084">
        <w:rPr>
          <w:rFonts w:ascii="Times New Roman" w:hAnsi="Times New Roman" w:cs="Times New Roman"/>
          <w:b/>
          <w:bCs/>
        </w:rPr>
        <w:t xml:space="preserve">Company </w:t>
      </w:r>
      <w:r w:rsidR="00E80124">
        <w:rPr>
          <w:rFonts w:ascii="Times New Roman" w:hAnsi="Times New Roman" w:cs="Times New Roman"/>
          <w:b/>
          <w:bCs/>
        </w:rPr>
        <w:t xml:space="preserve">mine plan to costs used in the Company’s Jim Bridger </w:t>
      </w:r>
      <w:r w:rsidR="00E80124" w:rsidRPr="002F5E94">
        <w:rPr>
          <w:rFonts w:ascii="Times New Roman" w:hAnsi="Times New Roman" w:cs="Times New Roman"/>
          <w:b/>
          <w:bCs/>
        </w:rPr>
        <w:t>SCR analysis</w:t>
      </w:r>
      <w:r w:rsidR="001D4B3D">
        <w:rPr>
          <w:rFonts w:ascii="Times New Roman" w:hAnsi="Times New Roman" w:cs="Times New Roman"/>
          <w:b/>
          <w:bCs/>
        </w:rPr>
        <w:t>?</w:t>
      </w:r>
    </w:p>
    <w:p w:rsidR="00E80124" w:rsidRDefault="00E80124" w:rsidP="001D4B3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892E35">
        <w:rPr>
          <w:rFonts w:ascii="Times New Roman" w:hAnsi="Times New Roman" w:cs="Times New Roman"/>
        </w:rPr>
        <w:t xml:space="preserve">Staff inappropriately compared Bridger Coal </w:t>
      </w:r>
      <w:r w:rsidR="00455E2B">
        <w:rPr>
          <w:rFonts w:ascii="Times New Roman" w:hAnsi="Times New Roman" w:cs="Times New Roman"/>
        </w:rPr>
        <w:t xml:space="preserve">Company operating </w:t>
      </w:r>
      <w:r w:rsidR="00892E35">
        <w:rPr>
          <w:rFonts w:ascii="Times New Roman" w:hAnsi="Times New Roman" w:cs="Times New Roman"/>
        </w:rPr>
        <w:t>costs</w:t>
      </w:r>
      <w:r w:rsidR="00243BB3">
        <w:rPr>
          <w:rFonts w:ascii="Times New Roman" w:hAnsi="Times New Roman" w:cs="Times New Roman"/>
        </w:rPr>
        <w:t xml:space="preserve"> </w:t>
      </w:r>
      <w:r w:rsidR="00E96084">
        <w:rPr>
          <w:rFonts w:ascii="Times New Roman" w:hAnsi="Times New Roman" w:cs="Times New Roman"/>
        </w:rPr>
        <w:t>including</w:t>
      </w:r>
      <w:r w:rsidR="00243BB3">
        <w:rPr>
          <w:rFonts w:ascii="Times New Roman" w:hAnsi="Times New Roman" w:cs="Times New Roman"/>
        </w:rPr>
        <w:t xml:space="preserve"> past non-cash operating costs</w:t>
      </w:r>
      <w:r w:rsidR="00E96084">
        <w:rPr>
          <w:rFonts w:ascii="Times New Roman" w:hAnsi="Times New Roman" w:cs="Times New Roman"/>
        </w:rPr>
        <w:t>—</w:t>
      </w:r>
      <w:r w:rsidR="000F1061">
        <w:rPr>
          <w:rFonts w:ascii="Times New Roman" w:hAnsi="Times New Roman" w:cs="Times New Roman"/>
        </w:rPr>
        <w:t>which</w:t>
      </w:r>
      <w:r w:rsidR="00E96084">
        <w:rPr>
          <w:rFonts w:ascii="Times New Roman" w:hAnsi="Times New Roman" w:cs="Times New Roman"/>
        </w:rPr>
        <w:t xml:space="preserve"> </w:t>
      </w:r>
      <w:r w:rsidR="00892E35">
        <w:rPr>
          <w:rFonts w:ascii="Times New Roman" w:hAnsi="Times New Roman" w:cs="Times New Roman"/>
        </w:rPr>
        <w:t>include depreciation, depletion</w:t>
      </w:r>
      <w:r w:rsidR="00E96084">
        <w:rPr>
          <w:rFonts w:ascii="Times New Roman" w:hAnsi="Times New Roman" w:cs="Times New Roman"/>
        </w:rPr>
        <w:t>,</w:t>
      </w:r>
      <w:r w:rsidR="00892E35">
        <w:rPr>
          <w:rFonts w:ascii="Times New Roman" w:hAnsi="Times New Roman" w:cs="Times New Roman"/>
        </w:rPr>
        <w:t xml:space="preserve"> and amortization</w:t>
      </w:r>
      <w:r w:rsidR="00E96084">
        <w:rPr>
          <w:rFonts w:ascii="Times New Roman" w:hAnsi="Times New Roman" w:cs="Times New Roman"/>
        </w:rPr>
        <w:t>—</w:t>
      </w:r>
      <w:r w:rsidR="00083707">
        <w:rPr>
          <w:rFonts w:ascii="Times New Roman" w:hAnsi="Times New Roman" w:cs="Times New Roman"/>
        </w:rPr>
        <w:t>to</w:t>
      </w:r>
      <w:r w:rsidR="00E96084">
        <w:rPr>
          <w:rFonts w:ascii="Times New Roman" w:hAnsi="Times New Roman" w:cs="Times New Roman"/>
        </w:rPr>
        <w:t xml:space="preserve"> </w:t>
      </w:r>
      <w:r w:rsidR="000F1061">
        <w:rPr>
          <w:rFonts w:ascii="Times New Roman" w:hAnsi="Times New Roman" w:cs="Times New Roman"/>
        </w:rPr>
        <w:t xml:space="preserve">the </w:t>
      </w:r>
      <w:r w:rsidR="00892E35">
        <w:rPr>
          <w:rFonts w:ascii="Times New Roman" w:hAnsi="Times New Roman" w:cs="Times New Roman"/>
        </w:rPr>
        <w:t xml:space="preserve">cash operating costs </w:t>
      </w:r>
      <w:r w:rsidR="00083707">
        <w:rPr>
          <w:rFonts w:ascii="Times New Roman" w:hAnsi="Times New Roman" w:cs="Times New Roman"/>
        </w:rPr>
        <w:t>used</w:t>
      </w:r>
      <w:r w:rsidR="007D4B77">
        <w:rPr>
          <w:rFonts w:ascii="Times New Roman" w:hAnsi="Times New Roman" w:cs="Times New Roman"/>
        </w:rPr>
        <w:t xml:space="preserve"> in the Company’s analysis.</w:t>
      </w:r>
    </w:p>
    <w:p w:rsidR="007D4B77" w:rsidRDefault="007D4B77" w:rsidP="007D4B77">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What is the impact of this error in Staff’s comparative coal cost analysis?</w:t>
      </w:r>
    </w:p>
    <w:p w:rsidR="000C5DB8" w:rsidRDefault="007D4B77" w:rsidP="007D4B77">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Had Staff </w:t>
      </w:r>
      <w:r w:rsidR="000C5DB8">
        <w:rPr>
          <w:rFonts w:ascii="Times New Roman" w:hAnsi="Times New Roman" w:cs="Times New Roman"/>
        </w:rPr>
        <w:t xml:space="preserve">performed the appropriate apples-to-apples comparison, it would have found Bridger Coal </w:t>
      </w:r>
      <w:r w:rsidR="00083707">
        <w:rPr>
          <w:rFonts w:ascii="Times New Roman" w:hAnsi="Times New Roman" w:cs="Times New Roman"/>
        </w:rPr>
        <w:t xml:space="preserve">Company </w:t>
      </w:r>
      <w:r w:rsidR="000C5DB8">
        <w:rPr>
          <w:rFonts w:ascii="Times New Roman" w:hAnsi="Times New Roman" w:cs="Times New Roman"/>
        </w:rPr>
        <w:t xml:space="preserve">cash operating costs from what it describes as the finalized 2013 Bridger Coal </w:t>
      </w:r>
      <w:r w:rsidR="00E96084">
        <w:rPr>
          <w:rFonts w:ascii="Times New Roman" w:hAnsi="Times New Roman" w:cs="Times New Roman"/>
        </w:rPr>
        <w:t xml:space="preserve">Company </w:t>
      </w:r>
      <w:r w:rsidR="000C5DB8">
        <w:rPr>
          <w:rFonts w:ascii="Times New Roman" w:hAnsi="Times New Roman" w:cs="Times New Roman"/>
        </w:rPr>
        <w:t>mine plan are identical to the cash operating costs used in the Company’s Jim Bridger SCR analysis</w:t>
      </w:r>
      <w:r>
        <w:rPr>
          <w:rFonts w:ascii="Times New Roman" w:hAnsi="Times New Roman" w:cs="Times New Roman"/>
        </w:rPr>
        <w:t>.</w:t>
      </w:r>
      <w:r w:rsidR="000C5DB8">
        <w:rPr>
          <w:rFonts w:ascii="Times New Roman" w:hAnsi="Times New Roman" w:cs="Times New Roman"/>
        </w:rPr>
        <w:t xml:space="preserve"> </w:t>
      </w:r>
      <w:r w:rsidR="00262121">
        <w:rPr>
          <w:rFonts w:ascii="Times New Roman" w:hAnsi="Times New Roman" w:cs="Times New Roman"/>
        </w:rPr>
        <w:t xml:space="preserve"> </w:t>
      </w:r>
      <w:r w:rsidR="000C5DB8">
        <w:rPr>
          <w:rFonts w:ascii="Times New Roman" w:hAnsi="Times New Roman" w:cs="Times New Roman"/>
        </w:rPr>
        <w:t xml:space="preserve">Correcting for this error completely eliminates Staff’s proposed </w:t>
      </w:r>
      <w:r w:rsidR="004E17B4" w:rsidRPr="005C06D0">
        <w:rPr>
          <w:rFonts w:ascii="Times New Roman" w:hAnsi="Times New Roman" w:cs="Times New Roman"/>
          <w:highlight w:val="black"/>
        </w:rPr>
        <w:t>_</w:t>
      </w:r>
      <w:r w:rsidR="004E17B4">
        <w:rPr>
          <w:rFonts w:ascii="Times New Roman" w:hAnsi="Times New Roman" w:cs="Times New Roman"/>
          <w:highlight w:val="black"/>
        </w:rPr>
        <w:t>________</w:t>
      </w:r>
      <w:r w:rsidR="000C5DB8">
        <w:rPr>
          <w:rFonts w:ascii="Times New Roman" w:hAnsi="Times New Roman" w:cs="Times New Roman"/>
        </w:rPr>
        <w:t xml:space="preserve"> upward cost adjustment to the Jim Bridger Unit</w:t>
      </w:r>
      <w:r w:rsidR="00243BB3">
        <w:rPr>
          <w:rFonts w:ascii="Times New Roman" w:hAnsi="Times New Roman" w:cs="Times New Roman"/>
        </w:rPr>
        <w:t>s</w:t>
      </w:r>
      <w:r w:rsidR="000C5DB8">
        <w:rPr>
          <w:rFonts w:ascii="Times New Roman" w:hAnsi="Times New Roman" w:cs="Times New Roman"/>
        </w:rPr>
        <w:t xml:space="preserve"> 3 and 4 SCR compliance </w:t>
      </w:r>
      <w:r w:rsidR="00243BB3">
        <w:rPr>
          <w:rFonts w:ascii="Times New Roman" w:hAnsi="Times New Roman" w:cs="Times New Roman"/>
        </w:rPr>
        <w:t>case</w:t>
      </w:r>
      <w:r w:rsidR="000C5DB8">
        <w:rPr>
          <w:rFonts w:ascii="Times New Roman" w:hAnsi="Times New Roman" w:cs="Times New Roman"/>
        </w:rPr>
        <w:t>.</w:t>
      </w:r>
    </w:p>
    <w:p w:rsidR="000C5DB8" w:rsidRDefault="000C5DB8" w:rsidP="000C5DB8">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sidR="008F7DBB">
        <w:rPr>
          <w:rFonts w:ascii="Times New Roman" w:hAnsi="Times New Roman" w:cs="Times New Roman"/>
          <w:b/>
          <w:bCs/>
        </w:rPr>
        <w:t xml:space="preserve">Please </w:t>
      </w:r>
      <w:r w:rsidR="00FD59F8">
        <w:rPr>
          <w:rFonts w:ascii="Times New Roman" w:hAnsi="Times New Roman" w:cs="Times New Roman"/>
          <w:b/>
          <w:bCs/>
        </w:rPr>
        <w:t>explain</w:t>
      </w:r>
      <w:r w:rsidR="008F7DBB">
        <w:rPr>
          <w:rFonts w:ascii="Times New Roman" w:hAnsi="Times New Roman" w:cs="Times New Roman"/>
          <w:b/>
          <w:bCs/>
        </w:rPr>
        <w:t xml:space="preserve"> why cash operating costs from what Staff characterizes as the finalized 2013 Bridger Coal </w:t>
      </w:r>
      <w:r w:rsidR="00E96084">
        <w:rPr>
          <w:rFonts w:ascii="Times New Roman" w:hAnsi="Times New Roman" w:cs="Times New Roman"/>
          <w:b/>
          <w:bCs/>
        </w:rPr>
        <w:t xml:space="preserve">Company </w:t>
      </w:r>
      <w:r w:rsidR="008F7DBB">
        <w:rPr>
          <w:rFonts w:ascii="Times New Roman" w:hAnsi="Times New Roman" w:cs="Times New Roman"/>
          <w:b/>
          <w:bCs/>
        </w:rPr>
        <w:t>mine plan are the same as cash operating costs used in the Company’s analysis</w:t>
      </w:r>
      <w:r w:rsidR="00637912">
        <w:rPr>
          <w:rFonts w:ascii="Times New Roman" w:hAnsi="Times New Roman" w:cs="Times New Roman"/>
          <w:b/>
          <w:bCs/>
        </w:rPr>
        <w:t>.</w:t>
      </w:r>
    </w:p>
    <w:p w:rsidR="009C18C4" w:rsidRDefault="000C5DB8" w:rsidP="000C5DB8">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FD59F8">
        <w:rPr>
          <w:rFonts w:ascii="Times New Roman" w:hAnsi="Times New Roman" w:cs="Times New Roman"/>
        </w:rPr>
        <w:t xml:space="preserve">Based on my review of </w:t>
      </w:r>
      <w:r w:rsidR="006B4DA6">
        <w:rPr>
          <w:rFonts w:ascii="Times New Roman" w:hAnsi="Times New Roman" w:cs="Times New Roman"/>
        </w:rPr>
        <w:t xml:space="preserve">work papers submitted with its testimony, </w:t>
      </w:r>
      <w:r w:rsidR="00AA42F9">
        <w:rPr>
          <w:rFonts w:ascii="Times New Roman" w:hAnsi="Times New Roman" w:cs="Times New Roman"/>
        </w:rPr>
        <w:t xml:space="preserve">Staff </w:t>
      </w:r>
      <w:r w:rsidR="006B4DA6">
        <w:rPr>
          <w:rFonts w:ascii="Times New Roman" w:hAnsi="Times New Roman" w:cs="Times New Roman"/>
        </w:rPr>
        <w:t xml:space="preserve">performed its calculations using the same vintage forecast that was used in the Company’s analysis. </w:t>
      </w:r>
      <w:r w:rsidR="00FE33F8">
        <w:rPr>
          <w:rFonts w:ascii="Times New Roman" w:hAnsi="Times New Roman" w:cs="Times New Roman"/>
        </w:rPr>
        <w:t xml:space="preserve"> </w:t>
      </w:r>
      <w:r w:rsidR="009C18C4">
        <w:rPr>
          <w:rFonts w:ascii="Times New Roman" w:hAnsi="Times New Roman" w:cs="Times New Roman"/>
        </w:rPr>
        <w:t xml:space="preserve">Staff simply </w:t>
      </w:r>
      <w:r w:rsidR="00FD59F8">
        <w:rPr>
          <w:rFonts w:ascii="Times New Roman" w:hAnsi="Times New Roman" w:cs="Times New Roman"/>
        </w:rPr>
        <w:t xml:space="preserve">used data from this forecast that was not comparable to the data used in the Company’s analysis. </w:t>
      </w:r>
      <w:r w:rsidR="00FE33F8">
        <w:rPr>
          <w:rFonts w:ascii="Times New Roman" w:hAnsi="Times New Roman" w:cs="Times New Roman"/>
        </w:rPr>
        <w:t xml:space="preserve"> </w:t>
      </w:r>
      <w:r w:rsidR="009C18C4">
        <w:rPr>
          <w:rFonts w:ascii="Times New Roman" w:hAnsi="Times New Roman" w:cs="Times New Roman"/>
        </w:rPr>
        <w:t xml:space="preserve">I do not know why Staff </w:t>
      </w:r>
      <w:r w:rsidR="00FD59F8">
        <w:rPr>
          <w:rFonts w:ascii="Times New Roman" w:hAnsi="Times New Roman" w:cs="Times New Roman"/>
        </w:rPr>
        <w:t xml:space="preserve">describes the forecast </w:t>
      </w:r>
      <w:r w:rsidR="00243BB3">
        <w:rPr>
          <w:rFonts w:ascii="Times New Roman" w:hAnsi="Times New Roman" w:cs="Times New Roman"/>
        </w:rPr>
        <w:t xml:space="preserve">vintage </w:t>
      </w:r>
      <w:r w:rsidR="00FD59F8">
        <w:rPr>
          <w:rFonts w:ascii="Times New Roman" w:hAnsi="Times New Roman" w:cs="Times New Roman"/>
        </w:rPr>
        <w:t>it used for its calculations as being any different from the forecast used in the Company’s analysis.</w:t>
      </w:r>
    </w:p>
    <w:p w:rsidR="009C18C4" w:rsidRDefault="009C18C4" w:rsidP="009C18C4">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Did the Company develop a life-of-plant fuel forecast </w:t>
      </w:r>
      <w:r w:rsidR="00BC07BB">
        <w:rPr>
          <w:rFonts w:ascii="Times New Roman" w:hAnsi="Times New Roman" w:cs="Times New Roman"/>
          <w:b/>
          <w:bCs/>
        </w:rPr>
        <w:t xml:space="preserve">for the Jim Bridger plant </w:t>
      </w:r>
      <w:r w:rsidR="00876211">
        <w:rPr>
          <w:rFonts w:ascii="Times New Roman" w:hAnsi="Times New Roman" w:cs="Times New Roman"/>
          <w:b/>
          <w:bCs/>
        </w:rPr>
        <w:t>using</w:t>
      </w:r>
      <w:r>
        <w:rPr>
          <w:rFonts w:ascii="Times New Roman" w:hAnsi="Times New Roman" w:cs="Times New Roman"/>
          <w:b/>
          <w:bCs/>
        </w:rPr>
        <w:t xml:space="preserve"> the Bridger Coal </w:t>
      </w:r>
      <w:r w:rsidR="0053105B">
        <w:rPr>
          <w:rFonts w:ascii="Times New Roman" w:hAnsi="Times New Roman" w:cs="Times New Roman"/>
          <w:b/>
          <w:bCs/>
        </w:rPr>
        <w:t xml:space="preserve">Company </w:t>
      </w:r>
      <w:r>
        <w:rPr>
          <w:rFonts w:ascii="Times New Roman" w:hAnsi="Times New Roman" w:cs="Times New Roman"/>
          <w:b/>
          <w:bCs/>
        </w:rPr>
        <w:t>mine plan</w:t>
      </w:r>
      <w:r w:rsidR="0053105B">
        <w:rPr>
          <w:rFonts w:ascii="Times New Roman" w:hAnsi="Times New Roman" w:cs="Times New Roman"/>
          <w:b/>
          <w:bCs/>
        </w:rPr>
        <w:t xml:space="preserve"> that was updated in October 2013</w:t>
      </w:r>
      <w:r>
        <w:rPr>
          <w:rFonts w:ascii="Times New Roman" w:hAnsi="Times New Roman" w:cs="Times New Roman"/>
          <w:b/>
          <w:bCs/>
        </w:rPr>
        <w:t>?</w:t>
      </w:r>
    </w:p>
    <w:p w:rsidR="0053105B" w:rsidRDefault="009C18C4" w:rsidP="009C18C4">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No. </w:t>
      </w:r>
      <w:r w:rsidR="00243BB3">
        <w:rPr>
          <w:rFonts w:ascii="Times New Roman" w:hAnsi="Times New Roman" w:cs="Times New Roman"/>
        </w:rPr>
        <w:t xml:space="preserve"> </w:t>
      </w:r>
      <w:r w:rsidR="00BC07BB">
        <w:rPr>
          <w:rFonts w:ascii="Times New Roman" w:hAnsi="Times New Roman" w:cs="Times New Roman"/>
        </w:rPr>
        <w:t xml:space="preserve">As described in the rebuttal testimony of Company witness </w:t>
      </w:r>
      <w:r w:rsidR="00650FCA">
        <w:rPr>
          <w:rFonts w:ascii="Times New Roman" w:hAnsi="Times New Roman" w:cs="Times New Roman"/>
        </w:rPr>
        <w:t xml:space="preserve">Mr. </w:t>
      </w:r>
      <w:r w:rsidR="00BC07BB">
        <w:rPr>
          <w:rFonts w:ascii="Times New Roman" w:hAnsi="Times New Roman" w:cs="Times New Roman"/>
        </w:rPr>
        <w:t xml:space="preserve">Dana Ralston, a </w:t>
      </w:r>
      <w:r w:rsidR="0053105B">
        <w:rPr>
          <w:rFonts w:ascii="Times New Roman" w:hAnsi="Times New Roman" w:cs="Times New Roman"/>
        </w:rPr>
        <w:t xml:space="preserve">Bridger Coal Company </w:t>
      </w:r>
      <w:r w:rsidR="00BC07BB">
        <w:rPr>
          <w:rFonts w:ascii="Times New Roman" w:hAnsi="Times New Roman" w:cs="Times New Roman"/>
        </w:rPr>
        <w:t xml:space="preserve">mine plan </w:t>
      </w:r>
      <w:r w:rsidR="0053105B">
        <w:rPr>
          <w:rFonts w:ascii="Times New Roman" w:hAnsi="Times New Roman" w:cs="Times New Roman"/>
        </w:rPr>
        <w:t>is not the same thing as a life-of-plant fueling plan for the Jim Bridger generation plant.</w:t>
      </w:r>
      <w:r w:rsidR="009F54C8">
        <w:rPr>
          <w:rFonts w:ascii="Times New Roman" w:hAnsi="Times New Roman" w:cs="Times New Roman"/>
        </w:rPr>
        <w:t xml:space="preserve"> </w:t>
      </w:r>
      <w:r w:rsidR="00FE33F8">
        <w:rPr>
          <w:rFonts w:ascii="Times New Roman" w:hAnsi="Times New Roman" w:cs="Times New Roman"/>
        </w:rPr>
        <w:t xml:space="preserve"> </w:t>
      </w:r>
      <w:r w:rsidR="009F54C8">
        <w:rPr>
          <w:rFonts w:ascii="Times New Roman" w:hAnsi="Times New Roman" w:cs="Times New Roman"/>
        </w:rPr>
        <w:t>While the Company updated its Bridger Coal Company mine plan in October 2013, the Company did not update its life-of-plant fueling plan for the Jim Bridger</w:t>
      </w:r>
      <w:r w:rsidR="00DE33EC">
        <w:rPr>
          <w:rFonts w:ascii="Times New Roman" w:hAnsi="Times New Roman" w:cs="Times New Roman"/>
        </w:rPr>
        <w:t xml:space="preserve"> </w:t>
      </w:r>
      <w:r w:rsidR="009F54C8">
        <w:rPr>
          <w:rFonts w:ascii="Times New Roman" w:hAnsi="Times New Roman" w:cs="Times New Roman"/>
        </w:rPr>
        <w:t>plant in October 2013.</w:t>
      </w:r>
    </w:p>
    <w:p w:rsidR="0053105B" w:rsidRDefault="0053105B" w:rsidP="0053105B">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What was the most current life-of-plant fuel price forecast for the Jim Bridger plant available to the Company at the time </w:t>
      </w:r>
      <w:r w:rsidRPr="00E6657D">
        <w:rPr>
          <w:rFonts w:ascii="Times New Roman" w:hAnsi="Times New Roman" w:cs="Times New Roman"/>
          <w:b/>
          <w:bCs/>
        </w:rPr>
        <w:t xml:space="preserve">the </w:t>
      </w:r>
      <w:r w:rsidR="008A069C" w:rsidRPr="00302504">
        <w:rPr>
          <w:rFonts w:ascii="Times New Roman" w:hAnsi="Times New Roman" w:cs="Times New Roman"/>
          <w:b/>
        </w:rPr>
        <w:t>FNTP</w:t>
      </w:r>
      <w:r w:rsidR="008A069C" w:rsidDel="008A069C">
        <w:rPr>
          <w:rFonts w:ascii="Times New Roman" w:hAnsi="Times New Roman" w:cs="Times New Roman"/>
          <w:b/>
          <w:bCs/>
        </w:rPr>
        <w:t xml:space="preserve"> </w:t>
      </w:r>
      <w:r>
        <w:rPr>
          <w:rFonts w:ascii="Times New Roman" w:hAnsi="Times New Roman" w:cs="Times New Roman"/>
          <w:b/>
          <w:bCs/>
        </w:rPr>
        <w:t xml:space="preserve">was issued to the </w:t>
      </w:r>
      <w:r w:rsidR="00EF36A7">
        <w:rPr>
          <w:rFonts w:ascii="Times New Roman" w:hAnsi="Times New Roman" w:cs="Times New Roman"/>
          <w:b/>
          <w:bCs/>
        </w:rPr>
        <w:t>EPC</w:t>
      </w:r>
      <w:r>
        <w:rPr>
          <w:rFonts w:ascii="Times New Roman" w:hAnsi="Times New Roman" w:cs="Times New Roman"/>
          <w:b/>
          <w:bCs/>
        </w:rPr>
        <w:t xml:space="preserve"> contractor?</w:t>
      </w:r>
    </w:p>
    <w:p w:rsidR="0053105B" w:rsidRDefault="0053105B" w:rsidP="0053105B">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The most current life-of-plant fuel price forecast available </w:t>
      </w:r>
      <w:r w:rsidR="009F54C8">
        <w:rPr>
          <w:rFonts w:ascii="Times New Roman" w:hAnsi="Times New Roman" w:cs="Times New Roman"/>
        </w:rPr>
        <w:t>at</w:t>
      </w:r>
      <w:r>
        <w:rPr>
          <w:rFonts w:ascii="Times New Roman" w:hAnsi="Times New Roman" w:cs="Times New Roman"/>
        </w:rPr>
        <w:t xml:space="preserve"> that time was the fuel price forecast used in the Company’s analysis of the Jim Bridger SCRs.</w:t>
      </w:r>
    </w:p>
    <w:p w:rsidR="0053105B" w:rsidRDefault="0053105B" w:rsidP="0053105B">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Did any other party in this proceeding review the coal cost assumptions used in the Company’s analysis of the Jim Bridger SCRs?</w:t>
      </w:r>
    </w:p>
    <w:p w:rsidR="0053105B" w:rsidRDefault="0053105B" w:rsidP="0053105B">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2E4A7C">
        <w:rPr>
          <w:rFonts w:ascii="Times New Roman" w:hAnsi="Times New Roman" w:cs="Times New Roman"/>
        </w:rPr>
        <w:t xml:space="preserve"> </w:t>
      </w:r>
      <w:r>
        <w:rPr>
          <w:rFonts w:ascii="Times New Roman" w:hAnsi="Times New Roman" w:cs="Times New Roman"/>
        </w:rPr>
        <w:t xml:space="preserve">Sierra Club </w:t>
      </w:r>
      <w:r w:rsidR="00EF36A7">
        <w:rPr>
          <w:rFonts w:ascii="Times New Roman" w:hAnsi="Times New Roman" w:cs="Times New Roman"/>
        </w:rPr>
        <w:t>compares</w:t>
      </w:r>
      <w:r>
        <w:rPr>
          <w:rFonts w:ascii="Times New Roman" w:hAnsi="Times New Roman" w:cs="Times New Roman"/>
        </w:rPr>
        <w:t xml:space="preserve"> </w:t>
      </w:r>
      <w:r w:rsidR="00EF36A7">
        <w:rPr>
          <w:rFonts w:ascii="Times New Roman" w:hAnsi="Times New Roman" w:cs="Times New Roman"/>
        </w:rPr>
        <w:t xml:space="preserve">Jim Bridger </w:t>
      </w:r>
      <w:r>
        <w:rPr>
          <w:rFonts w:ascii="Times New Roman" w:hAnsi="Times New Roman" w:cs="Times New Roman"/>
        </w:rPr>
        <w:t xml:space="preserve">coal cost assumptions </w:t>
      </w:r>
      <w:r w:rsidR="00EF36A7">
        <w:rPr>
          <w:rFonts w:ascii="Times New Roman" w:hAnsi="Times New Roman" w:cs="Times New Roman"/>
        </w:rPr>
        <w:t xml:space="preserve">that were </w:t>
      </w:r>
      <w:r>
        <w:rPr>
          <w:rFonts w:ascii="Times New Roman" w:hAnsi="Times New Roman" w:cs="Times New Roman"/>
        </w:rPr>
        <w:t xml:space="preserve">used in the Company’s </w:t>
      </w:r>
      <w:r w:rsidR="00EF36A7">
        <w:rPr>
          <w:rFonts w:ascii="Times New Roman" w:hAnsi="Times New Roman" w:cs="Times New Roman"/>
        </w:rPr>
        <w:t xml:space="preserve">SCR </w:t>
      </w:r>
      <w:r>
        <w:rPr>
          <w:rFonts w:ascii="Times New Roman" w:hAnsi="Times New Roman" w:cs="Times New Roman"/>
        </w:rPr>
        <w:t xml:space="preserve">analysis with </w:t>
      </w:r>
      <w:r w:rsidR="00EF36A7">
        <w:rPr>
          <w:rFonts w:ascii="Times New Roman" w:hAnsi="Times New Roman" w:cs="Times New Roman"/>
        </w:rPr>
        <w:t xml:space="preserve">Jim Bridger </w:t>
      </w:r>
      <w:r>
        <w:rPr>
          <w:rFonts w:ascii="Times New Roman" w:hAnsi="Times New Roman" w:cs="Times New Roman"/>
        </w:rPr>
        <w:t xml:space="preserve">coal cost assumptions </w:t>
      </w:r>
      <w:r w:rsidR="00EF36A7">
        <w:rPr>
          <w:rFonts w:ascii="Times New Roman" w:hAnsi="Times New Roman" w:cs="Times New Roman"/>
        </w:rPr>
        <w:t xml:space="preserve">that were used </w:t>
      </w:r>
      <w:r>
        <w:rPr>
          <w:rFonts w:ascii="Times New Roman" w:hAnsi="Times New Roman" w:cs="Times New Roman"/>
        </w:rPr>
        <w:t>in the Company’s 2015 IRP.</w:t>
      </w:r>
      <w:r w:rsidR="00DA5A81">
        <w:rPr>
          <w:rStyle w:val="FootnoteReference"/>
          <w:rFonts w:ascii="Times New Roman" w:hAnsi="Times New Roman"/>
        </w:rPr>
        <w:footnoteReference w:id="7"/>
      </w:r>
    </w:p>
    <w:p w:rsidR="008F273B" w:rsidRDefault="0053105B" w:rsidP="008F273B">
      <w:pPr>
        <w:widowControl w:val="0"/>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Is it appropriate to </w:t>
      </w:r>
      <w:r w:rsidR="00EF36A7">
        <w:rPr>
          <w:rFonts w:ascii="Times New Roman" w:hAnsi="Times New Roman" w:cs="Times New Roman"/>
          <w:b/>
          <w:bCs/>
        </w:rPr>
        <w:t>make this comparison</w:t>
      </w:r>
      <w:r>
        <w:rPr>
          <w:rFonts w:ascii="Times New Roman" w:hAnsi="Times New Roman" w:cs="Times New Roman"/>
          <w:b/>
          <w:bCs/>
        </w:rPr>
        <w:t>?</w:t>
      </w:r>
    </w:p>
    <w:p w:rsidR="008F273B" w:rsidRDefault="0053105B" w:rsidP="008F273B">
      <w:pPr>
        <w:widowControl w:val="0"/>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EF36A7">
        <w:rPr>
          <w:rFonts w:ascii="Times New Roman" w:hAnsi="Times New Roman" w:cs="Times New Roman"/>
        </w:rPr>
        <w:t>No</w:t>
      </w:r>
      <w:r>
        <w:rPr>
          <w:rFonts w:ascii="Times New Roman" w:hAnsi="Times New Roman" w:cs="Times New Roman"/>
        </w:rPr>
        <w:t>.</w:t>
      </w:r>
      <w:r w:rsidR="00EF36A7">
        <w:rPr>
          <w:rFonts w:ascii="Times New Roman" w:hAnsi="Times New Roman" w:cs="Times New Roman"/>
        </w:rPr>
        <w:t xml:space="preserve"> </w:t>
      </w:r>
      <w:r w:rsidR="002E4A7C">
        <w:rPr>
          <w:rFonts w:ascii="Times New Roman" w:hAnsi="Times New Roman" w:cs="Times New Roman"/>
        </w:rPr>
        <w:t xml:space="preserve"> </w:t>
      </w:r>
      <w:r w:rsidR="00EF36A7">
        <w:rPr>
          <w:rFonts w:ascii="Times New Roman" w:hAnsi="Times New Roman" w:cs="Times New Roman"/>
        </w:rPr>
        <w:t xml:space="preserve">Jim Bridger coal cost assumptions used in the 2015 IRP were not available to the </w:t>
      </w:r>
    </w:p>
    <w:p w:rsidR="008F273B" w:rsidRDefault="008F273B" w:rsidP="008F273B">
      <w:pPr>
        <w:widowControl w:val="0"/>
        <w:suppressLineNumbers/>
        <w:spacing w:line="480" w:lineRule="auto"/>
        <w:ind w:left="720" w:hanging="720"/>
        <w:rPr>
          <w:rFonts w:ascii="Times New Roman" w:hAnsi="Times New Roman" w:cs="Times New Roman"/>
        </w:rPr>
      </w:pPr>
    </w:p>
    <w:p w:rsidR="0053105B" w:rsidRDefault="00EF36A7" w:rsidP="008F273B">
      <w:pPr>
        <w:widowControl w:val="0"/>
        <w:spacing w:line="480" w:lineRule="auto"/>
        <w:ind w:left="720"/>
        <w:rPr>
          <w:rFonts w:ascii="Times New Roman" w:hAnsi="Times New Roman" w:cs="Times New Roman"/>
        </w:rPr>
      </w:pPr>
      <w:proofErr w:type="gramStart"/>
      <w:r>
        <w:rPr>
          <w:rFonts w:ascii="Times New Roman" w:hAnsi="Times New Roman" w:cs="Times New Roman"/>
        </w:rPr>
        <w:t>Company before December 1, 2013</w:t>
      </w:r>
      <w:r w:rsidR="00CC0FCB">
        <w:rPr>
          <w:rFonts w:ascii="Times New Roman" w:hAnsi="Times New Roman" w:cs="Times New Roman"/>
        </w:rPr>
        <w:t>,</w:t>
      </w:r>
      <w:r>
        <w:rPr>
          <w:rFonts w:ascii="Times New Roman" w:hAnsi="Times New Roman" w:cs="Times New Roman"/>
        </w:rPr>
        <w:t xml:space="preserve"> when the </w:t>
      </w:r>
      <w:r w:rsidR="008A069C">
        <w:rPr>
          <w:rFonts w:ascii="Times New Roman" w:hAnsi="Times New Roman" w:cs="Times New Roman"/>
        </w:rPr>
        <w:t>FNTP</w:t>
      </w:r>
      <w:r w:rsidR="008A069C" w:rsidDel="008A069C">
        <w:rPr>
          <w:rFonts w:ascii="Times New Roman" w:hAnsi="Times New Roman" w:cs="Times New Roman"/>
        </w:rPr>
        <w:t xml:space="preserve"> </w:t>
      </w:r>
      <w:r>
        <w:rPr>
          <w:rFonts w:ascii="Times New Roman" w:hAnsi="Times New Roman" w:cs="Times New Roman"/>
        </w:rPr>
        <w:t>was issued to the EPC contractor.</w:t>
      </w:r>
      <w:proofErr w:type="gramEnd"/>
    </w:p>
    <w:p w:rsidR="00DC205E" w:rsidRDefault="00DC205E" w:rsidP="00DC205E">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sidR="009F54C8">
        <w:rPr>
          <w:rFonts w:ascii="Times New Roman" w:hAnsi="Times New Roman" w:cs="Times New Roman"/>
          <w:b/>
          <w:bCs/>
        </w:rPr>
        <w:t>How</w:t>
      </w:r>
      <w:r>
        <w:rPr>
          <w:rFonts w:ascii="Times New Roman" w:hAnsi="Times New Roman" w:cs="Times New Roman"/>
          <w:b/>
          <w:bCs/>
        </w:rPr>
        <w:t xml:space="preserve"> does Sierra Club </w:t>
      </w:r>
      <w:r w:rsidR="009F54C8">
        <w:rPr>
          <w:rFonts w:ascii="Times New Roman" w:hAnsi="Times New Roman" w:cs="Times New Roman"/>
          <w:b/>
          <w:bCs/>
        </w:rPr>
        <w:t xml:space="preserve">justify its </w:t>
      </w:r>
      <w:r>
        <w:rPr>
          <w:rFonts w:ascii="Times New Roman" w:hAnsi="Times New Roman" w:cs="Times New Roman"/>
          <w:b/>
          <w:bCs/>
        </w:rPr>
        <w:t xml:space="preserve">use </w:t>
      </w:r>
      <w:r w:rsidR="00B65483">
        <w:rPr>
          <w:rFonts w:ascii="Times New Roman" w:hAnsi="Times New Roman" w:cs="Times New Roman"/>
          <w:b/>
          <w:bCs/>
        </w:rPr>
        <w:t>of coal cost forecasts</w:t>
      </w:r>
      <w:r>
        <w:rPr>
          <w:rFonts w:ascii="Times New Roman" w:hAnsi="Times New Roman" w:cs="Times New Roman"/>
          <w:b/>
          <w:bCs/>
        </w:rPr>
        <w:t xml:space="preserve"> from the 2015 IRP in its comparative analysis of coal cost assumptions used in the Company’s Jim Bridger </w:t>
      </w:r>
      <w:r w:rsidRPr="00685DA2">
        <w:rPr>
          <w:rFonts w:ascii="Times New Roman" w:hAnsi="Times New Roman" w:cs="Times New Roman"/>
          <w:b/>
          <w:bCs/>
        </w:rPr>
        <w:t>SCR analysis</w:t>
      </w:r>
      <w:r>
        <w:rPr>
          <w:rFonts w:ascii="Times New Roman" w:hAnsi="Times New Roman" w:cs="Times New Roman"/>
          <w:b/>
          <w:bCs/>
        </w:rPr>
        <w:t>?</w:t>
      </w:r>
    </w:p>
    <w:p w:rsidR="00DC205E" w:rsidRDefault="00DC205E" w:rsidP="00DC205E">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9F54C8">
        <w:rPr>
          <w:rFonts w:ascii="Times New Roman" w:hAnsi="Times New Roman" w:cs="Times New Roman"/>
        </w:rPr>
        <w:t xml:space="preserve">Sierra Club asserts that given perceived similarities between the Bridger Coal Company mine plan from October 2013 and the Bridger Coal Company mine plan from 2014, which informed the fuel cost forecast used in the 2015 IRP, the 2015 IRP fuel cost is the best representation of what the Company should have used to update its </w:t>
      </w:r>
      <w:r w:rsidR="00EF05EF">
        <w:rPr>
          <w:rFonts w:ascii="Times New Roman" w:hAnsi="Times New Roman" w:cs="Times New Roman"/>
        </w:rPr>
        <w:t xml:space="preserve">Jim Bridger SCR analysis </w:t>
      </w:r>
      <w:r w:rsidR="009F54C8">
        <w:rPr>
          <w:rFonts w:ascii="Times New Roman" w:hAnsi="Times New Roman" w:cs="Times New Roman"/>
        </w:rPr>
        <w:t xml:space="preserve">before the </w:t>
      </w:r>
      <w:r w:rsidR="008A069C">
        <w:rPr>
          <w:rFonts w:ascii="Times New Roman" w:hAnsi="Times New Roman" w:cs="Times New Roman"/>
        </w:rPr>
        <w:t>FNTP</w:t>
      </w:r>
      <w:r w:rsidR="008A069C" w:rsidDel="008A069C">
        <w:rPr>
          <w:rFonts w:ascii="Times New Roman" w:hAnsi="Times New Roman" w:cs="Times New Roman"/>
        </w:rPr>
        <w:t xml:space="preserve"> </w:t>
      </w:r>
      <w:r w:rsidR="009F54C8">
        <w:rPr>
          <w:rFonts w:ascii="Times New Roman" w:hAnsi="Times New Roman" w:cs="Times New Roman"/>
        </w:rPr>
        <w:t xml:space="preserve">was issued to the EPC contractor on December 1, </w:t>
      </w:r>
      <w:r w:rsidR="00AA2C83">
        <w:rPr>
          <w:rFonts w:ascii="Times New Roman" w:hAnsi="Times New Roman" w:cs="Times New Roman"/>
        </w:rPr>
        <w:t>2013</w:t>
      </w:r>
      <w:r>
        <w:rPr>
          <w:rFonts w:ascii="Times New Roman" w:hAnsi="Times New Roman" w:cs="Times New Roman"/>
        </w:rPr>
        <w:t>.</w:t>
      </w:r>
      <w:r w:rsidR="006F1B01">
        <w:rPr>
          <w:rStyle w:val="FootnoteReference"/>
          <w:rFonts w:ascii="Times New Roman" w:hAnsi="Times New Roman"/>
        </w:rPr>
        <w:footnoteReference w:id="8"/>
      </w:r>
    </w:p>
    <w:p w:rsidR="00C20A13" w:rsidRDefault="00C20A13" w:rsidP="00C20A13">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How do you respond?</w:t>
      </w:r>
    </w:p>
    <w:p w:rsidR="00C20A13" w:rsidRDefault="00C20A13" w:rsidP="00C20A13">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B65483">
        <w:rPr>
          <w:rFonts w:ascii="Times New Roman" w:hAnsi="Times New Roman" w:cs="Times New Roman"/>
        </w:rPr>
        <w:t xml:space="preserve">A mine plan developed for Bridger Coal Company does not translate into </w:t>
      </w:r>
      <w:r w:rsidR="0010529F">
        <w:rPr>
          <w:rFonts w:ascii="Times New Roman" w:hAnsi="Times New Roman" w:cs="Times New Roman"/>
        </w:rPr>
        <w:t xml:space="preserve">a </w:t>
      </w:r>
      <w:r w:rsidR="00B65483">
        <w:rPr>
          <w:rFonts w:ascii="Times New Roman" w:hAnsi="Times New Roman" w:cs="Times New Roman"/>
        </w:rPr>
        <w:t xml:space="preserve">life-of-plant fuel plan for the Jim Bridger plant. </w:t>
      </w:r>
      <w:r w:rsidR="002523CE">
        <w:rPr>
          <w:rFonts w:ascii="Times New Roman" w:hAnsi="Times New Roman" w:cs="Times New Roman"/>
        </w:rPr>
        <w:t xml:space="preserve"> </w:t>
      </w:r>
      <w:r w:rsidR="00737189">
        <w:rPr>
          <w:rFonts w:ascii="Times New Roman" w:hAnsi="Times New Roman" w:cs="Times New Roman"/>
        </w:rPr>
        <w:t>Mr. Ralston’s testimony describes the key differences between these two plans</w:t>
      </w:r>
      <w:r w:rsidR="004D597A">
        <w:rPr>
          <w:rFonts w:ascii="Times New Roman" w:hAnsi="Times New Roman" w:cs="Times New Roman"/>
        </w:rPr>
        <w:t xml:space="preserve"> and explains why Sierra Club’s reliance on the 2015 IRP </w:t>
      </w:r>
      <w:r w:rsidR="00073AAD">
        <w:rPr>
          <w:rFonts w:ascii="Times New Roman" w:hAnsi="Times New Roman" w:cs="Times New Roman"/>
        </w:rPr>
        <w:t>i</w:t>
      </w:r>
      <w:r w:rsidR="004D597A">
        <w:rPr>
          <w:rFonts w:ascii="Times New Roman" w:hAnsi="Times New Roman" w:cs="Times New Roman"/>
        </w:rPr>
        <w:t>s misplaced</w:t>
      </w:r>
      <w:r w:rsidR="00737189">
        <w:rPr>
          <w:rFonts w:ascii="Times New Roman" w:hAnsi="Times New Roman" w:cs="Times New Roman"/>
        </w:rPr>
        <w:t>.</w:t>
      </w:r>
    </w:p>
    <w:p w:rsidR="00B65483" w:rsidRDefault="00B65483" w:rsidP="00B65483">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sidR="00B9375A">
        <w:rPr>
          <w:rFonts w:ascii="Times New Roman" w:hAnsi="Times New Roman" w:cs="Times New Roman"/>
          <w:b/>
          <w:bCs/>
        </w:rPr>
        <w:t>Aside from</w:t>
      </w:r>
      <w:r>
        <w:rPr>
          <w:rFonts w:ascii="Times New Roman" w:hAnsi="Times New Roman" w:cs="Times New Roman"/>
          <w:b/>
          <w:bCs/>
        </w:rPr>
        <w:t xml:space="preserve"> the </w:t>
      </w:r>
      <w:r w:rsidR="00B9375A">
        <w:rPr>
          <w:rFonts w:ascii="Times New Roman" w:hAnsi="Times New Roman" w:cs="Times New Roman"/>
          <w:b/>
          <w:bCs/>
        </w:rPr>
        <w:t>in</w:t>
      </w:r>
      <w:r>
        <w:rPr>
          <w:rFonts w:ascii="Times New Roman" w:hAnsi="Times New Roman" w:cs="Times New Roman"/>
          <w:b/>
          <w:bCs/>
        </w:rPr>
        <w:t>appropriateness of Sierra Club’s comparative coal cost analysis, are the calculations performed by Sierra Club accurate?</w:t>
      </w:r>
    </w:p>
    <w:p w:rsidR="004A3DEB" w:rsidRDefault="00B65483" w:rsidP="00B65483">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No. </w:t>
      </w:r>
      <w:r w:rsidR="00FC0019">
        <w:rPr>
          <w:rFonts w:ascii="Times New Roman" w:hAnsi="Times New Roman" w:cs="Times New Roman"/>
        </w:rPr>
        <w:t xml:space="preserve"> </w:t>
      </w:r>
      <w:r w:rsidR="002F7590">
        <w:rPr>
          <w:rFonts w:ascii="Times New Roman" w:hAnsi="Times New Roman" w:cs="Times New Roman"/>
        </w:rPr>
        <w:t xml:space="preserve">Sierra Club’s comparative analysis is incomplete. </w:t>
      </w:r>
      <w:r w:rsidR="002523CE">
        <w:rPr>
          <w:rFonts w:ascii="Times New Roman" w:hAnsi="Times New Roman" w:cs="Times New Roman"/>
        </w:rPr>
        <w:t xml:space="preserve"> </w:t>
      </w:r>
      <w:r w:rsidR="00BF7F0B">
        <w:rPr>
          <w:rFonts w:ascii="Times New Roman" w:hAnsi="Times New Roman" w:cs="Times New Roman"/>
        </w:rPr>
        <w:t xml:space="preserve">Sierra Club </w:t>
      </w:r>
      <w:r w:rsidR="002F7590">
        <w:rPr>
          <w:rFonts w:ascii="Times New Roman" w:hAnsi="Times New Roman" w:cs="Times New Roman"/>
        </w:rPr>
        <w:t>only considers changes in cash costs when it compares coal cost assumptions used in the Company’s J</w:t>
      </w:r>
      <w:r w:rsidR="00B9375A">
        <w:rPr>
          <w:rFonts w:ascii="Times New Roman" w:hAnsi="Times New Roman" w:cs="Times New Roman"/>
        </w:rPr>
        <w:t xml:space="preserve">im Bridger SCR </w:t>
      </w:r>
      <w:r w:rsidR="002F7590">
        <w:rPr>
          <w:rFonts w:ascii="Times New Roman" w:hAnsi="Times New Roman" w:cs="Times New Roman"/>
        </w:rPr>
        <w:t xml:space="preserve">analysis with those used in the 2015 IRP. </w:t>
      </w:r>
      <w:r w:rsidR="00D877B9">
        <w:rPr>
          <w:rFonts w:ascii="Times New Roman" w:hAnsi="Times New Roman" w:cs="Times New Roman"/>
        </w:rPr>
        <w:t xml:space="preserve"> </w:t>
      </w:r>
      <w:r w:rsidR="002F7590">
        <w:rPr>
          <w:rFonts w:ascii="Times New Roman" w:hAnsi="Times New Roman" w:cs="Times New Roman"/>
        </w:rPr>
        <w:t xml:space="preserve">As I describe in my rebuttal of Staff’s </w:t>
      </w:r>
      <w:r w:rsidR="004A3DEB">
        <w:rPr>
          <w:rFonts w:ascii="Times New Roman" w:hAnsi="Times New Roman" w:cs="Times New Roman"/>
        </w:rPr>
        <w:t xml:space="preserve">coal cost </w:t>
      </w:r>
      <w:r w:rsidR="002F7590">
        <w:rPr>
          <w:rFonts w:ascii="Times New Roman" w:hAnsi="Times New Roman" w:cs="Times New Roman"/>
        </w:rPr>
        <w:t xml:space="preserve">analysis, </w:t>
      </w:r>
      <w:r w:rsidR="004A3DEB">
        <w:rPr>
          <w:rFonts w:ascii="Times New Roman" w:hAnsi="Times New Roman" w:cs="Times New Roman"/>
        </w:rPr>
        <w:t xml:space="preserve">the Company’s analysis includes Bridger Coal Company’s </w:t>
      </w:r>
      <w:r w:rsidR="0010529F">
        <w:rPr>
          <w:rFonts w:ascii="Times New Roman" w:hAnsi="Times New Roman" w:cs="Times New Roman"/>
        </w:rPr>
        <w:t xml:space="preserve">cash costs and </w:t>
      </w:r>
      <w:r w:rsidR="004A3DEB">
        <w:rPr>
          <w:rFonts w:ascii="Times New Roman" w:hAnsi="Times New Roman" w:cs="Times New Roman"/>
        </w:rPr>
        <w:t xml:space="preserve">forecasted capital expenses, because unlike past capital expenditures, future capital expenses vary between </w:t>
      </w:r>
      <w:r w:rsidR="004F0006">
        <w:rPr>
          <w:rFonts w:ascii="Times New Roman" w:hAnsi="Times New Roman" w:cs="Times New Roman"/>
        </w:rPr>
        <w:t>R</w:t>
      </w:r>
      <w:r w:rsidR="004A3DEB">
        <w:rPr>
          <w:rFonts w:ascii="Times New Roman" w:hAnsi="Times New Roman" w:cs="Times New Roman"/>
        </w:rPr>
        <w:t xml:space="preserve">egional </w:t>
      </w:r>
      <w:r w:rsidR="004F0006">
        <w:rPr>
          <w:rFonts w:ascii="Times New Roman" w:hAnsi="Times New Roman" w:cs="Times New Roman"/>
        </w:rPr>
        <w:t>H</w:t>
      </w:r>
      <w:r w:rsidR="004A3DEB">
        <w:rPr>
          <w:rFonts w:ascii="Times New Roman" w:hAnsi="Times New Roman" w:cs="Times New Roman"/>
        </w:rPr>
        <w:t xml:space="preserve">aze compliance alternatives. </w:t>
      </w:r>
      <w:r w:rsidR="002523CE">
        <w:rPr>
          <w:rFonts w:ascii="Times New Roman" w:hAnsi="Times New Roman" w:cs="Times New Roman"/>
        </w:rPr>
        <w:t xml:space="preserve"> </w:t>
      </w:r>
      <w:r w:rsidR="002F7590">
        <w:rPr>
          <w:rFonts w:ascii="Times New Roman" w:hAnsi="Times New Roman" w:cs="Times New Roman"/>
        </w:rPr>
        <w:t>Sierra Club</w:t>
      </w:r>
      <w:r w:rsidR="004A3DEB">
        <w:rPr>
          <w:rFonts w:ascii="Times New Roman" w:hAnsi="Times New Roman" w:cs="Times New Roman"/>
        </w:rPr>
        <w:t xml:space="preserve">’s analysis is incorrect because it </w:t>
      </w:r>
      <w:r w:rsidR="002F7590">
        <w:rPr>
          <w:rFonts w:ascii="Times New Roman" w:hAnsi="Times New Roman" w:cs="Times New Roman"/>
        </w:rPr>
        <w:t>omi</w:t>
      </w:r>
      <w:r w:rsidR="004A3DEB">
        <w:rPr>
          <w:rFonts w:ascii="Times New Roman" w:hAnsi="Times New Roman" w:cs="Times New Roman"/>
        </w:rPr>
        <w:t xml:space="preserve">ts the change in Bridger Coal Company’s forecasted capital expenses when comparing coal costs used in the Company’s SCR </w:t>
      </w:r>
      <w:r w:rsidR="00B9375A">
        <w:rPr>
          <w:rFonts w:ascii="Times New Roman" w:hAnsi="Times New Roman" w:cs="Times New Roman"/>
        </w:rPr>
        <w:t>a</w:t>
      </w:r>
      <w:r w:rsidR="004A3DEB">
        <w:rPr>
          <w:rFonts w:ascii="Times New Roman" w:hAnsi="Times New Roman" w:cs="Times New Roman"/>
        </w:rPr>
        <w:t>nalysis with coal costs used in the 2015 IRP.</w:t>
      </w:r>
    </w:p>
    <w:p w:rsidR="004A3DEB" w:rsidRDefault="008F273B" w:rsidP="004A3DEB">
      <w:pPr>
        <w:spacing w:line="480" w:lineRule="auto"/>
        <w:ind w:left="720" w:hanging="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64384" behindDoc="0" locked="0" layoutInCell="1" allowOverlap="1" wp14:anchorId="2C77C4C7" wp14:editId="09C4E3E2">
                <wp:simplePos x="0" y="0"/>
                <wp:positionH relativeFrom="column">
                  <wp:posOffset>371475</wp:posOffset>
                </wp:positionH>
                <wp:positionV relativeFrom="paragraph">
                  <wp:posOffset>-2362200</wp:posOffset>
                </wp:positionV>
                <wp:extent cx="5229225" cy="523875"/>
                <wp:effectExtent l="0" t="0" r="0" b="0"/>
                <wp:wrapNone/>
                <wp:docPr id="9" name="Text Box 9"/>
                <wp:cNvGraphicFramePr/>
                <a:graphic xmlns:a="http://schemas.openxmlformats.org/drawingml/2006/main">
                  <a:graphicData uri="http://schemas.microsoft.com/office/word/2010/wordprocessingShape">
                    <wps:wsp>
                      <wps:cNvSpPr txBox="1"/>
                      <wps:spPr>
                        <a:xfrm>
                          <a:off x="0" y="0"/>
                          <a:ext cx="52292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1" type="#_x0000_t202" style="position:absolute;left:0;text-align:left;margin-left:29.25pt;margin-top:-186pt;width:411.75pt;height:41.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4A3DEB" w:rsidRPr="0053680D">
        <w:rPr>
          <w:rFonts w:ascii="Times New Roman" w:hAnsi="Times New Roman" w:cs="Times New Roman"/>
          <w:b/>
          <w:bCs/>
        </w:rPr>
        <w:t>Q.</w:t>
      </w:r>
      <w:r w:rsidR="004A3DEB" w:rsidRPr="0053680D">
        <w:rPr>
          <w:rFonts w:ascii="Times New Roman" w:hAnsi="Times New Roman" w:cs="Times New Roman"/>
          <w:b/>
          <w:bCs/>
        </w:rPr>
        <w:tab/>
      </w:r>
      <w:r w:rsidR="004A3DEB">
        <w:rPr>
          <w:rFonts w:ascii="Times New Roman" w:hAnsi="Times New Roman" w:cs="Times New Roman"/>
          <w:b/>
          <w:bCs/>
        </w:rPr>
        <w:t>What is the impact of this error in Sierra Club’s analysis?</w:t>
      </w:r>
    </w:p>
    <w:p w:rsidR="00DC205E" w:rsidRDefault="004A3DEB" w:rsidP="004A3DEB">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10529F">
        <w:rPr>
          <w:rFonts w:ascii="Times New Roman" w:hAnsi="Times New Roman" w:cs="Times New Roman"/>
        </w:rPr>
        <w:t>While Bridger Coal Company’s cash costs used in the 2015 IRP life-of-plant fuel cost forecast increased relative to cash costs assumed in the Company’s Jim Bridger SCR analysis, Bridger Coal Company’s future capital expenses are lower relative to the Company’s Jim Bridger SCR analysi</w:t>
      </w:r>
      <w:r w:rsidR="001B433B">
        <w:rPr>
          <w:rFonts w:ascii="Times New Roman" w:hAnsi="Times New Roman" w:cs="Times New Roman"/>
        </w:rPr>
        <w:t>s, as described in Mr. Ralston’s testimony.</w:t>
      </w:r>
      <w:r w:rsidR="0010529F">
        <w:rPr>
          <w:rFonts w:ascii="Times New Roman" w:hAnsi="Times New Roman" w:cs="Times New Roman"/>
        </w:rPr>
        <w:t xml:space="preserve"> </w:t>
      </w:r>
      <w:r w:rsidR="001B433B">
        <w:rPr>
          <w:rFonts w:ascii="Times New Roman" w:hAnsi="Times New Roman" w:cs="Times New Roman"/>
        </w:rPr>
        <w:t xml:space="preserve"> </w:t>
      </w:r>
      <w:r w:rsidR="00A346FC">
        <w:rPr>
          <w:rFonts w:ascii="Times New Roman" w:hAnsi="Times New Roman" w:cs="Times New Roman"/>
        </w:rPr>
        <w:t>Based on its flawed analysis, Sierra Club adjusts Jim Bridger SCR</w:t>
      </w:r>
      <w:r w:rsidR="00B9375A">
        <w:rPr>
          <w:rFonts w:ascii="Times New Roman" w:hAnsi="Times New Roman" w:cs="Times New Roman"/>
        </w:rPr>
        <w:t xml:space="preserve"> </w:t>
      </w:r>
      <w:r w:rsidR="00A346FC">
        <w:rPr>
          <w:rFonts w:ascii="Times New Roman" w:hAnsi="Times New Roman" w:cs="Times New Roman"/>
        </w:rPr>
        <w:t xml:space="preserve">benefits down by </w:t>
      </w:r>
      <w:r w:rsidR="004E17B4" w:rsidRPr="005C06D0">
        <w:rPr>
          <w:rFonts w:ascii="Times New Roman" w:hAnsi="Times New Roman" w:cs="Times New Roman"/>
          <w:highlight w:val="black"/>
        </w:rPr>
        <w:t>___________</w:t>
      </w:r>
      <w:r w:rsidR="00A346FC">
        <w:rPr>
          <w:rFonts w:ascii="Times New Roman" w:hAnsi="Times New Roman" w:cs="Times New Roman"/>
        </w:rPr>
        <w:t xml:space="preserve">. </w:t>
      </w:r>
      <w:r w:rsidR="002523CE">
        <w:rPr>
          <w:rFonts w:ascii="Times New Roman" w:hAnsi="Times New Roman" w:cs="Times New Roman"/>
        </w:rPr>
        <w:t xml:space="preserve"> </w:t>
      </w:r>
      <w:r w:rsidR="00A346FC">
        <w:rPr>
          <w:rFonts w:ascii="Times New Roman" w:hAnsi="Times New Roman" w:cs="Times New Roman"/>
        </w:rPr>
        <w:t xml:space="preserve">Had Sierra Club </w:t>
      </w:r>
      <w:r w:rsidR="00094CDB">
        <w:rPr>
          <w:rFonts w:ascii="Times New Roman" w:hAnsi="Times New Roman" w:cs="Times New Roman"/>
        </w:rPr>
        <w:t>performed an accurate comparative coal cost analysis that included future mine capital expenses, the differential in coal costs used in the 2015 IRP</w:t>
      </w:r>
      <w:r w:rsidR="00705071">
        <w:rPr>
          <w:rFonts w:ascii="Times New Roman" w:hAnsi="Times New Roman" w:cs="Times New Roman"/>
        </w:rPr>
        <w:t>—</w:t>
      </w:r>
      <w:r w:rsidR="00094CDB">
        <w:rPr>
          <w:rFonts w:ascii="Times New Roman" w:hAnsi="Times New Roman" w:cs="Times New Roman"/>
        </w:rPr>
        <w:t>which were not available in fall 2013</w:t>
      </w:r>
      <w:r w:rsidR="00705071">
        <w:rPr>
          <w:rFonts w:ascii="Times New Roman" w:hAnsi="Times New Roman" w:cs="Times New Roman"/>
        </w:rPr>
        <w:t>—</w:t>
      </w:r>
      <w:r w:rsidR="00094CDB">
        <w:rPr>
          <w:rFonts w:ascii="Times New Roman" w:hAnsi="Times New Roman" w:cs="Times New Roman"/>
        </w:rPr>
        <w:t>and the coal costs used in the Company’s analysis</w:t>
      </w:r>
      <w:r w:rsidR="00300C9B">
        <w:rPr>
          <w:rFonts w:ascii="Times New Roman" w:hAnsi="Times New Roman" w:cs="Times New Roman"/>
        </w:rPr>
        <w:t>,</w:t>
      </w:r>
      <w:r w:rsidR="00094CDB">
        <w:rPr>
          <w:rFonts w:ascii="Times New Roman" w:hAnsi="Times New Roman" w:cs="Times New Roman"/>
        </w:rPr>
        <w:t xml:space="preserve"> would reduce this adjustment by </w:t>
      </w:r>
      <w:r w:rsidR="004E17B4" w:rsidRPr="005C06D0">
        <w:rPr>
          <w:rFonts w:ascii="Times New Roman" w:hAnsi="Times New Roman" w:cs="Times New Roman"/>
          <w:highlight w:val="black"/>
        </w:rPr>
        <w:t>_</w:t>
      </w:r>
      <w:r w:rsidR="004E17B4">
        <w:rPr>
          <w:rFonts w:ascii="Times New Roman" w:hAnsi="Times New Roman" w:cs="Times New Roman"/>
          <w:highlight w:val="black"/>
        </w:rPr>
        <w:t>_________</w:t>
      </w:r>
      <w:r w:rsidR="00094CDB">
        <w:rPr>
          <w:rFonts w:ascii="Times New Roman" w:hAnsi="Times New Roman" w:cs="Times New Roman"/>
        </w:rPr>
        <w:t xml:space="preserve"> to </w:t>
      </w:r>
      <w:r w:rsidR="004E17B4" w:rsidRPr="005C06D0">
        <w:rPr>
          <w:rFonts w:ascii="Times New Roman" w:hAnsi="Times New Roman" w:cs="Times New Roman"/>
          <w:highlight w:val="black"/>
        </w:rPr>
        <w:t>_</w:t>
      </w:r>
      <w:r w:rsidR="004E17B4">
        <w:rPr>
          <w:rFonts w:ascii="Times New Roman" w:hAnsi="Times New Roman" w:cs="Times New Roman"/>
          <w:highlight w:val="black"/>
        </w:rPr>
        <w:t>________</w:t>
      </w:r>
      <w:r w:rsidR="00094CDB">
        <w:rPr>
          <w:rFonts w:ascii="Times New Roman" w:hAnsi="Times New Roman" w:cs="Times New Roman"/>
        </w:rPr>
        <w:t>.</w:t>
      </w:r>
      <w:r w:rsidR="00AA2C83">
        <w:rPr>
          <w:rFonts w:ascii="Times New Roman" w:hAnsi="Times New Roman" w:cs="Times New Roman"/>
        </w:rPr>
        <w:t xml:space="preserve">  Sierra Club’s coal cost adjustment (when corrected) does not support its conclusion that gas conversion would be lower cost than installation of SCRs on Jim Bridger Units 3 and 4.</w:t>
      </w:r>
    </w:p>
    <w:p w:rsidR="00045333" w:rsidRPr="00045333" w:rsidRDefault="00045333" w:rsidP="008F273B">
      <w:pPr>
        <w:pStyle w:val="Heading1"/>
      </w:pPr>
      <w:bookmarkStart w:id="3" w:name="_Toc447715555"/>
      <w:r>
        <w:t>NATURAL GAS PRICES</w:t>
      </w:r>
      <w:bookmarkEnd w:id="3"/>
    </w:p>
    <w:p w:rsidR="00045333" w:rsidRDefault="00045333" w:rsidP="00045333">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8674A4">
        <w:rPr>
          <w:rFonts w:ascii="Times New Roman" w:hAnsi="Times New Roman" w:cs="Times New Roman"/>
          <w:b/>
          <w:bCs/>
        </w:rPr>
        <w:t xml:space="preserve">Did the Company evaluate </w:t>
      </w:r>
      <w:r w:rsidR="009A6C47">
        <w:rPr>
          <w:rFonts w:ascii="Times New Roman" w:hAnsi="Times New Roman" w:cs="Times New Roman"/>
          <w:b/>
          <w:bCs/>
        </w:rPr>
        <w:t xml:space="preserve">how </w:t>
      </w:r>
      <w:r w:rsidR="008674A4">
        <w:rPr>
          <w:rFonts w:ascii="Times New Roman" w:hAnsi="Times New Roman" w:cs="Times New Roman"/>
          <w:b/>
          <w:bCs/>
        </w:rPr>
        <w:t>natural gas price projections</w:t>
      </w:r>
      <w:r w:rsidR="009A6C47">
        <w:rPr>
          <w:rFonts w:ascii="Times New Roman" w:hAnsi="Times New Roman" w:cs="Times New Roman"/>
          <w:b/>
          <w:bCs/>
        </w:rPr>
        <w:t>,</w:t>
      </w:r>
      <w:r w:rsidR="008674A4">
        <w:rPr>
          <w:rFonts w:ascii="Times New Roman" w:hAnsi="Times New Roman" w:cs="Times New Roman"/>
          <w:b/>
          <w:bCs/>
        </w:rPr>
        <w:t xml:space="preserve"> available </w:t>
      </w:r>
      <w:r w:rsidR="009A6C47">
        <w:rPr>
          <w:rFonts w:ascii="Times New Roman" w:hAnsi="Times New Roman" w:cs="Times New Roman"/>
          <w:b/>
          <w:bCs/>
        </w:rPr>
        <w:t xml:space="preserve">when the </w:t>
      </w:r>
      <w:r w:rsidR="008A069C" w:rsidRPr="00302504">
        <w:rPr>
          <w:rFonts w:ascii="Times New Roman" w:hAnsi="Times New Roman" w:cs="Times New Roman"/>
          <w:b/>
        </w:rPr>
        <w:t>FNTP</w:t>
      </w:r>
      <w:r w:rsidR="008A069C" w:rsidRPr="00E6657D" w:rsidDel="008A069C">
        <w:rPr>
          <w:rFonts w:ascii="Times New Roman" w:hAnsi="Times New Roman" w:cs="Times New Roman"/>
          <w:b/>
          <w:bCs/>
        </w:rPr>
        <w:t xml:space="preserve"> </w:t>
      </w:r>
      <w:r w:rsidR="008674A4">
        <w:rPr>
          <w:rFonts w:ascii="Times New Roman" w:hAnsi="Times New Roman" w:cs="Times New Roman"/>
          <w:b/>
          <w:bCs/>
        </w:rPr>
        <w:t>was issued</w:t>
      </w:r>
      <w:r w:rsidR="009A6C47">
        <w:rPr>
          <w:rFonts w:ascii="Times New Roman" w:hAnsi="Times New Roman" w:cs="Times New Roman"/>
          <w:b/>
          <w:bCs/>
        </w:rPr>
        <w:t>, affected its base case analysis of the Jim Bridger SCRs?</w:t>
      </w:r>
    </w:p>
    <w:p w:rsidR="00045333" w:rsidRDefault="00045333" w:rsidP="00045333">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9A6C47">
        <w:rPr>
          <w:rFonts w:ascii="Times New Roman" w:hAnsi="Times New Roman" w:cs="Times New Roman"/>
        </w:rPr>
        <w:t xml:space="preserve">Yes. </w:t>
      </w:r>
      <w:r w:rsidR="003C2D5D">
        <w:rPr>
          <w:rFonts w:ascii="Times New Roman" w:hAnsi="Times New Roman" w:cs="Times New Roman"/>
        </w:rPr>
        <w:t xml:space="preserve"> </w:t>
      </w:r>
      <w:r w:rsidR="00545754">
        <w:rPr>
          <w:rFonts w:ascii="Times New Roman" w:hAnsi="Times New Roman" w:cs="Times New Roman"/>
        </w:rPr>
        <w:t>The Company’s analysis of the Jim Bridger SCRs was completed using base case natural gas prices from its September 2012 OFPC</w:t>
      </w:r>
      <w:r w:rsidR="00C14F97">
        <w:rPr>
          <w:rFonts w:ascii="Times New Roman" w:hAnsi="Times New Roman" w:cs="Times New Roman"/>
        </w:rPr>
        <w:t xml:space="preserve">, which yields a nominal </w:t>
      </w:r>
      <w:proofErr w:type="spellStart"/>
      <w:r w:rsidR="00C14F97">
        <w:rPr>
          <w:rFonts w:ascii="Times New Roman" w:hAnsi="Times New Roman" w:cs="Times New Roman"/>
        </w:rPr>
        <w:t>levelized</w:t>
      </w:r>
      <w:proofErr w:type="spellEnd"/>
      <w:r w:rsidR="00C14F97">
        <w:rPr>
          <w:rFonts w:ascii="Times New Roman" w:hAnsi="Times New Roman" w:cs="Times New Roman"/>
        </w:rPr>
        <w:t xml:space="preserve"> price</w:t>
      </w:r>
      <w:r w:rsidR="00545754">
        <w:rPr>
          <w:rFonts w:ascii="Times New Roman" w:hAnsi="Times New Roman" w:cs="Times New Roman"/>
        </w:rPr>
        <w:t xml:space="preserve"> </w:t>
      </w:r>
      <w:r w:rsidR="00C14F97">
        <w:rPr>
          <w:rFonts w:ascii="Times New Roman" w:hAnsi="Times New Roman" w:cs="Times New Roman"/>
        </w:rPr>
        <w:t xml:space="preserve">at Opal over the 2016 through 2030 timeframe of $5.72 per </w:t>
      </w:r>
      <w:proofErr w:type="spellStart"/>
      <w:r w:rsidR="00C14F97">
        <w:rPr>
          <w:rFonts w:ascii="Times New Roman" w:hAnsi="Times New Roman" w:cs="Times New Roman"/>
        </w:rPr>
        <w:t>mmBtu</w:t>
      </w:r>
      <w:proofErr w:type="spellEnd"/>
      <w:r w:rsidR="00C14F97">
        <w:rPr>
          <w:rFonts w:ascii="Times New Roman" w:hAnsi="Times New Roman" w:cs="Times New Roman"/>
        </w:rPr>
        <w:t xml:space="preserve">. </w:t>
      </w:r>
      <w:r w:rsidR="002523CE">
        <w:rPr>
          <w:rFonts w:ascii="Times New Roman" w:hAnsi="Times New Roman" w:cs="Times New Roman"/>
        </w:rPr>
        <w:t xml:space="preserve"> </w:t>
      </w:r>
      <w:r w:rsidR="00C14F97">
        <w:rPr>
          <w:rFonts w:ascii="Times New Roman" w:hAnsi="Times New Roman" w:cs="Times New Roman"/>
        </w:rPr>
        <w:t xml:space="preserve">The most current OFPC at the time the </w:t>
      </w:r>
      <w:r w:rsidR="008A069C">
        <w:rPr>
          <w:rFonts w:ascii="Times New Roman" w:hAnsi="Times New Roman" w:cs="Times New Roman"/>
        </w:rPr>
        <w:t>FNTP</w:t>
      </w:r>
      <w:r w:rsidR="008A069C" w:rsidDel="008A069C">
        <w:rPr>
          <w:rFonts w:ascii="Times New Roman" w:hAnsi="Times New Roman" w:cs="Times New Roman"/>
        </w:rPr>
        <w:t xml:space="preserve"> </w:t>
      </w:r>
      <w:r w:rsidR="00C14F97">
        <w:rPr>
          <w:rFonts w:ascii="Times New Roman" w:hAnsi="Times New Roman" w:cs="Times New Roman"/>
        </w:rPr>
        <w:t>was issued on December 1, 2013</w:t>
      </w:r>
      <w:r w:rsidR="00B57A85">
        <w:rPr>
          <w:rFonts w:ascii="Times New Roman" w:hAnsi="Times New Roman" w:cs="Times New Roman"/>
        </w:rPr>
        <w:t>,</w:t>
      </w:r>
      <w:r w:rsidR="00C14F97">
        <w:rPr>
          <w:rFonts w:ascii="Times New Roman" w:hAnsi="Times New Roman" w:cs="Times New Roman"/>
        </w:rPr>
        <w:t xml:space="preserve"> was the September 2013 OFPC, which yields </w:t>
      </w:r>
      <w:r w:rsidR="009978EF">
        <w:rPr>
          <w:rFonts w:ascii="Times New Roman" w:hAnsi="Times New Roman" w:cs="Times New Roman"/>
        </w:rPr>
        <w:t xml:space="preserve">a </w:t>
      </w:r>
      <w:r w:rsidR="00C14F97">
        <w:rPr>
          <w:rFonts w:ascii="Times New Roman" w:hAnsi="Times New Roman" w:cs="Times New Roman"/>
        </w:rPr>
        <w:t xml:space="preserve">nominal </w:t>
      </w:r>
      <w:proofErr w:type="spellStart"/>
      <w:r w:rsidR="00C14F97">
        <w:rPr>
          <w:rFonts w:ascii="Times New Roman" w:hAnsi="Times New Roman" w:cs="Times New Roman"/>
        </w:rPr>
        <w:t>levelized</w:t>
      </w:r>
      <w:proofErr w:type="spellEnd"/>
      <w:r w:rsidR="00C14F97">
        <w:rPr>
          <w:rFonts w:ascii="Times New Roman" w:hAnsi="Times New Roman" w:cs="Times New Roman"/>
        </w:rPr>
        <w:t xml:space="preserve"> price at Opal of $5.35 per </w:t>
      </w:r>
      <w:proofErr w:type="spellStart"/>
      <w:r w:rsidR="00C14F97">
        <w:rPr>
          <w:rFonts w:ascii="Times New Roman" w:hAnsi="Times New Roman" w:cs="Times New Roman"/>
        </w:rPr>
        <w:t>mmBtu</w:t>
      </w:r>
      <w:proofErr w:type="spellEnd"/>
      <w:r w:rsidR="009978EF">
        <w:rPr>
          <w:rFonts w:ascii="Times New Roman" w:hAnsi="Times New Roman" w:cs="Times New Roman"/>
        </w:rPr>
        <w:t xml:space="preserve"> over the 2016 through 2030 timeframe</w:t>
      </w:r>
      <w:r w:rsidR="00C14F97">
        <w:rPr>
          <w:rFonts w:ascii="Times New Roman" w:hAnsi="Times New Roman" w:cs="Times New Roman"/>
        </w:rPr>
        <w:t xml:space="preserve">. </w:t>
      </w:r>
      <w:r w:rsidR="002523CE">
        <w:rPr>
          <w:rFonts w:ascii="Times New Roman" w:hAnsi="Times New Roman" w:cs="Times New Roman"/>
        </w:rPr>
        <w:t xml:space="preserve"> </w:t>
      </w:r>
      <w:r w:rsidR="00545754">
        <w:rPr>
          <w:rFonts w:ascii="Times New Roman" w:hAnsi="Times New Roman" w:cs="Times New Roman"/>
        </w:rPr>
        <w:t xml:space="preserve">As described in my direct testimony, </w:t>
      </w:r>
      <w:r w:rsidR="00C14F97">
        <w:rPr>
          <w:rFonts w:ascii="Times New Roman" w:hAnsi="Times New Roman" w:cs="Times New Roman"/>
        </w:rPr>
        <w:t>the Company estimates</w:t>
      </w:r>
      <w:r w:rsidR="00545754">
        <w:rPr>
          <w:rFonts w:ascii="Times New Roman" w:hAnsi="Times New Roman" w:cs="Times New Roman"/>
        </w:rPr>
        <w:t xml:space="preserve"> that the Jim Bridger </w:t>
      </w:r>
      <w:proofErr w:type="spellStart"/>
      <w:r w:rsidR="00545754">
        <w:rPr>
          <w:rFonts w:ascii="Times New Roman" w:hAnsi="Times New Roman" w:cs="Times New Roman"/>
        </w:rPr>
        <w:t>SCRs</w:t>
      </w:r>
      <w:proofErr w:type="spellEnd"/>
      <w:r w:rsidR="00545754">
        <w:rPr>
          <w:rFonts w:ascii="Times New Roman" w:hAnsi="Times New Roman" w:cs="Times New Roman"/>
        </w:rPr>
        <w:t xml:space="preserve"> </w:t>
      </w:r>
      <w:r w:rsidR="009978EF">
        <w:rPr>
          <w:rFonts w:ascii="Times New Roman" w:hAnsi="Times New Roman" w:cs="Times New Roman"/>
        </w:rPr>
        <w:t>remained</w:t>
      </w:r>
      <w:r w:rsidR="00545754">
        <w:rPr>
          <w:rFonts w:ascii="Times New Roman" w:hAnsi="Times New Roman" w:cs="Times New Roman"/>
        </w:rPr>
        <w:t xml:space="preserve"> approximately </w:t>
      </w:r>
      <w:r w:rsidR="004E17B4" w:rsidRPr="005C06D0">
        <w:rPr>
          <w:rFonts w:ascii="Times New Roman" w:hAnsi="Times New Roman" w:cs="Times New Roman"/>
          <w:highlight w:val="black"/>
        </w:rPr>
        <w:t>___________</w:t>
      </w:r>
      <w:r w:rsidR="009A6C47">
        <w:rPr>
          <w:rFonts w:ascii="Times New Roman" w:hAnsi="Times New Roman" w:cs="Times New Roman"/>
        </w:rPr>
        <w:t xml:space="preserve"> </w:t>
      </w:r>
      <w:r w:rsidR="00545754">
        <w:rPr>
          <w:rFonts w:ascii="Times New Roman" w:hAnsi="Times New Roman" w:cs="Times New Roman"/>
        </w:rPr>
        <w:t xml:space="preserve">lower cost than the gas conversion alternative </w:t>
      </w:r>
      <w:r w:rsidR="00C14F97">
        <w:rPr>
          <w:rFonts w:ascii="Times New Roman" w:hAnsi="Times New Roman" w:cs="Times New Roman"/>
        </w:rPr>
        <w:t>when applying natural gas price assumptions from the September 2013 OFPC.</w:t>
      </w:r>
    </w:p>
    <w:p w:rsidR="00C14F97" w:rsidRDefault="008F273B" w:rsidP="00C14F97">
      <w:pPr>
        <w:spacing w:line="480" w:lineRule="auto"/>
        <w:ind w:left="720" w:hanging="72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6167038E" wp14:editId="4800501A">
                <wp:simplePos x="0" y="0"/>
                <wp:positionH relativeFrom="column">
                  <wp:posOffset>247650</wp:posOffset>
                </wp:positionH>
                <wp:positionV relativeFrom="paragraph">
                  <wp:posOffset>-3082290</wp:posOffset>
                </wp:positionV>
                <wp:extent cx="5381625" cy="6286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538162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32" type="#_x0000_t202" style="position:absolute;left:0;text-align:left;margin-left:19.5pt;margin-top:-242.7pt;width:423.75pt;height:49.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C14F97" w:rsidRPr="0053680D">
        <w:rPr>
          <w:rFonts w:ascii="Times New Roman" w:hAnsi="Times New Roman" w:cs="Times New Roman"/>
          <w:b/>
          <w:bCs/>
        </w:rPr>
        <w:t>Q.</w:t>
      </w:r>
      <w:r w:rsidR="00C14F97" w:rsidRPr="0053680D">
        <w:rPr>
          <w:rFonts w:ascii="Times New Roman" w:hAnsi="Times New Roman" w:cs="Times New Roman"/>
          <w:b/>
          <w:bCs/>
        </w:rPr>
        <w:tab/>
      </w:r>
      <w:r w:rsidR="00C14F97">
        <w:rPr>
          <w:rFonts w:ascii="Times New Roman" w:hAnsi="Times New Roman" w:cs="Times New Roman"/>
          <w:b/>
          <w:bCs/>
        </w:rPr>
        <w:t xml:space="preserve">Did </w:t>
      </w:r>
      <w:r w:rsidR="009978EF">
        <w:rPr>
          <w:rFonts w:ascii="Times New Roman" w:hAnsi="Times New Roman" w:cs="Times New Roman"/>
          <w:b/>
          <w:bCs/>
        </w:rPr>
        <w:t>Staff review the Company’s September 2013 OFPC</w:t>
      </w:r>
      <w:r w:rsidR="00C14F97">
        <w:rPr>
          <w:rFonts w:ascii="Times New Roman" w:hAnsi="Times New Roman" w:cs="Times New Roman"/>
          <w:b/>
          <w:bCs/>
        </w:rPr>
        <w:t>?</w:t>
      </w:r>
    </w:p>
    <w:p w:rsidR="00DD03D8" w:rsidRDefault="00C14F97" w:rsidP="009978EF">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3C2D5D">
        <w:rPr>
          <w:rFonts w:ascii="Times New Roman" w:hAnsi="Times New Roman" w:cs="Times New Roman"/>
        </w:rPr>
        <w:t xml:space="preserve"> </w:t>
      </w:r>
      <w:r w:rsidR="009978EF">
        <w:rPr>
          <w:rFonts w:ascii="Times New Roman" w:hAnsi="Times New Roman" w:cs="Times New Roman"/>
        </w:rPr>
        <w:t>Staff compared the Company’s September 2013 OFPC with seven other forward natural gas price curves, in</w:t>
      </w:r>
      <w:r w:rsidR="003611F6">
        <w:rPr>
          <w:rFonts w:ascii="Times New Roman" w:hAnsi="Times New Roman" w:cs="Times New Roman"/>
        </w:rPr>
        <w:t>cluding three curves from third-</w:t>
      </w:r>
      <w:r w:rsidR="009978EF">
        <w:rPr>
          <w:rFonts w:ascii="Times New Roman" w:hAnsi="Times New Roman" w:cs="Times New Roman"/>
        </w:rPr>
        <w:t xml:space="preserve">party experts that were available to the Company, three curves used by other utilities in the region, and one curve produced by the </w:t>
      </w:r>
      <w:r w:rsidR="00B57A85">
        <w:rPr>
          <w:rFonts w:ascii="Times New Roman" w:hAnsi="Times New Roman" w:cs="Times New Roman"/>
        </w:rPr>
        <w:t xml:space="preserve">United States </w:t>
      </w:r>
      <w:r w:rsidR="009978EF">
        <w:rPr>
          <w:rFonts w:ascii="Times New Roman" w:hAnsi="Times New Roman" w:cs="Times New Roman"/>
        </w:rPr>
        <w:t>Department of Energy’s Energy Information Administration</w:t>
      </w:r>
      <w:r w:rsidR="00D4384F">
        <w:rPr>
          <w:rFonts w:ascii="Times New Roman" w:hAnsi="Times New Roman" w:cs="Times New Roman"/>
        </w:rPr>
        <w:t xml:space="preserve"> (EIA)</w:t>
      </w:r>
      <w:r w:rsidR="009978EF">
        <w:rPr>
          <w:rFonts w:ascii="Times New Roman" w:hAnsi="Times New Roman" w:cs="Times New Roman"/>
        </w:rPr>
        <w:t>.</w:t>
      </w:r>
      <w:r w:rsidR="00515255">
        <w:rPr>
          <w:rStyle w:val="FootnoteReference"/>
          <w:rFonts w:ascii="Times New Roman" w:hAnsi="Times New Roman"/>
        </w:rPr>
        <w:footnoteReference w:id="9"/>
      </w:r>
      <w:r w:rsidR="009978EF">
        <w:rPr>
          <w:rFonts w:ascii="Times New Roman" w:hAnsi="Times New Roman" w:cs="Times New Roman"/>
        </w:rPr>
        <w:t xml:space="preserve"> </w:t>
      </w:r>
    </w:p>
    <w:p w:rsidR="008461EB" w:rsidRDefault="008461EB" w:rsidP="008461EB">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What did Staff conclude from its review of the Company’s </w:t>
      </w:r>
      <w:r w:rsidR="00532778">
        <w:rPr>
          <w:rFonts w:ascii="Times New Roman" w:hAnsi="Times New Roman" w:cs="Times New Roman"/>
          <w:b/>
          <w:bCs/>
        </w:rPr>
        <w:t xml:space="preserve">September </w:t>
      </w:r>
      <w:r>
        <w:rPr>
          <w:rFonts w:ascii="Times New Roman" w:hAnsi="Times New Roman" w:cs="Times New Roman"/>
          <w:b/>
          <w:bCs/>
        </w:rPr>
        <w:t>2013 OFPC?</w:t>
      </w:r>
    </w:p>
    <w:p w:rsidR="008461EB" w:rsidRDefault="008461EB" w:rsidP="008461EB">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Staff </w:t>
      </w:r>
      <w:r w:rsidR="00406EBF">
        <w:rPr>
          <w:rFonts w:ascii="Times New Roman" w:hAnsi="Times New Roman" w:cs="Times New Roman"/>
        </w:rPr>
        <w:t xml:space="preserve">asserts </w:t>
      </w:r>
      <w:r>
        <w:rPr>
          <w:rFonts w:ascii="Times New Roman" w:hAnsi="Times New Roman" w:cs="Times New Roman"/>
        </w:rPr>
        <w:t xml:space="preserve">that the Company’s September 2013 OFPC was among the highest of the natural gas price curves it reviewed, </w:t>
      </w:r>
      <w:r w:rsidR="00B9375A">
        <w:rPr>
          <w:rFonts w:ascii="Times New Roman" w:hAnsi="Times New Roman" w:cs="Times New Roman"/>
        </w:rPr>
        <w:t xml:space="preserve">and </w:t>
      </w:r>
      <w:r>
        <w:rPr>
          <w:rFonts w:ascii="Times New Roman" w:hAnsi="Times New Roman" w:cs="Times New Roman"/>
        </w:rPr>
        <w:t>conclud</w:t>
      </w:r>
      <w:r w:rsidR="00B9375A">
        <w:rPr>
          <w:rFonts w:ascii="Times New Roman" w:hAnsi="Times New Roman" w:cs="Times New Roman"/>
        </w:rPr>
        <w:t>es</w:t>
      </w:r>
      <w:r>
        <w:rPr>
          <w:rFonts w:ascii="Times New Roman" w:hAnsi="Times New Roman" w:cs="Times New Roman"/>
        </w:rPr>
        <w:t xml:space="preserve"> that</w:t>
      </w:r>
      <w:r w:rsidR="003C2D5D">
        <w:rPr>
          <w:rFonts w:ascii="Times New Roman" w:hAnsi="Times New Roman" w:cs="Times New Roman"/>
        </w:rPr>
        <w:t>,</w:t>
      </w:r>
      <w:r>
        <w:rPr>
          <w:rFonts w:ascii="Times New Roman" w:hAnsi="Times New Roman" w:cs="Times New Roman"/>
        </w:rPr>
        <w:t xml:space="preserve"> on a </w:t>
      </w:r>
      <w:proofErr w:type="spellStart"/>
      <w:r>
        <w:rPr>
          <w:rFonts w:ascii="Times New Roman" w:hAnsi="Times New Roman" w:cs="Times New Roman"/>
        </w:rPr>
        <w:t>levelized</w:t>
      </w:r>
      <w:proofErr w:type="spellEnd"/>
      <w:r>
        <w:rPr>
          <w:rFonts w:ascii="Times New Roman" w:hAnsi="Times New Roman" w:cs="Times New Roman"/>
        </w:rPr>
        <w:t xml:space="preserve"> basis, the Company’s curve was well above any of the other projections.</w:t>
      </w:r>
      <w:r w:rsidR="00515255">
        <w:rPr>
          <w:rStyle w:val="FootnoteReference"/>
          <w:rFonts w:ascii="Times New Roman" w:hAnsi="Times New Roman"/>
        </w:rPr>
        <w:footnoteReference w:id="10"/>
      </w:r>
      <w:r>
        <w:rPr>
          <w:rFonts w:ascii="Times New Roman" w:hAnsi="Times New Roman" w:cs="Times New Roman"/>
        </w:rPr>
        <w:t xml:space="preserve"> </w:t>
      </w:r>
      <w:r w:rsidR="002523CE">
        <w:rPr>
          <w:rFonts w:ascii="Times New Roman" w:hAnsi="Times New Roman" w:cs="Times New Roman"/>
        </w:rPr>
        <w:t xml:space="preserve"> </w:t>
      </w:r>
      <w:r>
        <w:rPr>
          <w:rFonts w:ascii="Times New Roman" w:hAnsi="Times New Roman" w:cs="Times New Roman"/>
        </w:rPr>
        <w:t xml:space="preserve">Staff then asserts that the average </w:t>
      </w:r>
      <w:proofErr w:type="spellStart"/>
      <w:r>
        <w:rPr>
          <w:rFonts w:ascii="Times New Roman" w:hAnsi="Times New Roman" w:cs="Times New Roman"/>
        </w:rPr>
        <w:t>levelized</w:t>
      </w:r>
      <w:proofErr w:type="spellEnd"/>
      <w:r>
        <w:rPr>
          <w:rFonts w:ascii="Times New Roman" w:hAnsi="Times New Roman" w:cs="Times New Roman"/>
        </w:rPr>
        <w:t xml:space="preserve"> price for the seven other projections is </w:t>
      </w:r>
      <w:r w:rsidR="004E17B4" w:rsidRPr="004E17B4">
        <w:rPr>
          <w:rFonts w:ascii="Times New Roman" w:hAnsi="Times New Roman" w:cs="Times New Roman"/>
          <w:highlight w:val="black"/>
        </w:rPr>
        <w:t>_____</w:t>
      </w:r>
      <w:r>
        <w:rPr>
          <w:rFonts w:ascii="Times New Roman" w:hAnsi="Times New Roman" w:cs="Times New Roman"/>
        </w:rPr>
        <w:t xml:space="preserve"> per </w:t>
      </w:r>
      <w:proofErr w:type="spellStart"/>
      <w:r>
        <w:rPr>
          <w:rFonts w:ascii="Times New Roman" w:hAnsi="Times New Roman" w:cs="Times New Roman"/>
        </w:rPr>
        <w:t>mmBtu</w:t>
      </w:r>
      <w:proofErr w:type="spellEnd"/>
      <w:r>
        <w:rPr>
          <w:rFonts w:ascii="Times New Roman" w:hAnsi="Times New Roman" w:cs="Times New Roman"/>
        </w:rPr>
        <w:t xml:space="preserve">, below the Company’s predicted break-even price of $4.86 per </w:t>
      </w:r>
      <w:proofErr w:type="spellStart"/>
      <w:r>
        <w:rPr>
          <w:rFonts w:ascii="Times New Roman" w:hAnsi="Times New Roman" w:cs="Times New Roman"/>
        </w:rPr>
        <w:t>mmBtu</w:t>
      </w:r>
      <w:proofErr w:type="spellEnd"/>
      <w:r>
        <w:rPr>
          <w:rFonts w:ascii="Times New Roman" w:hAnsi="Times New Roman" w:cs="Times New Roman"/>
        </w:rPr>
        <w:t>.</w:t>
      </w:r>
      <w:r w:rsidR="00515255">
        <w:rPr>
          <w:rStyle w:val="FootnoteReference"/>
          <w:rFonts w:ascii="Times New Roman" w:hAnsi="Times New Roman"/>
        </w:rPr>
        <w:footnoteReference w:id="11"/>
      </w:r>
      <w:r>
        <w:rPr>
          <w:rFonts w:ascii="Times New Roman" w:hAnsi="Times New Roman" w:cs="Times New Roman"/>
        </w:rPr>
        <w:t xml:space="preserve"> </w:t>
      </w:r>
    </w:p>
    <w:p w:rsidR="005C318D" w:rsidRPr="00DD03D8" w:rsidRDefault="008F273B" w:rsidP="005C318D">
      <w:pPr>
        <w:spacing w:line="480" w:lineRule="auto"/>
        <w:ind w:left="720"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4F0DD667" wp14:editId="60E708E7">
                <wp:simplePos x="0" y="0"/>
                <wp:positionH relativeFrom="column">
                  <wp:posOffset>457200</wp:posOffset>
                </wp:positionH>
                <wp:positionV relativeFrom="paragraph">
                  <wp:posOffset>-647700</wp:posOffset>
                </wp:positionV>
                <wp:extent cx="5076825" cy="6000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0768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3" type="#_x0000_t202" style="position:absolute;left:0;text-align:left;margin-left:36pt;margin-top:-51pt;width:399.75pt;height:47.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8461EB">
        <w:rPr>
          <w:rFonts w:ascii="Times New Roman" w:hAnsi="Times New Roman" w:cs="Times New Roman"/>
        </w:rPr>
        <w:t xml:space="preserve">Staff also </w:t>
      </w:r>
      <w:r w:rsidR="00401374">
        <w:rPr>
          <w:rFonts w:ascii="Times New Roman" w:hAnsi="Times New Roman" w:cs="Times New Roman"/>
        </w:rPr>
        <w:t>testifies</w:t>
      </w:r>
      <w:r w:rsidR="008461EB">
        <w:rPr>
          <w:rFonts w:ascii="Times New Roman" w:hAnsi="Times New Roman" w:cs="Times New Roman"/>
        </w:rPr>
        <w:t xml:space="preserve"> that the most relevant natural gas price forecasts </w:t>
      </w:r>
      <w:r w:rsidR="00C63456">
        <w:rPr>
          <w:rFonts w:ascii="Times New Roman" w:hAnsi="Times New Roman" w:cs="Times New Roman"/>
        </w:rPr>
        <w:t>are t</w:t>
      </w:r>
      <w:r w:rsidR="003611F6">
        <w:rPr>
          <w:rFonts w:ascii="Times New Roman" w:hAnsi="Times New Roman" w:cs="Times New Roman"/>
        </w:rPr>
        <w:t>he three projections from third-</w:t>
      </w:r>
      <w:r w:rsidR="00C63456">
        <w:rPr>
          <w:rFonts w:ascii="Times New Roman" w:hAnsi="Times New Roman" w:cs="Times New Roman"/>
        </w:rPr>
        <w:t>party experts available to the Company when it dev</w:t>
      </w:r>
      <w:r w:rsidR="00C7317A">
        <w:rPr>
          <w:rFonts w:ascii="Times New Roman" w:hAnsi="Times New Roman" w:cs="Times New Roman"/>
        </w:rPr>
        <w:t>eloped its September 2013 OFPC because the Company should only be held accountable to act on information it had in its possession.</w:t>
      </w:r>
      <w:r w:rsidR="00515255">
        <w:rPr>
          <w:rStyle w:val="FootnoteReference"/>
          <w:rFonts w:ascii="Times New Roman" w:hAnsi="Times New Roman"/>
        </w:rPr>
        <w:footnoteReference w:id="12"/>
      </w:r>
      <w:r w:rsidR="00C7317A">
        <w:rPr>
          <w:rFonts w:ascii="Times New Roman" w:hAnsi="Times New Roman" w:cs="Times New Roman"/>
        </w:rPr>
        <w:t xml:space="preserve"> </w:t>
      </w:r>
      <w:r w:rsidR="002523CE">
        <w:rPr>
          <w:rFonts w:ascii="Times New Roman" w:hAnsi="Times New Roman" w:cs="Times New Roman"/>
        </w:rPr>
        <w:t xml:space="preserve"> </w:t>
      </w:r>
      <w:r w:rsidR="00C63456">
        <w:rPr>
          <w:rFonts w:ascii="Times New Roman" w:hAnsi="Times New Roman" w:cs="Times New Roman"/>
        </w:rPr>
        <w:t xml:space="preserve">Staff calculates the average </w:t>
      </w:r>
      <w:proofErr w:type="spellStart"/>
      <w:r w:rsidR="00C63456">
        <w:rPr>
          <w:rFonts w:ascii="Times New Roman" w:hAnsi="Times New Roman" w:cs="Times New Roman"/>
        </w:rPr>
        <w:t>levelized</w:t>
      </w:r>
      <w:proofErr w:type="spellEnd"/>
      <w:r w:rsidR="00C63456">
        <w:rPr>
          <w:rFonts w:ascii="Times New Roman" w:hAnsi="Times New Roman" w:cs="Times New Roman"/>
        </w:rPr>
        <w:t xml:space="preserve"> price from these three forecasts to be </w:t>
      </w:r>
      <w:r w:rsidR="00D73203" w:rsidRPr="00D73203">
        <w:rPr>
          <w:rFonts w:ascii="Times New Roman" w:hAnsi="Times New Roman" w:cs="Times New Roman"/>
          <w:highlight w:val="black"/>
        </w:rPr>
        <w:t>____</w:t>
      </w:r>
      <w:r w:rsidR="00C63456">
        <w:rPr>
          <w:rFonts w:ascii="Times New Roman" w:hAnsi="Times New Roman" w:cs="Times New Roman"/>
        </w:rPr>
        <w:t xml:space="preserve"> per </w:t>
      </w:r>
      <w:proofErr w:type="spellStart"/>
      <w:r w:rsidR="00C63456">
        <w:rPr>
          <w:rFonts w:ascii="Times New Roman" w:hAnsi="Times New Roman" w:cs="Times New Roman"/>
        </w:rPr>
        <w:t>mmBtu</w:t>
      </w:r>
      <w:proofErr w:type="spellEnd"/>
      <w:r w:rsidR="00E72892">
        <w:rPr>
          <w:rFonts w:ascii="Times New Roman" w:hAnsi="Times New Roman" w:cs="Times New Roman"/>
        </w:rPr>
        <w:t xml:space="preserve">. </w:t>
      </w:r>
      <w:r w:rsidR="002523CE">
        <w:rPr>
          <w:rFonts w:ascii="Times New Roman" w:hAnsi="Times New Roman" w:cs="Times New Roman"/>
        </w:rPr>
        <w:t xml:space="preserve"> </w:t>
      </w:r>
      <w:r w:rsidR="00E72892">
        <w:rPr>
          <w:rFonts w:ascii="Times New Roman" w:hAnsi="Times New Roman" w:cs="Times New Roman"/>
        </w:rPr>
        <w:t xml:space="preserve">Staff </w:t>
      </w:r>
      <w:r w:rsidR="00401374">
        <w:rPr>
          <w:rFonts w:ascii="Times New Roman" w:hAnsi="Times New Roman" w:cs="Times New Roman"/>
        </w:rPr>
        <w:t>claims</w:t>
      </w:r>
      <w:r w:rsidR="00E72892">
        <w:rPr>
          <w:rFonts w:ascii="Times New Roman" w:hAnsi="Times New Roman" w:cs="Times New Roman"/>
        </w:rPr>
        <w:t xml:space="preserve"> that two </w:t>
      </w:r>
      <w:r w:rsidR="00C63456">
        <w:rPr>
          <w:rFonts w:ascii="Times New Roman" w:hAnsi="Times New Roman" w:cs="Times New Roman"/>
        </w:rPr>
        <w:t xml:space="preserve">of the </w:t>
      </w:r>
      <w:r w:rsidR="00E72892">
        <w:rPr>
          <w:rFonts w:ascii="Times New Roman" w:hAnsi="Times New Roman" w:cs="Times New Roman"/>
        </w:rPr>
        <w:t>three third</w:t>
      </w:r>
      <w:r w:rsidR="0028367F">
        <w:rPr>
          <w:rFonts w:ascii="Times New Roman" w:hAnsi="Times New Roman" w:cs="Times New Roman"/>
        </w:rPr>
        <w:t>-</w:t>
      </w:r>
      <w:r w:rsidR="00E72892">
        <w:rPr>
          <w:rFonts w:ascii="Times New Roman" w:hAnsi="Times New Roman" w:cs="Times New Roman"/>
        </w:rPr>
        <w:t xml:space="preserve">party forecasts </w:t>
      </w:r>
      <w:r w:rsidR="00AA2C83">
        <w:rPr>
          <w:rFonts w:ascii="Times New Roman" w:hAnsi="Times New Roman" w:cs="Times New Roman"/>
        </w:rPr>
        <w:t xml:space="preserve">available to the Company </w:t>
      </w:r>
      <w:r w:rsidR="00E72892">
        <w:rPr>
          <w:rFonts w:ascii="Times New Roman" w:hAnsi="Times New Roman" w:cs="Times New Roman"/>
        </w:rPr>
        <w:t xml:space="preserve">yield </w:t>
      </w:r>
      <w:proofErr w:type="spellStart"/>
      <w:r w:rsidR="00E72892">
        <w:rPr>
          <w:rFonts w:ascii="Times New Roman" w:hAnsi="Times New Roman" w:cs="Times New Roman"/>
        </w:rPr>
        <w:t>levelized</w:t>
      </w:r>
      <w:proofErr w:type="spellEnd"/>
      <w:r w:rsidR="00E72892">
        <w:rPr>
          <w:rFonts w:ascii="Times New Roman" w:hAnsi="Times New Roman" w:cs="Times New Roman"/>
        </w:rPr>
        <w:t xml:space="preserve"> prices of </w:t>
      </w:r>
      <w:r w:rsidR="00D73203" w:rsidRPr="00D73203">
        <w:rPr>
          <w:rFonts w:ascii="Times New Roman" w:hAnsi="Times New Roman" w:cs="Times New Roman"/>
          <w:highlight w:val="black"/>
        </w:rPr>
        <w:t>_____</w:t>
      </w:r>
      <w:r w:rsidR="00E72892">
        <w:rPr>
          <w:rFonts w:ascii="Times New Roman" w:hAnsi="Times New Roman" w:cs="Times New Roman"/>
        </w:rPr>
        <w:t xml:space="preserve"> per </w:t>
      </w:r>
      <w:proofErr w:type="spellStart"/>
      <w:r w:rsidR="00E72892">
        <w:rPr>
          <w:rFonts w:ascii="Times New Roman" w:hAnsi="Times New Roman" w:cs="Times New Roman"/>
        </w:rPr>
        <w:t>mmBtu</w:t>
      </w:r>
      <w:proofErr w:type="spellEnd"/>
      <w:r w:rsidR="00E72892">
        <w:rPr>
          <w:rFonts w:ascii="Times New Roman" w:hAnsi="Times New Roman" w:cs="Times New Roman"/>
        </w:rPr>
        <w:t xml:space="preserve"> and </w:t>
      </w:r>
      <w:r w:rsidR="00D73203" w:rsidRPr="00D73203">
        <w:rPr>
          <w:rFonts w:ascii="Times New Roman" w:hAnsi="Times New Roman" w:cs="Times New Roman"/>
          <w:highlight w:val="black"/>
        </w:rPr>
        <w:t>_____</w:t>
      </w:r>
      <w:r w:rsidR="00E72892">
        <w:rPr>
          <w:rFonts w:ascii="Times New Roman" w:hAnsi="Times New Roman" w:cs="Times New Roman"/>
        </w:rPr>
        <w:t xml:space="preserve"> per </w:t>
      </w:r>
      <w:proofErr w:type="spellStart"/>
      <w:r w:rsidR="00E72892">
        <w:rPr>
          <w:rFonts w:ascii="Times New Roman" w:hAnsi="Times New Roman" w:cs="Times New Roman"/>
        </w:rPr>
        <w:t>mmBtu</w:t>
      </w:r>
      <w:proofErr w:type="spellEnd"/>
      <w:r w:rsidR="00E72892">
        <w:rPr>
          <w:rFonts w:ascii="Times New Roman" w:hAnsi="Times New Roman" w:cs="Times New Roman"/>
        </w:rPr>
        <w:t xml:space="preserve">, noting that both are below the Company’s predicted break-even price of $4.86 per </w:t>
      </w:r>
      <w:proofErr w:type="spellStart"/>
      <w:r w:rsidR="00E72892">
        <w:rPr>
          <w:rFonts w:ascii="Times New Roman" w:hAnsi="Times New Roman" w:cs="Times New Roman"/>
        </w:rPr>
        <w:t>mmBtu</w:t>
      </w:r>
      <w:proofErr w:type="spellEnd"/>
      <w:r w:rsidR="00E72892">
        <w:rPr>
          <w:rFonts w:ascii="Times New Roman" w:hAnsi="Times New Roman" w:cs="Times New Roman"/>
        </w:rPr>
        <w:t>.</w:t>
      </w:r>
      <w:r w:rsidR="00515255">
        <w:rPr>
          <w:rStyle w:val="FootnoteReference"/>
          <w:rFonts w:ascii="Times New Roman" w:hAnsi="Times New Roman"/>
        </w:rPr>
        <w:footnoteReference w:id="13"/>
      </w:r>
      <w:r w:rsidR="005C318D">
        <w:rPr>
          <w:rFonts w:ascii="Times New Roman" w:hAnsi="Times New Roman" w:cs="Times New Roman"/>
        </w:rPr>
        <w:t xml:space="preserve"> </w:t>
      </w:r>
      <w:r w:rsidR="002523CE">
        <w:rPr>
          <w:rFonts w:ascii="Times New Roman" w:hAnsi="Times New Roman" w:cs="Times New Roman"/>
        </w:rPr>
        <w:t xml:space="preserve"> </w:t>
      </w:r>
      <w:r w:rsidR="005C318D">
        <w:rPr>
          <w:rFonts w:ascii="Times New Roman" w:hAnsi="Times New Roman" w:cs="Times New Roman"/>
        </w:rPr>
        <w:t>Staff concludes that a reasonable board of directors would have recognized these findings as a conspicuous red flag and reacted by revisiting the SCR analysis.</w:t>
      </w:r>
    </w:p>
    <w:p w:rsidR="005C318D" w:rsidRDefault="005C318D" w:rsidP="005C318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Did Staff apply an adjustment to the Company’s analysis based on its review of the Company’s September 2013 OFPC?</w:t>
      </w:r>
    </w:p>
    <w:p w:rsidR="003C0F82" w:rsidRDefault="005C318D" w:rsidP="005C318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C6190A">
        <w:rPr>
          <w:rFonts w:ascii="Times New Roman" w:hAnsi="Times New Roman" w:cs="Times New Roman"/>
        </w:rPr>
        <w:t xml:space="preserve"> </w:t>
      </w:r>
      <w:r w:rsidR="003C0F82">
        <w:rPr>
          <w:rFonts w:ascii="Times New Roman" w:hAnsi="Times New Roman" w:cs="Times New Roman"/>
        </w:rPr>
        <w:t xml:space="preserve">Staff uses its calculated average </w:t>
      </w:r>
      <w:proofErr w:type="spellStart"/>
      <w:r w:rsidR="003C0F82">
        <w:rPr>
          <w:rFonts w:ascii="Times New Roman" w:hAnsi="Times New Roman" w:cs="Times New Roman"/>
        </w:rPr>
        <w:t>level</w:t>
      </w:r>
      <w:r w:rsidR="003611F6">
        <w:rPr>
          <w:rFonts w:ascii="Times New Roman" w:hAnsi="Times New Roman" w:cs="Times New Roman"/>
        </w:rPr>
        <w:t>ized</w:t>
      </w:r>
      <w:proofErr w:type="spellEnd"/>
      <w:r w:rsidR="003611F6">
        <w:rPr>
          <w:rFonts w:ascii="Times New Roman" w:hAnsi="Times New Roman" w:cs="Times New Roman"/>
        </w:rPr>
        <w:t xml:space="preserve"> price from the three third-</w:t>
      </w:r>
      <w:r w:rsidR="003C0F82">
        <w:rPr>
          <w:rFonts w:ascii="Times New Roman" w:hAnsi="Times New Roman" w:cs="Times New Roman"/>
        </w:rPr>
        <w:t xml:space="preserve">party experts of </w:t>
      </w:r>
      <w:r w:rsidR="00D73203" w:rsidRPr="00D73203">
        <w:rPr>
          <w:rFonts w:ascii="Times New Roman" w:hAnsi="Times New Roman" w:cs="Times New Roman"/>
          <w:highlight w:val="black"/>
        </w:rPr>
        <w:t>_____</w:t>
      </w:r>
      <w:r w:rsidR="003C0F82">
        <w:rPr>
          <w:rFonts w:ascii="Times New Roman" w:hAnsi="Times New Roman" w:cs="Times New Roman"/>
        </w:rPr>
        <w:t xml:space="preserve"> per </w:t>
      </w:r>
      <w:proofErr w:type="spellStart"/>
      <w:r w:rsidR="003C0F82">
        <w:rPr>
          <w:rFonts w:ascii="Times New Roman" w:hAnsi="Times New Roman" w:cs="Times New Roman"/>
        </w:rPr>
        <w:t>mmBtu</w:t>
      </w:r>
      <w:proofErr w:type="spellEnd"/>
      <w:r w:rsidR="007C418E">
        <w:rPr>
          <w:rFonts w:ascii="Times New Roman" w:hAnsi="Times New Roman" w:cs="Times New Roman"/>
        </w:rPr>
        <w:t xml:space="preserve"> to </w:t>
      </w:r>
      <w:r w:rsidR="00C95A40">
        <w:rPr>
          <w:rFonts w:ascii="Times New Roman" w:hAnsi="Times New Roman" w:cs="Times New Roman"/>
        </w:rPr>
        <w:t xml:space="preserve">calculate a </w:t>
      </w:r>
      <w:r w:rsidR="00B230EF">
        <w:rPr>
          <w:rFonts w:ascii="Times New Roman" w:hAnsi="Times New Roman" w:cs="Times New Roman"/>
        </w:rPr>
        <w:t>present value revenue requirement differential (</w:t>
      </w:r>
      <w:proofErr w:type="gramStart"/>
      <w:r w:rsidR="00C95A40">
        <w:rPr>
          <w:rFonts w:ascii="Times New Roman" w:hAnsi="Times New Roman" w:cs="Times New Roman"/>
        </w:rPr>
        <w:t>PVRR(</w:t>
      </w:r>
      <w:proofErr w:type="gramEnd"/>
      <w:r w:rsidR="00C95A40">
        <w:rPr>
          <w:rFonts w:ascii="Times New Roman" w:hAnsi="Times New Roman" w:cs="Times New Roman"/>
        </w:rPr>
        <w:t>d)</w:t>
      </w:r>
      <w:r w:rsidR="00B230EF">
        <w:rPr>
          <w:rFonts w:ascii="Times New Roman" w:hAnsi="Times New Roman" w:cs="Times New Roman"/>
        </w:rPr>
        <w:t>)</w:t>
      </w:r>
      <w:r w:rsidR="00C95A40">
        <w:rPr>
          <w:rFonts w:ascii="Times New Roman" w:hAnsi="Times New Roman" w:cs="Times New Roman"/>
        </w:rPr>
        <w:t xml:space="preserve"> between the Jim Bridger SCR</w:t>
      </w:r>
      <w:r w:rsidR="00B9375A">
        <w:rPr>
          <w:rFonts w:ascii="Times New Roman" w:hAnsi="Times New Roman" w:cs="Times New Roman"/>
        </w:rPr>
        <w:t>s</w:t>
      </w:r>
      <w:r w:rsidR="00B50216">
        <w:rPr>
          <w:rFonts w:ascii="Times New Roman" w:hAnsi="Times New Roman" w:cs="Times New Roman"/>
        </w:rPr>
        <w:t xml:space="preserve"> </w:t>
      </w:r>
      <w:r w:rsidR="00C95A40">
        <w:rPr>
          <w:rFonts w:ascii="Times New Roman" w:hAnsi="Times New Roman" w:cs="Times New Roman"/>
        </w:rPr>
        <w:t xml:space="preserve">and gas conversion alternatives. </w:t>
      </w:r>
      <w:r w:rsidR="00C6190A">
        <w:rPr>
          <w:rFonts w:ascii="Times New Roman" w:hAnsi="Times New Roman" w:cs="Times New Roman"/>
        </w:rPr>
        <w:t xml:space="preserve"> </w:t>
      </w:r>
      <w:r w:rsidR="00C95A40">
        <w:rPr>
          <w:rFonts w:ascii="Times New Roman" w:hAnsi="Times New Roman" w:cs="Times New Roman"/>
        </w:rPr>
        <w:t xml:space="preserve">Staff asserts that this adds approximately </w:t>
      </w:r>
      <w:r w:rsidR="00D73203" w:rsidRPr="005C06D0">
        <w:rPr>
          <w:rFonts w:ascii="Times New Roman" w:hAnsi="Times New Roman" w:cs="Times New Roman"/>
          <w:highlight w:val="black"/>
        </w:rPr>
        <w:t>_</w:t>
      </w:r>
      <w:r w:rsidR="00D73203">
        <w:rPr>
          <w:rFonts w:ascii="Times New Roman" w:hAnsi="Times New Roman" w:cs="Times New Roman"/>
          <w:highlight w:val="black"/>
        </w:rPr>
        <w:t>_________</w:t>
      </w:r>
      <w:r w:rsidR="00B9375A">
        <w:rPr>
          <w:rFonts w:ascii="Times New Roman" w:hAnsi="Times New Roman" w:cs="Times New Roman"/>
        </w:rPr>
        <w:t xml:space="preserve"> of cost to the Jim Bridger SCR </w:t>
      </w:r>
      <w:r w:rsidR="00C95A40">
        <w:rPr>
          <w:rFonts w:ascii="Times New Roman" w:hAnsi="Times New Roman" w:cs="Times New Roman"/>
        </w:rPr>
        <w:t>alternative.</w:t>
      </w:r>
      <w:r w:rsidR="008762AB">
        <w:rPr>
          <w:rStyle w:val="FootnoteReference"/>
          <w:rFonts w:ascii="Times New Roman" w:hAnsi="Times New Roman"/>
        </w:rPr>
        <w:footnoteReference w:id="14"/>
      </w:r>
      <w:r w:rsidR="00C95A40">
        <w:rPr>
          <w:rFonts w:ascii="Times New Roman" w:hAnsi="Times New Roman" w:cs="Times New Roman"/>
        </w:rPr>
        <w:t xml:space="preserve"> </w:t>
      </w:r>
    </w:p>
    <w:p w:rsidR="003C0F82" w:rsidRDefault="003C0F82" w:rsidP="003C0F82">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3611F6">
        <w:rPr>
          <w:rFonts w:ascii="Times New Roman" w:hAnsi="Times New Roman" w:cs="Times New Roman"/>
          <w:b/>
          <w:bCs/>
        </w:rPr>
        <w:t>Is Staff’s assessment of third-</w:t>
      </w:r>
      <w:r>
        <w:rPr>
          <w:rFonts w:ascii="Times New Roman" w:hAnsi="Times New Roman" w:cs="Times New Roman"/>
          <w:b/>
          <w:bCs/>
        </w:rPr>
        <w:t xml:space="preserve">party expert forecasts available when the Company developed its </w:t>
      </w:r>
      <w:r w:rsidR="00C7317A">
        <w:rPr>
          <w:rFonts w:ascii="Times New Roman" w:hAnsi="Times New Roman" w:cs="Times New Roman"/>
          <w:b/>
          <w:bCs/>
        </w:rPr>
        <w:t xml:space="preserve">September </w:t>
      </w:r>
      <w:r>
        <w:rPr>
          <w:rFonts w:ascii="Times New Roman" w:hAnsi="Times New Roman" w:cs="Times New Roman"/>
          <w:b/>
          <w:bCs/>
        </w:rPr>
        <w:t>2013 OFPC accurate?</w:t>
      </w:r>
    </w:p>
    <w:p w:rsidR="003C0F82" w:rsidRDefault="003C0F82" w:rsidP="005C318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3611F6">
        <w:rPr>
          <w:rFonts w:ascii="Times New Roman" w:hAnsi="Times New Roman" w:cs="Times New Roman"/>
        </w:rPr>
        <w:t>No.</w:t>
      </w:r>
      <w:r w:rsidR="005047B5">
        <w:rPr>
          <w:rFonts w:ascii="Times New Roman" w:hAnsi="Times New Roman" w:cs="Times New Roman"/>
        </w:rPr>
        <w:t xml:space="preserve"> </w:t>
      </w:r>
      <w:r w:rsidR="003611F6">
        <w:rPr>
          <w:rFonts w:ascii="Times New Roman" w:hAnsi="Times New Roman" w:cs="Times New Roman"/>
        </w:rPr>
        <w:t xml:space="preserve"> Staff’s assessment of third-</w:t>
      </w:r>
      <w:r>
        <w:rPr>
          <w:rFonts w:ascii="Times New Roman" w:hAnsi="Times New Roman" w:cs="Times New Roman"/>
        </w:rPr>
        <w:t xml:space="preserve">party expert forecasts contains computational errors that </w:t>
      </w:r>
      <w:r w:rsidR="00565559">
        <w:rPr>
          <w:rFonts w:ascii="Times New Roman" w:hAnsi="Times New Roman" w:cs="Times New Roman"/>
        </w:rPr>
        <w:t>render</w:t>
      </w:r>
      <w:r>
        <w:rPr>
          <w:rFonts w:ascii="Times New Roman" w:hAnsi="Times New Roman" w:cs="Times New Roman"/>
        </w:rPr>
        <w:t xml:space="preserve"> its conclusions </w:t>
      </w:r>
      <w:r w:rsidR="00565559">
        <w:rPr>
          <w:rFonts w:ascii="Times New Roman" w:hAnsi="Times New Roman" w:cs="Times New Roman"/>
        </w:rPr>
        <w:t xml:space="preserve">and proposed adjustment </w:t>
      </w:r>
      <w:r>
        <w:rPr>
          <w:rFonts w:ascii="Times New Roman" w:hAnsi="Times New Roman" w:cs="Times New Roman"/>
        </w:rPr>
        <w:t>invalid.</w:t>
      </w:r>
    </w:p>
    <w:p w:rsidR="003C0F82" w:rsidRDefault="008F273B" w:rsidP="003C0F82">
      <w:pPr>
        <w:spacing w:line="480" w:lineRule="auto"/>
        <w:ind w:left="720" w:hanging="72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1A4D7DCE" wp14:editId="29E0134A">
                <wp:simplePos x="0" y="0"/>
                <wp:positionH relativeFrom="column">
                  <wp:posOffset>238125</wp:posOffset>
                </wp:positionH>
                <wp:positionV relativeFrom="paragraph">
                  <wp:posOffset>-542925</wp:posOffset>
                </wp:positionV>
                <wp:extent cx="5495925" cy="52387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4959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4" type="#_x0000_t202" style="position:absolute;left:0;text-align:left;margin-left:18.75pt;margin-top:-42.75pt;width:432.75pt;height:41.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3C0F82" w:rsidRPr="0053680D">
        <w:rPr>
          <w:rFonts w:ascii="Times New Roman" w:hAnsi="Times New Roman" w:cs="Times New Roman"/>
          <w:b/>
          <w:bCs/>
        </w:rPr>
        <w:t>Q.</w:t>
      </w:r>
      <w:r w:rsidR="003C0F82" w:rsidRPr="0053680D">
        <w:rPr>
          <w:rFonts w:ascii="Times New Roman" w:hAnsi="Times New Roman" w:cs="Times New Roman"/>
          <w:b/>
          <w:bCs/>
        </w:rPr>
        <w:tab/>
      </w:r>
      <w:r w:rsidR="003C0F82">
        <w:rPr>
          <w:rFonts w:ascii="Times New Roman" w:hAnsi="Times New Roman" w:cs="Times New Roman"/>
          <w:b/>
          <w:bCs/>
        </w:rPr>
        <w:t xml:space="preserve">Please describe the </w:t>
      </w:r>
      <w:r w:rsidR="006A37DA">
        <w:rPr>
          <w:rFonts w:ascii="Times New Roman" w:hAnsi="Times New Roman" w:cs="Times New Roman"/>
          <w:b/>
          <w:bCs/>
        </w:rPr>
        <w:t>computational errors in Staff’s assessment of the Company’s September 2013 OFPC.</w:t>
      </w:r>
    </w:p>
    <w:p w:rsidR="008461EB" w:rsidRDefault="003C0F82" w:rsidP="003C0F82">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565559">
        <w:rPr>
          <w:rFonts w:ascii="Times New Roman" w:hAnsi="Times New Roman" w:cs="Times New Roman"/>
        </w:rPr>
        <w:t>Staff failed to real</w:t>
      </w:r>
      <w:r w:rsidR="003611F6">
        <w:rPr>
          <w:rFonts w:ascii="Times New Roman" w:hAnsi="Times New Roman" w:cs="Times New Roman"/>
        </w:rPr>
        <w:t>ize that two of the three third-</w:t>
      </w:r>
      <w:r w:rsidR="00565559">
        <w:rPr>
          <w:rFonts w:ascii="Times New Roman" w:hAnsi="Times New Roman" w:cs="Times New Roman"/>
        </w:rPr>
        <w:t xml:space="preserve">party expert forecasts it used in its comparative analysis were presented in real dollars, and erroneously compared these forecasts to the Company’s </w:t>
      </w:r>
      <w:r w:rsidR="00377FF4">
        <w:rPr>
          <w:rFonts w:ascii="Times New Roman" w:hAnsi="Times New Roman" w:cs="Times New Roman"/>
        </w:rPr>
        <w:t xml:space="preserve">September </w:t>
      </w:r>
      <w:r w:rsidR="00565559">
        <w:rPr>
          <w:rFonts w:ascii="Times New Roman" w:hAnsi="Times New Roman" w:cs="Times New Roman"/>
        </w:rPr>
        <w:t xml:space="preserve">2013 OFPC, which was presented in nominal dollars. </w:t>
      </w:r>
      <w:r w:rsidR="00C6190A">
        <w:rPr>
          <w:rFonts w:ascii="Times New Roman" w:hAnsi="Times New Roman" w:cs="Times New Roman"/>
        </w:rPr>
        <w:t xml:space="preserve"> </w:t>
      </w:r>
      <w:r w:rsidR="00377FF4">
        <w:rPr>
          <w:rFonts w:ascii="Times New Roman" w:hAnsi="Times New Roman" w:cs="Times New Roman"/>
        </w:rPr>
        <w:t>Staff also used a f</w:t>
      </w:r>
      <w:r w:rsidR="003611F6">
        <w:rPr>
          <w:rFonts w:ascii="Times New Roman" w:hAnsi="Times New Roman" w:cs="Times New Roman"/>
        </w:rPr>
        <w:t>orecast from one of these third-</w:t>
      </w:r>
      <w:r w:rsidR="00377FF4">
        <w:rPr>
          <w:rFonts w:ascii="Times New Roman" w:hAnsi="Times New Roman" w:cs="Times New Roman"/>
        </w:rPr>
        <w:t xml:space="preserve">party experts that was </w:t>
      </w:r>
      <w:r w:rsidR="003052A3">
        <w:rPr>
          <w:rFonts w:ascii="Times New Roman" w:hAnsi="Times New Roman" w:cs="Times New Roman"/>
        </w:rPr>
        <w:t xml:space="preserve">only </w:t>
      </w:r>
      <w:r w:rsidR="00377FF4">
        <w:rPr>
          <w:rFonts w:ascii="Times New Roman" w:hAnsi="Times New Roman" w:cs="Times New Roman"/>
        </w:rPr>
        <w:t xml:space="preserve">available to the Company </w:t>
      </w:r>
      <w:r w:rsidR="00377FF4" w:rsidRPr="00302504">
        <w:rPr>
          <w:rFonts w:ascii="Times New Roman" w:hAnsi="Times New Roman" w:cs="Times New Roman"/>
          <w:i/>
        </w:rPr>
        <w:t>after</w:t>
      </w:r>
      <w:r w:rsidR="00377FF4">
        <w:rPr>
          <w:rFonts w:ascii="Times New Roman" w:hAnsi="Times New Roman" w:cs="Times New Roman"/>
        </w:rPr>
        <w:t xml:space="preserve"> it developed its September 2013 OFPC.</w:t>
      </w:r>
    </w:p>
    <w:p w:rsidR="00377FF4" w:rsidRDefault="00377FF4" w:rsidP="00377FF4">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7D2B14">
        <w:rPr>
          <w:rFonts w:ascii="Times New Roman" w:hAnsi="Times New Roman" w:cs="Times New Roman"/>
          <w:b/>
          <w:bCs/>
        </w:rPr>
        <w:t xml:space="preserve">What is the impact of </w:t>
      </w:r>
      <w:r w:rsidR="00C95A40">
        <w:rPr>
          <w:rFonts w:ascii="Times New Roman" w:hAnsi="Times New Roman" w:cs="Times New Roman"/>
          <w:b/>
          <w:bCs/>
        </w:rPr>
        <w:t>Staff’s</w:t>
      </w:r>
      <w:r w:rsidR="007D2B14">
        <w:rPr>
          <w:rFonts w:ascii="Times New Roman" w:hAnsi="Times New Roman" w:cs="Times New Roman"/>
          <w:b/>
          <w:bCs/>
        </w:rPr>
        <w:t xml:space="preserve"> error</w:t>
      </w:r>
      <w:r w:rsidR="00EF3EA7">
        <w:rPr>
          <w:rFonts w:ascii="Times New Roman" w:hAnsi="Times New Roman" w:cs="Times New Roman"/>
          <w:b/>
          <w:bCs/>
        </w:rPr>
        <w:t xml:space="preserve"> on </w:t>
      </w:r>
      <w:r w:rsidR="00C95A40">
        <w:rPr>
          <w:rFonts w:ascii="Times New Roman" w:hAnsi="Times New Roman" w:cs="Times New Roman"/>
          <w:b/>
          <w:bCs/>
        </w:rPr>
        <w:t xml:space="preserve">its calculation of </w:t>
      </w:r>
      <w:proofErr w:type="spellStart"/>
      <w:r w:rsidR="00BD3D57">
        <w:rPr>
          <w:rFonts w:ascii="Times New Roman" w:hAnsi="Times New Roman" w:cs="Times New Roman"/>
          <w:b/>
          <w:bCs/>
        </w:rPr>
        <w:t>levelized</w:t>
      </w:r>
      <w:proofErr w:type="spellEnd"/>
      <w:r w:rsidR="00BD3D57">
        <w:rPr>
          <w:rFonts w:ascii="Times New Roman" w:hAnsi="Times New Roman" w:cs="Times New Roman"/>
          <w:b/>
          <w:bCs/>
        </w:rPr>
        <w:t xml:space="preserve"> natural gas prices at Opal</w:t>
      </w:r>
      <w:r w:rsidR="007D2B14">
        <w:rPr>
          <w:rFonts w:ascii="Times New Roman" w:hAnsi="Times New Roman" w:cs="Times New Roman"/>
          <w:b/>
          <w:bCs/>
        </w:rPr>
        <w:t>?</w:t>
      </w:r>
    </w:p>
    <w:p w:rsidR="00377FF4" w:rsidRDefault="00377FF4" w:rsidP="00377FF4">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7D2B14">
        <w:rPr>
          <w:rFonts w:ascii="Times New Roman" w:hAnsi="Times New Roman" w:cs="Times New Roman"/>
        </w:rPr>
        <w:t xml:space="preserve">Confidential Figure </w:t>
      </w:r>
      <w:r w:rsidR="00245981">
        <w:rPr>
          <w:rFonts w:ascii="Times New Roman" w:hAnsi="Times New Roman" w:cs="Times New Roman"/>
        </w:rPr>
        <w:t xml:space="preserve">2 </w:t>
      </w:r>
      <w:r w:rsidR="007D2B14">
        <w:rPr>
          <w:rFonts w:ascii="Times New Roman" w:hAnsi="Times New Roman" w:cs="Times New Roman"/>
        </w:rPr>
        <w:t>compares the Company’s September 20</w:t>
      </w:r>
      <w:r w:rsidR="003611F6">
        <w:rPr>
          <w:rFonts w:ascii="Times New Roman" w:hAnsi="Times New Roman" w:cs="Times New Roman"/>
        </w:rPr>
        <w:t>13 OFPC against the three third-</w:t>
      </w:r>
      <w:r w:rsidR="007D2B14">
        <w:rPr>
          <w:rFonts w:ascii="Times New Roman" w:hAnsi="Times New Roman" w:cs="Times New Roman"/>
        </w:rPr>
        <w:t>party expert forecasts</w:t>
      </w:r>
      <w:r w:rsidR="006B24DC">
        <w:rPr>
          <w:rFonts w:ascii="Times New Roman" w:hAnsi="Times New Roman" w:cs="Times New Roman"/>
        </w:rPr>
        <w:t>,</w:t>
      </w:r>
      <w:r w:rsidR="007D2B14">
        <w:rPr>
          <w:rFonts w:ascii="Times New Roman" w:hAnsi="Times New Roman" w:cs="Times New Roman"/>
        </w:rPr>
        <w:t xml:space="preserve"> as incorrectly </w:t>
      </w:r>
      <w:r w:rsidR="006B24DC">
        <w:rPr>
          <w:rFonts w:ascii="Times New Roman" w:hAnsi="Times New Roman" w:cs="Times New Roman"/>
        </w:rPr>
        <w:t xml:space="preserve">represented by Staff, alongside </w:t>
      </w:r>
      <w:r w:rsidR="00EF3EA7">
        <w:rPr>
          <w:rFonts w:ascii="Times New Roman" w:hAnsi="Times New Roman" w:cs="Times New Roman"/>
        </w:rPr>
        <w:t xml:space="preserve">a </w:t>
      </w:r>
      <w:r w:rsidR="006B24DC">
        <w:rPr>
          <w:rFonts w:ascii="Times New Roman" w:hAnsi="Times New Roman" w:cs="Times New Roman"/>
        </w:rPr>
        <w:t xml:space="preserve">comparison with </w:t>
      </w:r>
      <w:r w:rsidR="00EF3EA7">
        <w:rPr>
          <w:rFonts w:ascii="Times New Roman" w:hAnsi="Times New Roman" w:cs="Times New Roman"/>
        </w:rPr>
        <w:t>a</w:t>
      </w:r>
      <w:r w:rsidR="006B24DC">
        <w:rPr>
          <w:rFonts w:ascii="Times New Roman" w:hAnsi="Times New Roman" w:cs="Times New Roman"/>
        </w:rPr>
        <w:t xml:space="preserve"> correct</w:t>
      </w:r>
      <w:r w:rsidR="00EF3EA7">
        <w:rPr>
          <w:rFonts w:ascii="Times New Roman" w:hAnsi="Times New Roman" w:cs="Times New Roman"/>
        </w:rPr>
        <w:t>ed</w:t>
      </w:r>
      <w:r w:rsidR="006B24DC">
        <w:rPr>
          <w:rFonts w:ascii="Times New Roman" w:hAnsi="Times New Roman" w:cs="Times New Roman"/>
        </w:rPr>
        <w:t xml:space="preserve"> representation</w:t>
      </w:r>
      <w:r w:rsidR="00EF3EA7">
        <w:rPr>
          <w:rFonts w:ascii="Times New Roman" w:hAnsi="Times New Roman" w:cs="Times New Roman"/>
        </w:rPr>
        <w:t xml:space="preserve"> that shows each forecast in comparable nominal dollars</w:t>
      </w:r>
      <w:r w:rsidR="006B24DC">
        <w:rPr>
          <w:rFonts w:ascii="Times New Roman" w:hAnsi="Times New Roman" w:cs="Times New Roman"/>
        </w:rPr>
        <w:t>.</w:t>
      </w:r>
      <w:r w:rsidR="00EF3EA7">
        <w:rPr>
          <w:rFonts w:ascii="Times New Roman" w:hAnsi="Times New Roman" w:cs="Times New Roman"/>
        </w:rPr>
        <w:t xml:space="preserve"> </w:t>
      </w:r>
      <w:r w:rsidR="0055358A">
        <w:rPr>
          <w:rFonts w:ascii="Times New Roman" w:hAnsi="Times New Roman" w:cs="Times New Roman"/>
        </w:rPr>
        <w:t xml:space="preserve"> </w:t>
      </w:r>
      <w:r w:rsidR="00EF3EA7">
        <w:rPr>
          <w:rFonts w:ascii="Times New Roman" w:hAnsi="Times New Roman" w:cs="Times New Roman"/>
        </w:rPr>
        <w:t xml:space="preserve">When corrected, the average nominal </w:t>
      </w:r>
      <w:proofErr w:type="spellStart"/>
      <w:r w:rsidR="00EF3EA7">
        <w:rPr>
          <w:rFonts w:ascii="Times New Roman" w:hAnsi="Times New Roman" w:cs="Times New Roman"/>
        </w:rPr>
        <w:t>levelized</w:t>
      </w:r>
      <w:proofErr w:type="spellEnd"/>
      <w:r w:rsidR="00EF3EA7">
        <w:rPr>
          <w:rFonts w:ascii="Times New Roman" w:hAnsi="Times New Roman" w:cs="Times New Roman"/>
        </w:rPr>
        <w:t xml:space="preserve"> price among the three third</w:t>
      </w:r>
      <w:r w:rsidR="00AA2C83">
        <w:rPr>
          <w:rFonts w:ascii="Times New Roman" w:hAnsi="Times New Roman" w:cs="Times New Roman"/>
        </w:rPr>
        <w:t>-</w:t>
      </w:r>
      <w:r w:rsidR="00EF3EA7">
        <w:rPr>
          <w:rFonts w:ascii="Times New Roman" w:hAnsi="Times New Roman" w:cs="Times New Roman"/>
        </w:rPr>
        <w:t>party expert forecasts is $</w:t>
      </w:r>
      <w:r w:rsidR="007368E3" w:rsidRPr="007368E3">
        <w:rPr>
          <w:rFonts w:ascii="Times New Roman" w:hAnsi="Times New Roman" w:cs="Times New Roman"/>
          <w:highlight w:val="black"/>
        </w:rPr>
        <w:t>___</w:t>
      </w:r>
      <w:r w:rsidR="00EF3EA7">
        <w:rPr>
          <w:rFonts w:ascii="Times New Roman" w:hAnsi="Times New Roman" w:cs="Times New Roman"/>
        </w:rPr>
        <w:t xml:space="preserve"> per </w:t>
      </w:r>
      <w:proofErr w:type="spellStart"/>
      <w:r w:rsidR="00EF3EA7">
        <w:rPr>
          <w:rFonts w:ascii="Times New Roman" w:hAnsi="Times New Roman" w:cs="Times New Roman"/>
        </w:rPr>
        <w:t>mmBtu</w:t>
      </w:r>
      <w:proofErr w:type="spellEnd"/>
      <w:r w:rsidR="00C95A40">
        <w:rPr>
          <w:rFonts w:ascii="Times New Roman" w:hAnsi="Times New Roman" w:cs="Times New Roman"/>
        </w:rPr>
        <w:t>, not $</w:t>
      </w:r>
      <w:r w:rsidR="007368E3" w:rsidRPr="007368E3">
        <w:rPr>
          <w:rFonts w:ascii="Times New Roman" w:hAnsi="Times New Roman" w:cs="Times New Roman"/>
          <w:highlight w:val="black"/>
        </w:rPr>
        <w:t>___</w:t>
      </w:r>
      <w:r w:rsidR="00C95A40">
        <w:rPr>
          <w:rFonts w:ascii="Times New Roman" w:hAnsi="Times New Roman" w:cs="Times New Roman"/>
        </w:rPr>
        <w:t xml:space="preserve"> per </w:t>
      </w:r>
      <w:proofErr w:type="spellStart"/>
      <w:r w:rsidR="00C95A40">
        <w:rPr>
          <w:rFonts w:ascii="Times New Roman" w:hAnsi="Times New Roman" w:cs="Times New Roman"/>
        </w:rPr>
        <w:t>mmBtu</w:t>
      </w:r>
      <w:proofErr w:type="spellEnd"/>
      <w:r w:rsidR="00C95A40">
        <w:rPr>
          <w:rFonts w:ascii="Times New Roman" w:hAnsi="Times New Roman" w:cs="Times New Roman"/>
        </w:rPr>
        <w:t>.</w:t>
      </w:r>
      <w:r w:rsidR="002D57A7">
        <w:rPr>
          <w:rFonts w:ascii="Times New Roman" w:hAnsi="Times New Roman" w:cs="Times New Roman"/>
        </w:rPr>
        <w:t xml:space="preserve"> </w:t>
      </w:r>
      <w:r w:rsidR="00C95A40">
        <w:rPr>
          <w:rFonts w:ascii="Times New Roman" w:hAnsi="Times New Roman" w:cs="Times New Roman"/>
        </w:rPr>
        <w:t xml:space="preserve"> The corrected average </w:t>
      </w:r>
      <w:r w:rsidR="00C7317A">
        <w:rPr>
          <w:rFonts w:ascii="Times New Roman" w:hAnsi="Times New Roman" w:cs="Times New Roman"/>
        </w:rPr>
        <w:t xml:space="preserve">nominal </w:t>
      </w:r>
      <w:proofErr w:type="spellStart"/>
      <w:r w:rsidR="00C95A40">
        <w:rPr>
          <w:rFonts w:ascii="Times New Roman" w:hAnsi="Times New Roman" w:cs="Times New Roman"/>
        </w:rPr>
        <w:t>levelized</w:t>
      </w:r>
      <w:proofErr w:type="spellEnd"/>
      <w:r w:rsidR="00C95A40">
        <w:rPr>
          <w:rFonts w:ascii="Times New Roman" w:hAnsi="Times New Roman" w:cs="Times New Roman"/>
        </w:rPr>
        <w:t xml:space="preserve"> price </w:t>
      </w:r>
      <w:r w:rsidR="00EF3EA7">
        <w:rPr>
          <w:rFonts w:ascii="Times New Roman" w:hAnsi="Times New Roman" w:cs="Times New Roman"/>
        </w:rPr>
        <w:t xml:space="preserve">is </w:t>
      </w:r>
      <w:r w:rsidR="007368E3" w:rsidRPr="007368E3">
        <w:rPr>
          <w:rFonts w:ascii="Times New Roman" w:hAnsi="Times New Roman" w:cs="Times New Roman"/>
          <w:highlight w:val="black"/>
        </w:rPr>
        <w:t>__</w:t>
      </w:r>
      <w:r w:rsidR="00D4384F">
        <w:rPr>
          <w:rFonts w:ascii="Times New Roman" w:hAnsi="Times New Roman" w:cs="Times New Roman"/>
        </w:rPr>
        <w:t xml:space="preserve"> percent</w:t>
      </w:r>
      <w:r w:rsidR="00EF3EA7">
        <w:rPr>
          <w:rFonts w:ascii="Times New Roman" w:hAnsi="Times New Roman" w:cs="Times New Roman"/>
        </w:rPr>
        <w:t xml:space="preserve"> higher than the </w:t>
      </w:r>
      <w:r w:rsidR="00605E3C">
        <w:rPr>
          <w:rFonts w:ascii="Times New Roman" w:hAnsi="Times New Roman" w:cs="Times New Roman"/>
        </w:rPr>
        <w:t xml:space="preserve">nominal </w:t>
      </w:r>
      <w:proofErr w:type="spellStart"/>
      <w:r w:rsidR="00605E3C">
        <w:rPr>
          <w:rFonts w:ascii="Times New Roman" w:hAnsi="Times New Roman" w:cs="Times New Roman"/>
        </w:rPr>
        <w:t>levelized</w:t>
      </w:r>
      <w:proofErr w:type="spellEnd"/>
      <w:r w:rsidR="00605E3C">
        <w:rPr>
          <w:rFonts w:ascii="Times New Roman" w:hAnsi="Times New Roman" w:cs="Times New Roman"/>
        </w:rPr>
        <w:t xml:space="preserve"> price calculated using the </w:t>
      </w:r>
      <w:r w:rsidR="00EF3EA7">
        <w:rPr>
          <w:rFonts w:ascii="Times New Roman" w:hAnsi="Times New Roman" w:cs="Times New Roman"/>
        </w:rPr>
        <w:t xml:space="preserve">Company’s September 2013 </w:t>
      </w:r>
      <w:proofErr w:type="spellStart"/>
      <w:r w:rsidR="00EF3EA7">
        <w:rPr>
          <w:rFonts w:ascii="Times New Roman" w:hAnsi="Times New Roman" w:cs="Times New Roman"/>
        </w:rPr>
        <w:t>OFPC</w:t>
      </w:r>
      <w:proofErr w:type="spellEnd"/>
      <w:r w:rsidR="00EF3EA7">
        <w:rPr>
          <w:rFonts w:ascii="Times New Roman" w:hAnsi="Times New Roman" w:cs="Times New Roman"/>
        </w:rPr>
        <w:t xml:space="preserve"> and </w:t>
      </w:r>
      <w:r w:rsidR="007368E3" w:rsidRPr="007368E3">
        <w:rPr>
          <w:rFonts w:ascii="Times New Roman" w:hAnsi="Times New Roman" w:cs="Times New Roman"/>
          <w:highlight w:val="black"/>
        </w:rPr>
        <w:t>___</w:t>
      </w:r>
      <w:r w:rsidR="00D4384F">
        <w:rPr>
          <w:rFonts w:ascii="Times New Roman" w:hAnsi="Times New Roman" w:cs="Times New Roman"/>
        </w:rPr>
        <w:t xml:space="preserve"> percent</w:t>
      </w:r>
      <w:r w:rsidR="00EF3EA7">
        <w:rPr>
          <w:rFonts w:ascii="Times New Roman" w:hAnsi="Times New Roman" w:cs="Times New Roman"/>
        </w:rPr>
        <w:t xml:space="preserve"> higher than </w:t>
      </w:r>
      <w:r w:rsidR="00D3495A">
        <w:rPr>
          <w:rFonts w:ascii="Times New Roman" w:hAnsi="Times New Roman" w:cs="Times New Roman"/>
        </w:rPr>
        <w:t xml:space="preserve">the </w:t>
      </w:r>
      <w:r w:rsidR="00EF3EA7">
        <w:rPr>
          <w:rFonts w:ascii="Times New Roman" w:hAnsi="Times New Roman" w:cs="Times New Roman"/>
        </w:rPr>
        <w:t xml:space="preserve">average </w:t>
      </w:r>
      <w:proofErr w:type="spellStart"/>
      <w:r w:rsidR="00EF3EA7">
        <w:rPr>
          <w:rFonts w:ascii="Times New Roman" w:hAnsi="Times New Roman" w:cs="Times New Roman"/>
        </w:rPr>
        <w:t>levelized</w:t>
      </w:r>
      <w:proofErr w:type="spellEnd"/>
      <w:r w:rsidR="00EF3EA7">
        <w:rPr>
          <w:rFonts w:ascii="Times New Roman" w:hAnsi="Times New Roman" w:cs="Times New Roman"/>
        </w:rPr>
        <w:t xml:space="preserve"> price </w:t>
      </w:r>
      <w:r w:rsidR="00605E3C">
        <w:rPr>
          <w:rFonts w:ascii="Times New Roman" w:hAnsi="Times New Roman" w:cs="Times New Roman"/>
        </w:rPr>
        <w:t xml:space="preserve">that Staff erroneously calculated </w:t>
      </w:r>
      <w:r w:rsidR="00D3495A">
        <w:rPr>
          <w:rFonts w:ascii="Times New Roman" w:hAnsi="Times New Roman" w:cs="Times New Roman"/>
        </w:rPr>
        <w:t>fr</w:t>
      </w:r>
      <w:r w:rsidR="00605E3C">
        <w:rPr>
          <w:rFonts w:ascii="Times New Roman" w:hAnsi="Times New Roman" w:cs="Times New Roman"/>
        </w:rPr>
        <w:t>om the three third-party expert forecasts</w:t>
      </w:r>
      <w:r w:rsidR="00EF3EA7">
        <w:rPr>
          <w:rFonts w:ascii="Times New Roman" w:hAnsi="Times New Roman" w:cs="Times New Roman"/>
        </w:rPr>
        <w:t>.</w:t>
      </w:r>
    </w:p>
    <w:p w:rsidR="007368E3" w:rsidRDefault="007368E3" w:rsidP="007368E3">
      <w:pPr>
        <w:keepNext/>
        <w:suppressLineNumbers/>
        <w:ind w:left="720" w:hanging="720"/>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8480" behindDoc="0" locked="0" layoutInCell="1" allowOverlap="1" wp14:anchorId="0D66A91D" wp14:editId="36727CB3">
                <wp:simplePos x="0" y="0"/>
                <wp:positionH relativeFrom="column">
                  <wp:posOffset>285750</wp:posOffset>
                </wp:positionH>
                <wp:positionV relativeFrom="paragraph">
                  <wp:posOffset>-697230</wp:posOffset>
                </wp:positionV>
                <wp:extent cx="5267325" cy="5334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526732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35" type="#_x0000_t202" style="position:absolute;left:0;text-align:left;margin-left:22.5pt;margin-top:-54.9pt;width:414.75pt;height:4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Pr="00EF3EA7">
        <w:rPr>
          <w:rFonts w:ascii="Times New Roman" w:hAnsi="Times New Roman" w:cs="Times New Roman"/>
          <w:b/>
        </w:rPr>
        <w:t xml:space="preserve">Confidential Figure </w:t>
      </w:r>
      <w:r>
        <w:rPr>
          <w:rFonts w:ascii="Times New Roman" w:hAnsi="Times New Roman" w:cs="Times New Roman"/>
          <w:b/>
        </w:rPr>
        <w:t>2</w:t>
      </w:r>
    </w:p>
    <w:p w:rsidR="007368E3" w:rsidRPr="00EF3EA7" w:rsidRDefault="007368E3" w:rsidP="007368E3">
      <w:pPr>
        <w:keepNext/>
        <w:suppressLineNumbers/>
        <w:ind w:left="720" w:hanging="720"/>
        <w:jc w:val="center"/>
        <w:rPr>
          <w:rFonts w:ascii="Times New Roman" w:hAnsi="Times New Roman" w:cs="Times New Roman"/>
          <w:b/>
        </w:rPr>
      </w:pPr>
      <w:r>
        <w:rPr>
          <w:rFonts w:ascii="Times New Roman" w:hAnsi="Times New Roman" w:cs="Times New Roman"/>
          <w:b/>
        </w:rPr>
        <w:t>Opal Natural Gas Prices from Third-Party Experts ($/</w:t>
      </w:r>
      <w:proofErr w:type="spellStart"/>
      <w:r>
        <w:rPr>
          <w:rFonts w:ascii="Times New Roman" w:hAnsi="Times New Roman" w:cs="Times New Roman"/>
          <w:b/>
        </w:rPr>
        <w:t>mmBtu</w:t>
      </w:r>
      <w:proofErr w:type="spellEnd"/>
      <w:r>
        <w:rPr>
          <w:rFonts w:ascii="Times New Roman" w:hAnsi="Times New Roman" w:cs="Times New Roman"/>
          <w:b/>
        </w:rPr>
        <w:t>)</w:t>
      </w:r>
    </w:p>
    <w:p w:rsidR="007368E3" w:rsidRDefault="005B4BB1" w:rsidP="00E5513D">
      <w:pPr>
        <w:keepNext/>
        <w:suppressLineNumbers/>
        <w:ind w:left="720" w:hanging="720"/>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1792" behindDoc="0" locked="0" layoutInCell="1" allowOverlap="1">
                <wp:simplePos x="0" y="0"/>
                <wp:positionH relativeFrom="column">
                  <wp:posOffset>47625</wp:posOffset>
                </wp:positionH>
                <wp:positionV relativeFrom="paragraph">
                  <wp:posOffset>87630</wp:posOffset>
                </wp:positionV>
                <wp:extent cx="5657850" cy="1562100"/>
                <wp:effectExtent l="0" t="0" r="19050" b="19050"/>
                <wp:wrapNone/>
                <wp:docPr id="26" name="Rectangle 26"/>
                <wp:cNvGraphicFramePr/>
                <a:graphic xmlns:a="http://schemas.openxmlformats.org/drawingml/2006/main">
                  <a:graphicData uri="http://schemas.microsoft.com/office/word/2010/wordprocessingShape">
                    <wps:wsp>
                      <wps:cNvSpPr/>
                      <wps:spPr>
                        <a:xfrm>
                          <a:off x="0" y="0"/>
                          <a:ext cx="5657850" cy="1562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26" style="position:absolute;margin-left:3.75pt;margin-top:6.9pt;width:445.5pt;height:123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" fillcolor="black [3213]" strokecolor="black [3213]" strokeweight="2pt"/>
            </w:pict>
          </mc:Fallback>
        </mc:AlternateContent>
      </w:r>
    </w:p>
    <w:p w:rsidR="007368E3" w:rsidRDefault="007368E3" w:rsidP="007368E3">
      <w:pPr>
        <w:keepNext/>
        <w:suppressLineNumbers/>
        <w:ind w:left="720" w:hanging="720"/>
        <w:rPr>
          <w:rFonts w:ascii="Times New Roman" w:hAnsi="Times New Roman" w:cs="Times New Roman"/>
          <w:b/>
        </w:rPr>
      </w:pPr>
    </w:p>
    <w:p w:rsidR="007368E3" w:rsidRDefault="007368E3" w:rsidP="00E5513D">
      <w:pPr>
        <w:keepNext/>
        <w:suppressLineNumbers/>
        <w:ind w:left="720" w:hanging="720"/>
        <w:jc w:val="center"/>
        <w:rPr>
          <w:rFonts w:ascii="Times New Roman" w:hAnsi="Times New Roman" w:cs="Times New Roman"/>
          <w:b/>
        </w:rPr>
      </w:pPr>
    </w:p>
    <w:p w:rsidR="007368E3" w:rsidRDefault="007368E3" w:rsidP="00E5513D">
      <w:pPr>
        <w:keepNext/>
        <w:suppressLineNumbers/>
        <w:ind w:left="720" w:hanging="720"/>
        <w:jc w:val="center"/>
        <w:rPr>
          <w:rFonts w:ascii="Times New Roman" w:hAnsi="Times New Roman" w:cs="Times New Roman"/>
          <w:b/>
        </w:rPr>
      </w:pPr>
    </w:p>
    <w:p w:rsidR="007368E3" w:rsidRDefault="007368E3" w:rsidP="00E5513D">
      <w:pPr>
        <w:keepNext/>
        <w:suppressLineNumbers/>
        <w:ind w:left="720" w:hanging="720"/>
        <w:jc w:val="center"/>
        <w:rPr>
          <w:rFonts w:ascii="Times New Roman" w:hAnsi="Times New Roman" w:cs="Times New Roman"/>
          <w:b/>
        </w:rPr>
      </w:pPr>
    </w:p>
    <w:p w:rsidR="007368E3" w:rsidRDefault="007368E3" w:rsidP="00E5513D">
      <w:pPr>
        <w:keepNext/>
        <w:suppressLineNumbers/>
        <w:ind w:left="720" w:hanging="720"/>
        <w:jc w:val="center"/>
        <w:rPr>
          <w:rFonts w:ascii="Times New Roman" w:hAnsi="Times New Roman" w:cs="Times New Roman"/>
          <w:b/>
        </w:rPr>
      </w:pPr>
    </w:p>
    <w:p w:rsidR="007368E3" w:rsidRDefault="007368E3" w:rsidP="00E5513D">
      <w:pPr>
        <w:keepNext/>
        <w:suppressLineNumbers/>
        <w:ind w:left="720" w:hanging="720"/>
        <w:jc w:val="center"/>
        <w:rPr>
          <w:rFonts w:ascii="Times New Roman" w:hAnsi="Times New Roman" w:cs="Times New Roman"/>
          <w:b/>
        </w:rPr>
      </w:pPr>
    </w:p>
    <w:p w:rsidR="007368E3" w:rsidRDefault="007368E3" w:rsidP="00E5513D">
      <w:pPr>
        <w:keepNext/>
        <w:suppressLineNumbers/>
        <w:ind w:left="720" w:hanging="720"/>
        <w:jc w:val="center"/>
        <w:rPr>
          <w:rFonts w:ascii="Times New Roman" w:hAnsi="Times New Roman" w:cs="Times New Roman"/>
          <w:b/>
        </w:rPr>
      </w:pPr>
    </w:p>
    <w:p w:rsidR="00EF3EA7" w:rsidRDefault="00EF3EA7" w:rsidP="00E5513D">
      <w:pPr>
        <w:suppressLineNumbers/>
        <w:spacing w:line="480" w:lineRule="auto"/>
        <w:ind w:left="720" w:hanging="720"/>
        <w:jc w:val="center"/>
        <w:rPr>
          <w:noProof/>
        </w:rPr>
      </w:pPr>
    </w:p>
    <w:p w:rsidR="00EF3EA7" w:rsidRDefault="00EF3EA7" w:rsidP="00EF3EA7">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What </w:t>
      </w:r>
      <w:r w:rsidR="00BD3D57">
        <w:rPr>
          <w:rFonts w:ascii="Times New Roman" w:hAnsi="Times New Roman" w:cs="Times New Roman"/>
          <w:b/>
          <w:bCs/>
        </w:rPr>
        <w:t xml:space="preserve">would Staff’s adjustment have been if the correct average </w:t>
      </w:r>
      <w:r w:rsidR="00C7317A">
        <w:rPr>
          <w:rFonts w:ascii="Times New Roman" w:hAnsi="Times New Roman" w:cs="Times New Roman"/>
          <w:b/>
          <w:bCs/>
        </w:rPr>
        <w:t xml:space="preserve">nominal </w:t>
      </w:r>
      <w:proofErr w:type="spellStart"/>
      <w:r w:rsidR="00BD3D57">
        <w:rPr>
          <w:rFonts w:ascii="Times New Roman" w:hAnsi="Times New Roman" w:cs="Times New Roman"/>
          <w:b/>
          <w:bCs/>
        </w:rPr>
        <w:t>levelized</w:t>
      </w:r>
      <w:proofErr w:type="spellEnd"/>
      <w:r w:rsidR="00BD3D57">
        <w:rPr>
          <w:rFonts w:ascii="Times New Roman" w:hAnsi="Times New Roman" w:cs="Times New Roman"/>
          <w:b/>
          <w:bCs/>
        </w:rPr>
        <w:t xml:space="preserve"> natural gas price had been used</w:t>
      </w:r>
      <w:r>
        <w:rPr>
          <w:rFonts w:ascii="Times New Roman" w:hAnsi="Times New Roman" w:cs="Times New Roman"/>
          <w:b/>
          <w:bCs/>
        </w:rPr>
        <w:t>?</w:t>
      </w:r>
    </w:p>
    <w:p w:rsidR="00BB78F3" w:rsidRDefault="00EF3EA7" w:rsidP="00EF3EA7">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BD3D57">
        <w:rPr>
          <w:rFonts w:ascii="Times New Roman" w:hAnsi="Times New Roman" w:cs="Times New Roman"/>
        </w:rPr>
        <w:t xml:space="preserve">Using </w:t>
      </w:r>
      <w:r w:rsidR="007C418E">
        <w:rPr>
          <w:rFonts w:ascii="Times New Roman" w:hAnsi="Times New Roman" w:cs="Times New Roman"/>
        </w:rPr>
        <w:t xml:space="preserve">the correct </w:t>
      </w:r>
      <w:r w:rsidR="00BD3D57">
        <w:rPr>
          <w:rFonts w:ascii="Times New Roman" w:hAnsi="Times New Roman" w:cs="Times New Roman"/>
        </w:rPr>
        <w:t xml:space="preserve">average nominal </w:t>
      </w:r>
      <w:proofErr w:type="spellStart"/>
      <w:r w:rsidR="00BD3D57">
        <w:rPr>
          <w:rFonts w:ascii="Times New Roman" w:hAnsi="Times New Roman" w:cs="Times New Roman"/>
        </w:rPr>
        <w:t>leveli</w:t>
      </w:r>
      <w:r w:rsidR="003611F6">
        <w:rPr>
          <w:rFonts w:ascii="Times New Roman" w:hAnsi="Times New Roman" w:cs="Times New Roman"/>
        </w:rPr>
        <w:t>zed</w:t>
      </w:r>
      <w:proofErr w:type="spellEnd"/>
      <w:r w:rsidR="003611F6">
        <w:rPr>
          <w:rFonts w:ascii="Times New Roman" w:hAnsi="Times New Roman" w:cs="Times New Roman"/>
        </w:rPr>
        <w:t xml:space="preserve"> price </w:t>
      </w:r>
      <w:r w:rsidR="00605E3C">
        <w:rPr>
          <w:rFonts w:ascii="Times New Roman" w:hAnsi="Times New Roman" w:cs="Times New Roman"/>
        </w:rPr>
        <w:t xml:space="preserve">calculated from </w:t>
      </w:r>
      <w:r w:rsidR="003611F6">
        <w:rPr>
          <w:rFonts w:ascii="Times New Roman" w:hAnsi="Times New Roman" w:cs="Times New Roman"/>
        </w:rPr>
        <w:t>the three third-</w:t>
      </w:r>
      <w:r w:rsidR="00BD3D57">
        <w:rPr>
          <w:rFonts w:ascii="Times New Roman" w:hAnsi="Times New Roman" w:cs="Times New Roman"/>
        </w:rPr>
        <w:t xml:space="preserve">party forecasts </w:t>
      </w:r>
      <w:r w:rsidR="007C418E">
        <w:rPr>
          <w:rFonts w:ascii="Times New Roman" w:hAnsi="Times New Roman" w:cs="Times New Roman"/>
        </w:rPr>
        <w:t xml:space="preserve">yields </w:t>
      </w:r>
      <w:r w:rsidR="00605E3C">
        <w:rPr>
          <w:rFonts w:ascii="Times New Roman" w:hAnsi="Times New Roman" w:cs="Times New Roman"/>
        </w:rPr>
        <w:t xml:space="preserve">a </w:t>
      </w:r>
      <w:proofErr w:type="gramStart"/>
      <w:r w:rsidR="007C418E">
        <w:rPr>
          <w:rFonts w:ascii="Times New Roman" w:hAnsi="Times New Roman" w:cs="Times New Roman"/>
        </w:rPr>
        <w:t>PVRR(</w:t>
      </w:r>
      <w:proofErr w:type="gramEnd"/>
      <w:r w:rsidR="007C418E">
        <w:rPr>
          <w:rFonts w:ascii="Times New Roman" w:hAnsi="Times New Roman" w:cs="Times New Roman"/>
        </w:rPr>
        <w:t xml:space="preserve">d) </w:t>
      </w:r>
      <w:r w:rsidR="000808DE">
        <w:rPr>
          <w:rFonts w:ascii="Times New Roman" w:hAnsi="Times New Roman" w:cs="Times New Roman"/>
        </w:rPr>
        <w:t xml:space="preserve">showing that the Jim Bridger </w:t>
      </w:r>
      <w:proofErr w:type="spellStart"/>
      <w:r w:rsidR="000808DE">
        <w:rPr>
          <w:rFonts w:ascii="Times New Roman" w:hAnsi="Times New Roman" w:cs="Times New Roman"/>
        </w:rPr>
        <w:t>SCRs</w:t>
      </w:r>
      <w:proofErr w:type="spellEnd"/>
      <w:r w:rsidR="000808DE">
        <w:rPr>
          <w:rFonts w:ascii="Times New Roman" w:hAnsi="Times New Roman" w:cs="Times New Roman"/>
        </w:rPr>
        <w:t xml:space="preserve"> are</w:t>
      </w:r>
      <w:r w:rsidR="007C418E">
        <w:rPr>
          <w:rFonts w:ascii="Times New Roman" w:hAnsi="Times New Roman" w:cs="Times New Roman"/>
        </w:rPr>
        <w:t xml:space="preserve"> </w:t>
      </w:r>
      <w:r w:rsidR="007368E3" w:rsidRPr="005C06D0">
        <w:rPr>
          <w:rFonts w:ascii="Times New Roman" w:hAnsi="Times New Roman" w:cs="Times New Roman"/>
          <w:highlight w:val="black"/>
        </w:rPr>
        <w:t>_</w:t>
      </w:r>
      <w:r w:rsidR="007368E3">
        <w:rPr>
          <w:rFonts w:ascii="Times New Roman" w:hAnsi="Times New Roman" w:cs="Times New Roman"/>
          <w:highlight w:val="black"/>
        </w:rPr>
        <w:t>_________</w:t>
      </w:r>
      <w:r w:rsidR="007C418E">
        <w:rPr>
          <w:rFonts w:ascii="Times New Roman" w:hAnsi="Times New Roman" w:cs="Times New Roman"/>
        </w:rPr>
        <w:t xml:space="preserve"> </w:t>
      </w:r>
      <w:r w:rsidR="000808DE">
        <w:rPr>
          <w:rFonts w:ascii="Times New Roman" w:hAnsi="Times New Roman" w:cs="Times New Roman"/>
        </w:rPr>
        <w:t>lower cost than the gas conversion alternative</w:t>
      </w:r>
      <w:r w:rsidR="00BB78F3">
        <w:rPr>
          <w:rFonts w:ascii="Times New Roman" w:hAnsi="Times New Roman" w:cs="Times New Roman"/>
        </w:rPr>
        <w:t xml:space="preserve">. </w:t>
      </w:r>
      <w:r w:rsidR="00B21AE8">
        <w:rPr>
          <w:rFonts w:ascii="Times New Roman" w:hAnsi="Times New Roman" w:cs="Times New Roman"/>
        </w:rPr>
        <w:t xml:space="preserve"> </w:t>
      </w:r>
      <w:r w:rsidR="00BB78F3">
        <w:rPr>
          <w:rFonts w:ascii="Times New Roman" w:hAnsi="Times New Roman" w:cs="Times New Roman"/>
        </w:rPr>
        <w:t xml:space="preserve">Staff’s erroneous analysis suggests that applying the average </w:t>
      </w:r>
      <w:proofErr w:type="spellStart"/>
      <w:r w:rsidR="00BB78F3">
        <w:rPr>
          <w:rFonts w:ascii="Times New Roman" w:hAnsi="Times New Roman" w:cs="Times New Roman"/>
        </w:rPr>
        <w:t>levelized</w:t>
      </w:r>
      <w:proofErr w:type="spellEnd"/>
      <w:r w:rsidR="00BB78F3">
        <w:rPr>
          <w:rFonts w:ascii="Times New Roman" w:hAnsi="Times New Roman" w:cs="Times New Roman"/>
        </w:rPr>
        <w:t xml:space="preserve"> price from among the three third-party expert forecasts, isolated</w:t>
      </w:r>
      <w:r w:rsidR="00605E3C">
        <w:rPr>
          <w:rFonts w:ascii="Times New Roman" w:hAnsi="Times New Roman" w:cs="Times New Roman"/>
        </w:rPr>
        <w:t xml:space="preserve"> for its other proposed </w:t>
      </w:r>
      <w:r w:rsidR="00BB78F3">
        <w:rPr>
          <w:rFonts w:ascii="Times New Roman" w:hAnsi="Times New Roman" w:cs="Times New Roman"/>
        </w:rPr>
        <w:t>adjustments, yield</w:t>
      </w:r>
      <w:r w:rsidR="00605E3C">
        <w:rPr>
          <w:rFonts w:ascii="Times New Roman" w:hAnsi="Times New Roman" w:cs="Times New Roman"/>
        </w:rPr>
        <w:t>s</w:t>
      </w:r>
      <w:r w:rsidR="00BB78F3">
        <w:rPr>
          <w:rFonts w:ascii="Times New Roman" w:hAnsi="Times New Roman" w:cs="Times New Roman"/>
        </w:rPr>
        <w:t xml:space="preserve"> a PVRR(d) showing gas conversion is </w:t>
      </w:r>
      <w:r w:rsidR="007368E3" w:rsidRPr="005C06D0">
        <w:rPr>
          <w:rFonts w:ascii="Times New Roman" w:hAnsi="Times New Roman" w:cs="Times New Roman"/>
          <w:highlight w:val="black"/>
        </w:rPr>
        <w:t>_</w:t>
      </w:r>
      <w:r w:rsidR="007368E3">
        <w:rPr>
          <w:rFonts w:ascii="Times New Roman" w:hAnsi="Times New Roman" w:cs="Times New Roman"/>
          <w:highlight w:val="black"/>
        </w:rPr>
        <w:t>_________</w:t>
      </w:r>
      <w:r w:rsidR="00BB78F3">
        <w:rPr>
          <w:rFonts w:ascii="Times New Roman" w:hAnsi="Times New Roman" w:cs="Times New Roman"/>
        </w:rPr>
        <w:t xml:space="preserve"> lower cost than inst</w:t>
      </w:r>
      <w:r w:rsidR="00605E3C">
        <w:rPr>
          <w:rFonts w:ascii="Times New Roman" w:hAnsi="Times New Roman" w:cs="Times New Roman"/>
        </w:rPr>
        <w:t>alling SCRs on Jim Bridger Unit</w:t>
      </w:r>
      <w:r w:rsidR="00BB78F3">
        <w:rPr>
          <w:rFonts w:ascii="Times New Roman" w:hAnsi="Times New Roman" w:cs="Times New Roman"/>
        </w:rPr>
        <w:t xml:space="preserve"> 3 and </w:t>
      </w:r>
      <w:r w:rsidR="00605E3C">
        <w:rPr>
          <w:rFonts w:ascii="Times New Roman" w:hAnsi="Times New Roman" w:cs="Times New Roman"/>
        </w:rPr>
        <w:t xml:space="preserve">Unit </w:t>
      </w:r>
      <w:r w:rsidR="00BB78F3">
        <w:rPr>
          <w:rFonts w:ascii="Times New Roman" w:hAnsi="Times New Roman" w:cs="Times New Roman"/>
        </w:rPr>
        <w:t xml:space="preserve">4.  The impact of Staff’s error is a </w:t>
      </w:r>
      <w:r w:rsidR="007368E3" w:rsidRPr="005C06D0">
        <w:rPr>
          <w:rFonts w:ascii="Times New Roman" w:hAnsi="Times New Roman" w:cs="Times New Roman"/>
          <w:highlight w:val="black"/>
        </w:rPr>
        <w:t>___________</w:t>
      </w:r>
      <w:r w:rsidR="00BB78F3">
        <w:rPr>
          <w:rFonts w:ascii="Times New Roman" w:hAnsi="Times New Roman" w:cs="Times New Roman"/>
        </w:rPr>
        <w:t xml:space="preserve"> swing in favor of the Jim Bridger SCRs.</w:t>
      </w:r>
    </w:p>
    <w:p w:rsidR="00BB78F3" w:rsidRDefault="00BB78F3" w:rsidP="00BB78F3">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How would Staff’s PVRR(d)</w:t>
      </w:r>
      <w:r w:rsidR="00560ACE">
        <w:rPr>
          <w:rFonts w:ascii="Times New Roman" w:hAnsi="Times New Roman" w:cs="Times New Roman"/>
          <w:b/>
          <w:bCs/>
        </w:rPr>
        <w:t xml:space="preserve"> </w:t>
      </w:r>
      <w:r>
        <w:rPr>
          <w:rFonts w:ascii="Times New Roman" w:hAnsi="Times New Roman" w:cs="Times New Roman"/>
          <w:b/>
          <w:bCs/>
        </w:rPr>
        <w:t xml:space="preserve">compare to the Company’s </w:t>
      </w:r>
      <w:r w:rsidR="004B09A8">
        <w:rPr>
          <w:rFonts w:ascii="Times New Roman" w:hAnsi="Times New Roman" w:cs="Times New Roman"/>
          <w:b/>
          <w:bCs/>
        </w:rPr>
        <w:t>analysis</w:t>
      </w:r>
      <w:r>
        <w:rPr>
          <w:rFonts w:ascii="Times New Roman" w:hAnsi="Times New Roman" w:cs="Times New Roman"/>
          <w:b/>
          <w:bCs/>
        </w:rPr>
        <w:t xml:space="preserve"> </w:t>
      </w:r>
      <w:r w:rsidR="004B09A8">
        <w:rPr>
          <w:rFonts w:ascii="Times New Roman" w:hAnsi="Times New Roman" w:cs="Times New Roman"/>
          <w:b/>
          <w:bCs/>
        </w:rPr>
        <w:t>derived from the</w:t>
      </w:r>
      <w:r>
        <w:rPr>
          <w:rFonts w:ascii="Times New Roman" w:hAnsi="Times New Roman" w:cs="Times New Roman"/>
          <w:b/>
          <w:bCs/>
        </w:rPr>
        <w:t xml:space="preserve"> September 2013 OFPC</w:t>
      </w:r>
      <w:r w:rsidR="00560ACE">
        <w:rPr>
          <w:rFonts w:ascii="Times New Roman" w:hAnsi="Times New Roman" w:cs="Times New Roman"/>
          <w:b/>
          <w:bCs/>
        </w:rPr>
        <w:t xml:space="preserve"> if the correct average </w:t>
      </w:r>
      <w:proofErr w:type="spellStart"/>
      <w:r w:rsidR="00560ACE">
        <w:rPr>
          <w:rFonts w:ascii="Times New Roman" w:hAnsi="Times New Roman" w:cs="Times New Roman"/>
          <w:b/>
          <w:bCs/>
        </w:rPr>
        <w:t>levelized</w:t>
      </w:r>
      <w:proofErr w:type="spellEnd"/>
      <w:r w:rsidR="00560ACE">
        <w:rPr>
          <w:rFonts w:ascii="Times New Roman" w:hAnsi="Times New Roman" w:cs="Times New Roman"/>
          <w:b/>
          <w:bCs/>
        </w:rPr>
        <w:t xml:space="preserve"> natural gas price were used in Staff’s calculations</w:t>
      </w:r>
      <w:r>
        <w:rPr>
          <w:rFonts w:ascii="Times New Roman" w:hAnsi="Times New Roman" w:cs="Times New Roman"/>
          <w:b/>
          <w:bCs/>
        </w:rPr>
        <w:t>?</w:t>
      </w:r>
    </w:p>
    <w:p w:rsidR="00BB78F3" w:rsidRDefault="00BB78F3" w:rsidP="00BB78F3">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4B09A8">
        <w:rPr>
          <w:rFonts w:ascii="Times New Roman" w:hAnsi="Times New Roman" w:cs="Times New Roman"/>
        </w:rPr>
        <w:t xml:space="preserve">With the error corrected, the </w:t>
      </w:r>
      <w:proofErr w:type="spellStart"/>
      <w:proofErr w:type="gramStart"/>
      <w:r w:rsidR="004B09A8">
        <w:rPr>
          <w:rFonts w:ascii="Times New Roman" w:hAnsi="Times New Roman" w:cs="Times New Roman"/>
        </w:rPr>
        <w:t>PVRR</w:t>
      </w:r>
      <w:proofErr w:type="spellEnd"/>
      <w:r w:rsidR="004B09A8">
        <w:rPr>
          <w:rFonts w:ascii="Times New Roman" w:hAnsi="Times New Roman" w:cs="Times New Roman"/>
        </w:rPr>
        <w:t>(</w:t>
      </w:r>
      <w:proofErr w:type="gramEnd"/>
      <w:r w:rsidR="004B09A8">
        <w:rPr>
          <w:rFonts w:ascii="Times New Roman" w:hAnsi="Times New Roman" w:cs="Times New Roman"/>
        </w:rPr>
        <w:t xml:space="preserve">d) is </w:t>
      </w:r>
      <w:r w:rsidR="007368E3" w:rsidRPr="005C06D0">
        <w:rPr>
          <w:rFonts w:ascii="Times New Roman" w:hAnsi="Times New Roman" w:cs="Times New Roman"/>
          <w:highlight w:val="black"/>
        </w:rPr>
        <w:t>_</w:t>
      </w:r>
      <w:r w:rsidR="007368E3">
        <w:rPr>
          <w:rFonts w:ascii="Times New Roman" w:hAnsi="Times New Roman" w:cs="Times New Roman"/>
          <w:highlight w:val="black"/>
        </w:rPr>
        <w:t>_________</w:t>
      </w:r>
      <w:r w:rsidR="004B09A8">
        <w:rPr>
          <w:rFonts w:ascii="Times New Roman" w:hAnsi="Times New Roman" w:cs="Times New Roman"/>
        </w:rPr>
        <w:t xml:space="preserve"> </w:t>
      </w:r>
      <w:r w:rsidR="004B09A8" w:rsidRPr="00302504">
        <w:rPr>
          <w:rFonts w:ascii="Times New Roman" w:hAnsi="Times New Roman" w:cs="Times New Roman"/>
          <w:i/>
        </w:rPr>
        <w:t>more</w:t>
      </w:r>
      <w:r w:rsidR="004B09A8">
        <w:rPr>
          <w:rFonts w:ascii="Times New Roman" w:hAnsi="Times New Roman" w:cs="Times New Roman"/>
        </w:rPr>
        <w:t xml:space="preserve"> favorable to the Jim Bridger SCR</w:t>
      </w:r>
      <w:r w:rsidR="005A61D5">
        <w:rPr>
          <w:rFonts w:ascii="Times New Roman" w:hAnsi="Times New Roman" w:cs="Times New Roman"/>
        </w:rPr>
        <w:t xml:space="preserve">s </w:t>
      </w:r>
      <w:r w:rsidR="00E45C95">
        <w:rPr>
          <w:rFonts w:ascii="Times New Roman" w:hAnsi="Times New Roman" w:cs="Times New Roman"/>
        </w:rPr>
        <w:t xml:space="preserve">relative </w:t>
      </w:r>
      <w:r w:rsidR="004B09A8">
        <w:rPr>
          <w:rFonts w:ascii="Times New Roman" w:hAnsi="Times New Roman" w:cs="Times New Roman"/>
        </w:rPr>
        <w:t>to the Company’s analysis derived from the September 2013 OFPC.</w:t>
      </w:r>
    </w:p>
    <w:p w:rsidR="00FD1B8A" w:rsidRDefault="008F273B" w:rsidP="00FD1B8A">
      <w:pPr>
        <w:spacing w:line="480" w:lineRule="auto"/>
        <w:ind w:left="720" w:hanging="72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3E7A0021" wp14:editId="6963C47B">
                <wp:simplePos x="0" y="0"/>
                <wp:positionH relativeFrom="column">
                  <wp:posOffset>342900</wp:posOffset>
                </wp:positionH>
                <wp:positionV relativeFrom="paragraph">
                  <wp:posOffset>-647700</wp:posOffset>
                </wp:positionV>
                <wp:extent cx="5143500" cy="5905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1435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36" type="#_x0000_t202" style="position:absolute;left:0;text-align:left;margin-left:27pt;margin-top:-51pt;width:405pt;height:4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FD1B8A" w:rsidRPr="0053680D">
        <w:rPr>
          <w:rFonts w:ascii="Times New Roman" w:hAnsi="Times New Roman" w:cs="Times New Roman"/>
          <w:b/>
          <w:bCs/>
        </w:rPr>
        <w:t>Q.</w:t>
      </w:r>
      <w:r w:rsidR="00FD1B8A" w:rsidRPr="0053680D">
        <w:rPr>
          <w:rFonts w:ascii="Times New Roman" w:hAnsi="Times New Roman" w:cs="Times New Roman"/>
          <w:b/>
          <w:bCs/>
        </w:rPr>
        <w:tab/>
      </w:r>
      <w:r w:rsidR="00FD1B8A">
        <w:rPr>
          <w:rFonts w:ascii="Times New Roman" w:hAnsi="Times New Roman" w:cs="Times New Roman"/>
          <w:b/>
          <w:bCs/>
        </w:rPr>
        <w:t xml:space="preserve">Are you suggesting that the Company should have used an average </w:t>
      </w:r>
      <w:r w:rsidR="00661E53">
        <w:rPr>
          <w:rFonts w:ascii="Times New Roman" w:hAnsi="Times New Roman" w:cs="Times New Roman"/>
          <w:b/>
          <w:bCs/>
        </w:rPr>
        <w:t xml:space="preserve">of the </w:t>
      </w:r>
      <w:r w:rsidR="00FD1B8A">
        <w:rPr>
          <w:rFonts w:ascii="Times New Roman" w:hAnsi="Times New Roman" w:cs="Times New Roman"/>
          <w:b/>
          <w:bCs/>
        </w:rPr>
        <w:t>third</w:t>
      </w:r>
      <w:r w:rsidR="003611F6">
        <w:rPr>
          <w:rFonts w:ascii="Times New Roman" w:hAnsi="Times New Roman" w:cs="Times New Roman"/>
          <w:b/>
          <w:bCs/>
        </w:rPr>
        <w:t>-</w:t>
      </w:r>
      <w:r w:rsidR="00FD1B8A">
        <w:rPr>
          <w:rFonts w:ascii="Times New Roman" w:hAnsi="Times New Roman" w:cs="Times New Roman"/>
          <w:b/>
          <w:bCs/>
        </w:rPr>
        <w:t>party expert price forecast</w:t>
      </w:r>
      <w:r w:rsidR="00661E53">
        <w:rPr>
          <w:rFonts w:ascii="Times New Roman" w:hAnsi="Times New Roman" w:cs="Times New Roman"/>
          <w:b/>
          <w:bCs/>
        </w:rPr>
        <w:t>s</w:t>
      </w:r>
      <w:r w:rsidR="00FD1B8A">
        <w:rPr>
          <w:rFonts w:ascii="Times New Roman" w:hAnsi="Times New Roman" w:cs="Times New Roman"/>
          <w:b/>
          <w:bCs/>
        </w:rPr>
        <w:t xml:space="preserve"> when evaluating the Jim Bridger SCRs?</w:t>
      </w:r>
    </w:p>
    <w:p w:rsidR="00FD1B8A" w:rsidRDefault="00FD1B8A" w:rsidP="00FD1B8A">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No. </w:t>
      </w:r>
      <w:r w:rsidR="00D16C1C">
        <w:rPr>
          <w:rFonts w:ascii="Times New Roman" w:hAnsi="Times New Roman" w:cs="Times New Roman"/>
        </w:rPr>
        <w:t xml:space="preserve"> </w:t>
      </w:r>
      <w:r w:rsidR="00661E53">
        <w:rPr>
          <w:rFonts w:ascii="Times New Roman" w:hAnsi="Times New Roman" w:cs="Times New Roman"/>
        </w:rPr>
        <w:t>I present the corrected analysis above simply to document the significance of Staff’s error</w:t>
      </w:r>
      <w:r w:rsidR="004B09A8">
        <w:rPr>
          <w:rFonts w:ascii="Times New Roman" w:hAnsi="Times New Roman" w:cs="Times New Roman"/>
        </w:rPr>
        <w:t xml:space="preserve"> and to highlight that</w:t>
      </w:r>
      <w:r w:rsidR="003848BA">
        <w:rPr>
          <w:rFonts w:ascii="Times New Roman" w:hAnsi="Times New Roman" w:cs="Times New Roman"/>
        </w:rPr>
        <w:t xml:space="preserve"> the corrected </w:t>
      </w:r>
      <w:proofErr w:type="gramStart"/>
      <w:r w:rsidR="003848BA">
        <w:rPr>
          <w:rFonts w:ascii="Times New Roman" w:hAnsi="Times New Roman" w:cs="Times New Roman"/>
        </w:rPr>
        <w:t>PVRR(</w:t>
      </w:r>
      <w:proofErr w:type="gramEnd"/>
      <w:r w:rsidR="003848BA">
        <w:rPr>
          <w:rFonts w:ascii="Times New Roman" w:hAnsi="Times New Roman" w:cs="Times New Roman"/>
        </w:rPr>
        <w:t xml:space="preserve">d) aligns with the Company’s analysis showing the Jim Bridger SCRs are lower cost than a gas conversion alternative. </w:t>
      </w:r>
      <w:r w:rsidR="00D16C1C">
        <w:rPr>
          <w:rFonts w:ascii="Times New Roman" w:hAnsi="Times New Roman" w:cs="Times New Roman"/>
        </w:rPr>
        <w:t xml:space="preserve"> </w:t>
      </w:r>
      <w:r w:rsidR="00401374">
        <w:rPr>
          <w:rFonts w:ascii="Times New Roman" w:hAnsi="Times New Roman" w:cs="Times New Roman"/>
        </w:rPr>
        <w:t xml:space="preserve">The most current </w:t>
      </w:r>
      <w:r w:rsidR="006F32FD">
        <w:rPr>
          <w:rFonts w:ascii="Times New Roman" w:hAnsi="Times New Roman" w:cs="Times New Roman"/>
        </w:rPr>
        <w:t>OFPC</w:t>
      </w:r>
      <w:r w:rsidR="00401374">
        <w:rPr>
          <w:rFonts w:ascii="Times New Roman" w:hAnsi="Times New Roman" w:cs="Times New Roman"/>
        </w:rPr>
        <w:t xml:space="preserve"> available to the Company at the time the </w:t>
      </w:r>
      <w:r w:rsidR="008A069C">
        <w:rPr>
          <w:rFonts w:ascii="Times New Roman" w:hAnsi="Times New Roman" w:cs="Times New Roman"/>
        </w:rPr>
        <w:t>FNTP</w:t>
      </w:r>
      <w:r w:rsidR="008A069C" w:rsidDel="008A069C">
        <w:rPr>
          <w:rFonts w:ascii="Times New Roman" w:hAnsi="Times New Roman" w:cs="Times New Roman"/>
        </w:rPr>
        <w:t xml:space="preserve"> </w:t>
      </w:r>
      <w:r w:rsidR="00401374">
        <w:rPr>
          <w:rFonts w:ascii="Times New Roman" w:hAnsi="Times New Roman" w:cs="Times New Roman"/>
        </w:rPr>
        <w:t xml:space="preserve">was issued to the EPC contractor was the September 2013 OFPC. </w:t>
      </w:r>
      <w:r w:rsidR="00ED0B44">
        <w:rPr>
          <w:rFonts w:ascii="Times New Roman" w:hAnsi="Times New Roman" w:cs="Times New Roman"/>
        </w:rPr>
        <w:t xml:space="preserve"> </w:t>
      </w:r>
      <w:r w:rsidR="00401374">
        <w:rPr>
          <w:rFonts w:ascii="Times New Roman" w:hAnsi="Times New Roman" w:cs="Times New Roman"/>
        </w:rPr>
        <w:t>T</w:t>
      </w:r>
      <w:r w:rsidR="00166020">
        <w:rPr>
          <w:rFonts w:ascii="Times New Roman" w:hAnsi="Times New Roman" w:cs="Times New Roman"/>
        </w:rPr>
        <w:t xml:space="preserve">he Company’s </w:t>
      </w:r>
      <w:r w:rsidR="003848BA">
        <w:rPr>
          <w:rFonts w:ascii="Times New Roman" w:hAnsi="Times New Roman" w:cs="Times New Roman"/>
        </w:rPr>
        <w:t xml:space="preserve">analysis </w:t>
      </w:r>
      <w:r w:rsidR="00546A41">
        <w:rPr>
          <w:rFonts w:ascii="Times New Roman" w:hAnsi="Times New Roman" w:cs="Times New Roman"/>
        </w:rPr>
        <w:t xml:space="preserve">of Jim Bridger </w:t>
      </w:r>
      <w:proofErr w:type="spellStart"/>
      <w:r w:rsidR="00546A41">
        <w:rPr>
          <w:rFonts w:ascii="Times New Roman" w:hAnsi="Times New Roman" w:cs="Times New Roman"/>
        </w:rPr>
        <w:t>SCR</w:t>
      </w:r>
      <w:proofErr w:type="spellEnd"/>
      <w:r w:rsidR="00546A41">
        <w:rPr>
          <w:rFonts w:ascii="Times New Roman" w:hAnsi="Times New Roman" w:cs="Times New Roman"/>
        </w:rPr>
        <w:t xml:space="preserve"> benefits of </w:t>
      </w:r>
      <w:r w:rsidR="003226BD" w:rsidRPr="003226BD">
        <w:rPr>
          <w:rFonts w:ascii="Times New Roman" w:hAnsi="Times New Roman" w:cs="Times New Roman"/>
          <w:highlight w:val="black"/>
        </w:rPr>
        <w:t>__________</w:t>
      </w:r>
      <w:r w:rsidR="00546A41">
        <w:rPr>
          <w:rFonts w:ascii="Times New Roman" w:hAnsi="Times New Roman" w:cs="Times New Roman"/>
        </w:rPr>
        <w:t xml:space="preserve"> based on </w:t>
      </w:r>
      <w:r w:rsidR="003848BA">
        <w:rPr>
          <w:rFonts w:ascii="Times New Roman" w:hAnsi="Times New Roman" w:cs="Times New Roman"/>
        </w:rPr>
        <w:t>its September 2013 OFPC remains</w:t>
      </w:r>
      <w:r w:rsidR="00166020">
        <w:rPr>
          <w:rFonts w:ascii="Times New Roman" w:hAnsi="Times New Roman" w:cs="Times New Roman"/>
        </w:rPr>
        <w:t xml:space="preserve"> accurate and valid.</w:t>
      </w:r>
    </w:p>
    <w:p w:rsidR="00245981" w:rsidRDefault="00D4384F" w:rsidP="00FD1B8A">
      <w:pPr>
        <w:spacing w:line="480" w:lineRule="auto"/>
        <w:ind w:left="720" w:hanging="720"/>
        <w:rPr>
          <w:rFonts w:ascii="Times New Roman" w:hAnsi="Times New Roman" w:cs="Times New Roman"/>
          <w:b/>
        </w:rPr>
      </w:pPr>
      <w:r>
        <w:rPr>
          <w:rFonts w:ascii="Times New Roman" w:hAnsi="Times New Roman" w:cs="Times New Roman"/>
          <w:b/>
        </w:rPr>
        <w:t>Q.</w:t>
      </w:r>
      <w:r>
        <w:rPr>
          <w:rFonts w:ascii="Times New Roman" w:hAnsi="Times New Roman" w:cs="Times New Roman"/>
          <w:b/>
        </w:rPr>
        <w:tab/>
      </w:r>
      <w:r w:rsidR="00300C9B">
        <w:rPr>
          <w:rFonts w:ascii="Times New Roman" w:hAnsi="Times New Roman" w:cs="Times New Roman"/>
          <w:b/>
        </w:rPr>
        <w:t xml:space="preserve">Did </w:t>
      </w:r>
      <w:r>
        <w:rPr>
          <w:rFonts w:ascii="Times New Roman" w:hAnsi="Times New Roman" w:cs="Times New Roman"/>
          <w:b/>
        </w:rPr>
        <w:t xml:space="preserve">Staff </w:t>
      </w:r>
      <w:r w:rsidR="00300C9B">
        <w:rPr>
          <w:rFonts w:ascii="Times New Roman" w:hAnsi="Times New Roman" w:cs="Times New Roman"/>
          <w:b/>
        </w:rPr>
        <w:t xml:space="preserve">make similar errors when it </w:t>
      </w:r>
      <w:r>
        <w:rPr>
          <w:rFonts w:ascii="Times New Roman" w:hAnsi="Times New Roman" w:cs="Times New Roman"/>
          <w:b/>
        </w:rPr>
        <w:t xml:space="preserve">compared the Company’s 2013 OFPC to forward curves produced by the </w:t>
      </w:r>
      <w:proofErr w:type="spellStart"/>
      <w:r>
        <w:rPr>
          <w:rFonts w:ascii="Times New Roman" w:hAnsi="Times New Roman" w:cs="Times New Roman"/>
          <w:b/>
        </w:rPr>
        <w:t>EIA</w:t>
      </w:r>
      <w:proofErr w:type="spellEnd"/>
      <w:r>
        <w:rPr>
          <w:rFonts w:ascii="Times New Roman" w:hAnsi="Times New Roman" w:cs="Times New Roman"/>
          <w:b/>
        </w:rPr>
        <w:t xml:space="preserve">, </w:t>
      </w:r>
      <w:r w:rsidR="003226BD" w:rsidRPr="003226BD">
        <w:rPr>
          <w:rFonts w:ascii="Times New Roman" w:hAnsi="Times New Roman" w:cs="Times New Roman"/>
          <w:b/>
          <w:highlight w:val="black"/>
        </w:rPr>
        <w:t>______________________________</w:t>
      </w:r>
      <w:r w:rsidR="00245981">
        <w:rPr>
          <w:rFonts w:ascii="Times New Roman" w:hAnsi="Times New Roman" w:cs="Times New Roman"/>
          <w:b/>
        </w:rPr>
        <w:t>?</w:t>
      </w:r>
    </w:p>
    <w:p w:rsidR="004039B3" w:rsidRDefault="004039B3" w:rsidP="00141AC5">
      <w:pPr>
        <w:spacing w:line="480" w:lineRule="auto"/>
        <w:ind w:left="720" w:hanging="720"/>
        <w:rPr>
          <w:rFonts w:ascii="Times New Roman" w:hAnsi="Times New Roman" w:cs="Times New Roman"/>
        </w:rPr>
      </w:pPr>
      <w:r>
        <w:rPr>
          <w:rFonts w:ascii="Times New Roman" w:hAnsi="Times New Roman" w:cs="Times New Roman"/>
        </w:rPr>
        <w:t>A.</w:t>
      </w:r>
      <w:r w:rsidR="00245981">
        <w:rPr>
          <w:rFonts w:ascii="Times New Roman" w:hAnsi="Times New Roman" w:cs="Times New Roman"/>
        </w:rPr>
        <w:tab/>
      </w:r>
      <w:r>
        <w:rPr>
          <w:rFonts w:ascii="Times New Roman" w:hAnsi="Times New Roman" w:cs="Times New Roman"/>
        </w:rPr>
        <w:t xml:space="preserve">Yes. </w:t>
      </w:r>
      <w:r w:rsidR="00D16C1C">
        <w:rPr>
          <w:rFonts w:ascii="Times New Roman" w:hAnsi="Times New Roman" w:cs="Times New Roman"/>
        </w:rPr>
        <w:t xml:space="preserve"> </w:t>
      </w:r>
      <w:r w:rsidR="00245981">
        <w:rPr>
          <w:rFonts w:ascii="Times New Roman" w:hAnsi="Times New Roman" w:cs="Times New Roman"/>
        </w:rPr>
        <w:t>Staff presented these data to show that the Company’s “peers were recognizing and responding to falling natural gas prices more accurately than was Pacific Power.”</w:t>
      </w:r>
      <w:r w:rsidR="00245981" w:rsidRPr="00302504">
        <w:rPr>
          <w:rStyle w:val="FootnoteReference"/>
          <w:rFonts w:ascii="Times New Roman" w:hAnsi="Times New Roman"/>
        </w:rPr>
        <w:footnoteReference w:id="15"/>
      </w:r>
      <w:r w:rsidR="00245981">
        <w:rPr>
          <w:rFonts w:ascii="Times New Roman" w:hAnsi="Times New Roman" w:cs="Times New Roman"/>
        </w:rPr>
        <w:t xml:space="preserve"> </w:t>
      </w:r>
      <w:r w:rsidR="00F601C5">
        <w:rPr>
          <w:rFonts w:ascii="Times New Roman" w:hAnsi="Times New Roman" w:cs="Times New Roman"/>
        </w:rPr>
        <w:t xml:space="preserve"> </w:t>
      </w:r>
      <w:r>
        <w:rPr>
          <w:rFonts w:ascii="Times New Roman" w:hAnsi="Times New Roman" w:cs="Times New Roman"/>
        </w:rPr>
        <w:t>In response to a dat</w:t>
      </w:r>
      <w:r w:rsidR="00927508">
        <w:rPr>
          <w:rFonts w:ascii="Times New Roman" w:hAnsi="Times New Roman" w:cs="Times New Roman"/>
        </w:rPr>
        <w:t>a</w:t>
      </w:r>
      <w:r>
        <w:rPr>
          <w:rFonts w:ascii="Times New Roman" w:hAnsi="Times New Roman" w:cs="Times New Roman"/>
        </w:rPr>
        <w:t xml:space="preserve"> request, Staff admitted that the </w:t>
      </w:r>
      <w:r w:rsidR="003226BD" w:rsidRPr="003226BD">
        <w:rPr>
          <w:rFonts w:ascii="Times New Roman" w:hAnsi="Times New Roman" w:cs="Times New Roman"/>
          <w:highlight w:val="black"/>
        </w:rPr>
        <w:t>____________</w:t>
      </w:r>
      <w:proofErr w:type="gramStart"/>
      <w:r w:rsidR="003226BD" w:rsidRPr="003226BD">
        <w:rPr>
          <w:rFonts w:ascii="Times New Roman" w:hAnsi="Times New Roman" w:cs="Times New Roman"/>
          <w:highlight w:val="black"/>
        </w:rPr>
        <w:t>_</w:t>
      </w:r>
      <w:r>
        <w:rPr>
          <w:rFonts w:ascii="Times New Roman" w:hAnsi="Times New Roman" w:cs="Times New Roman"/>
        </w:rPr>
        <w:t>,</w:t>
      </w:r>
      <w:proofErr w:type="gramEnd"/>
      <w:r>
        <w:rPr>
          <w:rFonts w:ascii="Times New Roman" w:hAnsi="Times New Roman" w:cs="Times New Roman"/>
        </w:rPr>
        <w:t xml:space="preserve"> and </w:t>
      </w:r>
      <w:proofErr w:type="spellStart"/>
      <w:r>
        <w:rPr>
          <w:rFonts w:ascii="Times New Roman" w:hAnsi="Times New Roman" w:cs="Times New Roman"/>
        </w:rPr>
        <w:t>EIA</w:t>
      </w:r>
      <w:proofErr w:type="spellEnd"/>
      <w:r>
        <w:rPr>
          <w:rFonts w:ascii="Times New Roman" w:hAnsi="Times New Roman" w:cs="Times New Roman"/>
        </w:rPr>
        <w:t xml:space="preserve"> forecasts were all in real, rather than nominal</w:t>
      </w:r>
      <w:r w:rsidR="0033145D">
        <w:rPr>
          <w:rFonts w:ascii="Times New Roman" w:hAnsi="Times New Roman" w:cs="Times New Roman"/>
        </w:rPr>
        <w:t>,</w:t>
      </w:r>
      <w:r>
        <w:rPr>
          <w:rFonts w:ascii="Times New Roman" w:hAnsi="Times New Roman" w:cs="Times New Roman"/>
        </w:rPr>
        <w:t xml:space="preserve"> </w:t>
      </w:r>
      <w:r w:rsidR="009559E0">
        <w:rPr>
          <w:rFonts w:ascii="Times New Roman" w:hAnsi="Times New Roman" w:cs="Times New Roman"/>
        </w:rPr>
        <w:t>dollars</w:t>
      </w:r>
      <w:r>
        <w:rPr>
          <w:rFonts w:ascii="Times New Roman" w:hAnsi="Times New Roman" w:cs="Times New Roman"/>
        </w:rPr>
        <w:t>.</w:t>
      </w:r>
      <w:r>
        <w:rPr>
          <w:rStyle w:val="FootnoteReference"/>
          <w:rFonts w:ascii="Times New Roman" w:hAnsi="Times New Roman"/>
        </w:rPr>
        <w:footnoteReference w:id="16"/>
      </w:r>
      <w:r>
        <w:rPr>
          <w:rFonts w:ascii="Times New Roman" w:hAnsi="Times New Roman" w:cs="Times New Roman"/>
        </w:rPr>
        <w:t xml:space="preserve"> </w:t>
      </w:r>
      <w:r w:rsidR="00796B9F">
        <w:rPr>
          <w:rFonts w:ascii="Times New Roman" w:hAnsi="Times New Roman" w:cs="Times New Roman"/>
        </w:rPr>
        <w:t xml:space="preserve"> </w:t>
      </w:r>
      <w:r>
        <w:rPr>
          <w:rFonts w:ascii="Times New Roman" w:hAnsi="Times New Roman" w:cs="Times New Roman"/>
        </w:rPr>
        <w:t xml:space="preserve">Therefore, those comparisons are </w:t>
      </w:r>
      <w:r w:rsidR="00927508">
        <w:rPr>
          <w:rFonts w:ascii="Times New Roman" w:hAnsi="Times New Roman" w:cs="Times New Roman"/>
        </w:rPr>
        <w:t xml:space="preserve">also </w:t>
      </w:r>
      <w:r>
        <w:rPr>
          <w:rFonts w:ascii="Times New Roman" w:hAnsi="Times New Roman" w:cs="Times New Roman"/>
        </w:rPr>
        <w:t xml:space="preserve">invalid. </w:t>
      </w:r>
      <w:r w:rsidR="00796B9F">
        <w:rPr>
          <w:rFonts w:ascii="Times New Roman" w:hAnsi="Times New Roman" w:cs="Times New Roman"/>
        </w:rPr>
        <w:t xml:space="preserve"> </w:t>
      </w:r>
      <w:r>
        <w:rPr>
          <w:rFonts w:ascii="Times New Roman" w:hAnsi="Times New Roman" w:cs="Times New Roman"/>
        </w:rPr>
        <w:t xml:space="preserve">Staff also admitted that the </w:t>
      </w:r>
      <w:r w:rsidR="003226BD" w:rsidRPr="003226BD">
        <w:rPr>
          <w:rFonts w:ascii="Times New Roman" w:hAnsi="Times New Roman" w:cs="Times New Roman"/>
          <w:highlight w:val="black"/>
        </w:rPr>
        <w:t>_______</w:t>
      </w:r>
      <w:r>
        <w:rPr>
          <w:rFonts w:ascii="Times New Roman" w:hAnsi="Times New Roman" w:cs="Times New Roman"/>
        </w:rPr>
        <w:t xml:space="preserve"> forecast it relied on was actually prepared in May 2015, not fall 2013 as originally represented. </w:t>
      </w:r>
      <w:r w:rsidR="009559E0">
        <w:rPr>
          <w:rFonts w:ascii="Times New Roman" w:hAnsi="Times New Roman" w:cs="Times New Roman"/>
        </w:rPr>
        <w:t xml:space="preserve"> </w:t>
      </w:r>
      <w:r w:rsidR="001E01DC">
        <w:rPr>
          <w:rFonts w:ascii="Times New Roman" w:hAnsi="Times New Roman" w:cs="Times New Roman"/>
        </w:rPr>
        <w:t xml:space="preserve">Confidential </w:t>
      </w:r>
      <w:r w:rsidR="00D77472">
        <w:rPr>
          <w:rFonts w:ascii="Times New Roman" w:hAnsi="Times New Roman" w:cs="Times New Roman"/>
        </w:rPr>
        <w:t xml:space="preserve">Figure 3 compares </w:t>
      </w:r>
      <w:r>
        <w:rPr>
          <w:rFonts w:ascii="Times New Roman" w:hAnsi="Times New Roman" w:cs="Times New Roman"/>
        </w:rPr>
        <w:t xml:space="preserve">the Company’s 2013 </w:t>
      </w:r>
      <w:proofErr w:type="spellStart"/>
      <w:r>
        <w:rPr>
          <w:rFonts w:ascii="Times New Roman" w:hAnsi="Times New Roman" w:cs="Times New Roman"/>
        </w:rPr>
        <w:t>OFPC</w:t>
      </w:r>
      <w:proofErr w:type="spellEnd"/>
      <w:r>
        <w:rPr>
          <w:rFonts w:ascii="Times New Roman" w:hAnsi="Times New Roman" w:cs="Times New Roman"/>
        </w:rPr>
        <w:t xml:space="preserve"> to the </w:t>
      </w:r>
      <w:r w:rsidR="003226BD" w:rsidRPr="003226BD">
        <w:rPr>
          <w:rFonts w:ascii="Times New Roman" w:hAnsi="Times New Roman" w:cs="Times New Roman"/>
          <w:highlight w:val="black"/>
        </w:rPr>
        <w:t>______________</w:t>
      </w:r>
      <w:r w:rsidRPr="003226BD">
        <w:rPr>
          <w:rFonts w:ascii="Times New Roman" w:hAnsi="Times New Roman" w:cs="Times New Roman"/>
          <w:highlight w:val="black"/>
        </w:rPr>
        <w:t xml:space="preserve"> </w:t>
      </w:r>
      <w:r w:rsidR="003226BD" w:rsidRPr="003226BD">
        <w:rPr>
          <w:rFonts w:ascii="Times New Roman" w:hAnsi="Times New Roman" w:cs="Times New Roman"/>
          <w:highlight w:val="black"/>
        </w:rPr>
        <w:t>___________</w:t>
      </w:r>
      <w:r>
        <w:rPr>
          <w:rFonts w:ascii="Times New Roman" w:hAnsi="Times New Roman" w:cs="Times New Roman"/>
        </w:rPr>
        <w:t>, and EIA curves</w:t>
      </w:r>
      <w:r w:rsidR="00D77472">
        <w:rPr>
          <w:rFonts w:ascii="Times New Roman" w:hAnsi="Times New Roman" w:cs="Times New Roman"/>
        </w:rPr>
        <w:t>, as incorrectly represented by Staff, alongside a comparison with a corrected representation that shows each forecast in comparable nominal dollars.</w:t>
      </w:r>
      <w:r w:rsidR="00D77472">
        <w:rPr>
          <w:rStyle w:val="FootnoteReference"/>
          <w:rFonts w:ascii="Times New Roman" w:hAnsi="Times New Roman"/>
        </w:rPr>
        <w:footnoteReference w:id="17"/>
      </w:r>
      <w:r w:rsidR="001E794A">
        <w:rPr>
          <w:rFonts w:ascii="Times New Roman" w:hAnsi="Times New Roman" w:cs="Times New Roman"/>
        </w:rPr>
        <w:t xml:space="preserve"> </w:t>
      </w:r>
    </w:p>
    <w:p w:rsidR="00D77472" w:rsidRDefault="008F273B" w:rsidP="00E5513D">
      <w:pPr>
        <w:suppressLineNumbers/>
        <w:ind w:left="720" w:hanging="720"/>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0528" behindDoc="0" locked="0" layoutInCell="1" allowOverlap="1" wp14:anchorId="3375A25D" wp14:editId="42E2910B">
                <wp:simplePos x="0" y="0"/>
                <wp:positionH relativeFrom="column">
                  <wp:posOffset>333375</wp:posOffset>
                </wp:positionH>
                <wp:positionV relativeFrom="paragraph">
                  <wp:posOffset>-609600</wp:posOffset>
                </wp:positionV>
                <wp:extent cx="4953000" cy="5524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9530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37" type="#_x0000_t202" style="position:absolute;left:0;text-align:left;margin-left:26.25pt;margin-top:-48pt;width:390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F87836">
        <w:rPr>
          <w:rFonts w:ascii="Times New Roman" w:hAnsi="Times New Roman" w:cs="Times New Roman"/>
          <w:b/>
        </w:rPr>
        <w:t>C</w:t>
      </w:r>
      <w:r w:rsidR="002D57A7">
        <w:rPr>
          <w:rFonts w:ascii="Times New Roman" w:hAnsi="Times New Roman" w:cs="Times New Roman"/>
          <w:b/>
        </w:rPr>
        <w:t>onfidential</w:t>
      </w:r>
      <w:r w:rsidR="00F87836">
        <w:rPr>
          <w:rFonts w:ascii="Times New Roman" w:hAnsi="Times New Roman" w:cs="Times New Roman"/>
          <w:b/>
        </w:rPr>
        <w:t xml:space="preserve"> </w:t>
      </w:r>
      <w:r w:rsidR="00D77472" w:rsidRPr="00EF3EA7">
        <w:rPr>
          <w:rFonts w:ascii="Times New Roman" w:hAnsi="Times New Roman" w:cs="Times New Roman"/>
          <w:b/>
        </w:rPr>
        <w:t xml:space="preserve">Figure </w:t>
      </w:r>
      <w:r w:rsidR="00D77472">
        <w:rPr>
          <w:rFonts w:ascii="Times New Roman" w:hAnsi="Times New Roman" w:cs="Times New Roman"/>
          <w:b/>
        </w:rPr>
        <w:t>3</w:t>
      </w:r>
    </w:p>
    <w:p w:rsidR="00D77472" w:rsidRPr="00EF3EA7" w:rsidRDefault="00D77472" w:rsidP="00E5513D">
      <w:pPr>
        <w:suppressLineNumbers/>
        <w:ind w:left="720" w:hanging="720"/>
        <w:jc w:val="center"/>
        <w:rPr>
          <w:rFonts w:ascii="Times New Roman" w:hAnsi="Times New Roman" w:cs="Times New Roman"/>
          <w:b/>
        </w:rPr>
      </w:pPr>
      <w:r>
        <w:rPr>
          <w:rFonts w:ascii="Times New Roman" w:hAnsi="Times New Roman" w:cs="Times New Roman"/>
          <w:b/>
        </w:rPr>
        <w:t>Opal Natural Gas Prices from EIA and Regional Utilities ($/</w:t>
      </w:r>
      <w:proofErr w:type="spellStart"/>
      <w:r>
        <w:rPr>
          <w:rFonts w:ascii="Times New Roman" w:hAnsi="Times New Roman" w:cs="Times New Roman"/>
          <w:b/>
        </w:rPr>
        <w:t>mmBtu</w:t>
      </w:r>
      <w:proofErr w:type="spellEnd"/>
      <w:r>
        <w:rPr>
          <w:rFonts w:ascii="Times New Roman" w:hAnsi="Times New Roman" w:cs="Times New Roman"/>
          <w:b/>
        </w:rPr>
        <w:t>)</w:t>
      </w:r>
    </w:p>
    <w:p w:rsidR="003226BD" w:rsidRDefault="003226BD" w:rsidP="00E5513D">
      <w:pPr>
        <w:suppressLineNumbers/>
        <w:spacing w:line="480" w:lineRule="auto"/>
        <w:ind w:left="720" w:hanging="720"/>
        <w:jc w:val="center"/>
        <w:rPr>
          <w:noProof/>
        </w:rPr>
      </w:pPr>
      <w:r>
        <w:rPr>
          <w:noProof/>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201930</wp:posOffset>
                </wp:positionV>
                <wp:extent cx="5972175" cy="1838325"/>
                <wp:effectExtent l="0" t="0" r="28575" b="28575"/>
                <wp:wrapNone/>
                <wp:docPr id="27" name="Rectangle 27"/>
                <wp:cNvGraphicFramePr/>
                <a:graphic xmlns:a="http://schemas.openxmlformats.org/drawingml/2006/main">
                  <a:graphicData uri="http://schemas.microsoft.com/office/word/2010/wordprocessingShape">
                    <wps:wsp>
                      <wps:cNvSpPr/>
                      <wps:spPr>
                        <a:xfrm>
                          <a:off x="0" y="0"/>
                          <a:ext cx="5972175" cy="18383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7" o:spid="_x0000_s1026" style="position:absolute;margin-left:-.75pt;margin-top:15.9pt;width:470.25pt;height:144.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" fillcolor="black [3213]" strokecolor="black [3213]" strokeweight="2pt"/>
            </w:pict>
          </mc:Fallback>
        </mc:AlternateContent>
      </w:r>
    </w:p>
    <w:p w:rsidR="003226BD" w:rsidRDefault="003226BD" w:rsidP="00E5513D">
      <w:pPr>
        <w:suppressLineNumbers/>
        <w:spacing w:line="480" w:lineRule="auto"/>
        <w:ind w:left="720" w:hanging="720"/>
        <w:jc w:val="center"/>
        <w:rPr>
          <w:noProof/>
        </w:rPr>
      </w:pPr>
    </w:p>
    <w:p w:rsidR="003226BD" w:rsidRDefault="003226BD" w:rsidP="00E5513D">
      <w:pPr>
        <w:suppressLineNumbers/>
        <w:spacing w:line="480" w:lineRule="auto"/>
        <w:ind w:left="720" w:hanging="720"/>
        <w:jc w:val="center"/>
        <w:rPr>
          <w:noProof/>
        </w:rPr>
      </w:pPr>
    </w:p>
    <w:p w:rsidR="003226BD" w:rsidRDefault="003226BD" w:rsidP="00E5513D">
      <w:pPr>
        <w:suppressLineNumbers/>
        <w:spacing w:line="480" w:lineRule="auto"/>
        <w:ind w:left="720" w:hanging="720"/>
        <w:jc w:val="center"/>
        <w:rPr>
          <w:noProof/>
        </w:rPr>
      </w:pPr>
    </w:p>
    <w:p w:rsidR="003226BD" w:rsidRDefault="003226BD" w:rsidP="00E5513D">
      <w:pPr>
        <w:suppressLineNumbers/>
        <w:spacing w:line="480" w:lineRule="auto"/>
        <w:ind w:left="720" w:hanging="720"/>
        <w:jc w:val="center"/>
        <w:rPr>
          <w:noProof/>
        </w:rPr>
      </w:pPr>
    </w:p>
    <w:p w:rsidR="004039B3" w:rsidRDefault="00D77472" w:rsidP="00E5513D">
      <w:pPr>
        <w:suppressLineNumbers/>
        <w:spacing w:line="480" w:lineRule="auto"/>
        <w:ind w:left="720" w:hanging="720"/>
        <w:jc w:val="center"/>
        <w:rPr>
          <w:rFonts w:ascii="Times New Roman" w:hAnsi="Times New Roman" w:cs="Times New Roman"/>
        </w:rPr>
      </w:pPr>
      <w:r w:rsidRPr="00D77472" w:rsidDel="00D77472">
        <w:t xml:space="preserve"> </w:t>
      </w:r>
    </w:p>
    <w:p w:rsidR="00546A41" w:rsidRDefault="00546A41" w:rsidP="00546A41">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Did any other party in this proceeding suggest that the Company should have used different natural gas price assumptions to update its analysis before the </w:t>
      </w:r>
      <w:r w:rsidR="008A069C" w:rsidRPr="00302504">
        <w:rPr>
          <w:rFonts w:ascii="Times New Roman" w:hAnsi="Times New Roman" w:cs="Times New Roman"/>
          <w:b/>
        </w:rPr>
        <w:t>FNTP</w:t>
      </w:r>
      <w:r w:rsidR="008A069C" w:rsidRPr="00E6657D" w:rsidDel="008A069C">
        <w:rPr>
          <w:rFonts w:ascii="Times New Roman" w:hAnsi="Times New Roman" w:cs="Times New Roman"/>
          <w:b/>
          <w:bCs/>
        </w:rPr>
        <w:t xml:space="preserve"> </w:t>
      </w:r>
      <w:r>
        <w:rPr>
          <w:rFonts w:ascii="Times New Roman" w:hAnsi="Times New Roman" w:cs="Times New Roman"/>
          <w:b/>
          <w:bCs/>
        </w:rPr>
        <w:t>was issued to the EPC contractor?</w:t>
      </w:r>
    </w:p>
    <w:p w:rsidR="00546A41" w:rsidRDefault="00546A41" w:rsidP="00D132CF">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B21AE8">
        <w:rPr>
          <w:rFonts w:ascii="Times New Roman" w:hAnsi="Times New Roman" w:cs="Times New Roman"/>
        </w:rPr>
        <w:t xml:space="preserve"> </w:t>
      </w:r>
      <w:r>
        <w:rPr>
          <w:rFonts w:ascii="Times New Roman" w:hAnsi="Times New Roman" w:cs="Times New Roman"/>
        </w:rPr>
        <w:t xml:space="preserve">Sierra Club </w:t>
      </w:r>
      <w:r w:rsidR="000A1348">
        <w:rPr>
          <w:rFonts w:ascii="Times New Roman" w:hAnsi="Times New Roman" w:cs="Times New Roman"/>
        </w:rPr>
        <w:t>uses</w:t>
      </w:r>
      <w:r w:rsidR="00FD4A3A">
        <w:rPr>
          <w:rFonts w:ascii="Times New Roman" w:hAnsi="Times New Roman" w:cs="Times New Roman"/>
        </w:rPr>
        <w:t xml:space="preserve"> the </w:t>
      </w:r>
      <w:r>
        <w:rPr>
          <w:rFonts w:ascii="Times New Roman" w:hAnsi="Times New Roman" w:cs="Times New Roman"/>
        </w:rPr>
        <w:t>December 2013 OFPC</w:t>
      </w:r>
      <w:r w:rsidR="00D132CF">
        <w:rPr>
          <w:rFonts w:ascii="Times New Roman" w:hAnsi="Times New Roman" w:cs="Times New Roman"/>
        </w:rPr>
        <w:t xml:space="preserve"> </w:t>
      </w:r>
      <w:r w:rsidR="00FD4A3A">
        <w:rPr>
          <w:rFonts w:ascii="Times New Roman" w:hAnsi="Times New Roman" w:cs="Times New Roman"/>
        </w:rPr>
        <w:t>to make an adjustment to the Company’s analysis.</w:t>
      </w:r>
      <w:r w:rsidR="0060082B">
        <w:rPr>
          <w:rStyle w:val="FootnoteReference"/>
          <w:rFonts w:ascii="Times New Roman" w:hAnsi="Times New Roman"/>
        </w:rPr>
        <w:footnoteReference w:id="18"/>
      </w:r>
      <w:r w:rsidR="00FD4A3A">
        <w:rPr>
          <w:rFonts w:ascii="Times New Roman" w:hAnsi="Times New Roman" w:cs="Times New Roman"/>
        </w:rPr>
        <w:t xml:space="preserve"> </w:t>
      </w:r>
      <w:r w:rsidR="00B21AE8">
        <w:rPr>
          <w:rFonts w:ascii="Times New Roman" w:hAnsi="Times New Roman" w:cs="Times New Roman"/>
        </w:rPr>
        <w:t xml:space="preserve"> </w:t>
      </w:r>
      <w:r w:rsidR="00966F90">
        <w:rPr>
          <w:rFonts w:ascii="Times New Roman" w:hAnsi="Times New Roman" w:cs="Times New Roman"/>
        </w:rPr>
        <w:t xml:space="preserve">Using the December 2013 OFPC, Sierra Club </w:t>
      </w:r>
      <w:r w:rsidR="000A1348">
        <w:rPr>
          <w:rFonts w:ascii="Times New Roman" w:hAnsi="Times New Roman" w:cs="Times New Roman"/>
        </w:rPr>
        <w:t xml:space="preserve">reduces the Company’s base case analysis developed </w:t>
      </w:r>
      <w:r w:rsidR="00106EC0">
        <w:rPr>
          <w:rFonts w:ascii="Times New Roman" w:hAnsi="Times New Roman" w:cs="Times New Roman"/>
        </w:rPr>
        <w:t>using</w:t>
      </w:r>
      <w:r w:rsidR="000A1348">
        <w:rPr>
          <w:rFonts w:ascii="Times New Roman" w:hAnsi="Times New Roman" w:cs="Times New Roman"/>
        </w:rPr>
        <w:t xml:space="preserve"> the September 2012 </w:t>
      </w:r>
      <w:proofErr w:type="spellStart"/>
      <w:r w:rsidR="000A1348">
        <w:rPr>
          <w:rFonts w:ascii="Times New Roman" w:hAnsi="Times New Roman" w:cs="Times New Roman"/>
        </w:rPr>
        <w:t>OFPC</w:t>
      </w:r>
      <w:proofErr w:type="spellEnd"/>
      <w:r w:rsidR="000A1348">
        <w:rPr>
          <w:rFonts w:ascii="Times New Roman" w:hAnsi="Times New Roman" w:cs="Times New Roman"/>
        </w:rPr>
        <w:t xml:space="preserve"> showing a </w:t>
      </w:r>
      <w:r w:rsidR="003226BD" w:rsidRPr="003226BD">
        <w:rPr>
          <w:rFonts w:ascii="Times New Roman" w:hAnsi="Times New Roman" w:cs="Times New Roman"/>
          <w:highlight w:val="black"/>
        </w:rPr>
        <w:t>__________</w:t>
      </w:r>
      <w:r w:rsidR="000A1348">
        <w:rPr>
          <w:rFonts w:ascii="Times New Roman" w:hAnsi="Times New Roman" w:cs="Times New Roman"/>
        </w:rPr>
        <w:t xml:space="preserve"> benefit from the Jim Bridger SCRs by </w:t>
      </w:r>
      <w:r w:rsidR="003226BD" w:rsidRPr="003226BD">
        <w:rPr>
          <w:rFonts w:ascii="Times New Roman" w:hAnsi="Times New Roman" w:cs="Times New Roman"/>
          <w:highlight w:val="black"/>
        </w:rPr>
        <w:t>__________</w:t>
      </w:r>
      <w:r w:rsidR="000A1348">
        <w:rPr>
          <w:rFonts w:ascii="Times New Roman" w:hAnsi="Times New Roman" w:cs="Times New Roman"/>
        </w:rPr>
        <w:t>.</w:t>
      </w:r>
      <w:r w:rsidR="004D6D32">
        <w:rPr>
          <w:rStyle w:val="FootnoteReference"/>
          <w:rFonts w:ascii="Times New Roman" w:hAnsi="Times New Roman"/>
        </w:rPr>
        <w:footnoteReference w:id="19"/>
      </w:r>
      <w:r w:rsidR="000A1348">
        <w:rPr>
          <w:rFonts w:ascii="Times New Roman" w:hAnsi="Times New Roman" w:cs="Times New Roman"/>
        </w:rPr>
        <w:t xml:space="preserve"> </w:t>
      </w:r>
      <w:r w:rsidR="00B21AE8">
        <w:rPr>
          <w:rFonts w:ascii="Times New Roman" w:hAnsi="Times New Roman" w:cs="Times New Roman"/>
        </w:rPr>
        <w:t xml:space="preserve"> </w:t>
      </w:r>
      <w:r w:rsidR="000A1348">
        <w:rPr>
          <w:rFonts w:ascii="Times New Roman" w:hAnsi="Times New Roman" w:cs="Times New Roman"/>
        </w:rPr>
        <w:t xml:space="preserve">This equates to a </w:t>
      </w:r>
      <w:r w:rsidR="003226BD" w:rsidRPr="003226BD">
        <w:rPr>
          <w:rFonts w:ascii="Times New Roman" w:hAnsi="Times New Roman" w:cs="Times New Roman"/>
          <w:highlight w:val="black"/>
        </w:rPr>
        <w:t>__________</w:t>
      </w:r>
      <w:r w:rsidR="000A1348">
        <w:rPr>
          <w:rFonts w:ascii="Times New Roman" w:hAnsi="Times New Roman" w:cs="Times New Roman"/>
        </w:rPr>
        <w:t xml:space="preserve"> reduction from the Company’s analysis showing a </w:t>
      </w:r>
      <w:r w:rsidR="003226BD" w:rsidRPr="003226BD">
        <w:rPr>
          <w:rFonts w:ascii="Times New Roman" w:hAnsi="Times New Roman" w:cs="Times New Roman"/>
          <w:highlight w:val="black"/>
        </w:rPr>
        <w:t>__________</w:t>
      </w:r>
      <w:r w:rsidR="000A1348">
        <w:rPr>
          <w:rFonts w:ascii="Times New Roman" w:hAnsi="Times New Roman" w:cs="Times New Roman"/>
        </w:rPr>
        <w:t xml:space="preserve"> benefit from the Jim Bridger SCRs when applying the September 2013 OFPC.</w:t>
      </w:r>
    </w:p>
    <w:p w:rsidR="000A1348" w:rsidRDefault="000A1348" w:rsidP="000A1348">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Was the December 2013 OFPC completed at the time </w:t>
      </w:r>
      <w:r w:rsidRPr="00E6657D">
        <w:rPr>
          <w:rFonts w:ascii="Times New Roman" w:hAnsi="Times New Roman" w:cs="Times New Roman"/>
          <w:b/>
          <w:bCs/>
        </w:rPr>
        <w:t xml:space="preserve">the </w:t>
      </w:r>
      <w:r w:rsidR="00216C6B" w:rsidRPr="00302504">
        <w:rPr>
          <w:rFonts w:ascii="Times New Roman" w:hAnsi="Times New Roman" w:cs="Times New Roman"/>
          <w:b/>
        </w:rPr>
        <w:t>FNTP</w:t>
      </w:r>
      <w:r w:rsidR="00216C6B" w:rsidDel="00216C6B">
        <w:rPr>
          <w:rFonts w:ascii="Times New Roman" w:hAnsi="Times New Roman" w:cs="Times New Roman"/>
          <w:b/>
          <w:bCs/>
        </w:rPr>
        <w:t xml:space="preserve"> </w:t>
      </w:r>
      <w:r>
        <w:rPr>
          <w:rFonts w:ascii="Times New Roman" w:hAnsi="Times New Roman" w:cs="Times New Roman"/>
          <w:b/>
          <w:bCs/>
        </w:rPr>
        <w:t>was issued to the EPC contractor?</w:t>
      </w:r>
    </w:p>
    <w:p w:rsidR="008C773A" w:rsidRDefault="000A1348" w:rsidP="000A1348">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No. </w:t>
      </w:r>
      <w:r w:rsidR="00B21AE8">
        <w:rPr>
          <w:rFonts w:ascii="Times New Roman" w:hAnsi="Times New Roman" w:cs="Times New Roman"/>
        </w:rPr>
        <w:t xml:space="preserve"> </w:t>
      </w:r>
      <w:r>
        <w:rPr>
          <w:rFonts w:ascii="Times New Roman" w:hAnsi="Times New Roman" w:cs="Times New Roman"/>
        </w:rPr>
        <w:t xml:space="preserve">The December 2013 OFPC was completed approximately one full month after the </w:t>
      </w:r>
      <w:r w:rsidR="00216C6B">
        <w:rPr>
          <w:rFonts w:ascii="Times New Roman" w:hAnsi="Times New Roman" w:cs="Times New Roman"/>
        </w:rPr>
        <w:t>FNTP</w:t>
      </w:r>
      <w:r w:rsidR="00216C6B" w:rsidDel="00216C6B">
        <w:rPr>
          <w:rFonts w:ascii="Times New Roman" w:hAnsi="Times New Roman" w:cs="Times New Roman"/>
        </w:rPr>
        <w:t xml:space="preserve"> </w:t>
      </w:r>
      <w:r>
        <w:rPr>
          <w:rFonts w:ascii="Times New Roman" w:hAnsi="Times New Roman" w:cs="Times New Roman"/>
        </w:rPr>
        <w:t xml:space="preserve">was issued to the EPC contractor. </w:t>
      </w:r>
      <w:r w:rsidR="00B21AE8">
        <w:rPr>
          <w:rFonts w:ascii="Times New Roman" w:hAnsi="Times New Roman" w:cs="Times New Roman"/>
        </w:rPr>
        <w:t xml:space="preserve"> </w:t>
      </w:r>
      <w:r>
        <w:rPr>
          <w:rFonts w:ascii="Times New Roman" w:hAnsi="Times New Roman" w:cs="Times New Roman"/>
        </w:rPr>
        <w:t>The Company has a long and well</w:t>
      </w:r>
      <w:r w:rsidR="004D1F70">
        <w:rPr>
          <w:rFonts w:ascii="Times New Roman" w:hAnsi="Times New Roman" w:cs="Times New Roman"/>
        </w:rPr>
        <w:t>-</w:t>
      </w:r>
      <w:r>
        <w:rPr>
          <w:rFonts w:ascii="Times New Roman" w:hAnsi="Times New Roman" w:cs="Times New Roman"/>
        </w:rPr>
        <w:t xml:space="preserve">documented history of finalizing its OFPC on the last trading day of each calendar quarter. </w:t>
      </w:r>
      <w:r w:rsidR="00B21AE8">
        <w:rPr>
          <w:rFonts w:ascii="Times New Roman" w:hAnsi="Times New Roman" w:cs="Times New Roman"/>
        </w:rPr>
        <w:t xml:space="preserve"> </w:t>
      </w:r>
      <w:r>
        <w:rPr>
          <w:rFonts w:ascii="Times New Roman" w:hAnsi="Times New Roman" w:cs="Times New Roman"/>
        </w:rPr>
        <w:t xml:space="preserve">The December 2013 OFPC was produced on December 31, 2013. </w:t>
      </w:r>
      <w:r w:rsidR="00ED0B44">
        <w:rPr>
          <w:rFonts w:ascii="Times New Roman" w:hAnsi="Times New Roman" w:cs="Times New Roman"/>
        </w:rPr>
        <w:t xml:space="preserve"> </w:t>
      </w:r>
      <w:r>
        <w:rPr>
          <w:rFonts w:ascii="Times New Roman" w:hAnsi="Times New Roman" w:cs="Times New Roman"/>
        </w:rPr>
        <w:t xml:space="preserve">The </w:t>
      </w:r>
      <w:r w:rsidR="00216C6B">
        <w:rPr>
          <w:rFonts w:ascii="Times New Roman" w:hAnsi="Times New Roman" w:cs="Times New Roman"/>
        </w:rPr>
        <w:t>FNTP</w:t>
      </w:r>
      <w:r>
        <w:rPr>
          <w:rFonts w:ascii="Times New Roman" w:hAnsi="Times New Roman" w:cs="Times New Roman"/>
        </w:rPr>
        <w:t xml:space="preserve"> was issued to the EPC contractor on December 1, 2013.</w:t>
      </w:r>
    </w:p>
    <w:p w:rsidR="008C773A" w:rsidRDefault="008C773A" w:rsidP="008C773A">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Please describe the long-standing process the Company uses to develop its natural gas price curves when producing its quarterly OFPC updates.</w:t>
      </w:r>
    </w:p>
    <w:p w:rsidR="00924ABA" w:rsidRDefault="008C773A" w:rsidP="00924ABA">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PacifiCorp’s natural gas OFPC is constructed from three components—a forward market component, a blended component, and a fundamentals component. </w:t>
      </w:r>
      <w:r w:rsidR="00B21AE8">
        <w:rPr>
          <w:rFonts w:ascii="Times New Roman" w:hAnsi="Times New Roman" w:cs="Times New Roman"/>
        </w:rPr>
        <w:t xml:space="preserve"> </w:t>
      </w:r>
      <w:r>
        <w:rPr>
          <w:rFonts w:ascii="Times New Roman" w:hAnsi="Times New Roman" w:cs="Times New Roman"/>
        </w:rPr>
        <w:t>The first 72 months (years one through six) of the natural gas OFPC, beginning with the first full forward month, is based on forward market data consistent with broker quotes and settled forward prices observed on the last trading day of a calendar quarter.</w:t>
      </w:r>
      <w:r w:rsidR="00B21AE8">
        <w:rPr>
          <w:rFonts w:ascii="Times New Roman" w:hAnsi="Times New Roman" w:cs="Times New Roman"/>
        </w:rPr>
        <w:t xml:space="preserve"> </w:t>
      </w:r>
      <w:r w:rsidR="00041BB0">
        <w:rPr>
          <w:rFonts w:ascii="Times New Roman" w:hAnsi="Times New Roman" w:cs="Times New Roman"/>
        </w:rPr>
        <w:t xml:space="preserve"> </w:t>
      </w:r>
      <w:r>
        <w:rPr>
          <w:rFonts w:ascii="Times New Roman" w:hAnsi="Times New Roman" w:cs="Times New Roman"/>
        </w:rPr>
        <w:t>The next twelve months (year seven)</w:t>
      </w:r>
      <w:r w:rsidR="00951C37">
        <w:rPr>
          <w:rFonts w:ascii="Times New Roman" w:hAnsi="Times New Roman" w:cs="Times New Roman"/>
        </w:rPr>
        <w:t xml:space="preserve"> are a blend of forward market prices and </w:t>
      </w:r>
      <w:r w:rsidR="00924ABA">
        <w:rPr>
          <w:rFonts w:ascii="Times New Roman" w:hAnsi="Times New Roman" w:cs="Times New Roman"/>
        </w:rPr>
        <w:t xml:space="preserve">forward period </w:t>
      </w:r>
      <w:r w:rsidR="00951C37">
        <w:rPr>
          <w:rFonts w:ascii="Times New Roman" w:hAnsi="Times New Roman" w:cs="Times New Roman"/>
        </w:rPr>
        <w:t>fundamentals-based prices.</w:t>
      </w:r>
      <w:r w:rsidR="00B21AE8">
        <w:rPr>
          <w:rFonts w:ascii="Times New Roman" w:hAnsi="Times New Roman" w:cs="Times New Roman"/>
        </w:rPr>
        <w:t xml:space="preserve"> </w:t>
      </w:r>
      <w:r w:rsidR="00951C37">
        <w:rPr>
          <w:rFonts w:ascii="Times New Roman" w:hAnsi="Times New Roman" w:cs="Times New Roman"/>
        </w:rPr>
        <w:t xml:space="preserve"> The blended component is calculated by averaging monthly prices from the prior year and monthly prices from the subsequent forward year. </w:t>
      </w:r>
      <w:r w:rsidR="00B21AE8">
        <w:rPr>
          <w:rFonts w:ascii="Times New Roman" w:hAnsi="Times New Roman" w:cs="Times New Roman"/>
        </w:rPr>
        <w:t xml:space="preserve"> </w:t>
      </w:r>
      <w:r w:rsidR="00951C37">
        <w:rPr>
          <w:rFonts w:ascii="Times New Roman" w:hAnsi="Times New Roman" w:cs="Times New Roman"/>
        </w:rPr>
        <w:t xml:space="preserve">The fundamentals-based component </w:t>
      </w:r>
      <w:r w:rsidR="00924ABA">
        <w:rPr>
          <w:rFonts w:ascii="Times New Roman" w:hAnsi="Times New Roman" w:cs="Times New Roman"/>
        </w:rPr>
        <w:t xml:space="preserve">(year eight and beyond) </w:t>
      </w:r>
      <w:r w:rsidR="00951C37">
        <w:rPr>
          <w:rFonts w:ascii="Times New Roman" w:hAnsi="Times New Roman" w:cs="Times New Roman"/>
        </w:rPr>
        <w:t xml:space="preserve">is </w:t>
      </w:r>
      <w:r w:rsidR="00924ABA">
        <w:rPr>
          <w:rFonts w:ascii="Times New Roman" w:hAnsi="Times New Roman" w:cs="Times New Roman"/>
        </w:rPr>
        <w:t>based upon expert third-party price forecasts.</w:t>
      </w:r>
    </w:p>
    <w:p w:rsidR="00924ABA" w:rsidRDefault="00924ABA" w:rsidP="00924ABA">
      <w:pPr>
        <w:spacing w:line="480" w:lineRule="auto"/>
        <w:ind w:left="720" w:firstLine="720"/>
        <w:rPr>
          <w:rFonts w:ascii="Times New Roman" w:hAnsi="Times New Roman" w:cs="Times New Roman"/>
        </w:rPr>
      </w:pPr>
      <w:r>
        <w:rPr>
          <w:rFonts w:ascii="Times New Roman" w:hAnsi="Times New Roman" w:cs="Times New Roman"/>
        </w:rPr>
        <w:t>The Company performs a comparative analysis of expert</w:t>
      </w:r>
      <w:r w:rsidR="00D757FA">
        <w:rPr>
          <w:rFonts w:ascii="Times New Roman" w:hAnsi="Times New Roman" w:cs="Times New Roman"/>
        </w:rPr>
        <w:t xml:space="preserve"> </w:t>
      </w:r>
      <w:r>
        <w:rPr>
          <w:rFonts w:ascii="Times New Roman" w:hAnsi="Times New Roman" w:cs="Times New Roman"/>
        </w:rPr>
        <w:t>third</w:t>
      </w:r>
      <w:r w:rsidR="00D757FA">
        <w:rPr>
          <w:rFonts w:ascii="Times New Roman" w:hAnsi="Times New Roman" w:cs="Times New Roman"/>
        </w:rPr>
        <w:t>-</w:t>
      </w:r>
      <w:r>
        <w:rPr>
          <w:rFonts w:ascii="Times New Roman" w:hAnsi="Times New Roman" w:cs="Times New Roman"/>
        </w:rPr>
        <w:t xml:space="preserve">party price forecasts each calendar quarter to ensure that the fundamentals-based forecast aligns with the most current expert forecasts. </w:t>
      </w:r>
      <w:r w:rsidR="00B21AE8">
        <w:rPr>
          <w:rFonts w:ascii="Times New Roman" w:hAnsi="Times New Roman" w:cs="Times New Roman"/>
        </w:rPr>
        <w:t xml:space="preserve"> </w:t>
      </w:r>
      <w:r>
        <w:rPr>
          <w:rFonts w:ascii="Times New Roman" w:hAnsi="Times New Roman" w:cs="Times New Roman"/>
        </w:rPr>
        <w:t>When performing this comparative analysis, the Company reviews data supporting each third-party forecast, including quarter-on-quarter changes</w:t>
      </w:r>
      <w:r w:rsidR="00CA2AFA">
        <w:rPr>
          <w:rFonts w:ascii="Times New Roman" w:hAnsi="Times New Roman" w:cs="Times New Roman"/>
        </w:rPr>
        <w:t xml:space="preserve"> in</w:t>
      </w:r>
      <w:r>
        <w:rPr>
          <w:rFonts w:ascii="Times New Roman" w:hAnsi="Times New Roman" w:cs="Times New Roman"/>
        </w:rPr>
        <w:t xml:space="preserve"> supply, demand, net imports/exports</w:t>
      </w:r>
      <w:r w:rsidR="00AF7021">
        <w:rPr>
          <w:rFonts w:ascii="Times New Roman" w:hAnsi="Times New Roman" w:cs="Times New Roman"/>
        </w:rPr>
        <w:t>, and basis differentials, which define price differentials from specific regional natural gas markets relative to Henry Hub</w:t>
      </w:r>
      <w:r>
        <w:rPr>
          <w:rFonts w:ascii="Times New Roman" w:hAnsi="Times New Roman" w:cs="Times New Roman"/>
        </w:rPr>
        <w:t xml:space="preserve">. </w:t>
      </w:r>
      <w:r w:rsidR="00041BB0">
        <w:rPr>
          <w:rFonts w:ascii="Times New Roman" w:hAnsi="Times New Roman" w:cs="Times New Roman"/>
        </w:rPr>
        <w:t xml:space="preserve"> </w:t>
      </w:r>
      <w:r>
        <w:rPr>
          <w:rFonts w:ascii="Times New Roman" w:hAnsi="Times New Roman" w:cs="Times New Roman"/>
        </w:rPr>
        <w:t>The Company further reviews how these fundamental drivers compare among the third-party forecasts</w:t>
      </w:r>
      <w:r w:rsidR="00AF7021">
        <w:rPr>
          <w:rFonts w:ascii="Times New Roman" w:hAnsi="Times New Roman" w:cs="Times New Roman"/>
        </w:rPr>
        <w:t xml:space="preserve">. </w:t>
      </w:r>
      <w:r w:rsidR="00370FE1">
        <w:rPr>
          <w:rFonts w:ascii="Times New Roman" w:hAnsi="Times New Roman" w:cs="Times New Roman"/>
        </w:rPr>
        <w:t xml:space="preserve"> </w:t>
      </w:r>
      <w:r w:rsidR="00AF7021">
        <w:rPr>
          <w:rFonts w:ascii="Times New Roman" w:hAnsi="Times New Roman" w:cs="Times New Roman"/>
        </w:rPr>
        <w:t xml:space="preserve">When choosing a fundamentals-based natural gas price forecast for use in a quarterly OFPC, the Company </w:t>
      </w:r>
      <w:r w:rsidR="0015657F">
        <w:rPr>
          <w:rFonts w:ascii="Times New Roman" w:hAnsi="Times New Roman" w:cs="Times New Roman"/>
        </w:rPr>
        <w:t xml:space="preserve">generally </w:t>
      </w:r>
      <w:r w:rsidR="00AF7021">
        <w:rPr>
          <w:rFonts w:ascii="Times New Roman" w:hAnsi="Times New Roman" w:cs="Times New Roman"/>
        </w:rPr>
        <w:t xml:space="preserve">strives to adopt a moderate long-term projection that represents </w:t>
      </w:r>
      <w:r w:rsidR="00D67E07">
        <w:rPr>
          <w:rFonts w:ascii="Times New Roman" w:hAnsi="Times New Roman" w:cs="Times New Roman"/>
        </w:rPr>
        <w:t>neither the highest nor</w:t>
      </w:r>
      <w:r w:rsidR="00AF7021">
        <w:rPr>
          <w:rFonts w:ascii="Times New Roman" w:hAnsi="Times New Roman" w:cs="Times New Roman"/>
        </w:rPr>
        <w:t xml:space="preserve"> the lowest forecast available from third-party experts.</w:t>
      </w:r>
    </w:p>
    <w:p w:rsidR="00D67E07" w:rsidRDefault="008F273B" w:rsidP="00D67E07">
      <w:pPr>
        <w:spacing w:line="480" w:lineRule="auto"/>
        <w:ind w:left="720" w:hanging="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1552" behindDoc="0" locked="0" layoutInCell="1" allowOverlap="1" wp14:anchorId="5F61BB70" wp14:editId="4360A0D0">
                <wp:simplePos x="0" y="0"/>
                <wp:positionH relativeFrom="column">
                  <wp:posOffset>285750</wp:posOffset>
                </wp:positionH>
                <wp:positionV relativeFrom="paragraph">
                  <wp:posOffset>-1291590</wp:posOffset>
                </wp:positionV>
                <wp:extent cx="5048250" cy="55245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504825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8" type="#_x0000_t202" style="position:absolute;left:0;text-align:left;margin-left:22.5pt;margin-top:-101.7pt;width:397.5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D67E07" w:rsidRPr="0053680D">
        <w:rPr>
          <w:rFonts w:ascii="Times New Roman" w:hAnsi="Times New Roman" w:cs="Times New Roman"/>
          <w:b/>
          <w:bCs/>
        </w:rPr>
        <w:t>Q.</w:t>
      </w:r>
      <w:r w:rsidR="00D67E07" w:rsidRPr="0053680D">
        <w:rPr>
          <w:rFonts w:ascii="Times New Roman" w:hAnsi="Times New Roman" w:cs="Times New Roman"/>
          <w:b/>
          <w:bCs/>
        </w:rPr>
        <w:tab/>
      </w:r>
      <w:r w:rsidR="00D67E07">
        <w:rPr>
          <w:rFonts w:ascii="Times New Roman" w:hAnsi="Times New Roman" w:cs="Times New Roman"/>
          <w:b/>
          <w:bCs/>
        </w:rPr>
        <w:t xml:space="preserve">What </w:t>
      </w:r>
      <w:r w:rsidR="00AE3E20">
        <w:rPr>
          <w:rFonts w:ascii="Times New Roman" w:hAnsi="Times New Roman" w:cs="Times New Roman"/>
          <w:b/>
          <w:bCs/>
        </w:rPr>
        <w:t xml:space="preserve">fundamentals-based long-term natural gas price forecasts were </w:t>
      </w:r>
      <w:r w:rsidR="00D67E07">
        <w:rPr>
          <w:rFonts w:ascii="Times New Roman" w:hAnsi="Times New Roman" w:cs="Times New Roman"/>
          <w:b/>
          <w:bCs/>
        </w:rPr>
        <w:t>available to the</w:t>
      </w:r>
      <w:r w:rsidR="00AE3E20">
        <w:rPr>
          <w:rFonts w:ascii="Times New Roman" w:hAnsi="Times New Roman" w:cs="Times New Roman"/>
          <w:b/>
          <w:bCs/>
        </w:rPr>
        <w:t xml:space="preserve"> Company during the development of the December 2013 OFPC</w:t>
      </w:r>
      <w:r w:rsidR="00F30CD9">
        <w:rPr>
          <w:rFonts w:ascii="Times New Roman" w:hAnsi="Times New Roman" w:cs="Times New Roman"/>
          <w:b/>
          <w:bCs/>
        </w:rPr>
        <w:t>?</w:t>
      </w:r>
    </w:p>
    <w:p w:rsidR="006F32FD" w:rsidRDefault="00D67E07" w:rsidP="006F32F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AE3E20">
        <w:rPr>
          <w:rFonts w:ascii="Times New Roman" w:hAnsi="Times New Roman" w:cs="Times New Roman"/>
        </w:rPr>
        <w:t>Paci</w:t>
      </w:r>
      <w:r w:rsidR="00B81651">
        <w:rPr>
          <w:rFonts w:ascii="Times New Roman" w:hAnsi="Times New Roman" w:cs="Times New Roman"/>
        </w:rPr>
        <w:t>fiCorp received an updated long-</w:t>
      </w:r>
      <w:r w:rsidR="00AE3E20">
        <w:rPr>
          <w:rFonts w:ascii="Times New Roman" w:hAnsi="Times New Roman" w:cs="Times New Roman"/>
        </w:rPr>
        <w:t xml:space="preserve">term natural gas price forecast from three different third-party experts after it finalized its September 2013 OFPC—an updated forecast from </w:t>
      </w:r>
      <w:r w:rsidR="00D24585" w:rsidRPr="00D24585">
        <w:rPr>
          <w:rFonts w:ascii="Times New Roman" w:hAnsi="Times New Roman" w:cs="Times New Roman"/>
          <w:highlight w:val="black"/>
        </w:rPr>
        <w:t>______________</w:t>
      </w:r>
      <w:r w:rsidR="00AE3E20">
        <w:rPr>
          <w:rFonts w:ascii="Times New Roman" w:hAnsi="Times New Roman" w:cs="Times New Roman"/>
        </w:rPr>
        <w:t xml:space="preserve"> dated October 22, 2013</w:t>
      </w:r>
      <w:r w:rsidR="008D6BBC">
        <w:rPr>
          <w:rFonts w:ascii="Times New Roman" w:hAnsi="Times New Roman" w:cs="Times New Roman"/>
        </w:rPr>
        <w:t>;</w:t>
      </w:r>
      <w:r w:rsidR="00AE3E20">
        <w:rPr>
          <w:rFonts w:ascii="Times New Roman" w:hAnsi="Times New Roman" w:cs="Times New Roman"/>
        </w:rPr>
        <w:t xml:space="preserve"> an updated forecast from </w:t>
      </w:r>
      <w:r w:rsidR="00D24585" w:rsidRPr="00D24585">
        <w:rPr>
          <w:rFonts w:ascii="Times New Roman" w:hAnsi="Times New Roman" w:cs="Times New Roman"/>
          <w:highlight w:val="black"/>
        </w:rPr>
        <w:t>_____</w:t>
      </w:r>
      <w:r w:rsidR="00AE3E20">
        <w:rPr>
          <w:rFonts w:ascii="Times New Roman" w:hAnsi="Times New Roman" w:cs="Times New Roman"/>
        </w:rPr>
        <w:t xml:space="preserve"> dated November 20, 2013</w:t>
      </w:r>
      <w:r w:rsidR="008D6BBC">
        <w:rPr>
          <w:rFonts w:ascii="Times New Roman" w:hAnsi="Times New Roman" w:cs="Times New Roman"/>
        </w:rPr>
        <w:t>;</w:t>
      </w:r>
      <w:r w:rsidR="00AE3E20">
        <w:rPr>
          <w:rFonts w:ascii="Times New Roman" w:hAnsi="Times New Roman" w:cs="Times New Roman"/>
        </w:rPr>
        <w:t xml:space="preserve"> and an updated forecast from </w:t>
      </w:r>
      <w:r w:rsidR="00D24585" w:rsidRPr="00D24585">
        <w:rPr>
          <w:rFonts w:ascii="Times New Roman" w:hAnsi="Times New Roman" w:cs="Times New Roman"/>
          <w:highlight w:val="black"/>
        </w:rPr>
        <w:t>_____</w:t>
      </w:r>
      <w:r w:rsidR="00AE3E20">
        <w:rPr>
          <w:rFonts w:ascii="Times New Roman" w:hAnsi="Times New Roman" w:cs="Times New Roman"/>
        </w:rPr>
        <w:t xml:space="preserve"> dated December 11, 2013.</w:t>
      </w:r>
      <w:r w:rsidR="00B21AE8">
        <w:rPr>
          <w:rFonts w:ascii="Times New Roman" w:hAnsi="Times New Roman" w:cs="Times New Roman"/>
        </w:rPr>
        <w:t xml:space="preserve"> </w:t>
      </w:r>
      <w:r w:rsidR="008D6BBC">
        <w:rPr>
          <w:rFonts w:ascii="Times New Roman" w:hAnsi="Times New Roman" w:cs="Times New Roman"/>
        </w:rPr>
        <w:t xml:space="preserve"> </w:t>
      </w:r>
      <w:r w:rsidR="00AE3E20">
        <w:rPr>
          <w:rFonts w:ascii="Times New Roman" w:hAnsi="Times New Roman" w:cs="Times New Roman"/>
        </w:rPr>
        <w:t xml:space="preserve">The </w:t>
      </w:r>
      <w:r w:rsidR="00D24585" w:rsidRPr="00D24585">
        <w:rPr>
          <w:rFonts w:ascii="Times New Roman" w:hAnsi="Times New Roman" w:cs="Times New Roman"/>
          <w:highlight w:val="black"/>
        </w:rPr>
        <w:t>______________</w:t>
      </w:r>
      <w:r w:rsidR="00AE3E20">
        <w:rPr>
          <w:rFonts w:ascii="Times New Roman" w:hAnsi="Times New Roman" w:cs="Times New Roman"/>
        </w:rPr>
        <w:t xml:space="preserve"> </w:t>
      </w:r>
      <w:r w:rsidR="00B81651">
        <w:rPr>
          <w:rFonts w:ascii="Times New Roman" w:hAnsi="Times New Roman" w:cs="Times New Roman"/>
        </w:rPr>
        <w:t xml:space="preserve">long-term price forecast </w:t>
      </w:r>
      <w:r w:rsidR="00F30CD9">
        <w:rPr>
          <w:rFonts w:ascii="Times New Roman" w:hAnsi="Times New Roman" w:cs="Times New Roman"/>
        </w:rPr>
        <w:t>for</w:t>
      </w:r>
      <w:r w:rsidR="00B81651">
        <w:rPr>
          <w:rFonts w:ascii="Times New Roman" w:hAnsi="Times New Roman" w:cs="Times New Roman"/>
        </w:rPr>
        <w:t xml:space="preserve"> Opal showed a nominal </w:t>
      </w:r>
      <w:proofErr w:type="spellStart"/>
      <w:r w:rsidR="00B81651">
        <w:rPr>
          <w:rFonts w:ascii="Times New Roman" w:hAnsi="Times New Roman" w:cs="Times New Roman"/>
        </w:rPr>
        <w:t>levelized</w:t>
      </w:r>
      <w:proofErr w:type="spellEnd"/>
      <w:r w:rsidR="00B81651">
        <w:rPr>
          <w:rFonts w:ascii="Times New Roman" w:hAnsi="Times New Roman" w:cs="Times New Roman"/>
        </w:rPr>
        <w:t xml:space="preserve"> price of $</w:t>
      </w:r>
      <w:r w:rsidR="00D24585" w:rsidRPr="00D24585">
        <w:rPr>
          <w:rFonts w:ascii="Times New Roman" w:hAnsi="Times New Roman" w:cs="Times New Roman"/>
          <w:highlight w:val="black"/>
        </w:rPr>
        <w:t>___</w:t>
      </w:r>
      <w:r w:rsidR="00B81651">
        <w:rPr>
          <w:rFonts w:ascii="Times New Roman" w:hAnsi="Times New Roman" w:cs="Times New Roman"/>
        </w:rPr>
        <w:t>/</w:t>
      </w:r>
      <w:proofErr w:type="spellStart"/>
      <w:r w:rsidR="00B81651">
        <w:rPr>
          <w:rFonts w:ascii="Times New Roman" w:hAnsi="Times New Roman" w:cs="Times New Roman"/>
        </w:rPr>
        <w:t>mmBtu</w:t>
      </w:r>
      <w:proofErr w:type="spellEnd"/>
      <w:r w:rsidR="00B81651">
        <w:rPr>
          <w:rFonts w:ascii="Times New Roman" w:hAnsi="Times New Roman" w:cs="Times New Roman"/>
        </w:rPr>
        <w:t xml:space="preserve"> over the 2016-2030 timeframe. </w:t>
      </w:r>
      <w:r w:rsidR="00B21AE8">
        <w:rPr>
          <w:rFonts w:ascii="Times New Roman" w:hAnsi="Times New Roman" w:cs="Times New Roman"/>
        </w:rPr>
        <w:t xml:space="preserve"> </w:t>
      </w:r>
      <w:r w:rsidR="00F30CD9">
        <w:rPr>
          <w:rFonts w:ascii="Times New Roman" w:hAnsi="Times New Roman" w:cs="Times New Roman"/>
        </w:rPr>
        <w:t>Over this same forecast period, t</w:t>
      </w:r>
      <w:r w:rsidR="00B81651">
        <w:rPr>
          <w:rFonts w:ascii="Times New Roman" w:hAnsi="Times New Roman" w:cs="Times New Roman"/>
        </w:rPr>
        <w:t xml:space="preserve">he </w:t>
      </w:r>
      <w:r w:rsidR="00D24585" w:rsidRPr="00D24585">
        <w:rPr>
          <w:rFonts w:ascii="Times New Roman" w:hAnsi="Times New Roman" w:cs="Times New Roman"/>
          <w:highlight w:val="black"/>
        </w:rPr>
        <w:t>____</w:t>
      </w:r>
      <w:r w:rsidR="00B81651">
        <w:rPr>
          <w:rFonts w:ascii="Times New Roman" w:hAnsi="Times New Roman" w:cs="Times New Roman"/>
        </w:rPr>
        <w:t xml:space="preserve"> </w:t>
      </w:r>
      <w:r w:rsidR="00F30CD9">
        <w:rPr>
          <w:rFonts w:ascii="Times New Roman" w:hAnsi="Times New Roman" w:cs="Times New Roman"/>
        </w:rPr>
        <w:t xml:space="preserve">and </w:t>
      </w:r>
      <w:r w:rsidR="00D24585" w:rsidRPr="00D24585">
        <w:rPr>
          <w:rFonts w:ascii="Times New Roman" w:hAnsi="Times New Roman" w:cs="Times New Roman"/>
          <w:highlight w:val="black"/>
        </w:rPr>
        <w:t>____</w:t>
      </w:r>
      <w:r w:rsidR="00F30CD9">
        <w:rPr>
          <w:rFonts w:ascii="Times New Roman" w:hAnsi="Times New Roman" w:cs="Times New Roman"/>
        </w:rPr>
        <w:t xml:space="preserve"> </w:t>
      </w:r>
      <w:r w:rsidR="00B81651">
        <w:rPr>
          <w:rFonts w:ascii="Times New Roman" w:hAnsi="Times New Roman" w:cs="Times New Roman"/>
        </w:rPr>
        <w:t>long-term forecast</w:t>
      </w:r>
      <w:r w:rsidR="00F30CD9">
        <w:rPr>
          <w:rFonts w:ascii="Times New Roman" w:hAnsi="Times New Roman" w:cs="Times New Roman"/>
        </w:rPr>
        <w:t>s</w:t>
      </w:r>
      <w:r w:rsidR="00B81651">
        <w:rPr>
          <w:rFonts w:ascii="Times New Roman" w:hAnsi="Times New Roman" w:cs="Times New Roman"/>
        </w:rPr>
        <w:t xml:space="preserve"> </w:t>
      </w:r>
      <w:r w:rsidR="00F30CD9">
        <w:rPr>
          <w:rFonts w:ascii="Times New Roman" w:hAnsi="Times New Roman" w:cs="Times New Roman"/>
        </w:rPr>
        <w:t xml:space="preserve">for Opal </w:t>
      </w:r>
      <w:r w:rsidR="00B81651">
        <w:rPr>
          <w:rFonts w:ascii="Times New Roman" w:hAnsi="Times New Roman" w:cs="Times New Roman"/>
        </w:rPr>
        <w:t xml:space="preserve">showed a nominal </w:t>
      </w:r>
      <w:proofErr w:type="spellStart"/>
      <w:r w:rsidR="00B81651">
        <w:rPr>
          <w:rFonts w:ascii="Times New Roman" w:hAnsi="Times New Roman" w:cs="Times New Roman"/>
        </w:rPr>
        <w:t>levelized</w:t>
      </w:r>
      <w:proofErr w:type="spellEnd"/>
      <w:r w:rsidR="00B81651">
        <w:rPr>
          <w:rFonts w:ascii="Times New Roman" w:hAnsi="Times New Roman" w:cs="Times New Roman"/>
        </w:rPr>
        <w:t xml:space="preserve"> price of $</w:t>
      </w:r>
      <w:r w:rsidR="00D24585" w:rsidRPr="00D24585">
        <w:rPr>
          <w:rFonts w:ascii="Times New Roman" w:hAnsi="Times New Roman" w:cs="Times New Roman"/>
          <w:highlight w:val="black"/>
        </w:rPr>
        <w:t>____</w:t>
      </w:r>
      <w:r w:rsidR="00F30CD9">
        <w:rPr>
          <w:rFonts w:ascii="Times New Roman" w:hAnsi="Times New Roman" w:cs="Times New Roman"/>
        </w:rPr>
        <w:t>/</w:t>
      </w:r>
      <w:proofErr w:type="spellStart"/>
      <w:r w:rsidR="00F30CD9">
        <w:rPr>
          <w:rFonts w:ascii="Times New Roman" w:hAnsi="Times New Roman" w:cs="Times New Roman"/>
        </w:rPr>
        <w:t>mm</w:t>
      </w:r>
      <w:r w:rsidR="00B81651">
        <w:rPr>
          <w:rFonts w:ascii="Times New Roman" w:hAnsi="Times New Roman" w:cs="Times New Roman"/>
        </w:rPr>
        <w:t>Btu</w:t>
      </w:r>
      <w:proofErr w:type="spellEnd"/>
      <w:r w:rsidR="00F30CD9">
        <w:rPr>
          <w:rFonts w:ascii="Times New Roman" w:hAnsi="Times New Roman" w:cs="Times New Roman"/>
        </w:rPr>
        <w:t xml:space="preserve"> and $</w:t>
      </w:r>
      <w:r w:rsidR="00D24585" w:rsidRPr="00D24585">
        <w:rPr>
          <w:rFonts w:ascii="Times New Roman" w:hAnsi="Times New Roman" w:cs="Times New Roman"/>
          <w:highlight w:val="black"/>
        </w:rPr>
        <w:t>____</w:t>
      </w:r>
      <w:r w:rsidR="00F30CD9">
        <w:rPr>
          <w:rFonts w:ascii="Times New Roman" w:hAnsi="Times New Roman" w:cs="Times New Roman"/>
        </w:rPr>
        <w:t>/</w:t>
      </w:r>
      <w:proofErr w:type="spellStart"/>
      <w:r w:rsidR="00F30CD9">
        <w:rPr>
          <w:rFonts w:ascii="Times New Roman" w:hAnsi="Times New Roman" w:cs="Times New Roman"/>
        </w:rPr>
        <w:t>mmBtu</w:t>
      </w:r>
      <w:proofErr w:type="spellEnd"/>
      <w:r w:rsidR="00F30CD9">
        <w:rPr>
          <w:rFonts w:ascii="Times New Roman" w:hAnsi="Times New Roman" w:cs="Times New Roman"/>
        </w:rPr>
        <w:t>, respectively.</w:t>
      </w:r>
      <w:r w:rsidR="006F32FD">
        <w:rPr>
          <w:rFonts w:ascii="Times New Roman" w:hAnsi="Times New Roman" w:cs="Times New Roman"/>
        </w:rPr>
        <w:t xml:space="preserve"> </w:t>
      </w:r>
      <w:r w:rsidR="00B21AE8">
        <w:rPr>
          <w:rFonts w:ascii="Times New Roman" w:hAnsi="Times New Roman" w:cs="Times New Roman"/>
        </w:rPr>
        <w:t xml:space="preserve"> </w:t>
      </w:r>
      <w:r w:rsidR="006F32FD">
        <w:rPr>
          <w:rFonts w:ascii="Times New Roman" w:hAnsi="Times New Roman" w:cs="Times New Roman"/>
        </w:rPr>
        <w:t xml:space="preserve">Nominal </w:t>
      </w:r>
      <w:proofErr w:type="spellStart"/>
      <w:r w:rsidR="006F32FD">
        <w:rPr>
          <w:rFonts w:ascii="Times New Roman" w:hAnsi="Times New Roman" w:cs="Times New Roman"/>
        </w:rPr>
        <w:t>levelized</w:t>
      </w:r>
      <w:proofErr w:type="spellEnd"/>
      <w:r w:rsidR="006F32FD">
        <w:rPr>
          <w:rFonts w:ascii="Times New Roman" w:hAnsi="Times New Roman" w:cs="Times New Roman"/>
        </w:rPr>
        <w:t xml:space="preserve"> prices for two of these three price forecasts are well above the break-even </w:t>
      </w:r>
      <w:proofErr w:type="spellStart"/>
      <w:r w:rsidR="006F32FD">
        <w:rPr>
          <w:rFonts w:ascii="Times New Roman" w:hAnsi="Times New Roman" w:cs="Times New Roman"/>
        </w:rPr>
        <w:t>levelized</w:t>
      </w:r>
      <w:proofErr w:type="spellEnd"/>
      <w:r w:rsidR="006F32FD">
        <w:rPr>
          <w:rFonts w:ascii="Times New Roman" w:hAnsi="Times New Roman" w:cs="Times New Roman"/>
        </w:rPr>
        <w:t xml:space="preserve"> Opal natural gas price of $4.86/</w:t>
      </w:r>
      <w:proofErr w:type="spellStart"/>
      <w:r w:rsidR="006F32FD">
        <w:rPr>
          <w:rFonts w:ascii="Times New Roman" w:hAnsi="Times New Roman" w:cs="Times New Roman"/>
        </w:rPr>
        <w:t>mmBtu</w:t>
      </w:r>
      <w:proofErr w:type="spellEnd"/>
      <w:r w:rsidR="006F32FD">
        <w:rPr>
          <w:rFonts w:ascii="Times New Roman" w:hAnsi="Times New Roman" w:cs="Times New Roman"/>
        </w:rPr>
        <w:t xml:space="preserve">. </w:t>
      </w:r>
    </w:p>
    <w:p w:rsidR="00F30CD9" w:rsidRDefault="00F30CD9" w:rsidP="00F30CD9">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sidR="00487DF2">
        <w:rPr>
          <w:rFonts w:ascii="Times New Roman" w:hAnsi="Times New Roman" w:cs="Times New Roman"/>
          <w:b/>
          <w:bCs/>
        </w:rPr>
        <w:t xml:space="preserve">Could the Company have completed its </w:t>
      </w:r>
      <w:r w:rsidR="00F6612B">
        <w:rPr>
          <w:rFonts w:ascii="Times New Roman" w:hAnsi="Times New Roman" w:cs="Times New Roman"/>
          <w:b/>
          <w:bCs/>
        </w:rPr>
        <w:t>review of third</w:t>
      </w:r>
      <w:r w:rsidR="00320A4F">
        <w:rPr>
          <w:rFonts w:ascii="Times New Roman" w:hAnsi="Times New Roman" w:cs="Times New Roman"/>
          <w:b/>
          <w:bCs/>
        </w:rPr>
        <w:t>-</w:t>
      </w:r>
      <w:r w:rsidR="00F6612B">
        <w:rPr>
          <w:rFonts w:ascii="Times New Roman" w:hAnsi="Times New Roman" w:cs="Times New Roman"/>
          <w:b/>
          <w:bCs/>
        </w:rPr>
        <w:t xml:space="preserve">party forecasts considered for the December OFPC before </w:t>
      </w:r>
      <w:r w:rsidR="00F6612B" w:rsidRPr="00E6657D">
        <w:rPr>
          <w:rFonts w:ascii="Times New Roman" w:hAnsi="Times New Roman" w:cs="Times New Roman"/>
          <w:b/>
          <w:bCs/>
        </w:rPr>
        <w:t xml:space="preserve">the </w:t>
      </w:r>
      <w:r w:rsidR="008E632C" w:rsidRPr="00302504">
        <w:rPr>
          <w:rFonts w:ascii="Times New Roman" w:hAnsi="Times New Roman" w:cs="Times New Roman"/>
          <w:b/>
        </w:rPr>
        <w:t>FNTP</w:t>
      </w:r>
      <w:r w:rsidR="008E632C" w:rsidRPr="00E6657D" w:rsidDel="008E632C">
        <w:rPr>
          <w:rFonts w:ascii="Times New Roman" w:hAnsi="Times New Roman" w:cs="Times New Roman"/>
          <w:b/>
          <w:bCs/>
        </w:rPr>
        <w:t xml:space="preserve"> </w:t>
      </w:r>
      <w:r w:rsidR="00F6612B" w:rsidRPr="008E632C">
        <w:rPr>
          <w:rFonts w:ascii="Times New Roman" w:hAnsi="Times New Roman" w:cs="Times New Roman"/>
          <w:b/>
          <w:bCs/>
        </w:rPr>
        <w:t>was</w:t>
      </w:r>
      <w:r w:rsidR="00F6612B">
        <w:rPr>
          <w:rFonts w:ascii="Times New Roman" w:hAnsi="Times New Roman" w:cs="Times New Roman"/>
          <w:b/>
          <w:bCs/>
        </w:rPr>
        <w:t xml:space="preserve"> issued to the EPC contractor on December 1, 2013?</w:t>
      </w:r>
    </w:p>
    <w:p w:rsidR="000A1348" w:rsidRDefault="00F30CD9" w:rsidP="00F30CD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F6612B">
        <w:rPr>
          <w:rFonts w:ascii="Times New Roman" w:hAnsi="Times New Roman" w:cs="Times New Roman"/>
        </w:rPr>
        <w:t xml:space="preserve">No. </w:t>
      </w:r>
      <w:r w:rsidR="00B21AE8">
        <w:rPr>
          <w:rFonts w:ascii="Times New Roman" w:hAnsi="Times New Roman" w:cs="Times New Roman"/>
        </w:rPr>
        <w:t xml:space="preserve"> </w:t>
      </w:r>
      <w:r w:rsidR="00F6612B">
        <w:rPr>
          <w:rFonts w:ascii="Times New Roman" w:hAnsi="Times New Roman" w:cs="Times New Roman"/>
        </w:rPr>
        <w:t xml:space="preserve">The Company did not receive updated natural gas price forecasts from all of the third-party expert forecasters until December 11, 2013. </w:t>
      </w:r>
      <w:r w:rsidR="00B21AE8">
        <w:rPr>
          <w:rFonts w:ascii="Times New Roman" w:hAnsi="Times New Roman" w:cs="Times New Roman"/>
        </w:rPr>
        <w:t xml:space="preserve"> </w:t>
      </w:r>
      <w:r w:rsidR="00F6612B">
        <w:rPr>
          <w:rFonts w:ascii="Times New Roman" w:hAnsi="Times New Roman" w:cs="Times New Roman"/>
        </w:rPr>
        <w:t xml:space="preserve">As discussed above, the Company performs a comparative analysis of third-party expert </w:t>
      </w:r>
      <w:r w:rsidR="0062582F">
        <w:rPr>
          <w:rFonts w:ascii="Times New Roman" w:hAnsi="Times New Roman" w:cs="Times New Roman"/>
        </w:rPr>
        <w:t>forecasts when choosing a fundamentals-based forecast for use in its quarterly OFPCs</w:t>
      </w:r>
      <w:r w:rsidR="00DA1701" w:rsidRPr="00DA1701">
        <w:rPr>
          <w:rFonts w:ascii="Times New Roman" w:hAnsi="Times New Roman" w:cs="Times New Roman"/>
        </w:rPr>
        <w:t xml:space="preserve"> </w:t>
      </w:r>
      <w:r w:rsidR="00DA1701">
        <w:rPr>
          <w:rFonts w:ascii="Times New Roman" w:hAnsi="Times New Roman" w:cs="Times New Roman"/>
        </w:rPr>
        <w:t>and strives to adopt a moderate long-term projection</w:t>
      </w:r>
      <w:r w:rsidR="0062582F">
        <w:rPr>
          <w:rFonts w:ascii="Times New Roman" w:hAnsi="Times New Roman" w:cs="Times New Roman"/>
        </w:rPr>
        <w:t>.</w:t>
      </w:r>
      <w:r w:rsidR="00DA1701">
        <w:rPr>
          <w:rFonts w:ascii="Times New Roman" w:hAnsi="Times New Roman" w:cs="Times New Roman"/>
        </w:rPr>
        <w:t xml:space="preserve"> </w:t>
      </w:r>
      <w:r w:rsidR="008D6BBC">
        <w:rPr>
          <w:rFonts w:ascii="Times New Roman" w:hAnsi="Times New Roman" w:cs="Times New Roman"/>
        </w:rPr>
        <w:t xml:space="preserve"> </w:t>
      </w:r>
      <w:r w:rsidR="00DA1701">
        <w:rPr>
          <w:rFonts w:ascii="Times New Roman" w:hAnsi="Times New Roman" w:cs="Times New Roman"/>
        </w:rPr>
        <w:t>This comparative analysis was not completed until December 19, 2013, which in turn was used to support the December OFPC that was finalized on December 31, 2013.</w:t>
      </w:r>
    </w:p>
    <w:p w:rsidR="00DA1701" w:rsidRDefault="008F273B" w:rsidP="00DA1701">
      <w:pPr>
        <w:spacing w:line="480" w:lineRule="auto"/>
        <w:ind w:left="720" w:hanging="720"/>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2576" behindDoc="0" locked="0" layoutInCell="1" allowOverlap="1" wp14:anchorId="6D061F54" wp14:editId="1EECDC91">
                <wp:simplePos x="0" y="0"/>
                <wp:positionH relativeFrom="column">
                  <wp:posOffset>266700</wp:posOffset>
                </wp:positionH>
                <wp:positionV relativeFrom="paragraph">
                  <wp:posOffset>-1377315</wp:posOffset>
                </wp:positionV>
                <wp:extent cx="5248275" cy="62865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248275" cy="62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9" type="#_x0000_t202" style="position:absolute;left:0;text-align:left;margin-left:21pt;margin-top:-108.45pt;width:413.25pt;height:49.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DA1701" w:rsidRPr="0053680D">
        <w:rPr>
          <w:rFonts w:ascii="Times New Roman" w:hAnsi="Times New Roman" w:cs="Times New Roman"/>
          <w:b/>
          <w:bCs/>
        </w:rPr>
        <w:t>Q.</w:t>
      </w:r>
      <w:r w:rsidR="00DA1701" w:rsidRPr="0053680D">
        <w:rPr>
          <w:rFonts w:ascii="Times New Roman" w:hAnsi="Times New Roman" w:cs="Times New Roman"/>
          <w:b/>
          <w:bCs/>
        </w:rPr>
        <w:tab/>
      </w:r>
      <w:r w:rsidR="00DA1701">
        <w:rPr>
          <w:rFonts w:ascii="Times New Roman" w:hAnsi="Times New Roman" w:cs="Times New Roman"/>
          <w:b/>
          <w:bCs/>
        </w:rPr>
        <w:t>Is Sierra Club’s adjustment based on the December 2013 OFPC appropriate?</w:t>
      </w:r>
    </w:p>
    <w:p w:rsidR="006F32FD" w:rsidRDefault="00DA1701" w:rsidP="006F32F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No. </w:t>
      </w:r>
      <w:r w:rsidR="005B47E4">
        <w:rPr>
          <w:rFonts w:ascii="Times New Roman" w:hAnsi="Times New Roman" w:cs="Times New Roman"/>
        </w:rPr>
        <w:t xml:space="preserve"> </w:t>
      </w:r>
      <w:r w:rsidR="006F32FD">
        <w:rPr>
          <w:rFonts w:ascii="Times New Roman" w:hAnsi="Times New Roman" w:cs="Times New Roman"/>
        </w:rPr>
        <w:t xml:space="preserve">The December 2013 OFPC was developed using data that was not available to the Company at the time the </w:t>
      </w:r>
      <w:r w:rsidR="008E632C">
        <w:rPr>
          <w:rFonts w:ascii="Times New Roman" w:hAnsi="Times New Roman" w:cs="Times New Roman"/>
        </w:rPr>
        <w:t>FNTP</w:t>
      </w:r>
      <w:r w:rsidR="008E632C" w:rsidDel="008E632C">
        <w:rPr>
          <w:rFonts w:ascii="Times New Roman" w:hAnsi="Times New Roman" w:cs="Times New Roman"/>
        </w:rPr>
        <w:t xml:space="preserve"> </w:t>
      </w:r>
      <w:r w:rsidR="006F32FD">
        <w:rPr>
          <w:rFonts w:ascii="Times New Roman" w:hAnsi="Times New Roman" w:cs="Times New Roman"/>
        </w:rPr>
        <w:t>was issued to the EPC contractor</w:t>
      </w:r>
      <w:r w:rsidR="00393D72">
        <w:rPr>
          <w:rFonts w:ascii="Times New Roman" w:hAnsi="Times New Roman" w:cs="Times New Roman"/>
        </w:rPr>
        <w:t xml:space="preserve"> and </w:t>
      </w:r>
      <w:r w:rsidR="00047745">
        <w:rPr>
          <w:rFonts w:ascii="Times New Roman" w:hAnsi="Times New Roman" w:cs="Times New Roman"/>
        </w:rPr>
        <w:t xml:space="preserve">therefore </w:t>
      </w:r>
      <w:r w:rsidR="00393D72">
        <w:rPr>
          <w:rFonts w:ascii="Times New Roman" w:hAnsi="Times New Roman" w:cs="Times New Roman"/>
        </w:rPr>
        <w:t>Sierra Club’s proposed natural gas price adjustment is not appropriate</w:t>
      </w:r>
      <w:r w:rsidR="006F32FD">
        <w:rPr>
          <w:rFonts w:ascii="Times New Roman" w:hAnsi="Times New Roman" w:cs="Times New Roman"/>
        </w:rPr>
        <w:t xml:space="preserve">. </w:t>
      </w:r>
      <w:r w:rsidR="00B21AE8">
        <w:rPr>
          <w:rFonts w:ascii="Times New Roman" w:hAnsi="Times New Roman" w:cs="Times New Roman"/>
        </w:rPr>
        <w:t xml:space="preserve"> </w:t>
      </w:r>
      <w:r w:rsidR="006F32FD">
        <w:rPr>
          <w:rFonts w:ascii="Times New Roman" w:hAnsi="Times New Roman" w:cs="Times New Roman"/>
        </w:rPr>
        <w:t xml:space="preserve">The most current OFPC available to the Company at the time the </w:t>
      </w:r>
      <w:r w:rsidR="008E632C">
        <w:rPr>
          <w:rFonts w:ascii="Times New Roman" w:hAnsi="Times New Roman" w:cs="Times New Roman"/>
        </w:rPr>
        <w:t>FNTP</w:t>
      </w:r>
      <w:r w:rsidR="008E632C" w:rsidDel="008E632C">
        <w:rPr>
          <w:rFonts w:ascii="Times New Roman" w:hAnsi="Times New Roman" w:cs="Times New Roman"/>
        </w:rPr>
        <w:t xml:space="preserve"> </w:t>
      </w:r>
      <w:r w:rsidR="006F32FD">
        <w:rPr>
          <w:rFonts w:ascii="Times New Roman" w:hAnsi="Times New Roman" w:cs="Times New Roman"/>
        </w:rPr>
        <w:t xml:space="preserve">was issued to the EPC contractor was the September 2013 OFPC. </w:t>
      </w:r>
      <w:r w:rsidR="00B21AE8">
        <w:rPr>
          <w:rFonts w:ascii="Times New Roman" w:hAnsi="Times New Roman" w:cs="Times New Roman"/>
        </w:rPr>
        <w:t xml:space="preserve"> </w:t>
      </w:r>
      <w:r w:rsidR="006F32FD">
        <w:rPr>
          <w:rFonts w:ascii="Times New Roman" w:hAnsi="Times New Roman" w:cs="Times New Roman"/>
        </w:rPr>
        <w:t xml:space="preserve">The Company’s analysis of Jim Bridger </w:t>
      </w:r>
      <w:proofErr w:type="spellStart"/>
      <w:r w:rsidR="006F32FD">
        <w:rPr>
          <w:rFonts w:ascii="Times New Roman" w:hAnsi="Times New Roman" w:cs="Times New Roman"/>
        </w:rPr>
        <w:t>SCR</w:t>
      </w:r>
      <w:proofErr w:type="spellEnd"/>
      <w:r w:rsidR="006F32FD">
        <w:rPr>
          <w:rFonts w:ascii="Times New Roman" w:hAnsi="Times New Roman" w:cs="Times New Roman"/>
        </w:rPr>
        <w:t xml:space="preserve"> benefits of </w:t>
      </w:r>
      <w:r w:rsidR="00D24585" w:rsidRPr="003226BD">
        <w:rPr>
          <w:rFonts w:ascii="Times New Roman" w:hAnsi="Times New Roman" w:cs="Times New Roman"/>
          <w:highlight w:val="black"/>
        </w:rPr>
        <w:t>__________</w:t>
      </w:r>
      <w:r w:rsidR="006F32FD">
        <w:rPr>
          <w:rFonts w:ascii="Times New Roman" w:hAnsi="Times New Roman" w:cs="Times New Roman"/>
        </w:rPr>
        <w:t xml:space="preserve"> based on its September 2013 OFPC remains</w:t>
      </w:r>
      <w:r w:rsidR="00393D72">
        <w:rPr>
          <w:rFonts w:ascii="Times New Roman" w:hAnsi="Times New Roman" w:cs="Times New Roman"/>
        </w:rPr>
        <w:t xml:space="preserve"> accurate and valid.</w:t>
      </w:r>
    </w:p>
    <w:p w:rsidR="007F0759" w:rsidRDefault="007F0759" w:rsidP="006F32FD">
      <w:pPr>
        <w:spacing w:line="480" w:lineRule="auto"/>
        <w:ind w:left="720" w:hanging="720"/>
        <w:rPr>
          <w:rFonts w:ascii="Times New Roman" w:hAnsi="Times New Roman" w:cs="Times New Roman"/>
        </w:rPr>
      </w:pPr>
      <w:r>
        <w:rPr>
          <w:rFonts w:ascii="Times New Roman" w:hAnsi="Times New Roman" w:cs="Times New Roman"/>
          <w:b/>
        </w:rPr>
        <w:t>Q.</w:t>
      </w:r>
      <w:r>
        <w:rPr>
          <w:rFonts w:ascii="Times New Roman" w:hAnsi="Times New Roman" w:cs="Times New Roman"/>
          <w:b/>
        </w:rPr>
        <w:tab/>
        <w:t>How do you respond to Sierra Club’s</w:t>
      </w:r>
      <w:r w:rsidR="00014F13">
        <w:rPr>
          <w:rFonts w:ascii="Times New Roman" w:hAnsi="Times New Roman" w:cs="Times New Roman"/>
          <w:b/>
        </w:rPr>
        <w:t xml:space="preserve"> </w:t>
      </w:r>
      <w:r w:rsidR="0057198A">
        <w:rPr>
          <w:rFonts w:ascii="Times New Roman" w:hAnsi="Times New Roman" w:cs="Times New Roman"/>
          <w:b/>
        </w:rPr>
        <w:t>representation</w:t>
      </w:r>
      <w:r w:rsidR="00B168F9">
        <w:rPr>
          <w:rFonts w:ascii="Times New Roman" w:hAnsi="Times New Roman" w:cs="Times New Roman"/>
          <w:b/>
        </w:rPr>
        <w:t xml:space="preserve"> of short-term market forwards available </w:t>
      </w:r>
      <w:r w:rsidR="005B47E4">
        <w:rPr>
          <w:rFonts w:ascii="Times New Roman" w:hAnsi="Times New Roman" w:cs="Times New Roman"/>
          <w:b/>
        </w:rPr>
        <w:t>before</w:t>
      </w:r>
      <w:r w:rsidR="00B168F9">
        <w:rPr>
          <w:rFonts w:ascii="Times New Roman" w:hAnsi="Times New Roman" w:cs="Times New Roman"/>
          <w:b/>
        </w:rPr>
        <w:t xml:space="preserve"> December 1, 2013?</w:t>
      </w:r>
    </w:p>
    <w:p w:rsidR="00014F13" w:rsidRPr="00845A6A" w:rsidRDefault="00014F13" w:rsidP="006F32FD">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B168F9">
        <w:rPr>
          <w:rFonts w:ascii="Times New Roman" w:hAnsi="Times New Roman" w:cs="Times New Roman"/>
        </w:rPr>
        <w:t xml:space="preserve">Sierra Club claims that short-term market forwards available </w:t>
      </w:r>
      <w:r w:rsidR="002E4E79">
        <w:rPr>
          <w:rFonts w:ascii="Times New Roman" w:hAnsi="Times New Roman" w:cs="Times New Roman"/>
        </w:rPr>
        <w:t xml:space="preserve">before </w:t>
      </w:r>
      <w:r w:rsidR="00B168F9">
        <w:rPr>
          <w:rFonts w:ascii="Times New Roman" w:hAnsi="Times New Roman" w:cs="Times New Roman"/>
        </w:rPr>
        <w:t>December 1, 2013</w:t>
      </w:r>
      <w:r w:rsidR="004634F3">
        <w:rPr>
          <w:rFonts w:ascii="Times New Roman" w:hAnsi="Times New Roman" w:cs="Times New Roman"/>
        </w:rPr>
        <w:t>,</w:t>
      </w:r>
      <w:r w:rsidR="00B168F9">
        <w:rPr>
          <w:rFonts w:ascii="Times New Roman" w:hAnsi="Times New Roman" w:cs="Times New Roman"/>
        </w:rPr>
        <w:t xml:space="preserve"> indicated a “rapid change in forward pricing signals.”</w:t>
      </w:r>
      <w:r w:rsidR="00B168F9" w:rsidRPr="00141AC5">
        <w:rPr>
          <w:rStyle w:val="FootnoteReference"/>
          <w:rFonts w:ascii="Times New Roman" w:hAnsi="Times New Roman"/>
        </w:rPr>
        <w:footnoteReference w:id="20"/>
      </w:r>
      <w:r w:rsidR="00B168F9">
        <w:rPr>
          <w:rFonts w:ascii="Times New Roman" w:hAnsi="Times New Roman" w:cs="Times New Roman"/>
        </w:rPr>
        <w:t xml:space="preserve"> </w:t>
      </w:r>
      <w:r w:rsidR="004634F3">
        <w:rPr>
          <w:rFonts w:ascii="Times New Roman" w:hAnsi="Times New Roman" w:cs="Times New Roman"/>
        </w:rPr>
        <w:t xml:space="preserve"> </w:t>
      </w:r>
      <w:r>
        <w:rPr>
          <w:rFonts w:ascii="Times New Roman" w:hAnsi="Times New Roman" w:cs="Times New Roman"/>
        </w:rPr>
        <w:t xml:space="preserve">The Company’s long-term resource planning decisions are based on long-term price forecasts.  While short-term </w:t>
      </w:r>
      <w:r w:rsidR="0015657F">
        <w:rPr>
          <w:rFonts w:ascii="Times New Roman" w:hAnsi="Times New Roman" w:cs="Times New Roman"/>
        </w:rPr>
        <w:t xml:space="preserve">market forwards </w:t>
      </w:r>
      <w:r>
        <w:rPr>
          <w:rFonts w:ascii="Times New Roman" w:hAnsi="Times New Roman" w:cs="Times New Roman"/>
        </w:rPr>
        <w:t xml:space="preserve">may have been declining in late 2013, the long-term forecasts were still above the Company’s break-even point when it provided the </w:t>
      </w:r>
      <w:r w:rsidR="008E632C">
        <w:rPr>
          <w:rFonts w:ascii="Times New Roman" w:hAnsi="Times New Roman" w:cs="Times New Roman"/>
        </w:rPr>
        <w:t>FNTP</w:t>
      </w:r>
      <w:r w:rsidR="008E632C" w:rsidDel="008E632C">
        <w:rPr>
          <w:rFonts w:ascii="Times New Roman" w:hAnsi="Times New Roman" w:cs="Times New Roman"/>
        </w:rPr>
        <w:t xml:space="preserve"> </w:t>
      </w:r>
      <w:r w:rsidR="00B168F9">
        <w:rPr>
          <w:rFonts w:ascii="Times New Roman" w:hAnsi="Times New Roman" w:cs="Times New Roman"/>
        </w:rPr>
        <w:t>to the EPC contractor</w:t>
      </w:r>
      <w:r>
        <w:rPr>
          <w:rFonts w:ascii="Times New Roman" w:hAnsi="Times New Roman" w:cs="Times New Roman"/>
        </w:rPr>
        <w:t>.</w:t>
      </w:r>
    </w:p>
    <w:p w:rsidR="00393D72" w:rsidRDefault="00393D72" w:rsidP="00393D72">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Are there other natural gas price considerations parties have neglected </w:t>
      </w:r>
      <w:r w:rsidR="00101B1F">
        <w:rPr>
          <w:rFonts w:ascii="Times New Roman" w:hAnsi="Times New Roman" w:cs="Times New Roman"/>
          <w:b/>
          <w:bCs/>
        </w:rPr>
        <w:t xml:space="preserve">to address </w:t>
      </w:r>
      <w:r>
        <w:rPr>
          <w:rFonts w:ascii="Times New Roman" w:hAnsi="Times New Roman" w:cs="Times New Roman"/>
          <w:b/>
          <w:bCs/>
        </w:rPr>
        <w:t xml:space="preserve">in their analysis of </w:t>
      </w:r>
      <w:r w:rsidR="00101B1F">
        <w:rPr>
          <w:rFonts w:ascii="Times New Roman" w:hAnsi="Times New Roman" w:cs="Times New Roman"/>
          <w:b/>
          <w:bCs/>
        </w:rPr>
        <w:t>the Company’s natural gas price assumptions</w:t>
      </w:r>
      <w:r w:rsidR="000D2154">
        <w:rPr>
          <w:rFonts w:ascii="Times New Roman" w:hAnsi="Times New Roman" w:cs="Times New Roman"/>
          <w:b/>
          <w:bCs/>
        </w:rPr>
        <w:t>?</w:t>
      </w:r>
    </w:p>
    <w:p w:rsidR="004A50CD" w:rsidRDefault="00393D72" w:rsidP="00393D72">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ED747C">
        <w:rPr>
          <w:rFonts w:ascii="Times New Roman" w:hAnsi="Times New Roman" w:cs="Times New Roman"/>
        </w:rPr>
        <w:t xml:space="preserve"> </w:t>
      </w:r>
      <w:r w:rsidR="00101B1F">
        <w:rPr>
          <w:rFonts w:ascii="Times New Roman" w:hAnsi="Times New Roman" w:cs="Times New Roman"/>
        </w:rPr>
        <w:t xml:space="preserve">Staff and Sierra Club focus entirely on base case natural gas price assumptions and how these natural gas price assumptions changed before the Company issued its </w:t>
      </w:r>
      <w:r w:rsidR="008E632C">
        <w:rPr>
          <w:rFonts w:ascii="Times New Roman" w:hAnsi="Times New Roman" w:cs="Times New Roman"/>
        </w:rPr>
        <w:t>FNTP</w:t>
      </w:r>
      <w:r w:rsidR="008E632C" w:rsidDel="008E632C">
        <w:rPr>
          <w:rFonts w:ascii="Times New Roman" w:hAnsi="Times New Roman" w:cs="Times New Roman"/>
        </w:rPr>
        <w:t xml:space="preserve"> </w:t>
      </w:r>
      <w:r w:rsidR="00101B1F">
        <w:rPr>
          <w:rFonts w:ascii="Times New Roman" w:hAnsi="Times New Roman" w:cs="Times New Roman"/>
        </w:rPr>
        <w:t xml:space="preserve">to the EPC contractor. </w:t>
      </w:r>
      <w:r w:rsidR="00BC657E">
        <w:rPr>
          <w:rFonts w:ascii="Times New Roman" w:hAnsi="Times New Roman" w:cs="Times New Roman"/>
        </w:rPr>
        <w:t xml:space="preserve"> </w:t>
      </w:r>
      <w:r w:rsidR="00101B1F">
        <w:rPr>
          <w:rFonts w:ascii="Times New Roman" w:hAnsi="Times New Roman" w:cs="Times New Roman"/>
        </w:rPr>
        <w:t xml:space="preserve">As evidenced by this robust discussion, long-term natural gas price forecasts are inherently uncertain. </w:t>
      </w:r>
      <w:r w:rsidR="00BC657E">
        <w:rPr>
          <w:rFonts w:ascii="Times New Roman" w:hAnsi="Times New Roman" w:cs="Times New Roman"/>
        </w:rPr>
        <w:t xml:space="preserve"> </w:t>
      </w:r>
      <w:r w:rsidR="00101B1F">
        <w:rPr>
          <w:rFonts w:ascii="Times New Roman" w:hAnsi="Times New Roman" w:cs="Times New Roman"/>
        </w:rPr>
        <w:t xml:space="preserve">Because natural gas price assumptions are </w:t>
      </w:r>
      <w:r w:rsidR="00D71795">
        <w:rPr>
          <w:rFonts w:ascii="Times New Roman" w:hAnsi="Times New Roman" w:cs="Times New Roman"/>
        </w:rPr>
        <w:t xml:space="preserve">uncertain and </w:t>
      </w:r>
      <w:r w:rsidR="00101B1F">
        <w:rPr>
          <w:rFonts w:ascii="Times New Roman" w:hAnsi="Times New Roman" w:cs="Times New Roman"/>
        </w:rPr>
        <w:t xml:space="preserve">important </w:t>
      </w:r>
      <w:r w:rsidR="00D71795">
        <w:rPr>
          <w:rFonts w:ascii="Times New Roman" w:hAnsi="Times New Roman" w:cs="Times New Roman"/>
        </w:rPr>
        <w:t xml:space="preserve">in evaluating </w:t>
      </w:r>
      <w:r w:rsidR="004F0006">
        <w:rPr>
          <w:rFonts w:ascii="Times New Roman" w:hAnsi="Times New Roman" w:cs="Times New Roman"/>
        </w:rPr>
        <w:t>R</w:t>
      </w:r>
      <w:r w:rsidR="00D71795">
        <w:rPr>
          <w:rFonts w:ascii="Times New Roman" w:hAnsi="Times New Roman" w:cs="Times New Roman"/>
        </w:rPr>
        <w:t xml:space="preserve">egional </w:t>
      </w:r>
      <w:r w:rsidR="004F0006">
        <w:rPr>
          <w:rFonts w:ascii="Times New Roman" w:hAnsi="Times New Roman" w:cs="Times New Roman"/>
        </w:rPr>
        <w:t>H</w:t>
      </w:r>
      <w:r w:rsidR="00D71795">
        <w:rPr>
          <w:rFonts w:ascii="Times New Roman" w:hAnsi="Times New Roman" w:cs="Times New Roman"/>
        </w:rPr>
        <w:t>aze compliance alternatives for Jim Bridger Unit</w:t>
      </w:r>
      <w:r w:rsidR="0029040C">
        <w:rPr>
          <w:rFonts w:ascii="Times New Roman" w:hAnsi="Times New Roman" w:cs="Times New Roman"/>
        </w:rPr>
        <w:t>s</w:t>
      </w:r>
      <w:r w:rsidR="00D71795">
        <w:rPr>
          <w:rFonts w:ascii="Times New Roman" w:hAnsi="Times New Roman" w:cs="Times New Roman"/>
        </w:rPr>
        <w:t xml:space="preserve"> 3 and 4, the Company’s analysis considered a range of natural gas price forecasts to inform its decision to install </w:t>
      </w:r>
      <w:r w:rsidR="00320A4F">
        <w:rPr>
          <w:rFonts w:ascii="Times New Roman" w:hAnsi="Times New Roman" w:cs="Times New Roman"/>
        </w:rPr>
        <w:t>the S</w:t>
      </w:r>
      <w:r w:rsidR="00D71795">
        <w:rPr>
          <w:rFonts w:ascii="Times New Roman" w:hAnsi="Times New Roman" w:cs="Times New Roman"/>
        </w:rPr>
        <w:t xml:space="preserve">CR </w:t>
      </w:r>
      <w:r w:rsidR="008710F7">
        <w:rPr>
          <w:rFonts w:ascii="Times New Roman" w:hAnsi="Times New Roman" w:cs="Times New Roman"/>
        </w:rPr>
        <w:t>systems</w:t>
      </w:r>
      <w:r w:rsidR="00D71795">
        <w:rPr>
          <w:rFonts w:ascii="Times New Roman" w:hAnsi="Times New Roman" w:cs="Times New Roman"/>
        </w:rPr>
        <w:t xml:space="preserve">. </w:t>
      </w:r>
      <w:r w:rsidR="00BC657E">
        <w:rPr>
          <w:rFonts w:ascii="Times New Roman" w:hAnsi="Times New Roman" w:cs="Times New Roman"/>
        </w:rPr>
        <w:t xml:space="preserve"> </w:t>
      </w:r>
      <w:r w:rsidR="00D71795">
        <w:rPr>
          <w:rFonts w:ascii="Times New Roman" w:hAnsi="Times New Roman" w:cs="Times New Roman"/>
        </w:rPr>
        <w:t>Both Staff and Sierra Club fail to recognize this uncertainty by focusing their analysis solely on forecasted base case natural gas price assumptions.</w:t>
      </w:r>
    </w:p>
    <w:p w:rsidR="004A50CD" w:rsidRDefault="004A50CD" w:rsidP="004A50CD">
      <w:pPr>
        <w:spacing w:line="480" w:lineRule="auto"/>
        <w:ind w:left="720" w:hanging="720"/>
        <w:rPr>
          <w:rFonts w:ascii="Times New Roman" w:hAnsi="Times New Roman" w:cs="Times New Roman"/>
          <w:b/>
          <w:bCs/>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What are the implications of ignoring natural gas price uncertainty?</w:t>
      </w:r>
    </w:p>
    <w:p w:rsidR="00F62308" w:rsidRDefault="004A50CD" w:rsidP="004A50C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F62308">
        <w:rPr>
          <w:rFonts w:ascii="Times New Roman" w:hAnsi="Times New Roman" w:cs="Times New Roman"/>
        </w:rPr>
        <w:t>An a</w:t>
      </w:r>
      <w:r w:rsidR="0078626D">
        <w:rPr>
          <w:rFonts w:ascii="Times New Roman" w:hAnsi="Times New Roman" w:cs="Times New Roman"/>
        </w:rPr>
        <w:t xml:space="preserve">nalysis that focuses entirely on base forecasts assumes that either the assumption is not critical to the analysis or that the </w:t>
      </w:r>
      <w:r w:rsidR="00F62308">
        <w:rPr>
          <w:rFonts w:ascii="Times New Roman" w:hAnsi="Times New Roman" w:cs="Times New Roman"/>
        </w:rPr>
        <w:t xml:space="preserve">forecast </w:t>
      </w:r>
      <w:r w:rsidR="0078626D">
        <w:rPr>
          <w:rFonts w:ascii="Times New Roman" w:hAnsi="Times New Roman" w:cs="Times New Roman"/>
        </w:rPr>
        <w:t xml:space="preserve">assumption is known with a high degree of certainty. </w:t>
      </w:r>
      <w:r w:rsidR="00BC657E">
        <w:rPr>
          <w:rFonts w:ascii="Times New Roman" w:hAnsi="Times New Roman" w:cs="Times New Roman"/>
        </w:rPr>
        <w:t xml:space="preserve"> </w:t>
      </w:r>
      <w:r w:rsidR="0078626D">
        <w:rPr>
          <w:rFonts w:ascii="Times New Roman" w:hAnsi="Times New Roman" w:cs="Times New Roman"/>
        </w:rPr>
        <w:t>As documented in my direct testimony, natural gas price assumptions are an important driver to the Jim Bridger Unit</w:t>
      </w:r>
      <w:r w:rsidR="0029040C">
        <w:rPr>
          <w:rFonts w:ascii="Times New Roman" w:hAnsi="Times New Roman" w:cs="Times New Roman"/>
        </w:rPr>
        <w:t>s</w:t>
      </w:r>
      <w:r w:rsidR="0078626D">
        <w:rPr>
          <w:rFonts w:ascii="Times New Roman" w:hAnsi="Times New Roman" w:cs="Times New Roman"/>
        </w:rPr>
        <w:t xml:space="preserve"> 3 and 4 </w:t>
      </w:r>
      <w:proofErr w:type="spellStart"/>
      <w:r w:rsidR="0015657F">
        <w:rPr>
          <w:rFonts w:ascii="Times New Roman" w:hAnsi="Times New Roman" w:cs="Times New Roman"/>
        </w:rPr>
        <w:t>SCR</w:t>
      </w:r>
      <w:proofErr w:type="spellEnd"/>
      <w:r w:rsidR="0078626D">
        <w:rPr>
          <w:rFonts w:ascii="Times New Roman" w:hAnsi="Times New Roman" w:cs="Times New Roman"/>
        </w:rPr>
        <w:t xml:space="preserve"> </w:t>
      </w:r>
      <w:proofErr w:type="gramStart"/>
      <w:r w:rsidR="0078626D">
        <w:rPr>
          <w:rFonts w:ascii="Times New Roman" w:hAnsi="Times New Roman" w:cs="Times New Roman"/>
        </w:rPr>
        <w:t>analysis</w:t>
      </w:r>
      <w:proofErr w:type="gramEnd"/>
      <w:r w:rsidR="0078626D">
        <w:rPr>
          <w:rFonts w:ascii="Times New Roman" w:hAnsi="Times New Roman" w:cs="Times New Roman"/>
        </w:rPr>
        <w:t xml:space="preserve">. </w:t>
      </w:r>
      <w:r w:rsidR="00BC657E">
        <w:rPr>
          <w:rFonts w:ascii="Times New Roman" w:hAnsi="Times New Roman" w:cs="Times New Roman"/>
        </w:rPr>
        <w:t xml:space="preserve"> </w:t>
      </w:r>
      <w:r w:rsidR="0078626D">
        <w:rPr>
          <w:rFonts w:ascii="Times New Roman" w:hAnsi="Times New Roman" w:cs="Times New Roman"/>
        </w:rPr>
        <w:t xml:space="preserve">No party contests that natural gas price assumptions are an important factor in the Company’s analysis. </w:t>
      </w:r>
      <w:r w:rsidR="00EC627A">
        <w:rPr>
          <w:rFonts w:ascii="Times New Roman" w:hAnsi="Times New Roman" w:cs="Times New Roman"/>
        </w:rPr>
        <w:t xml:space="preserve"> </w:t>
      </w:r>
      <w:r w:rsidR="00F62308">
        <w:rPr>
          <w:rFonts w:ascii="Times New Roman" w:hAnsi="Times New Roman" w:cs="Times New Roman"/>
        </w:rPr>
        <w:t xml:space="preserve">Sierra Club testifies that “gas prices are highly influential in this analysis” and that the </w:t>
      </w:r>
      <w:r w:rsidR="0078626D">
        <w:rPr>
          <w:rFonts w:ascii="Times New Roman" w:hAnsi="Times New Roman" w:cs="Times New Roman"/>
        </w:rPr>
        <w:t>Company “demonstrates in RTL-9C, there is a direct correlation between gas prices and value of the decision to retrofit Bridger 3 &amp; 4.”</w:t>
      </w:r>
      <w:r w:rsidR="0078626D">
        <w:rPr>
          <w:rStyle w:val="FootnoteReference"/>
          <w:rFonts w:ascii="Times New Roman" w:hAnsi="Times New Roman"/>
        </w:rPr>
        <w:footnoteReference w:id="21"/>
      </w:r>
      <w:r w:rsidR="0078626D">
        <w:rPr>
          <w:rFonts w:ascii="Times New Roman" w:hAnsi="Times New Roman" w:cs="Times New Roman"/>
        </w:rPr>
        <w:t xml:space="preserve"> </w:t>
      </w:r>
      <w:r w:rsidR="00BC657E">
        <w:rPr>
          <w:rFonts w:ascii="Times New Roman" w:hAnsi="Times New Roman" w:cs="Times New Roman"/>
        </w:rPr>
        <w:t xml:space="preserve"> </w:t>
      </w:r>
      <w:r w:rsidR="0078626D">
        <w:rPr>
          <w:rFonts w:ascii="Times New Roman" w:hAnsi="Times New Roman" w:cs="Times New Roman"/>
        </w:rPr>
        <w:t xml:space="preserve">Moreover, no party testifies that future natural gas price </w:t>
      </w:r>
      <w:r w:rsidR="00F62308">
        <w:rPr>
          <w:rFonts w:ascii="Times New Roman" w:hAnsi="Times New Roman" w:cs="Times New Roman"/>
        </w:rPr>
        <w:t>projections are certain</w:t>
      </w:r>
      <w:r w:rsidR="0078626D">
        <w:rPr>
          <w:rFonts w:ascii="Times New Roman" w:hAnsi="Times New Roman" w:cs="Times New Roman"/>
        </w:rPr>
        <w:t>.</w:t>
      </w:r>
      <w:r w:rsidR="00F62308">
        <w:rPr>
          <w:rFonts w:ascii="Times New Roman" w:hAnsi="Times New Roman" w:cs="Times New Roman"/>
        </w:rPr>
        <w:t xml:space="preserve"> </w:t>
      </w:r>
    </w:p>
    <w:p w:rsidR="007B4C43" w:rsidRDefault="00F62308" w:rsidP="00F62308">
      <w:pPr>
        <w:spacing w:line="480" w:lineRule="auto"/>
        <w:ind w:left="720" w:firstLine="720"/>
        <w:rPr>
          <w:rFonts w:ascii="Times New Roman" w:hAnsi="Times New Roman" w:cs="Times New Roman"/>
        </w:rPr>
      </w:pPr>
      <w:r>
        <w:rPr>
          <w:rFonts w:ascii="Times New Roman" w:hAnsi="Times New Roman" w:cs="Times New Roman"/>
        </w:rPr>
        <w:t>Both Staff and Sierra Club perform flawed analysis recommending adjustments to the Company’s analysis as if long-term base case forecasts for natural prices are fixed.</w:t>
      </w:r>
      <w:r w:rsidR="008B0849">
        <w:rPr>
          <w:rFonts w:ascii="Times New Roman" w:hAnsi="Times New Roman" w:cs="Times New Roman"/>
        </w:rPr>
        <w:t xml:space="preserve"> </w:t>
      </w:r>
      <w:r>
        <w:rPr>
          <w:rFonts w:ascii="Times New Roman" w:hAnsi="Times New Roman" w:cs="Times New Roman"/>
        </w:rPr>
        <w:t xml:space="preserve"> </w:t>
      </w:r>
      <w:r w:rsidR="007B4C43">
        <w:rPr>
          <w:rFonts w:ascii="Times New Roman" w:hAnsi="Times New Roman" w:cs="Times New Roman"/>
        </w:rPr>
        <w:t xml:space="preserve">In addition to the errors in their analysis, </w:t>
      </w:r>
      <w:r w:rsidR="00127FE0">
        <w:rPr>
          <w:rFonts w:ascii="Times New Roman" w:hAnsi="Times New Roman" w:cs="Times New Roman"/>
        </w:rPr>
        <w:t>Staff and Sierra Club fail</w:t>
      </w:r>
      <w:r>
        <w:rPr>
          <w:rFonts w:ascii="Times New Roman" w:hAnsi="Times New Roman" w:cs="Times New Roman"/>
        </w:rPr>
        <w:t xml:space="preserve"> to recognize that even </w:t>
      </w:r>
      <w:r w:rsidR="00127FE0">
        <w:rPr>
          <w:rFonts w:ascii="Times New Roman" w:hAnsi="Times New Roman" w:cs="Times New Roman"/>
        </w:rPr>
        <w:t>though</w:t>
      </w:r>
      <w:r>
        <w:rPr>
          <w:rFonts w:ascii="Times New Roman" w:hAnsi="Times New Roman" w:cs="Times New Roman"/>
        </w:rPr>
        <w:t xml:space="preserve"> </w:t>
      </w:r>
      <w:r w:rsidR="00127FE0">
        <w:rPr>
          <w:rFonts w:ascii="Times New Roman" w:hAnsi="Times New Roman" w:cs="Times New Roman"/>
        </w:rPr>
        <w:t xml:space="preserve">natural gas price </w:t>
      </w:r>
      <w:r>
        <w:rPr>
          <w:rFonts w:ascii="Times New Roman" w:hAnsi="Times New Roman" w:cs="Times New Roman"/>
        </w:rPr>
        <w:t xml:space="preserve">forecasts were falling </w:t>
      </w:r>
      <w:r w:rsidR="00AE6F0E">
        <w:rPr>
          <w:rFonts w:ascii="Times New Roman" w:hAnsi="Times New Roman" w:cs="Times New Roman"/>
        </w:rPr>
        <w:t>in 2013</w:t>
      </w:r>
      <w:r>
        <w:rPr>
          <w:rFonts w:ascii="Times New Roman" w:hAnsi="Times New Roman" w:cs="Times New Roman"/>
        </w:rPr>
        <w:t xml:space="preserve">, actual natural gas prices will fluctuate from any forecast over </w:t>
      </w:r>
      <w:r w:rsidR="00127FE0">
        <w:rPr>
          <w:rFonts w:ascii="Times New Roman" w:hAnsi="Times New Roman" w:cs="Times New Roman"/>
        </w:rPr>
        <w:t xml:space="preserve">time. </w:t>
      </w:r>
      <w:r w:rsidR="00AE6F0E">
        <w:rPr>
          <w:rFonts w:ascii="Times New Roman" w:hAnsi="Times New Roman" w:cs="Times New Roman"/>
        </w:rPr>
        <w:t xml:space="preserve"> </w:t>
      </w:r>
      <w:r w:rsidR="00127FE0">
        <w:rPr>
          <w:rFonts w:ascii="Times New Roman" w:hAnsi="Times New Roman" w:cs="Times New Roman"/>
        </w:rPr>
        <w:t>This narrow mindset ignores the fact that the Company informed its decision to install SCR</w:t>
      </w:r>
      <w:r w:rsidR="00CD0EFA">
        <w:rPr>
          <w:rFonts w:ascii="Times New Roman" w:hAnsi="Times New Roman" w:cs="Times New Roman"/>
        </w:rPr>
        <w:t>s</w:t>
      </w:r>
      <w:r w:rsidR="00127FE0">
        <w:rPr>
          <w:rFonts w:ascii="Times New Roman" w:hAnsi="Times New Roman" w:cs="Times New Roman"/>
        </w:rPr>
        <w:t xml:space="preserve"> at Jim Bridger Unit</w:t>
      </w:r>
      <w:r w:rsidR="0029040C">
        <w:rPr>
          <w:rFonts w:ascii="Times New Roman" w:hAnsi="Times New Roman" w:cs="Times New Roman"/>
        </w:rPr>
        <w:t>s</w:t>
      </w:r>
      <w:r w:rsidR="00127FE0">
        <w:rPr>
          <w:rFonts w:ascii="Times New Roman" w:hAnsi="Times New Roman" w:cs="Times New Roman"/>
        </w:rPr>
        <w:t xml:space="preserve"> 3 and 4 </w:t>
      </w:r>
      <w:r w:rsidR="007B4C43">
        <w:rPr>
          <w:rFonts w:ascii="Times New Roman" w:hAnsi="Times New Roman" w:cs="Times New Roman"/>
        </w:rPr>
        <w:t>using</w:t>
      </w:r>
      <w:r w:rsidR="00127FE0">
        <w:rPr>
          <w:rFonts w:ascii="Times New Roman" w:hAnsi="Times New Roman" w:cs="Times New Roman"/>
        </w:rPr>
        <w:t xml:space="preserve"> base case assumptions and scenario analysis</w:t>
      </w:r>
      <w:r w:rsidR="007B4C43">
        <w:rPr>
          <w:rFonts w:ascii="Times New Roman" w:hAnsi="Times New Roman" w:cs="Times New Roman"/>
        </w:rPr>
        <w:t>, as presented in my direct testimony,</w:t>
      </w:r>
      <w:r w:rsidR="00127FE0">
        <w:rPr>
          <w:rFonts w:ascii="Times New Roman" w:hAnsi="Times New Roman" w:cs="Times New Roman"/>
        </w:rPr>
        <w:t xml:space="preserve"> </w:t>
      </w:r>
      <w:r w:rsidR="00AE5648">
        <w:rPr>
          <w:rFonts w:ascii="Times New Roman" w:hAnsi="Times New Roman" w:cs="Times New Roman"/>
        </w:rPr>
        <w:t>which</w:t>
      </w:r>
      <w:r w:rsidR="007B4C43">
        <w:rPr>
          <w:rFonts w:ascii="Times New Roman" w:hAnsi="Times New Roman" w:cs="Times New Roman"/>
        </w:rPr>
        <w:t xml:space="preserve"> captures </w:t>
      </w:r>
      <w:r w:rsidR="00127FE0">
        <w:rPr>
          <w:rFonts w:ascii="Times New Roman" w:hAnsi="Times New Roman" w:cs="Times New Roman"/>
        </w:rPr>
        <w:t>uncertainty in natural gas prices and CO</w:t>
      </w:r>
      <w:r w:rsidR="00127FE0">
        <w:rPr>
          <w:rFonts w:ascii="Times New Roman" w:hAnsi="Times New Roman" w:cs="Times New Roman"/>
          <w:vertAlign w:val="subscript"/>
        </w:rPr>
        <w:t>2</w:t>
      </w:r>
      <w:r w:rsidR="00127FE0">
        <w:rPr>
          <w:rFonts w:ascii="Times New Roman" w:hAnsi="Times New Roman" w:cs="Times New Roman"/>
        </w:rPr>
        <w:t xml:space="preserve"> prices.</w:t>
      </w:r>
    </w:p>
    <w:p w:rsidR="00963FC0" w:rsidRDefault="00963FC0" w:rsidP="00963FC0">
      <w:pPr>
        <w:spacing w:line="480" w:lineRule="auto"/>
        <w:ind w:left="720" w:hanging="720"/>
        <w:rPr>
          <w:rFonts w:ascii="Times New Roman" w:hAnsi="Times New Roman" w:cs="Times New Roman"/>
        </w:rPr>
      </w:pPr>
      <w:r>
        <w:rPr>
          <w:rFonts w:ascii="Times New Roman" w:hAnsi="Times New Roman" w:cs="Times New Roman"/>
          <w:b/>
        </w:rPr>
        <w:t>Q.</w:t>
      </w:r>
      <w:r>
        <w:rPr>
          <w:rFonts w:ascii="Times New Roman" w:hAnsi="Times New Roman" w:cs="Times New Roman"/>
          <w:b/>
        </w:rPr>
        <w:tab/>
        <w:t xml:space="preserve">Does Staff object to the Company’s </w:t>
      </w:r>
      <w:r w:rsidR="00B168F9">
        <w:rPr>
          <w:rFonts w:ascii="Times New Roman" w:hAnsi="Times New Roman" w:cs="Times New Roman"/>
          <w:b/>
        </w:rPr>
        <w:t>methodology to calculate break-even natural gas and CO</w:t>
      </w:r>
      <w:r w:rsidR="00B168F9">
        <w:rPr>
          <w:rFonts w:ascii="Times New Roman" w:hAnsi="Times New Roman" w:cs="Times New Roman"/>
          <w:b/>
          <w:vertAlign w:val="subscript"/>
        </w:rPr>
        <w:t xml:space="preserve">2 </w:t>
      </w:r>
      <w:r w:rsidR="00B168F9">
        <w:rPr>
          <w:rFonts w:ascii="Times New Roman" w:hAnsi="Times New Roman" w:cs="Times New Roman"/>
          <w:b/>
        </w:rPr>
        <w:t>prices</w:t>
      </w:r>
      <w:r>
        <w:rPr>
          <w:rFonts w:ascii="Times New Roman" w:hAnsi="Times New Roman" w:cs="Times New Roman"/>
          <w:b/>
        </w:rPr>
        <w:t>?</w:t>
      </w:r>
    </w:p>
    <w:p w:rsidR="00963FC0" w:rsidRDefault="00963FC0" w:rsidP="00963FC0">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320A4F">
        <w:rPr>
          <w:rFonts w:ascii="Times New Roman" w:hAnsi="Times New Roman" w:cs="Times New Roman"/>
        </w:rPr>
        <w:t xml:space="preserve">No.  </w:t>
      </w:r>
      <w:r>
        <w:rPr>
          <w:rFonts w:ascii="Times New Roman" w:hAnsi="Times New Roman" w:cs="Times New Roman"/>
        </w:rPr>
        <w:t xml:space="preserve">Staff agrees with the Company’s methodology, but recommends an adjustment to the results to reflect Staff’s claimed “corrections” based on </w:t>
      </w:r>
      <w:r w:rsidR="0057198A">
        <w:rPr>
          <w:rFonts w:ascii="Times New Roman" w:hAnsi="Times New Roman" w:cs="Times New Roman"/>
        </w:rPr>
        <w:t xml:space="preserve">the use of alternative </w:t>
      </w:r>
      <w:r>
        <w:rPr>
          <w:rFonts w:ascii="Times New Roman" w:hAnsi="Times New Roman" w:cs="Times New Roman"/>
        </w:rPr>
        <w:t>gas price</w:t>
      </w:r>
      <w:r w:rsidR="0057198A">
        <w:rPr>
          <w:rFonts w:ascii="Times New Roman" w:hAnsi="Times New Roman" w:cs="Times New Roman"/>
        </w:rPr>
        <w:t xml:space="preserve"> assumptions</w:t>
      </w:r>
      <w:r>
        <w:rPr>
          <w:rFonts w:ascii="Times New Roman" w:hAnsi="Times New Roman" w:cs="Times New Roman"/>
        </w:rPr>
        <w:t>, coal cost</w:t>
      </w:r>
      <w:r w:rsidR="0057198A">
        <w:rPr>
          <w:rFonts w:ascii="Times New Roman" w:hAnsi="Times New Roman" w:cs="Times New Roman"/>
        </w:rPr>
        <w:t xml:space="preserve"> assumptions</w:t>
      </w:r>
      <w:r>
        <w:rPr>
          <w:rFonts w:ascii="Times New Roman" w:hAnsi="Times New Roman" w:cs="Times New Roman"/>
        </w:rPr>
        <w:t xml:space="preserve">, </w:t>
      </w:r>
      <w:r w:rsidR="0057198A">
        <w:rPr>
          <w:rFonts w:ascii="Times New Roman" w:hAnsi="Times New Roman" w:cs="Times New Roman"/>
        </w:rPr>
        <w:t>unit outage assumptions</w:t>
      </w:r>
      <w:r>
        <w:rPr>
          <w:rFonts w:ascii="Times New Roman" w:hAnsi="Times New Roman" w:cs="Times New Roman"/>
        </w:rPr>
        <w:t>, and EPC contract costs.</w:t>
      </w:r>
      <w:r>
        <w:rPr>
          <w:rStyle w:val="FootnoteReference"/>
          <w:rFonts w:ascii="Times New Roman" w:hAnsi="Times New Roman"/>
        </w:rPr>
        <w:footnoteReference w:id="22"/>
      </w:r>
      <w:r>
        <w:rPr>
          <w:rFonts w:ascii="Times New Roman" w:hAnsi="Times New Roman" w:cs="Times New Roman"/>
        </w:rPr>
        <w:t xml:space="preserve">  Given that Staff’s purported corrections are in error, the Company’s calculated natural gas break-even point of $4.86 per </w:t>
      </w:r>
      <w:proofErr w:type="spellStart"/>
      <w:r>
        <w:rPr>
          <w:rFonts w:ascii="Times New Roman" w:hAnsi="Times New Roman" w:cs="Times New Roman"/>
        </w:rPr>
        <w:t>mmBtu</w:t>
      </w:r>
      <w:proofErr w:type="spellEnd"/>
      <w:r>
        <w:rPr>
          <w:rFonts w:ascii="Times New Roman" w:hAnsi="Times New Roman" w:cs="Times New Roman"/>
        </w:rPr>
        <w:t xml:space="preserve"> remains the valid benchmark by which to measure the reasonableness of the Company’s decision-making. </w:t>
      </w:r>
      <w:r w:rsidR="00576977">
        <w:rPr>
          <w:rFonts w:ascii="Times New Roman" w:hAnsi="Times New Roman" w:cs="Times New Roman"/>
        </w:rPr>
        <w:t xml:space="preserve"> </w:t>
      </w:r>
      <w:r>
        <w:rPr>
          <w:rFonts w:ascii="Times New Roman" w:hAnsi="Times New Roman" w:cs="Times New Roman"/>
        </w:rPr>
        <w:t xml:space="preserve">As set forth above, based on what the Company knew or should have known when it provided the </w:t>
      </w:r>
      <w:r w:rsidR="008E632C">
        <w:rPr>
          <w:rFonts w:ascii="Times New Roman" w:hAnsi="Times New Roman" w:cs="Times New Roman"/>
        </w:rPr>
        <w:t>FNTP</w:t>
      </w:r>
      <w:r w:rsidR="008E632C" w:rsidDel="008E632C">
        <w:rPr>
          <w:rFonts w:ascii="Times New Roman" w:hAnsi="Times New Roman" w:cs="Times New Roman"/>
        </w:rPr>
        <w:t xml:space="preserve"> </w:t>
      </w:r>
      <w:r>
        <w:rPr>
          <w:rFonts w:ascii="Times New Roman" w:hAnsi="Times New Roman" w:cs="Times New Roman"/>
        </w:rPr>
        <w:t xml:space="preserve">to its EPC contractor, the </w:t>
      </w:r>
      <w:r w:rsidR="00DB4CFA">
        <w:rPr>
          <w:rFonts w:ascii="Times New Roman" w:hAnsi="Times New Roman" w:cs="Times New Roman"/>
        </w:rPr>
        <w:t xml:space="preserve">installation of </w:t>
      </w:r>
      <w:r>
        <w:rPr>
          <w:rFonts w:ascii="Times New Roman" w:hAnsi="Times New Roman" w:cs="Times New Roman"/>
        </w:rPr>
        <w:t>SCR</w:t>
      </w:r>
      <w:r w:rsidR="00DB4CFA">
        <w:rPr>
          <w:rFonts w:ascii="Times New Roman" w:hAnsi="Times New Roman" w:cs="Times New Roman"/>
        </w:rPr>
        <w:t>s</w:t>
      </w:r>
      <w:r>
        <w:rPr>
          <w:rFonts w:ascii="Times New Roman" w:hAnsi="Times New Roman" w:cs="Times New Roman"/>
        </w:rPr>
        <w:t xml:space="preserve"> </w:t>
      </w:r>
      <w:r w:rsidR="00DB4CFA">
        <w:rPr>
          <w:rFonts w:ascii="Times New Roman" w:hAnsi="Times New Roman" w:cs="Times New Roman"/>
        </w:rPr>
        <w:t>is</w:t>
      </w:r>
      <w:r>
        <w:rPr>
          <w:rFonts w:ascii="Times New Roman" w:hAnsi="Times New Roman" w:cs="Times New Roman"/>
        </w:rPr>
        <w:t xml:space="preserve"> the least</w:t>
      </w:r>
      <w:r w:rsidR="00576977">
        <w:rPr>
          <w:rFonts w:ascii="Times New Roman" w:hAnsi="Times New Roman" w:cs="Times New Roman"/>
        </w:rPr>
        <w:t>-</w:t>
      </w:r>
      <w:r>
        <w:rPr>
          <w:rFonts w:ascii="Times New Roman" w:hAnsi="Times New Roman" w:cs="Times New Roman"/>
        </w:rPr>
        <w:t xml:space="preserve">cost option for </w:t>
      </w:r>
      <w:r w:rsidR="004F0006">
        <w:rPr>
          <w:rFonts w:ascii="Times New Roman" w:hAnsi="Times New Roman" w:cs="Times New Roman"/>
        </w:rPr>
        <w:t>R</w:t>
      </w:r>
      <w:r>
        <w:rPr>
          <w:rFonts w:ascii="Times New Roman" w:hAnsi="Times New Roman" w:cs="Times New Roman"/>
        </w:rPr>
        <w:t xml:space="preserve">egional </w:t>
      </w:r>
      <w:r w:rsidR="004F0006">
        <w:rPr>
          <w:rFonts w:ascii="Times New Roman" w:hAnsi="Times New Roman" w:cs="Times New Roman"/>
        </w:rPr>
        <w:t>H</w:t>
      </w:r>
      <w:r>
        <w:rPr>
          <w:rFonts w:ascii="Times New Roman" w:hAnsi="Times New Roman" w:cs="Times New Roman"/>
        </w:rPr>
        <w:t>aze compliance.</w:t>
      </w:r>
    </w:p>
    <w:p w:rsidR="00963FC0" w:rsidRPr="00320A4F" w:rsidRDefault="00963FC0" w:rsidP="00963FC0">
      <w:pPr>
        <w:spacing w:line="480" w:lineRule="auto"/>
        <w:ind w:left="720" w:hanging="720"/>
        <w:rPr>
          <w:rFonts w:ascii="Times New Roman" w:hAnsi="Times New Roman" w:cs="Times New Roman"/>
        </w:rPr>
      </w:pPr>
      <w:r w:rsidRPr="00BC44B3">
        <w:rPr>
          <w:rFonts w:ascii="Times New Roman" w:hAnsi="Times New Roman" w:cs="Times New Roman"/>
          <w:b/>
        </w:rPr>
        <w:t>Q.</w:t>
      </w:r>
      <w:r w:rsidRPr="00BC44B3">
        <w:rPr>
          <w:rFonts w:ascii="Times New Roman" w:hAnsi="Times New Roman" w:cs="Times New Roman"/>
          <w:b/>
        </w:rPr>
        <w:tab/>
      </w:r>
      <w:r w:rsidRPr="00320A4F">
        <w:rPr>
          <w:rFonts w:ascii="Times New Roman" w:hAnsi="Times New Roman" w:cs="Times New Roman"/>
          <w:b/>
        </w:rPr>
        <w:t xml:space="preserve">How do you </w:t>
      </w:r>
      <w:r w:rsidR="00DB4CFA">
        <w:rPr>
          <w:rFonts w:ascii="Times New Roman" w:hAnsi="Times New Roman" w:cs="Times New Roman"/>
          <w:b/>
        </w:rPr>
        <w:t>respond to</w:t>
      </w:r>
      <w:r w:rsidRPr="00320A4F">
        <w:rPr>
          <w:rFonts w:ascii="Times New Roman" w:hAnsi="Times New Roman" w:cs="Times New Roman"/>
          <w:b/>
        </w:rPr>
        <w:t xml:space="preserve"> Staff’s </w:t>
      </w:r>
      <w:r w:rsidR="00DB4CFA">
        <w:rPr>
          <w:rFonts w:ascii="Times New Roman" w:hAnsi="Times New Roman" w:cs="Times New Roman"/>
          <w:b/>
        </w:rPr>
        <w:t>summary of the SCR decision-making process as it relates to natural gas price projections</w:t>
      </w:r>
      <w:r w:rsidRPr="00320A4F">
        <w:rPr>
          <w:rFonts w:ascii="Times New Roman" w:hAnsi="Times New Roman" w:cs="Times New Roman"/>
          <w:b/>
        </w:rPr>
        <w:t>?</w:t>
      </w:r>
    </w:p>
    <w:p w:rsidR="00963FC0" w:rsidRPr="00BC44B3" w:rsidRDefault="00963FC0" w:rsidP="00D757FA">
      <w:pPr>
        <w:spacing w:line="480" w:lineRule="auto"/>
        <w:ind w:left="720" w:hanging="720"/>
        <w:rPr>
          <w:rFonts w:ascii="Times New Roman" w:hAnsi="Times New Roman" w:cs="Times New Roman"/>
        </w:rPr>
      </w:pPr>
      <w:r w:rsidRPr="00BC44B3">
        <w:rPr>
          <w:rFonts w:ascii="Times New Roman" w:hAnsi="Times New Roman" w:cs="Times New Roman"/>
        </w:rPr>
        <w:t>A.</w:t>
      </w:r>
      <w:r w:rsidRPr="00BC44B3">
        <w:rPr>
          <w:rFonts w:ascii="Times New Roman" w:hAnsi="Times New Roman" w:cs="Times New Roman"/>
        </w:rPr>
        <w:tab/>
      </w:r>
      <w:r w:rsidR="00DB4CFA">
        <w:rPr>
          <w:rFonts w:ascii="Times New Roman" w:hAnsi="Times New Roman" w:cs="Times New Roman"/>
        </w:rPr>
        <w:t>Staff summarizes the SCR decision-making process as coming down to “two fundamental questions: how cheap would natural gas have to be to make gas conversion cost effective, and how much will natural gas cost?”</w:t>
      </w:r>
      <w:r w:rsidR="00DB4CFA" w:rsidRPr="00141AC5">
        <w:rPr>
          <w:rStyle w:val="FootnoteReference"/>
          <w:rFonts w:ascii="Times New Roman" w:hAnsi="Times New Roman"/>
        </w:rPr>
        <w:footnoteReference w:id="23"/>
      </w:r>
      <w:r w:rsidR="00DB4CFA">
        <w:rPr>
          <w:rFonts w:ascii="Times New Roman" w:hAnsi="Times New Roman" w:cs="Times New Roman"/>
        </w:rPr>
        <w:t xml:space="preserve"> </w:t>
      </w:r>
      <w:r w:rsidR="0029040C">
        <w:rPr>
          <w:rFonts w:ascii="Times New Roman" w:hAnsi="Times New Roman" w:cs="Times New Roman"/>
        </w:rPr>
        <w:t xml:space="preserve"> </w:t>
      </w:r>
      <w:r w:rsidRPr="00BC44B3">
        <w:rPr>
          <w:rFonts w:ascii="Times New Roman" w:hAnsi="Times New Roman" w:cs="Times New Roman"/>
        </w:rPr>
        <w:t xml:space="preserve">As discussed above, the Company’s break-even analysis is sound and demonstrates that natural gas will need to be less than $4.86 per </w:t>
      </w:r>
      <w:proofErr w:type="spellStart"/>
      <w:r w:rsidRPr="00BC44B3">
        <w:rPr>
          <w:rFonts w:ascii="Times New Roman" w:hAnsi="Times New Roman" w:cs="Times New Roman"/>
        </w:rPr>
        <w:t>mmBtu</w:t>
      </w:r>
      <w:proofErr w:type="spellEnd"/>
      <w:r w:rsidRPr="00BC44B3">
        <w:rPr>
          <w:rFonts w:ascii="Times New Roman" w:hAnsi="Times New Roman" w:cs="Times New Roman"/>
        </w:rPr>
        <w:t xml:space="preserve"> for gas conversion to be cost effective.  Based on the information available </w:t>
      </w:r>
      <w:r w:rsidR="00DB4CFA">
        <w:rPr>
          <w:rFonts w:ascii="Times New Roman" w:hAnsi="Times New Roman" w:cs="Times New Roman"/>
        </w:rPr>
        <w:t xml:space="preserve">to the Company throughout its decision-making process, it was reasonable to assume that </w:t>
      </w:r>
      <w:r w:rsidRPr="00BC44B3">
        <w:rPr>
          <w:rFonts w:ascii="Times New Roman" w:hAnsi="Times New Roman" w:cs="Times New Roman"/>
        </w:rPr>
        <w:t xml:space="preserve">long-term natural gas </w:t>
      </w:r>
      <w:r w:rsidR="00DB4CFA">
        <w:rPr>
          <w:rFonts w:ascii="Times New Roman" w:hAnsi="Times New Roman" w:cs="Times New Roman"/>
        </w:rPr>
        <w:t xml:space="preserve">prices were </w:t>
      </w:r>
      <w:r w:rsidR="00D757FA">
        <w:rPr>
          <w:rFonts w:ascii="Times New Roman" w:hAnsi="Times New Roman" w:cs="Times New Roman"/>
        </w:rPr>
        <w:t xml:space="preserve">more </w:t>
      </w:r>
      <w:r w:rsidR="00DB4CFA">
        <w:rPr>
          <w:rFonts w:ascii="Times New Roman" w:hAnsi="Times New Roman" w:cs="Times New Roman"/>
        </w:rPr>
        <w:t xml:space="preserve">likely to be equal to or higher than </w:t>
      </w:r>
      <w:r w:rsidRPr="00BC44B3">
        <w:rPr>
          <w:rFonts w:ascii="Times New Roman" w:hAnsi="Times New Roman" w:cs="Times New Roman"/>
        </w:rPr>
        <w:t xml:space="preserve">$4.86 per </w:t>
      </w:r>
      <w:proofErr w:type="spellStart"/>
      <w:r w:rsidRPr="00BC44B3">
        <w:rPr>
          <w:rFonts w:ascii="Times New Roman" w:hAnsi="Times New Roman" w:cs="Times New Roman"/>
        </w:rPr>
        <w:t>mmBtu</w:t>
      </w:r>
      <w:proofErr w:type="spellEnd"/>
      <w:r w:rsidR="00DB4CFA">
        <w:rPr>
          <w:rFonts w:ascii="Times New Roman" w:hAnsi="Times New Roman" w:cs="Times New Roman"/>
        </w:rPr>
        <w:t xml:space="preserve"> than to fall below this break-even price level</w:t>
      </w:r>
      <w:r w:rsidRPr="00BC44B3">
        <w:rPr>
          <w:rFonts w:ascii="Times New Roman" w:hAnsi="Times New Roman" w:cs="Times New Roman"/>
        </w:rPr>
        <w:t>.</w:t>
      </w:r>
    </w:p>
    <w:p w:rsidR="007B4C43" w:rsidRPr="00BC44B3" w:rsidRDefault="007B4C43" w:rsidP="007B4C43">
      <w:pPr>
        <w:spacing w:line="480" w:lineRule="auto"/>
        <w:ind w:left="720" w:hanging="720"/>
        <w:rPr>
          <w:rFonts w:ascii="Times New Roman" w:hAnsi="Times New Roman" w:cs="Times New Roman"/>
          <w:b/>
          <w:bCs/>
        </w:rPr>
      </w:pPr>
      <w:r w:rsidRPr="00BC44B3">
        <w:rPr>
          <w:rFonts w:ascii="Times New Roman" w:hAnsi="Times New Roman" w:cs="Times New Roman"/>
          <w:b/>
          <w:bCs/>
        </w:rPr>
        <w:t>Q.</w:t>
      </w:r>
      <w:r w:rsidRPr="00BC44B3">
        <w:rPr>
          <w:rFonts w:ascii="Times New Roman" w:hAnsi="Times New Roman" w:cs="Times New Roman"/>
          <w:b/>
          <w:bCs/>
        </w:rPr>
        <w:tab/>
        <w:t>Has any party contested the CO</w:t>
      </w:r>
      <w:r w:rsidRPr="00BC44B3">
        <w:rPr>
          <w:rFonts w:ascii="Times New Roman" w:hAnsi="Times New Roman" w:cs="Times New Roman"/>
          <w:b/>
          <w:bCs/>
          <w:vertAlign w:val="subscript"/>
        </w:rPr>
        <w:t>2</w:t>
      </w:r>
      <w:r w:rsidRPr="00BC44B3">
        <w:rPr>
          <w:rFonts w:ascii="Times New Roman" w:hAnsi="Times New Roman" w:cs="Times New Roman"/>
          <w:b/>
          <w:bCs/>
        </w:rPr>
        <w:t xml:space="preserve"> price assumptions applied in </w:t>
      </w:r>
      <w:r w:rsidR="001214C2">
        <w:rPr>
          <w:rFonts w:ascii="Times New Roman" w:hAnsi="Times New Roman" w:cs="Times New Roman"/>
          <w:b/>
          <w:bCs/>
        </w:rPr>
        <w:t>the Company’s</w:t>
      </w:r>
      <w:r w:rsidRPr="00BC44B3">
        <w:rPr>
          <w:rFonts w:ascii="Times New Roman" w:hAnsi="Times New Roman" w:cs="Times New Roman"/>
          <w:b/>
          <w:bCs/>
        </w:rPr>
        <w:t xml:space="preserve"> Jim Bridger SCR analysis?</w:t>
      </w:r>
    </w:p>
    <w:p w:rsidR="00DA1701" w:rsidRPr="00BC44B3" w:rsidRDefault="007B4C43" w:rsidP="007B4C43">
      <w:pPr>
        <w:spacing w:line="480" w:lineRule="auto"/>
        <w:ind w:left="720" w:hanging="720"/>
        <w:rPr>
          <w:rFonts w:ascii="Times New Roman" w:hAnsi="Times New Roman" w:cs="Times New Roman"/>
        </w:rPr>
      </w:pPr>
      <w:r w:rsidRPr="00BC44B3">
        <w:rPr>
          <w:rFonts w:ascii="Times New Roman" w:hAnsi="Times New Roman" w:cs="Times New Roman"/>
        </w:rPr>
        <w:t>A.</w:t>
      </w:r>
      <w:r w:rsidRPr="00BC44B3">
        <w:rPr>
          <w:rFonts w:ascii="Times New Roman" w:hAnsi="Times New Roman" w:cs="Times New Roman"/>
        </w:rPr>
        <w:tab/>
        <w:t>No.</w:t>
      </w:r>
      <w:r w:rsidR="00127FE0" w:rsidRPr="00BC44B3">
        <w:rPr>
          <w:rFonts w:ascii="Times New Roman" w:hAnsi="Times New Roman" w:cs="Times New Roman"/>
        </w:rPr>
        <w:t xml:space="preserve"> </w:t>
      </w:r>
    </w:p>
    <w:p w:rsidR="00246C4C" w:rsidRPr="00045333" w:rsidRDefault="00246C4C" w:rsidP="008F273B">
      <w:pPr>
        <w:pStyle w:val="Heading1"/>
      </w:pPr>
      <w:bookmarkStart w:id="4" w:name="_Toc447715556"/>
      <w:r>
        <w:t>REPLACEMENT POWER COSTS</w:t>
      </w:r>
      <w:bookmarkEnd w:id="4"/>
    </w:p>
    <w:p w:rsidR="00246C4C" w:rsidRDefault="00246C4C" w:rsidP="00246C4C">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DB4357">
        <w:rPr>
          <w:rFonts w:ascii="Times New Roman" w:hAnsi="Times New Roman" w:cs="Times New Roman"/>
          <w:b/>
          <w:bCs/>
        </w:rPr>
        <w:t xml:space="preserve">Please describe </w:t>
      </w:r>
      <w:r w:rsidR="00983DB1">
        <w:rPr>
          <w:rFonts w:ascii="Times New Roman" w:hAnsi="Times New Roman" w:cs="Times New Roman"/>
          <w:b/>
          <w:bCs/>
        </w:rPr>
        <w:t>the</w:t>
      </w:r>
      <w:r w:rsidR="004A4DEC">
        <w:rPr>
          <w:rFonts w:ascii="Times New Roman" w:hAnsi="Times New Roman" w:cs="Times New Roman"/>
          <w:b/>
          <w:bCs/>
        </w:rPr>
        <w:t xml:space="preserve"> </w:t>
      </w:r>
      <w:r w:rsidR="00DB4357">
        <w:rPr>
          <w:rFonts w:ascii="Times New Roman" w:hAnsi="Times New Roman" w:cs="Times New Roman"/>
          <w:b/>
          <w:bCs/>
        </w:rPr>
        <w:t xml:space="preserve">analysis </w:t>
      </w:r>
      <w:r w:rsidR="004A4DEC">
        <w:rPr>
          <w:rFonts w:ascii="Times New Roman" w:hAnsi="Times New Roman" w:cs="Times New Roman"/>
          <w:b/>
          <w:bCs/>
        </w:rPr>
        <w:t xml:space="preserve">Staff </w:t>
      </w:r>
      <w:r w:rsidR="00DB4357">
        <w:rPr>
          <w:rFonts w:ascii="Times New Roman" w:hAnsi="Times New Roman" w:cs="Times New Roman"/>
          <w:b/>
          <w:bCs/>
        </w:rPr>
        <w:t xml:space="preserve">used to </w:t>
      </w:r>
      <w:r w:rsidR="004A4DEC">
        <w:rPr>
          <w:rFonts w:ascii="Times New Roman" w:hAnsi="Times New Roman" w:cs="Times New Roman"/>
          <w:b/>
          <w:bCs/>
        </w:rPr>
        <w:t xml:space="preserve">apply </w:t>
      </w:r>
      <w:r w:rsidR="00DB4357">
        <w:rPr>
          <w:rFonts w:ascii="Times New Roman" w:hAnsi="Times New Roman" w:cs="Times New Roman"/>
          <w:b/>
          <w:bCs/>
        </w:rPr>
        <w:t xml:space="preserve">a replacement power cost adjustment to the Company’s </w:t>
      </w:r>
      <w:r w:rsidR="00CD277C">
        <w:rPr>
          <w:rFonts w:ascii="Times New Roman" w:hAnsi="Times New Roman" w:cs="Times New Roman"/>
          <w:b/>
          <w:bCs/>
        </w:rPr>
        <w:t xml:space="preserve">Jim Bridger SCR </w:t>
      </w:r>
      <w:r w:rsidR="00DB4357">
        <w:rPr>
          <w:rFonts w:ascii="Times New Roman" w:hAnsi="Times New Roman" w:cs="Times New Roman"/>
          <w:b/>
          <w:bCs/>
        </w:rPr>
        <w:t>analysis.</w:t>
      </w:r>
    </w:p>
    <w:p w:rsidR="00246C4C" w:rsidRDefault="00246C4C" w:rsidP="00246C4C">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CD277C">
        <w:rPr>
          <w:rFonts w:ascii="Times New Roman" w:hAnsi="Times New Roman" w:cs="Times New Roman"/>
        </w:rPr>
        <w:t xml:space="preserve">Staff testifies that a two-month outage is required for the natural gas conversion </w:t>
      </w:r>
      <w:r w:rsidR="00116099">
        <w:rPr>
          <w:rFonts w:ascii="Times New Roman" w:hAnsi="Times New Roman" w:cs="Times New Roman"/>
        </w:rPr>
        <w:t>and</w:t>
      </w:r>
      <w:r w:rsidR="00CD277C">
        <w:rPr>
          <w:rFonts w:ascii="Times New Roman" w:hAnsi="Times New Roman" w:cs="Times New Roman"/>
        </w:rPr>
        <w:t xml:space="preserve"> the SCR compliance scenarios</w:t>
      </w:r>
      <w:r w:rsidR="00116099">
        <w:rPr>
          <w:rFonts w:ascii="Times New Roman" w:hAnsi="Times New Roman" w:cs="Times New Roman"/>
        </w:rPr>
        <w:t>.</w:t>
      </w:r>
      <w:r w:rsidR="00983DB1">
        <w:rPr>
          <w:rStyle w:val="FootnoteReference"/>
          <w:rFonts w:ascii="Times New Roman" w:hAnsi="Times New Roman"/>
        </w:rPr>
        <w:footnoteReference w:id="24"/>
      </w:r>
      <w:r w:rsidR="00116099">
        <w:rPr>
          <w:rFonts w:ascii="Times New Roman" w:hAnsi="Times New Roman" w:cs="Times New Roman"/>
        </w:rPr>
        <w:t xml:space="preserve"> </w:t>
      </w:r>
      <w:r w:rsidR="00BC657E">
        <w:rPr>
          <w:rFonts w:ascii="Times New Roman" w:hAnsi="Times New Roman" w:cs="Times New Roman"/>
        </w:rPr>
        <w:t xml:space="preserve"> </w:t>
      </w:r>
      <w:r w:rsidR="00116099">
        <w:rPr>
          <w:rFonts w:ascii="Times New Roman" w:hAnsi="Times New Roman" w:cs="Times New Roman"/>
        </w:rPr>
        <w:t>Staff</w:t>
      </w:r>
      <w:r w:rsidR="00CD277C">
        <w:rPr>
          <w:rFonts w:ascii="Times New Roman" w:hAnsi="Times New Roman" w:cs="Times New Roman"/>
        </w:rPr>
        <w:t xml:space="preserve"> asserts that </w:t>
      </w:r>
      <w:r w:rsidR="004B22C9">
        <w:rPr>
          <w:rFonts w:ascii="Times New Roman" w:hAnsi="Times New Roman" w:cs="Times New Roman"/>
        </w:rPr>
        <w:t>given differences in timing of these outages, the Company’s analysis assigns replacement power costs to the gas conversi</w:t>
      </w:r>
      <w:r w:rsidR="00AE5657">
        <w:rPr>
          <w:rFonts w:ascii="Times New Roman" w:hAnsi="Times New Roman" w:cs="Times New Roman"/>
        </w:rPr>
        <w:t xml:space="preserve">on case that are not in the SCRs </w:t>
      </w:r>
      <w:r w:rsidR="004B22C9">
        <w:rPr>
          <w:rFonts w:ascii="Times New Roman" w:hAnsi="Times New Roman" w:cs="Times New Roman"/>
        </w:rPr>
        <w:t>case.</w:t>
      </w:r>
      <w:r w:rsidR="00264386">
        <w:rPr>
          <w:rStyle w:val="FootnoteReference"/>
          <w:rFonts w:ascii="Times New Roman" w:hAnsi="Times New Roman"/>
        </w:rPr>
        <w:footnoteReference w:id="25"/>
      </w:r>
      <w:r w:rsidR="0066439E">
        <w:rPr>
          <w:rFonts w:ascii="Times New Roman" w:hAnsi="Times New Roman" w:cs="Times New Roman"/>
        </w:rPr>
        <w:t xml:space="preserve"> </w:t>
      </w:r>
      <w:r w:rsidR="00BC657E">
        <w:rPr>
          <w:rFonts w:ascii="Times New Roman" w:hAnsi="Times New Roman" w:cs="Times New Roman"/>
        </w:rPr>
        <w:t xml:space="preserve"> </w:t>
      </w:r>
      <w:r w:rsidR="0066439E">
        <w:rPr>
          <w:rFonts w:ascii="Times New Roman" w:hAnsi="Times New Roman" w:cs="Times New Roman"/>
        </w:rPr>
        <w:t xml:space="preserve">Staff notes that </w:t>
      </w:r>
      <w:r w:rsidR="006264CB">
        <w:rPr>
          <w:rFonts w:ascii="Times New Roman" w:hAnsi="Times New Roman" w:cs="Times New Roman"/>
        </w:rPr>
        <w:t xml:space="preserve">while </w:t>
      </w:r>
      <w:r w:rsidR="0066439E">
        <w:rPr>
          <w:rFonts w:ascii="Times New Roman" w:hAnsi="Times New Roman" w:cs="Times New Roman"/>
        </w:rPr>
        <w:t xml:space="preserve">the Company’s analysis assumes a spring outage for the SCR case, </w:t>
      </w:r>
      <w:r w:rsidR="006264CB">
        <w:rPr>
          <w:rFonts w:ascii="Times New Roman" w:hAnsi="Times New Roman" w:cs="Times New Roman"/>
        </w:rPr>
        <w:t>actual plans scheduled completion of the SCR</w:t>
      </w:r>
      <w:r w:rsidR="00AE5657">
        <w:rPr>
          <w:rFonts w:ascii="Times New Roman" w:hAnsi="Times New Roman" w:cs="Times New Roman"/>
        </w:rPr>
        <w:t>s</w:t>
      </w:r>
      <w:r w:rsidR="002A47D5">
        <w:rPr>
          <w:rFonts w:ascii="Times New Roman" w:hAnsi="Times New Roman" w:cs="Times New Roman"/>
        </w:rPr>
        <w:t xml:space="preserve"> </w:t>
      </w:r>
      <w:r w:rsidR="006264CB">
        <w:rPr>
          <w:rFonts w:ascii="Times New Roman" w:hAnsi="Times New Roman" w:cs="Times New Roman"/>
        </w:rPr>
        <w:t>during a fall outage</w:t>
      </w:r>
      <w:r w:rsidR="0066439E">
        <w:rPr>
          <w:rFonts w:ascii="Times New Roman" w:hAnsi="Times New Roman" w:cs="Times New Roman"/>
        </w:rPr>
        <w:t>.</w:t>
      </w:r>
    </w:p>
    <w:p w:rsidR="00116099" w:rsidRDefault="00116099" w:rsidP="00116099">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Please describe the timing of outages assumed in the Company’s analysis.</w:t>
      </w:r>
    </w:p>
    <w:p w:rsidR="00116099" w:rsidRDefault="00116099" w:rsidP="0011609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D214A1">
        <w:rPr>
          <w:rFonts w:ascii="Times New Roman" w:hAnsi="Times New Roman" w:cs="Times New Roman"/>
        </w:rPr>
        <w:t xml:space="preserve">The Company’s analysis assumes that work </w:t>
      </w:r>
      <w:r w:rsidR="0066439E">
        <w:rPr>
          <w:rFonts w:ascii="Times New Roman" w:hAnsi="Times New Roman" w:cs="Times New Roman"/>
        </w:rPr>
        <w:t xml:space="preserve">needed to complete a </w:t>
      </w:r>
      <w:r w:rsidR="00D214A1">
        <w:rPr>
          <w:rFonts w:ascii="Times New Roman" w:hAnsi="Times New Roman" w:cs="Times New Roman"/>
        </w:rPr>
        <w:t>gas conversion</w:t>
      </w:r>
      <w:r w:rsidR="0066439E">
        <w:rPr>
          <w:rFonts w:ascii="Times New Roman" w:hAnsi="Times New Roman" w:cs="Times New Roman"/>
        </w:rPr>
        <w:t xml:space="preserve"> would require </w:t>
      </w:r>
      <w:r w:rsidR="00D214A1">
        <w:rPr>
          <w:rFonts w:ascii="Times New Roman" w:hAnsi="Times New Roman" w:cs="Times New Roman"/>
        </w:rPr>
        <w:t xml:space="preserve">Jim Bridger Unit 3 </w:t>
      </w:r>
      <w:r w:rsidR="0066439E">
        <w:rPr>
          <w:rFonts w:ascii="Times New Roman" w:hAnsi="Times New Roman" w:cs="Times New Roman"/>
        </w:rPr>
        <w:t xml:space="preserve">to </w:t>
      </w:r>
      <w:r w:rsidR="00D214A1">
        <w:rPr>
          <w:rFonts w:ascii="Times New Roman" w:hAnsi="Times New Roman" w:cs="Times New Roman"/>
        </w:rPr>
        <w:t xml:space="preserve">be taken offline in January and February 2016 and </w:t>
      </w:r>
      <w:r w:rsidR="0066439E">
        <w:rPr>
          <w:rFonts w:ascii="Times New Roman" w:hAnsi="Times New Roman" w:cs="Times New Roman"/>
        </w:rPr>
        <w:t>require</w:t>
      </w:r>
      <w:r w:rsidR="00D214A1">
        <w:rPr>
          <w:rFonts w:ascii="Times New Roman" w:hAnsi="Times New Roman" w:cs="Times New Roman"/>
        </w:rPr>
        <w:t xml:space="preserve"> Jim Bridger Unit 4 </w:t>
      </w:r>
      <w:r w:rsidR="0066439E">
        <w:rPr>
          <w:rFonts w:ascii="Times New Roman" w:hAnsi="Times New Roman" w:cs="Times New Roman"/>
        </w:rPr>
        <w:t xml:space="preserve">to </w:t>
      </w:r>
      <w:r w:rsidR="00D214A1">
        <w:rPr>
          <w:rFonts w:ascii="Times New Roman" w:hAnsi="Times New Roman" w:cs="Times New Roman"/>
        </w:rPr>
        <w:t xml:space="preserve">be taken offline in January and February 2017. </w:t>
      </w:r>
      <w:r w:rsidR="00E20F23">
        <w:rPr>
          <w:rFonts w:ascii="Times New Roman" w:hAnsi="Times New Roman" w:cs="Times New Roman"/>
        </w:rPr>
        <w:t xml:space="preserve"> </w:t>
      </w:r>
      <w:r w:rsidR="00D214A1">
        <w:rPr>
          <w:rFonts w:ascii="Times New Roman" w:hAnsi="Times New Roman" w:cs="Times New Roman"/>
        </w:rPr>
        <w:t xml:space="preserve">For the SCR scenario, the Company’s analysis assumes Jim Bridger Unit 3 would be taken offline in April and May 2015 and that Jim Bridger Unit 4 would be taken offline in April and May 2016. </w:t>
      </w:r>
    </w:p>
    <w:p w:rsidR="00116099" w:rsidRDefault="00116099" w:rsidP="00116099">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66439E">
        <w:rPr>
          <w:rFonts w:ascii="Times New Roman" w:hAnsi="Times New Roman" w:cs="Times New Roman"/>
          <w:b/>
          <w:bCs/>
        </w:rPr>
        <w:t xml:space="preserve">Does Staff suggest that </w:t>
      </w:r>
      <w:r w:rsidR="00170135">
        <w:rPr>
          <w:rFonts w:ascii="Times New Roman" w:hAnsi="Times New Roman" w:cs="Times New Roman"/>
          <w:b/>
          <w:bCs/>
        </w:rPr>
        <w:t xml:space="preserve">the Company should have assumed </w:t>
      </w:r>
      <w:r w:rsidR="0066439E">
        <w:rPr>
          <w:rFonts w:ascii="Times New Roman" w:hAnsi="Times New Roman" w:cs="Times New Roman"/>
          <w:b/>
          <w:bCs/>
        </w:rPr>
        <w:t>alternative outage schedules for the gas conversion and SCR cases?</w:t>
      </w:r>
    </w:p>
    <w:p w:rsidR="00CD1BF8" w:rsidRDefault="00116099" w:rsidP="0011609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66439E">
        <w:rPr>
          <w:rFonts w:ascii="Times New Roman" w:hAnsi="Times New Roman" w:cs="Times New Roman"/>
        </w:rPr>
        <w:t>Yes.</w:t>
      </w:r>
      <w:r w:rsidR="000419BD">
        <w:rPr>
          <w:rFonts w:ascii="Times New Roman" w:hAnsi="Times New Roman" w:cs="Times New Roman"/>
        </w:rPr>
        <w:t xml:space="preserve"> </w:t>
      </w:r>
      <w:r w:rsidR="0066439E">
        <w:rPr>
          <w:rFonts w:ascii="Times New Roman" w:hAnsi="Times New Roman" w:cs="Times New Roman"/>
        </w:rPr>
        <w:t xml:space="preserve"> </w:t>
      </w:r>
      <w:r w:rsidR="00C0113A">
        <w:rPr>
          <w:rFonts w:ascii="Times New Roman" w:hAnsi="Times New Roman" w:cs="Times New Roman"/>
        </w:rPr>
        <w:t xml:space="preserve">Referencing risk of construction delays that could make Jim Bridger Unit 3 and Unit 4 unavailable for the summer peak </w:t>
      </w:r>
      <w:r w:rsidR="00CD1BF8">
        <w:rPr>
          <w:rFonts w:ascii="Times New Roman" w:hAnsi="Times New Roman" w:cs="Times New Roman"/>
        </w:rPr>
        <w:t xml:space="preserve">load </w:t>
      </w:r>
      <w:r w:rsidR="00C0113A">
        <w:rPr>
          <w:rFonts w:ascii="Times New Roman" w:hAnsi="Times New Roman" w:cs="Times New Roman"/>
        </w:rPr>
        <w:t xml:space="preserve">period, </w:t>
      </w:r>
      <w:r w:rsidR="0066439E">
        <w:rPr>
          <w:rFonts w:ascii="Times New Roman" w:hAnsi="Times New Roman" w:cs="Times New Roman"/>
        </w:rPr>
        <w:t xml:space="preserve">Staff </w:t>
      </w:r>
      <w:r w:rsidR="00C0113A">
        <w:rPr>
          <w:rFonts w:ascii="Times New Roman" w:hAnsi="Times New Roman" w:cs="Times New Roman"/>
        </w:rPr>
        <w:t>testifies</w:t>
      </w:r>
      <w:r w:rsidR="006264CB">
        <w:rPr>
          <w:rFonts w:ascii="Times New Roman" w:hAnsi="Times New Roman" w:cs="Times New Roman"/>
        </w:rPr>
        <w:t xml:space="preserve"> that </w:t>
      </w:r>
      <w:r w:rsidR="00C0113A">
        <w:rPr>
          <w:rFonts w:ascii="Times New Roman" w:hAnsi="Times New Roman" w:cs="Times New Roman"/>
        </w:rPr>
        <w:t>the Company’s internal schedule for an SCR</w:t>
      </w:r>
      <w:r w:rsidR="00AE5657">
        <w:rPr>
          <w:rFonts w:ascii="Times New Roman" w:hAnsi="Times New Roman" w:cs="Times New Roman"/>
        </w:rPr>
        <w:t>-related</w:t>
      </w:r>
      <w:r w:rsidR="00C0113A">
        <w:rPr>
          <w:rFonts w:ascii="Times New Roman" w:hAnsi="Times New Roman" w:cs="Times New Roman"/>
        </w:rPr>
        <w:t xml:space="preserve"> outage in fall 2015 and 2016 is </w:t>
      </w:r>
      <w:r w:rsidR="00CD1BF8">
        <w:rPr>
          <w:rFonts w:ascii="Times New Roman" w:hAnsi="Times New Roman" w:cs="Times New Roman"/>
        </w:rPr>
        <w:t>reasonable</w:t>
      </w:r>
      <w:r w:rsidR="00C0113A">
        <w:rPr>
          <w:rFonts w:ascii="Times New Roman" w:hAnsi="Times New Roman" w:cs="Times New Roman"/>
        </w:rPr>
        <w:t>.</w:t>
      </w:r>
      <w:r w:rsidR="003F0E97">
        <w:rPr>
          <w:rStyle w:val="FootnoteReference"/>
          <w:rFonts w:ascii="Times New Roman" w:hAnsi="Times New Roman"/>
        </w:rPr>
        <w:footnoteReference w:id="26"/>
      </w:r>
      <w:r w:rsidR="00C0113A">
        <w:rPr>
          <w:rFonts w:ascii="Times New Roman" w:hAnsi="Times New Roman" w:cs="Times New Roman"/>
        </w:rPr>
        <w:t xml:space="preserve"> </w:t>
      </w:r>
      <w:r w:rsidR="00BC657E">
        <w:rPr>
          <w:rFonts w:ascii="Times New Roman" w:hAnsi="Times New Roman" w:cs="Times New Roman"/>
        </w:rPr>
        <w:t xml:space="preserve"> </w:t>
      </w:r>
      <w:r w:rsidR="0017716A">
        <w:rPr>
          <w:rFonts w:ascii="Times New Roman" w:hAnsi="Times New Roman" w:cs="Times New Roman"/>
        </w:rPr>
        <w:t>Staff concludes that if a fall outage is appropriate for the SCR case</w:t>
      </w:r>
      <w:r w:rsidR="00CD1BF8">
        <w:rPr>
          <w:rFonts w:ascii="Times New Roman" w:hAnsi="Times New Roman" w:cs="Times New Roman"/>
        </w:rPr>
        <w:t xml:space="preserve">, then a fall outage </w:t>
      </w:r>
      <w:r w:rsidR="00B921F6">
        <w:rPr>
          <w:rFonts w:ascii="Times New Roman" w:hAnsi="Times New Roman" w:cs="Times New Roman"/>
        </w:rPr>
        <w:t xml:space="preserve">should be economically </w:t>
      </w:r>
      <w:r w:rsidR="00CD1BF8">
        <w:rPr>
          <w:rFonts w:ascii="Times New Roman" w:hAnsi="Times New Roman" w:cs="Times New Roman"/>
        </w:rPr>
        <w:t>optimal for a gas conversion alternative.</w:t>
      </w:r>
      <w:r w:rsidR="00402134">
        <w:rPr>
          <w:rStyle w:val="FootnoteReference"/>
          <w:rFonts w:ascii="Times New Roman" w:hAnsi="Times New Roman"/>
        </w:rPr>
        <w:footnoteReference w:id="27"/>
      </w:r>
    </w:p>
    <w:p w:rsidR="00CD1BF8" w:rsidRDefault="00CD1BF8" w:rsidP="00CD1BF8">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sidR="001A3669">
        <w:rPr>
          <w:rFonts w:ascii="Times New Roman" w:hAnsi="Times New Roman" w:cs="Times New Roman"/>
          <w:b/>
          <w:bCs/>
        </w:rPr>
        <w:t>How did</w:t>
      </w:r>
      <w:r w:rsidR="00B921F6">
        <w:rPr>
          <w:rFonts w:ascii="Times New Roman" w:hAnsi="Times New Roman" w:cs="Times New Roman"/>
          <w:b/>
          <w:bCs/>
        </w:rPr>
        <w:t xml:space="preserve"> Staff calculate </w:t>
      </w:r>
      <w:r w:rsidR="001A3669">
        <w:rPr>
          <w:rFonts w:ascii="Times New Roman" w:hAnsi="Times New Roman" w:cs="Times New Roman"/>
          <w:b/>
          <w:bCs/>
        </w:rPr>
        <w:t xml:space="preserve">its proposed </w:t>
      </w:r>
      <w:r w:rsidR="00B921F6">
        <w:rPr>
          <w:rFonts w:ascii="Times New Roman" w:hAnsi="Times New Roman" w:cs="Times New Roman"/>
          <w:b/>
          <w:bCs/>
        </w:rPr>
        <w:t xml:space="preserve">adjustments to the Company’s analysis based on these </w:t>
      </w:r>
      <w:r w:rsidR="001A3669">
        <w:rPr>
          <w:rFonts w:ascii="Times New Roman" w:hAnsi="Times New Roman" w:cs="Times New Roman"/>
          <w:b/>
          <w:bCs/>
        </w:rPr>
        <w:t>alternative outage schedule assumptions</w:t>
      </w:r>
      <w:r>
        <w:rPr>
          <w:rFonts w:ascii="Times New Roman" w:hAnsi="Times New Roman" w:cs="Times New Roman"/>
          <w:b/>
          <w:bCs/>
        </w:rPr>
        <w:t>?</w:t>
      </w:r>
    </w:p>
    <w:p w:rsidR="005E79DC" w:rsidRDefault="00CD1BF8" w:rsidP="0088738E">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D761AA">
        <w:rPr>
          <w:rFonts w:ascii="Times New Roman" w:hAnsi="Times New Roman" w:cs="Times New Roman"/>
        </w:rPr>
        <w:t xml:space="preserve">Staff </w:t>
      </w:r>
      <w:r w:rsidR="00E70695">
        <w:rPr>
          <w:rFonts w:ascii="Times New Roman" w:hAnsi="Times New Roman" w:cs="Times New Roman"/>
        </w:rPr>
        <w:t>uses</w:t>
      </w:r>
      <w:r w:rsidR="00D761AA">
        <w:rPr>
          <w:rFonts w:ascii="Times New Roman" w:hAnsi="Times New Roman" w:cs="Times New Roman"/>
        </w:rPr>
        <w:t xml:space="preserve"> </w:t>
      </w:r>
      <w:r w:rsidR="00E70695">
        <w:rPr>
          <w:rFonts w:ascii="Times New Roman" w:hAnsi="Times New Roman" w:cs="Times New Roman"/>
        </w:rPr>
        <w:t xml:space="preserve">information from the Company’s analysis to calculate </w:t>
      </w:r>
      <w:r w:rsidR="00D761AA">
        <w:rPr>
          <w:rFonts w:ascii="Times New Roman" w:hAnsi="Times New Roman" w:cs="Times New Roman"/>
        </w:rPr>
        <w:t xml:space="preserve">changes in system </w:t>
      </w:r>
      <w:r w:rsidR="00E70695">
        <w:rPr>
          <w:rFonts w:ascii="Times New Roman" w:hAnsi="Times New Roman" w:cs="Times New Roman"/>
        </w:rPr>
        <w:t>variable costs</w:t>
      </w:r>
      <w:r w:rsidR="00D761AA">
        <w:rPr>
          <w:rFonts w:ascii="Times New Roman" w:hAnsi="Times New Roman" w:cs="Times New Roman"/>
        </w:rPr>
        <w:t xml:space="preserve"> </w:t>
      </w:r>
      <w:r w:rsidR="00E70695">
        <w:rPr>
          <w:rFonts w:ascii="Times New Roman" w:hAnsi="Times New Roman" w:cs="Times New Roman"/>
        </w:rPr>
        <w:t xml:space="preserve">between the gas conversion and SCR cases for </w:t>
      </w:r>
      <w:r w:rsidR="00D761AA">
        <w:rPr>
          <w:rFonts w:ascii="Times New Roman" w:hAnsi="Times New Roman" w:cs="Times New Roman"/>
        </w:rPr>
        <w:t>January</w:t>
      </w:r>
      <w:r w:rsidR="00E4363A">
        <w:rPr>
          <w:rFonts w:ascii="Times New Roman" w:hAnsi="Times New Roman" w:cs="Times New Roman"/>
        </w:rPr>
        <w:t xml:space="preserve"> and</w:t>
      </w:r>
      <w:r w:rsidR="00D761AA">
        <w:rPr>
          <w:rFonts w:ascii="Times New Roman" w:hAnsi="Times New Roman" w:cs="Times New Roman"/>
        </w:rPr>
        <w:t xml:space="preserve"> February</w:t>
      </w:r>
      <w:r w:rsidR="00E4363A">
        <w:rPr>
          <w:rFonts w:ascii="Times New Roman" w:hAnsi="Times New Roman" w:cs="Times New Roman"/>
        </w:rPr>
        <w:t xml:space="preserve"> 2016</w:t>
      </w:r>
      <w:r w:rsidR="005E79DC">
        <w:rPr>
          <w:rFonts w:ascii="Times New Roman" w:hAnsi="Times New Roman" w:cs="Times New Roman"/>
        </w:rPr>
        <w:t xml:space="preserve"> to estimate replacement power costs for outage assumptions made for Jim Bridger Unit 3</w:t>
      </w:r>
      <w:r w:rsidR="00E70695">
        <w:rPr>
          <w:rFonts w:ascii="Times New Roman" w:hAnsi="Times New Roman" w:cs="Times New Roman"/>
        </w:rPr>
        <w:t>.</w:t>
      </w:r>
      <w:r w:rsidR="003F0E97">
        <w:rPr>
          <w:rStyle w:val="FootnoteReference"/>
          <w:rFonts w:ascii="Times New Roman" w:hAnsi="Times New Roman"/>
        </w:rPr>
        <w:footnoteReference w:id="28"/>
      </w:r>
      <w:r w:rsidR="00E70695">
        <w:rPr>
          <w:rFonts w:ascii="Times New Roman" w:hAnsi="Times New Roman" w:cs="Times New Roman"/>
        </w:rPr>
        <w:t xml:space="preserve"> </w:t>
      </w:r>
      <w:r w:rsidR="00BC657E">
        <w:rPr>
          <w:rFonts w:ascii="Times New Roman" w:hAnsi="Times New Roman" w:cs="Times New Roman"/>
        </w:rPr>
        <w:t xml:space="preserve"> </w:t>
      </w:r>
      <w:r w:rsidR="00E70695">
        <w:rPr>
          <w:rFonts w:ascii="Times New Roman" w:hAnsi="Times New Roman" w:cs="Times New Roman"/>
        </w:rPr>
        <w:t xml:space="preserve">Staff represents that this calculation </w:t>
      </w:r>
      <w:r w:rsidR="0088738E">
        <w:rPr>
          <w:rFonts w:ascii="Times New Roman" w:hAnsi="Times New Roman" w:cs="Times New Roman"/>
        </w:rPr>
        <w:t>is an estimate of</w:t>
      </w:r>
      <w:r w:rsidR="00E70695">
        <w:rPr>
          <w:rFonts w:ascii="Times New Roman" w:hAnsi="Times New Roman" w:cs="Times New Roman"/>
        </w:rPr>
        <w:t xml:space="preserve"> the incremental replacement power cost that was inappropriately assigned to the gas conversion scenario on the basis that the Jim Bridger Unit 3 gas conversion outage should </w:t>
      </w:r>
      <w:r w:rsidR="005E79DC">
        <w:rPr>
          <w:rFonts w:ascii="Times New Roman" w:hAnsi="Times New Roman" w:cs="Times New Roman"/>
        </w:rPr>
        <w:t xml:space="preserve">have been assumed to occur in </w:t>
      </w:r>
      <w:r w:rsidR="00D757FA">
        <w:rPr>
          <w:rFonts w:ascii="Times New Roman" w:hAnsi="Times New Roman" w:cs="Times New Roman"/>
        </w:rPr>
        <w:t>fall</w:t>
      </w:r>
      <w:r w:rsidR="005E79DC">
        <w:rPr>
          <w:rFonts w:ascii="Times New Roman" w:hAnsi="Times New Roman" w:cs="Times New Roman"/>
        </w:rPr>
        <w:t xml:space="preserve"> 2015, </w:t>
      </w:r>
      <w:r w:rsidR="00E70695">
        <w:rPr>
          <w:rFonts w:ascii="Times New Roman" w:hAnsi="Times New Roman" w:cs="Times New Roman"/>
        </w:rPr>
        <w:t xml:space="preserve">not in January and February 2016. </w:t>
      </w:r>
    </w:p>
    <w:p w:rsidR="005E79DC" w:rsidRDefault="003E7544" w:rsidP="005E79DC">
      <w:pPr>
        <w:spacing w:line="480" w:lineRule="auto"/>
        <w:ind w:left="720" w:firstLine="720"/>
        <w:rPr>
          <w:rFonts w:ascii="Times New Roman" w:hAnsi="Times New Roman" w:cs="Times New Roman"/>
        </w:rPr>
      </w:pPr>
      <w:r>
        <w:rPr>
          <w:rFonts w:ascii="Times New Roman" w:hAnsi="Times New Roman" w:cs="Times New Roman"/>
        </w:rPr>
        <w:t xml:space="preserve">Staff performed a similar calculation </w:t>
      </w:r>
      <w:r w:rsidR="0088738E">
        <w:rPr>
          <w:rFonts w:ascii="Times New Roman" w:hAnsi="Times New Roman" w:cs="Times New Roman"/>
        </w:rPr>
        <w:t xml:space="preserve">using data from </w:t>
      </w:r>
      <w:r>
        <w:rPr>
          <w:rFonts w:ascii="Times New Roman" w:hAnsi="Times New Roman" w:cs="Times New Roman"/>
        </w:rPr>
        <w:t>December 2016, arguing that had gas conversion been completed at the end of November</w:t>
      </w:r>
      <w:r w:rsidR="005E79DC">
        <w:rPr>
          <w:rFonts w:ascii="Times New Roman" w:hAnsi="Times New Roman" w:cs="Times New Roman"/>
        </w:rPr>
        <w:t xml:space="preserve"> 2015</w:t>
      </w:r>
      <w:r>
        <w:rPr>
          <w:rFonts w:ascii="Times New Roman" w:hAnsi="Times New Roman" w:cs="Times New Roman"/>
        </w:rPr>
        <w:t xml:space="preserve">, </w:t>
      </w:r>
      <w:r w:rsidR="0088738E">
        <w:rPr>
          <w:rFonts w:ascii="Times New Roman" w:hAnsi="Times New Roman" w:cs="Times New Roman"/>
        </w:rPr>
        <w:t>replacement power would be needed to offset the loss of low-cost coal-fueled generation from the Jim Bridger plant in December</w:t>
      </w:r>
      <w:r w:rsidR="005E79DC">
        <w:rPr>
          <w:rFonts w:ascii="Times New Roman" w:hAnsi="Times New Roman" w:cs="Times New Roman"/>
        </w:rPr>
        <w:t xml:space="preserve"> 2015</w:t>
      </w:r>
      <w:r w:rsidR="0088738E">
        <w:rPr>
          <w:rFonts w:ascii="Times New Roman" w:hAnsi="Times New Roman" w:cs="Times New Roman"/>
        </w:rPr>
        <w:t>.</w:t>
      </w:r>
      <w:r w:rsidR="003F0E97">
        <w:rPr>
          <w:rStyle w:val="FootnoteReference"/>
          <w:rFonts w:ascii="Times New Roman" w:hAnsi="Times New Roman"/>
        </w:rPr>
        <w:footnoteReference w:id="29"/>
      </w:r>
      <w:r w:rsidR="00BC657E">
        <w:rPr>
          <w:rFonts w:ascii="Times New Roman" w:hAnsi="Times New Roman" w:cs="Times New Roman"/>
        </w:rPr>
        <w:t xml:space="preserve"> </w:t>
      </w:r>
      <w:r w:rsidR="0088738E">
        <w:rPr>
          <w:rFonts w:ascii="Times New Roman" w:hAnsi="Times New Roman" w:cs="Times New Roman"/>
        </w:rPr>
        <w:t xml:space="preserve"> </w:t>
      </w:r>
      <w:r w:rsidR="005E79DC">
        <w:rPr>
          <w:rFonts w:ascii="Times New Roman" w:hAnsi="Times New Roman" w:cs="Times New Roman"/>
        </w:rPr>
        <w:t xml:space="preserve">Staff assumes that its calculations using December 2016 data are representative of costs that would have been incurred in December 2015. </w:t>
      </w:r>
      <w:r w:rsidR="00B85322">
        <w:rPr>
          <w:rFonts w:ascii="Times New Roman" w:hAnsi="Times New Roman" w:cs="Times New Roman"/>
        </w:rPr>
        <w:t xml:space="preserve"> </w:t>
      </w:r>
      <w:r w:rsidR="005E79DC">
        <w:rPr>
          <w:rFonts w:ascii="Times New Roman" w:hAnsi="Times New Roman" w:cs="Times New Roman"/>
        </w:rPr>
        <w:t xml:space="preserve">Staff </w:t>
      </w:r>
      <w:r w:rsidR="0088738E">
        <w:rPr>
          <w:rFonts w:ascii="Times New Roman" w:hAnsi="Times New Roman" w:cs="Times New Roman"/>
        </w:rPr>
        <w:t xml:space="preserve">represents that this calculation partially offsets the incremental replacement power cost it alleges was inappropriately assigned to the gas conversion </w:t>
      </w:r>
      <w:r w:rsidR="005E79DC">
        <w:rPr>
          <w:rFonts w:ascii="Times New Roman" w:hAnsi="Times New Roman" w:cs="Times New Roman"/>
        </w:rPr>
        <w:t>case</w:t>
      </w:r>
      <w:r w:rsidR="00D757FA">
        <w:rPr>
          <w:rFonts w:ascii="Times New Roman" w:hAnsi="Times New Roman" w:cs="Times New Roman"/>
        </w:rPr>
        <w:t xml:space="preserve"> in January and February 2016</w:t>
      </w:r>
      <w:r w:rsidR="005E79DC">
        <w:rPr>
          <w:rFonts w:ascii="Times New Roman" w:hAnsi="Times New Roman" w:cs="Times New Roman"/>
        </w:rPr>
        <w:t>.</w:t>
      </w:r>
    </w:p>
    <w:p w:rsidR="001A3669" w:rsidRDefault="008F273B" w:rsidP="005E79DC">
      <w:pPr>
        <w:spacing w:line="480" w:lineRule="auto"/>
        <w:ind w:left="720" w:firstLine="72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7FD674AC" wp14:editId="6146EE0F">
                <wp:simplePos x="0" y="0"/>
                <wp:positionH relativeFrom="column">
                  <wp:posOffset>180975</wp:posOffset>
                </wp:positionH>
                <wp:positionV relativeFrom="paragraph">
                  <wp:posOffset>-1756410</wp:posOffset>
                </wp:positionV>
                <wp:extent cx="5429250" cy="59055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4292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8" o:spid="_x0000_s1040" type="#_x0000_t202" style="position:absolute;left:0;text-align:left;margin-left:14.25pt;margin-top:-138.3pt;width:427.5pt;height:4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88738E">
        <w:rPr>
          <w:rFonts w:ascii="Times New Roman" w:hAnsi="Times New Roman" w:cs="Times New Roman"/>
        </w:rPr>
        <w:t xml:space="preserve">Staff extrapolates its </w:t>
      </w:r>
      <w:r w:rsidR="005E79DC">
        <w:rPr>
          <w:rFonts w:ascii="Times New Roman" w:hAnsi="Times New Roman" w:cs="Times New Roman"/>
        </w:rPr>
        <w:t xml:space="preserve">replacement power cost </w:t>
      </w:r>
      <w:r w:rsidR="0088738E">
        <w:rPr>
          <w:rFonts w:ascii="Times New Roman" w:hAnsi="Times New Roman" w:cs="Times New Roman"/>
        </w:rPr>
        <w:t xml:space="preserve">calculations </w:t>
      </w:r>
      <w:r w:rsidR="005E79DC">
        <w:rPr>
          <w:rFonts w:ascii="Times New Roman" w:hAnsi="Times New Roman" w:cs="Times New Roman"/>
        </w:rPr>
        <w:t>for Jim Bridger Unit</w:t>
      </w:r>
      <w:r w:rsidR="0029040C">
        <w:rPr>
          <w:rFonts w:ascii="Times New Roman" w:hAnsi="Times New Roman" w:cs="Times New Roman"/>
        </w:rPr>
        <w:t> </w:t>
      </w:r>
      <w:r w:rsidR="005E79DC">
        <w:rPr>
          <w:rFonts w:ascii="Times New Roman" w:hAnsi="Times New Roman" w:cs="Times New Roman"/>
        </w:rPr>
        <w:t xml:space="preserve">3 that were developed using </w:t>
      </w:r>
      <w:r w:rsidR="0088738E">
        <w:rPr>
          <w:rFonts w:ascii="Times New Roman" w:hAnsi="Times New Roman" w:cs="Times New Roman"/>
        </w:rPr>
        <w:t xml:space="preserve">2016 </w:t>
      </w:r>
      <w:r w:rsidR="005E79DC">
        <w:rPr>
          <w:rFonts w:ascii="Times New Roman" w:hAnsi="Times New Roman" w:cs="Times New Roman"/>
        </w:rPr>
        <w:t xml:space="preserve">data </w:t>
      </w:r>
      <w:r w:rsidR="0088738E">
        <w:rPr>
          <w:rFonts w:ascii="Times New Roman" w:hAnsi="Times New Roman" w:cs="Times New Roman"/>
        </w:rPr>
        <w:t xml:space="preserve">to </w:t>
      </w:r>
      <w:r w:rsidR="005E79DC">
        <w:rPr>
          <w:rFonts w:ascii="Times New Roman" w:hAnsi="Times New Roman" w:cs="Times New Roman"/>
        </w:rPr>
        <w:t xml:space="preserve">estimate the impact of outage assumptions applied to Jim Bridger Unit 4 in </w:t>
      </w:r>
      <w:r w:rsidR="0088738E">
        <w:rPr>
          <w:rFonts w:ascii="Times New Roman" w:hAnsi="Times New Roman" w:cs="Times New Roman"/>
        </w:rPr>
        <w:t>2017</w:t>
      </w:r>
      <w:r w:rsidR="005E79DC">
        <w:rPr>
          <w:rFonts w:ascii="Times New Roman" w:hAnsi="Times New Roman" w:cs="Times New Roman"/>
        </w:rPr>
        <w:t xml:space="preserve">. </w:t>
      </w:r>
      <w:r w:rsidR="001D5BB6">
        <w:rPr>
          <w:rFonts w:ascii="Times New Roman" w:hAnsi="Times New Roman" w:cs="Times New Roman"/>
        </w:rPr>
        <w:t xml:space="preserve"> </w:t>
      </w:r>
      <w:r w:rsidR="003959D0">
        <w:rPr>
          <w:rFonts w:ascii="Times New Roman" w:hAnsi="Times New Roman" w:cs="Times New Roman"/>
        </w:rPr>
        <w:t>In extrapolating its calculations to capture the impact of outage assumptions for Jim Bridger Unit 4 in 2017</w:t>
      </w:r>
      <w:r w:rsidR="0088738E">
        <w:rPr>
          <w:rFonts w:ascii="Times New Roman" w:hAnsi="Times New Roman" w:cs="Times New Roman"/>
        </w:rPr>
        <w:t xml:space="preserve">, </w:t>
      </w:r>
      <w:r w:rsidR="003959D0">
        <w:rPr>
          <w:rFonts w:ascii="Times New Roman" w:hAnsi="Times New Roman" w:cs="Times New Roman"/>
        </w:rPr>
        <w:t xml:space="preserve">Staff applied </w:t>
      </w:r>
      <w:r w:rsidR="001A3669">
        <w:rPr>
          <w:rFonts w:ascii="Times New Roman" w:hAnsi="Times New Roman" w:cs="Times New Roman"/>
        </w:rPr>
        <w:t xml:space="preserve">a one-year discount rate adjustment and an </w:t>
      </w:r>
      <w:r w:rsidR="0088738E">
        <w:rPr>
          <w:rFonts w:ascii="Times New Roman" w:hAnsi="Times New Roman" w:cs="Times New Roman"/>
        </w:rPr>
        <w:t>adjust</w:t>
      </w:r>
      <w:r w:rsidR="001A3669">
        <w:rPr>
          <w:rFonts w:ascii="Times New Roman" w:hAnsi="Times New Roman" w:cs="Times New Roman"/>
        </w:rPr>
        <w:t>ment</w:t>
      </w:r>
      <w:r w:rsidR="0088738E">
        <w:rPr>
          <w:rFonts w:ascii="Times New Roman" w:hAnsi="Times New Roman" w:cs="Times New Roman"/>
        </w:rPr>
        <w:t xml:space="preserve"> </w:t>
      </w:r>
      <w:r w:rsidR="003959D0">
        <w:rPr>
          <w:rFonts w:ascii="Times New Roman" w:hAnsi="Times New Roman" w:cs="Times New Roman"/>
        </w:rPr>
        <w:t xml:space="preserve">to account </w:t>
      </w:r>
      <w:r w:rsidR="0088738E">
        <w:rPr>
          <w:rFonts w:ascii="Times New Roman" w:hAnsi="Times New Roman" w:cs="Times New Roman"/>
        </w:rPr>
        <w:t xml:space="preserve">for differences in </w:t>
      </w:r>
      <w:r w:rsidR="001A3669">
        <w:rPr>
          <w:rFonts w:ascii="Times New Roman" w:hAnsi="Times New Roman" w:cs="Times New Roman"/>
        </w:rPr>
        <w:t>capacity factor assumptions between Jim Bridger Unit</w:t>
      </w:r>
      <w:r w:rsidR="004577A0">
        <w:rPr>
          <w:rFonts w:ascii="Times New Roman" w:hAnsi="Times New Roman" w:cs="Times New Roman"/>
        </w:rPr>
        <w:t>s</w:t>
      </w:r>
      <w:r w:rsidR="001A3669">
        <w:rPr>
          <w:rFonts w:ascii="Times New Roman" w:hAnsi="Times New Roman" w:cs="Times New Roman"/>
        </w:rPr>
        <w:t xml:space="preserve"> 3 and 4</w:t>
      </w:r>
      <w:r w:rsidR="003959D0">
        <w:rPr>
          <w:rFonts w:ascii="Times New Roman" w:hAnsi="Times New Roman" w:cs="Times New Roman"/>
        </w:rPr>
        <w:t xml:space="preserve"> to its 2016 results</w:t>
      </w:r>
      <w:r w:rsidR="001A3669">
        <w:rPr>
          <w:rFonts w:ascii="Times New Roman" w:hAnsi="Times New Roman" w:cs="Times New Roman"/>
        </w:rPr>
        <w:t>.</w:t>
      </w:r>
      <w:r w:rsidR="00983DB1">
        <w:rPr>
          <w:rStyle w:val="FootnoteReference"/>
          <w:rFonts w:ascii="Times New Roman" w:hAnsi="Times New Roman"/>
        </w:rPr>
        <w:footnoteReference w:id="30"/>
      </w:r>
    </w:p>
    <w:p w:rsidR="001A3669" w:rsidRDefault="001A3669" w:rsidP="001A3669">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What </w:t>
      </w:r>
      <w:r w:rsidR="003959D0">
        <w:rPr>
          <w:rFonts w:ascii="Times New Roman" w:hAnsi="Times New Roman" w:cs="Times New Roman"/>
          <w:b/>
          <w:bCs/>
        </w:rPr>
        <w:t xml:space="preserve">does </w:t>
      </w:r>
      <w:r>
        <w:rPr>
          <w:rFonts w:ascii="Times New Roman" w:hAnsi="Times New Roman" w:cs="Times New Roman"/>
          <w:b/>
          <w:bCs/>
        </w:rPr>
        <w:t>Staff</w:t>
      </w:r>
      <w:r w:rsidR="003959D0">
        <w:rPr>
          <w:rFonts w:ascii="Times New Roman" w:hAnsi="Times New Roman" w:cs="Times New Roman"/>
          <w:b/>
          <w:bCs/>
        </w:rPr>
        <w:t xml:space="preserve"> conclude from its</w:t>
      </w:r>
      <w:r>
        <w:rPr>
          <w:rFonts w:ascii="Times New Roman" w:hAnsi="Times New Roman" w:cs="Times New Roman"/>
          <w:b/>
          <w:bCs/>
        </w:rPr>
        <w:t xml:space="preserve"> replacement power cost </w:t>
      </w:r>
      <w:r w:rsidR="003959D0">
        <w:rPr>
          <w:rFonts w:ascii="Times New Roman" w:hAnsi="Times New Roman" w:cs="Times New Roman"/>
          <w:b/>
          <w:bCs/>
        </w:rPr>
        <w:t>analysis</w:t>
      </w:r>
      <w:r>
        <w:rPr>
          <w:rFonts w:ascii="Times New Roman" w:hAnsi="Times New Roman" w:cs="Times New Roman"/>
          <w:b/>
          <w:bCs/>
        </w:rPr>
        <w:t>?</w:t>
      </w:r>
    </w:p>
    <w:p w:rsidR="0088738E" w:rsidRDefault="001A3669" w:rsidP="001A366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Staff concludes its analysis supports </w:t>
      </w:r>
      <w:proofErr w:type="gramStart"/>
      <w:r>
        <w:rPr>
          <w:rFonts w:ascii="Times New Roman" w:hAnsi="Times New Roman" w:cs="Times New Roman"/>
        </w:rPr>
        <w:t>an</w:t>
      </w:r>
      <w:proofErr w:type="gramEnd"/>
      <w:r>
        <w:rPr>
          <w:rFonts w:ascii="Times New Roman" w:hAnsi="Times New Roman" w:cs="Times New Roman"/>
        </w:rPr>
        <w:t xml:space="preserve"> </w:t>
      </w:r>
      <w:r w:rsidR="00D24585" w:rsidRPr="003226BD">
        <w:rPr>
          <w:rFonts w:ascii="Times New Roman" w:hAnsi="Times New Roman" w:cs="Times New Roman"/>
          <w:highlight w:val="black"/>
        </w:rPr>
        <w:t>__________</w:t>
      </w:r>
      <w:r>
        <w:rPr>
          <w:rFonts w:ascii="Times New Roman" w:hAnsi="Times New Roman" w:cs="Times New Roman"/>
        </w:rPr>
        <w:t xml:space="preserve"> reduction to SCR benefits in the low natural gas price scenario, a </w:t>
      </w:r>
      <w:r w:rsidR="00D24585" w:rsidRPr="003226BD">
        <w:rPr>
          <w:rFonts w:ascii="Times New Roman" w:hAnsi="Times New Roman" w:cs="Times New Roman"/>
          <w:highlight w:val="black"/>
        </w:rPr>
        <w:t>__________</w:t>
      </w:r>
      <w:r>
        <w:rPr>
          <w:rFonts w:ascii="Times New Roman" w:hAnsi="Times New Roman" w:cs="Times New Roman"/>
        </w:rPr>
        <w:t xml:space="preserve"> reduction to SCR benefits in the base natural gas price scenario, and a </w:t>
      </w:r>
      <w:r w:rsidR="00D24585" w:rsidRPr="003226BD">
        <w:rPr>
          <w:rFonts w:ascii="Times New Roman" w:hAnsi="Times New Roman" w:cs="Times New Roman"/>
          <w:highlight w:val="black"/>
        </w:rPr>
        <w:t>__________</w:t>
      </w:r>
      <w:r>
        <w:rPr>
          <w:rFonts w:ascii="Times New Roman" w:hAnsi="Times New Roman" w:cs="Times New Roman"/>
        </w:rPr>
        <w:t xml:space="preserve"> reduction to </w:t>
      </w:r>
      <w:proofErr w:type="spellStart"/>
      <w:r>
        <w:rPr>
          <w:rFonts w:ascii="Times New Roman" w:hAnsi="Times New Roman" w:cs="Times New Roman"/>
        </w:rPr>
        <w:t>SCR</w:t>
      </w:r>
      <w:proofErr w:type="spellEnd"/>
      <w:r>
        <w:rPr>
          <w:rFonts w:ascii="Times New Roman" w:hAnsi="Times New Roman" w:cs="Times New Roman"/>
        </w:rPr>
        <w:t xml:space="preserve"> benefits in the high natural gas price scenario.</w:t>
      </w:r>
      <w:r w:rsidR="003F0E97">
        <w:rPr>
          <w:rStyle w:val="FootnoteReference"/>
          <w:rFonts w:ascii="Times New Roman" w:hAnsi="Times New Roman"/>
        </w:rPr>
        <w:footnoteReference w:id="31"/>
      </w:r>
      <w:r w:rsidR="00E57118">
        <w:rPr>
          <w:rFonts w:ascii="Times New Roman" w:hAnsi="Times New Roman" w:cs="Times New Roman"/>
        </w:rPr>
        <w:t xml:space="preserve"> </w:t>
      </w:r>
      <w:r w:rsidR="00B85322">
        <w:rPr>
          <w:rFonts w:ascii="Times New Roman" w:hAnsi="Times New Roman" w:cs="Times New Roman"/>
        </w:rPr>
        <w:t xml:space="preserve"> Using </w:t>
      </w:r>
      <w:r w:rsidR="00D757FA">
        <w:rPr>
          <w:rFonts w:ascii="Times New Roman" w:hAnsi="Times New Roman" w:cs="Times New Roman"/>
        </w:rPr>
        <w:t>these</w:t>
      </w:r>
      <w:r w:rsidR="00E57118">
        <w:rPr>
          <w:rFonts w:ascii="Times New Roman" w:hAnsi="Times New Roman" w:cs="Times New Roman"/>
        </w:rPr>
        <w:t xml:space="preserve"> data, Staff applies a </w:t>
      </w:r>
      <w:r w:rsidR="00D24585" w:rsidRPr="003226BD">
        <w:rPr>
          <w:rFonts w:ascii="Times New Roman" w:hAnsi="Times New Roman" w:cs="Times New Roman"/>
          <w:highlight w:val="black"/>
        </w:rPr>
        <w:t>__________</w:t>
      </w:r>
      <w:r w:rsidR="00D24585" w:rsidRPr="00D24585">
        <w:rPr>
          <w:rFonts w:ascii="Times New Roman" w:hAnsi="Times New Roman" w:cs="Times New Roman"/>
          <w:highlight w:val="black"/>
        </w:rPr>
        <w:t>_</w:t>
      </w:r>
      <w:r w:rsidR="00E57118">
        <w:rPr>
          <w:rFonts w:ascii="Times New Roman" w:hAnsi="Times New Roman" w:cs="Times New Roman"/>
        </w:rPr>
        <w:t xml:space="preserve"> downward adjustment to SCR benefits.</w:t>
      </w:r>
      <w:r w:rsidR="00D757FA">
        <w:rPr>
          <w:rStyle w:val="FootnoteReference"/>
          <w:rFonts w:ascii="Times New Roman" w:hAnsi="Times New Roman"/>
        </w:rPr>
        <w:footnoteReference w:id="32"/>
      </w:r>
    </w:p>
    <w:p w:rsidR="00CC05ED" w:rsidRDefault="00CC05ED" w:rsidP="00CC05E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Is Staff’s assessment of the Company’s outage assumptions and resulting adjustment calculations valid?</w:t>
      </w:r>
    </w:p>
    <w:p w:rsidR="00A44854" w:rsidRDefault="00CC05ED" w:rsidP="00CC05E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No.</w:t>
      </w:r>
      <w:r w:rsidR="001D5BB6">
        <w:rPr>
          <w:rFonts w:ascii="Times New Roman" w:hAnsi="Times New Roman" w:cs="Times New Roman"/>
        </w:rPr>
        <w:t xml:space="preserve"> </w:t>
      </w:r>
      <w:r w:rsidR="00CD620D">
        <w:rPr>
          <w:rFonts w:ascii="Times New Roman" w:hAnsi="Times New Roman" w:cs="Times New Roman"/>
        </w:rPr>
        <w:t xml:space="preserve"> </w:t>
      </w:r>
      <w:r w:rsidR="00753368">
        <w:rPr>
          <w:rFonts w:ascii="Times New Roman" w:hAnsi="Times New Roman" w:cs="Times New Roman"/>
        </w:rPr>
        <w:t xml:space="preserve">Staff’s </w:t>
      </w:r>
      <w:r w:rsidR="005549C8">
        <w:rPr>
          <w:rFonts w:ascii="Times New Roman" w:hAnsi="Times New Roman" w:cs="Times New Roman"/>
        </w:rPr>
        <w:t xml:space="preserve">outage scenario assumptions are </w:t>
      </w:r>
      <w:r w:rsidR="00753368">
        <w:rPr>
          <w:rFonts w:ascii="Times New Roman" w:hAnsi="Times New Roman" w:cs="Times New Roman"/>
        </w:rPr>
        <w:t>fundamentally flawed</w:t>
      </w:r>
      <w:r w:rsidR="005549C8">
        <w:rPr>
          <w:rFonts w:ascii="Times New Roman" w:hAnsi="Times New Roman" w:cs="Times New Roman"/>
        </w:rPr>
        <w:t xml:space="preserve"> and its analysis is not valid</w:t>
      </w:r>
      <w:r w:rsidR="00753368">
        <w:rPr>
          <w:rFonts w:ascii="Times New Roman" w:hAnsi="Times New Roman" w:cs="Times New Roman"/>
        </w:rPr>
        <w:t>.</w:t>
      </w:r>
      <w:r w:rsidR="00CD620D">
        <w:rPr>
          <w:rFonts w:ascii="Times New Roman" w:hAnsi="Times New Roman" w:cs="Times New Roman"/>
        </w:rPr>
        <w:t xml:space="preserve"> </w:t>
      </w:r>
      <w:r w:rsidR="00753368">
        <w:rPr>
          <w:rFonts w:ascii="Times New Roman" w:hAnsi="Times New Roman" w:cs="Times New Roman"/>
        </w:rPr>
        <w:t xml:space="preserve"> </w:t>
      </w:r>
      <w:r w:rsidR="005549C8">
        <w:rPr>
          <w:rFonts w:ascii="Times New Roman" w:hAnsi="Times New Roman" w:cs="Times New Roman"/>
        </w:rPr>
        <w:t xml:space="preserve">The Company’s outage assumptions are tied to </w:t>
      </w:r>
      <w:r w:rsidR="004F0006">
        <w:rPr>
          <w:rFonts w:ascii="Times New Roman" w:hAnsi="Times New Roman" w:cs="Times New Roman"/>
        </w:rPr>
        <w:t>R</w:t>
      </w:r>
      <w:r w:rsidR="005549C8">
        <w:rPr>
          <w:rFonts w:ascii="Times New Roman" w:hAnsi="Times New Roman" w:cs="Times New Roman"/>
        </w:rPr>
        <w:t xml:space="preserve">egional </w:t>
      </w:r>
      <w:r w:rsidR="004F0006">
        <w:rPr>
          <w:rFonts w:ascii="Times New Roman" w:hAnsi="Times New Roman" w:cs="Times New Roman"/>
        </w:rPr>
        <w:t>H</w:t>
      </w:r>
      <w:r w:rsidR="005549C8">
        <w:rPr>
          <w:rFonts w:ascii="Times New Roman" w:hAnsi="Times New Roman" w:cs="Times New Roman"/>
        </w:rPr>
        <w:t xml:space="preserve">aze compliance </w:t>
      </w:r>
      <w:r w:rsidR="00C14377">
        <w:rPr>
          <w:rFonts w:ascii="Times New Roman" w:hAnsi="Times New Roman" w:cs="Times New Roman"/>
        </w:rPr>
        <w:t>deadlines</w:t>
      </w:r>
      <w:r w:rsidR="00E40F98">
        <w:rPr>
          <w:rFonts w:ascii="Times New Roman" w:hAnsi="Times New Roman" w:cs="Times New Roman"/>
        </w:rPr>
        <w:t xml:space="preserve">, requiring compliance by the end of 2015 for Jim Bridger Unit 3 and the end of 2016 for Jim Bridger Unit 4. </w:t>
      </w:r>
      <w:r w:rsidR="00CD620D">
        <w:rPr>
          <w:rFonts w:ascii="Times New Roman" w:hAnsi="Times New Roman" w:cs="Times New Roman"/>
        </w:rPr>
        <w:t xml:space="preserve"> </w:t>
      </w:r>
      <w:r w:rsidR="00E40F98">
        <w:rPr>
          <w:rFonts w:ascii="Times New Roman" w:hAnsi="Times New Roman" w:cs="Times New Roman"/>
        </w:rPr>
        <w:t>Given the low operating cost of a coal-fueled generating asset relative to a natural gas-fueled generating asset, the Company appropriately assumes the gas conversion outage would not be scheduled until after the compliance deadline has passed for both Jim Bridger Unit</w:t>
      </w:r>
      <w:r w:rsidR="004577A0">
        <w:rPr>
          <w:rFonts w:ascii="Times New Roman" w:hAnsi="Times New Roman" w:cs="Times New Roman"/>
        </w:rPr>
        <w:t>s</w:t>
      </w:r>
      <w:r w:rsidR="00E40F98">
        <w:rPr>
          <w:rFonts w:ascii="Times New Roman" w:hAnsi="Times New Roman" w:cs="Times New Roman"/>
        </w:rPr>
        <w:t xml:space="preserve"> 3 and 4.</w:t>
      </w:r>
      <w:r w:rsidR="00A44854">
        <w:rPr>
          <w:rFonts w:ascii="Times New Roman" w:hAnsi="Times New Roman" w:cs="Times New Roman"/>
        </w:rPr>
        <w:t xml:space="preserve"> </w:t>
      </w:r>
    </w:p>
    <w:p w:rsidR="006A7A56" w:rsidRDefault="00A44854" w:rsidP="00357C4B">
      <w:pPr>
        <w:spacing w:line="480" w:lineRule="auto"/>
        <w:ind w:left="720" w:firstLine="720"/>
        <w:rPr>
          <w:rFonts w:ascii="Times New Roman" w:hAnsi="Times New Roman" w:cs="Times New Roman"/>
        </w:rPr>
      </w:pPr>
      <w:r>
        <w:rPr>
          <w:rFonts w:ascii="Times New Roman" w:hAnsi="Times New Roman" w:cs="Times New Roman"/>
        </w:rPr>
        <w:t xml:space="preserve">Staff suggests that it is more </w:t>
      </w:r>
      <w:r w:rsidR="00FD3B40">
        <w:rPr>
          <w:rFonts w:ascii="Times New Roman" w:hAnsi="Times New Roman" w:cs="Times New Roman"/>
        </w:rPr>
        <w:t xml:space="preserve">appropriate to schedule a gas conversion outage </w:t>
      </w:r>
      <w:r w:rsidR="002A4F1A">
        <w:rPr>
          <w:rFonts w:ascii="Times New Roman" w:hAnsi="Times New Roman" w:cs="Times New Roman"/>
        </w:rPr>
        <w:t xml:space="preserve">beginning </w:t>
      </w:r>
      <w:r w:rsidR="00E6657D">
        <w:rPr>
          <w:rFonts w:ascii="Times New Roman" w:hAnsi="Times New Roman" w:cs="Times New Roman"/>
        </w:rPr>
        <w:t xml:space="preserve">in </w:t>
      </w:r>
      <w:r w:rsidR="00D757FA">
        <w:rPr>
          <w:rFonts w:ascii="Times New Roman" w:hAnsi="Times New Roman" w:cs="Times New Roman"/>
        </w:rPr>
        <w:t>September</w:t>
      </w:r>
      <w:r w:rsidR="002A4F1A">
        <w:rPr>
          <w:rFonts w:ascii="Times New Roman" w:hAnsi="Times New Roman" w:cs="Times New Roman"/>
        </w:rPr>
        <w:t>—</w:t>
      </w:r>
      <w:r w:rsidR="00D757FA">
        <w:rPr>
          <w:rFonts w:ascii="Times New Roman" w:hAnsi="Times New Roman" w:cs="Times New Roman"/>
        </w:rPr>
        <w:t xml:space="preserve">four </w:t>
      </w:r>
      <w:r w:rsidR="002A4F1A">
        <w:rPr>
          <w:rFonts w:ascii="Times New Roman" w:hAnsi="Times New Roman" w:cs="Times New Roman"/>
        </w:rPr>
        <w:t xml:space="preserve">months before the </w:t>
      </w:r>
      <w:r w:rsidR="004F0006">
        <w:rPr>
          <w:rFonts w:ascii="Times New Roman" w:hAnsi="Times New Roman" w:cs="Times New Roman"/>
        </w:rPr>
        <w:t>R</w:t>
      </w:r>
      <w:r w:rsidR="002A4F1A">
        <w:rPr>
          <w:rFonts w:ascii="Times New Roman" w:hAnsi="Times New Roman" w:cs="Times New Roman"/>
        </w:rPr>
        <w:t xml:space="preserve">egional </w:t>
      </w:r>
      <w:r w:rsidR="004F0006">
        <w:rPr>
          <w:rFonts w:ascii="Times New Roman" w:hAnsi="Times New Roman" w:cs="Times New Roman"/>
        </w:rPr>
        <w:t>H</w:t>
      </w:r>
      <w:r w:rsidR="002A4F1A">
        <w:rPr>
          <w:rFonts w:ascii="Times New Roman" w:hAnsi="Times New Roman" w:cs="Times New Roman"/>
        </w:rPr>
        <w:t>aze compliance deadline.</w:t>
      </w:r>
      <w:r w:rsidR="003F0E97">
        <w:rPr>
          <w:rStyle w:val="FootnoteReference"/>
          <w:rFonts w:ascii="Times New Roman" w:hAnsi="Times New Roman"/>
        </w:rPr>
        <w:footnoteReference w:id="33"/>
      </w:r>
      <w:r w:rsidR="002A4F1A">
        <w:rPr>
          <w:rFonts w:ascii="Times New Roman" w:hAnsi="Times New Roman" w:cs="Times New Roman"/>
        </w:rPr>
        <w:t xml:space="preserve"> </w:t>
      </w:r>
      <w:r w:rsidR="001D5BB6">
        <w:rPr>
          <w:rFonts w:ascii="Times New Roman" w:hAnsi="Times New Roman" w:cs="Times New Roman"/>
        </w:rPr>
        <w:t xml:space="preserve"> </w:t>
      </w:r>
      <w:r w:rsidR="002A4F1A">
        <w:rPr>
          <w:rFonts w:ascii="Times New Roman" w:hAnsi="Times New Roman" w:cs="Times New Roman"/>
        </w:rPr>
        <w:t>At the end of an assumed two</w:t>
      </w:r>
      <w:r w:rsidR="003F0E97">
        <w:rPr>
          <w:rFonts w:ascii="Times New Roman" w:hAnsi="Times New Roman" w:cs="Times New Roman"/>
        </w:rPr>
        <w:t>-</w:t>
      </w:r>
      <w:r w:rsidR="002A4F1A">
        <w:rPr>
          <w:rFonts w:ascii="Times New Roman" w:hAnsi="Times New Roman" w:cs="Times New Roman"/>
        </w:rPr>
        <w:t xml:space="preserve">month outage, the unit would be available to operate beginning in December before the </w:t>
      </w:r>
      <w:r w:rsidR="004F0006">
        <w:rPr>
          <w:rFonts w:ascii="Times New Roman" w:hAnsi="Times New Roman" w:cs="Times New Roman"/>
        </w:rPr>
        <w:t>R</w:t>
      </w:r>
      <w:r w:rsidR="002A4F1A">
        <w:rPr>
          <w:rFonts w:ascii="Times New Roman" w:hAnsi="Times New Roman" w:cs="Times New Roman"/>
        </w:rPr>
        <w:t xml:space="preserve">egional </w:t>
      </w:r>
      <w:r w:rsidR="004F0006">
        <w:rPr>
          <w:rFonts w:ascii="Times New Roman" w:hAnsi="Times New Roman" w:cs="Times New Roman"/>
        </w:rPr>
        <w:t>H</w:t>
      </w:r>
      <w:r w:rsidR="002A4F1A">
        <w:rPr>
          <w:rFonts w:ascii="Times New Roman" w:hAnsi="Times New Roman" w:cs="Times New Roman"/>
        </w:rPr>
        <w:t xml:space="preserve">aze compliance deadline; however, its variable operating costs would be considerably higher </w:t>
      </w:r>
      <w:r w:rsidR="00E5492A">
        <w:rPr>
          <w:rFonts w:ascii="Times New Roman" w:hAnsi="Times New Roman" w:cs="Times New Roman"/>
        </w:rPr>
        <w:t>if</w:t>
      </w:r>
      <w:r w:rsidR="002A4F1A">
        <w:rPr>
          <w:rFonts w:ascii="Times New Roman" w:hAnsi="Times New Roman" w:cs="Times New Roman"/>
        </w:rPr>
        <w:t xml:space="preserve"> the unit is fueled by natural gas. </w:t>
      </w:r>
      <w:r w:rsidR="002E670E">
        <w:rPr>
          <w:rFonts w:ascii="Times New Roman" w:hAnsi="Times New Roman" w:cs="Times New Roman"/>
        </w:rPr>
        <w:t xml:space="preserve"> </w:t>
      </w:r>
      <w:r w:rsidR="002A4F1A">
        <w:rPr>
          <w:rFonts w:ascii="Times New Roman" w:hAnsi="Times New Roman" w:cs="Times New Roman"/>
        </w:rPr>
        <w:t xml:space="preserve">Staff recognizes that there is a cost </w:t>
      </w:r>
      <w:r w:rsidR="00A844FB">
        <w:rPr>
          <w:rFonts w:ascii="Times New Roman" w:hAnsi="Times New Roman" w:cs="Times New Roman"/>
        </w:rPr>
        <w:t>differential between</w:t>
      </w:r>
      <w:r w:rsidR="002A4F1A">
        <w:rPr>
          <w:rFonts w:ascii="Times New Roman" w:hAnsi="Times New Roman" w:cs="Times New Roman"/>
        </w:rPr>
        <w:t xml:space="preserve"> </w:t>
      </w:r>
      <w:r w:rsidR="00A844FB">
        <w:rPr>
          <w:rFonts w:ascii="Times New Roman" w:hAnsi="Times New Roman" w:cs="Times New Roman"/>
        </w:rPr>
        <w:t>coal-fueled operation and gas-fuele</w:t>
      </w:r>
      <w:r w:rsidR="002A4F1A">
        <w:rPr>
          <w:rFonts w:ascii="Times New Roman" w:hAnsi="Times New Roman" w:cs="Times New Roman"/>
        </w:rPr>
        <w:t>d operation</w:t>
      </w:r>
      <w:r w:rsidR="006B32C9">
        <w:rPr>
          <w:rFonts w:ascii="Times New Roman" w:hAnsi="Times New Roman" w:cs="Times New Roman"/>
        </w:rPr>
        <w:t>,</w:t>
      </w:r>
      <w:r w:rsidR="002A4F1A">
        <w:rPr>
          <w:rFonts w:ascii="Times New Roman" w:hAnsi="Times New Roman" w:cs="Times New Roman"/>
        </w:rPr>
        <w:t xml:space="preserve"> as evidenced by its offsetting adjustment that accounts for lost coal-fueled generation in the month of December. </w:t>
      </w:r>
      <w:r w:rsidR="001D5BB6">
        <w:rPr>
          <w:rFonts w:ascii="Times New Roman" w:hAnsi="Times New Roman" w:cs="Times New Roman"/>
        </w:rPr>
        <w:t xml:space="preserve"> </w:t>
      </w:r>
      <w:r w:rsidR="002A4F1A">
        <w:rPr>
          <w:rFonts w:ascii="Times New Roman" w:hAnsi="Times New Roman" w:cs="Times New Roman"/>
        </w:rPr>
        <w:t xml:space="preserve">However, Staff’s analysis is incomplete. </w:t>
      </w:r>
      <w:r w:rsidR="002E670E">
        <w:rPr>
          <w:rFonts w:ascii="Times New Roman" w:hAnsi="Times New Roman" w:cs="Times New Roman"/>
        </w:rPr>
        <w:t xml:space="preserve"> </w:t>
      </w:r>
      <w:r w:rsidR="002A4F1A">
        <w:rPr>
          <w:rFonts w:ascii="Times New Roman" w:hAnsi="Times New Roman" w:cs="Times New Roman"/>
        </w:rPr>
        <w:t xml:space="preserve">Staff </w:t>
      </w:r>
      <w:r w:rsidR="00A844FB">
        <w:rPr>
          <w:rFonts w:ascii="Times New Roman" w:hAnsi="Times New Roman" w:cs="Times New Roman"/>
        </w:rPr>
        <w:t>does not apply a similar offset in its analysis</w:t>
      </w:r>
      <w:r w:rsidR="006341F3">
        <w:rPr>
          <w:rFonts w:ascii="Times New Roman" w:hAnsi="Times New Roman" w:cs="Times New Roman"/>
        </w:rPr>
        <w:t xml:space="preserve"> for its proposed fall outage months</w:t>
      </w:r>
      <w:r w:rsidR="00A844FB">
        <w:rPr>
          <w:rFonts w:ascii="Times New Roman" w:hAnsi="Times New Roman" w:cs="Times New Roman"/>
        </w:rPr>
        <w:t>, failing</w:t>
      </w:r>
      <w:r w:rsidR="002A4F1A">
        <w:rPr>
          <w:rFonts w:ascii="Times New Roman" w:hAnsi="Times New Roman" w:cs="Times New Roman"/>
        </w:rPr>
        <w:t xml:space="preserve"> to recognize that</w:t>
      </w:r>
      <w:r w:rsidR="00A844FB">
        <w:rPr>
          <w:rFonts w:ascii="Times New Roman" w:hAnsi="Times New Roman" w:cs="Times New Roman"/>
        </w:rPr>
        <w:t xml:space="preserve"> if its outage assumptions were applied,</w:t>
      </w:r>
      <w:r w:rsidR="002A4F1A">
        <w:rPr>
          <w:rFonts w:ascii="Times New Roman" w:hAnsi="Times New Roman" w:cs="Times New Roman"/>
        </w:rPr>
        <w:t xml:space="preserve"> </w:t>
      </w:r>
      <w:r w:rsidR="006341F3">
        <w:rPr>
          <w:rFonts w:ascii="Times New Roman" w:hAnsi="Times New Roman" w:cs="Times New Roman"/>
        </w:rPr>
        <w:t xml:space="preserve">the </w:t>
      </w:r>
      <w:r w:rsidR="002A4F1A">
        <w:rPr>
          <w:rFonts w:ascii="Times New Roman" w:hAnsi="Times New Roman" w:cs="Times New Roman"/>
        </w:rPr>
        <w:t xml:space="preserve">low-cost coal-fueled unit would also be offline </w:t>
      </w:r>
      <w:r w:rsidR="00D757FA">
        <w:rPr>
          <w:rFonts w:ascii="Times New Roman" w:hAnsi="Times New Roman" w:cs="Times New Roman"/>
        </w:rPr>
        <w:t xml:space="preserve">from September through </w:t>
      </w:r>
      <w:r w:rsidR="002A4F1A">
        <w:rPr>
          <w:rFonts w:ascii="Times New Roman" w:hAnsi="Times New Roman" w:cs="Times New Roman"/>
        </w:rPr>
        <w:t>November</w:t>
      </w:r>
      <w:r w:rsidR="00A844FB">
        <w:rPr>
          <w:rFonts w:ascii="Times New Roman" w:hAnsi="Times New Roman" w:cs="Times New Roman"/>
        </w:rPr>
        <w:t xml:space="preserve"> when down for maintenance.</w:t>
      </w:r>
      <w:r w:rsidR="00357C4B">
        <w:rPr>
          <w:rFonts w:ascii="Times New Roman" w:hAnsi="Times New Roman" w:cs="Times New Roman"/>
        </w:rPr>
        <w:t xml:space="preserve"> </w:t>
      </w:r>
    </w:p>
    <w:p w:rsidR="006A7A56" w:rsidRDefault="006A7A56" w:rsidP="006A7A56">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How else is Staff’s replacement power cost analysis inaccurate?</w:t>
      </w:r>
    </w:p>
    <w:p w:rsidR="006A7A56" w:rsidRDefault="006A7A56" w:rsidP="00302504">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Staff’s calculations compare how system costs vary between the gas conversion and SCR cases in January and February 2016. </w:t>
      </w:r>
      <w:r w:rsidR="009F3EEA">
        <w:rPr>
          <w:rFonts w:ascii="Times New Roman" w:hAnsi="Times New Roman" w:cs="Times New Roman"/>
        </w:rPr>
        <w:t xml:space="preserve"> </w:t>
      </w:r>
      <w:r>
        <w:rPr>
          <w:rFonts w:ascii="Times New Roman" w:hAnsi="Times New Roman" w:cs="Times New Roman"/>
        </w:rPr>
        <w:t>Over these two months, Jim Bridger Unit 3 is not operating in the gas conversion case because it is assumed to be down for maintenance and operating as a coal-fueled asset in the SCR</w:t>
      </w:r>
      <w:r w:rsidR="006B32C9">
        <w:rPr>
          <w:rFonts w:ascii="Times New Roman" w:hAnsi="Times New Roman" w:cs="Times New Roman"/>
        </w:rPr>
        <w:t xml:space="preserve"> </w:t>
      </w:r>
      <w:r>
        <w:rPr>
          <w:rFonts w:ascii="Times New Roman" w:hAnsi="Times New Roman" w:cs="Times New Roman"/>
        </w:rPr>
        <w:t xml:space="preserve">case. </w:t>
      </w:r>
      <w:r w:rsidR="0054258D">
        <w:rPr>
          <w:rFonts w:ascii="Times New Roman" w:hAnsi="Times New Roman" w:cs="Times New Roman"/>
        </w:rPr>
        <w:t xml:space="preserve"> </w:t>
      </w:r>
      <w:r>
        <w:rPr>
          <w:rFonts w:ascii="Times New Roman" w:hAnsi="Times New Roman" w:cs="Times New Roman"/>
        </w:rPr>
        <w:t>To calculate the impact of moving the gas conversion outage to the fall in the prior year, the correct comparison for January and February 2016 would be to evaluate changes in system costs between a case where the unit is off-line and a case where the unit was operating as a gas-fueled asset—not a coal-fueled asset.</w:t>
      </w:r>
      <w:r w:rsidR="009F0153">
        <w:rPr>
          <w:rFonts w:ascii="Times New Roman" w:hAnsi="Times New Roman" w:cs="Times New Roman"/>
        </w:rPr>
        <w:t xml:space="preserve"> </w:t>
      </w:r>
      <w:r>
        <w:rPr>
          <w:rFonts w:ascii="Times New Roman" w:hAnsi="Times New Roman" w:cs="Times New Roman"/>
        </w:rPr>
        <w:t xml:space="preserve"> Jim Bridger Unit 3 would not likely dispatch as a gas-fueled asset in January and February due to its higher operating costs relative to market. </w:t>
      </w:r>
      <w:r w:rsidR="009F0153">
        <w:rPr>
          <w:rFonts w:ascii="Times New Roman" w:hAnsi="Times New Roman" w:cs="Times New Roman"/>
        </w:rPr>
        <w:t xml:space="preserve"> </w:t>
      </w:r>
      <w:r w:rsidR="00BE1730">
        <w:rPr>
          <w:rFonts w:ascii="Times New Roman" w:hAnsi="Times New Roman" w:cs="Times New Roman"/>
        </w:rPr>
        <w:t>In fact, the Company’s analysis projects that as a gas-fueled asset, Jim Bridger Unit</w:t>
      </w:r>
      <w:r w:rsidR="004577A0">
        <w:rPr>
          <w:rFonts w:ascii="Times New Roman" w:hAnsi="Times New Roman" w:cs="Times New Roman"/>
        </w:rPr>
        <w:t>s</w:t>
      </w:r>
      <w:r w:rsidR="00BE1730">
        <w:rPr>
          <w:rFonts w:ascii="Times New Roman" w:hAnsi="Times New Roman" w:cs="Times New Roman"/>
        </w:rPr>
        <w:t xml:space="preserve"> 3 and 4 would operate as peaking </w:t>
      </w:r>
      <w:r w:rsidR="00E57118">
        <w:rPr>
          <w:rFonts w:ascii="Times New Roman" w:hAnsi="Times New Roman" w:cs="Times New Roman"/>
        </w:rPr>
        <w:t>assets</w:t>
      </w:r>
      <w:r w:rsidR="00BE1730">
        <w:rPr>
          <w:rFonts w:ascii="Times New Roman" w:hAnsi="Times New Roman" w:cs="Times New Roman"/>
        </w:rPr>
        <w:t xml:space="preserve">, dispatching primarily, if not exclusively, during the summer. </w:t>
      </w:r>
      <w:r w:rsidR="009F3EEA">
        <w:rPr>
          <w:rFonts w:ascii="Times New Roman" w:hAnsi="Times New Roman" w:cs="Times New Roman"/>
        </w:rPr>
        <w:t xml:space="preserve"> </w:t>
      </w:r>
      <w:r w:rsidR="00BE1730">
        <w:rPr>
          <w:rFonts w:ascii="Times New Roman" w:hAnsi="Times New Roman" w:cs="Times New Roman"/>
        </w:rPr>
        <w:t xml:space="preserve">If Jim Bridger Unit 3 were not dispatched as a gas-fueled asset in January and February, then there would be no difference between the gas-fueled case and the case where the unit is assumed to </w:t>
      </w:r>
      <w:r w:rsidR="00D757FA">
        <w:rPr>
          <w:rFonts w:ascii="Times New Roman" w:hAnsi="Times New Roman" w:cs="Times New Roman"/>
        </w:rPr>
        <w:t xml:space="preserve">be </w:t>
      </w:r>
      <w:r w:rsidR="00BE1730">
        <w:rPr>
          <w:rFonts w:ascii="Times New Roman" w:hAnsi="Times New Roman" w:cs="Times New Roman"/>
        </w:rPr>
        <w:t>offline for maintenance</w:t>
      </w:r>
      <w:r w:rsidR="00D757FA">
        <w:rPr>
          <w:rFonts w:ascii="Times New Roman" w:hAnsi="Times New Roman" w:cs="Times New Roman"/>
        </w:rPr>
        <w:t xml:space="preserve"> in January and February</w:t>
      </w:r>
      <w:r w:rsidR="00BE1730">
        <w:rPr>
          <w:rFonts w:ascii="Times New Roman" w:hAnsi="Times New Roman" w:cs="Times New Roman"/>
        </w:rPr>
        <w:t xml:space="preserve">. </w:t>
      </w:r>
      <w:r w:rsidR="009F3EEA">
        <w:rPr>
          <w:rFonts w:ascii="Times New Roman" w:hAnsi="Times New Roman" w:cs="Times New Roman"/>
        </w:rPr>
        <w:t xml:space="preserve"> </w:t>
      </w:r>
      <w:r w:rsidR="00BE1730">
        <w:rPr>
          <w:rFonts w:ascii="Times New Roman" w:hAnsi="Times New Roman" w:cs="Times New Roman"/>
        </w:rPr>
        <w:t xml:space="preserve">This would eliminate </w:t>
      </w:r>
      <w:proofErr w:type="gramStart"/>
      <w:r w:rsidR="006B32C9">
        <w:rPr>
          <w:rFonts w:ascii="Times New Roman" w:hAnsi="Times New Roman" w:cs="Times New Roman"/>
        </w:rPr>
        <w:t>all of the</w:t>
      </w:r>
      <w:proofErr w:type="gramEnd"/>
      <w:r w:rsidR="00BE1730">
        <w:rPr>
          <w:rFonts w:ascii="Times New Roman" w:hAnsi="Times New Roman" w:cs="Times New Roman"/>
        </w:rPr>
        <w:t xml:space="preserve"> replacement power differential erroneously assumed by Staff.</w:t>
      </w:r>
    </w:p>
    <w:p w:rsidR="00BE1730" w:rsidRDefault="008F273B" w:rsidP="00BE1730">
      <w:pPr>
        <w:spacing w:line="480" w:lineRule="auto"/>
        <w:ind w:left="720" w:hanging="72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5648" behindDoc="0" locked="0" layoutInCell="1" allowOverlap="1" wp14:anchorId="79278DC9" wp14:editId="7D775E23">
                <wp:simplePos x="0" y="0"/>
                <wp:positionH relativeFrom="column">
                  <wp:posOffset>676275</wp:posOffset>
                </wp:positionH>
                <wp:positionV relativeFrom="paragraph">
                  <wp:posOffset>-4464685</wp:posOffset>
                </wp:positionV>
                <wp:extent cx="4867275" cy="52387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86727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41" type="#_x0000_t202" style="position:absolute;left:0;text-align:left;margin-left:53.25pt;margin-top:-351.55pt;width:383.25pt;height:41.2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BE1730" w:rsidRPr="0053680D">
        <w:rPr>
          <w:rFonts w:ascii="Times New Roman" w:hAnsi="Times New Roman" w:cs="Times New Roman"/>
          <w:b/>
          <w:bCs/>
        </w:rPr>
        <w:t>Q.</w:t>
      </w:r>
      <w:r w:rsidR="00BE1730" w:rsidRPr="0053680D">
        <w:rPr>
          <w:rFonts w:ascii="Times New Roman" w:hAnsi="Times New Roman" w:cs="Times New Roman"/>
          <w:b/>
          <w:bCs/>
        </w:rPr>
        <w:tab/>
      </w:r>
      <w:r w:rsidR="00BE1730">
        <w:rPr>
          <w:rFonts w:ascii="Times New Roman" w:hAnsi="Times New Roman" w:cs="Times New Roman"/>
          <w:b/>
          <w:bCs/>
        </w:rPr>
        <w:t>What do you conclude from Staff’s replacement power cost analysis?</w:t>
      </w:r>
    </w:p>
    <w:p w:rsidR="00357C4B" w:rsidRDefault="00BE1730" w:rsidP="00302504">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357C4B">
        <w:rPr>
          <w:rFonts w:ascii="Times New Roman" w:hAnsi="Times New Roman" w:cs="Times New Roman"/>
        </w:rPr>
        <w:t xml:space="preserve">Had Staff </w:t>
      </w:r>
      <w:r>
        <w:rPr>
          <w:rFonts w:ascii="Times New Roman" w:hAnsi="Times New Roman" w:cs="Times New Roman"/>
        </w:rPr>
        <w:t xml:space="preserve">made the appropriate comparison and </w:t>
      </w:r>
      <w:r w:rsidR="00357C4B">
        <w:rPr>
          <w:rFonts w:ascii="Times New Roman" w:hAnsi="Times New Roman" w:cs="Times New Roman"/>
        </w:rPr>
        <w:t>appropriately accounted for two months of incremental offsets to its recommended adjustment, it would find i</w:t>
      </w:r>
      <w:r w:rsidR="00A44854">
        <w:rPr>
          <w:rFonts w:ascii="Times New Roman" w:hAnsi="Times New Roman" w:cs="Times New Roman"/>
        </w:rPr>
        <w:t xml:space="preserve">t is not economically optimal to schedule a gas conversion outage that would remove a low-cost coal-fueled generating asset from the system </w:t>
      </w:r>
      <w:r w:rsidR="00D757FA">
        <w:rPr>
          <w:rFonts w:ascii="Times New Roman" w:hAnsi="Times New Roman" w:cs="Times New Roman"/>
        </w:rPr>
        <w:t xml:space="preserve">several </w:t>
      </w:r>
      <w:r w:rsidR="00A44854">
        <w:rPr>
          <w:rFonts w:ascii="Times New Roman" w:hAnsi="Times New Roman" w:cs="Times New Roman"/>
        </w:rPr>
        <w:t xml:space="preserve">months </w:t>
      </w:r>
      <w:r w:rsidR="007663AA">
        <w:rPr>
          <w:rFonts w:ascii="Times New Roman" w:hAnsi="Times New Roman" w:cs="Times New Roman"/>
        </w:rPr>
        <w:t>before</w:t>
      </w:r>
      <w:r w:rsidR="00A44854">
        <w:rPr>
          <w:rFonts w:ascii="Times New Roman" w:hAnsi="Times New Roman" w:cs="Times New Roman"/>
        </w:rPr>
        <w:t xml:space="preserve"> the </w:t>
      </w:r>
      <w:r w:rsidR="004F0006">
        <w:rPr>
          <w:rFonts w:ascii="Times New Roman" w:hAnsi="Times New Roman" w:cs="Times New Roman"/>
        </w:rPr>
        <w:t>R</w:t>
      </w:r>
      <w:r w:rsidR="00A44854">
        <w:rPr>
          <w:rFonts w:ascii="Times New Roman" w:hAnsi="Times New Roman" w:cs="Times New Roman"/>
        </w:rPr>
        <w:t xml:space="preserve">egional </w:t>
      </w:r>
      <w:r w:rsidR="004F0006">
        <w:rPr>
          <w:rFonts w:ascii="Times New Roman" w:hAnsi="Times New Roman" w:cs="Times New Roman"/>
        </w:rPr>
        <w:t>H</w:t>
      </w:r>
      <w:r w:rsidR="00A44854">
        <w:rPr>
          <w:rFonts w:ascii="Times New Roman" w:hAnsi="Times New Roman" w:cs="Times New Roman"/>
        </w:rPr>
        <w:t>aze compliance deadline</w:t>
      </w:r>
      <w:r w:rsidR="00357C4B">
        <w:rPr>
          <w:rFonts w:ascii="Times New Roman" w:hAnsi="Times New Roman" w:cs="Times New Roman"/>
        </w:rPr>
        <w:t>.</w:t>
      </w:r>
    </w:p>
    <w:p w:rsidR="00DB4357" w:rsidRPr="00045333" w:rsidRDefault="00DB362D" w:rsidP="008F273B">
      <w:pPr>
        <w:pStyle w:val="Heading1"/>
      </w:pPr>
      <w:bookmarkStart w:id="5" w:name="_Toc447715557"/>
      <w:r>
        <w:t>EPC COSTS</w:t>
      </w:r>
      <w:bookmarkEnd w:id="5"/>
    </w:p>
    <w:p w:rsidR="00DB4357" w:rsidRDefault="00DB4357" w:rsidP="00DB4357">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Did parties recommend other adjustments to the Company’s Jim Bridger SCR analysis?</w:t>
      </w:r>
    </w:p>
    <w:p w:rsidR="00DB362D" w:rsidRDefault="00DB4357" w:rsidP="00DB4357">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9F3EEA">
        <w:rPr>
          <w:rFonts w:ascii="Times New Roman" w:hAnsi="Times New Roman" w:cs="Times New Roman"/>
        </w:rPr>
        <w:t xml:space="preserve"> </w:t>
      </w:r>
      <w:r>
        <w:rPr>
          <w:rFonts w:ascii="Times New Roman" w:hAnsi="Times New Roman" w:cs="Times New Roman"/>
        </w:rPr>
        <w:t xml:space="preserve">Staff applies a </w:t>
      </w:r>
      <w:r w:rsidR="00D24585" w:rsidRPr="003226BD">
        <w:rPr>
          <w:rFonts w:ascii="Times New Roman" w:hAnsi="Times New Roman" w:cs="Times New Roman"/>
          <w:highlight w:val="black"/>
        </w:rPr>
        <w:t>__________</w:t>
      </w:r>
      <w:r>
        <w:rPr>
          <w:rFonts w:ascii="Times New Roman" w:hAnsi="Times New Roman" w:cs="Times New Roman"/>
        </w:rPr>
        <w:t xml:space="preserve"> cost to the gas conversion scenario to account for EPC costs had the Company chosen not to issue the </w:t>
      </w:r>
      <w:r w:rsidR="008E632C">
        <w:rPr>
          <w:rFonts w:ascii="Times New Roman" w:hAnsi="Times New Roman" w:cs="Times New Roman"/>
        </w:rPr>
        <w:t>FNTP</w:t>
      </w:r>
      <w:r>
        <w:rPr>
          <w:rFonts w:ascii="Times New Roman" w:hAnsi="Times New Roman" w:cs="Times New Roman"/>
        </w:rPr>
        <w:t>.</w:t>
      </w:r>
      <w:r w:rsidR="00877592">
        <w:rPr>
          <w:rStyle w:val="FootnoteReference"/>
          <w:rFonts w:ascii="Times New Roman" w:hAnsi="Times New Roman"/>
        </w:rPr>
        <w:footnoteReference w:id="34"/>
      </w:r>
      <w:r>
        <w:rPr>
          <w:rFonts w:ascii="Times New Roman" w:hAnsi="Times New Roman" w:cs="Times New Roman"/>
        </w:rPr>
        <w:t xml:space="preserve"> </w:t>
      </w:r>
    </w:p>
    <w:p w:rsidR="00DB362D" w:rsidRDefault="008F273B" w:rsidP="00DB362D">
      <w:pPr>
        <w:spacing w:line="480" w:lineRule="auto"/>
        <w:ind w:left="720" w:hanging="720"/>
        <w:rPr>
          <w:rFonts w:ascii="Times New Roman" w:hAnsi="Times New Roman" w:cs="Times New Roman"/>
        </w:rPr>
      </w:pPr>
      <w:r>
        <w:rPr>
          <w:rFonts w:ascii="Times New Roman" w:hAnsi="Times New Roman" w:cs="Times New Roman"/>
          <w:b/>
          <w:bCs/>
          <w:noProof/>
        </w:rPr>
        <mc:AlternateContent>
          <mc:Choice Requires="wps">
            <w:drawing>
              <wp:anchor distT="0" distB="0" distL="114300" distR="114300" simplePos="0" relativeHeight="251674624" behindDoc="0" locked="0" layoutInCell="1" allowOverlap="1" wp14:anchorId="67636A29" wp14:editId="6BEC9410">
                <wp:simplePos x="0" y="0"/>
                <wp:positionH relativeFrom="column">
                  <wp:posOffset>85725</wp:posOffset>
                </wp:positionH>
                <wp:positionV relativeFrom="paragraph">
                  <wp:posOffset>-657225</wp:posOffset>
                </wp:positionV>
                <wp:extent cx="5353050" cy="5715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35305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42" type="#_x0000_t202" style="position:absolute;left:0;text-align:left;margin-left:6.75pt;margin-top:-51.75pt;width:421.5pt;height:4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" filled="f" stroked="f" strokeweight=".5pt">
                <v:textbox>
                  <w:txbxContent>
                    <w:p w:rsidR="009D3D41" w:rsidRDefault="009D3D41" w:rsidP="008F273B">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F273B">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DB362D" w:rsidRPr="0053680D">
        <w:rPr>
          <w:rFonts w:ascii="Times New Roman" w:hAnsi="Times New Roman" w:cs="Times New Roman"/>
          <w:b/>
          <w:bCs/>
        </w:rPr>
        <w:t>Q.</w:t>
      </w:r>
      <w:r w:rsidR="00DB362D" w:rsidRPr="0053680D">
        <w:rPr>
          <w:rFonts w:ascii="Times New Roman" w:hAnsi="Times New Roman" w:cs="Times New Roman"/>
          <w:b/>
          <w:bCs/>
        </w:rPr>
        <w:tab/>
      </w:r>
      <w:r w:rsidR="00DB362D">
        <w:rPr>
          <w:rFonts w:ascii="Times New Roman" w:hAnsi="Times New Roman" w:cs="Times New Roman"/>
          <w:b/>
          <w:bCs/>
        </w:rPr>
        <w:t>Is Staff’s EPC cost adjustment appropriate?</w:t>
      </w:r>
    </w:p>
    <w:p w:rsidR="00DB4357" w:rsidRDefault="00DB362D" w:rsidP="00DB362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No. </w:t>
      </w:r>
      <w:r w:rsidR="009F3EEA">
        <w:rPr>
          <w:rFonts w:ascii="Times New Roman" w:hAnsi="Times New Roman" w:cs="Times New Roman"/>
        </w:rPr>
        <w:t xml:space="preserve"> </w:t>
      </w:r>
      <w:r>
        <w:rPr>
          <w:rFonts w:ascii="Times New Roman" w:hAnsi="Times New Roman" w:cs="Times New Roman"/>
        </w:rPr>
        <w:t>Staff’s EPC cost</w:t>
      </w:r>
      <w:r w:rsidR="00F90EC9">
        <w:rPr>
          <w:rFonts w:ascii="Times New Roman" w:hAnsi="Times New Roman" w:cs="Times New Roman"/>
        </w:rPr>
        <w:t xml:space="preserve"> adjustment is not valid because </w:t>
      </w:r>
      <w:r w:rsidR="00DB4357">
        <w:rPr>
          <w:rFonts w:ascii="Times New Roman" w:hAnsi="Times New Roman" w:cs="Times New Roman"/>
        </w:rPr>
        <w:t xml:space="preserve">Staff’s </w:t>
      </w:r>
      <w:r w:rsidR="00A8104D">
        <w:rPr>
          <w:rFonts w:ascii="Times New Roman" w:hAnsi="Times New Roman" w:cs="Times New Roman"/>
        </w:rPr>
        <w:t xml:space="preserve">overall review of the Company’s Jim Bridger SCR </w:t>
      </w:r>
      <w:r w:rsidR="00DB4357">
        <w:rPr>
          <w:rFonts w:ascii="Times New Roman" w:hAnsi="Times New Roman" w:cs="Times New Roman"/>
        </w:rPr>
        <w:t xml:space="preserve">analysis </w:t>
      </w:r>
      <w:r w:rsidR="00A8104D">
        <w:rPr>
          <w:rFonts w:ascii="Times New Roman" w:hAnsi="Times New Roman" w:cs="Times New Roman"/>
        </w:rPr>
        <w:t>is</w:t>
      </w:r>
      <w:r w:rsidR="00DB4357">
        <w:rPr>
          <w:rFonts w:ascii="Times New Roman" w:hAnsi="Times New Roman" w:cs="Times New Roman"/>
        </w:rPr>
        <w:t xml:space="preserve"> riddled with errors</w:t>
      </w:r>
      <w:r w:rsidR="00A8104D">
        <w:rPr>
          <w:rFonts w:ascii="Times New Roman" w:hAnsi="Times New Roman" w:cs="Times New Roman"/>
        </w:rPr>
        <w:t xml:space="preserve">. </w:t>
      </w:r>
      <w:r w:rsidR="009F3EEA">
        <w:rPr>
          <w:rFonts w:ascii="Times New Roman" w:hAnsi="Times New Roman" w:cs="Times New Roman"/>
        </w:rPr>
        <w:t xml:space="preserve"> </w:t>
      </w:r>
      <w:r w:rsidR="00A8104D">
        <w:rPr>
          <w:rFonts w:ascii="Times New Roman" w:hAnsi="Times New Roman" w:cs="Times New Roman"/>
        </w:rPr>
        <w:t>As described throughout my rebuttal testimony, w</w:t>
      </w:r>
      <w:r w:rsidR="00DB4357">
        <w:rPr>
          <w:rFonts w:ascii="Times New Roman" w:hAnsi="Times New Roman" w:cs="Times New Roman"/>
        </w:rPr>
        <w:t xml:space="preserve">hen </w:t>
      </w:r>
      <w:r w:rsidR="00A8104D">
        <w:rPr>
          <w:rFonts w:ascii="Times New Roman" w:hAnsi="Times New Roman" w:cs="Times New Roman"/>
        </w:rPr>
        <w:t xml:space="preserve">these errors are </w:t>
      </w:r>
      <w:r w:rsidR="00DB4357">
        <w:rPr>
          <w:rFonts w:ascii="Times New Roman" w:hAnsi="Times New Roman" w:cs="Times New Roman"/>
        </w:rPr>
        <w:t>corrected</w:t>
      </w:r>
      <w:r w:rsidR="00F90EC9">
        <w:rPr>
          <w:rFonts w:ascii="Times New Roman" w:hAnsi="Times New Roman" w:cs="Times New Roman"/>
        </w:rPr>
        <w:t>,</w:t>
      </w:r>
      <w:r w:rsidR="00DB4357">
        <w:rPr>
          <w:rFonts w:ascii="Times New Roman" w:hAnsi="Times New Roman" w:cs="Times New Roman"/>
        </w:rPr>
        <w:t xml:space="preserve"> </w:t>
      </w:r>
      <w:r w:rsidR="00A8104D">
        <w:rPr>
          <w:rFonts w:ascii="Times New Roman" w:hAnsi="Times New Roman" w:cs="Times New Roman"/>
        </w:rPr>
        <w:t xml:space="preserve">Staff’s conclusion </w:t>
      </w:r>
      <w:r w:rsidR="00DB4357">
        <w:rPr>
          <w:rFonts w:ascii="Times New Roman" w:hAnsi="Times New Roman" w:cs="Times New Roman"/>
        </w:rPr>
        <w:t>that the Company was imprudent in its decision to install SCR</w:t>
      </w:r>
      <w:r w:rsidR="001A2A5B">
        <w:rPr>
          <w:rFonts w:ascii="Times New Roman" w:hAnsi="Times New Roman" w:cs="Times New Roman"/>
        </w:rPr>
        <w:t>s</w:t>
      </w:r>
      <w:r w:rsidR="00DB4357">
        <w:rPr>
          <w:rFonts w:ascii="Times New Roman" w:hAnsi="Times New Roman" w:cs="Times New Roman"/>
        </w:rPr>
        <w:t xml:space="preserve"> on Jim Bridger Units 3 and 4</w:t>
      </w:r>
      <w:r w:rsidR="00A8104D">
        <w:rPr>
          <w:rFonts w:ascii="Times New Roman" w:hAnsi="Times New Roman" w:cs="Times New Roman"/>
        </w:rPr>
        <w:t xml:space="preserve"> is not supported</w:t>
      </w:r>
      <w:r w:rsidR="00F90EC9">
        <w:rPr>
          <w:rFonts w:ascii="Times New Roman" w:hAnsi="Times New Roman" w:cs="Times New Roman"/>
        </w:rPr>
        <w:t>.</w:t>
      </w:r>
      <w:r w:rsidR="00A8104D">
        <w:rPr>
          <w:rFonts w:ascii="Times New Roman" w:hAnsi="Times New Roman" w:cs="Times New Roman"/>
        </w:rPr>
        <w:t xml:space="preserve"> </w:t>
      </w:r>
      <w:r w:rsidR="009F3EEA">
        <w:rPr>
          <w:rFonts w:ascii="Times New Roman" w:hAnsi="Times New Roman" w:cs="Times New Roman"/>
        </w:rPr>
        <w:t xml:space="preserve"> </w:t>
      </w:r>
      <w:r w:rsidR="00A8104D">
        <w:rPr>
          <w:rFonts w:ascii="Times New Roman" w:hAnsi="Times New Roman" w:cs="Times New Roman"/>
        </w:rPr>
        <w:t xml:space="preserve">Consequently, it is not appropriate to apply an incremental cost to the gas conversion scenario that is intended to account for costs that would have been incurred had the Company chosen not to issue the </w:t>
      </w:r>
      <w:r w:rsidR="008E632C">
        <w:rPr>
          <w:rFonts w:ascii="Times New Roman" w:hAnsi="Times New Roman" w:cs="Times New Roman"/>
        </w:rPr>
        <w:t>FNTP</w:t>
      </w:r>
      <w:r w:rsidR="008E632C" w:rsidDel="008E632C">
        <w:rPr>
          <w:rFonts w:ascii="Times New Roman" w:hAnsi="Times New Roman" w:cs="Times New Roman"/>
        </w:rPr>
        <w:t xml:space="preserve"> </w:t>
      </w:r>
      <w:r w:rsidR="00A8104D">
        <w:rPr>
          <w:rFonts w:ascii="Times New Roman" w:hAnsi="Times New Roman" w:cs="Times New Roman"/>
        </w:rPr>
        <w:t xml:space="preserve">to the EPC contractor. </w:t>
      </w:r>
      <w:r w:rsidR="009F3EEA">
        <w:rPr>
          <w:rFonts w:ascii="Times New Roman" w:hAnsi="Times New Roman" w:cs="Times New Roman"/>
        </w:rPr>
        <w:t xml:space="preserve"> </w:t>
      </w:r>
      <w:r w:rsidR="00A8104D">
        <w:rPr>
          <w:rFonts w:ascii="Times New Roman" w:hAnsi="Times New Roman" w:cs="Times New Roman"/>
        </w:rPr>
        <w:t xml:space="preserve">The Company’s decision to issue the </w:t>
      </w:r>
      <w:r w:rsidR="008E632C">
        <w:rPr>
          <w:rFonts w:ascii="Times New Roman" w:hAnsi="Times New Roman" w:cs="Times New Roman"/>
        </w:rPr>
        <w:t>FNTP</w:t>
      </w:r>
      <w:r w:rsidR="008E632C" w:rsidDel="008E632C">
        <w:rPr>
          <w:rFonts w:ascii="Times New Roman" w:hAnsi="Times New Roman" w:cs="Times New Roman"/>
        </w:rPr>
        <w:t xml:space="preserve"> </w:t>
      </w:r>
      <w:r w:rsidR="00A8104D">
        <w:rPr>
          <w:rFonts w:ascii="Times New Roman" w:hAnsi="Times New Roman" w:cs="Times New Roman"/>
        </w:rPr>
        <w:t>was prudent.</w:t>
      </w:r>
    </w:p>
    <w:p w:rsidR="00A727C4" w:rsidRDefault="00A727C4" w:rsidP="00A727C4">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Did the Company have updated information about the EPC costs before the </w:t>
      </w:r>
      <w:r w:rsidR="008E632C" w:rsidRPr="00302504">
        <w:rPr>
          <w:rFonts w:ascii="Times New Roman" w:hAnsi="Times New Roman" w:cs="Times New Roman"/>
          <w:b/>
        </w:rPr>
        <w:t>FNTP</w:t>
      </w:r>
      <w:r w:rsidRPr="00E6657D">
        <w:rPr>
          <w:rFonts w:ascii="Times New Roman" w:hAnsi="Times New Roman" w:cs="Times New Roman"/>
          <w:b/>
          <w:bCs/>
        </w:rPr>
        <w:t xml:space="preserve"> </w:t>
      </w:r>
      <w:r>
        <w:rPr>
          <w:rFonts w:ascii="Times New Roman" w:hAnsi="Times New Roman" w:cs="Times New Roman"/>
          <w:b/>
          <w:bCs/>
        </w:rPr>
        <w:t>was issued?</w:t>
      </w:r>
    </w:p>
    <w:p w:rsidR="004C0385" w:rsidRDefault="00A727C4" w:rsidP="00A727C4">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Yes.</w:t>
      </w:r>
      <w:r w:rsidR="009F3EEA">
        <w:rPr>
          <w:rFonts w:ascii="Times New Roman" w:hAnsi="Times New Roman" w:cs="Times New Roman"/>
        </w:rPr>
        <w:t xml:space="preserve"> </w:t>
      </w:r>
      <w:r>
        <w:rPr>
          <w:rFonts w:ascii="Times New Roman" w:hAnsi="Times New Roman" w:cs="Times New Roman"/>
        </w:rPr>
        <w:t xml:space="preserve"> As described in the rebuttal testimony of Mr. Chad A. Teply, by the December 2013 timeframe, when the Company issued its </w:t>
      </w:r>
      <w:r w:rsidR="008E632C">
        <w:rPr>
          <w:rFonts w:ascii="Times New Roman" w:hAnsi="Times New Roman" w:cs="Times New Roman"/>
        </w:rPr>
        <w:t>FNTP</w:t>
      </w:r>
      <w:r>
        <w:rPr>
          <w:rFonts w:ascii="Times New Roman" w:hAnsi="Times New Roman" w:cs="Times New Roman"/>
        </w:rPr>
        <w:t xml:space="preserve"> to the EPC contractor, the Company was aware that </w:t>
      </w:r>
      <w:r w:rsidR="00AE6F0E">
        <w:rPr>
          <w:rFonts w:ascii="Times New Roman" w:hAnsi="Times New Roman" w:cs="Times New Roman"/>
        </w:rPr>
        <w:t xml:space="preserve">its share of </w:t>
      </w:r>
      <w:r>
        <w:rPr>
          <w:rFonts w:ascii="Times New Roman" w:hAnsi="Times New Roman" w:cs="Times New Roman"/>
        </w:rPr>
        <w:t xml:space="preserve">the EPC cost was reduced by approximately </w:t>
      </w:r>
      <w:r w:rsidR="00D24585" w:rsidRPr="00D24585">
        <w:rPr>
          <w:rFonts w:ascii="Times New Roman" w:hAnsi="Times New Roman" w:cs="Times New Roman"/>
          <w:highlight w:val="black"/>
        </w:rPr>
        <w:t>___</w:t>
      </w:r>
      <w:r w:rsidR="00AE6F0E" w:rsidRPr="00A727C4">
        <w:rPr>
          <w:rFonts w:ascii="Times New Roman" w:hAnsi="Times New Roman" w:cs="Times New Roman"/>
          <w:highlight w:val="darkGray"/>
        </w:rPr>
        <w:t xml:space="preserve"> </w:t>
      </w:r>
      <w:r w:rsidR="00D24585" w:rsidRPr="003226BD">
        <w:rPr>
          <w:rFonts w:ascii="Times New Roman" w:hAnsi="Times New Roman" w:cs="Times New Roman"/>
          <w:highlight w:val="black"/>
        </w:rPr>
        <w:t>_</w:t>
      </w:r>
      <w:r w:rsidR="00D24585">
        <w:rPr>
          <w:rFonts w:ascii="Times New Roman" w:hAnsi="Times New Roman" w:cs="Times New Roman"/>
          <w:highlight w:val="black"/>
        </w:rPr>
        <w:t>_______</w:t>
      </w:r>
      <w:r w:rsidR="00826731">
        <w:rPr>
          <w:rFonts w:ascii="Times New Roman" w:hAnsi="Times New Roman" w:cs="Times New Roman"/>
        </w:rPr>
        <w:t>.</w:t>
      </w:r>
      <w:r>
        <w:rPr>
          <w:rFonts w:ascii="Times New Roman" w:hAnsi="Times New Roman" w:cs="Times New Roman"/>
        </w:rPr>
        <w:t xml:space="preserve"> </w:t>
      </w:r>
      <w:r w:rsidR="00D86A69">
        <w:rPr>
          <w:rFonts w:ascii="Times New Roman" w:hAnsi="Times New Roman" w:cs="Times New Roman"/>
        </w:rPr>
        <w:t xml:space="preserve"> </w:t>
      </w:r>
      <w:r w:rsidR="00E5492A">
        <w:rPr>
          <w:rFonts w:ascii="Times New Roman" w:hAnsi="Times New Roman" w:cs="Times New Roman"/>
        </w:rPr>
        <w:t>When issuing the FNTP, t</w:t>
      </w:r>
      <w:r w:rsidR="00AE6F0E">
        <w:rPr>
          <w:rFonts w:ascii="Times New Roman" w:hAnsi="Times New Roman" w:cs="Times New Roman"/>
        </w:rPr>
        <w:t xml:space="preserve">he Company was aware that reduced EPC costs would partially offset falling natural gas prices, while recognizing that there </w:t>
      </w:r>
      <w:r w:rsidR="00E5492A">
        <w:rPr>
          <w:rFonts w:ascii="Times New Roman" w:hAnsi="Times New Roman" w:cs="Times New Roman"/>
        </w:rPr>
        <w:t>was</w:t>
      </w:r>
      <w:r w:rsidR="00AE6F0E">
        <w:rPr>
          <w:rFonts w:ascii="Times New Roman" w:hAnsi="Times New Roman" w:cs="Times New Roman"/>
        </w:rPr>
        <w:t xml:space="preserve"> uncertainty in how future natural gas prices might compare to then-current forecasts.</w:t>
      </w:r>
    </w:p>
    <w:p w:rsidR="004C0385" w:rsidRPr="00045333" w:rsidRDefault="004C0385" w:rsidP="008F273B">
      <w:pPr>
        <w:pStyle w:val="Heading1"/>
      </w:pPr>
      <w:bookmarkStart w:id="6" w:name="_Toc447715558"/>
      <w:r>
        <w:t>IRP ANALYSIS</w:t>
      </w:r>
      <w:bookmarkEnd w:id="6"/>
    </w:p>
    <w:p w:rsidR="004C0385" w:rsidRDefault="004C0385" w:rsidP="004C0385">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How did Staff summarize the Company’s Jim Bridger analysis as presented in the </w:t>
      </w:r>
      <w:r w:rsidR="004C06F1">
        <w:rPr>
          <w:rFonts w:ascii="Times New Roman" w:hAnsi="Times New Roman" w:cs="Times New Roman"/>
          <w:b/>
          <w:bCs/>
        </w:rPr>
        <w:t xml:space="preserve">2013 </w:t>
      </w:r>
      <w:r>
        <w:rPr>
          <w:rFonts w:ascii="Times New Roman" w:hAnsi="Times New Roman" w:cs="Times New Roman"/>
          <w:b/>
          <w:bCs/>
        </w:rPr>
        <w:t>IRP?</w:t>
      </w:r>
    </w:p>
    <w:p w:rsidR="00A727C4" w:rsidRDefault="004C0385" w:rsidP="00845A6A">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Staff </w:t>
      </w:r>
      <w:r w:rsidR="000E6DCD">
        <w:rPr>
          <w:rFonts w:ascii="Times New Roman" w:hAnsi="Times New Roman" w:cs="Times New Roman"/>
        </w:rPr>
        <w:t xml:space="preserve">explains that the Company </w:t>
      </w:r>
      <w:r w:rsidR="004C06F1">
        <w:rPr>
          <w:rFonts w:ascii="Times New Roman" w:hAnsi="Times New Roman" w:cs="Times New Roman"/>
        </w:rPr>
        <w:t>originally prepared SCR</w:t>
      </w:r>
      <w:r w:rsidR="0045254E" w:rsidRPr="0045254E">
        <w:rPr>
          <w:rFonts w:ascii="Times New Roman" w:hAnsi="Times New Roman" w:cs="Times New Roman"/>
        </w:rPr>
        <w:t xml:space="preserve"> </w:t>
      </w:r>
      <w:r w:rsidR="004C06F1">
        <w:rPr>
          <w:rFonts w:ascii="Times New Roman" w:hAnsi="Times New Roman" w:cs="Times New Roman"/>
        </w:rPr>
        <w:t>analysis in 2012 and then updated that analysis twice in 2013—a “major</w:t>
      </w:r>
      <w:r w:rsidR="00605F81">
        <w:rPr>
          <w:rFonts w:ascii="Times New Roman" w:hAnsi="Times New Roman" w:cs="Times New Roman"/>
        </w:rPr>
        <w:t>”</w:t>
      </w:r>
      <w:r w:rsidR="004C06F1">
        <w:rPr>
          <w:rFonts w:ascii="Times New Roman" w:hAnsi="Times New Roman" w:cs="Times New Roman"/>
        </w:rPr>
        <w:t xml:space="preserve"> update using the </w:t>
      </w:r>
      <w:r w:rsidR="0054388A">
        <w:rPr>
          <w:rFonts w:ascii="Times New Roman" w:hAnsi="Times New Roman" w:cs="Times New Roman"/>
        </w:rPr>
        <w:t xml:space="preserve">September </w:t>
      </w:r>
      <w:r w:rsidR="004C06F1">
        <w:rPr>
          <w:rFonts w:ascii="Times New Roman" w:hAnsi="Times New Roman" w:cs="Times New Roman"/>
        </w:rPr>
        <w:t>2012 OFPC and a “minor” update for the cost assumptions in the 2013 IRP.</w:t>
      </w:r>
      <w:r w:rsidR="004C06F1">
        <w:rPr>
          <w:rStyle w:val="FootnoteReference"/>
          <w:rFonts w:ascii="Times New Roman" w:hAnsi="Times New Roman"/>
        </w:rPr>
        <w:footnoteReference w:id="35"/>
      </w:r>
      <w:r w:rsidR="000E6DCD">
        <w:rPr>
          <w:rFonts w:ascii="Times New Roman" w:hAnsi="Times New Roman" w:cs="Times New Roman"/>
        </w:rPr>
        <w:t xml:space="preserve"> </w:t>
      </w:r>
      <w:r w:rsidR="009F3EEA">
        <w:rPr>
          <w:rFonts w:ascii="Times New Roman" w:hAnsi="Times New Roman" w:cs="Times New Roman"/>
        </w:rPr>
        <w:t xml:space="preserve"> </w:t>
      </w:r>
      <w:r w:rsidR="000E6DCD">
        <w:rPr>
          <w:rFonts w:ascii="Times New Roman" w:hAnsi="Times New Roman" w:cs="Times New Roman"/>
        </w:rPr>
        <w:t xml:space="preserve">Staff states that </w:t>
      </w:r>
      <w:r w:rsidR="004844D0">
        <w:rPr>
          <w:rFonts w:ascii="Times New Roman" w:hAnsi="Times New Roman" w:cs="Times New Roman"/>
        </w:rPr>
        <w:t>the SCR analysis included in the 2013 IRP was</w:t>
      </w:r>
      <w:r w:rsidR="000E6DCD">
        <w:rPr>
          <w:rFonts w:ascii="Times New Roman" w:hAnsi="Times New Roman" w:cs="Times New Roman"/>
        </w:rPr>
        <w:t xml:space="preserve"> the first version of the Jim Bridger SCR analysis that was made available to the Commission when the </w:t>
      </w:r>
      <w:r w:rsidR="00886A13">
        <w:rPr>
          <w:rFonts w:ascii="Times New Roman" w:hAnsi="Times New Roman" w:cs="Times New Roman"/>
        </w:rPr>
        <w:t xml:space="preserve">2013 </w:t>
      </w:r>
      <w:r w:rsidR="000E6DCD">
        <w:rPr>
          <w:rFonts w:ascii="Times New Roman" w:hAnsi="Times New Roman" w:cs="Times New Roman"/>
        </w:rPr>
        <w:t>IRP was filed in April 2013.</w:t>
      </w:r>
      <w:r w:rsidR="00355EC9">
        <w:rPr>
          <w:rStyle w:val="FootnoteReference"/>
          <w:rFonts w:ascii="Times New Roman" w:hAnsi="Times New Roman"/>
        </w:rPr>
        <w:footnoteReference w:id="36"/>
      </w:r>
    </w:p>
    <w:p w:rsidR="000E6DCD" w:rsidRDefault="000E6DCD" w:rsidP="000E6DCD">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Is Staff’s characterization accurate?</w:t>
      </w:r>
    </w:p>
    <w:p w:rsidR="00F46CE7" w:rsidRDefault="000E6DCD" w:rsidP="000E6DCD">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sidR="0054388A">
        <w:rPr>
          <w:rFonts w:ascii="Times New Roman" w:hAnsi="Times New Roman" w:cs="Times New Roman"/>
        </w:rPr>
        <w:t xml:space="preserve">Not entirely. </w:t>
      </w:r>
      <w:r w:rsidR="00295394">
        <w:rPr>
          <w:rFonts w:ascii="Times New Roman" w:hAnsi="Times New Roman" w:cs="Times New Roman"/>
        </w:rPr>
        <w:t xml:space="preserve"> </w:t>
      </w:r>
      <w:r w:rsidR="0054388A">
        <w:rPr>
          <w:rFonts w:ascii="Times New Roman" w:hAnsi="Times New Roman" w:cs="Times New Roman"/>
        </w:rPr>
        <w:t>Contrary to Staff’s implication, t</w:t>
      </w:r>
      <w:r>
        <w:rPr>
          <w:rFonts w:ascii="Times New Roman" w:hAnsi="Times New Roman" w:cs="Times New Roman"/>
        </w:rPr>
        <w:t xml:space="preserve">he </w:t>
      </w:r>
      <w:r w:rsidR="0054388A">
        <w:rPr>
          <w:rFonts w:ascii="Times New Roman" w:hAnsi="Times New Roman" w:cs="Times New Roman"/>
        </w:rPr>
        <w:t xml:space="preserve">full SCR analysis developed in 2012 using the September 2012 OFPC was included </w:t>
      </w:r>
      <w:r>
        <w:rPr>
          <w:rFonts w:ascii="Times New Roman" w:hAnsi="Times New Roman" w:cs="Times New Roman"/>
        </w:rPr>
        <w:t>in the 2013 IRP</w:t>
      </w:r>
      <w:r w:rsidR="0054388A">
        <w:rPr>
          <w:rFonts w:ascii="Times New Roman" w:hAnsi="Times New Roman" w:cs="Times New Roman"/>
        </w:rPr>
        <w:t xml:space="preserve">. </w:t>
      </w:r>
      <w:r w:rsidR="00915B44">
        <w:rPr>
          <w:rFonts w:ascii="Times New Roman" w:hAnsi="Times New Roman" w:cs="Times New Roman"/>
        </w:rPr>
        <w:t xml:space="preserve"> </w:t>
      </w:r>
      <w:r w:rsidR="0070498E">
        <w:rPr>
          <w:rFonts w:ascii="Times New Roman" w:hAnsi="Times New Roman" w:cs="Times New Roman"/>
        </w:rPr>
        <w:t xml:space="preserve">The </w:t>
      </w:r>
      <w:r w:rsidR="00F46CE7">
        <w:rPr>
          <w:rFonts w:ascii="Times New Roman" w:hAnsi="Times New Roman" w:cs="Times New Roman"/>
        </w:rPr>
        <w:t xml:space="preserve">analysis that Staff describes as the Company’s </w:t>
      </w:r>
      <w:r w:rsidR="0070498E">
        <w:rPr>
          <w:rFonts w:ascii="Times New Roman" w:hAnsi="Times New Roman" w:cs="Times New Roman"/>
        </w:rPr>
        <w:t xml:space="preserve">2012 analysis is </w:t>
      </w:r>
      <w:r>
        <w:rPr>
          <w:rFonts w:ascii="Times New Roman" w:hAnsi="Times New Roman" w:cs="Times New Roman"/>
        </w:rPr>
        <w:t>the same analysis presented in my direct testimony.</w:t>
      </w:r>
    </w:p>
    <w:p w:rsidR="00F46CE7" w:rsidRDefault="00F46CE7" w:rsidP="00F46CE7">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Did the Commission request </w:t>
      </w:r>
      <w:r w:rsidR="00915B44">
        <w:rPr>
          <w:rFonts w:ascii="Times New Roman" w:hAnsi="Times New Roman" w:cs="Times New Roman"/>
          <w:b/>
          <w:bCs/>
        </w:rPr>
        <w:t>an update</w:t>
      </w:r>
      <w:r>
        <w:rPr>
          <w:rFonts w:ascii="Times New Roman" w:hAnsi="Times New Roman" w:cs="Times New Roman"/>
          <w:b/>
          <w:bCs/>
        </w:rPr>
        <w:t xml:space="preserve"> on the Company’s Jim Bridger SCR analysis in the 2013 IRP Update?</w:t>
      </w:r>
    </w:p>
    <w:p w:rsidR="000E6DCD" w:rsidRDefault="00F46CE7" w:rsidP="00F46CE7">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943234">
        <w:rPr>
          <w:rFonts w:ascii="Times New Roman" w:hAnsi="Times New Roman" w:cs="Times New Roman"/>
        </w:rPr>
        <w:t xml:space="preserve"> </w:t>
      </w:r>
      <w:r>
        <w:rPr>
          <w:rFonts w:ascii="Times New Roman" w:hAnsi="Times New Roman" w:cs="Times New Roman"/>
        </w:rPr>
        <w:t xml:space="preserve">As noted by Staff, the Commission requested an analysis that identifies a natural gas price level </w:t>
      </w:r>
      <w:r w:rsidR="00540A4D">
        <w:rPr>
          <w:rFonts w:ascii="Times New Roman" w:hAnsi="Times New Roman" w:cs="Times New Roman"/>
        </w:rPr>
        <w:t xml:space="preserve">and specific emission standards </w:t>
      </w:r>
      <w:r>
        <w:rPr>
          <w:rFonts w:ascii="Times New Roman" w:hAnsi="Times New Roman" w:cs="Times New Roman"/>
        </w:rPr>
        <w:t>that would make natural gas conversion cost</w:t>
      </w:r>
      <w:r w:rsidR="00915B44">
        <w:rPr>
          <w:rFonts w:ascii="Times New Roman" w:hAnsi="Times New Roman" w:cs="Times New Roman"/>
        </w:rPr>
        <w:t xml:space="preserve"> </w:t>
      </w:r>
      <w:r>
        <w:rPr>
          <w:rFonts w:ascii="Times New Roman" w:hAnsi="Times New Roman" w:cs="Times New Roman"/>
        </w:rPr>
        <w:t>effective.</w:t>
      </w:r>
      <w:r w:rsidR="007F6717">
        <w:rPr>
          <w:rStyle w:val="FootnoteReference"/>
          <w:rFonts w:ascii="Times New Roman" w:hAnsi="Times New Roman"/>
        </w:rPr>
        <w:footnoteReference w:id="37"/>
      </w:r>
      <w:r w:rsidR="009F3EEA">
        <w:rPr>
          <w:rFonts w:ascii="Times New Roman" w:hAnsi="Times New Roman" w:cs="Times New Roman"/>
        </w:rPr>
        <w:t xml:space="preserve"> </w:t>
      </w:r>
      <w:r>
        <w:rPr>
          <w:rFonts w:ascii="Times New Roman" w:hAnsi="Times New Roman" w:cs="Times New Roman"/>
        </w:rPr>
        <w:t xml:space="preserve"> </w:t>
      </w:r>
      <w:r w:rsidR="00540A4D">
        <w:rPr>
          <w:rFonts w:ascii="Times New Roman" w:hAnsi="Times New Roman" w:cs="Times New Roman"/>
        </w:rPr>
        <w:t xml:space="preserve">In its discussion of emission standards, the Commission </w:t>
      </w:r>
      <w:r>
        <w:rPr>
          <w:rFonts w:ascii="Times New Roman" w:hAnsi="Times New Roman" w:cs="Times New Roman"/>
        </w:rPr>
        <w:t xml:space="preserve">references a Presidential Memorandum released June 25, </w:t>
      </w:r>
      <w:r w:rsidR="002344E5">
        <w:rPr>
          <w:rFonts w:ascii="Times New Roman" w:hAnsi="Times New Roman" w:cs="Times New Roman"/>
        </w:rPr>
        <w:t xml:space="preserve">2013, </w:t>
      </w:r>
      <w:r>
        <w:rPr>
          <w:rFonts w:ascii="Times New Roman" w:hAnsi="Times New Roman" w:cs="Times New Roman"/>
        </w:rPr>
        <w:t xml:space="preserve">directing the U.S. Environmental Protection Agency (EPA) to </w:t>
      </w:r>
      <w:r w:rsidR="00540A4D">
        <w:rPr>
          <w:rFonts w:ascii="Times New Roman" w:hAnsi="Times New Roman" w:cs="Times New Roman"/>
        </w:rPr>
        <w:t>issue</w:t>
      </w:r>
      <w:r>
        <w:rPr>
          <w:rFonts w:ascii="Times New Roman" w:hAnsi="Times New Roman" w:cs="Times New Roman"/>
        </w:rPr>
        <w:t xml:space="preserve"> </w:t>
      </w:r>
      <w:r w:rsidR="00540A4D">
        <w:rPr>
          <w:rFonts w:ascii="Times New Roman" w:hAnsi="Times New Roman" w:cs="Times New Roman"/>
        </w:rPr>
        <w:t>proposed standards, regulations, or guidelines that address carbon pollution from existing power plants by June 1, 2014.</w:t>
      </w:r>
      <w:r w:rsidR="00DB61B3">
        <w:rPr>
          <w:rStyle w:val="FootnoteReference"/>
          <w:rFonts w:ascii="Times New Roman" w:hAnsi="Times New Roman"/>
        </w:rPr>
        <w:footnoteReference w:id="38"/>
      </w:r>
      <w:r w:rsidR="00540A4D">
        <w:rPr>
          <w:rFonts w:ascii="Times New Roman" w:hAnsi="Times New Roman" w:cs="Times New Roman"/>
        </w:rPr>
        <w:t xml:space="preserve"> </w:t>
      </w:r>
      <w:r w:rsidR="009F3EEA">
        <w:rPr>
          <w:rFonts w:ascii="Times New Roman" w:hAnsi="Times New Roman" w:cs="Times New Roman"/>
        </w:rPr>
        <w:t xml:space="preserve"> </w:t>
      </w:r>
      <w:r w:rsidR="00540A4D">
        <w:rPr>
          <w:rFonts w:ascii="Times New Roman" w:hAnsi="Times New Roman" w:cs="Times New Roman"/>
        </w:rPr>
        <w:t>The Commission suggest</w:t>
      </w:r>
      <w:r w:rsidR="00E5492A">
        <w:rPr>
          <w:rFonts w:ascii="Times New Roman" w:hAnsi="Times New Roman" w:cs="Times New Roman"/>
        </w:rPr>
        <w:t>ed</w:t>
      </w:r>
      <w:r w:rsidR="00540A4D">
        <w:rPr>
          <w:rFonts w:ascii="Times New Roman" w:hAnsi="Times New Roman" w:cs="Times New Roman"/>
        </w:rPr>
        <w:t xml:space="preserve"> that </w:t>
      </w:r>
      <w:r w:rsidR="00361293">
        <w:rPr>
          <w:rFonts w:ascii="Times New Roman" w:hAnsi="Times New Roman" w:cs="Times New Roman"/>
        </w:rPr>
        <w:t>the Company should develop various price curves for carbon regulation representing a range of what EPA could impose.</w:t>
      </w:r>
    </w:p>
    <w:p w:rsidR="008F273B" w:rsidRDefault="008F273B" w:rsidP="008F273B">
      <w:pPr>
        <w:suppressLineNumbers/>
        <w:spacing w:line="480" w:lineRule="auto"/>
        <w:ind w:left="720" w:hanging="720"/>
        <w:rPr>
          <w:rFonts w:ascii="Times New Roman" w:hAnsi="Times New Roman" w:cs="Times New Roman"/>
        </w:rPr>
      </w:pPr>
    </w:p>
    <w:p w:rsidR="00391252" w:rsidRDefault="00391252" w:rsidP="00391252">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Did the Company include in its 2013 IRP Update an analysis showing natural gas price levels at which natural gas conversion would be cost effective?</w:t>
      </w:r>
    </w:p>
    <w:p w:rsidR="00391252" w:rsidRDefault="00391252" w:rsidP="00391252">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Yes.</w:t>
      </w:r>
      <w:r w:rsidR="009F3EEA">
        <w:rPr>
          <w:rFonts w:ascii="Times New Roman" w:hAnsi="Times New Roman" w:cs="Times New Roman"/>
        </w:rPr>
        <w:t xml:space="preserve"> </w:t>
      </w:r>
      <w:r w:rsidR="00F02C11">
        <w:rPr>
          <w:rFonts w:ascii="Times New Roman" w:hAnsi="Times New Roman" w:cs="Times New Roman"/>
        </w:rPr>
        <w:t xml:space="preserve"> As I mention above, the Company presented the results of the analysis </w:t>
      </w:r>
      <w:r w:rsidR="00AD36B3">
        <w:rPr>
          <w:rFonts w:ascii="Times New Roman" w:hAnsi="Times New Roman" w:cs="Times New Roman"/>
        </w:rPr>
        <w:t xml:space="preserve">presented in my direct testimony as part of the 2013 IRP, showing </w:t>
      </w:r>
      <w:proofErr w:type="gramStart"/>
      <w:r w:rsidR="00AD36B3">
        <w:rPr>
          <w:rFonts w:ascii="Times New Roman" w:hAnsi="Times New Roman" w:cs="Times New Roman"/>
        </w:rPr>
        <w:t>PVRR(</w:t>
      </w:r>
      <w:proofErr w:type="gramEnd"/>
      <w:r w:rsidR="00AD36B3">
        <w:rPr>
          <w:rFonts w:ascii="Times New Roman" w:hAnsi="Times New Roman" w:cs="Times New Roman"/>
        </w:rPr>
        <w:t xml:space="preserve">d) results among a range of natural gas price assumptions. </w:t>
      </w:r>
      <w:r w:rsidR="008B4DA5">
        <w:rPr>
          <w:rFonts w:ascii="Times New Roman" w:hAnsi="Times New Roman" w:cs="Times New Roman"/>
        </w:rPr>
        <w:t xml:space="preserve"> </w:t>
      </w:r>
      <w:r w:rsidR="00AD36B3">
        <w:rPr>
          <w:rFonts w:ascii="Times New Roman" w:hAnsi="Times New Roman" w:cs="Times New Roman"/>
        </w:rPr>
        <w:t xml:space="preserve">The Company expanded its presentation of these results in the 2013 IRP Update </w:t>
      </w:r>
      <w:r w:rsidR="00453F4F">
        <w:rPr>
          <w:rFonts w:ascii="Times New Roman" w:hAnsi="Times New Roman" w:cs="Times New Roman"/>
        </w:rPr>
        <w:t>that identifie</w:t>
      </w:r>
      <w:r w:rsidR="00E5492A">
        <w:rPr>
          <w:rFonts w:ascii="Times New Roman" w:hAnsi="Times New Roman" w:cs="Times New Roman"/>
        </w:rPr>
        <w:t>d</w:t>
      </w:r>
      <w:r w:rsidR="00453F4F">
        <w:rPr>
          <w:rFonts w:ascii="Times New Roman" w:hAnsi="Times New Roman" w:cs="Times New Roman"/>
        </w:rPr>
        <w:t xml:space="preserve"> break-even natural gas price levels.</w:t>
      </w:r>
      <w:r w:rsidR="009F3EEA">
        <w:rPr>
          <w:rFonts w:ascii="Times New Roman" w:hAnsi="Times New Roman" w:cs="Times New Roman"/>
        </w:rPr>
        <w:t xml:space="preserve"> </w:t>
      </w:r>
      <w:r w:rsidR="008B4DA5">
        <w:rPr>
          <w:rFonts w:ascii="Times New Roman" w:hAnsi="Times New Roman" w:cs="Times New Roman"/>
        </w:rPr>
        <w:t xml:space="preserve"> </w:t>
      </w:r>
      <w:r w:rsidR="00453F4F">
        <w:rPr>
          <w:rFonts w:ascii="Times New Roman" w:hAnsi="Times New Roman" w:cs="Times New Roman"/>
        </w:rPr>
        <w:t xml:space="preserve">This same analysis is described in my direct testimony and the same relationship between natural gas price assumptions and </w:t>
      </w:r>
      <w:proofErr w:type="gramStart"/>
      <w:r w:rsidR="00453F4F">
        <w:rPr>
          <w:rFonts w:ascii="Times New Roman" w:hAnsi="Times New Roman" w:cs="Times New Roman"/>
        </w:rPr>
        <w:t>PVRR(</w:t>
      </w:r>
      <w:proofErr w:type="gramEnd"/>
      <w:r w:rsidR="00453F4F">
        <w:rPr>
          <w:rFonts w:ascii="Times New Roman" w:hAnsi="Times New Roman" w:cs="Times New Roman"/>
        </w:rPr>
        <w:t xml:space="preserve">d) results </w:t>
      </w:r>
      <w:r w:rsidR="000F4909">
        <w:rPr>
          <w:rFonts w:ascii="Times New Roman" w:hAnsi="Times New Roman" w:cs="Times New Roman"/>
        </w:rPr>
        <w:t xml:space="preserve">presented in the 2013 IRP Update </w:t>
      </w:r>
      <w:r w:rsidR="00453F4F">
        <w:rPr>
          <w:rFonts w:ascii="Times New Roman" w:hAnsi="Times New Roman" w:cs="Times New Roman"/>
        </w:rPr>
        <w:t xml:space="preserve">is documented in Exhibit No. </w:t>
      </w:r>
      <w:proofErr w:type="gramStart"/>
      <w:r w:rsidR="00453F4F">
        <w:rPr>
          <w:rFonts w:ascii="Times New Roman" w:hAnsi="Times New Roman" w:cs="Times New Roman"/>
        </w:rPr>
        <w:t>RTL-9C to my direct testimony.</w:t>
      </w:r>
      <w:proofErr w:type="gramEnd"/>
    </w:p>
    <w:p w:rsidR="000F4909" w:rsidRDefault="000F4909" w:rsidP="000F4909">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Did the Company include in its 2013 IRP Update an analysis showing how different </w:t>
      </w:r>
      <w:r w:rsidRPr="000F4909">
        <w:rPr>
          <w:rFonts w:ascii="Times New Roman" w:hAnsi="Times New Roman" w:cs="Times New Roman"/>
          <w:b/>
        </w:rPr>
        <w:t xml:space="preserve">price curves for carbon regulation </w:t>
      </w:r>
      <w:r>
        <w:rPr>
          <w:rFonts w:ascii="Times New Roman" w:hAnsi="Times New Roman" w:cs="Times New Roman"/>
          <w:b/>
        </w:rPr>
        <w:t xml:space="preserve">affect the economics of </w:t>
      </w:r>
      <w:r w:rsidR="004F0006">
        <w:rPr>
          <w:rFonts w:ascii="Times New Roman" w:hAnsi="Times New Roman" w:cs="Times New Roman"/>
          <w:b/>
        </w:rPr>
        <w:t>R</w:t>
      </w:r>
      <w:r>
        <w:rPr>
          <w:rFonts w:ascii="Times New Roman" w:hAnsi="Times New Roman" w:cs="Times New Roman"/>
          <w:b/>
        </w:rPr>
        <w:t xml:space="preserve">egional </w:t>
      </w:r>
      <w:r w:rsidR="004F0006">
        <w:rPr>
          <w:rFonts w:ascii="Times New Roman" w:hAnsi="Times New Roman" w:cs="Times New Roman"/>
          <w:b/>
        </w:rPr>
        <w:t>H</w:t>
      </w:r>
      <w:r>
        <w:rPr>
          <w:rFonts w:ascii="Times New Roman" w:hAnsi="Times New Roman" w:cs="Times New Roman"/>
          <w:b/>
        </w:rPr>
        <w:t>aze compliance alternatives for Jim Bridger Unit</w:t>
      </w:r>
      <w:r w:rsidR="004577A0">
        <w:rPr>
          <w:rFonts w:ascii="Times New Roman" w:hAnsi="Times New Roman" w:cs="Times New Roman"/>
          <w:b/>
        </w:rPr>
        <w:t>s</w:t>
      </w:r>
      <w:r>
        <w:rPr>
          <w:rFonts w:ascii="Times New Roman" w:hAnsi="Times New Roman" w:cs="Times New Roman"/>
          <w:b/>
        </w:rPr>
        <w:t xml:space="preserve"> 3 and 4</w:t>
      </w:r>
      <w:r>
        <w:rPr>
          <w:rFonts w:ascii="Times New Roman" w:hAnsi="Times New Roman" w:cs="Times New Roman"/>
          <w:b/>
          <w:bCs/>
        </w:rPr>
        <w:t>?</w:t>
      </w:r>
    </w:p>
    <w:p w:rsidR="000F4909" w:rsidRDefault="000F4909" w:rsidP="000F490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FD652B">
        <w:rPr>
          <w:rFonts w:ascii="Times New Roman" w:hAnsi="Times New Roman" w:cs="Times New Roman"/>
        </w:rPr>
        <w:t xml:space="preserve"> </w:t>
      </w:r>
      <w:r>
        <w:rPr>
          <w:rFonts w:ascii="Times New Roman" w:hAnsi="Times New Roman" w:cs="Times New Roman"/>
        </w:rPr>
        <w:t>As was done for natural gas prices, the Company expanded its presentation of CO</w:t>
      </w:r>
      <w:r>
        <w:rPr>
          <w:rFonts w:ascii="Times New Roman" w:hAnsi="Times New Roman" w:cs="Times New Roman"/>
          <w:vertAlign w:val="subscript"/>
        </w:rPr>
        <w:t xml:space="preserve">2 </w:t>
      </w:r>
      <w:r>
        <w:rPr>
          <w:rFonts w:ascii="Times New Roman" w:hAnsi="Times New Roman" w:cs="Times New Roman"/>
        </w:rPr>
        <w:t>price scenario analysis filed with the 2013 IRP in the 2013 IRP Update to show break-even CO</w:t>
      </w:r>
      <w:r>
        <w:rPr>
          <w:rFonts w:ascii="Times New Roman" w:hAnsi="Times New Roman" w:cs="Times New Roman"/>
          <w:vertAlign w:val="subscript"/>
        </w:rPr>
        <w:t>2</w:t>
      </w:r>
      <w:r>
        <w:rPr>
          <w:rFonts w:ascii="Times New Roman" w:hAnsi="Times New Roman" w:cs="Times New Roman"/>
        </w:rPr>
        <w:t xml:space="preserve"> price levels.</w:t>
      </w:r>
      <w:r w:rsidR="009F3EEA">
        <w:rPr>
          <w:rFonts w:ascii="Times New Roman" w:hAnsi="Times New Roman" w:cs="Times New Roman"/>
        </w:rPr>
        <w:t xml:space="preserve"> </w:t>
      </w:r>
      <w:r>
        <w:rPr>
          <w:rFonts w:ascii="Times New Roman" w:hAnsi="Times New Roman" w:cs="Times New Roman"/>
        </w:rPr>
        <w:t xml:space="preserve"> This same analysis is described in my direct testimony</w:t>
      </w:r>
      <w:r w:rsidR="00FD652B">
        <w:rPr>
          <w:rFonts w:ascii="Times New Roman" w:hAnsi="Times New Roman" w:cs="Times New Roman"/>
        </w:rPr>
        <w:t>,</w:t>
      </w:r>
      <w:r>
        <w:rPr>
          <w:rFonts w:ascii="Times New Roman" w:hAnsi="Times New Roman" w:cs="Times New Roman"/>
        </w:rPr>
        <w:t xml:space="preserve"> and the same relationship between CO</w:t>
      </w:r>
      <w:r>
        <w:rPr>
          <w:rFonts w:ascii="Times New Roman" w:hAnsi="Times New Roman" w:cs="Times New Roman"/>
          <w:vertAlign w:val="subscript"/>
        </w:rPr>
        <w:t>2</w:t>
      </w:r>
      <w:r>
        <w:rPr>
          <w:rFonts w:ascii="Times New Roman" w:hAnsi="Times New Roman" w:cs="Times New Roman"/>
        </w:rPr>
        <w:t xml:space="preserve"> price assumptions and </w:t>
      </w:r>
      <w:proofErr w:type="gramStart"/>
      <w:r>
        <w:rPr>
          <w:rFonts w:ascii="Times New Roman" w:hAnsi="Times New Roman" w:cs="Times New Roman"/>
        </w:rPr>
        <w:t>PVRR(</w:t>
      </w:r>
      <w:proofErr w:type="gramEnd"/>
      <w:r>
        <w:rPr>
          <w:rFonts w:ascii="Times New Roman" w:hAnsi="Times New Roman" w:cs="Times New Roman"/>
        </w:rPr>
        <w:t xml:space="preserve">d) results presented in the 2013 IRP Update is documented in Exhibit No. </w:t>
      </w:r>
      <w:proofErr w:type="gramStart"/>
      <w:r>
        <w:rPr>
          <w:rFonts w:ascii="Times New Roman" w:hAnsi="Times New Roman" w:cs="Times New Roman"/>
        </w:rPr>
        <w:t>RTL-10C to my direct testimony.</w:t>
      </w:r>
      <w:proofErr w:type="gramEnd"/>
    </w:p>
    <w:p w:rsidR="000F4909" w:rsidRDefault="000F4909" w:rsidP="000F4909">
      <w:pPr>
        <w:spacing w:line="480" w:lineRule="auto"/>
        <w:ind w:left="720" w:hanging="720"/>
        <w:rPr>
          <w:rFonts w:ascii="Times New Roman" w:hAnsi="Times New Roman" w:cs="Times New Roman"/>
        </w:rPr>
      </w:pPr>
      <w:proofErr w:type="gramStart"/>
      <w:r w:rsidRPr="0053680D">
        <w:rPr>
          <w:rFonts w:ascii="Times New Roman" w:hAnsi="Times New Roman" w:cs="Times New Roman"/>
          <w:b/>
          <w:bCs/>
        </w:rPr>
        <w:t>Q.</w:t>
      </w:r>
      <w:r w:rsidRPr="0053680D">
        <w:rPr>
          <w:rFonts w:ascii="Times New Roman" w:hAnsi="Times New Roman" w:cs="Times New Roman"/>
          <w:b/>
          <w:bCs/>
        </w:rPr>
        <w:tab/>
      </w:r>
      <w:r w:rsidR="00FC2C0A">
        <w:rPr>
          <w:rFonts w:ascii="Times New Roman" w:hAnsi="Times New Roman" w:cs="Times New Roman"/>
          <w:b/>
          <w:bCs/>
        </w:rPr>
        <w:t>Were</w:t>
      </w:r>
      <w:proofErr w:type="gramEnd"/>
      <w:r w:rsidR="00FC2C0A">
        <w:rPr>
          <w:rFonts w:ascii="Times New Roman" w:hAnsi="Times New Roman" w:cs="Times New Roman"/>
          <w:b/>
          <w:bCs/>
        </w:rPr>
        <w:t xml:space="preserve"> the Company’s CO</w:t>
      </w:r>
      <w:r w:rsidR="00FC2C0A">
        <w:rPr>
          <w:rFonts w:ascii="Times New Roman" w:hAnsi="Times New Roman" w:cs="Times New Roman"/>
          <w:b/>
          <w:bCs/>
          <w:vertAlign w:val="subscript"/>
        </w:rPr>
        <w:t>2</w:t>
      </w:r>
      <w:r w:rsidR="00FC2C0A">
        <w:rPr>
          <w:rFonts w:ascii="Times New Roman" w:hAnsi="Times New Roman" w:cs="Times New Roman"/>
          <w:b/>
          <w:bCs/>
        </w:rPr>
        <w:t xml:space="preserve"> price assumptions used in the Jim Bridger SCR analysis reported in the 2013 IRP reasonable when the Company prepared the 2013 IRP Update?</w:t>
      </w:r>
    </w:p>
    <w:p w:rsidR="000F4909" w:rsidRDefault="000F4909" w:rsidP="000F4909">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A024C3">
        <w:rPr>
          <w:rFonts w:ascii="Times New Roman" w:hAnsi="Times New Roman" w:cs="Times New Roman"/>
        </w:rPr>
        <w:t xml:space="preserve"> </w:t>
      </w:r>
      <w:r w:rsidR="00385CC5">
        <w:rPr>
          <w:rFonts w:ascii="Times New Roman" w:hAnsi="Times New Roman" w:cs="Times New Roman"/>
        </w:rPr>
        <w:t>The 2013 IRP Update references the Presidential Memorandum issued June 25, 2013</w:t>
      </w:r>
      <w:r w:rsidR="00AB730B">
        <w:rPr>
          <w:rFonts w:ascii="Times New Roman" w:hAnsi="Times New Roman" w:cs="Times New Roman"/>
        </w:rPr>
        <w:t>,</w:t>
      </w:r>
      <w:r w:rsidR="00385CC5">
        <w:rPr>
          <w:rFonts w:ascii="Times New Roman" w:hAnsi="Times New Roman" w:cs="Times New Roman"/>
        </w:rPr>
        <w:t xml:space="preserve"> directing EPA to propose standards, regulations, or guidelines to address carbon emissions from existing power plants. </w:t>
      </w:r>
      <w:r w:rsidR="009F3EEA">
        <w:rPr>
          <w:rFonts w:ascii="Times New Roman" w:hAnsi="Times New Roman" w:cs="Times New Roman"/>
        </w:rPr>
        <w:t xml:space="preserve"> </w:t>
      </w:r>
      <w:r w:rsidR="00385CC5">
        <w:rPr>
          <w:rFonts w:ascii="Times New Roman" w:hAnsi="Times New Roman" w:cs="Times New Roman"/>
        </w:rPr>
        <w:t xml:space="preserve">The Presidential Memorandum laid out a timeline </w:t>
      </w:r>
      <w:r w:rsidR="00FC2C0A">
        <w:rPr>
          <w:rFonts w:ascii="Times New Roman" w:hAnsi="Times New Roman" w:cs="Times New Roman"/>
        </w:rPr>
        <w:t>directing EPA</w:t>
      </w:r>
      <w:r w:rsidR="00385CC5">
        <w:rPr>
          <w:rFonts w:ascii="Times New Roman" w:hAnsi="Times New Roman" w:cs="Times New Roman"/>
        </w:rPr>
        <w:t xml:space="preserve"> </w:t>
      </w:r>
      <w:r w:rsidR="00FC2C0A">
        <w:rPr>
          <w:rFonts w:ascii="Times New Roman" w:hAnsi="Times New Roman" w:cs="Times New Roman"/>
        </w:rPr>
        <w:t xml:space="preserve">to issue the </w:t>
      </w:r>
      <w:r w:rsidR="00385CC5">
        <w:rPr>
          <w:rFonts w:ascii="Times New Roman" w:hAnsi="Times New Roman" w:cs="Times New Roman"/>
        </w:rPr>
        <w:t>proposed standards, regulations, or guidelines by June 1, 2014</w:t>
      </w:r>
      <w:r w:rsidR="00D11615">
        <w:rPr>
          <w:rFonts w:ascii="Times New Roman" w:hAnsi="Times New Roman" w:cs="Times New Roman"/>
        </w:rPr>
        <w:t>,</w:t>
      </w:r>
      <w:r w:rsidR="00FC2C0A">
        <w:rPr>
          <w:rFonts w:ascii="Times New Roman" w:hAnsi="Times New Roman" w:cs="Times New Roman"/>
        </w:rPr>
        <w:t xml:space="preserve"> and</w:t>
      </w:r>
      <w:r w:rsidR="00385CC5">
        <w:rPr>
          <w:rFonts w:ascii="Times New Roman" w:hAnsi="Times New Roman" w:cs="Times New Roman"/>
        </w:rPr>
        <w:t xml:space="preserve"> </w:t>
      </w:r>
      <w:r w:rsidR="00FC2C0A">
        <w:rPr>
          <w:rFonts w:ascii="Times New Roman" w:hAnsi="Times New Roman" w:cs="Times New Roman"/>
        </w:rPr>
        <w:t>to finalize them</w:t>
      </w:r>
      <w:r w:rsidR="00385CC5">
        <w:rPr>
          <w:rFonts w:ascii="Times New Roman" w:hAnsi="Times New Roman" w:cs="Times New Roman"/>
        </w:rPr>
        <w:t xml:space="preserve"> by June 1, 2015</w:t>
      </w:r>
      <w:r w:rsidR="00FC2C0A">
        <w:rPr>
          <w:rFonts w:ascii="Times New Roman" w:hAnsi="Times New Roman" w:cs="Times New Roman"/>
        </w:rPr>
        <w:t>.</w:t>
      </w:r>
      <w:r w:rsidR="00915B44">
        <w:rPr>
          <w:rFonts w:ascii="Times New Roman" w:hAnsi="Times New Roman" w:cs="Times New Roman"/>
        </w:rPr>
        <w:t xml:space="preserve"> </w:t>
      </w:r>
      <w:r w:rsidR="00FC2C0A">
        <w:rPr>
          <w:rFonts w:ascii="Times New Roman" w:hAnsi="Times New Roman" w:cs="Times New Roman"/>
        </w:rPr>
        <w:t xml:space="preserve"> The timeline also directed that </w:t>
      </w:r>
      <w:r w:rsidR="00385CC5">
        <w:rPr>
          <w:rFonts w:ascii="Times New Roman" w:hAnsi="Times New Roman" w:cs="Times New Roman"/>
        </w:rPr>
        <w:t xml:space="preserve">state implementation plans </w:t>
      </w:r>
      <w:r w:rsidR="00F73497">
        <w:rPr>
          <w:rFonts w:ascii="Times New Roman" w:hAnsi="Times New Roman" w:cs="Times New Roman"/>
        </w:rPr>
        <w:t xml:space="preserve">are </w:t>
      </w:r>
      <w:r w:rsidR="00FC2C0A">
        <w:rPr>
          <w:rFonts w:ascii="Times New Roman" w:hAnsi="Times New Roman" w:cs="Times New Roman"/>
        </w:rPr>
        <w:t xml:space="preserve">to be completed </w:t>
      </w:r>
      <w:r w:rsidR="00385CC5">
        <w:rPr>
          <w:rFonts w:ascii="Times New Roman" w:hAnsi="Times New Roman" w:cs="Times New Roman"/>
        </w:rPr>
        <w:t>by June 30, 2016.</w:t>
      </w:r>
      <w:r w:rsidR="009F3EEA">
        <w:rPr>
          <w:rFonts w:ascii="Times New Roman" w:hAnsi="Times New Roman" w:cs="Times New Roman"/>
        </w:rPr>
        <w:t xml:space="preserve"> </w:t>
      </w:r>
      <w:r w:rsidR="00385CC5">
        <w:rPr>
          <w:rFonts w:ascii="Times New Roman" w:hAnsi="Times New Roman" w:cs="Times New Roman"/>
        </w:rPr>
        <w:t xml:space="preserve"> </w:t>
      </w:r>
      <w:r w:rsidR="00FC2C0A">
        <w:rPr>
          <w:rFonts w:ascii="Times New Roman" w:hAnsi="Times New Roman" w:cs="Times New Roman"/>
        </w:rPr>
        <w:t>As reported in the 2013 IRP Update, the Presidential Memorandum did not include any detail on how EPA might approach this directive or what the resulting standards, regulations, or guidelines might require.</w:t>
      </w:r>
      <w:r w:rsidR="00FC2C0A">
        <w:rPr>
          <w:rStyle w:val="FootnoteReference"/>
          <w:rFonts w:ascii="Times New Roman" w:hAnsi="Times New Roman"/>
        </w:rPr>
        <w:footnoteReference w:id="39"/>
      </w:r>
      <w:r w:rsidR="00FC2C0A">
        <w:rPr>
          <w:rFonts w:ascii="Times New Roman" w:hAnsi="Times New Roman" w:cs="Times New Roman"/>
        </w:rPr>
        <w:t xml:space="preserve"> </w:t>
      </w:r>
      <w:r w:rsidR="009F3EEA">
        <w:rPr>
          <w:rFonts w:ascii="Times New Roman" w:hAnsi="Times New Roman" w:cs="Times New Roman"/>
        </w:rPr>
        <w:t xml:space="preserve"> </w:t>
      </w:r>
      <w:r w:rsidR="00FC2C0A">
        <w:rPr>
          <w:rFonts w:ascii="Times New Roman" w:hAnsi="Times New Roman" w:cs="Times New Roman"/>
        </w:rPr>
        <w:t xml:space="preserve">The Company had no indication and </w:t>
      </w:r>
      <w:r w:rsidR="00AB730B">
        <w:rPr>
          <w:rFonts w:ascii="Times New Roman" w:hAnsi="Times New Roman" w:cs="Times New Roman"/>
        </w:rPr>
        <w:t xml:space="preserve">no way </w:t>
      </w:r>
      <w:r w:rsidR="00FC2C0A">
        <w:rPr>
          <w:rFonts w:ascii="Times New Roman" w:hAnsi="Times New Roman" w:cs="Times New Roman"/>
        </w:rPr>
        <w:t>of knowing how the directive from the Presidential Memorandum might influence costs for existing coal facilities until the draft rule was issued by EPA in June 2014—</w:t>
      </w:r>
      <w:r w:rsidR="00FC2C0A" w:rsidRPr="00302504">
        <w:rPr>
          <w:rFonts w:ascii="Times New Roman" w:hAnsi="Times New Roman" w:cs="Times New Roman"/>
          <w:i/>
        </w:rPr>
        <w:t>after</w:t>
      </w:r>
      <w:r w:rsidR="00FC2C0A">
        <w:rPr>
          <w:rFonts w:ascii="Times New Roman" w:hAnsi="Times New Roman" w:cs="Times New Roman"/>
        </w:rPr>
        <w:t xml:space="preserve"> the Company issued its </w:t>
      </w:r>
      <w:r w:rsidR="00EB38AF">
        <w:rPr>
          <w:rFonts w:ascii="Times New Roman" w:hAnsi="Times New Roman" w:cs="Times New Roman"/>
        </w:rPr>
        <w:t>FNTP</w:t>
      </w:r>
      <w:r w:rsidR="00EB38AF" w:rsidDel="00EB38AF">
        <w:rPr>
          <w:rFonts w:ascii="Times New Roman" w:hAnsi="Times New Roman" w:cs="Times New Roman"/>
        </w:rPr>
        <w:t xml:space="preserve"> </w:t>
      </w:r>
      <w:r w:rsidR="00FC2C0A">
        <w:rPr>
          <w:rFonts w:ascii="Times New Roman" w:hAnsi="Times New Roman" w:cs="Times New Roman"/>
        </w:rPr>
        <w:t xml:space="preserve">to the EPC contractor in December 2013 and </w:t>
      </w:r>
      <w:r w:rsidR="00FC2C0A" w:rsidRPr="00302504">
        <w:rPr>
          <w:rFonts w:ascii="Times New Roman" w:hAnsi="Times New Roman" w:cs="Times New Roman"/>
          <w:i/>
        </w:rPr>
        <w:t>after</w:t>
      </w:r>
      <w:r w:rsidR="00FC2C0A">
        <w:rPr>
          <w:rFonts w:ascii="Times New Roman" w:hAnsi="Times New Roman" w:cs="Times New Roman"/>
        </w:rPr>
        <w:t xml:space="preserve"> the 2013 IRP Update was filed in March 2014.</w:t>
      </w:r>
    </w:p>
    <w:p w:rsidR="00402E66" w:rsidRDefault="00402E66" w:rsidP="00402E66">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Did the Company explain why its CO</w:t>
      </w:r>
      <w:r>
        <w:rPr>
          <w:rFonts w:ascii="Times New Roman" w:hAnsi="Times New Roman" w:cs="Times New Roman"/>
          <w:b/>
          <w:bCs/>
          <w:vertAlign w:val="subscript"/>
        </w:rPr>
        <w:t>2</w:t>
      </w:r>
      <w:r>
        <w:rPr>
          <w:rFonts w:ascii="Times New Roman" w:hAnsi="Times New Roman" w:cs="Times New Roman"/>
          <w:b/>
          <w:bCs/>
        </w:rPr>
        <w:t xml:space="preserve"> price assumptions had not changed when it filed the 2013 IRP Update?</w:t>
      </w:r>
    </w:p>
    <w:p w:rsidR="00402E66" w:rsidRPr="002E41FD" w:rsidRDefault="00402E66" w:rsidP="00405C0F">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915B44">
        <w:rPr>
          <w:rFonts w:ascii="Times New Roman" w:hAnsi="Times New Roman" w:cs="Times New Roman"/>
        </w:rPr>
        <w:t xml:space="preserve"> </w:t>
      </w:r>
      <w:r>
        <w:rPr>
          <w:rFonts w:ascii="Times New Roman" w:hAnsi="Times New Roman" w:cs="Times New Roman"/>
        </w:rPr>
        <w:t>The 2013 IRP Update specifically addresses why the Presidential Memorandum did not influence is CO</w:t>
      </w:r>
      <w:r>
        <w:rPr>
          <w:rFonts w:ascii="Times New Roman" w:hAnsi="Times New Roman" w:cs="Times New Roman"/>
          <w:vertAlign w:val="subscript"/>
        </w:rPr>
        <w:t>2</w:t>
      </w:r>
      <w:r>
        <w:rPr>
          <w:rFonts w:ascii="Times New Roman" w:hAnsi="Times New Roman" w:cs="Times New Roman"/>
        </w:rPr>
        <w:t xml:space="preserve"> price assumptions. </w:t>
      </w:r>
      <w:r w:rsidR="00915B44">
        <w:rPr>
          <w:rFonts w:ascii="Times New Roman" w:hAnsi="Times New Roman" w:cs="Times New Roman"/>
        </w:rPr>
        <w:t xml:space="preserve"> </w:t>
      </w:r>
      <w:r>
        <w:rPr>
          <w:rFonts w:ascii="Times New Roman" w:hAnsi="Times New Roman" w:cs="Times New Roman"/>
        </w:rPr>
        <w:t xml:space="preserve">In Chapter 4 of the 2013 IRP Update, the </w:t>
      </w:r>
      <w:r w:rsidRPr="002E41FD">
        <w:rPr>
          <w:rFonts w:ascii="Times New Roman" w:hAnsi="Times New Roman" w:cs="Times New Roman"/>
        </w:rPr>
        <w:t>Company explain</w:t>
      </w:r>
      <w:r w:rsidR="00633F18">
        <w:rPr>
          <w:rFonts w:ascii="Times New Roman" w:hAnsi="Times New Roman" w:cs="Times New Roman"/>
        </w:rPr>
        <w:t>ed</w:t>
      </w:r>
      <w:r w:rsidRPr="002E41FD">
        <w:rPr>
          <w:rFonts w:ascii="Times New Roman" w:hAnsi="Times New Roman" w:cs="Times New Roman"/>
        </w:rPr>
        <w:t>:</w:t>
      </w:r>
    </w:p>
    <w:p w:rsidR="00402E66" w:rsidRPr="006B32C9" w:rsidRDefault="00E5492A" w:rsidP="00302504">
      <w:pPr>
        <w:spacing w:after="240"/>
        <w:ind w:left="1440" w:right="1080"/>
        <w:rPr>
          <w:rFonts w:ascii="Times New Roman" w:hAnsi="Times New Roman" w:cs="Times New Roman"/>
        </w:rPr>
      </w:pPr>
      <w:r>
        <w:rPr>
          <w:rFonts w:ascii="Times New Roman" w:hAnsi="Times New Roman" w:cs="Times New Roman"/>
        </w:rPr>
        <w:t>“</w:t>
      </w:r>
      <w:r w:rsidR="00402E66" w:rsidRPr="006B32C9">
        <w:rPr>
          <w:rFonts w:ascii="Times New Roman" w:hAnsi="Times New Roman" w:cs="Times New Roman"/>
        </w:rPr>
        <w:t>Absent information on how EPA intends to proceed with its rule-making process, and without any information on how individual states will propose to implement those regulations through a SIP, there is currently no means to develop a specific CO</w:t>
      </w:r>
      <w:r w:rsidR="00402E66" w:rsidRPr="00302504">
        <w:rPr>
          <w:rFonts w:ascii="Times New Roman" w:hAnsi="Times New Roman" w:cs="Times New Roman"/>
          <w:vertAlign w:val="subscript"/>
        </w:rPr>
        <w:t>2</w:t>
      </w:r>
      <w:r w:rsidR="00402E66" w:rsidRPr="006B32C9">
        <w:rPr>
          <w:rFonts w:ascii="Times New Roman" w:hAnsi="Times New Roman" w:cs="Times New Roman"/>
        </w:rPr>
        <w:t xml:space="preserve"> price assumption that accurately reflects potential CO</w:t>
      </w:r>
      <w:r w:rsidR="00402E66" w:rsidRPr="00302504">
        <w:rPr>
          <w:rFonts w:ascii="Times New Roman" w:hAnsi="Times New Roman" w:cs="Times New Roman"/>
          <w:vertAlign w:val="subscript"/>
        </w:rPr>
        <w:t>2</w:t>
      </w:r>
      <w:r w:rsidR="00402E66" w:rsidRPr="006B32C9">
        <w:rPr>
          <w:rFonts w:ascii="Times New Roman" w:hAnsi="Times New Roman" w:cs="Times New Roman"/>
        </w:rPr>
        <w:t xml:space="preserve"> regulation. PacifiCorp’s review of current third-party CO</w:t>
      </w:r>
      <w:r w:rsidR="00402E66" w:rsidRPr="00302504">
        <w:rPr>
          <w:rFonts w:ascii="Times New Roman" w:hAnsi="Times New Roman" w:cs="Times New Roman"/>
          <w:vertAlign w:val="subscript"/>
        </w:rPr>
        <w:t>2</w:t>
      </w:r>
      <w:r w:rsidR="00402E66" w:rsidRPr="006B32C9">
        <w:rPr>
          <w:rFonts w:ascii="Times New Roman" w:hAnsi="Times New Roman" w:cs="Times New Roman"/>
        </w:rPr>
        <w:t xml:space="preserve"> price forecasts shows that despite issuance of the Presidential Memorandum, these forecasters have not materially altered either their assumed CO</w:t>
      </w:r>
      <w:r w:rsidR="00402E66" w:rsidRPr="00302504">
        <w:rPr>
          <w:rFonts w:ascii="Times New Roman" w:hAnsi="Times New Roman" w:cs="Times New Roman"/>
          <w:vertAlign w:val="subscript"/>
        </w:rPr>
        <w:t>2</w:t>
      </w:r>
      <w:r w:rsidR="00402E66" w:rsidRPr="006B32C9">
        <w:rPr>
          <w:rFonts w:ascii="Times New Roman" w:hAnsi="Times New Roman" w:cs="Times New Roman"/>
        </w:rPr>
        <w:t xml:space="preserve"> start date or price level. In the 2013 IRP Update, PacifiCorp continues to assume a CO</w:t>
      </w:r>
      <w:r w:rsidR="00402E66" w:rsidRPr="00302504">
        <w:rPr>
          <w:rFonts w:ascii="Times New Roman" w:hAnsi="Times New Roman" w:cs="Times New Roman"/>
          <w:vertAlign w:val="subscript"/>
        </w:rPr>
        <w:t>2</w:t>
      </w:r>
      <w:r w:rsidR="00402E66" w:rsidRPr="006B32C9">
        <w:rPr>
          <w:rFonts w:ascii="Times New Roman" w:hAnsi="Times New Roman" w:cs="Times New Roman"/>
        </w:rPr>
        <w:t xml:space="preserve"> price signal beginning 2022 at $16/ton escalating at three percent plus inflation thereafter, and expects to update its CO</w:t>
      </w:r>
      <w:r w:rsidR="00402E66" w:rsidRPr="00302504">
        <w:rPr>
          <w:rFonts w:ascii="Times New Roman" w:hAnsi="Times New Roman" w:cs="Times New Roman"/>
          <w:vertAlign w:val="subscript"/>
        </w:rPr>
        <w:t>2</w:t>
      </w:r>
      <w:r w:rsidR="00402E66" w:rsidRPr="006B32C9">
        <w:rPr>
          <w:rFonts w:ascii="Times New Roman" w:hAnsi="Times New Roman" w:cs="Times New Roman"/>
        </w:rPr>
        <w:t xml:space="preserve"> policy assumptions and scenarios in the 2015 IRP, taking into consideration the proposed standard, regulation, or guidelines expected to be issued by EPA later this year.</w:t>
      </w:r>
      <w:r>
        <w:rPr>
          <w:rFonts w:ascii="Times New Roman" w:hAnsi="Times New Roman" w:cs="Times New Roman"/>
        </w:rPr>
        <w:t>”</w:t>
      </w:r>
      <w:r w:rsidR="00402E66" w:rsidRPr="006B32C9">
        <w:rPr>
          <w:rStyle w:val="FootnoteReference"/>
          <w:rFonts w:ascii="Times New Roman" w:hAnsi="Times New Roman"/>
        </w:rPr>
        <w:footnoteReference w:id="40"/>
      </w:r>
    </w:p>
    <w:p w:rsidR="00402E66" w:rsidRDefault="00402E66" w:rsidP="00402E66">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Did the Company adequately respond to the Commission’s request for analysis in the 2013 IRP Update?</w:t>
      </w:r>
    </w:p>
    <w:p w:rsidR="00402E66" w:rsidRPr="00402E66" w:rsidRDefault="00402E66" w:rsidP="00402E66">
      <w:pPr>
        <w:spacing w:line="480" w:lineRule="auto"/>
        <w:ind w:left="720" w:hanging="720"/>
        <w:rPr>
          <w:rFonts w:ascii="Times New Roman" w:hAnsi="Times New Roman" w:cs="Times New Roman"/>
          <w:b/>
          <w:bCs/>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 xml:space="preserve">Yes. </w:t>
      </w:r>
      <w:r w:rsidR="009F3EEA">
        <w:rPr>
          <w:rFonts w:ascii="Times New Roman" w:hAnsi="Times New Roman" w:cs="Times New Roman"/>
        </w:rPr>
        <w:t xml:space="preserve"> </w:t>
      </w:r>
      <w:r w:rsidR="001B3F8A">
        <w:rPr>
          <w:rFonts w:ascii="Times New Roman" w:hAnsi="Times New Roman" w:cs="Times New Roman"/>
        </w:rPr>
        <w:t>Contrary to Staff’s claim that the Company’s response in the 2013 IRP Update was not acceptable, a</w:t>
      </w:r>
      <w:r>
        <w:rPr>
          <w:rFonts w:ascii="Times New Roman" w:hAnsi="Times New Roman" w:cs="Times New Roman"/>
        </w:rPr>
        <w:t>s discussed above, the Company provided break-even natural gas and CO</w:t>
      </w:r>
      <w:r>
        <w:rPr>
          <w:rFonts w:ascii="Times New Roman" w:hAnsi="Times New Roman" w:cs="Times New Roman"/>
          <w:vertAlign w:val="subscript"/>
        </w:rPr>
        <w:t>2</w:t>
      </w:r>
      <w:r>
        <w:rPr>
          <w:rFonts w:ascii="Times New Roman" w:hAnsi="Times New Roman" w:cs="Times New Roman"/>
        </w:rPr>
        <w:t xml:space="preserve"> price </w:t>
      </w:r>
      <w:r w:rsidR="001B3F8A">
        <w:rPr>
          <w:rFonts w:ascii="Times New Roman" w:hAnsi="Times New Roman" w:cs="Times New Roman"/>
        </w:rPr>
        <w:t>analysis as requested by the Commission</w:t>
      </w:r>
      <w:r>
        <w:rPr>
          <w:rFonts w:ascii="Times New Roman" w:hAnsi="Times New Roman" w:cs="Times New Roman"/>
        </w:rPr>
        <w:t xml:space="preserve">. </w:t>
      </w:r>
      <w:r w:rsidR="009F3EEA">
        <w:rPr>
          <w:rFonts w:ascii="Times New Roman" w:hAnsi="Times New Roman" w:cs="Times New Roman"/>
        </w:rPr>
        <w:t xml:space="preserve"> </w:t>
      </w:r>
      <w:r>
        <w:rPr>
          <w:rFonts w:ascii="Times New Roman" w:hAnsi="Times New Roman" w:cs="Times New Roman"/>
        </w:rPr>
        <w:t>The Company further explained why the CO</w:t>
      </w:r>
      <w:r>
        <w:rPr>
          <w:rFonts w:ascii="Times New Roman" w:hAnsi="Times New Roman" w:cs="Times New Roman"/>
          <w:vertAlign w:val="subscript"/>
        </w:rPr>
        <w:t>2</w:t>
      </w:r>
      <w:r>
        <w:rPr>
          <w:rFonts w:ascii="Times New Roman" w:hAnsi="Times New Roman" w:cs="Times New Roman"/>
        </w:rPr>
        <w:t xml:space="preserve"> price assumptions used in the analysis that was presented in the 2013 IRP remained valid at the time the 2013 IRP Update was filed.</w:t>
      </w:r>
      <w:r w:rsidR="001B3F8A">
        <w:rPr>
          <w:rFonts w:ascii="Times New Roman" w:hAnsi="Times New Roman" w:cs="Times New Roman"/>
        </w:rPr>
        <w:t xml:space="preserve"> </w:t>
      </w:r>
    </w:p>
    <w:p w:rsidR="007664FC" w:rsidRDefault="007664FC" w:rsidP="009177A8">
      <w:pPr>
        <w:pStyle w:val="Heading1"/>
      </w:pPr>
      <w:bookmarkStart w:id="7" w:name="_Toc447715559"/>
      <w:r>
        <w:t>WCA AN</w:t>
      </w:r>
      <w:r w:rsidR="00915B44">
        <w:t>A</w:t>
      </w:r>
      <w:r>
        <w:t>LYSIS</w:t>
      </w:r>
      <w:bookmarkEnd w:id="7"/>
    </w:p>
    <w:p w:rsidR="00E46309" w:rsidRPr="007664FC" w:rsidRDefault="00E46309" w:rsidP="00E46309">
      <w:pPr>
        <w:spacing w:line="480" w:lineRule="auto"/>
        <w:ind w:left="720" w:hanging="720"/>
        <w:rPr>
          <w:rFonts w:ascii="Times New Roman" w:hAnsi="Times New Roman" w:cs="Times New Roman"/>
          <w:b/>
          <w:bCs/>
        </w:rPr>
      </w:pPr>
      <w:r w:rsidRPr="007664FC">
        <w:rPr>
          <w:rFonts w:ascii="Times New Roman" w:hAnsi="Times New Roman" w:cs="Times New Roman"/>
          <w:b/>
          <w:bCs/>
        </w:rPr>
        <w:t>Q.</w:t>
      </w:r>
      <w:r w:rsidRPr="007664FC">
        <w:rPr>
          <w:rFonts w:ascii="Times New Roman" w:hAnsi="Times New Roman" w:cs="Times New Roman"/>
          <w:b/>
          <w:bCs/>
        </w:rPr>
        <w:tab/>
      </w:r>
      <w:r>
        <w:rPr>
          <w:rFonts w:ascii="Times New Roman" w:hAnsi="Times New Roman" w:cs="Times New Roman"/>
          <w:b/>
          <w:bCs/>
        </w:rPr>
        <w:t>Does the Company suggest its WCA analysis should be used for prudency review?</w:t>
      </w:r>
    </w:p>
    <w:p w:rsidR="00E46309" w:rsidRDefault="00E46309" w:rsidP="00E46309">
      <w:pPr>
        <w:spacing w:line="480" w:lineRule="auto"/>
        <w:ind w:left="720" w:hanging="720"/>
        <w:rPr>
          <w:rFonts w:ascii="Times New Roman" w:hAnsi="Times New Roman" w:cs="Times New Roman"/>
          <w:b/>
          <w:bCs/>
        </w:rPr>
      </w:pPr>
      <w:r w:rsidRPr="007664FC">
        <w:rPr>
          <w:rFonts w:ascii="Times New Roman" w:hAnsi="Times New Roman" w:cs="Times New Roman"/>
        </w:rPr>
        <w:t>A.</w:t>
      </w:r>
      <w:r w:rsidRPr="007664FC">
        <w:rPr>
          <w:rFonts w:ascii="Times New Roman" w:hAnsi="Times New Roman" w:cs="Times New Roman"/>
        </w:rPr>
        <w:tab/>
      </w:r>
      <w:r>
        <w:rPr>
          <w:rFonts w:ascii="Times New Roman" w:hAnsi="Times New Roman" w:cs="Times New Roman"/>
        </w:rPr>
        <w:t>No.</w:t>
      </w:r>
      <w:r w:rsidR="009F3EEA">
        <w:rPr>
          <w:rFonts w:ascii="Times New Roman" w:hAnsi="Times New Roman" w:cs="Times New Roman"/>
        </w:rPr>
        <w:t xml:space="preserve"> </w:t>
      </w:r>
      <w:r>
        <w:rPr>
          <w:rFonts w:ascii="Times New Roman" w:hAnsi="Times New Roman" w:cs="Times New Roman"/>
        </w:rPr>
        <w:t xml:space="preserve"> As stated in my direct testimony, the Company conducts its resource planning on a total-</w:t>
      </w:r>
      <w:r w:rsidR="00915B44">
        <w:rPr>
          <w:rFonts w:ascii="Times New Roman" w:hAnsi="Times New Roman" w:cs="Times New Roman"/>
        </w:rPr>
        <w:t>co</w:t>
      </w:r>
      <w:r>
        <w:rPr>
          <w:rFonts w:ascii="Times New Roman" w:hAnsi="Times New Roman" w:cs="Times New Roman"/>
        </w:rPr>
        <w:t>mpany basis</w:t>
      </w:r>
      <w:r w:rsidR="00583749">
        <w:rPr>
          <w:rFonts w:ascii="Times New Roman" w:hAnsi="Times New Roman" w:cs="Times New Roman"/>
        </w:rPr>
        <w:t xml:space="preserve">. </w:t>
      </w:r>
      <w:r>
        <w:rPr>
          <w:rFonts w:ascii="Times New Roman" w:hAnsi="Times New Roman" w:cs="Times New Roman"/>
        </w:rPr>
        <w:t xml:space="preserve"> </w:t>
      </w:r>
      <w:r w:rsidR="00583749">
        <w:rPr>
          <w:rFonts w:ascii="Times New Roman" w:hAnsi="Times New Roman" w:cs="Times New Roman"/>
        </w:rPr>
        <w:t>B</w:t>
      </w:r>
      <w:r>
        <w:rPr>
          <w:rFonts w:ascii="Times New Roman" w:hAnsi="Times New Roman" w:cs="Times New Roman"/>
        </w:rPr>
        <w:t xml:space="preserve">ase case results </w:t>
      </w:r>
      <w:r w:rsidR="008C31BF">
        <w:rPr>
          <w:rFonts w:ascii="Times New Roman" w:hAnsi="Times New Roman" w:cs="Times New Roman"/>
        </w:rPr>
        <w:t xml:space="preserve">calculated </w:t>
      </w:r>
      <w:r w:rsidR="00583749">
        <w:rPr>
          <w:rFonts w:ascii="Times New Roman" w:hAnsi="Times New Roman" w:cs="Times New Roman"/>
        </w:rPr>
        <w:t xml:space="preserve">on a </w:t>
      </w:r>
      <w:r w:rsidR="008C31BF">
        <w:rPr>
          <w:rFonts w:ascii="Times New Roman" w:hAnsi="Times New Roman" w:cs="Times New Roman"/>
        </w:rPr>
        <w:t>WCA</w:t>
      </w:r>
      <w:r w:rsidR="00583749">
        <w:rPr>
          <w:rFonts w:ascii="Times New Roman" w:hAnsi="Times New Roman" w:cs="Times New Roman"/>
        </w:rPr>
        <w:t>-basis</w:t>
      </w:r>
      <w:r w:rsidR="008C31BF">
        <w:rPr>
          <w:rFonts w:ascii="Times New Roman" w:hAnsi="Times New Roman" w:cs="Times New Roman"/>
        </w:rPr>
        <w:t xml:space="preserve"> </w:t>
      </w:r>
      <w:r>
        <w:rPr>
          <w:rFonts w:ascii="Times New Roman" w:hAnsi="Times New Roman" w:cs="Times New Roman"/>
        </w:rPr>
        <w:t xml:space="preserve">were </w:t>
      </w:r>
      <w:r w:rsidR="00583749">
        <w:rPr>
          <w:rFonts w:ascii="Times New Roman" w:hAnsi="Times New Roman" w:cs="Times New Roman"/>
        </w:rPr>
        <w:t xml:space="preserve">provided </w:t>
      </w:r>
      <w:r>
        <w:rPr>
          <w:rFonts w:ascii="Times New Roman" w:hAnsi="Times New Roman" w:cs="Times New Roman"/>
        </w:rPr>
        <w:t>for illustrative purposes</w:t>
      </w:r>
      <w:r w:rsidR="00583749">
        <w:rPr>
          <w:rFonts w:ascii="Times New Roman" w:hAnsi="Times New Roman" w:cs="Times New Roman"/>
        </w:rPr>
        <w:t xml:space="preserve"> only</w:t>
      </w:r>
      <w:r>
        <w:rPr>
          <w:rFonts w:ascii="Times New Roman" w:hAnsi="Times New Roman" w:cs="Times New Roman"/>
        </w:rPr>
        <w:t>.</w:t>
      </w:r>
    </w:p>
    <w:p w:rsidR="007664FC" w:rsidRPr="007664FC" w:rsidRDefault="007664FC" w:rsidP="007664FC">
      <w:pPr>
        <w:spacing w:line="480" w:lineRule="auto"/>
        <w:ind w:left="720" w:hanging="720"/>
        <w:rPr>
          <w:rFonts w:ascii="Times New Roman" w:hAnsi="Times New Roman" w:cs="Times New Roman"/>
          <w:b/>
          <w:bCs/>
        </w:rPr>
      </w:pPr>
      <w:r w:rsidRPr="007664FC">
        <w:rPr>
          <w:rFonts w:ascii="Times New Roman" w:hAnsi="Times New Roman" w:cs="Times New Roman"/>
          <w:b/>
          <w:bCs/>
        </w:rPr>
        <w:t>Q.</w:t>
      </w:r>
      <w:r w:rsidRPr="007664FC">
        <w:rPr>
          <w:rFonts w:ascii="Times New Roman" w:hAnsi="Times New Roman" w:cs="Times New Roman"/>
          <w:b/>
          <w:bCs/>
        </w:rPr>
        <w:tab/>
      </w:r>
      <w:r>
        <w:rPr>
          <w:rFonts w:ascii="Times New Roman" w:hAnsi="Times New Roman" w:cs="Times New Roman"/>
          <w:b/>
          <w:bCs/>
        </w:rPr>
        <w:t>Staff suggests that the WCA analysis</w:t>
      </w:r>
      <w:r w:rsidRPr="007664FC">
        <w:rPr>
          <w:rFonts w:ascii="Times New Roman" w:hAnsi="Times New Roman" w:cs="Times New Roman"/>
          <w:b/>
          <w:bCs/>
        </w:rPr>
        <w:t xml:space="preserve"> </w:t>
      </w:r>
      <w:r>
        <w:rPr>
          <w:rFonts w:ascii="Times New Roman" w:hAnsi="Times New Roman" w:cs="Times New Roman"/>
          <w:b/>
          <w:bCs/>
        </w:rPr>
        <w:t>presented by the Company is unreasonable.</w:t>
      </w:r>
      <w:r w:rsidR="009A2474">
        <w:rPr>
          <w:rStyle w:val="FootnoteReference"/>
          <w:rFonts w:ascii="Times New Roman" w:hAnsi="Times New Roman"/>
          <w:b/>
          <w:bCs/>
        </w:rPr>
        <w:footnoteReference w:id="41"/>
      </w:r>
      <w:r>
        <w:rPr>
          <w:rFonts w:ascii="Times New Roman" w:hAnsi="Times New Roman" w:cs="Times New Roman"/>
          <w:b/>
          <w:bCs/>
        </w:rPr>
        <w:t xml:space="preserve"> </w:t>
      </w:r>
      <w:r w:rsidR="00F50284">
        <w:rPr>
          <w:rFonts w:ascii="Times New Roman" w:hAnsi="Times New Roman" w:cs="Times New Roman"/>
          <w:b/>
          <w:bCs/>
        </w:rPr>
        <w:t xml:space="preserve"> </w:t>
      </w:r>
      <w:r>
        <w:rPr>
          <w:rFonts w:ascii="Times New Roman" w:hAnsi="Times New Roman" w:cs="Times New Roman"/>
          <w:b/>
          <w:bCs/>
        </w:rPr>
        <w:t>How do you respond?</w:t>
      </w:r>
    </w:p>
    <w:p w:rsidR="007664FC" w:rsidRPr="007664FC" w:rsidRDefault="007664FC" w:rsidP="007664FC">
      <w:pPr>
        <w:spacing w:line="480" w:lineRule="auto"/>
        <w:ind w:left="720" w:hanging="720"/>
        <w:rPr>
          <w:rFonts w:ascii="Times New Roman" w:hAnsi="Times New Roman" w:cs="Times New Roman"/>
        </w:rPr>
      </w:pPr>
      <w:r w:rsidRPr="007664FC">
        <w:rPr>
          <w:rFonts w:ascii="Times New Roman" w:hAnsi="Times New Roman" w:cs="Times New Roman"/>
        </w:rPr>
        <w:t>A.</w:t>
      </w:r>
      <w:r w:rsidRPr="007664FC">
        <w:rPr>
          <w:rFonts w:ascii="Times New Roman" w:hAnsi="Times New Roman" w:cs="Times New Roman"/>
        </w:rPr>
        <w:tab/>
        <w:t xml:space="preserve">The </w:t>
      </w:r>
      <w:r>
        <w:rPr>
          <w:rFonts w:ascii="Times New Roman" w:hAnsi="Times New Roman" w:cs="Times New Roman"/>
        </w:rPr>
        <w:t xml:space="preserve">Company’s </w:t>
      </w:r>
      <w:r w:rsidRPr="007664FC">
        <w:rPr>
          <w:rFonts w:ascii="Times New Roman" w:hAnsi="Times New Roman" w:cs="Times New Roman"/>
        </w:rPr>
        <w:t>WCA analysis starts with optimiza</w:t>
      </w:r>
      <w:r>
        <w:rPr>
          <w:rFonts w:ascii="Times New Roman" w:hAnsi="Times New Roman" w:cs="Times New Roman"/>
        </w:rPr>
        <w:t xml:space="preserve">tion of the system as a whole. </w:t>
      </w:r>
      <w:r w:rsidR="009F3EEA">
        <w:rPr>
          <w:rFonts w:ascii="Times New Roman" w:hAnsi="Times New Roman" w:cs="Times New Roman"/>
        </w:rPr>
        <w:t xml:space="preserve"> </w:t>
      </w:r>
      <w:r w:rsidRPr="007664FC">
        <w:rPr>
          <w:rFonts w:ascii="Times New Roman" w:hAnsi="Times New Roman" w:cs="Times New Roman"/>
        </w:rPr>
        <w:t xml:space="preserve">The costs associated with resources and load obligations that are physically located or electrically connected to the </w:t>
      </w:r>
      <w:r w:rsidR="0081281B">
        <w:rPr>
          <w:rFonts w:ascii="Times New Roman" w:hAnsi="Times New Roman" w:cs="Times New Roman"/>
        </w:rPr>
        <w:t xml:space="preserve">west control are </w:t>
      </w:r>
      <w:r w:rsidRPr="007664FC">
        <w:rPr>
          <w:rFonts w:ascii="Times New Roman" w:hAnsi="Times New Roman" w:cs="Times New Roman"/>
        </w:rPr>
        <w:t xml:space="preserve">then allocated among </w:t>
      </w:r>
      <w:r w:rsidR="0081281B">
        <w:rPr>
          <w:rFonts w:ascii="Times New Roman" w:hAnsi="Times New Roman" w:cs="Times New Roman"/>
        </w:rPr>
        <w:t>west control area</w:t>
      </w:r>
      <w:r w:rsidRPr="007664FC">
        <w:rPr>
          <w:rFonts w:ascii="Times New Roman" w:hAnsi="Times New Roman" w:cs="Times New Roman"/>
        </w:rPr>
        <w:t xml:space="preserve"> </w:t>
      </w:r>
      <w:r>
        <w:rPr>
          <w:rFonts w:ascii="Times New Roman" w:hAnsi="Times New Roman" w:cs="Times New Roman"/>
        </w:rPr>
        <w:t>customers.</w:t>
      </w:r>
      <w:r w:rsidR="009F3EEA">
        <w:rPr>
          <w:rFonts w:ascii="Times New Roman" w:hAnsi="Times New Roman" w:cs="Times New Roman"/>
        </w:rPr>
        <w:t xml:space="preserve"> </w:t>
      </w:r>
      <w:r>
        <w:rPr>
          <w:rFonts w:ascii="Times New Roman" w:hAnsi="Times New Roman" w:cs="Times New Roman"/>
        </w:rPr>
        <w:t xml:space="preserve"> </w:t>
      </w:r>
      <w:r w:rsidRPr="007664FC">
        <w:rPr>
          <w:rFonts w:ascii="Times New Roman" w:hAnsi="Times New Roman" w:cs="Times New Roman"/>
        </w:rPr>
        <w:t xml:space="preserve">The same method is used to allocate the Company’s system-wide actual net power cost results to the WCA for comparison against the cost included in rates as part of the Company’s </w:t>
      </w:r>
      <w:r w:rsidR="004A5D7E">
        <w:rPr>
          <w:rFonts w:ascii="Times New Roman" w:hAnsi="Times New Roman" w:cs="Times New Roman"/>
        </w:rPr>
        <w:t>p</w:t>
      </w:r>
      <w:r w:rsidRPr="007664FC">
        <w:rPr>
          <w:rFonts w:ascii="Times New Roman" w:hAnsi="Times New Roman" w:cs="Times New Roman"/>
        </w:rPr>
        <w:t xml:space="preserve">ower </w:t>
      </w:r>
      <w:r w:rsidR="004A5D7E">
        <w:rPr>
          <w:rFonts w:ascii="Times New Roman" w:hAnsi="Times New Roman" w:cs="Times New Roman"/>
        </w:rPr>
        <w:t>c</w:t>
      </w:r>
      <w:r w:rsidRPr="007664FC">
        <w:rPr>
          <w:rFonts w:ascii="Times New Roman" w:hAnsi="Times New Roman" w:cs="Times New Roman"/>
        </w:rPr>
        <w:t xml:space="preserve">ost </w:t>
      </w:r>
      <w:r w:rsidR="004A5D7E">
        <w:rPr>
          <w:rFonts w:ascii="Times New Roman" w:hAnsi="Times New Roman" w:cs="Times New Roman"/>
        </w:rPr>
        <w:t>a</w:t>
      </w:r>
      <w:r w:rsidRPr="007664FC">
        <w:rPr>
          <w:rFonts w:ascii="Times New Roman" w:hAnsi="Times New Roman" w:cs="Times New Roman"/>
        </w:rPr>
        <w:t xml:space="preserve">djustment </w:t>
      </w:r>
      <w:r w:rsidR="004A5D7E">
        <w:rPr>
          <w:rFonts w:ascii="Times New Roman" w:hAnsi="Times New Roman" w:cs="Times New Roman"/>
        </w:rPr>
        <w:t>m</w:t>
      </w:r>
      <w:r w:rsidRPr="007664FC">
        <w:rPr>
          <w:rFonts w:ascii="Times New Roman" w:hAnsi="Times New Roman" w:cs="Times New Roman"/>
        </w:rPr>
        <w:t>echanism.</w:t>
      </w:r>
    </w:p>
    <w:p w:rsidR="007664FC" w:rsidRPr="007664FC" w:rsidRDefault="007664FC" w:rsidP="007664FC">
      <w:pPr>
        <w:spacing w:line="480" w:lineRule="auto"/>
        <w:ind w:left="720" w:hanging="720"/>
        <w:rPr>
          <w:rFonts w:ascii="Times New Roman" w:hAnsi="Times New Roman" w:cs="Times New Roman"/>
          <w:b/>
          <w:bCs/>
        </w:rPr>
      </w:pPr>
      <w:r w:rsidRPr="007664FC">
        <w:rPr>
          <w:rFonts w:ascii="Times New Roman" w:hAnsi="Times New Roman" w:cs="Times New Roman"/>
          <w:b/>
          <w:bCs/>
        </w:rPr>
        <w:t>Q.</w:t>
      </w:r>
      <w:r w:rsidRPr="007664FC">
        <w:rPr>
          <w:rFonts w:ascii="Times New Roman" w:hAnsi="Times New Roman" w:cs="Times New Roman"/>
          <w:b/>
          <w:bCs/>
        </w:rPr>
        <w:tab/>
      </w:r>
      <w:r w:rsidR="00DF69D5">
        <w:rPr>
          <w:rFonts w:ascii="Times New Roman" w:hAnsi="Times New Roman" w:cs="Times New Roman"/>
          <w:b/>
          <w:bCs/>
        </w:rPr>
        <w:t xml:space="preserve">Staff complains that the Company modeled </w:t>
      </w:r>
      <w:r w:rsidRPr="007664FC">
        <w:rPr>
          <w:rFonts w:ascii="Times New Roman" w:hAnsi="Times New Roman" w:cs="Times New Roman"/>
          <w:b/>
          <w:bCs/>
        </w:rPr>
        <w:t xml:space="preserve">the </w:t>
      </w:r>
      <w:r w:rsidR="00B7497B">
        <w:rPr>
          <w:rFonts w:ascii="Times New Roman" w:hAnsi="Times New Roman" w:cs="Times New Roman"/>
          <w:b/>
          <w:bCs/>
        </w:rPr>
        <w:t>west control area</w:t>
      </w:r>
      <w:r w:rsidR="00B7497B" w:rsidRPr="007664FC">
        <w:rPr>
          <w:rFonts w:ascii="Times New Roman" w:hAnsi="Times New Roman" w:cs="Times New Roman"/>
          <w:b/>
          <w:bCs/>
        </w:rPr>
        <w:t xml:space="preserve"> </w:t>
      </w:r>
      <w:r w:rsidRPr="007664FC">
        <w:rPr>
          <w:rFonts w:ascii="Times New Roman" w:hAnsi="Times New Roman" w:cs="Times New Roman"/>
          <w:b/>
          <w:bCs/>
        </w:rPr>
        <w:t>as an electrical island</w:t>
      </w:r>
      <w:r w:rsidR="00DF69D5">
        <w:rPr>
          <w:rFonts w:ascii="Times New Roman" w:hAnsi="Times New Roman" w:cs="Times New Roman"/>
          <w:b/>
          <w:bCs/>
        </w:rPr>
        <w:t>.  Is the Company’s approach</w:t>
      </w:r>
      <w:r w:rsidRPr="007664FC">
        <w:rPr>
          <w:rFonts w:ascii="Times New Roman" w:hAnsi="Times New Roman" w:cs="Times New Roman"/>
          <w:b/>
          <w:bCs/>
        </w:rPr>
        <w:t xml:space="preserve"> consistent with the methodology used to develop retail rates</w:t>
      </w:r>
      <w:r w:rsidR="003C42C6">
        <w:rPr>
          <w:rFonts w:ascii="Times New Roman" w:hAnsi="Times New Roman" w:cs="Times New Roman"/>
          <w:b/>
          <w:bCs/>
        </w:rPr>
        <w:t xml:space="preserve"> in Washington</w:t>
      </w:r>
      <w:r w:rsidRPr="007664FC">
        <w:rPr>
          <w:rFonts w:ascii="Times New Roman" w:hAnsi="Times New Roman" w:cs="Times New Roman"/>
          <w:b/>
          <w:bCs/>
        </w:rPr>
        <w:t>?</w:t>
      </w:r>
    </w:p>
    <w:p w:rsidR="007664FC" w:rsidRPr="007664FC" w:rsidRDefault="007664FC" w:rsidP="007664FC">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w:t>
      </w:r>
      <w:r w:rsidR="009F3EEA">
        <w:rPr>
          <w:rFonts w:ascii="Times New Roman" w:hAnsi="Times New Roman" w:cs="Times New Roman"/>
        </w:rPr>
        <w:t xml:space="preserve"> </w:t>
      </w:r>
      <w:r>
        <w:rPr>
          <w:rFonts w:ascii="Times New Roman" w:hAnsi="Times New Roman" w:cs="Times New Roman"/>
        </w:rPr>
        <w:t>N</w:t>
      </w:r>
      <w:r w:rsidRPr="007664FC">
        <w:rPr>
          <w:rFonts w:ascii="Times New Roman" w:hAnsi="Times New Roman" w:cs="Times New Roman"/>
        </w:rPr>
        <w:t>et power costs in Washington customer rates include only the costs and benefits associated with resources and requirements</w:t>
      </w:r>
      <w:r w:rsidR="00267872">
        <w:rPr>
          <w:rFonts w:ascii="Times New Roman" w:hAnsi="Times New Roman" w:cs="Times New Roman"/>
        </w:rPr>
        <w:t xml:space="preserve"> under the WCA</w:t>
      </w:r>
      <w:r>
        <w:rPr>
          <w:rFonts w:ascii="Times New Roman" w:hAnsi="Times New Roman" w:cs="Times New Roman"/>
        </w:rPr>
        <w:t xml:space="preserve">. </w:t>
      </w:r>
      <w:r w:rsidR="009F3EEA">
        <w:rPr>
          <w:rFonts w:ascii="Times New Roman" w:hAnsi="Times New Roman" w:cs="Times New Roman"/>
        </w:rPr>
        <w:t xml:space="preserve"> </w:t>
      </w:r>
      <w:r w:rsidRPr="007664FC">
        <w:rPr>
          <w:rFonts w:ascii="Times New Roman" w:hAnsi="Times New Roman" w:cs="Times New Roman"/>
        </w:rPr>
        <w:t>W</w:t>
      </w:r>
      <w:r w:rsidR="00267872">
        <w:rPr>
          <w:rFonts w:ascii="Times New Roman" w:hAnsi="Times New Roman" w:cs="Times New Roman"/>
        </w:rPr>
        <w:t>est control area</w:t>
      </w:r>
      <w:r w:rsidRPr="007664FC">
        <w:rPr>
          <w:rFonts w:ascii="Times New Roman" w:hAnsi="Times New Roman" w:cs="Times New Roman"/>
        </w:rPr>
        <w:t xml:space="preserve"> customers do not pay for generation resources in the east control area, and thus do not receive any benefits from dispatch of those resources to displace more expensive </w:t>
      </w:r>
      <w:r w:rsidR="00267872">
        <w:rPr>
          <w:rFonts w:ascii="Times New Roman" w:hAnsi="Times New Roman" w:cs="Times New Roman"/>
        </w:rPr>
        <w:t>west control area</w:t>
      </w:r>
      <w:r w:rsidRPr="007664FC">
        <w:rPr>
          <w:rFonts w:ascii="Times New Roman" w:hAnsi="Times New Roman" w:cs="Times New Roman"/>
        </w:rPr>
        <w:t xml:space="preserve"> reso</w:t>
      </w:r>
      <w:r>
        <w:rPr>
          <w:rFonts w:ascii="Times New Roman" w:hAnsi="Times New Roman" w:cs="Times New Roman"/>
        </w:rPr>
        <w:t xml:space="preserve">urces or </w:t>
      </w:r>
      <w:r w:rsidR="00267872">
        <w:rPr>
          <w:rFonts w:ascii="Times New Roman" w:hAnsi="Times New Roman" w:cs="Times New Roman"/>
        </w:rPr>
        <w:t>west control are</w:t>
      </w:r>
      <w:r>
        <w:rPr>
          <w:rFonts w:ascii="Times New Roman" w:hAnsi="Times New Roman" w:cs="Times New Roman"/>
        </w:rPr>
        <w:t xml:space="preserve"> market purchases. </w:t>
      </w:r>
      <w:r w:rsidR="004A5D7E">
        <w:rPr>
          <w:rFonts w:ascii="Times New Roman" w:hAnsi="Times New Roman" w:cs="Times New Roman"/>
        </w:rPr>
        <w:t xml:space="preserve"> </w:t>
      </w:r>
      <w:r w:rsidRPr="007664FC">
        <w:rPr>
          <w:rFonts w:ascii="Times New Roman" w:hAnsi="Times New Roman" w:cs="Times New Roman"/>
        </w:rPr>
        <w:t xml:space="preserve">Similarly, </w:t>
      </w:r>
      <w:r w:rsidR="00147255">
        <w:rPr>
          <w:rFonts w:ascii="Times New Roman" w:hAnsi="Times New Roman" w:cs="Times New Roman"/>
        </w:rPr>
        <w:t>west control area</w:t>
      </w:r>
      <w:r w:rsidR="00147255" w:rsidRPr="007664FC">
        <w:rPr>
          <w:rFonts w:ascii="Times New Roman" w:hAnsi="Times New Roman" w:cs="Times New Roman"/>
        </w:rPr>
        <w:t xml:space="preserve"> </w:t>
      </w:r>
      <w:r w:rsidRPr="007664FC">
        <w:rPr>
          <w:rFonts w:ascii="Times New Roman" w:hAnsi="Times New Roman" w:cs="Times New Roman"/>
        </w:rPr>
        <w:t xml:space="preserve">customers do not pay for transmission access to market hubs in the east control area and thus do not receive benefits associated with </w:t>
      </w:r>
      <w:r w:rsidR="00E5594F">
        <w:rPr>
          <w:rFonts w:ascii="Times New Roman" w:hAnsi="Times New Roman" w:cs="Times New Roman"/>
        </w:rPr>
        <w:t xml:space="preserve">making lower cost purchases if available in </w:t>
      </w:r>
      <w:r w:rsidR="008C31BF">
        <w:rPr>
          <w:rFonts w:ascii="Times New Roman" w:hAnsi="Times New Roman" w:cs="Times New Roman"/>
        </w:rPr>
        <w:t>these</w:t>
      </w:r>
      <w:r w:rsidR="008C31BF" w:rsidRPr="007664FC">
        <w:rPr>
          <w:rFonts w:ascii="Times New Roman" w:hAnsi="Times New Roman" w:cs="Times New Roman"/>
        </w:rPr>
        <w:t xml:space="preserve"> </w:t>
      </w:r>
      <w:r w:rsidRPr="007664FC">
        <w:rPr>
          <w:rFonts w:ascii="Times New Roman" w:hAnsi="Times New Roman" w:cs="Times New Roman"/>
        </w:rPr>
        <w:t>markets.</w:t>
      </w:r>
    </w:p>
    <w:p w:rsidR="007664FC" w:rsidRPr="007664FC" w:rsidRDefault="007664FC" w:rsidP="007664FC">
      <w:pPr>
        <w:spacing w:line="480" w:lineRule="auto"/>
        <w:ind w:left="720" w:hanging="720"/>
        <w:rPr>
          <w:rFonts w:ascii="Times New Roman" w:hAnsi="Times New Roman" w:cs="Times New Roman"/>
          <w:b/>
          <w:bCs/>
        </w:rPr>
      </w:pPr>
      <w:r w:rsidRPr="007664FC">
        <w:rPr>
          <w:rFonts w:ascii="Times New Roman" w:hAnsi="Times New Roman" w:cs="Times New Roman"/>
          <w:b/>
          <w:bCs/>
        </w:rPr>
        <w:t>Q.</w:t>
      </w:r>
      <w:r w:rsidRPr="007664FC">
        <w:rPr>
          <w:rFonts w:ascii="Times New Roman" w:hAnsi="Times New Roman" w:cs="Times New Roman"/>
          <w:b/>
          <w:bCs/>
        </w:rPr>
        <w:tab/>
        <w:t xml:space="preserve">Has the Company provided evidence that the </w:t>
      </w:r>
      <w:r w:rsidR="00147255">
        <w:rPr>
          <w:rFonts w:ascii="Times New Roman" w:hAnsi="Times New Roman" w:cs="Times New Roman"/>
          <w:b/>
          <w:bCs/>
        </w:rPr>
        <w:t>west control area</w:t>
      </w:r>
      <w:r w:rsidRPr="007664FC">
        <w:rPr>
          <w:rFonts w:ascii="Times New Roman" w:hAnsi="Times New Roman" w:cs="Times New Roman"/>
          <w:b/>
          <w:bCs/>
        </w:rPr>
        <w:t xml:space="preserve"> receives benefits from surplus generation on the east side?</w:t>
      </w:r>
    </w:p>
    <w:p w:rsidR="007664FC" w:rsidRPr="007664FC" w:rsidRDefault="007664FC" w:rsidP="007664FC">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w:t>
      </w:r>
      <w:r w:rsidR="00915B44">
        <w:rPr>
          <w:rFonts w:ascii="Times New Roman" w:hAnsi="Times New Roman" w:cs="Times New Roman"/>
        </w:rPr>
        <w:t xml:space="preserve"> </w:t>
      </w:r>
      <w:r w:rsidRPr="007664FC">
        <w:rPr>
          <w:rFonts w:ascii="Times New Roman" w:hAnsi="Times New Roman" w:cs="Times New Roman"/>
        </w:rPr>
        <w:t>The s</w:t>
      </w:r>
      <w:r w:rsidR="00E46309">
        <w:rPr>
          <w:rFonts w:ascii="Times New Roman" w:hAnsi="Times New Roman" w:cs="Times New Roman"/>
        </w:rPr>
        <w:t>ystem-wide optimization result</w:t>
      </w:r>
      <w:r w:rsidR="00A428EB">
        <w:rPr>
          <w:rFonts w:ascii="Times New Roman" w:hAnsi="Times New Roman" w:cs="Times New Roman"/>
        </w:rPr>
        <w:t>s</w:t>
      </w:r>
      <w:r w:rsidRPr="007664FC">
        <w:rPr>
          <w:rFonts w:ascii="Times New Roman" w:hAnsi="Times New Roman" w:cs="Times New Roman"/>
        </w:rPr>
        <w:t xml:space="preserve"> in </w:t>
      </w:r>
      <w:r w:rsidR="008A66A0">
        <w:rPr>
          <w:rFonts w:ascii="Times New Roman" w:hAnsi="Times New Roman" w:cs="Times New Roman"/>
        </w:rPr>
        <w:t>west control area</w:t>
      </w:r>
      <w:r w:rsidR="008A66A0" w:rsidRPr="007664FC">
        <w:rPr>
          <w:rFonts w:ascii="Times New Roman" w:hAnsi="Times New Roman" w:cs="Times New Roman"/>
        </w:rPr>
        <w:t xml:space="preserve"> </w:t>
      </w:r>
      <w:r w:rsidRPr="007664FC">
        <w:rPr>
          <w:rFonts w:ascii="Times New Roman" w:hAnsi="Times New Roman" w:cs="Times New Roman"/>
        </w:rPr>
        <w:t xml:space="preserve">resources (generation plus purchases) that </w:t>
      </w:r>
      <w:r w:rsidR="00E46309">
        <w:rPr>
          <w:rFonts w:ascii="Times New Roman" w:hAnsi="Times New Roman" w:cs="Times New Roman"/>
        </w:rPr>
        <w:t>are</w:t>
      </w:r>
      <w:r w:rsidRPr="007664FC">
        <w:rPr>
          <w:rFonts w:ascii="Times New Roman" w:hAnsi="Times New Roman" w:cs="Times New Roman"/>
        </w:rPr>
        <w:t xml:space="preserve"> less than </w:t>
      </w:r>
      <w:r w:rsidR="008A66A0">
        <w:rPr>
          <w:rFonts w:ascii="Times New Roman" w:hAnsi="Times New Roman" w:cs="Times New Roman"/>
        </w:rPr>
        <w:t>west control area</w:t>
      </w:r>
      <w:r w:rsidR="008A66A0" w:rsidRPr="007664FC">
        <w:rPr>
          <w:rFonts w:ascii="Times New Roman" w:hAnsi="Times New Roman" w:cs="Times New Roman"/>
        </w:rPr>
        <w:t xml:space="preserve"> </w:t>
      </w:r>
      <w:r w:rsidRPr="007664FC">
        <w:rPr>
          <w:rFonts w:ascii="Times New Roman" w:hAnsi="Times New Roman" w:cs="Times New Roman"/>
        </w:rPr>
        <w:t>requirements (reta</w:t>
      </w:r>
      <w:r w:rsidR="00E46309">
        <w:rPr>
          <w:rFonts w:ascii="Times New Roman" w:hAnsi="Times New Roman" w:cs="Times New Roman"/>
        </w:rPr>
        <w:t xml:space="preserve">il load plus wholesale sales). </w:t>
      </w:r>
      <w:r w:rsidR="009F3EEA">
        <w:rPr>
          <w:rFonts w:ascii="Times New Roman" w:hAnsi="Times New Roman" w:cs="Times New Roman"/>
        </w:rPr>
        <w:t xml:space="preserve"> </w:t>
      </w:r>
      <w:r w:rsidRPr="007664FC">
        <w:rPr>
          <w:rFonts w:ascii="Times New Roman" w:hAnsi="Times New Roman" w:cs="Times New Roman"/>
        </w:rPr>
        <w:t>All electrical systems must be balanced t</w:t>
      </w:r>
      <w:r w:rsidR="00E46309">
        <w:rPr>
          <w:rFonts w:ascii="Times New Roman" w:hAnsi="Times New Roman" w:cs="Times New Roman"/>
        </w:rPr>
        <w:t xml:space="preserve">o maintain reliable operation. </w:t>
      </w:r>
      <w:r w:rsidR="009F3EEA">
        <w:rPr>
          <w:rFonts w:ascii="Times New Roman" w:hAnsi="Times New Roman" w:cs="Times New Roman"/>
        </w:rPr>
        <w:t xml:space="preserve"> </w:t>
      </w:r>
      <w:r w:rsidRPr="007664FC">
        <w:rPr>
          <w:rFonts w:ascii="Times New Roman" w:hAnsi="Times New Roman" w:cs="Times New Roman"/>
        </w:rPr>
        <w:t xml:space="preserve">The system-wide results are balanced, and resources are included in either the </w:t>
      </w:r>
      <w:r w:rsidR="008A66A0">
        <w:rPr>
          <w:rFonts w:ascii="Times New Roman" w:hAnsi="Times New Roman" w:cs="Times New Roman"/>
        </w:rPr>
        <w:t>west</w:t>
      </w:r>
      <w:r w:rsidR="008A66A0" w:rsidRPr="007664FC">
        <w:rPr>
          <w:rFonts w:ascii="Times New Roman" w:hAnsi="Times New Roman" w:cs="Times New Roman"/>
        </w:rPr>
        <w:t xml:space="preserve"> </w:t>
      </w:r>
      <w:r w:rsidR="00E46309">
        <w:rPr>
          <w:rFonts w:ascii="Times New Roman" w:hAnsi="Times New Roman" w:cs="Times New Roman"/>
        </w:rPr>
        <w:t xml:space="preserve">or </w:t>
      </w:r>
      <w:r w:rsidR="00D131BA">
        <w:rPr>
          <w:rFonts w:ascii="Times New Roman" w:hAnsi="Times New Roman" w:cs="Times New Roman"/>
        </w:rPr>
        <w:t xml:space="preserve">on </w:t>
      </w:r>
      <w:r w:rsidR="00E46309">
        <w:rPr>
          <w:rFonts w:ascii="Times New Roman" w:hAnsi="Times New Roman" w:cs="Times New Roman"/>
        </w:rPr>
        <w:t xml:space="preserve">the east side. </w:t>
      </w:r>
      <w:r w:rsidR="009F3EEA">
        <w:rPr>
          <w:rFonts w:ascii="Times New Roman" w:hAnsi="Times New Roman" w:cs="Times New Roman"/>
        </w:rPr>
        <w:t xml:space="preserve"> </w:t>
      </w:r>
      <w:r w:rsidRPr="007664FC">
        <w:rPr>
          <w:rFonts w:ascii="Times New Roman" w:hAnsi="Times New Roman" w:cs="Times New Roman"/>
        </w:rPr>
        <w:t xml:space="preserve">As a result, any shortfall in the </w:t>
      </w:r>
      <w:r w:rsidR="008A66A0">
        <w:rPr>
          <w:rFonts w:ascii="Times New Roman" w:hAnsi="Times New Roman" w:cs="Times New Roman"/>
        </w:rPr>
        <w:t>west control area</w:t>
      </w:r>
      <w:r w:rsidR="008A66A0" w:rsidRPr="007664FC">
        <w:rPr>
          <w:rFonts w:ascii="Times New Roman" w:hAnsi="Times New Roman" w:cs="Times New Roman"/>
        </w:rPr>
        <w:t xml:space="preserve"> </w:t>
      </w:r>
      <w:r w:rsidRPr="007664FC">
        <w:rPr>
          <w:rFonts w:ascii="Times New Roman" w:hAnsi="Times New Roman" w:cs="Times New Roman"/>
        </w:rPr>
        <w:t>must be supplied by surpl</w:t>
      </w:r>
      <w:r w:rsidR="00E46309">
        <w:rPr>
          <w:rFonts w:ascii="Times New Roman" w:hAnsi="Times New Roman" w:cs="Times New Roman"/>
        </w:rPr>
        <w:t xml:space="preserve">us resources </w:t>
      </w:r>
      <w:r w:rsidR="001A73DE">
        <w:rPr>
          <w:rFonts w:ascii="Times New Roman" w:hAnsi="Times New Roman" w:cs="Times New Roman"/>
        </w:rPr>
        <w:t xml:space="preserve">in </w:t>
      </w:r>
      <w:r w:rsidR="00E46309">
        <w:rPr>
          <w:rFonts w:ascii="Times New Roman" w:hAnsi="Times New Roman" w:cs="Times New Roman"/>
        </w:rPr>
        <w:t>the east</w:t>
      </w:r>
      <w:r w:rsidR="001A73DE">
        <w:rPr>
          <w:rFonts w:ascii="Times New Roman" w:hAnsi="Times New Roman" w:cs="Times New Roman"/>
        </w:rPr>
        <w:t xml:space="preserve"> control area</w:t>
      </w:r>
      <w:r w:rsidR="00E46309">
        <w:rPr>
          <w:rFonts w:ascii="Times New Roman" w:hAnsi="Times New Roman" w:cs="Times New Roman"/>
        </w:rPr>
        <w:t xml:space="preserve">. </w:t>
      </w:r>
      <w:r w:rsidR="00915B44">
        <w:rPr>
          <w:rFonts w:ascii="Times New Roman" w:hAnsi="Times New Roman" w:cs="Times New Roman"/>
        </w:rPr>
        <w:t xml:space="preserve"> </w:t>
      </w:r>
      <w:r w:rsidRPr="007664FC">
        <w:rPr>
          <w:rFonts w:ascii="Times New Roman" w:hAnsi="Times New Roman" w:cs="Times New Roman"/>
        </w:rPr>
        <w:t>Because the system-wide results reflect optimized resource dispatch, it is beneficial to the system as a whole to u</w:t>
      </w:r>
      <w:r w:rsidR="008914CE">
        <w:rPr>
          <w:rFonts w:ascii="Times New Roman" w:hAnsi="Times New Roman" w:cs="Times New Roman"/>
        </w:rPr>
        <w:t>s</w:t>
      </w:r>
      <w:r w:rsidRPr="007664FC">
        <w:rPr>
          <w:rFonts w:ascii="Times New Roman" w:hAnsi="Times New Roman" w:cs="Times New Roman"/>
        </w:rPr>
        <w:t>e east</w:t>
      </w:r>
      <w:r w:rsidR="00886400">
        <w:rPr>
          <w:rFonts w:ascii="Times New Roman" w:hAnsi="Times New Roman" w:cs="Times New Roman"/>
        </w:rPr>
        <w:t>-</w:t>
      </w:r>
      <w:r w:rsidRPr="007664FC">
        <w:rPr>
          <w:rFonts w:ascii="Times New Roman" w:hAnsi="Times New Roman" w:cs="Times New Roman"/>
        </w:rPr>
        <w:t xml:space="preserve">side resources rather than </w:t>
      </w:r>
      <w:r w:rsidR="008914CE">
        <w:rPr>
          <w:rFonts w:ascii="Times New Roman" w:hAnsi="Times New Roman" w:cs="Times New Roman"/>
        </w:rPr>
        <w:t>west-side</w:t>
      </w:r>
      <w:r w:rsidR="008914CE" w:rsidRPr="007664FC">
        <w:rPr>
          <w:rFonts w:ascii="Times New Roman" w:hAnsi="Times New Roman" w:cs="Times New Roman"/>
        </w:rPr>
        <w:t xml:space="preserve"> </w:t>
      </w:r>
      <w:r w:rsidRPr="007664FC">
        <w:rPr>
          <w:rFonts w:ascii="Times New Roman" w:hAnsi="Times New Roman" w:cs="Times New Roman"/>
        </w:rPr>
        <w:t xml:space="preserve">resources, and costs would otherwise be higher </w:t>
      </w:r>
      <w:r w:rsidR="008914CE">
        <w:rPr>
          <w:rFonts w:ascii="Times New Roman" w:hAnsi="Times New Roman" w:cs="Times New Roman"/>
        </w:rPr>
        <w:t>without</w:t>
      </w:r>
      <w:r w:rsidRPr="007664FC">
        <w:rPr>
          <w:rFonts w:ascii="Times New Roman" w:hAnsi="Times New Roman" w:cs="Times New Roman"/>
        </w:rPr>
        <w:t xml:space="preserve"> those transfers from the east </w:t>
      </w:r>
      <w:r w:rsidR="008914CE">
        <w:rPr>
          <w:rFonts w:ascii="Times New Roman" w:hAnsi="Times New Roman" w:cs="Times New Roman"/>
        </w:rPr>
        <w:t>control area</w:t>
      </w:r>
      <w:r w:rsidRPr="007664FC">
        <w:rPr>
          <w:rFonts w:ascii="Times New Roman" w:hAnsi="Times New Roman" w:cs="Times New Roman"/>
        </w:rPr>
        <w:t>.</w:t>
      </w:r>
    </w:p>
    <w:p w:rsidR="007664FC" w:rsidRPr="007664FC" w:rsidRDefault="007664FC" w:rsidP="007664FC">
      <w:pPr>
        <w:spacing w:line="480" w:lineRule="auto"/>
        <w:ind w:left="720" w:hanging="720"/>
        <w:rPr>
          <w:rFonts w:ascii="Times New Roman" w:hAnsi="Times New Roman" w:cs="Times New Roman"/>
          <w:b/>
          <w:bCs/>
        </w:rPr>
      </w:pPr>
      <w:r w:rsidRPr="007664FC">
        <w:rPr>
          <w:rFonts w:ascii="Times New Roman" w:hAnsi="Times New Roman" w:cs="Times New Roman"/>
          <w:b/>
          <w:bCs/>
        </w:rPr>
        <w:t>Q.</w:t>
      </w:r>
      <w:r w:rsidRPr="007664FC">
        <w:rPr>
          <w:rFonts w:ascii="Times New Roman" w:hAnsi="Times New Roman" w:cs="Times New Roman"/>
          <w:b/>
          <w:bCs/>
        </w:rPr>
        <w:tab/>
        <w:t xml:space="preserve">Is the transmission constraint between the </w:t>
      </w:r>
      <w:r w:rsidR="00AD7892">
        <w:rPr>
          <w:rFonts w:ascii="Times New Roman" w:hAnsi="Times New Roman" w:cs="Times New Roman"/>
          <w:b/>
          <w:bCs/>
        </w:rPr>
        <w:t xml:space="preserve">west and east control areas affected </w:t>
      </w:r>
      <w:r w:rsidRPr="007664FC">
        <w:rPr>
          <w:rFonts w:ascii="Times New Roman" w:hAnsi="Times New Roman" w:cs="Times New Roman"/>
          <w:b/>
          <w:bCs/>
        </w:rPr>
        <w:t xml:space="preserve">by the different </w:t>
      </w:r>
      <w:r w:rsidR="004F0006">
        <w:rPr>
          <w:rFonts w:ascii="Times New Roman" w:hAnsi="Times New Roman" w:cs="Times New Roman"/>
          <w:b/>
          <w:bCs/>
        </w:rPr>
        <w:t>R</w:t>
      </w:r>
      <w:r w:rsidR="00E46309">
        <w:rPr>
          <w:rFonts w:ascii="Times New Roman" w:hAnsi="Times New Roman" w:cs="Times New Roman"/>
          <w:b/>
          <w:bCs/>
        </w:rPr>
        <w:t xml:space="preserve">egional </w:t>
      </w:r>
      <w:r w:rsidR="004F0006">
        <w:rPr>
          <w:rFonts w:ascii="Times New Roman" w:hAnsi="Times New Roman" w:cs="Times New Roman"/>
          <w:b/>
          <w:bCs/>
        </w:rPr>
        <w:t>H</w:t>
      </w:r>
      <w:r w:rsidR="00E46309">
        <w:rPr>
          <w:rFonts w:ascii="Times New Roman" w:hAnsi="Times New Roman" w:cs="Times New Roman"/>
          <w:b/>
          <w:bCs/>
        </w:rPr>
        <w:t xml:space="preserve">aze </w:t>
      </w:r>
      <w:r w:rsidRPr="007664FC">
        <w:rPr>
          <w:rFonts w:ascii="Times New Roman" w:hAnsi="Times New Roman" w:cs="Times New Roman"/>
          <w:b/>
          <w:bCs/>
        </w:rPr>
        <w:t xml:space="preserve">compliance options for </w:t>
      </w:r>
      <w:r w:rsidR="00E46309">
        <w:rPr>
          <w:rFonts w:ascii="Times New Roman" w:hAnsi="Times New Roman" w:cs="Times New Roman"/>
          <w:b/>
          <w:bCs/>
        </w:rPr>
        <w:t xml:space="preserve">Jim </w:t>
      </w:r>
      <w:r w:rsidRPr="007664FC">
        <w:rPr>
          <w:rFonts w:ascii="Times New Roman" w:hAnsi="Times New Roman" w:cs="Times New Roman"/>
          <w:b/>
          <w:bCs/>
        </w:rPr>
        <w:t>Bridger</w:t>
      </w:r>
      <w:r w:rsidR="00E46309">
        <w:rPr>
          <w:rFonts w:ascii="Times New Roman" w:hAnsi="Times New Roman" w:cs="Times New Roman"/>
          <w:b/>
          <w:bCs/>
        </w:rPr>
        <w:t xml:space="preserve"> Unit</w:t>
      </w:r>
      <w:r w:rsidR="00915B44">
        <w:rPr>
          <w:rFonts w:ascii="Times New Roman" w:hAnsi="Times New Roman" w:cs="Times New Roman"/>
          <w:b/>
          <w:bCs/>
        </w:rPr>
        <w:t>s</w:t>
      </w:r>
      <w:r w:rsidR="00E46309">
        <w:rPr>
          <w:rFonts w:ascii="Times New Roman" w:hAnsi="Times New Roman" w:cs="Times New Roman"/>
          <w:b/>
          <w:bCs/>
        </w:rPr>
        <w:t xml:space="preserve"> 3 and</w:t>
      </w:r>
      <w:r w:rsidR="00915B44">
        <w:rPr>
          <w:rFonts w:ascii="Times New Roman" w:hAnsi="Times New Roman" w:cs="Times New Roman"/>
          <w:b/>
          <w:bCs/>
        </w:rPr>
        <w:t> </w:t>
      </w:r>
      <w:r w:rsidR="00E46309">
        <w:rPr>
          <w:rFonts w:ascii="Times New Roman" w:hAnsi="Times New Roman" w:cs="Times New Roman"/>
          <w:b/>
          <w:bCs/>
        </w:rPr>
        <w:t>4</w:t>
      </w:r>
      <w:r w:rsidRPr="007664FC">
        <w:rPr>
          <w:rFonts w:ascii="Times New Roman" w:hAnsi="Times New Roman" w:cs="Times New Roman"/>
          <w:b/>
          <w:bCs/>
        </w:rPr>
        <w:t>?</w:t>
      </w:r>
    </w:p>
    <w:p w:rsidR="007664FC" w:rsidRPr="007664FC" w:rsidRDefault="00E46309" w:rsidP="007664FC">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w:t>
      </w:r>
      <w:r w:rsidR="009F3EEA">
        <w:rPr>
          <w:rFonts w:ascii="Times New Roman" w:hAnsi="Times New Roman" w:cs="Times New Roman"/>
        </w:rPr>
        <w:t xml:space="preserve"> </w:t>
      </w:r>
      <w:r w:rsidR="007664FC" w:rsidRPr="007664FC">
        <w:rPr>
          <w:rFonts w:ascii="Times New Roman" w:hAnsi="Times New Roman" w:cs="Times New Roman"/>
        </w:rPr>
        <w:t xml:space="preserve">When the </w:t>
      </w:r>
      <w:r w:rsidR="009A2474">
        <w:rPr>
          <w:rFonts w:ascii="Times New Roman" w:hAnsi="Times New Roman" w:cs="Times New Roman"/>
        </w:rPr>
        <w:t xml:space="preserve">Jim </w:t>
      </w:r>
      <w:r w:rsidR="007664FC" w:rsidRPr="007664FC">
        <w:rPr>
          <w:rFonts w:ascii="Times New Roman" w:hAnsi="Times New Roman" w:cs="Times New Roman"/>
        </w:rPr>
        <w:t xml:space="preserve">Bridger units operate as base load units, as is expected in the SCR case, their output typically </w:t>
      </w:r>
      <w:r w:rsidR="00AD7892" w:rsidRPr="007664FC">
        <w:rPr>
          <w:rFonts w:ascii="Times New Roman" w:hAnsi="Times New Roman" w:cs="Times New Roman"/>
        </w:rPr>
        <w:t>u</w:t>
      </w:r>
      <w:r w:rsidR="00AD7892">
        <w:rPr>
          <w:rFonts w:ascii="Times New Roman" w:hAnsi="Times New Roman" w:cs="Times New Roman"/>
        </w:rPr>
        <w:t>s</w:t>
      </w:r>
      <w:r w:rsidR="00AD7892" w:rsidRPr="007664FC">
        <w:rPr>
          <w:rFonts w:ascii="Times New Roman" w:hAnsi="Times New Roman" w:cs="Times New Roman"/>
        </w:rPr>
        <w:t xml:space="preserve">es </w:t>
      </w:r>
      <w:r w:rsidR="007664FC" w:rsidRPr="007664FC">
        <w:rPr>
          <w:rFonts w:ascii="Times New Roman" w:hAnsi="Times New Roman" w:cs="Times New Roman"/>
        </w:rPr>
        <w:t>all or most of the t</w:t>
      </w:r>
      <w:r>
        <w:rPr>
          <w:rFonts w:ascii="Times New Roman" w:hAnsi="Times New Roman" w:cs="Times New Roman"/>
        </w:rPr>
        <w:t xml:space="preserve">ransfer capability to the </w:t>
      </w:r>
      <w:r w:rsidR="00AD7892">
        <w:rPr>
          <w:rFonts w:ascii="Times New Roman" w:hAnsi="Times New Roman" w:cs="Times New Roman"/>
        </w:rPr>
        <w:t>west control area</w:t>
      </w:r>
      <w:r>
        <w:rPr>
          <w:rFonts w:ascii="Times New Roman" w:hAnsi="Times New Roman" w:cs="Times New Roman"/>
        </w:rPr>
        <w:t xml:space="preserve">. </w:t>
      </w:r>
      <w:r w:rsidR="00F50284">
        <w:rPr>
          <w:rFonts w:ascii="Times New Roman" w:hAnsi="Times New Roman" w:cs="Times New Roman"/>
        </w:rPr>
        <w:t xml:space="preserve"> </w:t>
      </w:r>
      <w:r w:rsidR="007664FC" w:rsidRPr="007664FC">
        <w:rPr>
          <w:rFonts w:ascii="Times New Roman" w:hAnsi="Times New Roman" w:cs="Times New Roman"/>
        </w:rPr>
        <w:t xml:space="preserve">If Jim Bridger </w:t>
      </w:r>
      <w:r>
        <w:rPr>
          <w:rFonts w:ascii="Times New Roman" w:hAnsi="Times New Roman" w:cs="Times New Roman"/>
        </w:rPr>
        <w:t xml:space="preserve">Units </w:t>
      </w:r>
      <w:r w:rsidR="007664FC" w:rsidRPr="007664FC">
        <w:rPr>
          <w:rFonts w:ascii="Times New Roman" w:hAnsi="Times New Roman" w:cs="Times New Roman"/>
        </w:rPr>
        <w:t xml:space="preserve">3 </w:t>
      </w:r>
      <w:r>
        <w:rPr>
          <w:rFonts w:ascii="Times New Roman" w:hAnsi="Times New Roman" w:cs="Times New Roman"/>
        </w:rPr>
        <w:t>and 4 were converted to natural gas</w:t>
      </w:r>
      <w:r w:rsidR="007664FC" w:rsidRPr="007664FC">
        <w:rPr>
          <w:rFonts w:ascii="Times New Roman" w:hAnsi="Times New Roman" w:cs="Times New Roman"/>
        </w:rPr>
        <w:t xml:space="preserve">, they would operate as </w:t>
      </w:r>
      <w:r>
        <w:rPr>
          <w:rFonts w:ascii="Times New Roman" w:hAnsi="Times New Roman" w:cs="Times New Roman"/>
        </w:rPr>
        <w:t>peaking assets and dispatch only in high</w:t>
      </w:r>
      <w:r w:rsidR="00E476CE">
        <w:rPr>
          <w:rFonts w:ascii="Times New Roman" w:hAnsi="Times New Roman" w:cs="Times New Roman"/>
        </w:rPr>
        <w:t>-</w:t>
      </w:r>
      <w:r>
        <w:rPr>
          <w:rFonts w:ascii="Times New Roman" w:hAnsi="Times New Roman" w:cs="Times New Roman"/>
        </w:rPr>
        <w:t>priced periods.</w:t>
      </w:r>
      <w:r w:rsidR="007664FC" w:rsidRPr="007664FC">
        <w:rPr>
          <w:rFonts w:ascii="Times New Roman" w:hAnsi="Times New Roman" w:cs="Times New Roman"/>
        </w:rPr>
        <w:t xml:space="preserve"> </w:t>
      </w:r>
      <w:r w:rsidR="009F3EEA">
        <w:rPr>
          <w:rFonts w:ascii="Times New Roman" w:hAnsi="Times New Roman" w:cs="Times New Roman"/>
        </w:rPr>
        <w:t xml:space="preserve"> </w:t>
      </w:r>
      <w:r w:rsidR="007664FC" w:rsidRPr="007664FC">
        <w:rPr>
          <w:rFonts w:ascii="Times New Roman" w:hAnsi="Times New Roman" w:cs="Times New Roman"/>
        </w:rPr>
        <w:t xml:space="preserve">The reduced capacity factor </w:t>
      </w:r>
      <w:r>
        <w:rPr>
          <w:rFonts w:ascii="Times New Roman" w:hAnsi="Times New Roman" w:cs="Times New Roman"/>
        </w:rPr>
        <w:t xml:space="preserve">under gas-fueled operation </w:t>
      </w:r>
      <w:r w:rsidR="007664FC" w:rsidRPr="007664FC">
        <w:rPr>
          <w:rFonts w:ascii="Times New Roman" w:hAnsi="Times New Roman" w:cs="Times New Roman"/>
        </w:rPr>
        <w:t>would free</w:t>
      </w:r>
      <w:r w:rsidR="008D7897">
        <w:rPr>
          <w:rFonts w:ascii="Times New Roman" w:hAnsi="Times New Roman" w:cs="Times New Roman"/>
        </w:rPr>
        <w:t>-</w:t>
      </w:r>
      <w:r w:rsidR="007664FC" w:rsidRPr="007664FC">
        <w:rPr>
          <w:rFonts w:ascii="Times New Roman" w:hAnsi="Times New Roman" w:cs="Times New Roman"/>
        </w:rPr>
        <w:t xml:space="preserve">up transfer capability to the </w:t>
      </w:r>
      <w:r w:rsidR="008D7897">
        <w:rPr>
          <w:rFonts w:ascii="Times New Roman" w:hAnsi="Times New Roman" w:cs="Times New Roman"/>
        </w:rPr>
        <w:t>west control area</w:t>
      </w:r>
      <w:r w:rsidR="008D7897" w:rsidRPr="007664FC">
        <w:rPr>
          <w:rFonts w:ascii="Times New Roman" w:hAnsi="Times New Roman" w:cs="Times New Roman"/>
        </w:rPr>
        <w:t xml:space="preserve"> </w:t>
      </w:r>
      <w:r w:rsidR="007664FC" w:rsidRPr="007664FC">
        <w:rPr>
          <w:rFonts w:ascii="Times New Roman" w:hAnsi="Times New Roman" w:cs="Times New Roman"/>
        </w:rPr>
        <w:t xml:space="preserve">in most hours that can be utilized by other low cost east </w:t>
      </w:r>
      <w:r w:rsidR="008D7897">
        <w:rPr>
          <w:rFonts w:ascii="Times New Roman" w:hAnsi="Times New Roman" w:cs="Times New Roman"/>
        </w:rPr>
        <w:t>control area</w:t>
      </w:r>
      <w:r w:rsidR="007664FC" w:rsidRPr="007664FC">
        <w:rPr>
          <w:rFonts w:ascii="Times New Roman" w:hAnsi="Times New Roman" w:cs="Times New Roman"/>
        </w:rPr>
        <w:t xml:space="preserve"> resources.</w:t>
      </w:r>
    </w:p>
    <w:p w:rsidR="007664FC" w:rsidRPr="007664FC" w:rsidRDefault="007664FC" w:rsidP="007664FC">
      <w:pPr>
        <w:spacing w:line="480" w:lineRule="auto"/>
        <w:ind w:left="720" w:hanging="720"/>
        <w:rPr>
          <w:rFonts w:ascii="Times New Roman" w:hAnsi="Times New Roman" w:cs="Times New Roman"/>
          <w:b/>
          <w:bCs/>
        </w:rPr>
      </w:pPr>
      <w:r w:rsidRPr="007664FC">
        <w:rPr>
          <w:rFonts w:ascii="Times New Roman" w:hAnsi="Times New Roman" w:cs="Times New Roman"/>
          <w:b/>
          <w:bCs/>
        </w:rPr>
        <w:t>Q.</w:t>
      </w:r>
      <w:r w:rsidRPr="007664FC">
        <w:rPr>
          <w:rFonts w:ascii="Times New Roman" w:hAnsi="Times New Roman" w:cs="Times New Roman"/>
          <w:b/>
          <w:bCs/>
        </w:rPr>
        <w:tab/>
        <w:t xml:space="preserve">Does </w:t>
      </w:r>
      <w:r w:rsidR="00E46309">
        <w:rPr>
          <w:rFonts w:ascii="Times New Roman" w:hAnsi="Times New Roman" w:cs="Times New Roman"/>
          <w:b/>
          <w:bCs/>
        </w:rPr>
        <w:t>projected dispatch</w:t>
      </w:r>
      <w:r w:rsidRPr="007664FC">
        <w:rPr>
          <w:rFonts w:ascii="Times New Roman" w:hAnsi="Times New Roman" w:cs="Times New Roman"/>
          <w:b/>
          <w:bCs/>
        </w:rPr>
        <w:t xml:space="preserve"> of Jim Bridger </w:t>
      </w:r>
      <w:r w:rsidR="00E46309">
        <w:rPr>
          <w:rFonts w:ascii="Times New Roman" w:hAnsi="Times New Roman" w:cs="Times New Roman"/>
          <w:b/>
          <w:bCs/>
        </w:rPr>
        <w:t>Unit</w:t>
      </w:r>
      <w:r w:rsidR="004114CB">
        <w:rPr>
          <w:rFonts w:ascii="Times New Roman" w:hAnsi="Times New Roman" w:cs="Times New Roman"/>
          <w:b/>
          <w:bCs/>
        </w:rPr>
        <w:t>s</w:t>
      </w:r>
      <w:r w:rsidR="00E46309">
        <w:rPr>
          <w:rFonts w:ascii="Times New Roman" w:hAnsi="Times New Roman" w:cs="Times New Roman"/>
          <w:b/>
          <w:bCs/>
        </w:rPr>
        <w:t xml:space="preserve"> </w:t>
      </w:r>
      <w:r w:rsidRPr="007664FC">
        <w:rPr>
          <w:rFonts w:ascii="Times New Roman" w:hAnsi="Times New Roman" w:cs="Times New Roman"/>
          <w:b/>
          <w:bCs/>
        </w:rPr>
        <w:t xml:space="preserve">3 and 4 only in the summer months </w:t>
      </w:r>
      <w:r w:rsidR="00E46309">
        <w:rPr>
          <w:rFonts w:ascii="Times New Roman" w:hAnsi="Times New Roman" w:cs="Times New Roman"/>
          <w:b/>
          <w:bCs/>
        </w:rPr>
        <w:t>under</w:t>
      </w:r>
      <w:r w:rsidRPr="007664FC">
        <w:rPr>
          <w:rFonts w:ascii="Times New Roman" w:hAnsi="Times New Roman" w:cs="Times New Roman"/>
          <w:b/>
          <w:bCs/>
        </w:rPr>
        <w:t xml:space="preserve"> the gas conversion case make sense from a </w:t>
      </w:r>
      <w:r w:rsidR="00DF18FB">
        <w:rPr>
          <w:rFonts w:ascii="Times New Roman" w:hAnsi="Times New Roman" w:cs="Times New Roman"/>
          <w:b/>
          <w:bCs/>
        </w:rPr>
        <w:t>west control area</w:t>
      </w:r>
      <w:r w:rsidR="00DF18FB" w:rsidRPr="007664FC">
        <w:rPr>
          <w:rFonts w:ascii="Times New Roman" w:hAnsi="Times New Roman" w:cs="Times New Roman"/>
          <w:b/>
          <w:bCs/>
        </w:rPr>
        <w:t xml:space="preserve"> </w:t>
      </w:r>
      <w:r w:rsidRPr="007664FC">
        <w:rPr>
          <w:rFonts w:ascii="Times New Roman" w:hAnsi="Times New Roman" w:cs="Times New Roman"/>
          <w:b/>
          <w:bCs/>
        </w:rPr>
        <w:t>perspective?</w:t>
      </w:r>
    </w:p>
    <w:p w:rsidR="007664FC" w:rsidRDefault="00E46309" w:rsidP="007664FC">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Yes. </w:t>
      </w:r>
      <w:r w:rsidR="004A5D7E">
        <w:rPr>
          <w:rFonts w:ascii="Times New Roman" w:hAnsi="Times New Roman" w:cs="Times New Roman"/>
        </w:rPr>
        <w:t xml:space="preserve"> </w:t>
      </w:r>
      <w:r w:rsidR="007664FC" w:rsidRPr="007664FC">
        <w:rPr>
          <w:rFonts w:ascii="Times New Roman" w:hAnsi="Times New Roman" w:cs="Times New Roman"/>
        </w:rPr>
        <w:t>Due to heating demand, natural gas prices have seasonal trends and are ty</w:t>
      </w:r>
      <w:r>
        <w:rPr>
          <w:rFonts w:ascii="Times New Roman" w:hAnsi="Times New Roman" w:cs="Times New Roman"/>
        </w:rPr>
        <w:t xml:space="preserve">pically highest in the winter. </w:t>
      </w:r>
      <w:r w:rsidR="00915B44">
        <w:rPr>
          <w:rFonts w:ascii="Times New Roman" w:hAnsi="Times New Roman" w:cs="Times New Roman"/>
        </w:rPr>
        <w:t xml:space="preserve"> </w:t>
      </w:r>
      <w:r w:rsidR="007664FC" w:rsidRPr="007664FC">
        <w:rPr>
          <w:rFonts w:ascii="Times New Roman" w:hAnsi="Times New Roman" w:cs="Times New Roman"/>
        </w:rPr>
        <w:t>As a result, gas-</w:t>
      </w:r>
      <w:r w:rsidR="00F50284">
        <w:rPr>
          <w:rFonts w:ascii="Times New Roman" w:hAnsi="Times New Roman" w:cs="Times New Roman"/>
        </w:rPr>
        <w:t>fueled</w:t>
      </w:r>
      <w:r w:rsidR="00F50284" w:rsidRPr="007664FC">
        <w:rPr>
          <w:rFonts w:ascii="Times New Roman" w:hAnsi="Times New Roman" w:cs="Times New Roman"/>
        </w:rPr>
        <w:t xml:space="preserve"> </w:t>
      </w:r>
      <w:r w:rsidR="007664FC" w:rsidRPr="007664FC">
        <w:rPr>
          <w:rFonts w:ascii="Times New Roman" w:hAnsi="Times New Roman" w:cs="Times New Roman"/>
        </w:rPr>
        <w:t>generation at Jim Bridger would be</w:t>
      </w:r>
      <w:r>
        <w:rPr>
          <w:rFonts w:ascii="Times New Roman" w:hAnsi="Times New Roman" w:cs="Times New Roman"/>
        </w:rPr>
        <w:t xml:space="preserve"> more expensive in the winter. </w:t>
      </w:r>
      <w:r w:rsidR="00915B44">
        <w:rPr>
          <w:rFonts w:ascii="Times New Roman" w:hAnsi="Times New Roman" w:cs="Times New Roman"/>
        </w:rPr>
        <w:t xml:space="preserve"> </w:t>
      </w:r>
      <w:r>
        <w:rPr>
          <w:rFonts w:ascii="Times New Roman" w:hAnsi="Times New Roman" w:cs="Times New Roman"/>
        </w:rPr>
        <w:t>Given the</w:t>
      </w:r>
      <w:r w:rsidR="007664FC" w:rsidRPr="007664FC">
        <w:rPr>
          <w:rFonts w:ascii="Times New Roman" w:hAnsi="Times New Roman" w:cs="Times New Roman"/>
        </w:rPr>
        <w:t xml:space="preserve"> assumed heat rate for these units, they </w:t>
      </w:r>
      <w:r>
        <w:rPr>
          <w:rFonts w:ascii="Times New Roman" w:hAnsi="Times New Roman" w:cs="Times New Roman"/>
        </w:rPr>
        <w:t>are not projected to be</w:t>
      </w:r>
      <w:r w:rsidR="007664FC" w:rsidRPr="007664FC">
        <w:rPr>
          <w:rFonts w:ascii="Times New Roman" w:hAnsi="Times New Roman" w:cs="Times New Roman"/>
        </w:rPr>
        <w:t xml:space="preserve"> economic in the winter relative to </w:t>
      </w:r>
      <w:r>
        <w:rPr>
          <w:rFonts w:ascii="Times New Roman" w:hAnsi="Times New Roman" w:cs="Times New Roman"/>
        </w:rPr>
        <w:t xml:space="preserve">forecasted </w:t>
      </w:r>
      <w:r w:rsidR="007664FC" w:rsidRPr="007664FC">
        <w:rPr>
          <w:rFonts w:ascii="Times New Roman" w:hAnsi="Times New Roman" w:cs="Times New Roman"/>
        </w:rPr>
        <w:t xml:space="preserve">Mid-Columbia </w:t>
      </w:r>
      <w:r>
        <w:rPr>
          <w:rFonts w:ascii="Times New Roman" w:hAnsi="Times New Roman" w:cs="Times New Roman"/>
        </w:rPr>
        <w:t>on-peak</w:t>
      </w:r>
      <w:r w:rsidR="007664FC" w:rsidRPr="007664FC">
        <w:rPr>
          <w:rFonts w:ascii="Times New Roman" w:hAnsi="Times New Roman" w:cs="Times New Roman"/>
        </w:rPr>
        <w:t xml:space="preserve"> prices </w:t>
      </w:r>
      <w:r>
        <w:rPr>
          <w:rFonts w:ascii="Times New Roman" w:hAnsi="Times New Roman" w:cs="Times New Roman"/>
        </w:rPr>
        <w:t xml:space="preserve">from the September 2012 OFPC.  Dispatch on a </w:t>
      </w:r>
      <w:r w:rsidR="00943C6B">
        <w:rPr>
          <w:rFonts w:ascii="Times New Roman" w:hAnsi="Times New Roman" w:cs="Times New Roman"/>
        </w:rPr>
        <w:t>west control area</w:t>
      </w:r>
      <w:r>
        <w:rPr>
          <w:rFonts w:ascii="Times New Roman" w:hAnsi="Times New Roman" w:cs="Times New Roman"/>
        </w:rPr>
        <w:t>-</w:t>
      </w:r>
      <w:r w:rsidR="007664FC" w:rsidRPr="007664FC">
        <w:rPr>
          <w:rFonts w:ascii="Times New Roman" w:hAnsi="Times New Roman" w:cs="Times New Roman"/>
        </w:rPr>
        <w:t xml:space="preserve">only basis would not </w:t>
      </w:r>
      <w:r>
        <w:rPr>
          <w:rFonts w:ascii="Times New Roman" w:hAnsi="Times New Roman" w:cs="Times New Roman"/>
        </w:rPr>
        <w:t xml:space="preserve">yield </w:t>
      </w:r>
      <w:r w:rsidR="007664FC" w:rsidRPr="007664FC">
        <w:rPr>
          <w:rFonts w:ascii="Times New Roman" w:hAnsi="Times New Roman" w:cs="Times New Roman"/>
        </w:rPr>
        <w:t>dramatically different</w:t>
      </w:r>
      <w:r>
        <w:rPr>
          <w:rFonts w:ascii="Times New Roman" w:hAnsi="Times New Roman" w:cs="Times New Roman"/>
        </w:rPr>
        <w:t xml:space="preserve"> results</w:t>
      </w:r>
      <w:r w:rsidR="007664FC" w:rsidRPr="007664FC">
        <w:rPr>
          <w:rFonts w:ascii="Times New Roman" w:hAnsi="Times New Roman" w:cs="Times New Roman"/>
        </w:rPr>
        <w:t>.</w:t>
      </w:r>
    </w:p>
    <w:p w:rsidR="009177A8" w:rsidRDefault="009177A8" w:rsidP="009177A8">
      <w:pPr>
        <w:suppressLineNumbers/>
        <w:spacing w:line="480" w:lineRule="auto"/>
        <w:ind w:left="720" w:hanging="720"/>
        <w:rPr>
          <w:rFonts w:ascii="Times New Roman" w:hAnsi="Times New Roman" w:cs="Times New Roman"/>
        </w:rPr>
      </w:pPr>
    </w:p>
    <w:p w:rsidR="009177A8" w:rsidRDefault="009177A8" w:rsidP="009177A8">
      <w:pPr>
        <w:suppressLineNumbers/>
        <w:spacing w:line="480" w:lineRule="auto"/>
        <w:ind w:left="720" w:hanging="720"/>
        <w:rPr>
          <w:rFonts w:ascii="Times New Roman" w:hAnsi="Times New Roman" w:cs="Times New Roman"/>
        </w:rPr>
      </w:pPr>
    </w:p>
    <w:bookmarkStart w:id="8" w:name="_Toc447715560"/>
    <w:p w:rsidR="00EC202B" w:rsidRPr="00845A6A" w:rsidRDefault="00802DD8" w:rsidP="009177A8">
      <w:pPr>
        <w:pStyle w:val="Heading1"/>
      </w:pPr>
      <w:r>
        <w:rPr>
          <w:noProof/>
        </w:rPr>
        <mc:AlternateContent>
          <mc:Choice Requires="wps">
            <w:drawing>
              <wp:anchor distT="0" distB="0" distL="114300" distR="114300" simplePos="0" relativeHeight="251679744" behindDoc="0" locked="0" layoutInCell="1" allowOverlap="1" wp14:anchorId="6DF91C9A" wp14:editId="08CB2447">
                <wp:simplePos x="0" y="0"/>
                <wp:positionH relativeFrom="column">
                  <wp:posOffset>167185</wp:posOffset>
                </wp:positionH>
                <wp:positionV relativeFrom="paragraph">
                  <wp:posOffset>-682388</wp:posOffset>
                </wp:positionV>
                <wp:extent cx="5199797" cy="559558"/>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199797" cy="5595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802DD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02DD8">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3" type="#_x0000_t202" style="position:absolute;left:0;text-align:left;margin-left:13.15pt;margin-top:-53.75pt;width:409.45pt;height:44.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" filled="f" stroked="f" strokeweight=".5pt">
                <v:textbox>
                  <w:txbxContent>
                    <w:p w:rsidR="009D3D41" w:rsidRDefault="009D3D41" w:rsidP="00802DD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802DD8">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DF69D5">
        <w:t>OTHER ISSUES</w:t>
      </w:r>
      <w:bookmarkEnd w:id="8"/>
      <w:r w:rsidR="00EC202B">
        <w:t xml:space="preserve"> </w:t>
      </w:r>
    </w:p>
    <w:p w:rsidR="00E22190" w:rsidRDefault="00E22190" w:rsidP="007664FC">
      <w:pPr>
        <w:spacing w:line="480" w:lineRule="auto"/>
        <w:ind w:left="720" w:hanging="720"/>
        <w:rPr>
          <w:rFonts w:ascii="Times New Roman" w:hAnsi="Times New Roman" w:cs="Times New Roman"/>
        </w:rPr>
      </w:pPr>
      <w:r>
        <w:rPr>
          <w:rFonts w:ascii="Times New Roman" w:hAnsi="Times New Roman" w:cs="Times New Roman"/>
          <w:b/>
        </w:rPr>
        <w:t>Q.</w:t>
      </w:r>
      <w:r>
        <w:rPr>
          <w:rFonts w:ascii="Times New Roman" w:hAnsi="Times New Roman" w:cs="Times New Roman"/>
          <w:b/>
        </w:rPr>
        <w:tab/>
      </w:r>
      <w:r w:rsidR="00773E99">
        <w:rPr>
          <w:rFonts w:ascii="Times New Roman" w:hAnsi="Times New Roman" w:cs="Times New Roman"/>
          <w:b/>
        </w:rPr>
        <w:t>Does the shorter depreciable life requested by the Company in this case render the Jim Bridger SCRs uneconomic?</w:t>
      </w:r>
    </w:p>
    <w:p w:rsidR="00DF26FF" w:rsidRDefault="00E22190" w:rsidP="007664FC">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No. </w:t>
      </w:r>
      <w:r w:rsidR="005237A9">
        <w:rPr>
          <w:rFonts w:ascii="Times New Roman" w:hAnsi="Times New Roman" w:cs="Times New Roman"/>
        </w:rPr>
        <w:t xml:space="preserve"> </w:t>
      </w:r>
      <w:r w:rsidR="00E1735C">
        <w:rPr>
          <w:rFonts w:ascii="Times New Roman" w:hAnsi="Times New Roman" w:cs="Times New Roman"/>
        </w:rPr>
        <w:t>Refer</w:t>
      </w:r>
      <w:r w:rsidR="005237A9">
        <w:rPr>
          <w:rFonts w:ascii="Times New Roman" w:hAnsi="Times New Roman" w:cs="Times New Roman"/>
        </w:rPr>
        <w:t>ring to</w:t>
      </w:r>
      <w:r w:rsidR="00E1735C">
        <w:rPr>
          <w:rFonts w:ascii="Times New Roman" w:hAnsi="Times New Roman" w:cs="Times New Roman"/>
        </w:rPr>
        <w:t xml:space="preserve"> the Company’s request to shorten the depreciable life for the Jim Bridger </w:t>
      </w:r>
      <w:r w:rsidR="00886400">
        <w:rPr>
          <w:rFonts w:ascii="Times New Roman" w:hAnsi="Times New Roman" w:cs="Times New Roman"/>
        </w:rPr>
        <w:t>p</w:t>
      </w:r>
      <w:r w:rsidR="00E1735C">
        <w:rPr>
          <w:rFonts w:ascii="Times New Roman" w:hAnsi="Times New Roman" w:cs="Times New Roman"/>
        </w:rPr>
        <w:t xml:space="preserve">lant to 2025, </w:t>
      </w:r>
      <w:r w:rsidR="00F67802">
        <w:rPr>
          <w:rFonts w:ascii="Times New Roman" w:hAnsi="Times New Roman" w:cs="Times New Roman"/>
        </w:rPr>
        <w:t xml:space="preserve">Public Counsel testifies that the Company has not demonstrated whether the Jim Bridger </w:t>
      </w:r>
      <w:proofErr w:type="spellStart"/>
      <w:r w:rsidR="00F67802">
        <w:rPr>
          <w:rFonts w:ascii="Times New Roman" w:hAnsi="Times New Roman" w:cs="Times New Roman"/>
        </w:rPr>
        <w:t>SCRs</w:t>
      </w:r>
      <w:proofErr w:type="spellEnd"/>
      <w:r w:rsidR="00F67802">
        <w:rPr>
          <w:rFonts w:ascii="Times New Roman" w:hAnsi="Times New Roman" w:cs="Times New Roman"/>
        </w:rPr>
        <w:t xml:space="preserve"> would be lower cost than gas conversion if the Jim Bridger plant were removed from service at the end of 2025.</w:t>
      </w:r>
      <w:r w:rsidR="00CC0B61">
        <w:rPr>
          <w:rStyle w:val="FootnoteReference"/>
          <w:rFonts w:ascii="Times New Roman" w:hAnsi="Times New Roman"/>
        </w:rPr>
        <w:footnoteReference w:id="42"/>
      </w:r>
      <w:r w:rsidR="00F67802">
        <w:rPr>
          <w:rFonts w:ascii="Times New Roman" w:hAnsi="Times New Roman" w:cs="Times New Roman"/>
        </w:rPr>
        <w:t xml:space="preserve"> </w:t>
      </w:r>
      <w:r w:rsidR="005237A9">
        <w:rPr>
          <w:rFonts w:ascii="Times New Roman" w:hAnsi="Times New Roman" w:cs="Times New Roman"/>
        </w:rPr>
        <w:t xml:space="preserve"> </w:t>
      </w:r>
      <w:r w:rsidR="00F67802">
        <w:rPr>
          <w:rFonts w:ascii="Times New Roman" w:hAnsi="Times New Roman" w:cs="Times New Roman"/>
        </w:rPr>
        <w:t>While</w:t>
      </w:r>
      <w:r>
        <w:rPr>
          <w:rFonts w:ascii="Times New Roman" w:hAnsi="Times New Roman" w:cs="Times New Roman"/>
        </w:rPr>
        <w:t xml:space="preserve"> a shorter depreciable life reduces the </w:t>
      </w:r>
      <w:proofErr w:type="gramStart"/>
      <w:r>
        <w:rPr>
          <w:rFonts w:ascii="Times New Roman" w:hAnsi="Times New Roman" w:cs="Times New Roman"/>
        </w:rPr>
        <w:t>PVRR(</w:t>
      </w:r>
      <w:proofErr w:type="gramEnd"/>
      <w:r>
        <w:rPr>
          <w:rFonts w:ascii="Times New Roman" w:hAnsi="Times New Roman" w:cs="Times New Roman"/>
        </w:rPr>
        <w:t>d) benefits</w:t>
      </w:r>
      <w:r w:rsidR="00F67802">
        <w:rPr>
          <w:rFonts w:ascii="Times New Roman" w:hAnsi="Times New Roman" w:cs="Times New Roman"/>
        </w:rPr>
        <w:t xml:space="preserve"> for the SCR compliance case</w:t>
      </w:r>
      <w:r>
        <w:rPr>
          <w:rFonts w:ascii="Times New Roman" w:hAnsi="Times New Roman" w:cs="Times New Roman"/>
        </w:rPr>
        <w:t>, even with a 2025 depreciable life</w:t>
      </w:r>
      <w:r w:rsidR="00773E99">
        <w:rPr>
          <w:rFonts w:ascii="Times New Roman" w:hAnsi="Times New Roman" w:cs="Times New Roman"/>
        </w:rPr>
        <w:t>,</w:t>
      </w:r>
      <w:r>
        <w:rPr>
          <w:rFonts w:ascii="Times New Roman" w:hAnsi="Times New Roman" w:cs="Times New Roman"/>
        </w:rPr>
        <w:t xml:space="preserve"> the SCR systems remain the least cost compliance option. </w:t>
      </w:r>
      <w:r w:rsidR="005237A9">
        <w:rPr>
          <w:rFonts w:ascii="Times New Roman" w:hAnsi="Times New Roman" w:cs="Times New Roman"/>
        </w:rPr>
        <w:t xml:space="preserve"> </w:t>
      </w:r>
      <w:r w:rsidR="00DF26FF">
        <w:rPr>
          <w:rFonts w:ascii="Times New Roman" w:hAnsi="Times New Roman" w:cs="Times New Roman"/>
        </w:rPr>
        <w:t xml:space="preserve">Public Counsel incorrectly assumes that the Jim Bridger plant would be removed from rates if the depreciable life is shortened to 2025. </w:t>
      </w:r>
      <w:r w:rsidR="000629ED">
        <w:rPr>
          <w:rFonts w:ascii="Times New Roman" w:hAnsi="Times New Roman" w:cs="Times New Roman"/>
        </w:rPr>
        <w:t xml:space="preserve"> </w:t>
      </w:r>
      <w:r w:rsidR="00DF26FF">
        <w:rPr>
          <w:rFonts w:ascii="Times New Roman" w:hAnsi="Times New Roman" w:cs="Times New Roman"/>
        </w:rPr>
        <w:t>However, if the plant continues to operate beyond 2025, it will continue to be included in rates.</w:t>
      </w:r>
    </w:p>
    <w:p w:rsidR="00E22190" w:rsidRPr="00DF69D5" w:rsidRDefault="00DF26FF" w:rsidP="00141AC5">
      <w:pPr>
        <w:spacing w:line="480" w:lineRule="auto"/>
        <w:ind w:left="720" w:firstLine="720"/>
        <w:rPr>
          <w:rFonts w:ascii="Times New Roman" w:hAnsi="Times New Roman" w:cs="Times New Roman"/>
        </w:rPr>
      </w:pPr>
      <w:r>
        <w:rPr>
          <w:rFonts w:ascii="Times New Roman" w:hAnsi="Times New Roman" w:cs="Times New Roman"/>
        </w:rPr>
        <w:t xml:space="preserve">The Company calculated the impact of a shortened depreciable life in its </w:t>
      </w:r>
      <w:r w:rsidR="000315E0">
        <w:rPr>
          <w:rFonts w:ascii="Times New Roman" w:hAnsi="Times New Roman" w:cs="Times New Roman"/>
        </w:rPr>
        <w:t xml:space="preserve">supplemental </w:t>
      </w:r>
      <w:r>
        <w:rPr>
          <w:rFonts w:ascii="Times New Roman" w:hAnsi="Times New Roman" w:cs="Times New Roman"/>
        </w:rPr>
        <w:t xml:space="preserve">response to Public Counsel </w:t>
      </w:r>
      <w:proofErr w:type="gramStart"/>
      <w:r>
        <w:rPr>
          <w:rFonts w:ascii="Times New Roman" w:hAnsi="Times New Roman" w:cs="Times New Roman"/>
        </w:rPr>
        <w:t>data</w:t>
      </w:r>
      <w:proofErr w:type="gramEnd"/>
      <w:r>
        <w:rPr>
          <w:rFonts w:ascii="Times New Roman" w:hAnsi="Times New Roman" w:cs="Times New Roman"/>
        </w:rPr>
        <w:t xml:space="preserve"> request</w:t>
      </w:r>
      <w:r w:rsidR="000315E0">
        <w:rPr>
          <w:rFonts w:ascii="Times New Roman" w:hAnsi="Times New Roman" w:cs="Times New Roman"/>
        </w:rPr>
        <w:t>s 15 and 16,</w:t>
      </w:r>
      <w:r w:rsidR="00FC5461">
        <w:rPr>
          <w:rFonts w:ascii="Times New Roman" w:hAnsi="Times New Roman" w:cs="Times New Roman"/>
        </w:rPr>
        <w:t xml:space="preserve"> and the tab summarizes this analysis</w:t>
      </w:r>
      <w:r w:rsidR="000315E0">
        <w:rPr>
          <w:rFonts w:ascii="Times New Roman" w:hAnsi="Times New Roman" w:cs="Times New Roman"/>
        </w:rPr>
        <w:t xml:space="preserve"> included as </w:t>
      </w:r>
      <w:r w:rsidR="00E1735C">
        <w:rPr>
          <w:rFonts w:ascii="Times New Roman" w:hAnsi="Times New Roman" w:cs="Times New Roman"/>
        </w:rPr>
        <w:t xml:space="preserve">Confidential </w:t>
      </w:r>
      <w:r w:rsidR="000315E0">
        <w:rPr>
          <w:rFonts w:ascii="Times New Roman" w:hAnsi="Times New Roman" w:cs="Times New Roman"/>
        </w:rPr>
        <w:t xml:space="preserve">Exhibit </w:t>
      </w:r>
      <w:r w:rsidR="00C86E63">
        <w:rPr>
          <w:rFonts w:ascii="Times New Roman" w:hAnsi="Times New Roman" w:cs="Times New Roman"/>
        </w:rPr>
        <w:t xml:space="preserve">No. </w:t>
      </w:r>
      <w:proofErr w:type="gramStart"/>
      <w:r w:rsidR="000315E0">
        <w:rPr>
          <w:rFonts w:ascii="Times New Roman" w:hAnsi="Times New Roman" w:cs="Times New Roman"/>
        </w:rPr>
        <w:t>RTL-13</w:t>
      </w:r>
      <w:r w:rsidR="004A5D7E">
        <w:rPr>
          <w:rFonts w:ascii="Times New Roman" w:hAnsi="Times New Roman" w:cs="Times New Roman"/>
        </w:rPr>
        <w:t>C</w:t>
      </w:r>
      <w:r w:rsidR="000315E0">
        <w:rPr>
          <w:rFonts w:ascii="Times New Roman" w:hAnsi="Times New Roman" w:cs="Times New Roman"/>
        </w:rPr>
        <w:t xml:space="preserve"> to my rebuttal testimony</w:t>
      </w:r>
      <w:r>
        <w:rPr>
          <w:rFonts w:ascii="Times New Roman" w:hAnsi="Times New Roman" w:cs="Times New Roman"/>
        </w:rPr>
        <w:t>.</w:t>
      </w:r>
      <w:proofErr w:type="gramEnd"/>
      <w:r>
        <w:rPr>
          <w:rFonts w:ascii="Times New Roman" w:hAnsi="Times New Roman" w:cs="Times New Roman"/>
        </w:rPr>
        <w:t xml:space="preserve"> </w:t>
      </w:r>
      <w:r w:rsidR="00593E97">
        <w:rPr>
          <w:rFonts w:ascii="Times New Roman" w:hAnsi="Times New Roman" w:cs="Times New Roman"/>
        </w:rPr>
        <w:t xml:space="preserve"> </w:t>
      </w:r>
      <w:r w:rsidR="00440EC0">
        <w:rPr>
          <w:rFonts w:ascii="Times New Roman" w:hAnsi="Times New Roman" w:cs="Times New Roman"/>
        </w:rPr>
        <w:t xml:space="preserve">This analysis assumes the Jim Bridger plant continues operating beyond 2025 and that projected run-rate operating costs, including run-rate capital costs, beyond 2025 are treated as an expense. </w:t>
      </w:r>
      <w:r w:rsidR="00B53FC8">
        <w:rPr>
          <w:rFonts w:ascii="Times New Roman" w:hAnsi="Times New Roman" w:cs="Times New Roman"/>
        </w:rPr>
        <w:t xml:space="preserve"> </w:t>
      </w:r>
      <w:r w:rsidR="00440EC0">
        <w:rPr>
          <w:rFonts w:ascii="Times New Roman" w:hAnsi="Times New Roman" w:cs="Times New Roman"/>
        </w:rPr>
        <w:t xml:space="preserve">With the shortened depreciable life applied to both the gas conversion and SCR compliance scenarios, the Jim Bridger SCRs remain favorable to gas conversion, with a </w:t>
      </w:r>
      <w:proofErr w:type="spellStart"/>
      <w:proofErr w:type="gramStart"/>
      <w:r w:rsidR="00440EC0">
        <w:rPr>
          <w:rFonts w:ascii="Times New Roman" w:hAnsi="Times New Roman" w:cs="Times New Roman"/>
        </w:rPr>
        <w:t>PVRR</w:t>
      </w:r>
      <w:proofErr w:type="spellEnd"/>
      <w:r w:rsidR="00440EC0">
        <w:rPr>
          <w:rFonts w:ascii="Times New Roman" w:hAnsi="Times New Roman" w:cs="Times New Roman"/>
        </w:rPr>
        <w:t>(</w:t>
      </w:r>
      <w:proofErr w:type="gramEnd"/>
      <w:r w:rsidR="00440EC0">
        <w:rPr>
          <w:rFonts w:ascii="Times New Roman" w:hAnsi="Times New Roman" w:cs="Times New Roman"/>
        </w:rPr>
        <w:t xml:space="preserve">d) of </w:t>
      </w:r>
      <w:r w:rsidR="00D24585" w:rsidRPr="003226BD">
        <w:rPr>
          <w:rFonts w:ascii="Times New Roman" w:hAnsi="Times New Roman" w:cs="Times New Roman"/>
          <w:highlight w:val="black"/>
        </w:rPr>
        <w:t>__________</w:t>
      </w:r>
      <w:r w:rsidR="00440EC0">
        <w:rPr>
          <w:rFonts w:ascii="Times New Roman" w:hAnsi="Times New Roman" w:cs="Times New Roman"/>
        </w:rPr>
        <w:t xml:space="preserve"> on a system basis. </w:t>
      </w:r>
      <w:r w:rsidR="00B53FC8">
        <w:rPr>
          <w:rFonts w:ascii="Times New Roman" w:hAnsi="Times New Roman" w:cs="Times New Roman"/>
        </w:rPr>
        <w:t xml:space="preserve"> </w:t>
      </w:r>
      <w:r w:rsidR="00E1735C">
        <w:rPr>
          <w:rFonts w:ascii="Times New Roman" w:hAnsi="Times New Roman" w:cs="Times New Roman"/>
        </w:rPr>
        <w:t xml:space="preserve">If the shortened depreciable life is applied only to the SCR compliance scenario, then the </w:t>
      </w:r>
      <w:proofErr w:type="gramStart"/>
      <w:r w:rsidR="00E1735C">
        <w:rPr>
          <w:rFonts w:ascii="Times New Roman" w:hAnsi="Times New Roman" w:cs="Times New Roman"/>
        </w:rPr>
        <w:t>PVRR(</w:t>
      </w:r>
      <w:proofErr w:type="gramEnd"/>
      <w:r w:rsidR="00E1735C">
        <w:rPr>
          <w:rFonts w:ascii="Times New Roman" w:hAnsi="Times New Roman" w:cs="Times New Roman"/>
        </w:rPr>
        <w:t xml:space="preserve">d) benefits of the </w:t>
      </w:r>
      <w:proofErr w:type="spellStart"/>
      <w:r w:rsidR="00E1735C">
        <w:rPr>
          <w:rFonts w:ascii="Times New Roman" w:hAnsi="Times New Roman" w:cs="Times New Roman"/>
        </w:rPr>
        <w:t>SCR</w:t>
      </w:r>
      <w:proofErr w:type="spellEnd"/>
      <w:r w:rsidR="00E1735C">
        <w:rPr>
          <w:rFonts w:ascii="Times New Roman" w:hAnsi="Times New Roman" w:cs="Times New Roman"/>
        </w:rPr>
        <w:t xml:space="preserve"> alternative are </w:t>
      </w:r>
      <w:r w:rsidR="00D24585" w:rsidRPr="003226BD">
        <w:rPr>
          <w:rFonts w:ascii="Times New Roman" w:hAnsi="Times New Roman" w:cs="Times New Roman"/>
          <w:highlight w:val="black"/>
        </w:rPr>
        <w:t>__________</w:t>
      </w:r>
      <w:r w:rsidR="00E1735C">
        <w:rPr>
          <w:rFonts w:ascii="Times New Roman" w:hAnsi="Times New Roman" w:cs="Times New Roman"/>
        </w:rPr>
        <w:t xml:space="preserve"> on a system basis.</w:t>
      </w:r>
    </w:p>
    <w:p w:rsidR="0079561D" w:rsidRDefault="00957855" w:rsidP="007664FC">
      <w:pPr>
        <w:spacing w:line="480" w:lineRule="auto"/>
        <w:ind w:left="720" w:hanging="720"/>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3840" behindDoc="0" locked="0" layoutInCell="1" allowOverlap="1">
                <wp:simplePos x="0" y="0"/>
                <wp:positionH relativeFrom="column">
                  <wp:posOffset>419100</wp:posOffset>
                </wp:positionH>
                <wp:positionV relativeFrom="paragraph">
                  <wp:posOffset>-1367790</wp:posOffset>
                </wp:positionV>
                <wp:extent cx="4943475" cy="4762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943475"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57855" w:rsidRDefault="00957855" w:rsidP="00957855">
                            <w:pPr>
                              <w:jc w:val="center"/>
                              <w:rPr>
                                <w:rFonts w:ascii="Times New Roman" w:hAnsi="Times New Roman" w:cs="Times New Roman"/>
                              </w:rPr>
                            </w:pPr>
                            <w:r>
                              <w:rPr>
                                <w:rFonts w:ascii="Times New Roman" w:hAnsi="Times New Roman" w:cs="Times New Roman"/>
                              </w:rPr>
                              <w:t xml:space="preserve">REDACTED - CONFIDENTIAL PER PROTECTIVE ORDER </w:t>
                            </w:r>
                          </w:p>
                          <w:p w:rsidR="00957855" w:rsidRPr="00284D12" w:rsidRDefault="00957855" w:rsidP="00957855">
                            <w:pPr>
                              <w:jc w:val="center"/>
                              <w:rPr>
                                <w:rFonts w:ascii="Times New Roman" w:hAnsi="Times New Roman" w:cs="Times New Roman"/>
                              </w:rPr>
                            </w:pPr>
                            <w:r>
                              <w:rPr>
                                <w:rFonts w:ascii="Times New Roman" w:hAnsi="Times New Roman" w:cs="Times New Roman"/>
                              </w:rPr>
                              <w:t>IN UTC DOCKET UE-152253</w:t>
                            </w:r>
                          </w:p>
                          <w:p w:rsidR="00957855" w:rsidRDefault="00957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8" o:spid="_x0000_s1044" type="#_x0000_t202" style="position:absolute;left:0;text-align:left;margin-left:33pt;margin-top:-107.7pt;width:389.25pt;height: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" filled="f" stroked="f" strokeweight=".5pt">
                <v:textbox>
                  <w:txbxContent>
                    <w:p w:rsidR="00957855" w:rsidRDefault="00957855" w:rsidP="00957855">
                      <w:pPr>
                        <w:jc w:val="center"/>
                        <w:rPr>
                          <w:rFonts w:ascii="Times New Roman" w:hAnsi="Times New Roman" w:cs="Times New Roman"/>
                        </w:rPr>
                      </w:pPr>
                      <w:r>
                        <w:rPr>
                          <w:rFonts w:ascii="Times New Roman" w:hAnsi="Times New Roman" w:cs="Times New Roman"/>
                        </w:rPr>
                        <w:t xml:space="preserve">REDACTED - </w:t>
                      </w:r>
                      <w:bookmarkStart w:id="9" w:name="_GoBack"/>
                      <w:bookmarkEnd w:id="9"/>
                      <w:r>
                        <w:rPr>
                          <w:rFonts w:ascii="Times New Roman" w:hAnsi="Times New Roman" w:cs="Times New Roman"/>
                        </w:rPr>
                        <w:t xml:space="preserve">CONFIDENTIAL PER PROTECTIVE ORDER </w:t>
                      </w:r>
                    </w:p>
                    <w:p w:rsidR="00957855" w:rsidRPr="00284D12" w:rsidRDefault="00957855" w:rsidP="00957855">
                      <w:pPr>
                        <w:jc w:val="center"/>
                        <w:rPr>
                          <w:rFonts w:ascii="Times New Roman" w:hAnsi="Times New Roman" w:cs="Times New Roman"/>
                        </w:rPr>
                      </w:pPr>
                      <w:r>
                        <w:rPr>
                          <w:rFonts w:ascii="Times New Roman" w:hAnsi="Times New Roman" w:cs="Times New Roman"/>
                        </w:rPr>
                        <w:t>IN UTC DOCKET UE-152253</w:t>
                      </w:r>
                    </w:p>
                    <w:p w:rsidR="00957855" w:rsidRDefault="00957855"/>
                  </w:txbxContent>
                </v:textbox>
              </v:shape>
            </w:pict>
          </mc:Fallback>
        </mc:AlternateContent>
      </w:r>
      <w:r w:rsidR="00EC202B">
        <w:rPr>
          <w:rFonts w:ascii="Times New Roman" w:hAnsi="Times New Roman" w:cs="Times New Roman"/>
          <w:b/>
        </w:rPr>
        <w:t>Q.</w:t>
      </w:r>
      <w:r w:rsidR="00EC202B">
        <w:rPr>
          <w:rFonts w:ascii="Times New Roman" w:hAnsi="Times New Roman" w:cs="Times New Roman"/>
          <w:b/>
        </w:rPr>
        <w:tab/>
      </w:r>
      <w:r w:rsidR="00E1735C">
        <w:rPr>
          <w:rFonts w:ascii="Times New Roman" w:hAnsi="Times New Roman" w:cs="Times New Roman"/>
          <w:b/>
        </w:rPr>
        <w:t xml:space="preserve">Have parties raised any other concerns with the Company’s </w:t>
      </w:r>
      <w:r w:rsidR="00B044B9">
        <w:rPr>
          <w:rFonts w:ascii="Times New Roman" w:hAnsi="Times New Roman" w:cs="Times New Roman"/>
          <w:b/>
        </w:rPr>
        <w:t xml:space="preserve">SCR </w:t>
      </w:r>
      <w:r w:rsidR="00E1735C">
        <w:rPr>
          <w:rFonts w:ascii="Times New Roman" w:hAnsi="Times New Roman" w:cs="Times New Roman"/>
          <w:b/>
        </w:rPr>
        <w:t xml:space="preserve">analysis? </w:t>
      </w:r>
    </w:p>
    <w:p w:rsidR="00EC202B" w:rsidRPr="00141AC5" w:rsidRDefault="00EC202B" w:rsidP="007664FC">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E1735C">
        <w:rPr>
          <w:rFonts w:ascii="Times New Roman" w:hAnsi="Times New Roman" w:cs="Times New Roman"/>
        </w:rPr>
        <w:t xml:space="preserve">Yes. </w:t>
      </w:r>
      <w:r w:rsidR="00B53FC8">
        <w:rPr>
          <w:rFonts w:ascii="Times New Roman" w:hAnsi="Times New Roman" w:cs="Times New Roman"/>
        </w:rPr>
        <w:t xml:space="preserve"> </w:t>
      </w:r>
      <w:r w:rsidR="00E1735C">
        <w:rPr>
          <w:rFonts w:ascii="Times New Roman" w:hAnsi="Times New Roman" w:cs="Times New Roman"/>
        </w:rPr>
        <w:t xml:space="preserve">Sierra Club </w:t>
      </w:r>
      <w:r w:rsidR="00E1735C" w:rsidRPr="00141AC5">
        <w:rPr>
          <w:rFonts w:ascii="Times New Roman" w:hAnsi="Times New Roman" w:cs="Times New Roman"/>
        </w:rPr>
        <w:t>argues that the Company’s System Optimizer model improperly treats all operating and maintenance costs at Jim Bridger as fixed, which underestimates the variable cost of production and potentially overstates dispatch as the units become increasingly marginal under low gas price forecasts.</w:t>
      </w:r>
      <w:r w:rsidR="00E1735C" w:rsidRPr="00141AC5">
        <w:rPr>
          <w:rStyle w:val="FootnoteReference"/>
          <w:rFonts w:ascii="Times New Roman" w:hAnsi="Times New Roman"/>
        </w:rPr>
        <w:footnoteReference w:id="43"/>
      </w:r>
      <w:r w:rsidR="0079561D">
        <w:rPr>
          <w:rFonts w:ascii="Times New Roman" w:hAnsi="Times New Roman" w:cs="Times New Roman"/>
        </w:rPr>
        <w:t xml:space="preserve"> </w:t>
      </w:r>
      <w:r w:rsidR="00B53FC8">
        <w:rPr>
          <w:rFonts w:ascii="Times New Roman" w:hAnsi="Times New Roman" w:cs="Times New Roman"/>
        </w:rPr>
        <w:t xml:space="preserve"> </w:t>
      </w:r>
      <w:r w:rsidR="0079561D">
        <w:rPr>
          <w:rFonts w:ascii="Times New Roman" w:hAnsi="Times New Roman" w:cs="Times New Roman"/>
        </w:rPr>
        <w:t xml:space="preserve">Sierra Club also contends </w:t>
      </w:r>
      <w:r w:rsidR="0079561D" w:rsidRPr="00141AC5">
        <w:rPr>
          <w:rFonts w:ascii="Times New Roman" w:hAnsi="Times New Roman" w:cs="Times New Roman"/>
        </w:rPr>
        <w:t>that the model used to assess the forward market cost of energy appears to assume that three of the four Jim Bridger units retire in 2017.</w:t>
      </w:r>
      <w:r w:rsidR="00B53FC8">
        <w:rPr>
          <w:rStyle w:val="FootnoteReference"/>
          <w:rFonts w:ascii="Times New Roman" w:hAnsi="Times New Roman"/>
        </w:rPr>
        <w:footnoteReference w:id="44"/>
      </w:r>
    </w:p>
    <w:p w:rsidR="00E1735C" w:rsidRDefault="00E1735C" w:rsidP="00E1735C">
      <w:pPr>
        <w:spacing w:line="480" w:lineRule="auto"/>
        <w:ind w:left="720" w:hanging="720"/>
        <w:rPr>
          <w:rFonts w:ascii="Times New Roman" w:hAnsi="Times New Roman" w:cs="Times New Roman"/>
        </w:rPr>
      </w:pPr>
      <w:r>
        <w:rPr>
          <w:rFonts w:ascii="Times New Roman" w:hAnsi="Times New Roman" w:cs="Times New Roman"/>
          <w:b/>
        </w:rPr>
        <w:t>Q.</w:t>
      </w:r>
      <w:r>
        <w:rPr>
          <w:rFonts w:ascii="Times New Roman" w:hAnsi="Times New Roman" w:cs="Times New Roman"/>
          <w:b/>
        </w:rPr>
        <w:tab/>
        <w:t>How do you respond?</w:t>
      </w:r>
    </w:p>
    <w:p w:rsidR="0079561D" w:rsidRDefault="00E1735C" w:rsidP="00E1735C">
      <w:pPr>
        <w:spacing w:line="480" w:lineRule="auto"/>
        <w:ind w:left="720" w:hanging="720"/>
        <w:rPr>
          <w:rFonts w:ascii="Times New Roman" w:hAnsi="Times New Roman" w:cs="Times New Roman"/>
        </w:rPr>
      </w:pPr>
      <w:r>
        <w:rPr>
          <w:rFonts w:ascii="Times New Roman" w:hAnsi="Times New Roman" w:cs="Times New Roman"/>
        </w:rPr>
        <w:t>A.</w:t>
      </w:r>
      <w:r>
        <w:rPr>
          <w:rFonts w:ascii="Times New Roman" w:hAnsi="Times New Roman" w:cs="Times New Roman"/>
        </w:rPr>
        <w:tab/>
        <w:t xml:space="preserve">The Company captures all forecasted fixed and variable run-rate operating costs in its analysis to align its assumptions with the most current plant operating budgets. </w:t>
      </w:r>
      <w:r w:rsidR="004A5D7E">
        <w:rPr>
          <w:rFonts w:ascii="Times New Roman" w:hAnsi="Times New Roman" w:cs="Times New Roman"/>
        </w:rPr>
        <w:t xml:space="preserve"> </w:t>
      </w:r>
      <w:r w:rsidR="00BE5F75">
        <w:rPr>
          <w:rFonts w:ascii="Times New Roman" w:hAnsi="Times New Roman" w:cs="Times New Roman"/>
        </w:rPr>
        <w:t>Non-fuel v</w:t>
      </w:r>
      <w:r>
        <w:rPr>
          <w:rFonts w:ascii="Times New Roman" w:hAnsi="Times New Roman" w:cs="Times New Roman"/>
        </w:rPr>
        <w:t xml:space="preserve">ariable operating costs </w:t>
      </w:r>
      <w:r w:rsidR="00BE5F75">
        <w:rPr>
          <w:rFonts w:ascii="Times New Roman" w:hAnsi="Times New Roman" w:cs="Times New Roman"/>
        </w:rPr>
        <w:t>are a fraction of the fuel costs for a base load coal-fueled operating facility and would not materially alter plant dispatch, even when low natural gas price assumptions are used.</w:t>
      </w:r>
      <w:r w:rsidR="00866092">
        <w:rPr>
          <w:rFonts w:ascii="Times New Roman" w:hAnsi="Times New Roman" w:cs="Times New Roman"/>
        </w:rPr>
        <w:t xml:space="preserve"> </w:t>
      </w:r>
      <w:r w:rsidR="00BE5F75">
        <w:rPr>
          <w:rFonts w:ascii="Times New Roman" w:hAnsi="Times New Roman" w:cs="Times New Roman"/>
        </w:rPr>
        <w:t xml:space="preserve"> Coal unit dispatch is most heavily influenced by fuel costs and assumed CO</w:t>
      </w:r>
      <w:r w:rsidR="00BE5F75">
        <w:rPr>
          <w:rFonts w:ascii="Times New Roman" w:hAnsi="Times New Roman" w:cs="Times New Roman"/>
          <w:vertAlign w:val="subscript"/>
        </w:rPr>
        <w:t>2</w:t>
      </w:r>
      <w:r w:rsidR="00BE5F75">
        <w:rPr>
          <w:rFonts w:ascii="Times New Roman" w:hAnsi="Times New Roman" w:cs="Times New Roman"/>
        </w:rPr>
        <w:t xml:space="preserve"> emission costs, as applicable.</w:t>
      </w:r>
    </w:p>
    <w:p w:rsidR="0079561D" w:rsidRPr="00A70C18" w:rsidRDefault="0079561D" w:rsidP="00141AC5">
      <w:pPr>
        <w:spacing w:line="480" w:lineRule="auto"/>
        <w:ind w:left="720" w:firstLine="720"/>
        <w:rPr>
          <w:rFonts w:ascii="Times New Roman" w:hAnsi="Times New Roman" w:cs="Times New Roman"/>
        </w:rPr>
      </w:pPr>
      <w:r w:rsidRPr="00A70C18">
        <w:rPr>
          <w:rFonts w:ascii="Times New Roman" w:hAnsi="Times New Roman" w:cs="Times New Roman"/>
        </w:rPr>
        <w:t>Contrary to Sierra Club</w:t>
      </w:r>
      <w:r w:rsidRPr="00141AC5">
        <w:rPr>
          <w:rFonts w:ascii="Times New Roman" w:hAnsi="Times New Roman" w:cs="Times New Roman"/>
        </w:rPr>
        <w:t xml:space="preserve">’s claim, the Company’s OFPCs used for its </w:t>
      </w:r>
      <w:r>
        <w:rPr>
          <w:rFonts w:ascii="Times New Roman" w:hAnsi="Times New Roman" w:cs="Times New Roman"/>
        </w:rPr>
        <w:t xml:space="preserve">Jim Bridger SCR </w:t>
      </w:r>
      <w:r w:rsidRPr="00A70C18">
        <w:rPr>
          <w:rFonts w:ascii="Times New Roman" w:hAnsi="Times New Roman" w:cs="Times New Roman"/>
        </w:rPr>
        <w:t xml:space="preserve">analysis </w:t>
      </w:r>
      <w:r w:rsidRPr="00141AC5">
        <w:rPr>
          <w:rFonts w:ascii="Times New Roman" w:hAnsi="Times New Roman" w:cs="Times New Roman"/>
        </w:rPr>
        <w:t>do not assume an early retirement of three of the four Jim Bridger units at the end of 2017.</w:t>
      </w:r>
      <w:r w:rsidR="00BE5F75" w:rsidRPr="00141AC5">
        <w:rPr>
          <w:rFonts w:ascii="Times New Roman" w:hAnsi="Times New Roman" w:cs="Times New Roman"/>
        </w:rPr>
        <w:t xml:space="preserve"> </w:t>
      </w:r>
      <w:r w:rsidR="00866092">
        <w:rPr>
          <w:rFonts w:ascii="Times New Roman" w:hAnsi="Times New Roman" w:cs="Times New Roman"/>
        </w:rPr>
        <w:t xml:space="preserve"> </w:t>
      </w:r>
      <w:r w:rsidRPr="00141AC5">
        <w:rPr>
          <w:rFonts w:ascii="Times New Roman" w:hAnsi="Times New Roman" w:cs="Times New Roman"/>
          <w:bdr w:val="none" w:sz="0" w:space="0" w:color="auto" w:frame="1"/>
        </w:rPr>
        <w:t>Sierra Club</w:t>
      </w:r>
      <w:r w:rsidR="009B6FCF">
        <w:rPr>
          <w:rFonts w:ascii="Times New Roman" w:hAnsi="Times New Roman" w:cs="Times New Roman"/>
          <w:bdr w:val="none" w:sz="0" w:space="0" w:color="auto" w:frame="1"/>
        </w:rPr>
        <w:t>’s</w:t>
      </w:r>
      <w:r w:rsidRPr="00141AC5">
        <w:rPr>
          <w:rFonts w:ascii="Times New Roman" w:hAnsi="Times New Roman" w:cs="Times New Roman"/>
          <w:bdr w:val="none" w:sz="0" w:space="0" w:color="auto" w:frame="1"/>
        </w:rPr>
        <w:t xml:space="preserve"> reference is </w:t>
      </w:r>
      <w:r w:rsidR="009B6FCF">
        <w:rPr>
          <w:rFonts w:ascii="Times New Roman" w:hAnsi="Times New Roman" w:cs="Times New Roman"/>
          <w:bdr w:val="none" w:sz="0" w:space="0" w:color="auto" w:frame="1"/>
        </w:rPr>
        <w:t xml:space="preserve">an internal Company email provided in response </w:t>
      </w:r>
      <w:r w:rsidRPr="00141AC5">
        <w:rPr>
          <w:rFonts w:ascii="Times New Roman" w:hAnsi="Times New Roman" w:cs="Times New Roman"/>
          <w:bdr w:val="none" w:sz="0" w:space="0" w:color="auto" w:frame="1"/>
        </w:rPr>
        <w:t xml:space="preserve">to </w:t>
      </w:r>
      <w:r>
        <w:rPr>
          <w:rFonts w:ascii="Times New Roman" w:hAnsi="Times New Roman" w:cs="Times New Roman"/>
          <w:bdr w:val="none" w:sz="0" w:space="0" w:color="auto" w:frame="1"/>
        </w:rPr>
        <w:t xml:space="preserve">a </w:t>
      </w:r>
      <w:r w:rsidRPr="00141AC5">
        <w:rPr>
          <w:rFonts w:ascii="Times New Roman" w:hAnsi="Times New Roman" w:cs="Times New Roman"/>
          <w:bdr w:val="none" w:sz="0" w:space="0" w:color="auto" w:frame="1"/>
        </w:rPr>
        <w:t xml:space="preserve">Staff’s data request </w:t>
      </w:r>
      <w:r w:rsidR="00023D27">
        <w:rPr>
          <w:rFonts w:ascii="Times New Roman" w:hAnsi="Times New Roman" w:cs="Times New Roman"/>
          <w:bdr w:val="none" w:sz="0" w:space="0" w:color="auto" w:frame="1"/>
        </w:rPr>
        <w:t xml:space="preserve">seeking </w:t>
      </w:r>
      <w:r w:rsidRPr="00141AC5">
        <w:rPr>
          <w:rFonts w:ascii="Times New Roman" w:hAnsi="Times New Roman" w:cs="Times New Roman"/>
          <w:bdr w:val="none" w:sz="0" w:space="0" w:color="auto" w:frame="1"/>
        </w:rPr>
        <w:t xml:space="preserve">all internal emails relating to the preparation of the </w:t>
      </w:r>
      <w:r w:rsidR="00023D27">
        <w:rPr>
          <w:rFonts w:ascii="Times New Roman" w:hAnsi="Times New Roman" w:cs="Times New Roman"/>
          <w:bdr w:val="none" w:sz="0" w:space="0" w:color="auto" w:frame="1"/>
        </w:rPr>
        <w:t xml:space="preserve">September </w:t>
      </w:r>
      <w:r w:rsidRPr="00141AC5">
        <w:rPr>
          <w:rFonts w:ascii="Times New Roman" w:hAnsi="Times New Roman" w:cs="Times New Roman"/>
          <w:bdr w:val="none" w:sz="0" w:space="0" w:color="auto" w:frame="1"/>
        </w:rPr>
        <w:t xml:space="preserve">2013 </w:t>
      </w:r>
      <w:proofErr w:type="spellStart"/>
      <w:r w:rsidR="00023D27">
        <w:rPr>
          <w:rFonts w:ascii="Times New Roman" w:hAnsi="Times New Roman" w:cs="Times New Roman"/>
          <w:bdr w:val="none" w:sz="0" w:space="0" w:color="auto" w:frame="1"/>
        </w:rPr>
        <w:t>OFPC</w:t>
      </w:r>
      <w:proofErr w:type="spellEnd"/>
      <w:r w:rsidRPr="00141AC5">
        <w:rPr>
          <w:rFonts w:ascii="Times New Roman" w:hAnsi="Times New Roman" w:cs="Times New Roman"/>
          <w:bdr w:val="none" w:sz="0" w:space="0" w:color="auto" w:frame="1"/>
        </w:rPr>
        <w:t>.</w:t>
      </w:r>
      <w:r w:rsidR="00866092">
        <w:rPr>
          <w:rFonts w:ascii="Times New Roman" w:hAnsi="Times New Roman" w:cs="Times New Roman"/>
          <w:bdr w:val="none" w:sz="0" w:space="0" w:color="auto" w:frame="1"/>
        </w:rPr>
        <w:t xml:space="preserve">  </w:t>
      </w:r>
      <w:r w:rsidR="00023D27">
        <w:rPr>
          <w:rFonts w:ascii="Times New Roman" w:hAnsi="Times New Roman" w:cs="Times New Roman"/>
          <w:bdr w:val="none" w:sz="0" w:space="0" w:color="auto" w:frame="1"/>
        </w:rPr>
        <w:t>The particular email referenced</w:t>
      </w:r>
      <w:r w:rsidRPr="00141AC5">
        <w:rPr>
          <w:rFonts w:ascii="Times New Roman" w:hAnsi="Times New Roman" w:cs="Times New Roman"/>
          <w:bdr w:val="none" w:sz="0" w:space="0" w:color="auto" w:frame="1"/>
        </w:rPr>
        <w:t xml:space="preserve"> contain</w:t>
      </w:r>
      <w:r w:rsidR="00023D27">
        <w:rPr>
          <w:rFonts w:ascii="Times New Roman" w:hAnsi="Times New Roman" w:cs="Times New Roman"/>
          <w:bdr w:val="none" w:sz="0" w:space="0" w:color="auto" w:frame="1"/>
        </w:rPr>
        <w:t>ed</w:t>
      </w:r>
      <w:r w:rsidRPr="00141AC5">
        <w:rPr>
          <w:rFonts w:ascii="Times New Roman" w:hAnsi="Times New Roman" w:cs="Times New Roman"/>
          <w:bdr w:val="none" w:sz="0" w:space="0" w:color="auto" w:frame="1"/>
        </w:rPr>
        <w:t xml:space="preserve"> output from a mo</w:t>
      </w:r>
      <w:r w:rsidR="00A70C18" w:rsidRPr="00A70C18">
        <w:rPr>
          <w:rFonts w:ascii="Times New Roman" w:hAnsi="Times New Roman" w:cs="Times New Roman"/>
          <w:bdr w:val="none" w:sz="0" w:space="0" w:color="auto" w:frame="1"/>
        </w:rPr>
        <w:t>del that endogenously determine</w:t>
      </w:r>
      <w:r w:rsidR="00A70C18">
        <w:rPr>
          <w:rFonts w:ascii="Times New Roman" w:hAnsi="Times New Roman" w:cs="Times New Roman"/>
          <w:bdr w:val="none" w:sz="0" w:space="0" w:color="auto" w:frame="1"/>
        </w:rPr>
        <w:t>s</w:t>
      </w:r>
      <w:r w:rsidRPr="00141AC5">
        <w:rPr>
          <w:rFonts w:ascii="Times New Roman" w:hAnsi="Times New Roman" w:cs="Times New Roman"/>
          <w:bdr w:val="none" w:sz="0" w:space="0" w:color="auto" w:frame="1"/>
        </w:rPr>
        <w:t xml:space="preserve"> the amount of renewable resources needed to meet the renewable portfolio standards </w:t>
      </w:r>
      <w:r w:rsidR="00A70C18">
        <w:rPr>
          <w:rFonts w:ascii="Times New Roman" w:hAnsi="Times New Roman" w:cs="Times New Roman"/>
          <w:bdr w:val="none" w:sz="0" w:space="0" w:color="auto" w:frame="1"/>
        </w:rPr>
        <w:t>within</w:t>
      </w:r>
      <w:r w:rsidRPr="00141AC5">
        <w:rPr>
          <w:rFonts w:ascii="Times New Roman" w:hAnsi="Times New Roman" w:cs="Times New Roman"/>
          <w:bdr w:val="none" w:sz="0" w:space="0" w:color="auto" w:frame="1"/>
        </w:rPr>
        <w:t xml:space="preserve"> the Western Electricity Coordinating Council area</w:t>
      </w:r>
      <w:r w:rsidR="00A70C18">
        <w:rPr>
          <w:rFonts w:ascii="Times New Roman" w:hAnsi="Times New Roman" w:cs="Times New Roman"/>
          <w:bdr w:val="none" w:sz="0" w:space="0" w:color="auto" w:frame="1"/>
        </w:rPr>
        <w:t xml:space="preserve">. </w:t>
      </w:r>
      <w:r w:rsidR="00E135EA">
        <w:rPr>
          <w:rFonts w:ascii="Times New Roman" w:hAnsi="Times New Roman" w:cs="Times New Roman"/>
          <w:bdr w:val="none" w:sz="0" w:space="0" w:color="auto" w:frame="1"/>
        </w:rPr>
        <w:t xml:space="preserve"> </w:t>
      </w:r>
      <w:r w:rsidR="00A70C18">
        <w:rPr>
          <w:rFonts w:ascii="Times New Roman" w:hAnsi="Times New Roman" w:cs="Times New Roman"/>
          <w:bdr w:val="none" w:sz="0" w:space="0" w:color="auto" w:frame="1"/>
        </w:rPr>
        <w:t xml:space="preserve">Early retirements </w:t>
      </w:r>
      <w:r w:rsidR="004A5D7E">
        <w:rPr>
          <w:rFonts w:ascii="Times New Roman" w:hAnsi="Times New Roman" w:cs="Times New Roman"/>
          <w:bdr w:val="none" w:sz="0" w:space="0" w:color="auto" w:frame="1"/>
        </w:rPr>
        <w:t xml:space="preserve">for Company-owned resources </w:t>
      </w:r>
      <w:r w:rsidR="00A70C18">
        <w:rPr>
          <w:rFonts w:ascii="Times New Roman" w:hAnsi="Times New Roman" w:cs="Times New Roman"/>
          <w:bdr w:val="none" w:sz="0" w:space="0" w:color="auto" w:frame="1"/>
        </w:rPr>
        <w:t xml:space="preserve">shown in the file were not used </w:t>
      </w:r>
      <w:r w:rsidR="00886400">
        <w:rPr>
          <w:rFonts w:ascii="Times New Roman" w:hAnsi="Times New Roman" w:cs="Times New Roman"/>
          <w:bdr w:val="none" w:sz="0" w:space="0" w:color="auto" w:frame="1"/>
        </w:rPr>
        <w:t>in the Company’s</w:t>
      </w:r>
      <w:r w:rsidR="00A70C18">
        <w:rPr>
          <w:rFonts w:ascii="Times New Roman" w:hAnsi="Times New Roman" w:cs="Times New Roman"/>
          <w:bdr w:val="none" w:sz="0" w:space="0" w:color="auto" w:frame="1"/>
        </w:rPr>
        <w:t xml:space="preserve"> forward electricity price </w:t>
      </w:r>
      <w:r w:rsidR="00886400">
        <w:rPr>
          <w:rFonts w:ascii="Times New Roman" w:hAnsi="Times New Roman" w:cs="Times New Roman"/>
          <w:bdr w:val="none" w:sz="0" w:space="0" w:color="auto" w:frame="1"/>
        </w:rPr>
        <w:t>forecast</w:t>
      </w:r>
      <w:r w:rsidRPr="00141AC5">
        <w:rPr>
          <w:rFonts w:ascii="Times New Roman" w:hAnsi="Times New Roman" w:cs="Times New Roman"/>
          <w:bdr w:val="none" w:sz="0" w:space="0" w:color="auto" w:frame="1"/>
        </w:rPr>
        <w:t>.</w:t>
      </w:r>
      <w:r w:rsidRPr="00141AC5">
        <w:rPr>
          <w:rFonts w:ascii="Times New Roman" w:hAnsi="Times New Roman" w:cs="Times New Roman"/>
          <w:sz w:val="20"/>
          <w:szCs w:val="20"/>
        </w:rPr>
        <w:t> </w:t>
      </w:r>
    </w:p>
    <w:bookmarkStart w:id="9" w:name="_Toc447715561"/>
    <w:p w:rsidR="00E973E6" w:rsidRDefault="009177A8" w:rsidP="009177A8">
      <w:pPr>
        <w:pStyle w:val="Heading1"/>
      </w:pPr>
      <w:r>
        <w:rPr>
          <w:noProof/>
        </w:rPr>
        <mc:AlternateContent>
          <mc:Choice Requires="wps">
            <w:drawing>
              <wp:anchor distT="0" distB="0" distL="114300" distR="114300" simplePos="0" relativeHeight="251676672" behindDoc="0" locked="0" layoutInCell="1" allowOverlap="1" wp14:anchorId="743B73A8" wp14:editId="27D0F941">
                <wp:simplePos x="0" y="0"/>
                <wp:positionH relativeFrom="column">
                  <wp:posOffset>219075</wp:posOffset>
                </wp:positionH>
                <wp:positionV relativeFrom="paragraph">
                  <wp:posOffset>-1920240</wp:posOffset>
                </wp:positionV>
                <wp:extent cx="5448300" cy="5524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448300"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9177A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9177A8">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45" type="#_x0000_t202" style="position:absolute;left:0;text-align:left;margin-left:17.25pt;margin-top:-151.2pt;width:429pt;height:43.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" filled="f" stroked="f" strokeweight=".5pt">
                <v:textbox>
                  <w:txbxContent>
                    <w:p w:rsidR="009D3D41" w:rsidRDefault="009D3D41" w:rsidP="009177A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9177A8">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E973E6">
        <w:t>CONCLUSION</w:t>
      </w:r>
      <w:bookmarkEnd w:id="9"/>
    </w:p>
    <w:p w:rsidR="00892D87" w:rsidRDefault="00892D87" w:rsidP="00892D87">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 xml:space="preserve">Please summarize </w:t>
      </w:r>
      <w:r w:rsidR="00602243">
        <w:rPr>
          <w:rFonts w:ascii="Times New Roman" w:hAnsi="Times New Roman" w:cs="Times New Roman"/>
          <w:b/>
          <w:bCs/>
        </w:rPr>
        <w:t xml:space="preserve">your </w:t>
      </w:r>
      <w:r>
        <w:rPr>
          <w:rFonts w:ascii="Times New Roman" w:hAnsi="Times New Roman" w:cs="Times New Roman"/>
          <w:b/>
          <w:bCs/>
        </w:rPr>
        <w:t>conclusions.</w:t>
      </w:r>
    </w:p>
    <w:p w:rsidR="009F2103" w:rsidRPr="00141AC5" w:rsidRDefault="00892D87" w:rsidP="00BE5F75">
      <w:pPr>
        <w:spacing w:line="480" w:lineRule="auto"/>
        <w:ind w:left="720" w:hanging="720"/>
        <w:rPr>
          <w:rFonts w:ascii="Times New Roman" w:hAnsi="Times New Roman" w:cs="Times New Roman"/>
        </w:rPr>
      </w:pPr>
      <w:r w:rsidRPr="00141AC5">
        <w:rPr>
          <w:rFonts w:ascii="Times New Roman" w:hAnsi="Times New Roman" w:cs="Times New Roman"/>
        </w:rPr>
        <w:t>A.</w:t>
      </w:r>
      <w:r w:rsidRPr="00141AC5">
        <w:rPr>
          <w:rFonts w:ascii="Times New Roman" w:hAnsi="Times New Roman" w:cs="Times New Roman"/>
        </w:rPr>
        <w:tab/>
      </w:r>
      <w:r w:rsidR="00602243">
        <w:rPr>
          <w:rFonts w:ascii="Times New Roman" w:hAnsi="Times New Roman" w:cs="Times New Roman"/>
        </w:rPr>
        <w:t>In m</w:t>
      </w:r>
      <w:r w:rsidR="009F2103" w:rsidRPr="00141AC5">
        <w:rPr>
          <w:rFonts w:ascii="Times New Roman" w:hAnsi="Times New Roman" w:cs="Times New Roman"/>
        </w:rPr>
        <w:t>y rebuttal testimony</w:t>
      </w:r>
      <w:r w:rsidR="00602243">
        <w:rPr>
          <w:rFonts w:ascii="Times New Roman" w:hAnsi="Times New Roman" w:cs="Times New Roman"/>
        </w:rPr>
        <w:t xml:space="preserve">, I </w:t>
      </w:r>
      <w:r w:rsidR="009F2103" w:rsidRPr="00141AC5">
        <w:rPr>
          <w:rFonts w:ascii="Times New Roman" w:hAnsi="Times New Roman" w:cs="Times New Roman"/>
        </w:rPr>
        <w:t>identif</w:t>
      </w:r>
      <w:r w:rsidR="00602243">
        <w:rPr>
          <w:rFonts w:ascii="Times New Roman" w:hAnsi="Times New Roman" w:cs="Times New Roman"/>
        </w:rPr>
        <w:t>y</w:t>
      </w:r>
      <w:r w:rsidR="009F2103" w:rsidRPr="00141AC5">
        <w:rPr>
          <w:rFonts w:ascii="Times New Roman" w:hAnsi="Times New Roman" w:cs="Times New Roman"/>
        </w:rPr>
        <w:t xml:space="preserve"> significant </w:t>
      </w:r>
      <w:r w:rsidR="00DF69D5" w:rsidRPr="00141AC5">
        <w:rPr>
          <w:rFonts w:ascii="Times New Roman" w:hAnsi="Times New Roman" w:cs="Times New Roman"/>
        </w:rPr>
        <w:t>mistakes</w:t>
      </w:r>
      <w:r w:rsidR="009F2103" w:rsidRPr="00141AC5">
        <w:rPr>
          <w:rFonts w:ascii="Times New Roman" w:hAnsi="Times New Roman" w:cs="Times New Roman"/>
        </w:rPr>
        <w:t xml:space="preserve"> in the calculations and assumptions used by Staff and Sierra Club to </w:t>
      </w:r>
      <w:r w:rsidR="00DF69D5" w:rsidRPr="00141AC5">
        <w:rPr>
          <w:rFonts w:ascii="Times New Roman" w:hAnsi="Times New Roman" w:cs="Times New Roman"/>
        </w:rPr>
        <w:t>support</w:t>
      </w:r>
      <w:r w:rsidR="009F2103" w:rsidRPr="00141AC5">
        <w:rPr>
          <w:rFonts w:ascii="Times New Roman" w:hAnsi="Times New Roman" w:cs="Times New Roman"/>
        </w:rPr>
        <w:t xml:space="preserve"> </w:t>
      </w:r>
      <w:r w:rsidR="00DF69D5" w:rsidRPr="00141AC5">
        <w:rPr>
          <w:rFonts w:ascii="Times New Roman" w:hAnsi="Times New Roman" w:cs="Times New Roman"/>
        </w:rPr>
        <w:t xml:space="preserve">their </w:t>
      </w:r>
      <w:r w:rsidR="009F2103" w:rsidRPr="00141AC5">
        <w:rPr>
          <w:rFonts w:ascii="Times New Roman" w:hAnsi="Times New Roman" w:cs="Times New Roman"/>
        </w:rPr>
        <w:t>claim that converting Jim Bridger Unit</w:t>
      </w:r>
      <w:r w:rsidR="004114CB" w:rsidRPr="00141AC5">
        <w:rPr>
          <w:rFonts w:ascii="Times New Roman" w:hAnsi="Times New Roman" w:cs="Times New Roman"/>
        </w:rPr>
        <w:t>s</w:t>
      </w:r>
      <w:r w:rsidR="009F2103" w:rsidRPr="00141AC5">
        <w:rPr>
          <w:rFonts w:ascii="Times New Roman" w:hAnsi="Times New Roman" w:cs="Times New Roman"/>
        </w:rPr>
        <w:t xml:space="preserve"> 3 and 4 to operate as gas-fueled facilities would be lower cost than installing SCR</w:t>
      </w:r>
      <w:r w:rsidR="00BD2834" w:rsidRPr="00141AC5">
        <w:rPr>
          <w:rFonts w:ascii="Times New Roman" w:hAnsi="Times New Roman" w:cs="Times New Roman"/>
        </w:rPr>
        <w:t>s</w:t>
      </w:r>
      <w:r w:rsidR="009F2103" w:rsidRPr="00141AC5">
        <w:rPr>
          <w:rFonts w:ascii="Times New Roman" w:hAnsi="Times New Roman" w:cs="Times New Roman"/>
        </w:rPr>
        <w:t>.</w:t>
      </w:r>
      <w:r w:rsidR="004B115D" w:rsidRPr="00141AC5">
        <w:rPr>
          <w:rFonts w:ascii="Times New Roman" w:hAnsi="Times New Roman" w:cs="Times New Roman"/>
        </w:rPr>
        <w:t xml:space="preserve"> </w:t>
      </w:r>
      <w:r w:rsidR="001A31A0" w:rsidRPr="00141AC5">
        <w:rPr>
          <w:rFonts w:ascii="Times New Roman" w:hAnsi="Times New Roman" w:cs="Times New Roman"/>
        </w:rPr>
        <w:t xml:space="preserve"> </w:t>
      </w:r>
      <w:r w:rsidR="00BE5F75" w:rsidRPr="00141AC5">
        <w:rPr>
          <w:rFonts w:ascii="Times New Roman" w:hAnsi="Times New Roman" w:cs="Times New Roman"/>
        </w:rPr>
        <w:t xml:space="preserve">The Company’s analysis presented in this case is comprehensive, accurate, and supports its decision to install SCR systems on Jim Bridger Units 3 and 4. </w:t>
      </w:r>
      <w:r w:rsidR="004526AF">
        <w:rPr>
          <w:rFonts w:ascii="Times New Roman" w:hAnsi="Times New Roman" w:cs="Times New Roman"/>
        </w:rPr>
        <w:t xml:space="preserve"> I demonstrate that</w:t>
      </w:r>
      <w:r w:rsidR="004B115D" w:rsidRPr="00141AC5">
        <w:rPr>
          <w:rFonts w:ascii="Times New Roman" w:hAnsi="Times New Roman" w:cs="Times New Roman"/>
        </w:rPr>
        <w:t>:</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Staff incorrectly calculates adjustments related to coal costs, natural gas price assumptions</w:t>
      </w:r>
      <w:r w:rsidR="005F1913">
        <w:rPr>
          <w:rFonts w:ascii="Times New Roman" w:hAnsi="Times New Roman" w:cs="Times New Roman"/>
        </w:rPr>
        <w:t>,</w:t>
      </w:r>
      <w:r w:rsidRPr="004B115D">
        <w:rPr>
          <w:rFonts w:ascii="Times New Roman" w:hAnsi="Times New Roman" w:cs="Times New Roman"/>
        </w:rPr>
        <w:t xml:space="preserve"> and replacement power costs that purportedly erode benefits of the SCR </w:t>
      </w:r>
      <w:r w:rsidR="00A549E3">
        <w:rPr>
          <w:rFonts w:ascii="Times New Roman" w:hAnsi="Times New Roman" w:cs="Times New Roman"/>
        </w:rPr>
        <w:t>c</w:t>
      </w:r>
      <w:r w:rsidRPr="004B115D">
        <w:rPr>
          <w:rFonts w:ascii="Times New Roman" w:hAnsi="Times New Roman" w:cs="Times New Roman"/>
        </w:rPr>
        <w:t xml:space="preserve">ompliance alternative. </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 xml:space="preserve">Staff’s comparative coal cost analysis is based on the use of incorrect data that, when corrected, completely eliminates its proposed </w:t>
      </w:r>
      <w:r w:rsidR="00D24585" w:rsidRPr="003226BD">
        <w:rPr>
          <w:rFonts w:ascii="Times New Roman" w:hAnsi="Times New Roman" w:cs="Times New Roman"/>
          <w:highlight w:val="black"/>
        </w:rPr>
        <w:t>__________</w:t>
      </w:r>
      <w:r w:rsidRPr="004B115D">
        <w:rPr>
          <w:rFonts w:ascii="Times New Roman" w:hAnsi="Times New Roman" w:cs="Times New Roman"/>
        </w:rPr>
        <w:t xml:space="preserve"> adjustment to reduce SCR benefits. </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Staff’s comparative natural gas price analysis inappropriately compares nominal prices with real prices that, when</w:t>
      </w:r>
      <w:r w:rsidR="004B115D">
        <w:rPr>
          <w:rFonts w:ascii="Times New Roman" w:hAnsi="Times New Roman" w:cs="Times New Roman"/>
        </w:rPr>
        <w:t xml:space="preserve"> corrected, eliminate</w:t>
      </w:r>
      <w:r w:rsidRPr="004B115D">
        <w:rPr>
          <w:rFonts w:ascii="Times New Roman" w:hAnsi="Times New Roman" w:cs="Times New Roman"/>
        </w:rPr>
        <w:t xml:space="preserve"> its proposed </w:t>
      </w:r>
      <w:r w:rsidR="00D24585" w:rsidRPr="003226BD">
        <w:rPr>
          <w:rFonts w:ascii="Times New Roman" w:hAnsi="Times New Roman" w:cs="Times New Roman"/>
          <w:highlight w:val="black"/>
        </w:rPr>
        <w:t>_</w:t>
      </w:r>
      <w:r w:rsidR="00D24585">
        <w:rPr>
          <w:rFonts w:ascii="Times New Roman" w:hAnsi="Times New Roman" w:cs="Times New Roman"/>
          <w:highlight w:val="black"/>
        </w:rPr>
        <w:t>_______</w:t>
      </w:r>
      <w:r w:rsidR="00D24585" w:rsidRPr="00D24585">
        <w:rPr>
          <w:rFonts w:ascii="Times New Roman" w:hAnsi="Times New Roman" w:cs="Times New Roman"/>
          <w:highlight w:val="black"/>
        </w:rPr>
        <w:t>___</w:t>
      </w:r>
      <w:r w:rsidRPr="004B115D">
        <w:rPr>
          <w:rFonts w:ascii="Times New Roman" w:hAnsi="Times New Roman" w:cs="Times New Roman"/>
        </w:rPr>
        <w:t xml:space="preserve"> adjustment to </w:t>
      </w:r>
      <w:proofErr w:type="spellStart"/>
      <w:r w:rsidRPr="004B115D">
        <w:rPr>
          <w:rFonts w:ascii="Times New Roman" w:hAnsi="Times New Roman" w:cs="Times New Roman"/>
        </w:rPr>
        <w:t>SCR</w:t>
      </w:r>
      <w:proofErr w:type="spellEnd"/>
      <w:r w:rsidRPr="004B115D">
        <w:rPr>
          <w:rFonts w:ascii="Times New Roman" w:hAnsi="Times New Roman" w:cs="Times New Roman"/>
        </w:rPr>
        <w:t xml:space="preserve"> benefits. </w:t>
      </w:r>
      <w:r w:rsidR="005F1913">
        <w:rPr>
          <w:rFonts w:ascii="Times New Roman" w:hAnsi="Times New Roman" w:cs="Times New Roman"/>
        </w:rPr>
        <w:t xml:space="preserve"> </w:t>
      </w:r>
      <w:r w:rsidRPr="004B115D">
        <w:rPr>
          <w:rFonts w:ascii="Times New Roman" w:hAnsi="Times New Roman" w:cs="Times New Roman"/>
        </w:rPr>
        <w:t xml:space="preserve">In fact, correcting for this error adds </w:t>
      </w:r>
      <w:r w:rsidR="00D24585" w:rsidRPr="003226BD">
        <w:rPr>
          <w:rFonts w:ascii="Times New Roman" w:hAnsi="Times New Roman" w:cs="Times New Roman"/>
          <w:highlight w:val="black"/>
        </w:rPr>
        <w:t>__________</w:t>
      </w:r>
      <w:r w:rsidRPr="004B115D">
        <w:rPr>
          <w:rFonts w:ascii="Times New Roman" w:hAnsi="Times New Roman" w:cs="Times New Roman"/>
        </w:rPr>
        <w:t xml:space="preserve"> of </w:t>
      </w:r>
      <w:proofErr w:type="spellStart"/>
      <w:r w:rsidRPr="004B115D">
        <w:rPr>
          <w:rFonts w:ascii="Times New Roman" w:hAnsi="Times New Roman" w:cs="Times New Roman"/>
        </w:rPr>
        <w:t>SCR</w:t>
      </w:r>
      <w:proofErr w:type="spellEnd"/>
      <w:r w:rsidRPr="004B115D">
        <w:rPr>
          <w:rFonts w:ascii="Times New Roman" w:hAnsi="Times New Roman" w:cs="Times New Roman"/>
        </w:rPr>
        <w:t xml:space="preserve"> </w:t>
      </w:r>
      <w:r w:rsidRPr="00302504">
        <w:rPr>
          <w:rFonts w:ascii="Times New Roman" w:hAnsi="Times New Roman" w:cs="Times New Roman"/>
          <w:i/>
        </w:rPr>
        <w:t>benefits</w:t>
      </w:r>
      <w:r w:rsidRPr="004B115D">
        <w:rPr>
          <w:rFonts w:ascii="Times New Roman" w:hAnsi="Times New Roman" w:cs="Times New Roman"/>
        </w:rPr>
        <w:t xml:space="preserve"> when compared to the Company’s analysis updated to reflect natural gas prices from the September 2013</w:t>
      </w:r>
      <w:r w:rsidR="00D37FC2">
        <w:rPr>
          <w:rFonts w:ascii="Times New Roman" w:hAnsi="Times New Roman" w:cs="Times New Roman"/>
        </w:rPr>
        <w:t xml:space="preserve"> </w:t>
      </w:r>
      <w:r w:rsidRPr="004B115D">
        <w:rPr>
          <w:rFonts w:ascii="Times New Roman" w:hAnsi="Times New Roman" w:cs="Times New Roman"/>
        </w:rPr>
        <w:t xml:space="preserve">OFPC. </w:t>
      </w:r>
    </w:p>
    <w:p w:rsidR="009F2103" w:rsidRPr="004B115D" w:rsidRDefault="002741B1" w:rsidP="004B115D">
      <w:pPr>
        <w:pStyle w:val="ListParagraph"/>
        <w:numPr>
          <w:ilvl w:val="0"/>
          <w:numId w:val="18"/>
        </w:num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25EE58B5" wp14:editId="43CDF0C5">
                <wp:simplePos x="0" y="0"/>
                <wp:positionH relativeFrom="column">
                  <wp:posOffset>457200</wp:posOffset>
                </wp:positionH>
                <wp:positionV relativeFrom="paragraph">
                  <wp:posOffset>-488315</wp:posOffset>
                </wp:positionV>
                <wp:extent cx="5029200" cy="5334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029200"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9177A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9177A8">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46" type="#_x0000_t202" style="position:absolute;left:0;text-align:left;margin-left:36pt;margin-top:-38.45pt;width:396pt;height:42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" filled="f" stroked="f" strokeweight=".5pt">
                <v:textbox>
                  <w:txbxContent>
                    <w:p w:rsidR="009D3D41" w:rsidRDefault="009D3D41" w:rsidP="009177A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9177A8">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556272">
        <w:rPr>
          <w:rFonts w:ascii="Times New Roman" w:hAnsi="Times New Roman" w:cs="Times New Roman"/>
        </w:rPr>
        <w:t>A</w:t>
      </w:r>
      <w:r w:rsidR="009F2103" w:rsidRPr="004B115D">
        <w:rPr>
          <w:rFonts w:ascii="Times New Roman" w:hAnsi="Times New Roman" w:cs="Times New Roman"/>
        </w:rPr>
        <w:t xml:space="preserve">lternative unit outage assumptions supporting Staff’s replacement power cost analysis are fundamentally </w:t>
      </w:r>
      <w:proofErr w:type="gramStart"/>
      <w:r w:rsidR="009F2103" w:rsidRPr="004B115D">
        <w:rPr>
          <w:rFonts w:ascii="Times New Roman" w:hAnsi="Times New Roman" w:cs="Times New Roman"/>
        </w:rPr>
        <w:t>flawed,</w:t>
      </w:r>
      <w:proofErr w:type="gramEnd"/>
      <w:r w:rsidR="009F2103" w:rsidRPr="004B115D">
        <w:rPr>
          <w:rFonts w:ascii="Times New Roman" w:hAnsi="Times New Roman" w:cs="Times New Roman"/>
        </w:rPr>
        <w:t xml:space="preserve"> th</w:t>
      </w:r>
      <w:r w:rsidR="00556272">
        <w:rPr>
          <w:rFonts w:ascii="Times New Roman" w:hAnsi="Times New Roman" w:cs="Times New Roman"/>
        </w:rPr>
        <w:t>e</w:t>
      </w:r>
      <w:r w:rsidR="009F2103" w:rsidRPr="004B115D">
        <w:rPr>
          <w:rFonts w:ascii="Times New Roman" w:hAnsi="Times New Roman" w:cs="Times New Roman"/>
        </w:rPr>
        <w:t xml:space="preserve"> calculations are incomplete</w:t>
      </w:r>
      <w:r w:rsidR="00886400">
        <w:rPr>
          <w:rFonts w:ascii="Times New Roman" w:hAnsi="Times New Roman" w:cs="Times New Roman"/>
        </w:rPr>
        <w:t xml:space="preserve"> and use incorrect data</w:t>
      </w:r>
      <w:r w:rsidR="009F2103" w:rsidRPr="004B115D">
        <w:rPr>
          <w:rFonts w:ascii="Times New Roman" w:hAnsi="Times New Roman" w:cs="Times New Roman"/>
        </w:rPr>
        <w:t xml:space="preserve">, and therefore, </w:t>
      </w:r>
      <w:r w:rsidR="00556272">
        <w:rPr>
          <w:rFonts w:ascii="Times New Roman" w:hAnsi="Times New Roman" w:cs="Times New Roman"/>
        </w:rPr>
        <w:t>Staff’s</w:t>
      </w:r>
      <w:r w:rsidR="00556272" w:rsidRPr="004B115D">
        <w:rPr>
          <w:rFonts w:ascii="Times New Roman" w:hAnsi="Times New Roman" w:cs="Times New Roman"/>
        </w:rPr>
        <w:t xml:space="preserve"> </w:t>
      </w:r>
      <w:r w:rsidR="009F2103" w:rsidRPr="004B115D">
        <w:rPr>
          <w:rFonts w:ascii="Times New Roman" w:hAnsi="Times New Roman" w:cs="Times New Roman"/>
        </w:rPr>
        <w:t xml:space="preserve">proposed </w:t>
      </w:r>
      <w:r w:rsidR="00D24585" w:rsidRPr="003226BD">
        <w:rPr>
          <w:rFonts w:ascii="Times New Roman" w:hAnsi="Times New Roman" w:cs="Times New Roman"/>
          <w:highlight w:val="black"/>
        </w:rPr>
        <w:t>__________</w:t>
      </w:r>
      <w:r w:rsidR="009F2103" w:rsidRPr="004B115D">
        <w:rPr>
          <w:rFonts w:ascii="Times New Roman" w:hAnsi="Times New Roman" w:cs="Times New Roman"/>
        </w:rPr>
        <w:t xml:space="preserve"> downward adjustment to SCR benefits is not valid. </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 xml:space="preserve">Correcting for all errors in Staff’s calculations eliminates each of its proposed adjustments that </w:t>
      </w:r>
      <w:r w:rsidR="00556272">
        <w:rPr>
          <w:rFonts w:ascii="Times New Roman" w:hAnsi="Times New Roman" w:cs="Times New Roman"/>
        </w:rPr>
        <w:t xml:space="preserve">purportedly </w:t>
      </w:r>
      <w:r w:rsidRPr="004B115D">
        <w:rPr>
          <w:rFonts w:ascii="Times New Roman" w:hAnsi="Times New Roman" w:cs="Times New Roman"/>
        </w:rPr>
        <w:t xml:space="preserve">reduce SCR benefits reported in the Company’s analysis. </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 xml:space="preserve">Had Staff performed </w:t>
      </w:r>
      <w:r w:rsidR="00886400">
        <w:rPr>
          <w:rFonts w:ascii="Times New Roman" w:hAnsi="Times New Roman" w:cs="Times New Roman"/>
        </w:rPr>
        <w:t xml:space="preserve">its own analysis </w:t>
      </w:r>
      <w:r w:rsidRPr="004B115D">
        <w:rPr>
          <w:rFonts w:ascii="Times New Roman" w:hAnsi="Times New Roman" w:cs="Times New Roman"/>
        </w:rPr>
        <w:t>accurate</w:t>
      </w:r>
      <w:r w:rsidR="00886400">
        <w:rPr>
          <w:rFonts w:ascii="Times New Roman" w:hAnsi="Times New Roman" w:cs="Times New Roman"/>
        </w:rPr>
        <w:t>ly</w:t>
      </w:r>
      <w:r w:rsidRPr="004B115D">
        <w:rPr>
          <w:rFonts w:ascii="Times New Roman" w:hAnsi="Times New Roman" w:cs="Times New Roman"/>
        </w:rPr>
        <w:t>, it would have found installation of SCRs on Jim Bridger Unit</w:t>
      </w:r>
      <w:r w:rsidR="004114CB">
        <w:rPr>
          <w:rFonts w:ascii="Times New Roman" w:hAnsi="Times New Roman" w:cs="Times New Roman"/>
        </w:rPr>
        <w:t>s</w:t>
      </w:r>
      <w:r w:rsidRPr="004B115D">
        <w:rPr>
          <w:rFonts w:ascii="Times New Roman" w:hAnsi="Times New Roman" w:cs="Times New Roman"/>
        </w:rPr>
        <w:t xml:space="preserve"> 3 and 4 is </w:t>
      </w:r>
      <w:r w:rsidR="00D24585" w:rsidRPr="003226BD">
        <w:rPr>
          <w:rFonts w:ascii="Times New Roman" w:hAnsi="Times New Roman" w:cs="Times New Roman"/>
          <w:highlight w:val="black"/>
        </w:rPr>
        <w:t>__________</w:t>
      </w:r>
      <w:r w:rsidRPr="004B115D">
        <w:rPr>
          <w:rFonts w:ascii="Times New Roman" w:hAnsi="Times New Roman" w:cs="Times New Roman"/>
        </w:rPr>
        <w:t xml:space="preserve"> lower cost than the gas conversion alternative when using base case natural gas price assumptions from the September 2012 OFPC (identical to the Company’s analysis)</w:t>
      </w:r>
      <w:r w:rsidR="001A31A0">
        <w:rPr>
          <w:rFonts w:ascii="Times New Roman" w:hAnsi="Times New Roman" w:cs="Times New Roman"/>
        </w:rPr>
        <w:t>.</w:t>
      </w:r>
    </w:p>
    <w:p w:rsidR="009F2103" w:rsidRDefault="004B115D" w:rsidP="004B115D">
      <w:pPr>
        <w:pStyle w:val="ListParagraph"/>
        <w:numPr>
          <w:ilvl w:val="0"/>
          <w:numId w:val="18"/>
        </w:numPr>
        <w:spacing w:line="480" w:lineRule="auto"/>
        <w:rPr>
          <w:rFonts w:ascii="Times New Roman" w:hAnsi="Times New Roman" w:cs="Times New Roman"/>
        </w:rPr>
      </w:pPr>
      <w:r>
        <w:rPr>
          <w:rFonts w:ascii="Times New Roman" w:hAnsi="Times New Roman" w:cs="Times New Roman"/>
        </w:rPr>
        <w:t xml:space="preserve">Had Staff performed </w:t>
      </w:r>
      <w:r w:rsidR="00886400">
        <w:rPr>
          <w:rFonts w:ascii="Times New Roman" w:hAnsi="Times New Roman" w:cs="Times New Roman"/>
        </w:rPr>
        <w:t xml:space="preserve">its own analysis </w:t>
      </w:r>
      <w:r>
        <w:rPr>
          <w:rFonts w:ascii="Times New Roman" w:hAnsi="Times New Roman" w:cs="Times New Roman"/>
        </w:rPr>
        <w:t>accurate</w:t>
      </w:r>
      <w:r w:rsidR="00886400">
        <w:rPr>
          <w:rFonts w:ascii="Times New Roman" w:hAnsi="Times New Roman" w:cs="Times New Roman"/>
        </w:rPr>
        <w:t>ly</w:t>
      </w:r>
      <w:r>
        <w:rPr>
          <w:rFonts w:ascii="Times New Roman" w:hAnsi="Times New Roman" w:cs="Times New Roman"/>
        </w:rPr>
        <w:t>, it would have found installation of SCRs on Jim Bridger Unit</w:t>
      </w:r>
      <w:r w:rsidR="004114CB">
        <w:rPr>
          <w:rFonts w:ascii="Times New Roman" w:hAnsi="Times New Roman" w:cs="Times New Roman"/>
        </w:rPr>
        <w:t>s</w:t>
      </w:r>
      <w:r>
        <w:rPr>
          <w:rFonts w:ascii="Times New Roman" w:hAnsi="Times New Roman" w:cs="Times New Roman"/>
        </w:rPr>
        <w:t xml:space="preserve"> 3 and 4</w:t>
      </w:r>
      <w:r w:rsidR="009F2103" w:rsidRPr="004B115D">
        <w:rPr>
          <w:rFonts w:ascii="Times New Roman" w:hAnsi="Times New Roman" w:cs="Times New Roman"/>
        </w:rPr>
        <w:t xml:space="preserve"> </w:t>
      </w:r>
      <w:r>
        <w:rPr>
          <w:rFonts w:ascii="Times New Roman" w:hAnsi="Times New Roman" w:cs="Times New Roman"/>
        </w:rPr>
        <w:t xml:space="preserve">is </w:t>
      </w:r>
      <w:r w:rsidR="00D24585" w:rsidRPr="003226BD">
        <w:rPr>
          <w:rFonts w:ascii="Times New Roman" w:hAnsi="Times New Roman" w:cs="Times New Roman"/>
          <w:highlight w:val="black"/>
        </w:rPr>
        <w:t>__________</w:t>
      </w:r>
      <w:r w:rsidR="009F2103" w:rsidRPr="004B115D">
        <w:rPr>
          <w:rFonts w:ascii="Times New Roman" w:hAnsi="Times New Roman" w:cs="Times New Roman"/>
        </w:rPr>
        <w:t xml:space="preserve"> lower cost than the gas conversion alternative when using third-party expert natural gas forecasts available to the Company in fall 2013.</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 xml:space="preserve">Sierra Club inappropriately calculates adjustments related to coal costs and natural gas prices. </w:t>
      </w:r>
      <w:r w:rsidR="001A31A0">
        <w:rPr>
          <w:rFonts w:ascii="Times New Roman" w:hAnsi="Times New Roman" w:cs="Times New Roman"/>
        </w:rPr>
        <w:t xml:space="preserve"> </w:t>
      </w:r>
      <w:r w:rsidRPr="004B115D">
        <w:rPr>
          <w:rFonts w:ascii="Times New Roman" w:hAnsi="Times New Roman" w:cs="Times New Roman"/>
        </w:rPr>
        <w:t xml:space="preserve">In both instances, Sierra Club uses information that was available after the Company decided to move forward with the Jim Bridger SCRs to calculate adjustments that reduce SCR benefits. </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 xml:space="preserve">Sierra Club mischaracterizes natural gas price forecast assumptions available to the Company in fall 2013. </w:t>
      </w:r>
    </w:p>
    <w:p w:rsidR="004B115D" w:rsidRDefault="002741B1" w:rsidP="004B115D">
      <w:pPr>
        <w:pStyle w:val="ListParagraph"/>
        <w:numPr>
          <w:ilvl w:val="0"/>
          <w:numId w:val="18"/>
        </w:numPr>
        <w:spacing w:line="48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181BD87D" wp14:editId="7F4CEB27">
                <wp:simplePos x="0" y="0"/>
                <wp:positionH relativeFrom="column">
                  <wp:posOffset>200025</wp:posOffset>
                </wp:positionH>
                <wp:positionV relativeFrom="paragraph">
                  <wp:posOffset>-564515</wp:posOffset>
                </wp:positionV>
                <wp:extent cx="5400675" cy="5905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4006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D3D41" w:rsidRDefault="009D3D41" w:rsidP="009177A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9177A8">
                            <w:pPr>
                              <w:jc w:val="center"/>
                              <w:rPr>
                                <w:rFonts w:ascii="Times New Roman" w:hAnsi="Times New Roman" w:cs="Times New Roman"/>
                              </w:rPr>
                            </w:pPr>
                            <w:r>
                              <w:rPr>
                                <w:rFonts w:ascii="Times New Roman" w:hAnsi="Times New Roman" w:cs="Times New Roman"/>
                              </w:rPr>
                              <w:t>IN UTC DOCKET UE-152253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47" type="#_x0000_t202" style="position:absolute;left:0;text-align:left;margin-left:15.75pt;margin-top:-44.45pt;width:425.25pt;height:4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" filled="f" stroked="f" strokeweight=".5pt">
                <v:textbox>
                  <w:txbxContent>
                    <w:p w:rsidR="009D3D41" w:rsidRDefault="009D3D41" w:rsidP="009177A8">
                      <w:pPr>
                        <w:jc w:val="center"/>
                        <w:rPr>
                          <w:rFonts w:ascii="Times New Roman" w:hAnsi="Times New Roman" w:cs="Times New Roman"/>
                        </w:rPr>
                      </w:pPr>
                      <w:r>
                        <w:rPr>
                          <w:rFonts w:ascii="Times New Roman" w:hAnsi="Times New Roman" w:cs="Times New Roman"/>
                        </w:rPr>
                        <w:t>REDACTED - CONFIDENTIAL PER PROTECTIVE ORDER</w:t>
                      </w:r>
                    </w:p>
                    <w:p w:rsidR="009D3D41" w:rsidRPr="00E5513D" w:rsidRDefault="009D3D41" w:rsidP="009177A8">
                      <w:pPr>
                        <w:jc w:val="center"/>
                        <w:rPr>
                          <w:rFonts w:ascii="Times New Roman" w:hAnsi="Times New Roman" w:cs="Times New Roman"/>
                        </w:rPr>
                      </w:pPr>
                      <w:r>
                        <w:rPr>
                          <w:rFonts w:ascii="Times New Roman" w:hAnsi="Times New Roman" w:cs="Times New Roman"/>
                        </w:rPr>
                        <w:t>IN UTC DOCKET UE-152253</w:t>
                      </w:r>
                    </w:p>
                  </w:txbxContent>
                </v:textbox>
              </v:shape>
            </w:pict>
          </mc:Fallback>
        </mc:AlternateContent>
      </w:r>
      <w:r w:rsidR="009F2103" w:rsidRPr="004B115D">
        <w:rPr>
          <w:rFonts w:ascii="Times New Roman" w:hAnsi="Times New Roman" w:cs="Times New Roman"/>
        </w:rPr>
        <w:t>Sierra Club’s proposed natural gas price forecast adjustment reduc</w:t>
      </w:r>
      <w:r w:rsidR="00556272">
        <w:rPr>
          <w:rFonts w:ascii="Times New Roman" w:hAnsi="Times New Roman" w:cs="Times New Roman"/>
        </w:rPr>
        <w:t>ing</w:t>
      </w:r>
      <w:r w:rsidR="009F2103" w:rsidRPr="004B115D">
        <w:rPr>
          <w:rFonts w:ascii="Times New Roman" w:hAnsi="Times New Roman" w:cs="Times New Roman"/>
        </w:rPr>
        <w:t xml:space="preserve"> </w:t>
      </w:r>
      <w:proofErr w:type="spellStart"/>
      <w:r w:rsidR="009F2103" w:rsidRPr="004B115D">
        <w:rPr>
          <w:rFonts w:ascii="Times New Roman" w:hAnsi="Times New Roman" w:cs="Times New Roman"/>
        </w:rPr>
        <w:t>SCR</w:t>
      </w:r>
      <w:proofErr w:type="spellEnd"/>
      <w:r w:rsidR="009F2103" w:rsidRPr="004B115D">
        <w:rPr>
          <w:rFonts w:ascii="Times New Roman" w:hAnsi="Times New Roman" w:cs="Times New Roman"/>
        </w:rPr>
        <w:t xml:space="preserve"> benefits by </w:t>
      </w:r>
      <w:r w:rsidR="009D3D41" w:rsidRPr="003226BD">
        <w:rPr>
          <w:rFonts w:ascii="Times New Roman" w:hAnsi="Times New Roman" w:cs="Times New Roman"/>
          <w:highlight w:val="black"/>
        </w:rPr>
        <w:t>__________</w:t>
      </w:r>
      <w:r w:rsidR="009F2103" w:rsidRPr="004B115D">
        <w:rPr>
          <w:rFonts w:ascii="Times New Roman" w:hAnsi="Times New Roman" w:cs="Times New Roman"/>
        </w:rPr>
        <w:t xml:space="preserve"> is not valid. </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 xml:space="preserve">Sierra Club uses coal cost assumptions for the Jim Bridger plant that were developed long after the Company decided to proceed with installation of SCRs. </w:t>
      </w:r>
    </w:p>
    <w:p w:rsidR="004B115D" w:rsidRDefault="009F2103" w:rsidP="004B115D">
      <w:pPr>
        <w:pStyle w:val="ListParagraph"/>
        <w:numPr>
          <w:ilvl w:val="0"/>
          <w:numId w:val="18"/>
        </w:numPr>
        <w:spacing w:line="480" w:lineRule="auto"/>
        <w:rPr>
          <w:rFonts w:ascii="Times New Roman" w:hAnsi="Times New Roman" w:cs="Times New Roman"/>
        </w:rPr>
      </w:pPr>
      <w:r w:rsidRPr="004B115D">
        <w:rPr>
          <w:rFonts w:ascii="Times New Roman" w:hAnsi="Times New Roman" w:cs="Times New Roman"/>
        </w:rPr>
        <w:t xml:space="preserve">Even if this coal cost forecast were somehow available to the Company in fall 2013, Sierra Club’s calculations </w:t>
      </w:r>
      <w:r w:rsidR="004B115D">
        <w:rPr>
          <w:rFonts w:ascii="Times New Roman" w:hAnsi="Times New Roman" w:cs="Times New Roman"/>
        </w:rPr>
        <w:t xml:space="preserve">contain errors </w:t>
      </w:r>
      <w:r w:rsidRPr="004B115D">
        <w:rPr>
          <w:rFonts w:ascii="Times New Roman" w:hAnsi="Times New Roman" w:cs="Times New Roman"/>
        </w:rPr>
        <w:t xml:space="preserve">that caused it to overstate its proposed adjustment reducing SCR benefits of </w:t>
      </w:r>
      <w:r w:rsidR="001C5866" w:rsidRPr="003226BD">
        <w:rPr>
          <w:rFonts w:ascii="Times New Roman" w:hAnsi="Times New Roman" w:cs="Times New Roman"/>
          <w:highlight w:val="black"/>
        </w:rPr>
        <w:t>__________</w:t>
      </w:r>
      <w:r w:rsidRPr="004B115D">
        <w:rPr>
          <w:rFonts w:ascii="Times New Roman" w:hAnsi="Times New Roman" w:cs="Times New Roman"/>
        </w:rPr>
        <w:t xml:space="preserve"> by </w:t>
      </w:r>
      <w:r w:rsidR="001C5866" w:rsidRPr="003226BD">
        <w:rPr>
          <w:rFonts w:ascii="Times New Roman" w:hAnsi="Times New Roman" w:cs="Times New Roman"/>
          <w:highlight w:val="black"/>
        </w:rPr>
        <w:t>__________</w:t>
      </w:r>
      <w:r w:rsidRPr="004B115D">
        <w:rPr>
          <w:rFonts w:ascii="Times New Roman" w:hAnsi="Times New Roman" w:cs="Times New Roman"/>
        </w:rPr>
        <w:t xml:space="preserve">. </w:t>
      </w:r>
    </w:p>
    <w:p w:rsidR="009F2103" w:rsidRPr="004B115D" w:rsidRDefault="004B115D" w:rsidP="004B115D">
      <w:pPr>
        <w:pStyle w:val="ListParagraph"/>
        <w:numPr>
          <w:ilvl w:val="0"/>
          <w:numId w:val="18"/>
        </w:numPr>
        <w:spacing w:line="480" w:lineRule="auto"/>
        <w:rPr>
          <w:rFonts w:ascii="Times New Roman" w:hAnsi="Times New Roman" w:cs="Times New Roman"/>
        </w:rPr>
      </w:pPr>
      <w:r>
        <w:rPr>
          <w:rFonts w:ascii="Times New Roman" w:hAnsi="Times New Roman" w:cs="Times New Roman"/>
        </w:rPr>
        <w:t>I</w:t>
      </w:r>
      <w:r w:rsidR="009F2103" w:rsidRPr="004B115D">
        <w:rPr>
          <w:rFonts w:ascii="Times New Roman" w:hAnsi="Times New Roman" w:cs="Times New Roman"/>
        </w:rPr>
        <w:t>f this data were available to the Company when it committed to install SCR</w:t>
      </w:r>
      <w:r w:rsidR="00BD2834">
        <w:rPr>
          <w:rFonts w:ascii="Times New Roman" w:hAnsi="Times New Roman" w:cs="Times New Roman"/>
        </w:rPr>
        <w:t>s</w:t>
      </w:r>
      <w:r w:rsidR="009F2103" w:rsidRPr="004B115D">
        <w:rPr>
          <w:rFonts w:ascii="Times New Roman" w:hAnsi="Times New Roman" w:cs="Times New Roman"/>
        </w:rPr>
        <w:t>, which it was not, Sierra Club’s coal cost adjustment does not support its conclusion that gas conversion would be lower cost</w:t>
      </w:r>
      <w:r>
        <w:rPr>
          <w:rFonts w:ascii="Times New Roman" w:hAnsi="Times New Roman" w:cs="Times New Roman"/>
        </w:rPr>
        <w:t xml:space="preserve"> than installation of SCR</w:t>
      </w:r>
      <w:r w:rsidR="00BD2834" w:rsidRPr="00BD2834">
        <w:rPr>
          <w:rFonts w:ascii="Times New Roman" w:hAnsi="Times New Roman" w:cs="Times New Roman"/>
        </w:rPr>
        <w:t xml:space="preserve"> </w:t>
      </w:r>
      <w:r w:rsidR="00BD2834">
        <w:rPr>
          <w:rFonts w:ascii="Times New Roman" w:hAnsi="Times New Roman" w:cs="Times New Roman"/>
        </w:rPr>
        <w:t>system</w:t>
      </w:r>
      <w:r>
        <w:rPr>
          <w:rFonts w:ascii="Times New Roman" w:hAnsi="Times New Roman" w:cs="Times New Roman"/>
        </w:rPr>
        <w:t>s</w:t>
      </w:r>
      <w:r w:rsidR="009F2103" w:rsidRPr="004B115D">
        <w:rPr>
          <w:rFonts w:ascii="Times New Roman" w:hAnsi="Times New Roman" w:cs="Times New Roman"/>
        </w:rPr>
        <w:t>.</w:t>
      </w:r>
    </w:p>
    <w:p w:rsidR="004B115D" w:rsidRPr="004B115D" w:rsidRDefault="004B115D" w:rsidP="004B115D">
      <w:pPr>
        <w:pStyle w:val="ListParagraph"/>
        <w:numPr>
          <w:ilvl w:val="0"/>
          <w:numId w:val="19"/>
        </w:numPr>
        <w:spacing w:line="480" w:lineRule="auto"/>
        <w:rPr>
          <w:rFonts w:ascii="Times New Roman" w:hAnsi="Times New Roman" w:cs="Times New Roman"/>
        </w:rPr>
      </w:pPr>
      <w:r>
        <w:rPr>
          <w:rFonts w:ascii="Times New Roman" w:hAnsi="Times New Roman" w:cs="Times New Roman"/>
        </w:rPr>
        <w:t>S</w:t>
      </w:r>
      <w:r w:rsidRPr="004B115D">
        <w:rPr>
          <w:rFonts w:ascii="Times New Roman" w:hAnsi="Times New Roman" w:cs="Times New Roman"/>
        </w:rPr>
        <w:t xml:space="preserve">taff </w:t>
      </w:r>
      <w:r>
        <w:rPr>
          <w:rFonts w:ascii="Times New Roman" w:hAnsi="Times New Roman" w:cs="Times New Roman"/>
        </w:rPr>
        <w:t>and Sierra Club fail</w:t>
      </w:r>
      <w:r w:rsidRPr="004B115D">
        <w:rPr>
          <w:rFonts w:ascii="Times New Roman" w:hAnsi="Times New Roman" w:cs="Times New Roman"/>
        </w:rPr>
        <w:t xml:space="preserve"> to address natural gas price uncertainty in </w:t>
      </w:r>
      <w:r w:rsidR="004A5D7E">
        <w:rPr>
          <w:rFonts w:ascii="Times New Roman" w:hAnsi="Times New Roman" w:cs="Times New Roman"/>
        </w:rPr>
        <w:t>their</w:t>
      </w:r>
      <w:r w:rsidR="004A5D7E" w:rsidRPr="004B115D">
        <w:rPr>
          <w:rFonts w:ascii="Times New Roman" w:hAnsi="Times New Roman" w:cs="Times New Roman"/>
        </w:rPr>
        <w:t xml:space="preserve"> </w:t>
      </w:r>
      <w:r w:rsidRPr="004B115D">
        <w:rPr>
          <w:rFonts w:ascii="Times New Roman" w:hAnsi="Times New Roman" w:cs="Times New Roman"/>
        </w:rPr>
        <w:t xml:space="preserve">comparative </w:t>
      </w:r>
      <w:r>
        <w:rPr>
          <w:rFonts w:ascii="Times New Roman" w:hAnsi="Times New Roman" w:cs="Times New Roman"/>
        </w:rPr>
        <w:t xml:space="preserve">natural </w:t>
      </w:r>
      <w:r w:rsidRPr="004B115D">
        <w:rPr>
          <w:rFonts w:ascii="Times New Roman" w:hAnsi="Times New Roman" w:cs="Times New Roman"/>
        </w:rPr>
        <w:t>gas price analysis.</w:t>
      </w:r>
    </w:p>
    <w:p w:rsidR="004B115D" w:rsidRDefault="004B115D" w:rsidP="004B115D">
      <w:pPr>
        <w:pStyle w:val="ListParagraph"/>
        <w:numPr>
          <w:ilvl w:val="0"/>
          <w:numId w:val="19"/>
        </w:numPr>
        <w:spacing w:line="480" w:lineRule="auto"/>
        <w:rPr>
          <w:rFonts w:ascii="Times New Roman" w:hAnsi="Times New Roman" w:cs="Times New Roman"/>
        </w:rPr>
      </w:pPr>
      <w:r>
        <w:rPr>
          <w:rFonts w:ascii="Times New Roman" w:hAnsi="Times New Roman" w:cs="Times New Roman"/>
        </w:rPr>
        <w:t xml:space="preserve">Contrary to </w:t>
      </w:r>
      <w:r w:rsidR="009F2103" w:rsidRPr="004B115D">
        <w:rPr>
          <w:rFonts w:ascii="Times New Roman" w:hAnsi="Times New Roman" w:cs="Times New Roman"/>
        </w:rPr>
        <w:t>Staff’s claim</w:t>
      </w:r>
      <w:r>
        <w:rPr>
          <w:rFonts w:ascii="Times New Roman" w:hAnsi="Times New Roman" w:cs="Times New Roman"/>
        </w:rPr>
        <w:t>,</w:t>
      </w:r>
      <w:r w:rsidR="009F2103" w:rsidRPr="004B115D">
        <w:rPr>
          <w:rFonts w:ascii="Times New Roman" w:hAnsi="Times New Roman" w:cs="Times New Roman"/>
        </w:rPr>
        <w:t xml:space="preserve"> the Company provide</w:t>
      </w:r>
      <w:r>
        <w:rPr>
          <w:rFonts w:ascii="Times New Roman" w:hAnsi="Times New Roman" w:cs="Times New Roman"/>
        </w:rPr>
        <w:t>d</w:t>
      </w:r>
      <w:r w:rsidR="009F2103" w:rsidRPr="004B115D">
        <w:rPr>
          <w:rFonts w:ascii="Times New Roman" w:hAnsi="Times New Roman" w:cs="Times New Roman"/>
        </w:rPr>
        <w:t xml:space="preserve"> </w:t>
      </w:r>
      <w:r>
        <w:rPr>
          <w:rFonts w:ascii="Times New Roman" w:hAnsi="Times New Roman" w:cs="Times New Roman"/>
        </w:rPr>
        <w:t xml:space="preserve">information requested by the Commission related to the </w:t>
      </w:r>
      <w:r w:rsidR="009F2103" w:rsidRPr="004B115D">
        <w:rPr>
          <w:rFonts w:ascii="Times New Roman" w:hAnsi="Times New Roman" w:cs="Times New Roman"/>
        </w:rPr>
        <w:t xml:space="preserve">Jim Bridger SCR analysis </w:t>
      </w:r>
      <w:r>
        <w:rPr>
          <w:rFonts w:ascii="Times New Roman" w:hAnsi="Times New Roman" w:cs="Times New Roman"/>
        </w:rPr>
        <w:t>in its 2013 IRP Update.</w:t>
      </w:r>
    </w:p>
    <w:p w:rsidR="004B115D" w:rsidRPr="00BE5F75" w:rsidRDefault="00BE1730">
      <w:pPr>
        <w:pStyle w:val="ListParagraph"/>
        <w:numPr>
          <w:ilvl w:val="0"/>
          <w:numId w:val="19"/>
        </w:numPr>
        <w:spacing w:line="480" w:lineRule="auto"/>
        <w:rPr>
          <w:rFonts w:ascii="Times New Roman" w:hAnsi="Times New Roman" w:cs="Times New Roman"/>
        </w:rPr>
      </w:pPr>
      <w:r w:rsidRPr="00BE5F75">
        <w:rPr>
          <w:rFonts w:ascii="Times New Roman" w:hAnsi="Times New Roman" w:cs="Times New Roman"/>
        </w:rPr>
        <w:t>The Company’s WCA analysis is presented for illustrative purposes and is reasonable.</w:t>
      </w:r>
    </w:p>
    <w:p w:rsidR="00892D87" w:rsidRDefault="00892D87" w:rsidP="00892D87">
      <w:pPr>
        <w:spacing w:line="480" w:lineRule="auto"/>
        <w:ind w:left="720" w:hanging="720"/>
        <w:rPr>
          <w:rFonts w:ascii="Times New Roman" w:hAnsi="Times New Roman" w:cs="Times New Roman"/>
        </w:rPr>
      </w:pPr>
      <w:r w:rsidRPr="0053680D">
        <w:rPr>
          <w:rFonts w:ascii="Times New Roman" w:hAnsi="Times New Roman" w:cs="Times New Roman"/>
          <w:b/>
          <w:bCs/>
        </w:rPr>
        <w:t>Q.</w:t>
      </w:r>
      <w:r w:rsidRPr="0053680D">
        <w:rPr>
          <w:rFonts w:ascii="Times New Roman" w:hAnsi="Times New Roman" w:cs="Times New Roman"/>
          <w:b/>
          <w:bCs/>
        </w:rPr>
        <w:tab/>
      </w:r>
      <w:r>
        <w:rPr>
          <w:rFonts w:ascii="Times New Roman" w:hAnsi="Times New Roman" w:cs="Times New Roman"/>
          <w:b/>
          <w:bCs/>
        </w:rPr>
        <w:t>Does this conclude your rebuttal testimony?</w:t>
      </w:r>
    </w:p>
    <w:p w:rsidR="00892D87" w:rsidRDefault="00892D87" w:rsidP="00892D87">
      <w:pPr>
        <w:spacing w:line="480" w:lineRule="auto"/>
        <w:ind w:left="720" w:hanging="720"/>
        <w:rPr>
          <w:rFonts w:ascii="Times New Roman" w:hAnsi="Times New Roman" w:cs="Times New Roman"/>
        </w:rPr>
      </w:pPr>
      <w:r w:rsidRPr="0053680D">
        <w:rPr>
          <w:rFonts w:ascii="Times New Roman" w:hAnsi="Times New Roman" w:cs="Times New Roman"/>
        </w:rPr>
        <w:t>A.</w:t>
      </w:r>
      <w:r w:rsidRPr="0053680D">
        <w:rPr>
          <w:rFonts w:ascii="Times New Roman" w:hAnsi="Times New Roman" w:cs="Times New Roman"/>
        </w:rPr>
        <w:tab/>
      </w:r>
      <w:r>
        <w:rPr>
          <w:rFonts w:ascii="Times New Roman" w:hAnsi="Times New Roman" w:cs="Times New Roman"/>
        </w:rPr>
        <w:t>Yes.</w:t>
      </w:r>
    </w:p>
    <w:sectPr w:rsidR="00892D87" w:rsidSect="007B0B78">
      <w:headerReference w:type="default" r:id="rId14"/>
      <w:footerReference w:type="default" r:id="rId15"/>
      <w:pgSz w:w="12240" w:h="15840" w:code="1"/>
      <w:pgMar w:top="1440" w:right="1440" w:bottom="1440" w:left="1800"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D41" w:rsidRDefault="009D3D41">
      <w:r>
        <w:separator/>
      </w:r>
    </w:p>
  </w:endnote>
  <w:endnote w:type="continuationSeparator" w:id="0">
    <w:p w:rsidR="009D3D41" w:rsidRDefault="009D3D41">
      <w:r>
        <w:continuationSeparator/>
      </w:r>
    </w:p>
  </w:endnote>
  <w:endnote w:type="continuationNotice" w:id="1">
    <w:p w:rsidR="009D3D41" w:rsidRDefault="009D3D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Default="009D3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3D41" w:rsidRDefault="009D3D4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Default="00D106D9" w:rsidP="00222090">
    <w:pPr>
      <w:pStyle w:val="Footer"/>
      <w:tabs>
        <w:tab w:val="clear" w:pos="8640"/>
        <w:tab w:val="right" w:pos="9000"/>
      </w:tabs>
      <w:rPr>
        <w:rFonts w:ascii="Times New Roman" w:hAnsi="Times New Roman" w:cs="Times New Roman"/>
      </w:rPr>
    </w:pPr>
    <w:sdt>
      <w:sdtPr>
        <w:rPr>
          <w:rFonts w:ascii="Times New Roman" w:hAnsi="Times New Roman" w:cs="Times New Roman"/>
        </w:rPr>
        <w:id w:val="238515408"/>
        <w:docPartObj>
          <w:docPartGallery w:val="Page Numbers (Bottom of Page)"/>
          <w:docPartUnique/>
        </w:docPartObj>
      </w:sdtPr>
      <w:sdtEndPr/>
      <w:sdtContent>
        <w:r w:rsidR="009D3D41">
          <w:rPr>
            <w:rFonts w:ascii="Times New Roman" w:hAnsi="Times New Roman" w:cs="Times New Roman"/>
          </w:rPr>
          <w:t>Rebuttal</w:t>
        </w:r>
        <w:r w:rsidR="009D3D41" w:rsidRPr="009F0D18">
          <w:rPr>
            <w:rFonts w:ascii="Times New Roman" w:hAnsi="Times New Roman" w:cs="Times New Roman"/>
          </w:rPr>
          <w:t xml:space="preserve"> Testimony of </w:t>
        </w:r>
        <w:r w:rsidR="009D3D41">
          <w:rPr>
            <w:rFonts w:ascii="Times New Roman" w:hAnsi="Times New Roman" w:cs="Times New Roman"/>
          </w:rPr>
          <w:t>Rick T. Link</w:t>
        </w:r>
        <w:r w:rsidR="009D3D41">
          <w:rPr>
            <w:rFonts w:ascii="Times New Roman" w:hAnsi="Times New Roman" w:cs="Times New Roman"/>
          </w:rPr>
          <w:tab/>
        </w:r>
        <w:r w:rsidR="009D3D41">
          <w:rPr>
            <w:rFonts w:ascii="Times New Roman" w:hAnsi="Times New Roman" w:cs="Times New Roman"/>
          </w:rPr>
          <w:tab/>
          <w:t>Exhibit No.</w:t>
        </w:r>
        <w:r w:rsidR="009D3D41" w:rsidDel="00A42FEF">
          <w:rPr>
            <w:rFonts w:ascii="Times New Roman" w:hAnsi="Times New Roman" w:cs="Times New Roman"/>
          </w:rPr>
          <w:t xml:space="preserve"> </w:t>
        </w:r>
        <w:r w:rsidR="009D3D41">
          <w:rPr>
            <w:rFonts w:ascii="Times New Roman" w:hAnsi="Times New Roman" w:cs="Times New Roman"/>
          </w:rPr>
          <w:t>RTL-11CT</w:t>
        </w:r>
      </w:sdtContent>
    </w:sdt>
  </w:p>
  <w:p w:rsidR="009D3D41" w:rsidRPr="009F0D18" w:rsidRDefault="009D3D41" w:rsidP="009F0D18">
    <w:pPr>
      <w:pStyle w:val="Footer"/>
      <w:rPr>
        <w:rStyle w:val="PageNumber"/>
        <w:rFonts w:ascii="Times New Roman" w:hAnsi="Times New Roman" w:cs="Times New Roman"/>
      </w:rPr>
    </w:pPr>
    <w:r>
      <w:rPr>
        <w:rFonts w:ascii="Times New Roman" w:hAnsi="Times New Roman" w:cs="Times New Roman"/>
      </w:rPr>
      <w:ptab w:relativeTo="margin" w:alignment="right" w:leader="none"/>
    </w:r>
    <w:r>
      <w:rPr>
        <w:rFonts w:ascii="Times New Roman" w:hAnsi="Times New Roman" w:cs="Times New Roman"/>
      </w:rPr>
      <w:t xml:space="preserve">Page </w:t>
    </w:r>
    <w:r w:rsidRPr="00711CBA">
      <w:rPr>
        <w:rFonts w:ascii="Times New Roman" w:hAnsi="Times New Roman" w:cs="Times New Roman"/>
      </w:rPr>
      <w:fldChar w:fldCharType="begin"/>
    </w:r>
    <w:r w:rsidRPr="00711CBA">
      <w:rPr>
        <w:rFonts w:ascii="Times New Roman" w:hAnsi="Times New Roman" w:cs="Times New Roman"/>
      </w:rPr>
      <w:instrText xml:space="preserve"> PAGE   \* MERGEFORMAT </w:instrText>
    </w:r>
    <w:r w:rsidRPr="00711CBA">
      <w:rPr>
        <w:rFonts w:ascii="Times New Roman" w:hAnsi="Times New Roman" w:cs="Times New Roman"/>
      </w:rPr>
      <w:fldChar w:fldCharType="separate"/>
    </w:r>
    <w:r w:rsidR="00D106D9">
      <w:rPr>
        <w:rFonts w:ascii="Times New Roman" w:hAnsi="Times New Roman" w:cs="Times New Roman"/>
        <w:noProof/>
      </w:rPr>
      <w:t>i</w:t>
    </w:r>
    <w:r w:rsidRPr="00711CBA">
      <w:rPr>
        <w:rFonts w:ascii="Times New Roman" w:hAnsi="Times New Roman" w:cs="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Default="009D3D4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Default="00D106D9" w:rsidP="00222090">
    <w:pPr>
      <w:pStyle w:val="Footer"/>
      <w:tabs>
        <w:tab w:val="clear" w:pos="8640"/>
        <w:tab w:val="right" w:pos="9000"/>
      </w:tabs>
      <w:rPr>
        <w:rFonts w:ascii="Times New Roman" w:hAnsi="Times New Roman" w:cs="Times New Roman"/>
      </w:rPr>
    </w:pPr>
    <w:sdt>
      <w:sdtPr>
        <w:rPr>
          <w:rFonts w:ascii="Times New Roman" w:hAnsi="Times New Roman" w:cs="Times New Roman"/>
        </w:rPr>
        <w:id w:val="-2120365820"/>
        <w:docPartObj>
          <w:docPartGallery w:val="Page Numbers (Bottom of Page)"/>
          <w:docPartUnique/>
        </w:docPartObj>
      </w:sdtPr>
      <w:sdtEndPr/>
      <w:sdtContent>
        <w:r w:rsidR="009D3D41">
          <w:rPr>
            <w:rFonts w:ascii="Times New Roman" w:hAnsi="Times New Roman" w:cs="Times New Roman"/>
          </w:rPr>
          <w:t>Rebuttal</w:t>
        </w:r>
        <w:r w:rsidR="009D3D41" w:rsidRPr="009F0D18">
          <w:rPr>
            <w:rFonts w:ascii="Times New Roman" w:hAnsi="Times New Roman" w:cs="Times New Roman"/>
          </w:rPr>
          <w:t xml:space="preserve"> Testimony of </w:t>
        </w:r>
        <w:r w:rsidR="009D3D41">
          <w:rPr>
            <w:rFonts w:ascii="Times New Roman" w:hAnsi="Times New Roman" w:cs="Times New Roman"/>
          </w:rPr>
          <w:t>Rick T. Link</w:t>
        </w:r>
        <w:r w:rsidR="009D3D41">
          <w:rPr>
            <w:rFonts w:ascii="Times New Roman" w:hAnsi="Times New Roman" w:cs="Times New Roman"/>
          </w:rPr>
          <w:tab/>
        </w:r>
        <w:r w:rsidR="009D3D41">
          <w:rPr>
            <w:rFonts w:ascii="Times New Roman" w:hAnsi="Times New Roman" w:cs="Times New Roman"/>
          </w:rPr>
          <w:tab/>
          <w:t>Exhibit No.</w:t>
        </w:r>
        <w:r w:rsidR="009D3D41" w:rsidDel="00A42FEF">
          <w:rPr>
            <w:rFonts w:ascii="Times New Roman" w:hAnsi="Times New Roman" w:cs="Times New Roman"/>
          </w:rPr>
          <w:t xml:space="preserve"> </w:t>
        </w:r>
        <w:r w:rsidR="009D3D41">
          <w:rPr>
            <w:rFonts w:ascii="Times New Roman" w:hAnsi="Times New Roman" w:cs="Times New Roman"/>
          </w:rPr>
          <w:t>RTL-11CT</w:t>
        </w:r>
      </w:sdtContent>
    </w:sdt>
  </w:p>
  <w:p w:rsidR="009D3D41" w:rsidRPr="009F0D18" w:rsidRDefault="009D3D41" w:rsidP="009F0D18">
    <w:pPr>
      <w:pStyle w:val="Footer"/>
      <w:rPr>
        <w:rStyle w:val="PageNumber"/>
        <w:rFonts w:ascii="Times New Roman" w:hAnsi="Times New Roman" w:cs="Times New Roman"/>
      </w:rPr>
    </w:pPr>
    <w:r>
      <w:rPr>
        <w:rFonts w:ascii="Times New Roman" w:hAnsi="Times New Roman" w:cs="Times New Roman"/>
      </w:rPr>
      <w:ptab w:relativeTo="margin" w:alignment="right" w:leader="none"/>
    </w:r>
    <w:r>
      <w:rPr>
        <w:rFonts w:ascii="Times New Roman" w:hAnsi="Times New Roman" w:cs="Times New Roman"/>
      </w:rPr>
      <w:t xml:space="preserve">Page </w:t>
    </w:r>
    <w:r w:rsidRPr="00711CBA">
      <w:rPr>
        <w:rFonts w:ascii="Times New Roman" w:hAnsi="Times New Roman" w:cs="Times New Roman"/>
      </w:rPr>
      <w:fldChar w:fldCharType="begin"/>
    </w:r>
    <w:r w:rsidRPr="00711CBA">
      <w:rPr>
        <w:rFonts w:ascii="Times New Roman" w:hAnsi="Times New Roman" w:cs="Times New Roman"/>
      </w:rPr>
      <w:instrText xml:space="preserve"> PAGE   \* MERGEFORMAT </w:instrText>
    </w:r>
    <w:r w:rsidRPr="00711CBA">
      <w:rPr>
        <w:rFonts w:ascii="Times New Roman" w:hAnsi="Times New Roman" w:cs="Times New Roman"/>
      </w:rPr>
      <w:fldChar w:fldCharType="separate"/>
    </w:r>
    <w:r w:rsidR="00D106D9">
      <w:rPr>
        <w:rFonts w:ascii="Times New Roman" w:hAnsi="Times New Roman" w:cs="Times New Roman"/>
        <w:noProof/>
      </w:rPr>
      <w:t>1</w:t>
    </w:r>
    <w:r w:rsidRPr="00711CBA">
      <w:rPr>
        <w:rFonts w:ascii="Times New Roman" w:hAnsi="Times New Roman" w:cs="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D41" w:rsidRDefault="009D3D41">
      <w:r>
        <w:separator/>
      </w:r>
    </w:p>
  </w:footnote>
  <w:footnote w:type="continuationSeparator" w:id="0">
    <w:p w:rsidR="009D3D41" w:rsidRDefault="009D3D41">
      <w:r>
        <w:continuationSeparator/>
      </w:r>
    </w:p>
  </w:footnote>
  <w:footnote w:type="continuationNotice" w:id="1">
    <w:p w:rsidR="009D3D41" w:rsidRDefault="009D3D41"/>
  </w:footnote>
  <w:footnote w:id="2">
    <w:p w:rsidR="009D3D41" w:rsidRDefault="009D3D41">
      <w:pPr>
        <w:pStyle w:val="FootnoteText"/>
      </w:pPr>
      <w:r>
        <w:rPr>
          <w:rStyle w:val="FootnoteReference"/>
        </w:rPr>
        <w:footnoteRef/>
      </w:r>
      <w:r>
        <w:t xml:space="preserve"> Staff incorrectly calculates corrections for these costs and then applies adjustments to the Company’s analysis based on how its proposed corrections affect the relationship between nominal </w:t>
      </w:r>
      <w:proofErr w:type="spellStart"/>
      <w:r>
        <w:t>levelized</w:t>
      </w:r>
      <w:proofErr w:type="spellEnd"/>
      <w:r>
        <w:t xml:space="preserve"> natural gas price assumptions and the </w:t>
      </w:r>
      <w:proofErr w:type="gramStart"/>
      <w:r>
        <w:t>PVRR(</w:t>
      </w:r>
      <w:proofErr w:type="gramEnd"/>
      <w:r>
        <w:t xml:space="preserve">d) between gas conversion and SCR compliance alternatives. </w:t>
      </w:r>
    </w:p>
  </w:footnote>
  <w:footnote w:id="3">
    <w:p w:rsidR="009D3D41" w:rsidRDefault="009D3D41">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No. JBT-1CT 34:10-14.</w:t>
      </w:r>
    </w:p>
  </w:footnote>
  <w:footnote w:id="4">
    <w:p w:rsidR="009D3D41" w:rsidRDefault="009D3D41">
      <w:pPr>
        <w:pStyle w:val="FootnoteText"/>
      </w:pPr>
      <w:r>
        <w:rPr>
          <w:rStyle w:val="FootnoteReference"/>
        </w:rPr>
        <w:footnoteRef/>
      </w:r>
      <w:r>
        <w:t xml:space="preserve"> </w:t>
      </w:r>
      <w:r w:rsidRPr="007D10FF">
        <w:rPr>
          <w:i/>
        </w:rPr>
        <w:t>Id</w:t>
      </w:r>
      <w:r>
        <w:t>., 34:17-18.</w:t>
      </w:r>
    </w:p>
  </w:footnote>
  <w:footnote w:id="5">
    <w:p w:rsidR="009D3D41" w:rsidRPr="00494965" w:rsidRDefault="009D3D41">
      <w:pPr>
        <w:pStyle w:val="FootnoteText"/>
        <w:rPr>
          <w:b/>
        </w:rPr>
      </w:pPr>
      <w:r>
        <w:rPr>
          <w:rStyle w:val="FootnoteReference"/>
        </w:rPr>
        <w:footnoteRef/>
      </w:r>
      <w:r>
        <w:t xml:space="preserve"> </w:t>
      </w:r>
      <w:r w:rsidRPr="007D10FF">
        <w:rPr>
          <w:i/>
        </w:rPr>
        <w:t>Id</w:t>
      </w:r>
      <w:r>
        <w:t>., 9</w:t>
      </w:r>
      <w:proofErr w:type="gramStart"/>
      <w:r>
        <w:t>:Figure</w:t>
      </w:r>
      <w:proofErr w:type="gramEnd"/>
      <w:r>
        <w:t xml:space="preserve"> 1.</w:t>
      </w:r>
    </w:p>
  </w:footnote>
  <w:footnote w:id="6">
    <w:p w:rsidR="009D3D41" w:rsidRPr="00494965" w:rsidRDefault="009D3D41">
      <w:pPr>
        <w:pStyle w:val="FootnoteText"/>
        <w:rPr>
          <w:b/>
        </w:rPr>
      </w:pPr>
      <w:r>
        <w:rPr>
          <w:rStyle w:val="FootnoteReference"/>
        </w:rPr>
        <w:footnoteRef/>
      </w:r>
      <w:r>
        <w:t xml:space="preserve"> </w:t>
      </w:r>
      <w:r w:rsidRPr="007D10FF">
        <w:rPr>
          <w:i/>
        </w:rPr>
        <w:t>Id</w:t>
      </w:r>
      <w:r>
        <w:t>., 35:13-14.</w:t>
      </w:r>
    </w:p>
  </w:footnote>
  <w:footnote w:id="7">
    <w:p w:rsidR="009D3D41" w:rsidRDefault="009D3D41">
      <w:pPr>
        <w:pStyle w:val="FootnoteText"/>
      </w:pPr>
      <w:r>
        <w:rPr>
          <w:rStyle w:val="FootnoteReference"/>
        </w:rPr>
        <w:footnoteRef/>
      </w:r>
      <w:r>
        <w:t xml:space="preserve"> Fisher, </w:t>
      </w:r>
      <w:proofErr w:type="spellStart"/>
      <w:r>
        <w:t>Exh</w:t>
      </w:r>
      <w:proofErr w:type="spellEnd"/>
      <w:r>
        <w:t>. No. JIF-1CT 14:8-21.</w:t>
      </w:r>
    </w:p>
  </w:footnote>
  <w:footnote w:id="8">
    <w:p w:rsidR="009D3D41" w:rsidRDefault="009D3D41">
      <w:pPr>
        <w:pStyle w:val="FootnoteText"/>
      </w:pPr>
      <w:r>
        <w:rPr>
          <w:rStyle w:val="FootnoteReference"/>
        </w:rPr>
        <w:footnoteRef/>
      </w:r>
      <w:r>
        <w:t xml:space="preserve"> </w:t>
      </w:r>
      <w:r w:rsidRPr="007D10FF">
        <w:rPr>
          <w:i/>
        </w:rPr>
        <w:t>Id</w:t>
      </w:r>
      <w:r>
        <w:t>., 14:8-21, 17:24-26.</w:t>
      </w:r>
    </w:p>
  </w:footnote>
  <w:footnote w:id="9">
    <w:p w:rsidR="009D3D41" w:rsidRDefault="009D3D41">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w:t>
      </w:r>
      <w:proofErr w:type="gramStart"/>
      <w:r>
        <w:t>JBT-1CT 51 Figure 3.</w:t>
      </w:r>
      <w:proofErr w:type="gramEnd"/>
      <w:r>
        <w:t xml:space="preserve"> </w:t>
      </w:r>
    </w:p>
  </w:footnote>
  <w:footnote w:id="10">
    <w:p w:rsidR="009D3D41" w:rsidRDefault="009D3D41">
      <w:pPr>
        <w:pStyle w:val="FootnoteText"/>
      </w:pPr>
      <w:r>
        <w:rPr>
          <w:rStyle w:val="FootnoteReference"/>
        </w:rPr>
        <w:footnoteRef/>
      </w:r>
      <w:r>
        <w:t xml:space="preserve"> </w:t>
      </w:r>
      <w:r w:rsidRPr="009A70FF">
        <w:rPr>
          <w:i/>
        </w:rPr>
        <w:t>Id</w:t>
      </w:r>
      <w:r>
        <w:t>., 51:6-52:3.</w:t>
      </w:r>
    </w:p>
  </w:footnote>
  <w:footnote w:id="11">
    <w:p w:rsidR="009D3D41" w:rsidRDefault="009D3D41">
      <w:pPr>
        <w:pStyle w:val="FootnoteText"/>
      </w:pPr>
      <w:r>
        <w:rPr>
          <w:rStyle w:val="FootnoteReference"/>
        </w:rPr>
        <w:footnoteRef/>
      </w:r>
      <w:r>
        <w:t xml:space="preserve"> </w:t>
      </w:r>
      <w:r w:rsidRPr="009A70FF">
        <w:rPr>
          <w:i/>
        </w:rPr>
        <w:t>Id</w:t>
      </w:r>
      <w:r>
        <w:t>., 52:4-8.</w:t>
      </w:r>
    </w:p>
  </w:footnote>
  <w:footnote w:id="12">
    <w:p w:rsidR="009D3D41" w:rsidRDefault="009D3D41">
      <w:pPr>
        <w:pStyle w:val="FootnoteText"/>
      </w:pPr>
      <w:r>
        <w:rPr>
          <w:rStyle w:val="FootnoteReference"/>
        </w:rPr>
        <w:footnoteRef/>
      </w:r>
      <w:r>
        <w:t xml:space="preserve"> </w:t>
      </w:r>
      <w:r w:rsidRPr="009A70FF">
        <w:rPr>
          <w:i/>
        </w:rPr>
        <w:t>Id</w:t>
      </w:r>
      <w:r>
        <w:t xml:space="preserve">., 52:9-11; </w:t>
      </w:r>
      <w:proofErr w:type="spellStart"/>
      <w:r>
        <w:t>Exh</w:t>
      </w:r>
      <w:proofErr w:type="spellEnd"/>
      <w:r>
        <w:t xml:space="preserve">. No. </w:t>
      </w:r>
      <w:proofErr w:type="gramStart"/>
      <w:r>
        <w:t>RTL-12</w:t>
      </w:r>
      <w:r w:rsidR="00EB19BA">
        <w:t>C</w:t>
      </w:r>
      <w:r>
        <w:t xml:space="preserve"> (</w:t>
      </w:r>
      <w:proofErr w:type="spellStart"/>
      <w:r w:rsidR="00EB19BA">
        <w:t>WUTC</w:t>
      </w:r>
      <w:proofErr w:type="spellEnd"/>
      <w:r w:rsidR="00EB19BA">
        <w:t xml:space="preserve"> </w:t>
      </w:r>
      <w:r>
        <w:t>Staff’s Response to Pacific Power’s Data Request No. 4).</w:t>
      </w:r>
      <w:proofErr w:type="gramEnd"/>
    </w:p>
  </w:footnote>
  <w:footnote w:id="13">
    <w:p w:rsidR="009D3D41" w:rsidRDefault="009D3D41">
      <w:pPr>
        <w:pStyle w:val="FootnoteText"/>
      </w:pPr>
      <w:r>
        <w:rPr>
          <w:rStyle w:val="FootnoteReference"/>
        </w:rPr>
        <w:footnoteRef/>
      </w:r>
      <w:r>
        <w:t xml:space="preserve"> </w:t>
      </w:r>
      <w:r w:rsidRPr="009A70FF">
        <w:rPr>
          <w:i/>
        </w:rPr>
        <w:t>Id</w:t>
      </w:r>
      <w:r>
        <w:t>., 52:9-20.</w:t>
      </w:r>
    </w:p>
  </w:footnote>
  <w:footnote w:id="14">
    <w:p w:rsidR="009D3D41" w:rsidRDefault="009D3D41">
      <w:pPr>
        <w:pStyle w:val="FootnoteText"/>
      </w:pPr>
      <w:r>
        <w:rPr>
          <w:rStyle w:val="FootnoteReference"/>
        </w:rPr>
        <w:footnoteRef/>
      </w:r>
      <w:r>
        <w:t xml:space="preserve"> </w:t>
      </w:r>
      <w:r w:rsidRPr="009A70FF">
        <w:rPr>
          <w:i/>
        </w:rPr>
        <w:t>Id</w:t>
      </w:r>
      <w:r>
        <w:t>., 53:22.</w:t>
      </w:r>
    </w:p>
  </w:footnote>
  <w:footnote w:id="15">
    <w:p w:rsidR="009D3D41" w:rsidRDefault="009D3D41" w:rsidP="00245981">
      <w:pPr>
        <w:pStyle w:val="FootnoteText"/>
      </w:pPr>
      <w:r>
        <w:rPr>
          <w:rStyle w:val="FootnoteReference"/>
        </w:rPr>
        <w:footnoteRef/>
      </w:r>
      <w:r>
        <w:t xml:space="preserve"> </w:t>
      </w:r>
      <w:r w:rsidRPr="009A70FF">
        <w:rPr>
          <w:i/>
        </w:rPr>
        <w:t>Id</w:t>
      </w:r>
      <w:r>
        <w:t>., 53:3-8.</w:t>
      </w:r>
    </w:p>
  </w:footnote>
  <w:footnote w:id="16">
    <w:p w:rsidR="009D3D41" w:rsidRDefault="009D3D41">
      <w:pPr>
        <w:pStyle w:val="FootnoteText"/>
      </w:pPr>
      <w:r>
        <w:rPr>
          <w:rStyle w:val="FootnoteReference"/>
        </w:rPr>
        <w:footnoteRef/>
      </w:r>
      <w:r>
        <w:t xml:space="preserve"> </w:t>
      </w:r>
      <w:proofErr w:type="spellStart"/>
      <w:proofErr w:type="gramStart"/>
      <w:r>
        <w:t>Exh</w:t>
      </w:r>
      <w:proofErr w:type="spellEnd"/>
      <w:r>
        <w:t>.</w:t>
      </w:r>
      <w:proofErr w:type="gramEnd"/>
      <w:r>
        <w:t xml:space="preserve"> No. </w:t>
      </w:r>
      <w:proofErr w:type="gramStart"/>
      <w:r>
        <w:t>RTL-12C (</w:t>
      </w:r>
      <w:proofErr w:type="spellStart"/>
      <w:r w:rsidR="00EB19BA">
        <w:t>WUTC</w:t>
      </w:r>
      <w:proofErr w:type="spellEnd"/>
      <w:r w:rsidR="00EB19BA">
        <w:t xml:space="preserve"> </w:t>
      </w:r>
      <w:r>
        <w:t>Staff’s Response to Pacific Power Data Request No. 4).</w:t>
      </w:r>
      <w:proofErr w:type="gramEnd"/>
    </w:p>
  </w:footnote>
  <w:footnote w:id="17">
    <w:p w:rsidR="009D3D41" w:rsidRDefault="009D3D41">
      <w:pPr>
        <w:pStyle w:val="FootnoteText"/>
      </w:pPr>
      <w:r>
        <w:rPr>
          <w:rStyle w:val="FootnoteReference"/>
        </w:rPr>
        <w:footnoteRef/>
      </w:r>
      <w:r>
        <w:t xml:space="preserve"> The conversion from real to nominal dollars assumes a 1.9 percent annual inflation rate.</w:t>
      </w:r>
    </w:p>
  </w:footnote>
  <w:footnote w:id="18">
    <w:p w:rsidR="009D3D41" w:rsidRDefault="009D3D41">
      <w:pPr>
        <w:pStyle w:val="FootnoteText"/>
      </w:pPr>
      <w:r>
        <w:rPr>
          <w:rStyle w:val="FootnoteReference"/>
        </w:rPr>
        <w:footnoteRef/>
      </w:r>
      <w:r>
        <w:t xml:space="preserve"> Fisher, </w:t>
      </w:r>
      <w:proofErr w:type="spellStart"/>
      <w:r>
        <w:t>Exh</w:t>
      </w:r>
      <w:proofErr w:type="spellEnd"/>
      <w:r>
        <w:t>. No. JIF-1CT 25:4-6.</w:t>
      </w:r>
    </w:p>
  </w:footnote>
  <w:footnote w:id="19">
    <w:p w:rsidR="009D3D41" w:rsidRDefault="009D3D41">
      <w:pPr>
        <w:pStyle w:val="FootnoteText"/>
      </w:pPr>
      <w:r>
        <w:rPr>
          <w:rStyle w:val="FootnoteReference"/>
        </w:rPr>
        <w:footnoteRef/>
      </w:r>
      <w:r>
        <w:t xml:space="preserve"> </w:t>
      </w:r>
      <w:r w:rsidRPr="009A70FF">
        <w:rPr>
          <w:i/>
        </w:rPr>
        <w:t>Id</w:t>
      </w:r>
      <w:r>
        <w:t>., 25:4-6.</w:t>
      </w:r>
    </w:p>
  </w:footnote>
  <w:footnote w:id="20">
    <w:p w:rsidR="009D3D41" w:rsidRDefault="009D3D41" w:rsidP="00B168F9">
      <w:pPr>
        <w:pStyle w:val="FootnoteText"/>
      </w:pPr>
      <w:r>
        <w:rPr>
          <w:rStyle w:val="FootnoteReference"/>
        </w:rPr>
        <w:footnoteRef/>
      </w:r>
      <w:r>
        <w:t xml:space="preserve"> </w:t>
      </w:r>
      <w:r w:rsidRPr="009A70FF">
        <w:rPr>
          <w:i/>
        </w:rPr>
        <w:t>Id</w:t>
      </w:r>
      <w:r>
        <w:t>., 28:8-15.</w:t>
      </w:r>
    </w:p>
  </w:footnote>
  <w:footnote w:id="21">
    <w:p w:rsidR="009D3D41" w:rsidRPr="0078626D" w:rsidRDefault="009D3D41">
      <w:pPr>
        <w:pStyle w:val="FootnoteText"/>
        <w:rPr>
          <w:rFonts w:cs="Times New Roman"/>
        </w:rPr>
      </w:pPr>
      <w:r w:rsidRPr="0078626D">
        <w:rPr>
          <w:rStyle w:val="FootnoteReference"/>
        </w:rPr>
        <w:footnoteRef/>
      </w:r>
      <w:r w:rsidRPr="0078626D">
        <w:rPr>
          <w:rFonts w:cs="Times New Roman"/>
        </w:rPr>
        <w:t xml:space="preserve"> </w:t>
      </w:r>
      <w:r w:rsidRPr="009A70FF">
        <w:rPr>
          <w:i/>
        </w:rPr>
        <w:t>Id</w:t>
      </w:r>
      <w:r>
        <w:t xml:space="preserve">., </w:t>
      </w:r>
      <w:r w:rsidRPr="0078626D">
        <w:rPr>
          <w:rFonts w:cs="Times New Roman"/>
        </w:rPr>
        <w:t>25</w:t>
      </w:r>
      <w:r>
        <w:rPr>
          <w:rFonts w:cs="Times New Roman"/>
        </w:rPr>
        <w:t xml:space="preserve">:8-9 and </w:t>
      </w:r>
      <w:r w:rsidRPr="0078626D">
        <w:rPr>
          <w:rFonts w:cs="Times New Roman"/>
        </w:rPr>
        <w:t>11-12.</w:t>
      </w:r>
    </w:p>
  </w:footnote>
  <w:footnote w:id="22">
    <w:p w:rsidR="009D3D41" w:rsidRDefault="009D3D41" w:rsidP="00963FC0">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xml:space="preserve">. No. JBT-1CT 24:1-8, 30 Figure 2.  </w:t>
      </w:r>
    </w:p>
  </w:footnote>
  <w:footnote w:id="23">
    <w:p w:rsidR="009D3D41" w:rsidRDefault="009D3D41" w:rsidP="00DB4CFA">
      <w:pPr>
        <w:pStyle w:val="FootnoteText"/>
      </w:pPr>
      <w:r>
        <w:rPr>
          <w:rStyle w:val="FootnoteReference"/>
        </w:rPr>
        <w:footnoteRef/>
      </w:r>
      <w:r>
        <w:t xml:space="preserve"> </w:t>
      </w:r>
      <w:r w:rsidRPr="009A70FF">
        <w:rPr>
          <w:i/>
        </w:rPr>
        <w:t>Id</w:t>
      </w:r>
      <w:r>
        <w:t>., 48:7-9.</w:t>
      </w:r>
    </w:p>
  </w:footnote>
  <w:footnote w:id="24">
    <w:p w:rsidR="009D3D41" w:rsidRDefault="009D3D41">
      <w:pPr>
        <w:pStyle w:val="FootnoteText"/>
      </w:pPr>
      <w:r>
        <w:rPr>
          <w:rStyle w:val="FootnoteReference"/>
        </w:rPr>
        <w:footnoteRef/>
      </w:r>
      <w:r>
        <w:t xml:space="preserve"> </w:t>
      </w:r>
      <w:r w:rsidRPr="009A70FF">
        <w:rPr>
          <w:i/>
        </w:rPr>
        <w:t>Id</w:t>
      </w:r>
      <w:r>
        <w:t>., 38:20-21.</w:t>
      </w:r>
    </w:p>
  </w:footnote>
  <w:footnote w:id="25">
    <w:p w:rsidR="009D3D41" w:rsidRDefault="009D3D41">
      <w:pPr>
        <w:pStyle w:val="FootnoteText"/>
      </w:pPr>
      <w:r>
        <w:rPr>
          <w:rStyle w:val="FootnoteReference"/>
        </w:rPr>
        <w:footnoteRef/>
      </w:r>
      <w:r>
        <w:t xml:space="preserve"> </w:t>
      </w:r>
      <w:r w:rsidRPr="009A70FF">
        <w:rPr>
          <w:i/>
        </w:rPr>
        <w:t>Id</w:t>
      </w:r>
      <w:r>
        <w:t>., 39:2-4.</w:t>
      </w:r>
    </w:p>
  </w:footnote>
  <w:footnote w:id="26">
    <w:p w:rsidR="009D3D41" w:rsidRDefault="009D3D41">
      <w:pPr>
        <w:pStyle w:val="FootnoteText"/>
      </w:pPr>
      <w:r>
        <w:rPr>
          <w:rStyle w:val="FootnoteReference"/>
        </w:rPr>
        <w:footnoteRef/>
      </w:r>
      <w:r>
        <w:t xml:space="preserve"> </w:t>
      </w:r>
      <w:r w:rsidRPr="009A70FF">
        <w:rPr>
          <w:i/>
        </w:rPr>
        <w:t>Id</w:t>
      </w:r>
      <w:r>
        <w:t>., 40:1.</w:t>
      </w:r>
    </w:p>
  </w:footnote>
  <w:footnote w:id="27">
    <w:p w:rsidR="009D3D41" w:rsidRDefault="009D3D41">
      <w:pPr>
        <w:pStyle w:val="FootnoteText"/>
      </w:pPr>
      <w:r>
        <w:rPr>
          <w:rStyle w:val="FootnoteReference"/>
        </w:rPr>
        <w:footnoteRef/>
      </w:r>
      <w:r>
        <w:t xml:space="preserve"> </w:t>
      </w:r>
      <w:r w:rsidRPr="009A70FF">
        <w:rPr>
          <w:i/>
        </w:rPr>
        <w:t>Id</w:t>
      </w:r>
      <w:r>
        <w:t>., 41:1-9.</w:t>
      </w:r>
    </w:p>
  </w:footnote>
  <w:footnote w:id="28">
    <w:p w:rsidR="009D3D41" w:rsidRDefault="009D3D41">
      <w:pPr>
        <w:pStyle w:val="FootnoteText"/>
      </w:pPr>
      <w:r>
        <w:rPr>
          <w:rStyle w:val="FootnoteReference"/>
        </w:rPr>
        <w:footnoteRef/>
      </w:r>
      <w:r>
        <w:t xml:space="preserve"> </w:t>
      </w:r>
      <w:r w:rsidRPr="009A70FF">
        <w:rPr>
          <w:i/>
        </w:rPr>
        <w:t>Id</w:t>
      </w:r>
      <w:r>
        <w:t>., 43:8-45:5.</w:t>
      </w:r>
    </w:p>
  </w:footnote>
  <w:footnote w:id="29">
    <w:p w:rsidR="009D3D41" w:rsidRDefault="009D3D41">
      <w:pPr>
        <w:pStyle w:val="FootnoteText"/>
      </w:pPr>
      <w:r>
        <w:rPr>
          <w:rStyle w:val="FootnoteReference"/>
        </w:rPr>
        <w:footnoteRef/>
      </w:r>
      <w:r>
        <w:t xml:space="preserve"> </w:t>
      </w:r>
      <w:r w:rsidRPr="009A70FF">
        <w:rPr>
          <w:i/>
        </w:rPr>
        <w:t>Id</w:t>
      </w:r>
      <w:r>
        <w:t>., 45:7-22.</w:t>
      </w:r>
    </w:p>
  </w:footnote>
  <w:footnote w:id="30">
    <w:p w:rsidR="009D3D41" w:rsidRDefault="009D3D41">
      <w:pPr>
        <w:pStyle w:val="FootnoteText"/>
      </w:pPr>
      <w:r>
        <w:rPr>
          <w:rStyle w:val="FootnoteReference"/>
        </w:rPr>
        <w:footnoteRef/>
      </w:r>
      <w:r>
        <w:t xml:space="preserve"> </w:t>
      </w:r>
      <w:r w:rsidRPr="009A70FF">
        <w:rPr>
          <w:i/>
        </w:rPr>
        <w:t>Id</w:t>
      </w:r>
      <w:r>
        <w:t>., 45:19-22.</w:t>
      </w:r>
    </w:p>
  </w:footnote>
  <w:footnote w:id="31">
    <w:p w:rsidR="009D3D41" w:rsidRDefault="009D3D41">
      <w:pPr>
        <w:pStyle w:val="FootnoteText"/>
      </w:pPr>
      <w:r>
        <w:rPr>
          <w:rStyle w:val="FootnoteReference"/>
        </w:rPr>
        <w:footnoteRef/>
      </w:r>
      <w:r>
        <w:t xml:space="preserve"> </w:t>
      </w:r>
      <w:r w:rsidRPr="009A70FF">
        <w:rPr>
          <w:i/>
        </w:rPr>
        <w:t>Id</w:t>
      </w:r>
      <w:r>
        <w:t>., 43:17-19.</w:t>
      </w:r>
    </w:p>
  </w:footnote>
  <w:footnote w:id="32">
    <w:p w:rsidR="009D3D41" w:rsidRDefault="009D3D41">
      <w:pPr>
        <w:pStyle w:val="FootnoteText"/>
      </w:pPr>
      <w:r>
        <w:rPr>
          <w:rStyle w:val="FootnoteReference"/>
        </w:rPr>
        <w:footnoteRef/>
      </w:r>
      <w:r>
        <w:t xml:space="preserve"> </w:t>
      </w:r>
      <w:r w:rsidRPr="009A70FF">
        <w:rPr>
          <w:i/>
        </w:rPr>
        <w:t>Id</w:t>
      </w:r>
      <w:r>
        <w:t>., 9: Figure 1.</w:t>
      </w:r>
    </w:p>
  </w:footnote>
  <w:footnote w:id="33">
    <w:p w:rsidR="009D3D41" w:rsidRDefault="009D3D41">
      <w:pPr>
        <w:pStyle w:val="FootnoteText"/>
      </w:pPr>
      <w:r>
        <w:rPr>
          <w:rStyle w:val="FootnoteReference"/>
        </w:rPr>
        <w:footnoteRef/>
      </w:r>
      <w:r>
        <w:t xml:space="preserve"> </w:t>
      </w:r>
      <w:r w:rsidRPr="009A70FF">
        <w:rPr>
          <w:i/>
        </w:rPr>
        <w:t>Id</w:t>
      </w:r>
      <w:r>
        <w:t>., 42:3-5.</w:t>
      </w:r>
    </w:p>
  </w:footnote>
  <w:footnote w:id="34">
    <w:p w:rsidR="009D3D41" w:rsidRDefault="009D3D41">
      <w:pPr>
        <w:pStyle w:val="FootnoteText"/>
      </w:pPr>
      <w:r>
        <w:rPr>
          <w:rStyle w:val="FootnoteReference"/>
        </w:rPr>
        <w:footnoteRef/>
      </w:r>
      <w:r>
        <w:t xml:space="preserve"> </w:t>
      </w:r>
      <w:r w:rsidRPr="009A70FF">
        <w:rPr>
          <w:i/>
        </w:rPr>
        <w:t>Id</w:t>
      </w:r>
      <w:r>
        <w:t>., 47:10-13.</w:t>
      </w:r>
    </w:p>
  </w:footnote>
  <w:footnote w:id="35">
    <w:p w:rsidR="009D3D41" w:rsidRDefault="009D3D41">
      <w:pPr>
        <w:pStyle w:val="FootnoteText"/>
      </w:pPr>
      <w:r>
        <w:rPr>
          <w:rStyle w:val="FootnoteReference"/>
        </w:rPr>
        <w:footnoteRef/>
      </w:r>
      <w:r>
        <w:t xml:space="preserve"> </w:t>
      </w:r>
      <w:r w:rsidRPr="009A70FF">
        <w:rPr>
          <w:i/>
        </w:rPr>
        <w:t>Id</w:t>
      </w:r>
      <w:r>
        <w:t>., 18:13-15</w:t>
      </w:r>
    </w:p>
  </w:footnote>
  <w:footnote w:id="36">
    <w:p w:rsidR="009D3D41" w:rsidRDefault="009D3D41">
      <w:pPr>
        <w:pStyle w:val="FootnoteText"/>
      </w:pPr>
      <w:r w:rsidRPr="00E5513D">
        <w:rPr>
          <w:rStyle w:val="FootnoteReference"/>
          <w:i/>
        </w:rPr>
        <w:footnoteRef/>
      </w:r>
      <w:r>
        <w:t xml:space="preserve"> </w:t>
      </w:r>
      <w:r>
        <w:rPr>
          <w:i/>
        </w:rPr>
        <w:t>Id.,</w:t>
      </w:r>
      <w:r>
        <w:t xml:space="preserve"> 20:10-13.</w:t>
      </w:r>
    </w:p>
  </w:footnote>
  <w:footnote w:id="37">
    <w:p w:rsidR="009D3D41" w:rsidRDefault="009D3D41">
      <w:pPr>
        <w:pStyle w:val="FootnoteText"/>
      </w:pPr>
      <w:r>
        <w:rPr>
          <w:rStyle w:val="FootnoteReference"/>
        </w:rPr>
        <w:footnoteRef/>
      </w:r>
      <w:r>
        <w:t xml:space="preserve"> </w:t>
      </w:r>
      <w:proofErr w:type="gramStart"/>
      <w:r>
        <w:t>PacifiCorp’s 2013 Integrated Resource Plan Acknowledgment Letter, Attachment at 3 (Nov. 25, 2013).</w:t>
      </w:r>
      <w:proofErr w:type="gramEnd"/>
    </w:p>
  </w:footnote>
  <w:footnote w:id="38">
    <w:p w:rsidR="009D3D41" w:rsidRDefault="009D3D41">
      <w:pPr>
        <w:pStyle w:val="FootnoteText"/>
      </w:pPr>
      <w:r>
        <w:rPr>
          <w:rStyle w:val="FootnoteReference"/>
        </w:rPr>
        <w:footnoteRef/>
      </w:r>
      <w:r>
        <w:t xml:space="preserve"> </w:t>
      </w:r>
      <w:r>
        <w:rPr>
          <w:i/>
        </w:rPr>
        <w:t>Id.</w:t>
      </w:r>
    </w:p>
  </w:footnote>
  <w:footnote w:id="39">
    <w:p w:rsidR="009D3D41" w:rsidRPr="00385CC5" w:rsidRDefault="009D3D41" w:rsidP="00FC2C0A">
      <w:pPr>
        <w:pStyle w:val="FootnoteText"/>
        <w:rPr>
          <w:rFonts w:cs="Times New Roman"/>
        </w:rPr>
      </w:pPr>
      <w:r w:rsidRPr="00385CC5">
        <w:rPr>
          <w:rStyle w:val="FootnoteReference"/>
        </w:rPr>
        <w:footnoteRef/>
      </w:r>
      <w:r w:rsidRPr="00385CC5">
        <w:rPr>
          <w:rFonts w:cs="Times New Roman"/>
        </w:rPr>
        <w:t xml:space="preserve"> </w:t>
      </w:r>
      <w:r>
        <w:rPr>
          <w:rFonts w:cs="Times New Roman"/>
        </w:rPr>
        <w:t>PacifiCorp 2013 IRP Update, Chapter 2, page 11.</w:t>
      </w:r>
    </w:p>
  </w:footnote>
  <w:footnote w:id="40">
    <w:p w:rsidR="009D3D41" w:rsidRPr="00402E66" w:rsidRDefault="009D3D41">
      <w:pPr>
        <w:pStyle w:val="FootnoteText"/>
        <w:rPr>
          <w:rFonts w:cs="Times New Roman"/>
        </w:rPr>
      </w:pPr>
      <w:r w:rsidRPr="00402E66">
        <w:rPr>
          <w:rStyle w:val="FootnoteReference"/>
        </w:rPr>
        <w:footnoteRef/>
      </w:r>
      <w:r w:rsidRPr="00402E66">
        <w:rPr>
          <w:rFonts w:cs="Times New Roman"/>
        </w:rPr>
        <w:t xml:space="preserve"> </w:t>
      </w:r>
      <w:r>
        <w:rPr>
          <w:rFonts w:cs="Times New Roman"/>
          <w:i/>
        </w:rPr>
        <w:t>Id.</w:t>
      </w:r>
      <w:r>
        <w:rPr>
          <w:rFonts w:cs="Times New Roman"/>
        </w:rPr>
        <w:t>, Chapter 4, page 43.</w:t>
      </w:r>
    </w:p>
  </w:footnote>
  <w:footnote w:id="41">
    <w:p w:rsidR="009D3D41" w:rsidRDefault="009D3D41">
      <w:pPr>
        <w:pStyle w:val="FootnoteText"/>
      </w:pPr>
      <w:r>
        <w:rPr>
          <w:rStyle w:val="FootnoteReference"/>
        </w:rPr>
        <w:footnoteRef/>
      </w:r>
      <w:r>
        <w:t xml:space="preserve"> </w:t>
      </w:r>
      <w:proofErr w:type="spellStart"/>
      <w:r>
        <w:t>Twitchell</w:t>
      </w:r>
      <w:proofErr w:type="spellEnd"/>
      <w:r>
        <w:t xml:space="preserve">, </w:t>
      </w:r>
      <w:proofErr w:type="spellStart"/>
      <w:r>
        <w:t>Exh</w:t>
      </w:r>
      <w:proofErr w:type="spellEnd"/>
      <w:r>
        <w:t>. No. JBT-1CT 63:16-20.</w:t>
      </w:r>
    </w:p>
  </w:footnote>
  <w:footnote w:id="42">
    <w:p w:rsidR="009D3D41" w:rsidRDefault="009D3D41">
      <w:pPr>
        <w:pStyle w:val="FootnoteText"/>
      </w:pPr>
      <w:r>
        <w:rPr>
          <w:rStyle w:val="FootnoteReference"/>
        </w:rPr>
        <w:footnoteRef/>
      </w:r>
      <w:r>
        <w:t xml:space="preserve"> </w:t>
      </w:r>
      <w:proofErr w:type="spellStart"/>
      <w:r>
        <w:t>Ramas</w:t>
      </w:r>
      <w:proofErr w:type="spellEnd"/>
      <w:r>
        <w:t xml:space="preserve">, </w:t>
      </w:r>
      <w:proofErr w:type="spellStart"/>
      <w:r>
        <w:t>Exh</w:t>
      </w:r>
      <w:proofErr w:type="spellEnd"/>
      <w:r>
        <w:t>. No. DMR-1T Revised (3/29/16) 24:9-25:8.</w:t>
      </w:r>
    </w:p>
  </w:footnote>
  <w:footnote w:id="43">
    <w:p w:rsidR="009D3D41" w:rsidRDefault="009D3D41" w:rsidP="00E1735C">
      <w:pPr>
        <w:pStyle w:val="FootnoteText"/>
      </w:pPr>
      <w:r>
        <w:rPr>
          <w:rStyle w:val="FootnoteReference"/>
        </w:rPr>
        <w:footnoteRef/>
      </w:r>
      <w:r>
        <w:t xml:space="preserve"> Fisher, </w:t>
      </w:r>
      <w:proofErr w:type="spellStart"/>
      <w:r>
        <w:t>Exh</w:t>
      </w:r>
      <w:proofErr w:type="spellEnd"/>
      <w:r>
        <w:t>. No. JIF-1T 41:1-12.</w:t>
      </w:r>
    </w:p>
  </w:footnote>
  <w:footnote w:id="44">
    <w:p w:rsidR="009D3D41" w:rsidRDefault="009D3D41">
      <w:pPr>
        <w:pStyle w:val="FootnoteText"/>
      </w:pPr>
      <w:r>
        <w:rPr>
          <w:rStyle w:val="FootnoteReference"/>
        </w:rPr>
        <w:footnoteRef/>
      </w:r>
      <w:r>
        <w:t xml:space="preserve"> Fisher, </w:t>
      </w:r>
      <w:proofErr w:type="spellStart"/>
      <w:r>
        <w:t>Exh</w:t>
      </w:r>
      <w:proofErr w:type="spellEnd"/>
      <w:r>
        <w:t>. No. JIF-1T 41:13-15.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Default="009D3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Default="009D3D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Default="009D3D4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D41" w:rsidRPr="007B0B78" w:rsidRDefault="009D3D41">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C675B"/>
    <w:multiLevelType w:val="hybridMultilevel"/>
    <w:tmpl w:val="EE966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79469A"/>
    <w:multiLevelType w:val="hybridMultilevel"/>
    <w:tmpl w:val="A89E49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BA6105D"/>
    <w:multiLevelType w:val="hybridMultilevel"/>
    <w:tmpl w:val="CE9849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70D703B"/>
    <w:multiLevelType w:val="hybridMultilevel"/>
    <w:tmpl w:val="9B4C4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7124FCB"/>
    <w:multiLevelType w:val="hybridMultilevel"/>
    <w:tmpl w:val="A5BE0B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B734F37"/>
    <w:multiLevelType w:val="hybridMultilevel"/>
    <w:tmpl w:val="8474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9F5DC2"/>
    <w:multiLevelType w:val="hybridMultilevel"/>
    <w:tmpl w:val="58F8AD92"/>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nsid w:val="2EFD676E"/>
    <w:multiLevelType w:val="hybridMultilevel"/>
    <w:tmpl w:val="5838AE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59D76D9"/>
    <w:multiLevelType w:val="hybridMultilevel"/>
    <w:tmpl w:val="47DA099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37D1111C"/>
    <w:multiLevelType w:val="singleLevel"/>
    <w:tmpl w:val="35E4D42C"/>
    <w:lvl w:ilvl="0">
      <w:start w:val="17"/>
      <w:numFmt w:val="upperLetter"/>
      <w:pStyle w:val="Heading7"/>
      <w:lvlText w:val="%1."/>
      <w:lvlJc w:val="left"/>
      <w:pPr>
        <w:tabs>
          <w:tab w:val="num" w:pos="720"/>
        </w:tabs>
        <w:ind w:left="720" w:hanging="720"/>
      </w:pPr>
      <w:rPr>
        <w:rFonts w:hint="default"/>
      </w:rPr>
    </w:lvl>
  </w:abstractNum>
  <w:abstractNum w:abstractNumId="10">
    <w:nsid w:val="387C3B7E"/>
    <w:multiLevelType w:val="hybridMultilevel"/>
    <w:tmpl w:val="08A4F22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1">
    <w:nsid w:val="3CA84951"/>
    <w:multiLevelType w:val="hybridMultilevel"/>
    <w:tmpl w:val="B72A427C"/>
    <w:lvl w:ilvl="0" w:tplc="04090001">
      <w:start w:val="1"/>
      <w:numFmt w:val="bullet"/>
      <w:lvlText w:val=""/>
      <w:lvlJc w:val="left"/>
      <w:pPr>
        <w:tabs>
          <w:tab w:val="num" w:pos="1080"/>
        </w:tabs>
        <w:ind w:left="1080" w:hanging="360"/>
      </w:pPr>
      <w:rPr>
        <w:rFonts w:ascii="Symbol" w:hAnsi="Symbol" w:cs="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12">
    <w:nsid w:val="3CE842F4"/>
    <w:multiLevelType w:val="singleLevel"/>
    <w:tmpl w:val="B2F03DBA"/>
    <w:lvl w:ilvl="0">
      <w:start w:val="17"/>
      <w:numFmt w:val="upperLetter"/>
      <w:pStyle w:val="Heading4"/>
      <w:lvlText w:val="%1."/>
      <w:lvlJc w:val="left"/>
      <w:pPr>
        <w:tabs>
          <w:tab w:val="num" w:pos="720"/>
        </w:tabs>
        <w:ind w:left="720" w:hanging="720"/>
      </w:pPr>
      <w:rPr>
        <w:rFonts w:hint="default"/>
      </w:rPr>
    </w:lvl>
  </w:abstractNum>
  <w:abstractNum w:abstractNumId="13">
    <w:nsid w:val="40BD51B6"/>
    <w:multiLevelType w:val="hybridMultilevel"/>
    <w:tmpl w:val="13CCF474"/>
    <w:lvl w:ilvl="0" w:tplc="04090001">
      <w:start w:val="1"/>
      <w:numFmt w:val="bullet"/>
      <w:lvlText w:val=""/>
      <w:lvlJc w:val="left"/>
      <w:pPr>
        <w:ind w:left="6840" w:hanging="360"/>
      </w:pPr>
      <w:rPr>
        <w:rFonts w:ascii="Symbol" w:hAnsi="Symbol"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14">
    <w:nsid w:val="45592BF3"/>
    <w:multiLevelType w:val="hybridMultilevel"/>
    <w:tmpl w:val="730E6A06"/>
    <w:lvl w:ilvl="0" w:tplc="CCEAC2B0">
      <w:start w:val="1"/>
      <w:numFmt w:val="bullet"/>
      <w:lvlText w:val=""/>
      <w:lvlJc w:val="left"/>
      <w:pPr>
        <w:tabs>
          <w:tab w:val="num" w:pos="1144"/>
        </w:tabs>
        <w:ind w:left="1144" w:hanging="360"/>
      </w:pPr>
      <w:rPr>
        <w:rFonts w:ascii="Symbol" w:hAnsi="Symbol" w:cs="Symbol" w:hint="default"/>
        <w:color w:val="auto"/>
      </w:rPr>
    </w:lvl>
    <w:lvl w:ilvl="1" w:tplc="04090003" w:tentative="1">
      <w:start w:val="1"/>
      <w:numFmt w:val="bullet"/>
      <w:lvlText w:val="o"/>
      <w:lvlJc w:val="left"/>
      <w:pPr>
        <w:tabs>
          <w:tab w:val="num" w:pos="2224"/>
        </w:tabs>
        <w:ind w:left="2224" w:hanging="360"/>
      </w:pPr>
      <w:rPr>
        <w:rFonts w:ascii="Courier New" w:hAnsi="Courier New" w:cs="Courier New" w:hint="default"/>
      </w:rPr>
    </w:lvl>
    <w:lvl w:ilvl="2" w:tplc="04090005" w:tentative="1">
      <w:start w:val="1"/>
      <w:numFmt w:val="bullet"/>
      <w:lvlText w:val=""/>
      <w:lvlJc w:val="left"/>
      <w:pPr>
        <w:tabs>
          <w:tab w:val="num" w:pos="2944"/>
        </w:tabs>
        <w:ind w:left="2944" w:hanging="360"/>
      </w:pPr>
      <w:rPr>
        <w:rFonts w:ascii="Wingdings" w:hAnsi="Wingdings" w:cs="Wingdings" w:hint="default"/>
      </w:rPr>
    </w:lvl>
    <w:lvl w:ilvl="3" w:tplc="04090001" w:tentative="1">
      <w:start w:val="1"/>
      <w:numFmt w:val="bullet"/>
      <w:lvlText w:val=""/>
      <w:lvlJc w:val="left"/>
      <w:pPr>
        <w:tabs>
          <w:tab w:val="num" w:pos="3664"/>
        </w:tabs>
        <w:ind w:left="3664" w:hanging="360"/>
      </w:pPr>
      <w:rPr>
        <w:rFonts w:ascii="Symbol" w:hAnsi="Symbol" w:cs="Symbol" w:hint="default"/>
      </w:rPr>
    </w:lvl>
    <w:lvl w:ilvl="4" w:tplc="04090003" w:tentative="1">
      <w:start w:val="1"/>
      <w:numFmt w:val="bullet"/>
      <w:lvlText w:val="o"/>
      <w:lvlJc w:val="left"/>
      <w:pPr>
        <w:tabs>
          <w:tab w:val="num" w:pos="4384"/>
        </w:tabs>
        <w:ind w:left="4384" w:hanging="360"/>
      </w:pPr>
      <w:rPr>
        <w:rFonts w:ascii="Courier New" w:hAnsi="Courier New" w:cs="Courier New" w:hint="default"/>
      </w:rPr>
    </w:lvl>
    <w:lvl w:ilvl="5" w:tplc="04090005" w:tentative="1">
      <w:start w:val="1"/>
      <w:numFmt w:val="bullet"/>
      <w:lvlText w:val=""/>
      <w:lvlJc w:val="left"/>
      <w:pPr>
        <w:tabs>
          <w:tab w:val="num" w:pos="5104"/>
        </w:tabs>
        <w:ind w:left="5104" w:hanging="360"/>
      </w:pPr>
      <w:rPr>
        <w:rFonts w:ascii="Wingdings" w:hAnsi="Wingdings" w:cs="Wingdings" w:hint="default"/>
      </w:rPr>
    </w:lvl>
    <w:lvl w:ilvl="6" w:tplc="04090001" w:tentative="1">
      <w:start w:val="1"/>
      <w:numFmt w:val="bullet"/>
      <w:lvlText w:val=""/>
      <w:lvlJc w:val="left"/>
      <w:pPr>
        <w:tabs>
          <w:tab w:val="num" w:pos="5824"/>
        </w:tabs>
        <w:ind w:left="5824" w:hanging="360"/>
      </w:pPr>
      <w:rPr>
        <w:rFonts w:ascii="Symbol" w:hAnsi="Symbol" w:cs="Symbol" w:hint="default"/>
      </w:rPr>
    </w:lvl>
    <w:lvl w:ilvl="7" w:tplc="04090003" w:tentative="1">
      <w:start w:val="1"/>
      <w:numFmt w:val="bullet"/>
      <w:lvlText w:val="o"/>
      <w:lvlJc w:val="left"/>
      <w:pPr>
        <w:tabs>
          <w:tab w:val="num" w:pos="6544"/>
        </w:tabs>
        <w:ind w:left="6544" w:hanging="360"/>
      </w:pPr>
      <w:rPr>
        <w:rFonts w:ascii="Courier New" w:hAnsi="Courier New" w:cs="Courier New" w:hint="default"/>
      </w:rPr>
    </w:lvl>
    <w:lvl w:ilvl="8" w:tplc="04090005" w:tentative="1">
      <w:start w:val="1"/>
      <w:numFmt w:val="bullet"/>
      <w:lvlText w:val=""/>
      <w:lvlJc w:val="left"/>
      <w:pPr>
        <w:tabs>
          <w:tab w:val="num" w:pos="7264"/>
        </w:tabs>
        <w:ind w:left="7264" w:hanging="360"/>
      </w:pPr>
      <w:rPr>
        <w:rFonts w:ascii="Wingdings" w:hAnsi="Wingdings" w:cs="Wingdings" w:hint="default"/>
      </w:rPr>
    </w:lvl>
  </w:abstractNum>
  <w:abstractNum w:abstractNumId="15">
    <w:nsid w:val="49CF441E"/>
    <w:multiLevelType w:val="hybridMultilevel"/>
    <w:tmpl w:val="C79643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DE50C25"/>
    <w:multiLevelType w:val="hybridMultilevel"/>
    <w:tmpl w:val="4CA26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D70A46"/>
    <w:multiLevelType w:val="hybridMultilevel"/>
    <w:tmpl w:val="2AE6F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1"/>
  </w:num>
  <w:num w:numId="4">
    <w:abstractNumId w:val="6"/>
  </w:num>
  <w:num w:numId="5">
    <w:abstractNumId w:val="14"/>
  </w:num>
  <w:num w:numId="6">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6"/>
  </w:num>
  <w:num w:numId="9">
    <w:abstractNumId w:val="10"/>
  </w:num>
  <w:num w:numId="10">
    <w:abstractNumId w:val="13"/>
  </w:num>
  <w:num w:numId="11">
    <w:abstractNumId w:val="2"/>
  </w:num>
  <w:num w:numId="12">
    <w:abstractNumId w:val="4"/>
  </w:num>
  <w:num w:numId="13">
    <w:abstractNumId w:val="5"/>
  </w:num>
  <w:num w:numId="14">
    <w:abstractNumId w:val="1"/>
  </w:num>
  <w:num w:numId="15">
    <w:abstractNumId w:val="15"/>
  </w:num>
  <w:num w:numId="16">
    <w:abstractNumId w:val="7"/>
  </w:num>
  <w:num w:numId="17">
    <w:abstractNumId w:val="8"/>
  </w:num>
  <w:num w:numId="18">
    <w:abstractNumId w:val="0"/>
  </w:num>
  <w:num w:numId="19">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Lowney">
    <w15:presenceInfo w15:providerId="None" w15:userId="Adam Lowney"/>
  </w15:person>
  <w15:person w15:author="Katherine McDowell">
    <w15:presenceInfo w15:providerId="AD" w15:userId="S-1-5-21-3609767714-3250289785-3513976271-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F3F"/>
    <w:rsid w:val="00001349"/>
    <w:rsid w:val="000034B6"/>
    <w:rsid w:val="00004576"/>
    <w:rsid w:val="00004B5E"/>
    <w:rsid w:val="0000528C"/>
    <w:rsid w:val="00007949"/>
    <w:rsid w:val="00010193"/>
    <w:rsid w:val="00012367"/>
    <w:rsid w:val="000125EE"/>
    <w:rsid w:val="00012618"/>
    <w:rsid w:val="000127A4"/>
    <w:rsid w:val="000129CA"/>
    <w:rsid w:val="000141AE"/>
    <w:rsid w:val="00014810"/>
    <w:rsid w:val="00014F13"/>
    <w:rsid w:val="00020FA7"/>
    <w:rsid w:val="0002199A"/>
    <w:rsid w:val="0002234E"/>
    <w:rsid w:val="000227A8"/>
    <w:rsid w:val="0002349B"/>
    <w:rsid w:val="00023D27"/>
    <w:rsid w:val="00023D28"/>
    <w:rsid w:val="00023E4A"/>
    <w:rsid w:val="00023F42"/>
    <w:rsid w:val="00025408"/>
    <w:rsid w:val="000254DD"/>
    <w:rsid w:val="00025ABE"/>
    <w:rsid w:val="00027921"/>
    <w:rsid w:val="000315E0"/>
    <w:rsid w:val="00031BFC"/>
    <w:rsid w:val="0003279F"/>
    <w:rsid w:val="00036183"/>
    <w:rsid w:val="00036505"/>
    <w:rsid w:val="0003676C"/>
    <w:rsid w:val="00036D9E"/>
    <w:rsid w:val="000374DE"/>
    <w:rsid w:val="00040004"/>
    <w:rsid w:val="0004002D"/>
    <w:rsid w:val="00040410"/>
    <w:rsid w:val="00040C04"/>
    <w:rsid w:val="00041664"/>
    <w:rsid w:val="000419BD"/>
    <w:rsid w:val="00041BB0"/>
    <w:rsid w:val="00044594"/>
    <w:rsid w:val="00044910"/>
    <w:rsid w:val="00044E51"/>
    <w:rsid w:val="00045333"/>
    <w:rsid w:val="00046442"/>
    <w:rsid w:val="00046A87"/>
    <w:rsid w:val="00047745"/>
    <w:rsid w:val="00051AC9"/>
    <w:rsid w:val="00052AC1"/>
    <w:rsid w:val="00053320"/>
    <w:rsid w:val="00054272"/>
    <w:rsid w:val="000560CA"/>
    <w:rsid w:val="00056B63"/>
    <w:rsid w:val="000577D2"/>
    <w:rsid w:val="000602EF"/>
    <w:rsid w:val="00061E81"/>
    <w:rsid w:val="000629ED"/>
    <w:rsid w:val="000643BA"/>
    <w:rsid w:val="000652AD"/>
    <w:rsid w:val="00067AAD"/>
    <w:rsid w:val="00070188"/>
    <w:rsid w:val="00070EBD"/>
    <w:rsid w:val="000716C4"/>
    <w:rsid w:val="00071E3F"/>
    <w:rsid w:val="00072466"/>
    <w:rsid w:val="00072B5D"/>
    <w:rsid w:val="00072D08"/>
    <w:rsid w:val="00073AAD"/>
    <w:rsid w:val="000751F5"/>
    <w:rsid w:val="00077F2E"/>
    <w:rsid w:val="00080236"/>
    <w:rsid w:val="000808DE"/>
    <w:rsid w:val="00080E89"/>
    <w:rsid w:val="00081111"/>
    <w:rsid w:val="00082A6B"/>
    <w:rsid w:val="00082F4D"/>
    <w:rsid w:val="000834A0"/>
    <w:rsid w:val="00083556"/>
    <w:rsid w:val="00083707"/>
    <w:rsid w:val="000842B6"/>
    <w:rsid w:val="00086034"/>
    <w:rsid w:val="00086573"/>
    <w:rsid w:val="00086BC7"/>
    <w:rsid w:val="00087D0A"/>
    <w:rsid w:val="00087E5D"/>
    <w:rsid w:val="000904E9"/>
    <w:rsid w:val="00090C50"/>
    <w:rsid w:val="000911B0"/>
    <w:rsid w:val="00092012"/>
    <w:rsid w:val="00093420"/>
    <w:rsid w:val="0009420E"/>
    <w:rsid w:val="00094C28"/>
    <w:rsid w:val="00094CDB"/>
    <w:rsid w:val="00094F32"/>
    <w:rsid w:val="0009589A"/>
    <w:rsid w:val="000959D3"/>
    <w:rsid w:val="000963F0"/>
    <w:rsid w:val="000971B8"/>
    <w:rsid w:val="00097D86"/>
    <w:rsid w:val="00097F00"/>
    <w:rsid w:val="000A1348"/>
    <w:rsid w:val="000A1705"/>
    <w:rsid w:val="000A4347"/>
    <w:rsid w:val="000A5039"/>
    <w:rsid w:val="000A6D82"/>
    <w:rsid w:val="000A7046"/>
    <w:rsid w:val="000B1763"/>
    <w:rsid w:val="000B1E3E"/>
    <w:rsid w:val="000B3246"/>
    <w:rsid w:val="000B331D"/>
    <w:rsid w:val="000B4104"/>
    <w:rsid w:val="000B49C4"/>
    <w:rsid w:val="000B55A0"/>
    <w:rsid w:val="000B67D9"/>
    <w:rsid w:val="000B69DB"/>
    <w:rsid w:val="000B7346"/>
    <w:rsid w:val="000C0E9F"/>
    <w:rsid w:val="000C1150"/>
    <w:rsid w:val="000C171E"/>
    <w:rsid w:val="000C1C81"/>
    <w:rsid w:val="000C22C4"/>
    <w:rsid w:val="000C26DA"/>
    <w:rsid w:val="000C354A"/>
    <w:rsid w:val="000C363C"/>
    <w:rsid w:val="000C398D"/>
    <w:rsid w:val="000C4E2D"/>
    <w:rsid w:val="000C5686"/>
    <w:rsid w:val="000C5DB8"/>
    <w:rsid w:val="000C688E"/>
    <w:rsid w:val="000C737D"/>
    <w:rsid w:val="000D03EA"/>
    <w:rsid w:val="000D18F4"/>
    <w:rsid w:val="000D1A99"/>
    <w:rsid w:val="000D1E90"/>
    <w:rsid w:val="000D2154"/>
    <w:rsid w:val="000D26BE"/>
    <w:rsid w:val="000D3555"/>
    <w:rsid w:val="000D35B7"/>
    <w:rsid w:val="000D44B1"/>
    <w:rsid w:val="000D4621"/>
    <w:rsid w:val="000D55FE"/>
    <w:rsid w:val="000D5BF8"/>
    <w:rsid w:val="000D6200"/>
    <w:rsid w:val="000D7073"/>
    <w:rsid w:val="000D7B76"/>
    <w:rsid w:val="000D7CE1"/>
    <w:rsid w:val="000E0270"/>
    <w:rsid w:val="000E1306"/>
    <w:rsid w:val="000E2057"/>
    <w:rsid w:val="000E5240"/>
    <w:rsid w:val="000E5B33"/>
    <w:rsid w:val="000E5CC1"/>
    <w:rsid w:val="000E6D18"/>
    <w:rsid w:val="000E6DCD"/>
    <w:rsid w:val="000F004A"/>
    <w:rsid w:val="000F073A"/>
    <w:rsid w:val="000F1061"/>
    <w:rsid w:val="000F24FA"/>
    <w:rsid w:val="000F4909"/>
    <w:rsid w:val="000F4A42"/>
    <w:rsid w:val="000F50E5"/>
    <w:rsid w:val="000F528C"/>
    <w:rsid w:val="000F5CF7"/>
    <w:rsid w:val="000F5E2F"/>
    <w:rsid w:val="000F67C0"/>
    <w:rsid w:val="001002BA"/>
    <w:rsid w:val="00101449"/>
    <w:rsid w:val="00101546"/>
    <w:rsid w:val="00101B1F"/>
    <w:rsid w:val="001029FE"/>
    <w:rsid w:val="00103096"/>
    <w:rsid w:val="0010355D"/>
    <w:rsid w:val="0010529F"/>
    <w:rsid w:val="00106240"/>
    <w:rsid w:val="00106BE6"/>
    <w:rsid w:val="00106C1F"/>
    <w:rsid w:val="00106EC0"/>
    <w:rsid w:val="00107624"/>
    <w:rsid w:val="00110BB5"/>
    <w:rsid w:val="00112A7D"/>
    <w:rsid w:val="00113293"/>
    <w:rsid w:val="001143B9"/>
    <w:rsid w:val="00116099"/>
    <w:rsid w:val="001160B1"/>
    <w:rsid w:val="00116662"/>
    <w:rsid w:val="00116B0A"/>
    <w:rsid w:val="001214C2"/>
    <w:rsid w:val="00124C86"/>
    <w:rsid w:val="00126D16"/>
    <w:rsid w:val="00126F6B"/>
    <w:rsid w:val="001277BE"/>
    <w:rsid w:val="00127FE0"/>
    <w:rsid w:val="001306AF"/>
    <w:rsid w:val="00130CCC"/>
    <w:rsid w:val="00130D3E"/>
    <w:rsid w:val="00133838"/>
    <w:rsid w:val="001341CD"/>
    <w:rsid w:val="0013429A"/>
    <w:rsid w:val="00134AA6"/>
    <w:rsid w:val="00134B42"/>
    <w:rsid w:val="001402A9"/>
    <w:rsid w:val="00140C4B"/>
    <w:rsid w:val="001415A4"/>
    <w:rsid w:val="00141AC5"/>
    <w:rsid w:val="00141B7E"/>
    <w:rsid w:val="00141E39"/>
    <w:rsid w:val="00141F85"/>
    <w:rsid w:val="001420B1"/>
    <w:rsid w:val="00142F5F"/>
    <w:rsid w:val="00144072"/>
    <w:rsid w:val="00144E04"/>
    <w:rsid w:val="0014533E"/>
    <w:rsid w:val="00147062"/>
    <w:rsid w:val="00147255"/>
    <w:rsid w:val="00150058"/>
    <w:rsid w:val="001507AF"/>
    <w:rsid w:val="00151BF6"/>
    <w:rsid w:val="00153EB2"/>
    <w:rsid w:val="001547A3"/>
    <w:rsid w:val="00156112"/>
    <w:rsid w:val="0015657F"/>
    <w:rsid w:val="00156802"/>
    <w:rsid w:val="001604B5"/>
    <w:rsid w:val="001608FB"/>
    <w:rsid w:val="00160D86"/>
    <w:rsid w:val="0016163D"/>
    <w:rsid w:val="001647FD"/>
    <w:rsid w:val="00164A5B"/>
    <w:rsid w:val="00165FE1"/>
    <w:rsid w:val="00166020"/>
    <w:rsid w:val="00170135"/>
    <w:rsid w:val="00170BC6"/>
    <w:rsid w:val="00170CB7"/>
    <w:rsid w:val="001713C7"/>
    <w:rsid w:val="00172533"/>
    <w:rsid w:val="0017278C"/>
    <w:rsid w:val="00173FE0"/>
    <w:rsid w:val="00174504"/>
    <w:rsid w:val="00175B64"/>
    <w:rsid w:val="001770ED"/>
    <w:rsid w:val="0017716A"/>
    <w:rsid w:val="001807BE"/>
    <w:rsid w:val="00180BA8"/>
    <w:rsid w:val="00180F5C"/>
    <w:rsid w:val="00181B1A"/>
    <w:rsid w:val="00182B9F"/>
    <w:rsid w:val="00183CEE"/>
    <w:rsid w:val="00183EB0"/>
    <w:rsid w:val="00185457"/>
    <w:rsid w:val="00185987"/>
    <w:rsid w:val="0018636E"/>
    <w:rsid w:val="00187E7F"/>
    <w:rsid w:val="00190010"/>
    <w:rsid w:val="001902A0"/>
    <w:rsid w:val="0019077F"/>
    <w:rsid w:val="00190AB9"/>
    <w:rsid w:val="00191F01"/>
    <w:rsid w:val="00193023"/>
    <w:rsid w:val="0019350E"/>
    <w:rsid w:val="0019378F"/>
    <w:rsid w:val="00193E92"/>
    <w:rsid w:val="001940D7"/>
    <w:rsid w:val="00194343"/>
    <w:rsid w:val="001955A0"/>
    <w:rsid w:val="001964A4"/>
    <w:rsid w:val="001964C1"/>
    <w:rsid w:val="001973C6"/>
    <w:rsid w:val="00197BF9"/>
    <w:rsid w:val="001A2286"/>
    <w:rsid w:val="001A2701"/>
    <w:rsid w:val="001A29F6"/>
    <w:rsid w:val="001A2A5B"/>
    <w:rsid w:val="001A31A0"/>
    <w:rsid w:val="001A334F"/>
    <w:rsid w:val="001A362E"/>
    <w:rsid w:val="001A3669"/>
    <w:rsid w:val="001A5930"/>
    <w:rsid w:val="001A621E"/>
    <w:rsid w:val="001A67C8"/>
    <w:rsid w:val="001A73A5"/>
    <w:rsid w:val="001A73DE"/>
    <w:rsid w:val="001B024C"/>
    <w:rsid w:val="001B0404"/>
    <w:rsid w:val="001B12DE"/>
    <w:rsid w:val="001B3A2D"/>
    <w:rsid w:val="001B3F71"/>
    <w:rsid w:val="001B3F8A"/>
    <w:rsid w:val="001B433B"/>
    <w:rsid w:val="001B602A"/>
    <w:rsid w:val="001B66AF"/>
    <w:rsid w:val="001B6CFE"/>
    <w:rsid w:val="001B7C22"/>
    <w:rsid w:val="001C043F"/>
    <w:rsid w:val="001C1511"/>
    <w:rsid w:val="001C1751"/>
    <w:rsid w:val="001C1CFF"/>
    <w:rsid w:val="001C1DA8"/>
    <w:rsid w:val="001C1FD4"/>
    <w:rsid w:val="001C23BD"/>
    <w:rsid w:val="001C274F"/>
    <w:rsid w:val="001C3441"/>
    <w:rsid w:val="001C4A00"/>
    <w:rsid w:val="001C4C8A"/>
    <w:rsid w:val="001C4E8E"/>
    <w:rsid w:val="001C55F2"/>
    <w:rsid w:val="001C5866"/>
    <w:rsid w:val="001C6F56"/>
    <w:rsid w:val="001C75D3"/>
    <w:rsid w:val="001D0AEE"/>
    <w:rsid w:val="001D0E4B"/>
    <w:rsid w:val="001D147A"/>
    <w:rsid w:val="001D32F8"/>
    <w:rsid w:val="001D342B"/>
    <w:rsid w:val="001D3C04"/>
    <w:rsid w:val="001D4206"/>
    <w:rsid w:val="001D4B3D"/>
    <w:rsid w:val="001D4D09"/>
    <w:rsid w:val="001D52F5"/>
    <w:rsid w:val="001D56D0"/>
    <w:rsid w:val="001D580B"/>
    <w:rsid w:val="001D5BB6"/>
    <w:rsid w:val="001D7AAC"/>
    <w:rsid w:val="001E01DC"/>
    <w:rsid w:val="001E126D"/>
    <w:rsid w:val="001E2200"/>
    <w:rsid w:val="001E39F5"/>
    <w:rsid w:val="001E4463"/>
    <w:rsid w:val="001E5345"/>
    <w:rsid w:val="001E6056"/>
    <w:rsid w:val="001E794A"/>
    <w:rsid w:val="001F08CA"/>
    <w:rsid w:val="001F1459"/>
    <w:rsid w:val="001F17BB"/>
    <w:rsid w:val="001F2DE5"/>
    <w:rsid w:val="001F3622"/>
    <w:rsid w:val="001F381B"/>
    <w:rsid w:val="001F5746"/>
    <w:rsid w:val="001F5FD6"/>
    <w:rsid w:val="001F63DB"/>
    <w:rsid w:val="001F796A"/>
    <w:rsid w:val="001F7B39"/>
    <w:rsid w:val="0020006E"/>
    <w:rsid w:val="002005B6"/>
    <w:rsid w:val="00200B60"/>
    <w:rsid w:val="00201B59"/>
    <w:rsid w:val="00201C07"/>
    <w:rsid w:val="0020422A"/>
    <w:rsid w:val="00204780"/>
    <w:rsid w:val="00204982"/>
    <w:rsid w:val="00207155"/>
    <w:rsid w:val="002071F5"/>
    <w:rsid w:val="002076EE"/>
    <w:rsid w:val="002139CA"/>
    <w:rsid w:val="002169F0"/>
    <w:rsid w:val="00216C6B"/>
    <w:rsid w:val="00217C98"/>
    <w:rsid w:val="00222090"/>
    <w:rsid w:val="002234EF"/>
    <w:rsid w:val="00223C30"/>
    <w:rsid w:val="00223E1A"/>
    <w:rsid w:val="002241F5"/>
    <w:rsid w:val="002255F1"/>
    <w:rsid w:val="002266E8"/>
    <w:rsid w:val="00230C29"/>
    <w:rsid w:val="00230E04"/>
    <w:rsid w:val="00231B8A"/>
    <w:rsid w:val="002323CB"/>
    <w:rsid w:val="0023247A"/>
    <w:rsid w:val="002344E5"/>
    <w:rsid w:val="00235999"/>
    <w:rsid w:val="00235EDE"/>
    <w:rsid w:val="0023724B"/>
    <w:rsid w:val="00237417"/>
    <w:rsid w:val="00237627"/>
    <w:rsid w:val="00237E7B"/>
    <w:rsid w:val="00241B28"/>
    <w:rsid w:val="002432E7"/>
    <w:rsid w:val="00243BB3"/>
    <w:rsid w:val="00243F28"/>
    <w:rsid w:val="00244738"/>
    <w:rsid w:val="002458D5"/>
    <w:rsid w:val="00245981"/>
    <w:rsid w:val="00246C4C"/>
    <w:rsid w:val="00246CC8"/>
    <w:rsid w:val="00250047"/>
    <w:rsid w:val="00250520"/>
    <w:rsid w:val="00250D4A"/>
    <w:rsid w:val="00251103"/>
    <w:rsid w:val="002514E0"/>
    <w:rsid w:val="002523CE"/>
    <w:rsid w:val="00252658"/>
    <w:rsid w:val="00252865"/>
    <w:rsid w:val="00253A9A"/>
    <w:rsid w:val="00254414"/>
    <w:rsid w:val="00254B15"/>
    <w:rsid w:val="00255CC2"/>
    <w:rsid w:val="002604D8"/>
    <w:rsid w:val="00261ED7"/>
    <w:rsid w:val="00262121"/>
    <w:rsid w:val="002624FA"/>
    <w:rsid w:val="00262629"/>
    <w:rsid w:val="00262BCB"/>
    <w:rsid w:val="0026351C"/>
    <w:rsid w:val="00263C9D"/>
    <w:rsid w:val="00264386"/>
    <w:rsid w:val="002652B7"/>
    <w:rsid w:val="0026577C"/>
    <w:rsid w:val="00265C8D"/>
    <w:rsid w:val="00266516"/>
    <w:rsid w:val="00267435"/>
    <w:rsid w:val="00267872"/>
    <w:rsid w:val="00267A36"/>
    <w:rsid w:val="00271165"/>
    <w:rsid w:val="00271944"/>
    <w:rsid w:val="00271DC5"/>
    <w:rsid w:val="002741B1"/>
    <w:rsid w:val="00277092"/>
    <w:rsid w:val="00280A27"/>
    <w:rsid w:val="00280AD2"/>
    <w:rsid w:val="002832AE"/>
    <w:rsid w:val="0028367F"/>
    <w:rsid w:val="0028394B"/>
    <w:rsid w:val="00284D01"/>
    <w:rsid w:val="00285B71"/>
    <w:rsid w:val="00286C25"/>
    <w:rsid w:val="00287592"/>
    <w:rsid w:val="00287772"/>
    <w:rsid w:val="00287C7D"/>
    <w:rsid w:val="0029040C"/>
    <w:rsid w:val="00290DC2"/>
    <w:rsid w:val="00291998"/>
    <w:rsid w:val="002922FB"/>
    <w:rsid w:val="00292C76"/>
    <w:rsid w:val="00293043"/>
    <w:rsid w:val="00293164"/>
    <w:rsid w:val="002932C4"/>
    <w:rsid w:val="00295394"/>
    <w:rsid w:val="002955C2"/>
    <w:rsid w:val="00295AA7"/>
    <w:rsid w:val="00295E86"/>
    <w:rsid w:val="002975C2"/>
    <w:rsid w:val="00297B6A"/>
    <w:rsid w:val="00297D79"/>
    <w:rsid w:val="002A1DDE"/>
    <w:rsid w:val="002A4682"/>
    <w:rsid w:val="002A47D5"/>
    <w:rsid w:val="002A4869"/>
    <w:rsid w:val="002A4A01"/>
    <w:rsid w:val="002A4F1A"/>
    <w:rsid w:val="002A5560"/>
    <w:rsid w:val="002A5C6E"/>
    <w:rsid w:val="002A648B"/>
    <w:rsid w:val="002A6BFA"/>
    <w:rsid w:val="002B03A8"/>
    <w:rsid w:val="002B043B"/>
    <w:rsid w:val="002B0D3F"/>
    <w:rsid w:val="002B16FA"/>
    <w:rsid w:val="002B1E23"/>
    <w:rsid w:val="002B1F3E"/>
    <w:rsid w:val="002B39FC"/>
    <w:rsid w:val="002B42F5"/>
    <w:rsid w:val="002B6886"/>
    <w:rsid w:val="002B793F"/>
    <w:rsid w:val="002C13C3"/>
    <w:rsid w:val="002C1B96"/>
    <w:rsid w:val="002C3BFE"/>
    <w:rsid w:val="002C4AEE"/>
    <w:rsid w:val="002C4CAD"/>
    <w:rsid w:val="002C5023"/>
    <w:rsid w:val="002C6F7E"/>
    <w:rsid w:val="002C7283"/>
    <w:rsid w:val="002C7C1C"/>
    <w:rsid w:val="002D0425"/>
    <w:rsid w:val="002D0D43"/>
    <w:rsid w:val="002D1182"/>
    <w:rsid w:val="002D2528"/>
    <w:rsid w:val="002D2748"/>
    <w:rsid w:val="002D2BCD"/>
    <w:rsid w:val="002D4654"/>
    <w:rsid w:val="002D4907"/>
    <w:rsid w:val="002D57A7"/>
    <w:rsid w:val="002D59DF"/>
    <w:rsid w:val="002D6AC3"/>
    <w:rsid w:val="002D7D94"/>
    <w:rsid w:val="002E0EC7"/>
    <w:rsid w:val="002E1A8A"/>
    <w:rsid w:val="002E1A95"/>
    <w:rsid w:val="002E1AF4"/>
    <w:rsid w:val="002E2026"/>
    <w:rsid w:val="002E40E0"/>
    <w:rsid w:val="002E41FD"/>
    <w:rsid w:val="002E4400"/>
    <w:rsid w:val="002E4A7C"/>
    <w:rsid w:val="002E4BFF"/>
    <w:rsid w:val="002E4E79"/>
    <w:rsid w:val="002E5AAA"/>
    <w:rsid w:val="002E670E"/>
    <w:rsid w:val="002E6D6D"/>
    <w:rsid w:val="002F027F"/>
    <w:rsid w:val="002F04BC"/>
    <w:rsid w:val="002F08E1"/>
    <w:rsid w:val="002F0F36"/>
    <w:rsid w:val="002F1E3A"/>
    <w:rsid w:val="002F26A4"/>
    <w:rsid w:val="002F2B5A"/>
    <w:rsid w:val="002F3705"/>
    <w:rsid w:val="002F4F91"/>
    <w:rsid w:val="002F58D7"/>
    <w:rsid w:val="002F5E76"/>
    <w:rsid w:val="002F5E94"/>
    <w:rsid w:val="002F736A"/>
    <w:rsid w:val="002F7590"/>
    <w:rsid w:val="003001DD"/>
    <w:rsid w:val="00300C9B"/>
    <w:rsid w:val="00301D21"/>
    <w:rsid w:val="00302504"/>
    <w:rsid w:val="003033C2"/>
    <w:rsid w:val="00303911"/>
    <w:rsid w:val="003040D0"/>
    <w:rsid w:val="0030492B"/>
    <w:rsid w:val="003052A3"/>
    <w:rsid w:val="00305419"/>
    <w:rsid w:val="0030650B"/>
    <w:rsid w:val="00307057"/>
    <w:rsid w:val="00307DF3"/>
    <w:rsid w:val="00307E90"/>
    <w:rsid w:val="00310071"/>
    <w:rsid w:val="0031038C"/>
    <w:rsid w:val="0031209C"/>
    <w:rsid w:val="00312D69"/>
    <w:rsid w:val="00315F4C"/>
    <w:rsid w:val="00320A4F"/>
    <w:rsid w:val="00321382"/>
    <w:rsid w:val="00321C6F"/>
    <w:rsid w:val="003226BD"/>
    <w:rsid w:val="00323899"/>
    <w:rsid w:val="00323AA9"/>
    <w:rsid w:val="00324490"/>
    <w:rsid w:val="00324DC0"/>
    <w:rsid w:val="00325757"/>
    <w:rsid w:val="0032636E"/>
    <w:rsid w:val="0032762C"/>
    <w:rsid w:val="003276F8"/>
    <w:rsid w:val="00327E78"/>
    <w:rsid w:val="00330990"/>
    <w:rsid w:val="00330B32"/>
    <w:rsid w:val="0033145D"/>
    <w:rsid w:val="00332AF6"/>
    <w:rsid w:val="003332FF"/>
    <w:rsid w:val="00334069"/>
    <w:rsid w:val="003366E1"/>
    <w:rsid w:val="00336A04"/>
    <w:rsid w:val="00337D8B"/>
    <w:rsid w:val="00337F2E"/>
    <w:rsid w:val="00343484"/>
    <w:rsid w:val="00345270"/>
    <w:rsid w:val="003453D8"/>
    <w:rsid w:val="0035054C"/>
    <w:rsid w:val="00350799"/>
    <w:rsid w:val="00350A0D"/>
    <w:rsid w:val="00351F1A"/>
    <w:rsid w:val="00352D75"/>
    <w:rsid w:val="003534EC"/>
    <w:rsid w:val="00353816"/>
    <w:rsid w:val="00355EC9"/>
    <w:rsid w:val="003565C4"/>
    <w:rsid w:val="00356D49"/>
    <w:rsid w:val="0035778D"/>
    <w:rsid w:val="00357C4B"/>
    <w:rsid w:val="003611F6"/>
    <w:rsid w:val="00361293"/>
    <w:rsid w:val="00364E7B"/>
    <w:rsid w:val="0036518A"/>
    <w:rsid w:val="00367037"/>
    <w:rsid w:val="00367241"/>
    <w:rsid w:val="003675A8"/>
    <w:rsid w:val="0036773B"/>
    <w:rsid w:val="003677FC"/>
    <w:rsid w:val="00370AF8"/>
    <w:rsid w:val="00370F2F"/>
    <w:rsid w:val="00370FE1"/>
    <w:rsid w:val="003726B1"/>
    <w:rsid w:val="00374EC4"/>
    <w:rsid w:val="00376426"/>
    <w:rsid w:val="003777C8"/>
    <w:rsid w:val="00377FF4"/>
    <w:rsid w:val="00381140"/>
    <w:rsid w:val="00381ECE"/>
    <w:rsid w:val="003826EF"/>
    <w:rsid w:val="00382BBB"/>
    <w:rsid w:val="00382DAA"/>
    <w:rsid w:val="003841BC"/>
    <w:rsid w:val="003848BA"/>
    <w:rsid w:val="003859CE"/>
    <w:rsid w:val="00385C02"/>
    <w:rsid w:val="00385CC5"/>
    <w:rsid w:val="00385E3A"/>
    <w:rsid w:val="00385E68"/>
    <w:rsid w:val="003875B7"/>
    <w:rsid w:val="00391252"/>
    <w:rsid w:val="003928D3"/>
    <w:rsid w:val="00392D07"/>
    <w:rsid w:val="003937B6"/>
    <w:rsid w:val="00393D72"/>
    <w:rsid w:val="003959D0"/>
    <w:rsid w:val="00397664"/>
    <w:rsid w:val="003A06EF"/>
    <w:rsid w:val="003A0CB0"/>
    <w:rsid w:val="003A0EA5"/>
    <w:rsid w:val="003A213B"/>
    <w:rsid w:val="003A262C"/>
    <w:rsid w:val="003A38C3"/>
    <w:rsid w:val="003A3CAA"/>
    <w:rsid w:val="003A51A7"/>
    <w:rsid w:val="003A560B"/>
    <w:rsid w:val="003A5896"/>
    <w:rsid w:val="003B04B9"/>
    <w:rsid w:val="003B098D"/>
    <w:rsid w:val="003B18B1"/>
    <w:rsid w:val="003B1A0E"/>
    <w:rsid w:val="003B2A12"/>
    <w:rsid w:val="003B2FD0"/>
    <w:rsid w:val="003B38F1"/>
    <w:rsid w:val="003B3950"/>
    <w:rsid w:val="003B4074"/>
    <w:rsid w:val="003B5BBC"/>
    <w:rsid w:val="003C0F82"/>
    <w:rsid w:val="003C13AD"/>
    <w:rsid w:val="003C1660"/>
    <w:rsid w:val="003C18ED"/>
    <w:rsid w:val="003C1D13"/>
    <w:rsid w:val="003C2D5D"/>
    <w:rsid w:val="003C38F6"/>
    <w:rsid w:val="003C3E41"/>
    <w:rsid w:val="003C42C6"/>
    <w:rsid w:val="003C4B55"/>
    <w:rsid w:val="003C5573"/>
    <w:rsid w:val="003C6D1E"/>
    <w:rsid w:val="003C73A1"/>
    <w:rsid w:val="003C7942"/>
    <w:rsid w:val="003D1F16"/>
    <w:rsid w:val="003D3220"/>
    <w:rsid w:val="003D4EF7"/>
    <w:rsid w:val="003E2D5B"/>
    <w:rsid w:val="003E416A"/>
    <w:rsid w:val="003E429C"/>
    <w:rsid w:val="003E4CD1"/>
    <w:rsid w:val="003E5FDD"/>
    <w:rsid w:val="003E5FF9"/>
    <w:rsid w:val="003E6CAA"/>
    <w:rsid w:val="003E736C"/>
    <w:rsid w:val="003E7544"/>
    <w:rsid w:val="003F0E97"/>
    <w:rsid w:val="003F1813"/>
    <w:rsid w:val="003F3F35"/>
    <w:rsid w:val="003F5128"/>
    <w:rsid w:val="003F53A8"/>
    <w:rsid w:val="003F6B09"/>
    <w:rsid w:val="003F6FD3"/>
    <w:rsid w:val="003F7A7E"/>
    <w:rsid w:val="00400E68"/>
    <w:rsid w:val="00401374"/>
    <w:rsid w:val="00402134"/>
    <w:rsid w:val="0040288F"/>
    <w:rsid w:val="00402E66"/>
    <w:rsid w:val="004037EB"/>
    <w:rsid w:val="004039B3"/>
    <w:rsid w:val="0040519E"/>
    <w:rsid w:val="004051DB"/>
    <w:rsid w:val="004054F1"/>
    <w:rsid w:val="00405C0F"/>
    <w:rsid w:val="00406EBF"/>
    <w:rsid w:val="00410FD5"/>
    <w:rsid w:val="00411331"/>
    <w:rsid w:val="0041136E"/>
    <w:rsid w:val="004114CB"/>
    <w:rsid w:val="00411D5C"/>
    <w:rsid w:val="0041268D"/>
    <w:rsid w:val="004128AA"/>
    <w:rsid w:val="00413E6C"/>
    <w:rsid w:val="00414902"/>
    <w:rsid w:val="00415FFA"/>
    <w:rsid w:val="004163BB"/>
    <w:rsid w:val="00416543"/>
    <w:rsid w:val="00416A3F"/>
    <w:rsid w:val="004174A3"/>
    <w:rsid w:val="00420B35"/>
    <w:rsid w:val="00422A30"/>
    <w:rsid w:val="00423F33"/>
    <w:rsid w:val="004249D6"/>
    <w:rsid w:val="0042509D"/>
    <w:rsid w:val="00426326"/>
    <w:rsid w:val="004278D5"/>
    <w:rsid w:val="0043025A"/>
    <w:rsid w:val="00432B72"/>
    <w:rsid w:val="00433F46"/>
    <w:rsid w:val="00435028"/>
    <w:rsid w:val="0043584A"/>
    <w:rsid w:val="00437B4A"/>
    <w:rsid w:val="004404EC"/>
    <w:rsid w:val="004409FA"/>
    <w:rsid w:val="00440EC0"/>
    <w:rsid w:val="00441080"/>
    <w:rsid w:val="00441A1C"/>
    <w:rsid w:val="00442347"/>
    <w:rsid w:val="00442683"/>
    <w:rsid w:val="00444983"/>
    <w:rsid w:val="00445F44"/>
    <w:rsid w:val="004461EC"/>
    <w:rsid w:val="00446992"/>
    <w:rsid w:val="00450DA8"/>
    <w:rsid w:val="00450F5F"/>
    <w:rsid w:val="00452317"/>
    <w:rsid w:val="004523E8"/>
    <w:rsid w:val="00452544"/>
    <w:rsid w:val="0045254E"/>
    <w:rsid w:val="004526AF"/>
    <w:rsid w:val="00452AEC"/>
    <w:rsid w:val="0045376E"/>
    <w:rsid w:val="00453F4F"/>
    <w:rsid w:val="00454B05"/>
    <w:rsid w:val="00455043"/>
    <w:rsid w:val="00455E2B"/>
    <w:rsid w:val="00456862"/>
    <w:rsid w:val="004577A0"/>
    <w:rsid w:val="00460EA8"/>
    <w:rsid w:val="0046120D"/>
    <w:rsid w:val="004612BD"/>
    <w:rsid w:val="004614AB"/>
    <w:rsid w:val="0046303A"/>
    <w:rsid w:val="004634F3"/>
    <w:rsid w:val="00463B46"/>
    <w:rsid w:val="00465388"/>
    <w:rsid w:val="004668FB"/>
    <w:rsid w:val="00466CD7"/>
    <w:rsid w:val="00470091"/>
    <w:rsid w:val="00470E6D"/>
    <w:rsid w:val="004719AE"/>
    <w:rsid w:val="004724E8"/>
    <w:rsid w:val="00473F4D"/>
    <w:rsid w:val="004762E2"/>
    <w:rsid w:val="00480AA9"/>
    <w:rsid w:val="004811CD"/>
    <w:rsid w:val="00481D2F"/>
    <w:rsid w:val="00483022"/>
    <w:rsid w:val="00483EB7"/>
    <w:rsid w:val="00484183"/>
    <w:rsid w:val="004844D0"/>
    <w:rsid w:val="004844EB"/>
    <w:rsid w:val="00484E21"/>
    <w:rsid w:val="00485A67"/>
    <w:rsid w:val="00486DC0"/>
    <w:rsid w:val="0048730C"/>
    <w:rsid w:val="00487DF2"/>
    <w:rsid w:val="00490412"/>
    <w:rsid w:val="004909A3"/>
    <w:rsid w:val="00491486"/>
    <w:rsid w:val="00492BE0"/>
    <w:rsid w:val="00492CE6"/>
    <w:rsid w:val="004938DA"/>
    <w:rsid w:val="00494965"/>
    <w:rsid w:val="00494B20"/>
    <w:rsid w:val="00495779"/>
    <w:rsid w:val="00495E43"/>
    <w:rsid w:val="00495F8E"/>
    <w:rsid w:val="00497221"/>
    <w:rsid w:val="0049788C"/>
    <w:rsid w:val="004A1156"/>
    <w:rsid w:val="004A149B"/>
    <w:rsid w:val="004A1AA2"/>
    <w:rsid w:val="004A232F"/>
    <w:rsid w:val="004A2A49"/>
    <w:rsid w:val="004A3C6D"/>
    <w:rsid w:val="004A3DEB"/>
    <w:rsid w:val="004A49AF"/>
    <w:rsid w:val="004A4DEC"/>
    <w:rsid w:val="004A4EDB"/>
    <w:rsid w:val="004A50CD"/>
    <w:rsid w:val="004A5D7E"/>
    <w:rsid w:val="004A63B8"/>
    <w:rsid w:val="004A774D"/>
    <w:rsid w:val="004A7F32"/>
    <w:rsid w:val="004B02FA"/>
    <w:rsid w:val="004B09A8"/>
    <w:rsid w:val="004B115D"/>
    <w:rsid w:val="004B11B0"/>
    <w:rsid w:val="004B22C9"/>
    <w:rsid w:val="004B27B8"/>
    <w:rsid w:val="004B2CC8"/>
    <w:rsid w:val="004B62A2"/>
    <w:rsid w:val="004B6706"/>
    <w:rsid w:val="004C01AD"/>
    <w:rsid w:val="004C0385"/>
    <w:rsid w:val="004C06F1"/>
    <w:rsid w:val="004C2DF6"/>
    <w:rsid w:val="004C7E9E"/>
    <w:rsid w:val="004D1318"/>
    <w:rsid w:val="004D1F70"/>
    <w:rsid w:val="004D2F23"/>
    <w:rsid w:val="004D3125"/>
    <w:rsid w:val="004D3996"/>
    <w:rsid w:val="004D3C4B"/>
    <w:rsid w:val="004D471E"/>
    <w:rsid w:val="004D597A"/>
    <w:rsid w:val="004D6110"/>
    <w:rsid w:val="004D6D32"/>
    <w:rsid w:val="004D6EF6"/>
    <w:rsid w:val="004D7EE8"/>
    <w:rsid w:val="004E17B4"/>
    <w:rsid w:val="004E18CD"/>
    <w:rsid w:val="004E4DE2"/>
    <w:rsid w:val="004E6F19"/>
    <w:rsid w:val="004E76F4"/>
    <w:rsid w:val="004F0006"/>
    <w:rsid w:val="004F19AD"/>
    <w:rsid w:val="004F4EAA"/>
    <w:rsid w:val="004F70CD"/>
    <w:rsid w:val="004F77E4"/>
    <w:rsid w:val="0050204B"/>
    <w:rsid w:val="00503D9E"/>
    <w:rsid w:val="005044F6"/>
    <w:rsid w:val="005047B5"/>
    <w:rsid w:val="00504D7A"/>
    <w:rsid w:val="005059AE"/>
    <w:rsid w:val="00505D6C"/>
    <w:rsid w:val="0050629B"/>
    <w:rsid w:val="005069D6"/>
    <w:rsid w:val="00507984"/>
    <w:rsid w:val="00510B36"/>
    <w:rsid w:val="00512FFD"/>
    <w:rsid w:val="0051395C"/>
    <w:rsid w:val="005139F9"/>
    <w:rsid w:val="00514058"/>
    <w:rsid w:val="005146C9"/>
    <w:rsid w:val="00514E24"/>
    <w:rsid w:val="00515021"/>
    <w:rsid w:val="00515255"/>
    <w:rsid w:val="005157BC"/>
    <w:rsid w:val="00515D78"/>
    <w:rsid w:val="0051623F"/>
    <w:rsid w:val="00516298"/>
    <w:rsid w:val="00520330"/>
    <w:rsid w:val="00520487"/>
    <w:rsid w:val="0052359B"/>
    <w:rsid w:val="00523746"/>
    <w:rsid w:val="005237A9"/>
    <w:rsid w:val="0052469F"/>
    <w:rsid w:val="00525960"/>
    <w:rsid w:val="00525AA2"/>
    <w:rsid w:val="0053105B"/>
    <w:rsid w:val="005310E5"/>
    <w:rsid w:val="00531546"/>
    <w:rsid w:val="00532497"/>
    <w:rsid w:val="00532778"/>
    <w:rsid w:val="00532AC6"/>
    <w:rsid w:val="00533DBC"/>
    <w:rsid w:val="00533F1E"/>
    <w:rsid w:val="005344BA"/>
    <w:rsid w:val="0053468B"/>
    <w:rsid w:val="00535A0D"/>
    <w:rsid w:val="00536344"/>
    <w:rsid w:val="005364AB"/>
    <w:rsid w:val="0053680D"/>
    <w:rsid w:val="00536C93"/>
    <w:rsid w:val="005371D5"/>
    <w:rsid w:val="00537A74"/>
    <w:rsid w:val="00540A4D"/>
    <w:rsid w:val="0054258D"/>
    <w:rsid w:val="00542F4F"/>
    <w:rsid w:val="0054388A"/>
    <w:rsid w:val="00545754"/>
    <w:rsid w:val="00546A41"/>
    <w:rsid w:val="00547204"/>
    <w:rsid w:val="00547793"/>
    <w:rsid w:val="00547F76"/>
    <w:rsid w:val="0055145C"/>
    <w:rsid w:val="00551668"/>
    <w:rsid w:val="00552673"/>
    <w:rsid w:val="0055358A"/>
    <w:rsid w:val="00553C0A"/>
    <w:rsid w:val="005549C8"/>
    <w:rsid w:val="00555B9C"/>
    <w:rsid w:val="00556021"/>
    <w:rsid w:val="00556272"/>
    <w:rsid w:val="0055704B"/>
    <w:rsid w:val="005578E7"/>
    <w:rsid w:val="0056051C"/>
    <w:rsid w:val="00560ACE"/>
    <w:rsid w:val="00562FAA"/>
    <w:rsid w:val="0056391E"/>
    <w:rsid w:val="00565559"/>
    <w:rsid w:val="00565FE1"/>
    <w:rsid w:val="00566FCD"/>
    <w:rsid w:val="005677B6"/>
    <w:rsid w:val="00567BB4"/>
    <w:rsid w:val="0057017D"/>
    <w:rsid w:val="0057141B"/>
    <w:rsid w:val="0057198A"/>
    <w:rsid w:val="005722DB"/>
    <w:rsid w:val="0057495B"/>
    <w:rsid w:val="00574A74"/>
    <w:rsid w:val="005757CE"/>
    <w:rsid w:val="00575C7B"/>
    <w:rsid w:val="00576977"/>
    <w:rsid w:val="00577220"/>
    <w:rsid w:val="00580A2A"/>
    <w:rsid w:val="00582A3E"/>
    <w:rsid w:val="00582DC1"/>
    <w:rsid w:val="00583069"/>
    <w:rsid w:val="00583455"/>
    <w:rsid w:val="00583711"/>
    <w:rsid w:val="00583749"/>
    <w:rsid w:val="0058734D"/>
    <w:rsid w:val="00587594"/>
    <w:rsid w:val="005879BF"/>
    <w:rsid w:val="005907A8"/>
    <w:rsid w:val="00590AE3"/>
    <w:rsid w:val="00590D2B"/>
    <w:rsid w:val="00591C02"/>
    <w:rsid w:val="0059371E"/>
    <w:rsid w:val="00593CF7"/>
    <w:rsid w:val="00593E97"/>
    <w:rsid w:val="0059527A"/>
    <w:rsid w:val="0059528E"/>
    <w:rsid w:val="00595A4A"/>
    <w:rsid w:val="00596506"/>
    <w:rsid w:val="00596969"/>
    <w:rsid w:val="0059724E"/>
    <w:rsid w:val="005A2B95"/>
    <w:rsid w:val="005A364A"/>
    <w:rsid w:val="005A41E8"/>
    <w:rsid w:val="005A481B"/>
    <w:rsid w:val="005A536F"/>
    <w:rsid w:val="005A5372"/>
    <w:rsid w:val="005A61D5"/>
    <w:rsid w:val="005A64FF"/>
    <w:rsid w:val="005A6E28"/>
    <w:rsid w:val="005B0291"/>
    <w:rsid w:val="005B1912"/>
    <w:rsid w:val="005B3164"/>
    <w:rsid w:val="005B37BC"/>
    <w:rsid w:val="005B47E4"/>
    <w:rsid w:val="005B4BB1"/>
    <w:rsid w:val="005B6DAE"/>
    <w:rsid w:val="005B7A55"/>
    <w:rsid w:val="005B7A95"/>
    <w:rsid w:val="005C06D0"/>
    <w:rsid w:val="005C1D00"/>
    <w:rsid w:val="005C1D2B"/>
    <w:rsid w:val="005C1D47"/>
    <w:rsid w:val="005C3021"/>
    <w:rsid w:val="005C318D"/>
    <w:rsid w:val="005C3330"/>
    <w:rsid w:val="005C3D95"/>
    <w:rsid w:val="005C3EAB"/>
    <w:rsid w:val="005C4626"/>
    <w:rsid w:val="005C51D1"/>
    <w:rsid w:val="005C5721"/>
    <w:rsid w:val="005C5773"/>
    <w:rsid w:val="005C65A4"/>
    <w:rsid w:val="005C6971"/>
    <w:rsid w:val="005C6F23"/>
    <w:rsid w:val="005C7776"/>
    <w:rsid w:val="005D0337"/>
    <w:rsid w:val="005D0992"/>
    <w:rsid w:val="005D304F"/>
    <w:rsid w:val="005D5754"/>
    <w:rsid w:val="005D6A66"/>
    <w:rsid w:val="005D6A92"/>
    <w:rsid w:val="005D6BD6"/>
    <w:rsid w:val="005E0F60"/>
    <w:rsid w:val="005E1A1E"/>
    <w:rsid w:val="005E1FDF"/>
    <w:rsid w:val="005E4201"/>
    <w:rsid w:val="005E7629"/>
    <w:rsid w:val="005E76DA"/>
    <w:rsid w:val="005E79DC"/>
    <w:rsid w:val="005F0DDA"/>
    <w:rsid w:val="005F1742"/>
    <w:rsid w:val="005F1913"/>
    <w:rsid w:val="005F2779"/>
    <w:rsid w:val="005F313D"/>
    <w:rsid w:val="005F424D"/>
    <w:rsid w:val="005F4F09"/>
    <w:rsid w:val="005F582C"/>
    <w:rsid w:val="005F6F62"/>
    <w:rsid w:val="005F7E1F"/>
    <w:rsid w:val="006003D7"/>
    <w:rsid w:val="00600541"/>
    <w:rsid w:val="0060082B"/>
    <w:rsid w:val="00600DFC"/>
    <w:rsid w:val="006017AC"/>
    <w:rsid w:val="00601D6A"/>
    <w:rsid w:val="00601E06"/>
    <w:rsid w:val="00601E5C"/>
    <w:rsid w:val="00602243"/>
    <w:rsid w:val="006027B0"/>
    <w:rsid w:val="006036C9"/>
    <w:rsid w:val="00603D14"/>
    <w:rsid w:val="00604EC6"/>
    <w:rsid w:val="00605E3C"/>
    <w:rsid w:val="00605F81"/>
    <w:rsid w:val="00606DE8"/>
    <w:rsid w:val="00606EE7"/>
    <w:rsid w:val="0061060A"/>
    <w:rsid w:val="00610BF4"/>
    <w:rsid w:val="00613077"/>
    <w:rsid w:val="006135BF"/>
    <w:rsid w:val="00613810"/>
    <w:rsid w:val="0061468D"/>
    <w:rsid w:val="00614702"/>
    <w:rsid w:val="00614836"/>
    <w:rsid w:val="00614DFB"/>
    <w:rsid w:val="00616D07"/>
    <w:rsid w:val="00617256"/>
    <w:rsid w:val="00617ADF"/>
    <w:rsid w:val="006208EA"/>
    <w:rsid w:val="00620ABA"/>
    <w:rsid w:val="0062130B"/>
    <w:rsid w:val="0062346E"/>
    <w:rsid w:val="00623FF5"/>
    <w:rsid w:val="00624CD9"/>
    <w:rsid w:val="0062570D"/>
    <w:rsid w:val="0062582F"/>
    <w:rsid w:val="006264CB"/>
    <w:rsid w:val="006279A5"/>
    <w:rsid w:val="00627B90"/>
    <w:rsid w:val="00627DAF"/>
    <w:rsid w:val="00627E78"/>
    <w:rsid w:val="00631EBD"/>
    <w:rsid w:val="00633F18"/>
    <w:rsid w:val="006341F3"/>
    <w:rsid w:val="006343EF"/>
    <w:rsid w:val="00636824"/>
    <w:rsid w:val="00637912"/>
    <w:rsid w:val="00640249"/>
    <w:rsid w:val="00644024"/>
    <w:rsid w:val="00644E4D"/>
    <w:rsid w:val="006464DF"/>
    <w:rsid w:val="00646543"/>
    <w:rsid w:val="006470D8"/>
    <w:rsid w:val="0064792E"/>
    <w:rsid w:val="00647A54"/>
    <w:rsid w:val="00650FCA"/>
    <w:rsid w:val="00652232"/>
    <w:rsid w:val="006543D5"/>
    <w:rsid w:val="0065545F"/>
    <w:rsid w:val="00655580"/>
    <w:rsid w:val="00655824"/>
    <w:rsid w:val="0065590D"/>
    <w:rsid w:val="00655FBE"/>
    <w:rsid w:val="006576AB"/>
    <w:rsid w:val="006577DD"/>
    <w:rsid w:val="006604C1"/>
    <w:rsid w:val="00661E53"/>
    <w:rsid w:val="006626C5"/>
    <w:rsid w:val="00663B44"/>
    <w:rsid w:val="00663CB5"/>
    <w:rsid w:val="00663DE5"/>
    <w:rsid w:val="0066439E"/>
    <w:rsid w:val="0066482B"/>
    <w:rsid w:val="00665523"/>
    <w:rsid w:val="00665AE1"/>
    <w:rsid w:val="006725DE"/>
    <w:rsid w:val="00673D63"/>
    <w:rsid w:val="00674450"/>
    <w:rsid w:val="0067535A"/>
    <w:rsid w:val="00675568"/>
    <w:rsid w:val="00675A93"/>
    <w:rsid w:val="006804FD"/>
    <w:rsid w:val="00681C12"/>
    <w:rsid w:val="0068223F"/>
    <w:rsid w:val="00683932"/>
    <w:rsid w:val="00684649"/>
    <w:rsid w:val="00685A1B"/>
    <w:rsid w:val="00685DA2"/>
    <w:rsid w:val="00685E2A"/>
    <w:rsid w:val="006860DA"/>
    <w:rsid w:val="00686565"/>
    <w:rsid w:val="006875E6"/>
    <w:rsid w:val="006876F2"/>
    <w:rsid w:val="00690008"/>
    <w:rsid w:val="00690238"/>
    <w:rsid w:val="00690453"/>
    <w:rsid w:val="0069154A"/>
    <w:rsid w:val="00691BA6"/>
    <w:rsid w:val="00692489"/>
    <w:rsid w:val="0069527D"/>
    <w:rsid w:val="006957D0"/>
    <w:rsid w:val="006A1319"/>
    <w:rsid w:val="006A2175"/>
    <w:rsid w:val="006A2AD4"/>
    <w:rsid w:val="006A37DA"/>
    <w:rsid w:val="006A4EC5"/>
    <w:rsid w:val="006A6D3E"/>
    <w:rsid w:val="006A7A56"/>
    <w:rsid w:val="006B1224"/>
    <w:rsid w:val="006B242D"/>
    <w:rsid w:val="006B24DC"/>
    <w:rsid w:val="006B32C9"/>
    <w:rsid w:val="006B3623"/>
    <w:rsid w:val="006B3851"/>
    <w:rsid w:val="006B42BC"/>
    <w:rsid w:val="006B4556"/>
    <w:rsid w:val="006B459D"/>
    <w:rsid w:val="006B473A"/>
    <w:rsid w:val="006B4DA6"/>
    <w:rsid w:val="006B723E"/>
    <w:rsid w:val="006C1F20"/>
    <w:rsid w:val="006C2710"/>
    <w:rsid w:val="006C305A"/>
    <w:rsid w:val="006C7292"/>
    <w:rsid w:val="006C78DB"/>
    <w:rsid w:val="006D0041"/>
    <w:rsid w:val="006D0986"/>
    <w:rsid w:val="006D3842"/>
    <w:rsid w:val="006D4C2E"/>
    <w:rsid w:val="006D4E17"/>
    <w:rsid w:val="006D5136"/>
    <w:rsid w:val="006D6E73"/>
    <w:rsid w:val="006D6EB1"/>
    <w:rsid w:val="006E4BE1"/>
    <w:rsid w:val="006E5758"/>
    <w:rsid w:val="006E5BCA"/>
    <w:rsid w:val="006E6293"/>
    <w:rsid w:val="006E6C81"/>
    <w:rsid w:val="006E799A"/>
    <w:rsid w:val="006F0132"/>
    <w:rsid w:val="006F0CF1"/>
    <w:rsid w:val="006F0E86"/>
    <w:rsid w:val="006F1B01"/>
    <w:rsid w:val="006F2013"/>
    <w:rsid w:val="006F32FD"/>
    <w:rsid w:val="006F56C1"/>
    <w:rsid w:val="006F5FC9"/>
    <w:rsid w:val="006F628E"/>
    <w:rsid w:val="006F62BA"/>
    <w:rsid w:val="006F6C1B"/>
    <w:rsid w:val="006F7005"/>
    <w:rsid w:val="007003BE"/>
    <w:rsid w:val="0070219C"/>
    <w:rsid w:val="0070498E"/>
    <w:rsid w:val="00704C67"/>
    <w:rsid w:val="00705071"/>
    <w:rsid w:val="00707505"/>
    <w:rsid w:val="00707B78"/>
    <w:rsid w:val="007109BD"/>
    <w:rsid w:val="00711CBA"/>
    <w:rsid w:val="0071266D"/>
    <w:rsid w:val="00712A39"/>
    <w:rsid w:val="00712E5F"/>
    <w:rsid w:val="00713D70"/>
    <w:rsid w:val="0071418A"/>
    <w:rsid w:val="00714E58"/>
    <w:rsid w:val="00715004"/>
    <w:rsid w:val="007164B2"/>
    <w:rsid w:val="007224A7"/>
    <w:rsid w:val="007232C3"/>
    <w:rsid w:val="007247C7"/>
    <w:rsid w:val="00724B15"/>
    <w:rsid w:val="00724C30"/>
    <w:rsid w:val="00725F67"/>
    <w:rsid w:val="00726DEF"/>
    <w:rsid w:val="007300BC"/>
    <w:rsid w:val="00731CBC"/>
    <w:rsid w:val="007320EB"/>
    <w:rsid w:val="00733AB8"/>
    <w:rsid w:val="00734726"/>
    <w:rsid w:val="007354E6"/>
    <w:rsid w:val="00735585"/>
    <w:rsid w:val="007368E3"/>
    <w:rsid w:val="00737189"/>
    <w:rsid w:val="00737B84"/>
    <w:rsid w:val="00737E4F"/>
    <w:rsid w:val="0074059F"/>
    <w:rsid w:val="00741F84"/>
    <w:rsid w:val="007436DA"/>
    <w:rsid w:val="007438ED"/>
    <w:rsid w:val="00744828"/>
    <w:rsid w:val="00744960"/>
    <w:rsid w:val="0074526B"/>
    <w:rsid w:val="0074664F"/>
    <w:rsid w:val="00746ABE"/>
    <w:rsid w:val="007472AE"/>
    <w:rsid w:val="00747405"/>
    <w:rsid w:val="00750590"/>
    <w:rsid w:val="007513D7"/>
    <w:rsid w:val="00751D8F"/>
    <w:rsid w:val="0075261C"/>
    <w:rsid w:val="00753368"/>
    <w:rsid w:val="00753610"/>
    <w:rsid w:val="007554F8"/>
    <w:rsid w:val="00755A19"/>
    <w:rsid w:val="00756457"/>
    <w:rsid w:val="007571B1"/>
    <w:rsid w:val="007572DE"/>
    <w:rsid w:val="007605C5"/>
    <w:rsid w:val="00762785"/>
    <w:rsid w:val="00763AF8"/>
    <w:rsid w:val="00764BDA"/>
    <w:rsid w:val="00765A54"/>
    <w:rsid w:val="007663AA"/>
    <w:rsid w:val="007664FC"/>
    <w:rsid w:val="00766849"/>
    <w:rsid w:val="007676C8"/>
    <w:rsid w:val="007679D1"/>
    <w:rsid w:val="0077139F"/>
    <w:rsid w:val="00771C61"/>
    <w:rsid w:val="0077312A"/>
    <w:rsid w:val="00773E99"/>
    <w:rsid w:val="00775C8D"/>
    <w:rsid w:val="0077621C"/>
    <w:rsid w:val="00777360"/>
    <w:rsid w:val="007774FF"/>
    <w:rsid w:val="00777EE9"/>
    <w:rsid w:val="007808F7"/>
    <w:rsid w:val="00784867"/>
    <w:rsid w:val="00784AE2"/>
    <w:rsid w:val="007852E6"/>
    <w:rsid w:val="00786015"/>
    <w:rsid w:val="0078626D"/>
    <w:rsid w:val="00787AB9"/>
    <w:rsid w:val="00787CF7"/>
    <w:rsid w:val="00790A66"/>
    <w:rsid w:val="00790B3F"/>
    <w:rsid w:val="00790CA4"/>
    <w:rsid w:val="00790CE3"/>
    <w:rsid w:val="00792C80"/>
    <w:rsid w:val="00793AD9"/>
    <w:rsid w:val="00794E60"/>
    <w:rsid w:val="0079561D"/>
    <w:rsid w:val="00796B9F"/>
    <w:rsid w:val="007A1621"/>
    <w:rsid w:val="007A428B"/>
    <w:rsid w:val="007A552F"/>
    <w:rsid w:val="007A57DC"/>
    <w:rsid w:val="007A5CEF"/>
    <w:rsid w:val="007A5DC7"/>
    <w:rsid w:val="007A695D"/>
    <w:rsid w:val="007A74DC"/>
    <w:rsid w:val="007B0B78"/>
    <w:rsid w:val="007B24DF"/>
    <w:rsid w:val="007B375E"/>
    <w:rsid w:val="007B3F65"/>
    <w:rsid w:val="007B42E9"/>
    <w:rsid w:val="007B4C43"/>
    <w:rsid w:val="007B4C64"/>
    <w:rsid w:val="007B64BC"/>
    <w:rsid w:val="007B6C76"/>
    <w:rsid w:val="007C0BA1"/>
    <w:rsid w:val="007C0EC0"/>
    <w:rsid w:val="007C2CD4"/>
    <w:rsid w:val="007C3343"/>
    <w:rsid w:val="007C3582"/>
    <w:rsid w:val="007C3EBD"/>
    <w:rsid w:val="007C3F4F"/>
    <w:rsid w:val="007C4069"/>
    <w:rsid w:val="007C40A2"/>
    <w:rsid w:val="007C418E"/>
    <w:rsid w:val="007C474F"/>
    <w:rsid w:val="007C537C"/>
    <w:rsid w:val="007C6530"/>
    <w:rsid w:val="007C6854"/>
    <w:rsid w:val="007C7A1C"/>
    <w:rsid w:val="007D10FF"/>
    <w:rsid w:val="007D2B14"/>
    <w:rsid w:val="007D2F2E"/>
    <w:rsid w:val="007D4B77"/>
    <w:rsid w:val="007D4EDD"/>
    <w:rsid w:val="007D5068"/>
    <w:rsid w:val="007D656D"/>
    <w:rsid w:val="007D67B9"/>
    <w:rsid w:val="007D684C"/>
    <w:rsid w:val="007D6996"/>
    <w:rsid w:val="007D6B50"/>
    <w:rsid w:val="007D7951"/>
    <w:rsid w:val="007E088E"/>
    <w:rsid w:val="007E0DD0"/>
    <w:rsid w:val="007E1374"/>
    <w:rsid w:val="007E1447"/>
    <w:rsid w:val="007E1D80"/>
    <w:rsid w:val="007E1F4D"/>
    <w:rsid w:val="007E2CDF"/>
    <w:rsid w:val="007E3C23"/>
    <w:rsid w:val="007E4257"/>
    <w:rsid w:val="007E57D2"/>
    <w:rsid w:val="007E6B0F"/>
    <w:rsid w:val="007E7A8E"/>
    <w:rsid w:val="007E7AD4"/>
    <w:rsid w:val="007F0759"/>
    <w:rsid w:val="007F0B01"/>
    <w:rsid w:val="007F0D63"/>
    <w:rsid w:val="007F23BC"/>
    <w:rsid w:val="007F3982"/>
    <w:rsid w:val="007F41F2"/>
    <w:rsid w:val="007F47B5"/>
    <w:rsid w:val="007F544B"/>
    <w:rsid w:val="007F5866"/>
    <w:rsid w:val="007F5BBB"/>
    <w:rsid w:val="007F619F"/>
    <w:rsid w:val="007F6717"/>
    <w:rsid w:val="007F7AD5"/>
    <w:rsid w:val="00800B90"/>
    <w:rsid w:val="008011FE"/>
    <w:rsid w:val="00801564"/>
    <w:rsid w:val="0080158F"/>
    <w:rsid w:val="00802613"/>
    <w:rsid w:val="0080267B"/>
    <w:rsid w:val="00802ACA"/>
    <w:rsid w:val="00802DD8"/>
    <w:rsid w:val="00803232"/>
    <w:rsid w:val="00803515"/>
    <w:rsid w:val="00803BF6"/>
    <w:rsid w:val="008040E5"/>
    <w:rsid w:val="008044C0"/>
    <w:rsid w:val="00805972"/>
    <w:rsid w:val="0080613A"/>
    <w:rsid w:val="00806E86"/>
    <w:rsid w:val="008103B8"/>
    <w:rsid w:val="00810A84"/>
    <w:rsid w:val="00811183"/>
    <w:rsid w:val="00812428"/>
    <w:rsid w:val="0081281B"/>
    <w:rsid w:val="00813983"/>
    <w:rsid w:val="00814248"/>
    <w:rsid w:val="00814434"/>
    <w:rsid w:val="00816428"/>
    <w:rsid w:val="00816903"/>
    <w:rsid w:val="00817002"/>
    <w:rsid w:val="00817363"/>
    <w:rsid w:val="00820D30"/>
    <w:rsid w:val="00823360"/>
    <w:rsid w:val="0082437B"/>
    <w:rsid w:val="00825D34"/>
    <w:rsid w:val="00826731"/>
    <w:rsid w:val="00827617"/>
    <w:rsid w:val="008276B3"/>
    <w:rsid w:val="0083144A"/>
    <w:rsid w:val="00831A05"/>
    <w:rsid w:val="00832F1A"/>
    <w:rsid w:val="00832FC2"/>
    <w:rsid w:val="00835BCD"/>
    <w:rsid w:val="00835E13"/>
    <w:rsid w:val="00844446"/>
    <w:rsid w:val="008457A7"/>
    <w:rsid w:val="00845A6A"/>
    <w:rsid w:val="008461EB"/>
    <w:rsid w:val="0084623D"/>
    <w:rsid w:val="00846852"/>
    <w:rsid w:val="00846950"/>
    <w:rsid w:val="00847058"/>
    <w:rsid w:val="0085028C"/>
    <w:rsid w:val="008510F3"/>
    <w:rsid w:val="008512CE"/>
    <w:rsid w:val="00851438"/>
    <w:rsid w:val="00851C3F"/>
    <w:rsid w:val="0085226E"/>
    <w:rsid w:val="00853139"/>
    <w:rsid w:val="00855180"/>
    <w:rsid w:val="00855358"/>
    <w:rsid w:val="0085596D"/>
    <w:rsid w:val="00857039"/>
    <w:rsid w:val="00860CE2"/>
    <w:rsid w:val="008619A4"/>
    <w:rsid w:val="00861C55"/>
    <w:rsid w:val="00863612"/>
    <w:rsid w:val="00866092"/>
    <w:rsid w:val="00866380"/>
    <w:rsid w:val="0086696A"/>
    <w:rsid w:val="00866F91"/>
    <w:rsid w:val="008674A4"/>
    <w:rsid w:val="00867DA6"/>
    <w:rsid w:val="00867DE2"/>
    <w:rsid w:val="00867F8C"/>
    <w:rsid w:val="00870B3D"/>
    <w:rsid w:val="00870B5C"/>
    <w:rsid w:val="00870FC4"/>
    <w:rsid w:val="008710F7"/>
    <w:rsid w:val="008719E5"/>
    <w:rsid w:val="00871E1C"/>
    <w:rsid w:val="008721BC"/>
    <w:rsid w:val="00872DAC"/>
    <w:rsid w:val="008736D1"/>
    <w:rsid w:val="0087423E"/>
    <w:rsid w:val="0087506A"/>
    <w:rsid w:val="00875131"/>
    <w:rsid w:val="00876211"/>
    <w:rsid w:val="008762AB"/>
    <w:rsid w:val="008765C5"/>
    <w:rsid w:val="00877592"/>
    <w:rsid w:val="008806F4"/>
    <w:rsid w:val="00881721"/>
    <w:rsid w:val="008817F0"/>
    <w:rsid w:val="008817FD"/>
    <w:rsid w:val="00882FB4"/>
    <w:rsid w:val="008836F0"/>
    <w:rsid w:val="00883AED"/>
    <w:rsid w:val="00883D26"/>
    <w:rsid w:val="00884053"/>
    <w:rsid w:val="008856D5"/>
    <w:rsid w:val="00886400"/>
    <w:rsid w:val="00886A13"/>
    <w:rsid w:val="0088738E"/>
    <w:rsid w:val="0088793C"/>
    <w:rsid w:val="00890DF1"/>
    <w:rsid w:val="00891037"/>
    <w:rsid w:val="008914CE"/>
    <w:rsid w:val="008920EF"/>
    <w:rsid w:val="0089231C"/>
    <w:rsid w:val="00892D87"/>
    <w:rsid w:val="00892E35"/>
    <w:rsid w:val="00893D7C"/>
    <w:rsid w:val="00894C4B"/>
    <w:rsid w:val="008958E3"/>
    <w:rsid w:val="00896294"/>
    <w:rsid w:val="00897696"/>
    <w:rsid w:val="008A069C"/>
    <w:rsid w:val="008A4063"/>
    <w:rsid w:val="008A66A0"/>
    <w:rsid w:val="008A7EB0"/>
    <w:rsid w:val="008B0849"/>
    <w:rsid w:val="008B09A3"/>
    <w:rsid w:val="008B0DC3"/>
    <w:rsid w:val="008B227E"/>
    <w:rsid w:val="008B35B3"/>
    <w:rsid w:val="008B4463"/>
    <w:rsid w:val="008B4DA5"/>
    <w:rsid w:val="008B7E90"/>
    <w:rsid w:val="008C055E"/>
    <w:rsid w:val="008C2AFA"/>
    <w:rsid w:val="008C2C05"/>
    <w:rsid w:val="008C3010"/>
    <w:rsid w:val="008C31BF"/>
    <w:rsid w:val="008C52B2"/>
    <w:rsid w:val="008C5557"/>
    <w:rsid w:val="008C6CD7"/>
    <w:rsid w:val="008C773A"/>
    <w:rsid w:val="008C7802"/>
    <w:rsid w:val="008D091E"/>
    <w:rsid w:val="008D0BC6"/>
    <w:rsid w:val="008D14BB"/>
    <w:rsid w:val="008D1B75"/>
    <w:rsid w:val="008D21AB"/>
    <w:rsid w:val="008D2E7A"/>
    <w:rsid w:val="008D3824"/>
    <w:rsid w:val="008D3929"/>
    <w:rsid w:val="008D4C9B"/>
    <w:rsid w:val="008D4EEB"/>
    <w:rsid w:val="008D6BBC"/>
    <w:rsid w:val="008D72F5"/>
    <w:rsid w:val="008D7897"/>
    <w:rsid w:val="008E02A3"/>
    <w:rsid w:val="008E12DF"/>
    <w:rsid w:val="008E28E2"/>
    <w:rsid w:val="008E3531"/>
    <w:rsid w:val="008E62B3"/>
    <w:rsid w:val="008E632C"/>
    <w:rsid w:val="008E709F"/>
    <w:rsid w:val="008F0BFA"/>
    <w:rsid w:val="008F10EF"/>
    <w:rsid w:val="008F13D1"/>
    <w:rsid w:val="008F2320"/>
    <w:rsid w:val="008F272B"/>
    <w:rsid w:val="008F273B"/>
    <w:rsid w:val="008F312F"/>
    <w:rsid w:val="008F347B"/>
    <w:rsid w:val="008F3683"/>
    <w:rsid w:val="008F409F"/>
    <w:rsid w:val="008F4EC2"/>
    <w:rsid w:val="008F580F"/>
    <w:rsid w:val="008F5ED8"/>
    <w:rsid w:val="008F62CC"/>
    <w:rsid w:val="008F690D"/>
    <w:rsid w:val="008F6FC3"/>
    <w:rsid w:val="008F7DBB"/>
    <w:rsid w:val="0090051C"/>
    <w:rsid w:val="00903051"/>
    <w:rsid w:val="009044B3"/>
    <w:rsid w:val="00905D2F"/>
    <w:rsid w:val="00905FD8"/>
    <w:rsid w:val="009079B3"/>
    <w:rsid w:val="00907CE0"/>
    <w:rsid w:val="0091063C"/>
    <w:rsid w:val="00911F12"/>
    <w:rsid w:val="009130E0"/>
    <w:rsid w:val="00914F92"/>
    <w:rsid w:val="00915B44"/>
    <w:rsid w:val="009162C3"/>
    <w:rsid w:val="00916630"/>
    <w:rsid w:val="009177A8"/>
    <w:rsid w:val="00921D10"/>
    <w:rsid w:val="00923769"/>
    <w:rsid w:val="009239B6"/>
    <w:rsid w:val="00923D34"/>
    <w:rsid w:val="0092404D"/>
    <w:rsid w:val="00924ABA"/>
    <w:rsid w:val="00924FDF"/>
    <w:rsid w:val="00927508"/>
    <w:rsid w:val="00927585"/>
    <w:rsid w:val="009307A7"/>
    <w:rsid w:val="0093109D"/>
    <w:rsid w:val="00932242"/>
    <w:rsid w:val="009334AE"/>
    <w:rsid w:val="009351C6"/>
    <w:rsid w:val="00937155"/>
    <w:rsid w:val="00937AE0"/>
    <w:rsid w:val="00937EA0"/>
    <w:rsid w:val="0094032B"/>
    <w:rsid w:val="00941E9E"/>
    <w:rsid w:val="0094252F"/>
    <w:rsid w:val="00942CEE"/>
    <w:rsid w:val="009430E3"/>
    <w:rsid w:val="00943234"/>
    <w:rsid w:val="00943C6B"/>
    <w:rsid w:val="00944F0E"/>
    <w:rsid w:val="0094571F"/>
    <w:rsid w:val="0094579D"/>
    <w:rsid w:val="009466AD"/>
    <w:rsid w:val="00946C3D"/>
    <w:rsid w:val="0095108F"/>
    <w:rsid w:val="009513C6"/>
    <w:rsid w:val="00951B36"/>
    <w:rsid w:val="00951C37"/>
    <w:rsid w:val="00951D7A"/>
    <w:rsid w:val="00952073"/>
    <w:rsid w:val="00953C8E"/>
    <w:rsid w:val="00955370"/>
    <w:rsid w:val="009556CD"/>
    <w:rsid w:val="009558FD"/>
    <w:rsid w:val="009559E0"/>
    <w:rsid w:val="00957855"/>
    <w:rsid w:val="009579E1"/>
    <w:rsid w:val="00961591"/>
    <w:rsid w:val="00961631"/>
    <w:rsid w:val="00961A3C"/>
    <w:rsid w:val="00961A8F"/>
    <w:rsid w:val="009631F8"/>
    <w:rsid w:val="00963FC0"/>
    <w:rsid w:val="009659E7"/>
    <w:rsid w:val="00966441"/>
    <w:rsid w:val="00966F90"/>
    <w:rsid w:val="009704F6"/>
    <w:rsid w:val="0097113A"/>
    <w:rsid w:val="00971EB2"/>
    <w:rsid w:val="00971EB6"/>
    <w:rsid w:val="00972576"/>
    <w:rsid w:val="009749F8"/>
    <w:rsid w:val="00975DD0"/>
    <w:rsid w:val="00976707"/>
    <w:rsid w:val="00976B5D"/>
    <w:rsid w:val="0097705F"/>
    <w:rsid w:val="00977327"/>
    <w:rsid w:val="00977342"/>
    <w:rsid w:val="00977673"/>
    <w:rsid w:val="00980148"/>
    <w:rsid w:val="009817E1"/>
    <w:rsid w:val="00982B24"/>
    <w:rsid w:val="00983DB1"/>
    <w:rsid w:val="009860BA"/>
    <w:rsid w:val="00986D06"/>
    <w:rsid w:val="00986E48"/>
    <w:rsid w:val="00987708"/>
    <w:rsid w:val="00987DD9"/>
    <w:rsid w:val="0099051B"/>
    <w:rsid w:val="00991918"/>
    <w:rsid w:val="00992502"/>
    <w:rsid w:val="0099356E"/>
    <w:rsid w:val="0099386F"/>
    <w:rsid w:val="0099450A"/>
    <w:rsid w:val="00995183"/>
    <w:rsid w:val="009962C3"/>
    <w:rsid w:val="00996316"/>
    <w:rsid w:val="009972F4"/>
    <w:rsid w:val="0099730D"/>
    <w:rsid w:val="009978EF"/>
    <w:rsid w:val="00997BF4"/>
    <w:rsid w:val="009A1F54"/>
    <w:rsid w:val="009A1FAD"/>
    <w:rsid w:val="009A240C"/>
    <w:rsid w:val="009A2474"/>
    <w:rsid w:val="009A389A"/>
    <w:rsid w:val="009A6C47"/>
    <w:rsid w:val="009A70FF"/>
    <w:rsid w:val="009B0C5B"/>
    <w:rsid w:val="009B0C6A"/>
    <w:rsid w:val="009B1465"/>
    <w:rsid w:val="009B1BEE"/>
    <w:rsid w:val="009B2874"/>
    <w:rsid w:val="009B28B7"/>
    <w:rsid w:val="009B2BB9"/>
    <w:rsid w:val="009B34F8"/>
    <w:rsid w:val="009B3DAD"/>
    <w:rsid w:val="009B42EA"/>
    <w:rsid w:val="009B5DE0"/>
    <w:rsid w:val="009B5EE3"/>
    <w:rsid w:val="009B6FCF"/>
    <w:rsid w:val="009B7590"/>
    <w:rsid w:val="009B7DFE"/>
    <w:rsid w:val="009C02DA"/>
    <w:rsid w:val="009C18C4"/>
    <w:rsid w:val="009C23D5"/>
    <w:rsid w:val="009C24AC"/>
    <w:rsid w:val="009C24FF"/>
    <w:rsid w:val="009C2594"/>
    <w:rsid w:val="009C3FB8"/>
    <w:rsid w:val="009C46E1"/>
    <w:rsid w:val="009C484B"/>
    <w:rsid w:val="009C5341"/>
    <w:rsid w:val="009C5969"/>
    <w:rsid w:val="009C5CC2"/>
    <w:rsid w:val="009C5D7C"/>
    <w:rsid w:val="009C5F40"/>
    <w:rsid w:val="009D0133"/>
    <w:rsid w:val="009D0635"/>
    <w:rsid w:val="009D07E9"/>
    <w:rsid w:val="009D1510"/>
    <w:rsid w:val="009D27C9"/>
    <w:rsid w:val="009D3D41"/>
    <w:rsid w:val="009D456B"/>
    <w:rsid w:val="009D47F2"/>
    <w:rsid w:val="009D4924"/>
    <w:rsid w:val="009D603A"/>
    <w:rsid w:val="009D73D4"/>
    <w:rsid w:val="009D751C"/>
    <w:rsid w:val="009D7745"/>
    <w:rsid w:val="009D7FAA"/>
    <w:rsid w:val="009E11C0"/>
    <w:rsid w:val="009E1430"/>
    <w:rsid w:val="009E1C09"/>
    <w:rsid w:val="009E3107"/>
    <w:rsid w:val="009E3FC9"/>
    <w:rsid w:val="009E53E1"/>
    <w:rsid w:val="009E540C"/>
    <w:rsid w:val="009E7C47"/>
    <w:rsid w:val="009F0153"/>
    <w:rsid w:val="009F034C"/>
    <w:rsid w:val="009F0D18"/>
    <w:rsid w:val="009F1FCD"/>
    <w:rsid w:val="009F2103"/>
    <w:rsid w:val="009F29A3"/>
    <w:rsid w:val="009F2EA2"/>
    <w:rsid w:val="009F3EEA"/>
    <w:rsid w:val="009F5470"/>
    <w:rsid w:val="009F54C8"/>
    <w:rsid w:val="009F67BF"/>
    <w:rsid w:val="009F700B"/>
    <w:rsid w:val="009F78E4"/>
    <w:rsid w:val="00A0134C"/>
    <w:rsid w:val="00A024C3"/>
    <w:rsid w:val="00A02D39"/>
    <w:rsid w:val="00A02D8D"/>
    <w:rsid w:val="00A049B7"/>
    <w:rsid w:val="00A05117"/>
    <w:rsid w:val="00A064C6"/>
    <w:rsid w:val="00A072FD"/>
    <w:rsid w:val="00A110CE"/>
    <w:rsid w:val="00A1180E"/>
    <w:rsid w:val="00A13ACE"/>
    <w:rsid w:val="00A14D86"/>
    <w:rsid w:val="00A15145"/>
    <w:rsid w:val="00A15BAE"/>
    <w:rsid w:val="00A23314"/>
    <w:rsid w:val="00A23692"/>
    <w:rsid w:val="00A23A17"/>
    <w:rsid w:val="00A25916"/>
    <w:rsid w:val="00A25CAF"/>
    <w:rsid w:val="00A26143"/>
    <w:rsid w:val="00A269CD"/>
    <w:rsid w:val="00A27AB9"/>
    <w:rsid w:val="00A30773"/>
    <w:rsid w:val="00A31BC6"/>
    <w:rsid w:val="00A3207B"/>
    <w:rsid w:val="00A325A7"/>
    <w:rsid w:val="00A34590"/>
    <w:rsid w:val="00A346FC"/>
    <w:rsid w:val="00A3595C"/>
    <w:rsid w:val="00A36E07"/>
    <w:rsid w:val="00A4218F"/>
    <w:rsid w:val="00A428EB"/>
    <w:rsid w:val="00A42FE6"/>
    <w:rsid w:val="00A42FEF"/>
    <w:rsid w:val="00A4370C"/>
    <w:rsid w:val="00A43C15"/>
    <w:rsid w:val="00A4423B"/>
    <w:rsid w:val="00A44854"/>
    <w:rsid w:val="00A4528D"/>
    <w:rsid w:val="00A47AFD"/>
    <w:rsid w:val="00A526BA"/>
    <w:rsid w:val="00A52750"/>
    <w:rsid w:val="00A52CF3"/>
    <w:rsid w:val="00A5326A"/>
    <w:rsid w:val="00A53505"/>
    <w:rsid w:val="00A53AE2"/>
    <w:rsid w:val="00A549D0"/>
    <w:rsid w:val="00A549E3"/>
    <w:rsid w:val="00A57298"/>
    <w:rsid w:val="00A61727"/>
    <w:rsid w:val="00A61BAF"/>
    <w:rsid w:val="00A65636"/>
    <w:rsid w:val="00A65D30"/>
    <w:rsid w:val="00A66D2B"/>
    <w:rsid w:val="00A7034A"/>
    <w:rsid w:val="00A70899"/>
    <w:rsid w:val="00A70C18"/>
    <w:rsid w:val="00A7145B"/>
    <w:rsid w:val="00A71B03"/>
    <w:rsid w:val="00A7227E"/>
    <w:rsid w:val="00A727C4"/>
    <w:rsid w:val="00A7328E"/>
    <w:rsid w:val="00A73A26"/>
    <w:rsid w:val="00A743B7"/>
    <w:rsid w:val="00A747D0"/>
    <w:rsid w:val="00A752BF"/>
    <w:rsid w:val="00A76898"/>
    <w:rsid w:val="00A7770D"/>
    <w:rsid w:val="00A8030F"/>
    <w:rsid w:val="00A803F7"/>
    <w:rsid w:val="00A8085D"/>
    <w:rsid w:val="00A8104D"/>
    <w:rsid w:val="00A82548"/>
    <w:rsid w:val="00A826AE"/>
    <w:rsid w:val="00A83345"/>
    <w:rsid w:val="00A840AC"/>
    <w:rsid w:val="00A844FB"/>
    <w:rsid w:val="00A85CD2"/>
    <w:rsid w:val="00A8799C"/>
    <w:rsid w:val="00A90554"/>
    <w:rsid w:val="00A90F21"/>
    <w:rsid w:val="00A9233B"/>
    <w:rsid w:val="00A931B6"/>
    <w:rsid w:val="00A93970"/>
    <w:rsid w:val="00A94574"/>
    <w:rsid w:val="00A94CAB"/>
    <w:rsid w:val="00A955C7"/>
    <w:rsid w:val="00A966B3"/>
    <w:rsid w:val="00A977C4"/>
    <w:rsid w:val="00AA0D90"/>
    <w:rsid w:val="00AA1305"/>
    <w:rsid w:val="00AA1D50"/>
    <w:rsid w:val="00AA1F1F"/>
    <w:rsid w:val="00AA2833"/>
    <w:rsid w:val="00AA2C83"/>
    <w:rsid w:val="00AA2F62"/>
    <w:rsid w:val="00AA4176"/>
    <w:rsid w:val="00AA42F9"/>
    <w:rsid w:val="00AA52E0"/>
    <w:rsid w:val="00AA5D21"/>
    <w:rsid w:val="00AB0648"/>
    <w:rsid w:val="00AB15F9"/>
    <w:rsid w:val="00AB17D6"/>
    <w:rsid w:val="00AB2F3F"/>
    <w:rsid w:val="00AB3EF7"/>
    <w:rsid w:val="00AB4BF4"/>
    <w:rsid w:val="00AB55E1"/>
    <w:rsid w:val="00AB5ACA"/>
    <w:rsid w:val="00AB6389"/>
    <w:rsid w:val="00AB704F"/>
    <w:rsid w:val="00AB730B"/>
    <w:rsid w:val="00AB742A"/>
    <w:rsid w:val="00AC073E"/>
    <w:rsid w:val="00AC0E75"/>
    <w:rsid w:val="00AC2982"/>
    <w:rsid w:val="00AC325D"/>
    <w:rsid w:val="00AC49DB"/>
    <w:rsid w:val="00AC50D1"/>
    <w:rsid w:val="00AC5253"/>
    <w:rsid w:val="00AC5A41"/>
    <w:rsid w:val="00AC5E13"/>
    <w:rsid w:val="00AC712E"/>
    <w:rsid w:val="00AC7203"/>
    <w:rsid w:val="00AD17B9"/>
    <w:rsid w:val="00AD26F2"/>
    <w:rsid w:val="00AD29C2"/>
    <w:rsid w:val="00AD2B30"/>
    <w:rsid w:val="00AD2BC8"/>
    <w:rsid w:val="00AD36B3"/>
    <w:rsid w:val="00AD4391"/>
    <w:rsid w:val="00AD4C31"/>
    <w:rsid w:val="00AD5543"/>
    <w:rsid w:val="00AD7174"/>
    <w:rsid w:val="00AD778C"/>
    <w:rsid w:val="00AD7892"/>
    <w:rsid w:val="00AE0A6B"/>
    <w:rsid w:val="00AE0BA7"/>
    <w:rsid w:val="00AE1010"/>
    <w:rsid w:val="00AE1D09"/>
    <w:rsid w:val="00AE2C66"/>
    <w:rsid w:val="00AE3C27"/>
    <w:rsid w:val="00AE3E20"/>
    <w:rsid w:val="00AE433A"/>
    <w:rsid w:val="00AE4A90"/>
    <w:rsid w:val="00AE5648"/>
    <w:rsid w:val="00AE5657"/>
    <w:rsid w:val="00AE6F0E"/>
    <w:rsid w:val="00AE7122"/>
    <w:rsid w:val="00AF0CA9"/>
    <w:rsid w:val="00AF1C04"/>
    <w:rsid w:val="00AF24E1"/>
    <w:rsid w:val="00AF258F"/>
    <w:rsid w:val="00AF2650"/>
    <w:rsid w:val="00AF2EDA"/>
    <w:rsid w:val="00AF4407"/>
    <w:rsid w:val="00AF53CF"/>
    <w:rsid w:val="00AF55CD"/>
    <w:rsid w:val="00AF5C72"/>
    <w:rsid w:val="00AF7021"/>
    <w:rsid w:val="00B00E08"/>
    <w:rsid w:val="00B0128B"/>
    <w:rsid w:val="00B0363E"/>
    <w:rsid w:val="00B043E6"/>
    <w:rsid w:val="00B044B9"/>
    <w:rsid w:val="00B054DF"/>
    <w:rsid w:val="00B05E74"/>
    <w:rsid w:val="00B069D5"/>
    <w:rsid w:val="00B06C69"/>
    <w:rsid w:val="00B075A6"/>
    <w:rsid w:val="00B12FBA"/>
    <w:rsid w:val="00B140BB"/>
    <w:rsid w:val="00B14FDE"/>
    <w:rsid w:val="00B168F9"/>
    <w:rsid w:val="00B176A2"/>
    <w:rsid w:val="00B17761"/>
    <w:rsid w:val="00B17D9A"/>
    <w:rsid w:val="00B20089"/>
    <w:rsid w:val="00B21048"/>
    <w:rsid w:val="00B21AE8"/>
    <w:rsid w:val="00B229BB"/>
    <w:rsid w:val="00B22D72"/>
    <w:rsid w:val="00B230EF"/>
    <w:rsid w:val="00B26FDF"/>
    <w:rsid w:val="00B27E35"/>
    <w:rsid w:val="00B303E1"/>
    <w:rsid w:val="00B30A8F"/>
    <w:rsid w:val="00B31A8E"/>
    <w:rsid w:val="00B3420D"/>
    <w:rsid w:val="00B351E3"/>
    <w:rsid w:val="00B36874"/>
    <w:rsid w:val="00B36FEA"/>
    <w:rsid w:val="00B37815"/>
    <w:rsid w:val="00B40117"/>
    <w:rsid w:val="00B40BE6"/>
    <w:rsid w:val="00B413E1"/>
    <w:rsid w:val="00B41674"/>
    <w:rsid w:val="00B42C92"/>
    <w:rsid w:val="00B42D81"/>
    <w:rsid w:val="00B4597A"/>
    <w:rsid w:val="00B45E35"/>
    <w:rsid w:val="00B47294"/>
    <w:rsid w:val="00B50216"/>
    <w:rsid w:val="00B50618"/>
    <w:rsid w:val="00B50BD8"/>
    <w:rsid w:val="00B52970"/>
    <w:rsid w:val="00B53FC8"/>
    <w:rsid w:val="00B54591"/>
    <w:rsid w:val="00B548D4"/>
    <w:rsid w:val="00B55BF9"/>
    <w:rsid w:val="00B57131"/>
    <w:rsid w:val="00B57775"/>
    <w:rsid w:val="00B57A85"/>
    <w:rsid w:val="00B57D44"/>
    <w:rsid w:val="00B62616"/>
    <w:rsid w:val="00B62997"/>
    <w:rsid w:val="00B62C90"/>
    <w:rsid w:val="00B648AB"/>
    <w:rsid w:val="00B64DE2"/>
    <w:rsid w:val="00B64E41"/>
    <w:rsid w:val="00B65483"/>
    <w:rsid w:val="00B66B1E"/>
    <w:rsid w:val="00B6703A"/>
    <w:rsid w:val="00B67DE5"/>
    <w:rsid w:val="00B737D3"/>
    <w:rsid w:val="00B7497B"/>
    <w:rsid w:val="00B751B5"/>
    <w:rsid w:val="00B752FE"/>
    <w:rsid w:val="00B754F9"/>
    <w:rsid w:val="00B75AEF"/>
    <w:rsid w:val="00B77AFA"/>
    <w:rsid w:val="00B810D2"/>
    <w:rsid w:val="00B81651"/>
    <w:rsid w:val="00B82526"/>
    <w:rsid w:val="00B82657"/>
    <w:rsid w:val="00B8428D"/>
    <w:rsid w:val="00B8453F"/>
    <w:rsid w:val="00B85322"/>
    <w:rsid w:val="00B859B2"/>
    <w:rsid w:val="00B85DBE"/>
    <w:rsid w:val="00B86490"/>
    <w:rsid w:val="00B90A88"/>
    <w:rsid w:val="00B91281"/>
    <w:rsid w:val="00B91CD9"/>
    <w:rsid w:val="00B921F6"/>
    <w:rsid w:val="00B92935"/>
    <w:rsid w:val="00B9375A"/>
    <w:rsid w:val="00B94614"/>
    <w:rsid w:val="00B94BA9"/>
    <w:rsid w:val="00B953E2"/>
    <w:rsid w:val="00B9679D"/>
    <w:rsid w:val="00B97BAA"/>
    <w:rsid w:val="00BA1079"/>
    <w:rsid w:val="00BA3075"/>
    <w:rsid w:val="00BA354E"/>
    <w:rsid w:val="00BA423D"/>
    <w:rsid w:val="00BA5339"/>
    <w:rsid w:val="00BA5F54"/>
    <w:rsid w:val="00BB0C50"/>
    <w:rsid w:val="00BB2C09"/>
    <w:rsid w:val="00BB2F13"/>
    <w:rsid w:val="00BB37D3"/>
    <w:rsid w:val="00BB381E"/>
    <w:rsid w:val="00BB3AB6"/>
    <w:rsid w:val="00BB5786"/>
    <w:rsid w:val="00BB6236"/>
    <w:rsid w:val="00BB656B"/>
    <w:rsid w:val="00BB78F3"/>
    <w:rsid w:val="00BC07BB"/>
    <w:rsid w:val="00BC165C"/>
    <w:rsid w:val="00BC3DE3"/>
    <w:rsid w:val="00BC3FF1"/>
    <w:rsid w:val="00BC44B3"/>
    <w:rsid w:val="00BC657E"/>
    <w:rsid w:val="00BC67F3"/>
    <w:rsid w:val="00BC6DF5"/>
    <w:rsid w:val="00BC7859"/>
    <w:rsid w:val="00BC7CCC"/>
    <w:rsid w:val="00BC7D44"/>
    <w:rsid w:val="00BD007E"/>
    <w:rsid w:val="00BD019F"/>
    <w:rsid w:val="00BD0883"/>
    <w:rsid w:val="00BD0F92"/>
    <w:rsid w:val="00BD1CC3"/>
    <w:rsid w:val="00BD1F99"/>
    <w:rsid w:val="00BD2834"/>
    <w:rsid w:val="00BD2CAC"/>
    <w:rsid w:val="00BD365F"/>
    <w:rsid w:val="00BD3BF1"/>
    <w:rsid w:val="00BD3D57"/>
    <w:rsid w:val="00BD3D6E"/>
    <w:rsid w:val="00BD4B64"/>
    <w:rsid w:val="00BD6A89"/>
    <w:rsid w:val="00BD6FDE"/>
    <w:rsid w:val="00BD7EFC"/>
    <w:rsid w:val="00BE0668"/>
    <w:rsid w:val="00BE0D40"/>
    <w:rsid w:val="00BE1730"/>
    <w:rsid w:val="00BE1EE8"/>
    <w:rsid w:val="00BE3894"/>
    <w:rsid w:val="00BE421A"/>
    <w:rsid w:val="00BE4808"/>
    <w:rsid w:val="00BE5619"/>
    <w:rsid w:val="00BE5752"/>
    <w:rsid w:val="00BE5F75"/>
    <w:rsid w:val="00BE6158"/>
    <w:rsid w:val="00BE7172"/>
    <w:rsid w:val="00BF0717"/>
    <w:rsid w:val="00BF084D"/>
    <w:rsid w:val="00BF1C16"/>
    <w:rsid w:val="00BF204C"/>
    <w:rsid w:val="00BF3C5E"/>
    <w:rsid w:val="00BF3E5B"/>
    <w:rsid w:val="00BF5363"/>
    <w:rsid w:val="00BF5AC6"/>
    <w:rsid w:val="00BF643A"/>
    <w:rsid w:val="00BF73AA"/>
    <w:rsid w:val="00BF7F0B"/>
    <w:rsid w:val="00C002E2"/>
    <w:rsid w:val="00C0113A"/>
    <w:rsid w:val="00C047E2"/>
    <w:rsid w:val="00C04F2E"/>
    <w:rsid w:val="00C053B0"/>
    <w:rsid w:val="00C05BE5"/>
    <w:rsid w:val="00C06109"/>
    <w:rsid w:val="00C0676B"/>
    <w:rsid w:val="00C06DA7"/>
    <w:rsid w:val="00C07806"/>
    <w:rsid w:val="00C10278"/>
    <w:rsid w:val="00C10BF6"/>
    <w:rsid w:val="00C10C7F"/>
    <w:rsid w:val="00C119EE"/>
    <w:rsid w:val="00C11C15"/>
    <w:rsid w:val="00C121CE"/>
    <w:rsid w:val="00C12220"/>
    <w:rsid w:val="00C1227D"/>
    <w:rsid w:val="00C12333"/>
    <w:rsid w:val="00C133BE"/>
    <w:rsid w:val="00C14377"/>
    <w:rsid w:val="00C14F97"/>
    <w:rsid w:val="00C2019D"/>
    <w:rsid w:val="00C20A13"/>
    <w:rsid w:val="00C20A3B"/>
    <w:rsid w:val="00C2224E"/>
    <w:rsid w:val="00C23565"/>
    <w:rsid w:val="00C23830"/>
    <w:rsid w:val="00C2491C"/>
    <w:rsid w:val="00C2514A"/>
    <w:rsid w:val="00C25442"/>
    <w:rsid w:val="00C2618C"/>
    <w:rsid w:val="00C26213"/>
    <w:rsid w:val="00C278B2"/>
    <w:rsid w:val="00C30633"/>
    <w:rsid w:val="00C3100D"/>
    <w:rsid w:val="00C310C6"/>
    <w:rsid w:val="00C317F1"/>
    <w:rsid w:val="00C32643"/>
    <w:rsid w:val="00C32740"/>
    <w:rsid w:val="00C32989"/>
    <w:rsid w:val="00C332AD"/>
    <w:rsid w:val="00C3367F"/>
    <w:rsid w:val="00C342FB"/>
    <w:rsid w:val="00C34C47"/>
    <w:rsid w:val="00C34D83"/>
    <w:rsid w:val="00C3528D"/>
    <w:rsid w:val="00C36B25"/>
    <w:rsid w:val="00C3799E"/>
    <w:rsid w:val="00C412B1"/>
    <w:rsid w:val="00C428E7"/>
    <w:rsid w:val="00C429A4"/>
    <w:rsid w:val="00C42BE2"/>
    <w:rsid w:val="00C43849"/>
    <w:rsid w:val="00C43D71"/>
    <w:rsid w:val="00C44D87"/>
    <w:rsid w:val="00C456FD"/>
    <w:rsid w:val="00C45BD5"/>
    <w:rsid w:val="00C4609C"/>
    <w:rsid w:val="00C5001E"/>
    <w:rsid w:val="00C512AA"/>
    <w:rsid w:val="00C51680"/>
    <w:rsid w:val="00C548CD"/>
    <w:rsid w:val="00C54A14"/>
    <w:rsid w:val="00C54E9F"/>
    <w:rsid w:val="00C55E76"/>
    <w:rsid w:val="00C562F7"/>
    <w:rsid w:val="00C56984"/>
    <w:rsid w:val="00C5725A"/>
    <w:rsid w:val="00C60BA9"/>
    <w:rsid w:val="00C6190A"/>
    <w:rsid w:val="00C62F26"/>
    <w:rsid w:val="00C62FBA"/>
    <w:rsid w:val="00C63456"/>
    <w:rsid w:val="00C648F5"/>
    <w:rsid w:val="00C65B4C"/>
    <w:rsid w:val="00C65BBE"/>
    <w:rsid w:val="00C66ED2"/>
    <w:rsid w:val="00C673B3"/>
    <w:rsid w:val="00C71648"/>
    <w:rsid w:val="00C7165C"/>
    <w:rsid w:val="00C7220F"/>
    <w:rsid w:val="00C72A3C"/>
    <w:rsid w:val="00C7317A"/>
    <w:rsid w:val="00C7341A"/>
    <w:rsid w:val="00C737E1"/>
    <w:rsid w:val="00C74CC9"/>
    <w:rsid w:val="00C769E7"/>
    <w:rsid w:val="00C774C4"/>
    <w:rsid w:val="00C77B59"/>
    <w:rsid w:val="00C77E31"/>
    <w:rsid w:val="00C80AD6"/>
    <w:rsid w:val="00C80B79"/>
    <w:rsid w:val="00C80B81"/>
    <w:rsid w:val="00C81A15"/>
    <w:rsid w:val="00C81A58"/>
    <w:rsid w:val="00C82747"/>
    <w:rsid w:val="00C82DF4"/>
    <w:rsid w:val="00C840A4"/>
    <w:rsid w:val="00C84904"/>
    <w:rsid w:val="00C86E63"/>
    <w:rsid w:val="00C87B23"/>
    <w:rsid w:val="00C87CFE"/>
    <w:rsid w:val="00C90F23"/>
    <w:rsid w:val="00C91153"/>
    <w:rsid w:val="00C915B3"/>
    <w:rsid w:val="00C91688"/>
    <w:rsid w:val="00C91C0A"/>
    <w:rsid w:val="00C922F9"/>
    <w:rsid w:val="00C93022"/>
    <w:rsid w:val="00C9348A"/>
    <w:rsid w:val="00C94260"/>
    <w:rsid w:val="00C9520A"/>
    <w:rsid w:val="00C95A40"/>
    <w:rsid w:val="00C95C59"/>
    <w:rsid w:val="00C96075"/>
    <w:rsid w:val="00C96CFA"/>
    <w:rsid w:val="00C96D80"/>
    <w:rsid w:val="00C9792B"/>
    <w:rsid w:val="00C97BA7"/>
    <w:rsid w:val="00C97CE8"/>
    <w:rsid w:val="00CA1D1A"/>
    <w:rsid w:val="00CA2938"/>
    <w:rsid w:val="00CA2AFA"/>
    <w:rsid w:val="00CA2DC7"/>
    <w:rsid w:val="00CA310E"/>
    <w:rsid w:val="00CA575D"/>
    <w:rsid w:val="00CA7AD5"/>
    <w:rsid w:val="00CB0327"/>
    <w:rsid w:val="00CB032C"/>
    <w:rsid w:val="00CB056B"/>
    <w:rsid w:val="00CB064F"/>
    <w:rsid w:val="00CB233B"/>
    <w:rsid w:val="00CB29E4"/>
    <w:rsid w:val="00CB2AC1"/>
    <w:rsid w:val="00CB4B36"/>
    <w:rsid w:val="00CB5133"/>
    <w:rsid w:val="00CB5FB6"/>
    <w:rsid w:val="00CB646E"/>
    <w:rsid w:val="00CB7456"/>
    <w:rsid w:val="00CC00A6"/>
    <w:rsid w:val="00CC05ED"/>
    <w:rsid w:val="00CC095C"/>
    <w:rsid w:val="00CC0B61"/>
    <w:rsid w:val="00CC0FC2"/>
    <w:rsid w:val="00CC0FCB"/>
    <w:rsid w:val="00CC1D4F"/>
    <w:rsid w:val="00CC1D83"/>
    <w:rsid w:val="00CC2224"/>
    <w:rsid w:val="00CC2591"/>
    <w:rsid w:val="00CC2941"/>
    <w:rsid w:val="00CC333C"/>
    <w:rsid w:val="00CC35F2"/>
    <w:rsid w:val="00CC55B4"/>
    <w:rsid w:val="00CC62A7"/>
    <w:rsid w:val="00CC6C16"/>
    <w:rsid w:val="00CC7D4F"/>
    <w:rsid w:val="00CD060A"/>
    <w:rsid w:val="00CD0EFA"/>
    <w:rsid w:val="00CD1135"/>
    <w:rsid w:val="00CD1BF8"/>
    <w:rsid w:val="00CD277C"/>
    <w:rsid w:val="00CD27AB"/>
    <w:rsid w:val="00CD3572"/>
    <w:rsid w:val="00CD4682"/>
    <w:rsid w:val="00CD4E9F"/>
    <w:rsid w:val="00CD620D"/>
    <w:rsid w:val="00CD7C18"/>
    <w:rsid w:val="00CE0D3C"/>
    <w:rsid w:val="00CE127D"/>
    <w:rsid w:val="00CE44A7"/>
    <w:rsid w:val="00CE456E"/>
    <w:rsid w:val="00CE5499"/>
    <w:rsid w:val="00CE5D58"/>
    <w:rsid w:val="00CE635B"/>
    <w:rsid w:val="00CE6781"/>
    <w:rsid w:val="00CE729B"/>
    <w:rsid w:val="00CF029F"/>
    <w:rsid w:val="00CF05DA"/>
    <w:rsid w:val="00CF0AC6"/>
    <w:rsid w:val="00CF0B42"/>
    <w:rsid w:val="00CF11C9"/>
    <w:rsid w:val="00CF16B6"/>
    <w:rsid w:val="00CF1F59"/>
    <w:rsid w:val="00CF242D"/>
    <w:rsid w:val="00CF3351"/>
    <w:rsid w:val="00CF4860"/>
    <w:rsid w:val="00CF7954"/>
    <w:rsid w:val="00D02F2C"/>
    <w:rsid w:val="00D03BDB"/>
    <w:rsid w:val="00D04C53"/>
    <w:rsid w:val="00D0603A"/>
    <w:rsid w:val="00D06782"/>
    <w:rsid w:val="00D102F0"/>
    <w:rsid w:val="00D106D9"/>
    <w:rsid w:val="00D10DBC"/>
    <w:rsid w:val="00D111B2"/>
    <w:rsid w:val="00D1136E"/>
    <w:rsid w:val="00D11615"/>
    <w:rsid w:val="00D131BA"/>
    <w:rsid w:val="00D132CF"/>
    <w:rsid w:val="00D139EA"/>
    <w:rsid w:val="00D16C1C"/>
    <w:rsid w:val="00D20AF3"/>
    <w:rsid w:val="00D214A1"/>
    <w:rsid w:val="00D2293B"/>
    <w:rsid w:val="00D23F74"/>
    <w:rsid w:val="00D24585"/>
    <w:rsid w:val="00D24A12"/>
    <w:rsid w:val="00D24BDD"/>
    <w:rsid w:val="00D24E46"/>
    <w:rsid w:val="00D25A61"/>
    <w:rsid w:val="00D25E34"/>
    <w:rsid w:val="00D26B51"/>
    <w:rsid w:val="00D27DBB"/>
    <w:rsid w:val="00D300C6"/>
    <w:rsid w:val="00D3042B"/>
    <w:rsid w:val="00D305F8"/>
    <w:rsid w:val="00D31607"/>
    <w:rsid w:val="00D31EE9"/>
    <w:rsid w:val="00D32E3C"/>
    <w:rsid w:val="00D33B9B"/>
    <w:rsid w:val="00D3495A"/>
    <w:rsid w:val="00D3500C"/>
    <w:rsid w:val="00D3546D"/>
    <w:rsid w:val="00D35E5A"/>
    <w:rsid w:val="00D37967"/>
    <w:rsid w:val="00D37A62"/>
    <w:rsid w:val="00D37D27"/>
    <w:rsid w:val="00D37FC2"/>
    <w:rsid w:val="00D403EE"/>
    <w:rsid w:val="00D41BB4"/>
    <w:rsid w:val="00D423D4"/>
    <w:rsid w:val="00D42DE6"/>
    <w:rsid w:val="00D4384F"/>
    <w:rsid w:val="00D43960"/>
    <w:rsid w:val="00D46656"/>
    <w:rsid w:val="00D46A80"/>
    <w:rsid w:val="00D474C0"/>
    <w:rsid w:val="00D524E6"/>
    <w:rsid w:val="00D52F50"/>
    <w:rsid w:val="00D53D13"/>
    <w:rsid w:val="00D55CD3"/>
    <w:rsid w:val="00D56F20"/>
    <w:rsid w:val="00D573AA"/>
    <w:rsid w:val="00D63941"/>
    <w:rsid w:val="00D64F29"/>
    <w:rsid w:val="00D65069"/>
    <w:rsid w:val="00D66168"/>
    <w:rsid w:val="00D66BCE"/>
    <w:rsid w:val="00D67E07"/>
    <w:rsid w:val="00D705C5"/>
    <w:rsid w:val="00D71795"/>
    <w:rsid w:val="00D73017"/>
    <w:rsid w:val="00D73203"/>
    <w:rsid w:val="00D73519"/>
    <w:rsid w:val="00D7493C"/>
    <w:rsid w:val="00D757FA"/>
    <w:rsid w:val="00D761AA"/>
    <w:rsid w:val="00D77472"/>
    <w:rsid w:val="00D77897"/>
    <w:rsid w:val="00D77CE4"/>
    <w:rsid w:val="00D80A85"/>
    <w:rsid w:val="00D80B05"/>
    <w:rsid w:val="00D814EC"/>
    <w:rsid w:val="00D81713"/>
    <w:rsid w:val="00D82937"/>
    <w:rsid w:val="00D84468"/>
    <w:rsid w:val="00D84887"/>
    <w:rsid w:val="00D85C35"/>
    <w:rsid w:val="00D86A69"/>
    <w:rsid w:val="00D86BE2"/>
    <w:rsid w:val="00D8703D"/>
    <w:rsid w:val="00D877B9"/>
    <w:rsid w:val="00D926E2"/>
    <w:rsid w:val="00D93A60"/>
    <w:rsid w:val="00D93BA8"/>
    <w:rsid w:val="00D93D24"/>
    <w:rsid w:val="00D95287"/>
    <w:rsid w:val="00D95502"/>
    <w:rsid w:val="00D95B3E"/>
    <w:rsid w:val="00D95F3D"/>
    <w:rsid w:val="00D960BA"/>
    <w:rsid w:val="00D96B24"/>
    <w:rsid w:val="00DA0387"/>
    <w:rsid w:val="00DA1701"/>
    <w:rsid w:val="00DA4368"/>
    <w:rsid w:val="00DA4C93"/>
    <w:rsid w:val="00DA5A81"/>
    <w:rsid w:val="00DB0BE9"/>
    <w:rsid w:val="00DB0BF3"/>
    <w:rsid w:val="00DB1A86"/>
    <w:rsid w:val="00DB1EB6"/>
    <w:rsid w:val="00DB1FCE"/>
    <w:rsid w:val="00DB2A78"/>
    <w:rsid w:val="00DB362D"/>
    <w:rsid w:val="00DB3EF2"/>
    <w:rsid w:val="00DB42AB"/>
    <w:rsid w:val="00DB4357"/>
    <w:rsid w:val="00DB4CFA"/>
    <w:rsid w:val="00DB5BFF"/>
    <w:rsid w:val="00DB61B3"/>
    <w:rsid w:val="00DB711A"/>
    <w:rsid w:val="00DC0ACE"/>
    <w:rsid w:val="00DC1E92"/>
    <w:rsid w:val="00DC205E"/>
    <w:rsid w:val="00DC27FD"/>
    <w:rsid w:val="00DC4186"/>
    <w:rsid w:val="00DC4379"/>
    <w:rsid w:val="00DC5FD8"/>
    <w:rsid w:val="00DC62A4"/>
    <w:rsid w:val="00DC66A8"/>
    <w:rsid w:val="00DC686F"/>
    <w:rsid w:val="00DC7EF9"/>
    <w:rsid w:val="00DD03AA"/>
    <w:rsid w:val="00DD03D8"/>
    <w:rsid w:val="00DD10DC"/>
    <w:rsid w:val="00DD26F4"/>
    <w:rsid w:val="00DD3016"/>
    <w:rsid w:val="00DD76F3"/>
    <w:rsid w:val="00DD7BEF"/>
    <w:rsid w:val="00DE1B06"/>
    <w:rsid w:val="00DE1FBA"/>
    <w:rsid w:val="00DE33EC"/>
    <w:rsid w:val="00DE459C"/>
    <w:rsid w:val="00DE580E"/>
    <w:rsid w:val="00DE5CE7"/>
    <w:rsid w:val="00DE65C8"/>
    <w:rsid w:val="00DE717D"/>
    <w:rsid w:val="00DF1068"/>
    <w:rsid w:val="00DF117B"/>
    <w:rsid w:val="00DF1741"/>
    <w:rsid w:val="00DF18FB"/>
    <w:rsid w:val="00DF1DF4"/>
    <w:rsid w:val="00DF26FF"/>
    <w:rsid w:val="00DF3913"/>
    <w:rsid w:val="00DF4F0E"/>
    <w:rsid w:val="00DF69D5"/>
    <w:rsid w:val="00E00F6E"/>
    <w:rsid w:val="00E01DCC"/>
    <w:rsid w:val="00E039E9"/>
    <w:rsid w:val="00E042CA"/>
    <w:rsid w:val="00E04366"/>
    <w:rsid w:val="00E04CBC"/>
    <w:rsid w:val="00E04D08"/>
    <w:rsid w:val="00E0646A"/>
    <w:rsid w:val="00E06744"/>
    <w:rsid w:val="00E06845"/>
    <w:rsid w:val="00E07186"/>
    <w:rsid w:val="00E11951"/>
    <w:rsid w:val="00E124AF"/>
    <w:rsid w:val="00E13387"/>
    <w:rsid w:val="00E135EA"/>
    <w:rsid w:val="00E14435"/>
    <w:rsid w:val="00E1735C"/>
    <w:rsid w:val="00E20503"/>
    <w:rsid w:val="00E20CE1"/>
    <w:rsid w:val="00E20F23"/>
    <w:rsid w:val="00E21A43"/>
    <w:rsid w:val="00E21E17"/>
    <w:rsid w:val="00E22190"/>
    <w:rsid w:val="00E235A9"/>
    <w:rsid w:val="00E23C40"/>
    <w:rsid w:val="00E24A05"/>
    <w:rsid w:val="00E24CAD"/>
    <w:rsid w:val="00E24E0A"/>
    <w:rsid w:val="00E26F36"/>
    <w:rsid w:val="00E30757"/>
    <w:rsid w:val="00E3093D"/>
    <w:rsid w:val="00E30EB7"/>
    <w:rsid w:val="00E30F92"/>
    <w:rsid w:val="00E334BA"/>
    <w:rsid w:val="00E33F5F"/>
    <w:rsid w:val="00E34C77"/>
    <w:rsid w:val="00E3566D"/>
    <w:rsid w:val="00E36152"/>
    <w:rsid w:val="00E36EEA"/>
    <w:rsid w:val="00E37B59"/>
    <w:rsid w:val="00E37C95"/>
    <w:rsid w:val="00E40C45"/>
    <w:rsid w:val="00E40F98"/>
    <w:rsid w:val="00E4346D"/>
    <w:rsid w:val="00E4363A"/>
    <w:rsid w:val="00E453F1"/>
    <w:rsid w:val="00E45C95"/>
    <w:rsid w:val="00E46309"/>
    <w:rsid w:val="00E465A8"/>
    <w:rsid w:val="00E476CE"/>
    <w:rsid w:val="00E502F7"/>
    <w:rsid w:val="00E50553"/>
    <w:rsid w:val="00E50D81"/>
    <w:rsid w:val="00E5119F"/>
    <w:rsid w:val="00E51A35"/>
    <w:rsid w:val="00E52AF4"/>
    <w:rsid w:val="00E5492A"/>
    <w:rsid w:val="00E5513D"/>
    <w:rsid w:val="00E552FC"/>
    <w:rsid w:val="00E554B6"/>
    <w:rsid w:val="00E5594F"/>
    <w:rsid w:val="00E57118"/>
    <w:rsid w:val="00E579B2"/>
    <w:rsid w:val="00E60A51"/>
    <w:rsid w:val="00E60ACE"/>
    <w:rsid w:val="00E63A36"/>
    <w:rsid w:val="00E6657D"/>
    <w:rsid w:val="00E66DB4"/>
    <w:rsid w:val="00E671DA"/>
    <w:rsid w:val="00E705ED"/>
    <w:rsid w:val="00E70695"/>
    <w:rsid w:val="00E71544"/>
    <w:rsid w:val="00E71798"/>
    <w:rsid w:val="00E7194B"/>
    <w:rsid w:val="00E72892"/>
    <w:rsid w:val="00E73A26"/>
    <w:rsid w:val="00E751E6"/>
    <w:rsid w:val="00E76FEB"/>
    <w:rsid w:val="00E77256"/>
    <w:rsid w:val="00E77FED"/>
    <w:rsid w:val="00E80124"/>
    <w:rsid w:val="00E814D9"/>
    <w:rsid w:val="00E81D9E"/>
    <w:rsid w:val="00E8332D"/>
    <w:rsid w:val="00E8505C"/>
    <w:rsid w:val="00E85548"/>
    <w:rsid w:val="00E85FB8"/>
    <w:rsid w:val="00E86E43"/>
    <w:rsid w:val="00E90401"/>
    <w:rsid w:val="00E91001"/>
    <w:rsid w:val="00E916FF"/>
    <w:rsid w:val="00E92CC6"/>
    <w:rsid w:val="00E940A1"/>
    <w:rsid w:val="00E94A65"/>
    <w:rsid w:val="00E95735"/>
    <w:rsid w:val="00E96084"/>
    <w:rsid w:val="00E96A48"/>
    <w:rsid w:val="00E973E6"/>
    <w:rsid w:val="00EA0392"/>
    <w:rsid w:val="00EA070B"/>
    <w:rsid w:val="00EA0E5A"/>
    <w:rsid w:val="00EA402B"/>
    <w:rsid w:val="00EA45C1"/>
    <w:rsid w:val="00EA45FC"/>
    <w:rsid w:val="00EA481B"/>
    <w:rsid w:val="00EA6110"/>
    <w:rsid w:val="00EA7310"/>
    <w:rsid w:val="00EB19BA"/>
    <w:rsid w:val="00EB23E2"/>
    <w:rsid w:val="00EB25EC"/>
    <w:rsid w:val="00EB38AF"/>
    <w:rsid w:val="00EB52B7"/>
    <w:rsid w:val="00EB76B3"/>
    <w:rsid w:val="00EC0153"/>
    <w:rsid w:val="00EC08CB"/>
    <w:rsid w:val="00EC0DFC"/>
    <w:rsid w:val="00EC1672"/>
    <w:rsid w:val="00EC18A3"/>
    <w:rsid w:val="00EC202B"/>
    <w:rsid w:val="00EC2243"/>
    <w:rsid w:val="00EC2B54"/>
    <w:rsid w:val="00EC336E"/>
    <w:rsid w:val="00EC3590"/>
    <w:rsid w:val="00EC3F48"/>
    <w:rsid w:val="00EC510F"/>
    <w:rsid w:val="00EC627A"/>
    <w:rsid w:val="00ED0B44"/>
    <w:rsid w:val="00ED0BEC"/>
    <w:rsid w:val="00ED0F36"/>
    <w:rsid w:val="00ED14BD"/>
    <w:rsid w:val="00ED2A1D"/>
    <w:rsid w:val="00ED2CA4"/>
    <w:rsid w:val="00ED374E"/>
    <w:rsid w:val="00ED4933"/>
    <w:rsid w:val="00ED4E88"/>
    <w:rsid w:val="00ED4EB0"/>
    <w:rsid w:val="00ED534D"/>
    <w:rsid w:val="00ED5BAA"/>
    <w:rsid w:val="00ED6180"/>
    <w:rsid w:val="00ED6624"/>
    <w:rsid w:val="00ED733C"/>
    <w:rsid w:val="00ED747C"/>
    <w:rsid w:val="00ED7A39"/>
    <w:rsid w:val="00ED7DB4"/>
    <w:rsid w:val="00EE04AF"/>
    <w:rsid w:val="00EE1C4B"/>
    <w:rsid w:val="00EE1E15"/>
    <w:rsid w:val="00EE235A"/>
    <w:rsid w:val="00EE2C23"/>
    <w:rsid w:val="00EE2CB5"/>
    <w:rsid w:val="00EE67ED"/>
    <w:rsid w:val="00EF05EF"/>
    <w:rsid w:val="00EF0687"/>
    <w:rsid w:val="00EF1793"/>
    <w:rsid w:val="00EF17D3"/>
    <w:rsid w:val="00EF1B2F"/>
    <w:rsid w:val="00EF1D1D"/>
    <w:rsid w:val="00EF2633"/>
    <w:rsid w:val="00EF36A7"/>
    <w:rsid w:val="00EF3B87"/>
    <w:rsid w:val="00EF3EA7"/>
    <w:rsid w:val="00EF4280"/>
    <w:rsid w:val="00EF580E"/>
    <w:rsid w:val="00EF7D1D"/>
    <w:rsid w:val="00F02C11"/>
    <w:rsid w:val="00F02FF4"/>
    <w:rsid w:val="00F0527A"/>
    <w:rsid w:val="00F054AE"/>
    <w:rsid w:val="00F05501"/>
    <w:rsid w:val="00F05545"/>
    <w:rsid w:val="00F05DCC"/>
    <w:rsid w:val="00F06493"/>
    <w:rsid w:val="00F06BE8"/>
    <w:rsid w:val="00F06F82"/>
    <w:rsid w:val="00F07518"/>
    <w:rsid w:val="00F10EB5"/>
    <w:rsid w:val="00F111DD"/>
    <w:rsid w:val="00F11FA6"/>
    <w:rsid w:val="00F123D9"/>
    <w:rsid w:val="00F128AD"/>
    <w:rsid w:val="00F15D7C"/>
    <w:rsid w:val="00F17A86"/>
    <w:rsid w:val="00F17DAE"/>
    <w:rsid w:val="00F20410"/>
    <w:rsid w:val="00F215D3"/>
    <w:rsid w:val="00F21796"/>
    <w:rsid w:val="00F21E5A"/>
    <w:rsid w:val="00F24165"/>
    <w:rsid w:val="00F244D5"/>
    <w:rsid w:val="00F261CB"/>
    <w:rsid w:val="00F266EF"/>
    <w:rsid w:val="00F303D5"/>
    <w:rsid w:val="00F30CD9"/>
    <w:rsid w:val="00F32347"/>
    <w:rsid w:val="00F33D35"/>
    <w:rsid w:val="00F34C48"/>
    <w:rsid w:val="00F350E9"/>
    <w:rsid w:val="00F35932"/>
    <w:rsid w:val="00F37D05"/>
    <w:rsid w:val="00F4014B"/>
    <w:rsid w:val="00F43B62"/>
    <w:rsid w:val="00F45506"/>
    <w:rsid w:val="00F457E4"/>
    <w:rsid w:val="00F4616E"/>
    <w:rsid w:val="00F46CE7"/>
    <w:rsid w:val="00F46DE4"/>
    <w:rsid w:val="00F4796D"/>
    <w:rsid w:val="00F50284"/>
    <w:rsid w:val="00F5047A"/>
    <w:rsid w:val="00F52526"/>
    <w:rsid w:val="00F54671"/>
    <w:rsid w:val="00F550B6"/>
    <w:rsid w:val="00F55C79"/>
    <w:rsid w:val="00F579DC"/>
    <w:rsid w:val="00F601C5"/>
    <w:rsid w:val="00F60632"/>
    <w:rsid w:val="00F60871"/>
    <w:rsid w:val="00F61348"/>
    <w:rsid w:val="00F62308"/>
    <w:rsid w:val="00F628B5"/>
    <w:rsid w:val="00F63012"/>
    <w:rsid w:val="00F63DB6"/>
    <w:rsid w:val="00F64850"/>
    <w:rsid w:val="00F649E4"/>
    <w:rsid w:val="00F6612B"/>
    <w:rsid w:val="00F67802"/>
    <w:rsid w:val="00F67E6A"/>
    <w:rsid w:val="00F70A0C"/>
    <w:rsid w:val="00F70EF7"/>
    <w:rsid w:val="00F71CF0"/>
    <w:rsid w:val="00F7280D"/>
    <w:rsid w:val="00F73497"/>
    <w:rsid w:val="00F75F71"/>
    <w:rsid w:val="00F7697A"/>
    <w:rsid w:val="00F76F0B"/>
    <w:rsid w:val="00F77331"/>
    <w:rsid w:val="00F774E7"/>
    <w:rsid w:val="00F77606"/>
    <w:rsid w:val="00F80BD3"/>
    <w:rsid w:val="00F81E1C"/>
    <w:rsid w:val="00F8238E"/>
    <w:rsid w:val="00F82962"/>
    <w:rsid w:val="00F830E2"/>
    <w:rsid w:val="00F84705"/>
    <w:rsid w:val="00F84979"/>
    <w:rsid w:val="00F85AE8"/>
    <w:rsid w:val="00F860C0"/>
    <w:rsid w:val="00F867EE"/>
    <w:rsid w:val="00F87224"/>
    <w:rsid w:val="00F87836"/>
    <w:rsid w:val="00F905C9"/>
    <w:rsid w:val="00F90EC9"/>
    <w:rsid w:val="00F918A2"/>
    <w:rsid w:val="00F91BD3"/>
    <w:rsid w:val="00F95D5A"/>
    <w:rsid w:val="00F966A0"/>
    <w:rsid w:val="00F97A05"/>
    <w:rsid w:val="00FA3439"/>
    <w:rsid w:val="00FA5AF5"/>
    <w:rsid w:val="00FA6D22"/>
    <w:rsid w:val="00FB0CAD"/>
    <w:rsid w:val="00FB228B"/>
    <w:rsid w:val="00FB24B6"/>
    <w:rsid w:val="00FB2A29"/>
    <w:rsid w:val="00FB5197"/>
    <w:rsid w:val="00FB61F2"/>
    <w:rsid w:val="00FB66ED"/>
    <w:rsid w:val="00FB77A9"/>
    <w:rsid w:val="00FC0019"/>
    <w:rsid w:val="00FC0C08"/>
    <w:rsid w:val="00FC16A1"/>
    <w:rsid w:val="00FC2C0A"/>
    <w:rsid w:val="00FC375E"/>
    <w:rsid w:val="00FC4A03"/>
    <w:rsid w:val="00FC5461"/>
    <w:rsid w:val="00FC5BED"/>
    <w:rsid w:val="00FC7E35"/>
    <w:rsid w:val="00FD1173"/>
    <w:rsid w:val="00FD1B8A"/>
    <w:rsid w:val="00FD2AA2"/>
    <w:rsid w:val="00FD3B40"/>
    <w:rsid w:val="00FD413E"/>
    <w:rsid w:val="00FD4A3A"/>
    <w:rsid w:val="00FD502D"/>
    <w:rsid w:val="00FD59F8"/>
    <w:rsid w:val="00FD5A76"/>
    <w:rsid w:val="00FD652B"/>
    <w:rsid w:val="00FD693D"/>
    <w:rsid w:val="00FD71F7"/>
    <w:rsid w:val="00FE0927"/>
    <w:rsid w:val="00FE0A52"/>
    <w:rsid w:val="00FE0AE6"/>
    <w:rsid w:val="00FE194D"/>
    <w:rsid w:val="00FE1B64"/>
    <w:rsid w:val="00FE2412"/>
    <w:rsid w:val="00FE2698"/>
    <w:rsid w:val="00FE33F8"/>
    <w:rsid w:val="00FE3AE9"/>
    <w:rsid w:val="00FE42E1"/>
    <w:rsid w:val="00FE58B1"/>
    <w:rsid w:val="00FE603F"/>
    <w:rsid w:val="00FF0A55"/>
    <w:rsid w:val="00FF114F"/>
    <w:rsid w:val="00FF120B"/>
    <w:rsid w:val="00FF2351"/>
    <w:rsid w:val="00FF30F7"/>
    <w:rsid w:val="00FF47D5"/>
    <w:rsid w:val="00FF64A3"/>
    <w:rsid w:val="00FF6572"/>
    <w:rsid w:val="00FF7589"/>
    <w:rsid w:val="00FF7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6A"/>
    <w:rPr>
      <w:rFonts w:ascii="Arial" w:hAnsi="Arial" w:cs="Arial"/>
      <w:sz w:val="24"/>
      <w:szCs w:val="24"/>
    </w:rPr>
  </w:style>
  <w:style w:type="paragraph" w:styleId="Heading1">
    <w:name w:val="heading 1"/>
    <w:basedOn w:val="Normal"/>
    <w:next w:val="Normal"/>
    <w:link w:val="Heading1Char"/>
    <w:uiPriority w:val="99"/>
    <w:qFormat/>
    <w:rsid w:val="00E5513D"/>
    <w:pPr>
      <w:keepNext/>
      <w:spacing w:line="480" w:lineRule="auto"/>
      <w:jc w:val="center"/>
      <w:outlineLvl w:val="0"/>
    </w:pPr>
    <w:rPr>
      <w:rFonts w:ascii="Times New Roman Bold" w:hAnsi="Times New Roman Bold"/>
      <w:b/>
      <w:bCs/>
      <w:caps/>
      <w:kern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513D"/>
    <w:rPr>
      <w:rFonts w:ascii="Times New Roman Bold" w:hAnsi="Times New Roman Bold" w:cs="Arial"/>
      <w:b/>
      <w:bCs/>
      <w:caps/>
      <w:kern w:val="32"/>
      <w:sz w:val="24"/>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semiHidden/>
    <w:rsid w:val="002B043B"/>
  </w:style>
  <w:style w:type="character" w:customStyle="1" w:styleId="CommentTextChar">
    <w:name w:val="Comment Text Char"/>
    <w:basedOn w:val="DefaultParagraphFont"/>
    <w:link w:val="CommentText"/>
    <w:uiPriority w:val="99"/>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uiPriority w:val="99"/>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uiPriority w:val="99"/>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
    <w:basedOn w:val="Normal"/>
    <w:link w:val="FootnoteTextChar"/>
    <w:autoRedefine/>
    <w:uiPriority w:val="99"/>
    <w:qFormat/>
    <w:rsid w:val="00845A6A"/>
    <w:rPr>
      <w:rFonts w:ascii="Times New Roman" w:hAnsi="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semiHidden/>
    <w:rsid w:val="00845A6A"/>
    <w:rPr>
      <w:rFonts w:cs="Arial"/>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paragraph" w:styleId="Revision">
    <w:name w:val="Revision"/>
    <w:hidden/>
    <w:uiPriority w:val="99"/>
    <w:semiHidden/>
    <w:rsid w:val="00713D70"/>
    <w:rPr>
      <w:rFonts w:ascii="Arial" w:hAnsi="Arial" w:cs="Arial"/>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uiPriority w:val="99"/>
    <w:rsid w:val="009B5DE0"/>
    <w:rPr>
      <w:sz w:val="20"/>
      <w:szCs w:val="20"/>
    </w:rPr>
  </w:style>
  <w:style w:type="paragraph" w:styleId="TOCHeading">
    <w:name w:val="TOC Heading"/>
    <w:basedOn w:val="Heading1"/>
    <w:next w:val="Normal"/>
    <w:uiPriority w:val="39"/>
    <w:semiHidden/>
    <w:unhideWhenUsed/>
    <w:qFormat/>
    <w:rsid w:val="007B0B78"/>
    <w:pPr>
      <w:keepLine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7B0B78"/>
    <w:pPr>
      <w:spacing w:after="100"/>
    </w:pPr>
  </w:style>
  <w:style w:type="character" w:styleId="Hyperlink">
    <w:name w:val="Hyperlink"/>
    <w:basedOn w:val="DefaultParagraphFont"/>
    <w:uiPriority w:val="99"/>
    <w:unhideWhenUsed/>
    <w:rsid w:val="007B0B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6A"/>
    <w:rPr>
      <w:rFonts w:ascii="Arial" w:hAnsi="Arial" w:cs="Arial"/>
      <w:sz w:val="24"/>
      <w:szCs w:val="24"/>
    </w:rPr>
  </w:style>
  <w:style w:type="paragraph" w:styleId="Heading1">
    <w:name w:val="heading 1"/>
    <w:basedOn w:val="Normal"/>
    <w:next w:val="Normal"/>
    <w:link w:val="Heading1Char"/>
    <w:uiPriority w:val="99"/>
    <w:qFormat/>
    <w:rsid w:val="00E5513D"/>
    <w:pPr>
      <w:keepNext/>
      <w:spacing w:line="480" w:lineRule="auto"/>
      <w:jc w:val="center"/>
      <w:outlineLvl w:val="0"/>
    </w:pPr>
    <w:rPr>
      <w:rFonts w:ascii="Times New Roman Bold" w:hAnsi="Times New Roman Bold"/>
      <w:b/>
      <w:bCs/>
      <w:caps/>
      <w:kern w:val="32"/>
      <w:szCs w:val="32"/>
    </w:rPr>
  </w:style>
  <w:style w:type="paragraph" w:styleId="Heading2">
    <w:name w:val="heading 2"/>
    <w:basedOn w:val="Normal"/>
    <w:next w:val="Normal"/>
    <w:link w:val="Heading2Char"/>
    <w:uiPriority w:val="99"/>
    <w:qFormat/>
    <w:rsid w:val="00FE2698"/>
    <w:pPr>
      <w:keepNext/>
      <w:spacing w:before="240" w:after="60"/>
      <w:outlineLvl w:val="1"/>
    </w:pPr>
    <w:rPr>
      <w:b/>
      <w:bCs/>
      <w:i/>
      <w:iCs/>
      <w:sz w:val="28"/>
      <w:szCs w:val="28"/>
    </w:rPr>
  </w:style>
  <w:style w:type="paragraph" w:styleId="Heading3">
    <w:name w:val="heading 3"/>
    <w:basedOn w:val="Normal"/>
    <w:next w:val="Normal"/>
    <w:link w:val="Heading3Char"/>
    <w:uiPriority w:val="99"/>
    <w:qFormat/>
    <w:rsid w:val="002B043B"/>
    <w:pPr>
      <w:keepNext/>
      <w:spacing w:line="480" w:lineRule="auto"/>
      <w:ind w:left="720" w:hanging="720"/>
      <w:jc w:val="both"/>
      <w:outlineLvl w:val="2"/>
    </w:pPr>
    <w:rPr>
      <w:rFonts w:cs="Times New Roman"/>
      <w:b/>
      <w:bCs/>
      <w:u w:val="single"/>
    </w:rPr>
  </w:style>
  <w:style w:type="paragraph" w:styleId="Heading4">
    <w:name w:val="heading 4"/>
    <w:basedOn w:val="Normal"/>
    <w:next w:val="Normal"/>
    <w:link w:val="Heading4Char"/>
    <w:uiPriority w:val="99"/>
    <w:qFormat/>
    <w:rsid w:val="002B043B"/>
    <w:pPr>
      <w:keepNext/>
      <w:numPr>
        <w:numId w:val="1"/>
      </w:numPr>
      <w:spacing w:line="480" w:lineRule="auto"/>
      <w:jc w:val="both"/>
      <w:outlineLvl w:val="3"/>
    </w:pPr>
    <w:rPr>
      <w:b/>
      <w:bCs/>
    </w:rPr>
  </w:style>
  <w:style w:type="paragraph" w:styleId="Heading5">
    <w:name w:val="heading 5"/>
    <w:basedOn w:val="Normal"/>
    <w:next w:val="Normal"/>
    <w:link w:val="Heading5Char"/>
    <w:uiPriority w:val="99"/>
    <w:qFormat/>
    <w:rsid w:val="002B043B"/>
    <w:pPr>
      <w:keepNext/>
      <w:spacing w:line="480" w:lineRule="auto"/>
      <w:jc w:val="both"/>
      <w:outlineLvl w:val="4"/>
    </w:pPr>
    <w:rPr>
      <w:rFonts w:cs="Times New Roman"/>
      <w:b/>
      <w:bCs/>
    </w:rPr>
  </w:style>
  <w:style w:type="paragraph" w:styleId="Heading6">
    <w:name w:val="heading 6"/>
    <w:basedOn w:val="Normal"/>
    <w:next w:val="Normal"/>
    <w:link w:val="Heading6Char"/>
    <w:uiPriority w:val="99"/>
    <w:qFormat/>
    <w:rsid w:val="002B043B"/>
    <w:pPr>
      <w:keepNext/>
      <w:spacing w:line="480" w:lineRule="auto"/>
      <w:outlineLvl w:val="5"/>
    </w:pPr>
    <w:rPr>
      <w:rFonts w:cs="Times New Roman"/>
      <w:b/>
      <w:bCs/>
    </w:rPr>
  </w:style>
  <w:style w:type="paragraph" w:styleId="Heading7">
    <w:name w:val="heading 7"/>
    <w:basedOn w:val="Normal"/>
    <w:next w:val="Normal"/>
    <w:link w:val="Heading7Char"/>
    <w:uiPriority w:val="99"/>
    <w:qFormat/>
    <w:rsid w:val="002B043B"/>
    <w:pPr>
      <w:keepNext/>
      <w:numPr>
        <w:numId w:val="2"/>
      </w:numPr>
      <w:spacing w:line="480" w:lineRule="auto"/>
      <w:outlineLvl w:val="6"/>
    </w:pPr>
    <w:rPr>
      <w:rFonts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5513D"/>
    <w:rPr>
      <w:rFonts w:ascii="Times New Roman Bold" w:hAnsi="Times New Roman Bold" w:cs="Arial"/>
      <w:b/>
      <w:bCs/>
      <w:caps/>
      <w:kern w:val="32"/>
      <w:sz w:val="24"/>
      <w:szCs w:val="32"/>
    </w:rPr>
  </w:style>
  <w:style w:type="character" w:customStyle="1" w:styleId="Heading2Char">
    <w:name w:val="Heading 2 Char"/>
    <w:basedOn w:val="DefaultParagraphFont"/>
    <w:link w:val="Heading2"/>
    <w:uiPriority w:val="9"/>
    <w:semiHidden/>
    <w:rsid w:val="00D56A48"/>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56A48"/>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56A4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56A48"/>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56A48"/>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56A48"/>
    <w:rPr>
      <w:rFonts w:ascii="Calibri" w:eastAsia="Times New Roman" w:hAnsi="Calibri" w:cs="Times New Roman"/>
      <w:sz w:val="24"/>
      <w:szCs w:val="24"/>
    </w:rPr>
  </w:style>
  <w:style w:type="paragraph" w:styleId="CommentText">
    <w:name w:val="annotation text"/>
    <w:basedOn w:val="Normal"/>
    <w:link w:val="CommentTextChar"/>
    <w:semiHidden/>
    <w:rsid w:val="002B043B"/>
  </w:style>
  <w:style w:type="character" w:customStyle="1" w:styleId="CommentTextChar">
    <w:name w:val="Comment Text Char"/>
    <w:basedOn w:val="DefaultParagraphFont"/>
    <w:link w:val="CommentText"/>
    <w:uiPriority w:val="99"/>
    <w:semiHidden/>
    <w:rsid w:val="00D56A48"/>
    <w:rPr>
      <w:rFonts w:ascii="Arial" w:hAnsi="Arial" w:cs="Arial"/>
      <w:sz w:val="20"/>
      <w:szCs w:val="20"/>
    </w:rPr>
  </w:style>
  <w:style w:type="paragraph" w:styleId="Header">
    <w:name w:val="header"/>
    <w:basedOn w:val="Normal"/>
    <w:link w:val="HeaderChar"/>
    <w:uiPriority w:val="99"/>
    <w:rsid w:val="002B043B"/>
    <w:pPr>
      <w:tabs>
        <w:tab w:val="center" w:pos="4320"/>
        <w:tab w:val="right" w:pos="8640"/>
      </w:tabs>
    </w:pPr>
  </w:style>
  <w:style w:type="character" w:customStyle="1" w:styleId="HeaderChar">
    <w:name w:val="Header Char"/>
    <w:basedOn w:val="DefaultParagraphFont"/>
    <w:link w:val="Header"/>
    <w:uiPriority w:val="99"/>
    <w:rsid w:val="00D56A48"/>
    <w:rPr>
      <w:rFonts w:ascii="Arial" w:hAnsi="Arial" w:cs="Arial"/>
      <w:sz w:val="24"/>
      <w:szCs w:val="24"/>
    </w:rPr>
  </w:style>
  <w:style w:type="paragraph" w:styleId="Footer">
    <w:name w:val="footer"/>
    <w:basedOn w:val="Normal"/>
    <w:link w:val="FooterChar"/>
    <w:uiPriority w:val="99"/>
    <w:rsid w:val="002B043B"/>
    <w:pPr>
      <w:tabs>
        <w:tab w:val="center" w:pos="4320"/>
        <w:tab w:val="right" w:pos="8640"/>
      </w:tabs>
    </w:pPr>
  </w:style>
  <w:style w:type="character" w:customStyle="1" w:styleId="FooterChar">
    <w:name w:val="Footer Char"/>
    <w:basedOn w:val="DefaultParagraphFont"/>
    <w:link w:val="Footer"/>
    <w:uiPriority w:val="99"/>
    <w:rsid w:val="00D56A48"/>
    <w:rPr>
      <w:rFonts w:ascii="Arial" w:hAnsi="Arial" w:cs="Arial"/>
      <w:sz w:val="24"/>
      <w:szCs w:val="24"/>
    </w:rPr>
  </w:style>
  <w:style w:type="character" w:styleId="PageNumber">
    <w:name w:val="page number"/>
    <w:basedOn w:val="DefaultParagraphFont"/>
    <w:uiPriority w:val="99"/>
    <w:rsid w:val="002B043B"/>
  </w:style>
  <w:style w:type="paragraph" w:styleId="BodyText">
    <w:name w:val="Body Text"/>
    <w:basedOn w:val="Normal"/>
    <w:link w:val="BodyTextChar"/>
    <w:uiPriority w:val="99"/>
    <w:rsid w:val="002B043B"/>
    <w:pPr>
      <w:jc w:val="both"/>
    </w:pPr>
    <w:rPr>
      <w:rFonts w:cs="Times New Roman"/>
    </w:rPr>
  </w:style>
  <w:style w:type="character" w:customStyle="1" w:styleId="BodyTextChar">
    <w:name w:val="Body Text Char"/>
    <w:basedOn w:val="DefaultParagraphFont"/>
    <w:link w:val="BodyText"/>
    <w:uiPriority w:val="99"/>
    <w:semiHidden/>
    <w:rsid w:val="00D56A48"/>
    <w:rPr>
      <w:rFonts w:ascii="Arial" w:hAnsi="Arial" w:cs="Arial"/>
      <w:sz w:val="24"/>
      <w:szCs w:val="24"/>
    </w:rPr>
  </w:style>
  <w:style w:type="paragraph" w:styleId="BodyText2">
    <w:name w:val="Body Text 2"/>
    <w:basedOn w:val="Normal"/>
    <w:link w:val="BodyText2Char"/>
    <w:uiPriority w:val="99"/>
    <w:rsid w:val="00080E89"/>
    <w:pPr>
      <w:spacing w:after="120" w:line="480" w:lineRule="auto"/>
    </w:pPr>
    <w:rPr>
      <w:rFonts w:ascii="CG Times" w:hAnsi="CG Times" w:cs="CG Times"/>
    </w:rPr>
  </w:style>
  <w:style w:type="character" w:customStyle="1" w:styleId="BodyText2Char">
    <w:name w:val="Body Text 2 Char"/>
    <w:basedOn w:val="DefaultParagraphFont"/>
    <w:link w:val="BodyText2"/>
    <w:uiPriority w:val="99"/>
    <w:semiHidden/>
    <w:rsid w:val="00D56A48"/>
    <w:rPr>
      <w:rFonts w:ascii="Arial" w:hAnsi="Arial" w:cs="Arial"/>
      <w:sz w:val="24"/>
      <w:szCs w:val="24"/>
    </w:rPr>
  </w:style>
  <w:style w:type="paragraph" w:styleId="BodyTextIndent3">
    <w:name w:val="Body Text Indent 3"/>
    <w:basedOn w:val="Normal"/>
    <w:link w:val="BodyTextIndent3Char"/>
    <w:uiPriority w:val="99"/>
    <w:rsid w:val="002B043B"/>
    <w:pPr>
      <w:ind w:left="720" w:hanging="720"/>
    </w:pPr>
    <w:rPr>
      <w:rFonts w:cs="Times New Roman"/>
      <w:b/>
      <w:bCs/>
    </w:rPr>
  </w:style>
  <w:style w:type="character" w:customStyle="1" w:styleId="BodyTextIndent3Char">
    <w:name w:val="Body Text Indent 3 Char"/>
    <w:basedOn w:val="DefaultParagraphFont"/>
    <w:link w:val="BodyTextIndent3"/>
    <w:uiPriority w:val="99"/>
    <w:semiHidden/>
    <w:rsid w:val="00D56A48"/>
    <w:rPr>
      <w:rFonts w:ascii="Arial" w:hAnsi="Arial" w:cs="Arial"/>
      <w:sz w:val="16"/>
      <w:szCs w:val="16"/>
    </w:rPr>
  </w:style>
  <w:style w:type="character" w:styleId="LineNumber">
    <w:name w:val="line number"/>
    <w:basedOn w:val="DefaultParagraphFont"/>
    <w:uiPriority w:val="99"/>
    <w:rsid w:val="002F3705"/>
    <w:rPr>
      <w:rFonts w:ascii="Times New Roman" w:hAnsi="Times New Roman" w:cs="Times New Roman"/>
    </w:rPr>
  </w:style>
  <w:style w:type="paragraph" w:styleId="BalloonText">
    <w:name w:val="Balloon Text"/>
    <w:basedOn w:val="Normal"/>
    <w:link w:val="BalloonTextChar"/>
    <w:uiPriority w:val="99"/>
    <w:semiHidden/>
    <w:rsid w:val="004B6706"/>
    <w:rPr>
      <w:rFonts w:ascii="Tahoma" w:hAnsi="Tahoma" w:cs="Tahoma"/>
      <w:sz w:val="16"/>
      <w:szCs w:val="16"/>
    </w:rPr>
  </w:style>
  <w:style w:type="character" w:customStyle="1" w:styleId="BalloonTextChar">
    <w:name w:val="Balloon Text Char"/>
    <w:basedOn w:val="DefaultParagraphFont"/>
    <w:link w:val="BalloonText"/>
    <w:uiPriority w:val="99"/>
    <w:semiHidden/>
    <w:rsid w:val="00D56A48"/>
    <w:rPr>
      <w:sz w:val="0"/>
      <w:szCs w:val="0"/>
    </w:rPr>
  </w:style>
  <w:style w:type="character" w:styleId="CommentReference">
    <w:name w:val="annotation reference"/>
    <w:basedOn w:val="DefaultParagraphFont"/>
    <w:semiHidden/>
    <w:rsid w:val="004D2F23"/>
    <w:rPr>
      <w:rFonts w:cs="Times New Roman"/>
      <w:sz w:val="16"/>
      <w:szCs w:val="16"/>
    </w:rPr>
  </w:style>
  <w:style w:type="paragraph" w:styleId="CommentSubject">
    <w:name w:val="annotation subject"/>
    <w:basedOn w:val="CommentText"/>
    <w:next w:val="CommentText"/>
    <w:link w:val="CommentSubjectChar"/>
    <w:uiPriority w:val="99"/>
    <w:semiHidden/>
    <w:rsid w:val="004D2F23"/>
    <w:rPr>
      <w:b/>
      <w:bCs/>
      <w:sz w:val="20"/>
      <w:szCs w:val="20"/>
    </w:rPr>
  </w:style>
  <w:style w:type="character" w:customStyle="1" w:styleId="CommentSubjectChar">
    <w:name w:val="Comment Subject Char"/>
    <w:basedOn w:val="CommentTextChar"/>
    <w:link w:val="CommentSubject"/>
    <w:uiPriority w:val="99"/>
    <w:semiHidden/>
    <w:rsid w:val="00D56A48"/>
    <w:rPr>
      <w:rFonts w:ascii="Arial" w:hAnsi="Arial" w:cs="Arial"/>
      <w:b/>
      <w:bCs/>
      <w:sz w:val="20"/>
      <w:szCs w:val="20"/>
    </w:rPr>
  </w:style>
  <w:style w:type="paragraph" w:styleId="BodyTextIndent2">
    <w:name w:val="Body Text Indent 2"/>
    <w:basedOn w:val="Normal"/>
    <w:link w:val="BodyTextIndent2Char"/>
    <w:uiPriority w:val="99"/>
    <w:rsid w:val="007300BC"/>
    <w:pPr>
      <w:spacing w:after="120" w:line="480" w:lineRule="auto"/>
      <w:ind w:left="360"/>
    </w:pPr>
  </w:style>
  <w:style w:type="character" w:customStyle="1" w:styleId="BodyTextIndent2Char">
    <w:name w:val="Body Text Indent 2 Char"/>
    <w:basedOn w:val="DefaultParagraphFont"/>
    <w:link w:val="BodyTextIndent2"/>
    <w:uiPriority w:val="99"/>
    <w:semiHidden/>
    <w:rsid w:val="00D56A48"/>
    <w:rPr>
      <w:rFonts w:ascii="Arial" w:hAnsi="Arial" w:cs="Arial"/>
      <w:sz w:val="24"/>
      <w:szCs w:val="24"/>
    </w:rPr>
  </w:style>
  <w:style w:type="paragraph" w:customStyle="1" w:styleId="p23">
    <w:name w:val="p23"/>
    <w:basedOn w:val="Normal"/>
    <w:next w:val="Normal"/>
    <w:uiPriority w:val="99"/>
    <w:rsid w:val="00FE603F"/>
    <w:pPr>
      <w:widowControl w:val="0"/>
      <w:spacing w:line="560" w:lineRule="atLeast"/>
      <w:ind w:left="720" w:hanging="720"/>
    </w:pPr>
    <w:rPr>
      <w:rFonts w:cs="Times New Roman"/>
    </w:rPr>
  </w:style>
  <w:style w:type="paragraph" w:customStyle="1" w:styleId="CharChar1">
    <w:name w:val="Char Char1"/>
    <w:basedOn w:val="Normal"/>
    <w:uiPriority w:val="99"/>
    <w:rsid w:val="007C3343"/>
    <w:pPr>
      <w:spacing w:after="160" w:line="240" w:lineRule="exact"/>
    </w:pPr>
    <w:rPr>
      <w:rFonts w:ascii="Verdana" w:hAnsi="Verdana" w:cs="Verdana"/>
      <w:sz w:val="20"/>
      <w:szCs w:val="20"/>
    </w:rPr>
  </w:style>
  <w:style w:type="paragraph" w:customStyle="1" w:styleId="CharChar">
    <w:name w:val="Char Char"/>
    <w:basedOn w:val="Normal"/>
    <w:uiPriority w:val="99"/>
    <w:rsid w:val="00707B78"/>
    <w:pPr>
      <w:spacing w:after="160" w:line="240" w:lineRule="exact"/>
    </w:pPr>
    <w:rPr>
      <w:rFonts w:ascii="Verdana" w:hAnsi="Verdana" w:cs="Verdana"/>
      <w:sz w:val="20"/>
      <w:szCs w:val="20"/>
    </w:rPr>
  </w:style>
  <w:style w:type="paragraph" w:customStyle="1" w:styleId="CharChar2">
    <w:name w:val="Char Char2"/>
    <w:basedOn w:val="Normal"/>
    <w:uiPriority w:val="99"/>
    <w:rsid w:val="005F4F09"/>
    <w:pPr>
      <w:spacing w:after="160" w:line="240" w:lineRule="exact"/>
    </w:pPr>
    <w:rPr>
      <w:rFonts w:ascii="Verdana" w:hAnsi="Verdana" w:cs="Verdana"/>
      <w:sz w:val="20"/>
      <w:szCs w:val="20"/>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n"/>
    <w:basedOn w:val="Normal"/>
    <w:link w:val="FootnoteTextChar"/>
    <w:autoRedefine/>
    <w:uiPriority w:val="99"/>
    <w:qFormat/>
    <w:rsid w:val="00845A6A"/>
    <w:rPr>
      <w:rFonts w:ascii="Times New Roman" w:hAnsi="Times New Roman"/>
      <w:sz w:val="20"/>
      <w:szCs w:val="20"/>
    </w:rPr>
  </w:style>
  <w:style w:type="character" w:customStyle="1" w:styleId="FootnoteTextChar">
    <w:name w:val="Footnote Text Char"/>
    <w:aliases w:val="Footnote Text Char1 Char Char1,Footnote Text Char Char Char Char1,Footnote Text Char1 Char Char Char Char1,Footnote Text Char Char Char Char Char Char1,Footnote Text Char Char1 Char Char1,Footnote Text Char1 Char1 Char Char,fn Char1"/>
    <w:basedOn w:val="DefaultParagraphFont"/>
    <w:link w:val="FootnoteText"/>
    <w:uiPriority w:val="99"/>
    <w:semiHidden/>
    <w:rsid w:val="00845A6A"/>
    <w:rPr>
      <w:rFonts w:cs="Arial"/>
    </w:rPr>
  </w:style>
  <w:style w:type="character" w:styleId="FootnoteReference">
    <w:name w:val="footnote reference"/>
    <w:aliases w:val="Style 3,o,fr,Style 13,Style 12,Style 15,Style 17,Style 9,o1,fr1,o2,fr2,o3,fr3,Style 18,(NECG) Footnote Reference,Style 20,Style 7,Style 8,Style 19,Style 28,Style 11,Style 16,Styl,Style 6"/>
    <w:basedOn w:val="DefaultParagraphFont"/>
    <w:uiPriority w:val="99"/>
    <w:qFormat/>
    <w:rsid w:val="005F4F09"/>
    <w:rPr>
      <w:rFonts w:cs="Times New Roman"/>
      <w:vertAlign w:val="superscript"/>
    </w:rPr>
  </w:style>
  <w:style w:type="paragraph" w:customStyle="1" w:styleId="CharCharCharCharChar">
    <w:name w:val="Char Char Char Char Char"/>
    <w:basedOn w:val="Normal"/>
    <w:uiPriority w:val="99"/>
    <w:rsid w:val="004F19AD"/>
    <w:pPr>
      <w:tabs>
        <w:tab w:val="left" w:pos="540"/>
        <w:tab w:val="left" w:pos="1260"/>
        <w:tab w:val="left" w:pos="1800"/>
      </w:tabs>
      <w:spacing w:before="240" w:after="160" w:line="240" w:lineRule="exact"/>
      <w:jc w:val="both"/>
    </w:pPr>
    <w:rPr>
      <w:rFonts w:cs="Times New Roman"/>
      <w:sz w:val="22"/>
      <w:szCs w:val="22"/>
    </w:rPr>
  </w:style>
  <w:style w:type="table" w:styleId="TableGrid">
    <w:name w:val="Table Grid"/>
    <w:basedOn w:val="TableNormal"/>
    <w:uiPriority w:val="99"/>
    <w:rsid w:val="004909A3"/>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023"/>
    <w:pPr>
      <w:ind w:left="720"/>
      <w:contextualSpacing/>
    </w:pPr>
  </w:style>
  <w:style w:type="paragraph" w:customStyle="1" w:styleId="CharChar11">
    <w:name w:val="Char Char11"/>
    <w:basedOn w:val="Normal"/>
    <w:uiPriority w:val="99"/>
    <w:rsid w:val="00A90F21"/>
    <w:pPr>
      <w:spacing w:after="160" w:line="240" w:lineRule="exact"/>
    </w:pPr>
    <w:rPr>
      <w:rFonts w:ascii="Verdana" w:hAnsi="Verdana" w:cs="Verdana"/>
      <w:sz w:val="20"/>
      <w:szCs w:val="20"/>
    </w:rPr>
  </w:style>
  <w:style w:type="paragraph" w:customStyle="1" w:styleId="normalhanging2">
    <w:name w:val="normal hanging2"/>
    <w:basedOn w:val="Normal"/>
    <w:rsid w:val="0066482B"/>
    <w:pPr>
      <w:spacing w:line="480" w:lineRule="auto"/>
      <w:ind w:left="720" w:hanging="720"/>
    </w:pPr>
    <w:rPr>
      <w:rFonts w:ascii="Times New Roman" w:hAnsi="Times New Roman" w:cs="Times New Roman"/>
    </w:rPr>
  </w:style>
  <w:style w:type="paragraph" w:styleId="Revision">
    <w:name w:val="Revision"/>
    <w:hidden/>
    <w:uiPriority w:val="99"/>
    <w:semiHidden/>
    <w:rsid w:val="00713D70"/>
    <w:rPr>
      <w:rFonts w:ascii="Arial" w:hAnsi="Arial" w:cs="Arial"/>
      <w:sz w:val="24"/>
      <w:szCs w:val="24"/>
    </w:rPr>
  </w:style>
  <w:style w:type="character" w:customStyle="1" w:styleId="FootnoteTextChar1">
    <w:name w:val="Footnote Text Char1"/>
    <w:aliases w:val="Footnote Text Char Char,Footnote Text Char1 Char Char,Footnote Text Char Char Char Char,Footnote Text Char1 Char Char Char Char,Footnote Text Char Char Char Char Char Char,Footnote Text Char Char1 Char Char,fn Char"/>
    <w:basedOn w:val="DefaultParagraphFont"/>
    <w:uiPriority w:val="99"/>
    <w:rsid w:val="009B5DE0"/>
    <w:rPr>
      <w:sz w:val="20"/>
      <w:szCs w:val="20"/>
    </w:rPr>
  </w:style>
  <w:style w:type="paragraph" w:styleId="TOCHeading">
    <w:name w:val="TOC Heading"/>
    <w:basedOn w:val="Heading1"/>
    <w:next w:val="Normal"/>
    <w:uiPriority w:val="39"/>
    <w:semiHidden/>
    <w:unhideWhenUsed/>
    <w:qFormat/>
    <w:rsid w:val="007B0B78"/>
    <w:pPr>
      <w:keepLines/>
      <w:spacing w:before="480" w:line="276" w:lineRule="auto"/>
      <w:jc w:val="left"/>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1">
    <w:name w:val="toc 1"/>
    <w:basedOn w:val="Normal"/>
    <w:next w:val="Normal"/>
    <w:autoRedefine/>
    <w:uiPriority w:val="39"/>
    <w:unhideWhenUsed/>
    <w:rsid w:val="007B0B78"/>
    <w:pPr>
      <w:spacing w:after="100"/>
    </w:pPr>
  </w:style>
  <w:style w:type="character" w:styleId="Hyperlink">
    <w:name w:val="Hyperlink"/>
    <w:basedOn w:val="DefaultParagraphFont"/>
    <w:uiPriority w:val="99"/>
    <w:unhideWhenUsed/>
    <w:rsid w:val="007B0B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18980">
      <w:bodyDiv w:val="1"/>
      <w:marLeft w:val="0"/>
      <w:marRight w:val="0"/>
      <w:marTop w:val="0"/>
      <w:marBottom w:val="0"/>
      <w:divBdr>
        <w:top w:val="none" w:sz="0" w:space="0" w:color="auto"/>
        <w:left w:val="none" w:sz="0" w:space="0" w:color="auto"/>
        <w:bottom w:val="none" w:sz="0" w:space="0" w:color="auto"/>
        <w:right w:val="none" w:sz="0" w:space="0" w:color="auto"/>
      </w:divBdr>
    </w:div>
    <w:div w:id="294871731">
      <w:marLeft w:val="0"/>
      <w:marRight w:val="0"/>
      <w:marTop w:val="0"/>
      <w:marBottom w:val="0"/>
      <w:divBdr>
        <w:top w:val="none" w:sz="0" w:space="0" w:color="auto"/>
        <w:left w:val="none" w:sz="0" w:space="0" w:color="auto"/>
        <w:bottom w:val="none" w:sz="0" w:space="0" w:color="auto"/>
        <w:right w:val="none" w:sz="0" w:space="0" w:color="auto"/>
      </w:divBdr>
      <w:divsChild>
        <w:div w:id="294871730">
          <w:marLeft w:val="0"/>
          <w:marRight w:val="0"/>
          <w:marTop w:val="0"/>
          <w:marBottom w:val="0"/>
          <w:divBdr>
            <w:top w:val="none" w:sz="0" w:space="0" w:color="auto"/>
            <w:left w:val="none" w:sz="0" w:space="0" w:color="auto"/>
            <w:bottom w:val="none" w:sz="0" w:space="0" w:color="auto"/>
            <w:right w:val="none" w:sz="0" w:space="0" w:color="auto"/>
          </w:divBdr>
        </w:div>
      </w:divsChild>
    </w:div>
    <w:div w:id="302659461">
      <w:bodyDiv w:val="1"/>
      <w:marLeft w:val="0"/>
      <w:marRight w:val="0"/>
      <w:marTop w:val="0"/>
      <w:marBottom w:val="0"/>
      <w:divBdr>
        <w:top w:val="none" w:sz="0" w:space="0" w:color="auto"/>
        <w:left w:val="none" w:sz="0" w:space="0" w:color="auto"/>
        <w:bottom w:val="none" w:sz="0" w:space="0" w:color="auto"/>
        <w:right w:val="none" w:sz="0" w:space="0" w:color="auto"/>
      </w:divBdr>
    </w:div>
    <w:div w:id="314072505">
      <w:bodyDiv w:val="1"/>
      <w:marLeft w:val="0"/>
      <w:marRight w:val="0"/>
      <w:marTop w:val="0"/>
      <w:marBottom w:val="0"/>
      <w:divBdr>
        <w:top w:val="none" w:sz="0" w:space="0" w:color="auto"/>
        <w:left w:val="none" w:sz="0" w:space="0" w:color="auto"/>
        <w:bottom w:val="none" w:sz="0" w:space="0" w:color="auto"/>
        <w:right w:val="none" w:sz="0" w:space="0" w:color="auto"/>
      </w:divBdr>
    </w:div>
    <w:div w:id="430709537">
      <w:bodyDiv w:val="1"/>
      <w:marLeft w:val="0"/>
      <w:marRight w:val="0"/>
      <w:marTop w:val="0"/>
      <w:marBottom w:val="0"/>
      <w:divBdr>
        <w:top w:val="none" w:sz="0" w:space="0" w:color="auto"/>
        <w:left w:val="none" w:sz="0" w:space="0" w:color="auto"/>
        <w:bottom w:val="none" w:sz="0" w:space="0" w:color="auto"/>
        <w:right w:val="none" w:sz="0" w:space="0" w:color="auto"/>
      </w:divBdr>
    </w:div>
    <w:div w:id="433284701">
      <w:bodyDiv w:val="1"/>
      <w:marLeft w:val="0"/>
      <w:marRight w:val="0"/>
      <w:marTop w:val="0"/>
      <w:marBottom w:val="0"/>
      <w:divBdr>
        <w:top w:val="none" w:sz="0" w:space="0" w:color="auto"/>
        <w:left w:val="none" w:sz="0" w:space="0" w:color="auto"/>
        <w:bottom w:val="none" w:sz="0" w:space="0" w:color="auto"/>
        <w:right w:val="none" w:sz="0" w:space="0" w:color="auto"/>
      </w:divBdr>
    </w:div>
    <w:div w:id="438109021">
      <w:bodyDiv w:val="1"/>
      <w:marLeft w:val="0"/>
      <w:marRight w:val="0"/>
      <w:marTop w:val="0"/>
      <w:marBottom w:val="0"/>
      <w:divBdr>
        <w:top w:val="none" w:sz="0" w:space="0" w:color="auto"/>
        <w:left w:val="none" w:sz="0" w:space="0" w:color="auto"/>
        <w:bottom w:val="none" w:sz="0" w:space="0" w:color="auto"/>
        <w:right w:val="none" w:sz="0" w:space="0" w:color="auto"/>
      </w:divBdr>
    </w:div>
    <w:div w:id="649790499">
      <w:bodyDiv w:val="1"/>
      <w:marLeft w:val="0"/>
      <w:marRight w:val="0"/>
      <w:marTop w:val="0"/>
      <w:marBottom w:val="0"/>
      <w:divBdr>
        <w:top w:val="none" w:sz="0" w:space="0" w:color="auto"/>
        <w:left w:val="none" w:sz="0" w:space="0" w:color="auto"/>
        <w:bottom w:val="none" w:sz="0" w:space="0" w:color="auto"/>
        <w:right w:val="none" w:sz="0" w:space="0" w:color="auto"/>
      </w:divBdr>
    </w:div>
    <w:div w:id="879249246">
      <w:bodyDiv w:val="1"/>
      <w:marLeft w:val="0"/>
      <w:marRight w:val="0"/>
      <w:marTop w:val="0"/>
      <w:marBottom w:val="0"/>
      <w:divBdr>
        <w:top w:val="none" w:sz="0" w:space="0" w:color="auto"/>
        <w:left w:val="none" w:sz="0" w:space="0" w:color="auto"/>
        <w:bottom w:val="none" w:sz="0" w:space="0" w:color="auto"/>
        <w:right w:val="none" w:sz="0" w:space="0" w:color="auto"/>
      </w:divBdr>
    </w:div>
    <w:div w:id="1001277841">
      <w:bodyDiv w:val="1"/>
      <w:marLeft w:val="0"/>
      <w:marRight w:val="0"/>
      <w:marTop w:val="0"/>
      <w:marBottom w:val="0"/>
      <w:divBdr>
        <w:top w:val="none" w:sz="0" w:space="0" w:color="auto"/>
        <w:left w:val="none" w:sz="0" w:space="0" w:color="auto"/>
        <w:bottom w:val="none" w:sz="0" w:space="0" w:color="auto"/>
        <w:right w:val="none" w:sz="0" w:space="0" w:color="auto"/>
      </w:divBdr>
    </w:div>
    <w:div w:id="1370647249">
      <w:bodyDiv w:val="1"/>
      <w:marLeft w:val="0"/>
      <w:marRight w:val="0"/>
      <w:marTop w:val="0"/>
      <w:marBottom w:val="0"/>
      <w:divBdr>
        <w:top w:val="none" w:sz="0" w:space="0" w:color="auto"/>
        <w:left w:val="none" w:sz="0" w:space="0" w:color="auto"/>
        <w:bottom w:val="none" w:sz="0" w:space="0" w:color="auto"/>
        <w:right w:val="none" w:sz="0" w:space="0" w:color="auto"/>
      </w:divBdr>
    </w:div>
    <w:div w:id="1501047275">
      <w:bodyDiv w:val="1"/>
      <w:marLeft w:val="0"/>
      <w:marRight w:val="0"/>
      <w:marTop w:val="0"/>
      <w:marBottom w:val="0"/>
      <w:divBdr>
        <w:top w:val="none" w:sz="0" w:space="0" w:color="auto"/>
        <w:left w:val="none" w:sz="0" w:space="0" w:color="auto"/>
        <w:bottom w:val="none" w:sz="0" w:space="0" w:color="auto"/>
        <w:right w:val="none" w:sz="0" w:space="0" w:color="auto"/>
      </w:divBdr>
    </w:div>
    <w:div w:id="1573193481">
      <w:bodyDiv w:val="1"/>
      <w:marLeft w:val="0"/>
      <w:marRight w:val="0"/>
      <w:marTop w:val="0"/>
      <w:marBottom w:val="0"/>
      <w:divBdr>
        <w:top w:val="none" w:sz="0" w:space="0" w:color="auto"/>
        <w:left w:val="none" w:sz="0" w:space="0" w:color="auto"/>
        <w:bottom w:val="none" w:sz="0" w:space="0" w:color="auto"/>
        <w:right w:val="none" w:sz="0" w:space="0" w:color="auto"/>
      </w:divBdr>
    </w:div>
    <w:div w:id="1752506533">
      <w:bodyDiv w:val="1"/>
      <w:marLeft w:val="0"/>
      <w:marRight w:val="0"/>
      <w:marTop w:val="0"/>
      <w:marBottom w:val="0"/>
      <w:divBdr>
        <w:top w:val="none" w:sz="0" w:space="0" w:color="auto"/>
        <w:left w:val="none" w:sz="0" w:space="0" w:color="auto"/>
        <w:bottom w:val="none" w:sz="0" w:space="0" w:color="auto"/>
        <w:right w:val="none" w:sz="0" w:space="0" w:color="auto"/>
      </w:divBdr>
    </w:div>
    <w:div w:id="1782918819">
      <w:bodyDiv w:val="1"/>
      <w:marLeft w:val="0"/>
      <w:marRight w:val="0"/>
      <w:marTop w:val="0"/>
      <w:marBottom w:val="0"/>
      <w:divBdr>
        <w:top w:val="none" w:sz="0" w:space="0" w:color="auto"/>
        <w:left w:val="none" w:sz="0" w:space="0" w:color="auto"/>
        <w:bottom w:val="none" w:sz="0" w:space="0" w:color="auto"/>
        <w:right w:val="none" w:sz="0" w:space="0" w:color="auto"/>
      </w:divBdr>
    </w:div>
    <w:div w:id="1831604672">
      <w:bodyDiv w:val="1"/>
      <w:marLeft w:val="0"/>
      <w:marRight w:val="0"/>
      <w:marTop w:val="0"/>
      <w:marBottom w:val="0"/>
      <w:divBdr>
        <w:top w:val="none" w:sz="0" w:space="0" w:color="auto"/>
        <w:left w:val="none" w:sz="0" w:space="0" w:color="auto"/>
        <w:bottom w:val="none" w:sz="0" w:space="0" w:color="auto"/>
        <w:right w:val="none" w:sz="0" w:space="0" w:color="auto"/>
      </w:divBdr>
    </w:div>
    <w:div w:id="1880507867">
      <w:bodyDiv w:val="1"/>
      <w:marLeft w:val="0"/>
      <w:marRight w:val="0"/>
      <w:marTop w:val="0"/>
      <w:marBottom w:val="0"/>
      <w:divBdr>
        <w:top w:val="none" w:sz="0" w:space="0" w:color="auto"/>
        <w:left w:val="none" w:sz="0" w:space="0" w:color="auto"/>
        <w:bottom w:val="none" w:sz="0" w:space="0" w:color="auto"/>
        <w:right w:val="none" w:sz="0" w:space="0" w:color="auto"/>
      </w:divBdr>
    </w:div>
    <w:div w:id="1899123666">
      <w:bodyDiv w:val="1"/>
      <w:marLeft w:val="0"/>
      <w:marRight w:val="0"/>
      <w:marTop w:val="0"/>
      <w:marBottom w:val="0"/>
      <w:divBdr>
        <w:top w:val="none" w:sz="0" w:space="0" w:color="auto"/>
        <w:left w:val="none" w:sz="0" w:space="0" w:color="auto"/>
        <w:bottom w:val="none" w:sz="0" w:space="0" w:color="auto"/>
        <w:right w:val="none" w:sz="0" w:space="0" w:color="auto"/>
      </w:divBdr>
    </w:div>
    <w:div w:id="1965573756">
      <w:bodyDiv w:val="1"/>
      <w:marLeft w:val="0"/>
      <w:marRight w:val="0"/>
      <w:marTop w:val="0"/>
      <w:marBottom w:val="0"/>
      <w:divBdr>
        <w:top w:val="none" w:sz="0" w:space="0" w:color="auto"/>
        <w:left w:val="none" w:sz="0" w:space="0" w:color="auto"/>
        <w:bottom w:val="none" w:sz="0" w:space="0" w:color="auto"/>
        <w:right w:val="none" w:sz="0" w:space="0" w:color="auto"/>
      </w:divBdr>
    </w:div>
    <w:div w:id="198365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2016-04-07T07:00:00+00:00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C22DA7CE-4849-482D-86A2-963019016F69}"/>
</file>

<file path=customXml/itemProps2.xml><?xml version="1.0" encoding="utf-8"?>
<ds:datastoreItem xmlns:ds="http://schemas.openxmlformats.org/officeDocument/2006/customXml" ds:itemID="{C5554230-B635-4B71-B9B3-113CBB8A63AB}"/>
</file>

<file path=customXml/itemProps3.xml><?xml version="1.0" encoding="utf-8"?>
<ds:datastoreItem xmlns:ds="http://schemas.openxmlformats.org/officeDocument/2006/customXml" ds:itemID="{AE699AEF-55E0-4ECF-8180-6799740EDB26}"/>
</file>

<file path=customXml/itemProps4.xml><?xml version="1.0" encoding="utf-8"?>
<ds:datastoreItem xmlns:ds="http://schemas.openxmlformats.org/officeDocument/2006/customXml" ds:itemID="{17D9E956-F422-4976-93E7-922184D18555}"/>
</file>

<file path=docProps/app.xml><?xml version="1.0" encoding="utf-8"?>
<Properties xmlns="http://schemas.openxmlformats.org/officeDocument/2006/extended-properties" xmlns:vt="http://schemas.openxmlformats.org/officeDocument/2006/docPropsVTypes">
  <Template>Normal.dotm</Template>
  <TotalTime>0</TotalTime>
  <Pages>39</Pages>
  <Words>8761</Words>
  <Characters>49942</Characters>
  <Application>Microsoft Office Word</Application>
  <DocSecurity>0</DocSecurity>
  <Lines>416</Lines>
  <Paragraphs>117</Paragraphs>
  <ScaleCrop>false</ScaleCrop>
  <Company/>
  <LinksUpToDate>false</LinksUpToDate>
  <CharactersWithSpaces>58586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2016-04-07T16:24:00Z</dcterms:created>
  <dcterms:modified xsi:type="dcterms:W3CDTF">2016-04-07T16:24:00Z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