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8F782C" w:rsidRDefault="006C48F0" w:rsidP="00F23F46">
      <w:pPr>
        <w:spacing w:after="0" w:line="264" w:lineRule="auto"/>
        <w:jc w:val="center"/>
        <w:rPr>
          <w:b/>
        </w:rPr>
      </w:pPr>
      <w:r w:rsidRPr="008F782C">
        <w:rPr>
          <w:b/>
        </w:rPr>
        <w:t>BEFORE THE WASHINGTON</w:t>
      </w:r>
      <w:bookmarkStart w:id="0" w:name="_GoBack"/>
      <w:bookmarkEnd w:id="0"/>
    </w:p>
    <w:p w14:paraId="1C9BD868" w14:textId="77777777" w:rsidR="006C48F0" w:rsidRPr="008F782C" w:rsidRDefault="006C48F0" w:rsidP="00F23F46">
      <w:pPr>
        <w:pStyle w:val="BodyText"/>
        <w:spacing w:after="0" w:line="264" w:lineRule="auto"/>
        <w:rPr>
          <w:b/>
          <w:bCs/>
        </w:rPr>
      </w:pPr>
      <w:r w:rsidRPr="008F782C">
        <w:rPr>
          <w:b/>
          <w:bCs/>
        </w:rPr>
        <w:t>UTILITIES AND TRANSPORTATION COMMISSION</w:t>
      </w:r>
    </w:p>
    <w:p w14:paraId="54415010" w14:textId="77777777" w:rsidR="00D32478" w:rsidRPr="008F782C" w:rsidRDefault="00D32478" w:rsidP="00F23F46">
      <w:pPr>
        <w:spacing w:after="0" w:line="264"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8F782C" w14:paraId="25FF6146" w14:textId="77777777">
        <w:tc>
          <w:tcPr>
            <w:tcW w:w="4308" w:type="dxa"/>
          </w:tcPr>
          <w:p w14:paraId="68A94981" w14:textId="77777777" w:rsidR="006640FE" w:rsidRPr="008F782C" w:rsidRDefault="006640FE" w:rsidP="00F23F46">
            <w:pPr>
              <w:keepLines/>
              <w:spacing w:after="0" w:line="264" w:lineRule="auto"/>
            </w:pPr>
            <w:r w:rsidRPr="008F782C">
              <w:rPr>
                <w:caps/>
              </w:rPr>
              <w:t>Washington Utilities and Transportation Commission</w:t>
            </w:r>
            <w:r w:rsidRPr="008F782C">
              <w:t>,</w:t>
            </w:r>
          </w:p>
          <w:p w14:paraId="4175D5F2" w14:textId="77777777" w:rsidR="006640FE" w:rsidRPr="008F782C" w:rsidRDefault="006640FE" w:rsidP="00F23F46">
            <w:pPr>
              <w:keepLines/>
              <w:spacing w:after="0" w:line="264" w:lineRule="auto"/>
            </w:pPr>
          </w:p>
          <w:p w14:paraId="609D76F5" w14:textId="77777777" w:rsidR="006640FE" w:rsidRPr="008F782C" w:rsidRDefault="006640FE" w:rsidP="00F23F46">
            <w:pPr>
              <w:keepLines/>
              <w:tabs>
                <w:tab w:val="left" w:pos="2100"/>
              </w:tabs>
              <w:spacing w:after="0" w:line="264" w:lineRule="auto"/>
            </w:pPr>
            <w:r w:rsidRPr="008F782C">
              <w:tab/>
              <w:t>Complainant,</w:t>
            </w:r>
          </w:p>
          <w:p w14:paraId="13E9913D" w14:textId="77777777" w:rsidR="006640FE" w:rsidRPr="008F782C" w:rsidRDefault="006640FE" w:rsidP="00F23F46">
            <w:pPr>
              <w:keepLines/>
              <w:spacing w:after="0" w:line="264" w:lineRule="auto"/>
            </w:pPr>
          </w:p>
          <w:p w14:paraId="02758AC9" w14:textId="77777777" w:rsidR="006640FE" w:rsidRPr="008F782C" w:rsidRDefault="006640FE" w:rsidP="00F23F46">
            <w:pPr>
              <w:keepLines/>
              <w:spacing w:after="0" w:line="264" w:lineRule="auto"/>
            </w:pPr>
            <w:proofErr w:type="gramStart"/>
            <w:r w:rsidRPr="008F782C">
              <w:t>v</w:t>
            </w:r>
            <w:proofErr w:type="gramEnd"/>
            <w:r w:rsidRPr="008F782C">
              <w:t>.</w:t>
            </w:r>
          </w:p>
          <w:p w14:paraId="7259E847" w14:textId="77777777" w:rsidR="006640FE" w:rsidRPr="008F782C" w:rsidRDefault="006640FE" w:rsidP="00F23F46">
            <w:pPr>
              <w:keepLines/>
              <w:spacing w:after="0" w:line="264" w:lineRule="auto"/>
            </w:pPr>
          </w:p>
          <w:p w14:paraId="7E30F2E3" w14:textId="3D576182" w:rsidR="006640FE" w:rsidRPr="008F782C" w:rsidRDefault="007C79C4" w:rsidP="00F23F46">
            <w:pPr>
              <w:keepLines/>
              <w:spacing w:after="0" w:line="264" w:lineRule="auto"/>
              <w:rPr>
                <w:caps/>
                <w:color w:val="000000"/>
              </w:rPr>
            </w:pPr>
            <w:r w:rsidRPr="008F782C">
              <w:rPr>
                <w:caps/>
              </w:rPr>
              <w:t>BNSF RAILWAY COMPANY</w:t>
            </w:r>
            <w:r w:rsidR="00D335C5" w:rsidRPr="008F782C">
              <w:rPr>
                <w:caps/>
              </w:rPr>
              <w:t>,</w:t>
            </w:r>
            <w:r w:rsidR="006640FE" w:rsidRPr="008F782C">
              <w:rPr>
                <w:caps/>
                <w:color w:val="000000"/>
              </w:rPr>
              <w:t xml:space="preserve"> </w:t>
            </w:r>
          </w:p>
          <w:p w14:paraId="36E2F26A" w14:textId="77777777" w:rsidR="006640FE" w:rsidRPr="008F782C" w:rsidRDefault="006640FE" w:rsidP="00F23F46">
            <w:pPr>
              <w:pStyle w:val="Header"/>
              <w:keepLines/>
              <w:tabs>
                <w:tab w:val="clear" w:pos="4320"/>
                <w:tab w:val="clear" w:pos="8640"/>
              </w:tabs>
              <w:spacing w:after="0" w:line="264" w:lineRule="auto"/>
            </w:pPr>
          </w:p>
          <w:p w14:paraId="3B7AA167" w14:textId="77777777" w:rsidR="006640FE" w:rsidRPr="008F782C" w:rsidRDefault="006640FE" w:rsidP="00F23F46">
            <w:pPr>
              <w:keepLines/>
              <w:spacing w:after="0" w:line="264" w:lineRule="auto"/>
            </w:pPr>
            <w:r w:rsidRPr="008F782C">
              <w:tab/>
            </w:r>
            <w:r w:rsidRPr="008F782C">
              <w:tab/>
            </w:r>
            <w:r w:rsidRPr="008F782C">
              <w:tab/>
              <w:t>Respondent.</w:t>
            </w:r>
          </w:p>
          <w:p w14:paraId="6A8EBE89" w14:textId="77777777" w:rsidR="006C48F0" w:rsidRPr="008F782C" w:rsidRDefault="006C48F0" w:rsidP="00F23F46">
            <w:pPr>
              <w:spacing w:after="0" w:line="264" w:lineRule="auto"/>
            </w:pPr>
            <w:r w:rsidRPr="008F782C">
              <w:t xml:space="preserve">. . . . . . . . . . . . . . . . . . . . . . . . . . . . . . . . . </w:t>
            </w:r>
          </w:p>
        </w:tc>
        <w:tc>
          <w:tcPr>
            <w:tcW w:w="300" w:type="dxa"/>
          </w:tcPr>
          <w:p w14:paraId="013090F9" w14:textId="77777777" w:rsidR="006C48F0" w:rsidRPr="008F782C" w:rsidRDefault="006C48F0" w:rsidP="00F23F46">
            <w:pPr>
              <w:spacing w:after="0" w:line="264" w:lineRule="auto"/>
            </w:pPr>
            <w:r w:rsidRPr="008F782C">
              <w:t>)</w:t>
            </w:r>
          </w:p>
          <w:p w14:paraId="3F3655F5" w14:textId="77777777" w:rsidR="006C48F0" w:rsidRPr="008F782C" w:rsidRDefault="006C48F0" w:rsidP="00F23F46">
            <w:pPr>
              <w:spacing w:after="0" w:line="264" w:lineRule="auto"/>
            </w:pPr>
            <w:r w:rsidRPr="008F782C">
              <w:t>)</w:t>
            </w:r>
          </w:p>
          <w:p w14:paraId="228C6602" w14:textId="77777777" w:rsidR="006C48F0" w:rsidRPr="008F782C" w:rsidRDefault="006C48F0" w:rsidP="00F23F46">
            <w:pPr>
              <w:spacing w:after="0" w:line="264" w:lineRule="auto"/>
            </w:pPr>
            <w:r w:rsidRPr="008F782C">
              <w:t>)</w:t>
            </w:r>
          </w:p>
          <w:p w14:paraId="7F321D09" w14:textId="77777777" w:rsidR="006C48F0" w:rsidRPr="008F782C" w:rsidRDefault="006C48F0" w:rsidP="00F23F46">
            <w:pPr>
              <w:spacing w:after="0" w:line="264" w:lineRule="auto"/>
            </w:pPr>
            <w:r w:rsidRPr="008F782C">
              <w:t>)</w:t>
            </w:r>
          </w:p>
          <w:p w14:paraId="4090D8F5" w14:textId="77777777" w:rsidR="006C48F0" w:rsidRPr="008F782C" w:rsidRDefault="006C48F0" w:rsidP="00F23F46">
            <w:pPr>
              <w:spacing w:after="0" w:line="264" w:lineRule="auto"/>
            </w:pPr>
            <w:r w:rsidRPr="008F782C">
              <w:t>)</w:t>
            </w:r>
          </w:p>
          <w:p w14:paraId="0FDFFE0E" w14:textId="77777777" w:rsidR="006C48F0" w:rsidRPr="008F782C" w:rsidRDefault="006C48F0" w:rsidP="00F23F46">
            <w:pPr>
              <w:spacing w:after="0" w:line="264" w:lineRule="auto"/>
            </w:pPr>
            <w:r w:rsidRPr="008F782C">
              <w:t>)</w:t>
            </w:r>
          </w:p>
          <w:p w14:paraId="1F222AC4" w14:textId="77777777" w:rsidR="006C48F0" w:rsidRPr="008F782C" w:rsidRDefault="006C48F0" w:rsidP="00F23F46">
            <w:pPr>
              <w:spacing w:after="0" w:line="264" w:lineRule="auto"/>
            </w:pPr>
            <w:r w:rsidRPr="008F782C">
              <w:t>)</w:t>
            </w:r>
          </w:p>
          <w:p w14:paraId="3B910A9F" w14:textId="77777777" w:rsidR="006C48F0" w:rsidRPr="008F782C" w:rsidRDefault="006C48F0" w:rsidP="00F23F46">
            <w:pPr>
              <w:spacing w:after="0" w:line="264" w:lineRule="auto"/>
            </w:pPr>
            <w:r w:rsidRPr="008F782C">
              <w:t>)</w:t>
            </w:r>
          </w:p>
          <w:p w14:paraId="465149E8" w14:textId="77777777" w:rsidR="00CC764F" w:rsidRPr="008F782C" w:rsidRDefault="006640FE" w:rsidP="00F23F46">
            <w:pPr>
              <w:spacing w:after="0" w:line="264" w:lineRule="auto"/>
            </w:pPr>
            <w:r w:rsidRPr="008F782C">
              <w:t>)</w:t>
            </w:r>
          </w:p>
          <w:p w14:paraId="19874C3E" w14:textId="77777777" w:rsidR="00A37402" w:rsidRPr="008F782C" w:rsidRDefault="00A37402" w:rsidP="00F23F46">
            <w:pPr>
              <w:spacing w:after="0" w:line="264" w:lineRule="auto"/>
            </w:pPr>
            <w:r w:rsidRPr="008F782C">
              <w:t>)</w:t>
            </w:r>
          </w:p>
          <w:p w14:paraId="378D2272" w14:textId="7684B4E5" w:rsidR="00A37402" w:rsidRPr="008F782C" w:rsidRDefault="00A37402" w:rsidP="00F23F46">
            <w:pPr>
              <w:spacing w:after="0" w:line="264" w:lineRule="auto"/>
            </w:pPr>
            <w:r w:rsidRPr="008F782C">
              <w:t>)</w:t>
            </w:r>
          </w:p>
        </w:tc>
        <w:tc>
          <w:tcPr>
            <w:tcW w:w="4288" w:type="dxa"/>
          </w:tcPr>
          <w:p w14:paraId="3C6F4F19" w14:textId="590ED4AC" w:rsidR="006C48F0" w:rsidRPr="008F782C" w:rsidRDefault="006C48F0" w:rsidP="00F23F46">
            <w:pPr>
              <w:spacing w:after="0" w:line="264" w:lineRule="auto"/>
              <w:ind w:left="192"/>
            </w:pPr>
            <w:r w:rsidRPr="008F782C">
              <w:t xml:space="preserve">DOCKET </w:t>
            </w:r>
            <w:proofErr w:type="spellStart"/>
            <w:r w:rsidR="00A37402" w:rsidRPr="008F782C">
              <w:t>T</w:t>
            </w:r>
            <w:r w:rsidR="007C79C4" w:rsidRPr="008F782C">
              <w:t>R</w:t>
            </w:r>
            <w:proofErr w:type="spellEnd"/>
            <w:r w:rsidR="007C79C4" w:rsidRPr="008F782C">
              <w:t>-150284</w:t>
            </w:r>
          </w:p>
          <w:p w14:paraId="153A4A33" w14:textId="77777777" w:rsidR="0094070D" w:rsidRPr="008F782C" w:rsidRDefault="0094070D" w:rsidP="00F23F46">
            <w:pPr>
              <w:spacing w:after="0" w:line="264" w:lineRule="auto"/>
              <w:ind w:left="192"/>
            </w:pPr>
          </w:p>
          <w:p w14:paraId="783D5161" w14:textId="77777777" w:rsidR="00415CCC" w:rsidRPr="008F782C" w:rsidRDefault="00415CCC" w:rsidP="00F23F46">
            <w:pPr>
              <w:spacing w:after="0" w:line="264" w:lineRule="auto"/>
              <w:ind w:left="192"/>
            </w:pPr>
          </w:p>
          <w:p w14:paraId="6367E1AF" w14:textId="416B3A68" w:rsidR="006C48F0" w:rsidRPr="008F782C" w:rsidRDefault="006C48F0" w:rsidP="00F23F46">
            <w:pPr>
              <w:spacing w:after="0" w:line="264" w:lineRule="auto"/>
              <w:ind w:left="192"/>
            </w:pPr>
            <w:r w:rsidRPr="008F782C">
              <w:t>ORDER 0</w:t>
            </w:r>
            <w:r w:rsidR="007C79C4" w:rsidRPr="008F782C">
              <w:t>2</w:t>
            </w:r>
          </w:p>
          <w:p w14:paraId="2349E2B3" w14:textId="77777777" w:rsidR="0094070D" w:rsidRPr="008F782C" w:rsidRDefault="0094070D" w:rsidP="00F23F46">
            <w:pPr>
              <w:spacing w:after="0" w:line="264" w:lineRule="auto"/>
              <w:ind w:left="192"/>
            </w:pPr>
          </w:p>
          <w:p w14:paraId="648AA49F" w14:textId="77777777" w:rsidR="006C48F0" w:rsidRPr="008F782C" w:rsidRDefault="006C48F0" w:rsidP="00F23F46">
            <w:pPr>
              <w:spacing w:after="0" w:line="264" w:lineRule="auto"/>
              <w:ind w:left="192"/>
              <w:rPr>
                <w:b/>
                <w:bCs/>
              </w:rPr>
            </w:pPr>
          </w:p>
          <w:p w14:paraId="35DA5F6C" w14:textId="2E4B801E" w:rsidR="006C48F0" w:rsidRPr="008F782C" w:rsidRDefault="007C79C4" w:rsidP="00F23F46">
            <w:pPr>
              <w:spacing w:after="0" w:line="264" w:lineRule="auto"/>
              <w:ind w:left="192"/>
            </w:pPr>
            <w:r w:rsidRPr="008F782C">
              <w:t>FINAL</w:t>
            </w:r>
            <w:r w:rsidR="00F26FCC" w:rsidRPr="008F782C">
              <w:t xml:space="preserve"> </w:t>
            </w:r>
            <w:r w:rsidR="00317165" w:rsidRPr="008F782C">
              <w:t xml:space="preserve">ORDER </w:t>
            </w:r>
            <w:r w:rsidR="00F26FCC" w:rsidRPr="008F782C">
              <w:t>APPROVING SETTLEMENT AGREEMENT</w:t>
            </w:r>
            <w:r w:rsidR="00034C9D" w:rsidRPr="008F782C">
              <w:t xml:space="preserve"> WITH CONDITION</w:t>
            </w:r>
            <w:r w:rsidRPr="008F782C">
              <w:t>S</w:t>
            </w:r>
            <w:r w:rsidR="00C84EFC" w:rsidRPr="008F782C">
              <w:t xml:space="preserve"> </w:t>
            </w:r>
          </w:p>
          <w:p w14:paraId="158B8F26" w14:textId="77777777" w:rsidR="00603378" w:rsidRPr="008F782C" w:rsidRDefault="00603378" w:rsidP="00F23F46">
            <w:pPr>
              <w:spacing w:after="0" w:line="264" w:lineRule="auto"/>
              <w:ind w:left="192"/>
              <w:rPr>
                <w:b/>
              </w:rPr>
            </w:pPr>
          </w:p>
        </w:tc>
      </w:tr>
    </w:tbl>
    <w:p w14:paraId="5143844F" w14:textId="77777777" w:rsidR="00C41DF9" w:rsidRPr="008F782C" w:rsidRDefault="00C41DF9" w:rsidP="005055F3">
      <w:pPr>
        <w:spacing w:line="264" w:lineRule="auto"/>
      </w:pPr>
    </w:p>
    <w:p w14:paraId="2637A849" w14:textId="77777777" w:rsidR="002851A4" w:rsidRPr="008F782C" w:rsidRDefault="002851A4" w:rsidP="00DB7782">
      <w:pPr>
        <w:spacing w:after="240" w:line="264" w:lineRule="auto"/>
        <w:jc w:val="center"/>
        <w:rPr>
          <w:b/>
        </w:rPr>
      </w:pPr>
      <w:r w:rsidRPr="008F782C">
        <w:rPr>
          <w:b/>
        </w:rPr>
        <w:t>BACKGROUND</w:t>
      </w:r>
    </w:p>
    <w:p w14:paraId="6AB54DC2" w14:textId="61E3ED57" w:rsidR="00D96159" w:rsidRPr="008F782C" w:rsidRDefault="00715964" w:rsidP="00DB7782">
      <w:pPr>
        <w:numPr>
          <w:ilvl w:val="0"/>
          <w:numId w:val="10"/>
        </w:numPr>
        <w:spacing w:after="240" w:line="264" w:lineRule="auto"/>
        <w:ind w:hanging="720"/>
      </w:pPr>
      <w:r w:rsidRPr="008F782C">
        <w:t xml:space="preserve">On </w:t>
      </w:r>
      <w:r w:rsidR="007C79C4" w:rsidRPr="008F782C">
        <w:t>March 19, 2015</w:t>
      </w:r>
      <w:r w:rsidRPr="008F782C">
        <w:t>, the Washington Utilities and Transportation Commission (Commission) through its regulatory Staff (Staff)</w:t>
      </w:r>
      <w:r w:rsidRPr="008F782C">
        <w:rPr>
          <w:rStyle w:val="FootnoteReference"/>
          <w:bCs/>
        </w:rPr>
        <w:footnoteReference w:id="1"/>
      </w:r>
      <w:r w:rsidRPr="008F782C">
        <w:t xml:space="preserve"> filed a complaint against</w:t>
      </w:r>
      <w:r w:rsidR="007C79C4" w:rsidRPr="008F782C">
        <w:t xml:space="preserve"> BNSF Railway Company (BNSF or Company)</w:t>
      </w:r>
      <w:r w:rsidR="008F782C" w:rsidRPr="008F782C">
        <w:t>. The complaint alleges</w:t>
      </w:r>
      <w:r w:rsidR="007C79C4" w:rsidRPr="008F782C">
        <w:t xml:space="preserve"> that BNSF failed to report 14 hazardous material releases in </w:t>
      </w:r>
      <w:r w:rsidR="00307C5A">
        <w:t>the manner required by WAC 480-6</w:t>
      </w:r>
      <w:r w:rsidR="007C79C4" w:rsidRPr="008F782C">
        <w:t>2-310, resulting in 700 violations of that rule</w:t>
      </w:r>
      <w:r w:rsidRPr="008F782C">
        <w:t>.</w:t>
      </w:r>
      <w:r w:rsidR="008F782C" w:rsidRPr="008F782C">
        <w:t xml:space="preserve"> The Commission convened a prehearing conference on May 18, 2015, and adopted a procedural schedule for this proceeding</w:t>
      </w:r>
      <w:r w:rsidR="008F782C">
        <w:t>.</w:t>
      </w:r>
    </w:p>
    <w:p w14:paraId="35AFBFF2" w14:textId="4502F3C9" w:rsidR="00026A7E" w:rsidRPr="008F782C" w:rsidRDefault="00E814B6" w:rsidP="00715964">
      <w:pPr>
        <w:numPr>
          <w:ilvl w:val="0"/>
          <w:numId w:val="10"/>
        </w:numPr>
        <w:tabs>
          <w:tab w:val="clear" w:pos="0"/>
          <w:tab w:val="num" w:pos="720"/>
        </w:tabs>
        <w:spacing w:after="240" w:line="264" w:lineRule="auto"/>
        <w:ind w:hanging="720"/>
      </w:pPr>
      <w:r w:rsidRPr="008F782C">
        <w:t>On</w:t>
      </w:r>
      <w:r w:rsidR="008F782C">
        <w:t xml:space="preserve"> August 27</w:t>
      </w:r>
      <w:r w:rsidR="00503CF0" w:rsidRPr="008F782C">
        <w:t>, 2015</w:t>
      </w:r>
      <w:r w:rsidR="00602D0D" w:rsidRPr="008F782C">
        <w:t xml:space="preserve">, </w:t>
      </w:r>
      <w:r w:rsidR="008F782C">
        <w:t xml:space="preserve">BNSF and </w:t>
      </w:r>
      <w:r w:rsidR="00602D0D" w:rsidRPr="008F782C">
        <w:t xml:space="preserve">Staff </w:t>
      </w:r>
      <w:r w:rsidR="00FA0A8F" w:rsidRPr="008F782C">
        <w:t xml:space="preserve">filed a </w:t>
      </w:r>
      <w:r w:rsidR="00507042" w:rsidRPr="008F782C">
        <w:t>S</w:t>
      </w:r>
      <w:r w:rsidR="00D10D07" w:rsidRPr="008F782C">
        <w:t>e</w:t>
      </w:r>
      <w:r w:rsidRPr="008F782C">
        <w:t xml:space="preserve">ttlement </w:t>
      </w:r>
      <w:r w:rsidR="00507042" w:rsidRPr="008F782C">
        <w:t>A</w:t>
      </w:r>
      <w:r w:rsidR="00FA0A8F" w:rsidRPr="008F782C">
        <w:t>greement</w:t>
      </w:r>
      <w:r w:rsidR="00507042" w:rsidRPr="008F782C">
        <w:t xml:space="preserve"> (Settlement) </w:t>
      </w:r>
      <w:r w:rsidR="00A06FB1">
        <w:t>and Narrative Supporting Settlement Agreement (Narrative) that would resolve</w:t>
      </w:r>
      <w:r w:rsidR="001F77D4" w:rsidRPr="008F782C">
        <w:t xml:space="preserve"> all issues in this docket</w:t>
      </w:r>
      <w:r w:rsidR="00B2030A" w:rsidRPr="008F782C">
        <w:t xml:space="preserve">. </w:t>
      </w:r>
      <w:r w:rsidR="00026A7E" w:rsidRPr="008F782C">
        <w:t>T</w:t>
      </w:r>
      <w:r w:rsidR="005D3919" w:rsidRPr="008F782C">
        <w:t>he S</w:t>
      </w:r>
      <w:r w:rsidR="001657C6" w:rsidRPr="008F782C">
        <w:t>ettlement</w:t>
      </w:r>
      <w:r w:rsidR="00026A7E" w:rsidRPr="008F782C">
        <w:t xml:space="preserve"> includes the following provisions:</w:t>
      </w:r>
    </w:p>
    <w:p w14:paraId="62F06CF4" w14:textId="1DD264DA" w:rsidR="00507042" w:rsidRPr="008F782C" w:rsidRDefault="003C7BD7" w:rsidP="00026A7E">
      <w:pPr>
        <w:pStyle w:val="ListParagraph"/>
        <w:numPr>
          <w:ilvl w:val="0"/>
          <w:numId w:val="23"/>
        </w:numPr>
        <w:spacing w:after="240" w:line="264" w:lineRule="auto"/>
      </w:pPr>
      <w:r>
        <w:t xml:space="preserve">BNSF admits that it violated WAC 480-62-310 but does not agree that every violation alleged </w:t>
      </w:r>
      <w:r w:rsidR="007938FE">
        <w:t xml:space="preserve">in the complaint </w:t>
      </w:r>
      <w:r>
        <w:t xml:space="preserve">is supported by </w:t>
      </w:r>
      <w:r w:rsidR="007938FE">
        <w:t>fact or law</w:t>
      </w:r>
      <w:r w:rsidR="00507042" w:rsidRPr="008F782C">
        <w:t>.</w:t>
      </w:r>
      <w:r w:rsidR="00143ECB" w:rsidRPr="008F782C">
        <w:rPr>
          <w:rStyle w:val="FootnoteReference"/>
        </w:rPr>
        <w:footnoteReference w:id="2"/>
      </w:r>
    </w:p>
    <w:p w14:paraId="7C788015" w14:textId="285CF848" w:rsidR="00026A7E" w:rsidRPr="008F782C" w:rsidRDefault="003C7BD7" w:rsidP="00026A7E">
      <w:pPr>
        <w:pStyle w:val="ListParagraph"/>
        <w:numPr>
          <w:ilvl w:val="0"/>
          <w:numId w:val="23"/>
        </w:numPr>
        <w:spacing w:after="240" w:line="264" w:lineRule="auto"/>
      </w:pPr>
      <w:r>
        <w:t xml:space="preserve">The Commission will impose a penalty of $71,700, </w:t>
      </w:r>
      <w:r w:rsidR="00D859AE">
        <w:t xml:space="preserve">of which </w:t>
      </w:r>
      <w:r>
        <w:t xml:space="preserve">$40,000 </w:t>
      </w:r>
      <w:r w:rsidR="00D859AE">
        <w:t>w</w:t>
      </w:r>
      <w:r>
        <w:t xml:space="preserve">ill be suspended </w:t>
      </w:r>
      <w:r w:rsidR="008C4D15">
        <w:t xml:space="preserve">and </w:t>
      </w:r>
      <w:r w:rsidR="003D56AC">
        <w:t>then</w:t>
      </w:r>
      <w:r w:rsidR="008C4D15">
        <w:t xml:space="preserve"> waived </w:t>
      </w:r>
      <w:r>
        <w:t xml:space="preserve">on the condition that the Company complies with WAC 480-62-310 for one year following the effective date of the Settlement. The </w:t>
      </w:r>
      <w:r>
        <w:lastRenderedPageBreak/>
        <w:t>Company will pay the remaining $31,700 portion of the penalty within 30 calendar days of the effective date of the Settlement</w:t>
      </w:r>
      <w:r w:rsidR="00715964" w:rsidRPr="008F782C">
        <w:t>.</w:t>
      </w:r>
      <w:r w:rsidR="005D3919" w:rsidRPr="008F782C">
        <w:rPr>
          <w:rStyle w:val="FootnoteReference"/>
        </w:rPr>
        <w:footnoteReference w:id="3"/>
      </w:r>
      <w:r w:rsidR="00715964" w:rsidRPr="008F782C">
        <w:t xml:space="preserve">  </w:t>
      </w:r>
    </w:p>
    <w:p w14:paraId="754E7258" w14:textId="2E64CDC5" w:rsidR="00026A7E" w:rsidRPr="008F782C" w:rsidRDefault="003C7BD7" w:rsidP="00026A7E">
      <w:pPr>
        <w:pStyle w:val="ListParagraph"/>
        <w:numPr>
          <w:ilvl w:val="0"/>
          <w:numId w:val="23"/>
        </w:numPr>
        <w:spacing w:after="240" w:line="264" w:lineRule="auto"/>
      </w:pPr>
      <w:r>
        <w:t>“At a mutually convenient time and date to be established by separate agreement of the parties, Staff will meet with Company representatives to discuss, among other potential topics, best practices for compliance with WAC 480-62-310.”</w:t>
      </w:r>
      <w:r w:rsidR="005D3919" w:rsidRPr="008F782C">
        <w:rPr>
          <w:rStyle w:val="FootnoteReference"/>
        </w:rPr>
        <w:footnoteReference w:id="4"/>
      </w:r>
      <w:r w:rsidR="005D3919" w:rsidRPr="008F782C">
        <w:t xml:space="preserve">  </w:t>
      </w:r>
    </w:p>
    <w:p w14:paraId="33725FE7" w14:textId="4D2F5704" w:rsidR="00A06FB1" w:rsidRDefault="00A06FB1" w:rsidP="008E05AC">
      <w:pPr>
        <w:numPr>
          <w:ilvl w:val="0"/>
          <w:numId w:val="10"/>
        </w:numPr>
        <w:spacing w:after="240" w:line="264" w:lineRule="auto"/>
        <w:ind w:hanging="720"/>
      </w:pPr>
      <w:r>
        <w:t>The Narrative explains that information BNSF provided to Staff during settlement discussions and informal discovery “caused Staff to reevaluate certain alleged violations.”</w:t>
      </w:r>
      <w:r>
        <w:rPr>
          <w:rStyle w:val="FootnoteReference"/>
        </w:rPr>
        <w:footnoteReference w:id="5"/>
      </w:r>
      <w:r>
        <w:t xml:space="preserve"> As a result, “for settlement purposes, Staff agreed that it lacked sufficient proof and/or an evidentiary basis for several alleged violations and would no longer seek penalties for those allegations. Staff’s concessions reduced the Company’s exposure from 700 possible violations to 239.”</w:t>
      </w:r>
      <w:r>
        <w:rPr>
          <w:rStyle w:val="FootnoteReference"/>
        </w:rPr>
        <w:footnoteReference w:id="6"/>
      </w:r>
    </w:p>
    <w:p w14:paraId="1DF6C961" w14:textId="666300A1" w:rsidR="00756186" w:rsidRDefault="00756186" w:rsidP="008E05AC">
      <w:pPr>
        <w:numPr>
          <w:ilvl w:val="0"/>
          <w:numId w:val="10"/>
        </w:numPr>
        <w:spacing w:after="240" w:line="264" w:lineRule="auto"/>
        <w:ind w:hanging="720"/>
      </w:pPr>
      <w:r>
        <w:t>On September 17, 2015, the Commission issued bench requests to the parties seeking additional information about the incidents in the 14 causes of action alleged in the complaint and the extent to which those incidents are included in the Settlement, as well as more detail about the meeting required between BNSF and Staff. The parties filed joint responses to the bench requests on October 5, 2015.</w:t>
      </w:r>
    </w:p>
    <w:p w14:paraId="5F966A54" w14:textId="5DA41D73" w:rsidR="005B3E0A" w:rsidRPr="008F782C" w:rsidRDefault="008E05AC" w:rsidP="00EA2122">
      <w:pPr>
        <w:numPr>
          <w:ilvl w:val="0"/>
          <w:numId w:val="10"/>
        </w:numPr>
        <w:spacing w:after="240" w:line="264" w:lineRule="auto"/>
        <w:ind w:hanging="720"/>
      </w:pPr>
      <w:r w:rsidRPr="008F782C">
        <w:t xml:space="preserve">On </w:t>
      </w:r>
      <w:r w:rsidR="007938FE">
        <w:t>October 18</w:t>
      </w:r>
      <w:r w:rsidRPr="008F782C">
        <w:t xml:space="preserve">, 2015, the Commission conducted a hearing on the </w:t>
      </w:r>
      <w:r w:rsidR="00034C9D" w:rsidRPr="008F782C">
        <w:t>Settlement (Settlement Hearing)</w:t>
      </w:r>
      <w:r w:rsidR="00EA2122">
        <w:t xml:space="preserve">. The parties provided witnesses and counsel to address the </w:t>
      </w:r>
      <w:r w:rsidR="003D56AC">
        <w:t xml:space="preserve">Settlement </w:t>
      </w:r>
      <w:r w:rsidR="00EA2122">
        <w:t>terms</w:t>
      </w:r>
      <w:r w:rsidR="001F1621">
        <w:t xml:space="preserve"> and related issues</w:t>
      </w:r>
      <w:r w:rsidR="00EA2122">
        <w:t xml:space="preserve">, and a representative from the </w:t>
      </w:r>
      <w:r w:rsidR="001F1621">
        <w:t>state Emergency Operations Center (</w:t>
      </w:r>
      <w:proofErr w:type="spellStart"/>
      <w:r w:rsidR="001F1621">
        <w:t>EOC</w:t>
      </w:r>
      <w:proofErr w:type="spellEnd"/>
      <w:r w:rsidR="001F1621">
        <w:t xml:space="preserve">) participated and provided the Commission with information about its processes. The Commission made additional bench requests during the Settlement Hearing, and the parties and the </w:t>
      </w:r>
      <w:proofErr w:type="spellStart"/>
      <w:r w:rsidR="001F1621">
        <w:t>EOC</w:t>
      </w:r>
      <w:proofErr w:type="spellEnd"/>
      <w:r w:rsidR="001F1621">
        <w:t xml:space="preserve"> submitted timely responses to those requests. </w:t>
      </w:r>
    </w:p>
    <w:p w14:paraId="489F39D0" w14:textId="6408CCD3" w:rsidR="00CC5973" w:rsidRPr="008F782C" w:rsidRDefault="003048B5" w:rsidP="003048B5">
      <w:pPr>
        <w:numPr>
          <w:ilvl w:val="0"/>
          <w:numId w:val="10"/>
        </w:numPr>
        <w:spacing w:after="240" w:line="264" w:lineRule="auto"/>
        <w:ind w:hanging="720"/>
      </w:pPr>
      <w:r>
        <w:t xml:space="preserve">P. Stephen </w:t>
      </w:r>
      <w:proofErr w:type="spellStart"/>
      <w:r>
        <w:t>DiJulio</w:t>
      </w:r>
      <w:proofErr w:type="spellEnd"/>
      <w:r>
        <w:t xml:space="preserve"> and Christopher G. </w:t>
      </w:r>
      <w:proofErr w:type="spellStart"/>
      <w:r>
        <w:t>Emch</w:t>
      </w:r>
      <w:proofErr w:type="spellEnd"/>
      <w:r>
        <w:t xml:space="preserve">, Foster Pepper </w:t>
      </w:r>
      <w:proofErr w:type="spellStart"/>
      <w:r>
        <w:t>PLLC</w:t>
      </w:r>
      <w:proofErr w:type="spellEnd"/>
      <w:r>
        <w:t xml:space="preserve">, Seattle, represent BNSF. </w:t>
      </w:r>
      <w:r w:rsidR="00D335C5" w:rsidRPr="008F782C">
        <w:t>Julian Beattie</w:t>
      </w:r>
      <w:r w:rsidR="00E31BE9" w:rsidRPr="008F782C">
        <w:t xml:space="preserve">, Assistant Attorney General, Olympia, represents the Staff. </w:t>
      </w:r>
    </w:p>
    <w:p w14:paraId="1EEDEC3C" w14:textId="77777777" w:rsidR="00C5560C" w:rsidRDefault="00C5560C">
      <w:pPr>
        <w:rPr>
          <w:rFonts w:eastAsia="Calibri"/>
          <w:b/>
        </w:rPr>
      </w:pPr>
      <w:r>
        <w:rPr>
          <w:rFonts w:eastAsia="Calibri"/>
          <w:b/>
        </w:rPr>
        <w:br w:type="page"/>
      </w:r>
    </w:p>
    <w:p w14:paraId="1F79B216" w14:textId="258CA04A" w:rsidR="002851A4" w:rsidRPr="008F782C" w:rsidRDefault="002851A4" w:rsidP="003048B5">
      <w:pPr>
        <w:spacing w:after="240" w:line="264" w:lineRule="auto"/>
        <w:jc w:val="center"/>
        <w:rPr>
          <w:rFonts w:eastAsia="Calibri"/>
          <w:b/>
        </w:rPr>
      </w:pPr>
      <w:r w:rsidRPr="008F782C">
        <w:rPr>
          <w:rFonts w:eastAsia="Calibri"/>
          <w:b/>
        </w:rPr>
        <w:lastRenderedPageBreak/>
        <w:t>DISCUSSION AND DECISION</w:t>
      </w:r>
    </w:p>
    <w:p w14:paraId="7F7EACB5" w14:textId="3BB13624" w:rsidR="007742DA" w:rsidRPr="007742DA" w:rsidRDefault="00533172" w:rsidP="001F1621">
      <w:pPr>
        <w:numPr>
          <w:ilvl w:val="0"/>
          <w:numId w:val="10"/>
        </w:numPr>
        <w:spacing w:after="240" w:line="264" w:lineRule="auto"/>
        <w:ind w:hanging="720"/>
      </w:pPr>
      <w:r>
        <w:rPr>
          <w:color w:val="000000"/>
        </w:rPr>
        <w:t>“The commission supports parties’ informal efforts to resolve disputes without the need for contested hearings when doing so is lawful and consistent with the public interest, and subject to approval by commission order.”</w:t>
      </w:r>
      <w:r>
        <w:rPr>
          <w:rStyle w:val="FootnoteReference"/>
          <w:color w:val="000000"/>
        </w:rPr>
        <w:footnoteReference w:id="7"/>
      </w:r>
      <w:r>
        <w:rPr>
          <w:color w:val="000000"/>
        </w:rPr>
        <w:t xml:space="preserve"> Such settlements conserve Commission and party resources and result in resolution of issues through the agre</w:t>
      </w:r>
      <w:r w:rsidR="007742DA">
        <w:rPr>
          <w:color w:val="000000"/>
        </w:rPr>
        <w:t xml:space="preserve">ement of affected parties. Settlements are particularly useful in circumstances like those presented here where legal or factual uncertainties exist. </w:t>
      </w:r>
    </w:p>
    <w:p w14:paraId="256743A5" w14:textId="18097274" w:rsidR="007069FF" w:rsidRPr="008F782C" w:rsidRDefault="007069FF" w:rsidP="007742DA">
      <w:pPr>
        <w:numPr>
          <w:ilvl w:val="0"/>
          <w:numId w:val="10"/>
        </w:numPr>
        <w:spacing w:after="240" w:line="264" w:lineRule="auto"/>
        <w:ind w:hanging="720"/>
      </w:pPr>
      <w:r w:rsidRPr="008F782C">
        <w:rPr>
          <w:color w:val="000000"/>
        </w:rPr>
        <w:t xml:space="preserve">“The commission will approve settlements when doing so is lawful, the settlement terms are supported by an appropriate record, and when the result is consistent with the public interest in light of all the information available to </w:t>
      </w:r>
      <w:r w:rsidRPr="008F782C">
        <w:t>the</w:t>
      </w:r>
      <w:r w:rsidR="001F1621">
        <w:rPr>
          <w:color w:val="000000"/>
        </w:rPr>
        <w:t xml:space="preserve"> commission.”</w:t>
      </w:r>
      <w:r w:rsidR="003D56AC">
        <w:rPr>
          <w:rStyle w:val="FootnoteReference"/>
          <w:color w:val="000000"/>
        </w:rPr>
        <w:footnoteReference w:id="8"/>
      </w:r>
      <w:r w:rsidRPr="008F782C">
        <w:rPr>
          <w:color w:val="000000"/>
        </w:rPr>
        <w:t xml:space="preserve"> The Commission m</w:t>
      </w:r>
      <w:r w:rsidR="001F1621">
        <w:rPr>
          <w:color w:val="000000"/>
        </w:rPr>
        <w:t xml:space="preserve">ay approve the Settlement, with or without conditions, or reject it. </w:t>
      </w:r>
      <w:r w:rsidR="001F1621" w:rsidRPr="007742DA">
        <w:rPr>
          <w:color w:val="000000"/>
        </w:rPr>
        <w:t>The Commission concludes that it should approve the Settlement but only with additional conditions.</w:t>
      </w:r>
    </w:p>
    <w:p w14:paraId="56C83FD3" w14:textId="1357554B" w:rsidR="002F602D" w:rsidRDefault="002F602D" w:rsidP="00F77831">
      <w:pPr>
        <w:numPr>
          <w:ilvl w:val="0"/>
          <w:numId w:val="10"/>
        </w:numPr>
        <w:spacing w:after="240" w:line="264" w:lineRule="auto"/>
        <w:ind w:hanging="720"/>
      </w:pPr>
      <w:r>
        <w:t xml:space="preserve">The complaint alleges 700 violations of WAC 480-62-310, which </w:t>
      </w:r>
      <w:r w:rsidR="009F4781">
        <w:t xml:space="preserve">requires a railroad company to provide a report to the </w:t>
      </w:r>
      <w:proofErr w:type="spellStart"/>
      <w:r w:rsidR="009F4781">
        <w:t>EOC</w:t>
      </w:r>
      <w:proofErr w:type="spellEnd"/>
      <w:r w:rsidR="009F4781">
        <w:t xml:space="preserve"> within 30 minutes of the release of any hazardous material:</w:t>
      </w:r>
    </w:p>
    <w:p w14:paraId="17866A4D" w14:textId="1358A994" w:rsidR="002F602D" w:rsidRDefault="002F602D" w:rsidP="002F602D">
      <w:pPr>
        <w:spacing w:line="264" w:lineRule="auto"/>
        <w:ind w:left="720" w:right="720"/>
      </w:pPr>
      <w:r>
        <w:t>(1) A railroad company must make a telephone report to the commission's designee, the Washington state emergency operations center's twenty-four-hour duty officer (duty officer) at 1-800-258-5990 of any event connected to the operation of the railroad company that results in the:</w:t>
      </w:r>
    </w:p>
    <w:p w14:paraId="25EFDA07" w14:textId="4B6E45CB" w:rsidR="002F602D" w:rsidRDefault="002F602D" w:rsidP="002F602D">
      <w:pPr>
        <w:spacing w:line="264" w:lineRule="auto"/>
        <w:ind w:left="720" w:right="720"/>
      </w:pPr>
      <w:r>
        <w:t>(a) Release of any hazardous material (i.e., materials that are corrosive, flammable, explosive, reactive with other materials, or toxic); . . .</w:t>
      </w:r>
    </w:p>
    <w:p w14:paraId="72DDAA7D" w14:textId="77777777" w:rsidR="002F602D" w:rsidRDefault="002F602D" w:rsidP="002F602D">
      <w:pPr>
        <w:spacing w:line="264" w:lineRule="auto"/>
        <w:ind w:left="720" w:right="720"/>
      </w:pPr>
      <w:r>
        <w:t>(2)(a) Telephone reports of events listed in subsection (1) of this section must be made by the railroad company within thirty minutes of when it learned of the event. The report must provide detailed information of the event to the duty officer. After receiving the telephone report from the railroad company, the duty officer will identify the necessary critical response and remediation resources and agencies on an initial and continuous basis through the completion of the response to the event; and</w:t>
      </w:r>
    </w:p>
    <w:p w14:paraId="11E99645" w14:textId="2B7E155A" w:rsidR="00F77831" w:rsidRPr="008F782C" w:rsidRDefault="002F602D" w:rsidP="002F602D">
      <w:pPr>
        <w:spacing w:line="264" w:lineRule="auto"/>
        <w:ind w:left="720" w:right="720"/>
      </w:pPr>
      <w:r>
        <w:t>(b) The duty officer will notify the commission, the affected county or city emergency management office and other appropriate agencies of the event report</w:t>
      </w:r>
      <w:r w:rsidR="00847C90" w:rsidRPr="008F782C">
        <w:t>.</w:t>
      </w:r>
    </w:p>
    <w:p w14:paraId="34844F79" w14:textId="2B5DD54F" w:rsidR="007069FF" w:rsidRDefault="009F4781" w:rsidP="003048B5">
      <w:pPr>
        <w:numPr>
          <w:ilvl w:val="0"/>
          <w:numId w:val="10"/>
        </w:numPr>
        <w:spacing w:after="240" w:line="264" w:lineRule="auto"/>
        <w:ind w:hanging="720"/>
      </w:pPr>
      <w:r>
        <w:lastRenderedPageBreak/>
        <w:t>This reporting requirement plays a</w:t>
      </w:r>
      <w:r w:rsidR="002C2FC9">
        <w:t>n important</w:t>
      </w:r>
      <w:r>
        <w:t xml:space="preserve"> role in the Commission’s </w:t>
      </w:r>
      <w:r w:rsidR="00DF0C01">
        <w:t xml:space="preserve">and other state agencies’ </w:t>
      </w:r>
      <w:r>
        <w:t xml:space="preserve">efforts to protect the public. The Commission </w:t>
      </w:r>
      <w:r w:rsidR="008C4D15">
        <w:t xml:space="preserve">may participate as a </w:t>
      </w:r>
      <w:r>
        <w:t>supporting agency in</w:t>
      </w:r>
      <w:r w:rsidR="008C4D15">
        <w:t xml:space="preserve"> the investigation into</w:t>
      </w:r>
      <w:r>
        <w:t xml:space="preserve"> the cause of leak</w:t>
      </w:r>
      <w:r w:rsidR="00B861DE">
        <w:t>s</w:t>
      </w:r>
      <w:r>
        <w:t xml:space="preserve"> or accident</w:t>
      </w:r>
      <w:r w:rsidR="00B861DE">
        <w:t>s</w:t>
      </w:r>
      <w:r>
        <w:t xml:space="preserve"> involving hazardous materials</w:t>
      </w:r>
      <w:r w:rsidR="002F00F9">
        <w:t xml:space="preserve"> depending on the nature and extent of the event</w:t>
      </w:r>
      <w:r w:rsidR="002C2FC9">
        <w:t xml:space="preserve">. </w:t>
      </w:r>
      <w:r w:rsidR="00BE1454">
        <w:t>In the case of a major incident, a</w:t>
      </w:r>
      <w:r w:rsidR="002C2FC9">
        <w:t xml:space="preserve"> Commissio</w:t>
      </w:r>
      <w:r>
        <w:t xml:space="preserve">n inspector </w:t>
      </w:r>
      <w:r w:rsidR="002C2FC9">
        <w:t xml:space="preserve">needs to be </w:t>
      </w:r>
      <w:r>
        <w:t xml:space="preserve">on site as quickly as possible to </w:t>
      </w:r>
      <w:r w:rsidR="00DF0C01">
        <w:t>work</w:t>
      </w:r>
      <w:r w:rsidR="002C2FC9">
        <w:t xml:space="preserve"> with</w:t>
      </w:r>
      <w:r>
        <w:t xml:space="preserve"> the F</w:t>
      </w:r>
      <w:r w:rsidR="002C2FC9">
        <w:t>ederal Railroad Administration (F</w:t>
      </w:r>
      <w:r>
        <w:t>RA</w:t>
      </w:r>
      <w:r w:rsidR="002C2FC9">
        <w:t>)</w:t>
      </w:r>
      <w:r w:rsidR="00DF0C01">
        <w:t xml:space="preserve"> to coordinate the investigation and</w:t>
      </w:r>
      <w:r w:rsidR="002C2FC9">
        <w:t xml:space="preserve"> identify</w:t>
      </w:r>
      <w:r>
        <w:t xml:space="preserve"> any conditions that may impact </w:t>
      </w:r>
      <w:r w:rsidR="002C2FC9">
        <w:t xml:space="preserve">whether </w:t>
      </w:r>
      <w:r w:rsidR="00DF0C01">
        <w:t>the FRA</w:t>
      </w:r>
      <w:r w:rsidR="002C2FC9">
        <w:t xml:space="preserve"> should authorize the railroad to move the train to another location for clean-up and repairs.</w:t>
      </w:r>
      <w:r w:rsidR="00DF0C01">
        <w:t xml:space="preserve"> Certain types of events, such as a spill or leak near water, require an immediate response to minimize </w:t>
      </w:r>
      <w:r w:rsidR="00FD6CDB">
        <w:t xml:space="preserve">adverse impacts on public </w:t>
      </w:r>
      <w:r w:rsidR="00DF0C01">
        <w:t xml:space="preserve">safety and </w:t>
      </w:r>
      <w:r w:rsidR="00FD6CDB">
        <w:t xml:space="preserve">the </w:t>
      </w:r>
      <w:r w:rsidR="00DF0C01">
        <w:t>environment.</w:t>
      </w:r>
      <w:r w:rsidR="0082457D">
        <w:t xml:space="preserve"> Accordingly, the Commission expects not only strict compliance with the letter of this rule but railroad company cooperation in achieving the rule’s objectives.</w:t>
      </w:r>
    </w:p>
    <w:p w14:paraId="67846FFF" w14:textId="4466E212" w:rsidR="00FD6CDB" w:rsidRDefault="00C10531" w:rsidP="003048B5">
      <w:pPr>
        <w:numPr>
          <w:ilvl w:val="0"/>
          <w:numId w:val="10"/>
        </w:numPr>
        <w:spacing w:after="240" w:line="264" w:lineRule="auto"/>
        <w:ind w:hanging="720"/>
      </w:pPr>
      <w:r>
        <w:t>The Settlement, as written, makes progress toward</w:t>
      </w:r>
      <w:r w:rsidR="008C4D15">
        <w:t xml:space="preserve"> this goal</w:t>
      </w:r>
      <w:r>
        <w:t>, but does not fully achieve</w:t>
      </w:r>
      <w:r w:rsidR="008C4D15">
        <w:t xml:space="preserve"> it</w:t>
      </w:r>
      <w:r>
        <w:t xml:space="preserve">. The parties’ agreement has two essential </w:t>
      </w:r>
      <w:r w:rsidR="00361833">
        <w:t>terms</w:t>
      </w:r>
      <w:r>
        <w:t xml:space="preserve">: (1) </w:t>
      </w:r>
      <w:r w:rsidR="00361833">
        <w:t>a penalty of $71,700 assessed against</w:t>
      </w:r>
      <w:r>
        <w:t xml:space="preserve"> BNSF, of which $40,000 will be suspended </w:t>
      </w:r>
      <w:r w:rsidR="003D56AC">
        <w:t xml:space="preserve">and then waived </w:t>
      </w:r>
      <w:r>
        <w:t>on condition of the Company’s compliance with WAC 480-62-310</w:t>
      </w:r>
      <w:r w:rsidR="003D56AC">
        <w:t xml:space="preserve"> for one year</w:t>
      </w:r>
      <w:r>
        <w:t xml:space="preserve">; and (2) </w:t>
      </w:r>
      <w:r w:rsidR="00C4605D">
        <w:t>a requirement that</w:t>
      </w:r>
      <w:r w:rsidR="00361833">
        <w:t xml:space="preserve"> the parties meet</w:t>
      </w:r>
      <w:r>
        <w:t xml:space="preserve"> to discuss best practices for </w:t>
      </w:r>
      <w:r w:rsidR="00C4605D">
        <w:t xml:space="preserve">BNSF to </w:t>
      </w:r>
      <w:r>
        <w:t>comply with the rule</w:t>
      </w:r>
      <w:r w:rsidR="00FD6CDB">
        <w:t>.</w:t>
      </w:r>
      <w:r w:rsidR="00361833">
        <w:t xml:space="preserve"> </w:t>
      </w:r>
      <w:r w:rsidR="00B861DE">
        <w:t>Unfortunately, n</w:t>
      </w:r>
      <w:r w:rsidR="00361833">
        <w:t xml:space="preserve">either the Settlement nor the Narrative </w:t>
      </w:r>
      <w:r w:rsidR="00D90FCE">
        <w:t>sufficiently explain</w:t>
      </w:r>
      <w:r w:rsidR="00F1231E">
        <w:t>s</w:t>
      </w:r>
      <w:r w:rsidR="00D90FCE">
        <w:t xml:space="preserve"> </w:t>
      </w:r>
      <w:r w:rsidR="00361833">
        <w:t>how these terms appropriately resolve the allegations in the complaint</w:t>
      </w:r>
      <w:r w:rsidR="003D56AC">
        <w:t>. T</w:t>
      </w:r>
      <w:r w:rsidR="00361833">
        <w:t xml:space="preserve">he </w:t>
      </w:r>
      <w:r w:rsidR="00D90FCE">
        <w:t>information the parties</w:t>
      </w:r>
      <w:r w:rsidR="003D56AC">
        <w:t xml:space="preserve"> and the </w:t>
      </w:r>
      <w:proofErr w:type="spellStart"/>
      <w:r w:rsidR="003D56AC">
        <w:t>EOC</w:t>
      </w:r>
      <w:proofErr w:type="spellEnd"/>
      <w:r w:rsidR="00D90FCE">
        <w:t xml:space="preserve"> provided at the Settlement Hearing and in response</w:t>
      </w:r>
      <w:r w:rsidR="00361833">
        <w:t xml:space="preserve"> to the Commission’s bench requests </w:t>
      </w:r>
      <w:r w:rsidR="00BE1454">
        <w:t xml:space="preserve">leads us to conclude that </w:t>
      </w:r>
      <w:r w:rsidR="003D56AC">
        <w:t>the Settlement is not fully supported by the record or consistent with the public interest without additional conditions.</w:t>
      </w:r>
    </w:p>
    <w:p w14:paraId="043E9A3F" w14:textId="70B01144" w:rsidR="007A130D" w:rsidRPr="007A130D" w:rsidRDefault="007A130D" w:rsidP="007A130D">
      <w:pPr>
        <w:spacing w:after="240" w:line="264" w:lineRule="auto"/>
        <w:rPr>
          <w:b/>
        </w:rPr>
      </w:pPr>
      <w:r w:rsidRPr="007A130D">
        <w:rPr>
          <w:b/>
        </w:rPr>
        <w:t>Staff access to information</w:t>
      </w:r>
    </w:p>
    <w:p w14:paraId="0F89EE20" w14:textId="1A833FF8" w:rsidR="00DF0C01" w:rsidRDefault="00B861DE" w:rsidP="003048B5">
      <w:pPr>
        <w:numPr>
          <w:ilvl w:val="0"/>
          <w:numId w:val="10"/>
        </w:numPr>
        <w:spacing w:after="240" w:line="264" w:lineRule="auto"/>
        <w:ind w:hanging="720"/>
      </w:pPr>
      <w:r>
        <w:t xml:space="preserve">Our first </w:t>
      </w:r>
      <w:r w:rsidR="00D90FCE">
        <w:t>concern is the information available to Staff. The Settlement reflects</w:t>
      </w:r>
      <w:r w:rsidR="00070CC5">
        <w:t xml:space="preserve"> </w:t>
      </w:r>
      <w:r w:rsidR="007548FD">
        <w:t>Staff</w:t>
      </w:r>
      <w:r w:rsidR="00070CC5">
        <w:t>’s</w:t>
      </w:r>
      <w:r w:rsidR="007548FD">
        <w:t xml:space="preserve"> agree</w:t>
      </w:r>
      <w:r w:rsidR="00070CC5">
        <w:t>ment</w:t>
      </w:r>
      <w:r w:rsidR="007548FD">
        <w:t xml:space="preserve"> to reduce the total number of po</w:t>
      </w:r>
      <w:r w:rsidR="00C91754">
        <w:t>ssible</w:t>
      </w:r>
      <w:r w:rsidR="007548FD">
        <w:t xml:space="preserve"> violations to 239, one-third of the 700 violations alleged in the complaint. </w:t>
      </w:r>
      <w:r w:rsidR="00D90FCE">
        <w:t>The vast majority of that reduction is attributable to s</w:t>
      </w:r>
      <w:r w:rsidR="00C91754">
        <w:t xml:space="preserve">ix </w:t>
      </w:r>
      <w:r w:rsidR="00070CC5">
        <w:t>events</w:t>
      </w:r>
      <w:r w:rsidR="00D2524D">
        <w:t xml:space="preserve"> </w:t>
      </w:r>
      <w:r w:rsidR="00D90FCE">
        <w:t>t</w:t>
      </w:r>
      <w:r w:rsidR="00D2524D">
        <w:t>he complaint</w:t>
      </w:r>
      <w:r w:rsidR="005C7718">
        <w:t xml:space="preserve"> alleges BNSF never reported to the </w:t>
      </w:r>
      <w:proofErr w:type="spellStart"/>
      <w:r w:rsidR="005C7718">
        <w:t>EOC</w:t>
      </w:r>
      <w:proofErr w:type="spellEnd"/>
      <w:r w:rsidR="004E54A4">
        <w:t>,</w:t>
      </w:r>
      <w:r w:rsidR="00070CC5">
        <w:t xml:space="preserve"> </w:t>
      </w:r>
      <w:r w:rsidR="004E54A4">
        <w:t xml:space="preserve">but </w:t>
      </w:r>
      <w:r w:rsidR="00D90FCE">
        <w:t xml:space="preserve">which </w:t>
      </w:r>
      <w:r w:rsidR="004E54A4">
        <w:t xml:space="preserve">Staff </w:t>
      </w:r>
      <w:r w:rsidR="00070CC5">
        <w:t>subsequently</w:t>
      </w:r>
      <w:r w:rsidR="00D90FCE">
        <w:t xml:space="preserve"> learned </w:t>
      </w:r>
      <w:r w:rsidR="00070CC5">
        <w:t xml:space="preserve">from the </w:t>
      </w:r>
      <w:proofErr w:type="spellStart"/>
      <w:r w:rsidR="00070CC5">
        <w:t>EOC</w:t>
      </w:r>
      <w:proofErr w:type="spellEnd"/>
      <w:r w:rsidR="00070CC5">
        <w:t xml:space="preserve"> or BNSF that the Company had reported </w:t>
      </w:r>
      <w:r w:rsidR="00D90FCE">
        <w:t>t</w:t>
      </w:r>
      <w:r w:rsidR="00070CC5">
        <w:t>he day they occurred</w:t>
      </w:r>
      <w:r w:rsidR="00307C5A">
        <w:t xml:space="preserve"> but which the </w:t>
      </w:r>
      <w:proofErr w:type="spellStart"/>
      <w:r w:rsidR="00307C5A">
        <w:t>EOC</w:t>
      </w:r>
      <w:proofErr w:type="spellEnd"/>
      <w:r w:rsidR="00307C5A">
        <w:t xml:space="preserve"> did not provide to Staff</w:t>
      </w:r>
      <w:r w:rsidR="00070CC5">
        <w:t>.</w:t>
      </w:r>
      <w:r w:rsidR="00E9335A">
        <w:rPr>
          <w:rStyle w:val="FootnoteReference"/>
        </w:rPr>
        <w:footnoteReference w:id="9"/>
      </w:r>
      <w:r w:rsidR="00070CC5">
        <w:t xml:space="preserve"> </w:t>
      </w:r>
    </w:p>
    <w:p w14:paraId="05A1395A" w14:textId="771DB82F" w:rsidR="003B7E78" w:rsidRDefault="00BE1454" w:rsidP="003048B5">
      <w:pPr>
        <w:numPr>
          <w:ilvl w:val="0"/>
          <w:numId w:val="10"/>
        </w:numPr>
        <w:spacing w:after="240" w:line="264" w:lineRule="auto"/>
        <w:ind w:hanging="720"/>
      </w:pPr>
      <w:r>
        <w:t>T</w:t>
      </w:r>
      <w:r w:rsidR="007A77F4">
        <w:t>he lag in Staff’s receipt of these reports</w:t>
      </w:r>
      <w:r>
        <w:t xml:space="preserve"> is troubling</w:t>
      </w:r>
      <w:r w:rsidR="007A77F4">
        <w:t xml:space="preserve">. The </w:t>
      </w:r>
      <w:proofErr w:type="spellStart"/>
      <w:r w:rsidR="007A77F4">
        <w:t>EOC</w:t>
      </w:r>
      <w:proofErr w:type="spellEnd"/>
      <w:r w:rsidR="007A77F4">
        <w:t xml:space="preserve"> appeared at the Settlement Hearing and provided an explanation and subsequent documentation of its processes and procedures for receiving and forwarding the reports railroads make in compliance with WAC 480-62-310.</w:t>
      </w:r>
      <w:r w:rsidR="00DD65FD">
        <w:t xml:space="preserve"> T</w:t>
      </w:r>
      <w:r w:rsidR="00465DE8">
        <w:t>o its credit, t</w:t>
      </w:r>
      <w:r w:rsidR="00DD65FD">
        <w:t xml:space="preserve">he </w:t>
      </w:r>
      <w:proofErr w:type="spellStart"/>
      <w:r w:rsidR="00DD65FD">
        <w:t>EOC</w:t>
      </w:r>
      <w:proofErr w:type="spellEnd"/>
      <w:r w:rsidR="00DD65FD">
        <w:t xml:space="preserve"> accepted responsibility for the </w:t>
      </w:r>
      <w:r w:rsidR="00DD65FD">
        <w:lastRenderedPageBreak/>
        <w:t xml:space="preserve">lack of notice </w:t>
      </w:r>
      <w:r w:rsidR="00465DE8">
        <w:t xml:space="preserve">of the six reports at issue in this docket. The </w:t>
      </w:r>
      <w:proofErr w:type="spellStart"/>
      <w:r w:rsidR="00465DE8">
        <w:t>EOC</w:t>
      </w:r>
      <w:proofErr w:type="spellEnd"/>
      <w:r w:rsidR="00465DE8">
        <w:t xml:space="preserve"> representative </w:t>
      </w:r>
      <w:r>
        <w:t xml:space="preserve">committed to reinforce </w:t>
      </w:r>
      <w:r w:rsidR="00465DE8">
        <w:t xml:space="preserve">with </w:t>
      </w:r>
      <w:r>
        <w:t xml:space="preserve">its </w:t>
      </w:r>
      <w:r w:rsidR="00465DE8">
        <w:t xml:space="preserve">personnel the importance of following its </w:t>
      </w:r>
      <w:r>
        <w:t xml:space="preserve">standard operating procedures and </w:t>
      </w:r>
      <w:r w:rsidR="00465DE8">
        <w:t xml:space="preserve">to </w:t>
      </w:r>
      <w:r>
        <w:t>address failures to comply with th</w:t>
      </w:r>
      <w:r w:rsidR="00465DE8">
        <w:t>ose procedures</w:t>
      </w:r>
      <w:r>
        <w:t xml:space="preserve"> </w:t>
      </w:r>
      <w:r w:rsidR="00DD65FD">
        <w:t>with individual duty officer</w:t>
      </w:r>
      <w:r w:rsidR="00465DE8">
        <w:t>s</w:t>
      </w:r>
      <w:r w:rsidR="00DD65FD">
        <w:t>.</w:t>
      </w:r>
      <w:r w:rsidR="00D77D63">
        <w:rPr>
          <w:rStyle w:val="FootnoteReference"/>
        </w:rPr>
        <w:footnoteReference w:id="10"/>
      </w:r>
      <w:r w:rsidR="002C1240">
        <w:t xml:space="preserve"> </w:t>
      </w:r>
    </w:p>
    <w:p w14:paraId="297D2E41" w14:textId="3D7893EC" w:rsidR="007A130D" w:rsidRDefault="00BE1454" w:rsidP="007E4BBE">
      <w:pPr>
        <w:numPr>
          <w:ilvl w:val="0"/>
          <w:numId w:val="10"/>
        </w:numPr>
        <w:spacing w:after="240" w:line="264" w:lineRule="auto"/>
        <w:ind w:hanging="720"/>
      </w:pPr>
      <w:r>
        <w:t xml:space="preserve">We appreciate the </w:t>
      </w:r>
      <w:proofErr w:type="spellStart"/>
      <w:r>
        <w:t>EOC</w:t>
      </w:r>
      <w:proofErr w:type="spellEnd"/>
      <w:r w:rsidR="001B588A">
        <w:t xml:space="preserve"> providing railroad company reports to Staff under WAC 480-62-310 and the </w:t>
      </w:r>
      <w:proofErr w:type="spellStart"/>
      <w:r w:rsidR="001B588A">
        <w:t>EOC’s</w:t>
      </w:r>
      <w:proofErr w:type="spellEnd"/>
      <w:r w:rsidR="001B588A">
        <w:t xml:space="preserve"> participation</w:t>
      </w:r>
      <w:r>
        <w:t xml:space="preserve"> in this proceeding</w:t>
      </w:r>
      <w:r w:rsidR="00465DE8">
        <w:t>. That agency</w:t>
      </w:r>
      <w:r w:rsidR="002F00F9">
        <w:t xml:space="preserve">’s efforts </w:t>
      </w:r>
      <w:r w:rsidR="00465DE8">
        <w:t>protect</w:t>
      </w:r>
      <w:r w:rsidR="002F00F9">
        <w:t xml:space="preserve"> public safety and assist</w:t>
      </w:r>
      <w:r w:rsidR="00465DE8">
        <w:t xml:space="preserve"> the Commission to do the same. We are heartened to hear</w:t>
      </w:r>
      <w:r w:rsidR="003B7E78">
        <w:t xml:space="preserve"> that</w:t>
      </w:r>
      <w:r w:rsidR="00465DE8">
        <w:t xml:space="preserve"> Staff and the </w:t>
      </w:r>
      <w:proofErr w:type="spellStart"/>
      <w:r w:rsidR="00465DE8">
        <w:t>EOC</w:t>
      </w:r>
      <w:proofErr w:type="spellEnd"/>
      <w:r w:rsidR="002C1240">
        <w:t xml:space="preserve"> “have had multiple conversations since this case started, to make sure [Staff] understood procedures [and to talk] about the problems that occurred and [</w:t>
      </w:r>
      <w:proofErr w:type="spellStart"/>
      <w:r w:rsidR="002C1240">
        <w:t>EOC’s</w:t>
      </w:r>
      <w:proofErr w:type="spellEnd"/>
      <w:r w:rsidR="002C1240">
        <w:t>] assur</w:t>
      </w:r>
      <w:r>
        <w:t>ances that those were corrected.</w:t>
      </w:r>
      <w:r w:rsidR="002C1240">
        <w:t>”</w:t>
      </w:r>
      <w:r w:rsidR="002C1240">
        <w:rPr>
          <w:rStyle w:val="FootnoteReference"/>
        </w:rPr>
        <w:footnoteReference w:id="11"/>
      </w:r>
      <w:r w:rsidR="002C1240">
        <w:t xml:space="preserve"> </w:t>
      </w:r>
      <w:r>
        <w:t xml:space="preserve">That is a good start, but </w:t>
      </w:r>
      <w:r w:rsidR="00465DE8">
        <w:t>in light of t</w:t>
      </w:r>
      <w:r w:rsidR="007E4BBE">
        <w:t>he importance of prompt notification</w:t>
      </w:r>
      <w:r w:rsidR="002F00F9">
        <w:t>s</w:t>
      </w:r>
      <w:r w:rsidR="007E4BBE">
        <w:t xml:space="preserve"> to Staff, we </w:t>
      </w:r>
      <w:r w:rsidR="00307C5A">
        <w:t>believe that</w:t>
      </w:r>
      <w:r w:rsidR="00465DE8">
        <w:t xml:space="preserve"> something more formal</w:t>
      </w:r>
      <w:r w:rsidR="00307C5A">
        <w:t xml:space="preserve"> is needed</w:t>
      </w:r>
      <w:r w:rsidR="00465DE8">
        <w:t xml:space="preserve"> to ensure f</w:t>
      </w:r>
      <w:r w:rsidR="007A130D">
        <w:t>ulfill</w:t>
      </w:r>
      <w:r w:rsidR="00465DE8">
        <w:t>ment of</w:t>
      </w:r>
      <w:r w:rsidR="007A130D">
        <w:t xml:space="preserve"> the </w:t>
      </w:r>
      <w:r w:rsidR="00465DE8">
        <w:t xml:space="preserve">objectives </w:t>
      </w:r>
      <w:r w:rsidR="007A130D">
        <w:t>in WAC 480-62-310</w:t>
      </w:r>
      <w:r w:rsidR="007E4BBE">
        <w:t xml:space="preserve">. </w:t>
      </w:r>
    </w:p>
    <w:p w14:paraId="12DF5FA6" w14:textId="5087F62D" w:rsidR="004E54A4" w:rsidRDefault="007E4BBE" w:rsidP="007E4BBE">
      <w:pPr>
        <w:numPr>
          <w:ilvl w:val="0"/>
          <w:numId w:val="10"/>
        </w:numPr>
        <w:spacing w:after="240" w:line="264" w:lineRule="auto"/>
        <w:ind w:hanging="720"/>
      </w:pPr>
      <w:r>
        <w:t xml:space="preserve">Accordingly, we direct Staff to work with the </w:t>
      </w:r>
      <w:proofErr w:type="spellStart"/>
      <w:r>
        <w:t>EOC</w:t>
      </w:r>
      <w:proofErr w:type="spellEnd"/>
      <w:r>
        <w:t xml:space="preserve"> to develop a </w:t>
      </w:r>
      <w:r w:rsidR="000A18DA">
        <w:t xml:space="preserve">memorandum of understanding or other agreement between the </w:t>
      </w:r>
      <w:proofErr w:type="spellStart"/>
      <w:r w:rsidR="000A18DA">
        <w:t>EOC</w:t>
      </w:r>
      <w:proofErr w:type="spellEnd"/>
      <w:r w:rsidR="000A18DA">
        <w:t xml:space="preserve"> and the Commissi</w:t>
      </w:r>
      <w:r>
        <w:t xml:space="preserve">on establishing the expectations, procedures, and responsibilities </w:t>
      </w:r>
      <w:r w:rsidR="007A130D">
        <w:t xml:space="preserve">of each agency </w:t>
      </w:r>
      <w:r>
        <w:t>arising from the reporting that WAC 480-62-310 requires.</w:t>
      </w:r>
      <w:r w:rsidR="007A130D">
        <w:t xml:space="preserve"> We also </w:t>
      </w:r>
      <w:r w:rsidR="00F41FBA">
        <w:t xml:space="preserve">condition our approval of the Settlement on </w:t>
      </w:r>
      <w:r w:rsidR="007A130D">
        <w:t xml:space="preserve">Staff and BNSF </w:t>
      </w:r>
      <w:r w:rsidR="007A7526">
        <w:t xml:space="preserve">providing a recommendation to </w:t>
      </w:r>
      <w:r w:rsidR="00F41FBA">
        <w:t xml:space="preserve">the Commission </w:t>
      </w:r>
      <w:r w:rsidR="007A130D">
        <w:t xml:space="preserve">on the desirability and feasibility of the Company reporting </w:t>
      </w:r>
      <w:r w:rsidR="00F41FBA">
        <w:t xml:space="preserve">the </w:t>
      </w:r>
      <w:r w:rsidR="007A130D">
        <w:t>events</w:t>
      </w:r>
      <w:r w:rsidR="00F41FBA">
        <w:t xml:space="preserve"> specified in the rule</w:t>
      </w:r>
      <w:r w:rsidR="007A130D">
        <w:t xml:space="preserve"> both to the </w:t>
      </w:r>
      <w:proofErr w:type="spellStart"/>
      <w:r w:rsidR="007A130D">
        <w:t>EOC</w:t>
      </w:r>
      <w:proofErr w:type="spellEnd"/>
      <w:r w:rsidR="007A130D">
        <w:t xml:space="preserve"> and to</w:t>
      </w:r>
      <w:r w:rsidR="00F41FBA">
        <w:t xml:space="preserve"> Staff</w:t>
      </w:r>
      <w:r w:rsidR="007A130D">
        <w:t>.</w:t>
      </w:r>
    </w:p>
    <w:p w14:paraId="34500064" w14:textId="0AFBFCEF" w:rsidR="00067116" w:rsidRPr="007A130D" w:rsidRDefault="007A130D" w:rsidP="007A130D">
      <w:pPr>
        <w:spacing w:after="240" w:line="264" w:lineRule="auto"/>
        <w:rPr>
          <w:b/>
        </w:rPr>
      </w:pPr>
      <w:r w:rsidRPr="007A130D">
        <w:rPr>
          <w:b/>
        </w:rPr>
        <w:t>Unresolved dispute on events BNSF must report</w:t>
      </w:r>
    </w:p>
    <w:p w14:paraId="5ABA553E" w14:textId="1594CE2B" w:rsidR="00B2781E" w:rsidRDefault="00B2781E" w:rsidP="003048B5">
      <w:pPr>
        <w:numPr>
          <w:ilvl w:val="0"/>
          <w:numId w:val="10"/>
        </w:numPr>
        <w:spacing w:after="240" w:line="264" w:lineRule="auto"/>
        <w:ind w:hanging="720"/>
      </w:pPr>
      <w:r>
        <w:t xml:space="preserve">We are also concerned </w:t>
      </w:r>
      <w:r w:rsidR="007A130D">
        <w:t xml:space="preserve">that the Settlement does not resolve </w:t>
      </w:r>
      <w:r>
        <w:t>the parties’ dispute</w:t>
      </w:r>
      <w:r w:rsidR="007A130D">
        <w:t xml:space="preserve"> over the events BNSF must report pursuant to WAC 480-62-310</w:t>
      </w:r>
      <w:r>
        <w:t xml:space="preserve">. </w:t>
      </w:r>
      <w:r w:rsidR="007A130D">
        <w:t>T</w:t>
      </w:r>
      <w:r>
        <w:t xml:space="preserve">he </w:t>
      </w:r>
      <w:r w:rsidR="007A130D">
        <w:t xml:space="preserve">information the parties provided in response to the Commission’s </w:t>
      </w:r>
      <w:r>
        <w:t>bench request</w:t>
      </w:r>
      <w:r w:rsidR="007A130D">
        <w:t>s</w:t>
      </w:r>
      <w:r>
        <w:t xml:space="preserve"> and at the Settlement Hearing</w:t>
      </w:r>
      <w:r w:rsidR="007A130D">
        <w:t xml:space="preserve"> indicates that</w:t>
      </w:r>
      <w:r>
        <w:t xml:space="preserve"> BNSF </w:t>
      </w:r>
      <w:r w:rsidR="007A130D">
        <w:t>continues to dispute</w:t>
      </w:r>
      <w:r>
        <w:t xml:space="preserve"> its obligation to make any report of the events underlying </w:t>
      </w:r>
      <w:r w:rsidR="007A130D">
        <w:t xml:space="preserve">the 239 </w:t>
      </w:r>
      <w:r>
        <w:t>violations</w:t>
      </w:r>
      <w:r w:rsidR="007A130D">
        <w:t xml:space="preserve"> included in the Settlement</w:t>
      </w:r>
      <w:r>
        <w:t xml:space="preserve">. The most significant </w:t>
      </w:r>
      <w:r w:rsidR="00091470">
        <w:t xml:space="preserve">such </w:t>
      </w:r>
      <w:r>
        <w:t>event was a spill of 1,611 gallons of petroleum crude oil at the BP Cherry P</w:t>
      </w:r>
      <w:r w:rsidR="007A130D">
        <w:t>oint facility in Blaine</w:t>
      </w:r>
      <w:r w:rsidR="00307C5A">
        <w:t xml:space="preserve"> on November 5, 2014</w:t>
      </w:r>
      <w:r w:rsidR="00F1231E">
        <w:t xml:space="preserve"> (Cherry Point Event)</w:t>
      </w:r>
      <w:r w:rsidR="007A130D">
        <w:t>. BNSF takes</w:t>
      </w:r>
      <w:r>
        <w:t xml:space="preserve"> th</w:t>
      </w:r>
      <w:r w:rsidR="002773EE">
        <w:t>e</w:t>
      </w:r>
      <w:r>
        <w:t xml:space="preserve"> position that </w:t>
      </w:r>
      <w:r w:rsidR="002773EE">
        <w:t xml:space="preserve">the spill occurred </w:t>
      </w:r>
      <w:r w:rsidR="00F4757A">
        <w:t xml:space="preserve">when </w:t>
      </w:r>
      <w:r w:rsidR="002773EE">
        <w:t xml:space="preserve">the </w:t>
      </w:r>
      <w:r w:rsidR="00F4757A">
        <w:t xml:space="preserve">tank car was within the </w:t>
      </w:r>
      <w:r w:rsidR="002773EE">
        <w:t>shipper’</w:t>
      </w:r>
      <w:r w:rsidR="00F4757A">
        <w:t>s custody without clear evidence that the leak occurred in transit</w:t>
      </w:r>
      <w:r w:rsidR="002773EE">
        <w:t xml:space="preserve">, </w:t>
      </w:r>
      <w:r w:rsidR="00F4757A">
        <w:t xml:space="preserve">so </w:t>
      </w:r>
      <w:r w:rsidR="002773EE">
        <w:t xml:space="preserve">the Company was not required to report the event to the </w:t>
      </w:r>
      <w:proofErr w:type="spellStart"/>
      <w:r w:rsidR="002773EE">
        <w:t>EOC</w:t>
      </w:r>
      <w:proofErr w:type="spellEnd"/>
      <w:r w:rsidR="002773EE">
        <w:t xml:space="preserve">. BNSF, however, reported the spill </w:t>
      </w:r>
      <w:r w:rsidR="00091470">
        <w:t>on</w:t>
      </w:r>
      <w:r w:rsidR="002773EE">
        <w:t xml:space="preserve"> the U</w:t>
      </w:r>
      <w:r w:rsidR="00307C5A">
        <w:t>.</w:t>
      </w:r>
      <w:r w:rsidR="002773EE">
        <w:t>S</w:t>
      </w:r>
      <w:r w:rsidR="00307C5A">
        <w:t>.</w:t>
      </w:r>
      <w:r w:rsidR="002773EE">
        <w:t xml:space="preserve"> Department of Transportation</w:t>
      </w:r>
      <w:r w:rsidR="00091470">
        <w:t xml:space="preserve"> </w:t>
      </w:r>
      <w:r w:rsidR="00091470">
        <w:lastRenderedPageBreak/>
        <w:t>(</w:t>
      </w:r>
      <w:proofErr w:type="spellStart"/>
      <w:r w:rsidR="00091470">
        <w:t>USDOT</w:t>
      </w:r>
      <w:proofErr w:type="spellEnd"/>
      <w:r w:rsidR="00091470">
        <w:t xml:space="preserve">) Hazardous Materials Incident Report (5800 Form) the Company submitted to the </w:t>
      </w:r>
      <w:r w:rsidR="00F4757A">
        <w:t>FRA</w:t>
      </w:r>
      <w:r w:rsidR="002773EE">
        <w:t>.</w:t>
      </w:r>
      <w:r w:rsidR="002773EE">
        <w:rPr>
          <w:rStyle w:val="FootnoteReference"/>
        </w:rPr>
        <w:footnoteReference w:id="12"/>
      </w:r>
    </w:p>
    <w:p w14:paraId="65E9230A" w14:textId="4A271357" w:rsidR="00EC1272" w:rsidRDefault="00FA7B48" w:rsidP="003048B5">
      <w:pPr>
        <w:numPr>
          <w:ilvl w:val="0"/>
          <w:numId w:val="10"/>
        </w:numPr>
        <w:spacing w:after="240" w:line="264" w:lineRule="auto"/>
        <w:ind w:hanging="720"/>
      </w:pPr>
      <w:r>
        <w:t xml:space="preserve">BNSF </w:t>
      </w:r>
      <w:r w:rsidR="00D46D68">
        <w:t>has</w:t>
      </w:r>
      <w:r>
        <w:t xml:space="preserve"> not explain</w:t>
      </w:r>
      <w:r w:rsidR="00D46D68">
        <w:t>ed</w:t>
      </w:r>
      <w:r>
        <w:t xml:space="preserve"> </w:t>
      </w:r>
      <w:r w:rsidR="00D46D68">
        <w:t>why it reported th</w:t>
      </w:r>
      <w:r w:rsidR="00F1231E">
        <w:t>e Cherry Point E</w:t>
      </w:r>
      <w:r w:rsidR="00D46D68">
        <w:t xml:space="preserve">vent to the FRA but not to the </w:t>
      </w:r>
      <w:proofErr w:type="spellStart"/>
      <w:r w:rsidR="00D46D68">
        <w:t>EOC</w:t>
      </w:r>
      <w:proofErr w:type="spellEnd"/>
      <w:r w:rsidR="00D46D68">
        <w:t>.</w:t>
      </w:r>
      <w:r>
        <w:t xml:space="preserve"> Company representatives </w:t>
      </w:r>
      <w:r w:rsidR="005A1B0F">
        <w:t>stated at the Settlement Hearing that they did not know whether BNSF has</w:t>
      </w:r>
      <w:r>
        <w:t xml:space="preserve"> any procedures to report spills on a shipper’s property</w:t>
      </w:r>
      <w:r w:rsidR="00307C5A" w:rsidRPr="00307C5A">
        <w:t xml:space="preserve"> </w:t>
      </w:r>
      <w:r w:rsidR="00307C5A">
        <w:t xml:space="preserve">of which </w:t>
      </w:r>
      <w:r w:rsidR="00F1231E">
        <w:t>the Company</w:t>
      </w:r>
      <w:r w:rsidR="00307C5A">
        <w:t xml:space="preserve"> becomes aware</w:t>
      </w:r>
      <w:r>
        <w:t>.</w:t>
      </w:r>
      <w:r>
        <w:rPr>
          <w:rStyle w:val="FootnoteReference"/>
        </w:rPr>
        <w:footnoteReference w:id="13"/>
      </w:r>
      <w:r>
        <w:t xml:space="preserve"> </w:t>
      </w:r>
      <w:r w:rsidR="005A1B0F">
        <w:t xml:space="preserve">Nor did BNSF’s counsel know of any </w:t>
      </w:r>
      <w:r w:rsidR="00080526">
        <w:t xml:space="preserve">contractual or other </w:t>
      </w:r>
      <w:r w:rsidR="005A1B0F">
        <w:t>obligation or process for a shipper to inform the railroad of a leak or spill</w:t>
      </w:r>
      <w:r w:rsidR="00080526">
        <w:t xml:space="preserve"> from a tank car w</w:t>
      </w:r>
      <w:r w:rsidR="004841B4">
        <w:t xml:space="preserve">hen it is </w:t>
      </w:r>
      <w:r w:rsidR="00080526">
        <w:t>in the shipper’s control</w:t>
      </w:r>
      <w:r w:rsidR="005A1B0F">
        <w:t>.</w:t>
      </w:r>
      <w:r w:rsidR="005A1B0F">
        <w:rPr>
          <w:rStyle w:val="FootnoteReference"/>
        </w:rPr>
        <w:footnoteReference w:id="14"/>
      </w:r>
      <w:r w:rsidR="005A1B0F">
        <w:t xml:space="preserve"> </w:t>
      </w:r>
      <w:r w:rsidR="00080526">
        <w:t>Yet t</w:t>
      </w:r>
      <w:r w:rsidR="005A1B0F">
        <w:t xml:space="preserve">he </w:t>
      </w:r>
      <w:proofErr w:type="spellStart"/>
      <w:r w:rsidR="005A1B0F">
        <w:t>EOC</w:t>
      </w:r>
      <w:proofErr w:type="spellEnd"/>
      <w:r w:rsidR="005A1B0F">
        <w:t xml:space="preserve"> representative testified that the railroad, rather than the shipper, primarily reports oil leaks on trains.</w:t>
      </w:r>
      <w:r w:rsidR="005A1B0F">
        <w:rPr>
          <w:rStyle w:val="FootnoteReference"/>
        </w:rPr>
        <w:footnoteReference w:id="15"/>
      </w:r>
      <w:r w:rsidR="00080526">
        <w:t xml:space="preserve"> </w:t>
      </w:r>
    </w:p>
    <w:p w14:paraId="0A9A72DB" w14:textId="62B330BC" w:rsidR="00347D7E" w:rsidRDefault="00EC1272" w:rsidP="003048B5">
      <w:pPr>
        <w:numPr>
          <w:ilvl w:val="0"/>
          <w:numId w:val="10"/>
        </w:numPr>
        <w:spacing w:after="240" w:line="264" w:lineRule="auto"/>
        <w:ind w:hanging="720"/>
      </w:pPr>
      <w:r>
        <w:t xml:space="preserve">The </w:t>
      </w:r>
      <w:r w:rsidR="00080526">
        <w:t xml:space="preserve">Settlement </w:t>
      </w:r>
      <w:r w:rsidR="00F1231E">
        <w:t>leaves this issue open</w:t>
      </w:r>
      <w:r>
        <w:t>. The parties stipulated that the 111 alleged violations arising from th</w:t>
      </w:r>
      <w:r w:rsidR="00F1231E">
        <w:t>e Cherry Point E</w:t>
      </w:r>
      <w:r>
        <w:t>ven</w:t>
      </w:r>
      <w:r w:rsidR="00347D7E">
        <w:t>t</w:t>
      </w:r>
      <w:r>
        <w:t xml:space="preserve"> remain in dispute.</w:t>
      </w:r>
      <w:r>
        <w:rPr>
          <w:rStyle w:val="FootnoteReference"/>
        </w:rPr>
        <w:footnoteReference w:id="16"/>
      </w:r>
      <w:r>
        <w:t xml:space="preserve"> The parties made the same stipulation with respect to all of the other 128 violations the Settlement includes,</w:t>
      </w:r>
      <w:r>
        <w:rPr>
          <w:rStyle w:val="FootnoteReference"/>
        </w:rPr>
        <w:footnoteReference w:id="17"/>
      </w:r>
      <w:r>
        <w:t xml:space="preserve"> despite BNSF’s admission that it violated WAC 480-62-310.</w:t>
      </w:r>
      <w:r>
        <w:rPr>
          <w:rStyle w:val="FootnoteReference"/>
        </w:rPr>
        <w:footnoteReference w:id="18"/>
      </w:r>
      <w:r>
        <w:t xml:space="preserve"> </w:t>
      </w:r>
      <w:r w:rsidR="00D130A4">
        <w:t>Similarly, Staff stipulated only for purposes of settlement that the two events involving release of lube oil were not reportable incidents.</w:t>
      </w:r>
      <w:r w:rsidR="00D130A4">
        <w:rPr>
          <w:rStyle w:val="FootnoteReference"/>
        </w:rPr>
        <w:footnoteReference w:id="19"/>
      </w:r>
      <w:r w:rsidR="00D130A4">
        <w:t xml:space="preserve"> </w:t>
      </w:r>
      <w:r w:rsidR="00307C5A">
        <w:t>From the record, it appears that BNSF and Staff do not have a common understanding of which events BNSF must report</w:t>
      </w:r>
      <w:r w:rsidR="00540525">
        <w:t>.</w:t>
      </w:r>
    </w:p>
    <w:p w14:paraId="5962889A" w14:textId="77C14BAF" w:rsidR="00540525" w:rsidRDefault="00540525" w:rsidP="003048B5">
      <w:pPr>
        <w:numPr>
          <w:ilvl w:val="0"/>
          <w:numId w:val="10"/>
        </w:numPr>
        <w:spacing w:after="240" w:line="264" w:lineRule="auto"/>
        <w:ind w:hanging="720"/>
      </w:pPr>
      <w:r>
        <w:t>Nor is a common understanding likely to develop as a result of the Settlement. That document provides only that “[a]t a mutually convenient time and date to be established by separate agreement of the parties, Staff will meet with Company representatives to discuss, among other potential topics, best practices for compliance with WAC 480-62-310.”</w:t>
      </w:r>
      <w:r w:rsidRPr="008F782C">
        <w:rPr>
          <w:rStyle w:val="FootnoteReference"/>
        </w:rPr>
        <w:footnoteReference w:id="20"/>
      </w:r>
      <w:r>
        <w:t xml:space="preserve"> This “meeting will not result in a binding agreement establishing how BNSF will comply with WAC 480-62-310. The meeting will instead give Staff an opportunity to provide BNSF with informal technical assistance regarding compliance with WAC 480-</w:t>
      </w:r>
      <w:r>
        <w:lastRenderedPageBreak/>
        <w:t>62-310</w:t>
      </w:r>
      <w:r w:rsidR="001D7945">
        <w:t>.”</w:t>
      </w:r>
      <w:r w:rsidR="001D7945">
        <w:rPr>
          <w:rStyle w:val="FootnoteReference"/>
        </w:rPr>
        <w:footnoteReference w:id="21"/>
      </w:r>
      <w:r w:rsidR="001D7945">
        <w:t xml:space="preserve"> The parties represent that they “may discuss whether certain factual scenarios will or will not trigger the company’s duty to report.”</w:t>
      </w:r>
      <w:r w:rsidR="001D7945">
        <w:rPr>
          <w:rStyle w:val="FootnoteReference"/>
        </w:rPr>
        <w:footnoteReference w:id="22"/>
      </w:r>
    </w:p>
    <w:p w14:paraId="171596A8" w14:textId="4B03AA3E" w:rsidR="001D7945" w:rsidRDefault="001B588A" w:rsidP="003048B5">
      <w:pPr>
        <w:numPr>
          <w:ilvl w:val="0"/>
          <w:numId w:val="10"/>
        </w:numPr>
        <w:spacing w:after="240" w:line="264" w:lineRule="auto"/>
        <w:ind w:hanging="720"/>
      </w:pPr>
      <w:r>
        <w:t xml:space="preserve">As is the case with Staff’s discussions with the </w:t>
      </w:r>
      <w:proofErr w:type="spellStart"/>
      <w:r>
        <w:t>EOC</w:t>
      </w:r>
      <w:proofErr w:type="spellEnd"/>
      <w:r>
        <w:t xml:space="preserve">, the parties’ agreement to meet to discuss enhancing the Company’s compliance with WAC 480-62-310 is a positive step. Without a tangible outcome, however, such a meeting alone is insufficient to ensure both that BNSF and Staff </w:t>
      </w:r>
      <w:r w:rsidR="00307C5A">
        <w:t xml:space="preserve">will </w:t>
      </w:r>
      <w:r>
        <w:t xml:space="preserve">have </w:t>
      </w:r>
      <w:r w:rsidR="00307C5A">
        <w:t>a common understanding</w:t>
      </w:r>
      <w:r>
        <w:t xml:space="preserve"> of the Company’s obligations under the rule, and that BNSF will comply with those obligations</w:t>
      </w:r>
      <w:r w:rsidR="001D7945">
        <w:t>.</w:t>
      </w:r>
    </w:p>
    <w:p w14:paraId="246FDD46" w14:textId="3DF24E9C" w:rsidR="0054254D" w:rsidRPr="00761FBB" w:rsidRDefault="0054254D" w:rsidP="003048B5">
      <w:pPr>
        <w:numPr>
          <w:ilvl w:val="0"/>
          <w:numId w:val="10"/>
        </w:numPr>
        <w:spacing w:after="240" w:line="264" w:lineRule="auto"/>
        <w:ind w:hanging="720"/>
      </w:pPr>
      <w:r>
        <w:t xml:space="preserve">Accordingly, we </w:t>
      </w:r>
      <w:r w:rsidR="00F41FBA">
        <w:t xml:space="preserve">condition our approval of the Settlement on </w:t>
      </w:r>
      <w:r>
        <w:t xml:space="preserve">the parties </w:t>
      </w:r>
      <w:r w:rsidR="00F41FBA">
        <w:t>filing</w:t>
      </w:r>
      <w:r>
        <w:t xml:space="preserve"> a stipulation detailing how BNSF will comply with WAC 480-62-310 in the future. That stipulation, at a minimum, must address (1) </w:t>
      </w:r>
      <w:r>
        <w:rPr>
          <w:rFonts w:eastAsia="Calibri"/>
        </w:rPr>
        <w:t>what constitutes an “event</w:t>
      </w:r>
      <w:r w:rsidRPr="00E42DBE">
        <w:t xml:space="preserve"> </w:t>
      </w:r>
      <w:r>
        <w:t>connected to the operation of the railroad company that results in the . . . [r]</w:t>
      </w:r>
      <w:proofErr w:type="spellStart"/>
      <w:r>
        <w:t>elease</w:t>
      </w:r>
      <w:proofErr w:type="spellEnd"/>
      <w:r>
        <w:t xml:space="preserve"> of any hazardous material</w:t>
      </w:r>
      <w:r>
        <w:rPr>
          <w:rFonts w:eastAsia="Calibri"/>
        </w:rPr>
        <w:t>” that BNSF will report pursuant to WAC 480-62-310</w:t>
      </w:r>
      <w:r w:rsidR="00761FBB">
        <w:rPr>
          <w:rFonts w:eastAsia="Calibri"/>
        </w:rPr>
        <w:t xml:space="preserve">, at least with respect to the types of events at issue in this docket; (2) what constitutes a “hazardous material” the release of which BNSF will report pursuant to WAC 480-62-310, with examples of materials that the Commission should (or should not) consider to be “hazardous” within the meaning of the rule, at least with respect to the materials at issue in this docket; and (3) </w:t>
      </w:r>
      <w:r w:rsidR="00504862">
        <w:rPr>
          <w:rFonts w:eastAsia="Calibri"/>
        </w:rPr>
        <w:t>the best practices for compliance with WAC 480-62-310 that BNSF will implement and the strategies Staff and the Company will use for more effective communication between them</w:t>
      </w:r>
      <w:r w:rsidR="00761FBB">
        <w:rPr>
          <w:rFonts w:eastAsia="Calibri"/>
        </w:rPr>
        <w:t>.</w:t>
      </w:r>
    </w:p>
    <w:p w14:paraId="60C90987" w14:textId="49322241" w:rsidR="00761FBB" w:rsidRDefault="00761FBB" w:rsidP="003048B5">
      <w:pPr>
        <w:numPr>
          <w:ilvl w:val="0"/>
          <w:numId w:val="10"/>
        </w:numPr>
        <w:spacing w:after="240" w:line="264" w:lineRule="auto"/>
        <w:ind w:hanging="720"/>
      </w:pPr>
      <w:r>
        <w:rPr>
          <w:rFonts w:eastAsia="Calibri"/>
        </w:rPr>
        <w:t xml:space="preserve">We observe that the Settlement, Narrative, and party responses to bench requests are </w:t>
      </w:r>
      <w:r w:rsidR="00504862">
        <w:rPr>
          <w:rFonts w:eastAsia="Calibri"/>
        </w:rPr>
        <w:t>brief</w:t>
      </w:r>
      <w:r>
        <w:rPr>
          <w:rFonts w:eastAsia="Calibri"/>
        </w:rPr>
        <w:t xml:space="preserve"> to the point of insufficiency</w:t>
      </w:r>
      <w:r w:rsidR="00504862">
        <w:rPr>
          <w:rFonts w:eastAsia="Calibri"/>
        </w:rPr>
        <w:t xml:space="preserve"> in some instances</w:t>
      </w:r>
      <w:r>
        <w:rPr>
          <w:rFonts w:eastAsia="Calibri"/>
        </w:rPr>
        <w:t>. We expect the stipulation to be more expansive and to provide a detailed and thorough explanation of the information the Commission requires.</w:t>
      </w:r>
    </w:p>
    <w:p w14:paraId="785D8311" w14:textId="367A0A34" w:rsidR="0054254D" w:rsidRPr="0054254D" w:rsidRDefault="0054254D" w:rsidP="0054254D">
      <w:pPr>
        <w:spacing w:after="240" w:line="264" w:lineRule="auto"/>
        <w:rPr>
          <w:b/>
        </w:rPr>
      </w:pPr>
      <w:r>
        <w:rPr>
          <w:b/>
        </w:rPr>
        <w:t>Suspended penalty amount</w:t>
      </w:r>
    </w:p>
    <w:p w14:paraId="7CF928A2" w14:textId="77777777" w:rsidR="00F47269" w:rsidRDefault="00FB1864" w:rsidP="003048B5">
      <w:pPr>
        <w:numPr>
          <w:ilvl w:val="0"/>
          <w:numId w:val="10"/>
        </w:numPr>
        <w:spacing w:after="240" w:line="264" w:lineRule="auto"/>
        <w:ind w:hanging="720"/>
      </w:pPr>
      <w:r>
        <w:t>The parties ag</w:t>
      </w:r>
      <w:r w:rsidR="00F47269">
        <w:t xml:space="preserve">ree that the Commission should impose a penalty of $71,700 on BNSF, suspend $40,000 of that amount, and then waive the suspended amount after one year if the Company complies with WAC 480-62-310 during that time. </w:t>
      </w:r>
      <w:r w:rsidR="00347D7E">
        <w:t>W</w:t>
      </w:r>
      <w:r w:rsidR="00080526">
        <w:t xml:space="preserve">e </w:t>
      </w:r>
      <w:r w:rsidR="009A47E7">
        <w:t>are not convinced that any purpose would be served by</w:t>
      </w:r>
      <w:r w:rsidR="00080526">
        <w:t xml:space="preserve"> suspending a portion of the assessed penalty</w:t>
      </w:r>
      <w:r w:rsidR="00F47269">
        <w:t>.</w:t>
      </w:r>
    </w:p>
    <w:p w14:paraId="6A150979" w14:textId="64F7AA7B" w:rsidR="00091470" w:rsidRDefault="009A47E7" w:rsidP="004C037E">
      <w:pPr>
        <w:numPr>
          <w:ilvl w:val="0"/>
          <w:numId w:val="10"/>
        </w:numPr>
        <w:spacing w:after="240" w:line="264" w:lineRule="auto"/>
        <w:ind w:hanging="720"/>
      </w:pPr>
      <w:r>
        <w:t xml:space="preserve">Staff contends that </w:t>
      </w:r>
      <w:r w:rsidR="0068756E">
        <w:t xml:space="preserve">suspending </w:t>
      </w:r>
      <w:r>
        <w:t xml:space="preserve">$40,000 </w:t>
      </w:r>
      <w:r w:rsidR="0068756E">
        <w:t>of the assessed penalty</w:t>
      </w:r>
      <w:r>
        <w:t xml:space="preserve"> will provide </w:t>
      </w:r>
      <w:r w:rsidR="0068756E">
        <w:t xml:space="preserve">BNSF with an additional incentive to comply with the rule. Staff and the Company claim to have modeled this aspect of the Settlement on the settlement agreement the Commission </w:t>
      </w:r>
      <w:r w:rsidR="0068756E">
        <w:lastRenderedPageBreak/>
        <w:t xml:space="preserve">approved in Docket </w:t>
      </w:r>
      <w:proofErr w:type="spellStart"/>
      <w:r w:rsidR="0068756E">
        <w:t>TR</w:t>
      </w:r>
      <w:proofErr w:type="spellEnd"/>
      <w:r w:rsidR="0068756E">
        <w:t>-121921</w:t>
      </w:r>
      <w:r w:rsidR="004C037E">
        <w:t xml:space="preserve">. Staff maintains </w:t>
      </w:r>
      <w:r w:rsidR="0068756E">
        <w:t xml:space="preserve">the Commission’s suspension of a portion of the penalty assessed </w:t>
      </w:r>
      <w:r w:rsidR="004C037E">
        <w:t xml:space="preserve">in that case </w:t>
      </w:r>
      <w:r w:rsidR="0068756E">
        <w:t xml:space="preserve">resulted in </w:t>
      </w:r>
      <w:r w:rsidR="004C037E">
        <w:t xml:space="preserve">the Company’s </w:t>
      </w:r>
      <w:r w:rsidR="00735050">
        <w:t>complete</w:t>
      </w:r>
      <w:r w:rsidR="0068756E">
        <w:t xml:space="preserve"> compliance with </w:t>
      </w:r>
      <w:r w:rsidR="004C037E">
        <w:t xml:space="preserve">the crossing requirements </w:t>
      </w:r>
      <w:r w:rsidR="0084326B">
        <w:t xml:space="preserve">that were </w:t>
      </w:r>
      <w:r w:rsidR="004C037E">
        <w:t>at issue</w:t>
      </w:r>
      <w:r w:rsidR="00735050">
        <w:t>.</w:t>
      </w:r>
    </w:p>
    <w:p w14:paraId="13DBDEA3" w14:textId="03CE0608" w:rsidR="00080526" w:rsidRDefault="00DC4867" w:rsidP="003048B5">
      <w:pPr>
        <w:numPr>
          <w:ilvl w:val="0"/>
          <w:numId w:val="10"/>
        </w:numPr>
        <w:spacing w:after="240" w:line="264" w:lineRule="auto"/>
        <w:ind w:hanging="720"/>
      </w:pPr>
      <w:r>
        <w:t xml:space="preserve">The settlement agreement in Docket </w:t>
      </w:r>
      <w:proofErr w:type="spellStart"/>
      <w:r>
        <w:t>TR</w:t>
      </w:r>
      <w:proofErr w:type="spellEnd"/>
      <w:r>
        <w:t xml:space="preserve">-121921, however, prescribed </w:t>
      </w:r>
      <w:r w:rsidR="002B66DF">
        <w:t xml:space="preserve">in detail </w:t>
      </w:r>
      <w:r>
        <w:t xml:space="preserve">the </w:t>
      </w:r>
      <w:r w:rsidR="002B66DF">
        <w:t xml:space="preserve">suspension </w:t>
      </w:r>
      <w:r>
        <w:t>conditions BNSF was required to satisfy, including specific time frames to respond to Commission notices of crossing defects and submission of photographs showing the repairs the Company made</w:t>
      </w:r>
      <w:r w:rsidR="00080526">
        <w:t>.</w:t>
      </w:r>
      <w:r>
        <w:rPr>
          <w:rStyle w:val="FootnoteReference"/>
        </w:rPr>
        <w:footnoteReference w:id="23"/>
      </w:r>
      <w:r w:rsidR="00D16C1C">
        <w:t xml:space="preserve"> The Settlement here, in contrast, conditions the suspension only </w:t>
      </w:r>
      <w:r w:rsidR="00B861DE">
        <w:t>on</w:t>
      </w:r>
      <w:r w:rsidR="0084326B">
        <w:t xml:space="preserve"> </w:t>
      </w:r>
      <w:r w:rsidR="00D16C1C">
        <w:t xml:space="preserve">“the Company </w:t>
      </w:r>
      <w:proofErr w:type="spellStart"/>
      <w:proofErr w:type="gramStart"/>
      <w:r w:rsidR="00D16C1C">
        <w:t>compl</w:t>
      </w:r>
      <w:proofErr w:type="spellEnd"/>
      <w:r w:rsidR="00B861DE">
        <w:t>[</w:t>
      </w:r>
      <w:proofErr w:type="spellStart"/>
      <w:proofErr w:type="gramEnd"/>
      <w:r w:rsidR="00B861DE">
        <w:t>ying</w:t>
      </w:r>
      <w:proofErr w:type="spellEnd"/>
      <w:r w:rsidR="00B861DE">
        <w:t>]</w:t>
      </w:r>
      <w:r w:rsidR="00D16C1C">
        <w:t xml:space="preserve"> with WAC 480-62-310 for one year following the effective date of this Agreement.”</w:t>
      </w:r>
      <w:r w:rsidR="00D16C1C" w:rsidRPr="008F782C">
        <w:rPr>
          <w:rStyle w:val="FootnoteReference"/>
        </w:rPr>
        <w:footnoteReference w:id="24"/>
      </w:r>
      <w:r w:rsidR="002B66DF">
        <w:t xml:space="preserve"> The Settlement makes no attempt to identify the actions BNSF must take to demonstrate such compliance. </w:t>
      </w:r>
      <w:r w:rsidR="002744AE">
        <w:t xml:space="preserve">In light of the parties’ unresolved disputes over which incidents the Company must report, </w:t>
      </w:r>
      <w:r w:rsidR="00544C32">
        <w:t xml:space="preserve">future </w:t>
      </w:r>
      <w:r w:rsidR="00307C5A">
        <w:t>disputes</w:t>
      </w:r>
      <w:r w:rsidR="002744AE">
        <w:t xml:space="preserve"> over whether BNSF has satisfied this Settlement provision </w:t>
      </w:r>
      <w:r w:rsidR="00F23A02">
        <w:t>appear</w:t>
      </w:r>
      <w:r w:rsidR="002F00F9">
        <w:t xml:space="preserve"> likely</w:t>
      </w:r>
      <w:r w:rsidR="002744AE">
        <w:t>.</w:t>
      </w:r>
    </w:p>
    <w:p w14:paraId="403B8C9F" w14:textId="4FFE3620" w:rsidR="004C037E" w:rsidRDefault="00C54BAE" w:rsidP="003048B5">
      <w:pPr>
        <w:numPr>
          <w:ilvl w:val="0"/>
          <w:numId w:val="10"/>
        </w:numPr>
        <w:spacing w:after="240" w:line="264" w:lineRule="auto"/>
        <w:ind w:hanging="720"/>
      </w:pPr>
      <w:r>
        <w:t>Staff nevertheless testified at the Settlement Hearing that BNSF has “made a substantial improvement” in its reporting, and Staff “believe[s] that there has been complete compliance” since the Commission initiated this proceeding.</w:t>
      </w:r>
      <w:r w:rsidRPr="008F782C">
        <w:rPr>
          <w:rStyle w:val="FootnoteReference"/>
        </w:rPr>
        <w:footnoteReference w:id="25"/>
      </w:r>
      <w:r>
        <w:t xml:space="preserve"> </w:t>
      </w:r>
      <w:r w:rsidR="00F23A02">
        <w:t>Such testimony, however, serves to demonstrate that a suspended penalty is not necessary to ensure the Company’s future compliance.</w:t>
      </w:r>
      <w:r w:rsidR="002B0969">
        <w:t xml:space="preserve"> </w:t>
      </w:r>
      <w:r w:rsidR="009D603B">
        <w:t xml:space="preserve">The possibility of </w:t>
      </w:r>
      <w:r w:rsidR="00D5231F">
        <w:t xml:space="preserve">initiating </w:t>
      </w:r>
      <w:r w:rsidR="009D603B">
        <w:t>another complaint, which Staff also identifies as an available enforcement mechanism,</w:t>
      </w:r>
      <w:r w:rsidR="009D603B" w:rsidRPr="008F782C">
        <w:rPr>
          <w:rStyle w:val="FootnoteReference"/>
        </w:rPr>
        <w:footnoteReference w:id="26"/>
      </w:r>
      <w:r w:rsidR="009D603B">
        <w:t xml:space="preserve"> should provide ample incentive for BNSF to comply with its reporting obligations.</w:t>
      </w:r>
    </w:p>
    <w:p w14:paraId="5213124B" w14:textId="03EEA99A" w:rsidR="0084326B" w:rsidRDefault="00634276" w:rsidP="003048B5">
      <w:pPr>
        <w:numPr>
          <w:ilvl w:val="0"/>
          <w:numId w:val="10"/>
        </w:numPr>
        <w:spacing w:after="240" w:line="264" w:lineRule="auto"/>
        <w:ind w:hanging="720"/>
      </w:pPr>
      <w:r>
        <w:t>The Narrative also states that the Settlement is “consistent with the Commission’s enforcement policy adopted in Docket A-120061,” specifically that “Staff is satisfied that the likelihood of recurrence is low. BNSF has, to Staff’s knowledge, achieved total compliance with WAC 480-62-310 since the date the Commission issued its complaint in this docket.”</w:t>
      </w:r>
      <w:r w:rsidRPr="008F782C">
        <w:rPr>
          <w:rStyle w:val="FootnoteReference"/>
        </w:rPr>
        <w:footnoteReference w:id="27"/>
      </w:r>
      <w:r>
        <w:t xml:space="preserve"> Again, Staff’s satisfaction and the Company’s current compliance lessens the utility of suspending a portion of the penalty</w:t>
      </w:r>
      <w:r w:rsidR="0084326B">
        <w:t>.</w:t>
      </w:r>
      <w:r>
        <w:t xml:space="preserve"> The Narrative </w:t>
      </w:r>
      <w:r w:rsidR="009653A1">
        <w:t xml:space="preserve">fails to explain how the Settlement is consistent with the other 10 factors </w:t>
      </w:r>
      <w:r w:rsidR="00B861DE">
        <w:t>listed in the enforcement policy</w:t>
      </w:r>
      <w:r w:rsidR="009653A1">
        <w:t>. Our own review of those factors does not support suspending $40,000</w:t>
      </w:r>
      <w:r w:rsidR="00B861DE">
        <w:t xml:space="preserve"> of the $71,700 penalty</w:t>
      </w:r>
      <w:r w:rsidR="009653A1">
        <w:t xml:space="preserve">. The Settlement </w:t>
      </w:r>
      <w:r w:rsidR="00B861DE">
        <w:t>covers</w:t>
      </w:r>
      <w:r w:rsidR="009653A1">
        <w:t xml:space="preserve"> 239 serious violations by a very large company that has violated </w:t>
      </w:r>
      <w:r w:rsidR="009653A1">
        <w:lastRenderedPageBreak/>
        <w:t>its regulatory obligations in the recent past. Under the circumstances presented here, we find that $71,700 is a</w:t>
      </w:r>
      <w:r w:rsidR="00B861DE">
        <w:t>n appropriate</w:t>
      </w:r>
      <w:r w:rsidR="009653A1">
        <w:t xml:space="preserve"> penalty for the violations at issue but not if any portion of that amount is suspended. </w:t>
      </w:r>
    </w:p>
    <w:p w14:paraId="411CC916" w14:textId="6FEAA777" w:rsidR="002744AE" w:rsidRDefault="009D603B" w:rsidP="003048B5">
      <w:pPr>
        <w:numPr>
          <w:ilvl w:val="0"/>
          <w:numId w:val="10"/>
        </w:numPr>
        <w:spacing w:after="240" w:line="264" w:lineRule="auto"/>
        <w:ind w:hanging="720"/>
      </w:pPr>
      <w:r>
        <w:t xml:space="preserve">Accordingly we </w:t>
      </w:r>
      <w:r w:rsidR="00A04171">
        <w:t xml:space="preserve">condition approval of </w:t>
      </w:r>
      <w:r>
        <w:t xml:space="preserve">the Settlement </w:t>
      </w:r>
      <w:r w:rsidR="00A04171">
        <w:t xml:space="preserve">on the parties </w:t>
      </w:r>
      <w:r>
        <w:t>delet</w:t>
      </w:r>
      <w:r w:rsidR="00A04171">
        <w:t>ing</w:t>
      </w:r>
      <w:r>
        <w:t xml:space="preserve"> the provision that suspends </w:t>
      </w:r>
      <w:r w:rsidR="00A04171">
        <w:t xml:space="preserve">and waives after one year </w:t>
      </w:r>
      <w:r>
        <w:t xml:space="preserve">$40,000 of the assessed penalty. </w:t>
      </w:r>
      <w:r w:rsidR="002B0969">
        <w:t xml:space="preserve">We find that </w:t>
      </w:r>
      <w:r w:rsidR="00857BE9">
        <w:t xml:space="preserve">immediately </w:t>
      </w:r>
      <w:r w:rsidR="002B0969">
        <w:t xml:space="preserve">imposing the entire penalty to which the parties agreed would be more effective </w:t>
      </w:r>
      <w:r w:rsidR="00857BE9">
        <w:t xml:space="preserve">than suspending a portion of that amount, </w:t>
      </w:r>
      <w:r w:rsidR="002B0969">
        <w:t xml:space="preserve">both to </w:t>
      </w:r>
      <w:r w:rsidR="00427761">
        <w:t xml:space="preserve">provide </w:t>
      </w:r>
      <w:r w:rsidR="00857BE9">
        <w:t>the Company</w:t>
      </w:r>
      <w:r w:rsidR="00427761">
        <w:t xml:space="preserve"> with an additional incentive to comply</w:t>
      </w:r>
      <w:r w:rsidR="002B0969">
        <w:t xml:space="preserve"> </w:t>
      </w:r>
      <w:r w:rsidR="00857BE9">
        <w:t xml:space="preserve">with its reporting obligations </w:t>
      </w:r>
      <w:r w:rsidR="002B0969">
        <w:t>and to pe</w:t>
      </w:r>
      <w:r w:rsidR="00857BE9">
        <w:t>nalize BNSF for its past failure to do so</w:t>
      </w:r>
      <w:r w:rsidR="002B0969">
        <w:t>.</w:t>
      </w:r>
    </w:p>
    <w:p w14:paraId="52E9A2E2" w14:textId="700B1451" w:rsidR="007069FF" w:rsidRDefault="00F77831" w:rsidP="003048B5">
      <w:pPr>
        <w:numPr>
          <w:ilvl w:val="0"/>
          <w:numId w:val="10"/>
        </w:numPr>
        <w:spacing w:after="240" w:line="264" w:lineRule="auto"/>
        <w:ind w:hanging="720"/>
      </w:pPr>
      <w:r w:rsidRPr="008F782C">
        <w:t>With th</w:t>
      </w:r>
      <w:r w:rsidR="00EC78D7">
        <w:t>e</w:t>
      </w:r>
      <w:r w:rsidR="00A63EC4">
        <w:t xml:space="preserve"> </w:t>
      </w:r>
      <w:r w:rsidR="00034C9D" w:rsidRPr="008F782C">
        <w:t>condition</w:t>
      </w:r>
      <w:r w:rsidR="00EC78D7">
        <w:t>s</w:t>
      </w:r>
      <w:r w:rsidR="00A63EC4">
        <w:t xml:space="preserve"> required in this Order</w:t>
      </w:r>
      <w:r w:rsidRPr="008F782C">
        <w:t>, t</w:t>
      </w:r>
      <w:r w:rsidR="007069FF" w:rsidRPr="008F782C">
        <w:t xml:space="preserve">he terms </w:t>
      </w:r>
      <w:r w:rsidR="0074419B" w:rsidRPr="008F782C">
        <w:t>of</w:t>
      </w:r>
      <w:r w:rsidR="007069FF" w:rsidRPr="008F782C">
        <w:t xml:space="preserve"> the Settlement are not contrary to law or public policy</w:t>
      </w:r>
      <w:r w:rsidR="00EC78D7">
        <w:t xml:space="preserve"> and</w:t>
      </w:r>
      <w:r w:rsidR="007069FF" w:rsidRPr="008F782C">
        <w:t xml:space="preserve"> reasonably resolve </w:t>
      </w:r>
      <w:r w:rsidR="00D859AE">
        <w:t xml:space="preserve">all issues in this proceeding. </w:t>
      </w:r>
      <w:r w:rsidR="00A63EC4">
        <w:t xml:space="preserve">The Settlement does not provide that the parties must accept any Commission conditions, but we require </w:t>
      </w:r>
      <w:r w:rsidR="00D3293E">
        <w:t xml:space="preserve">either </w:t>
      </w:r>
      <w:r w:rsidR="00A63EC4">
        <w:t>such acceptance</w:t>
      </w:r>
      <w:r w:rsidR="00F143C5">
        <w:t>, or rejection of the conditions and election to proceed with adjudication of the complaint,</w:t>
      </w:r>
      <w:r w:rsidR="00A63EC4">
        <w:t xml:space="preserve"> within five business days of the date of this Order</w:t>
      </w:r>
      <w:r w:rsidR="006B4B79" w:rsidRPr="008F782C">
        <w:t>.</w:t>
      </w:r>
    </w:p>
    <w:p w14:paraId="3BE971FF" w14:textId="77777777" w:rsidR="00A63EC4" w:rsidRPr="00840E07" w:rsidRDefault="00A63EC4" w:rsidP="00A63EC4">
      <w:pPr>
        <w:spacing w:after="240"/>
        <w:jc w:val="center"/>
        <w:rPr>
          <w:b/>
        </w:rPr>
      </w:pPr>
      <w:r w:rsidRPr="00840E07">
        <w:rPr>
          <w:b/>
        </w:rPr>
        <w:t>FINDINGS AND CONCLUSIONS</w:t>
      </w:r>
    </w:p>
    <w:p w14:paraId="436F1B3C" w14:textId="7D80F411" w:rsidR="00A63EC4" w:rsidRDefault="00A63EC4" w:rsidP="00326EBC">
      <w:pPr>
        <w:numPr>
          <w:ilvl w:val="0"/>
          <w:numId w:val="10"/>
        </w:numPr>
        <w:spacing w:after="240" w:line="264" w:lineRule="auto"/>
        <w:ind w:left="720" w:hanging="1440"/>
      </w:pPr>
      <w:r w:rsidRPr="00E63EB2">
        <w:t>(1)</w:t>
      </w:r>
      <w:r w:rsidRPr="00E63EB2">
        <w:tab/>
        <w:t xml:space="preserve">The Washington Utilities and Transportation Commission is an agency of the State of Washington vested by statute with authority to regulate </w:t>
      </w:r>
      <w:r w:rsidR="00E30412">
        <w:t>certain aspects of railroad company operations</w:t>
      </w:r>
      <w:r w:rsidRPr="00E63EB2">
        <w:t xml:space="preserve"> in Washington.  </w:t>
      </w:r>
    </w:p>
    <w:p w14:paraId="01DB467B" w14:textId="3AD4A66F" w:rsidR="00A63EC4" w:rsidRDefault="00A63EC4" w:rsidP="00326EBC">
      <w:pPr>
        <w:numPr>
          <w:ilvl w:val="0"/>
          <w:numId w:val="10"/>
        </w:numPr>
        <w:spacing w:after="240" w:line="264" w:lineRule="auto"/>
        <w:ind w:left="720" w:hanging="1440"/>
      </w:pPr>
      <w:r w:rsidRPr="00A5070E">
        <w:t>(2)</w:t>
      </w:r>
      <w:r w:rsidRPr="00A5070E">
        <w:tab/>
        <w:t>The Commission has jurisdiction over the subject matter of this proceeding and over</w:t>
      </w:r>
      <w:r>
        <w:t xml:space="preserve"> BNSF</w:t>
      </w:r>
      <w:r w:rsidRPr="00A5070E">
        <w:t xml:space="preserve">. </w:t>
      </w:r>
    </w:p>
    <w:p w14:paraId="202C8FB9" w14:textId="3EFB33BD" w:rsidR="00C4605D" w:rsidRDefault="00C4605D" w:rsidP="00326EBC">
      <w:pPr>
        <w:numPr>
          <w:ilvl w:val="0"/>
          <w:numId w:val="10"/>
        </w:numPr>
        <w:spacing w:after="240" w:line="264" w:lineRule="auto"/>
        <w:ind w:left="720" w:hanging="1440"/>
      </w:pPr>
      <w:r>
        <w:t>(3)</w:t>
      </w:r>
      <w:r>
        <w:tab/>
        <w:t>The reporting requirement</w:t>
      </w:r>
      <w:r w:rsidR="00D3293E">
        <w:t>s</w:t>
      </w:r>
      <w:r>
        <w:t xml:space="preserve"> in WAC 480-62-310 play an important role in the Commission’s and other state agencies’ efforts to protect the public.</w:t>
      </w:r>
    </w:p>
    <w:p w14:paraId="247FD699" w14:textId="6787B205" w:rsidR="00C4605D" w:rsidRDefault="00C4605D" w:rsidP="00326EBC">
      <w:pPr>
        <w:numPr>
          <w:ilvl w:val="0"/>
          <w:numId w:val="10"/>
        </w:numPr>
        <w:spacing w:after="240" w:line="264" w:lineRule="auto"/>
        <w:ind w:left="720" w:hanging="1440"/>
      </w:pPr>
      <w:r>
        <w:t>(4)</w:t>
      </w:r>
      <w:r>
        <w:tab/>
        <w:t xml:space="preserve">The Settlement has two essential terms: (1) a penalty of $71,700 assessed against BNSF, of which $40,000 will be suspended </w:t>
      </w:r>
      <w:r w:rsidR="00D3293E">
        <w:t xml:space="preserve">and then waived </w:t>
      </w:r>
      <w:r>
        <w:t>on condition of the Company’s compliance with WAC 480-62-310</w:t>
      </w:r>
      <w:r w:rsidR="00D3293E">
        <w:t xml:space="preserve"> for one year</w:t>
      </w:r>
      <w:r>
        <w:t>; and (2) a requirement that the parties meet to discuss best practices for BNSF to comply with the rule.</w:t>
      </w:r>
    </w:p>
    <w:p w14:paraId="2DC859EB" w14:textId="11CA1369" w:rsidR="00C4605D" w:rsidRDefault="00C4605D" w:rsidP="00326EBC">
      <w:pPr>
        <w:numPr>
          <w:ilvl w:val="0"/>
          <w:numId w:val="10"/>
        </w:numPr>
        <w:spacing w:after="240" w:line="264" w:lineRule="auto"/>
        <w:ind w:left="720" w:hanging="1440"/>
      </w:pPr>
      <w:r>
        <w:t>(5)</w:t>
      </w:r>
      <w:r>
        <w:tab/>
        <w:t xml:space="preserve">The Settlement reduces the total number of possible violations to 239, one-third of the 700 violations alleged in the complaint. The vast majority of that reduction is attributable to six events the complaint alleges BNSF never reported to the </w:t>
      </w:r>
      <w:proofErr w:type="spellStart"/>
      <w:r>
        <w:t>EOC</w:t>
      </w:r>
      <w:proofErr w:type="spellEnd"/>
      <w:r>
        <w:t xml:space="preserve">, but which Staff subsequently learned from the </w:t>
      </w:r>
      <w:proofErr w:type="spellStart"/>
      <w:r>
        <w:t>EOC</w:t>
      </w:r>
      <w:proofErr w:type="spellEnd"/>
      <w:r>
        <w:t xml:space="preserve"> or BNSF that the Company had reported the day they occurred</w:t>
      </w:r>
      <w:r w:rsidR="00544C32">
        <w:t xml:space="preserve"> but which the </w:t>
      </w:r>
      <w:proofErr w:type="spellStart"/>
      <w:r w:rsidR="00544C32">
        <w:t>EOC</w:t>
      </w:r>
      <w:proofErr w:type="spellEnd"/>
      <w:r w:rsidR="00544C32">
        <w:t xml:space="preserve"> did not provide to Staff</w:t>
      </w:r>
      <w:r>
        <w:t>.</w:t>
      </w:r>
    </w:p>
    <w:p w14:paraId="18268B0A" w14:textId="2B535302" w:rsidR="0083376A" w:rsidRDefault="00C4605D" w:rsidP="00326EBC">
      <w:pPr>
        <w:numPr>
          <w:ilvl w:val="0"/>
          <w:numId w:val="10"/>
        </w:numPr>
        <w:spacing w:after="240" w:line="264" w:lineRule="auto"/>
        <w:ind w:left="720" w:hanging="1440"/>
      </w:pPr>
      <w:r>
        <w:lastRenderedPageBreak/>
        <w:t>(6)</w:t>
      </w:r>
      <w:r>
        <w:tab/>
      </w:r>
      <w:r w:rsidR="0083376A">
        <w:t xml:space="preserve">The Commission should direct Staff to work with the </w:t>
      </w:r>
      <w:proofErr w:type="spellStart"/>
      <w:r w:rsidR="0083376A">
        <w:t>EOC</w:t>
      </w:r>
      <w:proofErr w:type="spellEnd"/>
      <w:r w:rsidR="0083376A">
        <w:t xml:space="preserve"> to develop a memorandum of understanding or other agreement between the </w:t>
      </w:r>
      <w:proofErr w:type="spellStart"/>
      <w:r w:rsidR="0083376A">
        <w:t>EOC</w:t>
      </w:r>
      <w:proofErr w:type="spellEnd"/>
      <w:r w:rsidR="0083376A">
        <w:t xml:space="preserve"> and the Commission establishing the expectations, procedures, and responsibilities of each agency arising from the reporting that WAC 480-62-310 requires. </w:t>
      </w:r>
    </w:p>
    <w:p w14:paraId="6FF401E1" w14:textId="56F8D417" w:rsidR="00D26E33" w:rsidRDefault="002F00F9" w:rsidP="00326EBC">
      <w:pPr>
        <w:numPr>
          <w:ilvl w:val="0"/>
          <w:numId w:val="10"/>
        </w:numPr>
        <w:spacing w:after="240" w:line="264" w:lineRule="auto"/>
        <w:ind w:left="720" w:hanging="1440"/>
      </w:pPr>
      <w:r>
        <w:t>(7</w:t>
      </w:r>
      <w:r w:rsidR="0083376A">
        <w:t>)</w:t>
      </w:r>
      <w:r w:rsidR="0083376A">
        <w:tab/>
        <w:t xml:space="preserve">The Commission should condition approval of the Settlement on Staff and BNSF </w:t>
      </w:r>
      <w:r w:rsidR="00D3293E">
        <w:t>providing a recommendation to</w:t>
      </w:r>
      <w:r w:rsidR="0083376A">
        <w:t xml:space="preserve"> the Commission on the desirability and feasibility of the Company reporting the events specified in the rule both to the </w:t>
      </w:r>
      <w:proofErr w:type="spellStart"/>
      <w:r w:rsidR="0083376A">
        <w:t>EOC</w:t>
      </w:r>
      <w:proofErr w:type="spellEnd"/>
      <w:r w:rsidR="0083376A">
        <w:t xml:space="preserve"> and to Staff</w:t>
      </w:r>
      <w:r w:rsidR="00D26E33">
        <w:t>.</w:t>
      </w:r>
    </w:p>
    <w:p w14:paraId="09080F4D" w14:textId="2333264A" w:rsidR="0083376A" w:rsidRDefault="002F00F9" w:rsidP="00326EBC">
      <w:pPr>
        <w:numPr>
          <w:ilvl w:val="0"/>
          <w:numId w:val="10"/>
        </w:numPr>
        <w:spacing w:after="240" w:line="264" w:lineRule="auto"/>
        <w:ind w:left="720" w:hanging="1440"/>
      </w:pPr>
      <w:r>
        <w:t>(8</w:t>
      </w:r>
      <w:r w:rsidR="00D26E33">
        <w:t>)</w:t>
      </w:r>
      <w:r w:rsidR="00D26E33">
        <w:tab/>
        <w:t>The</w:t>
      </w:r>
      <w:r w:rsidR="00D26E33" w:rsidRPr="00D26E33">
        <w:t xml:space="preserve"> </w:t>
      </w:r>
      <w:r w:rsidR="00D26E33">
        <w:t xml:space="preserve">Settlement does not resolve the dispute over the </w:t>
      </w:r>
      <w:r w:rsidR="00D3293E">
        <w:t>types of</w:t>
      </w:r>
      <w:r w:rsidR="00D26E33">
        <w:t xml:space="preserve"> events BNSF must report pursuant to WAC 480-62-310.</w:t>
      </w:r>
      <w:r w:rsidR="00C4605D">
        <w:t xml:space="preserve"> Although BNSF admits the Company violated </w:t>
      </w:r>
      <w:r w:rsidR="00544C32">
        <w:t>that rule</w:t>
      </w:r>
      <w:r w:rsidR="00C4605D">
        <w:t xml:space="preserve">, the Company continues to dispute each of the </w:t>
      </w:r>
      <w:r w:rsidR="00FE0CB7">
        <w:t xml:space="preserve">239 </w:t>
      </w:r>
      <w:r w:rsidR="00C4605D">
        <w:t xml:space="preserve">violations </w:t>
      </w:r>
      <w:r w:rsidR="00FE0CB7">
        <w:t>the Settlement covers. Staff similarly agreed not to pursue two of the 14 events alleged in the complaint but only for settlement purposes.</w:t>
      </w:r>
    </w:p>
    <w:p w14:paraId="00C2B3E9" w14:textId="64CEA318" w:rsidR="00FE0CB7" w:rsidRDefault="002F00F9" w:rsidP="00326EBC">
      <w:pPr>
        <w:numPr>
          <w:ilvl w:val="0"/>
          <w:numId w:val="10"/>
        </w:numPr>
        <w:spacing w:after="240" w:line="264" w:lineRule="auto"/>
        <w:ind w:left="720" w:hanging="1440"/>
      </w:pPr>
      <w:r>
        <w:t>(9</w:t>
      </w:r>
      <w:r w:rsidR="00FE0CB7">
        <w:t>)</w:t>
      </w:r>
      <w:r w:rsidR="00FE0CB7">
        <w:tab/>
        <w:t>Without a common understanding between BNSF and Staff of the events the Company must report pursuant to WAC 480-62-310, disputes likely will continue to arise over BNSF’s compliance with that rule.</w:t>
      </w:r>
    </w:p>
    <w:p w14:paraId="2F2567B7" w14:textId="360C3D0C" w:rsidR="009C7489" w:rsidRDefault="00FE0CB7" w:rsidP="00326EBC">
      <w:pPr>
        <w:numPr>
          <w:ilvl w:val="0"/>
          <w:numId w:val="10"/>
        </w:numPr>
        <w:spacing w:after="240" w:line="264" w:lineRule="auto"/>
        <w:ind w:left="720" w:hanging="1440"/>
      </w:pPr>
      <w:r>
        <w:t>(1</w:t>
      </w:r>
      <w:r w:rsidR="002F00F9">
        <w:t>0</w:t>
      </w:r>
      <w:r w:rsidR="00D26E33">
        <w:t>)</w:t>
      </w:r>
      <w:r w:rsidR="00D26E33">
        <w:tab/>
        <w:t>The Commission should condition its approval of the Settlement on the parties filing a stipulation detailing how BNSF will comply with WAC 480-62-310 in the future. The Commission should require that stipulation, at a minimum, to address</w:t>
      </w:r>
      <w:r w:rsidR="00C0361A">
        <w:t xml:space="preserve"> the following:</w:t>
      </w:r>
    </w:p>
    <w:p w14:paraId="2ECF7955" w14:textId="1A6A7465" w:rsidR="009C7489" w:rsidRDefault="009C7489" w:rsidP="00537FA8">
      <w:pPr>
        <w:pStyle w:val="FindingsConclusions"/>
        <w:numPr>
          <w:ilvl w:val="0"/>
          <w:numId w:val="0"/>
        </w:numPr>
        <w:spacing w:after="240" w:line="264" w:lineRule="auto"/>
        <w:ind w:left="1080" w:hanging="450"/>
        <w:rPr>
          <w:rFonts w:eastAsia="Calibri"/>
        </w:rPr>
      </w:pPr>
      <w:r>
        <w:t>(a</w:t>
      </w:r>
      <w:r w:rsidR="00D26E33">
        <w:t xml:space="preserve">) </w:t>
      </w:r>
      <w:r w:rsidR="00537FA8">
        <w:t xml:space="preserve"> </w:t>
      </w:r>
      <w:r w:rsidR="00D26E33">
        <w:rPr>
          <w:rFonts w:eastAsia="Calibri"/>
        </w:rPr>
        <w:t>what constitutes an “event</w:t>
      </w:r>
      <w:r w:rsidR="00D26E33" w:rsidRPr="00E42DBE">
        <w:t xml:space="preserve"> </w:t>
      </w:r>
      <w:r w:rsidR="00D26E33">
        <w:t>connected to the operation of the railroad company that results in the . . . [r]</w:t>
      </w:r>
      <w:proofErr w:type="spellStart"/>
      <w:r w:rsidR="00D26E33">
        <w:t>elease</w:t>
      </w:r>
      <w:proofErr w:type="spellEnd"/>
      <w:r w:rsidR="00D26E33">
        <w:t xml:space="preserve"> of any hazardous material</w:t>
      </w:r>
      <w:r w:rsidR="00D26E33">
        <w:rPr>
          <w:rFonts w:eastAsia="Calibri"/>
        </w:rPr>
        <w:t xml:space="preserve">” that BNSF will report pursuant to WAC 480-62-310, at least with respect to the types of events at issue in this docket; </w:t>
      </w:r>
    </w:p>
    <w:p w14:paraId="1A5C581F" w14:textId="45868C6A" w:rsidR="00C0361A" w:rsidRDefault="00D26E33" w:rsidP="00537FA8">
      <w:pPr>
        <w:pStyle w:val="FindingsConclusions"/>
        <w:numPr>
          <w:ilvl w:val="0"/>
          <w:numId w:val="0"/>
        </w:numPr>
        <w:spacing w:after="240" w:line="264" w:lineRule="auto"/>
        <w:ind w:left="1080" w:hanging="450"/>
        <w:rPr>
          <w:rFonts w:eastAsia="Calibri"/>
        </w:rPr>
      </w:pPr>
      <w:r>
        <w:rPr>
          <w:rFonts w:eastAsia="Calibri"/>
        </w:rPr>
        <w:t>(</w:t>
      </w:r>
      <w:r w:rsidR="009C7489">
        <w:rPr>
          <w:rFonts w:eastAsia="Calibri"/>
        </w:rPr>
        <w:t>b</w:t>
      </w:r>
      <w:r>
        <w:rPr>
          <w:rFonts w:eastAsia="Calibri"/>
        </w:rPr>
        <w:t xml:space="preserve">) </w:t>
      </w:r>
      <w:r w:rsidR="00537FA8">
        <w:rPr>
          <w:rFonts w:eastAsia="Calibri"/>
        </w:rPr>
        <w:t xml:space="preserve">  </w:t>
      </w:r>
      <w:r>
        <w:rPr>
          <w:rFonts w:eastAsia="Calibri"/>
        </w:rPr>
        <w:t xml:space="preserve">what constitutes a “hazardous material” the release of which BNSF Railway Company will report pursuant to WAC 480-62-310, with examples of materials that the Commission should (or should not) consider to be “hazardous” within the meaning of the rule, at least with respect to the materials at issue in this docket; and </w:t>
      </w:r>
    </w:p>
    <w:p w14:paraId="1BC6D7B1" w14:textId="6588A09D" w:rsidR="00D26E33" w:rsidRPr="00D26E33" w:rsidRDefault="00D26E33" w:rsidP="00537FA8">
      <w:pPr>
        <w:pStyle w:val="FindingsConclusions"/>
        <w:numPr>
          <w:ilvl w:val="0"/>
          <w:numId w:val="0"/>
        </w:numPr>
        <w:spacing w:after="240" w:line="264" w:lineRule="auto"/>
        <w:ind w:left="1080" w:hanging="450"/>
      </w:pPr>
      <w:r>
        <w:rPr>
          <w:rFonts w:eastAsia="Calibri"/>
        </w:rPr>
        <w:t>(</w:t>
      </w:r>
      <w:r w:rsidR="00C0361A">
        <w:rPr>
          <w:rFonts w:eastAsia="Calibri"/>
        </w:rPr>
        <w:t>c</w:t>
      </w:r>
      <w:r>
        <w:rPr>
          <w:rFonts w:eastAsia="Calibri"/>
        </w:rPr>
        <w:t xml:space="preserve">) </w:t>
      </w:r>
      <w:r w:rsidR="00537FA8">
        <w:rPr>
          <w:rFonts w:eastAsia="Calibri"/>
        </w:rPr>
        <w:t xml:space="preserve">  </w:t>
      </w:r>
      <w:proofErr w:type="gramStart"/>
      <w:r>
        <w:rPr>
          <w:rFonts w:eastAsia="Calibri"/>
        </w:rPr>
        <w:t>the</w:t>
      </w:r>
      <w:proofErr w:type="gramEnd"/>
      <w:r>
        <w:rPr>
          <w:rFonts w:eastAsia="Calibri"/>
        </w:rPr>
        <w:t xml:space="preserve"> best practices for compliance with WAC 480-62-310 that BNSF will implement and the strategies Staff and the Company will use for more effective communication between them.</w:t>
      </w:r>
    </w:p>
    <w:p w14:paraId="32E59638" w14:textId="185C2171" w:rsidR="00D26E33" w:rsidRDefault="00D26E33" w:rsidP="00326EBC">
      <w:pPr>
        <w:numPr>
          <w:ilvl w:val="0"/>
          <w:numId w:val="10"/>
        </w:numPr>
        <w:spacing w:after="240" w:line="264" w:lineRule="auto"/>
        <w:ind w:left="720" w:hanging="1440"/>
      </w:pPr>
      <w:r>
        <w:rPr>
          <w:rFonts w:eastAsia="Calibri"/>
        </w:rPr>
        <w:lastRenderedPageBreak/>
        <w:t>(</w:t>
      </w:r>
      <w:r w:rsidR="00FE0CB7">
        <w:rPr>
          <w:rFonts w:eastAsia="Calibri"/>
        </w:rPr>
        <w:t>1</w:t>
      </w:r>
      <w:r w:rsidR="002F00F9">
        <w:rPr>
          <w:rFonts w:eastAsia="Calibri"/>
        </w:rPr>
        <w:t>1</w:t>
      </w:r>
      <w:r>
        <w:rPr>
          <w:rFonts w:eastAsia="Calibri"/>
        </w:rPr>
        <w:t>)</w:t>
      </w:r>
      <w:r>
        <w:rPr>
          <w:rFonts w:eastAsia="Calibri"/>
        </w:rPr>
        <w:tab/>
      </w:r>
      <w:r w:rsidR="00537FA8">
        <w:t>Under the circumstances presented here, $71,700 is an appropriate penalty for the violations at issue.</w:t>
      </w:r>
    </w:p>
    <w:p w14:paraId="5BA9B441" w14:textId="21C2EBC4" w:rsidR="00537FA8" w:rsidRDefault="00537FA8" w:rsidP="00326EBC">
      <w:pPr>
        <w:numPr>
          <w:ilvl w:val="0"/>
          <w:numId w:val="10"/>
        </w:numPr>
        <w:spacing w:after="240" w:line="264" w:lineRule="auto"/>
        <w:ind w:left="720" w:hanging="1440"/>
      </w:pPr>
      <w:r>
        <w:t>(1</w:t>
      </w:r>
      <w:r w:rsidR="002F00F9">
        <w:t>2</w:t>
      </w:r>
      <w:r>
        <w:t>)</w:t>
      </w:r>
      <w:r>
        <w:tab/>
        <w:t xml:space="preserve">Suspending and </w:t>
      </w:r>
      <w:r w:rsidR="00D3293E">
        <w:t>then</w:t>
      </w:r>
      <w:r>
        <w:t xml:space="preserve"> waiving $40,000 of the assessed penalty conditioned on BNSF’s future compliance with WAC 480-62-310 would not be in the public interest. BNSF has complied with the rule since the Commission initiated this proceeding. Suspension and waiver of any portion of the penalty would not achieve its intended purpose</w:t>
      </w:r>
      <w:r w:rsidR="00D3293E">
        <w:t xml:space="preserve"> of creating an additional incentive to comply with the rule</w:t>
      </w:r>
      <w:r>
        <w:t>, particularly when BNSF and Staff continue to disagree on the events BNSF must report.</w:t>
      </w:r>
    </w:p>
    <w:p w14:paraId="1797EF4C" w14:textId="775CE99A" w:rsidR="00537FA8" w:rsidRDefault="002F00F9" w:rsidP="00326EBC">
      <w:pPr>
        <w:numPr>
          <w:ilvl w:val="0"/>
          <w:numId w:val="10"/>
        </w:numPr>
        <w:spacing w:after="240" w:line="264" w:lineRule="auto"/>
        <w:ind w:left="720" w:hanging="1440"/>
      </w:pPr>
      <w:r>
        <w:t>(13</w:t>
      </w:r>
      <w:r w:rsidR="00537FA8">
        <w:t>)</w:t>
      </w:r>
      <w:r w:rsidR="00537FA8">
        <w:tab/>
      </w:r>
      <w:r w:rsidR="00A04171">
        <w:t>The Settlement covers 239 serious violations by a very large company that has violated its regulatory obligations in the recent past. Imposing the entire penalty of $71,700 would be more effective than suspending</w:t>
      </w:r>
      <w:r w:rsidR="00D3293E">
        <w:t xml:space="preserve"> and waiving</w:t>
      </w:r>
      <w:r w:rsidR="00A04171">
        <w:t xml:space="preserve"> a portion of that amount, both to provide BNSF with an additional incentive to comply with its reporting obligations and to penalize the Company for its past failure to do so.</w:t>
      </w:r>
    </w:p>
    <w:p w14:paraId="759DB020" w14:textId="79C4710C" w:rsidR="00A04171" w:rsidRDefault="002F00F9" w:rsidP="00326EBC">
      <w:pPr>
        <w:numPr>
          <w:ilvl w:val="0"/>
          <w:numId w:val="10"/>
        </w:numPr>
        <w:spacing w:after="240" w:line="264" w:lineRule="auto"/>
        <w:ind w:left="720" w:hanging="1440"/>
      </w:pPr>
      <w:r>
        <w:t>(14</w:t>
      </w:r>
      <w:r w:rsidR="00A04171">
        <w:t>)</w:t>
      </w:r>
      <w:r w:rsidR="00A04171">
        <w:tab/>
        <w:t>The Commission should condition approval of the Settlement on deletion of the provision that suspends and waives after one year $40,000 of the assessed penalty.</w:t>
      </w:r>
    </w:p>
    <w:p w14:paraId="4ED08266" w14:textId="131B1EFF" w:rsidR="00A04171" w:rsidRDefault="00A04171" w:rsidP="00326EBC">
      <w:pPr>
        <w:numPr>
          <w:ilvl w:val="0"/>
          <w:numId w:val="10"/>
        </w:numPr>
        <w:spacing w:after="240" w:line="264" w:lineRule="auto"/>
        <w:ind w:left="720" w:hanging="1440"/>
      </w:pPr>
      <w:r>
        <w:t>(1</w:t>
      </w:r>
      <w:r w:rsidR="002F00F9">
        <w:t>5</w:t>
      </w:r>
      <w:r>
        <w:t>)</w:t>
      </w:r>
      <w:r>
        <w:tab/>
      </w:r>
      <w:r w:rsidRPr="008F782C">
        <w:t>With th</w:t>
      </w:r>
      <w:r>
        <w:t xml:space="preserve">e </w:t>
      </w:r>
      <w:r w:rsidRPr="008F782C">
        <w:t>condition</w:t>
      </w:r>
      <w:r>
        <w:t>s required in this Order</w:t>
      </w:r>
      <w:r w:rsidRPr="008F782C">
        <w:t>, the terms of the Settlement are not contrary to law or public policy</w:t>
      </w:r>
      <w:r>
        <w:t xml:space="preserve"> and</w:t>
      </w:r>
      <w:r w:rsidRPr="008F782C">
        <w:t xml:space="preserve"> reasonably resolve </w:t>
      </w:r>
      <w:r>
        <w:t>all issues in this proceeding.</w:t>
      </w:r>
    </w:p>
    <w:p w14:paraId="79CA1001" w14:textId="7491537E" w:rsidR="00A04171" w:rsidRPr="008F782C" w:rsidRDefault="002F00F9" w:rsidP="00326EBC">
      <w:pPr>
        <w:numPr>
          <w:ilvl w:val="0"/>
          <w:numId w:val="10"/>
        </w:numPr>
        <w:spacing w:after="240" w:line="264" w:lineRule="auto"/>
        <w:ind w:left="720" w:hanging="1440"/>
      </w:pPr>
      <w:r>
        <w:t>(16</w:t>
      </w:r>
      <w:r w:rsidR="00A04171">
        <w:t>)</w:t>
      </w:r>
      <w:r w:rsidR="00A04171">
        <w:tab/>
        <w:t>The Commission should require the parties</w:t>
      </w:r>
      <w:r w:rsidR="00D3293E">
        <w:t>, within five business days of the date of this Order, either</w:t>
      </w:r>
      <w:r w:rsidR="00A04171">
        <w:t xml:space="preserve"> to accept the conditions in this Order or </w:t>
      </w:r>
      <w:r w:rsidR="00D3293E">
        <w:t xml:space="preserve">to </w:t>
      </w:r>
      <w:r w:rsidR="00A04171">
        <w:t xml:space="preserve">reject those conditions and proceed to adjudication of the complaint. </w:t>
      </w:r>
    </w:p>
    <w:p w14:paraId="5DD3A26E" w14:textId="77777777" w:rsidR="00A43DC9" w:rsidRPr="008F782C" w:rsidRDefault="00A43DC9" w:rsidP="003048B5">
      <w:pPr>
        <w:pStyle w:val="ListParagraph"/>
        <w:tabs>
          <w:tab w:val="left" w:pos="0"/>
        </w:tabs>
        <w:spacing w:after="240" w:line="264" w:lineRule="auto"/>
        <w:ind w:left="0"/>
        <w:jc w:val="center"/>
        <w:rPr>
          <w:b/>
        </w:rPr>
      </w:pPr>
      <w:r w:rsidRPr="008F782C">
        <w:rPr>
          <w:b/>
        </w:rPr>
        <w:t>ORDER</w:t>
      </w:r>
    </w:p>
    <w:p w14:paraId="180A5394" w14:textId="77777777" w:rsidR="00A43DC9" w:rsidRPr="008F782C" w:rsidRDefault="00A43DC9" w:rsidP="003048B5">
      <w:pPr>
        <w:spacing w:after="240" w:line="264" w:lineRule="auto"/>
        <w:ind w:left="-720" w:firstLine="720"/>
      </w:pPr>
      <w:r w:rsidRPr="008F782C">
        <w:t>THE COMMISSION ORDERS:</w:t>
      </w:r>
    </w:p>
    <w:p w14:paraId="10C3819D" w14:textId="7EE47E60" w:rsidR="00A43DC9" w:rsidRPr="008F782C" w:rsidRDefault="00A43DC9" w:rsidP="003048B5">
      <w:pPr>
        <w:numPr>
          <w:ilvl w:val="0"/>
          <w:numId w:val="10"/>
        </w:numPr>
        <w:spacing w:after="240" w:line="264" w:lineRule="auto"/>
        <w:ind w:left="720" w:hanging="1440"/>
        <w:rPr>
          <w:rFonts w:eastAsia="Calibri"/>
        </w:rPr>
      </w:pPr>
      <w:r w:rsidRPr="008F782C">
        <w:rPr>
          <w:rFonts w:eastAsia="Calibri"/>
        </w:rPr>
        <w:t>(1)</w:t>
      </w:r>
      <w:r w:rsidRPr="008F782C">
        <w:rPr>
          <w:rFonts w:eastAsia="Calibri"/>
        </w:rPr>
        <w:tab/>
      </w:r>
      <w:r w:rsidR="002851A4" w:rsidRPr="008F782C">
        <w:rPr>
          <w:rFonts w:eastAsia="Calibri"/>
        </w:rPr>
        <w:t xml:space="preserve">The </w:t>
      </w:r>
      <w:r w:rsidR="00847C90" w:rsidRPr="008F782C">
        <w:rPr>
          <w:rFonts w:eastAsia="Calibri"/>
        </w:rPr>
        <w:t xml:space="preserve">Commission approves the </w:t>
      </w:r>
      <w:r w:rsidR="002851A4" w:rsidRPr="008F782C">
        <w:t>Settlement</w:t>
      </w:r>
      <w:r w:rsidR="00507042" w:rsidRPr="008F782C">
        <w:t xml:space="preserve"> Agreement</w:t>
      </w:r>
      <w:r w:rsidR="00395E32" w:rsidRPr="008F782C">
        <w:t>,</w:t>
      </w:r>
      <w:r w:rsidR="002851A4" w:rsidRPr="008F782C">
        <w:t xml:space="preserve"> </w:t>
      </w:r>
      <w:r w:rsidR="00847C90" w:rsidRPr="008F782C">
        <w:t xml:space="preserve">which </w:t>
      </w:r>
      <w:r w:rsidR="002851A4" w:rsidRPr="008F782C">
        <w:t>is attached as Exhibit A to, and incorporated into, this Order</w:t>
      </w:r>
      <w:r w:rsidR="00395E32" w:rsidRPr="008F782C">
        <w:t>,</w:t>
      </w:r>
      <w:r w:rsidR="002851A4" w:rsidRPr="008F782C">
        <w:t xml:space="preserve"> and adopt</w:t>
      </w:r>
      <w:r w:rsidR="00847C90" w:rsidRPr="008F782C">
        <w:t>s th</w:t>
      </w:r>
      <w:r w:rsidR="008D5433" w:rsidRPr="008F782C">
        <w:t>e Settlement A</w:t>
      </w:r>
      <w:r w:rsidR="00847C90" w:rsidRPr="008F782C">
        <w:t>greement</w:t>
      </w:r>
      <w:r w:rsidR="002851A4" w:rsidRPr="008F782C">
        <w:t xml:space="preserve"> as the final resolution of the disputed issues in th</w:t>
      </w:r>
      <w:r w:rsidR="00395E32" w:rsidRPr="008F782C">
        <w:t>is</w:t>
      </w:r>
      <w:r w:rsidR="002851A4" w:rsidRPr="008F782C">
        <w:t xml:space="preserve"> docket</w:t>
      </w:r>
      <w:r w:rsidR="00847C90" w:rsidRPr="008F782C">
        <w:t xml:space="preserve"> </w:t>
      </w:r>
      <w:r w:rsidR="00FD09BF">
        <w:t xml:space="preserve">with the additional conditions described </w:t>
      </w:r>
      <w:r w:rsidR="00847C90" w:rsidRPr="008F782C">
        <w:t>in this Order</w:t>
      </w:r>
      <w:r w:rsidR="008452EF" w:rsidRPr="008F782C">
        <w:t>.</w:t>
      </w:r>
    </w:p>
    <w:p w14:paraId="6BB5A2B9" w14:textId="44480B80" w:rsidR="00477074" w:rsidRPr="008F782C" w:rsidRDefault="00A43DC9" w:rsidP="003048B5">
      <w:pPr>
        <w:numPr>
          <w:ilvl w:val="0"/>
          <w:numId w:val="10"/>
        </w:numPr>
        <w:spacing w:after="240" w:line="264" w:lineRule="auto"/>
        <w:ind w:left="720" w:hanging="1440"/>
        <w:rPr>
          <w:rFonts w:eastAsia="Calibri"/>
        </w:rPr>
      </w:pPr>
      <w:r w:rsidRPr="008F782C">
        <w:rPr>
          <w:rFonts w:eastAsia="Calibri"/>
        </w:rPr>
        <w:t>(2)</w:t>
      </w:r>
      <w:r w:rsidRPr="008F782C">
        <w:rPr>
          <w:rFonts w:eastAsia="Calibri"/>
        </w:rPr>
        <w:tab/>
      </w:r>
      <w:r w:rsidR="00A32857" w:rsidRPr="008F782C">
        <w:rPr>
          <w:rFonts w:eastAsia="Calibri"/>
        </w:rPr>
        <w:t xml:space="preserve">The Commission assesses </w:t>
      </w:r>
      <w:r w:rsidR="00A32857" w:rsidRPr="008F782C">
        <w:t>a penalty of $</w:t>
      </w:r>
      <w:r w:rsidR="003048B5">
        <w:t xml:space="preserve">71,700, which is due and payable </w:t>
      </w:r>
      <w:r w:rsidR="00572F50">
        <w:t xml:space="preserve">in its entirety </w:t>
      </w:r>
      <w:r w:rsidR="003048B5">
        <w:t xml:space="preserve">within 10 </w:t>
      </w:r>
      <w:r w:rsidR="00F733F6">
        <w:t xml:space="preserve">business </w:t>
      </w:r>
      <w:r w:rsidR="003048B5">
        <w:t>days from the date of this Order</w:t>
      </w:r>
      <w:r w:rsidR="00230229" w:rsidRPr="008F782C">
        <w:t>.</w:t>
      </w:r>
      <w:r w:rsidR="00CA56F2" w:rsidRPr="008F782C">
        <w:t xml:space="preserve">  </w:t>
      </w:r>
    </w:p>
    <w:p w14:paraId="10D37FB7" w14:textId="09D7A8B5" w:rsidR="00AE2F02" w:rsidRDefault="00477074" w:rsidP="003048B5">
      <w:pPr>
        <w:numPr>
          <w:ilvl w:val="0"/>
          <w:numId w:val="10"/>
        </w:numPr>
        <w:spacing w:after="240" w:line="264" w:lineRule="auto"/>
        <w:ind w:left="720" w:hanging="1440"/>
        <w:rPr>
          <w:rFonts w:eastAsia="Calibri"/>
        </w:rPr>
      </w:pPr>
      <w:r w:rsidRPr="008F782C">
        <w:rPr>
          <w:rFonts w:eastAsia="Calibri"/>
        </w:rPr>
        <w:lastRenderedPageBreak/>
        <w:t>(3)</w:t>
      </w:r>
      <w:r w:rsidRPr="008F782C">
        <w:rPr>
          <w:rFonts w:eastAsia="Calibri"/>
        </w:rPr>
        <w:tab/>
      </w:r>
      <w:r w:rsidR="00572F50">
        <w:rPr>
          <w:rFonts w:eastAsia="Calibri"/>
        </w:rPr>
        <w:t xml:space="preserve">By </w:t>
      </w:r>
      <w:r w:rsidR="002F00F9">
        <w:rPr>
          <w:rFonts w:eastAsia="Calibri"/>
        </w:rPr>
        <w:t>February</w:t>
      </w:r>
      <w:r w:rsidR="00572F50">
        <w:rPr>
          <w:rFonts w:eastAsia="Calibri"/>
        </w:rPr>
        <w:t xml:space="preserve"> 1, 2016, </w:t>
      </w:r>
      <w:r w:rsidR="00AE2F02">
        <w:rPr>
          <w:rFonts w:eastAsia="Calibri"/>
        </w:rPr>
        <w:t xml:space="preserve">BNSF Railway Company and </w:t>
      </w:r>
      <w:r w:rsidR="00572F50">
        <w:rPr>
          <w:rFonts w:eastAsia="Calibri"/>
        </w:rPr>
        <w:t xml:space="preserve">Commission Staff </w:t>
      </w:r>
      <w:r w:rsidR="00AE2F02">
        <w:rPr>
          <w:rFonts w:eastAsia="Calibri"/>
        </w:rPr>
        <w:t>must file a stipulation with the Commission that describes in detail the following:</w:t>
      </w:r>
    </w:p>
    <w:p w14:paraId="28943A6F" w14:textId="730773CB" w:rsidR="00E42DBE" w:rsidRDefault="00AE2F02" w:rsidP="00AE2F02">
      <w:pPr>
        <w:spacing w:after="240" w:line="264" w:lineRule="auto"/>
        <w:ind w:left="1440" w:hanging="720"/>
        <w:rPr>
          <w:rFonts w:eastAsia="Calibri"/>
        </w:rPr>
      </w:pPr>
      <w:r>
        <w:rPr>
          <w:rFonts w:eastAsia="Calibri"/>
        </w:rPr>
        <w:t>(a)</w:t>
      </w:r>
      <w:r>
        <w:rPr>
          <w:rFonts w:eastAsia="Calibri"/>
        </w:rPr>
        <w:tab/>
      </w:r>
      <w:r w:rsidR="00E42DBE">
        <w:rPr>
          <w:rFonts w:eastAsia="Calibri"/>
        </w:rPr>
        <w:t>What constitutes an “event</w:t>
      </w:r>
      <w:r w:rsidR="00E42DBE" w:rsidRPr="00E42DBE">
        <w:t xml:space="preserve"> </w:t>
      </w:r>
      <w:r w:rsidR="00E42DBE">
        <w:t>connected to the operation of the railroad company that results in the . . . [r]</w:t>
      </w:r>
      <w:proofErr w:type="spellStart"/>
      <w:r w:rsidR="00E42DBE">
        <w:t>elease</w:t>
      </w:r>
      <w:proofErr w:type="spellEnd"/>
      <w:r w:rsidR="00E42DBE">
        <w:t xml:space="preserve"> of any hazardous material</w:t>
      </w:r>
      <w:r w:rsidR="00E42DBE">
        <w:rPr>
          <w:rFonts w:eastAsia="Calibri"/>
        </w:rPr>
        <w:t xml:space="preserve">” that BNSF </w:t>
      </w:r>
      <w:r w:rsidR="009D603B">
        <w:rPr>
          <w:rFonts w:eastAsia="Calibri"/>
        </w:rPr>
        <w:t xml:space="preserve">Railway Company </w:t>
      </w:r>
      <w:r w:rsidR="00E42DBE">
        <w:rPr>
          <w:rFonts w:eastAsia="Calibri"/>
        </w:rPr>
        <w:t xml:space="preserve">will report pursuant to WAC 480-62-310, including but not necessarily limited to </w:t>
      </w:r>
      <w:r w:rsidR="00336D27">
        <w:rPr>
          <w:rFonts w:eastAsia="Calibri"/>
        </w:rPr>
        <w:t xml:space="preserve">the extent to which BNSF Railway Company will report </w:t>
      </w:r>
      <w:r w:rsidR="00E42DBE">
        <w:rPr>
          <w:rFonts w:eastAsia="Calibri"/>
        </w:rPr>
        <w:t xml:space="preserve">leaks or spills on the property of a shipper </w:t>
      </w:r>
      <w:r w:rsidR="00336D27">
        <w:rPr>
          <w:rFonts w:eastAsia="Calibri"/>
        </w:rPr>
        <w:t xml:space="preserve">or a third party </w:t>
      </w:r>
      <w:r w:rsidR="00E42DBE">
        <w:rPr>
          <w:rFonts w:eastAsia="Calibri"/>
        </w:rPr>
        <w:t xml:space="preserve">and the other </w:t>
      </w:r>
      <w:r w:rsidR="0020361D">
        <w:rPr>
          <w:rFonts w:eastAsia="Calibri"/>
        </w:rPr>
        <w:t xml:space="preserve">types of </w:t>
      </w:r>
      <w:r w:rsidR="00E42DBE">
        <w:rPr>
          <w:rFonts w:eastAsia="Calibri"/>
        </w:rPr>
        <w:t xml:space="preserve">events involved in the violations alleged in the complaint; </w:t>
      </w:r>
    </w:p>
    <w:p w14:paraId="7C6D2CD7" w14:textId="77777777" w:rsidR="00E42DBE" w:rsidRDefault="00E42DBE" w:rsidP="00AE2F02">
      <w:pPr>
        <w:spacing w:after="240" w:line="264" w:lineRule="auto"/>
        <w:ind w:left="1440" w:hanging="720"/>
        <w:rPr>
          <w:rFonts w:eastAsia="Calibri"/>
        </w:rPr>
      </w:pPr>
      <w:r>
        <w:rPr>
          <w:rFonts w:eastAsia="Calibri"/>
        </w:rPr>
        <w:t>(b)</w:t>
      </w:r>
      <w:r>
        <w:rPr>
          <w:rFonts w:eastAsia="Calibri"/>
        </w:rPr>
        <w:tab/>
        <w:t>What constitutes a “hazardous material” the release of which BNSF Railway Company will report pursuant to WAC 480-62-310, with examples of materials that the Commission should (or should not) consider to be “hazardous” within the meaning of the rule, including but not necessarily limited to the materials involved in the violations alleged in the complaint; and</w:t>
      </w:r>
    </w:p>
    <w:p w14:paraId="2C41CEB2" w14:textId="2B8FBA49" w:rsidR="0043009C" w:rsidRPr="008F782C" w:rsidRDefault="00E42DBE" w:rsidP="00AE2F02">
      <w:pPr>
        <w:spacing w:after="240" w:line="264" w:lineRule="auto"/>
        <w:ind w:left="1440" w:hanging="720"/>
        <w:rPr>
          <w:rFonts w:eastAsia="Calibri"/>
        </w:rPr>
      </w:pPr>
      <w:r>
        <w:rPr>
          <w:rFonts w:eastAsia="Calibri"/>
        </w:rPr>
        <w:t>(c)</w:t>
      </w:r>
      <w:r>
        <w:rPr>
          <w:rFonts w:eastAsia="Calibri"/>
        </w:rPr>
        <w:tab/>
      </w:r>
      <w:r w:rsidR="00336D27">
        <w:rPr>
          <w:rFonts w:eastAsia="Calibri"/>
        </w:rPr>
        <w:t>The best practices for compliance with WAC 480-62-310 that BNSF Railway Company will implement and the strategies for more effective communication BNSF Railway Company and Commission Staff will use on a going-forward basis</w:t>
      </w:r>
      <w:r w:rsidR="009D603B">
        <w:rPr>
          <w:rFonts w:eastAsia="Calibri"/>
        </w:rPr>
        <w:t>, including but not limited to the desirability and feasibility of BNSF Railway Company reporting the events identified in WAC 480-62-310 to both the Washington state emergency operations center and Commission Staff</w:t>
      </w:r>
      <w:r w:rsidR="00477074" w:rsidRPr="008F782C">
        <w:t>.</w:t>
      </w:r>
    </w:p>
    <w:p w14:paraId="678A08F8" w14:textId="5DA5DC5F" w:rsidR="00DB55BB" w:rsidRPr="008F782C" w:rsidRDefault="00477074" w:rsidP="007C79C4">
      <w:pPr>
        <w:numPr>
          <w:ilvl w:val="0"/>
          <w:numId w:val="10"/>
        </w:numPr>
        <w:spacing w:after="240" w:line="264" w:lineRule="auto"/>
        <w:ind w:left="720" w:hanging="1440"/>
        <w:rPr>
          <w:rFonts w:eastAsia="Calibri"/>
        </w:rPr>
      </w:pPr>
      <w:r w:rsidRPr="008F782C">
        <w:rPr>
          <w:rFonts w:eastAsia="Calibri"/>
        </w:rPr>
        <w:t>(4</w:t>
      </w:r>
      <w:r w:rsidR="0043009C" w:rsidRPr="008F782C">
        <w:rPr>
          <w:rFonts w:eastAsia="Calibri"/>
        </w:rPr>
        <w:t>)</w:t>
      </w:r>
      <w:r w:rsidR="0043009C" w:rsidRPr="008F782C">
        <w:rPr>
          <w:rFonts w:eastAsia="Calibri"/>
        </w:rPr>
        <w:tab/>
      </w:r>
      <w:r w:rsidR="009A0534">
        <w:rPr>
          <w:rFonts w:eastAsia="Calibri"/>
        </w:rPr>
        <w:t xml:space="preserve">By April 1, 2016, Commission Staff will file with the Commission a memorandum of understanding or comparable agreement </w:t>
      </w:r>
      <w:r w:rsidR="00F733F6">
        <w:rPr>
          <w:rFonts w:eastAsia="Calibri"/>
        </w:rPr>
        <w:t xml:space="preserve">with the </w:t>
      </w:r>
      <w:r w:rsidR="00F733F6">
        <w:t xml:space="preserve">Washington state emergency operations center that </w:t>
      </w:r>
      <w:r w:rsidR="009D603B">
        <w:t>establishes the expectations, procedures, and responsibilities of each agency arising from the reporting that WAC 480-62-310 require</w:t>
      </w:r>
      <w:r w:rsidR="00F733F6">
        <w:t>s</w:t>
      </w:r>
      <w:r w:rsidR="003048B5">
        <w:rPr>
          <w:rFonts w:eastAsia="Calibri"/>
        </w:rPr>
        <w:t>.</w:t>
      </w:r>
    </w:p>
    <w:p w14:paraId="02A442C8" w14:textId="1C328478" w:rsidR="00C5560C" w:rsidRDefault="00DB55BB" w:rsidP="00F733F6">
      <w:pPr>
        <w:numPr>
          <w:ilvl w:val="0"/>
          <w:numId w:val="10"/>
        </w:numPr>
        <w:spacing w:after="240" w:line="264" w:lineRule="auto"/>
        <w:ind w:left="720" w:hanging="1440"/>
        <w:rPr>
          <w:rFonts w:eastAsia="Calibri"/>
        </w:rPr>
      </w:pPr>
      <w:r w:rsidRPr="008F782C">
        <w:rPr>
          <w:rFonts w:eastAsia="Calibri"/>
        </w:rPr>
        <w:t>(</w:t>
      </w:r>
      <w:r w:rsidR="007C79C4" w:rsidRPr="008F782C">
        <w:rPr>
          <w:rFonts w:eastAsia="Calibri"/>
        </w:rPr>
        <w:t>5</w:t>
      </w:r>
      <w:r w:rsidRPr="008F782C">
        <w:rPr>
          <w:rFonts w:eastAsia="Calibri"/>
        </w:rPr>
        <w:t>)</w:t>
      </w:r>
      <w:r w:rsidRPr="008F782C">
        <w:rPr>
          <w:rFonts w:eastAsia="Calibri"/>
        </w:rPr>
        <w:tab/>
      </w:r>
      <w:r w:rsidR="00F733F6">
        <w:rPr>
          <w:rFonts w:eastAsia="Calibri"/>
        </w:rPr>
        <w:t xml:space="preserve">Within five business days from the date of this Order, BNSF Railway Company and Commission Staff each must notify the Commission whether that party accepts the conditions in this Order or rejects </w:t>
      </w:r>
      <w:r w:rsidR="00AE3239">
        <w:rPr>
          <w:rFonts w:eastAsia="Calibri"/>
        </w:rPr>
        <w:t>th</w:t>
      </w:r>
      <w:r w:rsidR="00F81229">
        <w:rPr>
          <w:rFonts w:eastAsia="Calibri"/>
        </w:rPr>
        <w:t>os</w:t>
      </w:r>
      <w:r w:rsidR="00AE3239">
        <w:rPr>
          <w:rFonts w:eastAsia="Calibri"/>
        </w:rPr>
        <w:t>e conditions and elects to proceed with adjudication of the complaint.</w:t>
      </w:r>
    </w:p>
    <w:p w14:paraId="5910B008" w14:textId="77777777" w:rsidR="00C5560C" w:rsidRDefault="00C5560C">
      <w:pPr>
        <w:rPr>
          <w:rFonts w:eastAsia="Calibri"/>
        </w:rPr>
      </w:pPr>
      <w:r>
        <w:rPr>
          <w:rFonts w:eastAsia="Calibri"/>
        </w:rPr>
        <w:br w:type="page"/>
      </w:r>
    </w:p>
    <w:p w14:paraId="302BD260" w14:textId="77777777" w:rsidR="00F733F6" w:rsidRDefault="00F733F6" w:rsidP="00C5560C">
      <w:pPr>
        <w:spacing w:after="240" w:line="264" w:lineRule="auto"/>
        <w:ind w:left="-720"/>
        <w:rPr>
          <w:rFonts w:eastAsia="Calibri"/>
        </w:rPr>
      </w:pPr>
    </w:p>
    <w:p w14:paraId="3586F66C" w14:textId="662DC81E" w:rsidR="00A43DC9" w:rsidRPr="008F782C" w:rsidRDefault="00F733F6" w:rsidP="003048B5">
      <w:pPr>
        <w:numPr>
          <w:ilvl w:val="0"/>
          <w:numId w:val="10"/>
        </w:numPr>
        <w:spacing w:after="240" w:line="264" w:lineRule="auto"/>
        <w:ind w:hanging="720"/>
        <w:rPr>
          <w:rFonts w:eastAsia="Calibri"/>
        </w:rPr>
      </w:pPr>
      <w:r>
        <w:rPr>
          <w:rFonts w:eastAsia="Calibri"/>
        </w:rPr>
        <w:t>(6)</w:t>
      </w:r>
      <w:r>
        <w:rPr>
          <w:rFonts w:eastAsia="Calibri"/>
        </w:rPr>
        <w:tab/>
      </w:r>
      <w:r w:rsidR="00A43DC9" w:rsidRPr="008F782C">
        <w:rPr>
          <w:rFonts w:eastAsia="Calibri"/>
        </w:rPr>
        <w:t xml:space="preserve">The </w:t>
      </w:r>
      <w:r w:rsidR="002851A4" w:rsidRPr="008F782C">
        <w:rPr>
          <w:rFonts w:eastAsia="Calibri"/>
        </w:rPr>
        <w:t>Commission retains jurisdiction to e</w:t>
      </w:r>
      <w:r w:rsidR="005611B5" w:rsidRPr="008F782C">
        <w:rPr>
          <w:rFonts w:eastAsia="Calibri"/>
        </w:rPr>
        <w:t>nforce</w:t>
      </w:r>
      <w:r w:rsidR="002851A4" w:rsidRPr="008F782C">
        <w:rPr>
          <w:rFonts w:eastAsia="Calibri"/>
        </w:rPr>
        <w:t xml:space="preserve"> the terms of this Order</w:t>
      </w:r>
      <w:r w:rsidR="008E5161" w:rsidRPr="008F782C">
        <w:rPr>
          <w:rFonts w:eastAsia="Calibri"/>
        </w:rPr>
        <w:t>.</w:t>
      </w:r>
    </w:p>
    <w:p w14:paraId="0104E279" w14:textId="5EC7F65A" w:rsidR="00AA58C4" w:rsidRPr="00EA5CF1" w:rsidRDefault="00AA58C4" w:rsidP="00537FA8">
      <w:pPr>
        <w:spacing w:after="240" w:line="288" w:lineRule="auto"/>
      </w:pPr>
      <w:r w:rsidRPr="00EA5CF1">
        <w:t xml:space="preserve">DATED at Olympia, Washington and effective </w:t>
      </w:r>
      <w:r w:rsidR="00307C5A">
        <w:t>December 7</w:t>
      </w:r>
      <w:r w:rsidRPr="00EA5CF1">
        <w:t>, 2015.</w:t>
      </w:r>
    </w:p>
    <w:p w14:paraId="0BA76925" w14:textId="77777777" w:rsidR="00AA58C4" w:rsidRPr="00EA5CF1" w:rsidRDefault="00AA58C4" w:rsidP="00AA58C4">
      <w:pPr>
        <w:jc w:val="center"/>
      </w:pPr>
      <w:r w:rsidRPr="00EA5CF1">
        <w:t>WASHINGTON UTILITIES AND TRANSPORTATION COMMISSION</w:t>
      </w:r>
    </w:p>
    <w:p w14:paraId="30795665" w14:textId="77777777" w:rsidR="00AA58C4" w:rsidRPr="00EA5CF1" w:rsidRDefault="00AA58C4" w:rsidP="00AA58C4">
      <w:pPr>
        <w:jc w:val="right"/>
      </w:pPr>
    </w:p>
    <w:p w14:paraId="39F42763" w14:textId="77777777" w:rsidR="00AA58C4" w:rsidRDefault="00AA58C4" w:rsidP="00AA58C4">
      <w:pPr>
        <w:jc w:val="right"/>
      </w:pPr>
    </w:p>
    <w:p w14:paraId="69FE3AA0" w14:textId="77777777" w:rsidR="00AA58C4" w:rsidRPr="00EA5CF1" w:rsidRDefault="00AA58C4" w:rsidP="00AA58C4">
      <w:pPr>
        <w:jc w:val="right"/>
      </w:pPr>
    </w:p>
    <w:p w14:paraId="591C0462" w14:textId="77777777" w:rsidR="00AA58C4" w:rsidRPr="00EA5CF1" w:rsidRDefault="00AA58C4" w:rsidP="00AA58C4">
      <w:pPr>
        <w:ind w:left="3600" w:firstLine="720"/>
      </w:pPr>
      <w:r w:rsidRPr="00EA5CF1">
        <w:t>DAVID W. DANNER, Chairman</w:t>
      </w:r>
    </w:p>
    <w:p w14:paraId="22E111E6" w14:textId="77777777" w:rsidR="00AA58C4" w:rsidRPr="00EA5CF1" w:rsidRDefault="00AA58C4" w:rsidP="00AA58C4">
      <w:pPr>
        <w:jc w:val="right"/>
      </w:pPr>
    </w:p>
    <w:p w14:paraId="38FDE3C0" w14:textId="77777777" w:rsidR="00AA58C4" w:rsidRPr="00EA5CF1" w:rsidRDefault="00AA58C4" w:rsidP="00AA58C4">
      <w:pPr>
        <w:jc w:val="right"/>
      </w:pPr>
    </w:p>
    <w:p w14:paraId="7F16FE29" w14:textId="77777777" w:rsidR="00AA58C4" w:rsidRPr="00EA5CF1" w:rsidRDefault="00AA58C4" w:rsidP="00AA58C4">
      <w:pPr>
        <w:jc w:val="right"/>
      </w:pPr>
    </w:p>
    <w:p w14:paraId="30215AB0" w14:textId="77777777" w:rsidR="00AA58C4" w:rsidRPr="00EA5CF1" w:rsidRDefault="00AA58C4" w:rsidP="00AA58C4">
      <w:pPr>
        <w:ind w:left="3600" w:firstLine="720"/>
      </w:pPr>
      <w:r>
        <w:t>PHILIP B. JONES</w:t>
      </w:r>
      <w:r w:rsidRPr="00EA5CF1">
        <w:t>, Commissioner</w:t>
      </w:r>
    </w:p>
    <w:p w14:paraId="5A8D8272" w14:textId="77777777" w:rsidR="00AA58C4" w:rsidRDefault="00AA58C4" w:rsidP="00AA58C4">
      <w:pPr>
        <w:jc w:val="right"/>
      </w:pPr>
    </w:p>
    <w:p w14:paraId="01D23EB0" w14:textId="77777777" w:rsidR="00AA58C4" w:rsidRPr="00EA5CF1" w:rsidRDefault="00AA58C4" w:rsidP="00AA58C4">
      <w:pPr>
        <w:jc w:val="right"/>
      </w:pPr>
    </w:p>
    <w:p w14:paraId="79BB8F4B" w14:textId="77777777" w:rsidR="00AA58C4" w:rsidRPr="00EA5CF1" w:rsidRDefault="00AA58C4" w:rsidP="00AA58C4">
      <w:pPr>
        <w:jc w:val="right"/>
      </w:pPr>
    </w:p>
    <w:p w14:paraId="2B753AA4" w14:textId="77777777" w:rsidR="00AA58C4" w:rsidRPr="00EA5CF1" w:rsidRDefault="00AA58C4" w:rsidP="00AA58C4">
      <w:pPr>
        <w:ind w:left="3600" w:firstLine="720"/>
      </w:pPr>
      <w:r w:rsidRPr="00EA5CF1">
        <w:t>ANN E. RENDAHL, Commissioner</w:t>
      </w:r>
    </w:p>
    <w:p w14:paraId="4B5782DD" w14:textId="77777777" w:rsidR="00AA58C4" w:rsidRPr="00BC10B9" w:rsidRDefault="00AA58C4" w:rsidP="00BC10B9">
      <w:pPr>
        <w:spacing w:after="0" w:line="264" w:lineRule="auto"/>
        <w:rPr>
          <w:b/>
        </w:rPr>
      </w:pPr>
    </w:p>
    <w:p w14:paraId="49C9B014" w14:textId="77777777" w:rsidR="00BC10B9" w:rsidRPr="00BC10B9" w:rsidRDefault="00BC10B9" w:rsidP="00BC10B9">
      <w:pPr>
        <w:pStyle w:val="BodyText2"/>
        <w:spacing w:after="0" w:line="264" w:lineRule="auto"/>
        <w:rPr>
          <w:b/>
          <w:sz w:val="25"/>
          <w:szCs w:val="25"/>
        </w:rPr>
      </w:pPr>
      <w:r w:rsidRPr="00BC10B9">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14:paraId="1680132C" w14:textId="77777777" w:rsidR="00BC10B9" w:rsidRPr="00EA5CF1" w:rsidRDefault="00BC10B9" w:rsidP="00AA58C4"/>
    <w:p w14:paraId="7DDEEF3F" w14:textId="6E91FD6E" w:rsidR="002851A4" w:rsidRPr="008F782C" w:rsidRDefault="002851A4" w:rsidP="007C79C4">
      <w:pPr>
        <w:spacing w:after="240" w:line="264" w:lineRule="auto"/>
      </w:pPr>
      <w:r w:rsidRPr="008F782C">
        <w:rPr>
          <w:b/>
        </w:rPr>
        <w:br w:type="page"/>
      </w:r>
    </w:p>
    <w:p w14:paraId="6C8D3134" w14:textId="77777777" w:rsidR="002851A4" w:rsidRPr="008F782C" w:rsidRDefault="002851A4" w:rsidP="002851A4">
      <w:pPr>
        <w:spacing w:line="264" w:lineRule="auto"/>
      </w:pPr>
    </w:p>
    <w:p w14:paraId="7FA598B0" w14:textId="77777777" w:rsidR="002851A4" w:rsidRPr="008F782C" w:rsidRDefault="002851A4" w:rsidP="002851A4">
      <w:pPr>
        <w:spacing w:line="264" w:lineRule="auto"/>
      </w:pPr>
    </w:p>
    <w:p w14:paraId="0EDFA16F" w14:textId="77777777" w:rsidR="002851A4" w:rsidRPr="008F782C" w:rsidRDefault="002851A4" w:rsidP="002851A4">
      <w:pPr>
        <w:spacing w:line="264" w:lineRule="auto"/>
      </w:pPr>
    </w:p>
    <w:p w14:paraId="3440DECA" w14:textId="77777777" w:rsidR="002851A4" w:rsidRPr="008F782C" w:rsidRDefault="002851A4" w:rsidP="002851A4">
      <w:pPr>
        <w:spacing w:line="264" w:lineRule="auto"/>
      </w:pPr>
    </w:p>
    <w:p w14:paraId="37AFBF74" w14:textId="77777777" w:rsidR="002851A4" w:rsidRPr="008F782C" w:rsidRDefault="002851A4" w:rsidP="002851A4">
      <w:pPr>
        <w:spacing w:line="264" w:lineRule="auto"/>
      </w:pPr>
    </w:p>
    <w:p w14:paraId="6C509756" w14:textId="77777777" w:rsidR="002851A4" w:rsidRPr="008F782C" w:rsidRDefault="002851A4" w:rsidP="002851A4">
      <w:pPr>
        <w:spacing w:line="264" w:lineRule="auto"/>
      </w:pPr>
    </w:p>
    <w:p w14:paraId="6ACAA20B" w14:textId="77777777" w:rsidR="002851A4" w:rsidRPr="008F782C" w:rsidRDefault="002851A4" w:rsidP="002851A4">
      <w:pPr>
        <w:spacing w:line="264" w:lineRule="auto"/>
      </w:pPr>
    </w:p>
    <w:p w14:paraId="7AB77E19" w14:textId="77777777" w:rsidR="002851A4" w:rsidRPr="008F782C" w:rsidRDefault="002851A4" w:rsidP="002851A4">
      <w:pPr>
        <w:spacing w:line="264" w:lineRule="auto"/>
      </w:pPr>
    </w:p>
    <w:p w14:paraId="6C6D79E5" w14:textId="77777777" w:rsidR="002851A4" w:rsidRPr="008F782C" w:rsidRDefault="002851A4" w:rsidP="002851A4">
      <w:pPr>
        <w:spacing w:line="264" w:lineRule="auto"/>
      </w:pPr>
    </w:p>
    <w:p w14:paraId="3EEA26ED" w14:textId="77777777" w:rsidR="002851A4" w:rsidRPr="008F782C" w:rsidRDefault="002851A4" w:rsidP="002851A4">
      <w:pPr>
        <w:spacing w:line="264" w:lineRule="auto"/>
      </w:pPr>
    </w:p>
    <w:p w14:paraId="37E418C1" w14:textId="77777777" w:rsidR="002851A4" w:rsidRPr="008F782C" w:rsidRDefault="002851A4" w:rsidP="002851A4">
      <w:pPr>
        <w:spacing w:line="264" w:lineRule="auto"/>
        <w:jc w:val="center"/>
      </w:pPr>
      <w:r w:rsidRPr="008F782C">
        <w:t>Exhibit A</w:t>
      </w:r>
    </w:p>
    <w:p w14:paraId="449688F8" w14:textId="77777777" w:rsidR="002851A4" w:rsidRPr="008F782C" w:rsidRDefault="002851A4" w:rsidP="002851A4">
      <w:pPr>
        <w:spacing w:line="264" w:lineRule="auto"/>
        <w:jc w:val="center"/>
      </w:pPr>
      <w:r w:rsidRPr="008F782C">
        <w:t>Settlement Agreement</w:t>
      </w:r>
    </w:p>
    <w:p w14:paraId="5E11584D" w14:textId="77777777" w:rsidR="002851A4" w:rsidRPr="008F782C" w:rsidRDefault="002851A4" w:rsidP="002851A4">
      <w:pPr>
        <w:spacing w:line="264" w:lineRule="auto"/>
      </w:pPr>
    </w:p>
    <w:p w14:paraId="5A756361" w14:textId="77777777" w:rsidR="00D52D0C" w:rsidRPr="008F782C"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8F782C" w:rsidSect="005055F3">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DE462" w14:textId="77777777" w:rsidR="00201AD3" w:rsidRDefault="00201AD3">
      <w:r>
        <w:separator/>
      </w:r>
    </w:p>
  </w:endnote>
  <w:endnote w:type="continuationSeparator" w:id="0">
    <w:p w14:paraId="467FC6E1" w14:textId="77777777" w:rsidR="00201AD3" w:rsidRDefault="0020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DCD2" w14:textId="77777777" w:rsidR="00201AD3" w:rsidRDefault="00201AD3">
      <w:r>
        <w:separator/>
      </w:r>
    </w:p>
  </w:footnote>
  <w:footnote w:type="continuationSeparator" w:id="0">
    <w:p w14:paraId="2E5F0332" w14:textId="77777777" w:rsidR="00201AD3" w:rsidRDefault="00201AD3">
      <w:r>
        <w:continuationSeparator/>
      </w:r>
    </w:p>
  </w:footnote>
  <w:footnote w:id="1">
    <w:p w14:paraId="35FC2637" w14:textId="2111DAC8" w:rsidR="00715964" w:rsidRPr="00F23F46" w:rsidRDefault="00715964" w:rsidP="005D3919">
      <w:pPr>
        <w:rPr>
          <w:i/>
          <w:iCs/>
          <w:sz w:val="22"/>
          <w:szCs w:val="22"/>
        </w:rPr>
      </w:pPr>
      <w:r w:rsidRPr="00F23F46">
        <w:rPr>
          <w:rStyle w:val="FootnoteReference"/>
          <w:sz w:val="22"/>
          <w:szCs w:val="22"/>
        </w:rPr>
        <w:footnoteRef/>
      </w:r>
      <w:r w:rsidRPr="00F23F46">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F23F46">
        <w:rPr>
          <w:i/>
          <w:sz w:val="22"/>
          <w:szCs w:val="22"/>
        </w:rPr>
        <w:t xml:space="preserve">See </w:t>
      </w:r>
      <w:r w:rsidRPr="00F23F46">
        <w:rPr>
          <w:sz w:val="22"/>
          <w:szCs w:val="22"/>
        </w:rPr>
        <w:t>RCW 34.05.455.</w:t>
      </w:r>
    </w:p>
  </w:footnote>
  <w:footnote w:id="2">
    <w:p w14:paraId="1B4D387D" w14:textId="1033B43B" w:rsidR="00143ECB" w:rsidRPr="00C54BAE" w:rsidRDefault="00143ECB" w:rsidP="00143ECB">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Settlement </w:t>
      </w:r>
      <w:r w:rsidR="003C7BD7" w:rsidRPr="00F23F46">
        <w:rPr>
          <w:rFonts w:ascii="Times New Roman" w:hAnsi="Times New Roman"/>
          <w:sz w:val="22"/>
          <w:szCs w:val="22"/>
        </w:rPr>
        <w:t>¶ 4</w:t>
      </w:r>
      <w:r w:rsidRPr="00F23F46">
        <w:rPr>
          <w:rFonts w:ascii="Times New Roman" w:hAnsi="Times New Roman"/>
          <w:sz w:val="22"/>
          <w:szCs w:val="22"/>
        </w:rPr>
        <w:t>.</w:t>
      </w:r>
    </w:p>
  </w:footnote>
  <w:footnote w:id="3">
    <w:p w14:paraId="2FA47E4C" w14:textId="6AAD12E2" w:rsidR="005D3919" w:rsidRPr="00F23F46" w:rsidRDefault="005D3919" w:rsidP="005D3919">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00143ECB" w:rsidRPr="00F23F46">
        <w:rPr>
          <w:rFonts w:ascii="Times New Roman" w:hAnsi="Times New Roman"/>
          <w:sz w:val="22"/>
          <w:szCs w:val="22"/>
        </w:rPr>
        <w:t xml:space="preserve"> </w:t>
      </w:r>
      <w:r w:rsidR="00143ECB" w:rsidRPr="00F23F46">
        <w:rPr>
          <w:rFonts w:ascii="Times New Roman" w:hAnsi="Times New Roman"/>
          <w:i/>
          <w:sz w:val="22"/>
          <w:szCs w:val="22"/>
        </w:rPr>
        <w:t>Id</w:t>
      </w:r>
      <w:r w:rsidRPr="00F23F46">
        <w:rPr>
          <w:rFonts w:ascii="Times New Roman" w:hAnsi="Times New Roman"/>
          <w:sz w:val="22"/>
          <w:szCs w:val="22"/>
        </w:rPr>
        <w:t>.</w:t>
      </w:r>
      <w:r w:rsidR="003C7BD7" w:rsidRPr="00F23F46">
        <w:rPr>
          <w:rFonts w:ascii="Times New Roman" w:hAnsi="Times New Roman"/>
          <w:sz w:val="22"/>
          <w:szCs w:val="22"/>
        </w:rPr>
        <w:t xml:space="preserve"> ¶ 5.</w:t>
      </w:r>
    </w:p>
  </w:footnote>
  <w:footnote w:id="4">
    <w:p w14:paraId="4608709E" w14:textId="0A56164A" w:rsidR="005D3919" w:rsidRPr="00F23F46" w:rsidRDefault="005D3919" w:rsidP="005D3919">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i/>
          <w:sz w:val="22"/>
          <w:szCs w:val="22"/>
        </w:rPr>
        <w:t>Id.</w:t>
      </w:r>
      <w:r w:rsidRPr="00F23F46">
        <w:rPr>
          <w:rFonts w:ascii="Times New Roman" w:hAnsi="Times New Roman"/>
          <w:sz w:val="22"/>
          <w:szCs w:val="22"/>
        </w:rPr>
        <w:t xml:space="preserve"> </w:t>
      </w:r>
      <w:r w:rsidR="003C7BD7" w:rsidRPr="00F23F46">
        <w:rPr>
          <w:rFonts w:ascii="Times New Roman" w:hAnsi="Times New Roman"/>
          <w:sz w:val="22"/>
          <w:szCs w:val="22"/>
        </w:rPr>
        <w:t>¶ 6</w:t>
      </w:r>
      <w:r w:rsidRPr="00F23F46">
        <w:rPr>
          <w:rFonts w:ascii="Times New Roman" w:hAnsi="Times New Roman"/>
          <w:sz w:val="22"/>
          <w:szCs w:val="22"/>
        </w:rPr>
        <w:t>.</w:t>
      </w:r>
    </w:p>
  </w:footnote>
  <w:footnote w:id="5">
    <w:p w14:paraId="33BF7C14" w14:textId="77777777" w:rsidR="00A06FB1" w:rsidRPr="00F23F46" w:rsidRDefault="00A06FB1" w:rsidP="00A06FB1">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Narrative ¶ 6.</w:t>
      </w:r>
    </w:p>
  </w:footnote>
  <w:footnote w:id="6">
    <w:p w14:paraId="200751BE" w14:textId="2B84F8F4" w:rsidR="00A06FB1" w:rsidRPr="00C54BAE" w:rsidRDefault="00A06FB1">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i/>
          <w:sz w:val="22"/>
          <w:szCs w:val="22"/>
        </w:rPr>
        <w:t>Id</w:t>
      </w:r>
      <w:r w:rsidRPr="00F23F46">
        <w:rPr>
          <w:rFonts w:ascii="Times New Roman" w:hAnsi="Times New Roman"/>
          <w:sz w:val="22"/>
          <w:szCs w:val="22"/>
        </w:rPr>
        <w:t>.</w:t>
      </w:r>
    </w:p>
  </w:footnote>
  <w:footnote w:id="7">
    <w:p w14:paraId="08D51474" w14:textId="64125CE3" w:rsidR="00533172" w:rsidRPr="00F23F46" w:rsidRDefault="00533172" w:rsidP="00533172">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color w:val="000000"/>
          <w:sz w:val="22"/>
          <w:szCs w:val="22"/>
        </w:rPr>
        <w:t>WAC 480-07-700.</w:t>
      </w:r>
    </w:p>
  </w:footnote>
  <w:footnote w:id="8">
    <w:p w14:paraId="0D7EF5C1" w14:textId="26603730" w:rsidR="003D56AC" w:rsidRPr="003D56AC" w:rsidRDefault="003D56AC">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color w:val="000000"/>
          <w:sz w:val="22"/>
          <w:szCs w:val="22"/>
        </w:rPr>
        <w:t>WAC 480-07-750(1).</w:t>
      </w:r>
    </w:p>
  </w:footnote>
  <w:footnote w:id="9">
    <w:p w14:paraId="476D5E58" w14:textId="3579410C" w:rsidR="00E9335A" w:rsidRPr="00F23F46" w:rsidRDefault="00E9335A">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Joint Response to Bench Request No. 1 at 3-5.</w:t>
      </w:r>
    </w:p>
  </w:footnote>
  <w:footnote w:id="10">
    <w:p w14:paraId="0A7621E6" w14:textId="30DB5E51" w:rsidR="00D77D63" w:rsidRPr="00F23F46" w:rsidRDefault="00D77D63" w:rsidP="00D77D63">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23:18-24.</w:t>
      </w:r>
    </w:p>
  </w:footnote>
  <w:footnote w:id="11">
    <w:p w14:paraId="16E18300" w14:textId="78AA6548" w:rsidR="002C1240" w:rsidRPr="00F23F46" w:rsidRDefault="002C1240" w:rsidP="002C1240">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37:19-22.</w:t>
      </w:r>
    </w:p>
  </w:footnote>
  <w:footnote w:id="12">
    <w:p w14:paraId="3A64241D" w14:textId="242A9EE8" w:rsidR="002773EE" w:rsidRPr="00E9335A" w:rsidRDefault="002773EE" w:rsidP="002773EE">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Joint Response to Bench Request No. 1 at 2</w:t>
      </w:r>
      <w:r w:rsidR="00F4757A" w:rsidRPr="00F23F46">
        <w:rPr>
          <w:rFonts w:ascii="Times New Roman" w:hAnsi="Times New Roman"/>
          <w:sz w:val="22"/>
          <w:szCs w:val="22"/>
        </w:rPr>
        <w:t xml:space="preserve">; </w:t>
      </w:r>
      <w:proofErr w:type="spellStart"/>
      <w:r w:rsidR="00F4757A" w:rsidRPr="00F23F46">
        <w:rPr>
          <w:rFonts w:ascii="Times New Roman" w:hAnsi="Times New Roman"/>
          <w:sz w:val="22"/>
          <w:szCs w:val="22"/>
        </w:rPr>
        <w:t>TR</w:t>
      </w:r>
      <w:proofErr w:type="spellEnd"/>
      <w:r w:rsidR="00F4757A" w:rsidRPr="00F23F46">
        <w:rPr>
          <w:rFonts w:ascii="Times New Roman" w:hAnsi="Times New Roman"/>
          <w:sz w:val="22"/>
          <w:szCs w:val="22"/>
        </w:rPr>
        <w:t xml:space="preserve"> </w:t>
      </w:r>
      <w:r w:rsidR="00655AC9" w:rsidRPr="00F23F46">
        <w:rPr>
          <w:rFonts w:ascii="Times New Roman" w:hAnsi="Times New Roman"/>
          <w:sz w:val="22"/>
          <w:szCs w:val="22"/>
        </w:rPr>
        <w:t>70-73</w:t>
      </w:r>
      <w:r w:rsidRPr="00F23F46">
        <w:rPr>
          <w:rFonts w:ascii="Times New Roman" w:hAnsi="Times New Roman"/>
          <w:sz w:val="22"/>
          <w:szCs w:val="22"/>
        </w:rPr>
        <w:t>.</w:t>
      </w:r>
    </w:p>
  </w:footnote>
  <w:footnote w:id="13">
    <w:p w14:paraId="0006717B" w14:textId="7AC33606" w:rsidR="00FA7B48" w:rsidRPr="00F23F46" w:rsidRDefault="00FA7B48">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w:t>
      </w:r>
      <w:r w:rsidR="005A1B0F" w:rsidRPr="00F23F46">
        <w:rPr>
          <w:rFonts w:ascii="Times New Roman" w:hAnsi="Times New Roman"/>
          <w:sz w:val="22"/>
          <w:szCs w:val="22"/>
        </w:rPr>
        <w:t>54-55.</w:t>
      </w:r>
    </w:p>
  </w:footnote>
  <w:footnote w:id="14">
    <w:p w14:paraId="5663E44F" w14:textId="4FCF2467" w:rsidR="005A1B0F" w:rsidRPr="00F23F46" w:rsidRDefault="005A1B0F" w:rsidP="005A1B0F">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53 &amp; 55-56.</w:t>
      </w:r>
    </w:p>
  </w:footnote>
  <w:footnote w:id="15">
    <w:p w14:paraId="49A080D5" w14:textId="5A8C0E64" w:rsidR="005A1B0F" w:rsidRPr="00F23F46" w:rsidRDefault="005A1B0F" w:rsidP="005A1B0F">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51-52.</w:t>
      </w:r>
    </w:p>
  </w:footnote>
  <w:footnote w:id="16">
    <w:p w14:paraId="02BDFE90" w14:textId="51F2EDEA" w:rsidR="00EC1272" w:rsidRPr="00F23F46" w:rsidRDefault="00EC1272" w:rsidP="00EC1272">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Joint Response to Bench Request No. 1 at 2.</w:t>
      </w:r>
    </w:p>
  </w:footnote>
  <w:footnote w:id="17">
    <w:p w14:paraId="31B5025C" w14:textId="6DA1D7F6" w:rsidR="00EC1272" w:rsidRPr="00F23F46" w:rsidRDefault="00EC1272" w:rsidP="00EC1272">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i/>
          <w:sz w:val="22"/>
          <w:szCs w:val="22"/>
        </w:rPr>
        <w:t>Id</w:t>
      </w:r>
      <w:r w:rsidRPr="00F23F46">
        <w:rPr>
          <w:rFonts w:ascii="Times New Roman" w:hAnsi="Times New Roman"/>
          <w:sz w:val="22"/>
          <w:szCs w:val="22"/>
        </w:rPr>
        <w:t>. at 3-6.</w:t>
      </w:r>
    </w:p>
  </w:footnote>
  <w:footnote w:id="18">
    <w:p w14:paraId="4C618DC6" w14:textId="77777777" w:rsidR="00EC1272" w:rsidRPr="00F23F46" w:rsidRDefault="00EC1272" w:rsidP="00EC1272">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54-55.</w:t>
      </w:r>
    </w:p>
  </w:footnote>
  <w:footnote w:id="19">
    <w:p w14:paraId="57D465B3" w14:textId="77779E46" w:rsidR="00D130A4" w:rsidRPr="00F23F46" w:rsidRDefault="00D130A4" w:rsidP="00D130A4">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Joint Response to Bench Request No. 1 at 5-6.</w:t>
      </w:r>
    </w:p>
  </w:footnote>
  <w:footnote w:id="20">
    <w:p w14:paraId="464EA999" w14:textId="53DD7465" w:rsidR="00540525" w:rsidRPr="00F23F46" w:rsidRDefault="00540525" w:rsidP="00540525">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Settlement ¶ 6.</w:t>
      </w:r>
    </w:p>
  </w:footnote>
  <w:footnote w:id="21">
    <w:p w14:paraId="7CD3EB07" w14:textId="471A5C8B" w:rsidR="001D7945" w:rsidRPr="00F23F46" w:rsidRDefault="001D7945" w:rsidP="001D7945">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Joint Response to Bench Request No. 2.</w:t>
      </w:r>
    </w:p>
  </w:footnote>
  <w:footnote w:id="22">
    <w:p w14:paraId="3B518B76" w14:textId="2ED406CC" w:rsidR="001D7945" w:rsidRPr="00C54BAE" w:rsidRDefault="001D7945" w:rsidP="001D7945">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i/>
          <w:sz w:val="22"/>
          <w:szCs w:val="22"/>
        </w:rPr>
        <w:t>Id</w:t>
      </w:r>
      <w:r w:rsidRPr="00F23F46">
        <w:rPr>
          <w:rFonts w:ascii="Times New Roman" w:hAnsi="Times New Roman"/>
          <w:sz w:val="22"/>
          <w:szCs w:val="22"/>
        </w:rPr>
        <w:t>.</w:t>
      </w:r>
    </w:p>
  </w:footnote>
  <w:footnote w:id="23">
    <w:p w14:paraId="54ACA567" w14:textId="34A49654" w:rsidR="00DC4867" w:rsidRPr="00F23F46" w:rsidRDefault="00DC4867">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r w:rsidRPr="00F23F46">
        <w:rPr>
          <w:rFonts w:ascii="Times New Roman" w:hAnsi="Times New Roman"/>
          <w:i/>
          <w:sz w:val="22"/>
          <w:szCs w:val="22"/>
        </w:rPr>
        <w:t>In re Penalty Assessment against BNSF in the Amount of $105,000</w:t>
      </w:r>
      <w:r w:rsidRPr="00F23F46">
        <w:rPr>
          <w:rFonts w:ascii="Times New Roman" w:hAnsi="Times New Roman"/>
          <w:sz w:val="22"/>
          <w:szCs w:val="22"/>
        </w:rPr>
        <w:t>, Settlement Agreement ¶ 10 (May 30, 2013).</w:t>
      </w:r>
    </w:p>
  </w:footnote>
  <w:footnote w:id="24">
    <w:p w14:paraId="1C68017C" w14:textId="05DDB5F8" w:rsidR="00D16C1C" w:rsidRPr="00F23F46" w:rsidRDefault="00D16C1C" w:rsidP="00D16C1C">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Settlement ¶ 5.</w:t>
      </w:r>
    </w:p>
  </w:footnote>
  <w:footnote w:id="25">
    <w:p w14:paraId="7F2F5CA1" w14:textId="7721BD51" w:rsidR="00C54BAE" w:rsidRPr="00F23F46" w:rsidRDefault="00C54BAE" w:rsidP="00C54BAE">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83:9-13.</w:t>
      </w:r>
    </w:p>
  </w:footnote>
  <w:footnote w:id="26">
    <w:p w14:paraId="7C92519C" w14:textId="0FAC3BB9" w:rsidR="009D603B" w:rsidRPr="00F23F46" w:rsidRDefault="009D603B" w:rsidP="009D603B">
      <w:pPr>
        <w:pStyle w:val="FootnoteText"/>
        <w:rPr>
          <w:rFonts w:ascii="Times New Roman" w:hAnsi="Times New Roman"/>
          <w:sz w:val="22"/>
          <w:szCs w:val="22"/>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w:t>
      </w:r>
      <w:proofErr w:type="spellStart"/>
      <w:r w:rsidRPr="00F23F46">
        <w:rPr>
          <w:rFonts w:ascii="Times New Roman" w:hAnsi="Times New Roman"/>
          <w:sz w:val="22"/>
          <w:szCs w:val="22"/>
        </w:rPr>
        <w:t>TR</w:t>
      </w:r>
      <w:proofErr w:type="spellEnd"/>
      <w:r w:rsidRPr="00F23F46">
        <w:rPr>
          <w:rFonts w:ascii="Times New Roman" w:hAnsi="Times New Roman"/>
          <w:sz w:val="22"/>
          <w:szCs w:val="22"/>
        </w:rPr>
        <w:t xml:space="preserve"> </w:t>
      </w:r>
      <w:r w:rsidR="00D5231F" w:rsidRPr="00F23F46">
        <w:rPr>
          <w:rFonts w:ascii="Times New Roman" w:hAnsi="Times New Roman"/>
          <w:sz w:val="22"/>
          <w:szCs w:val="22"/>
        </w:rPr>
        <w:t>93:9-11</w:t>
      </w:r>
      <w:r w:rsidRPr="00F23F46">
        <w:rPr>
          <w:rFonts w:ascii="Times New Roman" w:hAnsi="Times New Roman"/>
          <w:sz w:val="22"/>
          <w:szCs w:val="22"/>
        </w:rPr>
        <w:t>.</w:t>
      </w:r>
    </w:p>
  </w:footnote>
  <w:footnote w:id="27">
    <w:p w14:paraId="01F9588C" w14:textId="2DD8CC25" w:rsidR="00634276" w:rsidRPr="00C54BAE" w:rsidRDefault="00634276" w:rsidP="00634276">
      <w:pPr>
        <w:pStyle w:val="FootnoteText"/>
        <w:rPr>
          <w:rFonts w:ascii="Times New Roman" w:hAnsi="Times New Roman"/>
        </w:rPr>
      </w:pPr>
      <w:r w:rsidRPr="00F23F46">
        <w:rPr>
          <w:rStyle w:val="FootnoteReference"/>
          <w:rFonts w:ascii="Times New Roman" w:hAnsi="Times New Roman"/>
          <w:sz w:val="22"/>
          <w:szCs w:val="22"/>
        </w:rPr>
        <w:footnoteRef/>
      </w:r>
      <w:r w:rsidRPr="00F23F46">
        <w:rPr>
          <w:rFonts w:ascii="Times New Roman" w:hAnsi="Times New Roman"/>
          <w:sz w:val="22"/>
          <w:szCs w:val="22"/>
        </w:rPr>
        <w:t xml:space="preserve"> Narrative ¶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0ECCFF2C" w:rsidR="00F660C7" w:rsidRPr="009926F4" w:rsidRDefault="00F660C7" w:rsidP="00641A69">
    <w:pPr>
      <w:pStyle w:val="Header"/>
      <w:tabs>
        <w:tab w:val="left" w:pos="7500"/>
      </w:tabs>
      <w:spacing w:after="0"/>
      <w:rPr>
        <w:b/>
        <w:i/>
        <w:sz w:val="20"/>
        <w:szCs w:val="20"/>
      </w:rPr>
    </w:pPr>
    <w:r w:rsidRPr="00A3058F">
      <w:rPr>
        <w:b/>
        <w:sz w:val="20"/>
        <w:szCs w:val="20"/>
      </w:rPr>
      <w:t xml:space="preserve">DOCKET </w:t>
    </w:r>
    <w:proofErr w:type="spellStart"/>
    <w:r w:rsidR="00503CF0">
      <w:rPr>
        <w:b/>
        <w:sz w:val="20"/>
        <w:szCs w:val="20"/>
      </w:rPr>
      <w:t>T</w:t>
    </w:r>
    <w:r w:rsidR="00641A69">
      <w:rPr>
        <w:b/>
        <w:sz w:val="20"/>
        <w:szCs w:val="20"/>
      </w:rPr>
      <w:t>R</w:t>
    </w:r>
    <w:proofErr w:type="spellEnd"/>
    <w:r w:rsidR="00503CF0">
      <w:rPr>
        <w:b/>
        <w:sz w:val="20"/>
        <w:szCs w:val="20"/>
      </w:rPr>
      <w:t>-1</w:t>
    </w:r>
    <w:r w:rsidR="00641A69">
      <w:rPr>
        <w:b/>
        <w:sz w:val="20"/>
        <w:szCs w:val="20"/>
      </w:rPr>
      <w:t>5028</w:t>
    </w:r>
    <w:r w:rsidR="005611B5">
      <w:rPr>
        <w:b/>
        <w:sz w:val="20"/>
        <w:szCs w:val="20"/>
      </w:rPr>
      <w:t>4</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912669">
      <w:rPr>
        <w:rStyle w:val="PageNumber"/>
        <w:b/>
        <w:noProof/>
        <w:sz w:val="20"/>
        <w:szCs w:val="20"/>
      </w:rPr>
      <w:t>14</w:t>
    </w:r>
    <w:r w:rsidRPr="00A3058F">
      <w:rPr>
        <w:rStyle w:val="PageNumber"/>
        <w:b/>
        <w:sz w:val="20"/>
        <w:szCs w:val="20"/>
      </w:rPr>
      <w:fldChar w:fldCharType="end"/>
    </w:r>
  </w:p>
  <w:p w14:paraId="5185AB29" w14:textId="079689BD"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641A69">
      <w:rPr>
        <w:b/>
        <w:sz w:val="20"/>
        <w:szCs w:val="20"/>
      </w:rPr>
      <w:t>2</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19DD7C5C" w:rsidR="00F660C7" w:rsidRDefault="00F660C7" w:rsidP="00C5560C">
    <w:pPr>
      <w:pStyle w:val="Header"/>
      <w:tabs>
        <w:tab w:val="clear" w:pos="4320"/>
        <w:tab w:val="clear" w:pos="8640"/>
        <w:tab w:val="right" w:pos="8500"/>
      </w:tabs>
      <w:spacing w:after="0"/>
      <w:jc w:val="right"/>
    </w:pPr>
    <w:r>
      <w:rPr>
        <w:b/>
        <w:sz w:val="20"/>
        <w:szCs w:val="20"/>
      </w:rPr>
      <w:tab/>
    </w:r>
    <w:r w:rsidR="00764466">
      <w:rPr>
        <w:b/>
        <w:sz w:val="20"/>
        <w:szCs w:val="20"/>
      </w:rPr>
      <w:t>[Service Date December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7"/>
  </w:num>
  <w:num w:numId="3">
    <w:abstractNumId w:val="1"/>
  </w:num>
  <w:num w:numId="4">
    <w:abstractNumId w:val="23"/>
  </w:num>
  <w:num w:numId="5">
    <w:abstractNumId w:val="4"/>
  </w:num>
  <w:num w:numId="6">
    <w:abstractNumId w:val="18"/>
  </w:num>
  <w:num w:numId="7">
    <w:abstractNumId w:val="10"/>
  </w:num>
  <w:num w:numId="8">
    <w:abstractNumId w:val="22"/>
  </w:num>
  <w:num w:numId="9">
    <w:abstractNumId w:val="16"/>
  </w:num>
  <w:num w:numId="10">
    <w:abstractNumId w:val="5"/>
  </w:num>
  <w:num w:numId="11">
    <w:abstractNumId w:val="9"/>
  </w:num>
  <w:num w:numId="12">
    <w:abstractNumId w:val="21"/>
  </w:num>
  <w:num w:numId="13">
    <w:abstractNumId w:val="0"/>
  </w:num>
  <w:num w:numId="14">
    <w:abstractNumId w:val="3"/>
  </w:num>
  <w:num w:numId="15">
    <w:abstractNumId w:val="6"/>
  </w:num>
  <w:num w:numId="16">
    <w:abstractNumId w:val="5"/>
  </w:num>
  <w:num w:numId="17">
    <w:abstractNumId w:val="13"/>
  </w:num>
  <w:num w:numId="18">
    <w:abstractNumId w:val="8"/>
  </w:num>
  <w:num w:numId="19">
    <w:abstractNumId w:val="7"/>
  </w:num>
  <w:num w:numId="20">
    <w:abstractNumId w:val="19"/>
  </w:num>
  <w:num w:numId="21">
    <w:abstractNumId w:val="20"/>
  </w:num>
  <w:num w:numId="22">
    <w:abstractNumId w:val="12"/>
  </w:num>
  <w:num w:numId="23">
    <w:abstractNumId w:val="14"/>
  </w:num>
  <w:num w:numId="24">
    <w:abstractNumId w:val="2"/>
  </w:num>
  <w:num w:numId="25">
    <w:abstractNumId w:val="1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26A7E"/>
    <w:rsid w:val="00033960"/>
    <w:rsid w:val="00034C9D"/>
    <w:rsid w:val="00037FC8"/>
    <w:rsid w:val="00040E03"/>
    <w:rsid w:val="0004583F"/>
    <w:rsid w:val="00050223"/>
    <w:rsid w:val="000539B5"/>
    <w:rsid w:val="00056896"/>
    <w:rsid w:val="00060E92"/>
    <w:rsid w:val="00066BD7"/>
    <w:rsid w:val="00067116"/>
    <w:rsid w:val="00070CC5"/>
    <w:rsid w:val="000743E1"/>
    <w:rsid w:val="000749EC"/>
    <w:rsid w:val="00080526"/>
    <w:rsid w:val="00087CFD"/>
    <w:rsid w:val="00087F33"/>
    <w:rsid w:val="00091417"/>
    <w:rsid w:val="00091470"/>
    <w:rsid w:val="00093519"/>
    <w:rsid w:val="00093E12"/>
    <w:rsid w:val="000A18DA"/>
    <w:rsid w:val="000A18F8"/>
    <w:rsid w:val="000A65AE"/>
    <w:rsid w:val="000B1755"/>
    <w:rsid w:val="000C1BF5"/>
    <w:rsid w:val="000C45ED"/>
    <w:rsid w:val="000C48F0"/>
    <w:rsid w:val="000D09CD"/>
    <w:rsid w:val="000D0CEC"/>
    <w:rsid w:val="000D27AA"/>
    <w:rsid w:val="000D416C"/>
    <w:rsid w:val="000D7085"/>
    <w:rsid w:val="000E16D7"/>
    <w:rsid w:val="000F2CED"/>
    <w:rsid w:val="000F5858"/>
    <w:rsid w:val="001066EB"/>
    <w:rsid w:val="00110852"/>
    <w:rsid w:val="0011087F"/>
    <w:rsid w:val="0011708E"/>
    <w:rsid w:val="00122A12"/>
    <w:rsid w:val="00124E4D"/>
    <w:rsid w:val="001305AB"/>
    <w:rsid w:val="0013106B"/>
    <w:rsid w:val="00135F80"/>
    <w:rsid w:val="001413A3"/>
    <w:rsid w:val="00143ECB"/>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88A"/>
    <w:rsid w:val="001B5A4D"/>
    <w:rsid w:val="001B76E5"/>
    <w:rsid w:val="001D36D6"/>
    <w:rsid w:val="001D38C1"/>
    <w:rsid w:val="001D38CD"/>
    <w:rsid w:val="001D7945"/>
    <w:rsid w:val="001E224F"/>
    <w:rsid w:val="001E2D07"/>
    <w:rsid w:val="001E4C32"/>
    <w:rsid w:val="001E7255"/>
    <w:rsid w:val="001E7E97"/>
    <w:rsid w:val="001F093B"/>
    <w:rsid w:val="001F1621"/>
    <w:rsid w:val="001F77D4"/>
    <w:rsid w:val="00201AD3"/>
    <w:rsid w:val="0020361D"/>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744AE"/>
    <w:rsid w:val="002773EE"/>
    <w:rsid w:val="002851A4"/>
    <w:rsid w:val="00290475"/>
    <w:rsid w:val="002905AB"/>
    <w:rsid w:val="00294903"/>
    <w:rsid w:val="002959DD"/>
    <w:rsid w:val="002A1059"/>
    <w:rsid w:val="002A202A"/>
    <w:rsid w:val="002A2EFD"/>
    <w:rsid w:val="002A7DF6"/>
    <w:rsid w:val="002B0969"/>
    <w:rsid w:val="002B411C"/>
    <w:rsid w:val="002B4CAE"/>
    <w:rsid w:val="002B638C"/>
    <w:rsid w:val="002B65F7"/>
    <w:rsid w:val="002B66DF"/>
    <w:rsid w:val="002C1240"/>
    <w:rsid w:val="002C2FC9"/>
    <w:rsid w:val="002C3999"/>
    <w:rsid w:val="002C39E5"/>
    <w:rsid w:val="002C4B2D"/>
    <w:rsid w:val="002D64F4"/>
    <w:rsid w:val="002D72C4"/>
    <w:rsid w:val="002E561A"/>
    <w:rsid w:val="002F00F9"/>
    <w:rsid w:val="002F113F"/>
    <w:rsid w:val="002F288C"/>
    <w:rsid w:val="002F4A1C"/>
    <w:rsid w:val="002F4B2B"/>
    <w:rsid w:val="002F602D"/>
    <w:rsid w:val="003032DB"/>
    <w:rsid w:val="003048B5"/>
    <w:rsid w:val="0030533C"/>
    <w:rsid w:val="003057EE"/>
    <w:rsid w:val="00307C5A"/>
    <w:rsid w:val="003123EC"/>
    <w:rsid w:val="00314DE5"/>
    <w:rsid w:val="0031555F"/>
    <w:rsid w:val="00315AF5"/>
    <w:rsid w:val="00317165"/>
    <w:rsid w:val="00323F91"/>
    <w:rsid w:val="00326EBC"/>
    <w:rsid w:val="00333288"/>
    <w:rsid w:val="00333309"/>
    <w:rsid w:val="00336D27"/>
    <w:rsid w:val="003370BA"/>
    <w:rsid w:val="003376CA"/>
    <w:rsid w:val="00341F6A"/>
    <w:rsid w:val="00347C31"/>
    <w:rsid w:val="00347D7E"/>
    <w:rsid w:val="003518AF"/>
    <w:rsid w:val="00360219"/>
    <w:rsid w:val="003613CA"/>
    <w:rsid w:val="003614B1"/>
    <w:rsid w:val="00361833"/>
    <w:rsid w:val="003633BB"/>
    <w:rsid w:val="00377724"/>
    <w:rsid w:val="003814A6"/>
    <w:rsid w:val="003816EA"/>
    <w:rsid w:val="00382D56"/>
    <w:rsid w:val="00394F38"/>
    <w:rsid w:val="00395E32"/>
    <w:rsid w:val="003A315B"/>
    <w:rsid w:val="003A3E3D"/>
    <w:rsid w:val="003A65D0"/>
    <w:rsid w:val="003A6AEF"/>
    <w:rsid w:val="003B015D"/>
    <w:rsid w:val="003B48E5"/>
    <w:rsid w:val="003B7E78"/>
    <w:rsid w:val="003C3C3E"/>
    <w:rsid w:val="003C416A"/>
    <w:rsid w:val="003C556C"/>
    <w:rsid w:val="003C5820"/>
    <w:rsid w:val="003C5E10"/>
    <w:rsid w:val="003C7BD7"/>
    <w:rsid w:val="003D179D"/>
    <w:rsid w:val="003D2157"/>
    <w:rsid w:val="003D2C5B"/>
    <w:rsid w:val="003D35F1"/>
    <w:rsid w:val="003D56AC"/>
    <w:rsid w:val="003D6235"/>
    <w:rsid w:val="003D6D99"/>
    <w:rsid w:val="003D7256"/>
    <w:rsid w:val="003D72CA"/>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27761"/>
    <w:rsid w:val="0043009C"/>
    <w:rsid w:val="004303C5"/>
    <w:rsid w:val="0043262B"/>
    <w:rsid w:val="004363C5"/>
    <w:rsid w:val="00436809"/>
    <w:rsid w:val="00440C11"/>
    <w:rsid w:val="00441A6D"/>
    <w:rsid w:val="00444E8D"/>
    <w:rsid w:val="004450F8"/>
    <w:rsid w:val="00445BEE"/>
    <w:rsid w:val="00446D7F"/>
    <w:rsid w:val="00450BD1"/>
    <w:rsid w:val="00457065"/>
    <w:rsid w:val="00465DE8"/>
    <w:rsid w:val="004671E9"/>
    <w:rsid w:val="0047091D"/>
    <w:rsid w:val="00471CF2"/>
    <w:rsid w:val="00472937"/>
    <w:rsid w:val="00477074"/>
    <w:rsid w:val="0048227E"/>
    <w:rsid w:val="004841B4"/>
    <w:rsid w:val="00491163"/>
    <w:rsid w:val="004963E4"/>
    <w:rsid w:val="004A50F1"/>
    <w:rsid w:val="004A5B95"/>
    <w:rsid w:val="004A755E"/>
    <w:rsid w:val="004A7B29"/>
    <w:rsid w:val="004B3C0B"/>
    <w:rsid w:val="004B3DC3"/>
    <w:rsid w:val="004B4440"/>
    <w:rsid w:val="004B5CFA"/>
    <w:rsid w:val="004C037E"/>
    <w:rsid w:val="004C18B6"/>
    <w:rsid w:val="004C24B6"/>
    <w:rsid w:val="004C7DB2"/>
    <w:rsid w:val="004D1122"/>
    <w:rsid w:val="004D41BB"/>
    <w:rsid w:val="004D52C8"/>
    <w:rsid w:val="004D5C4D"/>
    <w:rsid w:val="004D6327"/>
    <w:rsid w:val="004D7500"/>
    <w:rsid w:val="004E144F"/>
    <w:rsid w:val="004E4C1F"/>
    <w:rsid w:val="004E521E"/>
    <w:rsid w:val="004E54A4"/>
    <w:rsid w:val="004E752F"/>
    <w:rsid w:val="004F0424"/>
    <w:rsid w:val="004F3E1C"/>
    <w:rsid w:val="004F4C07"/>
    <w:rsid w:val="004F5D4C"/>
    <w:rsid w:val="00501BDD"/>
    <w:rsid w:val="00503866"/>
    <w:rsid w:val="00503CF0"/>
    <w:rsid w:val="00504862"/>
    <w:rsid w:val="005055F3"/>
    <w:rsid w:val="0050560B"/>
    <w:rsid w:val="00506493"/>
    <w:rsid w:val="0050663B"/>
    <w:rsid w:val="00506765"/>
    <w:rsid w:val="00507042"/>
    <w:rsid w:val="00511797"/>
    <w:rsid w:val="00516891"/>
    <w:rsid w:val="00522B65"/>
    <w:rsid w:val="005266CF"/>
    <w:rsid w:val="00526C60"/>
    <w:rsid w:val="00532CAF"/>
    <w:rsid w:val="00533172"/>
    <w:rsid w:val="005332E5"/>
    <w:rsid w:val="00537FA8"/>
    <w:rsid w:val="00540525"/>
    <w:rsid w:val="00540FC5"/>
    <w:rsid w:val="0054254D"/>
    <w:rsid w:val="00544C32"/>
    <w:rsid w:val="00547DFD"/>
    <w:rsid w:val="00550283"/>
    <w:rsid w:val="005578B1"/>
    <w:rsid w:val="005611B5"/>
    <w:rsid w:val="00566525"/>
    <w:rsid w:val="00566ABC"/>
    <w:rsid w:val="00566F0F"/>
    <w:rsid w:val="00570C58"/>
    <w:rsid w:val="00572F50"/>
    <w:rsid w:val="00574824"/>
    <w:rsid w:val="005759DF"/>
    <w:rsid w:val="00592F9C"/>
    <w:rsid w:val="00593955"/>
    <w:rsid w:val="005971DF"/>
    <w:rsid w:val="005A1B0F"/>
    <w:rsid w:val="005A22D0"/>
    <w:rsid w:val="005A272D"/>
    <w:rsid w:val="005A2B62"/>
    <w:rsid w:val="005A37BC"/>
    <w:rsid w:val="005A608F"/>
    <w:rsid w:val="005B3E0A"/>
    <w:rsid w:val="005B3E8B"/>
    <w:rsid w:val="005C14C5"/>
    <w:rsid w:val="005C152F"/>
    <w:rsid w:val="005C50F9"/>
    <w:rsid w:val="005C7718"/>
    <w:rsid w:val="005D3919"/>
    <w:rsid w:val="005E28EE"/>
    <w:rsid w:val="005E2EFB"/>
    <w:rsid w:val="005F0FAE"/>
    <w:rsid w:val="00602D0D"/>
    <w:rsid w:val="00603378"/>
    <w:rsid w:val="00604FA8"/>
    <w:rsid w:val="00606933"/>
    <w:rsid w:val="0062391D"/>
    <w:rsid w:val="00625260"/>
    <w:rsid w:val="00632FFB"/>
    <w:rsid w:val="00634276"/>
    <w:rsid w:val="00635B01"/>
    <w:rsid w:val="006418A3"/>
    <w:rsid w:val="00641A69"/>
    <w:rsid w:val="0064523D"/>
    <w:rsid w:val="00645388"/>
    <w:rsid w:val="006463BF"/>
    <w:rsid w:val="00647302"/>
    <w:rsid w:val="00652713"/>
    <w:rsid w:val="00653F70"/>
    <w:rsid w:val="00655AC9"/>
    <w:rsid w:val="00655F16"/>
    <w:rsid w:val="006574F1"/>
    <w:rsid w:val="00657C3C"/>
    <w:rsid w:val="00661B90"/>
    <w:rsid w:val="0066216E"/>
    <w:rsid w:val="006640FE"/>
    <w:rsid w:val="0066529F"/>
    <w:rsid w:val="00665E12"/>
    <w:rsid w:val="006673D8"/>
    <w:rsid w:val="00671609"/>
    <w:rsid w:val="00671D25"/>
    <w:rsid w:val="006749DE"/>
    <w:rsid w:val="0068756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137D9"/>
    <w:rsid w:val="00715964"/>
    <w:rsid w:val="00721611"/>
    <w:rsid w:val="007243BB"/>
    <w:rsid w:val="00735050"/>
    <w:rsid w:val="00737BB8"/>
    <w:rsid w:val="00740ED6"/>
    <w:rsid w:val="0074419B"/>
    <w:rsid w:val="0075002E"/>
    <w:rsid w:val="00751AD5"/>
    <w:rsid w:val="0075236E"/>
    <w:rsid w:val="00753E7A"/>
    <w:rsid w:val="007544DE"/>
    <w:rsid w:val="007548FD"/>
    <w:rsid w:val="00756186"/>
    <w:rsid w:val="00761FBB"/>
    <w:rsid w:val="007634C9"/>
    <w:rsid w:val="00764466"/>
    <w:rsid w:val="00765FAD"/>
    <w:rsid w:val="00773B07"/>
    <w:rsid w:val="007742DA"/>
    <w:rsid w:val="0077488A"/>
    <w:rsid w:val="00776562"/>
    <w:rsid w:val="00776F97"/>
    <w:rsid w:val="0077744C"/>
    <w:rsid w:val="00777A91"/>
    <w:rsid w:val="007825EA"/>
    <w:rsid w:val="00782D3C"/>
    <w:rsid w:val="00783100"/>
    <w:rsid w:val="00787DAE"/>
    <w:rsid w:val="007938FE"/>
    <w:rsid w:val="007A0E80"/>
    <w:rsid w:val="007A130D"/>
    <w:rsid w:val="007A2956"/>
    <w:rsid w:val="007A6909"/>
    <w:rsid w:val="007A7526"/>
    <w:rsid w:val="007A77F4"/>
    <w:rsid w:val="007B37AC"/>
    <w:rsid w:val="007B4E87"/>
    <w:rsid w:val="007C080A"/>
    <w:rsid w:val="007C091F"/>
    <w:rsid w:val="007C2A48"/>
    <w:rsid w:val="007C2B76"/>
    <w:rsid w:val="007C2BFB"/>
    <w:rsid w:val="007C79C4"/>
    <w:rsid w:val="007D31C1"/>
    <w:rsid w:val="007E09AC"/>
    <w:rsid w:val="007E4BBE"/>
    <w:rsid w:val="007F5092"/>
    <w:rsid w:val="00802153"/>
    <w:rsid w:val="00804F1F"/>
    <w:rsid w:val="00807CF5"/>
    <w:rsid w:val="00807D23"/>
    <w:rsid w:val="00807D4E"/>
    <w:rsid w:val="008202E2"/>
    <w:rsid w:val="00821860"/>
    <w:rsid w:val="0082457D"/>
    <w:rsid w:val="008245A4"/>
    <w:rsid w:val="0082598E"/>
    <w:rsid w:val="0082609C"/>
    <w:rsid w:val="0083198C"/>
    <w:rsid w:val="0083376A"/>
    <w:rsid w:val="008341A6"/>
    <w:rsid w:val="00834F91"/>
    <w:rsid w:val="00836182"/>
    <w:rsid w:val="0084326B"/>
    <w:rsid w:val="008434E6"/>
    <w:rsid w:val="008452EF"/>
    <w:rsid w:val="00846585"/>
    <w:rsid w:val="00847C90"/>
    <w:rsid w:val="00855941"/>
    <w:rsid w:val="008560D7"/>
    <w:rsid w:val="00856D2B"/>
    <w:rsid w:val="00857BE9"/>
    <w:rsid w:val="00860100"/>
    <w:rsid w:val="00861C6B"/>
    <w:rsid w:val="0086319F"/>
    <w:rsid w:val="0086445E"/>
    <w:rsid w:val="00871A60"/>
    <w:rsid w:val="008738B8"/>
    <w:rsid w:val="00875A80"/>
    <w:rsid w:val="00875DD8"/>
    <w:rsid w:val="008859A7"/>
    <w:rsid w:val="00885A30"/>
    <w:rsid w:val="00891A8A"/>
    <w:rsid w:val="008A1A57"/>
    <w:rsid w:val="008A1F84"/>
    <w:rsid w:val="008A3826"/>
    <w:rsid w:val="008A4D72"/>
    <w:rsid w:val="008A5A4F"/>
    <w:rsid w:val="008A7705"/>
    <w:rsid w:val="008B1AB6"/>
    <w:rsid w:val="008B23AC"/>
    <w:rsid w:val="008C3790"/>
    <w:rsid w:val="008C3A8A"/>
    <w:rsid w:val="008C4D15"/>
    <w:rsid w:val="008D0447"/>
    <w:rsid w:val="008D06E8"/>
    <w:rsid w:val="008D17A6"/>
    <w:rsid w:val="008D1A3D"/>
    <w:rsid w:val="008D3550"/>
    <w:rsid w:val="008D5433"/>
    <w:rsid w:val="008E05AC"/>
    <w:rsid w:val="008E1A4D"/>
    <w:rsid w:val="008E29F3"/>
    <w:rsid w:val="008E5161"/>
    <w:rsid w:val="008F01FD"/>
    <w:rsid w:val="008F782C"/>
    <w:rsid w:val="008F7B23"/>
    <w:rsid w:val="00901005"/>
    <w:rsid w:val="00903432"/>
    <w:rsid w:val="009053D1"/>
    <w:rsid w:val="0090632B"/>
    <w:rsid w:val="00912669"/>
    <w:rsid w:val="00921118"/>
    <w:rsid w:val="00921CA5"/>
    <w:rsid w:val="00935719"/>
    <w:rsid w:val="00936308"/>
    <w:rsid w:val="0093784D"/>
    <w:rsid w:val="0094070D"/>
    <w:rsid w:val="009418E1"/>
    <w:rsid w:val="00943D8C"/>
    <w:rsid w:val="0094428E"/>
    <w:rsid w:val="0094590A"/>
    <w:rsid w:val="00955D5D"/>
    <w:rsid w:val="009573C9"/>
    <w:rsid w:val="009624C7"/>
    <w:rsid w:val="0096446E"/>
    <w:rsid w:val="009653A1"/>
    <w:rsid w:val="00965E80"/>
    <w:rsid w:val="00980A90"/>
    <w:rsid w:val="00982357"/>
    <w:rsid w:val="00991A0D"/>
    <w:rsid w:val="009926F4"/>
    <w:rsid w:val="009A04F7"/>
    <w:rsid w:val="009A0534"/>
    <w:rsid w:val="009A14DC"/>
    <w:rsid w:val="009A1AAC"/>
    <w:rsid w:val="009A47E7"/>
    <w:rsid w:val="009A576B"/>
    <w:rsid w:val="009A6407"/>
    <w:rsid w:val="009B0BED"/>
    <w:rsid w:val="009B16FE"/>
    <w:rsid w:val="009B4586"/>
    <w:rsid w:val="009B50FC"/>
    <w:rsid w:val="009B5AAE"/>
    <w:rsid w:val="009B75CE"/>
    <w:rsid w:val="009C1CBE"/>
    <w:rsid w:val="009C7489"/>
    <w:rsid w:val="009D593C"/>
    <w:rsid w:val="009D603B"/>
    <w:rsid w:val="009D6DA9"/>
    <w:rsid w:val="009E0A5F"/>
    <w:rsid w:val="009E2756"/>
    <w:rsid w:val="009E771B"/>
    <w:rsid w:val="009F03CC"/>
    <w:rsid w:val="009F0ACA"/>
    <w:rsid w:val="009F1E33"/>
    <w:rsid w:val="009F3071"/>
    <w:rsid w:val="009F4781"/>
    <w:rsid w:val="009F5811"/>
    <w:rsid w:val="009F6C2C"/>
    <w:rsid w:val="009F7EA7"/>
    <w:rsid w:val="00A04171"/>
    <w:rsid w:val="00A06FB1"/>
    <w:rsid w:val="00A1302C"/>
    <w:rsid w:val="00A15598"/>
    <w:rsid w:val="00A1599D"/>
    <w:rsid w:val="00A213B7"/>
    <w:rsid w:val="00A22808"/>
    <w:rsid w:val="00A24A68"/>
    <w:rsid w:val="00A3058F"/>
    <w:rsid w:val="00A32857"/>
    <w:rsid w:val="00A348A1"/>
    <w:rsid w:val="00A37402"/>
    <w:rsid w:val="00A42996"/>
    <w:rsid w:val="00A43DC9"/>
    <w:rsid w:val="00A44D90"/>
    <w:rsid w:val="00A47C2B"/>
    <w:rsid w:val="00A55AFF"/>
    <w:rsid w:val="00A55FC7"/>
    <w:rsid w:val="00A56A49"/>
    <w:rsid w:val="00A572F7"/>
    <w:rsid w:val="00A57DAC"/>
    <w:rsid w:val="00A60CFB"/>
    <w:rsid w:val="00A61EA6"/>
    <w:rsid w:val="00A62FCE"/>
    <w:rsid w:val="00A63EC4"/>
    <w:rsid w:val="00A67096"/>
    <w:rsid w:val="00A70D52"/>
    <w:rsid w:val="00A80B43"/>
    <w:rsid w:val="00A812B5"/>
    <w:rsid w:val="00AA13A1"/>
    <w:rsid w:val="00AA1962"/>
    <w:rsid w:val="00AA57CC"/>
    <w:rsid w:val="00AA58C4"/>
    <w:rsid w:val="00AA5C0C"/>
    <w:rsid w:val="00AB1E17"/>
    <w:rsid w:val="00AB3F5E"/>
    <w:rsid w:val="00AB6BEC"/>
    <w:rsid w:val="00AD4C84"/>
    <w:rsid w:val="00AD70E0"/>
    <w:rsid w:val="00AE03DD"/>
    <w:rsid w:val="00AE1A00"/>
    <w:rsid w:val="00AE2F02"/>
    <w:rsid w:val="00AE3239"/>
    <w:rsid w:val="00AE4895"/>
    <w:rsid w:val="00AE75C2"/>
    <w:rsid w:val="00AF3E15"/>
    <w:rsid w:val="00AF4B5D"/>
    <w:rsid w:val="00AF4DD1"/>
    <w:rsid w:val="00AF6EA4"/>
    <w:rsid w:val="00B0319E"/>
    <w:rsid w:val="00B03C88"/>
    <w:rsid w:val="00B10005"/>
    <w:rsid w:val="00B13A14"/>
    <w:rsid w:val="00B1618E"/>
    <w:rsid w:val="00B2030A"/>
    <w:rsid w:val="00B2284E"/>
    <w:rsid w:val="00B235D5"/>
    <w:rsid w:val="00B2477A"/>
    <w:rsid w:val="00B2781E"/>
    <w:rsid w:val="00B337DF"/>
    <w:rsid w:val="00B47765"/>
    <w:rsid w:val="00B51389"/>
    <w:rsid w:val="00B517F6"/>
    <w:rsid w:val="00B520DA"/>
    <w:rsid w:val="00B64E29"/>
    <w:rsid w:val="00B65376"/>
    <w:rsid w:val="00B664D3"/>
    <w:rsid w:val="00B72462"/>
    <w:rsid w:val="00B773CD"/>
    <w:rsid w:val="00B861DE"/>
    <w:rsid w:val="00B86658"/>
    <w:rsid w:val="00B90CB9"/>
    <w:rsid w:val="00B91677"/>
    <w:rsid w:val="00BA5BA7"/>
    <w:rsid w:val="00BB0EDB"/>
    <w:rsid w:val="00BB5222"/>
    <w:rsid w:val="00BC10B9"/>
    <w:rsid w:val="00BC17A4"/>
    <w:rsid w:val="00BC1F6D"/>
    <w:rsid w:val="00BC2995"/>
    <w:rsid w:val="00BC2B36"/>
    <w:rsid w:val="00BC3FDA"/>
    <w:rsid w:val="00BC4ADB"/>
    <w:rsid w:val="00BC54C9"/>
    <w:rsid w:val="00BC688C"/>
    <w:rsid w:val="00BD161A"/>
    <w:rsid w:val="00BD6BDF"/>
    <w:rsid w:val="00BD7482"/>
    <w:rsid w:val="00BE1454"/>
    <w:rsid w:val="00BE287B"/>
    <w:rsid w:val="00BE5F3B"/>
    <w:rsid w:val="00BF0D7E"/>
    <w:rsid w:val="00BF5C27"/>
    <w:rsid w:val="00C0361A"/>
    <w:rsid w:val="00C05FF3"/>
    <w:rsid w:val="00C0605F"/>
    <w:rsid w:val="00C10531"/>
    <w:rsid w:val="00C12D92"/>
    <w:rsid w:val="00C12E31"/>
    <w:rsid w:val="00C13EF9"/>
    <w:rsid w:val="00C233C5"/>
    <w:rsid w:val="00C23C7E"/>
    <w:rsid w:val="00C26469"/>
    <w:rsid w:val="00C30AAA"/>
    <w:rsid w:val="00C3302B"/>
    <w:rsid w:val="00C34B05"/>
    <w:rsid w:val="00C41DF9"/>
    <w:rsid w:val="00C4605D"/>
    <w:rsid w:val="00C46A9E"/>
    <w:rsid w:val="00C529DB"/>
    <w:rsid w:val="00C5360E"/>
    <w:rsid w:val="00C54BAE"/>
    <w:rsid w:val="00C550DC"/>
    <w:rsid w:val="00C5560C"/>
    <w:rsid w:val="00C56310"/>
    <w:rsid w:val="00C56A85"/>
    <w:rsid w:val="00C61727"/>
    <w:rsid w:val="00C67FF4"/>
    <w:rsid w:val="00C72E68"/>
    <w:rsid w:val="00C747F9"/>
    <w:rsid w:val="00C7603A"/>
    <w:rsid w:val="00C84EFC"/>
    <w:rsid w:val="00C87793"/>
    <w:rsid w:val="00C91754"/>
    <w:rsid w:val="00C942B7"/>
    <w:rsid w:val="00CA56F2"/>
    <w:rsid w:val="00CA73CC"/>
    <w:rsid w:val="00CB3A38"/>
    <w:rsid w:val="00CB5BA3"/>
    <w:rsid w:val="00CC032B"/>
    <w:rsid w:val="00CC5973"/>
    <w:rsid w:val="00CC764F"/>
    <w:rsid w:val="00CC7A16"/>
    <w:rsid w:val="00CE00E1"/>
    <w:rsid w:val="00CE57E3"/>
    <w:rsid w:val="00CE7D37"/>
    <w:rsid w:val="00CF193D"/>
    <w:rsid w:val="00CF1FE2"/>
    <w:rsid w:val="00CF3AD9"/>
    <w:rsid w:val="00CF73E8"/>
    <w:rsid w:val="00CF784B"/>
    <w:rsid w:val="00D01377"/>
    <w:rsid w:val="00D0255A"/>
    <w:rsid w:val="00D0339B"/>
    <w:rsid w:val="00D03BDE"/>
    <w:rsid w:val="00D1007C"/>
    <w:rsid w:val="00D10D07"/>
    <w:rsid w:val="00D123B7"/>
    <w:rsid w:val="00D130A4"/>
    <w:rsid w:val="00D16C1C"/>
    <w:rsid w:val="00D23426"/>
    <w:rsid w:val="00D24472"/>
    <w:rsid w:val="00D2524D"/>
    <w:rsid w:val="00D26E33"/>
    <w:rsid w:val="00D27AAC"/>
    <w:rsid w:val="00D30650"/>
    <w:rsid w:val="00D32478"/>
    <w:rsid w:val="00D3293E"/>
    <w:rsid w:val="00D335C5"/>
    <w:rsid w:val="00D37044"/>
    <w:rsid w:val="00D37088"/>
    <w:rsid w:val="00D370BB"/>
    <w:rsid w:val="00D413FF"/>
    <w:rsid w:val="00D42611"/>
    <w:rsid w:val="00D42AC8"/>
    <w:rsid w:val="00D46D68"/>
    <w:rsid w:val="00D46E3F"/>
    <w:rsid w:val="00D4799C"/>
    <w:rsid w:val="00D5231F"/>
    <w:rsid w:val="00D52D0C"/>
    <w:rsid w:val="00D532ED"/>
    <w:rsid w:val="00D55F69"/>
    <w:rsid w:val="00D57049"/>
    <w:rsid w:val="00D60475"/>
    <w:rsid w:val="00D65108"/>
    <w:rsid w:val="00D77D63"/>
    <w:rsid w:val="00D8365F"/>
    <w:rsid w:val="00D84C1C"/>
    <w:rsid w:val="00D84CB1"/>
    <w:rsid w:val="00D859AE"/>
    <w:rsid w:val="00D87220"/>
    <w:rsid w:val="00D90FCE"/>
    <w:rsid w:val="00D92D5F"/>
    <w:rsid w:val="00D9538D"/>
    <w:rsid w:val="00D95410"/>
    <w:rsid w:val="00D96159"/>
    <w:rsid w:val="00DA5DBB"/>
    <w:rsid w:val="00DB2066"/>
    <w:rsid w:val="00DB55BB"/>
    <w:rsid w:val="00DB7782"/>
    <w:rsid w:val="00DC1377"/>
    <w:rsid w:val="00DC2871"/>
    <w:rsid w:val="00DC419F"/>
    <w:rsid w:val="00DC4867"/>
    <w:rsid w:val="00DD0DCE"/>
    <w:rsid w:val="00DD1B44"/>
    <w:rsid w:val="00DD65FD"/>
    <w:rsid w:val="00DE1A51"/>
    <w:rsid w:val="00DE1B7E"/>
    <w:rsid w:val="00DE62A6"/>
    <w:rsid w:val="00DF0C01"/>
    <w:rsid w:val="00DF60A2"/>
    <w:rsid w:val="00E00106"/>
    <w:rsid w:val="00E06387"/>
    <w:rsid w:val="00E064C0"/>
    <w:rsid w:val="00E105D7"/>
    <w:rsid w:val="00E12B40"/>
    <w:rsid w:val="00E16993"/>
    <w:rsid w:val="00E17F82"/>
    <w:rsid w:val="00E27AAB"/>
    <w:rsid w:val="00E27B1E"/>
    <w:rsid w:val="00E30412"/>
    <w:rsid w:val="00E30EFE"/>
    <w:rsid w:val="00E31BE9"/>
    <w:rsid w:val="00E37F39"/>
    <w:rsid w:val="00E4229A"/>
    <w:rsid w:val="00E42483"/>
    <w:rsid w:val="00E42DBE"/>
    <w:rsid w:val="00E42F47"/>
    <w:rsid w:val="00E45EB0"/>
    <w:rsid w:val="00E468F3"/>
    <w:rsid w:val="00E512B4"/>
    <w:rsid w:val="00E52504"/>
    <w:rsid w:val="00E5282B"/>
    <w:rsid w:val="00E65763"/>
    <w:rsid w:val="00E65AB7"/>
    <w:rsid w:val="00E67A29"/>
    <w:rsid w:val="00E71B2D"/>
    <w:rsid w:val="00E72785"/>
    <w:rsid w:val="00E77DD3"/>
    <w:rsid w:val="00E814B6"/>
    <w:rsid w:val="00E85339"/>
    <w:rsid w:val="00E9026F"/>
    <w:rsid w:val="00E924CE"/>
    <w:rsid w:val="00E9335A"/>
    <w:rsid w:val="00E9557D"/>
    <w:rsid w:val="00E95B1E"/>
    <w:rsid w:val="00E9644B"/>
    <w:rsid w:val="00EA2122"/>
    <w:rsid w:val="00EA388B"/>
    <w:rsid w:val="00EB2091"/>
    <w:rsid w:val="00EB3543"/>
    <w:rsid w:val="00EB55B2"/>
    <w:rsid w:val="00EC1272"/>
    <w:rsid w:val="00EC7486"/>
    <w:rsid w:val="00EC78D7"/>
    <w:rsid w:val="00EC7B8E"/>
    <w:rsid w:val="00ED1AE4"/>
    <w:rsid w:val="00ED39BC"/>
    <w:rsid w:val="00ED5D28"/>
    <w:rsid w:val="00ED763D"/>
    <w:rsid w:val="00EE103B"/>
    <w:rsid w:val="00EE2AB9"/>
    <w:rsid w:val="00EF1C56"/>
    <w:rsid w:val="00EF21C4"/>
    <w:rsid w:val="00EF3031"/>
    <w:rsid w:val="00EF6067"/>
    <w:rsid w:val="00EF6CD2"/>
    <w:rsid w:val="00EF7771"/>
    <w:rsid w:val="00F02A47"/>
    <w:rsid w:val="00F03D4E"/>
    <w:rsid w:val="00F1231E"/>
    <w:rsid w:val="00F143C5"/>
    <w:rsid w:val="00F151B6"/>
    <w:rsid w:val="00F174BF"/>
    <w:rsid w:val="00F227AF"/>
    <w:rsid w:val="00F23A02"/>
    <w:rsid w:val="00F23F46"/>
    <w:rsid w:val="00F268BC"/>
    <w:rsid w:val="00F26D2F"/>
    <w:rsid w:val="00F26FCC"/>
    <w:rsid w:val="00F31319"/>
    <w:rsid w:val="00F374A2"/>
    <w:rsid w:val="00F37723"/>
    <w:rsid w:val="00F37BD1"/>
    <w:rsid w:val="00F40811"/>
    <w:rsid w:val="00F41FBA"/>
    <w:rsid w:val="00F43C59"/>
    <w:rsid w:val="00F47269"/>
    <w:rsid w:val="00F4757A"/>
    <w:rsid w:val="00F5751D"/>
    <w:rsid w:val="00F57C7A"/>
    <w:rsid w:val="00F61764"/>
    <w:rsid w:val="00F61E9A"/>
    <w:rsid w:val="00F638CF"/>
    <w:rsid w:val="00F660C7"/>
    <w:rsid w:val="00F6611F"/>
    <w:rsid w:val="00F733F6"/>
    <w:rsid w:val="00F74668"/>
    <w:rsid w:val="00F7491D"/>
    <w:rsid w:val="00F77831"/>
    <w:rsid w:val="00F81229"/>
    <w:rsid w:val="00F90585"/>
    <w:rsid w:val="00F93FB7"/>
    <w:rsid w:val="00FA0564"/>
    <w:rsid w:val="00FA0A8F"/>
    <w:rsid w:val="00FA1E5A"/>
    <w:rsid w:val="00FA2E4B"/>
    <w:rsid w:val="00FA7B48"/>
    <w:rsid w:val="00FB1864"/>
    <w:rsid w:val="00FC2AA6"/>
    <w:rsid w:val="00FC65B8"/>
    <w:rsid w:val="00FD09BF"/>
    <w:rsid w:val="00FD354C"/>
    <w:rsid w:val="00FD6CDB"/>
    <w:rsid w:val="00FD7165"/>
    <w:rsid w:val="00FE0CB7"/>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5610">
          <w:marLeft w:val="0"/>
          <w:marRight w:val="0"/>
          <w:marTop w:val="0"/>
          <w:marBottom w:val="0"/>
          <w:divBdr>
            <w:top w:val="none" w:sz="0" w:space="0" w:color="auto"/>
            <w:left w:val="none" w:sz="0" w:space="0" w:color="auto"/>
            <w:bottom w:val="none" w:sz="0" w:space="0" w:color="auto"/>
            <w:right w:val="none" w:sz="0" w:space="0" w:color="auto"/>
          </w:divBdr>
          <w:divsChild>
            <w:div w:id="1373382395">
              <w:marLeft w:val="0"/>
              <w:marRight w:val="0"/>
              <w:marTop w:val="0"/>
              <w:marBottom w:val="0"/>
              <w:divBdr>
                <w:top w:val="none" w:sz="0" w:space="0" w:color="auto"/>
                <w:left w:val="none" w:sz="0" w:space="0" w:color="auto"/>
                <w:bottom w:val="none" w:sz="0" w:space="0" w:color="auto"/>
                <w:right w:val="none" w:sz="0" w:space="0" w:color="auto"/>
              </w:divBdr>
              <w:divsChild>
                <w:div w:id="22366065">
                  <w:marLeft w:val="0"/>
                  <w:marRight w:val="0"/>
                  <w:marTop w:val="0"/>
                  <w:marBottom w:val="0"/>
                  <w:divBdr>
                    <w:top w:val="none" w:sz="0" w:space="12" w:color="auto"/>
                    <w:left w:val="none" w:sz="0" w:space="12" w:color="auto"/>
                    <w:bottom w:val="none" w:sz="0" w:space="12" w:color="auto"/>
                    <w:right w:val="none" w:sz="0" w:space="12" w:color="auto"/>
                  </w:divBdr>
                  <w:divsChild>
                    <w:div w:id="907105753">
                      <w:marLeft w:val="0"/>
                      <w:marRight w:val="0"/>
                      <w:marTop w:val="0"/>
                      <w:marBottom w:val="0"/>
                      <w:divBdr>
                        <w:top w:val="none" w:sz="0" w:space="12" w:color="auto"/>
                        <w:left w:val="none" w:sz="0" w:space="12" w:color="auto"/>
                        <w:bottom w:val="none" w:sz="0" w:space="12" w:color="auto"/>
                        <w:right w:val="none" w:sz="0" w:space="12" w:color="auto"/>
                      </w:divBdr>
                      <w:divsChild>
                        <w:div w:id="231086680">
                          <w:marLeft w:val="0"/>
                          <w:marRight w:val="0"/>
                          <w:marTop w:val="0"/>
                          <w:marBottom w:val="0"/>
                          <w:divBdr>
                            <w:top w:val="none" w:sz="0" w:space="0" w:color="auto"/>
                            <w:left w:val="none" w:sz="0" w:space="0" w:color="auto"/>
                            <w:bottom w:val="none" w:sz="0" w:space="0" w:color="auto"/>
                            <w:right w:val="none" w:sz="0" w:space="0" w:color="auto"/>
                          </w:divBdr>
                          <w:divsChild>
                            <w:div w:id="1171067745">
                              <w:marLeft w:val="-225"/>
                              <w:marRight w:val="-225"/>
                              <w:marTop w:val="0"/>
                              <w:marBottom w:val="0"/>
                              <w:divBdr>
                                <w:top w:val="none" w:sz="0" w:space="0" w:color="auto"/>
                                <w:left w:val="none" w:sz="0" w:space="0" w:color="auto"/>
                                <w:bottom w:val="none" w:sz="0" w:space="0" w:color="auto"/>
                                <w:right w:val="none" w:sz="0" w:space="0" w:color="auto"/>
                              </w:divBdr>
                              <w:divsChild>
                                <w:div w:id="261649855">
                                  <w:marLeft w:val="0"/>
                                  <w:marRight w:val="0"/>
                                  <w:marTop w:val="0"/>
                                  <w:marBottom w:val="0"/>
                                  <w:divBdr>
                                    <w:top w:val="none" w:sz="0" w:space="0" w:color="auto"/>
                                    <w:left w:val="none" w:sz="0" w:space="0" w:color="auto"/>
                                    <w:bottom w:val="none" w:sz="0" w:space="0" w:color="auto"/>
                                    <w:right w:val="none" w:sz="0" w:space="0" w:color="auto"/>
                                  </w:divBdr>
                                  <w:divsChild>
                                    <w:div w:id="671185232">
                                      <w:marLeft w:val="0"/>
                                      <w:marRight w:val="0"/>
                                      <w:marTop w:val="0"/>
                                      <w:marBottom w:val="0"/>
                                      <w:divBdr>
                                        <w:top w:val="none" w:sz="0" w:space="0" w:color="auto"/>
                                        <w:left w:val="none" w:sz="0" w:space="0" w:color="auto"/>
                                        <w:bottom w:val="none" w:sz="0" w:space="0" w:color="auto"/>
                                        <w:right w:val="none" w:sz="0" w:space="0" w:color="auto"/>
                                      </w:divBdr>
                                      <w:divsChild>
                                        <w:div w:id="61219595">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847666231">
                                          <w:marLeft w:val="0"/>
                                          <w:marRight w:val="0"/>
                                          <w:marTop w:val="0"/>
                                          <w:marBottom w:val="0"/>
                                          <w:divBdr>
                                            <w:top w:val="none" w:sz="0" w:space="0" w:color="auto"/>
                                            <w:left w:val="none" w:sz="0" w:space="0" w:color="auto"/>
                                            <w:bottom w:val="none" w:sz="0" w:space="0" w:color="auto"/>
                                            <w:right w:val="none" w:sz="0" w:space="0" w:color="auto"/>
                                          </w:divBdr>
                                        </w:div>
                                        <w:div w:id="385178006">
                                          <w:marLeft w:val="0"/>
                                          <w:marRight w:val="0"/>
                                          <w:marTop w:val="0"/>
                                          <w:marBottom w:val="0"/>
                                          <w:divBdr>
                                            <w:top w:val="none" w:sz="0" w:space="0" w:color="auto"/>
                                            <w:left w:val="none" w:sz="0" w:space="0" w:color="auto"/>
                                            <w:bottom w:val="none" w:sz="0" w:space="0" w:color="auto"/>
                                            <w:right w:val="none" w:sz="0" w:space="0" w:color="auto"/>
                                          </w:divBdr>
                                        </w:div>
                                        <w:div w:id="61372708">
                                          <w:marLeft w:val="0"/>
                                          <w:marRight w:val="0"/>
                                          <w:marTop w:val="0"/>
                                          <w:marBottom w:val="0"/>
                                          <w:divBdr>
                                            <w:top w:val="none" w:sz="0" w:space="0" w:color="auto"/>
                                            <w:left w:val="none" w:sz="0" w:space="0" w:color="auto"/>
                                            <w:bottom w:val="none" w:sz="0" w:space="0" w:color="auto"/>
                                            <w:right w:val="none" w:sz="0" w:space="0" w:color="auto"/>
                                          </w:divBdr>
                                        </w:div>
                                        <w:div w:id="310909841">
                                          <w:marLeft w:val="0"/>
                                          <w:marRight w:val="0"/>
                                          <w:marTop w:val="0"/>
                                          <w:marBottom w:val="0"/>
                                          <w:divBdr>
                                            <w:top w:val="none" w:sz="0" w:space="0" w:color="auto"/>
                                            <w:left w:val="none" w:sz="0" w:space="0" w:color="auto"/>
                                            <w:bottom w:val="none" w:sz="0" w:space="0" w:color="auto"/>
                                            <w:right w:val="none" w:sz="0" w:space="0" w:color="auto"/>
                                          </w:divBdr>
                                        </w:div>
                                        <w:div w:id="356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EFDCC-D8C7-4754-99E4-096AA234BE83}"/>
</file>

<file path=customXml/itemProps2.xml><?xml version="1.0" encoding="utf-8"?>
<ds:datastoreItem xmlns:ds="http://schemas.openxmlformats.org/officeDocument/2006/customXml" ds:itemID="{2D835A28-FF01-4145-9EAE-C155D781CB9C}"/>
</file>

<file path=customXml/itemProps3.xml><?xml version="1.0" encoding="utf-8"?>
<ds:datastoreItem xmlns:ds="http://schemas.openxmlformats.org/officeDocument/2006/customXml" ds:itemID="{F0E2FF76-DED4-48DC-8C1E-04E53F4A30DF}"/>
</file>

<file path=customXml/itemProps4.xml><?xml version="1.0" encoding="utf-8"?>
<ds:datastoreItem xmlns:ds="http://schemas.openxmlformats.org/officeDocument/2006/customXml" ds:itemID="{DD4A15F7-D64C-4E0A-ACF9-31562792B9F3}"/>
</file>

<file path=customXml/itemProps5.xml><?xml version="1.0" encoding="utf-8"?>
<ds:datastoreItem xmlns:ds="http://schemas.openxmlformats.org/officeDocument/2006/customXml" ds:itemID="{3CAF4222-16B9-4785-90DA-326B8A48E27C}"/>
</file>

<file path=docProps/app.xml><?xml version="1.0" encoding="utf-8"?>
<Properties xmlns="http://schemas.openxmlformats.org/officeDocument/2006/extended-properties" xmlns:vt="http://schemas.openxmlformats.org/officeDocument/2006/docPropsVTypes">
  <Template>Normal</Template>
  <TotalTime>0</TotalTime>
  <Pages>14</Pages>
  <Words>4183</Words>
  <Characters>22141</Characters>
  <Application>Microsoft Office Word</Application>
  <DocSecurity>0</DocSecurity>
  <Lines>184</Lines>
  <Paragraphs>52</Paragraphs>
  <ScaleCrop>false</ScaleCrop>
  <LinksUpToDate>false</LinksUpToDate>
  <CharactersWithSpaces>26272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2015-12-07T22:53:00Z</dcterms:created>
  <dcterms:modified xsi:type="dcterms:W3CDTF">2015-12-07T22:53:00Z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