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1664671376"/>
        <w:docPartObj>
          <w:docPartGallery w:val="Table of Contents"/>
          <w:docPartUnique/>
        </w:docPartObj>
      </w:sdtPr>
      <w:sdtContent>
        <w:p w:rsidR="00D620B9" w:rsidRPr="0079133E" w:rsidRDefault="000E2ED7" w:rsidP="00D620B9">
          <w:pPr>
            <w:pStyle w:val="TOCHeading"/>
            <w:suppressLineNumbers/>
            <w:spacing w:before="0"/>
            <w:jc w:val="center"/>
            <w:rPr>
              <w:rFonts w:ascii="Times New Roman" w:hAnsi="Times New Roman" w:cs="Times New Roman"/>
              <w:color w:val="auto"/>
              <w:sz w:val="24"/>
              <w:szCs w:val="24"/>
            </w:rPr>
          </w:pPr>
          <w:r w:rsidRPr="0079133E">
            <w:rPr>
              <w:rFonts w:ascii="Times New Roman" w:hAnsi="Times New Roman" w:cs="Times New Roman"/>
              <w:color w:val="auto"/>
              <w:sz w:val="24"/>
              <w:szCs w:val="24"/>
            </w:rPr>
            <w:t>TABLE OF CONTENTS</w:t>
          </w:r>
        </w:p>
        <w:p w:rsidR="00BD5540" w:rsidRDefault="00BD5540" w:rsidP="00D57B5A">
          <w:pPr>
            <w:pStyle w:val="TOC1"/>
            <w:sectPr w:rsidR="00BD5540" w:rsidSect="00BD554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26"/>
            </w:sectPr>
          </w:pPr>
        </w:p>
        <w:p w:rsidR="006D1BF5" w:rsidRDefault="00690610">
          <w:pPr>
            <w:pStyle w:val="TOC1"/>
            <w:rPr>
              <w:rFonts w:asciiTheme="minorHAnsi" w:eastAsiaTheme="minorEastAsia" w:hAnsiTheme="minorHAnsi" w:cstheme="minorBidi"/>
              <w:noProof/>
              <w:sz w:val="22"/>
              <w:szCs w:val="22"/>
              <w:lang w:eastAsia="ko-KR"/>
            </w:rPr>
          </w:pPr>
          <w:r w:rsidRPr="00D620B9">
            <w:lastRenderedPageBreak/>
            <w:fldChar w:fldCharType="begin"/>
          </w:r>
          <w:r w:rsidR="00D620B9" w:rsidRPr="00D620B9">
            <w:instrText xml:space="preserve"> TOC \o "1-3" \h \z \u </w:instrText>
          </w:r>
          <w:r w:rsidRPr="00D620B9">
            <w:fldChar w:fldCharType="separate"/>
          </w:r>
          <w:hyperlink w:anchor="_Toc345506027" w:history="1">
            <w:r w:rsidR="006D1BF5" w:rsidRPr="00AA731C">
              <w:rPr>
                <w:rStyle w:val="Hyperlink"/>
                <w:noProof/>
              </w:rPr>
              <w:t>INTRODUCTION</w:t>
            </w:r>
            <w:r w:rsidR="006D1BF5">
              <w:rPr>
                <w:noProof/>
                <w:webHidden/>
              </w:rPr>
              <w:tab/>
            </w:r>
            <w:r>
              <w:rPr>
                <w:noProof/>
                <w:webHidden/>
              </w:rPr>
              <w:fldChar w:fldCharType="begin"/>
            </w:r>
            <w:r w:rsidR="006D1BF5">
              <w:rPr>
                <w:noProof/>
                <w:webHidden/>
              </w:rPr>
              <w:instrText xml:space="preserve"> PAGEREF _Toc345506027 \h </w:instrText>
            </w:r>
            <w:r>
              <w:rPr>
                <w:noProof/>
                <w:webHidden/>
              </w:rPr>
            </w:r>
            <w:r>
              <w:rPr>
                <w:noProof/>
                <w:webHidden/>
              </w:rPr>
              <w:fldChar w:fldCharType="separate"/>
            </w:r>
            <w:r w:rsidR="00EA20B1">
              <w:rPr>
                <w:noProof/>
                <w:webHidden/>
              </w:rPr>
              <w:t>1</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28" w:history="1">
            <w:r w:rsidR="006D1BF5" w:rsidRPr="00AA731C">
              <w:rPr>
                <w:rStyle w:val="Hyperlink"/>
                <w:noProof/>
              </w:rPr>
              <w:t>Qualifications</w:t>
            </w:r>
            <w:r w:rsidR="006D1BF5">
              <w:rPr>
                <w:noProof/>
                <w:webHidden/>
              </w:rPr>
              <w:tab/>
            </w:r>
            <w:r>
              <w:rPr>
                <w:noProof/>
                <w:webHidden/>
              </w:rPr>
              <w:fldChar w:fldCharType="begin"/>
            </w:r>
            <w:r w:rsidR="006D1BF5">
              <w:rPr>
                <w:noProof/>
                <w:webHidden/>
              </w:rPr>
              <w:instrText xml:space="preserve"> PAGEREF _Toc345506028 \h </w:instrText>
            </w:r>
            <w:r>
              <w:rPr>
                <w:noProof/>
                <w:webHidden/>
              </w:rPr>
            </w:r>
            <w:r>
              <w:rPr>
                <w:noProof/>
                <w:webHidden/>
              </w:rPr>
              <w:fldChar w:fldCharType="separate"/>
            </w:r>
            <w:r w:rsidR="00EA20B1">
              <w:rPr>
                <w:noProof/>
                <w:webHidden/>
              </w:rPr>
              <w:t>1</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29" w:history="1">
            <w:r w:rsidR="006D1BF5" w:rsidRPr="00AA731C">
              <w:rPr>
                <w:rStyle w:val="Hyperlink"/>
                <w:noProof/>
              </w:rPr>
              <w:t>Purpose of Testimony</w:t>
            </w:r>
            <w:r w:rsidR="006D1BF5">
              <w:rPr>
                <w:noProof/>
                <w:webHidden/>
              </w:rPr>
              <w:tab/>
            </w:r>
            <w:r>
              <w:rPr>
                <w:noProof/>
                <w:webHidden/>
              </w:rPr>
              <w:fldChar w:fldCharType="begin"/>
            </w:r>
            <w:r w:rsidR="006D1BF5">
              <w:rPr>
                <w:noProof/>
                <w:webHidden/>
              </w:rPr>
              <w:instrText xml:space="preserve"> PAGEREF _Toc345506029 \h </w:instrText>
            </w:r>
            <w:r>
              <w:rPr>
                <w:noProof/>
                <w:webHidden/>
              </w:rPr>
            </w:r>
            <w:r>
              <w:rPr>
                <w:noProof/>
                <w:webHidden/>
              </w:rPr>
              <w:fldChar w:fldCharType="separate"/>
            </w:r>
            <w:r w:rsidR="00EA20B1">
              <w:rPr>
                <w:noProof/>
                <w:webHidden/>
              </w:rPr>
              <w:t>1</w:t>
            </w:r>
            <w:r>
              <w:rPr>
                <w:noProof/>
                <w:webHidden/>
              </w:rPr>
              <w:fldChar w:fldCharType="end"/>
            </w:r>
          </w:hyperlink>
        </w:p>
        <w:p w:rsidR="006D1BF5" w:rsidRDefault="00690610">
          <w:pPr>
            <w:pStyle w:val="TOC1"/>
            <w:rPr>
              <w:rFonts w:asciiTheme="minorHAnsi" w:eastAsiaTheme="minorEastAsia" w:hAnsiTheme="minorHAnsi" w:cstheme="minorBidi"/>
              <w:noProof/>
              <w:sz w:val="22"/>
              <w:szCs w:val="22"/>
              <w:lang w:eastAsia="ko-KR"/>
            </w:rPr>
          </w:pPr>
          <w:hyperlink w:anchor="_Toc345506030" w:history="1">
            <w:r w:rsidR="006D1BF5" w:rsidRPr="00AA731C">
              <w:rPr>
                <w:rStyle w:val="Hyperlink"/>
                <w:noProof/>
              </w:rPr>
              <w:t>PROPOSED MODIFICATIONS TO THE WCA</w:t>
            </w:r>
            <w:r w:rsidR="006D1BF5">
              <w:rPr>
                <w:noProof/>
                <w:webHidden/>
              </w:rPr>
              <w:tab/>
            </w:r>
            <w:r>
              <w:rPr>
                <w:noProof/>
                <w:webHidden/>
              </w:rPr>
              <w:fldChar w:fldCharType="begin"/>
            </w:r>
            <w:r w:rsidR="006D1BF5">
              <w:rPr>
                <w:noProof/>
                <w:webHidden/>
              </w:rPr>
              <w:instrText xml:space="preserve"> PAGEREF _Toc345506030 \h </w:instrText>
            </w:r>
            <w:r>
              <w:rPr>
                <w:noProof/>
                <w:webHidden/>
              </w:rPr>
            </w:r>
            <w:r>
              <w:rPr>
                <w:noProof/>
                <w:webHidden/>
              </w:rPr>
              <w:fldChar w:fldCharType="separate"/>
            </w:r>
            <w:r w:rsidR="00EA20B1">
              <w:rPr>
                <w:noProof/>
                <w:webHidden/>
              </w:rPr>
              <w:t>3</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1" w:history="1">
            <w:r w:rsidR="006D1BF5" w:rsidRPr="00AA731C">
              <w:rPr>
                <w:rStyle w:val="Hyperlink"/>
                <w:noProof/>
              </w:rPr>
              <w:t>Inclusion of All Costs and Benefits Associated with All PACW (Oregon, California, and Washington) QF Contracts in the Calculation of NPC, with an Allocated Share of Each Assigned to Washington</w:t>
            </w:r>
            <w:r w:rsidR="006D1BF5">
              <w:rPr>
                <w:noProof/>
                <w:webHidden/>
              </w:rPr>
              <w:tab/>
            </w:r>
            <w:r>
              <w:rPr>
                <w:noProof/>
                <w:webHidden/>
              </w:rPr>
              <w:fldChar w:fldCharType="begin"/>
            </w:r>
            <w:r w:rsidR="006D1BF5">
              <w:rPr>
                <w:noProof/>
                <w:webHidden/>
              </w:rPr>
              <w:instrText xml:space="preserve"> PAGEREF _Toc345506031 \h </w:instrText>
            </w:r>
            <w:r>
              <w:rPr>
                <w:noProof/>
                <w:webHidden/>
              </w:rPr>
            </w:r>
            <w:r>
              <w:rPr>
                <w:noProof/>
                <w:webHidden/>
              </w:rPr>
              <w:fldChar w:fldCharType="separate"/>
            </w:r>
            <w:r w:rsidR="00EA20B1">
              <w:rPr>
                <w:noProof/>
                <w:webHidden/>
              </w:rPr>
              <w:t>5</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2" w:history="1">
            <w:r w:rsidR="006D1BF5" w:rsidRPr="00AA731C">
              <w:rPr>
                <w:rStyle w:val="Hyperlink"/>
                <w:noProof/>
              </w:rPr>
              <w:t>Inclusion of All Costs and Benefits Associated with the Full Capacity and Cost of the 200 MW Point-to-Point Wheeling Contract with Idaho Power Company</w:t>
            </w:r>
            <w:r w:rsidR="006D1BF5">
              <w:rPr>
                <w:noProof/>
                <w:webHidden/>
              </w:rPr>
              <w:tab/>
            </w:r>
            <w:r>
              <w:rPr>
                <w:noProof/>
                <w:webHidden/>
              </w:rPr>
              <w:fldChar w:fldCharType="begin"/>
            </w:r>
            <w:r w:rsidR="006D1BF5">
              <w:rPr>
                <w:noProof/>
                <w:webHidden/>
              </w:rPr>
              <w:instrText xml:space="preserve"> PAGEREF _Toc345506032 \h </w:instrText>
            </w:r>
            <w:r>
              <w:rPr>
                <w:noProof/>
                <w:webHidden/>
              </w:rPr>
            </w:r>
            <w:r>
              <w:rPr>
                <w:noProof/>
                <w:webHidden/>
              </w:rPr>
              <w:fldChar w:fldCharType="separate"/>
            </w:r>
            <w:r w:rsidR="00EA20B1">
              <w:rPr>
                <w:noProof/>
                <w:webHidden/>
              </w:rPr>
              <w:t>8</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3" w:history="1">
            <w:r w:rsidR="006D1BF5" w:rsidRPr="00AA731C">
              <w:rPr>
                <w:rStyle w:val="Hyperlink"/>
                <w:noProof/>
              </w:rPr>
              <w:t>Exclusion of the Assumed Sale to PACE</w:t>
            </w:r>
            <w:r w:rsidR="006D1BF5">
              <w:rPr>
                <w:noProof/>
                <w:webHidden/>
              </w:rPr>
              <w:tab/>
            </w:r>
            <w:r>
              <w:rPr>
                <w:noProof/>
                <w:webHidden/>
              </w:rPr>
              <w:fldChar w:fldCharType="begin"/>
            </w:r>
            <w:r w:rsidR="006D1BF5">
              <w:rPr>
                <w:noProof/>
                <w:webHidden/>
              </w:rPr>
              <w:instrText xml:space="preserve"> PAGEREF _Toc345506033 \h </w:instrText>
            </w:r>
            <w:r>
              <w:rPr>
                <w:noProof/>
                <w:webHidden/>
              </w:rPr>
            </w:r>
            <w:r>
              <w:rPr>
                <w:noProof/>
                <w:webHidden/>
              </w:rPr>
              <w:fldChar w:fldCharType="separate"/>
            </w:r>
            <w:r w:rsidR="00EA20B1">
              <w:rPr>
                <w:noProof/>
                <w:webHidden/>
              </w:rPr>
              <w:t>9</w:t>
            </w:r>
            <w:r>
              <w:rPr>
                <w:noProof/>
                <w:webHidden/>
              </w:rPr>
              <w:fldChar w:fldCharType="end"/>
            </w:r>
          </w:hyperlink>
        </w:p>
        <w:p w:rsidR="006D1BF5" w:rsidRDefault="00690610">
          <w:pPr>
            <w:pStyle w:val="TOC1"/>
            <w:rPr>
              <w:rFonts w:asciiTheme="minorHAnsi" w:eastAsiaTheme="minorEastAsia" w:hAnsiTheme="minorHAnsi" w:cstheme="minorBidi"/>
              <w:noProof/>
              <w:sz w:val="22"/>
              <w:szCs w:val="22"/>
              <w:lang w:eastAsia="ko-KR"/>
            </w:rPr>
          </w:pPr>
          <w:hyperlink w:anchor="_Toc345506034" w:history="1">
            <w:r w:rsidR="006D1BF5" w:rsidRPr="00AA731C">
              <w:rPr>
                <w:rStyle w:val="Hyperlink"/>
                <w:noProof/>
              </w:rPr>
              <w:t>PRO FORMA NPC</w:t>
            </w:r>
            <w:r w:rsidR="006D1BF5">
              <w:rPr>
                <w:noProof/>
                <w:webHidden/>
              </w:rPr>
              <w:tab/>
            </w:r>
            <w:r>
              <w:rPr>
                <w:noProof/>
                <w:webHidden/>
              </w:rPr>
              <w:fldChar w:fldCharType="begin"/>
            </w:r>
            <w:r w:rsidR="006D1BF5">
              <w:rPr>
                <w:noProof/>
                <w:webHidden/>
              </w:rPr>
              <w:instrText xml:space="preserve"> PAGEREF _Toc345506034 \h </w:instrText>
            </w:r>
            <w:r>
              <w:rPr>
                <w:noProof/>
                <w:webHidden/>
              </w:rPr>
            </w:r>
            <w:r>
              <w:rPr>
                <w:noProof/>
                <w:webHidden/>
              </w:rPr>
              <w:fldChar w:fldCharType="separate"/>
            </w:r>
            <w:r w:rsidR="00EA20B1">
              <w:rPr>
                <w:noProof/>
                <w:webHidden/>
              </w:rPr>
              <w:t>10</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5" w:history="1">
            <w:r w:rsidR="006D1BF5" w:rsidRPr="00AA731C">
              <w:rPr>
                <w:rStyle w:val="Hyperlink"/>
                <w:noProof/>
              </w:rPr>
              <w:t>Overview</w:t>
            </w:r>
            <w:r w:rsidR="006D1BF5">
              <w:rPr>
                <w:noProof/>
                <w:webHidden/>
              </w:rPr>
              <w:tab/>
            </w:r>
            <w:r>
              <w:rPr>
                <w:noProof/>
                <w:webHidden/>
              </w:rPr>
              <w:fldChar w:fldCharType="begin"/>
            </w:r>
            <w:r w:rsidR="006D1BF5">
              <w:rPr>
                <w:noProof/>
                <w:webHidden/>
              </w:rPr>
              <w:instrText xml:space="preserve"> PAGEREF _Toc345506035 \h </w:instrText>
            </w:r>
            <w:r>
              <w:rPr>
                <w:noProof/>
                <w:webHidden/>
              </w:rPr>
            </w:r>
            <w:r>
              <w:rPr>
                <w:noProof/>
                <w:webHidden/>
              </w:rPr>
              <w:fldChar w:fldCharType="separate"/>
            </w:r>
            <w:r w:rsidR="00EA20B1">
              <w:rPr>
                <w:noProof/>
                <w:webHidden/>
              </w:rPr>
              <w:t>10</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6" w:history="1">
            <w:r w:rsidR="006D1BF5" w:rsidRPr="00AA731C">
              <w:rPr>
                <w:rStyle w:val="Hyperlink"/>
                <w:noProof/>
              </w:rPr>
              <w:t>Increases to BPA Wheeling Rates</w:t>
            </w:r>
            <w:r w:rsidR="006D1BF5">
              <w:rPr>
                <w:noProof/>
                <w:webHidden/>
              </w:rPr>
              <w:tab/>
            </w:r>
            <w:r>
              <w:rPr>
                <w:noProof/>
                <w:webHidden/>
              </w:rPr>
              <w:fldChar w:fldCharType="begin"/>
            </w:r>
            <w:r w:rsidR="006D1BF5">
              <w:rPr>
                <w:noProof/>
                <w:webHidden/>
              </w:rPr>
              <w:instrText xml:space="preserve"> PAGEREF _Toc345506036 \h </w:instrText>
            </w:r>
            <w:r>
              <w:rPr>
                <w:noProof/>
                <w:webHidden/>
              </w:rPr>
            </w:r>
            <w:r>
              <w:rPr>
                <w:noProof/>
                <w:webHidden/>
              </w:rPr>
              <w:fldChar w:fldCharType="separate"/>
            </w:r>
            <w:r w:rsidR="00EA20B1">
              <w:rPr>
                <w:noProof/>
                <w:webHidden/>
              </w:rPr>
              <w:t>12</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7" w:history="1">
            <w:r w:rsidR="006D1BF5" w:rsidRPr="00AA731C">
              <w:rPr>
                <w:rStyle w:val="Hyperlink"/>
                <w:noProof/>
              </w:rPr>
              <w:t>Increases to Coal Prices</w:t>
            </w:r>
            <w:r w:rsidR="006D1BF5">
              <w:rPr>
                <w:noProof/>
                <w:webHidden/>
              </w:rPr>
              <w:tab/>
            </w:r>
            <w:r>
              <w:rPr>
                <w:noProof/>
                <w:webHidden/>
              </w:rPr>
              <w:fldChar w:fldCharType="begin"/>
            </w:r>
            <w:r w:rsidR="006D1BF5">
              <w:rPr>
                <w:noProof/>
                <w:webHidden/>
              </w:rPr>
              <w:instrText xml:space="preserve"> PAGEREF _Toc345506037 \h </w:instrText>
            </w:r>
            <w:r>
              <w:rPr>
                <w:noProof/>
                <w:webHidden/>
              </w:rPr>
            </w:r>
            <w:r>
              <w:rPr>
                <w:noProof/>
                <w:webHidden/>
              </w:rPr>
              <w:fldChar w:fldCharType="separate"/>
            </w:r>
            <w:r w:rsidR="00EA20B1">
              <w:rPr>
                <w:noProof/>
                <w:webHidden/>
              </w:rPr>
              <w:t>13</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8" w:history="1">
            <w:r w:rsidR="006D1BF5" w:rsidRPr="00AA731C">
              <w:rPr>
                <w:rStyle w:val="Hyperlink"/>
                <w:noProof/>
              </w:rPr>
              <w:t>Decreases in Retail Load</w:t>
            </w:r>
            <w:r w:rsidR="006D1BF5">
              <w:rPr>
                <w:noProof/>
                <w:webHidden/>
              </w:rPr>
              <w:tab/>
            </w:r>
            <w:r>
              <w:rPr>
                <w:noProof/>
                <w:webHidden/>
              </w:rPr>
              <w:fldChar w:fldCharType="begin"/>
            </w:r>
            <w:r w:rsidR="006D1BF5">
              <w:rPr>
                <w:noProof/>
                <w:webHidden/>
              </w:rPr>
              <w:instrText xml:space="preserve"> PAGEREF _Toc345506038 \h </w:instrText>
            </w:r>
            <w:r>
              <w:rPr>
                <w:noProof/>
                <w:webHidden/>
              </w:rPr>
            </w:r>
            <w:r>
              <w:rPr>
                <w:noProof/>
                <w:webHidden/>
              </w:rPr>
              <w:fldChar w:fldCharType="separate"/>
            </w:r>
            <w:r w:rsidR="00EA20B1">
              <w:rPr>
                <w:noProof/>
                <w:webHidden/>
              </w:rPr>
              <w:t>14</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39" w:history="1">
            <w:r w:rsidR="006D1BF5" w:rsidRPr="00AA731C">
              <w:rPr>
                <w:rStyle w:val="Hyperlink"/>
                <w:noProof/>
              </w:rPr>
              <w:t>Decreases in Electricity and Natural Gas Swaps</w:t>
            </w:r>
            <w:r w:rsidR="006D1BF5">
              <w:rPr>
                <w:noProof/>
                <w:webHidden/>
              </w:rPr>
              <w:tab/>
            </w:r>
            <w:r>
              <w:rPr>
                <w:noProof/>
                <w:webHidden/>
              </w:rPr>
              <w:fldChar w:fldCharType="begin"/>
            </w:r>
            <w:r w:rsidR="006D1BF5">
              <w:rPr>
                <w:noProof/>
                <w:webHidden/>
              </w:rPr>
              <w:instrText xml:space="preserve"> PAGEREF _Toc345506039 \h </w:instrText>
            </w:r>
            <w:r>
              <w:rPr>
                <w:noProof/>
                <w:webHidden/>
              </w:rPr>
            </w:r>
            <w:r>
              <w:rPr>
                <w:noProof/>
                <w:webHidden/>
              </w:rPr>
              <w:fldChar w:fldCharType="separate"/>
            </w:r>
            <w:r w:rsidR="00EA20B1">
              <w:rPr>
                <w:noProof/>
                <w:webHidden/>
              </w:rPr>
              <w:t>15</w:t>
            </w:r>
            <w:r>
              <w:rPr>
                <w:noProof/>
                <w:webHidden/>
              </w:rPr>
              <w:fldChar w:fldCharType="end"/>
            </w:r>
          </w:hyperlink>
        </w:p>
        <w:p w:rsidR="006D1BF5" w:rsidRDefault="00690610">
          <w:pPr>
            <w:pStyle w:val="TOC1"/>
            <w:rPr>
              <w:rFonts w:asciiTheme="minorHAnsi" w:eastAsiaTheme="minorEastAsia" w:hAnsiTheme="minorHAnsi" w:cstheme="minorBidi"/>
              <w:noProof/>
              <w:sz w:val="22"/>
              <w:szCs w:val="22"/>
              <w:lang w:eastAsia="ko-KR"/>
            </w:rPr>
          </w:pPr>
          <w:hyperlink w:anchor="_Toc345506040" w:history="1">
            <w:r w:rsidR="006D1BF5" w:rsidRPr="00AA731C">
              <w:rPr>
                <w:rStyle w:val="Hyperlink"/>
                <w:noProof/>
              </w:rPr>
              <w:t>CHANGES TO NPC MODELING SINCE THE 2011 RATE CASE</w:t>
            </w:r>
            <w:r w:rsidR="006D1BF5">
              <w:rPr>
                <w:noProof/>
                <w:webHidden/>
              </w:rPr>
              <w:tab/>
            </w:r>
            <w:r>
              <w:rPr>
                <w:noProof/>
                <w:webHidden/>
              </w:rPr>
              <w:fldChar w:fldCharType="begin"/>
            </w:r>
            <w:r w:rsidR="006D1BF5">
              <w:rPr>
                <w:noProof/>
                <w:webHidden/>
              </w:rPr>
              <w:instrText xml:space="preserve"> PAGEREF _Toc345506040 \h </w:instrText>
            </w:r>
            <w:r>
              <w:rPr>
                <w:noProof/>
                <w:webHidden/>
              </w:rPr>
            </w:r>
            <w:r>
              <w:rPr>
                <w:noProof/>
                <w:webHidden/>
              </w:rPr>
              <w:fldChar w:fldCharType="separate"/>
            </w:r>
            <w:r w:rsidR="00EA20B1">
              <w:rPr>
                <w:noProof/>
                <w:webHidden/>
              </w:rPr>
              <w:t>16</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1" w:history="1">
            <w:r w:rsidR="006D1BF5" w:rsidRPr="00AA731C">
              <w:rPr>
                <w:rStyle w:val="Hyperlink"/>
                <w:noProof/>
              </w:rPr>
              <w:t>Inclusion of the Leaning Juniper and Goodnoe Hills Wind Projects and the Chehalis Plant in PACW</w:t>
            </w:r>
            <w:r w:rsidR="006D1BF5">
              <w:rPr>
                <w:noProof/>
                <w:webHidden/>
              </w:rPr>
              <w:tab/>
            </w:r>
            <w:r>
              <w:rPr>
                <w:noProof/>
                <w:webHidden/>
              </w:rPr>
              <w:fldChar w:fldCharType="begin"/>
            </w:r>
            <w:r w:rsidR="006D1BF5">
              <w:rPr>
                <w:noProof/>
                <w:webHidden/>
              </w:rPr>
              <w:instrText xml:space="preserve"> PAGEREF _Toc345506041 \h </w:instrText>
            </w:r>
            <w:r>
              <w:rPr>
                <w:noProof/>
                <w:webHidden/>
              </w:rPr>
            </w:r>
            <w:r>
              <w:rPr>
                <w:noProof/>
                <w:webHidden/>
              </w:rPr>
              <w:fldChar w:fldCharType="separate"/>
            </w:r>
            <w:r w:rsidR="00EA20B1">
              <w:rPr>
                <w:noProof/>
                <w:webHidden/>
              </w:rPr>
              <w:t>16</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2" w:history="1">
            <w:r w:rsidR="006D1BF5" w:rsidRPr="00AA731C">
              <w:rPr>
                <w:rStyle w:val="Hyperlink"/>
                <w:noProof/>
              </w:rPr>
              <w:t>Adjustment of the Monthly Capacity Factor for Wind Generation to Match the Average 48-Month History of Wind Generation Output</w:t>
            </w:r>
            <w:r w:rsidR="006D1BF5">
              <w:rPr>
                <w:noProof/>
                <w:webHidden/>
              </w:rPr>
              <w:tab/>
            </w:r>
            <w:r>
              <w:rPr>
                <w:noProof/>
                <w:webHidden/>
              </w:rPr>
              <w:fldChar w:fldCharType="begin"/>
            </w:r>
            <w:r w:rsidR="006D1BF5">
              <w:rPr>
                <w:noProof/>
                <w:webHidden/>
              </w:rPr>
              <w:instrText xml:space="preserve"> PAGEREF _Toc345506042 \h </w:instrText>
            </w:r>
            <w:r>
              <w:rPr>
                <w:noProof/>
                <w:webHidden/>
              </w:rPr>
            </w:r>
            <w:r>
              <w:rPr>
                <w:noProof/>
                <w:webHidden/>
              </w:rPr>
              <w:fldChar w:fldCharType="separate"/>
            </w:r>
            <w:r w:rsidR="00EA20B1">
              <w:rPr>
                <w:noProof/>
                <w:webHidden/>
              </w:rPr>
              <w:t>17</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3" w:history="1">
            <w:r w:rsidR="006D1BF5" w:rsidRPr="00AA731C">
              <w:rPr>
                <w:rStyle w:val="Hyperlink"/>
                <w:noProof/>
              </w:rPr>
              <w:t>Changes to the Modeling of Hydro Generation</w:t>
            </w:r>
            <w:r w:rsidR="006D1BF5">
              <w:rPr>
                <w:noProof/>
                <w:webHidden/>
              </w:rPr>
              <w:tab/>
            </w:r>
            <w:r>
              <w:rPr>
                <w:noProof/>
                <w:webHidden/>
              </w:rPr>
              <w:fldChar w:fldCharType="begin"/>
            </w:r>
            <w:r w:rsidR="006D1BF5">
              <w:rPr>
                <w:noProof/>
                <w:webHidden/>
              </w:rPr>
              <w:instrText xml:space="preserve"> PAGEREF _Toc345506043 \h </w:instrText>
            </w:r>
            <w:r>
              <w:rPr>
                <w:noProof/>
                <w:webHidden/>
              </w:rPr>
            </w:r>
            <w:r>
              <w:rPr>
                <w:noProof/>
                <w:webHidden/>
              </w:rPr>
              <w:fldChar w:fldCharType="separate"/>
            </w:r>
            <w:r w:rsidR="00EA20B1">
              <w:rPr>
                <w:noProof/>
                <w:webHidden/>
              </w:rPr>
              <w:t>18</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4" w:history="1">
            <w:r w:rsidR="006D1BF5" w:rsidRPr="00AA731C">
              <w:rPr>
                <w:rStyle w:val="Hyperlink"/>
                <w:noProof/>
              </w:rPr>
              <w:t>Inclusion of the Rights to the DC Intertie Transmission Line</w:t>
            </w:r>
            <w:r w:rsidR="006D1BF5">
              <w:rPr>
                <w:noProof/>
                <w:webHidden/>
              </w:rPr>
              <w:tab/>
            </w:r>
            <w:r>
              <w:rPr>
                <w:noProof/>
                <w:webHidden/>
              </w:rPr>
              <w:fldChar w:fldCharType="begin"/>
            </w:r>
            <w:r w:rsidR="006D1BF5">
              <w:rPr>
                <w:noProof/>
                <w:webHidden/>
              </w:rPr>
              <w:instrText xml:space="preserve"> PAGEREF _Toc345506044 \h </w:instrText>
            </w:r>
            <w:r>
              <w:rPr>
                <w:noProof/>
                <w:webHidden/>
              </w:rPr>
            </w:r>
            <w:r>
              <w:rPr>
                <w:noProof/>
                <w:webHidden/>
              </w:rPr>
              <w:fldChar w:fldCharType="separate"/>
            </w:r>
            <w:r w:rsidR="00EA20B1">
              <w:rPr>
                <w:noProof/>
                <w:webHidden/>
              </w:rPr>
              <w:t>20</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5" w:history="1">
            <w:r w:rsidR="006D1BF5" w:rsidRPr="00AA731C">
              <w:rPr>
                <w:rStyle w:val="Hyperlink"/>
                <w:noProof/>
              </w:rPr>
              <w:t>Inclusion of the Cost of Holding Reserves to Integrate Non-Owned Wind Facilities Located in the West Control Area</w:t>
            </w:r>
            <w:r w:rsidR="006D1BF5">
              <w:rPr>
                <w:noProof/>
                <w:webHidden/>
              </w:rPr>
              <w:tab/>
            </w:r>
            <w:r>
              <w:rPr>
                <w:noProof/>
                <w:webHidden/>
              </w:rPr>
              <w:fldChar w:fldCharType="begin"/>
            </w:r>
            <w:r w:rsidR="006D1BF5">
              <w:rPr>
                <w:noProof/>
                <w:webHidden/>
              </w:rPr>
              <w:instrText xml:space="preserve"> PAGEREF _Toc345506045 \h </w:instrText>
            </w:r>
            <w:r>
              <w:rPr>
                <w:noProof/>
                <w:webHidden/>
              </w:rPr>
            </w:r>
            <w:r>
              <w:rPr>
                <w:noProof/>
                <w:webHidden/>
              </w:rPr>
              <w:fldChar w:fldCharType="separate"/>
            </w:r>
            <w:r w:rsidR="00EA20B1">
              <w:rPr>
                <w:noProof/>
                <w:webHidden/>
              </w:rPr>
              <w:t>21</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6" w:history="1">
            <w:r w:rsidR="006D1BF5" w:rsidRPr="00AA731C">
              <w:rPr>
                <w:rStyle w:val="Hyperlink"/>
                <w:noProof/>
              </w:rPr>
              <w:t>Compliance with Commission-Ordered Adjustments</w:t>
            </w:r>
            <w:r w:rsidR="006D1BF5">
              <w:rPr>
                <w:noProof/>
                <w:webHidden/>
              </w:rPr>
              <w:tab/>
            </w:r>
            <w:r>
              <w:rPr>
                <w:noProof/>
                <w:webHidden/>
              </w:rPr>
              <w:fldChar w:fldCharType="begin"/>
            </w:r>
            <w:r w:rsidR="006D1BF5">
              <w:rPr>
                <w:noProof/>
                <w:webHidden/>
              </w:rPr>
              <w:instrText xml:space="preserve"> PAGEREF _Toc345506046 \h </w:instrText>
            </w:r>
            <w:r>
              <w:rPr>
                <w:noProof/>
                <w:webHidden/>
              </w:rPr>
            </w:r>
            <w:r>
              <w:rPr>
                <w:noProof/>
                <w:webHidden/>
              </w:rPr>
              <w:fldChar w:fldCharType="separate"/>
            </w:r>
            <w:r w:rsidR="00EA20B1">
              <w:rPr>
                <w:noProof/>
                <w:webHidden/>
              </w:rPr>
              <w:t>23</w:t>
            </w:r>
            <w:r>
              <w:rPr>
                <w:noProof/>
                <w:webHidden/>
              </w:rPr>
              <w:fldChar w:fldCharType="end"/>
            </w:r>
          </w:hyperlink>
        </w:p>
        <w:p w:rsidR="006D1BF5" w:rsidRDefault="00690610">
          <w:pPr>
            <w:pStyle w:val="TOC1"/>
            <w:rPr>
              <w:rFonts w:asciiTheme="minorHAnsi" w:eastAsiaTheme="minorEastAsia" w:hAnsiTheme="minorHAnsi" w:cstheme="minorBidi"/>
              <w:noProof/>
              <w:sz w:val="22"/>
              <w:szCs w:val="22"/>
              <w:lang w:eastAsia="ko-KR"/>
            </w:rPr>
          </w:pPr>
          <w:hyperlink w:anchor="_Toc345506047" w:history="1">
            <w:r w:rsidR="006D1BF5" w:rsidRPr="00AA731C">
              <w:rPr>
                <w:rStyle w:val="Hyperlink"/>
                <w:noProof/>
              </w:rPr>
              <w:t>2012 WIND INTEGRATION STUDY</w:t>
            </w:r>
            <w:r w:rsidR="006D1BF5">
              <w:rPr>
                <w:noProof/>
                <w:webHidden/>
              </w:rPr>
              <w:tab/>
            </w:r>
            <w:r>
              <w:rPr>
                <w:noProof/>
                <w:webHidden/>
              </w:rPr>
              <w:fldChar w:fldCharType="begin"/>
            </w:r>
            <w:r w:rsidR="006D1BF5">
              <w:rPr>
                <w:noProof/>
                <w:webHidden/>
              </w:rPr>
              <w:instrText xml:space="preserve"> PAGEREF _Toc345506047 \h </w:instrText>
            </w:r>
            <w:r>
              <w:rPr>
                <w:noProof/>
                <w:webHidden/>
              </w:rPr>
            </w:r>
            <w:r>
              <w:rPr>
                <w:noProof/>
                <w:webHidden/>
              </w:rPr>
              <w:fldChar w:fldCharType="separate"/>
            </w:r>
            <w:r w:rsidR="00EA20B1">
              <w:rPr>
                <w:noProof/>
                <w:webHidden/>
              </w:rPr>
              <w:t>24</w:t>
            </w:r>
            <w:r>
              <w:rPr>
                <w:noProof/>
                <w:webHidden/>
              </w:rPr>
              <w:fldChar w:fldCharType="end"/>
            </w:r>
          </w:hyperlink>
        </w:p>
        <w:p w:rsidR="006D1BF5" w:rsidRDefault="00690610">
          <w:pPr>
            <w:pStyle w:val="TOC1"/>
            <w:rPr>
              <w:rFonts w:asciiTheme="minorHAnsi" w:eastAsiaTheme="minorEastAsia" w:hAnsiTheme="minorHAnsi" w:cstheme="minorBidi"/>
              <w:noProof/>
              <w:sz w:val="22"/>
              <w:szCs w:val="22"/>
              <w:lang w:eastAsia="ko-KR"/>
            </w:rPr>
          </w:pPr>
          <w:hyperlink w:anchor="_Toc345506048" w:history="1">
            <w:r w:rsidR="006D1BF5" w:rsidRPr="00AA731C">
              <w:rPr>
                <w:rStyle w:val="Hyperlink"/>
                <w:noProof/>
              </w:rPr>
              <w:t>PACIFICORP’S WASHINGTON PCAM PROPOSAL</w:t>
            </w:r>
            <w:r w:rsidR="006D1BF5">
              <w:rPr>
                <w:noProof/>
                <w:webHidden/>
              </w:rPr>
              <w:tab/>
            </w:r>
            <w:r>
              <w:rPr>
                <w:noProof/>
                <w:webHidden/>
              </w:rPr>
              <w:fldChar w:fldCharType="begin"/>
            </w:r>
            <w:r w:rsidR="006D1BF5">
              <w:rPr>
                <w:noProof/>
                <w:webHidden/>
              </w:rPr>
              <w:instrText xml:space="preserve"> PAGEREF _Toc345506048 \h </w:instrText>
            </w:r>
            <w:r>
              <w:rPr>
                <w:noProof/>
                <w:webHidden/>
              </w:rPr>
            </w:r>
            <w:r>
              <w:rPr>
                <w:noProof/>
                <w:webHidden/>
              </w:rPr>
              <w:fldChar w:fldCharType="separate"/>
            </w:r>
            <w:r w:rsidR="00EA20B1">
              <w:rPr>
                <w:noProof/>
                <w:webHidden/>
              </w:rPr>
              <w:t>26</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49" w:history="1">
            <w:r w:rsidR="006D1BF5" w:rsidRPr="00AA731C">
              <w:rPr>
                <w:rStyle w:val="Hyperlink"/>
                <w:noProof/>
              </w:rPr>
              <w:t>Overview</w:t>
            </w:r>
            <w:r w:rsidR="006D1BF5">
              <w:rPr>
                <w:noProof/>
                <w:webHidden/>
              </w:rPr>
              <w:tab/>
            </w:r>
            <w:r>
              <w:rPr>
                <w:noProof/>
                <w:webHidden/>
              </w:rPr>
              <w:fldChar w:fldCharType="begin"/>
            </w:r>
            <w:r w:rsidR="006D1BF5">
              <w:rPr>
                <w:noProof/>
                <w:webHidden/>
              </w:rPr>
              <w:instrText xml:space="preserve"> PAGEREF _Toc345506049 \h </w:instrText>
            </w:r>
            <w:r>
              <w:rPr>
                <w:noProof/>
                <w:webHidden/>
              </w:rPr>
            </w:r>
            <w:r>
              <w:rPr>
                <w:noProof/>
                <w:webHidden/>
              </w:rPr>
              <w:fldChar w:fldCharType="separate"/>
            </w:r>
            <w:r w:rsidR="00EA20B1">
              <w:rPr>
                <w:noProof/>
                <w:webHidden/>
              </w:rPr>
              <w:t>26</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50" w:history="1">
            <w:r w:rsidR="006D1BF5" w:rsidRPr="00AA731C">
              <w:rPr>
                <w:rStyle w:val="Hyperlink"/>
                <w:noProof/>
              </w:rPr>
              <w:t>Need for the Proposed Washington PCAM</w:t>
            </w:r>
            <w:r w:rsidR="006D1BF5">
              <w:rPr>
                <w:noProof/>
                <w:webHidden/>
              </w:rPr>
              <w:tab/>
            </w:r>
            <w:r>
              <w:rPr>
                <w:noProof/>
                <w:webHidden/>
              </w:rPr>
              <w:fldChar w:fldCharType="begin"/>
            </w:r>
            <w:r w:rsidR="006D1BF5">
              <w:rPr>
                <w:noProof/>
                <w:webHidden/>
              </w:rPr>
              <w:instrText xml:space="preserve"> PAGEREF _Toc345506050 \h </w:instrText>
            </w:r>
            <w:r>
              <w:rPr>
                <w:noProof/>
                <w:webHidden/>
              </w:rPr>
            </w:r>
            <w:r>
              <w:rPr>
                <w:noProof/>
                <w:webHidden/>
              </w:rPr>
              <w:fldChar w:fldCharType="separate"/>
            </w:r>
            <w:r w:rsidR="00EA20B1">
              <w:rPr>
                <w:noProof/>
                <w:webHidden/>
              </w:rPr>
              <w:t>29</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51" w:history="1">
            <w:r w:rsidR="006D1BF5" w:rsidRPr="00AA731C">
              <w:rPr>
                <w:rStyle w:val="Hyperlink"/>
                <w:noProof/>
              </w:rPr>
              <w:t>General Policies Supporting PacifiCorp’s PCAM</w:t>
            </w:r>
            <w:r w:rsidR="006D1BF5">
              <w:rPr>
                <w:noProof/>
                <w:webHidden/>
              </w:rPr>
              <w:tab/>
            </w:r>
            <w:r>
              <w:rPr>
                <w:noProof/>
                <w:webHidden/>
              </w:rPr>
              <w:fldChar w:fldCharType="begin"/>
            </w:r>
            <w:r w:rsidR="006D1BF5">
              <w:rPr>
                <w:noProof/>
                <w:webHidden/>
              </w:rPr>
              <w:instrText xml:space="preserve"> PAGEREF _Toc345506051 \h </w:instrText>
            </w:r>
            <w:r>
              <w:rPr>
                <w:noProof/>
                <w:webHidden/>
              </w:rPr>
            </w:r>
            <w:r>
              <w:rPr>
                <w:noProof/>
                <w:webHidden/>
              </w:rPr>
              <w:fldChar w:fldCharType="separate"/>
            </w:r>
            <w:r w:rsidR="00EA20B1">
              <w:rPr>
                <w:noProof/>
                <w:webHidden/>
              </w:rPr>
              <w:t>31</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52" w:history="1">
            <w:r w:rsidR="006D1BF5" w:rsidRPr="00AA731C">
              <w:rPr>
                <w:rStyle w:val="Hyperlink"/>
                <w:noProof/>
              </w:rPr>
              <w:t>PacifiCorp’s Increased NPC Business Risk Supports PacifiCorp’s PCAM</w:t>
            </w:r>
            <w:r w:rsidR="006D1BF5">
              <w:rPr>
                <w:noProof/>
                <w:webHidden/>
              </w:rPr>
              <w:tab/>
            </w:r>
            <w:r>
              <w:rPr>
                <w:noProof/>
                <w:webHidden/>
              </w:rPr>
              <w:fldChar w:fldCharType="begin"/>
            </w:r>
            <w:r w:rsidR="006D1BF5">
              <w:rPr>
                <w:noProof/>
                <w:webHidden/>
              </w:rPr>
              <w:instrText xml:space="preserve"> PAGEREF _Toc345506052 \h </w:instrText>
            </w:r>
            <w:r>
              <w:rPr>
                <w:noProof/>
                <w:webHidden/>
              </w:rPr>
            </w:r>
            <w:r>
              <w:rPr>
                <w:noProof/>
                <w:webHidden/>
              </w:rPr>
              <w:fldChar w:fldCharType="separate"/>
            </w:r>
            <w:r w:rsidR="00EA20B1">
              <w:rPr>
                <w:noProof/>
                <w:webHidden/>
              </w:rPr>
              <w:t>35</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53" w:history="1">
            <w:r w:rsidR="006D1BF5" w:rsidRPr="00AA731C">
              <w:rPr>
                <w:rStyle w:val="Hyperlink"/>
                <w:noProof/>
              </w:rPr>
              <w:t>Symmetrical Treatment of NPC-Related Costs and Revenues Supports  PacifiCorp’s PCAM</w:t>
            </w:r>
            <w:r w:rsidR="006D1BF5">
              <w:rPr>
                <w:noProof/>
                <w:webHidden/>
              </w:rPr>
              <w:tab/>
            </w:r>
            <w:r>
              <w:rPr>
                <w:noProof/>
                <w:webHidden/>
              </w:rPr>
              <w:fldChar w:fldCharType="begin"/>
            </w:r>
            <w:r w:rsidR="006D1BF5">
              <w:rPr>
                <w:noProof/>
                <w:webHidden/>
              </w:rPr>
              <w:instrText xml:space="preserve"> PAGEREF _Toc345506053 \h </w:instrText>
            </w:r>
            <w:r>
              <w:rPr>
                <w:noProof/>
                <w:webHidden/>
              </w:rPr>
            </w:r>
            <w:r>
              <w:rPr>
                <w:noProof/>
                <w:webHidden/>
              </w:rPr>
              <w:fldChar w:fldCharType="separate"/>
            </w:r>
            <w:r w:rsidR="00EA20B1">
              <w:rPr>
                <w:noProof/>
                <w:webHidden/>
              </w:rPr>
              <w:t>43</w:t>
            </w:r>
            <w:r>
              <w:rPr>
                <w:noProof/>
                <w:webHidden/>
              </w:rPr>
              <w:fldChar w:fldCharType="end"/>
            </w:r>
          </w:hyperlink>
        </w:p>
        <w:p w:rsidR="006D1BF5" w:rsidRDefault="00690610">
          <w:pPr>
            <w:pStyle w:val="TOC2"/>
            <w:rPr>
              <w:rFonts w:asciiTheme="minorHAnsi" w:eastAsiaTheme="minorEastAsia" w:hAnsiTheme="minorHAnsi" w:cstheme="minorBidi"/>
              <w:noProof/>
              <w:sz w:val="22"/>
              <w:szCs w:val="22"/>
              <w:lang w:eastAsia="ko-KR"/>
            </w:rPr>
          </w:pPr>
          <w:hyperlink w:anchor="_Toc345506054" w:history="1">
            <w:r w:rsidR="006D1BF5" w:rsidRPr="00AA731C">
              <w:rPr>
                <w:rStyle w:val="Hyperlink"/>
                <w:noProof/>
              </w:rPr>
              <w:t>PacifiCorp Responses to Issues Raised in the 2006 Rate Case</w:t>
            </w:r>
            <w:r w:rsidR="006D1BF5">
              <w:rPr>
                <w:noProof/>
                <w:webHidden/>
              </w:rPr>
              <w:tab/>
            </w:r>
            <w:r>
              <w:rPr>
                <w:noProof/>
                <w:webHidden/>
              </w:rPr>
              <w:fldChar w:fldCharType="begin"/>
            </w:r>
            <w:r w:rsidR="006D1BF5">
              <w:rPr>
                <w:noProof/>
                <w:webHidden/>
              </w:rPr>
              <w:instrText xml:space="preserve"> PAGEREF _Toc345506054 \h </w:instrText>
            </w:r>
            <w:r>
              <w:rPr>
                <w:noProof/>
                <w:webHidden/>
              </w:rPr>
            </w:r>
            <w:r>
              <w:rPr>
                <w:noProof/>
                <w:webHidden/>
              </w:rPr>
              <w:fldChar w:fldCharType="separate"/>
            </w:r>
            <w:r w:rsidR="00EA20B1">
              <w:rPr>
                <w:noProof/>
                <w:webHidden/>
              </w:rPr>
              <w:t>44</w:t>
            </w:r>
            <w:r>
              <w:rPr>
                <w:noProof/>
                <w:webHidden/>
              </w:rPr>
              <w:fldChar w:fldCharType="end"/>
            </w:r>
          </w:hyperlink>
        </w:p>
        <w:p w:rsidR="006D1BF5" w:rsidRDefault="00690610">
          <w:pPr>
            <w:pStyle w:val="TOC1"/>
            <w:rPr>
              <w:rFonts w:asciiTheme="minorHAnsi" w:eastAsiaTheme="minorEastAsia" w:hAnsiTheme="minorHAnsi" w:cstheme="minorBidi"/>
              <w:noProof/>
              <w:sz w:val="22"/>
              <w:szCs w:val="22"/>
              <w:lang w:eastAsia="ko-KR"/>
            </w:rPr>
          </w:pPr>
          <w:hyperlink w:anchor="_Toc345506055" w:history="1">
            <w:r w:rsidR="006D1BF5" w:rsidRPr="00AA731C">
              <w:rPr>
                <w:rStyle w:val="Hyperlink"/>
                <w:noProof/>
              </w:rPr>
              <w:t>CONCLUSION</w:t>
            </w:r>
            <w:r w:rsidR="006D1BF5">
              <w:rPr>
                <w:noProof/>
                <w:webHidden/>
              </w:rPr>
              <w:tab/>
            </w:r>
            <w:r>
              <w:rPr>
                <w:noProof/>
                <w:webHidden/>
              </w:rPr>
              <w:fldChar w:fldCharType="begin"/>
            </w:r>
            <w:r w:rsidR="006D1BF5">
              <w:rPr>
                <w:noProof/>
                <w:webHidden/>
              </w:rPr>
              <w:instrText xml:space="preserve"> PAGEREF _Toc345506055 \h </w:instrText>
            </w:r>
            <w:r>
              <w:rPr>
                <w:noProof/>
                <w:webHidden/>
              </w:rPr>
            </w:r>
            <w:r>
              <w:rPr>
                <w:noProof/>
                <w:webHidden/>
              </w:rPr>
              <w:fldChar w:fldCharType="separate"/>
            </w:r>
            <w:r w:rsidR="00EA20B1">
              <w:rPr>
                <w:noProof/>
                <w:webHidden/>
              </w:rPr>
              <w:t>49</w:t>
            </w:r>
            <w:r>
              <w:rPr>
                <w:noProof/>
                <w:webHidden/>
              </w:rPr>
              <w:fldChar w:fldCharType="end"/>
            </w:r>
          </w:hyperlink>
        </w:p>
        <w:p w:rsidR="00D620B9" w:rsidRPr="00D620B9" w:rsidRDefault="00690610" w:rsidP="00D620B9">
          <w:pPr>
            <w:suppressLineNumbers/>
            <w:spacing w:line="276" w:lineRule="auto"/>
          </w:pPr>
          <w:r w:rsidRPr="00D620B9">
            <w:fldChar w:fldCharType="end"/>
          </w:r>
        </w:p>
      </w:sdtContent>
    </w:sdt>
    <w:p w:rsidR="00166C86" w:rsidRDefault="00166C86" w:rsidP="00D620B9">
      <w:pPr>
        <w:suppressLineNumbers/>
        <w:spacing w:line="276" w:lineRule="auto"/>
        <w:sectPr w:rsidR="00166C86" w:rsidSect="00BD5540">
          <w:footerReference w:type="default" r:id="rId13"/>
          <w:type w:val="continuous"/>
          <w:pgSz w:w="12240" w:h="15840" w:code="1"/>
          <w:pgMar w:top="1440" w:right="1800" w:bottom="1440" w:left="1800" w:header="720" w:footer="720" w:gutter="0"/>
          <w:cols w:space="720"/>
          <w:docGrid w:linePitch="326"/>
        </w:sectPr>
      </w:pPr>
    </w:p>
    <w:p w:rsidR="0079133E" w:rsidRDefault="0079133E" w:rsidP="00842A04">
      <w:pPr>
        <w:widowControl/>
        <w:suppressLineNumbers/>
        <w:adjustRightInd/>
        <w:spacing w:after="200" w:line="276" w:lineRule="auto"/>
        <w:jc w:val="left"/>
        <w:textAlignment w:val="auto"/>
        <w:rPr>
          <w:b/>
          <w:szCs w:val="20"/>
        </w:rPr>
      </w:pPr>
      <w:r>
        <w:lastRenderedPageBreak/>
        <w:br w:type="page"/>
      </w:r>
    </w:p>
    <w:p w:rsidR="004F0D20" w:rsidRPr="0079133E" w:rsidRDefault="004F0D20" w:rsidP="0079133E">
      <w:pPr>
        <w:pStyle w:val="Heading1"/>
      </w:pPr>
      <w:bookmarkStart w:id="0" w:name="_Toc345506027"/>
      <w:r w:rsidRPr="0079133E">
        <w:lastRenderedPageBreak/>
        <w:t>INTRODUCTION</w:t>
      </w:r>
      <w:bookmarkEnd w:id="0"/>
    </w:p>
    <w:p w:rsidR="00475F96" w:rsidRDefault="00475F96" w:rsidP="00F75DD2">
      <w:pPr>
        <w:pStyle w:val="BodyText2"/>
        <w:ind w:left="720" w:hanging="720"/>
        <w:jc w:val="left"/>
        <w:rPr>
          <w:b/>
          <w:bCs/>
        </w:rPr>
      </w:pPr>
      <w:r>
        <w:rPr>
          <w:b/>
          <w:bCs/>
        </w:rPr>
        <w:t>Q.</w:t>
      </w:r>
      <w:r>
        <w:rPr>
          <w:b/>
          <w:bCs/>
        </w:rPr>
        <w:tab/>
      </w:r>
      <w:r w:rsidRPr="00DD41DF">
        <w:rPr>
          <w:b/>
          <w:bCs/>
        </w:rPr>
        <w:t>Please state your name, business address</w:t>
      </w:r>
      <w:r>
        <w:rPr>
          <w:b/>
          <w:bCs/>
        </w:rPr>
        <w:t>,</w:t>
      </w:r>
      <w:r w:rsidRPr="00DD41DF">
        <w:rPr>
          <w:b/>
          <w:bCs/>
        </w:rPr>
        <w:t xml:space="preserve"> and present position with </w:t>
      </w:r>
      <w:r>
        <w:rPr>
          <w:b/>
          <w:bCs/>
        </w:rPr>
        <w:t xml:space="preserve">PacifiCorp </w:t>
      </w:r>
      <w:r w:rsidR="000E2ED7">
        <w:rPr>
          <w:b/>
          <w:bCs/>
        </w:rPr>
        <w:t xml:space="preserve">d/b/a Pacific Power &amp; Light Company </w:t>
      </w:r>
      <w:r w:rsidR="00B5536E">
        <w:rPr>
          <w:b/>
          <w:bCs/>
        </w:rPr>
        <w:t>(</w:t>
      </w:r>
      <w:r w:rsidR="000E2ED7">
        <w:rPr>
          <w:b/>
          <w:bCs/>
        </w:rPr>
        <w:t xml:space="preserve">PacifiCorp </w:t>
      </w:r>
      <w:proofErr w:type="gramStart"/>
      <w:r w:rsidR="000E2ED7">
        <w:rPr>
          <w:b/>
          <w:bCs/>
        </w:rPr>
        <w:t>or</w:t>
      </w:r>
      <w:proofErr w:type="gramEnd"/>
      <w:r w:rsidRPr="009D6028">
        <w:rPr>
          <w:b/>
          <w:bCs/>
        </w:rPr>
        <w:t xml:space="preserve"> Company</w:t>
      </w:r>
      <w:r w:rsidR="00B5536E">
        <w:rPr>
          <w:b/>
          <w:bCs/>
        </w:rPr>
        <w:t>)</w:t>
      </w:r>
      <w:r>
        <w:rPr>
          <w:b/>
          <w:bCs/>
        </w:rPr>
        <w:t>.</w:t>
      </w:r>
    </w:p>
    <w:p w:rsidR="00475F96" w:rsidRPr="001958A8" w:rsidRDefault="00475F96" w:rsidP="00F75DD2">
      <w:pPr>
        <w:pStyle w:val="BodyText2"/>
        <w:ind w:left="720" w:hanging="720"/>
        <w:jc w:val="left"/>
        <w:rPr>
          <w:highlight w:val="yellow"/>
        </w:rPr>
      </w:pPr>
      <w:r>
        <w:t>A.</w:t>
      </w:r>
      <w:r>
        <w:tab/>
        <w:t>My name is Gregory N. Duvall.  My business address is 825 NE Multnomah</w:t>
      </w:r>
      <w:r w:rsidR="0079133E">
        <w:t xml:space="preserve"> Street</w:t>
      </w:r>
      <w:r>
        <w:t>, Suite 600, Portland, Oregon 97232.  My present position is Director, Net Power Costs.</w:t>
      </w:r>
    </w:p>
    <w:p w:rsidR="00475F96" w:rsidRPr="004F0D20" w:rsidRDefault="005F3876" w:rsidP="00F75DD2">
      <w:pPr>
        <w:pStyle w:val="Heading2"/>
        <w:spacing w:after="0" w:line="480" w:lineRule="auto"/>
      </w:pPr>
      <w:bookmarkStart w:id="1" w:name="_Toc345506028"/>
      <w:r w:rsidRPr="004F0D20">
        <w:t>Qualifications</w:t>
      </w:r>
      <w:bookmarkEnd w:id="1"/>
    </w:p>
    <w:p w:rsidR="00475F96" w:rsidRPr="00A86892" w:rsidRDefault="00475F96" w:rsidP="00F75DD2">
      <w:pPr>
        <w:tabs>
          <w:tab w:val="left" w:pos="720"/>
        </w:tabs>
        <w:spacing w:line="480" w:lineRule="auto"/>
        <w:jc w:val="left"/>
        <w:rPr>
          <w:b/>
          <w:bCs/>
        </w:rPr>
      </w:pPr>
      <w:r w:rsidRPr="00A86892">
        <w:rPr>
          <w:b/>
          <w:bCs/>
        </w:rPr>
        <w:t>Q.</w:t>
      </w:r>
      <w:r w:rsidRPr="00A86892">
        <w:rPr>
          <w:b/>
          <w:bCs/>
        </w:rPr>
        <w:tab/>
        <w:t xml:space="preserve">Briefly describe your education and </w:t>
      </w:r>
      <w:r w:rsidR="000E2ED7">
        <w:rPr>
          <w:b/>
          <w:bCs/>
        </w:rPr>
        <w:t>professional</w:t>
      </w:r>
      <w:r w:rsidRPr="00A86892">
        <w:rPr>
          <w:b/>
          <w:bCs/>
        </w:rPr>
        <w:t xml:space="preserve"> experience.</w:t>
      </w:r>
    </w:p>
    <w:p w:rsidR="00475F96" w:rsidRPr="00A86892" w:rsidRDefault="00475F96" w:rsidP="00F75DD2">
      <w:pPr>
        <w:tabs>
          <w:tab w:val="left" w:pos="720"/>
        </w:tabs>
        <w:spacing w:line="480" w:lineRule="auto"/>
        <w:ind w:left="720" w:hanging="720"/>
        <w:jc w:val="left"/>
        <w:rPr>
          <w:b/>
          <w:bCs/>
        </w:rPr>
      </w:pPr>
      <w:r w:rsidRPr="00A86892">
        <w:t>A.</w:t>
      </w:r>
      <w:r w:rsidRPr="00A86892">
        <w:tab/>
      </w:r>
      <w:r w:rsidRPr="00DF1873">
        <w:t xml:space="preserve">I received a degree in </w:t>
      </w:r>
      <w:r w:rsidR="005C535F">
        <w:t>m</w:t>
      </w:r>
      <w:r w:rsidRPr="00DF1873">
        <w:t>athematics from University of Washington in 1976 and a Masters of Business Administration from University of Portland in 1979.</w:t>
      </w:r>
      <w:r>
        <w:t xml:space="preserve">  </w:t>
      </w:r>
      <w:r w:rsidRPr="00DF1873">
        <w:t>I was first employed by Pacifi</w:t>
      </w:r>
      <w:r>
        <w:t>Corp</w:t>
      </w:r>
      <w:r w:rsidRPr="00DF1873">
        <w:t xml:space="preserve"> in 1976 and have held various positions in resource and transmission planning, regulation, resource acquisitions</w:t>
      </w:r>
      <w:r w:rsidR="005C535F">
        <w:t>,</w:t>
      </w:r>
      <w:r w:rsidRPr="00DF1873">
        <w:t xml:space="preserve"> and trading.</w:t>
      </w:r>
      <w:r>
        <w:t xml:space="preserve">  </w:t>
      </w:r>
      <w:r w:rsidRPr="00DF1873">
        <w:t>From 1997 through 2000</w:t>
      </w:r>
      <w:r>
        <w:t>,</w:t>
      </w:r>
      <w:r w:rsidRPr="00DF1873">
        <w:t xml:space="preserve"> I lived in Australia where I managed the Energy Trading Department for </w:t>
      </w:r>
      <w:proofErr w:type="spellStart"/>
      <w:r w:rsidRPr="00DF1873">
        <w:t>Powercor</w:t>
      </w:r>
      <w:proofErr w:type="spellEnd"/>
      <w:r w:rsidRPr="00DF1873">
        <w:t>, a PacifiCorp subsidiary at that time.</w:t>
      </w:r>
      <w:r>
        <w:t xml:space="preserve">  </w:t>
      </w:r>
      <w:r w:rsidRPr="00DF1873">
        <w:t>After returning to Portland, I was involved in direct access issues in Oregon</w:t>
      </w:r>
      <w:r>
        <w:t xml:space="preserve"> and</w:t>
      </w:r>
      <w:r w:rsidRPr="00DF1873">
        <w:t xml:space="preserve"> was responsible for directing the analytical eff</w:t>
      </w:r>
      <w:r w:rsidR="00F75DD2">
        <w:t>ort for the Multi-State Process</w:t>
      </w:r>
      <w:r>
        <w:t>.  I currently</w:t>
      </w:r>
      <w:r w:rsidRPr="00DF1873">
        <w:t xml:space="preserve"> direct the work of the load forecasting group, the net power cost group</w:t>
      </w:r>
      <w:r>
        <w:t>, and the renewable compliance</w:t>
      </w:r>
      <w:r w:rsidRPr="00DF1873">
        <w:t xml:space="preserve"> </w:t>
      </w:r>
      <w:r>
        <w:t>area.</w:t>
      </w:r>
    </w:p>
    <w:p w:rsidR="00AD3340" w:rsidRPr="004F0D20" w:rsidRDefault="005C535F" w:rsidP="00F75DD2">
      <w:pPr>
        <w:pStyle w:val="Heading2"/>
        <w:spacing w:after="0" w:line="480" w:lineRule="auto"/>
      </w:pPr>
      <w:bookmarkStart w:id="2" w:name="_Toc345506029"/>
      <w:r>
        <w:t>Purpose</w:t>
      </w:r>
      <w:r w:rsidR="00AD3340" w:rsidRPr="004F0D20">
        <w:t xml:space="preserve"> of Testimony</w:t>
      </w:r>
      <w:bookmarkEnd w:id="2"/>
    </w:p>
    <w:p w:rsidR="00AD3340" w:rsidRPr="00C464F8" w:rsidRDefault="00AD3340" w:rsidP="00F75DD2">
      <w:pPr>
        <w:tabs>
          <w:tab w:val="left" w:pos="720"/>
        </w:tabs>
        <w:spacing w:line="480" w:lineRule="auto"/>
        <w:jc w:val="left"/>
        <w:rPr>
          <w:b/>
        </w:rPr>
      </w:pPr>
      <w:r w:rsidRPr="00C464F8">
        <w:rPr>
          <w:b/>
        </w:rPr>
        <w:t>Q.</w:t>
      </w:r>
      <w:r w:rsidRPr="00C464F8">
        <w:rPr>
          <w:b/>
        </w:rPr>
        <w:tab/>
      </w:r>
      <w:r w:rsidR="005C535F">
        <w:rPr>
          <w:b/>
        </w:rPr>
        <w:t>Please describe the purpose</w:t>
      </w:r>
      <w:r w:rsidR="00A45538">
        <w:rPr>
          <w:b/>
        </w:rPr>
        <w:t xml:space="preserve"> of</w:t>
      </w:r>
      <w:r w:rsidRPr="00C464F8">
        <w:rPr>
          <w:b/>
        </w:rPr>
        <w:t xml:space="preserve"> your testimony</w:t>
      </w:r>
      <w:r w:rsidR="00FC633C">
        <w:rPr>
          <w:b/>
        </w:rPr>
        <w:t>.</w:t>
      </w:r>
    </w:p>
    <w:p w:rsidR="00F35D49" w:rsidRDefault="00AD3340" w:rsidP="00F75DD2">
      <w:pPr>
        <w:pStyle w:val="BodyTextIndent"/>
        <w:jc w:val="left"/>
      </w:pPr>
      <w:r w:rsidRPr="00C464F8">
        <w:t>A.</w:t>
      </w:r>
      <w:r w:rsidRPr="00C464F8">
        <w:tab/>
      </w:r>
      <w:r w:rsidR="00E75759" w:rsidRPr="00E834A1">
        <w:t xml:space="preserve">I present the </w:t>
      </w:r>
      <w:r w:rsidR="009F6FF7">
        <w:t>pro forma</w:t>
      </w:r>
      <w:r w:rsidR="00E75759" w:rsidRPr="00E834A1">
        <w:t xml:space="preserve"> net power costs </w:t>
      </w:r>
      <w:r w:rsidR="00B5536E">
        <w:t>(</w:t>
      </w:r>
      <w:r w:rsidR="00C668F4">
        <w:t>NPC</w:t>
      </w:r>
      <w:r w:rsidR="00B5536E">
        <w:t>)</w:t>
      </w:r>
      <w:r w:rsidR="00C668F4">
        <w:t xml:space="preserve"> </w:t>
      </w:r>
      <w:r w:rsidR="00E75759" w:rsidRPr="00E834A1">
        <w:t xml:space="preserve">for the </w:t>
      </w:r>
      <w:r w:rsidR="00C668F4">
        <w:t>test period</w:t>
      </w:r>
      <w:r w:rsidR="005C535F">
        <w:t>,</w:t>
      </w:r>
      <w:r w:rsidR="00FC633C">
        <w:t xml:space="preserve"> and </w:t>
      </w:r>
      <w:r w:rsidR="009F6FF7">
        <w:t>I explain the C</w:t>
      </w:r>
      <w:r w:rsidR="00C668F4">
        <w:t xml:space="preserve">ompany’s proposed power cost adjustment mechanism </w:t>
      </w:r>
      <w:r w:rsidR="00B5536E">
        <w:t>(</w:t>
      </w:r>
      <w:r w:rsidR="00C668F4">
        <w:t>PCAM</w:t>
      </w:r>
      <w:r w:rsidR="00B5536E">
        <w:t>)</w:t>
      </w:r>
      <w:r w:rsidR="00E75759" w:rsidRPr="00E834A1">
        <w:t xml:space="preserve">. </w:t>
      </w:r>
      <w:r w:rsidR="00FC633C">
        <w:t xml:space="preserve"> As a preface to both discussions, I present the Company’</w:t>
      </w:r>
      <w:r w:rsidR="001831F8">
        <w:t>s proposed m</w:t>
      </w:r>
      <w:r w:rsidR="00FC633C">
        <w:t>o</w:t>
      </w:r>
      <w:r w:rsidR="001831F8">
        <w:t>d</w:t>
      </w:r>
      <w:r w:rsidR="00FC633C">
        <w:t>i</w:t>
      </w:r>
      <w:r w:rsidR="001831F8">
        <w:t>fi</w:t>
      </w:r>
      <w:r w:rsidR="00FC633C">
        <w:t xml:space="preserve">cations to </w:t>
      </w:r>
      <w:r w:rsidR="005C535F">
        <w:t>the W</w:t>
      </w:r>
      <w:r w:rsidR="00FC633C" w:rsidRPr="00E834A1">
        <w:t xml:space="preserve">est </w:t>
      </w:r>
      <w:r w:rsidR="005C535F">
        <w:t>C</w:t>
      </w:r>
      <w:r w:rsidR="00FC633C" w:rsidRPr="00E834A1">
        <w:t xml:space="preserve">ontrol </w:t>
      </w:r>
      <w:r w:rsidR="005C535F">
        <w:t>A</w:t>
      </w:r>
      <w:r w:rsidR="00FC633C" w:rsidRPr="00E834A1">
        <w:t>r</w:t>
      </w:r>
      <w:r w:rsidR="00FC633C">
        <w:t xml:space="preserve">ea </w:t>
      </w:r>
      <w:r w:rsidR="00D1442E">
        <w:t xml:space="preserve">inter-jurisdictional </w:t>
      </w:r>
      <w:r w:rsidR="00FC633C">
        <w:t>allocation methodology</w:t>
      </w:r>
      <w:r w:rsidR="001831F8">
        <w:t xml:space="preserve"> </w:t>
      </w:r>
      <w:r w:rsidR="0007132A">
        <w:t xml:space="preserve">(WCA) </w:t>
      </w:r>
      <w:r w:rsidR="001831F8">
        <w:t>related to the calculation of NPC and the</w:t>
      </w:r>
      <w:r w:rsidR="00B020A9">
        <w:t xml:space="preserve"> Company’s proposed </w:t>
      </w:r>
      <w:r w:rsidR="0035264F">
        <w:t>PCAM.</w:t>
      </w:r>
    </w:p>
    <w:p w:rsidR="00A45538" w:rsidRDefault="00A45538" w:rsidP="00D620B9">
      <w:pPr>
        <w:pStyle w:val="BodyTextIndent"/>
        <w:jc w:val="left"/>
        <w:rPr>
          <w:b/>
        </w:rPr>
      </w:pPr>
      <w:r w:rsidRPr="005F3876">
        <w:rPr>
          <w:b/>
        </w:rPr>
        <w:t>Q.</w:t>
      </w:r>
      <w:r w:rsidRPr="005F3876">
        <w:rPr>
          <w:b/>
        </w:rPr>
        <w:tab/>
        <w:t xml:space="preserve">Why </w:t>
      </w:r>
      <w:r w:rsidR="000D2F86">
        <w:rPr>
          <w:b/>
        </w:rPr>
        <w:t>are you</w:t>
      </w:r>
      <w:r w:rsidRPr="005F3876">
        <w:rPr>
          <w:b/>
        </w:rPr>
        <w:t xml:space="preserve"> proposing </w:t>
      </w:r>
      <w:r w:rsidR="00265B82">
        <w:rPr>
          <w:b/>
        </w:rPr>
        <w:t xml:space="preserve">NPC-related </w:t>
      </w:r>
      <w:r w:rsidRPr="005F3876">
        <w:rPr>
          <w:b/>
        </w:rPr>
        <w:t xml:space="preserve">modifications to the WCA in </w:t>
      </w:r>
      <w:r w:rsidR="000D2F86">
        <w:rPr>
          <w:b/>
        </w:rPr>
        <w:t>this filing</w:t>
      </w:r>
      <w:r w:rsidR="004B394A">
        <w:rPr>
          <w:b/>
        </w:rPr>
        <w:t>?</w:t>
      </w:r>
    </w:p>
    <w:p w:rsidR="00265B82" w:rsidRPr="00265B82" w:rsidRDefault="00265B82" w:rsidP="00D620B9">
      <w:pPr>
        <w:tabs>
          <w:tab w:val="left" w:pos="720"/>
        </w:tabs>
        <w:spacing w:line="480" w:lineRule="auto"/>
        <w:ind w:left="720" w:hanging="720"/>
        <w:jc w:val="left"/>
      </w:pPr>
      <w:r>
        <w:t>A.</w:t>
      </w:r>
      <w:r>
        <w:tab/>
      </w:r>
      <w:r w:rsidR="00D1442E">
        <w:t>As discussed in the testimony of Mr. R. Bryce Dalley, t</w:t>
      </w:r>
      <w:r>
        <w:t>he Company believes that Washington should move toward a</w:t>
      </w:r>
      <w:r w:rsidR="00D1442E">
        <w:t>n</w:t>
      </w:r>
      <w:r>
        <w:t xml:space="preserve"> </w:t>
      </w:r>
      <w:r w:rsidR="00D1442E">
        <w:t>inter-jurisdictional</w:t>
      </w:r>
      <w:r w:rsidR="0036136E">
        <w:t xml:space="preserve"> cost </w:t>
      </w:r>
      <w:r>
        <w:t>allocation methodology that more closely reflects the Company</w:t>
      </w:r>
      <w:r w:rsidR="00D1442E">
        <w:t>’s actual costs to serve customers.  A</w:t>
      </w:r>
      <w:r>
        <w:t xml:space="preserve">s an interim measure, the Company is proposing </w:t>
      </w:r>
      <w:r w:rsidR="000D2F86">
        <w:t xml:space="preserve">several </w:t>
      </w:r>
      <w:r>
        <w:t xml:space="preserve">changes to the </w:t>
      </w:r>
      <w:r w:rsidR="00D1442E">
        <w:t>WCA</w:t>
      </w:r>
      <w:r>
        <w:t xml:space="preserve"> to </w:t>
      </w:r>
      <w:r w:rsidR="000D2F86">
        <w:t xml:space="preserve">more </w:t>
      </w:r>
      <w:r>
        <w:t xml:space="preserve">accurately represent the actual cost of operating as if </w:t>
      </w:r>
      <w:r w:rsidR="00D1442E">
        <w:t>the Company operated its</w:t>
      </w:r>
      <w:r w:rsidR="005C535F">
        <w:t xml:space="preserve"> PacifiCorp</w:t>
      </w:r>
      <w:r w:rsidR="00D1442E">
        <w:t xml:space="preserve"> </w:t>
      </w:r>
      <w:r w:rsidR="005C535F">
        <w:t>West Balancing Authority Area</w:t>
      </w:r>
      <w:r w:rsidR="00D1442E">
        <w:t xml:space="preserve"> (PACW) </w:t>
      </w:r>
      <w:r w:rsidR="005A3784">
        <w:t>as a stand-alone entity</w:t>
      </w:r>
      <w:r w:rsidR="000D2F86">
        <w:t xml:space="preserve">.  </w:t>
      </w:r>
      <w:r>
        <w:t xml:space="preserve">The changes will increase the accuracy of the NPC forecast </w:t>
      </w:r>
      <w:r w:rsidR="000D2F86">
        <w:t xml:space="preserve">for the </w:t>
      </w:r>
      <w:r w:rsidR="005A3784">
        <w:t>WCA</w:t>
      </w:r>
      <w:r w:rsidR="000D2F86">
        <w:t xml:space="preserve"> </w:t>
      </w:r>
      <w:r>
        <w:t>and enable the calculation of actual NPC fo</w:t>
      </w:r>
      <w:r w:rsidR="0035264F">
        <w:t>r purposes of a PCAM mechanism.</w:t>
      </w:r>
    </w:p>
    <w:p w:rsidR="00A45538" w:rsidRDefault="00A45538" w:rsidP="00D620B9">
      <w:pPr>
        <w:pStyle w:val="BodyTextIndent"/>
        <w:jc w:val="left"/>
        <w:rPr>
          <w:b/>
        </w:rPr>
      </w:pPr>
      <w:proofErr w:type="gramStart"/>
      <w:r w:rsidRPr="00A45538">
        <w:rPr>
          <w:b/>
        </w:rPr>
        <w:t>Q.</w:t>
      </w:r>
      <w:r w:rsidRPr="00A45538">
        <w:rPr>
          <w:b/>
        </w:rPr>
        <w:tab/>
        <w:t xml:space="preserve">Please summarize your testimony related </w:t>
      </w:r>
      <w:r w:rsidR="00DB39C4">
        <w:rPr>
          <w:b/>
        </w:rPr>
        <w:t xml:space="preserve">to </w:t>
      </w:r>
      <w:r w:rsidR="0035264F">
        <w:rPr>
          <w:b/>
        </w:rPr>
        <w:t>the Company’s pro forma NPC.</w:t>
      </w:r>
      <w:proofErr w:type="gramEnd"/>
    </w:p>
    <w:p w:rsidR="0036136E" w:rsidRPr="000D2F86" w:rsidRDefault="000D2F86" w:rsidP="00F75DD2">
      <w:pPr>
        <w:pStyle w:val="BodyTextIndent"/>
        <w:widowControl/>
        <w:jc w:val="left"/>
      </w:pPr>
      <w:r w:rsidRPr="000D2F86">
        <w:t>A.</w:t>
      </w:r>
      <w:r w:rsidRPr="000D2F86">
        <w:tab/>
      </w:r>
      <w:r w:rsidR="0036136E">
        <w:t xml:space="preserve">I sponsor the Company’s </w:t>
      </w:r>
      <w:r w:rsidR="005C535F">
        <w:t>pro forma</w:t>
      </w:r>
      <w:r w:rsidR="0036136E">
        <w:t xml:space="preserve"> NPC for calendar year 2014, the approximate period when rates from this case will be in effect.  </w:t>
      </w:r>
      <w:r w:rsidR="005C535F">
        <w:t>This case</w:t>
      </w:r>
      <w:r w:rsidR="0036136E">
        <w:t xml:space="preserve"> reflects an increase </w:t>
      </w:r>
      <w:r w:rsidR="00FE62F0">
        <w:t xml:space="preserve">in Washington NPC </w:t>
      </w:r>
      <w:r w:rsidR="0036136E">
        <w:t xml:space="preserve">of </w:t>
      </w:r>
      <w:r w:rsidR="0036136E" w:rsidRPr="00852AEC">
        <w:t>approximately $</w:t>
      </w:r>
      <w:r w:rsidR="00FE62F0" w:rsidRPr="00852AEC">
        <w:t>7.5</w:t>
      </w:r>
      <w:r w:rsidR="0036136E" w:rsidRPr="00852AEC">
        <w:t xml:space="preserve"> million</w:t>
      </w:r>
      <w:r w:rsidR="0036136E">
        <w:t>, driven by increases in wheeling costs</w:t>
      </w:r>
      <w:r w:rsidR="008948F8">
        <w:t>, coal costs</w:t>
      </w:r>
      <w:r w:rsidR="005C535F">
        <w:t>,</w:t>
      </w:r>
      <w:r w:rsidR="008948F8">
        <w:t xml:space="preserve"> and </w:t>
      </w:r>
      <w:r w:rsidR="0036136E">
        <w:t xml:space="preserve">the Company’s proposed change to the allocation of </w:t>
      </w:r>
      <w:r w:rsidR="00FE62F0">
        <w:t>qualified facility (</w:t>
      </w:r>
      <w:r w:rsidR="0036136E">
        <w:t>QF</w:t>
      </w:r>
      <w:r w:rsidR="00FE62F0">
        <w:t>)</w:t>
      </w:r>
      <w:r w:rsidR="0036136E">
        <w:t xml:space="preserve"> contracts in the </w:t>
      </w:r>
      <w:r w:rsidR="00A80144">
        <w:t>PACW</w:t>
      </w:r>
      <w:r w:rsidR="0036136E">
        <w:t xml:space="preserve">, and </w:t>
      </w:r>
      <w:r w:rsidR="00DB39C4">
        <w:t xml:space="preserve">partially </w:t>
      </w:r>
      <w:r w:rsidR="0036136E">
        <w:t xml:space="preserve">offset by decreases in loads and </w:t>
      </w:r>
      <w:r w:rsidR="008948F8">
        <w:t>natural gas and electric swap</w:t>
      </w:r>
      <w:r w:rsidR="00DB39C4">
        <w:t xml:space="preserve"> expenses</w:t>
      </w:r>
      <w:r w:rsidR="008948F8">
        <w:t xml:space="preserve">. </w:t>
      </w:r>
      <w:r w:rsidR="003965EE">
        <w:t xml:space="preserve"> </w:t>
      </w:r>
      <w:r w:rsidR="008948F8">
        <w:t xml:space="preserve">My testimony explains how the Company modeled NPC in this case and highlights changes designed to improve the accuracy of </w:t>
      </w:r>
      <w:r w:rsidR="00A80144">
        <w:t>pro forma NPC</w:t>
      </w:r>
      <w:r w:rsidR="008948F8">
        <w:t xml:space="preserve">.  I also sponsor the Company’s </w:t>
      </w:r>
      <w:r w:rsidR="008948F8" w:rsidRPr="005B1475">
        <w:t>2012</w:t>
      </w:r>
      <w:r w:rsidR="008948F8" w:rsidRPr="00E834A1">
        <w:t xml:space="preserve"> Wind </w:t>
      </w:r>
      <w:r w:rsidR="00637A39">
        <w:t>Integration Study</w:t>
      </w:r>
      <w:r w:rsidR="008948F8" w:rsidRPr="00E834A1">
        <w:t xml:space="preserve"> and explain how it is incorporated in the current filing</w:t>
      </w:r>
      <w:r w:rsidR="0035264F">
        <w:t>.</w:t>
      </w:r>
      <w:r w:rsidR="00A20DD7">
        <w:t xml:space="preserve">  Please note that NPC referenced in my testimony are on a Washington</w:t>
      </w:r>
      <w:r w:rsidR="0079058F">
        <w:t>-</w:t>
      </w:r>
      <w:r w:rsidR="00E03A24">
        <w:t>allocated basis unless otherwise noted.</w:t>
      </w:r>
    </w:p>
    <w:p w:rsidR="00FC633C" w:rsidRDefault="00A45538" w:rsidP="00A80144">
      <w:pPr>
        <w:pStyle w:val="BodyTextIndent"/>
        <w:keepLines/>
        <w:jc w:val="left"/>
        <w:rPr>
          <w:b/>
        </w:rPr>
      </w:pPr>
      <w:proofErr w:type="gramStart"/>
      <w:r w:rsidRPr="005F3876">
        <w:rPr>
          <w:b/>
        </w:rPr>
        <w:t>Q.</w:t>
      </w:r>
      <w:r w:rsidRPr="005F3876">
        <w:rPr>
          <w:b/>
        </w:rPr>
        <w:tab/>
        <w:t xml:space="preserve">Please summarize your testimony related to the </w:t>
      </w:r>
      <w:r w:rsidR="0035264F">
        <w:rPr>
          <w:b/>
        </w:rPr>
        <w:t>Company’s proposal for a PCAM.</w:t>
      </w:r>
      <w:proofErr w:type="gramEnd"/>
    </w:p>
    <w:p w:rsidR="005E240F" w:rsidRDefault="008948F8" w:rsidP="00D620B9">
      <w:pPr>
        <w:pStyle w:val="BodyTextIndent"/>
        <w:jc w:val="left"/>
      </w:pPr>
      <w:r w:rsidRPr="008948F8">
        <w:t>A.</w:t>
      </w:r>
      <w:r w:rsidRPr="008948F8">
        <w:tab/>
      </w:r>
      <w:r>
        <w:t>The Company is proposing a PCAM designed to address the increasing variability of the Company</w:t>
      </w:r>
      <w:r w:rsidR="003965EE">
        <w:t xml:space="preserve">’s NPC. </w:t>
      </w:r>
      <w:r w:rsidR="00A80144">
        <w:t xml:space="preserve"> </w:t>
      </w:r>
      <w:r>
        <w:t xml:space="preserve">There are several factors that contribute to NPC variability, including the </w:t>
      </w:r>
      <w:r w:rsidR="000A1539">
        <w:t xml:space="preserve">Company’s increased reliance on wind and natural gas generation resources as mandated by Washington law.  The </w:t>
      </w:r>
      <w:r w:rsidR="00D1442E">
        <w:t>WCA</w:t>
      </w:r>
      <w:r w:rsidR="000A1539">
        <w:t xml:space="preserve"> also increases the Company’s NPC-related risk, by making NPC a larger part of the Company’s revenue requirement and increasing the Company’s reliance on </w:t>
      </w:r>
      <w:r w:rsidR="0035264F">
        <w:t>market purchases to meet load.</w:t>
      </w:r>
    </w:p>
    <w:p w:rsidR="005F7343" w:rsidRPr="005F7343" w:rsidRDefault="005E240F" w:rsidP="00C07793">
      <w:pPr>
        <w:pStyle w:val="BodyTextIndent"/>
        <w:jc w:val="left"/>
      </w:pPr>
      <w:r>
        <w:tab/>
      </w:r>
      <w:r>
        <w:tab/>
        <w:t>T</w:t>
      </w:r>
      <w:r w:rsidR="00A80144">
        <w:t xml:space="preserve">hese factors, as well as </w:t>
      </w:r>
      <w:r w:rsidR="00300BAE">
        <w:t>constructive</w:t>
      </w:r>
      <w:r w:rsidR="009E4A7F">
        <w:t xml:space="preserve"> regulatory policy and </w:t>
      </w:r>
      <w:r w:rsidR="000A1539">
        <w:t>a showing that the Company’s NPC-related risk is not asymmetrically skewed toward higher prices</w:t>
      </w:r>
      <w:r w:rsidR="00A80144">
        <w:t xml:space="preserve">, </w:t>
      </w:r>
      <w:r w:rsidR="009E4A7F">
        <w:t>support</w:t>
      </w:r>
      <w:r w:rsidR="000A1539">
        <w:t xml:space="preserve"> the Company</w:t>
      </w:r>
      <w:r w:rsidR="009E4A7F">
        <w:t>’s</w:t>
      </w:r>
      <w:r w:rsidR="000A1539">
        <w:t xml:space="preserve"> propos</w:t>
      </w:r>
      <w:r w:rsidR="009E4A7F">
        <w:t xml:space="preserve">al for </w:t>
      </w:r>
      <w:r w:rsidR="000A1539">
        <w:t xml:space="preserve">a PCAM without deadbands or sharing bands. </w:t>
      </w:r>
      <w:r w:rsidR="009E4A7F">
        <w:t xml:space="preserve"> </w:t>
      </w:r>
      <w:r w:rsidR="000A1539">
        <w:t xml:space="preserve">For the PCAM’s true-up mechanism, the Company has proposed a method </w:t>
      </w:r>
      <w:r w:rsidR="00C12259">
        <w:t>of</w:t>
      </w:r>
      <w:r w:rsidR="000A1539">
        <w:t xml:space="preserve"> accounting for actual NPC that relies upon the Company’s per books data.  The Company’s proposed NPC-related revisions to the </w:t>
      </w:r>
      <w:r w:rsidR="00D1442E">
        <w:t>WCA</w:t>
      </w:r>
      <w:r w:rsidR="00510AA5">
        <w:t xml:space="preserve"> facilitate the calculation of actual NPC by tying NPC more closely to the Company’s actual </w:t>
      </w:r>
      <w:r w:rsidR="005A3784">
        <w:t>PACW</w:t>
      </w:r>
      <w:r w:rsidR="0035264F">
        <w:t xml:space="preserve"> costs.</w:t>
      </w:r>
    </w:p>
    <w:p w:rsidR="004F0D20" w:rsidRDefault="005F3876" w:rsidP="009C5635">
      <w:pPr>
        <w:pStyle w:val="Heading1"/>
      </w:pPr>
      <w:bookmarkStart w:id="3" w:name="_Toc345506030"/>
      <w:r>
        <w:t>P</w:t>
      </w:r>
      <w:r w:rsidR="004F0D20">
        <w:t>ROPOSED MODIFICATIONS TO</w:t>
      </w:r>
      <w:r>
        <w:t xml:space="preserve"> </w:t>
      </w:r>
      <w:r w:rsidR="00A80144">
        <w:t xml:space="preserve">THE </w:t>
      </w:r>
      <w:r w:rsidR="00D1442E">
        <w:t>WCA</w:t>
      </w:r>
      <w:bookmarkEnd w:id="3"/>
    </w:p>
    <w:p w:rsidR="00B30AEF" w:rsidRPr="00E834A1" w:rsidRDefault="00B30AEF" w:rsidP="009C5635">
      <w:pPr>
        <w:tabs>
          <w:tab w:val="left" w:pos="720"/>
        </w:tabs>
        <w:spacing w:line="480" w:lineRule="auto"/>
        <w:ind w:left="720" w:hanging="720"/>
        <w:jc w:val="left"/>
        <w:rPr>
          <w:b/>
        </w:rPr>
      </w:pPr>
      <w:proofErr w:type="gramStart"/>
      <w:r w:rsidRPr="00E834A1">
        <w:rPr>
          <w:b/>
        </w:rPr>
        <w:t>Q.</w:t>
      </w:r>
      <w:r w:rsidRPr="00E834A1">
        <w:rPr>
          <w:b/>
        </w:rPr>
        <w:tab/>
      </w:r>
      <w:r w:rsidR="00B754D0">
        <w:rPr>
          <w:b/>
        </w:rPr>
        <w:t>Is</w:t>
      </w:r>
      <w:r>
        <w:rPr>
          <w:b/>
        </w:rPr>
        <w:t xml:space="preserve"> the Company </w:t>
      </w:r>
      <w:r w:rsidR="00B754D0">
        <w:rPr>
          <w:b/>
        </w:rPr>
        <w:t>proposing</w:t>
      </w:r>
      <w:r>
        <w:rPr>
          <w:b/>
        </w:rPr>
        <w:t xml:space="preserve"> changes t</w:t>
      </w:r>
      <w:r w:rsidR="00B754D0">
        <w:rPr>
          <w:b/>
        </w:rPr>
        <w:t>o</w:t>
      </w:r>
      <w:r>
        <w:rPr>
          <w:b/>
        </w:rPr>
        <w:t xml:space="preserve"> improve the accuracy of modeling </w:t>
      </w:r>
      <w:r w:rsidR="00016ECA">
        <w:rPr>
          <w:b/>
        </w:rPr>
        <w:t xml:space="preserve">NPC </w:t>
      </w:r>
      <w:r w:rsidR="00F83CC5">
        <w:rPr>
          <w:b/>
        </w:rPr>
        <w:t>using</w:t>
      </w:r>
      <w:r w:rsidR="00F258DD">
        <w:rPr>
          <w:b/>
        </w:rPr>
        <w:t xml:space="preserve"> the </w:t>
      </w:r>
      <w:r w:rsidR="00D1442E">
        <w:rPr>
          <w:b/>
        </w:rPr>
        <w:t>WCA</w:t>
      </w:r>
      <w:r w:rsidR="00F258DD">
        <w:rPr>
          <w:b/>
        </w:rPr>
        <w:t>?</w:t>
      </w:r>
      <w:proofErr w:type="gramEnd"/>
    </w:p>
    <w:p w:rsidR="00B30AEF" w:rsidRDefault="00B30AEF" w:rsidP="009C5635">
      <w:pPr>
        <w:tabs>
          <w:tab w:val="left" w:pos="720"/>
        </w:tabs>
        <w:spacing w:line="480" w:lineRule="auto"/>
        <w:ind w:left="720" w:hanging="720"/>
        <w:jc w:val="left"/>
      </w:pPr>
      <w:r w:rsidRPr="00E834A1">
        <w:t>A.</w:t>
      </w:r>
      <w:r w:rsidRPr="00E834A1">
        <w:tab/>
      </w:r>
      <w:r>
        <w:t xml:space="preserve">Yes.  The Company has identified the following </w:t>
      </w:r>
      <w:r w:rsidR="00EC202A">
        <w:t xml:space="preserve">NPC-related </w:t>
      </w:r>
      <w:r>
        <w:t xml:space="preserve">enhancements to </w:t>
      </w:r>
      <w:r w:rsidR="0035264F">
        <w:br/>
      </w:r>
      <w:r>
        <w:t xml:space="preserve">the </w:t>
      </w:r>
      <w:r w:rsidR="00D1442E">
        <w:t>WCA</w:t>
      </w:r>
      <w:r>
        <w:t>:</w:t>
      </w:r>
    </w:p>
    <w:p w:rsidR="00B30AEF" w:rsidRDefault="00016ECA" w:rsidP="0035264F">
      <w:pPr>
        <w:pStyle w:val="ListParagraph"/>
        <w:keepLines/>
        <w:numPr>
          <w:ilvl w:val="0"/>
          <w:numId w:val="22"/>
        </w:numPr>
        <w:tabs>
          <w:tab w:val="left" w:pos="720"/>
        </w:tabs>
        <w:spacing w:line="480" w:lineRule="auto"/>
        <w:jc w:val="left"/>
      </w:pPr>
      <w:r>
        <w:t xml:space="preserve">Inclusion of all </w:t>
      </w:r>
      <w:r w:rsidR="002E01C6">
        <w:t xml:space="preserve">costs and benefits associated with all </w:t>
      </w:r>
      <w:r w:rsidR="005A3784">
        <w:t>PACW</w:t>
      </w:r>
      <w:r>
        <w:t xml:space="preserve"> (Oregon, California, and Washington) QF </w:t>
      </w:r>
      <w:r w:rsidR="000931E2">
        <w:t xml:space="preserve">contracts </w:t>
      </w:r>
      <w:r>
        <w:t>in the calculation of NPC, with an a</w:t>
      </w:r>
      <w:r w:rsidR="00B30AEF">
        <w:t>llocat</w:t>
      </w:r>
      <w:r>
        <w:t>ed share of each assigned to Washington;</w:t>
      </w:r>
    </w:p>
    <w:p w:rsidR="00B30AEF" w:rsidRDefault="00B30AEF" w:rsidP="0035264F">
      <w:pPr>
        <w:pStyle w:val="ListParagraph"/>
        <w:keepLines/>
        <w:numPr>
          <w:ilvl w:val="0"/>
          <w:numId w:val="22"/>
        </w:numPr>
        <w:tabs>
          <w:tab w:val="left" w:pos="720"/>
        </w:tabs>
        <w:spacing w:line="480" w:lineRule="auto"/>
        <w:jc w:val="left"/>
      </w:pPr>
      <w:r>
        <w:t xml:space="preserve">Inclusion </w:t>
      </w:r>
      <w:r w:rsidR="00C43445">
        <w:t xml:space="preserve">of </w:t>
      </w:r>
      <w:r w:rsidR="002E01C6">
        <w:t xml:space="preserve">all costs and benefits associated with </w:t>
      </w:r>
      <w:r w:rsidR="00C43445">
        <w:t xml:space="preserve">the full capacity of the </w:t>
      </w:r>
      <w:r>
        <w:t>200</w:t>
      </w:r>
      <w:r w:rsidR="001057D4">
        <w:t xml:space="preserve"> megawatt</w:t>
      </w:r>
      <w:r w:rsidR="00C43445">
        <w:t xml:space="preserve"> </w:t>
      </w:r>
      <w:r w:rsidR="001057D4">
        <w:t>(</w:t>
      </w:r>
      <w:r>
        <w:t>MW</w:t>
      </w:r>
      <w:r w:rsidR="001057D4">
        <w:t>)</w:t>
      </w:r>
      <w:r>
        <w:t xml:space="preserve"> </w:t>
      </w:r>
      <w:r w:rsidR="002E3D6E">
        <w:t>p</w:t>
      </w:r>
      <w:r>
        <w:t>oint-to-</w:t>
      </w:r>
      <w:r w:rsidR="002E3D6E">
        <w:t>p</w:t>
      </w:r>
      <w:r>
        <w:t>oint wheeling contract</w:t>
      </w:r>
      <w:r w:rsidR="00C43445">
        <w:t xml:space="preserve"> with Idaho Power</w:t>
      </w:r>
      <w:r w:rsidR="0035264F">
        <w:t xml:space="preserve"> Company</w:t>
      </w:r>
      <w:r w:rsidR="00C43445">
        <w:t>;</w:t>
      </w:r>
      <w:r>
        <w:t xml:space="preserve"> and</w:t>
      </w:r>
    </w:p>
    <w:p w:rsidR="00553C64" w:rsidRDefault="00C43445" w:rsidP="0035264F">
      <w:pPr>
        <w:pStyle w:val="ListParagraph"/>
        <w:keepLines/>
        <w:numPr>
          <w:ilvl w:val="0"/>
          <w:numId w:val="22"/>
        </w:numPr>
        <w:tabs>
          <w:tab w:val="left" w:pos="720"/>
        </w:tabs>
        <w:spacing w:line="480" w:lineRule="auto"/>
        <w:jc w:val="left"/>
      </w:pPr>
      <w:r>
        <w:t>Exclusion</w:t>
      </w:r>
      <w:r w:rsidR="00B30AEF">
        <w:t xml:space="preserve"> of the </w:t>
      </w:r>
      <w:r w:rsidR="0035264F">
        <w:t>assumed sale to the PacifiCorp East B</w:t>
      </w:r>
      <w:r w:rsidR="005A3784">
        <w:t xml:space="preserve">alancing </w:t>
      </w:r>
      <w:r w:rsidR="0035264F">
        <w:t>A</w:t>
      </w:r>
      <w:r w:rsidR="005A3784">
        <w:t>uthority</w:t>
      </w:r>
      <w:r w:rsidR="0035264F">
        <w:t xml:space="preserve"> Area</w:t>
      </w:r>
      <w:r w:rsidR="005A3784">
        <w:t xml:space="preserve"> (PACE)</w:t>
      </w:r>
      <w:r w:rsidR="00B30AEF">
        <w:t>.</w:t>
      </w:r>
    </w:p>
    <w:p w:rsidR="000931E2" w:rsidRPr="000931E2" w:rsidRDefault="000931E2" w:rsidP="00D620B9">
      <w:pPr>
        <w:tabs>
          <w:tab w:val="left" w:pos="720"/>
        </w:tabs>
        <w:spacing w:line="480" w:lineRule="auto"/>
        <w:ind w:left="720" w:hanging="720"/>
        <w:jc w:val="left"/>
        <w:rPr>
          <w:b/>
        </w:rPr>
      </w:pPr>
      <w:proofErr w:type="gramStart"/>
      <w:r w:rsidRPr="000931E2">
        <w:rPr>
          <w:b/>
        </w:rPr>
        <w:t>Q.</w:t>
      </w:r>
      <w:r w:rsidRPr="000931E2">
        <w:rPr>
          <w:b/>
        </w:rPr>
        <w:tab/>
        <w:t xml:space="preserve">Why is the Company proposing </w:t>
      </w:r>
      <w:r>
        <w:rPr>
          <w:b/>
        </w:rPr>
        <w:t xml:space="preserve">NPC-related </w:t>
      </w:r>
      <w:r w:rsidRPr="000931E2">
        <w:rPr>
          <w:b/>
        </w:rPr>
        <w:t xml:space="preserve">changes to the </w:t>
      </w:r>
      <w:r w:rsidR="00D1442E">
        <w:rPr>
          <w:b/>
        </w:rPr>
        <w:t>WCA</w:t>
      </w:r>
      <w:r w:rsidR="0035264F">
        <w:rPr>
          <w:b/>
        </w:rPr>
        <w:t xml:space="preserve"> in this case?</w:t>
      </w:r>
      <w:proofErr w:type="gramEnd"/>
    </w:p>
    <w:p w:rsidR="005F7343" w:rsidRDefault="000931E2" w:rsidP="00C07793">
      <w:pPr>
        <w:tabs>
          <w:tab w:val="left" w:pos="720"/>
        </w:tabs>
        <w:spacing w:line="480" w:lineRule="auto"/>
        <w:ind w:left="720" w:hanging="720"/>
        <w:jc w:val="left"/>
      </w:pPr>
      <w:r>
        <w:t>A.</w:t>
      </w:r>
      <w:r>
        <w:tab/>
        <w:t>As discussed in more detail in th</w:t>
      </w:r>
      <w:r w:rsidR="00034D6C">
        <w:t xml:space="preserve">e testimony of </w:t>
      </w:r>
      <w:r w:rsidR="00F75DD2">
        <w:t>Mr.</w:t>
      </w:r>
      <w:r w:rsidR="00034D6C">
        <w:t xml:space="preserve"> Dalley, </w:t>
      </w:r>
      <w:r w:rsidR="0035264F">
        <w:t xml:space="preserve">this case includes an evaluation of the WCA.  </w:t>
      </w:r>
      <w:r w:rsidR="00034D6C">
        <w:t xml:space="preserve">In the long-term, the Company believes that Washington should implement a new methodology based on how the Company actually </w:t>
      </w:r>
      <w:r w:rsidR="00A33825">
        <w:t xml:space="preserve">operates </w:t>
      </w:r>
      <w:r w:rsidR="00034D6C">
        <w:t xml:space="preserve">its system.  Because the development of an acceptable methodology will take time, the Company </w:t>
      </w:r>
      <w:r w:rsidR="0035264F">
        <w:t>proposes</w:t>
      </w:r>
      <w:r w:rsidR="00034D6C">
        <w:t xml:space="preserve"> </w:t>
      </w:r>
      <w:r w:rsidR="0035264F">
        <w:t>changes</w:t>
      </w:r>
      <w:r w:rsidR="00260787">
        <w:t xml:space="preserve"> to the </w:t>
      </w:r>
      <w:r w:rsidR="00D1442E">
        <w:t>WCA</w:t>
      </w:r>
      <w:r w:rsidR="00260787">
        <w:t xml:space="preserve"> </w:t>
      </w:r>
      <w:r w:rsidR="0035264F">
        <w:t xml:space="preserve">in this case </w:t>
      </w:r>
      <w:r w:rsidR="00260787">
        <w:t>to improve its operation</w:t>
      </w:r>
      <w:r w:rsidR="00034D6C">
        <w:t>.</w:t>
      </w:r>
      <w:r w:rsidR="00553309">
        <w:t xml:space="preserve"> </w:t>
      </w:r>
      <w:r w:rsidR="0035264F">
        <w:t xml:space="preserve"> </w:t>
      </w:r>
      <w:r w:rsidR="00A33825">
        <w:t>Some of these changes impact the</w:t>
      </w:r>
      <w:r w:rsidR="00553309">
        <w:t xml:space="preserve"> calculation of NPC</w:t>
      </w:r>
      <w:r w:rsidR="00A33825">
        <w:t xml:space="preserve">, both </w:t>
      </w:r>
      <w:r w:rsidR="0035264F">
        <w:t>pro forma</w:t>
      </w:r>
      <w:r w:rsidR="00A33825">
        <w:t xml:space="preserve"> and actual</w:t>
      </w:r>
      <w:r w:rsidR="00553309">
        <w:t>.</w:t>
      </w:r>
    </w:p>
    <w:p w:rsidR="00C43445" w:rsidRDefault="00C43445" w:rsidP="00D620B9">
      <w:pPr>
        <w:tabs>
          <w:tab w:val="left" w:pos="720"/>
        </w:tabs>
        <w:spacing w:line="480" w:lineRule="auto"/>
        <w:ind w:left="720" w:hanging="720"/>
        <w:jc w:val="left"/>
        <w:rPr>
          <w:b/>
        </w:rPr>
      </w:pPr>
      <w:r>
        <w:rPr>
          <w:b/>
        </w:rPr>
        <w:t>Q.</w:t>
      </w:r>
      <w:r>
        <w:rPr>
          <w:b/>
        </w:rPr>
        <w:tab/>
      </w:r>
      <w:r w:rsidR="00553309">
        <w:rPr>
          <w:b/>
        </w:rPr>
        <w:t xml:space="preserve">What was the Company’s guiding principle in developing changes to the </w:t>
      </w:r>
      <w:r w:rsidR="00D1442E">
        <w:rPr>
          <w:b/>
        </w:rPr>
        <w:t>WCA</w:t>
      </w:r>
      <w:r w:rsidR="00553309">
        <w:rPr>
          <w:b/>
        </w:rPr>
        <w:t xml:space="preserve"> for calculating NPC</w:t>
      </w:r>
      <w:r>
        <w:rPr>
          <w:b/>
        </w:rPr>
        <w:t>?</w:t>
      </w:r>
    </w:p>
    <w:p w:rsidR="00C43445" w:rsidRDefault="00C43445" w:rsidP="00F83CC5">
      <w:pPr>
        <w:widowControl/>
        <w:tabs>
          <w:tab w:val="left" w:pos="720"/>
        </w:tabs>
        <w:spacing w:line="480" w:lineRule="auto"/>
        <w:ind w:left="720" w:hanging="720"/>
        <w:jc w:val="left"/>
      </w:pPr>
      <w:r>
        <w:t>A.</w:t>
      </w:r>
      <w:r>
        <w:tab/>
      </w:r>
      <w:r w:rsidR="00553309">
        <w:t>T</w:t>
      </w:r>
      <w:r>
        <w:t>he Company</w:t>
      </w:r>
      <w:r w:rsidR="00F83CC5">
        <w:t xml:space="preserve">’s guiding principle was that </w:t>
      </w:r>
      <w:r w:rsidR="00553309">
        <w:t xml:space="preserve">the </w:t>
      </w:r>
      <w:r w:rsidR="00D1442E">
        <w:t>WCA</w:t>
      </w:r>
      <w:r>
        <w:t xml:space="preserve"> should mo</w:t>
      </w:r>
      <w:r w:rsidR="00553309">
        <w:t>re</w:t>
      </w:r>
      <w:r>
        <w:t xml:space="preserve"> accurately </w:t>
      </w:r>
      <w:r w:rsidR="005A3784">
        <w:t>represent the actual cost of operating as if the Company operated PACW as a stand-alone entity</w:t>
      </w:r>
      <w:r>
        <w:t>, without assumed inclusion of benefits that don</w:t>
      </w:r>
      <w:r w:rsidR="00F83CC5">
        <w:t>’</w:t>
      </w:r>
      <w:r>
        <w:t>t exist or exclusion of costs that do.</w:t>
      </w:r>
      <w:r w:rsidR="00553309">
        <w:t xml:space="preserve"> </w:t>
      </w:r>
      <w:r w:rsidR="00637A39">
        <w:t xml:space="preserve"> </w:t>
      </w:r>
      <w:r w:rsidR="00553309">
        <w:t>Th</w:t>
      </w:r>
      <w:r w:rsidR="007267C8">
        <w:t xml:space="preserve">e proposed changes to the </w:t>
      </w:r>
      <w:r w:rsidR="00D1442E">
        <w:t>WCA</w:t>
      </w:r>
      <w:r w:rsidR="00553309">
        <w:t xml:space="preserve"> </w:t>
      </w:r>
      <w:r w:rsidR="007267C8">
        <w:t xml:space="preserve">will </w:t>
      </w:r>
      <w:r w:rsidR="00553309">
        <w:t xml:space="preserve">increase the accuracy of </w:t>
      </w:r>
      <w:r w:rsidR="00F83CC5">
        <w:t xml:space="preserve">pro forma </w:t>
      </w:r>
      <w:r w:rsidR="00553309">
        <w:t xml:space="preserve">NPC and </w:t>
      </w:r>
      <w:r w:rsidR="007267C8">
        <w:t>enable the</w:t>
      </w:r>
      <w:r w:rsidR="00553309">
        <w:t xml:space="preserve"> calculat</w:t>
      </w:r>
      <w:r w:rsidR="007267C8">
        <w:t>ion</w:t>
      </w:r>
      <w:r w:rsidR="00553309">
        <w:t xml:space="preserve"> </w:t>
      </w:r>
      <w:r w:rsidR="00164D61">
        <w:t xml:space="preserve">of </w:t>
      </w:r>
      <w:r w:rsidR="00553309">
        <w:t>actual NPC fo</w:t>
      </w:r>
      <w:r w:rsidR="00F83CC5">
        <w:t>r purposes of a PCAM mechanism.</w:t>
      </w:r>
    </w:p>
    <w:p w:rsidR="001C4772" w:rsidRDefault="004F0D20" w:rsidP="0079133E">
      <w:pPr>
        <w:pStyle w:val="Heading2"/>
        <w:spacing w:after="0" w:line="480" w:lineRule="auto"/>
      </w:pPr>
      <w:bookmarkStart w:id="4" w:name="_Toc345506031"/>
      <w:r w:rsidRPr="009C5635">
        <w:t>I</w:t>
      </w:r>
      <w:r w:rsidR="001C4772">
        <w:t>nclusion of All Costs and Benefits Associated with A</w:t>
      </w:r>
      <w:r w:rsidR="002E01C6" w:rsidRPr="002E01C6">
        <w:t>ll PACW (Oregon, California,</w:t>
      </w:r>
      <w:r w:rsidR="001C4772">
        <w:t xml:space="preserve"> and Washington) QF Contracts in the Calculation of NPC, with an Allocated Share of Each A</w:t>
      </w:r>
      <w:r w:rsidR="002E01C6" w:rsidRPr="002E01C6">
        <w:t>ssigned to Washington</w:t>
      </w:r>
      <w:bookmarkEnd w:id="4"/>
    </w:p>
    <w:p w:rsidR="00B30AEF" w:rsidRPr="00B30AEF" w:rsidRDefault="00B30AEF" w:rsidP="009C5635">
      <w:pPr>
        <w:tabs>
          <w:tab w:val="left" w:pos="720"/>
        </w:tabs>
        <w:spacing w:line="480" w:lineRule="auto"/>
        <w:ind w:left="720" w:hanging="720"/>
        <w:jc w:val="left"/>
        <w:rPr>
          <w:b/>
        </w:rPr>
      </w:pPr>
      <w:r w:rsidRPr="00B30AEF">
        <w:rPr>
          <w:b/>
        </w:rPr>
        <w:t>Q.</w:t>
      </w:r>
      <w:r w:rsidRPr="00B30AEF">
        <w:rPr>
          <w:b/>
        </w:rPr>
        <w:tab/>
      </w:r>
      <w:r w:rsidR="00C43445">
        <w:rPr>
          <w:b/>
        </w:rPr>
        <w:t xml:space="preserve">Please explain the </w:t>
      </w:r>
      <w:r w:rsidR="00515004">
        <w:rPr>
          <w:b/>
        </w:rPr>
        <w:t xml:space="preserve">Company’s proposed change to the </w:t>
      </w:r>
      <w:r w:rsidR="00D1442E">
        <w:rPr>
          <w:b/>
        </w:rPr>
        <w:t>WCA</w:t>
      </w:r>
      <w:r w:rsidR="00515004">
        <w:rPr>
          <w:b/>
        </w:rPr>
        <w:t xml:space="preserve"> for </w:t>
      </w:r>
      <w:r w:rsidR="00C43445">
        <w:rPr>
          <w:b/>
        </w:rPr>
        <w:t>QF</w:t>
      </w:r>
      <w:r w:rsidR="000931E2">
        <w:rPr>
          <w:b/>
        </w:rPr>
        <w:t xml:space="preserve"> contract</w:t>
      </w:r>
      <w:r w:rsidR="00C43445">
        <w:rPr>
          <w:b/>
        </w:rPr>
        <w:t>s</w:t>
      </w:r>
      <w:r w:rsidR="00A3286D">
        <w:rPr>
          <w:b/>
        </w:rPr>
        <w:t xml:space="preserve"> in the </w:t>
      </w:r>
      <w:r w:rsidR="005A3784">
        <w:rPr>
          <w:b/>
        </w:rPr>
        <w:t>PACW</w:t>
      </w:r>
      <w:r w:rsidR="00F83CC5">
        <w:rPr>
          <w:b/>
        </w:rPr>
        <w:t>.</w:t>
      </w:r>
    </w:p>
    <w:p w:rsidR="008D3416" w:rsidRDefault="00B30AEF" w:rsidP="009C5635">
      <w:pPr>
        <w:tabs>
          <w:tab w:val="left" w:pos="720"/>
        </w:tabs>
        <w:spacing w:line="480" w:lineRule="auto"/>
        <w:ind w:left="720" w:hanging="720"/>
        <w:jc w:val="left"/>
      </w:pPr>
      <w:r w:rsidRPr="00E834A1">
        <w:t>A.</w:t>
      </w:r>
      <w:r w:rsidRPr="00E834A1">
        <w:tab/>
      </w:r>
      <w:r w:rsidR="00C0216C">
        <w:t>In previous filings</w:t>
      </w:r>
      <w:r w:rsidR="007267C8">
        <w:t xml:space="preserve"> using the </w:t>
      </w:r>
      <w:r w:rsidR="00D1442E">
        <w:t>WCA</w:t>
      </w:r>
      <w:r w:rsidR="00C0216C">
        <w:t xml:space="preserve">, </w:t>
      </w:r>
      <w:r w:rsidR="00260787">
        <w:t xml:space="preserve">the Company included </w:t>
      </w:r>
      <w:r w:rsidR="00C0216C">
        <w:t>only QF</w:t>
      </w:r>
      <w:r w:rsidR="007267C8">
        <w:t xml:space="preserve"> contract</w:t>
      </w:r>
      <w:r w:rsidR="00C0216C">
        <w:t>s</w:t>
      </w:r>
      <w:r w:rsidR="002E3D6E">
        <w:t xml:space="preserve"> physically located in Washington</w:t>
      </w:r>
      <w:r w:rsidR="00260787">
        <w:t>.</w:t>
      </w:r>
      <w:r w:rsidR="00C0216C">
        <w:t xml:space="preserve">  Beginning with this filing, </w:t>
      </w:r>
      <w:r w:rsidR="00BC36C1">
        <w:t xml:space="preserve">the remaining </w:t>
      </w:r>
      <w:r w:rsidR="005A3784">
        <w:t>PACW</w:t>
      </w:r>
      <w:r w:rsidR="00C0216C">
        <w:t xml:space="preserve"> QF</w:t>
      </w:r>
      <w:r w:rsidR="00260787">
        <w:t xml:space="preserve"> contract</w:t>
      </w:r>
      <w:r w:rsidR="00CB3E5B">
        <w:t>s</w:t>
      </w:r>
      <w:r w:rsidR="00F83CC5">
        <w:t>—</w:t>
      </w:r>
      <w:r w:rsidR="00C0216C">
        <w:t xml:space="preserve">located in </w:t>
      </w:r>
      <w:r w:rsidR="004D733C">
        <w:t>Oregon an</w:t>
      </w:r>
      <w:r w:rsidR="00F83CC5">
        <w:t>d California—</w:t>
      </w:r>
      <w:r w:rsidR="00C0216C">
        <w:t xml:space="preserve">are included in the definition of </w:t>
      </w:r>
      <w:r w:rsidR="005A3784">
        <w:t>WCA</w:t>
      </w:r>
      <w:r w:rsidR="00C0216C">
        <w:t xml:space="preserve"> resources</w:t>
      </w:r>
      <w:r w:rsidR="005E17FB">
        <w:t>.  This is</w:t>
      </w:r>
      <w:r w:rsidR="00C0216C">
        <w:t xml:space="preserve"> a</w:t>
      </w:r>
      <w:r w:rsidR="004D733C">
        <w:t xml:space="preserve"> logical extension of the </w:t>
      </w:r>
      <w:r w:rsidR="00D1442E">
        <w:t>WCA</w:t>
      </w:r>
      <w:r w:rsidR="00260787">
        <w:t xml:space="preserve"> because</w:t>
      </w:r>
      <w:r w:rsidR="004D733C">
        <w:t xml:space="preserve"> </w:t>
      </w:r>
      <w:r w:rsidR="00260787">
        <w:t>t</w:t>
      </w:r>
      <w:r w:rsidR="004D733C">
        <w:t xml:space="preserve">hese resources are all located within </w:t>
      </w:r>
      <w:r w:rsidR="005A3784">
        <w:t>PACW</w:t>
      </w:r>
      <w:r w:rsidR="00EF1473">
        <w:t>,</w:t>
      </w:r>
      <w:r>
        <w:t xml:space="preserve"> physically deliver power to meet W</w:t>
      </w:r>
      <w:r w:rsidR="00260787">
        <w:t>ashington</w:t>
      </w:r>
      <w:r>
        <w:t xml:space="preserve"> load </w:t>
      </w:r>
      <w:r w:rsidR="004D733C">
        <w:t xml:space="preserve">in the same manner as </w:t>
      </w:r>
      <w:r>
        <w:t xml:space="preserve">any other </w:t>
      </w:r>
      <w:r w:rsidR="005A3784">
        <w:t>PACW</w:t>
      </w:r>
      <w:r w:rsidR="00C0216C">
        <w:t xml:space="preserve"> </w:t>
      </w:r>
      <w:r>
        <w:t>resource</w:t>
      </w:r>
      <w:r w:rsidR="00EF1473">
        <w:t>, and provide direct benefits to Washington customers</w:t>
      </w:r>
      <w:r w:rsidR="00F83CC5">
        <w:t>.</w:t>
      </w:r>
    </w:p>
    <w:p w:rsidR="002E3D6E" w:rsidRDefault="002E3D6E" w:rsidP="00D620B9">
      <w:pPr>
        <w:tabs>
          <w:tab w:val="left" w:pos="720"/>
        </w:tabs>
        <w:spacing w:line="480" w:lineRule="auto"/>
        <w:ind w:left="720" w:hanging="720"/>
        <w:jc w:val="left"/>
        <w:rPr>
          <w:b/>
        </w:rPr>
      </w:pPr>
      <w:r>
        <w:rPr>
          <w:b/>
        </w:rPr>
        <w:t>Q.</w:t>
      </w:r>
      <w:r>
        <w:rPr>
          <w:b/>
        </w:rPr>
        <w:tab/>
        <w:t xml:space="preserve">Why is this change to the </w:t>
      </w:r>
      <w:r w:rsidR="00D1442E">
        <w:rPr>
          <w:b/>
        </w:rPr>
        <w:t>WCA</w:t>
      </w:r>
      <w:r>
        <w:rPr>
          <w:b/>
        </w:rPr>
        <w:t xml:space="preserve"> warranted?</w:t>
      </w:r>
    </w:p>
    <w:p w:rsidR="00515004" w:rsidRDefault="002E3D6E" w:rsidP="001C4772">
      <w:pPr>
        <w:widowControl/>
        <w:tabs>
          <w:tab w:val="left" w:pos="720"/>
        </w:tabs>
        <w:spacing w:line="480" w:lineRule="auto"/>
        <w:ind w:left="720" w:hanging="720"/>
        <w:jc w:val="left"/>
      </w:pPr>
      <w:r>
        <w:t>A.</w:t>
      </w:r>
      <w:r>
        <w:tab/>
        <w:t xml:space="preserve">All QF contracts in </w:t>
      </w:r>
      <w:r w:rsidR="005A3784">
        <w:t>PACW</w:t>
      </w:r>
      <w:r>
        <w:t xml:space="preserve"> are resources that physically deliver power to meet Washington load in the same manner as any other </w:t>
      </w:r>
      <w:r w:rsidR="005A3784">
        <w:t>PACW</w:t>
      </w:r>
      <w:r>
        <w:t xml:space="preserve"> resource.  </w:t>
      </w:r>
      <w:r w:rsidR="00707B16">
        <w:t>Most</w:t>
      </w:r>
      <w:r>
        <w:t xml:space="preserve"> of the QF contracts included in this case have been executed or renewed recently at current avoided cost prices.  Like other </w:t>
      </w:r>
      <w:r w:rsidR="005A3784">
        <w:t>PACW</w:t>
      </w:r>
      <w:r>
        <w:t xml:space="preserve"> resources, QF contracts are used and useful in serving Washington customers.  Excluding these resources from Washington rates is contrary to the policies underlying </w:t>
      </w:r>
      <w:r w:rsidR="00707B16">
        <w:t>the Public Utility Regulatory Policy Act of 1978 (</w:t>
      </w:r>
      <w:r>
        <w:t>PURPA</w:t>
      </w:r>
      <w:r w:rsidR="00707B16">
        <w:t>)</w:t>
      </w:r>
      <w:r>
        <w:t xml:space="preserve"> and effectively denies the Company cost-recovery for resource acquisitions mandated by federal statut</w:t>
      </w:r>
      <w:r w:rsidR="00F83CC5">
        <w:t>e.</w:t>
      </w:r>
    </w:p>
    <w:p w:rsidR="00515004" w:rsidRPr="004606BE" w:rsidRDefault="00515004" w:rsidP="00F83CC5">
      <w:pPr>
        <w:keepNext/>
        <w:widowControl/>
        <w:tabs>
          <w:tab w:val="left" w:pos="720"/>
        </w:tabs>
        <w:spacing w:line="480" w:lineRule="auto"/>
        <w:ind w:left="720" w:hanging="720"/>
        <w:jc w:val="left"/>
        <w:rPr>
          <w:b/>
        </w:rPr>
      </w:pPr>
      <w:r w:rsidRPr="004606BE">
        <w:rPr>
          <w:b/>
        </w:rPr>
        <w:t>Q.</w:t>
      </w:r>
      <w:r w:rsidRPr="004606BE">
        <w:rPr>
          <w:b/>
        </w:rPr>
        <w:tab/>
        <w:t xml:space="preserve">Are there a material number of QF contracts </w:t>
      </w:r>
      <w:r w:rsidR="004606BE">
        <w:rPr>
          <w:b/>
        </w:rPr>
        <w:t xml:space="preserve">now serving Washington customers </w:t>
      </w:r>
      <w:r w:rsidRPr="004606BE">
        <w:rPr>
          <w:b/>
        </w:rPr>
        <w:t xml:space="preserve">that are not currently reflected </w:t>
      </w:r>
      <w:r w:rsidR="004606BE">
        <w:rPr>
          <w:b/>
        </w:rPr>
        <w:t>in Washington ra</w:t>
      </w:r>
      <w:r w:rsidR="004B394A">
        <w:rPr>
          <w:b/>
        </w:rPr>
        <w:t>tes?</w:t>
      </w:r>
    </w:p>
    <w:p w:rsidR="002E3D6E" w:rsidRPr="00852AEC" w:rsidRDefault="00515004" w:rsidP="00D620B9">
      <w:pPr>
        <w:tabs>
          <w:tab w:val="left" w:pos="720"/>
        </w:tabs>
        <w:spacing w:line="480" w:lineRule="auto"/>
        <w:ind w:left="720" w:hanging="720"/>
        <w:jc w:val="left"/>
      </w:pPr>
      <w:r>
        <w:t>A.</w:t>
      </w:r>
      <w:r>
        <w:tab/>
        <w:t>Yes.  Collectively</w:t>
      </w:r>
      <w:r w:rsidR="004606BE">
        <w:t xml:space="preserve">, </w:t>
      </w:r>
      <w:r w:rsidR="005A3784">
        <w:t>PACW</w:t>
      </w:r>
      <w:r w:rsidR="004606BE">
        <w:t xml:space="preserve"> </w:t>
      </w:r>
      <w:r>
        <w:t xml:space="preserve">QF contracts provide a </w:t>
      </w:r>
      <w:r w:rsidR="004606BE">
        <w:t>significant</w:t>
      </w:r>
      <w:r>
        <w:t xml:space="preserve"> source of power supply to Washington customers, who currently pay </w:t>
      </w:r>
      <w:r w:rsidR="00EF1473">
        <w:t>only a portion</w:t>
      </w:r>
      <w:r>
        <w:t xml:space="preserve"> of the costs</w:t>
      </w:r>
      <w:r w:rsidR="00EF1473">
        <w:t xml:space="preserve"> of these resources</w:t>
      </w:r>
      <w:r>
        <w:t xml:space="preserve">.  </w:t>
      </w:r>
      <w:proofErr w:type="gramStart"/>
      <w:r w:rsidR="006B008E">
        <w:t>T</w:t>
      </w:r>
      <w:r w:rsidR="00EF1473">
        <w:t xml:space="preserve">he proposed change to the </w:t>
      </w:r>
      <w:r w:rsidR="00D1442E">
        <w:t>WCA</w:t>
      </w:r>
      <w:r w:rsidR="00EF1473">
        <w:t xml:space="preserve"> to include all </w:t>
      </w:r>
      <w:r w:rsidR="005A3784">
        <w:t>PACW</w:t>
      </w:r>
      <w:r w:rsidR="00EF1473">
        <w:t xml:space="preserve"> QF</w:t>
      </w:r>
      <w:r w:rsidR="00524253">
        <w:t xml:space="preserve"> contracts</w:t>
      </w:r>
      <w:r w:rsidR="00EF1473">
        <w:t xml:space="preserve"> increases </w:t>
      </w:r>
      <w:r w:rsidR="00EF1473" w:rsidRPr="00852AEC">
        <w:t xml:space="preserve">Washington NPC by </w:t>
      </w:r>
      <w:r w:rsidR="00F83CC5">
        <w:t>$10.7 million.</w:t>
      </w:r>
      <w:proofErr w:type="gramEnd"/>
    </w:p>
    <w:p w:rsidR="002E3D6E" w:rsidRPr="00852AEC" w:rsidRDefault="002E3D6E" w:rsidP="00D620B9">
      <w:pPr>
        <w:tabs>
          <w:tab w:val="left" w:pos="720"/>
        </w:tabs>
        <w:spacing w:line="480" w:lineRule="auto"/>
        <w:ind w:left="720" w:hanging="720"/>
        <w:jc w:val="left"/>
        <w:rPr>
          <w:b/>
        </w:rPr>
      </w:pPr>
      <w:r w:rsidRPr="00852AEC">
        <w:rPr>
          <w:b/>
        </w:rPr>
        <w:t>Q.</w:t>
      </w:r>
      <w:r w:rsidRPr="00852AEC">
        <w:rPr>
          <w:b/>
        </w:rPr>
        <w:tab/>
        <w:t>Do other Washington utilities include the costs of QF contracts, including QF contracts from other states, in Washington rates?</w:t>
      </w:r>
    </w:p>
    <w:p w:rsidR="002E3D6E" w:rsidRPr="00F640F5" w:rsidRDefault="002E3D6E" w:rsidP="00D620B9">
      <w:pPr>
        <w:tabs>
          <w:tab w:val="left" w:pos="720"/>
        </w:tabs>
        <w:spacing w:line="480" w:lineRule="auto"/>
        <w:ind w:left="720" w:hanging="720"/>
        <w:jc w:val="left"/>
      </w:pPr>
      <w:r w:rsidRPr="00852AEC">
        <w:t>A.</w:t>
      </w:r>
      <w:r w:rsidRPr="00852AEC">
        <w:tab/>
        <w:t>Yes.  In the most recent cases for Puget Sound Energy, QF contracts were included in rates at an average price of $73 to $</w:t>
      </w:r>
      <w:r w:rsidR="006B008E" w:rsidRPr="00852AEC">
        <w:t xml:space="preserve">97 </w:t>
      </w:r>
      <w:r w:rsidRPr="00852AEC">
        <w:t>per meg</w:t>
      </w:r>
      <w:r>
        <w:t>awatt</w:t>
      </w:r>
      <w:r w:rsidR="00C17A54">
        <w:t>-</w:t>
      </w:r>
      <w:r>
        <w:t>hour</w:t>
      </w:r>
      <w:r w:rsidR="00C17A54">
        <w:t xml:space="preserve"> (MWh)</w:t>
      </w:r>
      <w:r>
        <w:t xml:space="preserve">.  Rates for </w:t>
      </w:r>
      <w:proofErr w:type="spellStart"/>
      <w:r>
        <w:t>Avista</w:t>
      </w:r>
      <w:proofErr w:type="spellEnd"/>
      <w:r>
        <w:t xml:space="preserve"> also include costs for QF contracts, including an allocated share of the cost of various QF contracts located i</w:t>
      </w:r>
      <w:r w:rsidR="00F83CC5">
        <w:t>n its Idaho service territory.</w:t>
      </w:r>
    </w:p>
    <w:p w:rsidR="00CB3E5B" w:rsidRDefault="00CB3E5B" w:rsidP="00D620B9">
      <w:pPr>
        <w:tabs>
          <w:tab w:val="left" w:pos="720"/>
        </w:tabs>
        <w:spacing w:line="480" w:lineRule="auto"/>
        <w:ind w:left="720" w:hanging="720"/>
        <w:jc w:val="left"/>
        <w:rPr>
          <w:b/>
        </w:rPr>
      </w:pPr>
      <w:r>
        <w:rPr>
          <w:b/>
        </w:rPr>
        <w:t>Q.</w:t>
      </w:r>
      <w:r>
        <w:rPr>
          <w:b/>
        </w:rPr>
        <w:tab/>
      </w:r>
      <w:r w:rsidR="001B205C">
        <w:rPr>
          <w:b/>
        </w:rPr>
        <w:t xml:space="preserve">How </w:t>
      </w:r>
      <w:r w:rsidR="00D137A2">
        <w:rPr>
          <w:b/>
        </w:rPr>
        <w:t xml:space="preserve">are </w:t>
      </w:r>
      <w:r w:rsidR="001B205C">
        <w:rPr>
          <w:b/>
        </w:rPr>
        <w:t xml:space="preserve">the prices </w:t>
      </w:r>
      <w:r w:rsidR="00F83CC5">
        <w:rPr>
          <w:b/>
        </w:rPr>
        <w:t>paid under</w:t>
      </w:r>
      <w:r w:rsidR="00D137A2">
        <w:rPr>
          <w:b/>
        </w:rPr>
        <w:t xml:space="preserve"> </w:t>
      </w:r>
      <w:r w:rsidR="002E3D6E">
        <w:rPr>
          <w:b/>
        </w:rPr>
        <w:t xml:space="preserve">PacifiCorp’s </w:t>
      </w:r>
      <w:r w:rsidR="001B205C">
        <w:rPr>
          <w:b/>
        </w:rPr>
        <w:t xml:space="preserve">QF contracts </w:t>
      </w:r>
      <w:r w:rsidR="00D137A2">
        <w:rPr>
          <w:b/>
        </w:rPr>
        <w:t>determined</w:t>
      </w:r>
      <w:r w:rsidR="008D3416">
        <w:rPr>
          <w:b/>
        </w:rPr>
        <w:t>?</w:t>
      </w:r>
    </w:p>
    <w:p w:rsidR="001C4772" w:rsidRDefault="008D3416" w:rsidP="001C4772">
      <w:pPr>
        <w:tabs>
          <w:tab w:val="left" w:pos="720"/>
        </w:tabs>
        <w:spacing w:line="480" w:lineRule="auto"/>
        <w:ind w:left="720" w:hanging="720"/>
        <w:jc w:val="left"/>
      </w:pPr>
      <w:r>
        <w:t>A.</w:t>
      </w:r>
      <w:r>
        <w:tab/>
        <w:t>Prices paid to QFs are determined based on a utility’s avoided cost of energy an</w:t>
      </w:r>
      <w:r w:rsidR="00F83CC5">
        <w:t>d capacity, in compliance with</w:t>
      </w:r>
      <w:r>
        <w:t xml:space="preserve"> PURPA.  </w:t>
      </w:r>
      <w:r w:rsidR="00D137A2">
        <w:t>E</w:t>
      </w:r>
      <w:r>
        <w:t xml:space="preserve">ach state </w:t>
      </w:r>
      <w:r w:rsidR="00D137A2">
        <w:t xml:space="preserve">has an </w:t>
      </w:r>
      <w:r>
        <w:t>approve</w:t>
      </w:r>
      <w:r w:rsidR="00D137A2">
        <w:t>d</w:t>
      </w:r>
      <w:r>
        <w:t xml:space="preserve"> method for calculating </w:t>
      </w:r>
      <w:r w:rsidR="001240E9">
        <w:t>these</w:t>
      </w:r>
      <w:r>
        <w:t xml:space="preserve"> avoided costs, </w:t>
      </w:r>
      <w:r w:rsidR="00D137A2">
        <w:t xml:space="preserve">and </w:t>
      </w:r>
      <w:r>
        <w:t>the resulting prices are heavily scrutinized and ultimately approved by the respective commissions</w:t>
      </w:r>
      <w:r w:rsidR="00524253">
        <w:t xml:space="preserve">.  </w:t>
      </w:r>
      <w:r w:rsidR="00051954">
        <w:t xml:space="preserve">The avoided cost calculation is designed to set QF </w:t>
      </w:r>
      <w:r w:rsidR="00524253">
        <w:t xml:space="preserve">contract </w:t>
      </w:r>
      <w:r w:rsidR="0096165F">
        <w:t>prices at</w:t>
      </w:r>
      <w:r>
        <w:t xml:space="preserve"> a level where </w:t>
      </w:r>
      <w:r w:rsidR="00051954">
        <w:t>customers</w:t>
      </w:r>
      <w:r>
        <w:t xml:space="preserve"> are indifferent between </w:t>
      </w:r>
      <w:r w:rsidR="00051954">
        <w:t xml:space="preserve">a utility </w:t>
      </w:r>
      <w:r>
        <w:t xml:space="preserve">purchasing from the QF or </w:t>
      </w:r>
      <w:r w:rsidR="00051954">
        <w:t xml:space="preserve">obtaining energy and capacity from </w:t>
      </w:r>
      <w:r>
        <w:t>the next available resource.</w:t>
      </w:r>
    </w:p>
    <w:p w:rsidR="00C07793" w:rsidRPr="001C4772" w:rsidRDefault="00C07793" w:rsidP="00C07793">
      <w:pPr>
        <w:suppressLineNumbers/>
        <w:tabs>
          <w:tab w:val="left" w:pos="720"/>
        </w:tabs>
        <w:spacing w:line="480" w:lineRule="auto"/>
        <w:ind w:left="720" w:hanging="720"/>
        <w:jc w:val="left"/>
      </w:pPr>
    </w:p>
    <w:p w:rsidR="00D137A2" w:rsidRDefault="00D137A2" w:rsidP="00D620B9">
      <w:pPr>
        <w:tabs>
          <w:tab w:val="left" w:pos="720"/>
        </w:tabs>
        <w:spacing w:line="480" w:lineRule="auto"/>
        <w:ind w:left="720" w:hanging="720"/>
        <w:jc w:val="left"/>
        <w:rPr>
          <w:b/>
        </w:rPr>
      </w:pPr>
      <w:r>
        <w:rPr>
          <w:b/>
        </w:rPr>
        <w:t>Q.</w:t>
      </w:r>
      <w:r>
        <w:rPr>
          <w:b/>
        </w:rPr>
        <w:tab/>
        <w:t>Are any Washington QF</w:t>
      </w:r>
      <w:r w:rsidR="006E29BC">
        <w:rPr>
          <w:b/>
        </w:rPr>
        <w:t xml:space="preserve"> contract</w:t>
      </w:r>
      <w:r>
        <w:rPr>
          <w:b/>
        </w:rPr>
        <w:t>s currently included in rates?</w:t>
      </w:r>
    </w:p>
    <w:p w:rsidR="00D137A2" w:rsidRDefault="00D137A2" w:rsidP="00D620B9">
      <w:pPr>
        <w:tabs>
          <w:tab w:val="left" w:pos="720"/>
        </w:tabs>
        <w:spacing w:line="480" w:lineRule="auto"/>
        <w:ind w:left="720" w:hanging="720"/>
        <w:jc w:val="left"/>
      </w:pPr>
      <w:r>
        <w:t>A.</w:t>
      </w:r>
      <w:r>
        <w:tab/>
        <w:t xml:space="preserve">Yes.  In </w:t>
      </w:r>
      <w:r w:rsidR="00051954">
        <w:t>PacifiCorp’s</w:t>
      </w:r>
      <w:r>
        <w:t xml:space="preserve"> 2011 </w:t>
      </w:r>
      <w:r w:rsidR="00051954">
        <w:t>general r</w:t>
      </w:r>
      <w:r>
        <w:t xml:space="preserve">ate </w:t>
      </w:r>
      <w:r w:rsidR="00051954">
        <w:t>c</w:t>
      </w:r>
      <w:r>
        <w:t xml:space="preserve">ase, </w:t>
      </w:r>
      <w:r w:rsidR="009C5635">
        <w:t xml:space="preserve">docket UE-111190 (2011 Rate Case), </w:t>
      </w:r>
      <w:r>
        <w:t xml:space="preserve">three QF contacts were included in NPC at an average </w:t>
      </w:r>
      <w:r w:rsidRPr="00852AEC">
        <w:t xml:space="preserve">price of $118.83 per </w:t>
      </w:r>
      <w:r w:rsidR="00C17A54">
        <w:t>MWh</w:t>
      </w:r>
      <w:r>
        <w:t xml:space="preserve">. </w:t>
      </w:r>
      <w:r w:rsidR="001240E9">
        <w:t xml:space="preserve"> </w:t>
      </w:r>
      <w:r>
        <w:t>Additionally, there are so</w:t>
      </w:r>
      <w:r w:rsidRPr="001B205C">
        <w:t>me expiring QF</w:t>
      </w:r>
      <w:r>
        <w:t xml:space="preserve"> contract</w:t>
      </w:r>
      <w:r w:rsidRPr="001B205C">
        <w:t xml:space="preserve">s </w:t>
      </w:r>
      <w:r>
        <w:t>that</w:t>
      </w:r>
      <w:r w:rsidRPr="001B205C">
        <w:t xml:space="preserve"> are in various stages of </w:t>
      </w:r>
      <w:r w:rsidR="0047574B">
        <w:t>being re</w:t>
      </w:r>
      <w:r w:rsidRPr="001B205C">
        <w:t>negotiat</w:t>
      </w:r>
      <w:r w:rsidR="0047574B">
        <w:t>ed or replaced by</w:t>
      </w:r>
      <w:r w:rsidRPr="001B205C">
        <w:t xml:space="preserve"> new </w:t>
      </w:r>
      <w:r w:rsidR="0047574B">
        <w:t xml:space="preserve">QF </w:t>
      </w:r>
      <w:r w:rsidRPr="001B205C">
        <w:t>contract</w:t>
      </w:r>
      <w:r>
        <w:t xml:space="preserve">s. </w:t>
      </w:r>
      <w:r w:rsidRPr="001B205C">
        <w:t xml:space="preserve"> The Company </w:t>
      </w:r>
      <w:r>
        <w:t xml:space="preserve">proposes to </w:t>
      </w:r>
      <w:r w:rsidRPr="001B205C">
        <w:t>update NPC for additional signed QF contracts in its rebuttal filing.</w:t>
      </w:r>
    </w:p>
    <w:p w:rsidR="008D3416" w:rsidRPr="008D3416" w:rsidRDefault="008D3416" w:rsidP="00D620B9">
      <w:pPr>
        <w:tabs>
          <w:tab w:val="left" w:pos="720"/>
        </w:tabs>
        <w:spacing w:line="480" w:lineRule="auto"/>
        <w:ind w:left="720" w:hanging="720"/>
        <w:jc w:val="left"/>
        <w:rPr>
          <w:b/>
        </w:rPr>
      </w:pPr>
      <w:r w:rsidRPr="008D3416">
        <w:rPr>
          <w:b/>
        </w:rPr>
        <w:t>Q.</w:t>
      </w:r>
      <w:r w:rsidRPr="008D3416">
        <w:rPr>
          <w:b/>
        </w:rPr>
        <w:tab/>
        <w:t>What is the average price of the Oregon and California QF</w:t>
      </w:r>
      <w:r w:rsidR="006E29BC">
        <w:rPr>
          <w:b/>
        </w:rPr>
        <w:t xml:space="preserve"> contract</w:t>
      </w:r>
      <w:r w:rsidRPr="008D3416">
        <w:rPr>
          <w:b/>
        </w:rPr>
        <w:t>s included in this case</w:t>
      </w:r>
      <w:r>
        <w:rPr>
          <w:b/>
        </w:rPr>
        <w:t>?</w:t>
      </w:r>
    </w:p>
    <w:p w:rsidR="008D3416" w:rsidRDefault="008D3416" w:rsidP="00D620B9">
      <w:pPr>
        <w:tabs>
          <w:tab w:val="left" w:pos="720"/>
        </w:tabs>
        <w:spacing w:line="480" w:lineRule="auto"/>
        <w:ind w:left="720" w:hanging="720"/>
        <w:jc w:val="left"/>
      </w:pPr>
      <w:r>
        <w:t>A.</w:t>
      </w:r>
      <w:r>
        <w:tab/>
        <w:t xml:space="preserve">The weighted average price of </w:t>
      </w:r>
      <w:r w:rsidR="002E3D6E">
        <w:t xml:space="preserve">the </w:t>
      </w:r>
      <w:r>
        <w:t>Oregon and California QF</w:t>
      </w:r>
      <w:r w:rsidR="006E29BC">
        <w:t xml:space="preserve"> contract</w:t>
      </w:r>
      <w:r>
        <w:t xml:space="preserve">s in this case is </w:t>
      </w:r>
      <w:r w:rsidRPr="00852AEC">
        <w:t>approximately $77.20 per</w:t>
      </w:r>
      <w:r>
        <w:t xml:space="preserve"> </w:t>
      </w:r>
      <w:r w:rsidR="00C17A54">
        <w:t>MWh</w:t>
      </w:r>
      <w:r w:rsidR="001240E9">
        <w:t>.</w:t>
      </w:r>
    </w:p>
    <w:p w:rsidR="00F640F5" w:rsidRPr="00F640F5" w:rsidRDefault="00F640F5" w:rsidP="00301CF0">
      <w:pPr>
        <w:tabs>
          <w:tab w:val="left" w:pos="720"/>
        </w:tabs>
        <w:spacing w:line="480" w:lineRule="auto"/>
        <w:ind w:left="720" w:hanging="720"/>
        <w:jc w:val="left"/>
        <w:rPr>
          <w:b/>
        </w:rPr>
      </w:pPr>
      <w:r w:rsidRPr="00F640F5">
        <w:rPr>
          <w:b/>
        </w:rPr>
        <w:t>Q.</w:t>
      </w:r>
      <w:r w:rsidRPr="00F640F5">
        <w:rPr>
          <w:b/>
        </w:rPr>
        <w:tab/>
      </w:r>
      <w:r w:rsidR="001B205C">
        <w:rPr>
          <w:b/>
        </w:rPr>
        <w:t xml:space="preserve">How does the </w:t>
      </w:r>
      <w:r w:rsidR="009771F3">
        <w:rPr>
          <w:b/>
        </w:rPr>
        <w:t>Company</w:t>
      </w:r>
      <w:r w:rsidR="001B205C">
        <w:rPr>
          <w:b/>
        </w:rPr>
        <w:t xml:space="preserve"> </w:t>
      </w:r>
      <w:proofErr w:type="gramStart"/>
      <w:r w:rsidR="001B205C">
        <w:rPr>
          <w:b/>
        </w:rPr>
        <w:t>treat</w:t>
      </w:r>
      <w:proofErr w:type="gramEnd"/>
      <w:r w:rsidR="001B205C">
        <w:rPr>
          <w:b/>
        </w:rPr>
        <w:t xml:space="preserve"> QF contracts in other states?</w:t>
      </w:r>
    </w:p>
    <w:p w:rsidR="0079133E" w:rsidRPr="0079133E" w:rsidRDefault="00F640F5" w:rsidP="0079133E">
      <w:pPr>
        <w:tabs>
          <w:tab w:val="left" w:pos="720"/>
        </w:tabs>
        <w:spacing w:line="480" w:lineRule="auto"/>
        <w:ind w:left="720" w:hanging="720"/>
        <w:jc w:val="left"/>
      </w:pPr>
      <w:r>
        <w:t>A.</w:t>
      </w:r>
      <w:r>
        <w:tab/>
        <w:t xml:space="preserve">Under the 2010 Protocol </w:t>
      </w:r>
      <w:r w:rsidR="001240E9">
        <w:t xml:space="preserve">inter-jurisdictional </w:t>
      </w:r>
      <w:r>
        <w:t xml:space="preserve">allocation methodology used in </w:t>
      </w:r>
      <w:r w:rsidR="001240E9">
        <w:t>the Company’s other five state jurisdictions</w:t>
      </w:r>
      <w:r>
        <w:t>, all QF</w:t>
      </w:r>
      <w:r w:rsidR="00761FF0">
        <w:t xml:space="preserve"> contract</w:t>
      </w:r>
      <w:r>
        <w:t xml:space="preserve">s are treated as system resources and allocated </w:t>
      </w:r>
      <w:r w:rsidR="003F2C11">
        <w:t>system</w:t>
      </w:r>
      <w:r w:rsidR="001240E9">
        <w:t>-</w:t>
      </w:r>
      <w:r w:rsidR="003F2C11">
        <w:t>wide</w:t>
      </w:r>
      <w:r>
        <w:t>.  The 2010 Protocol provide</w:t>
      </w:r>
      <w:r w:rsidR="00D137A2">
        <w:t>s</w:t>
      </w:r>
      <w:r>
        <w:t xml:space="preserve"> that if </w:t>
      </w:r>
      <w:r w:rsidR="002E3D6E">
        <w:t xml:space="preserve">the cost of a </w:t>
      </w:r>
      <w:r>
        <w:t>particular QF</w:t>
      </w:r>
      <w:r w:rsidR="00761FF0">
        <w:t xml:space="preserve"> contract</w:t>
      </w:r>
      <w:r>
        <w:t xml:space="preserve"> executed after </w:t>
      </w:r>
      <w:r w:rsidRPr="00F976EB">
        <w:t>September 2010</w:t>
      </w:r>
      <w:r>
        <w:t xml:space="preserve"> is determined to </w:t>
      </w:r>
      <w:r w:rsidR="002E3D6E">
        <w:t>exceed the costs PacifiCorp would have otherwise incurred acquiring comparable resources,</w:t>
      </w:r>
      <w:r>
        <w:t xml:space="preserve"> then </w:t>
      </w:r>
      <w:r w:rsidR="002E3D6E">
        <w:t>the</w:t>
      </w:r>
      <w:r>
        <w:t xml:space="preserve"> costs </w:t>
      </w:r>
      <w:r w:rsidR="002E3D6E">
        <w:t xml:space="preserve">exceeding the cost of the comparable resource </w:t>
      </w:r>
      <w:r w:rsidR="0047574B">
        <w:t>will</w:t>
      </w:r>
      <w:r>
        <w:t xml:space="preserve"> be </w:t>
      </w:r>
      <w:proofErr w:type="spellStart"/>
      <w:r>
        <w:t>situs</w:t>
      </w:r>
      <w:proofErr w:type="spellEnd"/>
      <w:r>
        <w:t xml:space="preserve"> assigned to the home state.  However, no QF </w:t>
      </w:r>
      <w:r w:rsidR="0047574B">
        <w:t xml:space="preserve">contract </w:t>
      </w:r>
      <w:r>
        <w:t xml:space="preserve">has </w:t>
      </w:r>
      <w:r w:rsidR="0047574B">
        <w:t xml:space="preserve">ever </w:t>
      </w:r>
      <w:r>
        <w:t xml:space="preserve">been determined to be priced </w:t>
      </w:r>
      <w:r w:rsidR="002E3D6E">
        <w:t>above comparable resources</w:t>
      </w:r>
      <w:r>
        <w:t xml:space="preserve">, including the Oregon and California </w:t>
      </w:r>
      <w:r w:rsidR="0047574B">
        <w:t xml:space="preserve">QF contracts </w:t>
      </w:r>
      <w:r w:rsidR="00F75DD2">
        <w:t>in this case.</w:t>
      </w:r>
      <w:r w:rsidR="0079133E">
        <w:br w:type="page"/>
      </w:r>
    </w:p>
    <w:p w:rsidR="004F0D20" w:rsidRDefault="004F0D20" w:rsidP="0079133E">
      <w:pPr>
        <w:pStyle w:val="Heading2"/>
        <w:spacing w:after="0" w:line="480" w:lineRule="auto"/>
      </w:pPr>
      <w:bookmarkStart w:id="5" w:name="_Toc345506032"/>
      <w:r>
        <w:t>I</w:t>
      </w:r>
      <w:r w:rsidR="002E01C6" w:rsidRPr="002E01C6">
        <w:t xml:space="preserve">nclusion of </w:t>
      </w:r>
      <w:r w:rsidR="001C4772">
        <w:t>All Costs and Benefits Associated with the Full C</w:t>
      </w:r>
      <w:r w:rsidR="002E01C6" w:rsidRPr="002E01C6">
        <w:t>a</w:t>
      </w:r>
      <w:r w:rsidR="001C4772">
        <w:t>pacity a</w:t>
      </w:r>
      <w:r w:rsidR="0079133E">
        <w:t>nd Cost of the 200 MW</w:t>
      </w:r>
      <w:r w:rsidR="001C4772">
        <w:t xml:space="preserve"> Point-to-Point Wheeling C</w:t>
      </w:r>
      <w:r w:rsidR="002E01C6" w:rsidRPr="002E01C6">
        <w:t>ontract with Idaho Power Company</w:t>
      </w:r>
      <w:bookmarkEnd w:id="5"/>
      <w:r w:rsidR="002E01C6" w:rsidRPr="002E01C6" w:rsidDel="002E01C6">
        <w:t xml:space="preserve"> </w:t>
      </w:r>
    </w:p>
    <w:p w:rsidR="004D733C" w:rsidRPr="00B30AEF" w:rsidRDefault="004D733C" w:rsidP="00F75DD2">
      <w:pPr>
        <w:tabs>
          <w:tab w:val="left" w:pos="720"/>
        </w:tabs>
        <w:spacing w:line="480" w:lineRule="auto"/>
        <w:ind w:left="720" w:hanging="720"/>
        <w:jc w:val="left"/>
        <w:rPr>
          <w:b/>
        </w:rPr>
      </w:pPr>
      <w:r w:rsidRPr="00B30AEF">
        <w:rPr>
          <w:b/>
        </w:rPr>
        <w:t>Q.</w:t>
      </w:r>
      <w:r w:rsidRPr="00B30AEF">
        <w:rPr>
          <w:b/>
        </w:rPr>
        <w:tab/>
      </w:r>
      <w:r w:rsidR="003F2342">
        <w:rPr>
          <w:b/>
        </w:rPr>
        <w:t>Please explain the treatment of the 200 MW point-to-point wheeling contract with Idaho Power.</w:t>
      </w:r>
    </w:p>
    <w:p w:rsidR="0047574B" w:rsidRDefault="004D733C" w:rsidP="004B394A">
      <w:pPr>
        <w:tabs>
          <w:tab w:val="left" w:pos="720"/>
        </w:tabs>
        <w:spacing w:line="480" w:lineRule="auto"/>
        <w:ind w:left="720" w:hanging="720"/>
        <w:jc w:val="left"/>
      </w:pPr>
      <w:r w:rsidRPr="00E834A1">
        <w:t>A.</w:t>
      </w:r>
      <w:r w:rsidRPr="00E834A1">
        <w:tab/>
      </w:r>
      <w:r w:rsidR="003F2342">
        <w:t>As a res</w:t>
      </w:r>
      <w:r w:rsidR="009C5635">
        <w:t>ult of the Commission order in the Company’s 2010 general rate case, d</w:t>
      </w:r>
      <w:r w:rsidR="003F2342">
        <w:t>ocket UE-100749</w:t>
      </w:r>
      <w:r w:rsidR="00FF1185">
        <w:t xml:space="preserve"> (</w:t>
      </w:r>
      <w:r w:rsidR="004D2F9A">
        <w:t xml:space="preserve">2010 </w:t>
      </w:r>
      <w:r w:rsidR="00232229">
        <w:t>Rate Case</w:t>
      </w:r>
      <w:r w:rsidR="00FF1185">
        <w:t>)</w:t>
      </w:r>
      <w:r w:rsidR="003F2342">
        <w:t xml:space="preserve">, </w:t>
      </w:r>
      <w:r w:rsidR="002F5485">
        <w:t xml:space="preserve">50 percent of the </w:t>
      </w:r>
      <w:r>
        <w:t xml:space="preserve">cost of the </w:t>
      </w:r>
      <w:r w:rsidR="00B30AEF">
        <w:t xml:space="preserve">Idaho </w:t>
      </w:r>
      <w:r>
        <w:t xml:space="preserve">Power </w:t>
      </w:r>
      <w:r w:rsidR="00B30AEF">
        <w:t>200</w:t>
      </w:r>
      <w:r w:rsidR="007D6A89">
        <w:t xml:space="preserve"> MW point-to-p</w:t>
      </w:r>
      <w:r w:rsidR="00B30AEF">
        <w:t>oint wheeling contract</w:t>
      </w:r>
      <w:r>
        <w:t xml:space="preserve"> was </w:t>
      </w:r>
      <w:r w:rsidR="002F5485">
        <w:t>assigned to the WCA</w:t>
      </w:r>
      <w:r>
        <w:t>.</w:t>
      </w:r>
      <w:r w:rsidR="004B394A">
        <w:rPr>
          <w:rStyle w:val="FootnoteReference"/>
        </w:rPr>
        <w:footnoteReference w:id="1"/>
      </w:r>
      <w:r>
        <w:t xml:space="preserve">  </w:t>
      </w:r>
      <w:r w:rsidR="003F2342">
        <w:t xml:space="preserve">In that case, the transmission capacity </w:t>
      </w:r>
      <w:r w:rsidR="0047574B">
        <w:t>had been</w:t>
      </w:r>
      <w:r w:rsidR="003F2342">
        <w:t xml:space="preserve"> reduced by </w:t>
      </w:r>
      <w:r w:rsidR="00C0216C">
        <w:t>100</w:t>
      </w:r>
      <w:r w:rsidR="007D6A89">
        <w:t xml:space="preserve"> </w:t>
      </w:r>
      <w:r w:rsidR="00C0216C">
        <w:t xml:space="preserve">MW </w:t>
      </w:r>
      <w:r w:rsidR="00C0216C" w:rsidRPr="00C0216C">
        <w:t xml:space="preserve">to reflect </w:t>
      </w:r>
      <w:r w:rsidR="007D6A89">
        <w:t xml:space="preserve">the Company’s </w:t>
      </w:r>
      <w:r w:rsidR="003F2342">
        <w:t>ability to dynamically schedule</w:t>
      </w:r>
      <w:r w:rsidR="007D6A89">
        <w:t xml:space="preserve"> </w:t>
      </w:r>
      <w:r w:rsidR="00C0216C" w:rsidRPr="00C0216C">
        <w:t xml:space="preserve">and </w:t>
      </w:r>
      <w:r w:rsidR="007D6A89">
        <w:t xml:space="preserve">the </w:t>
      </w:r>
      <w:r w:rsidR="00C0216C" w:rsidRPr="00C0216C">
        <w:t>ability to transfer reserve capability from west to east</w:t>
      </w:r>
      <w:r w:rsidR="001240E9">
        <w:t>.</w:t>
      </w:r>
    </w:p>
    <w:p w:rsidR="001C4772" w:rsidRPr="001C4772" w:rsidRDefault="0047574B" w:rsidP="001C4772">
      <w:pPr>
        <w:tabs>
          <w:tab w:val="left" w:pos="720"/>
        </w:tabs>
        <w:spacing w:line="480" w:lineRule="auto"/>
        <w:ind w:left="720" w:hanging="720"/>
        <w:jc w:val="left"/>
      </w:pPr>
      <w:r>
        <w:tab/>
      </w:r>
      <w:r>
        <w:tab/>
      </w:r>
      <w:r w:rsidR="007D6A89">
        <w:t xml:space="preserve">In this </w:t>
      </w:r>
      <w:r w:rsidR="003F2342">
        <w:t>case</w:t>
      </w:r>
      <w:r w:rsidR="007D6A89">
        <w:t>, the</w:t>
      </w:r>
      <w:r w:rsidR="00C0216C">
        <w:t xml:space="preserve"> </w:t>
      </w:r>
      <w:r>
        <w:t>Company restored the full 2</w:t>
      </w:r>
      <w:r w:rsidR="00C0216C">
        <w:t>00</w:t>
      </w:r>
      <w:r w:rsidR="007D6A89">
        <w:t xml:space="preserve"> </w:t>
      </w:r>
      <w:r w:rsidR="00C0216C">
        <w:t xml:space="preserve">MW </w:t>
      </w:r>
      <w:r>
        <w:t xml:space="preserve">of </w:t>
      </w:r>
      <w:r w:rsidR="00C0216C">
        <w:t xml:space="preserve">transmission </w:t>
      </w:r>
      <w:r w:rsidR="003F2342">
        <w:t>capacity</w:t>
      </w:r>
      <w:r w:rsidR="00C0216C">
        <w:t xml:space="preserve">, which allows </w:t>
      </w:r>
      <w:r w:rsidR="00B30AEF">
        <w:t xml:space="preserve">additional output </w:t>
      </w:r>
      <w:r w:rsidR="003F2342">
        <w:t xml:space="preserve">from the Jim Bridger plant </w:t>
      </w:r>
      <w:r w:rsidR="00B30AEF">
        <w:t xml:space="preserve">to </w:t>
      </w:r>
      <w:r w:rsidR="00C0216C">
        <w:t xml:space="preserve">be moved to </w:t>
      </w:r>
      <w:r w:rsidR="00B30AEF">
        <w:t xml:space="preserve">the </w:t>
      </w:r>
      <w:r w:rsidR="006E29BC">
        <w:t>west</w:t>
      </w:r>
      <w:r w:rsidR="003F2342">
        <w:t xml:space="preserve">, and the </w:t>
      </w:r>
      <w:r>
        <w:t xml:space="preserve">Company included the </w:t>
      </w:r>
      <w:r w:rsidR="003F2342">
        <w:t xml:space="preserve">full cost of the </w:t>
      </w:r>
      <w:r w:rsidR="002477AD">
        <w:t xml:space="preserve">200 MW point-to-point </w:t>
      </w:r>
      <w:r w:rsidR="003F2342">
        <w:t xml:space="preserve">contract </w:t>
      </w:r>
      <w:r>
        <w:t xml:space="preserve">in </w:t>
      </w:r>
      <w:r w:rsidR="003F2342">
        <w:t>wheeling costs</w:t>
      </w:r>
      <w:r w:rsidR="001C45BD">
        <w:t xml:space="preserve">. </w:t>
      </w:r>
      <w:r w:rsidR="001240E9">
        <w:t xml:space="preserve"> </w:t>
      </w:r>
      <w:r w:rsidR="0079058F">
        <w:t>Washington w</w:t>
      </w:r>
      <w:r w:rsidR="003F2342">
        <w:t xml:space="preserve">heeling expense is increased </w:t>
      </w:r>
      <w:r w:rsidR="001240E9">
        <w:t xml:space="preserve">by </w:t>
      </w:r>
      <w:r w:rsidR="003F2342">
        <w:t xml:space="preserve">approximately </w:t>
      </w:r>
      <w:r w:rsidR="003F2342" w:rsidRPr="00852AEC">
        <w:t>$</w:t>
      </w:r>
      <w:r w:rsidR="00515778" w:rsidRPr="00852AEC">
        <w:t>0.5</w:t>
      </w:r>
      <w:r w:rsidR="001240E9">
        <w:t> </w:t>
      </w:r>
      <w:r w:rsidR="003F2342" w:rsidRPr="00852AEC">
        <w:t xml:space="preserve">million, but the </w:t>
      </w:r>
      <w:r w:rsidR="00BD3CB4" w:rsidRPr="00852AEC">
        <w:t xml:space="preserve">overall </w:t>
      </w:r>
      <w:r w:rsidR="003F2342" w:rsidRPr="00852AEC">
        <w:t xml:space="preserve">impact is a net reduction in </w:t>
      </w:r>
      <w:r w:rsidR="00515778" w:rsidRPr="00852AEC">
        <w:t>Washington</w:t>
      </w:r>
      <w:r w:rsidR="003F2342" w:rsidRPr="00852AEC">
        <w:t xml:space="preserve"> </w:t>
      </w:r>
      <w:r w:rsidRPr="00852AEC">
        <w:t xml:space="preserve">NPC </w:t>
      </w:r>
      <w:r w:rsidR="00BD3CB4" w:rsidRPr="00852AEC">
        <w:t>of approximately $</w:t>
      </w:r>
      <w:r w:rsidR="00515778" w:rsidRPr="00852AEC">
        <w:t>0</w:t>
      </w:r>
      <w:r w:rsidR="00BD3CB4" w:rsidRPr="00852AEC">
        <w:t xml:space="preserve">.2 million </w:t>
      </w:r>
      <w:r w:rsidR="003F2342" w:rsidRPr="00852AEC">
        <w:t>due to the additional low-priced energy availab</w:t>
      </w:r>
      <w:r w:rsidR="006E29BC" w:rsidRPr="00852AEC">
        <w:t xml:space="preserve">le from the Jim Bridger plant. </w:t>
      </w:r>
      <w:r w:rsidR="001240E9">
        <w:t xml:space="preserve"> </w:t>
      </w:r>
      <w:r w:rsidR="003F2342" w:rsidRPr="00852AEC">
        <w:t xml:space="preserve">The additional capacity increases the </w:t>
      </w:r>
      <w:r w:rsidR="002F5485">
        <w:t>WCA</w:t>
      </w:r>
      <w:r w:rsidR="003F2342" w:rsidRPr="00852AEC">
        <w:t xml:space="preserve"> proportion of the Jim Bridger plant output from 96.</w:t>
      </w:r>
      <w:r w:rsidR="00784ADF" w:rsidRPr="00852AEC">
        <w:t>5</w:t>
      </w:r>
      <w:r w:rsidR="003F2342" w:rsidRPr="00852AEC">
        <w:t xml:space="preserve"> percent to 99.</w:t>
      </w:r>
      <w:r w:rsidR="00784ADF" w:rsidRPr="00852AEC">
        <w:t>4</w:t>
      </w:r>
      <w:r w:rsidR="006E29BC">
        <w:t xml:space="preserve"> percent.  </w:t>
      </w:r>
      <w:r w:rsidR="003F2342" w:rsidRPr="00F75DD2">
        <w:t xml:space="preserve">As </w:t>
      </w:r>
      <w:r w:rsidR="001240E9">
        <w:t>presented in the direct testimony of</w:t>
      </w:r>
      <w:r w:rsidR="003F2342" w:rsidRPr="00F75DD2">
        <w:t xml:space="preserve"> </w:t>
      </w:r>
      <w:r w:rsidR="00CA5AD4" w:rsidRPr="00F75DD2">
        <w:t>Mr.</w:t>
      </w:r>
      <w:r w:rsidR="003F2342" w:rsidRPr="00F75DD2">
        <w:t xml:space="preserve"> Steve</w:t>
      </w:r>
      <w:r w:rsidR="00CA5AD4" w:rsidRPr="00F75DD2">
        <w:t>n</w:t>
      </w:r>
      <w:r w:rsidR="003F2342" w:rsidRPr="00F75DD2">
        <w:t xml:space="preserve"> </w:t>
      </w:r>
      <w:r w:rsidR="003665B5" w:rsidRPr="00F75DD2">
        <w:t xml:space="preserve">R. </w:t>
      </w:r>
      <w:r w:rsidR="003F2342" w:rsidRPr="00F75DD2">
        <w:t>McDougal, th</w:t>
      </w:r>
      <w:r w:rsidR="003F2342">
        <w:t>is ratio is applied to the fixed c</w:t>
      </w:r>
      <w:r w:rsidR="001240E9">
        <w:t>osts of the Jim Bridger plant.</w:t>
      </w:r>
      <w:r w:rsidR="001C4772">
        <w:rPr>
          <w:b/>
        </w:rPr>
        <w:br w:type="page"/>
      </w:r>
    </w:p>
    <w:p w:rsidR="003F2342" w:rsidRDefault="003F2342" w:rsidP="00301CF0">
      <w:pPr>
        <w:tabs>
          <w:tab w:val="left" w:pos="720"/>
        </w:tabs>
        <w:spacing w:line="480" w:lineRule="auto"/>
        <w:ind w:left="720" w:hanging="720"/>
        <w:jc w:val="left"/>
      </w:pPr>
      <w:r>
        <w:rPr>
          <w:b/>
        </w:rPr>
        <w:t>Q.</w:t>
      </w:r>
      <w:r>
        <w:rPr>
          <w:b/>
        </w:rPr>
        <w:tab/>
        <w:t xml:space="preserve">Why did the Company decide to include the entire 200 MW point-to-point wheeling contract with Idaho Power in the </w:t>
      </w:r>
      <w:r w:rsidR="002F5485">
        <w:rPr>
          <w:b/>
        </w:rPr>
        <w:t>WCA</w:t>
      </w:r>
      <w:r>
        <w:rPr>
          <w:b/>
        </w:rPr>
        <w:t>?</w:t>
      </w:r>
    </w:p>
    <w:p w:rsidR="006B6C93" w:rsidRDefault="006B6C93" w:rsidP="001240E9">
      <w:pPr>
        <w:widowControl/>
        <w:tabs>
          <w:tab w:val="left" w:pos="720"/>
        </w:tabs>
        <w:spacing w:line="480" w:lineRule="auto"/>
        <w:ind w:left="720" w:hanging="720"/>
        <w:jc w:val="left"/>
      </w:pPr>
      <w:r>
        <w:t>A.</w:t>
      </w:r>
      <w:r>
        <w:tab/>
        <w:t>If</w:t>
      </w:r>
      <w:r w:rsidR="00C0216C">
        <w:t xml:space="preserve"> </w:t>
      </w:r>
      <w:r w:rsidR="002F5485">
        <w:t>PACW</w:t>
      </w:r>
      <w:r w:rsidR="003F2342">
        <w:t xml:space="preserve"> were truly operated on a stand-alone basis as assumed by the</w:t>
      </w:r>
      <w:r w:rsidR="001C45BD">
        <w:t xml:space="preserve"> </w:t>
      </w:r>
      <w:r w:rsidR="00D1442E">
        <w:t>WCA</w:t>
      </w:r>
      <w:r w:rsidR="003F2342">
        <w:t xml:space="preserve">, </w:t>
      </w:r>
      <w:r w:rsidR="0047574B">
        <w:t xml:space="preserve">the Company would not use </w:t>
      </w:r>
      <w:r w:rsidR="00B30AEF">
        <w:t>dynamic scheduling to provide control to or receive control from</w:t>
      </w:r>
      <w:r w:rsidR="00D137A2">
        <w:t xml:space="preserve"> </w:t>
      </w:r>
      <w:r w:rsidR="002F5485">
        <w:t>PACE</w:t>
      </w:r>
      <w:r w:rsidR="001C45BD">
        <w:t xml:space="preserve">.  </w:t>
      </w:r>
      <w:r w:rsidR="00D137A2">
        <w:t xml:space="preserve">Rather, the </w:t>
      </w:r>
      <w:r w:rsidR="0047574B">
        <w:t xml:space="preserve">Company would use the </w:t>
      </w:r>
      <w:r w:rsidR="00D137A2">
        <w:t xml:space="preserve">full capacity to provide benefits to </w:t>
      </w:r>
      <w:r w:rsidR="002F5485">
        <w:t>PACW</w:t>
      </w:r>
      <w:r w:rsidR="00D137A2">
        <w:t xml:space="preserve">.  </w:t>
      </w:r>
      <w:r>
        <w:t xml:space="preserve">Including the total cost of the contract in the </w:t>
      </w:r>
      <w:r w:rsidR="002F5485">
        <w:t>WCA</w:t>
      </w:r>
      <w:r>
        <w:t xml:space="preserve"> along with its full capacity is consistent with </w:t>
      </w:r>
      <w:r w:rsidR="001240E9">
        <w:t>the Commission order</w:t>
      </w:r>
      <w:r>
        <w:t xml:space="preserve"> in </w:t>
      </w:r>
      <w:r w:rsidR="004D2F9A">
        <w:t xml:space="preserve">the 2010 </w:t>
      </w:r>
      <w:r w:rsidR="00232229">
        <w:t>Rate Case</w:t>
      </w:r>
      <w:r>
        <w:t>.</w:t>
      </w:r>
      <w:r>
        <w:rPr>
          <w:rStyle w:val="FootnoteReference"/>
        </w:rPr>
        <w:footnoteReference w:id="2"/>
      </w:r>
    </w:p>
    <w:p w:rsidR="00E15FC4" w:rsidRDefault="00E15FC4" w:rsidP="0079133E">
      <w:pPr>
        <w:pStyle w:val="Heading2"/>
        <w:spacing w:after="0" w:line="480" w:lineRule="auto"/>
      </w:pPr>
      <w:bookmarkStart w:id="6" w:name="_Toc345506033"/>
      <w:r w:rsidRPr="00E15FC4">
        <w:t xml:space="preserve">Exclusion of the </w:t>
      </w:r>
      <w:r w:rsidR="001C4772">
        <w:t>Assumed S</w:t>
      </w:r>
      <w:r w:rsidR="0079133E">
        <w:t xml:space="preserve">ale to </w:t>
      </w:r>
      <w:r w:rsidRPr="00E15FC4">
        <w:t>PACE</w:t>
      </w:r>
      <w:bookmarkEnd w:id="6"/>
    </w:p>
    <w:p w:rsidR="001C45BD" w:rsidRPr="00A20DD7" w:rsidRDefault="001C45BD" w:rsidP="001C4772">
      <w:pPr>
        <w:spacing w:line="480" w:lineRule="auto"/>
        <w:ind w:left="720" w:hanging="720"/>
        <w:jc w:val="left"/>
        <w:rPr>
          <w:b/>
        </w:rPr>
      </w:pPr>
      <w:r w:rsidRPr="00A20DD7">
        <w:rPr>
          <w:b/>
        </w:rPr>
        <w:t>Q.</w:t>
      </w:r>
      <w:r w:rsidRPr="00A20DD7">
        <w:rPr>
          <w:b/>
        </w:rPr>
        <w:tab/>
        <w:t xml:space="preserve">Why </w:t>
      </w:r>
      <w:r w:rsidR="00C12C4D" w:rsidRPr="00A20DD7">
        <w:rPr>
          <w:b/>
        </w:rPr>
        <w:t xml:space="preserve">did the Company remove </w:t>
      </w:r>
      <w:r w:rsidRPr="00A20DD7">
        <w:rPr>
          <w:b/>
        </w:rPr>
        <w:t xml:space="preserve">the </w:t>
      </w:r>
      <w:r w:rsidR="002F5485" w:rsidRPr="00A20DD7">
        <w:rPr>
          <w:b/>
        </w:rPr>
        <w:t xml:space="preserve">imputed </w:t>
      </w:r>
      <w:r w:rsidRPr="00A20DD7">
        <w:rPr>
          <w:b/>
        </w:rPr>
        <w:t xml:space="preserve">sale </w:t>
      </w:r>
      <w:r w:rsidR="00F82227" w:rsidRPr="00A20DD7">
        <w:rPr>
          <w:b/>
        </w:rPr>
        <w:t xml:space="preserve">from PACW </w:t>
      </w:r>
      <w:r w:rsidR="00B67C38" w:rsidRPr="00A20DD7">
        <w:rPr>
          <w:b/>
        </w:rPr>
        <w:t xml:space="preserve">to </w:t>
      </w:r>
      <w:r w:rsidR="0067068F" w:rsidRPr="00A20DD7">
        <w:rPr>
          <w:b/>
        </w:rPr>
        <w:t>PACE</w:t>
      </w:r>
      <w:r w:rsidR="002F5485" w:rsidRPr="00A20DD7">
        <w:rPr>
          <w:b/>
        </w:rPr>
        <w:t xml:space="preserve"> that exists under the </w:t>
      </w:r>
      <w:r w:rsidR="002E01C6">
        <w:rPr>
          <w:b/>
        </w:rPr>
        <w:t xml:space="preserve">current </w:t>
      </w:r>
      <w:r w:rsidR="002F5485" w:rsidRPr="00A20DD7">
        <w:rPr>
          <w:b/>
        </w:rPr>
        <w:t>WCA</w:t>
      </w:r>
      <w:r w:rsidRPr="00A20DD7">
        <w:rPr>
          <w:b/>
        </w:rPr>
        <w:t>?</w:t>
      </w:r>
    </w:p>
    <w:p w:rsidR="007B49CE" w:rsidRDefault="001C45BD" w:rsidP="00301CF0">
      <w:pPr>
        <w:tabs>
          <w:tab w:val="left" w:pos="720"/>
        </w:tabs>
        <w:spacing w:line="480" w:lineRule="auto"/>
        <w:ind w:left="720" w:hanging="720"/>
        <w:jc w:val="left"/>
      </w:pPr>
      <w:r w:rsidRPr="00E834A1">
        <w:t>A.</w:t>
      </w:r>
      <w:r w:rsidRPr="00E834A1">
        <w:tab/>
      </w:r>
      <w:r w:rsidR="00B67C38">
        <w:t>T</w:t>
      </w:r>
      <w:r>
        <w:t xml:space="preserve">he </w:t>
      </w:r>
      <w:r w:rsidR="00D1442E">
        <w:t>WCA</w:t>
      </w:r>
      <w:r w:rsidR="00B67C38">
        <w:t xml:space="preserve"> is based on the assumption that</w:t>
      </w:r>
      <w:r>
        <w:t xml:space="preserve"> </w:t>
      </w:r>
      <w:r w:rsidR="0067068F">
        <w:t>PACE does not exist</w:t>
      </w:r>
      <w:r w:rsidR="00B67C38">
        <w:t>.</w:t>
      </w:r>
      <w:r>
        <w:t xml:space="preserve">  Since </w:t>
      </w:r>
      <w:r w:rsidR="0082133A">
        <w:t xml:space="preserve">the </w:t>
      </w:r>
      <w:r w:rsidR="00D1442E">
        <w:t>WCA</w:t>
      </w:r>
      <w:r w:rsidR="00A55A85">
        <w:t xml:space="preserve"> </w:t>
      </w:r>
      <w:r>
        <w:t xml:space="preserve">does not </w:t>
      </w:r>
      <w:r w:rsidR="0082133A">
        <w:t xml:space="preserve">recognize </w:t>
      </w:r>
      <w:r>
        <w:t xml:space="preserve">any transmission </w:t>
      </w:r>
      <w:r w:rsidR="0082133A">
        <w:t xml:space="preserve">rights or </w:t>
      </w:r>
      <w:r>
        <w:t xml:space="preserve">costs outside of </w:t>
      </w:r>
      <w:r w:rsidR="0082133A">
        <w:t xml:space="preserve">the </w:t>
      </w:r>
      <w:r w:rsidR="002F5485">
        <w:t>WCA</w:t>
      </w:r>
      <w:r>
        <w:t xml:space="preserve">, </w:t>
      </w:r>
      <w:r w:rsidR="00F82227">
        <w:t xml:space="preserve">GRID assumes </w:t>
      </w:r>
      <w:r w:rsidR="00B67C38">
        <w:t>the Company buy</w:t>
      </w:r>
      <w:r w:rsidR="00F82227">
        <w:t>s</w:t>
      </w:r>
      <w:r w:rsidR="00B67C38">
        <w:t xml:space="preserve"> and sell</w:t>
      </w:r>
      <w:r w:rsidR="00F82227">
        <w:t>s</w:t>
      </w:r>
      <w:r w:rsidR="00B67C38">
        <w:t xml:space="preserve"> </w:t>
      </w:r>
      <w:r>
        <w:t xml:space="preserve">power at markets in </w:t>
      </w:r>
      <w:r w:rsidR="00B67C38">
        <w:t xml:space="preserve">the </w:t>
      </w:r>
      <w:r w:rsidR="002F5485">
        <w:t>WCA</w:t>
      </w:r>
      <w:r w:rsidR="00B67C38">
        <w:t xml:space="preserve"> only</w:t>
      </w:r>
      <w:r w:rsidR="001240E9">
        <w:t>—</w:t>
      </w:r>
      <w:r>
        <w:t>Mid-C</w:t>
      </w:r>
      <w:r w:rsidR="00D137A2">
        <w:t>olumbia</w:t>
      </w:r>
      <w:r w:rsidR="00B67C38">
        <w:t xml:space="preserve"> (Mid-C)</w:t>
      </w:r>
      <w:r w:rsidR="00D137A2">
        <w:t>,</w:t>
      </w:r>
      <w:r>
        <w:t xml:space="preserve"> </w:t>
      </w:r>
      <w:r w:rsidR="00D137A2">
        <w:t>California-Oregon Border (COB), and Nevada-Oregon Border (NOB)</w:t>
      </w:r>
      <w:r>
        <w:t xml:space="preserve">. </w:t>
      </w:r>
      <w:r w:rsidR="001240E9">
        <w:t xml:space="preserve"> </w:t>
      </w:r>
      <w:r w:rsidR="00B67C38">
        <w:t xml:space="preserve">While there are </w:t>
      </w:r>
      <w:r w:rsidR="00A55A85">
        <w:t>l</w:t>
      </w:r>
      <w:r w:rsidR="00D137A2">
        <w:t xml:space="preserve">imited interconnection points between </w:t>
      </w:r>
      <w:r w:rsidR="00F82227">
        <w:t>balancing authority areas</w:t>
      </w:r>
      <w:r w:rsidR="00B67C38">
        <w:t xml:space="preserve"> (</w:t>
      </w:r>
      <w:r w:rsidR="00B67C38" w:rsidRPr="001240E9">
        <w:t>e.g.</w:t>
      </w:r>
      <w:r w:rsidR="001240E9" w:rsidRPr="001240E9">
        <w:t>,</w:t>
      </w:r>
      <w:r w:rsidR="00B67C38">
        <w:t xml:space="preserve"> </w:t>
      </w:r>
      <w:r w:rsidR="00D137A2">
        <w:t xml:space="preserve">Jim Bridger plant in Wyoming or the </w:t>
      </w:r>
      <w:proofErr w:type="spellStart"/>
      <w:r w:rsidR="00D137A2">
        <w:t>Populus</w:t>
      </w:r>
      <w:proofErr w:type="spellEnd"/>
      <w:r w:rsidR="00D137A2">
        <w:t xml:space="preserve"> substation in Idaho</w:t>
      </w:r>
      <w:r w:rsidR="00B67C38">
        <w:t>)</w:t>
      </w:r>
      <w:r w:rsidR="00D137A2">
        <w:t xml:space="preserve">, </w:t>
      </w:r>
      <w:r w:rsidR="0082133A">
        <w:t>t</w:t>
      </w:r>
      <w:r>
        <w:t xml:space="preserve">here are no </w:t>
      </w:r>
      <w:r w:rsidR="00D137A2">
        <w:t xml:space="preserve">functioning </w:t>
      </w:r>
      <w:r>
        <w:t xml:space="preserve">markets at </w:t>
      </w:r>
      <w:r w:rsidR="0082133A">
        <w:t xml:space="preserve">these </w:t>
      </w:r>
      <w:r>
        <w:t>points</w:t>
      </w:r>
      <w:r w:rsidR="00C12C4D">
        <w:t xml:space="preserve">.  There is </w:t>
      </w:r>
      <w:r w:rsidR="00EF1473">
        <w:t xml:space="preserve">thus </w:t>
      </w:r>
      <w:r w:rsidR="00C12C4D">
        <w:t xml:space="preserve">no realistic basis for imputing a sale from </w:t>
      </w:r>
      <w:r w:rsidR="00C57518">
        <w:t>PACW to PACE</w:t>
      </w:r>
      <w:r w:rsidR="00C12C4D">
        <w:t xml:space="preserve">, </w:t>
      </w:r>
      <w:r w:rsidR="00C22F61">
        <w:t>or any</w:t>
      </w:r>
      <w:r w:rsidR="00C12C4D">
        <w:t xml:space="preserve"> foundation for modeling the size or price </w:t>
      </w:r>
      <w:r w:rsidR="00F82227">
        <w:t>of</w:t>
      </w:r>
      <w:r w:rsidR="00C12C4D">
        <w:t xml:space="preserve"> such a sale.</w:t>
      </w:r>
    </w:p>
    <w:p w:rsidR="007B49CE" w:rsidRPr="00F976EB" w:rsidRDefault="007B49CE" w:rsidP="00301CF0">
      <w:pPr>
        <w:tabs>
          <w:tab w:val="left" w:pos="720"/>
        </w:tabs>
        <w:spacing w:line="480" w:lineRule="auto"/>
        <w:ind w:left="720" w:hanging="720"/>
        <w:jc w:val="left"/>
        <w:rPr>
          <w:b/>
        </w:rPr>
      </w:pPr>
      <w:proofErr w:type="gramStart"/>
      <w:r w:rsidRPr="00F976EB">
        <w:rPr>
          <w:b/>
        </w:rPr>
        <w:t>Q.</w:t>
      </w:r>
      <w:r w:rsidRPr="00F976EB">
        <w:rPr>
          <w:b/>
        </w:rPr>
        <w:tab/>
        <w:t xml:space="preserve">Is a sale </w:t>
      </w:r>
      <w:r w:rsidR="00F82227">
        <w:rPr>
          <w:b/>
        </w:rPr>
        <w:t>from PACW t</w:t>
      </w:r>
      <w:r w:rsidR="00C12C4D">
        <w:rPr>
          <w:b/>
        </w:rPr>
        <w:t xml:space="preserve">o </w:t>
      </w:r>
      <w:r w:rsidR="002F5485">
        <w:rPr>
          <w:b/>
        </w:rPr>
        <w:t>PACE</w:t>
      </w:r>
      <w:r w:rsidR="00C12C4D">
        <w:rPr>
          <w:b/>
        </w:rPr>
        <w:t xml:space="preserve"> </w:t>
      </w:r>
      <w:r w:rsidRPr="00F976EB">
        <w:rPr>
          <w:b/>
        </w:rPr>
        <w:t>recognized in actual NPC on the Company’s books?</w:t>
      </w:r>
      <w:proofErr w:type="gramEnd"/>
    </w:p>
    <w:p w:rsidR="00F75DD2" w:rsidRPr="00F75DD2" w:rsidRDefault="007B49CE" w:rsidP="00F75DD2">
      <w:pPr>
        <w:tabs>
          <w:tab w:val="left" w:pos="720"/>
        </w:tabs>
        <w:spacing w:line="480" w:lineRule="auto"/>
        <w:ind w:left="720" w:hanging="720"/>
        <w:jc w:val="left"/>
      </w:pPr>
      <w:r>
        <w:t>A.</w:t>
      </w:r>
      <w:r>
        <w:tab/>
        <w:t xml:space="preserve">No.  There is no transaction booked to account for a sale of energy from </w:t>
      </w:r>
      <w:r w:rsidR="002F5485">
        <w:t>PACW</w:t>
      </w:r>
      <w:r>
        <w:t xml:space="preserve"> to </w:t>
      </w:r>
      <w:r w:rsidR="002F5485">
        <w:t>PACE</w:t>
      </w:r>
      <w:r>
        <w:t xml:space="preserve">.  </w:t>
      </w:r>
      <w:r w:rsidR="00612A6E">
        <w:t xml:space="preserve">As discussed below, the Company </w:t>
      </w:r>
      <w:r w:rsidR="004606BE">
        <w:t xml:space="preserve">has </w:t>
      </w:r>
      <w:r w:rsidR="00612A6E">
        <w:t xml:space="preserve">followed the </w:t>
      </w:r>
      <w:r w:rsidR="00C12C4D">
        <w:t xml:space="preserve">Commission’s directive in the </w:t>
      </w:r>
      <w:r w:rsidR="00F82227">
        <w:t>Company’s general rate case, docket UE-061546 (</w:t>
      </w:r>
      <w:r w:rsidR="00C12C4D">
        <w:t xml:space="preserve">2006 </w:t>
      </w:r>
      <w:r w:rsidR="00232229">
        <w:t>Rate Case</w:t>
      </w:r>
      <w:r w:rsidR="00F82227">
        <w:t>)</w:t>
      </w:r>
      <w:r w:rsidR="00612A6E">
        <w:t xml:space="preserve"> and</w:t>
      </w:r>
      <w:r w:rsidR="00C12C4D">
        <w:t xml:space="preserve"> developed an approach to the calculation of actual NPC for its PCAM proposal that relies on per books data, not “pseudo-actual” data.  </w:t>
      </w:r>
      <w:r w:rsidR="00612A6E">
        <w:t>This calcula</w:t>
      </w:r>
      <w:r w:rsidR="00C12C4D">
        <w:t xml:space="preserve">tion does not include an imputed sale </w:t>
      </w:r>
      <w:r w:rsidR="002F5485">
        <w:t xml:space="preserve">between </w:t>
      </w:r>
      <w:r w:rsidR="00F82227">
        <w:t>PACW and PACE</w:t>
      </w:r>
      <w:r w:rsidR="00C12C4D">
        <w:t xml:space="preserve">. </w:t>
      </w:r>
      <w:r w:rsidR="006E29BC">
        <w:t xml:space="preserve"> </w:t>
      </w:r>
      <w:r w:rsidR="00C12C4D">
        <w:t>I</w:t>
      </w:r>
      <w:r>
        <w:t xml:space="preserve">t would be </w:t>
      </w:r>
      <w:r w:rsidR="00C12C4D">
        <w:t xml:space="preserve">inconsistent </w:t>
      </w:r>
      <w:r>
        <w:t xml:space="preserve">to impute </w:t>
      </w:r>
      <w:r w:rsidR="00612A6E">
        <w:t xml:space="preserve">a </w:t>
      </w:r>
      <w:r>
        <w:t xml:space="preserve">sale in pro forma </w:t>
      </w:r>
      <w:r w:rsidR="00C12C4D">
        <w:t>NPC</w:t>
      </w:r>
      <w:r>
        <w:t xml:space="preserve"> only to remove it when NPC are trued-up to actua</w:t>
      </w:r>
      <w:r w:rsidR="00F75DD2">
        <w:t>l costs on the Company’s books.</w:t>
      </w:r>
    </w:p>
    <w:p w:rsidR="006E29BC" w:rsidRPr="00852AEC" w:rsidRDefault="007B49CE" w:rsidP="00F82227">
      <w:pPr>
        <w:keepNext/>
        <w:tabs>
          <w:tab w:val="left" w:pos="720"/>
        </w:tabs>
        <w:spacing w:line="480" w:lineRule="auto"/>
        <w:ind w:left="720" w:hanging="720"/>
        <w:jc w:val="left"/>
        <w:rPr>
          <w:b/>
        </w:rPr>
      </w:pPr>
      <w:r w:rsidRPr="00F976EB">
        <w:rPr>
          <w:b/>
        </w:rPr>
        <w:t>Q.</w:t>
      </w:r>
      <w:r w:rsidRPr="00F976EB">
        <w:rPr>
          <w:b/>
        </w:rPr>
        <w:tab/>
        <w:t xml:space="preserve">What </w:t>
      </w:r>
      <w:r w:rsidR="00612A6E">
        <w:rPr>
          <w:b/>
        </w:rPr>
        <w:t xml:space="preserve">is the NPC impact of removing the </w:t>
      </w:r>
      <w:r w:rsidR="002F5485">
        <w:rPr>
          <w:b/>
        </w:rPr>
        <w:t xml:space="preserve">imputed </w:t>
      </w:r>
      <w:r w:rsidR="0067068F">
        <w:rPr>
          <w:b/>
        </w:rPr>
        <w:t xml:space="preserve">sale </w:t>
      </w:r>
      <w:r w:rsidR="00F82227">
        <w:rPr>
          <w:b/>
        </w:rPr>
        <w:t xml:space="preserve">from PACW </w:t>
      </w:r>
      <w:r w:rsidR="0067068F">
        <w:rPr>
          <w:b/>
        </w:rPr>
        <w:t>to PACE</w:t>
      </w:r>
      <w:r w:rsidR="00F82227">
        <w:rPr>
          <w:b/>
        </w:rPr>
        <w:t>?</w:t>
      </w:r>
    </w:p>
    <w:p w:rsidR="00FC100A" w:rsidRPr="00852AEC" w:rsidRDefault="007B49CE" w:rsidP="00604CC2">
      <w:pPr>
        <w:widowControl/>
        <w:tabs>
          <w:tab w:val="left" w:pos="720"/>
        </w:tabs>
        <w:spacing w:line="480" w:lineRule="auto"/>
        <w:ind w:left="720" w:hanging="720"/>
        <w:jc w:val="left"/>
      </w:pPr>
      <w:r w:rsidRPr="00852AEC">
        <w:t>A.</w:t>
      </w:r>
      <w:r w:rsidRPr="00852AEC">
        <w:tab/>
      </w:r>
      <w:r w:rsidR="00612A6E" w:rsidRPr="00852AEC">
        <w:t>Removing the sale increases</w:t>
      </w:r>
      <w:r w:rsidRPr="00852AEC">
        <w:t xml:space="preserve"> pro forma </w:t>
      </w:r>
      <w:r w:rsidR="00612A6E" w:rsidRPr="00852AEC">
        <w:t xml:space="preserve">Washington </w:t>
      </w:r>
      <w:r w:rsidRPr="00852AEC">
        <w:t xml:space="preserve">NPC </w:t>
      </w:r>
      <w:r w:rsidR="00612A6E" w:rsidRPr="00852AEC">
        <w:t xml:space="preserve">by </w:t>
      </w:r>
      <w:r w:rsidRPr="00852AEC">
        <w:t>approximately</w:t>
      </w:r>
      <w:r w:rsidR="00F82227">
        <w:br/>
      </w:r>
      <w:r w:rsidRPr="00852AEC">
        <w:t>$</w:t>
      </w:r>
      <w:r w:rsidR="00515778" w:rsidRPr="00852AEC">
        <w:t>0.3</w:t>
      </w:r>
      <w:r w:rsidR="00F82227">
        <w:t xml:space="preserve"> million.</w:t>
      </w:r>
    </w:p>
    <w:p w:rsidR="008010C2" w:rsidRDefault="008010C2" w:rsidP="008010C2">
      <w:pPr>
        <w:pStyle w:val="Heading1"/>
      </w:pPr>
      <w:bookmarkStart w:id="7" w:name="_Toc345506034"/>
      <w:r>
        <w:t>PRO FORMA NPC</w:t>
      </w:r>
      <w:bookmarkEnd w:id="7"/>
    </w:p>
    <w:p w:rsidR="00C8233A" w:rsidRPr="00852AEC" w:rsidRDefault="008010C2" w:rsidP="008010C2">
      <w:pPr>
        <w:pStyle w:val="Heading2"/>
      </w:pPr>
      <w:bookmarkStart w:id="8" w:name="_Toc345506035"/>
      <w:r>
        <w:t>Overview</w:t>
      </w:r>
      <w:bookmarkEnd w:id="8"/>
    </w:p>
    <w:p w:rsidR="005F3876" w:rsidRPr="00852AEC" w:rsidRDefault="005F3876" w:rsidP="00BA0859">
      <w:pPr>
        <w:spacing w:line="480" w:lineRule="auto"/>
        <w:jc w:val="left"/>
        <w:rPr>
          <w:b/>
        </w:rPr>
      </w:pPr>
      <w:r w:rsidRPr="00852AEC">
        <w:rPr>
          <w:b/>
        </w:rPr>
        <w:t>Q.</w:t>
      </w:r>
      <w:r w:rsidRPr="00852AEC">
        <w:tab/>
      </w:r>
      <w:r w:rsidRPr="00852AEC">
        <w:rPr>
          <w:b/>
        </w:rPr>
        <w:t>Please provide an overview of NPC in the Company’s filing.</w:t>
      </w:r>
    </w:p>
    <w:p w:rsidR="005F7343" w:rsidRDefault="005F3876" w:rsidP="00BD2328">
      <w:pPr>
        <w:pStyle w:val="BodyTextIndent"/>
        <w:jc w:val="left"/>
      </w:pPr>
      <w:r w:rsidRPr="00852AEC">
        <w:t>A.</w:t>
      </w:r>
      <w:r w:rsidRPr="00852AEC">
        <w:tab/>
        <w:t>The pro forma NPC for the test period are approximately $580.6 million for the</w:t>
      </w:r>
      <w:r w:rsidRPr="00E834A1">
        <w:t xml:space="preserve"> Company’s </w:t>
      </w:r>
      <w:r w:rsidR="0067068F">
        <w:t>PACW</w:t>
      </w:r>
      <w:r w:rsidRPr="00E834A1">
        <w:t xml:space="preserve">.  As discussed in </w:t>
      </w:r>
      <w:r w:rsidR="003665B5">
        <w:t>M</w:t>
      </w:r>
      <w:r w:rsidR="003665B5" w:rsidRPr="0022334D">
        <w:t>r.</w:t>
      </w:r>
      <w:r w:rsidR="00232229">
        <w:t xml:space="preserve"> </w:t>
      </w:r>
      <w:r w:rsidRPr="0022334D">
        <w:t>McDougal’s dire</w:t>
      </w:r>
      <w:r w:rsidRPr="00E834A1">
        <w:t>ct testimony, the Washington</w:t>
      </w:r>
      <w:r w:rsidR="0079133E">
        <w:t xml:space="preserve"> </w:t>
      </w:r>
      <w:r w:rsidR="002E01C6">
        <w:t>NPC</w:t>
      </w:r>
      <w:r w:rsidRPr="00E834A1">
        <w:t xml:space="preserve"> </w:t>
      </w:r>
      <w:proofErr w:type="gramStart"/>
      <w:r w:rsidRPr="00E834A1">
        <w:t>are</w:t>
      </w:r>
      <w:proofErr w:type="gramEnd"/>
      <w:r w:rsidRPr="00E834A1">
        <w:t xml:space="preserve"> </w:t>
      </w:r>
      <w:r w:rsidRPr="00852AEC">
        <w:t>approximately $131.</w:t>
      </w:r>
      <w:r w:rsidR="0082133A" w:rsidRPr="00852AEC">
        <w:t>4</w:t>
      </w:r>
      <w:r w:rsidRPr="00852AEC">
        <w:t xml:space="preserve"> million</w:t>
      </w:r>
      <w:r w:rsidR="00F82227">
        <w:t xml:space="preserve"> before applying</w:t>
      </w:r>
      <w:r w:rsidR="0082133A" w:rsidRPr="00852AEC">
        <w:t xml:space="preserve"> the production factor</w:t>
      </w:r>
      <w:r w:rsidRPr="00852AEC">
        <w:t>.</w:t>
      </w:r>
      <w:r w:rsidR="00612A6E" w:rsidRPr="00852AEC">
        <w:rPr>
          <w:rStyle w:val="FootnoteReference"/>
        </w:rPr>
        <w:footnoteReference w:id="3"/>
      </w:r>
      <w:r w:rsidRPr="00852AEC">
        <w:t xml:space="preserve"> </w:t>
      </w:r>
      <w:r w:rsidR="0082133A" w:rsidRPr="00852AEC">
        <w:t xml:space="preserve"> </w:t>
      </w:r>
      <w:r w:rsidRPr="00852AEC">
        <w:t xml:space="preserve">NPC are determined using pro forma expenses and revenues for the calendar year 2014 (the approximate period when rates from this case will be in effect).  </w:t>
      </w:r>
      <w:r w:rsidR="007267C8" w:rsidRPr="00852AEC">
        <w:t>O</w:t>
      </w:r>
      <w:r w:rsidRPr="00852AEC">
        <w:t xml:space="preserve">nly costs and benefits attributed to the </w:t>
      </w:r>
      <w:r w:rsidR="002F5485">
        <w:t>WCA</w:t>
      </w:r>
      <w:r w:rsidRPr="00852AEC">
        <w:t xml:space="preserve"> are included, and the resulting NPC </w:t>
      </w:r>
      <w:r w:rsidR="0079058F">
        <w:t>are</w:t>
      </w:r>
      <w:r w:rsidRPr="00852AEC">
        <w:t xml:space="preserve"> then allocated to Washington under the </w:t>
      </w:r>
      <w:r w:rsidR="00D1442E">
        <w:t>WCA</w:t>
      </w:r>
      <w:r w:rsidR="007267C8" w:rsidRPr="00852AEC">
        <w:t xml:space="preserve">, revised as </w:t>
      </w:r>
    </w:p>
    <w:p w:rsidR="005F3876" w:rsidRDefault="005F7343" w:rsidP="00BA0859">
      <w:pPr>
        <w:pStyle w:val="BodyTextIndent"/>
        <w:jc w:val="left"/>
      </w:pPr>
      <w:r>
        <w:tab/>
      </w:r>
      <w:proofErr w:type="gramStart"/>
      <w:r w:rsidR="007267C8" w:rsidRPr="00852AEC">
        <w:t>discussed</w:t>
      </w:r>
      <w:proofErr w:type="gramEnd"/>
      <w:r w:rsidR="007267C8" w:rsidRPr="00852AEC">
        <w:t xml:space="preserve"> above</w:t>
      </w:r>
      <w:r w:rsidR="005F3876" w:rsidRPr="00852AEC">
        <w:t>.  A report detailing</w:t>
      </w:r>
      <w:r w:rsidR="006E29BC" w:rsidRPr="00852AEC">
        <w:t xml:space="preserve"> the</w:t>
      </w:r>
      <w:r w:rsidR="00A80C45" w:rsidRPr="00852AEC">
        <w:t xml:space="preserve"> NPC</w:t>
      </w:r>
      <w:r w:rsidR="005F3876" w:rsidRPr="00852AEC">
        <w:t xml:space="preserve"> </w:t>
      </w:r>
      <w:r w:rsidR="00A80C45" w:rsidRPr="00852AEC">
        <w:t xml:space="preserve">forecast </w:t>
      </w:r>
      <w:r w:rsidR="005F3876" w:rsidRPr="00852AEC">
        <w:t xml:space="preserve">on a </w:t>
      </w:r>
      <w:r w:rsidR="002F5485">
        <w:t>WCA</w:t>
      </w:r>
      <w:r w:rsidR="005F3876">
        <w:t xml:space="preserve"> basis is attached to my testimony </w:t>
      </w:r>
      <w:r w:rsidR="005F3876" w:rsidRPr="001C4772">
        <w:t>as Exhibit No.__</w:t>
      </w:r>
      <w:proofErr w:type="gramStart"/>
      <w:r w:rsidR="005F3876" w:rsidRPr="001C4772">
        <w:t>_(</w:t>
      </w:r>
      <w:proofErr w:type="gramEnd"/>
      <w:r w:rsidR="005F3876" w:rsidRPr="001C4772">
        <w:t>GND-2).</w:t>
      </w:r>
    </w:p>
    <w:p w:rsidR="009214CC" w:rsidRPr="00E834A1" w:rsidRDefault="009214CC" w:rsidP="009214CC">
      <w:pPr>
        <w:pStyle w:val="BodyTextIndent2"/>
        <w:widowControl/>
        <w:numPr>
          <w:ilvl w:val="0"/>
          <w:numId w:val="2"/>
        </w:numPr>
        <w:tabs>
          <w:tab w:val="left" w:pos="720"/>
        </w:tabs>
        <w:adjustRightInd/>
        <w:jc w:val="left"/>
        <w:textAlignment w:val="auto"/>
        <w:rPr>
          <w:b/>
        </w:rPr>
      </w:pPr>
      <w:r w:rsidRPr="00E834A1">
        <w:rPr>
          <w:b/>
        </w:rPr>
        <w:t xml:space="preserve">Please explain </w:t>
      </w:r>
      <w:r w:rsidR="00F82227">
        <w:rPr>
          <w:b/>
        </w:rPr>
        <w:t>NPC</w:t>
      </w:r>
      <w:r w:rsidRPr="00E834A1">
        <w:rPr>
          <w:b/>
        </w:rPr>
        <w:t>.</w:t>
      </w:r>
    </w:p>
    <w:p w:rsidR="00553C64" w:rsidRPr="00553C64" w:rsidRDefault="00F82227" w:rsidP="00553C64">
      <w:pPr>
        <w:pStyle w:val="BodyTextIndent2"/>
        <w:widowControl/>
        <w:numPr>
          <w:ilvl w:val="0"/>
          <w:numId w:val="18"/>
        </w:numPr>
        <w:tabs>
          <w:tab w:val="clear" w:pos="720"/>
        </w:tabs>
        <w:adjustRightInd/>
        <w:ind w:hanging="720"/>
        <w:jc w:val="left"/>
        <w:textAlignment w:val="auto"/>
      </w:pPr>
      <w:r>
        <w:t>NPC</w:t>
      </w:r>
      <w:r w:rsidR="009214CC" w:rsidRPr="00E834A1">
        <w:t xml:space="preserve"> are defined as the sum of fuel expenses, wholesale purchase power expenses and wheeling expenses, less wholesale sales revenue.</w:t>
      </w:r>
      <w:r w:rsidR="009214CC">
        <w:t xml:space="preserve"> </w:t>
      </w:r>
      <w:r w:rsidR="009214CC" w:rsidRPr="009214CC">
        <w:t xml:space="preserve"> </w:t>
      </w:r>
      <w:r w:rsidR="009214CC">
        <w:t>NPC</w:t>
      </w:r>
      <w:r w:rsidR="009214CC" w:rsidRPr="00C464F8">
        <w:t xml:space="preserve"> are calculated for </w:t>
      </w:r>
      <w:r w:rsidR="009214CC">
        <w:t xml:space="preserve">calendar year 2014 </w:t>
      </w:r>
      <w:r w:rsidR="009214CC" w:rsidRPr="00C464F8">
        <w:t>based on projected data using GRID, a production cost model that simulates the operation of the Company’s power system on an hourly basis.</w:t>
      </w:r>
    </w:p>
    <w:p w:rsidR="005F3876" w:rsidRPr="00E834A1" w:rsidRDefault="005F3876" w:rsidP="00553C64">
      <w:pPr>
        <w:pStyle w:val="BodyTextIndent"/>
        <w:tabs>
          <w:tab w:val="clear" w:pos="720"/>
        </w:tabs>
        <w:jc w:val="left"/>
        <w:rPr>
          <w:b/>
        </w:rPr>
      </w:pPr>
      <w:r w:rsidRPr="00E834A1">
        <w:rPr>
          <w:b/>
        </w:rPr>
        <w:t>Q.</w:t>
      </w:r>
      <w:r w:rsidRPr="00E834A1">
        <w:rPr>
          <w:b/>
        </w:rPr>
        <w:tab/>
        <w:t xml:space="preserve">How do the pro forma </w:t>
      </w:r>
      <w:r>
        <w:rPr>
          <w:b/>
        </w:rPr>
        <w:t>NPC</w:t>
      </w:r>
      <w:r w:rsidRPr="00E834A1">
        <w:rPr>
          <w:b/>
        </w:rPr>
        <w:t xml:space="preserve"> in this proceeding compare to the </w:t>
      </w:r>
      <w:r>
        <w:rPr>
          <w:b/>
        </w:rPr>
        <w:t xml:space="preserve">NPC </w:t>
      </w:r>
      <w:r w:rsidRPr="00E834A1">
        <w:rPr>
          <w:b/>
        </w:rPr>
        <w:t xml:space="preserve">authorized in the </w:t>
      </w:r>
      <w:r>
        <w:rPr>
          <w:b/>
        </w:rPr>
        <w:t>Company’s 2011</w:t>
      </w:r>
      <w:r w:rsidRPr="00E834A1">
        <w:rPr>
          <w:b/>
        </w:rPr>
        <w:t xml:space="preserve"> </w:t>
      </w:r>
      <w:r w:rsidR="00232229">
        <w:rPr>
          <w:b/>
        </w:rPr>
        <w:t>Rate Case</w:t>
      </w:r>
      <w:r w:rsidRPr="00E834A1">
        <w:rPr>
          <w:b/>
        </w:rPr>
        <w:t>?</w:t>
      </w:r>
    </w:p>
    <w:p w:rsidR="005F3876" w:rsidRDefault="005F3876" w:rsidP="00553C64">
      <w:pPr>
        <w:pStyle w:val="BodyTextIndent"/>
        <w:tabs>
          <w:tab w:val="clear" w:pos="720"/>
        </w:tabs>
        <w:jc w:val="left"/>
      </w:pPr>
      <w:r w:rsidRPr="00E834A1">
        <w:t>A.</w:t>
      </w:r>
      <w:r w:rsidRPr="00E834A1">
        <w:tab/>
        <w:t xml:space="preserve">The pro forma </w:t>
      </w:r>
      <w:r w:rsidR="0079058F">
        <w:t xml:space="preserve">Washington </w:t>
      </w:r>
      <w:r>
        <w:t>NPC</w:t>
      </w:r>
      <w:r w:rsidRPr="00E834A1">
        <w:t xml:space="preserve"> in the current proceeding are </w:t>
      </w:r>
      <w:proofErr w:type="gramStart"/>
      <w:r w:rsidRPr="00852AEC">
        <w:t>approximately</w:t>
      </w:r>
      <w:r w:rsidR="0079133E">
        <w:t xml:space="preserve"> </w:t>
      </w:r>
      <w:r w:rsidRPr="00852AEC">
        <w:t xml:space="preserve"> $</w:t>
      </w:r>
      <w:proofErr w:type="gramEnd"/>
      <w:r w:rsidR="003F2C11">
        <w:t>7.5</w:t>
      </w:r>
      <w:r w:rsidRPr="00852AEC">
        <w:t xml:space="preserve"> million higher than the level authorized by the Commission in the Company’s 2011 </w:t>
      </w:r>
      <w:r w:rsidR="00232229">
        <w:t>Rate Case</w:t>
      </w:r>
      <w:r w:rsidR="00780238">
        <w:t>.</w:t>
      </w:r>
    </w:p>
    <w:p w:rsidR="00F41651" w:rsidRPr="00E834A1" w:rsidRDefault="00F41651" w:rsidP="00301CF0">
      <w:pPr>
        <w:pStyle w:val="BodyTextIndent2"/>
        <w:jc w:val="left"/>
        <w:rPr>
          <w:b/>
        </w:rPr>
      </w:pPr>
      <w:r w:rsidRPr="00E834A1">
        <w:rPr>
          <w:b/>
        </w:rPr>
        <w:t>Q.</w:t>
      </w:r>
      <w:r w:rsidRPr="00E834A1">
        <w:rPr>
          <w:b/>
        </w:rPr>
        <w:tab/>
        <w:t xml:space="preserve">Is the Company’s general approach to the calculation of </w:t>
      </w:r>
      <w:r w:rsidR="007267C8">
        <w:rPr>
          <w:b/>
        </w:rPr>
        <w:t>NPC</w:t>
      </w:r>
      <w:r w:rsidRPr="00E834A1">
        <w:rPr>
          <w:b/>
        </w:rPr>
        <w:t xml:space="preserve"> using the GRID model the same in this case as in the</w:t>
      </w:r>
      <w:r>
        <w:rPr>
          <w:b/>
        </w:rPr>
        <w:t xml:space="preserve"> Company’s</w:t>
      </w:r>
      <w:r w:rsidRPr="00E834A1">
        <w:rPr>
          <w:b/>
        </w:rPr>
        <w:t xml:space="preserve"> </w:t>
      </w:r>
      <w:r>
        <w:rPr>
          <w:b/>
        </w:rPr>
        <w:t>most recently completed general rate case in Washington?</w:t>
      </w:r>
    </w:p>
    <w:p w:rsidR="00F41651" w:rsidRPr="00E834A1" w:rsidRDefault="00F41651" w:rsidP="00301CF0">
      <w:pPr>
        <w:tabs>
          <w:tab w:val="left" w:pos="720"/>
        </w:tabs>
        <w:spacing w:line="480" w:lineRule="auto"/>
        <w:ind w:left="720" w:hanging="720"/>
        <w:jc w:val="left"/>
      </w:pPr>
      <w:r w:rsidRPr="00E834A1">
        <w:t>A.</w:t>
      </w:r>
      <w:r w:rsidRPr="00E834A1">
        <w:tab/>
        <w:t xml:space="preserve">Yes.  The Company </w:t>
      </w:r>
      <w:r>
        <w:t>used</w:t>
      </w:r>
      <w:r w:rsidRPr="00E834A1">
        <w:t xml:space="preserve"> the GRID model </w:t>
      </w:r>
      <w:r w:rsidR="00612A6E">
        <w:t xml:space="preserve">consistently </w:t>
      </w:r>
      <w:r w:rsidRPr="00E834A1">
        <w:t xml:space="preserve">in this case </w:t>
      </w:r>
      <w:r w:rsidR="00612A6E">
        <w:t xml:space="preserve">and in </w:t>
      </w:r>
      <w:r w:rsidR="000A7225">
        <w:t xml:space="preserve">the </w:t>
      </w:r>
      <w:r w:rsidRPr="00E834A1">
        <w:t>20</w:t>
      </w:r>
      <w:r>
        <w:t>11</w:t>
      </w:r>
      <w:r w:rsidRPr="00E834A1">
        <w:t xml:space="preserve"> </w:t>
      </w:r>
      <w:r w:rsidR="00232229">
        <w:t>Rate Case</w:t>
      </w:r>
      <w:r w:rsidRPr="00E834A1">
        <w:t xml:space="preserve">.  </w:t>
      </w:r>
      <w:r w:rsidR="000723A5">
        <w:t xml:space="preserve">The version of GRID used in this case is the same as used in the 2011 </w:t>
      </w:r>
      <w:r w:rsidR="00232229">
        <w:t>Rate Case</w:t>
      </w:r>
      <w:r w:rsidR="000723A5">
        <w:t xml:space="preserve">.  </w:t>
      </w:r>
      <w:r w:rsidRPr="00E834A1">
        <w:t>As I discuss below, the Company has made some changes to the inputs to the GRID model.</w:t>
      </w:r>
    </w:p>
    <w:p w:rsidR="00F41651" w:rsidRPr="00C464F8" w:rsidRDefault="00F41651" w:rsidP="00301CF0">
      <w:pPr>
        <w:pStyle w:val="BodyTextIndent"/>
        <w:tabs>
          <w:tab w:val="clear" w:pos="720"/>
        </w:tabs>
        <w:jc w:val="left"/>
        <w:rPr>
          <w:b/>
        </w:rPr>
      </w:pPr>
      <w:r w:rsidRPr="00C464F8">
        <w:rPr>
          <w:b/>
        </w:rPr>
        <w:t>Q.</w:t>
      </w:r>
      <w:r w:rsidRPr="00C464F8">
        <w:rPr>
          <w:b/>
        </w:rPr>
        <w:tab/>
        <w:t>What GRID inputs were updated for this filing?</w:t>
      </w:r>
    </w:p>
    <w:p w:rsidR="00F41651" w:rsidRPr="00E834A1" w:rsidRDefault="00F41651" w:rsidP="00301CF0">
      <w:pPr>
        <w:tabs>
          <w:tab w:val="left" w:pos="720"/>
        </w:tabs>
        <w:spacing w:line="480" w:lineRule="auto"/>
        <w:ind w:left="720" w:hanging="720"/>
        <w:jc w:val="left"/>
      </w:pPr>
      <w:r w:rsidRPr="00E834A1">
        <w:t>A.</w:t>
      </w:r>
      <w:r w:rsidRPr="00E834A1">
        <w:tab/>
        <w:t xml:space="preserve">The </w:t>
      </w:r>
      <w:r w:rsidR="00057A43">
        <w:t xml:space="preserve">Company updated </w:t>
      </w:r>
      <w:r w:rsidRPr="00E834A1">
        <w:t xml:space="preserve">inputs to the GRID model to reflect the information available at the time the </w:t>
      </w:r>
      <w:r w:rsidR="00057A43">
        <w:t xml:space="preserve">Company prepared the </w:t>
      </w:r>
      <w:r>
        <w:t>NPC</w:t>
      </w:r>
      <w:r w:rsidRPr="00E834A1">
        <w:t xml:space="preserve"> study for the current filing.  </w:t>
      </w:r>
      <w:r>
        <w:t xml:space="preserve">In addition to </w:t>
      </w:r>
      <w:r w:rsidR="0067068F">
        <w:t>PACW</w:t>
      </w:r>
      <w:r w:rsidRPr="00E834A1">
        <w:t xml:space="preserve"> load, </w:t>
      </w:r>
      <w:r w:rsidR="00057A43">
        <w:t xml:space="preserve">the Company </w:t>
      </w:r>
      <w:r>
        <w:t>update</w:t>
      </w:r>
      <w:r w:rsidR="00057A43">
        <w:t>d</w:t>
      </w:r>
      <w:r>
        <w:t xml:space="preserve"> </w:t>
      </w:r>
      <w:r w:rsidRPr="00E834A1">
        <w:t>wholesale sales and purchase contracts for electricity, natural gas and wheeling, market prices for electricity and natural gas, fuel expenses, transmission capability, characteristics of the Company’s generation facilities, and planned outages and forced outages of the Company’s generation resources.</w:t>
      </w:r>
    </w:p>
    <w:p w:rsidR="00F41651" w:rsidRPr="00E834A1" w:rsidRDefault="00F41651" w:rsidP="00301CF0">
      <w:pPr>
        <w:tabs>
          <w:tab w:val="left" w:pos="720"/>
        </w:tabs>
        <w:spacing w:line="480" w:lineRule="auto"/>
        <w:ind w:left="720" w:hanging="720"/>
        <w:jc w:val="left"/>
        <w:rPr>
          <w:b/>
        </w:rPr>
      </w:pPr>
      <w:r w:rsidRPr="00E834A1">
        <w:rPr>
          <w:b/>
        </w:rPr>
        <w:t>Q.</w:t>
      </w:r>
      <w:r w:rsidRPr="00E834A1">
        <w:rPr>
          <w:b/>
        </w:rPr>
        <w:tab/>
        <w:t>What reports does the GRID model produce?</w:t>
      </w:r>
    </w:p>
    <w:p w:rsidR="00F41651" w:rsidRDefault="00F41651" w:rsidP="00D407AF">
      <w:pPr>
        <w:tabs>
          <w:tab w:val="left" w:pos="720"/>
        </w:tabs>
        <w:spacing w:line="480" w:lineRule="auto"/>
        <w:ind w:left="720" w:hanging="720"/>
        <w:jc w:val="left"/>
      </w:pPr>
      <w:r w:rsidRPr="00E834A1">
        <w:t>A.</w:t>
      </w:r>
      <w:r w:rsidRPr="00E834A1">
        <w:tab/>
        <w:t>The major output from t</w:t>
      </w:r>
      <w:r w:rsidRPr="001C4772">
        <w:t xml:space="preserve">he GRID model is the </w:t>
      </w:r>
      <w:r w:rsidR="00780238" w:rsidRPr="001C4772">
        <w:t>NPC</w:t>
      </w:r>
      <w:r w:rsidRPr="001C4772">
        <w:t xml:space="preserve"> report.  This is the same information contained in Exhibit No.__</w:t>
      </w:r>
      <w:proofErr w:type="gramStart"/>
      <w:r w:rsidRPr="001C4772">
        <w:t>_(</w:t>
      </w:r>
      <w:proofErr w:type="gramEnd"/>
      <w:r w:rsidRPr="001C4772">
        <w:t>GND-2)</w:t>
      </w:r>
      <w:r w:rsidR="000723A5" w:rsidRPr="001C4772">
        <w:t>, a</w:t>
      </w:r>
      <w:r w:rsidR="000723A5" w:rsidRPr="00852AEC">
        <w:t xml:space="preserve">nd an electronic version is </w:t>
      </w:r>
      <w:r w:rsidR="00780238">
        <w:t>includ</w:t>
      </w:r>
      <w:r w:rsidR="000723A5" w:rsidRPr="00852AEC">
        <w:t xml:space="preserve">ed </w:t>
      </w:r>
      <w:r w:rsidR="00780238">
        <w:t>as</w:t>
      </w:r>
      <w:r w:rsidR="000723A5" w:rsidRPr="00852AEC">
        <w:t xml:space="preserve"> workpapers</w:t>
      </w:r>
      <w:r w:rsidRPr="000723A5">
        <w:t>.</w:t>
      </w:r>
      <w:r w:rsidRPr="00E834A1">
        <w:t xml:space="preserve">  Additional data with more detailed analyses are also available in hourly, daily, monthly</w:t>
      </w:r>
      <w:r w:rsidR="00D407AF">
        <w:t>,</w:t>
      </w:r>
      <w:r w:rsidRPr="00E834A1">
        <w:t xml:space="preserve"> and annual formats by heavy l</w:t>
      </w:r>
      <w:r w:rsidR="00780238">
        <w:t>oad hours and light load hours.</w:t>
      </w:r>
    </w:p>
    <w:p w:rsidR="00FC633C" w:rsidRPr="00C464F8" w:rsidRDefault="00BA0859" w:rsidP="00D407AF">
      <w:pPr>
        <w:pStyle w:val="BodyTextIndent"/>
        <w:tabs>
          <w:tab w:val="clear" w:pos="720"/>
        </w:tabs>
        <w:jc w:val="left"/>
        <w:rPr>
          <w:b/>
        </w:rPr>
      </w:pPr>
      <w:r>
        <w:rPr>
          <w:b/>
        </w:rPr>
        <w:t>Q.</w:t>
      </w:r>
      <w:r w:rsidR="00FC633C" w:rsidRPr="00C464F8">
        <w:rPr>
          <w:b/>
        </w:rPr>
        <w:tab/>
        <w:t xml:space="preserve">What are the main contributors to </w:t>
      </w:r>
      <w:r w:rsidR="00FC633C">
        <w:rPr>
          <w:b/>
        </w:rPr>
        <w:t>the increase in the pro forma NPC</w:t>
      </w:r>
      <w:r w:rsidR="00FC633C" w:rsidRPr="00C464F8">
        <w:rPr>
          <w:b/>
        </w:rPr>
        <w:t>?</w:t>
      </w:r>
    </w:p>
    <w:p w:rsidR="00FC633C" w:rsidRDefault="00FC633C" w:rsidP="00D407AF">
      <w:pPr>
        <w:pStyle w:val="BodyTextIndent"/>
        <w:tabs>
          <w:tab w:val="clear" w:pos="720"/>
        </w:tabs>
        <w:jc w:val="left"/>
      </w:pPr>
      <w:r>
        <w:t>A.</w:t>
      </w:r>
      <w:r>
        <w:tab/>
      </w:r>
      <w:r w:rsidR="00BA0859">
        <w:t>A</w:t>
      </w:r>
      <w:r>
        <w:t xml:space="preserve">fter removing a settlement adjustment that was included as a reduction to NPC in the 2011 </w:t>
      </w:r>
      <w:r w:rsidR="00232229">
        <w:t>Rate Case</w:t>
      </w:r>
      <w:r>
        <w:t>, the main contributors to the increase in NPC</w:t>
      </w:r>
      <w:r w:rsidRPr="00C464F8">
        <w:t xml:space="preserve"> </w:t>
      </w:r>
      <w:r>
        <w:t>are</w:t>
      </w:r>
      <w:r w:rsidR="00AA34AF">
        <w:t xml:space="preserve"> </w:t>
      </w:r>
      <w:r>
        <w:t>an increase in wheeling expense</w:t>
      </w:r>
      <w:r w:rsidR="00250D8A">
        <w:t>, an increase in coal costs</w:t>
      </w:r>
      <w:r w:rsidR="00780238">
        <w:t>,</w:t>
      </w:r>
      <w:r w:rsidR="00250D8A">
        <w:t xml:space="preserve"> and the proposed change in the treatment of </w:t>
      </w:r>
      <w:r w:rsidR="002F5485">
        <w:t>PACW</w:t>
      </w:r>
      <w:r w:rsidR="00CB1FC8">
        <w:t xml:space="preserve"> </w:t>
      </w:r>
      <w:r w:rsidR="00250D8A">
        <w:t>QF contracts described above</w:t>
      </w:r>
      <w:r w:rsidR="00AA34AF">
        <w:t xml:space="preserve">. </w:t>
      </w:r>
      <w:r w:rsidR="00CB1FC8">
        <w:t xml:space="preserve"> </w:t>
      </w:r>
      <w:r w:rsidR="00250D8A">
        <w:t>T</w:t>
      </w:r>
      <w:r w:rsidR="00AA34AF">
        <w:t>he wheeling expense increase is</w:t>
      </w:r>
      <w:r>
        <w:t xml:space="preserve"> due </w:t>
      </w:r>
      <w:r w:rsidR="00250D8A">
        <w:t xml:space="preserve">in large part </w:t>
      </w:r>
      <w:r>
        <w:t xml:space="preserve">to the proposed wheeling rates recently filed by the Bonneville Power </w:t>
      </w:r>
      <w:r w:rsidR="00BC36C1">
        <w:t xml:space="preserve">Administration </w:t>
      </w:r>
      <w:r w:rsidR="00AA34AF">
        <w:t>(BPA)</w:t>
      </w:r>
      <w:r>
        <w:t xml:space="preserve">.  These cost increases are partially offset by lower costs due to reduced </w:t>
      </w:r>
      <w:r w:rsidR="002F5485">
        <w:t>WCA</w:t>
      </w:r>
      <w:r>
        <w:t xml:space="preserve"> load and lower net costs related to electric and natural</w:t>
      </w:r>
      <w:r w:rsidR="00780238">
        <w:t xml:space="preserve"> gas swaps in the test period.</w:t>
      </w:r>
    </w:p>
    <w:p w:rsidR="008010C2" w:rsidRDefault="008010C2" w:rsidP="0079133E">
      <w:pPr>
        <w:pStyle w:val="Heading2"/>
        <w:spacing w:after="0" w:line="480" w:lineRule="auto"/>
      </w:pPr>
      <w:bookmarkStart w:id="9" w:name="_Toc345506036"/>
      <w:r>
        <w:t>Increases to BPA Wheeling Rates</w:t>
      </w:r>
      <w:bookmarkEnd w:id="9"/>
    </w:p>
    <w:p w:rsidR="00FC633C" w:rsidRDefault="00FC633C" w:rsidP="00D407AF">
      <w:pPr>
        <w:spacing w:line="480" w:lineRule="auto"/>
        <w:ind w:left="720" w:hanging="720"/>
        <w:jc w:val="left"/>
        <w:rPr>
          <w:b/>
          <w:bCs/>
        </w:rPr>
      </w:pPr>
      <w:r>
        <w:rPr>
          <w:b/>
          <w:bCs/>
        </w:rPr>
        <w:t>Q.</w:t>
      </w:r>
      <w:r>
        <w:rPr>
          <w:b/>
          <w:bCs/>
        </w:rPr>
        <w:tab/>
        <w:t xml:space="preserve">Please explain the increase in NPC related to the BPA </w:t>
      </w:r>
      <w:r w:rsidR="00057A43">
        <w:rPr>
          <w:b/>
          <w:bCs/>
        </w:rPr>
        <w:t xml:space="preserve">wheeling </w:t>
      </w:r>
      <w:r>
        <w:rPr>
          <w:b/>
          <w:bCs/>
        </w:rPr>
        <w:t>rate increase.</w:t>
      </w:r>
    </w:p>
    <w:p w:rsidR="00FC633C" w:rsidRDefault="00FC633C" w:rsidP="00D407AF">
      <w:pPr>
        <w:spacing w:line="480" w:lineRule="auto"/>
        <w:ind w:left="720" w:hanging="720"/>
        <w:jc w:val="left"/>
        <w:rPr>
          <w:bCs/>
        </w:rPr>
      </w:pPr>
      <w:r>
        <w:rPr>
          <w:bCs/>
        </w:rPr>
        <w:t>A.</w:t>
      </w:r>
      <w:r>
        <w:rPr>
          <w:bCs/>
        </w:rPr>
        <w:tab/>
        <w:t xml:space="preserve">On </w:t>
      </w:r>
      <w:r w:rsidRPr="00A25C36">
        <w:rPr>
          <w:bCs/>
        </w:rPr>
        <w:t>November 15, 2012</w:t>
      </w:r>
      <w:r>
        <w:rPr>
          <w:bCs/>
        </w:rPr>
        <w:t xml:space="preserve">, BPA filed its </w:t>
      </w:r>
      <w:r w:rsidRPr="00A25C36">
        <w:rPr>
          <w:bCs/>
        </w:rPr>
        <w:t xml:space="preserve">2014 Joint Power and Transmission Rate Proceeding and proposed rate changes that </w:t>
      </w:r>
      <w:r w:rsidR="0079133E">
        <w:rPr>
          <w:bCs/>
        </w:rPr>
        <w:t xml:space="preserve">will increase the Company’s BPA </w:t>
      </w:r>
      <w:r w:rsidRPr="00A25C36">
        <w:rPr>
          <w:bCs/>
        </w:rPr>
        <w:t xml:space="preserve">transmission expenses by </w:t>
      </w:r>
      <w:r w:rsidRPr="00852AEC">
        <w:rPr>
          <w:bCs/>
        </w:rPr>
        <w:t>roughly 15</w:t>
      </w:r>
      <w:r w:rsidR="007267C8" w:rsidRPr="00852AEC">
        <w:rPr>
          <w:bCs/>
        </w:rPr>
        <w:t xml:space="preserve"> percent</w:t>
      </w:r>
      <w:r w:rsidR="00D407AF">
        <w:rPr>
          <w:bCs/>
        </w:rPr>
        <w:t xml:space="preserve">.  </w:t>
      </w:r>
      <w:r w:rsidRPr="00852AEC">
        <w:rPr>
          <w:bCs/>
        </w:rPr>
        <w:t>New rates are expected to take effect for the fiscal period beginning October 2013.  The Company has roughly 5</w:t>
      </w:r>
      <w:r w:rsidR="00073530" w:rsidRPr="00852AEC">
        <w:rPr>
          <w:bCs/>
        </w:rPr>
        <w:t>,</w:t>
      </w:r>
      <w:r w:rsidRPr="00852AEC">
        <w:rPr>
          <w:bCs/>
        </w:rPr>
        <w:t>000</w:t>
      </w:r>
      <w:r w:rsidR="00BA4EB9" w:rsidRPr="00852AEC">
        <w:rPr>
          <w:bCs/>
        </w:rPr>
        <w:t xml:space="preserve"> </w:t>
      </w:r>
      <w:r w:rsidRPr="00852AEC">
        <w:rPr>
          <w:bCs/>
        </w:rPr>
        <w:t xml:space="preserve">MW of BPA transmission </w:t>
      </w:r>
      <w:proofErr w:type="gramStart"/>
      <w:r w:rsidR="00BA4EB9" w:rsidRPr="00852AEC">
        <w:rPr>
          <w:bCs/>
        </w:rPr>
        <w:t>capacity</w:t>
      </w:r>
      <w:proofErr w:type="gramEnd"/>
      <w:r w:rsidRPr="00852AEC">
        <w:rPr>
          <w:bCs/>
        </w:rPr>
        <w:t xml:space="preserve">.  </w:t>
      </w:r>
      <w:r w:rsidR="00BA4EB9" w:rsidRPr="00852AEC">
        <w:rPr>
          <w:bCs/>
        </w:rPr>
        <w:t xml:space="preserve">Point-to-Point (PTP) and Formula Power </w:t>
      </w:r>
      <w:r w:rsidR="00BC36C1">
        <w:rPr>
          <w:bCs/>
        </w:rPr>
        <w:t>Transmission</w:t>
      </w:r>
      <w:r w:rsidR="00BC36C1" w:rsidRPr="00852AEC">
        <w:rPr>
          <w:bCs/>
        </w:rPr>
        <w:t xml:space="preserve"> </w:t>
      </w:r>
      <w:r w:rsidR="00BA4EB9" w:rsidRPr="00852AEC">
        <w:rPr>
          <w:bCs/>
        </w:rPr>
        <w:t>(</w:t>
      </w:r>
      <w:r w:rsidRPr="00852AEC">
        <w:rPr>
          <w:bCs/>
        </w:rPr>
        <w:t>FPT</w:t>
      </w:r>
      <w:r w:rsidR="00BA4EB9" w:rsidRPr="00852AEC">
        <w:rPr>
          <w:bCs/>
        </w:rPr>
        <w:t>)</w:t>
      </w:r>
      <w:r w:rsidRPr="00852AEC">
        <w:rPr>
          <w:bCs/>
        </w:rPr>
        <w:t xml:space="preserve"> service accounts for 83</w:t>
      </w:r>
      <w:r w:rsidR="007267C8" w:rsidRPr="00852AEC">
        <w:rPr>
          <w:bCs/>
        </w:rPr>
        <w:t xml:space="preserve"> percent</w:t>
      </w:r>
      <w:r w:rsidRPr="00852AEC">
        <w:rPr>
          <w:bCs/>
        </w:rPr>
        <w:t xml:space="preserve"> of this service, and these rates are increasing by roughly 20</w:t>
      </w:r>
      <w:r w:rsidR="007267C8" w:rsidRPr="00852AEC">
        <w:rPr>
          <w:bCs/>
        </w:rPr>
        <w:t xml:space="preserve"> percent</w:t>
      </w:r>
      <w:r w:rsidRPr="00852AEC">
        <w:rPr>
          <w:bCs/>
        </w:rPr>
        <w:t xml:space="preserve">.  This increase is partially offset by reductions in the rates for Network Transmission and Southern Intertie service.  Including the overall impact of the filed BPA rate increase in the calculation of the Company’s wheeling expenses increases </w:t>
      </w:r>
      <w:r w:rsidR="0079058F">
        <w:rPr>
          <w:bCs/>
        </w:rPr>
        <w:t xml:space="preserve">Washington </w:t>
      </w:r>
      <w:r w:rsidRPr="00852AEC">
        <w:rPr>
          <w:bCs/>
        </w:rPr>
        <w:t xml:space="preserve">NPC </w:t>
      </w:r>
      <w:r w:rsidR="00057A43" w:rsidRPr="00852AEC">
        <w:rPr>
          <w:bCs/>
        </w:rPr>
        <w:t xml:space="preserve">by </w:t>
      </w:r>
      <w:r w:rsidRPr="00852AEC">
        <w:rPr>
          <w:bCs/>
        </w:rPr>
        <w:t>approximately $</w:t>
      </w:r>
      <w:r w:rsidR="00073530" w:rsidRPr="00852AEC">
        <w:rPr>
          <w:bCs/>
        </w:rPr>
        <w:t>3.0</w:t>
      </w:r>
      <w:r w:rsidRPr="00852AEC">
        <w:rPr>
          <w:bCs/>
        </w:rPr>
        <w:t xml:space="preserve"> million</w:t>
      </w:r>
      <w:r>
        <w:rPr>
          <w:bCs/>
        </w:rPr>
        <w:t>.</w:t>
      </w:r>
    </w:p>
    <w:p w:rsidR="00FC633C" w:rsidRPr="00CB52B1" w:rsidRDefault="00690610" w:rsidP="00301CF0">
      <w:pPr>
        <w:pStyle w:val="BodyText2"/>
        <w:ind w:left="720" w:hanging="720"/>
        <w:jc w:val="left"/>
        <w:rPr>
          <w:b/>
          <w:bCs/>
        </w:rPr>
      </w:pPr>
      <w:r>
        <w:rPr>
          <w:b/>
          <w:bCs/>
          <w:noProof/>
        </w:rPr>
        <w:pict>
          <v:shapetype id="_x0000_t202" coordsize="21600,21600" o:spt="202" path="m,l,21600r21600,l21600,xe">
            <v:stroke joinstyle="miter"/>
            <v:path gradientshapeok="t" o:connecttype="rect"/>
          </v:shapetype>
          <v:shape id="_x0000_s1026" type="#_x0000_t202" style="position:absolute;left:0;text-align:left;margin-left:91.5pt;margin-top:-250.2pt;width:238.5pt;height:43.5pt;z-index:251658240" filled="f" stroked="f">
            <v:textbox>
              <w:txbxContent>
                <w:p w:rsidR="00502C5B" w:rsidRDefault="00502C5B">
                  <w:r>
                    <w:t xml:space="preserve">         Confidential per WAC 480-07-160</w:t>
                  </w:r>
                </w:p>
              </w:txbxContent>
            </v:textbox>
          </v:shape>
        </w:pict>
      </w:r>
      <w:r w:rsidR="00FC633C" w:rsidRPr="00CB52B1">
        <w:rPr>
          <w:b/>
          <w:bCs/>
        </w:rPr>
        <w:t>Q.</w:t>
      </w:r>
      <w:r w:rsidR="00FC633C" w:rsidRPr="00CB52B1">
        <w:rPr>
          <w:b/>
          <w:bCs/>
        </w:rPr>
        <w:tab/>
        <w:t xml:space="preserve">What assumptions did the Company make </w:t>
      </w:r>
      <w:r w:rsidR="00780238">
        <w:rPr>
          <w:b/>
          <w:bCs/>
        </w:rPr>
        <w:t>regarding</w:t>
      </w:r>
      <w:r w:rsidR="00FC633C" w:rsidRPr="00CB52B1">
        <w:rPr>
          <w:b/>
          <w:bCs/>
        </w:rPr>
        <w:t xml:space="preserve"> the transmission rates proposed in the current BPA rate case?</w:t>
      </w:r>
    </w:p>
    <w:p w:rsidR="00FC633C" w:rsidRPr="00CB52B1" w:rsidRDefault="00FC633C" w:rsidP="00301CF0">
      <w:pPr>
        <w:pStyle w:val="BodyText2"/>
        <w:ind w:left="720" w:hanging="720"/>
        <w:jc w:val="left"/>
      </w:pPr>
      <w:r w:rsidRPr="00CB52B1">
        <w:t>A.</w:t>
      </w:r>
      <w:r w:rsidRPr="00CB52B1">
        <w:tab/>
        <w:t xml:space="preserve">The Company </w:t>
      </w:r>
      <w:r w:rsidR="00E6343F">
        <w:t>applied</w:t>
      </w:r>
      <w:r w:rsidRPr="00CB52B1">
        <w:t xml:space="preserve"> </w:t>
      </w:r>
      <w:r w:rsidR="00780238">
        <w:t>the</w:t>
      </w:r>
      <w:r w:rsidRPr="00CB52B1">
        <w:t xml:space="preserve"> proposed </w:t>
      </w:r>
      <w:r w:rsidR="00E57C07">
        <w:t>rates</w:t>
      </w:r>
      <w:r w:rsidR="00E6343F">
        <w:t xml:space="preserve"> set forth in </w:t>
      </w:r>
      <w:r w:rsidR="00780238">
        <w:t>BPA’s</w:t>
      </w:r>
      <w:r w:rsidR="00E6343F">
        <w:t xml:space="preserve"> initial proposal</w:t>
      </w:r>
      <w:r w:rsidR="00780238">
        <w:t>.</w:t>
      </w:r>
    </w:p>
    <w:p w:rsidR="00FC633C" w:rsidRPr="00CB52B1" w:rsidRDefault="00FC633C" w:rsidP="00301CF0">
      <w:pPr>
        <w:pStyle w:val="BodyText2"/>
        <w:ind w:left="720" w:hanging="720"/>
        <w:jc w:val="left"/>
        <w:rPr>
          <w:b/>
        </w:rPr>
      </w:pPr>
      <w:r w:rsidRPr="00CB52B1">
        <w:rPr>
          <w:b/>
        </w:rPr>
        <w:t>Q.</w:t>
      </w:r>
      <w:r w:rsidRPr="00CB52B1">
        <w:rPr>
          <w:b/>
        </w:rPr>
        <w:tab/>
        <w:t xml:space="preserve">Does the Company </w:t>
      </w:r>
      <w:proofErr w:type="gramStart"/>
      <w:r w:rsidR="00A72471">
        <w:rPr>
          <w:b/>
        </w:rPr>
        <w:t>propose</w:t>
      </w:r>
      <w:proofErr w:type="gramEnd"/>
      <w:r w:rsidRPr="00CB52B1">
        <w:rPr>
          <w:b/>
        </w:rPr>
        <w:t xml:space="preserve"> to update the expenses related to all contracts with BPA?</w:t>
      </w:r>
    </w:p>
    <w:p w:rsidR="00FC633C" w:rsidRDefault="00FC633C" w:rsidP="00D407AF">
      <w:pPr>
        <w:pStyle w:val="BodyText2"/>
        <w:ind w:left="720" w:hanging="720"/>
        <w:jc w:val="left"/>
      </w:pPr>
      <w:r w:rsidRPr="00CB52B1">
        <w:t>A.</w:t>
      </w:r>
      <w:r w:rsidRPr="00CB52B1">
        <w:tab/>
        <w:t xml:space="preserve">Yes.  The Company will update </w:t>
      </w:r>
      <w:r w:rsidR="00A72471">
        <w:t>NPC</w:t>
      </w:r>
      <w:r w:rsidRPr="00CB52B1">
        <w:t xml:space="preserve"> on rebuttal with the fina</w:t>
      </w:r>
      <w:r w:rsidR="00780238">
        <w:t>l decision of the BPA rate case</w:t>
      </w:r>
      <w:r>
        <w:t>,</w:t>
      </w:r>
      <w:r w:rsidRPr="00CB52B1">
        <w:t xml:space="preserve"> currently expected in July 2013, or when better information becomes available.</w:t>
      </w:r>
    </w:p>
    <w:p w:rsidR="008010C2" w:rsidRPr="00FB3E08" w:rsidRDefault="008010C2" w:rsidP="0079133E">
      <w:pPr>
        <w:pStyle w:val="Heading2"/>
        <w:spacing w:after="0" w:line="480" w:lineRule="auto"/>
        <w:rPr>
          <w:bCs/>
        </w:rPr>
      </w:pPr>
      <w:bookmarkStart w:id="10" w:name="_Toc345506037"/>
      <w:r>
        <w:t>Increases to Coal Prices</w:t>
      </w:r>
      <w:bookmarkEnd w:id="10"/>
    </w:p>
    <w:p w:rsidR="00FC633C" w:rsidRPr="006B5B2A" w:rsidRDefault="00FC633C" w:rsidP="00D407AF">
      <w:pPr>
        <w:spacing w:line="480" w:lineRule="auto"/>
        <w:ind w:left="720" w:hanging="720"/>
        <w:jc w:val="left"/>
        <w:rPr>
          <w:b/>
        </w:rPr>
      </w:pPr>
      <w:r w:rsidRPr="006B5B2A">
        <w:rPr>
          <w:b/>
        </w:rPr>
        <w:t>Q.</w:t>
      </w:r>
      <w:r w:rsidRPr="006B5B2A">
        <w:rPr>
          <w:b/>
        </w:rPr>
        <w:tab/>
        <w:t xml:space="preserve">Have test period coal </w:t>
      </w:r>
      <w:r>
        <w:rPr>
          <w:b/>
        </w:rPr>
        <w:t>prices</w:t>
      </w:r>
      <w:r w:rsidRPr="006B5B2A">
        <w:rPr>
          <w:b/>
        </w:rPr>
        <w:t xml:space="preserve"> increased from the </w:t>
      </w:r>
      <w:r>
        <w:rPr>
          <w:b/>
        </w:rPr>
        <w:t xml:space="preserve">2011 </w:t>
      </w:r>
      <w:r w:rsidR="00232229">
        <w:rPr>
          <w:b/>
        </w:rPr>
        <w:t>Rate Case</w:t>
      </w:r>
      <w:r w:rsidR="004B394A">
        <w:rPr>
          <w:b/>
        </w:rPr>
        <w:t>?</w:t>
      </w:r>
    </w:p>
    <w:p w:rsidR="0079133E" w:rsidRPr="0079133E" w:rsidRDefault="00FC633C" w:rsidP="0079133E">
      <w:pPr>
        <w:spacing w:line="480" w:lineRule="auto"/>
        <w:ind w:left="720" w:hanging="720"/>
        <w:jc w:val="left"/>
      </w:pPr>
      <w:r w:rsidRPr="003E6D94">
        <w:t>A.</w:t>
      </w:r>
      <w:r w:rsidRPr="003E6D94">
        <w:tab/>
      </w:r>
      <w:r>
        <w:t xml:space="preserve">Yes. </w:t>
      </w:r>
      <w:r w:rsidR="00780238">
        <w:t xml:space="preserve"> </w:t>
      </w:r>
      <w:r>
        <w:t xml:space="preserve">Compared to the final updated NPC in the 2011 </w:t>
      </w:r>
      <w:r w:rsidR="00232229">
        <w:t>Rate Case</w:t>
      </w:r>
      <w:r>
        <w:t xml:space="preserve">, coal prices </w:t>
      </w:r>
      <w:r w:rsidR="00A72471">
        <w:t>increase</w:t>
      </w:r>
      <w:r>
        <w:t xml:space="preserve"> </w:t>
      </w:r>
      <w:r w:rsidR="0079058F">
        <w:t xml:space="preserve">Washington </w:t>
      </w:r>
      <w:r>
        <w:t xml:space="preserve">NPC </w:t>
      </w:r>
      <w:r w:rsidR="00A72471">
        <w:t>by</w:t>
      </w:r>
      <w:r>
        <w:t xml:space="preserve"> approximately </w:t>
      </w:r>
      <w:r w:rsidR="00B86614" w:rsidRPr="00B86614">
        <w:rPr>
          <w:highlight w:val="black"/>
        </w:rPr>
        <w:t>__</w:t>
      </w:r>
      <w:r w:rsidR="00215C65">
        <w:rPr>
          <w:highlight w:val="black"/>
        </w:rPr>
        <w:t>-</w:t>
      </w:r>
      <w:r w:rsidR="00B86614" w:rsidRPr="00B86614">
        <w:rPr>
          <w:highlight w:val="black"/>
        </w:rPr>
        <w:t>_</w:t>
      </w:r>
      <w:r w:rsidR="00B86614">
        <w:t xml:space="preserve"> </w:t>
      </w:r>
      <w:r>
        <w:t>million</w:t>
      </w:r>
      <w:r w:rsidR="00780238">
        <w:t>.</w:t>
      </w:r>
    </w:p>
    <w:p w:rsidR="00FC633C" w:rsidRPr="003E6D94" w:rsidRDefault="00FC633C" w:rsidP="00FC633C">
      <w:pPr>
        <w:pStyle w:val="BodyTextIndent"/>
        <w:tabs>
          <w:tab w:val="clear" w:pos="720"/>
        </w:tabs>
        <w:jc w:val="left"/>
        <w:rPr>
          <w:b/>
        </w:rPr>
      </w:pPr>
      <w:r w:rsidRPr="003E6D94">
        <w:rPr>
          <w:b/>
        </w:rPr>
        <w:t>Q.</w:t>
      </w:r>
      <w:r w:rsidRPr="003E6D94">
        <w:rPr>
          <w:b/>
        </w:rPr>
        <w:tab/>
      </w:r>
      <w:r>
        <w:rPr>
          <w:b/>
        </w:rPr>
        <w:t>What are the key drivers of the coal price increases</w:t>
      </w:r>
      <w:r w:rsidRPr="003E6D94">
        <w:rPr>
          <w:b/>
        </w:rPr>
        <w:t>?</w:t>
      </w:r>
    </w:p>
    <w:p w:rsidR="00FC633C" w:rsidRDefault="00FC633C" w:rsidP="00FC633C">
      <w:pPr>
        <w:pStyle w:val="BodyTextIndent"/>
        <w:tabs>
          <w:tab w:val="clear" w:pos="720"/>
        </w:tabs>
        <w:jc w:val="left"/>
      </w:pPr>
      <w:r w:rsidRPr="003E6D94">
        <w:t>A.</w:t>
      </w:r>
      <w:r w:rsidRPr="003E6D94">
        <w:tab/>
      </w:r>
      <w:r w:rsidRPr="00852AEC">
        <w:t xml:space="preserve">The </w:t>
      </w:r>
      <w:r w:rsidR="00215C65" w:rsidRPr="00215C65">
        <w:rPr>
          <w:highlight w:val="black"/>
        </w:rPr>
        <w:t>__________</w:t>
      </w:r>
      <w:r w:rsidRPr="00852AEC">
        <w:t xml:space="preserve"> price-related increase is associated with an increase of </w:t>
      </w:r>
      <w:r w:rsidR="008A2CB3">
        <w:t xml:space="preserve">approximately </w:t>
      </w:r>
      <w:r w:rsidR="00215C65">
        <w:rPr>
          <w:highlight w:val="black"/>
        </w:rPr>
        <w:t>______-___</w:t>
      </w:r>
      <w:r w:rsidR="00215C65">
        <w:t xml:space="preserve"> </w:t>
      </w:r>
      <w:r w:rsidRPr="00852AEC">
        <w:t xml:space="preserve">at the Jim Bridger plant and </w:t>
      </w:r>
      <w:r w:rsidR="00215C65">
        <w:rPr>
          <w:highlight w:val="black"/>
        </w:rPr>
        <w:t>______-___</w:t>
      </w:r>
      <w:r w:rsidRPr="00852AEC">
        <w:t xml:space="preserve"> at the</w:t>
      </w:r>
      <w:r>
        <w:t xml:space="preserve"> Colstrip plant</w:t>
      </w:r>
      <w:r w:rsidR="00CA5AD4">
        <w:t>.</w:t>
      </w:r>
    </w:p>
    <w:p w:rsidR="00FC633C" w:rsidRPr="003E6D94" w:rsidRDefault="00690610" w:rsidP="00FC633C">
      <w:pPr>
        <w:pStyle w:val="BodyTextIndent"/>
        <w:tabs>
          <w:tab w:val="clear" w:pos="720"/>
        </w:tabs>
        <w:jc w:val="left"/>
        <w:rPr>
          <w:b/>
        </w:rPr>
      </w:pPr>
      <w:r>
        <w:rPr>
          <w:b/>
          <w:noProof/>
        </w:rPr>
        <w:pict>
          <v:shape id="_x0000_s1027" type="#_x0000_t202" style="position:absolute;left:0;text-align:left;margin-left:103.5pt;margin-top:-45pt;width:238.5pt;height:43.5pt;z-index:251659264" filled="f" stroked="f">
            <v:textbox>
              <w:txbxContent>
                <w:p w:rsidR="00502C5B" w:rsidRDefault="00502C5B" w:rsidP="00502C5B">
                  <w:r>
                    <w:t xml:space="preserve">         Confidential per WAC 480-07-160</w:t>
                  </w:r>
                </w:p>
              </w:txbxContent>
            </v:textbox>
          </v:shape>
        </w:pict>
      </w:r>
      <w:r w:rsidR="00FC633C" w:rsidRPr="0016729B">
        <w:rPr>
          <w:b/>
        </w:rPr>
        <w:t>Q.</w:t>
      </w:r>
      <w:r w:rsidR="00FC633C" w:rsidRPr="0016729B">
        <w:tab/>
      </w:r>
      <w:r w:rsidR="00FC633C" w:rsidRPr="0016729B">
        <w:rPr>
          <w:b/>
        </w:rPr>
        <w:t xml:space="preserve">Please explain the </w:t>
      </w:r>
      <w:r w:rsidR="00215C65" w:rsidRPr="00215C65">
        <w:rPr>
          <w:highlight w:val="black"/>
        </w:rPr>
        <w:t>__________</w:t>
      </w:r>
      <w:r w:rsidR="00FC633C" w:rsidRPr="0016729B">
        <w:rPr>
          <w:b/>
        </w:rPr>
        <w:t xml:space="preserve"> increase in </w:t>
      </w:r>
      <w:r w:rsidR="00FC633C">
        <w:rPr>
          <w:b/>
        </w:rPr>
        <w:t>Jim Bridger plant costs</w:t>
      </w:r>
      <w:r w:rsidR="00FC633C" w:rsidRPr="0016729B">
        <w:rPr>
          <w:b/>
        </w:rPr>
        <w:t>.</w:t>
      </w:r>
    </w:p>
    <w:p w:rsidR="00FC633C" w:rsidRDefault="00FC633C" w:rsidP="00CA6FA2">
      <w:pPr>
        <w:pStyle w:val="BodyTextIndent"/>
        <w:widowControl/>
        <w:tabs>
          <w:tab w:val="clear" w:pos="720"/>
        </w:tabs>
        <w:jc w:val="left"/>
      </w:pPr>
      <w:r w:rsidRPr="003E6D94">
        <w:t>A.</w:t>
      </w:r>
      <w:r w:rsidRPr="003E6D94">
        <w:tab/>
        <w:t xml:space="preserve">Approximately </w:t>
      </w:r>
      <w:r w:rsidR="00215C65">
        <w:rPr>
          <w:highlight w:val="black"/>
        </w:rPr>
        <w:t>_________</w:t>
      </w:r>
      <w:r>
        <w:t xml:space="preserve"> of the increase is associated with an increase in the delivered cost of Black Butte coal</w:t>
      </w:r>
      <w:r w:rsidRPr="003E6D94">
        <w:t xml:space="preserve"> to the Jim Bridger plant</w:t>
      </w:r>
      <w:r w:rsidR="00CA6FA2">
        <w:t>,</w:t>
      </w:r>
      <w:r w:rsidRPr="003E6D94">
        <w:t xml:space="preserve"> </w:t>
      </w:r>
      <w:r w:rsidR="00CA5AD4">
        <w:t xml:space="preserve">which </w:t>
      </w:r>
      <w:r w:rsidRPr="003E6D94">
        <w:t xml:space="preserve">has increased from </w:t>
      </w:r>
      <w:r w:rsidR="00215C65" w:rsidRPr="00215C65">
        <w:rPr>
          <w:highlight w:val="black"/>
        </w:rPr>
        <w:t>____</w:t>
      </w:r>
      <w:r w:rsidR="00215C65">
        <w:rPr>
          <w:highlight w:val="black"/>
        </w:rPr>
        <w:t>---</w:t>
      </w:r>
      <w:r w:rsidR="00215C65" w:rsidRPr="00215C65">
        <w:rPr>
          <w:highlight w:val="black"/>
        </w:rPr>
        <w:t>______</w:t>
      </w:r>
      <w:r w:rsidRPr="003E6D94">
        <w:t xml:space="preserve"> in the </w:t>
      </w:r>
      <w:r>
        <w:t>prior case</w:t>
      </w:r>
      <w:r w:rsidRPr="003E6D94">
        <w:t xml:space="preserve"> to </w:t>
      </w:r>
      <w:r w:rsidR="00215C65" w:rsidRPr="00215C65">
        <w:rPr>
          <w:highlight w:val="black"/>
        </w:rPr>
        <w:t>________</w:t>
      </w:r>
      <w:r w:rsidR="00215C65">
        <w:rPr>
          <w:highlight w:val="black"/>
        </w:rPr>
        <w:t>--</w:t>
      </w:r>
      <w:r w:rsidR="00215C65" w:rsidRPr="00215C65">
        <w:rPr>
          <w:highlight w:val="black"/>
        </w:rPr>
        <w:t>__</w:t>
      </w:r>
      <w:r w:rsidRPr="003E6D94">
        <w:t xml:space="preserve"> in the current case, a</w:t>
      </w:r>
      <w:r>
        <w:t>n increase</w:t>
      </w:r>
      <w:r w:rsidRPr="003E6D94">
        <w:t xml:space="preserve"> of</w:t>
      </w:r>
      <w:r w:rsidR="00215C65">
        <w:t xml:space="preserve"> </w:t>
      </w:r>
      <w:r w:rsidR="00215C65" w:rsidRPr="00215C65">
        <w:rPr>
          <w:highlight w:val="black"/>
        </w:rPr>
        <w:t>_______</w:t>
      </w:r>
      <w:r w:rsidR="00B9448D">
        <w:rPr>
          <w:highlight w:val="black"/>
        </w:rPr>
        <w:t>-</w:t>
      </w:r>
      <w:r w:rsidR="00215C65" w:rsidRPr="00215C65">
        <w:rPr>
          <w:highlight w:val="black"/>
        </w:rPr>
        <w:t>___</w:t>
      </w:r>
      <w:r w:rsidRPr="003E6D94">
        <w:t>.</w:t>
      </w:r>
      <w:r>
        <w:t xml:space="preserve">  This increase is related to e</w:t>
      </w:r>
      <w:r w:rsidRPr="003E6D94">
        <w:t>scalation of contract</w:t>
      </w:r>
      <w:r>
        <w:t>-</w:t>
      </w:r>
      <w:r w:rsidRPr="003E6D94">
        <w:t xml:space="preserve">specific producer and consumer price indices </w:t>
      </w:r>
      <w:r>
        <w:t>under both the coal supply and rail agreements.</w:t>
      </w:r>
    </w:p>
    <w:p w:rsidR="004B394A" w:rsidRDefault="00FC633C" w:rsidP="00FC633C">
      <w:pPr>
        <w:pStyle w:val="BodyTextIndent"/>
        <w:tabs>
          <w:tab w:val="clear" w:pos="720"/>
        </w:tabs>
        <w:jc w:val="left"/>
      </w:pPr>
      <w:r>
        <w:tab/>
      </w:r>
      <w:r>
        <w:tab/>
        <w:t xml:space="preserve">The remaining </w:t>
      </w:r>
      <w:r w:rsidR="00B9448D" w:rsidRPr="00215C65">
        <w:rPr>
          <w:highlight w:val="black"/>
        </w:rPr>
        <w:t>__________</w:t>
      </w:r>
      <w:r>
        <w:t xml:space="preserve"> increase is associated with higher Bridger Coal Company costs.</w:t>
      </w:r>
      <w:r w:rsidR="00CA6FA2">
        <w:t xml:space="preserve">  </w:t>
      </w:r>
      <w:r w:rsidRPr="003E6D94">
        <w:t xml:space="preserve">Bridger Coal Company costs </w:t>
      </w:r>
      <w:r>
        <w:t xml:space="preserve">have </w:t>
      </w:r>
      <w:r w:rsidRPr="003E6D94">
        <w:t>increase</w:t>
      </w:r>
      <w:r>
        <w:t>d</w:t>
      </w:r>
      <w:r w:rsidRPr="003E6D94">
        <w:t xml:space="preserve"> </w:t>
      </w:r>
      <w:r>
        <w:t xml:space="preserve">slightly </w:t>
      </w:r>
      <w:r w:rsidRPr="003E6D94">
        <w:t xml:space="preserve">from </w:t>
      </w:r>
      <w:r w:rsidR="00B9448D" w:rsidRPr="00215C65">
        <w:rPr>
          <w:highlight w:val="black"/>
        </w:rPr>
        <w:t>____________________</w:t>
      </w:r>
      <w:r w:rsidR="00B9448D">
        <w:rPr>
          <w:highlight w:val="black"/>
        </w:rPr>
        <w:t>______</w:t>
      </w:r>
      <w:r w:rsidRPr="009646FE">
        <w:t xml:space="preserve">, an increase of </w:t>
      </w:r>
      <w:r w:rsidR="00B9448D">
        <w:rPr>
          <w:highlight w:val="black"/>
        </w:rPr>
        <w:t>____</w:t>
      </w:r>
      <w:r w:rsidRPr="003E6D94">
        <w:t xml:space="preserve"> per ton</w:t>
      </w:r>
      <w:r>
        <w:t>.  The increase is largely due to an increase in depreciation and final reclamation expense offset by a reduction in labor and outside serv</w:t>
      </w:r>
      <w:r w:rsidR="00164D61">
        <w:t>ic</w:t>
      </w:r>
      <w:r>
        <w:t>e costs.</w:t>
      </w:r>
    </w:p>
    <w:p w:rsidR="00FC633C" w:rsidRPr="003E6D94" w:rsidRDefault="00FC633C" w:rsidP="00FC633C">
      <w:pPr>
        <w:pStyle w:val="BodyTextIndent"/>
        <w:tabs>
          <w:tab w:val="clear" w:pos="720"/>
        </w:tabs>
        <w:jc w:val="left"/>
        <w:rPr>
          <w:b/>
        </w:rPr>
      </w:pPr>
      <w:r w:rsidRPr="003E6D94">
        <w:rPr>
          <w:b/>
        </w:rPr>
        <w:t>Q.</w:t>
      </w:r>
      <w:r w:rsidRPr="003E6D94">
        <w:rPr>
          <w:b/>
        </w:rPr>
        <w:tab/>
      </w:r>
      <w:r>
        <w:rPr>
          <w:b/>
        </w:rPr>
        <w:t xml:space="preserve">Please explain the increase </w:t>
      </w:r>
      <w:r w:rsidR="00CA6FA2">
        <w:rPr>
          <w:b/>
        </w:rPr>
        <w:t>in</w:t>
      </w:r>
      <w:r>
        <w:rPr>
          <w:b/>
        </w:rPr>
        <w:t xml:space="preserve"> the Colstrip plant</w:t>
      </w:r>
      <w:r w:rsidR="00CA5AD4">
        <w:rPr>
          <w:b/>
        </w:rPr>
        <w:t xml:space="preserve"> coal costs</w:t>
      </w:r>
      <w:r w:rsidR="004B394A">
        <w:rPr>
          <w:b/>
        </w:rPr>
        <w:t>.</w:t>
      </w:r>
    </w:p>
    <w:p w:rsidR="005F7343" w:rsidRDefault="00FC633C" w:rsidP="0079133E">
      <w:pPr>
        <w:spacing w:line="480" w:lineRule="auto"/>
        <w:ind w:left="720" w:hanging="720"/>
        <w:jc w:val="left"/>
      </w:pPr>
      <w:r w:rsidRPr="003E6D94">
        <w:t>A.</w:t>
      </w:r>
      <w:r w:rsidRPr="003E6D94">
        <w:tab/>
      </w:r>
      <w:r w:rsidR="00CA6FA2">
        <w:t xml:space="preserve">Colstrip plant </w:t>
      </w:r>
      <w:r w:rsidR="00CA5AD4">
        <w:t xml:space="preserve">coal costs </w:t>
      </w:r>
      <w:r>
        <w:t xml:space="preserve">have increased from </w:t>
      </w:r>
      <w:r w:rsidR="00B9448D" w:rsidRPr="00215C65">
        <w:rPr>
          <w:highlight w:val="black"/>
        </w:rPr>
        <w:t>_________</w:t>
      </w:r>
      <w:r w:rsidR="00B9448D">
        <w:rPr>
          <w:highlight w:val="black"/>
        </w:rPr>
        <w:t>--</w:t>
      </w:r>
      <w:r w:rsidR="00B9448D" w:rsidRPr="00215C65">
        <w:rPr>
          <w:highlight w:val="black"/>
        </w:rPr>
        <w:t>_</w:t>
      </w:r>
      <w:r>
        <w:t xml:space="preserve"> in the prior case to </w:t>
      </w:r>
      <w:r w:rsidR="00B9448D" w:rsidRPr="00215C65">
        <w:rPr>
          <w:highlight w:val="black"/>
        </w:rPr>
        <w:t>____</w:t>
      </w:r>
      <w:r w:rsidR="00B9448D">
        <w:rPr>
          <w:highlight w:val="black"/>
        </w:rPr>
        <w:t>--</w:t>
      </w:r>
      <w:r w:rsidR="00B9448D" w:rsidRPr="00215C65">
        <w:rPr>
          <w:highlight w:val="black"/>
        </w:rPr>
        <w:t>_</w:t>
      </w:r>
      <w:r w:rsidR="00B9448D">
        <w:rPr>
          <w:highlight w:val="black"/>
        </w:rPr>
        <w:t>--</w:t>
      </w:r>
      <w:r w:rsidR="00B9448D" w:rsidRPr="00215C65">
        <w:rPr>
          <w:highlight w:val="black"/>
        </w:rPr>
        <w:t>_____</w:t>
      </w:r>
      <w:r>
        <w:t xml:space="preserve"> in the current case, an increase of </w:t>
      </w:r>
      <w:r w:rsidR="00B9448D" w:rsidRPr="00215C65">
        <w:rPr>
          <w:highlight w:val="black"/>
        </w:rPr>
        <w:t>____</w:t>
      </w:r>
      <w:r w:rsidR="00B9448D">
        <w:rPr>
          <w:highlight w:val="black"/>
        </w:rPr>
        <w:t>-</w:t>
      </w:r>
      <w:r w:rsidR="00B9448D" w:rsidRPr="00215C65">
        <w:rPr>
          <w:highlight w:val="black"/>
        </w:rPr>
        <w:t>______</w:t>
      </w:r>
      <w:r w:rsidR="00CA6FA2">
        <w:t>.  Colstrip</w:t>
      </w:r>
      <w:r>
        <w:t xml:space="preserve"> coal costs are per the approved Annual Operating Plan prepared by Westmoreland and approved by the Colstrip plant owners.  The increase relates to higher mine variable costs.</w:t>
      </w:r>
    </w:p>
    <w:p w:rsidR="008010C2" w:rsidRDefault="008010C2" w:rsidP="009F323F">
      <w:pPr>
        <w:pStyle w:val="Heading2"/>
        <w:spacing w:after="0" w:line="480" w:lineRule="auto"/>
      </w:pPr>
      <w:bookmarkStart w:id="11" w:name="_Toc345506038"/>
      <w:r>
        <w:t>Decreases in Retail Load</w:t>
      </w:r>
      <w:bookmarkEnd w:id="11"/>
    </w:p>
    <w:p w:rsidR="00FC633C" w:rsidRPr="00C464F8" w:rsidRDefault="00FC633C" w:rsidP="001C4772">
      <w:pPr>
        <w:spacing w:line="480" w:lineRule="auto"/>
        <w:ind w:left="720" w:hanging="720"/>
        <w:jc w:val="left"/>
        <w:rPr>
          <w:b/>
          <w:bCs/>
        </w:rPr>
      </w:pPr>
      <w:proofErr w:type="gramStart"/>
      <w:r w:rsidRPr="00C464F8">
        <w:rPr>
          <w:b/>
          <w:bCs/>
        </w:rPr>
        <w:t>Q.</w:t>
      </w:r>
      <w:r w:rsidRPr="00C464F8">
        <w:rPr>
          <w:b/>
          <w:bCs/>
        </w:rPr>
        <w:tab/>
        <w:t>What is the magnitude of the change in retail load</w:t>
      </w:r>
      <w:r w:rsidR="00C22F61">
        <w:rPr>
          <w:b/>
          <w:bCs/>
        </w:rPr>
        <w:t>s</w:t>
      </w:r>
      <w:r w:rsidRPr="00C464F8">
        <w:rPr>
          <w:b/>
          <w:bCs/>
        </w:rPr>
        <w:t xml:space="preserve"> </w:t>
      </w:r>
      <w:r>
        <w:rPr>
          <w:b/>
          <w:bCs/>
        </w:rPr>
        <w:t>and how does it impact the C</w:t>
      </w:r>
      <w:r w:rsidRPr="00C464F8">
        <w:rPr>
          <w:b/>
          <w:bCs/>
        </w:rPr>
        <w:t xml:space="preserve">ompany’s </w:t>
      </w:r>
      <w:r>
        <w:rPr>
          <w:b/>
          <w:bCs/>
        </w:rPr>
        <w:t>NPC</w:t>
      </w:r>
      <w:r w:rsidRPr="00C464F8">
        <w:rPr>
          <w:b/>
          <w:bCs/>
        </w:rPr>
        <w:t>?</w:t>
      </w:r>
      <w:proofErr w:type="gramEnd"/>
    </w:p>
    <w:p w:rsidR="00FC633C" w:rsidRDefault="00FC633C" w:rsidP="001C4772">
      <w:pPr>
        <w:spacing w:line="480" w:lineRule="auto"/>
        <w:ind w:left="720" w:hanging="720"/>
        <w:jc w:val="left"/>
      </w:pPr>
      <w:r w:rsidRPr="00C464F8">
        <w:t>A.</w:t>
      </w:r>
      <w:r w:rsidRPr="00C464F8">
        <w:tab/>
      </w:r>
      <w:r w:rsidRPr="00A436C5">
        <w:t xml:space="preserve">This filing </w:t>
      </w:r>
      <w:r w:rsidR="00E57C07">
        <w:t>uses</w:t>
      </w:r>
      <w:r w:rsidRPr="00A436C5">
        <w:t xml:space="preserve"> </w:t>
      </w:r>
      <w:r w:rsidR="00CA6FA2">
        <w:t>pro forma</w:t>
      </w:r>
      <w:r w:rsidR="00E57C07">
        <w:t xml:space="preserve"> </w:t>
      </w:r>
      <w:r w:rsidRPr="00A436C5">
        <w:t>load for calendar year 2014 to determine NPC (</w:t>
      </w:r>
      <w:r w:rsidR="00CA6FA2">
        <w:t>before applying</w:t>
      </w:r>
      <w:r w:rsidRPr="00A436C5">
        <w:t xml:space="preserve"> the production factor adjustment).  The 2011 </w:t>
      </w:r>
      <w:r w:rsidR="00232229">
        <w:t>Rate Case</w:t>
      </w:r>
      <w:r w:rsidRPr="00A436C5">
        <w:t xml:space="preserve"> </w:t>
      </w:r>
      <w:r w:rsidR="00E57C07">
        <w:t>used</w:t>
      </w:r>
      <w:r w:rsidR="00636D04">
        <w:t xml:space="preserve"> </w:t>
      </w:r>
      <w:r w:rsidR="00CA6FA2">
        <w:t>pro forma</w:t>
      </w:r>
      <w:r w:rsidRPr="00A436C5">
        <w:t xml:space="preserve"> load for </w:t>
      </w:r>
      <w:r w:rsidR="00CA6FA2">
        <w:t>the 12</w:t>
      </w:r>
      <w:r w:rsidRPr="00A436C5">
        <w:t xml:space="preserve"> months ending May 20</w:t>
      </w:r>
      <w:r w:rsidR="00CA6FA2">
        <w:t>13.  The pro forma</w:t>
      </w:r>
      <w:r w:rsidRPr="00A436C5">
        <w:t xml:space="preserve"> </w:t>
      </w:r>
      <w:r w:rsidR="009701D6">
        <w:t xml:space="preserve">WCA </w:t>
      </w:r>
      <w:r w:rsidRPr="00A436C5">
        <w:t xml:space="preserve">load in this case is </w:t>
      </w:r>
      <w:r w:rsidRPr="00852AEC">
        <w:t xml:space="preserve">approximately 0.5 million </w:t>
      </w:r>
      <w:r w:rsidR="00C17A54">
        <w:t>MWh</w:t>
      </w:r>
      <w:r w:rsidRPr="00852AEC">
        <w:t xml:space="preserve">, or 2.5 percent, lower than the </w:t>
      </w:r>
      <w:r w:rsidR="00CA6FA2">
        <w:t xml:space="preserve">pro forma </w:t>
      </w:r>
      <w:r w:rsidRPr="00852AEC">
        <w:t xml:space="preserve">load for the 2011 </w:t>
      </w:r>
      <w:r w:rsidR="00232229">
        <w:t>Rate Case</w:t>
      </w:r>
      <w:r w:rsidRPr="00852AEC">
        <w:t xml:space="preserve">.  </w:t>
      </w:r>
      <w:r w:rsidR="00E57C07" w:rsidRPr="00852AEC">
        <w:t>The reduction in</w:t>
      </w:r>
      <w:r w:rsidRPr="00852AEC">
        <w:t xml:space="preserve"> load impacts most major categories of </w:t>
      </w:r>
      <w:r w:rsidR="00164D61" w:rsidRPr="00852AEC">
        <w:t>NPC</w:t>
      </w:r>
      <w:r w:rsidRPr="00852AEC">
        <w:t>, including wholesale market purchases and sales</w:t>
      </w:r>
      <w:r w:rsidR="00E57C07" w:rsidRPr="00852AEC">
        <w:t>,</w:t>
      </w:r>
      <w:r w:rsidRPr="00852AEC">
        <w:t xml:space="preserve"> as well as generation from the Company’s coal and natural gas fired resources.  The overall dollar impact is a reduction to </w:t>
      </w:r>
      <w:r w:rsidR="0079058F">
        <w:t xml:space="preserve">Washington </w:t>
      </w:r>
      <w:r w:rsidRPr="00852AEC">
        <w:t>NPC of approximately $</w:t>
      </w:r>
      <w:r w:rsidR="00071E09" w:rsidRPr="00852AEC">
        <w:t>3.6</w:t>
      </w:r>
      <w:r w:rsidRPr="00852AEC">
        <w:t xml:space="preserve"> million</w:t>
      </w:r>
      <w:r w:rsidRPr="00A436C5">
        <w:t>.</w:t>
      </w:r>
      <w:r w:rsidRPr="00C464F8">
        <w:t xml:space="preserve">  </w:t>
      </w:r>
      <w:r w:rsidR="00CA5AD4" w:rsidRPr="00553C64">
        <w:t>Ms.</w:t>
      </w:r>
      <w:r w:rsidRPr="00553C64">
        <w:t xml:space="preserve"> Kelcey </w:t>
      </w:r>
      <w:r w:rsidR="00CA5AD4" w:rsidRPr="00553C64">
        <w:t xml:space="preserve">A. </w:t>
      </w:r>
      <w:r w:rsidRPr="00553C64">
        <w:t>Brown pr</w:t>
      </w:r>
      <w:r>
        <w:t>ovides additional testimony supporting the</w:t>
      </w:r>
      <w:r w:rsidR="00CA6FA2">
        <w:t xml:space="preserve"> pro forma</w:t>
      </w:r>
      <w:r>
        <w:t xml:space="preserve"> load used in this case.</w:t>
      </w:r>
    </w:p>
    <w:p w:rsidR="008010C2" w:rsidRDefault="008010C2" w:rsidP="009F323F">
      <w:pPr>
        <w:pStyle w:val="Heading2"/>
        <w:spacing w:after="0" w:line="480" w:lineRule="auto"/>
      </w:pPr>
      <w:bookmarkStart w:id="12" w:name="_Toc345506039"/>
      <w:r>
        <w:t>Decreases in Electricity and Natural Gas Swaps</w:t>
      </w:r>
      <w:bookmarkEnd w:id="12"/>
    </w:p>
    <w:p w:rsidR="00FC633C" w:rsidRDefault="00FC633C" w:rsidP="00FC633C">
      <w:pPr>
        <w:pStyle w:val="BodyText2"/>
        <w:ind w:left="720" w:hanging="720"/>
        <w:jc w:val="left"/>
        <w:rPr>
          <w:b/>
        </w:rPr>
      </w:pPr>
      <w:r>
        <w:rPr>
          <w:b/>
        </w:rPr>
        <w:t>Q.</w:t>
      </w:r>
      <w:r>
        <w:rPr>
          <w:b/>
        </w:rPr>
        <w:tab/>
        <w:t>Please explain the reduction in electricity and natural gas swap costs.</w:t>
      </w:r>
    </w:p>
    <w:p w:rsidR="00FC633C" w:rsidRPr="003A7807" w:rsidRDefault="00FC633C" w:rsidP="00FC633C">
      <w:pPr>
        <w:pStyle w:val="BodyText2"/>
        <w:ind w:left="720" w:hanging="720"/>
        <w:jc w:val="left"/>
      </w:pPr>
      <w:r>
        <w:t>A.</w:t>
      </w:r>
      <w:r>
        <w:tab/>
        <w:t xml:space="preserve">The Company uses electricity and natural gas swaps to reduce its exposure to price risk on the wholesale market.  </w:t>
      </w:r>
      <w:r w:rsidR="00E57C07">
        <w:t>The Company’s u</w:t>
      </w:r>
      <w:r>
        <w:t xml:space="preserve">se of these instruments is governed by </w:t>
      </w:r>
      <w:r w:rsidR="00E57C07">
        <w:t>its</w:t>
      </w:r>
      <w:r>
        <w:t xml:space="preserve"> Risk Management Policy.  In a general rate case, the NPC includes the expected gain or loss on settlement for transactions that exist at the time the case is </w:t>
      </w:r>
      <w:r w:rsidRPr="00852AEC">
        <w:t xml:space="preserve">prepared.  The net </w:t>
      </w:r>
      <w:r w:rsidR="0079058F">
        <w:t xml:space="preserve">Washington </w:t>
      </w:r>
      <w:r w:rsidR="00BA4EB9" w:rsidRPr="00852AEC">
        <w:t>expense related to</w:t>
      </w:r>
      <w:r w:rsidRPr="00852AEC">
        <w:t xml:space="preserve"> electricity and natural gas swaps is approximately $</w:t>
      </w:r>
      <w:r w:rsidR="00071E09" w:rsidRPr="00852AEC">
        <w:t>5.5</w:t>
      </w:r>
      <w:r w:rsidRPr="00852AEC">
        <w:t xml:space="preserve"> million</w:t>
      </w:r>
      <w:r>
        <w:t xml:space="preserve"> lower than the 2011 </w:t>
      </w:r>
      <w:r w:rsidR="00232229">
        <w:t>Rate Case</w:t>
      </w:r>
      <w:r>
        <w:t xml:space="preserve">, </w:t>
      </w:r>
      <w:r w:rsidR="00BA4EB9">
        <w:t xml:space="preserve">mainly attributable to reduced expenses </w:t>
      </w:r>
      <w:r>
        <w:t xml:space="preserve">for natural gas </w:t>
      </w:r>
      <w:r w:rsidRPr="00852AEC">
        <w:t xml:space="preserve">swaps.  In this case, the </w:t>
      </w:r>
      <w:r w:rsidR="00BA4EB9" w:rsidRPr="00852AEC">
        <w:t xml:space="preserve">impact on </w:t>
      </w:r>
      <w:r w:rsidR="0079058F">
        <w:t xml:space="preserve">Washington </w:t>
      </w:r>
      <w:r w:rsidR="00BA4EB9" w:rsidRPr="00852AEC">
        <w:t xml:space="preserve">NPC </w:t>
      </w:r>
      <w:r w:rsidRPr="00852AEC">
        <w:t xml:space="preserve">of natural gas swaps is </w:t>
      </w:r>
      <w:r w:rsidR="00071E09" w:rsidRPr="00852AEC">
        <w:t xml:space="preserve">approximately </w:t>
      </w:r>
      <w:r w:rsidRPr="00852AEC">
        <w:t>$</w:t>
      </w:r>
      <w:r w:rsidR="00071E09" w:rsidRPr="00852AEC">
        <w:t>2.8</w:t>
      </w:r>
      <w:r w:rsidRPr="00852AEC">
        <w:t xml:space="preserve"> million, down from $</w:t>
      </w:r>
      <w:r w:rsidR="00071E09" w:rsidRPr="00852AEC">
        <w:t>8.6</w:t>
      </w:r>
      <w:r w:rsidR="00CA6FA2">
        <w:t xml:space="preserve"> million in the 2011 </w:t>
      </w:r>
      <w:r w:rsidR="00232229">
        <w:t>Rate Case</w:t>
      </w:r>
      <w:r w:rsidR="000A7225" w:rsidRPr="00852AEC">
        <w:t>,</w:t>
      </w:r>
      <w:r w:rsidRPr="00852AEC">
        <w:t xml:space="preserve"> a reduction of $</w:t>
      </w:r>
      <w:r w:rsidR="00071E09" w:rsidRPr="00852AEC">
        <w:t>5.8</w:t>
      </w:r>
      <w:r w:rsidRPr="00852AEC">
        <w:t xml:space="preserve"> million. </w:t>
      </w:r>
      <w:r w:rsidR="00CA6FA2">
        <w:t xml:space="preserve"> </w:t>
      </w:r>
      <w:r w:rsidRPr="00852AEC">
        <w:t>The lower costs are due</w:t>
      </w:r>
      <w:r>
        <w:t xml:space="preserve"> to a lower volume of swap transactions for calendar year 2014 compared to the previous </w:t>
      </w:r>
      <w:r w:rsidR="00CA6FA2">
        <w:t>rate case</w:t>
      </w:r>
      <w:r w:rsidR="00BA4EB9">
        <w:t xml:space="preserve"> and </w:t>
      </w:r>
      <w:r>
        <w:t xml:space="preserve">a </w:t>
      </w:r>
      <w:r w:rsidR="003665B5">
        <w:t xml:space="preserve">smaller difference between the </w:t>
      </w:r>
      <w:r>
        <w:t>average fixed price of the swap transactions</w:t>
      </w:r>
      <w:r w:rsidR="003665B5">
        <w:t xml:space="preserve"> and market price</w:t>
      </w:r>
      <w:r>
        <w:t>.</w:t>
      </w:r>
    </w:p>
    <w:p w:rsidR="00C8233A" w:rsidRPr="008010C2" w:rsidRDefault="00CA6FA2" w:rsidP="009F323F">
      <w:pPr>
        <w:pStyle w:val="Heading1"/>
      </w:pPr>
      <w:bookmarkStart w:id="13" w:name="_Toc345506040"/>
      <w:r w:rsidRPr="008010C2">
        <w:t xml:space="preserve">CHANGES TO NPC MODELING SINCE THE 2011 </w:t>
      </w:r>
      <w:r>
        <w:t>RATE CASE</w:t>
      </w:r>
      <w:bookmarkEnd w:id="13"/>
    </w:p>
    <w:p w:rsidR="00C0216C" w:rsidRDefault="00C0216C" w:rsidP="00301CF0">
      <w:pPr>
        <w:pStyle w:val="BodyText2"/>
        <w:ind w:left="720" w:hanging="720"/>
        <w:jc w:val="left"/>
        <w:rPr>
          <w:b/>
        </w:rPr>
      </w:pPr>
      <w:r>
        <w:rPr>
          <w:b/>
        </w:rPr>
        <w:t>Q</w:t>
      </w:r>
      <w:r w:rsidRPr="00290358">
        <w:rPr>
          <w:b/>
        </w:rPr>
        <w:t>.</w:t>
      </w:r>
      <w:r w:rsidRPr="00290358">
        <w:rPr>
          <w:b/>
        </w:rPr>
        <w:tab/>
      </w:r>
      <w:r>
        <w:rPr>
          <w:b/>
        </w:rPr>
        <w:t xml:space="preserve">What changes has the Company made to the </w:t>
      </w:r>
      <w:r w:rsidR="00784ADF">
        <w:rPr>
          <w:b/>
        </w:rPr>
        <w:t xml:space="preserve">way it models </w:t>
      </w:r>
      <w:r>
        <w:rPr>
          <w:b/>
        </w:rPr>
        <w:t xml:space="preserve">NPC since the 2011 </w:t>
      </w:r>
      <w:r w:rsidR="00232229">
        <w:rPr>
          <w:b/>
        </w:rPr>
        <w:t>Rate Case</w:t>
      </w:r>
      <w:r>
        <w:rPr>
          <w:b/>
        </w:rPr>
        <w:t>?</w:t>
      </w:r>
    </w:p>
    <w:p w:rsidR="00C0216C" w:rsidRPr="00E834A1" w:rsidRDefault="00C0216C" w:rsidP="00C0216C">
      <w:pPr>
        <w:pStyle w:val="BodyTextIndent"/>
        <w:tabs>
          <w:tab w:val="clear" w:pos="720"/>
        </w:tabs>
        <w:jc w:val="left"/>
      </w:pPr>
      <w:r w:rsidRPr="00E834A1">
        <w:t>A.</w:t>
      </w:r>
      <w:r w:rsidRPr="00E834A1">
        <w:tab/>
      </w:r>
      <w:r w:rsidR="00CB1FC8">
        <w:t>Pro forma NPC</w:t>
      </w:r>
      <w:r w:rsidRPr="00E834A1">
        <w:t xml:space="preserve"> in the current filing </w:t>
      </w:r>
      <w:r>
        <w:t>include the following modeling assumptions</w:t>
      </w:r>
      <w:r w:rsidRPr="00E834A1">
        <w:t>:</w:t>
      </w:r>
    </w:p>
    <w:p w:rsidR="00C0216C" w:rsidRDefault="00BD3CB4" w:rsidP="007A29A8">
      <w:pPr>
        <w:pStyle w:val="BodyTextIndent"/>
        <w:widowControl/>
        <w:numPr>
          <w:ilvl w:val="0"/>
          <w:numId w:val="14"/>
        </w:numPr>
        <w:tabs>
          <w:tab w:val="clear" w:pos="720"/>
          <w:tab w:val="left" w:pos="1080"/>
        </w:tabs>
        <w:adjustRightInd/>
        <w:ind w:left="1080"/>
        <w:jc w:val="left"/>
        <w:textAlignment w:val="auto"/>
      </w:pPr>
      <w:r>
        <w:t xml:space="preserve">The </w:t>
      </w:r>
      <w:r w:rsidR="00E57C07">
        <w:t xml:space="preserve">Company modeled the </w:t>
      </w:r>
      <w:r w:rsidR="00C0216C" w:rsidRPr="000B17F4">
        <w:t>Leaning Juniper</w:t>
      </w:r>
      <w:r w:rsidR="00784ADF">
        <w:t xml:space="preserve"> and</w:t>
      </w:r>
      <w:r w:rsidR="00C0216C" w:rsidRPr="000B17F4">
        <w:t xml:space="preserve"> </w:t>
      </w:r>
      <w:proofErr w:type="spellStart"/>
      <w:r w:rsidR="00C0216C" w:rsidRPr="000B17F4">
        <w:t>Goodnoe</w:t>
      </w:r>
      <w:proofErr w:type="spellEnd"/>
      <w:r w:rsidR="00C0216C" w:rsidRPr="000B17F4">
        <w:t xml:space="preserve"> Hills </w:t>
      </w:r>
      <w:r>
        <w:t>wind projects</w:t>
      </w:r>
      <w:r w:rsidR="00784ADF">
        <w:t xml:space="preserve"> and the Chehalis plant</w:t>
      </w:r>
      <w:r>
        <w:t xml:space="preserve"> in</w:t>
      </w:r>
      <w:r w:rsidR="00C0216C" w:rsidRPr="000B17F4">
        <w:t xml:space="preserve"> </w:t>
      </w:r>
      <w:r w:rsidR="003250F9">
        <w:t>PACW</w:t>
      </w:r>
      <w:r w:rsidR="00784ADF">
        <w:t>.</w:t>
      </w:r>
    </w:p>
    <w:p w:rsidR="00C0216C" w:rsidRPr="005A4449" w:rsidRDefault="00C0216C" w:rsidP="007A29A8">
      <w:pPr>
        <w:pStyle w:val="BodyTextIndent"/>
        <w:widowControl/>
        <w:numPr>
          <w:ilvl w:val="0"/>
          <w:numId w:val="14"/>
        </w:numPr>
        <w:tabs>
          <w:tab w:val="clear" w:pos="720"/>
          <w:tab w:val="left" w:pos="1080"/>
        </w:tabs>
        <w:adjustRightInd/>
        <w:ind w:left="1080"/>
        <w:jc w:val="left"/>
        <w:textAlignment w:val="auto"/>
      </w:pPr>
      <w:r w:rsidRPr="005A4449">
        <w:t xml:space="preserve">The </w:t>
      </w:r>
      <w:r w:rsidR="00E57C07">
        <w:t xml:space="preserve">Company adjusted the </w:t>
      </w:r>
      <w:r w:rsidRPr="005A4449">
        <w:t xml:space="preserve">monthly capacity factor for wind generation to match </w:t>
      </w:r>
      <w:r w:rsidR="00B450F0" w:rsidRPr="005A4449">
        <w:t xml:space="preserve">the average </w:t>
      </w:r>
      <w:r w:rsidRPr="005A4449">
        <w:t>48</w:t>
      </w:r>
      <w:r w:rsidR="00B450F0" w:rsidRPr="005A4449">
        <w:t>-</w:t>
      </w:r>
      <w:r w:rsidR="005A4449" w:rsidRPr="005A4449">
        <w:t>month history</w:t>
      </w:r>
      <w:r w:rsidR="005A4449">
        <w:t xml:space="preserve"> of wind generation output</w:t>
      </w:r>
      <w:r w:rsidRPr="005A4449">
        <w:t>.</w:t>
      </w:r>
    </w:p>
    <w:p w:rsidR="00C0216C" w:rsidRPr="000B17F4" w:rsidRDefault="00C0216C" w:rsidP="007A29A8">
      <w:pPr>
        <w:pStyle w:val="BodyTextIndent"/>
        <w:widowControl/>
        <w:numPr>
          <w:ilvl w:val="0"/>
          <w:numId w:val="14"/>
        </w:numPr>
        <w:tabs>
          <w:tab w:val="clear" w:pos="720"/>
          <w:tab w:val="left" w:pos="1080"/>
        </w:tabs>
        <w:adjustRightInd/>
        <w:ind w:left="1080"/>
        <w:jc w:val="left"/>
        <w:textAlignment w:val="auto"/>
      </w:pPr>
      <w:r>
        <w:t>Hydro generation is modeled on a weekly rather than hourly basis</w:t>
      </w:r>
      <w:r w:rsidR="00042DD9">
        <w:t xml:space="preserve">, </w:t>
      </w:r>
      <w:r w:rsidR="0019527B">
        <w:t xml:space="preserve">and forced outages are reflected as a </w:t>
      </w:r>
      <w:r w:rsidR="0095400C">
        <w:t>percentage reduction</w:t>
      </w:r>
      <w:r w:rsidR="0019527B">
        <w:t xml:space="preserve"> to available capacity at hydro units with storage capability</w:t>
      </w:r>
      <w:r>
        <w:t>.</w:t>
      </w:r>
    </w:p>
    <w:p w:rsidR="00C0216C" w:rsidRDefault="00C0216C" w:rsidP="007A29A8">
      <w:pPr>
        <w:pStyle w:val="BodyTextIndent"/>
        <w:widowControl/>
        <w:numPr>
          <w:ilvl w:val="0"/>
          <w:numId w:val="14"/>
        </w:numPr>
        <w:tabs>
          <w:tab w:val="clear" w:pos="720"/>
          <w:tab w:val="left" w:pos="1080"/>
        </w:tabs>
        <w:adjustRightInd/>
        <w:ind w:left="1080"/>
        <w:jc w:val="left"/>
        <w:textAlignment w:val="auto"/>
      </w:pPr>
      <w:r>
        <w:t>The Company</w:t>
      </w:r>
      <w:r w:rsidR="00E57C07">
        <w:t xml:space="preserve"> included it</w:t>
      </w:r>
      <w:r>
        <w:t>s right</w:t>
      </w:r>
      <w:r w:rsidR="0019527B">
        <w:t>s to</w:t>
      </w:r>
      <w:r>
        <w:t xml:space="preserve"> the DC Intertie </w:t>
      </w:r>
      <w:r w:rsidR="0012562E">
        <w:t>transmission line</w:t>
      </w:r>
      <w:r w:rsidR="00CA6FA2">
        <w:t xml:space="preserve"> and</w:t>
      </w:r>
      <w:r w:rsidR="0012562E">
        <w:t xml:space="preserve"> its access to </w:t>
      </w:r>
      <w:r w:rsidR="005A4449">
        <w:t xml:space="preserve">the </w:t>
      </w:r>
      <w:r>
        <w:t xml:space="preserve">NOB market hub </w:t>
      </w:r>
      <w:r w:rsidR="00BA4EB9">
        <w:t>in</w:t>
      </w:r>
      <w:r w:rsidR="00CA03BB">
        <w:t xml:space="preserve"> the GRID topology.</w:t>
      </w:r>
    </w:p>
    <w:p w:rsidR="008010C2" w:rsidRPr="00867E29" w:rsidRDefault="002933BD" w:rsidP="007A29A8">
      <w:pPr>
        <w:pStyle w:val="BodyTextIndent"/>
        <w:widowControl/>
        <w:numPr>
          <w:ilvl w:val="0"/>
          <w:numId w:val="14"/>
        </w:numPr>
        <w:tabs>
          <w:tab w:val="clear" w:pos="720"/>
          <w:tab w:val="left" w:pos="1080"/>
        </w:tabs>
        <w:adjustRightInd/>
        <w:ind w:left="1080"/>
        <w:jc w:val="left"/>
        <w:textAlignment w:val="auto"/>
      </w:pPr>
      <w:r w:rsidRPr="00867E29">
        <w:t xml:space="preserve">The </w:t>
      </w:r>
      <w:r w:rsidR="00E57C07">
        <w:t xml:space="preserve">Company included the </w:t>
      </w:r>
      <w:r w:rsidRPr="00867E29">
        <w:t xml:space="preserve">cost of holding reserves to integrate </w:t>
      </w:r>
      <w:r w:rsidR="00867E29">
        <w:t>non-owned</w:t>
      </w:r>
      <w:r w:rsidRPr="00867E29">
        <w:t xml:space="preserve"> wind </w:t>
      </w:r>
      <w:r w:rsidR="00867E29">
        <w:t xml:space="preserve">facilities located in the </w:t>
      </w:r>
      <w:r w:rsidR="0067068F">
        <w:t>PACW</w:t>
      </w:r>
      <w:r w:rsidR="00164D61">
        <w:t xml:space="preserve">, </w:t>
      </w:r>
      <w:r w:rsidR="00E57C07">
        <w:t xml:space="preserve">and </w:t>
      </w:r>
      <w:r w:rsidR="00867E29">
        <w:t>propos</w:t>
      </w:r>
      <w:r w:rsidR="009164C9">
        <w:t>es</w:t>
      </w:r>
      <w:r w:rsidR="00867E29">
        <w:t xml:space="preserve"> to </w:t>
      </w:r>
      <w:r w:rsidR="00164D61">
        <w:t>credit to customers</w:t>
      </w:r>
      <w:r w:rsidR="00867E29">
        <w:t xml:space="preserve"> related revenue from the Company’s </w:t>
      </w:r>
      <w:r w:rsidR="006F0D33">
        <w:t xml:space="preserve">transmission </w:t>
      </w:r>
      <w:r w:rsidR="00867E29">
        <w:t>rate case at the Federal Energy Regulatory Commission (FERC) through the proposed PCAM</w:t>
      </w:r>
      <w:r w:rsidR="00CA03BB">
        <w:t>.</w:t>
      </w:r>
    </w:p>
    <w:p w:rsidR="008010C2" w:rsidRDefault="008010C2" w:rsidP="009F323F">
      <w:pPr>
        <w:pStyle w:val="Heading2"/>
        <w:spacing w:after="0" w:line="480" w:lineRule="auto"/>
      </w:pPr>
      <w:bookmarkStart w:id="14" w:name="_Toc345506041"/>
      <w:r>
        <w:t xml:space="preserve">Inclusion of the Leaning Juniper and </w:t>
      </w:r>
      <w:proofErr w:type="spellStart"/>
      <w:r>
        <w:t>Goodnoe</w:t>
      </w:r>
      <w:proofErr w:type="spellEnd"/>
      <w:r>
        <w:t xml:space="preserve"> Hills Wind Projects and the Chehalis Plant in </w:t>
      </w:r>
      <w:r w:rsidR="00CA03BB">
        <w:t>PACW</w:t>
      </w:r>
      <w:bookmarkEnd w:id="14"/>
    </w:p>
    <w:p w:rsidR="00784ADF" w:rsidRDefault="00784ADF" w:rsidP="00232229">
      <w:pPr>
        <w:spacing w:line="480" w:lineRule="auto"/>
        <w:ind w:left="720" w:hanging="720"/>
        <w:jc w:val="left"/>
        <w:rPr>
          <w:b/>
          <w:bCs/>
        </w:rPr>
      </w:pPr>
      <w:r>
        <w:rPr>
          <w:b/>
          <w:bCs/>
        </w:rPr>
        <w:t>Q.</w:t>
      </w:r>
      <w:r>
        <w:rPr>
          <w:b/>
          <w:bCs/>
        </w:rPr>
        <w:tab/>
        <w:t xml:space="preserve">What is the impact of including the Leaning Juniper, </w:t>
      </w:r>
      <w:proofErr w:type="spellStart"/>
      <w:r>
        <w:rPr>
          <w:b/>
          <w:bCs/>
        </w:rPr>
        <w:t>Goodnoe</w:t>
      </w:r>
      <w:proofErr w:type="spellEnd"/>
      <w:r>
        <w:rPr>
          <w:b/>
          <w:bCs/>
        </w:rPr>
        <w:t xml:space="preserve"> Hills, and Chehalis plants in </w:t>
      </w:r>
      <w:r w:rsidR="003250F9">
        <w:rPr>
          <w:b/>
          <w:bCs/>
        </w:rPr>
        <w:t>PACW</w:t>
      </w:r>
      <w:r>
        <w:rPr>
          <w:b/>
          <w:bCs/>
        </w:rPr>
        <w:t>?</w:t>
      </w:r>
    </w:p>
    <w:p w:rsidR="00784ADF" w:rsidRDefault="005A4449" w:rsidP="00232229">
      <w:pPr>
        <w:spacing w:line="480" w:lineRule="auto"/>
        <w:ind w:left="720" w:hanging="720"/>
        <w:jc w:val="left"/>
      </w:pPr>
      <w:r>
        <w:rPr>
          <w:bCs/>
        </w:rPr>
        <w:t>A.</w:t>
      </w:r>
      <w:r>
        <w:rPr>
          <w:bCs/>
        </w:rPr>
        <w:tab/>
        <w:t>Since each of these plants was procured by the Company</w:t>
      </w:r>
      <w:r w:rsidR="00E57C07">
        <w:rPr>
          <w:bCs/>
        </w:rPr>
        <w:t>,</w:t>
      </w:r>
      <w:r>
        <w:rPr>
          <w:bCs/>
        </w:rPr>
        <w:t xml:space="preserve"> they have been electrically connected to BPA’s </w:t>
      </w:r>
      <w:r w:rsidR="00D371B2">
        <w:rPr>
          <w:bCs/>
        </w:rPr>
        <w:t xml:space="preserve">balancing </w:t>
      </w:r>
      <w:r w:rsidR="00CA03BB">
        <w:rPr>
          <w:bCs/>
        </w:rPr>
        <w:t xml:space="preserve">authority </w:t>
      </w:r>
      <w:r>
        <w:rPr>
          <w:bCs/>
        </w:rPr>
        <w:t>area.  Starting in 2013</w:t>
      </w:r>
      <w:r w:rsidR="00E57C07">
        <w:rPr>
          <w:bCs/>
        </w:rPr>
        <w:t>,</w:t>
      </w:r>
      <w:r>
        <w:rPr>
          <w:bCs/>
        </w:rPr>
        <w:t xml:space="preserve"> the </w:t>
      </w:r>
      <w:r w:rsidR="00E57C07">
        <w:rPr>
          <w:bCs/>
        </w:rPr>
        <w:t xml:space="preserve">Company will have the </w:t>
      </w:r>
      <w:r>
        <w:rPr>
          <w:bCs/>
        </w:rPr>
        <w:t>necessary capital upgrades and cont</w:t>
      </w:r>
      <w:r w:rsidR="006E29BC">
        <w:rPr>
          <w:bCs/>
        </w:rPr>
        <w:t xml:space="preserve">ractual arrangements with BPA </w:t>
      </w:r>
      <w:r w:rsidR="00E57C07">
        <w:rPr>
          <w:bCs/>
        </w:rPr>
        <w:t xml:space="preserve">to </w:t>
      </w:r>
      <w:r>
        <w:rPr>
          <w:bCs/>
        </w:rPr>
        <w:t>enabl</w:t>
      </w:r>
      <w:r w:rsidR="00E57C07">
        <w:rPr>
          <w:bCs/>
        </w:rPr>
        <w:t>e</w:t>
      </w:r>
      <w:r>
        <w:rPr>
          <w:bCs/>
        </w:rPr>
        <w:t xml:space="preserve"> the Company to operate each </w:t>
      </w:r>
      <w:r w:rsidR="000E0E40">
        <w:rPr>
          <w:bCs/>
        </w:rPr>
        <w:t xml:space="preserve">plant </w:t>
      </w:r>
      <w:r>
        <w:rPr>
          <w:bCs/>
        </w:rPr>
        <w:t xml:space="preserve">within </w:t>
      </w:r>
      <w:r w:rsidR="003250F9">
        <w:rPr>
          <w:bCs/>
        </w:rPr>
        <w:t>PACW</w:t>
      </w:r>
      <w:r>
        <w:rPr>
          <w:bCs/>
        </w:rPr>
        <w:t xml:space="preserve">.  For the wind plants, this change </w:t>
      </w:r>
      <w:r w:rsidR="00784ADF">
        <w:t xml:space="preserve">avoids expenses previously paid to BPA for wind integration and </w:t>
      </w:r>
      <w:r w:rsidR="000E0E40">
        <w:t xml:space="preserve">avoids potential </w:t>
      </w:r>
      <w:r w:rsidR="000E0E40" w:rsidRPr="00F976EB">
        <w:t xml:space="preserve">curtailment by BPA under </w:t>
      </w:r>
      <w:r w:rsidR="00BA4EB9" w:rsidRPr="00F976EB">
        <w:t>Dispatch Standing Order (</w:t>
      </w:r>
      <w:r w:rsidR="000E0E40" w:rsidRPr="00F976EB">
        <w:t>DSO</w:t>
      </w:r>
      <w:r w:rsidR="00BA4EB9" w:rsidRPr="00F976EB">
        <w:t xml:space="preserve">) </w:t>
      </w:r>
      <w:r w:rsidR="000E0E40" w:rsidRPr="00F976EB">
        <w:t>216</w:t>
      </w:r>
      <w:r w:rsidR="00BC36C1">
        <w:t xml:space="preserve"> and Oversupply Management Protocol (OMP)</w:t>
      </w:r>
      <w:r w:rsidR="000E0E40">
        <w:t xml:space="preserve">.  For Chehalis, this change </w:t>
      </w:r>
      <w:r>
        <w:t xml:space="preserve">allows PacifiCorp to </w:t>
      </w:r>
      <w:r w:rsidR="001065B8">
        <w:t xml:space="preserve">avoid </w:t>
      </w:r>
      <w:r w:rsidR="0019527B">
        <w:t xml:space="preserve">certain </w:t>
      </w:r>
      <w:r w:rsidR="001065B8">
        <w:t xml:space="preserve">transmission-related expenses and </w:t>
      </w:r>
      <w:r>
        <w:t xml:space="preserve">utilize </w:t>
      </w:r>
      <w:r w:rsidR="001065B8">
        <w:t>the plant</w:t>
      </w:r>
      <w:r>
        <w:t xml:space="preserve"> to provide reserve capacity.</w:t>
      </w:r>
    </w:p>
    <w:p w:rsidR="008010C2" w:rsidRDefault="008010C2" w:rsidP="009F323F">
      <w:pPr>
        <w:pStyle w:val="Heading2"/>
        <w:spacing w:after="0" w:line="480" w:lineRule="auto"/>
      </w:pPr>
      <w:bookmarkStart w:id="15" w:name="_Toc345506042"/>
      <w:r>
        <w:t>Adjustment of the Monthly Capacity Factor for Wind Generation to Match the Average 48-Month History of Wind Generation Output</w:t>
      </w:r>
      <w:bookmarkEnd w:id="15"/>
    </w:p>
    <w:p w:rsidR="00A82A34" w:rsidRDefault="00A82A34" w:rsidP="00A82A34">
      <w:pPr>
        <w:spacing w:line="480" w:lineRule="auto"/>
        <w:ind w:left="720" w:hanging="720"/>
        <w:jc w:val="left"/>
        <w:rPr>
          <w:b/>
          <w:bCs/>
        </w:rPr>
      </w:pPr>
      <w:r>
        <w:rPr>
          <w:b/>
          <w:bCs/>
        </w:rPr>
        <w:t>Q.</w:t>
      </w:r>
      <w:r>
        <w:rPr>
          <w:b/>
          <w:bCs/>
        </w:rPr>
        <w:tab/>
        <w:t>Please explain how the Company</w:t>
      </w:r>
      <w:r w:rsidR="00784ADF">
        <w:rPr>
          <w:b/>
          <w:bCs/>
        </w:rPr>
        <w:t xml:space="preserve"> used historical wind output to calculate the wind generation in </w:t>
      </w:r>
      <w:r w:rsidR="00CA03BB">
        <w:rPr>
          <w:b/>
          <w:bCs/>
        </w:rPr>
        <w:t>this case</w:t>
      </w:r>
      <w:r>
        <w:rPr>
          <w:b/>
          <w:bCs/>
        </w:rPr>
        <w:t>.</w:t>
      </w:r>
    </w:p>
    <w:p w:rsidR="00D240D0" w:rsidRDefault="00A82A34" w:rsidP="00A82A34">
      <w:pPr>
        <w:spacing w:line="480" w:lineRule="auto"/>
        <w:ind w:left="720" w:hanging="720"/>
        <w:jc w:val="left"/>
        <w:rPr>
          <w:bCs/>
        </w:rPr>
      </w:pPr>
      <w:r>
        <w:rPr>
          <w:bCs/>
        </w:rPr>
        <w:t>A.</w:t>
      </w:r>
      <w:r>
        <w:rPr>
          <w:bCs/>
        </w:rPr>
        <w:tab/>
        <w:t>In this case</w:t>
      </w:r>
      <w:r w:rsidR="00164D61">
        <w:rPr>
          <w:bCs/>
        </w:rPr>
        <w:t>,</w:t>
      </w:r>
      <w:r>
        <w:rPr>
          <w:bCs/>
        </w:rPr>
        <w:t xml:space="preserve"> the Company is using historical monthly wind capacity factors, where available, to project the normalized wind generation</w:t>
      </w:r>
      <w:r w:rsidR="00CA03BB">
        <w:rPr>
          <w:bCs/>
        </w:rPr>
        <w:t xml:space="preserve"> for calendar year 2014.  In </w:t>
      </w:r>
      <w:r>
        <w:rPr>
          <w:bCs/>
        </w:rPr>
        <w:t xml:space="preserve">past cases, wind generation was included in GRID based on a </w:t>
      </w:r>
      <w:r w:rsidR="00D240D0">
        <w:rPr>
          <w:bCs/>
        </w:rPr>
        <w:t>“</w:t>
      </w:r>
      <w:r>
        <w:rPr>
          <w:bCs/>
        </w:rPr>
        <w:t>P50</w:t>
      </w:r>
      <w:r w:rsidR="00D240D0">
        <w:rPr>
          <w:bCs/>
        </w:rPr>
        <w:t>”</w:t>
      </w:r>
      <w:r>
        <w:rPr>
          <w:bCs/>
        </w:rPr>
        <w:t xml:space="preserve"> forecast</w:t>
      </w:r>
      <w:r w:rsidR="00D240D0">
        <w:rPr>
          <w:bCs/>
        </w:rPr>
        <w:t xml:space="preserve">.  A P50 forecast projects </w:t>
      </w:r>
      <w:r>
        <w:rPr>
          <w:bCs/>
        </w:rPr>
        <w:t xml:space="preserve">generation </w:t>
      </w:r>
      <w:r w:rsidR="00433244">
        <w:rPr>
          <w:bCs/>
        </w:rPr>
        <w:t>at a lev</w:t>
      </w:r>
      <w:r w:rsidR="0032522C">
        <w:rPr>
          <w:bCs/>
        </w:rPr>
        <w:t>e</w:t>
      </w:r>
      <w:r w:rsidR="00D240D0">
        <w:rPr>
          <w:bCs/>
        </w:rPr>
        <w:t>l</w:t>
      </w:r>
      <w:r>
        <w:rPr>
          <w:bCs/>
        </w:rPr>
        <w:t xml:space="preserve"> </w:t>
      </w:r>
      <w:r w:rsidR="00D240D0">
        <w:rPr>
          <w:bCs/>
        </w:rPr>
        <w:t xml:space="preserve">that is </w:t>
      </w:r>
      <w:r>
        <w:rPr>
          <w:bCs/>
        </w:rPr>
        <w:t xml:space="preserve">expected to have an equal probability of being higher or lower than forecast.  </w:t>
      </w:r>
      <w:r w:rsidR="00A72471">
        <w:rPr>
          <w:bCs/>
        </w:rPr>
        <w:t>T</w:t>
      </w:r>
      <w:r>
        <w:rPr>
          <w:bCs/>
        </w:rPr>
        <w:t xml:space="preserve">he Company </w:t>
      </w:r>
      <w:r w:rsidR="00A72471">
        <w:rPr>
          <w:bCs/>
        </w:rPr>
        <w:t xml:space="preserve">used this approach because it </w:t>
      </w:r>
      <w:r>
        <w:rPr>
          <w:bCs/>
        </w:rPr>
        <w:t xml:space="preserve">did not have </w:t>
      </w:r>
      <w:r w:rsidR="00A72471">
        <w:rPr>
          <w:bCs/>
        </w:rPr>
        <w:t xml:space="preserve">enough </w:t>
      </w:r>
      <w:r>
        <w:rPr>
          <w:bCs/>
        </w:rPr>
        <w:t xml:space="preserve">historical data </w:t>
      </w:r>
      <w:r w:rsidR="00A72471">
        <w:rPr>
          <w:bCs/>
        </w:rPr>
        <w:t>upon which to base a</w:t>
      </w:r>
      <w:r>
        <w:rPr>
          <w:bCs/>
        </w:rPr>
        <w:t xml:space="preserve"> forecasted level of wi</w:t>
      </w:r>
      <w:r w:rsidR="00CA03BB">
        <w:rPr>
          <w:bCs/>
        </w:rPr>
        <w:t>nd generation.</w:t>
      </w:r>
    </w:p>
    <w:p w:rsidR="00CA2E5F" w:rsidRPr="00CA2E5F" w:rsidRDefault="00D240D0" w:rsidP="00CA2E5F">
      <w:pPr>
        <w:spacing w:line="480" w:lineRule="auto"/>
        <w:ind w:left="720" w:firstLine="720"/>
        <w:jc w:val="left"/>
        <w:rPr>
          <w:bCs/>
        </w:rPr>
      </w:pPr>
      <w:r>
        <w:rPr>
          <w:bCs/>
        </w:rPr>
        <w:t>F</w:t>
      </w:r>
      <w:r w:rsidR="00A82A34">
        <w:rPr>
          <w:bCs/>
        </w:rPr>
        <w:t>or many of the Company</w:t>
      </w:r>
      <w:r>
        <w:rPr>
          <w:bCs/>
        </w:rPr>
        <w:t xml:space="preserve">’s </w:t>
      </w:r>
      <w:r w:rsidR="00A82A34">
        <w:rPr>
          <w:bCs/>
        </w:rPr>
        <w:t xml:space="preserve">owned plants and </w:t>
      </w:r>
      <w:r w:rsidR="00CA03BB">
        <w:rPr>
          <w:bCs/>
        </w:rPr>
        <w:t>power purchase agreements (</w:t>
      </w:r>
      <w:r w:rsidR="00CB1FC8">
        <w:rPr>
          <w:bCs/>
        </w:rPr>
        <w:t>PPAs</w:t>
      </w:r>
      <w:r w:rsidR="00CA03BB">
        <w:rPr>
          <w:bCs/>
        </w:rPr>
        <w:t>)</w:t>
      </w:r>
      <w:r w:rsidR="00A82A34">
        <w:rPr>
          <w:bCs/>
        </w:rPr>
        <w:t>, the Company</w:t>
      </w:r>
      <w:r>
        <w:rPr>
          <w:bCs/>
        </w:rPr>
        <w:t xml:space="preserve"> now has enough data to</w:t>
      </w:r>
      <w:r w:rsidR="00A82A34">
        <w:rPr>
          <w:bCs/>
        </w:rPr>
        <w:t xml:space="preserve"> use average actual output to calculate normalized generation levels.  Where </w:t>
      </w:r>
      <w:r>
        <w:rPr>
          <w:bCs/>
        </w:rPr>
        <w:t>possible</w:t>
      </w:r>
      <w:r w:rsidR="00A82A34">
        <w:rPr>
          <w:bCs/>
        </w:rPr>
        <w:t xml:space="preserve">, the Company used the 48-month average historical generation at each wind facility in the </w:t>
      </w:r>
      <w:r w:rsidR="0067068F">
        <w:rPr>
          <w:bCs/>
        </w:rPr>
        <w:t>PACW</w:t>
      </w:r>
      <w:r w:rsidR="00A82A34">
        <w:rPr>
          <w:bCs/>
        </w:rPr>
        <w:t xml:space="preserve"> to determine the </w:t>
      </w:r>
      <w:r>
        <w:rPr>
          <w:bCs/>
        </w:rPr>
        <w:t xml:space="preserve">generation </w:t>
      </w:r>
      <w:r w:rsidR="00A82A34">
        <w:rPr>
          <w:bCs/>
        </w:rPr>
        <w:t xml:space="preserve">level.  If 48 months of historical data was not available, the </w:t>
      </w:r>
      <w:r>
        <w:rPr>
          <w:bCs/>
        </w:rPr>
        <w:t xml:space="preserve">Company used the </w:t>
      </w:r>
      <w:r w:rsidR="00A82A34">
        <w:rPr>
          <w:bCs/>
        </w:rPr>
        <w:t>P50 forecast</w:t>
      </w:r>
      <w:r>
        <w:rPr>
          <w:bCs/>
        </w:rPr>
        <w:t xml:space="preserve"> to fill in missing data.</w:t>
      </w:r>
      <w:r w:rsidR="00A82A34">
        <w:rPr>
          <w:bCs/>
        </w:rPr>
        <w:t xml:space="preserve"> </w:t>
      </w:r>
      <w:r w:rsidR="00CA03BB">
        <w:rPr>
          <w:bCs/>
        </w:rPr>
        <w:t xml:space="preserve"> </w:t>
      </w:r>
      <w:r w:rsidR="00A82A34">
        <w:rPr>
          <w:bCs/>
        </w:rPr>
        <w:t xml:space="preserve">The </w:t>
      </w:r>
      <w:r>
        <w:rPr>
          <w:bCs/>
        </w:rPr>
        <w:t xml:space="preserve">Company produced the </w:t>
      </w:r>
      <w:r w:rsidR="00A82A34">
        <w:rPr>
          <w:bCs/>
        </w:rPr>
        <w:t>generation profile by applying the ratio of actual and forecast capacity factors to the generati</w:t>
      </w:r>
      <w:r w:rsidR="00CA2E5F">
        <w:rPr>
          <w:bCs/>
        </w:rPr>
        <w:t>on profile of the P50 forecast.</w:t>
      </w:r>
    </w:p>
    <w:p w:rsidR="00A82A34" w:rsidRPr="00042DD9" w:rsidRDefault="00A82A34" w:rsidP="007A29A8">
      <w:pPr>
        <w:keepLines/>
        <w:spacing w:line="480" w:lineRule="auto"/>
        <w:ind w:left="720" w:hanging="720"/>
        <w:jc w:val="left"/>
        <w:rPr>
          <w:b/>
          <w:bCs/>
        </w:rPr>
      </w:pPr>
      <w:r w:rsidRPr="00042DD9">
        <w:rPr>
          <w:b/>
          <w:bCs/>
        </w:rPr>
        <w:t>Q.</w:t>
      </w:r>
      <w:r w:rsidRPr="00042DD9">
        <w:rPr>
          <w:b/>
          <w:bCs/>
        </w:rPr>
        <w:tab/>
        <w:t xml:space="preserve">Did the Company </w:t>
      </w:r>
      <w:proofErr w:type="gramStart"/>
      <w:r w:rsidRPr="00042DD9">
        <w:rPr>
          <w:b/>
          <w:bCs/>
        </w:rPr>
        <w:t>make</w:t>
      </w:r>
      <w:proofErr w:type="gramEnd"/>
      <w:r w:rsidRPr="00042DD9">
        <w:rPr>
          <w:b/>
          <w:bCs/>
        </w:rPr>
        <w:t xml:space="preserve"> any adjustments to the historical data for Leaning Juniper and </w:t>
      </w:r>
      <w:proofErr w:type="spellStart"/>
      <w:r w:rsidRPr="00042DD9">
        <w:rPr>
          <w:b/>
          <w:bCs/>
        </w:rPr>
        <w:t>Goodnoe</w:t>
      </w:r>
      <w:proofErr w:type="spellEnd"/>
      <w:r w:rsidRPr="00042DD9">
        <w:rPr>
          <w:b/>
          <w:bCs/>
        </w:rPr>
        <w:t xml:space="preserve"> Hills?</w:t>
      </w:r>
    </w:p>
    <w:p w:rsidR="00A82A34" w:rsidRDefault="00A82A34" w:rsidP="00A82A34">
      <w:pPr>
        <w:spacing w:line="480" w:lineRule="auto"/>
        <w:ind w:left="720" w:hanging="720"/>
        <w:jc w:val="left"/>
        <w:rPr>
          <w:bCs/>
        </w:rPr>
      </w:pPr>
      <w:r>
        <w:rPr>
          <w:bCs/>
        </w:rPr>
        <w:t>A.</w:t>
      </w:r>
      <w:r>
        <w:rPr>
          <w:bCs/>
        </w:rPr>
        <w:tab/>
        <w:t xml:space="preserve">Yes.  </w:t>
      </w:r>
      <w:r w:rsidR="000E0E40">
        <w:rPr>
          <w:bCs/>
        </w:rPr>
        <w:t>To date, t</w:t>
      </w:r>
      <w:r>
        <w:rPr>
          <w:bCs/>
        </w:rPr>
        <w:t xml:space="preserve">he Leaning Juniper and </w:t>
      </w:r>
      <w:proofErr w:type="spellStart"/>
      <w:r>
        <w:rPr>
          <w:bCs/>
        </w:rPr>
        <w:t>Goodnoe</w:t>
      </w:r>
      <w:proofErr w:type="spellEnd"/>
      <w:r>
        <w:rPr>
          <w:bCs/>
        </w:rPr>
        <w:t xml:space="preserve"> Hills wind projects have been </w:t>
      </w:r>
      <w:r w:rsidR="000E0E40">
        <w:rPr>
          <w:bCs/>
        </w:rPr>
        <w:t>operated</w:t>
      </w:r>
      <w:r>
        <w:rPr>
          <w:bCs/>
        </w:rPr>
        <w:t xml:space="preserve"> in BPA’s </w:t>
      </w:r>
      <w:r w:rsidR="00D371B2">
        <w:rPr>
          <w:bCs/>
        </w:rPr>
        <w:t xml:space="preserve">balancing </w:t>
      </w:r>
      <w:r w:rsidR="00CA03BB">
        <w:rPr>
          <w:bCs/>
        </w:rPr>
        <w:t xml:space="preserve">authority </w:t>
      </w:r>
      <w:r>
        <w:rPr>
          <w:bCs/>
        </w:rPr>
        <w:t>area</w:t>
      </w:r>
      <w:r w:rsidR="000E0E40">
        <w:rPr>
          <w:bCs/>
        </w:rPr>
        <w:t xml:space="preserve"> and subject to curtailment </w:t>
      </w:r>
      <w:r>
        <w:rPr>
          <w:bCs/>
        </w:rPr>
        <w:t>by BPA under DSO</w:t>
      </w:r>
      <w:r w:rsidR="00BA4EB9">
        <w:rPr>
          <w:bCs/>
        </w:rPr>
        <w:t xml:space="preserve"> </w:t>
      </w:r>
      <w:r>
        <w:rPr>
          <w:bCs/>
        </w:rPr>
        <w:t>216</w:t>
      </w:r>
      <w:r w:rsidR="00EA2E4C">
        <w:rPr>
          <w:bCs/>
        </w:rPr>
        <w:t xml:space="preserve"> and OMP</w:t>
      </w:r>
      <w:r>
        <w:rPr>
          <w:bCs/>
        </w:rPr>
        <w:t xml:space="preserve">.  </w:t>
      </w:r>
      <w:r w:rsidR="000E0E40">
        <w:rPr>
          <w:bCs/>
        </w:rPr>
        <w:t xml:space="preserve">Moving </w:t>
      </w:r>
      <w:r>
        <w:rPr>
          <w:bCs/>
        </w:rPr>
        <w:t xml:space="preserve">these two plants </w:t>
      </w:r>
      <w:r w:rsidR="000E0E40">
        <w:rPr>
          <w:bCs/>
        </w:rPr>
        <w:t>into</w:t>
      </w:r>
      <w:r>
        <w:rPr>
          <w:bCs/>
        </w:rPr>
        <w:t xml:space="preserve"> </w:t>
      </w:r>
      <w:r w:rsidR="003250F9">
        <w:rPr>
          <w:bCs/>
        </w:rPr>
        <w:t>PACW</w:t>
      </w:r>
      <w:r w:rsidR="00CA03BB">
        <w:rPr>
          <w:bCs/>
        </w:rPr>
        <w:t xml:space="preserve"> means they will </w:t>
      </w:r>
      <w:r>
        <w:rPr>
          <w:bCs/>
        </w:rPr>
        <w:t xml:space="preserve">no longer </w:t>
      </w:r>
      <w:r w:rsidR="000E0E40">
        <w:rPr>
          <w:bCs/>
        </w:rPr>
        <w:t xml:space="preserve">be subject </w:t>
      </w:r>
      <w:r>
        <w:rPr>
          <w:bCs/>
        </w:rPr>
        <w:t>to DSO</w:t>
      </w:r>
      <w:r w:rsidR="00BA4EB9">
        <w:rPr>
          <w:bCs/>
        </w:rPr>
        <w:t xml:space="preserve"> </w:t>
      </w:r>
      <w:r>
        <w:rPr>
          <w:bCs/>
        </w:rPr>
        <w:t xml:space="preserve">216 </w:t>
      </w:r>
      <w:r w:rsidR="00EA2E4C">
        <w:rPr>
          <w:bCs/>
        </w:rPr>
        <w:t>and OMP</w:t>
      </w:r>
      <w:r w:rsidR="003250F9">
        <w:rPr>
          <w:bCs/>
        </w:rPr>
        <w:t xml:space="preserve"> </w:t>
      </w:r>
      <w:r>
        <w:rPr>
          <w:bCs/>
        </w:rPr>
        <w:t>curtailment</w:t>
      </w:r>
      <w:r w:rsidR="00EA2E4C">
        <w:rPr>
          <w:bCs/>
        </w:rPr>
        <w:t>s</w:t>
      </w:r>
      <w:r>
        <w:rPr>
          <w:bCs/>
        </w:rPr>
        <w:t xml:space="preserve">.  To compute the </w:t>
      </w:r>
      <w:r w:rsidR="00CA03BB">
        <w:rPr>
          <w:bCs/>
        </w:rPr>
        <w:br/>
      </w:r>
      <w:r>
        <w:rPr>
          <w:bCs/>
        </w:rPr>
        <w:t xml:space="preserve">48-month history for these plants, </w:t>
      </w:r>
      <w:r w:rsidR="00D240D0">
        <w:rPr>
          <w:bCs/>
        </w:rPr>
        <w:t xml:space="preserve">the Company removed </w:t>
      </w:r>
      <w:r>
        <w:rPr>
          <w:bCs/>
        </w:rPr>
        <w:t>curtailment events</w:t>
      </w:r>
      <w:r w:rsidR="00D240D0">
        <w:rPr>
          <w:bCs/>
        </w:rPr>
        <w:t>.</w:t>
      </w:r>
    </w:p>
    <w:p w:rsidR="00A82A34" w:rsidRDefault="00A82A34" w:rsidP="00A82A34">
      <w:pPr>
        <w:spacing w:line="480" w:lineRule="auto"/>
        <w:ind w:left="720" w:hanging="720"/>
        <w:jc w:val="left"/>
        <w:rPr>
          <w:b/>
          <w:bCs/>
        </w:rPr>
      </w:pPr>
      <w:r>
        <w:rPr>
          <w:b/>
          <w:bCs/>
        </w:rPr>
        <w:t>Q.</w:t>
      </w:r>
      <w:r>
        <w:rPr>
          <w:b/>
          <w:bCs/>
        </w:rPr>
        <w:tab/>
        <w:t>What is the impact of using the adjusted historical generation rather than the P50 forecast?</w:t>
      </w:r>
    </w:p>
    <w:p w:rsidR="005F7343" w:rsidRDefault="00A82A34" w:rsidP="00BD2328">
      <w:pPr>
        <w:spacing w:line="480" w:lineRule="auto"/>
        <w:ind w:left="720" w:hanging="720"/>
        <w:jc w:val="left"/>
        <w:rPr>
          <w:bCs/>
        </w:rPr>
      </w:pPr>
      <w:r w:rsidRPr="00852AEC">
        <w:rPr>
          <w:bCs/>
        </w:rPr>
        <w:t>A.</w:t>
      </w:r>
      <w:r w:rsidRPr="00852AEC">
        <w:rPr>
          <w:bCs/>
        </w:rPr>
        <w:tab/>
        <w:t>For Company</w:t>
      </w:r>
      <w:r w:rsidR="00D240D0" w:rsidRPr="00852AEC">
        <w:rPr>
          <w:bCs/>
        </w:rPr>
        <w:t>-</w:t>
      </w:r>
      <w:r w:rsidRPr="00852AEC">
        <w:rPr>
          <w:bCs/>
        </w:rPr>
        <w:t xml:space="preserve">owned facilities, wind generation is approximately 12 percent lower than the 2011 Rate Case, which increases </w:t>
      </w:r>
      <w:r w:rsidR="0079058F">
        <w:rPr>
          <w:bCs/>
        </w:rPr>
        <w:t xml:space="preserve">Washington </w:t>
      </w:r>
      <w:r w:rsidRPr="00852AEC">
        <w:rPr>
          <w:bCs/>
        </w:rPr>
        <w:t xml:space="preserve">NPC </w:t>
      </w:r>
      <w:r w:rsidR="00D240D0" w:rsidRPr="00852AEC">
        <w:rPr>
          <w:bCs/>
        </w:rPr>
        <w:t xml:space="preserve">by </w:t>
      </w:r>
      <w:r w:rsidRPr="00852AEC">
        <w:rPr>
          <w:bCs/>
        </w:rPr>
        <w:t>approximately $</w:t>
      </w:r>
      <w:r w:rsidR="00C75FEE" w:rsidRPr="00852AEC">
        <w:rPr>
          <w:bCs/>
        </w:rPr>
        <w:t>1.0</w:t>
      </w:r>
      <w:r w:rsidR="00CA03BB">
        <w:rPr>
          <w:bCs/>
        </w:rPr>
        <w:t> </w:t>
      </w:r>
      <w:r w:rsidRPr="00852AEC">
        <w:rPr>
          <w:bCs/>
        </w:rPr>
        <w:t>million.</w:t>
      </w:r>
    </w:p>
    <w:p w:rsidR="00D620B9" w:rsidRDefault="00D620B9" w:rsidP="009F323F">
      <w:pPr>
        <w:pStyle w:val="Heading2"/>
        <w:spacing w:after="0" w:line="480" w:lineRule="auto"/>
      </w:pPr>
      <w:bookmarkStart w:id="16" w:name="_Toc345506043"/>
      <w:r>
        <w:t>Changes to the Modeling of Hydro Generation</w:t>
      </w:r>
      <w:bookmarkEnd w:id="16"/>
    </w:p>
    <w:p w:rsidR="0019527B" w:rsidRPr="00764E4A" w:rsidRDefault="0019527B" w:rsidP="00A82A34">
      <w:pPr>
        <w:spacing w:line="480" w:lineRule="auto"/>
        <w:ind w:left="720" w:hanging="720"/>
        <w:jc w:val="left"/>
        <w:rPr>
          <w:b/>
          <w:bCs/>
        </w:rPr>
      </w:pPr>
      <w:r w:rsidRPr="00764E4A">
        <w:rPr>
          <w:b/>
          <w:bCs/>
        </w:rPr>
        <w:t>Q.</w:t>
      </w:r>
      <w:r w:rsidRPr="00764E4A">
        <w:rPr>
          <w:b/>
          <w:bCs/>
        </w:rPr>
        <w:tab/>
        <w:t xml:space="preserve">Please explain why </w:t>
      </w:r>
      <w:r w:rsidR="00D240D0">
        <w:rPr>
          <w:b/>
          <w:bCs/>
        </w:rPr>
        <w:t xml:space="preserve">the Company input </w:t>
      </w:r>
      <w:r w:rsidRPr="00764E4A">
        <w:rPr>
          <w:b/>
          <w:bCs/>
        </w:rPr>
        <w:t>hydro generation into GRID on a weekly basis rather than hourly.</w:t>
      </w:r>
    </w:p>
    <w:p w:rsidR="0019527B" w:rsidRDefault="0019527B" w:rsidP="00301CF0">
      <w:pPr>
        <w:spacing w:line="480" w:lineRule="auto"/>
        <w:ind w:left="720" w:hanging="720"/>
        <w:jc w:val="left"/>
        <w:rPr>
          <w:bCs/>
        </w:rPr>
      </w:pPr>
      <w:r>
        <w:rPr>
          <w:bCs/>
        </w:rPr>
        <w:t>A.</w:t>
      </w:r>
      <w:r>
        <w:rPr>
          <w:bCs/>
        </w:rPr>
        <w:tab/>
      </w:r>
      <w:r w:rsidR="00F27048">
        <w:rPr>
          <w:bCs/>
        </w:rPr>
        <w:t>I</w:t>
      </w:r>
      <w:r w:rsidR="00F27048" w:rsidRPr="00E62E12">
        <w:rPr>
          <w:bCs/>
        </w:rPr>
        <w:t xml:space="preserve">n </w:t>
      </w:r>
      <w:r w:rsidR="004D2F9A">
        <w:rPr>
          <w:bCs/>
        </w:rPr>
        <w:t>the 201</w:t>
      </w:r>
      <w:r w:rsidR="00CB1FC8">
        <w:rPr>
          <w:bCs/>
        </w:rPr>
        <w:t>0</w:t>
      </w:r>
      <w:r w:rsidR="004D2F9A">
        <w:rPr>
          <w:bCs/>
        </w:rPr>
        <w:t xml:space="preserve"> </w:t>
      </w:r>
      <w:r w:rsidR="00232229">
        <w:rPr>
          <w:bCs/>
        </w:rPr>
        <w:t>Rate Case</w:t>
      </w:r>
      <w:r w:rsidR="00F27048" w:rsidRPr="00E62E12">
        <w:rPr>
          <w:bCs/>
        </w:rPr>
        <w:t xml:space="preserve">, the Company </w:t>
      </w:r>
      <w:r w:rsidR="00F27048">
        <w:rPr>
          <w:bCs/>
        </w:rPr>
        <w:t>u</w:t>
      </w:r>
      <w:r w:rsidR="00F27048" w:rsidRPr="00E62E12">
        <w:rPr>
          <w:bCs/>
        </w:rPr>
        <w:t>s</w:t>
      </w:r>
      <w:r w:rsidR="00F27048">
        <w:rPr>
          <w:bCs/>
        </w:rPr>
        <w:t>ed</w:t>
      </w:r>
      <w:r w:rsidR="00F27048" w:rsidRPr="00E62E12">
        <w:rPr>
          <w:bCs/>
        </w:rPr>
        <w:t xml:space="preserve"> an hourly hydro generation forecast that was shaped by the Vista model based on market price.  This method optimized the value of hydro energy, but did not account for the value of hydro reserve capability.  </w:t>
      </w:r>
      <w:r w:rsidR="00F27048">
        <w:rPr>
          <w:bCs/>
        </w:rPr>
        <w:t>In this case, t</w:t>
      </w:r>
      <w:r w:rsidR="00F27048" w:rsidRPr="00B32DDD">
        <w:rPr>
          <w:bCs/>
        </w:rPr>
        <w:t xml:space="preserve">he Vista model continues to determine the optimal weekly hydro generation based on market price.  This captures the value of the Company’s hydro storage capability.  The GRID model </w:t>
      </w:r>
      <w:r w:rsidR="00F27048">
        <w:rPr>
          <w:bCs/>
        </w:rPr>
        <w:t xml:space="preserve">then </w:t>
      </w:r>
      <w:r w:rsidR="00F27048" w:rsidRPr="00B32DDD">
        <w:rPr>
          <w:bCs/>
        </w:rPr>
        <w:t>shapes the generation within higher priced periods of each week while holding some capacity available for reserves.  These reserves would otherwise be assigned to thermal resources, such as the Jim Bridger plant, reducing economic generation and increasing market purchases.  By accounting for the value of reserves in hydro dispatch, costs are reduced and the resulting generation patterns better match the Company’s actual operations where hydro reserves are maintained throughout the day to balance rapid changes in load and wind.</w:t>
      </w:r>
      <w:r w:rsidR="00F27048" w:rsidRPr="00F27048">
        <w:rPr>
          <w:bCs/>
        </w:rPr>
        <w:t xml:space="preserve"> </w:t>
      </w:r>
      <w:r w:rsidR="00CA03BB">
        <w:rPr>
          <w:bCs/>
        </w:rPr>
        <w:t xml:space="preserve"> </w:t>
      </w:r>
      <w:r w:rsidR="00F27048" w:rsidRPr="00E62E12">
        <w:rPr>
          <w:bCs/>
        </w:rPr>
        <w:t>Over the last several years, severa</w:t>
      </w:r>
      <w:r w:rsidR="00F27048">
        <w:rPr>
          <w:bCs/>
        </w:rPr>
        <w:t xml:space="preserve">l of the Company’s Mid-Columbia </w:t>
      </w:r>
      <w:r w:rsidR="00F27048" w:rsidRPr="00E62E12">
        <w:rPr>
          <w:bCs/>
        </w:rPr>
        <w:t xml:space="preserve">hydro contracts have expired, thus increasing the importance of </w:t>
      </w:r>
      <w:r w:rsidR="000D4743">
        <w:rPr>
          <w:bCs/>
        </w:rPr>
        <w:t>the Company’s</w:t>
      </w:r>
      <w:r w:rsidR="00F27048" w:rsidRPr="00E62E12">
        <w:rPr>
          <w:bCs/>
        </w:rPr>
        <w:t xml:space="preserve"> remaining hydro reserve capability.</w:t>
      </w:r>
    </w:p>
    <w:p w:rsidR="0019527B" w:rsidRPr="00764E4A" w:rsidRDefault="0019527B" w:rsidP="0019527B">
      <w:pPr>
        <w:spacing w:line="480" w:lineRule="auto"/>
        <w:ind w:left="720" w:hanging="720"/>
        <w:jc w:val="left"/>
        <w:rPr>
          <w:b/>
          <w:bCs/>
        </w:rPr>
      </w:pPr>
      <w:r w:rsidRPr="00764E4A">
        <w:rPr>
          <w:b/>
          <w:bCs/>
        </w:rPr>
        <w:t>Q.</w:t>
      </w:r>
      <w:r w:rsidRPr="00764E4A">
        <w:rPr>
          <w:b/>
          <w:bCs/>
        </w:rPr>
        <w:tab/>
        <w:t xml:space="preserve">Are forced outages </w:t>
      </w:r>
      <w:r w:rsidR="00764E4A">
        <w:rPr>
          <w:b/>
          <w:bCs/>
        </w:rPr>
        <w:t>at</w:t>
      </w:r>
      <w:r w:rsidRPr="00764E4A">
        <w:rPr>
          <w:b/>
          <w:bCs/>
        </w:rPr>
        <w:t xml:space="preserve"> hydro facilities reflected in the resulting hydro generation?</w:t>
      </w:r>
    </w:p>
    <w:p w:rsidR="00BD2328" w:rsidRPr="00BD2328" w:rsidRDefault="0019527B" w:rsidP="00BD2328">
      <w:pPr>
        <w:spacing w:line="480" w:lineRule="auto"/>
        <w:ind w:left="720" w:hanging="720"/>
        <w:jc w:val="left"/>
        <w:rPr>
          <w:bCs/>
        </w:rPr>
      </w:pPr>
      <w:r>
        <w:rPr>
          <w:bCs/>
        </w:rPr>
        <w:t>A.</w:t>
      </w:r>
      <w:r>
        <w:rPr>
          <w:bCs/>
        </w:rPr>
        <w:tab/>
        <w:t>Yes.  Similar to the method used for thermal plants, the Company has reflected a normalized level of forced outages on hydro units with storage capability</w:t>
      </w:r>
      <w:r>
        <w:rPr>
          <w:rStyle w:val="FootnoteReference"/>
          <w:bCs/>
        </w:rPr>
        <w:footnoteReference w:id="4"/>
      </w:r>
      <w:r>
        <w:rPr>
          <w:bCs/>
        </w:rPr>
        <w:t xml:space="preserve"> as a flat percentage reduction to the available capacity across all hours</w:t>
      </w:r>
      <w:r w:rsidR="00CA03BB">
        <w:rPr>
          <w:bCs/>
        </w:rPr>
        <w:t xml:space="preserve"> of the pro forma period</w:t>
      </w:r>
      <w:r>
        <w:rPr>
          <w:bCs/>
        </w:rPr>
        <w:t xml:space="preserve">.  The </w:t>
      </w:r>
      <w:r w:rsidR="00764E4A">
        <w:rPr>
          <w:bCs/>
        </w:rPr>
        <w:t xml:space="preserve">reduction to plant </w:t>
      </w:r>
      <w:r>
        <w:rPr>
          <w:bCs/>
        </w:rPr>
        <w:t xml:space="preserve">capacity is based on a 48-month history of forced outages </w:t>
      </w:r>
      <w:r w:rsidR="00764E4A">
        <w:rPr>
          <w:bCs/>
        </w:rPr>
        <w:t>by plant</w:t>
      </w:r>
      <w:r>
        <w:rPr>
          <w:bCs/>
        </w:rPr>
        <w:t xml:space="preserve">.  </w:t>
      </w:r>
      <w:r w:rsidR="00764E4A">
        <w:rPr>
          <w:bCs/>
        </w:rPr>
        <w:t>In addition, an adjustment to reflect energy lost due to forced outages is made to hydro generation based on historical measureme</w:t>
      </w:r>
      <w:r w:rsidR="001360C2">
        <w:rPr>
          <w:bCs/>
        </w:rPr>
        <w:t>nts beginning in January 2011.</w:t>
      </w:r>
      <w:bookmarkStart w:id="17" w:name="_Toc345506044"/>
      <w:r w:rsidR="00BD2328">
        <w:br w:type="page"/>
      </w:r>
    </w:p>
    <w:p w:rsidR="00D620B9" w:rsidRDefault="00D620B9" w:rsidP="009F323F">
      <w:pPr>
        <w:pStyle w:val="Heading2"/>
        <w:spacing w:after="0" w:line="480" w:lineRule="auto"/>
      </w:pPr>
      <w:r>
        <w:t>Inclusion of the Rights to the DC Intertie Transmission Line</w:t>
      </w:r>
      <w:bookmarkEnd w:id="17"/>
    </w:p>
    <w:p w:rsidR="0019527B" w:rsidRPr="00764E4A" w:rsidRDefault="001816FE" w:rsidP="00A82A34">
      <w:pPr>
        <w:spacing w:line="480" w:lineRule="auto"/>
        <w:ind w:left="720" w:hanging="720"/>
        <w:jc w:val="left"/>
        <w:rPr>
          <w:b/>
          <w:bCs/>
        </w:rPr>
      </w:pPr>
      <w:r>
        <w:rPr>
          <w:b/>
          <w:bCs/>
        </w:rPr>
        <w:t>Q.</w:t>
      </w:r>
      <w:r>
        <w:rPr>
          <w:b/>
          <w:bCs/>
        </w:rPr>
        <w:tab/>
        <w:t xml:space="preserve">Please describe </w:t>
      </w:r>
      <w:r w:rsidR="0019527B" w:rsidRPr="00764E4A">
        <w:rPr>
          <w:b/>
          <w:bCs/>
        </w:rPr>
        <w:t>the Company</w:t>
      </w:r>
      <w:r>
        <w:rPr>
          <w:b/>
          <w:bCs/>
        </w:rPr>
        <w:t>’s</w:t>
      </w:r>
      <w:r w:rsidR="0019527B" w:rsidRPr="00764E4A">
        <w:rPr>
          <w:b/>
          <w:bCs/>
        </w:rPr>
        <w:t xml:space="preserve"> </w:t>
      </w:r>
      <w:r w:rsidR="00764E4A" w:rsidRPr="00764E4A">
        <w:rPr>
          <w:b/>
          <w:bCs/>
        </w:rPr>
        <w:t>transmission rights related to the DC Intertie.</w:t>
      </w:r>
    </w:p>
    <w:p w:rsidR="006125BE" w:rsidRDefault="00764E4A" w:rsidP="006125BE">
      <w:pPr>
        <w:spacing w:line="480" w:lineRule="auto"/>
        <w:ind w:left="720" w:hanging="720"/>
        <w:jc w:val="left"/>
        <w:rPr>
          <w:bCs/>
        </w:rPr>
      </w:pPr>
      <w:r>
        <w:rPr>
          <w:bCs/>
        </w:rPr>
        <w:t>A.</w:t>
      </w:r>
      <w:r>
        <w:rPr>
          <w:bCs/>
        </w:rPr>
        <w:tab/>
      </w:r>
      <w:r w:rsidR="006125BE">
        <w:t xml:space="preserve">The DC Intertie contract was executed 18 years ago on May 26, 1994, to provide delivery of </w:t>
      </w:r>
      <w:r w:rsidR="00EA2E4C">
        <w:t xml:space="preserve">up to </w:t>
      </w:r>
      <w:r w:rsidR="006125BE">
        <w:t xml:space="preserve">200 MW of power from Southern California Edison at NOB under Amendment 1 to the Winter Power Sales Agreement (WPSA). </w:t>
      </w:r>
      <w:r w:rsidR="00CB1FC8">
        <w:t xml:space="preserve"> </w:t>
      </w:r>
      <w:r w:rsidR="006125BE">
        <w:t xml:space="preserve">The WPSA was executed on December 14, 1993, and provided up to 422 MW of power to be delivered to the Company’s </w:t>
      </w:r>
      <w:r w:rsidR="0067068F">
        <w:t>PACW</w:t>
      </w:r>
      <w:r w:rsidR="006125BE">
        <w:t xml:space="preserve">.  At the time the WPSA was executed, the Company had sufficient transmission rights to import 222 MW of power into the </w:t>
      </w:r>
      <w:r w:rsidR="0067068F">
        <w:t>PACW</w:t>
      </w:r>
      <w:r w:rsidR="006125BE">
        <w:t>.  The agreement provided that if the Company procured additional transmission rights by June 1, 1994, then it could import the remaining 200 MW to its system.  The Company secured the remaining 200 MW of transmission rights by acquiring 200 MW of transmission capacity on the DC Intertie to the Buckley substation.  The Company terminated the WPSA effective January 1, 2002, but the DC Intertie contract r</w:t>
      </w:r>
      <w:r w:rsidR="00CA03BB">
        <w:t>emained effective by its terms.</w:t>
      </w:r>
    </w:p>
    <w:p w:rsidR="00764E4A" w:rsidRPr="006125BE" w:rsidRDefault="006125BE" w:rsidP="006125BE">
      <w:pPr>
        <w:spacing w:line="480" w:lineRule="auto"/>
        <w:ind w:left="720" w:firstLine="720"/>
        <w:jc w:val="left"/>
      </w:pPr>
      <w:r>
        <w:t xml:space="preserve">The DC Intertie agreement takes advantage of the load diversity between summer-peaking California and the winter-peaking Pacific Northwest.  The contract provides a valuable means of securing capacity and energy from California entities to </w:t>
      </w:r>
      <w:r w:rsidR="008C3900">
        <w:t xml:space="preserve">serve PacifiCorp’s </w:t>
      </w:r>
      <w:r>
        <w:t xml:space="preserve">retail loads.  Loads in California are relatively low in the winter when loads in the </w:t>
      </w:r>
      <w:r w:rsidR="00CA03BB">
        <w:t>PACW</w:t>
      </w:r>
      <w:r>
        <w:t xml:space="preserve"> and the rest of the Pacific </w:t>
      </w:r>
      <w:r w:rsidR="00CA03BB">
        <w:t>Northwest are at their highest.</w:t>
      </w:r>
    </w:p>
    <w:p w:rsidR="00764E4A" w:rsidRPr="001816FE" w:rsidRDefault="00764E4A" w:rsidP="00A82A34">
      <w:pPr>
        <w:spacing w:line="480" w:lineRule="auto"/>
        <w:ind w:left="720" w:hanging="720"/>
        <w:jc w:val="left"/>
        <w:rPr>
          <w:b/>
          <w:bCs/>
        </w:rPr>
      </w:pPr>
      <w:r w:rsidRPr="001816FE">
        <w:rPr>
          <w:b/>
          <w:bCs/>
        </w:rPr>
        <w:t>Q.</w:t>
      </w:r>
      <w:r w:rsidRPr="001816FE">
        <w:rPr>
          <w:b/>
          <w:bCs/>
        </w:rPr>
        <w:tab/>
      </w:r>
      <w:r w:rsidR="000D4743">
        <w:rPr>
          <w:b/>
          <w:bCs/>
        </w:rPr>
        <w:t xml:space="preserve">Did the Commission address </w:t>
      </w:r>
      <w:r w:rsidR="001816FE">
        <w:rPr>
          <w:b/>
          <w:bCs/>
        </w:rPr>
        <w:t>the DC Intertie costs</w:t>
      </w:r>
      <w:r w:rsidRPr="001816FE">
        <w:rPr>
          <w:b/>
          <w:bCs/>
        </w:rPr>
        <w:t xml:space="preserve"> in a previous case?</w:t>
      </w:r>
    </w:p>
    <w:p w:rsidR="007A29A8" w:rsidRDefault="00764E4A" w:rsidP="004B394A">
      <w:pPr>
        <w:spacing w:line="480" w:lineRule="auto"/>
        <w:ind w:left="720" w:hanging="720"/>
        <w:jc w:val="left"/>
        <w:rPr>
          <w:b/>
          <w:bCs/>
        </w:rPr>
      </w:pPr>
      <w:r>
        <w:rPr>
          <w:bCs/>
        </w:rPr>
        <w:t>A.</w:t>
      </w:r>
      <w:r>
        <w:rPr>
          <w:bCs/>
        </w:rPr>
        <w:tab/>
        <w:t xml:space="preserve">Yes.  </w:t>
      </w:r>
      <w:r w:rsidR="001816FE">
        <w:rPr>
          <w:bCs/>
        </w:rPr>
        <w:t xml:space="preserve">In </w:t>
      </w:r>
      <w:r w:rsidR="004D2F9A">
        <w:rPr>
          <w:bCs/>
        </w:rPr>
        <w:t xml:space="preserve">the 2010 </w:t>
      </w:r>
      <w:r w:rsidR="00232229">
        <w:rPr>
          <w:bCs/>
        </w:rPr>
        <w:t>Rate Case</w:t>
      </w:r>
      <w:r w:rsidR="004D2F9A">
        <w:rPr>
          <w:bCs/>
        </w:rPr>
        <w:t xml:space="preserve">, </w:t>
      </w:r>
      <w:r w:rsidR="001816FE">
        <w:rPr>
          <w:bCs/>
        </w:rPr>
        <w:t>the Commission adopted an adjustment to remove the cost of the DC Intertie contract on the basis that</w:t>
      </w:r>
      <w:r w:rsidR="001360C2">
        <w:rPr>
          <w:bCs/>
        </w:rPr>
        <w:t xml:space="preserve"> it was not used and useful </w:t>
      </w:r>
      <w:r w:rsidR="001816FE">
        <w:rPr>
          <w:bCs/>
        </w:rPr>
        <w:t xml:space="preserve">in that case.  </w:t>
      </w:r>
      <w:r w:rsidR="000D4743">
        <w:rPr>
          <w:bCs/>
        </w:rPr>
        <w:t>T</w:t>
      </w:r>
      <w:r w:rsidR="001816FE">
        <w:rPr>
          <w:bCs/>
        </w:rPr>
        <w:t xml:space="preserve">he premise </w:t>
      </w:r>
      <w:r w:rsidR="000D4743">
        <w:rPr>
          <w:bCs/>
        </w:rPr>
        <w:t xml:space="preserve">of the adjustment was </w:t>
      </w:r>
      <w:r w:rsidR="001816FE">
        <w:rPr>
          <w:bCs/>
        </w:rPr>
        <w:t>that</w:t>
      </w:r>
      <w:r w:rsidR="000D4743">
        <w:rPr>
          <w:bCs/>
        </w:rPr>
        <w:t xml:space="preserve"> there was no evidence that the</w:t>
      </w:r>
      <w:r w:rsidR="001816FE">
        <w:rPr>
          <w:bCs/>
        </w:rPr>
        <w:t xml:space="preserve"> DC Intertie capacity was used</w:t>
      </w:r>
      <w:r w:rsidR="0079133E" w:rsidRPr="0079133E">
        <w:rPr>
          <w:bCs/>
        </w:rPr>
        <w:t xml:space="preserve"> </w:t>
      </w:r>
      <w:r w:rsidR="0079133E">
        <w:rPr>
          <w:bCs/>
        </w:rPr>
        <w:t>because the</w:t>
      </w:r>
      <w:r w:rsidR="0079133E" w:rsidRPr="000D4743">
        <w:rPr>
          <w:bCs/>
        </w:rPr>
        <w:t xml:space="preserve"> </w:t>
      </w:r>
      <w:r w:rsidR="0079133E">
        <w:rPr>
          <w:bCs/>
        </w:rPr>
        <w:t>Company had not included NOB transactions in the GRID model</w:t>
      </w:r>
      <w:r w:rsidR="00CA03BB">
        <w:rPr>
          <w:bCs/>
        </w:rPr>
        <w:t>.</w:t>
      </w:r>
    </w:p>
    <w:p w:rsidR="001816FE" w:rsidRPr="001816FE" w:rsidRDefault="001816FE" w:rsidP="00A82A34">
      <w:pPr>
        <w:spacing w:line="480" w:lineRule="auto"/>
        <w:ind w:left="720" w:hanging="720"/>
        <w:jc w:val="left"/>
        <w:rPr>
          <w:b/>
          <w:bCs/>
        </w:rPr>
      </w:pPr>
      <w:r w:rsidRPr="001816FE">
        <w:rPr>
          <w:b/>
          <w:bCs/>
        </w:rPr>
        <w:t>Q.</w:t>
      </w:r>
      <w:r w:rsidRPr="001816FE">
        <w:rPr>
          <w:b/>
          <w:bCs/>
        </w:rPr>
        <w:tab/>
      </w:r>
      <w:r w:rsidR="00BF3566">
        <w:rPr>
          <w:b/>
          <w:bCs/>
        </w:rPr>
        <w:t>Does GRID now include transactions at the NOB wholesale market</w:t>
      </w:r>
      <w:r w:rsidRPr="001816FE">
        <w:rPr>
          <w:b/>
          <w:bCs/>
        </w:rPr>
        <w:t>?</w:t>
      </w:r>
    </w:p>
    <w:p w:rsidR="00764E4A" w:rsidRDefault="00BF3566" w:rsidP="00A82A34">
      <w:pPr>
        <w:spacing w:line="480" w:lineRule="auto"/>
        <w:ind w:left="720" w:hanging="720"/>
        <w:jc w:val="left"/>
        <w:rPr>
          <w:bCs/>
        </w:rPr>
      </w:pPr>
      <w:r>
        <w:rPr>
          <w:bCs/>
        </w:rPr>
        <w:t>A.</w:t>
      </w:r>
      <w:r>
        <w:rPr>
          <w:bCs/>
        </w:rPr>
        <w:tab/>
        <w:t>Yes.</w:t>
      </w:r>
      <w:r w:rsidR="00CA03BB">
        <w:rPr>
          <w:bCs/>
        </w:rPr>
        <w:t xml:space="preserve"> </w:t>
      </w:r>
      <w:r>
        <w:rPr>
          <w:bCs/>
        </w:rPr>
        <w:t xml:space="preserve"> The Company has updated the GRID topology to include the DC Intertie capacity and a NOB market hub, allowing GRID to make purchases at NOB to serve </w:t>
      </w:r>
      <w:r w:rsidR="0067068F">
        <w:rPr>
          <w:bCs/>
        </w:rPr>
        <w:t>PACW</w:t>
      </w:r>
      <w:r>
        <w:rPr>
          <w:bCs/>
        </w:rPr>
        <w:t xml:space="preserve"> load.  </w:t>
      </w:r>
      <w:r w:rsidR="001360C2">
        <w:rPr>
          <w:bCs/>
        </w:rPr>
        <w:t>These</w:t>
      </w:r>
      <w:r w:rsidR="0095400C">
        <w:rPr>
          <w:bCs/>
        </w:rPr>
        <w:t xml:space="preserve"> purchases are included in NPC in this case.</w:t>
      </w:r>
    </w:p>
    <w:p w:rsidR="00BF3566" w:rsidRPr="00BF3566" w:rsidRDefault="00BF3566" w:rsidP="00A82A34">
      <w:pPr>
        <w:spacing w:line="480" w:lineRule="auto"/>
        <w:ind w:left="720" w:hanging="720"/>
        <w:jc w:val="left"/>
        <w:rPr>
          <w:b/>
          <w:bCs/>
        </w:rPr>
      </w:pPr>
      <w:r w:rsidRPr="00BF3566">
        <w:rPr>
          <w:b/>
          <w:bCs/>
        </w:rPr>
        <w:t>Q.</w:t>
      </w:r>
      <w:r w:rsidRPr="00BF3566">
        <w:rPr>
          <w:b/>
          <w:bCs/>
        </w:rPr>
        <w:tab/>
        <w:t xml:space="preserve">Does the Company </w:t>
      </w:r>
      <w:proofErr w:type="gramStart"/>
      <w:r w:rsidRPr="00BF3566">
        <w:rPr>
          <w:b/>
          <w:bCs/>
        </w:rPr>
        <w:t>rely</w:t>
      </w:r>
      <w:proofErr w:type="gramEnd"/>
      <w:r w:rsidRPr="00BF3566">
        <w:rPr>
          <w:b/>
          <w:bCs/>
        </w:rPr>
        <w:t xml:space="preserve"> on the DC Intertie to operate </w:t>
      </w:r>
      <w:r w:rsidR="000769E9">
        <w:rPr>
          <w:b/>
          <w:bCs/>
        </w:rPr>
        <w:t xml:space="preserve">the </w:t>
      </w:r>
      <w:r w:rsidR="0067068F">
        <w:rPr>
          <w:b/>
          <w:bCs/>
        </w:rPr>
        <w:t>PACW</w:t>
      </w:r>
      <w:r w:rsidR="000769E9">
        <w:rPr>
          <w:b/>
          <w:bCs/>
        </w:rPr>
        <w:t>?</w:t>
      </w:r>
    </w:p>
    <w:p w:rsidR="006125BE" w:rsidRDefault="00BF3566" w:rsidP="00A82A34">
      <w:pPr>
        <w:spacing w:line="480" w:lineRule="auto"/>
        <w:ind w:left="720" w:hanging="720"/>
        <w:jc w:val="left"/>
      </w:pPr>
      <w:r>
        <w:rPr>
          <w:bCs/>
        </w:rPr>
        <w:t>A.</w:t>
      </w:r>
      <w:r>
        <w:rPr>
          <w:bCs/>
        </w:rPr>
        <w:tab/>
        <w:t xml:space="preserve">Yes.  </w:t>
      </w:r>
      <w:r w:rsidR="006125BE">
        <w:rPr>
          <w:bCs/>
        </w:rPr>
        <w:t>T</w:t>
      </w:r>
      <w:r w:rsidR="006125BE">
        <w:t xml:space="preserve">he </w:t>
      </w:r>
      <w:r w:rsidR="001360C2">
        <w:t xml:space="preserve">Company relies on the </w:t>
      </w:r>
      <w:r w:rsidR="006125BE">
        <w:t>DC Intertie for reliability purposes</w:t>
      </w:r>
      <w:r w:rsidR="007F3781">
        <w:t>.  S</w:t>
      </w:r>
      <w:r w:rsidR="006125BE">
        <w:t xml:space="preserve">imilar to the expired BPA peaking contract where the Company had the ability to increase its power deliveries next hour, the DC Intertie </w:t>
      </w:r>
      <w:r w:rsidR="0032522C">
        <w:t xml:space="preserve">enhances reliability </w:t>
      </w:r>
      <w:r w:rsidR="009164C9">
        <w:t xml:space="preserve">by giving the Company </w:t>
      </w:r>
      <w:r w:rsidR="00EA2E4C">
        <w:t xml:space="preserve">firm </w:t>
      </w:r>
      <w:r w:rsidR="006125BE">
        <w:t xml:space="preserve">access to a </w:t>
      </w:r>
      <w:r w:rsidR="00EA2E4C">
        <w:t xml:space="preserve">functioning </w:t>
      </w:r>
      <w:r w:rsidR="006125BE">
        <w:t>market</w:t>
      </w:r>
      <w:r w:rsidR="009164C9">
        <w:t xml:space="preserve">. </w:t>
      </w:r>
      <w:r w:rsidR="007F3781">
        <w:t xml:space="preserve"> It also </w:t>
      </w:r>
      <w:r w:rsidR="0032522C">
        <w:t>allows</w:t>
      </w:r>
      <w:r w:rsidR="009164C9">
        <w:t xml:space="preserve"> </w:t>
      </w:r>
      <w:r w:rsidR="006125BE">
        <w:t xml:space="preserve">additional delivery of power to serve </w:t>
      </w:r>
      <w:r w:rsidR="007F3781">
        <w:t>customers</w:t>
      </w:r>
      <w:r w:rsidR="006125BE">
        <w:t xml:space="preserve"> in the Compan</w:t>
      </w:r>
      <w:r w:rsidR="001360C2">
        <w:t>y’s central Oregon load pocket.</w:t>
      </w:r>
    </w:p>
    <w:p w:rsidR="0095400C" w:rsidRPr="0095400C" w:rsidRDefault="0095400C" w:rsidP="00A82A34">
      <w:pPr>
        <w:spacing w:line="480" w:lineRule="auto"/>
        <w:ind w:left="720" w:hanging="720"/>
        <w:jc w:val="left"/>
        <w:rPr>
          <w:b/>
          <w:bCs/>
        </w:rPr>
      </w:pPr>
      <w:r w:rsidRPr="0095400C">
        <w:rPr>
          <w:b/>
          <w:bCs/>
        </w:rPr>
        <w:t>Q.</w:t>
      </w:r>
      <w:r w:rsidRPr="0095400C">
        <w:rPr>
          <w:b/>
          <w:bCs/>
        </w:rPr>
        <w:tab/>
        <w:t xml:space="preserve">Does the Company </w:t>
      </w:r>
      <w:proofErr w:type="gramStart"/>
      <w:r w:rsidRPr="0095400C">
        <w:rPr>
          <w:b/>
          <w:bCs/>
        </w:rPr>
        <w:t>expect</w:t>
      </w:r>
      <w:proofErr w:type="gramEnd"/>
      <w:r w:rsidRPr="0095400C">
        <w:rPr>
          <w:b/>
          <w:bCs/>
        </w:rPr>
        <w:t xml:space="preserve"> to continue to </w:t>
      </w:r>
      <w:r w:rsidR="00EA2E4C">
        <w:rPr>
          <w:b/>
          <w:bCs/>
        </w:rPr>
        <w:t>rely on</w:t>
      </w:r>
      <w:r w:rsidR="00EA2E4C" w:rsidRPr="0095400C">
        <w:rPr>
          <w:b/>
          <w:bCs/>
        </w:rPr>
        <w:t xml:space="preserve"> </w:t>
      </w:r>
      <w:r w:rsidRPr="0095400C">
        <w:rPr>
          <w:b/>
          <w:bCs/>
        </w:rPr>
        <w:t>the DC Intertie capacity in the future?</w:t>
      </w:r>
    </w:p>
    <w:p w:rsidR="00BF3566" w:rsidRDefault="0095400C" w:rsidP="00A82A34">
      <w:pPr>
        <w:spacing w:line="480" w:lineRule="auto"/>
        <w:ind w:left="720" w:hanging="720"/>
        <w:jc w:val="left"/>
        <w:rPr>
          <w:bCs/>
        </w:rPr>
      </w:pPr>
      <w:r>
        <w:rPr>
          <w:bCs/>
        </w:rPr>
        <w:t>A.</w:t>
      </w:r>
      <w:r>
        <w:rPr>
          <w:bCs/>
        </w:rPr>
        <w:tab/>
        <w:t xml:space="preserve">Yes.  The 2011 IRP Update, filed </w:t>
      </w:r>
      <w:r w:rsidR="001360C2">
        <w:rPr>
          <w:bCs/>
        </w:rPr>
        <w:t xml:space="preserve">in </w:t>
      </w:r>
      <w:r>
        <w:rPr>
          <w:bCs/>
        </w:rPr>
        <w:t>March 2012, includes reliance on market purchas</w:t>
      </w:r>
      <w:r w:rsidR="001360C2">
        <w:rPr>
          <w:bCs/>
        </w:rPr>
        <w:t>es at NOB via the DC Intertie.</w:t>
      </w:r>
    </w:p>
    <w:p w:rsidR="00D620B9" w:rsidRDefault="00D620B9" w:rsidP="0079133E">
      <w:pPr>
        <w:pStyle w:val="Heading2"/>
        <w:spacing w:after="0" w:line="480" w:lineRule="auto"/>
      </w:pPr>
      <w:bookmarkStart w:id="18" w:name="_Toc345506045"/>
      <w:r>
        <w:t>Inclusion of the Cost of Holding Reserves to Integrate Non-Owned Wind Facilities Located in the West Control Area</w:t>
      </w:r>
      <w:bookmarkEnd w:id="18"/>
    </w:p>
    <w:p w:rsidR="0095400C" w:rsidRPr="0095400C" w:rsidRDefault="0095400C" w:rsidP="00A82A34">
      <w:pPr>
        <w:spacing w:line="480" w:lineRule="auto"/>
        <w:ind w:left="720" w:hanging="720"/>
        <w:jc w:val="left"/>
        <w:rPr>
          <w:b/>
          <w:bCs/>
        </w:rPr>
      </w:pPr>
      <w:r w:rsidRPr="0095400C">
        <w:rPr>
          <w:b/>
          <w:bCs/>
        </w:rPr>
        <w:t>Q.</w:t>
      </w:r>
      <w:r w:rsidRPr="0095400C">
        <w:rPr>
          <w:b/>
          <w:bCs/>
        </w:rPr>
        <w:tab/>
        <w:t xml:space="preserve">Has the Company included the cost of integrating </w:t>
      </w:r>
      <w:r w:rsidR="001438F0">
        <w:rPr>
          <w:b/>
          <w:bCs/>
        </w:rPr>
        <w:t>non-owned</w:t>
      </w:r>
      <w:r w:rsidRPr="0095400C">
        <w:rPr>
          <w:b/>
          <w:bCs/>
        </w:rPr>
        <w:t xml:space="preserve"> wind</w:t>
      </w:r>
      <w:r w:rsidR="001438F0">
        <w:rPr>
          <w:b/>
          <w:bCs/>
        </w:rPr>
        <w:t xml:space="preserve"> facilities located</w:t>
      </w:r>
      <w:r w:rsidRPr="0095400C">
        <w:rPr>
          <w:b/>
          <w:bCs/>
        </w:rPr>
        <w:t xml:space="preserve"> in </w:t>
      </w:r>
      <w:r w:rsidR="000769E9">
        <w:rPr>
          <w:b/>
          <w:bCs/>
        </w:rPr>
        <w:t>the</w:t>
      </w:r>
      <w:r w:rsidRPr="0095400C">
        <w:rPr>
          <w:b/>
          <w:bCs/>
        </w:rPr>
        <w:t xml:space="preserve"> </w:t>
      </w:r>
      <w:r w:rsidR="0067068F">
        <w:rPr>
          <w:b/>
          <w:bCs/>
        </w:rPr>
        <w:t>PACW</w:t>
      </w:r>
      <w:r w:rsidRPr="0095400C">
        <w:rPr>
          <w:b/>
          <w:bCs/>
        </w:rPr>
        <w:t>?</w:t>
      </w:r>
    </w:p>
    <w:p w:rsidR="001438F0" w:rsidRDefault="0095400C" w:rsidP="00CA2E5F">
      <w:pPr>
        <w:widowControl/>
        <w:spacing w:line="480" w:lineRule="auto"/>
        <w:ind w:left="720" w:hanging="720"/>
        <w:jc w:val="left"/>
        <w:rPr>
          <w:bCs/>
        </w:rPr>
      </w:pPr>
      <w:r>
        <w:rPr>
          <w:bCs/>
        </w:rPr>
        <w:t>A.</w:t>
      </w:r>
      <w:r>
        <w:rPr>
          <w:bCs/>
        </w:rPr>
        <w:tab/>
        <w:t xml:space="preserve">Yes.  </w:t>
      </w:r>
      <w:r w:rsidR="001E2B72" w:rsidRPr="00DF5AB1">
        <w:t xml:space="preserve">The Company is required to provide services necessary to integrate wind resources delivered by wholesale customers under federal law and as a function of being a balancing authority area.  </w:t>
      </w:r>
      <w:r w:rsidR="001E2B72">
        <w:t>C</w:t>
      </w:r>
      <w:r w:rsidR="001E2B72" w:rsidRPr="00DF5AB1">
        <w:t xml:space="preserve">ustomers benefit from the Company being a balancing authority area and the revenues associated with wheeling for wholesale customers collected through the </w:t>
      </w:r>
      <w:r w:rsidR="001E2B72">
        <w:rPr>
          <w:bCs/>
        </w:rPr>
        <w:t>Open Access Transmission Tariff (OATT)</w:t>
      </w:r>
      <w:r w:rsidR="001E2B72" w:rsidRPr="00DF5AB1">
        <w:t xml:space="preserve">. Customers also benefit by having access to Company-owned transmission for network and </w:t>
      </w:r>
      <w:r w:rsidR="009164C9">
        <w:t>point-to-point</w:t>
      </w:r>
      <w:r w:rsidR="001E2B72" w:rsidRPr="00DF5AB1">
        <w:t xml:space="preserve"> service</w:t>
      </w:r>
      <w:r w:rsidR="001E2B72">
        <w:t>,</w:t>
      </w:r>
      <w:r w:rsidR="001E2B72" w:rsidRPr="00DF5AB1">
        <w:t xml:space="preserve"> which are necessary to serve load and transact in wholesale markets.</w:t>
      </w:r>
    </w:p>
    <w:p w:rsidR="001438F0" w:rsidRPr="001438F0" w:rsidRDefault="001438F0" w:rsidP="004D2F9A">
      <w:pPr>
        <w:tabs>
          <w:tab w:val="left" w:pos="6390"/>
        </w:tabs>
        <w:spacing w:line="480" w:lineRule="auto"/>
        <w:ind w:left="720" w:hanging="720"/>
        <w:jc w:val="left"/>
        <w:rPr>
          <w:b/>
          <w:bCs/>
        </w:rPr>
      </w:pPr>
      <w:r w:rsidRPr="001438F0">
        <w:rPr>
          <w:b/>
          <w:bCs/>
        </w:rPr>
        <w:t>Q.</w:t>
      </w:r>
      <w:r w:rsidRPr="001438F0">
        <w:rPr>
          <w:b/>
          <w:bCs/>
        </w:rPr>
        <w:tab/>
        <w:t xml:space="preserve">Did the Commission address this issue in </w:t>
      </w:r>
      <w:r w:rsidR="004D2F9A">
        <w:rPr>
          <w:b/>
          <w:bCs/>
        </w:rPr>
        <w:t xml:space="preserve">the 2010 </w:t>
      </w:r>
      <w:r w:rsidR="00232229">
        <w:rPr>
          <w:b/>
          <w:bCs/>
        </w:rPr>
        <w:t>Rate Case</w:t>
      </w:r>
      <w:r w:rsidRPr="001438F0">
        <w:rPr>
          <w:b/>
          <w:bCs/>
        </w:rPr>
        <w:t>?</w:t>
      </w:r>
    </w:p>
    <w:p w:rsidR="001438F0" w:rsidRDefault="001438F0" w:rsidP="00A82A34">
      <w:pPr>
        <w:spacing w:line="480" w:lineRule="auto"/>
        <w:ind w:left="720" w:hanging="720"/>
        <w:jc w:val="left"/>
        <w:rPr>
          <w:bCs/>
        </w:rPr>
      </w:pPr>
      <w:r>
        <w:rPr>
          <w:bCs/>
        </w:rPr>
        <w:t>A.</w:t>
      </w:r>
      <w:r>
        <w:rPr>
          <w:bCs/>
        </w:rPr>
        <w:tab/>
        <w:t xml:space="preserve">Yes.  In </w:t>
      </w:r>
      <w:r w:rsidR="004D2F9A">
        <w:rPr>
          <w:bCs/>
        </w:rPr>
        <w:t xml:space="preserve">the 2010 </w:t>
      </w:r>
      <w:r w:rsidR="00232229">
        <w:rPr>
          <w:bCs/>
        </w:rPr>
        <w:t>Rate Case</w:t>
      </w:r>
      <w:r w:rsidR="004D2F9A">
        <w:rPr>
          <w:bCs/>
        </w:rPr>
        <w:t>,</w:t>
      </w:r>
      <w:r>
        <w:rPr>
          <w:bCs/>
        </w:rPr>
        <w:t xml:space="preserve"> the Commission adopted an adjustment to remove the cost of intra-hour wind integration for non-owned facilities on the basis that the costs were not known and measurable.  In addition, it reasoned that the Company’s OATT did not include a rate for wholesale wind integration and that the Company should file with the FERC for an amendment to its OATT.</w:t>
      </w:r>
    </w:p>
    <w:p w:rsidR="001438F0" w:rsidRPr="001438F0" w:rsidRDefault="001438F0" w:rsidP="00A82A34">
      <w:pPr>
        <w:spacing w:line="480" w:lineRule="auto"/>
        <w:ind w:left="720" w:hanging="720"/>
        <w:jc w:val="left"/>
        <w:rPr>
          <w:b/>
          <w:bCs/>
        </w:rPr>
      </w:pPr>
      <w:r w:rsidRPr="001438F0">
        <w:rPr>
          <w:b/>
          <w:bCs/>
        </w:rPr>
        <w:t>Q.</w:t>
      </w:r>
      <w:r w:rsidRPr="001438F0">
        <w:rPr>
          <w:b/>
          <w:bCs/>
        </w:rPr>
        <w:tab/>
        <w:t xml:space="preserve">Has the Company provided additional support </w:t>
      </w:r>
      <w:r w:rsidR="007F3781">
        <w:rPr>
          <w:b/>
          <w:bCs/>
        </w:rPr>
        <w:t>demonstrating the known and measurable nature of</w:t>
      </w:r>
      <w:r w:rsidRPr="001438F0">
        <w:rPr>
          <w:b/>
          <w:bCs/>
        </w:rPr>
        <w:t xml:space="preserve"> these costs?</w:t>
      </w:r>
    </w:p>
    <w:p w:rsidR="001438F0" w:rsidRDefault="001438F0" w:rsidP="00A82A34">
      <w:pPr>
        <w:spacing w:line="480" w:lineRule="auto"/>
        <w:ind w:left="720" w:hanging="720"/>
        <w:jc w:val="left"/>
      </w:pPr>
      <w:r>
        <w:rPr>
          <w:bCs/>
        </w:rPr>
        <w:t>A.</w:t>
      </w:r>
      <w:r>
        <w:rPr>
          <w:bCs/>
        </w:rPr>
        <w:tab/>
        <w:t>Yes.  The Company is in the process of completing its second</w:t>
      </w:r>
      <w:r w:rsidR="00E202B1">
        <w:rPr>
          <w:bCs/>
        </w:rPr>
        <w:t>, comprehensive</w:t>
      </w:r>
      <w:r>
        <w:rPr>
          <w:bCs/>
        </w:rPr>
        <w:t xml:space="preserve"> wind integration study to quantify the impact of integrating </w:t>
      </w:r>
      <w:r w:rsidR="001360C2">
        <w:rPr>
          <w:bCs/>
        </w:rPr>
        <w:t xml:space="preserve">owned and non-owned </w:t>
      </w:r>
      <w:r>
        <w:rPr>
          <w:bCs/>
        </w:rPr>
        <w:t xml:space="preserve">wind on PacifiCorp’s system.  I </w:t>
      </w:r>
      <w:r w:rsidR="008C3900">
        <w:rPr>
          <w:bCs/>
        </w:rPr>
        <w:t xml:space="preserve">discuss </w:t>
      </w:r>
      <w:r>
        <w:rPr>
          <w:bCs/>
        </w:rPr>
        <w:t xml:space="preserve">details of the most recent study later in my testimony and have provided a copy as </w:t>
      </w:r>
      <w:r w:rsidRPr="001C4772">
        <w:t>Exhibit No.__</w:t>
      </w:r>
      <w:proofErr w:type="gramStart"/>
      <w:r w:rsidRPr="001C4772">
        <w:t>_(</w:t>
      </w:r>
      <w:proofErr w:type="gramEnd"/>
      <w:r w:rsidRPr="001C4772">
        <w:t>GND-</w:t>
      </w:r>
      <w:r w:rsidR="00C75FEE" w:rsidRPr="001C4772">
        <w:t>3</w:t>
      </w:r>
      <w:r w:rsidRPr="001C4772">
        <w:t>).</w:t>
      </w:r>
    </w:p>
    <w:p w:rsidR="001E2B72" w:rsidRPr="001E2B72" w:rsidRDefault="001E2B72" w:rsidP="00A82A34">
      <w:pPr>
        <w:spacing w:line="480" w:lineRule="auto"/>
        <w:ind w:left="720" w:hanging="720"/>
        <w:jc w:val="left"/>
        <w:rPr>
          <w:b/>
        </w:rPr>
      </w:pPr>
      <w:r w:rsidRPr="001E2B72">
        <w:rPr>
          <w:b/>
        </w:rPr>
        <w:t>Q.</w:t>
      </w:r>
      <w:r w:rsidRPr="001E2B72">
        <w:rPr>
          <w:b/>
        </w:rPr>
        <w:tab/>
        <w:t>Has the Company also filed with FERC for an amendment to its OATT?</w:t>
      </w:r>
    </w:p>
    <w:p w:rsidR="00CA2E5F" w:rsidRPr="00CA2E5F" w:rsidRDefault="001E2B72" w:rsidP="00CA2E5F">
      <w:pPr>
        <w:spacing w:line="480" w:lineRule="auto"/>
        <w:ind w:left="720" w:hanging="720"/>
        <w:jc w:val="left"/>
      </w:pPr>
      <w:r>
        <w:t>A.</w:t>
      </w:r>
      <w:r>
        <w:tab/>
        <w:t xml:space="preserve">Yes.  </w:t>
      </w:r>
      <w:r w:rsidRPr="00DF5AB1">
        <w:t xml:space="preserve">The Company filed </w:t>
      </w:r>
      <w:r>
        <w:t>a</w:t>
      </w:r>
      <w:r w:rsidRPr="00DF5AB1">
        <w:t xml:space="preserve"> rate case with FERC on May 26, 2011, </w:t>
      </w:r>
      <w:r>
        <w:t>which included</w:t>
      </w:r>
      <w:r w:rsidRPr="00DF5AB1">
        <w:t xml:space="preserve"> updated charges for ancillary services needed to integrate wind, including a new Schedule 3A governing generator regulation and frequency response service.  FERC accepted the filing, suspended the filing for five months, and allowed the new rates to become effective subject to refund at the conclusion of the suspension period.  This case is currently in the settlement phase.</w:t>
      </w:r>
    </w:p>
    <w:p w:rsidR="002271F0" w:rsidRDefault="002271F0" w:rsidP="007A29A8">
      <w:pPr>
        <w:keepNext/>
        <w:keepLines/>
        <w:spacing w:line="480" w:lineRule="auto"/>
        <w:ind w:left="720" w:hanging="720"/>
        <w:jc w:val="left"/>
        <w:rPr>
          <w:b/>
        </w:rPr>
      </w:pPr>
      <w:r w:rsidRPr="002271F0">
        <w:rPr>
          <w:b/>
        </w:rPr>
        <w:t>Q.</w:t>
      </w:r>
      <w:r w:rsidRPr="002271F0">
        <w:rPr>
          <w:b/>
        </w:rPr>
        <w:tab/>
        <w:t xml:space="preserve">How does the Company </w:t>
      </w:r>
      <w:proofErr w:type="gramStart"/>
      <w:r>
        <w:rPr>
          <w:b/>
        </w:rPr>
        <w:t>propose</w:t>
      </w:r>
      <w:proofErr w:type="gramEnd"/>
      <w:r>
        <w:rPr>
          <w:b/>
        </w:rPr>
        <w:t xml:space="preserve"> to treat revenue recei</w:t>
      </w:r>
      <w:r w:rsidR="001360C2">
        <w:rPr>
          <w:b/>
        </w:rPr>
        <w:t>ved under Schedule </w:t>
      </w:r>
      <w:r>
        <w:rPr>
          <w:b/>
        </w:rPr>
        <w:t>3A?</w:t>
      </w:r>
    </w:p>
    <w:p w:rsidR="002271F0" w:rsidRDefault="002271F0" w:rsidP="00A82A34">
      <w:pPr>
        <w:spacing w:line="480" w:lineRule="auto"/>
        <w:ind w:left="720" w:hanging="720"/>
        <w:jc w:val="left"/>
      </w:pPr>
      <w:r>
        <w:t>A.</w:t>
      </w:r>
      <w:r>
        <w:tab/>
        <w:t>The Company proposes to include revenue received under Schedule 3A as an offset to NPC deferred under its proposed PCAM, starting with the effective date of new rates from this case</w:t>
      </w:r>
      <w:r w:rsidR="008C3900">
        <w:t xml:space="preserve"> and until base rates are again reset including revenue from Schedule 3A</w:t>
      </w:r>
      <w:r>
        <w:t>.  In th</w:t>
      </w:r>
      <w:r w:rsidR="000769E9">
        <w:t>is</w:t>
      </w:r>
      <w:r>
        <w:t xml:space="preserve"> manner, customers will receive credit for revenue received to cover the cost of providing </w:t>
      </w:r>
      <w:r w:rsidR="00E202B1">
        <w:t>third-party wind integration</w:t>
      </w:r>
      <w:r>
        <w:t xml:space="preserve"> service</w:t>
      </w:r>
      <w:r w:rsidR="00E202B1">
        <w:t>s</w:t>
      </w:r>
      <w:r w:rsidR="001360C2">
        <w:t>.</w:t>
      </w:r>
    </w:p>
    <w:p w:rsidR="001E2B72" w:rsidRPr="001E2B72" w:rsidRDefault="001E2B72" w:rsidP="00A82A34">
      <w:pPr>
        <w:spacing w:line="480" w:lineRule="auto"/>
        <w:ind w:left="720" w:hanging="720"/>
        <w:jc w:val="left"/>
        <w:rPr>
          <w:b/>
        </w:rPr>
      </w:pPr>
      <w:r w:rsidRPr="001E2B72">
        <w:rPr>
          <w:b/>
        </w:rPr>
        <w:t>Q.</w:t>
      </w:r>
      <w:r w:rsidRPr="001E2B72">
        <w:rPr>
          <w:b/>
        </w:rPr>
        <w:tab/>
        <w:t>Does this case</w:t>
      </w:r>
      <w:r w:rsidR="00E202B1">
        <w:rPr>
          <w:b/>
        </w:rPr>
        <w:t xml:space="preserve"> already</w:t>
      </w:r>
      <w:r w:rsidRPr="001E2B72">
        <w:rPr>
          <w:b/>
        </w:rPr>
        <w:t xml:space="preserve"> i</w:t>
      </w:r>
      <w:r w:rsidR="002271F0">
        <w:rPr>
          <w:b/>
        </w:rPr>
        <w:t xml:space="preserve">nclude </w:t>
      </w:r>
      <w:r w:rsidR="008C3900">
        <w:rPr>
          <w:b/>
        </w:rPr>
        <w:t xml:space="preserve">some </w:t>
      </w:r>
      <w:r w:rsidR="002271F0">
        <w:rPr>
          <w:b/>
        </w:rPr>
        <w:t xml:space="preserve">revenue </w:t>
      </w:r>
      <w:r w:rsidRPr="001E2B72">
        <w:rPr>
          <w:b/>
        </w:rPr>
        <w:t xml:space="preserve">to cover the cost </w:t>
      </w:r>
      <w:r w:rsidR="00E202B1">
        <w:rPr>
          <w:b/>
        </w:rPr>
        <w:t xml:space="preserve">of </w:t>
      </w:r>
      <w:r w:rsidRPr="001E2B72">
        <w:rPr>
          <w:b/>
        </w:rPr>
        <w:t>wind integration</w:t>
      </w:r>
      <w:r w:rsidR="002271F0">
        <w:rPr>
          <w:b/>
        </w:rPr>
        <w:t xml:space="preserve"> in addition to any revenue that might be received from the new Schedule 3A</w:t>
      </w:r>
      <w:r w:rsidRPr="001E2B72">
        <w:rPr>
          <w:b/>
        </w:rPr>
        <w:t>?</w:t>
      </w:r>
    </w:p>
    <w:p w:rsidR="001E2B72" w:rsidRDefault="001E2B72" w:rsidP="00A82A34">
      <w:pPr>
        <w:spacing w:line="480" w:lineRule="auto"/>
        <w:ind w:left="720" w:hanging="720"/>
        <w:jc w:val="left"/>
        <w:rPr>
          <w:highlight w:val="yellow"/>
        </w:rPr>
      </w:pPr>
      <w:r w:rsidRPr="001E2B72">
        <w:t>A.</w:t>
      </w:r>
      <w:r w:rsidRPr="001E2B72">
        <w:tab/>
        <w:t xml:space="preserve">Yes.  </w:t>
      </w:r>
      <w:r w:rsidRPr="00DF5AB1">
        <w:t xml:space="preserve">The Company has several </w:t>
      </w:r>
      <w:r>
        <w:t xml:space="preserve">commercial </w:t>
      </w:r>
      <w:r w:rsidRPr="00DF5AB1">
        <w:t xml:space="preserve">contracts in place for storage and integration of generation from non-owned wind facilities, and the related revenue is included as a revenue credit in </w:t>
      </w:r>
      <w:r>
        <w:t>FERC Account 456, Other Electric Revenue</w:t>
      </w:r>
      <w:r w:rsidRPr="00DF5AB1">
        <w:t xml:space="preserve">. </w:t>
      </w:r>
      <w:r w:rsidR="008C3900">
        <w:t>For example, t</w:t>
      </w:r>
      <w:r>
        <w:t xml:space="preserve">he </w:t>
      </w:r>
      <w:r w:rsidR="0067068F">
        <w:t>PACW</w:t>
      </w:r>
      <w:r w:rsidR="00AB5F01">
        <w:t xml:space="preserve"> </w:t>
      </w:r>
      <w:r>
        <w:t>includes a</w:t>
      </w:r>
      <w:r w:rsidRPr="00DF5AB1">
        <w:t xml:space="preserve"> </w:t>
      </w:r>
      <w:r>
        <w:t>contract with Seattle City Light related to</w:t>
      </w:r>
      <w:r w:rsidRPr="00DF5AB1">
        <w:t xml:space="preserve"> </w:t>
      </w:r>
      <w:r>
        <w:t>output from</w:t>
      </w:r>
      <w:r w:rsidRPr="00DF5AB1">
        <w:t xml:space="preserve"> the Stateline project</w:t>
      </w:r>
      <w:r w:rsidR="008C3900">
        <w:t>, and</w:t>
      </w:r>
      <w:r>
        <w:t xml:space="preserve"> </w:t>
      </w:r>
      <w:r w:rsidR="008C3900" w:rsidRPr="00852AEC">
        <w:t xml:space="preserve">approximately </w:t>
      </w:r>
      <w:r w:rsidRPr="00852AEC">
        <w:t>$</w:t>
      </w:r>
      <w:r w:rsidR="0007519E" w:rsidRPr="00852AEC">
        <w:t>2.2</w:t>
      </w:r>
      <w:r w:rsidR="008C3900" w:rsidRPr="00852AEC">
        <w:t xml:space="preserve"> </w:t>
      </w:r>
      <w:r w:rsidRPr="00852AEC">
        <w:t>million</w:t>
      </w:r>
      <w:r>
        <w:t xml:space="preserve"> of revenue on a </w:t>
      </w:r>
      <w:r w:rsidR="009701D6">
        <w:t xml:space="preserve">Washington </w:t>
      </w:r>
      <w:r>
        <w:t>basis</w:t>
      </w:r>
      <w:r w:rsidR="008C3900">
        <w:t xml:space="preserve"> is included in this case</w:t>
      </w:r>
      <w:r w:rsidR="001360C2">
        <w:t>.</w:t>
      </w:r>
    </w:p>
    <w:p w:rsidR="00AD1D2F" w:rsidRPr="00E834A1" w:rsidRDefault="001360C2" w:rsidP="0079133E">
      <w:pPr>
        <w:pStyle w:val="Heading2"/>
        <w:spacing w:after="0" w:line="480" w:lineRule="auto"/>
      </w:pPr>
      <w:bookmarkStart w:id="19" w:name="_Toc345506046"/>
      <w:r>
        <w:t xml:space="preserve">Compliance with </w:t>
      </w:r>
      <w:r w:rsidRPr="00E834A1">
        <w:t>Commission</w:t>
      </w:r>
      <w:r>
        <w:t>-</w:t>
      </w:r>
      <w:r w:rsidRPr="00E834A1">
        <w:t>Ord</w:t>
      </w:r>
      <w:r w:rsidRPr="0079133E">
        <w:t>e</w:t>
      </w:r>
      <w:r w:rsidRPr="00E834A1">
        <w:t>red Adjustments</w:t>
      </w:r>
      <w:bookmarkEnd w:id="19"/>
    </w:p>
    <w:p w:rsidR="00AD1D2F" w:rsidRPr="00E834A1" w:rsidRDefault="00AD1D2F" w:rsidP="00AD1D2F">
      <w:pPr>
        <w:pStyle w:val="BodyTextIndent"/>
        <w:tabs>
          <w:tab w:val="clear" w:pos="720"/>
        </w:tabs>
        <w:jc w:val="left"/>
        <w:rPr>
          <w:b/>
        </w:rPr>
      </w:pPr>
      <w:r w:rsidRPr="00E834A1">
        <w:rPr>
          <w:b/>
        </w:rPr>
        <w:t>Q.</w:t>
      </w:r>
      <w:r w:rsidRPr="00E834A1">
        <w:rPr>
          <w:b/>
        </w:rPr>
        <w:tab/>
        <w:t xml:space="preserve">Please describe how the Company reflected </w:t>
      </w:r>
      <w:r w:rsidR="00FB3E08">
        <w:rPr>
          <w:b/>
        </w:rPr>
        <w:t>previous</w:t>
      </w:r>
      <w:r w:rsidRPr="00E834A1">
        <w:rPr>
          <w:b/>
        </w:rPr>
        <w:t xml:space="preserve"> Commission</w:t>
      </w:r>
      <w:r w:rsidR="008C3900">
        <w:rPr>
          <w:b/>
        </w:rPr>
        <w:t>-</w:t>
      </w:r>
      <w:r w:rsidRPr="00E834A1">
        <w:rPr>
          <w:b/>
        </w:rPr>
        <w:t>ordered adjustments</w:t>
      </w:r>
      <w:r w:rsidR="008C3900">
        <w:rPr>
          <w:b/>
        </w:rPr>
        <w:t>, other than those already discussed,</w:t>
      </w:r>
      <w:r w:rsidRPr="00E834A1">
        <w:rPr>
          <w:b/>
        </w:rPr>
        <w:t xml:space="preserve"> in the current filing.</w:t>
      </w:r>
    </w:p>
    <w:p w:rsidR="00AD1D2F" w:rsidRPr="00E834A1" w:rsidRDefault="00AD1D2F" w:rsidP="00AD1D2F">
      <w:pPr>
        <w:pStyle w:val="BodyTextIndent"/>
        <w:tabs>
          <w:tab w:val="clear" w:pos="720"/>
        </w:tabs>
        <w:jc w:val="left"/>
      </w:pPr>
      <w:r w:rsidRPr="00E834A1">
        <w:t>A.</w:t>
      </w:r>
      <w:r w:rsidRPr="00E834A1">
        <w:tab/>
      </w:r>
      <w:r w:rsidR="00C02E27">
        <w:t>T</w:t>
      </w:r>
      <w:r w:rsidRPr="00E834A1">
        <w:t xml:space="preserve">he </w:t>
      </w:r>
      <w:r w:rsidR="000769E9">
        <w:t>NPC</w:t>
      </w:r>
      <w:r w:rsidRPr="00E834A1">
        <w:t xml:space="preserve"> for the pro forma period in the current filing have incorporated the </w:t>
      </w:r>
      <w:r w:rsidR="00C02E27">
        <w:t xml:space="preserve">following </w:t>
      </w:r>
      <w:r w:rsidRPr="00E834A1">
        <w:t>adjustments order</w:t>
      </w:r>
      <w:r w:rsidR="00C02E27">
        <w:t xml:space="preserve">ed by the Commission </w:t>
      </w:r>
      <w:r w:rsidR="004D2F9A">
        <w:t xml:space="preserve">in the 2010 </w:t>
      </w:r>
      <w:r w:rsidR="00232229">
        <w:t>Rate Case</w:t>
      </w:r>
      <w:r w:rsidRPr="00E834A1">
        <w:t>:</w:t>
      </w:r>
    </w:p>
    <w:p w:rsidR="00AD1D2F" w:rsidRPr="00E834A1" w:rsidRDefault="00AD1D2F" w:rsidP="007A29A8">
      <w:pPr>
        <w:pStyle w:val="BodyTextIndent"/>
        <w:widowControl/>
        <w:numPr>
          <w:ilvl w:val="0"/>
          <w:numId w:val="14"/>
        </w:numPr>
        <w:tabs>
          <w:tab w:val="clear" w:pos="720"/>
        </w:tabs>
        <w:adjustRightInd/>
        <w:ind w:left="1080"/>
        <w:jc w:val="left"/>
        <w:textAlignment w:val="auto"/>
      </w:pPr>
      <w:r w:rsidRPr="00E834A1">
        <w:t>De-optimized energy delivery of the sales contract with the Sacramento Municipal Utility District (SMUD) based on monthly delivery patterns of the four-year historical average;</w:t>
      </w:r>
    </w:p>
    <w:p w:rsidR="00AD1D2F" w:rsidRPr="00E834A1" w:rsidRDefault="00AD1D2F" w:rsidP="007A29A8">
      <w:pPr>
        <w:pStyle w:val="BodyTextIndent"/>
        <w:widowControl/>
        <w:numPr>
          <w:ilvl w:val="0"/>
          <w:numId w:val="14"/>
        </w:numPr>
        <w:tabs>
          <w:tab w:val="clear" w:pos="720"/>
          <w:tab w:val="left" w:pos="1440"/>
        </w:tabs>
        <w:adjustRightInd/>
        <w:ind w:left="1080"/>
        <w:jc w:val="left"/>
        <w:textAlignment w:val="auto"/>
      </w:pPr>
      <w:r w:rsidRPr="00E834A1">
        <w:t xml:space="preserve">Imputed outage rate of Colstrip </w:t>
      </w:r>
      <w:r w:rsidR="001360C2">
        <w:t xml:space="preserve">Unit </w:t>
      </w:r>
      <w:r w:rsidRPr="00E834A1">
        <w:t>4 at 8.0 percent;</w:t>
      </w:r>
    </w:p>
    <w:p w:rsidR="00AD1D2F" w:rsidRDefault="00AD1D2F" w:rsidP="007A29A8">
      <w:pPr>
        <w:pStyle w:val="BodyTextIndent"/>
        <w:widowControl/>
        <w:numPr>
          <w:ilvl w:val="0"/>
          <w:numId w:val="14"/>
        </w:numPr>
        <w:tabs>
          <w:tab w:val="clear" w:pos="720"/>
        </w:tabs>
        <w:adjustRightInd/>
        <w:ind w:left="1080"/>
        <w:jc w:val="left"/>
        <w:textAlignment w:val="auto"/>
      </w:pPr>
      <w:r w:rsidRPr="00E834A1">
        <w:t xml:space="preserve">Prorated wheeling expenses for Colstrip </w:t>
      </w:r>
      <w:r w:rsidR="001360C2">
        <w:t xml:space="preserve">Unit </w:t>
      </w:r>
      <w:r w:rsidRPr="00E834A1">
        <w:t xml:space="preserve">4 based on the transmission capacity from Colstrip to the </w:t>
      </w:r>
      <w:r w:rsidR="0067068F">
        <w:t>PACW</w:t>
      </w:r>
      <w:r w:rsidR="0032522C">
        <w:t xml:space="preserve">, </w:t>
      </w:r>
      <w:r w:rsidRPr="00E834A1">
        <w:t xml:space="preserve"> instead of splitting equally between </w:t>
      </w:r>
      <w:r w:rsidR="001360C2">
        <w:t>PACW and PACE</w:t>
      </w:r>
      <w:r w:rsidRPr="00E834A1">
        <w:t>;</w:t>
      </w:r>
    </w:p>
    <w:p w:rsidR="008C3900" w:rsidRPr="00E834A1" w:rsidRDefault="008C3900" w:rsidP="007A29A8">
      <w:pPr>
        <w:pStyle w:val="BodyTextIndent"/>
        <w:widowControl/>
        <w:numPr>
          <w:ilvl w:val="0"/>
          <w:numId w:val="14"/>
        </w:numPr>
        <w:tabs>
          <w:tab w:val="clear" w:pos="720"/>
        </w:tabs>
        <w:adjustRightInd/>
        <w:ind w:left="1080"/>
        <w:jc w:val="left"/>
        <w:textAlignment w:val="auto"/>
      </w:pPr>
      <w:r>
        <w:t>Included margin on arbitrage transactions based on the four-year historical average;</w:t>
      </w:r>
    </w:p>
    <w:p w:rsidR="00AD1D2F" w:rsidRPr="00E834A1" w:rsidRDefault="00AD1D2F" w:rsidP="007A29A8">
      <w:pPr>
        <w:pStyle w:val="BodyTextIndent"/>
        <w:widowControl/>
        <w:numPr>
          <w:ilvl w:val="0"/>
          <w:numId w:val="14"/>
        </w:numPr>
        <w:tabs>
          <w:tab w:val="clear" w:pos="720"/>
        </w:tabs>
        <w:adjustRightInd/>
        <w:ind w:left="1080"/>
        <w:jc w:val="left"/>
        <w:textAlignment w:val="auto"/>
      </w:pPr>
      <w:r w:rsidRPr="00E834A1">
        <w:t>Excluded non-firm transmission capability and expenses; and</w:t>
      </w:r>
    </w:p>
    <w:p w:rsidR="00AD1D2F" w:rsidRDefault="00AD1D2F" w:rsidP="007A29A8">
      <w:pPr>
        <w:pStyle w:val="BodyTextIndent"/>
        <w:widowControl/>
        <w:numPr>
          <w:ilvl w:val="0"/>
          <w:numId w:val="14"/>
        </w:numPr>
        <w:tabs>
          <w:tab w:val="clear" w:pos="720"/>
        </w:tabs>
        <w:adjustRightInd/>
        <w:ind w:left="1080"/>
        <w:jc w:val="left"/>
        <w:textAlignment w:val="auto"/>
      </w:pPr>
      <w:r w:rsidRPr="00E834A1">
        <w:t xml:space="preserve">Adjusted heat rates and minimum generation levels of the thermal plants for outage </w:t>
      </w:r>
      <w:proofErr w:type="spellStart"/>
      <w:r w:rsidRPr="00E834A1">
        <w:t>derates</w:t>
      </w:r>
      <w:proofErr w:type="spellEnd"/>
      <w:r w:rsidRPr="00E834A1">
        <w:t>.</w:t>
      </w:r>
    </w:p>
    <w:p w:rsidR="009A19BF" w:rsidRPr="00D97F61" w:rsidRDefault="00D620B9" w:rsidP="00D620B9">
      <w:pPr>
        <w:pStyle w:val="Heading1"/>
      </w:pPr>
      <w:bookmarkStart w:id="20" w:name="_Toc345506047"/>
      <w:r>
        <w:t xml:space="preserve">2012 </w:t>
      </w:r>
      <w:r w:rsidR="009A19BF">
        <w:t>W</w:t>
      </w:r>
      <w:r>
        <w:t>IND INTEGRATION STUDY</w:t>
      </w:r>
      <w:bookmarkEnd w:id="20"/>
    </w:p>
    <w:p w:rsidR="00B450F0" w:rsidRDefault="00B450F0" w:rsidP="009A19BF">
      <w:pPr>
        <w:pStyle w:val="BodyText2"/>
        <w:ind w:left="720" w:hanging="720"/>
        <w:jc w:val="left"/>
        <w:rPr>
          <w:b/>
          <w:bCs/>
        </w:rPr>
      </w:pPr>
      <w:r>
        <w:rPr>
          <w:b/>
          <w:bCs/>
        </w:rPr>
        <w:t>Q.</w:t>
      </w:r>
      <w:r>
        <w:rPr>
          <w:b/>
          <w:bCs/>
        </w:rPr>
        <w:tab/>
        <w:t xml:space="preserve">How has the Company modeled the cost of integrating wind resources in </w:t>
      </w:r>
      <w:r w:rsidR="0018653E">
        <w:rPr>
          <w:b/>
          <w:bCs/>
        </w:rPr>
        <w:t xml:space="preserve">the </w:t>
      </w:r>
      <w:r w:rsidR="0067068F">
        <w:rPr>
          <w:b/>
          <w:bCs/>
        </w:rPr>
        <w:t>PACW</w:t>
      </w:r>
      <w:r>
        <w:rPr>
          <w:b/>
          <w:bCs/>
        </w:rPr>
        <w:t>?</w:t>
      </w:r>
    </w:p>
    <w:p w:rsidR="00B450F0" w:rsidRPr="00B450F0" w:rsidRDefault="00B450F0" w:rsidP="009A19BF">
      <w:pPr>
        <w:pStyle w:val="BodyText2"/>
        <w:ind w:left="720" w:hanging="720"/>
        <w:jc w:val="left"/>
        <w:rPr>
          <w:bCs/>
        </w:rPr>
      </w:pPr>
      <w:r>
        <w:rPr>
          <w:bCs/>
        </w:rPr>
        <w:t>A.</w:t>
      </w:r>
      <w:r>
        <w:rPr>
          <w:bCs/>
        </w:rPr>
        <w:tab/>
      </w:r>
      <w:r w:rsidR="0018653E">
        <w:rPr>
          <w:bCs/>
        </w:rPr>
        <w:t xml:space="preserve">Integration costs are modeled for both inter-hour and intra-hour integration of wind resources in the </w:t>
      </w:r>
      <w:r w:rsidR="0067068F">
        <w:rPr>
          <w:bCs/>
        </w:rPr>
        <w:t>PACW</w:t>
      </w:r>
      <w:r w:rsidR="0018653E">
        <w:rPr>
          <w:bCs/>
        </w:rPr>
        <w:t xml:space="preserve">.  Intra-hour integration costs result from the Company holding reserves on its facilities to </w:t>
      </w:r>
      <w:r w:rsidR="00317228">
        <w:rPr>
          <w:bCs/>
        </w:rPr>
        <w:t>compensate for</w:t>
      </w:r>
      <w:r w:rsidR="0018653E">
        <w:rPr>
          <w:bCs/>
        </w:rPr>
        <w:t xml:space="preserve"> the minute-</w:t>
      </w:r>
      <w:r w:rsidR="00317228">
        <w:rPr>
          <w:bCs/>
        </w:rPr>
        <w:t>to-minute variation in</w:t>
      </w:r>
      <w:r w:rsidR="00366F99">
        <w:rPr>
          <w:bCs/>
        </w:rPr>
        <w:t xml:space="preserve"> wind output from facilities owned by the Company or from which the Company purchases the output, as well as </w:t>
      </w:r>
      <w:r w:rsidR="00317228">
        <w:rPr>
          <w:bCs/>
        </w:rPr>
        <w:t>third</w:t>
      </w:r>
      <w:r w:rsidR="00366F99">
        <w:rPr>
          <w:bCs/>
        </w:rPr>
        <w:t>-</w:t>
      </w:r>
      <w:r w:rsidR="00317228">
        <w:rPr>
          <w:bCs/>
        </w:rPr>
        <w:t xml:space="preserve">party wind resources </w:t>
      </w:r>
      <w:r w:rsidR="00366F99">
        <w:rPr>
          <w:bCs/>
        </w:rPr>
        <w:t xml:space="preserve">located </w:t>
      </w:r>
      <w:r w:rsidR="00317228">
        <w:rPr>
          <w:bCs/>
        </w:rPr>
        <w:t xml:space="preserve">within the </w:t>
      </w:r>
      <w:r w:rsidR="0067068F">
        <w:rPr>
          <w:bCs/>
        </w:rPr>
        <w:t>PACW</w:t>
      </w:r>
      <w:r w:rsidR="00317228">
        <w:rPr>
          <w:bCs/>
        </w:rPr>
        <w:t xml:space="preserve">.  In addition, a fixed charge per </w:t>
      </w:r>
      <w:r w:rsidR="00C17A54">
        <w:rPr>
          <w:bCs/>
        </w:rPr>
        <w:t>MWh</w:t>
      </w:r>
      <w:r w:rsidR="00317228">
        <w:rPr>
          <w:bCs/>
        </w:rPr>
        <w:t xml:space="preserve"> is included f</w:t>
      </w:r>
      <w:r w:rsidR="00366F99">
        <w:rPr>
          <w:bCs/>
        </w:rPr>
        <w:t xml:space="preserve">or the inter-hour, or system </w:t>
      </w:r>
      <w:r w:rsidR="00317228">
        <w:rPr>
          <w:bCs/>
        </w:rPr>
        <w:t>balancing</w:t>
      </w:r>
      <w:r w:rsidR="00366F99">
        <w:rPr>
          <w:bCs/>
        </w:rPr>
        <w:t>, costs and is applied to all Company-owned and purchased wind generation.</w:t>
      </w:r>
    </w:p>
    <w:p w:rsidR="009A19BF" w:rsidRDefault="009A19BF" w:rsidP="009A19BF">
      <w:pPr>
        <w:pStyle w:val="BodyText2"/>
        <w:ind w:left="720" w:hanging="720"/>
        <w:jc w:val="left"/>
        <w:rPr>
          <w:b/>
          <w:bCs/>
        </w:rPr>
      </w:pPr>
      <w:r>
        <w:rPr>
          <w:b/>
          <w:bCs/>
        </w:rPr>
        <w:t>Q.</w:t>
      </w:r>
      <w:r>
        <w:rPr>
          <w:b/>
          <w:bCs/>
        </w:rPr>
        <w:tab/>
        <w:t xml:space="preserve">Did the Company base its wind integration costs on the </w:t>
      </w:r>
      <w:r w:rsidR="00B450F0">
        <w:rPr>
          <w:b/>
          <w:bCs/>
        </w:rPr>
        <w:t xml:space="preserve">draft </w:t>
      </w:r>
      <w:r w:rsidR="003B46E9" w:rsidRPr="003B46E9">
        <w:rPr>
          <w:b/>
          <w:bCs/>
        </w:rPr>
        <w:t>2012 Wind Integration Resource Study</w:t>
      </w:r>
      <w:r>
        <w:rPr>
          <w:b/>
          <w:bCs/>
        </w:rPr>
        <w:t xml:space="preserve"> </w:t>
      </w:r>
      <w:r w:rsidR="00B5536E">
        <w:rPr>
          <w:b/>
          <w:bCs/>
        </w:rPr>
        <w:t>(</w:t>
      </w:r>
      <w:r w:rsidR="003B46E9">
        <w:rPr>
          <w:b/>
          <w:bCs/>
        </w:rPr>
        <w:t xml:space="preserve">2012 </w:t>
      </w:r>
      <w:r>
        <w:rPr>
          <w:b/>
          <w:bCs/>
        </w:rPr>
        <w:t>Wind Study</w:t>
      </w:r>
      <w:r w:rsidR="00B5536E">
        <w:rPr>
          <w:b/>
          <w:bCs/>
        </w:rPr>
        <w:t>)</w:t>
      </w:r>
      <w:r>
        <w:rPr>
          <w:b/>
          <w:bCs/>
        </w:rPr>
        <w:t>?</w:t>
      </w:r>
    </w:p>
    <w:p w:rsidR="009A19BF" w:rsidRDefault="009A19BF" w:rsidP="009A19BF">
      <w:pPr>
        <w:pStyle w:val="BodyText2"/>
        <w:ind w:left="720" w:hanging="720"/>
        <w:jc w:val="left"/>
        <w:rPr>
          <w:bCs/>
        </w:rPr>
      </w:pPr>
      <w:r>
        <w:rPr>
          <w:bCs/>
        </w:rPr>
        <w:t>A.</w:t>
      </w:r>
      <w:r>
        <w:rPr>
          <w:bCs/>
        </w:rPr>
        <w:tab/>
        <w:t xml:space="preserve">Yes.  </w:t>
      </w:r>
      <w:r w:rsidR="001737C1">
        <w:rPr>
          <w:bCs/>
        </w:rPr>
        <w:t xml:space="preserve">The </w:t>
      </w:r>
      <w:r w:rsidR="001438F0">
        <w:rPr>
          <w:bCs/>
        </w:rPr>
        <w:t xml:space="preserve">latest version of the </w:t>
      </w:r>
      <w:r w:rsidR="001737C1">
        <w:rPr>
          <w:bCs/>
        </w:rPr>
        <w:t>2012 Wind Study, published on November 15, 2012</w:t>
      </w:r>
      <w:r w:rsidR="005B5D37">
        <w:rPr>
          <w:bCs/>
        </w:rPr>
        <w:t>,</w:t>
      </w:r>
      <w:r w:rsidR="00976A05">
        <w:rPr>
          <w:rStyle w:val="FootnoteReference"/>
          <w:bCs/>
        </w:rPr>
        <w:footnoteReference w:id="5"/>
      </w:r>
      <w:r w:rsidR="001737C1">
        <w:rPr>
          <w:bCs/>
        </w:rPr>
        <w:t xml:space="preserve"> </w:t>
      </w:r>
      <w:r w:rsidR="001438F0">
        <w:rPr>
          <w:bCs/>
        </w:rPr>
        <w:t>is</w:t>
      </w:r>
      <w:r w:rsidR="001737C1">
        <w:rPr>
          <w:bCs/>
        </w:rPr>
        <w:t xml:space="preserve"> the result of an extensive public process that received guidance from a Technical Review Committee</w:t>
      </w:r>
      <w:r w:rsidR="00976A05">
        <w:rPr>
          <w:bCs/>
        </w:rPr>
        <w:t xml:space="preserve"> that included numerous subject-matter experts.</w:t>
      </w:r>
      <w:r w:rsidR="001737C1">
        <w:rPr>
          <w:bCs/>
        </w:rPr>
        <w:t xml:space="preserve"> </w:t>
      </w:r>
      <w:r w:rsidR="001360C2">
        <w:rPr>
          <w:bCs/>
        </w:rPr>
        <w:t>I </w:t>
      </w:r>
      <w:r w:rsidR="00B450F0">
        <w:rPr>
          <w:bCs/>
        </w:rPr>
        <w:t xml:space="preserve">have attached a copy of the 2012 Wind Study to my testimony as </w:t>
      </w:r>
      <w:r w:rsidR="000C32E8" w:rsidRPr="001C4772">
        <w:t>Exhibit No.__</w:t>
      </w:r>
      <w:proofErr w:type="gramStart"/>
      <w:r w:rsidR="000C32E8" w:rsidRPr="001C4772">
        <w:t>_(</w:t>
      </w:r>
      <w:proofErr w:type="gramEnd"/>
      <w:r w:rsidR="000C32E8" w:rsidRPr="001C4772">
        <w:t>GND-</w:t>
      </w:r>
      <w:r w:rsidR="0007519E" w:rsidRPr="001C4772">
        <w:t>3</w:t>
      </w:r>
      <w:r w:rsidR="000C32E8" w:rsidRPr="001C4772">
        <w:t>)</w:t>
      </w:r>
      <w:r w:rsidR="00B450F0" w:rsidRPr="001C4772">
        <w:rPr>
          <w:bCs/>
        </w:rPr>
        <w:t>.</w:t>
      </w:r>
      <w:r w:rsidR="00B450F0">
        <w:rPr>
          <w:bCs/>
        </w:rPr>
        <w:t xml:space="preserve">  </w:t>
      </w:r>
      <w:r>
        <w:rPr>
          <w:bCs/>
        </w:rPr>
        <w:t xml:space="preserve">The Company </w:t>
      </w:r>
      <w:r w:rsidR="003B46E9">
        <w:rPr>
          <w:bCs/>
        </w:rPr>
        <w:t>b</w:t>
      </w:r>
      <w:r>
        <w:rPr>
          <w:bCs/>
        </w:rPr>
        <w:t>elieve</w:t>
      </w:r>
      <w:r w:rsidR="003B46E9">
        <w:rPr>
          <w:bCs/>
        </w:rPr>
        <w:t>s</w:t>
      </w:r>
      <w:r>
        <w:rPr>
          <w:bCs/>
        </w:rPr>
        <w:t xml:space="preserve"> that the level of reserves required to integrate wind generation net of system load, as identified in the </w:t>
      </w:r>
      <w:r w:rsidR="003B46E9">
        <w:rPr>
          <w:bCs/>
        </w:rPr>
        <w:t xml:space="preserve">2012 </w:t>
      </w:r>
      <w:r w:rsidR="004B394A">
        <w:rPr>
          <w:bCs/>
        </w:rPr>
        <w:t>Wind Study, is appropriate.</w:t>
      </w:r>
    </w:p>
    <w:p w:rsidR="00FC6A74" w:rsidRDefault="00FC6A74" w:rsidP="00FC6A74">
      <w:pPr>
        <w:pStyle w:val="BodyText2"/>
        <w:keepNext/>
        <w:widowControl/>
        <w:ind w:left="720" w:hanging="720"/>
        <w:jc w:val="left"/>
        <w:rPr>
          <w:b/>
          <w:bCs/>
        </w:rPr>
      </w:pPr>
      <w:r>
        <w:rPr>
          <w:b/>
          <w:bCs/>
        </w:rPr>
        <w:t>Q.</w:t>
      </w:r>
      <w:r>
        <w:rPr>
          <w:b/>
          <w:bCs/>
        </w:rPr>
        <w:tab/>
        <w:t xml:space="preserve">Did the Company </w:t>
      </w:r>
      <w:proofErr w:type="gramStart"/>
      <w:r>
        <w:rPr>
          <w:b/>
          <w:bCs/>
        </w:rPr>
        <w:t>adjust</w:t>
      </w:r>
      <w:proofErr w:type="gramEnd"/>
      <w:r>
        <w:rPr>
          <w:b/>
          <w:bCs/>
        </w:rPr>
        <w:t xml:space="preserve"> the modeled reserve requirement to account for new wind resources?</w:t>
      </w:r>
    </w:p>
    <w:p w:rsidR="00FC6A74" w:rsidRDefault="00FC6A74" w:rsidP="00FC6A74">
      <w:pPr>
        <w:pStyle w:val="BodyText2"/>
        <w:ind w:left="720" w:hanging="720"/>
        <w:jc w:val="left"/>
        <w:rPr>
          <w:bCs/>
        </w:rPr>
      </w:pPr>
      <w:r>
        <w:rPr>
          <w:bCs/>
        </w:rPr>
        <w:t>A.</w:t>
      </w:r>
      <w:r>
        <w:rPr>
          <w:bCs/>
        </w:rPr>
        <w:tab/>
      </w:r>
      <w:r w:rsidRPr="00366F99">
        <w:rPr>
          <w:bCs/>
        </w:rPr>
        <w:t xml:space="preserve">Yes.  The reserve requirement included in the current case accounts for integrating </w:t>
      </w:r>
      <w:r>
        <w:rPr>
          <w:bCs/>
        </w:rPr>
        <w:t xml:space="preserve">all </w:t>
      </w:r>
      <w:r w:rsidRPr="00366F99">
        <w:rPr>
          <w:bCs/>
        </w:rPr>
        <w:t xml:space="preserve">additional wind capacity that </w:t>
      </w:r>
      <w:r>
        <w:rPr>
          <w:bCs/>
        </w:rPr>
        <w:t xml:space="preserve">will be online during the test period, </w:t>
      </w:r>
      <w:r w:rsidR="006E7AF0">
        <w:rPr>
          <w:bCs/>
        </w:rPr>
        <w:t xml:space="preserve">including the Leaning Juniper and </w:t>
      </w:r>
      <w:proofErr w:type="spellStart"/>
      <w:r w:rsidR="006E7AF0">
        <w:rPr>
          <w:bCs/>
        </w:rPr>
        <w:t>Goodnoe</w:t>
      </w:r>
      <w:proofErr w:type="spellEnd"/>
      <w:r w:rsidR="006E7AF0">
        <w:rPr>
          <w:bCs/>
        </w:rPr>
        <w:t xml:space="preserve"> Hills plants that will be transferred to </w:t>
      </w:r>
      <w:r w:rsidR="003250F9">
        <w:rPr>
          <w:bCs/>
        </w:rPr>
        <w:t>PACW</w:t>
      </w:r>
      <w:r w:rsidR="004B394A">
        <w:rPr>
          <w:bCs/>
        </w:rPr>
        <w:t>.</w:t>
      </w:r>
    </w:p>
    <w:p w:rsidR="00B450F0" w:rsidRDefault="00B450F0" w:rsidP="00B450F0">
      <w:pPr>
        <w:pStyle w:val="BodyText2"/>
        <w:ind w:left="720" w:hanging="720"/>
        <w:jc w:val="left"/>
        <w:rPr>
          <w:b/>
          <w:bCs/>
        </w:rPr>
      </w:pPr>
      <w:proofErr w:type="gramStart"/>
      <w:r>
        <w:rPr>
          <w:b/>
          <w:bCs/>
        </w:rPr>
        <w:t>Q.</w:t>
      </w:r>
      <w:r>
        <w:rPr>
          <w:b/>
          <w:bCs/>
        </w:rPr>
        <w:tab/>
        <w:t>What are the Company’s wind integration costs included in NPC?</w:t>
      </w:r>
      <w:proofErr w:type="gramEnd"/>
    </w:p>
    <w:p w:rsidR="00BD2328" w:rsidRDefault="00B450F0" w:rsidP="00BD2328">
      <w:pPr>
        <w:pStyle w:val="BodyText2"/>
        <w:ind w:left="720" w:hanging="720"/>
        <w:jc w:val="left"/>
        <w:rPr>
          <w:b/>
          <w:szCs w:val="20"/>
        </w:rPr>
      </w:pPr>
      <w:r>
        <w:rPr>
          <w:bCs/>
        </w:rPr>
        <w:t>A.</w:t>
      </w:r>
      <w:r>
        <w:rPr>
          <w:bCs/>
        </w:rPr>
        <w:tab/>
        <w:t xml:space="preserve">The costs of integrating wind generation in the </w:t>
      </w:r>
      <w:r w:rsidR="0067068F">
        <w:rPr>
          <w:bCs/>
        </w:rPr>
        <w:t>PACW</w:t>
      </w:r>
      <w:r>
        <w:rPr>
          <w:bCs/>
        </w:rPr>
        <w:t xml:space="preserve"> included in NPC are approximately </w:t>
      </w:r>
      <w:r w:rsidRPr="00852AEC">
        <w:rPr>
          <w:bCs/>
        </w:rPr>
        <w:t>$</w:t>
      </w:r>
      <w:r w:rsidR="00F20063" w:rsidRPr="00852AEC">
        <w:rPr>
          <w:bCs/>
        </w:rPr>
        <w:t>3.</w:t>
      </w:r>
      <w:r w:rsidR="0007519E" w:rsidRPr="00852AEC">
        <w:rPr>
          <w:bCs/>
        </w:rPr>
        <w:t xml:space="preserve">13 </w:t>
      </w:r>
      <w:r w:rsidR="00366F99" w:rsidRPr="00852AEC">
        <w:rPr>
          <w:bCs/>
        </w:rPr>
        <w:t>per</w:t>
      </w:r>
      <w:r w:rsidR="00366F99">
        <w:rPr>
          <w:bCs/>
        </w:rPr>
        <w:t xml:space="preserve"> </w:t>
      </w:r>
      <w:r w:rsidR="00C17A54">
        <w:rPr>
          <w:bCs/>
        </w:rPr>
        <w:t>MWh</w:t>
      </w:r>
      <w:r>
        <w:rPr>
          <w:bCs/>
        </w:rPr>
        <w:t>.</w:t>
      </w:r>
      <w:bookmarkStart w:id="21" w:name="_Toc345506048"/>
      <w:r w:rsidR="00BD2328">
        <w:br w:type="page"/>
      </w:r>
    </w:p>
    <w:p w:rsidR="00275BA9" w:rsidRDefault="00D620B9" w:rsidP="00D620B9">
      <w:pPr>
        <w:pStyle w:val="Heading1"/>
      </w:pPr>
      <w:r>
        <w:t>PACIFICORP’S WASHINGTON PCAM PROPOSAL</w:t>
      </w:r>
      <w:bookmarkEnd w:id="21"/>
    </w:p>
    <w:p w:rsidR="00D620B9" w:rsidRPr="00D620B9" w:rsidRDefault="00D620B9" w:rsidP="00CA2E5F">
      <w:pPr>
        <w:pStyle w:val="Heading2"/>
        <w:spacing w:after="0" w:line="480" w:lineRule="auto"/>
      </w:pPr>
      <w:bookmarkStart w:id="22" w:name="_Toc345506049"/>
      <w:r>
        <w:t>Overview</w:t>
      </w:r>
      <w:bookmarkEnd w:id="22"/>
    </w:p>
    <w:p w:rsidR="00275BA9" w:rsidRPr="006B408E" w:rsidRDefault="00275BA9" w:rsidP="00301CF0">
      <w:pPr>
        <w:tabs>
          <w:tab w:val="left" w:pos="720"/>
        </w:tabs>
        <w:spacing w:line="480" w:lineRule="auto"/>
        <w:ind w:left="720" w:hanging="720"/>
        <w:jc w:val="left"/>
        <w:rPr>
          <w:b/>
        </w:rPr>
      </w:pPr>
      <w:proofErr w:type="gramStart"/>
      <w:r w:rsidRPr="006B408E">
        <w:rPr>
          <w:b/>
        </w:rPr>
        <w:t>Q.</w:t>
      </w:r>
      <w:r w:rsidRPr="006B408E">
        <w:rPr>
          <w:b/>
        </w:rPr>
        <w:tab/>
        <w:t>Please briefly descri</w:t>
      </w:r>
      <w:r w:rsidR="004B394A">
        <w:rPr>
          <w:b/>
        </w:rPr>
        <w:t>be the Company’s proposed PCAM.</w:t>
      </w:r>
      <w:proofErr w:type="gramEnd"/>
    </w:p>
    <w:p w:rsidR="009245EC" w:rsidRDefault="00275BA9" w:rsidP="00301CF0">
      <w:pPr>
        <w:tabs>
          <w:tab w:val="left" w:pos="720"/>
        </w:tabs>
        <w:spacing w:line="480" w:lineRule="auto"/>
        <w:ind w:left="720" w:hanging="720"/>
        <w:jc w:val="left"/>
      </w:pPr>
      <w:r w:rsidRPr="006B408E">
        <w:t>A.</w:t>
      </w:r>
      <w:r w:rsidRPr="006B408E">
        <w:tab/>
        <w:t xml:space="preserve">The proposed PCAM is a rate mechanism designed to allow the Company to collect or credit the differences between the actual </w:t>
      </w:r>
      <w:r w:rsidR="005B5D37">
        <w:t>NPC</w:t>
      </w:r>
      <w:r w:rsidRPr="006B408E">
        <w:t xml:space="preserve"> incurred to serve </w:t>
      </w:r>
      <w:r>
        <w:t>Washington</w:t>
      </w:r>
      <w:r w:rsidRPr="006B408E">
        <w:t xml:space="preserve"> customers and the amount of NPC collected from </w:t>
      </w:r>
      <w:r>
        <w:t>Washington</w:t>
      </w:r>
      <w:r w:rsidRPr="006B408E">
        <w:t xml:space="preserve"> customers through rates.</w:t>
      </w:r>
    </w:p>
    <w:p w:rsidR="00275BA9" w:rsidRDefault="009245EC" w:rsidP="00301CF0">
      <w:pPr>
        <w:tabs>
          <w:tab w:val="left" w:pos="720"/>
        </w:tabs>
        <w:spacing w:line="480" w:lineRule="auto"/>
        <w:ind w:left="720" w:hanging="720"/>
        <w:jc w:val="left"/>
      </w:pPr>
      <w:r>
        <w:tab/>
      </w:r>
      <w:r>
        <w:tab/>
      </w:r>
      <w:r w:rsidR="00275BA9" w:rsidRPr="006B408E">
        <w:t>On a monthly basis, the Company will compare the actual system net p</w:t>
      </w:r>
      <w:r w:rsidR="00275BA9">
        <w:t>ower costs (</w:t>
      </w:r>
      <w:r w:rsidR="00275BA9" w:rsidRPr="006B408E">
        <w:t xml:space="preserve">Actual NPC) to the net </w:t>
      </w:r>
      <w:r w:rsidR="00275BA9">
        <w:t>power costs embedded in rates (</w:t>
      </w:r>
      <w:r w:rsidR="00275BA9" w:rsidRPr="006B408E">
        <w:t>Base NPC), and defer the differences in a balancing account</w:t>
      </w:r>
      <w:r w:rsidR="000F6ECC">
        <w:t xml:space="preserve"> with interest</w:t>
      </w:r>
      <w:r w:rsidR="00275BA9" w:rsidRPr="006B408E">
        <w:t xml:space="preserve">.  </w:t>
      </w:r>
      <w:r w:rsidR="001B69F9">
        <w:t xml:space="preserve">After a positive or negative balance of </w:t>
      </w:r>
      <w:r w:rsidR="00433244" w:rsidRPr="00433244">
        <w:t>$</w:t>
      </w:r>
      <w:r w:rsidR="00433244">
        <w:t>5 million</w:t>
      </w:r>
      <w:r w:rsidR="009701D6">
        <w:t xml:space="preserve"> in Washington NPC</w:t>
      </w:r>
      <w:r w:rsidR="001B69F9">
        <w:t xml:space="preserve"> has accrued in the balancing account, a</w:t>
      </w:r>
      <w:r w:rsidR="00275BA9" w:rsidRPr="006B408E">
        <w:t xml:space="preserve"> PCAM rate will be calculated to collect from or credit to customers the accumulated balance over the </w:t>
      </w:r>
      <w:r w:rsidR="003B4132">
        <w:t xml:space="preserve">subsequent year. </w:t>
      </w:r>
      <w:r w:rsidR="007A29A8">
        <w:t xml:space="preserve"> </w:t>
      </w:r>
      <w:r w:rsidR="00275BA9" w:rsidRPr="006B408E">
        <w:t xml:space="preserve">The Company proposes to implement the PCAM </w:t>
      </w:r>
      <w:r w:rsidR="000769E9">
        <w:t>beginning with its</w:t>
      </w:r>
      <w:r w:rsidR="00275BA9" w:rsidRPr="006B408E">
        <w:t xml:space="preserve"> 201</w:t>
      </w:r>
      <w:r w:rsidR="00275BA9">
        <w:t>4</w:t>
      </w:r>
      <w:r w:rsidR="00275BA9" w:rsidRPr="006B408E">
        <w:t xml:space="preserve"> Actual NPC</w:t>
      </w:r>
      <w:r w:rsidR="001B69F9">
        <w:t>.</w:t>
      </w:r>
      <w:r w:rsidR="00275BA9" w:rsidRPr="006B408E">
        <w:t xml:space="preserve"> </w:t>
      </w:r>
      <w:r w:rsidR="007A29A8">
        <w:t xml:space="preserve"> </w:t>
      </w:r>
      <w:r w:rsidR="000F6ECC">
        <w:t>The Company also reque</w:t>
      </w:r>
      <w:r w:rsidR="004B394A">
        <w:t>sts authority to file for a one-</w:t>
      </w:r>
      <w:r w:rsidR="000F6ECC">
        <w:t>time update to Base NPC if it has not filed a gene</w:t>
      </w:r>
      <w:r w:rsidR="000F6ECC" w:rsidRPr="00CA2E5F">
        <w:t xml:space="preserve">ral rate case </w:t>
      </w:r>
      <w:r w:rsidR="004B394A">
        <w:t>within 24 </w:t>
      </w:r>
      <w:r w:rsidR="003250F9" w:rsidRPr="00CA2E5F">
        <w:t xml:space="preserve">months </w:t>
      </w:r>
      <w:r>
        <w:t xml:space="preserve">of </w:t>
      </w:r>
      <w:r w:rsidR="003250F9" w:rsidRPr="00CA2E5F">
        <w:t>its last general rate case filing</w:t>
      </w:r>
      <w:r w:rsidR="000F6ECC" w:rsidRPr="00CA2E5F">
        <w:t xml:space="preserve">. </w:t>
      </w:r>
      <w:r>
        <w:t xml:space="preserve"> </w:t>
      </w:r>
      <w:r w:rsidR="000F6ECC" w:rsidRPr="00CA2E5F">
        <w:t xml:space="preserve">This </w:t>
      </w:r>
      <w:r w:rsidR="000F6ECC">
        <w:t>protect</w:t>
      </w:r>
      <w:r>
        <w:t>s</w:t>
      </w:r>
      <w:r w:rsidR="000F6ECC">
        <w:t xml:space="preserve"> customers from large accruals in the PCAM </w:t>
      </w:r>
      <w:r w:rsidR="00E84937">
        <w:t xml:space="preserve">balancing account </w:t>
      </w:r>
      <w:r w:rsidR="000F6ECC">
        <w:t>between general rate cases.</w:t>
      </w:r>
    </w:p>
    <w:p w:rsidR="00275BA9" w:rsidRPr="00B54CE5" w:rsidRDefault="00275BA9" w:rsidP="00301CF0">
      <w:pPr>
        <w:tabs>
          <w:tab w:val="left" w:pos="720"/>
        </w:tabs>
        <w:spacing w:line="480" w:lineRule="auto"/>
        <w:ind w:left="720" w:hanging="720"/>
        <w:jc w:val="left"/>
        <w:rPr>
          <w:b/>
        </w:rPr>
      </w:pPr>
      <w:r w:rsidRPr="00B54CE5">
        <w:rPr>
          <w:b/>
        </w:rPr>
        <w:t>Q.</w:t>
      </w:r>
      <w:r w:rsidRPr="00B54CE5">
        <w:rPr>
          <w:b/>
        </w:rPr>
        <w:tab/>
        <w:t xml:space="preserve">Does the Company’s </w:t>
      </w:r>
      <w:r>
        <w:rPr>
          <w:b/>
        </w:rPr>
        <w:t xml:space="preserve">proposed </w:t>
      </w:r>
      <w:r w:rsidRPr="00B54CE5">
        <w:rPr>
          <w:b/>
        </w:rPr>
        <w:t>PCAM include deadbands or sharing</w:t>
      </w:r>
      <w:r>
        <w:rPr>
          <w:b/>
        </w:rPr>
        <w:t xml:space="preserve"> bands</w:t>
      </w:r>
      <w:r w:rsidR="004B394A">
        <w:rPr>
          <w:b/>
        </w:rPr>
        <w:t>?</w:t>
      </w:r>
    </w:p>
    <w:p w:rsidR="00275BA9" w:rsidRPr="006B408E" w:rsidRDefault="00275BA9" w:rsidP="00301CF0">
      <w:pPr>
        <w:tabs>
          <w:tab w:val="left" w:pos="720"/>
        </w:tabs>
        <w:spacing w:line="480" w:lineRule="auto"/>
        <w:ind w:left="720" w:hanging="720"/>
        <w:jc w:val="left"/>
      </w:pPr>
      <w:r>
        <w:t>A.</w:t>
      </w:r>
      <w:r>
        <w:tab/>
        <w:t>No.  The Company proposes a PCAM with a dollar-for-dollar true-up</w:t>
      </w:r>
      <w:r w:rsidR="00F20063">
        <w:t xml:space="preserve"> to actual costs</w:t>
      </w:r>
      <w:r>
        <w:t>, allowing customers to receive full credit for any over</w:t>
      </w:r>
      <w:r w:rsidR="009245EC">
        <w:t>-</w:t>
      </w:r>
      <w:r>
        <w:t>recovery of NPC in rates and allowing the Company to r</w:t>
      </w:r>
      <w:r w:rsidR="009245EC">
        <w:t>eceive the full amount of under-</w:t>
      </w:r>
      <w:r w:rsidR="004B394A">
        <w:t>recovery of NPC in rates.</w:t>
      </w:r>
    </w:p>
    <w:p w:rsidR="00275BA9" w:rsidRPr="006B408E" w:rsidRDefault="00275BA9" w:rsidP="009245EC">
      <w:pPr>
        <w:keepNext/>
        <w:tabs>
          <w:tab w:val="left" w:pos="720"/>
        </w:tabs>
        <w:spacing w:line="480" w:lineRule="auto"/>
        <w:ind w:left="720" w:hanging="720"/>
        <w:jc w:val="left"/>
        <w:rPr>
          <w:b/>
        </w:rPr>
      </w:pPr>
      <w:r w:rsidRPr="006B408E">
        <w:rPr>
          <w:b/>
        </w:rPr>
        <w:t>Q.</w:t>
      </w:r>
      <w:r w:rsidRPr="006B408E">
        <w:rPr>
          <w:b/>
        </w:rPr>
        <w:tab/>
        <w:t>What types of costs would be included in the PCAM?</w:t>
      </w:r>
    </w:p>
    <w:p w:rsidR="00275BA9" w:rsidRPr="006B408E" w:rsidRDefault="00275BA9" w:rsidP="00301CF0">
      <w:pPr>
        <w:tabs>
          <w:tab w:val="left" w:pos="720"/>
        </w:tabs>
        <w:spacing w:line="480" w:lineRule="auto"/>
        <w:ind w:left="720" w:hanging="720"/>
        <w:jc w:val="left"/>
      </w:pPr>
      <w:r w:rsidRPr="006B408E">
        <w:t>A.</w:t>
      </w:r>
      <w:r w:rsidRPr="006B408E">
        <w:tab/>
        <w:t xml:space="preserve">The PCAM will be calculated using all components of NPC as traditionally defined in the Company’s </w:t>
      </w:r>
      <w:r>
        <w:t>general rate cases</w:t>
      </w:r>
      <w:r w:rsidRPr="006B408E">
        <w:t xml:space="preserve"> and modeled by the Company’s GRID model.  Specifically, Base NPC and Actual NPC will include amounts typically booked to the following FERC accounts:</w:t>
      </w:r>
    </w:p>
    <w:p w:rsidR="00275BA9" w:rsidRPr="006B408E" w:rsidRDefault="00275BA9" w:rsidP="00301CF0">
      <w:pPr>
        <w:tabs>
          <w:tab w:val="left" w:pos="720"/>
        </w:tabs>
        <w:spacing w:line="480" w:lineRule="auto"/>
        <w:ind w:left="720" w:hanging="720"/>
        <w:jc w:val="left"/>
      </w:pPr>
      <w:r>
        <w:tab/>
      </w:r>
      <w:r w:rsidR="009245EC">
        <w:t>Account 447—</w:t>
      </w:r>
      <w:r w:rsidRPr="006B408E">
        <w:t>Sales for resale, excluding on-system wholesale sales and other revenues that are not modeled in GRID</w:t>
      </w:r>
    </w:p>
    <w:p w:rsidR="00275BA9" w:rsidRPr="006B408E" w:rsidRDefault="00275BA9" w:rsidP="00301CF0">
      <w:pPr>
        <w:tabs>
          <w:tab w:val="left" w:pos="720"/>
        </w:tabs>
        <w:spacing w:line="480" w:lineRule="auto"/>
        <w:ind w:left="720" w:hanging="720"/>
        <w:jc w:val="left"/>
      </w:pPr>
      <w:r>
        <w:tab/>
      </w:r>
      <w:r w:rsidR="009245EC">
        <w:t>Account 501—</w:t>
      </w:r>
      <w:r w:rsidRPr="006B408E">
        <w:t>Fuel, steam generation; excluding fuel handling, start up fuel/gas</w:t>
      </w:r>
      <w:r w:rsidR="009245EC">
        <w:t>,</w:t>
      </w:r>
      <w:r w:rsidRPr="006B408E">
        <w:rPr>
          <w:vertAlign w:val="superscript"/>
        </w:rPr>
        <w:footnoteReference w:id="6"/>
      </w:r>
      <w:r w:rsidRPr="006B408E">
        <w:t xml:space="preserve"> diesel fuel, residual disposal</w:t>
      </w:r>
      <w:r w:rsidR="009245EC">
        <w:t>,</w:t>
      </w:r>
      <w:r w:rsidRPr="006B408E">
        <w:t xml:space="preserve"> and other costs that are not modeled in GRID</w:t>
      </w:r>
    </w:p>
    <w:p w:rsidR="00275BA9" w:rsidRPr="006B408E" w:rsidRDefault="00275BA9" w:rsidP="00301CF0">
      <w:pPr>
        <w:tabs>
          <w:tab w:val="left" w:pos="720"/>
        </w:tabs>
        <w:spacing w:line="480" w:lineRule="auto"/>
        <w:ind w:left="720" w:hanging="720"/>
        <w:jc w:val="left"/>
      </w:pPr>
      <w:r>
        <w:tab/>
      </w:r>
      <w:r w:rsidR="009245EC">
        <w:t>Account 503—</w:t>
      </w:r>
      <w:r w:rsidRPr="006B408E">
        <w:t>Steam from other sources</w:t>
      </w:r>
    </w:p>
    <w:p w:rsidR="00275BA9" w:rsidRPr="006B408E" w:rsidRDefault="00275BA9" w:rsidP="00301CF0">
      <w:pPr>
        <w:tabs>
          <w:tab w:val="left" w:pos="720"/>
        </w:tabs>
        <w:spacing w:line="480" w:lineRule="auto"/>
        <w:ind w:left="720" w:hanging="720"/>
        <w:jc w:val="left"/>
      </w:pPr>
      <w:r>
        <w:tab/>
      </w:r>
      <w:r w:rsidR="009245EC">
        <w:t>Account 547—</w:t>
      </w:r>
      <w:r w:rsidR="004B394A">
        <w:t>Fuel, other generation</w:t>
      </w:r>
    </w:p>
    <w:p w:rsidR="00275BA9" w:rsidRPr="006B408E" w:rsidRDefault="00275BA9" w:rsidP="00301CF0">
      <w:pPr>
        <w:tabs>
          <w:tab w:val="left" w:pos="720"/>
        </w:tabs>
        <w:spacing w:line="480" w:lineRule="auto"/>
        <w:ind w:left="720" w:hanging="720"/>
        <w:jc w:val="left"/>
      </w:pPr>
      <w:r>
        <w:tab/>
      </w:r>
      <w:r w:rsidR="009245EC">
        <w:t>Account 555—</w:t>
      </w:r>
      <w:r w:rsidRPr="006B408E">
        <w:t>Purchased power, excluding BPA residential exchange credit pass-through if applicable</w:t>
      </w:r>
    </w:p>
    <w:p w:rsidR="00275BA9" w:rsidRDefault="00275BA9" w:rsidP="00301CF0">
      <w:pPr>
        <w:tabs>
          <w:tab w:val="left" w:pos="720"/>
        </w:tabs>
        <w:spacing w:line="480" w:lineRule="auto"/>
        <w:ind w:left="720" w:hanging="720"/>
        <w:jc w:val="left"/>
      </w:pPr>
      <w:r>
        <w:tab/>
      </w:r>
      <w:r w:rsidR="009245EC">
        <w:t>Account 565—</w:t>
      </w:r>
      <w:r w:rsidRPr="006B408E">
        <w:t>Transmission of electricity by others</w:t>
      </w:r>
    </w:p>
    <w:p w:rsidR="00275BA9" w:rsidRDefault="00275BA9" w:rsidP="00301CF0">
      <w:pPr>
        <w:tabs>
          <w:tab w:val="left" w:pos="720"/>
        </w:tabs>
        <w:spacing w:line="480" w:lineRule="auto"/>
        <w:ind w:left="720" w:hanging="720"/>
        <w:jc w:val="left"/>
        <w:rPr>
          <w:b/>
        </w:rPr>
      </w:pPr>
      <w:r w:rsidRPr="00103E0F">
        <w:rPr>
          <w:b/>
        </w:rPr>
        <w:t>Q.</w:t>
      </w:r>
      <w:r w:rsidRPr="00103E0F">
        <w:rPr>
          <w:b/>
        </w:rPr>
        <w:tab/>
        <w:t xml:space="preserve">Will the PCAM include </w:t>
      </w:r>
      <w:r>
        <w:rPr>
          <w:b/>
        </w:rPr>
        <w:t>r</w:t>
      </w:r>
      <w:r w:rsidRPr="00103E0F">
        <w:rPr>
          <w:b/>
        </w:rPr>
        <w:t>ecovery of fixed costs related to power supply (</w:t>
      </w:r>
      <w:r w:rsidRPr="009245EC">
        <w:rPr>
          <w:b/>
        </w:rPr>
        <w:t>i.e.</w:t>
      </w:r>
      <w:r w:rsidR="009245EC">
        <w:rPr>
          <w:b/>
        </w:rPr>
        <w:t>, </w:t>
      </w:r>
      <w:r w:rsidRPr="00103E0F">
        <w:rPr>
          <w:b/>
        </w:rPr>
        <w:t>cap</w:t>
      </w:r>
      <w:r w:rsidR="004B394A">
        <w:rPr>
          <w:b/>
        </w:rPr>
        <w:t>ital investment in rate base)?</w:t>
      </w:r>
    </w:p>
    <w:p w:rsidR="00275BA9" w:rsidRDefault="00275BA9" w:rsidP="00301CF0">
      <w:pPr>
        <w:tabs>
          <w:tab w:val="left" w:pos="720"/>
        </w:tabs>
        <w:spacing w:line="480" w:lineRule="auto"/>
        <w:ind w:left="720" w:hanging="720"/>
        <w:jc w:val="left"/>
        <w:rPr>
          <w:rFonts w:cs="Arial"/>
        </w:rPr>
      </w:pPr>
      <w:r w:rsidRPr="002758E4">
        <w:t>A.</w:t>
      </w:r>
      <w:r w:rsidRPr="002758E4">
        <w:tab/>
        <w:t xml:space="preserve">No.  The PCAM will address </w:t>
      </w:r>
      <w:r w:rsidR="00AB4F6F">
        <w:t xml:space="preserve">net </w:t>
      </w:r>
      <w:r w:rsidRPr="002758E4">
        <w:t xml:space="preserve">power cost expenses only and will not include any recovery of capital investment.  For fixed cost recovery, PacifiCorp will rely upon the provision in Washington’s </w:t>
      </w:r>
      <w:r w:rsidRPr="002758E4">
        <w:rPr>
          <w:rFonts w:cs="Arial"/>
        </w:rPr>
        <w:t>Greenhouse Gas Emissions Performance Standard</w:t>
      </w:r>
      <w:r>
        <w:rPr>
          <w:rFonts w:cs="Arial"/>
        </w:rPr>
        <w:t xml:space="preserve"> (EPS)</w:t>
      </w:r>
      <w:r w:rsidRPr="002758E4">
        <w:rPr>
          <w:rStyle w:val="FootnoteReference"/>
          <w:rFonts w:cs="Arial"/>
        </w:rPr>
        <w:footnoteReference w:id="7"/>
      </w:r>
      <w:r w:rsidRPr="002758E4">
        <w:rPr>
          <w:rFonts w:cs="Arial"/>
        </w:rPr>
        <w:t xml:space="preserve"> that allows deferral of costs fo</w:t>
      </w:r>
      <w:r w:rsidR="008F653E">
        <w:rPr>
          <w:rFonts w:cs="Arial"/>
        </w:rPr>
        <w:t>r later inclusion in rates in a</w:t>
      </w:r>
      <w:r w:rsidR="0015043C">
        <w:rPr>
          <w:rFonts w:cs="Arial"/>
        </w:rPr>
        <w:t xml:space="preserve"> </w:t>
      </w:r>
      <w:r w:rsidRPr="002758E4">
        <w:rPr>
          <w:rFonts w:cs="Arial"/>
        </w:rPr>
        <w:t>general rate case.</w:t>
      </w:r>
      <w:r w:rsidRPr="002758E4">
        <w:rPr>
          <w:rStyle w:val="FootnoteReference"/>
          <w:rFonts w:cs="Arial"/>
        </w:rPr>
        <w:footnoteReference w:id="8"/>
      </w:r>
      <w:r w:rsidRPr="002758E4">
        <w:rPr>
          <w:rFonts w:cs="Arial"/>
        </w:rPr>
        <w:t xml:space="preserve"> </w:t>
      </w:r>
      <w:r w:rsidR="009245EC">
        <w:rPr>
          <w:rFonts w:cs="Arial"/>
        </w:rPr>
        <w:t xml:space="preserve"> </w:t>
      </w:r>
      <w:r w:rsidRPr="002758E4">
        <w:rPr>
          <w:rFonts w:cs="Arial"/>
        </w:rPr>
        <w:t>The provision covers costs of qualifying long-term commitments to base</w:t>
      </w:r>
      <w:r w:rsidR="00EA2E4C">
        <w:rPr>
          <w:rFonts w:cs="Arial"/>
        </w:rPr>
        <w:t xml:space="preserve"> </w:t>
      </w:r>
      <w:r w:rsidRPr="002758E4">
        <w:rPr>
          <w:rFonts w:cs="Arial"/>
        </w:rPr>
        <w:t>load electric generation and eligible renewable resources under Washington’s renewable portfolio standard (RPS), the Energy Independence Act (EIA)</w:t>
      </w:r>
      <w:r>
        <w:rPr>
          <w:rFonts w:cs="Arial"/>
        </w:rPr>
        <w:t>.</w:t>
      </w:r>
      <w:r w:rsidRPr="002758E4">
        <w:rPr>
          <w:rStyle w:val="FootnoteReference"/>
          <w:rFonts w:cs="Arial"/>
        </w:rPr>
        <w:footnoteReference w:id="9"/>
      </w:r>
    </w:p>
    <w:p w:rsidR="00275BA9" w:rsidRPr="006B408E" w:rsidRDefault="00275BA9" w:rsidP="00301CF0">
      <w:pPr>
        <w:tabs>
          <w:tab w:val="left" w:pos="720"/>
        </w:tabs>
        <w:spacing w:line="480" w:lineRule="auto"/>
        <w:ind w:left="720" w:hanging="720"/>
        <w:jc w:val="left"/>
        <w:rPr>
          <w:b/>
        </w:rPr>
      </w:pPr>
      <w:r w:rsidRPr="006B408E">
        <w:rPr>
          <w:b/>
        </w:rPr>
        <w:t>Q.</w:t>
      </w:r>
      <w:r w:rsidRPr="006B408E">
        <w:rPr>
          <w:b/>
        </w:rPr>
        <w:tab/>
        <w:t xml:space="preserve">Do Actual NPC include adjustments </w:t>
      </w:r>
      <w:r w:rsidR="009245EC">
        <w:rPr>
          <w:b/>
        </w:rPr>
        <w:t>before</w:t>
      </w:r>
      <w:r w:rsidRPr="006B408E">
        <w:rPr>
          <w:b/>
        </w:rPr>
        <w:t xml:space="preserve"> the comparison with the Commission approved Base NPC?</w:t>
      </w:r>
    </w:p>
    <w:p w:rsidR="00BD2328" w:rsidRDefault="00275BA9" w:rsidP="00BD2328">
      <w:pPr>
        <w:tabs>
          <w:tab w:val="left" w:pos="720"/>
        </w:tabs>
        <w:spacing w:line="480" w:lineRule="auto"/>
        <w:ind w:left="720" w:hanging="720"/>
        <w:jc w:val="left"/>
        <w:rPr>
          <w:b/>
        </w:rPr>
      </w:pPr>
      <w:r w:rsidRPr="006B408E">
        <w:t>A.</w:t>
      </w:r>
      <w:r w:rsidRPr="006B408E">
        <w:tab/>
        <w:t xml:space="preserve">Yes.  Adjustments will be made to Actual NPC as booked to be consistent with the Company’s production dispatch model, to remove prior period accounting entries, and to include applicable Commission-adopted adjustments reflected in the </w:t>
      </w:r>
      <w:r>
        <w:t xml:space="preserve">Company’s </w:t>
      </w:r>
      <w:r w:rsidRPr="006B408E">
        <w:t xml:space="preserve">most recent </w:t>
      </w:r>
      <w:r>
        <w:t xml:space="preserve">general rate case </w:t>
      </w:r>
      <w:r w:rsidRPr="006B408E">
        <w:t xml:space="preserve">filing.  Actual NPC will not be adjusted for </w:t>
      </w:r>
      <w:r w:rsidR="00B72928">
        <w:t xml:space="preserve">variations in customer loads, </w:t>
      </w:r>
      <w:r w:rsidRPr="006B408E">
        <w:t>wind generation, hydro conditions, or forced outages because the</w:t>
      </w:r>
      <w:r w:rsidR="00150935">
        <w:t>se</w:t>
      </w:r>
      <w:r w:rsidRPr="006B408E">
        <w:t xml:space="preserve"> give rise to the fluctuations in NPC that this mechanism is designed to capture.  Actual NPC will be subject to review by the Commission and other parties </w:t>
      </w:r>
      <w:r w:rsidR="00A90392">
        <w:t>in the proceeding to set the PCAM rate</w:t>
      </w:r>
      <w:r w:rsidRPr="006B408E">
        <w:t>.</w:t>
      </w:r>
      <w:r w:rsidR="00BD2328">
        <w:rPr>
          <w:b/>
        </w:rPr>
        <w:br w:type="page"/>
      </w:r>
    </w:p>
    <w:p w:rsidR="00275BA9" w:rsidRPr="006B408E" w:rsidRDefault="00275BA9" w:rsidP="00301CF0">
      <w:pPr>
        <w:tabs>
          <w:tab w:val="left" w:pos="720"/>
        </w:tabs>
        <w:spacing w:line="480" w:lineRule="auto"/>
        <w:ind w:left="720" w:hanging="720"/>
        <w:jc w:val="left"/>
        <w:rPr>
          <w:b/>
        </w:rPr>
      </w:pPr>
      <w:r w:rsidRPr="006B408E">
        <w:rPr>
          <w:b/>
        </w:rPr>
        <w:t>Q.</w:t>
      </w:r>
      <w:r w:rsidRPr="006B408E">
        <w:rPr>
          <w:b/>
        </w:rPr>
        <w:tab/>
        <w:t>Please explain the balancing account and the</w:t>
      </w:r>
      <w:r w:rsidR="004B394A">
        <w:rPr>
          <w:b/>
        </w:rPr>
        <w:t xml:space="preserve"> calculation of the PCAM rate.</w:t>
      </w:r>
    </w:p>
    <w:p w:rsidR="004D5C83" w:rsidRDefault="00275BA9" w:rsidP="00301CF0">
      <w:pPr>
        <w:spacing w:line="480" w:lineRule="auto"/>
        <w:ind w:left="720" w:hanging="720"/>
        <w:jc w:val="left"/>
      </w:pPr>
      <w:r w:rsidRPr="006B408E">
        <w:t>A.</w:t>
      </w:r>
      <w:r w:rsidRPr="006B408E">
        <w:tab/>
      </w:r>
      <w:r w:rsidR="004D5C83">
        <w:t>The balancing account and PCAM rate serve as a true-up mechanism to recover or credit the differences between Base NPC and Actual NPC.  On a monthly basis, the Company will compare Actual NPC to Base NPC.  Any differences in the system per-unit cost will be multiplied by actual Washington MWh load in that month and the product will be deferred in the balancing a</w:t>
      </w:r>
      <w:r w:rsidR="007C0745">
        <w:t xml:space="preserve">ccount.  The monthly under- or </w:t>
      </w:r>
      <w:r w:rsidR="004D5C83">
        <w:t>over-recovery will accumulate in the balancing account.</w:t>
      </w:r>
    </w:p>
    <w:p w:rsidR="004D5C83" w:rsidRDefault="004D5C83" w:rsidP="007A29A8">
      <w:pPr>
        <w:spacing w:line="480" w:lineRule="auto"/>
        <w:ind w:left="720" w:firstLine="720"/>
        <w:jc w:val="left"/>
      </w:pPr>
      <w:r>
        <w:t>After a positive or negative balance of $5 million</w:t>
      </w:r>
      <w:r w:rsidR="009701D6">
        <w:t xml:space="preserve"> in Washington NPC</w:t>
      </w:r>
      <w:r>
        <w:t xml:space="preserve"> has accrued in the PCAM balancing account, the cumulative deferred balance in the balancing account will be converted to a </w:t>
      </w:r>
      <w:r w:rsidRPr="00301CF0">
        <w:t>Schedule 94</w:t>
      </w:r>
      <w:r>
        <w:t xml:space="preserve"> deferred PCAM rate, as discussed in the testimony of Ms. Joelle </w:t>
      </w:r>
      <w:r w:rsidR="007C0745">
        <w:t xml:space="preserve">R. </w:t>
      </w:r>
      <w:r w:rsidR="004B394A">
        <w:t>Steward.</w:t>
      </w:r>
    </w:p>
    <w:p w:rsidR="00275BA9" w:rsidRPr="006B408E" w:rsidRDefault="00275BA9" w:rsidP="004D5C83">
      <w:pPr>
        <w:tabs>
          <w:tab w:val="left" w:pos="720"/>
        </w:tabs>
        <w:spacing w:line="480" w:lineRule="auto"/>
        <w:ind w:left="720" w:hanging="720"/>
        <w:rPr>
          <w:b/>
        </w:rPr>
      </w:pPr>
      <w:r w:rsidRPr="006B408E">
        <w:rPr>
          <w:b/>
        </w:rPr>
        <w:t>Q.</w:t>
      </w:r>
      <w:r w:rsidRPr="006B408E">
        <w:rPr>
          <w:b/>
        </w:rPr>
        <w:tab/>
        <w:t xml:space="preserve">When will the Company </w:t>
      </w:r>
      <w:proofErr w:type="gramStart"/>
      <w:r w:rsidRPr="006B408E">
        <w:rPr>
          <w:b/>
        </w:rPr>
        <w:t>reconcile</w:t>
      </w:r>
      <w:proofErr w:type="gramEnd"/>
      <w:r w:rsidRPr="006B408E">
        <w:rPr>
          <w:b/>
        </w:rPr>
        <w:t xml:space="preserve"> the PCAM costs and recoveries? </w:t>
      </w:r>
    </w:p>
    <w:p w:rsidR="005B5D37" w:rsidRDefault="00275BA9" w:rsidP="00275BA9">
      <w:pPr>
        <w:tabs>
          <w:tab w:val="left" w:pos="720"/>
        </w:tabs>
        <w:spacing w:line="480" w:lineRule="auto"/>
        <w:ind w:left="720" w:hanging="720"/>
      </w:pPr>
      <w:r w:rsidRPr="006B408E">
        <w:t>A.</w:t>
      </w:r>
      <w:r w:rsidRPr="006B408E">
        <w:tab/>
      </w:r>
      <w:r w:rsidR="004D5C83">
        <w:t>The Company proposes to file to set the deferred PCAM rate within 60 days after the amount in the balancing account triggers a filing, but no more often than once per year.  The Company proposes that the deferred PCAM rate go into e</w:t>
      </w:r>
      <w:r w:rsidR="004B394A">
        <w:t>ffect 60 </w:t>
      </w:r>
      <w:r w:rsidR="0082158C">
        <w:t>days after the filing.</w:t>
      </w:r>
    </w:p>
    <w:p w:rsidR="00275BA9" w:rsidRPr="006B408E" w:rsidRDefault="00275BA9" w:rsidP="00D620B9">
      <w:pPr>
        <w:pStyle w:val="Heading2"/>
      </w:pPr>
      <w:bookmarkStart w:id="23" w:name="_Toc345506050"/>
      <w:r w:rsidRPr="006B408E">
        <w:t xml:space="preserve">Need for the Proposed </w:t>
      </w:r>
      <w:r>
        <w:t xml:space="preserve">Washington </w:t>
      </w:r>
      <w:r w:rsidRPr="006B408E">
        <w:t>PCAM</w:t>
      </w:r>
      <w:bookmarkEnd w:id="23"/>
    </w:p>
    <w:p w:rsidR="00275BA9" w:rsidRPr="006B408E" w:rsidRDefault="00275BA9" w:rsidP="007E2B9F">
      <w:pPr>
        <w:tabs>
          <w:tab w:val="left" w:pos="720"/>
        </w:tabs>
        <w:spacing w:line="480" w:lineRule="auto"/>
        <w:ind w:left="720" w:hanging="720"/>
        <w:jc w:val="left"/>
        <w:rPr>
          <w:b/>
        </w:rPr>
      </w:pPr>
      <w:r w:rsidRPr="006B408E">
        <w:rPr>
          <w:b/>
        </w:rPr>
        <w:t>Q.</w:t>
      </w:r>
      <w:r w:rsidRPr="006B408E">
        <w:rPr>
          <w:b/>
        </w:rPr>
        <w:tab/>
        <w:t xml:space="preserve">Why </w:t>
      </w:r>
      <w:r>
        <w:rPr>
          <w:b/>
        </w:rPr>
        <w:t>does</w:t>
      </w:r>
      <w:r w:rsidRPr="006B408E">
        <w:rPr>
          <w:b/>
        </w:rPr>
        <w:t xml:space="preserve"> the Company </w:t>
      </w:r>
      <w:proofErr w:type="gramStart"/>
      <w:r>
        <w:rPr>
          <w:b/>
        </w:rPr>
        <w:t>need</w:t>
      </w:r>
      <w:proofErr w:type="gramEnd"/>
      <w:r w:rsidRPr="006B408E">
        <w:rPr>
          <w:b/>
        </w:rPr>
        <w:t xml:space="preserve"> a PCAM</w:t>
      </w:r>
      <w:r>
        <w:rPr>
          <w:b/>
        </w:rPr>
        <w:t xml:space="preserve"> in Washington</w:t>
      </w:r>
      <w:r w:rsidRPr="006B408E">
        <w:rPr>
          <w:b/>
        </w:rPr>
        <w:t>?</w:t>
      </w:r>
    </w:p>
    <w:p w:rsidR="00275BA9" w:rsidRDefault="00275BA9" w:rsidP="007E2B9F">
      <w:pPr>
        <w:tabs>
          <w:tab w:val="left" w:pos="720"/>
        </w:tabs>
        <w:spacing w:line="480" w:lineRule="auto"/>
        <w:ind w:left="720" w:hanging="720"/>
        <w:jc w:val="left"/>
      </w:pPr>
      <w:r w:rsidRPr="006B408E">
        <w:t>A.</w:t>
      </w:r>
      <w:r w:rsidRPr="006B408E">
        <w:tab/>
      </w:r>
      <w:r w:rsidR="00DE02D2">
        <w:t xml:space="preserve">As a result of the Commission’s reliance on the </w:t>
      </w:r>
      <w:r w:rsidR="00D1442E">
        <w:t>WCA</w:t>
      </w:r>
      <w:r w:rsidR="00DE02D2">
        <w:t>, t</w:t>
      </w:r>
      <w:r w:rsidRPr="006B408E">
        <w:t>he Company’s NPC represent a large</w:t>
      </w:r>
      <w:r w:rsidR="0045056C">
        <w:t>r</w:t>
      </w:r>
      <w:r w:rsidRPr="006B408E">
        <w:t xml:space="preserve"> </w:t>
      </w:r>
      <w:r w:rsidR="00DE02D2">
        <w:t>part</w:t>
      </w:r>
      <w:r w:rsidRPr="006B408E">
        <w:t xml:space="preserve"> of the Company’s total revenue requirement.</w:t>
      </w:r>
      <w:r w:rsidR="003965EE">
        <w:t xml:space="preserve"> </w:t>
      </w:r>
      <w:r w:rsidR="0082158C">
        <w:t xml:space="preserve"> </w:t>
      </w:r>
      <w:r>
        <w:t xml:space="preserve">The Company’s </w:t>
      </w:r>
      <w:r w:rsidRPr="006B408E">
        <w:t xml:space="preserve">NPC is subject to a high degree of </w:t>
      </w:r>
      <w:r>
        <w:t xml:space="preserve">variability driven by factors </w:t>
      </w:r>
      <w:r w:rsidRPr="006B408E">
        <w:t>largely</w:t>
      </w:r>
      <w:r>
        <w:t xml:space="preserve"> </w:t>
      </w:r>
      <w:r w:rsidRPr="006B408E">
        <w:t>outside of the Company’s control</w:t>
      </w:r>
      <w:r>
        <w:t xml:space="preserve">.  </w:t>
      </w:r>
      <w:r w:rsidR="0082158C">
        <w:t>Given these factors, a</w:t>
      </w:r>
      <w:r>
        <w:t xml:space="preserve"> PCAM is </w:t>
      </w:r>
      <w:r w:rsidR="0082158C">
        <w:t>an</w:t>
      </w:r>
      <w:r>
        <w:t xml:space="preserve"> accurate and appropriate ratemaking model for Washington NPC.</w:t>
      </w:r>
    </w:p>
    <w:p w:rsidR="00275BA9" w:rsidRDefault="00275BA9" w:rsidP="0082158C">
      <w:pPr>
        <w:keepNext/>
        <w:widowControl/>
        <w:tabs>
          <w:tab w:val="left" w:pos="720"/>
        </w:tabs>
        <w:spacing w:line="480" w:lineRule="auto"/>
        <w:ind w:left="720" w:hanging="720"/>
        <w:jc w:val="left"/>
        <w:rPr>
          <w:b/>
        </w:rPr>
      </w:pPr>
      <w:r w:rsidRPr="008F3C11">
        <w:rPr>
          <w:b/>
        </w:rPr>
        <w:t>Q.</w:t>
      </w:r>
      <w:r w:rsidRPr="008F3C11">
        <w:rPr>
          <w:b/>
        </w:rPr>
        <w:tab/>
      </w:r>
      <w:r>
        <w:rPr>
          <w:b/>
        </w:rPr>
        <w:t xml:space="preserve">Did </w:t>
      </w:r>
      <w:r w:rsidRPr="008F3C11">
        <w:rPr>
          <w:b/>
        </w:rPr>
        <w:t xml:space="preserve">the Commission previously </w:t>
      </w:r>
      <w:r>
        <w:rPr>
          <w:b/>
        </w:rPr>
        <w:t xml:space="preserve">conclude that </w:t>
      </w:r>
      <w:r w:rsidRPr="008F3C11">
        <w:rPr>
          <w:b/>
        </w:rPr>
        <w:t>PacifiCorp’s Washington NPC</w:t>
      </w:r>
      <w:r>
        <w:rPr>
          <w:b/>
        </w:rPr>
        <w:t xml:space="preserve"> was sufficiently variable to justify implementation of a PCAM</w:t>
      </w:r>
      <w:r w:rsidR="0082158C">
        <w:rPr>
          <w:b/>
        </w:rPr>
        <w:t>?</w:t>
      </w:r>
    </w:p>
    <w:p w:rsidR="00275BA9" w:rsidRDefault="003B4132" w:rsidP="007C0745">
      <w:pPr>
        <w:widowControl/>
        <w:tabs>
          <w:tab w:val="left" w:pos="720"/>
        </w:tabs>
        <w:spacing w:line="480" w:lineRule="auto"/>
        <w:ind w:left="720" w:hanging="720"/>
        <w:jc w:val="left"/>
      </w:pPr>
      <w:r>
        <w:t>A.</w:t>
      </w:r>
      <w:r>
        <w:tab/>
        <w:t xml:space="preserve">Yes. </w:t>
      </w:r>
      <w:r w:rsidR="007C0745">
        <w:t xml:space="preserve"> </w:t>
      </w:r>
      <w:r w:rsidR="00275BA9">
        <w:t>In response to the Company’s last PCAM filing in</w:t>
      </w:r>
      <w:r w:rsidR="00C72DD7">
        <w:t xml:space="preserve"> the </w:t>
      </w:r>
      <w:r w:rsidR="00275BA9">
        <w:t xml:space="preserve">2006 </w:t>
      </w:r>
      <w:r w:rsidR="00232229">
        <w:t>Rate Case</w:t>
      </w:r>
      <w:r w:rsidR="00275BA9">
        <w:t>, the Commission concluded that the amount of potential variability in PacifiCorp’s NPC was “sufficient to warrant consideration of a PCAM as a means to accommodate this variability in ratemaking.”</w:t>
      </w:r>
      <w:r w:rsidR="00275BA9">
        <w:rPr>
          <w:rStyle w:val="FootnoteReference"/>
        </w:rPr>
        <w:footnoteReference w:id="10"/>
      </w:r>
      <w:r w:rsidR="00275BA9">
        <w:t xml:space="preserve">  This conclusion was based on analysis from the Company and from Staff on the variability of hydro-generation, wholesale power prices</w:t>
      </w:r>
      <w:r w:rsidR="0082158C">
        <w:t>,</w:t>
      </w:r>
      <w:r w:rsidR="00275BA9">
        <w:t xml:space="preserve"> and fuel prices over which the Company has no, or limited, control.</w:t>
      </w:r>
      <w:r w:rsidR="00275BA9">
        <w:rPr>
          <w:rStyle w:val="FootnoteReference"/>
        </w:rPr>
        <w:footnoteReference w:id="11"/>
      </w:r>
    </w:p>
    <w:p w:rsidR="00275BA9" w:rsidRPr="00B54CE5" w:rsidRDefault="00275BA9" w:rsidP="007C0745">
      <w:pPr>
        <w:widowControl/>
        <w:tabs>
          <w:tab w:val="left" w:pos="720"/>
        </w:tabs>
        <w:spacing w:line="480" w:lineRule="auto"/>
        <w:ind w:left="720" w:hanging="720"/>
        <w:jc w:val="left"/>
        <w:rPr>
          <w:b/>
        </w:rPr>
      </w:pPr>
      <w:r w:rsidRPr="00B54CE5">
        <w:rPr>
          <w:b/>
        </w:rPr>
        <w:t>Q.</w:t>
      </w:r>
      <w:r w:rsidRPr="00B54CE5">
        <w:rPr>
          <w:b/>
        </w:rPr>
        <w:tab/>
        <w:t xml:space="preserve">Does the history of the Company’s actual NPC </w:t>
      </w:r>
      <w:proofErr w:type="gramStart"/>
      <w:r w:rsidRPr="00B54CE5">
        <w:rPr>
          <w:b/>
        </w:rPr>
        <w:t>recovery in Washington since 2007 demonstrate</w:t>
      </w:r>
      <w:proofErr w:type="gramEnd"/>
      <w:r w:rsidRPr="00B54CE5">
        <w:rPr>
          <w:b/>
        </w:rPr>
        <w:t xml:space="preserve"> continu</w:t>
      </w:r>
      <w:r>
        <w:rPr>
          <w:b/>
        </w:rPr>
        <w:t>i</w:t>
      </w:r>
      <w:r w:rsidR="0082158C">
        <w:rPr>
          <w:b/>
        </w:rPr>
        <w:t>ng NPC variability?</w:t>
      </w:r>
    </w:p>
    <w:p w:rsidR="00553C64" w:rsidRPr="00553C64" w:rsidRDefault="00275BA9" w:rsidP="00553C64">
      <w:pPr>
        <w:tabs>
          <w:tab w:val="left" w:pos="720"/>
        </w:tabs>
        <w:spacing w:line="480" w:lineRule="auto"/>
        <w:ind w:left="720" w:hanging="720"/>
        <w:jc w:val="left"/>
      </w:pPr>
      <w:r>
        <w:t>A.</w:t>
      </w:r>
      <w:r>
        <w:tab/>
        <w:t xml:space="preserve">Yes.  Table </w:t>
      </w:r>
      <w:r w:rsidR="00F20063">
        <w:t xml:space="preserve">1 </w:t>
      </w:r>
      <w:r w:rsidR="0079133E">
        <w:t>below (</w:t>
      </w:r>
      <w:r w:rsidR="008836D7">
        <w:t>also provided a</w:t>
      </w:r>
      <w:r w:rsidR="008836D7" w:rsidRPr="001C4772">
        <w:t>s Exhibit No.__</w:t>
      </w:r>
      <w:proofErr w:type="gramStart"/>
      <w:r w:rsidR="008836D7" w:rsidRPr="001C4772">
        <w:t>_(</w:t>
      </w:r>
      <w:proofErr w:type="gramEnd"/>
      <w:r w:rsidR="008836D7" w:rsidRPr="001C4772">
        <w:t>GND-4))</w:t>
      </w:r>
      <w:r w:rsidR="00573B9F">
        <w:t xml:space="preserve"> shows that, since 2007,</w:t>
      </w:r>
      <w:r w:rsidR="0082158C">
        <w:t xml:space="preserve"> the Company has under-</w:t>
      </w:r>
      <w:r>
        <w:t xml:space="preserve">recovered a total </w:t>
      </w:r>
      <w:r w:rsidRPr="00852AEC">
        <w:t>of $</w:t>
      </w:r>
      <w:r w:rsidR="0007519E" w:rsidRPr="00852AEC">
        <w:t>54.6</w:t>
      </w:r>
      <w:r w:rsidRPr="00852AEC">
        <w:t xml:space="preserve"> million</w:t>
      </w:r>
      <w:r w:rsidR="00553C64">
        <w:t xml:space="preserve"> in Washington NPC.</w:t>
      </w:r>
    </w:p>
    <w:p w:rsidR="00275BA9" w:rsidRPr="00F976EB" w:rsidRDefault="00F20063" w:rsidP="007C0745">
      <w:pPr>
        <w:suppressLineNumbers/>
        <w:tabs>
          <w:tab w:val="left" w:pos="720"/>
        </w:tabs>
        <w:spacing w:line="480" w:lineRule="auto"/>
        <w:ind w:left="720" w:hanging="720"/>
        <w:jc w:val="center"/>
        <w:rPr>
          <w:b/>
        </w:rPr>
      </w:pPr>
      <w:r w:rsidRPr="00F976EB">
        <w:rPr>
          <w:b/>
        </w:rPr>
        <w:t>T</w:t>
      </w:r>
      <w:r>
        <w:rPr>
          <w:b/>
        </w:rPr>
        <w:t>able</w:t>
      </w:r>
      <w:r w:rsidRPr="00F976EB">
        <w:rPr>
          <w:b/>
        </w:rPr>
        <w:t xml:space="preserve"> 1</w:t>
      </w:r>
    </w:p>
    <w:p w:rsidR="00275BA9" w:rsidRDefault="0007519E" w:rsidP="007C0745">
      <w:pPr>
        <w:suppressLineNumbers/>
        <w:tabs>
          <w:tab w:val="left" w:pos="720"/>
        </w:tabs>
        <w:spacing w:line="480" w:lineRule="auto"/>
        <w:ind w:left="720" w:hanging="720"/>
      </w:pPr>
      <w:r w:rsidRPr="0007519E">
        <w:t xml:space="preserve"> </w:t>
      </w:r>
      <w:r w:rsidRPr="0007519E">
        <w:rPr>
          <w:noProof/>
        </w:rPr>
        <w:drawing>
          <wp:inline distT="0" distB="0" distL="0" distR="0">
            <wp:extent cx="5389789" cy="2219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9789" cy="2219325"/>
                    </a:xfrm>
                    <a:prstGeom prst="rect">
                      <a:avLst/>
                    </a:prstGeom>
                    <a:noFill/>
                    <a:ln>
                      <a:noFill/>
                    </a:ln>
                  </pic:spPr>
                </pic:pic>
              </a:graphicData>
            </a:graphic>
          </wp:inline>
        </w:drawing>
      </w:r>
    </w:p>
    <w:p w:rsidR="00275BA9" w:rsidRPr="00931774" w:rsidRDefault="00275BA9" w:rsidP="0082158C">
      <w:pPr>
        <w:widowControl/>
        <w:tabs>
          <w:tab w:val="left" w:pos="720"/>
        </w:tabs>
        <w:spacing w:line="480" w:lineRule="auto"/>
        <w:ind w:left="720" w:hanging="720"/>
        <w:jc w:val="left"/>
        <w:rPr>
          <w:b/>
        </w:rPr>
      </w:pPr>
      <w:proofErr w:type="gramStart"/>
      <w:r w:rsidRPr="00931774">
        <w:rPr>
          <w:b/>
        </w:rPr>
        <w:t>Q.</w:t>
      </w:r>
      <w:r w:rsidRPr="00931774">
        <w:rPr>
          <w:b/>
        </w:rPr>
        <w:tab/>
        <w:t xml:space="preserve">Has the variability of PacifiCorp’s NPC increased since the </w:t>
      </w:r>
      <w:r>
        <w:rPr>
          <w:b/>
        </w:rPr>
        <w:t>Company’s</w:t>
      </w:r>
      <w:r w:rsidRPr="00931774">
        <w:rPr>
          <w:b/>
        </w:rPr>
        <w:t xml:space="preserve"> </w:t>
      </w:r>
      <w:r w:rsidR="00573B9F">
        <w:rPr>
          <w:b/>
        </w:rPr>
        <w:t xml:space="preserve">  </w:t>
      </w:r>
      <w:r w:rsidRPr="00931774">
        <w:rPr>
          <w:b/>
        </w:rPr>
        <w:t xml:space="preserve">2006 </w:t>
      </w:r>
      <w:r w:rsidR="00232229">
        <w:rPr>
          <w:b/>
        </w:rPr>
        <w:t>Rate Case</w:t>
      </w:r>
      <w:r w:rsidR="00ED0C62">
        <w:rPr>
          <w:b/>
        </w:rPr>
        <w:t>?</w:t>
      </w:r>
      <w:proofErr w:type="gramEnd"/>
    </w:p>
    <w:p w:rsidR="00553C64" w:rsidRPr="00553C64" w:rsidRDefault="00275BA9" w:rsidP="00553C64">
      <w:pPr>
        <w:tabs>
          <w:tab w:val="left" w:pos="720"/>
        </w:tabs>
        <w:spacing w:line="480" w:lineRule="auto"/>
        <w:ind w:left="720" w:hanging="720"/>
        <w:jc w:val="left"/>
      </w:pPr>
      <w:r>
        <w:t>A.</w:t>
      </w:r>
      <w:r>
        <w:tab/>
        <w:t xml:space="preserve">Yes.  The EIA was enacted in November 2006, shortly before the decision in the Company’s 2006 </w:t>
      </w:r>
      <w:r w:rsidR="00232229">
        <w:t>Rate Case</w:t>
      </w:r>
      <w:r w:rsidR="0082158C">
        <w:t>,</w:t>
      </w:r>
      <w:r>
        <w:t xml:space="preserve"> and the EPS was enacted </w:t>
      </w:r>
      <w:r w:rsidR="0082158C">
        <w:t xml:space="preserve">in 2007.  </w:t>
      </w:r>
      <w:r>
        <w:t xml:space="preserve">As discussed below, in compliance with the EIA and the EPS, the Company has added wind and natural gas facilities to its </w:t>
      </w:r>
      <w:r w:rsidR="0067068F">
        <w:t>PACW</w:t>
      </w:r>
      <w:r>
        <w:t xml:space="preserve"> generation portfolio, which have increased NPC variability and risk.  On a combined basis, wind and hydro generation now comprise approximately </w:t>
      </w:r>
      <w:r w:rsidR="00791A87" w:rsidRPr="00852AEC">
        <w:t xml:space="preserve">36 </w:t>
      </w:r>
      <w:r w:rsidRPr="00852AEC">
        <w:t>p</w:t>
      </w:r>
      <w:r>
        <w:t xml:space="preserve">ercent of the Company’s installed </w:t>
      </w:r>
      <w:r w:rsidRPr="00852AEC">
        <w:t xml:space="preserve">generation capacity in the </w:t>
      </w:r>
      <w:r w:rsidR="0067068F">
        <w:t>PACW</w:t>
      </w:r>
      <w:r w:rsidRPr="00852AEC">
        <w:t xml:space="preserve">.  On average, wind </w:t>
      </w:r>
      <w:r w:rsidR="00674295" w:rsidRPr="00852AEC">
        <w:t xml:space="preserve">and hydro </w:t>
      </w:r>
      <w:r w:rsidRPr="00852AEC">
        <w:t xml:space="preserve">generation now serve </w:t>
      </w:r>
      <w:r w:rsidR="00674295" w:rsidRPr="00852AEC">
        <w:t>32</w:t>
      </w:r>
      <w:r w:rsidR="0082158C">
        <w:t> </w:t>
      </w:r>
      <w:r w:rsidRPr="00852AEC">
        <w:t xml:space="preserve">percent of </w:t>
      </w:r>
      <w:r w:rsidR="0067068F">
        <w:t>PACW</w:t>
      </w:r>
      <w:r w:rsidRPr="00852AEC">
        <w:t xml:space="preserve"> load, fluctuat</w:t>
      </w:r>
      <w:r w:rsidR="00674295" w:rsidRPr="00852AEC">
        <w:t xml:space="preserve">ing between </w:t>
      </w:r>
      <w:r w:rsidR="0082158C">
        <w:t>six</w:t>
      </w:r>
      <w:r w:rsidR="00F20063" w:rsidRPr="00852AEC">
        <w:t xml:space="preserve"> percent and </w:t>
      </w:r>
      <w:r w:rsidR="00791A87" w:rsidRPr="00852AEC">
        <w:t>86</w:t>
      </w:r>
      <w:r w:rsidR="00674295" w:rsidRPr="00852AEC">
        <w:t xml:space="preserve"> percent</w:t>
      </w:r>
      <w:r>
        <w:t xml:space="preserve"> of </w:t>
      </w:r>
      <w:r w:rsidR="0067068F">
        <w:t>PACW</w:t>
      </w:r>
      <w:r>
        <w:t xml:space="preserve"> load.  Since passage of the EPS, the Company’s natural gas generation capacity in the </w:t>
      </w:r>
      <w:r w:rsidR="0067068F">
        <w:t>PACW</w:t>
      </w:r>
      <w:r>
        <w:t xml:space="preserve"> has more than doubled with the addition </w:t>
      </w:r>
      <w:r w:rsidR="00ED0C62">
        <w:t>of the 512 MW Chehalis plant.</w:t>
      </w:r>
    </w:p>
    <w:p w:rsidR="00275BA9" w:rsidRDefault="00275BA9" w:rsidP="00D620B9">
      <w:pPr>
        <w:pStyle w:val="Heading2"/>
      </w:pPr>
      <w:bookmarkStart w:id="24" w:name="_Toc345506051"/>
      <w:r>
        <w:t xml:space="preserve">General </w:t>
      </w:r>
      <w:r w:rsidRPr="00301CF7">
        <w:t>Polic</w:t>
      </w:r>
      <w:r>
        <w:t>ies</w:t>
      </w:r>
      <w:r w:rsidRPr="00301CF7">
        <w:t xml:space="preserve"> Supporting PacifiCorp</w:t>
      </w:r>
      <w:r>
        <w:t>’s</w:t>
      </w:r>
      <w:r w:rsidRPr="00301CF7">
        <w:t xml:space="preserve"> PCAM</w:t>
      </w:r>
      <w:bookmarkEnd w:id="24"/>
    </w:p>
    <w:p w:rsidR="00275BA9" w:rsidRPr="009B7B15" w:rsidRDefault="00275BA9" w:rsidP="007E2B9F">
      <w:pPr>
        <w:tabs>
          <w:tab w:val="left" w:pos="720"/>
        </w:tabs>
        <w:spacing w:line="480" w:lineRule="auto"/>
        <w:ind w:left="720" w:hanging="720"/>
        <w:jc w:val="left"/>
        <w:rPr>
          <w:b/>
        </w:rPr>
      </w:pPr>
      <w:r w:rsidRPr="009B7B15">
        <w:rPr>
          <w:b/>
        </w:rPr>
        <w:t>Q.</w:t>
      </w:r>
      <w:r w:rsidRPr="009B7B15">
        <w:rPr>
          <w:b/>
        </w:rPr>
        <w:tab/>
      </w:r>
      <w:proofErr w:type="gramStart"/>
      <w:r w:rsidRPr="009B7B15">
        <w:rPr>
          <w:b/>
        </w:rPr>
        <w:t>In</w:t>
      </w:r>
      <w:proofErr w:type="gramEnd"/>
      <w:r w:rsidRPr="009B7B15">
        <w:rPr>
          <w:b/>
        </w:rPr>
        <w:t xml:space="preserve"> response to the Company’s PCAM proposal in </w:t>
      </w:r>
      <w:r w:rsidR="00232229">
        <w:rPr>
          <w:b/>
        </w:rPr>
        <w:t xml:space="preserve">the </w:t>
      </w:r>
      <w:r w:rsidRPr="009B7B15">
        <w:rPr>
          <w:b/>
        </w:rPr>
        <w:t xml:space="preserve">2005 </w:t>
      </w:r>
      <w:r w:rsidR="00232229">
        <w:rPr>
          <w:b/>
        </w:rPr>
        <w:t>Rate Case</w:t>
      </w:r>
      <w:r w:rsidRPr="009B7B15">
        <w:rPr>
          <w:b/>
        </w:rPr>
        <w:t>, the Commission stated that a “90/10 sharing band and the absence of a deadband do not adequately balance risk and benefits between shareholders and ratepayers.”</w:t>
      </w:r>
      <w:r>
        <w:rPr>
          <w:rStyle w:val="FootnoteReference"/>
          <w:b/>
        </w:rPr>
        <w:footnoteReference w:id="12"/>
      </w:r>
      <w:r w:rsidRPr="009B7B15">
        <w:rPr>
          <w:b/>
        </w:rPr>
        <w:t xml:space="preserve">  In light of this statement, </w:t>
      </w:r>
      <w:r>
        <w:rPr>
          <w:b/>
        </w:rPr>
        <w:t>why is the</w:t>
      </w:r>
      <w:r w:rsidRPr="009B7B15">
        <w:rPr>
          <w:b/>
        </w:rPr>
        <w:t xml:space="preserve"> Company propos</w:t>
      </w:r>
      <w:r>
        <w:rPr>
          <w:b/>
        </w:rPr>
        <w:t>ing a</w:t>
      </w:r>
      <w:r w:rsidRPr="009B7B15">
        <w:rPr>
          <w:b/>
        </w:rPr>
        <w:t xml:space="preserve"> PCAM without deadband</w:t>
      </w:r>
      <w:r>
        <w:rPr>
          <w:b/>
        </w:rPr>
        <w:t>s</w:t>
      </w:r>
      <w:r w:rsidRPr="009B7B15">
        <w:rPr>
          <w:b/>
        </w:rPr>
        <w:t xml:space="preserve"> or </w:t>
      </w:r>
      <w:r w:rsidR="00ED0C62">
        <w:rPr>
          <w:b/>
        </w:rPr>
        <w:t>sharing bands?</w:t>
      </w:r>
    </w:p>
    <w:p w:rsidR="007C0745" w:rsidRPr="007C0745" w:rsidRDefault="00275BA9" w:rsidP="007C0745">
      <w:pPr>
        <w:tabs>
          <w:tab w:val="left" w:pos="720"/>
        </w:tabs>
        <w:spacing w:line="480" w:lineRule="auto"/>
        <w:ind w:left="720" w:hanging="720"/>
        <w:jc w:val="left"/>
      </w:pPr>
      <w:r>
        <w:t>A.</w:t>
      </w:r>
      <w:r>
        <w:tab/>
      </w:r>
      <w:r w:rsidR="00ED0C62">
        <w:t>F</w:t>
      </w:r>
      <w:r>
        <w:t xml:space="preserve">undamentally, the Company believes that PCAM deadbands and sharing bands are poor regulatory policy.  While the Commission has </w:t>
      </w:r>
      <w:r w:rsidR="00ED0C62">
        <w:t xml:space="preserve">previously </w:t>
      </w:r>
      <w:r>
        <w:t>observed that deadbands and sharing bands can motivate a utility to effectively manage or reduce NPC,</w:t>
      </w:r>
      <w:r>
        <w:rPr>
          <w:rStyle w:val="FootnoteReference"/>
        </w:rPr>
        <w:footnoteReference w:id="13"/>
      </w:r>
      <w:r>
        <w:t xml:space="preserve"> this justification fails under careful review.  It is now clear that the most significant</w:t>
      </w:r>
      <w:r w:rsidR="00AB4F6F">
        <w:t xml:space="preserve"> contributors</w:t>
      </w:r>
      <w:r>
        <w:t xml:space="preserve"> to NPC variability (</w:t>
      </w:r>
      <w:r w:rsidRPr="00ED0C62">
        <w:t>e.g.,</w:t>
      </w:r>
      <w:r>
        <w:t xml:space="preserve"> stream flows, wind, market prices, fuel prices, loads, forced outages) are not subject to utility management control.  This fact is immutable, irrespective of the degree of utility management motivation.  Deadbands and sharing bands do not work as intended and instead produce random windfalls or losses to the utility and its customers, undermining predictable and fair </w:t>
      </w:r>
      <w:r w:rsidR="007C0745">
        <w:t>utility rates and regulation.</w:t>
      </w:r>
    </w:p>
    <w:p w:rsidR="00275BA9" w:rsidRPr="00006543" w:rsidRDefault="00275BA9" w:rsidP="007E2B9F">
      <w:pPr>
        <w:tabs>
          <w:tab w:val="left" w:pos="720"/>
        </w:tabs>
        <w:spacing w:line="480" w:lineRule="auto"/>
        <w:ind w:left="720" w:hanging="720"/>
        <w:jc w:val="left"/>
        <w:rPr>
          <w:b/>
        </w:rPr>
      </w:pPr>
      <w:r w:rsidRPr="00006543">
        <w:rPr>
          <w:b/>
        </w:rPr>
        <w:t>Q.</w:t>
      </w:r>
      <w:r w:rsidRPr="00006543">
        <w:rPr>
          <w:b/>
        </w:rPr>
        <w:tab/>
        <w:t xml:space="preserve">Has the Commission required deadbands and sharing in </w:t>
      </w:r>
      <w:r>
        <w:rPr>
          <w:b/>
        </w:rPr>
        <w:t xml:space="preserve">all </w:t>
      </w:r>
      <w:r w:rsidRPr="00006543">
        <w:rPr>
          <w:b/>
        </w:rPr>
        <w:t xml:space="preserve">energy cost recovery mechanisms </w:t>
      </w:r>
      <w:r w:rsidR="004B394A">
        <w:rPr>
          <w:b/>
        </w:rPr>
        <w:t>for other Washington utilities?</w:t>
      </w:r>
    </w:p>
    <w:p w:rsidR="006A4CAD" w:rsidRDefault="00275BA9" w:rsidP="004B394A">
      <w:pPr>
        <w:tabs>
          <w:tab w:val="left" w:pos="720"/>
        </w:tabs>
        <w:spacing w:line="480" w:lineRule="auto"/>
        <w:ind w:left="720" w:hanging="720"/>
        <w:jc w:val="left"/>
        <w:rPr>
          <w:b/>
        </w:rPr>
      </w:pPr>
      <w:r>
        <w:t>A.</w:t>
      </w:r>
      <w:r>
        <w:tab/>
        <w:t xml:space="preserve">No.  </w:t>
      </w:r>
      <w:r w:rsidR="00BA457F">
        <w:t>The Commission did not require deadbands or sharing in allowing a hydro-generation deferral for PacifiCorp in the past.</w:t>
      </w:r>
      <w:r w:rsidR="00666071">
        <w:rPr>
          <w:rStyle w:val="FootnoteReference"/>
        </w:rPr>
        <w:footnoteReference w:id="14"/>
      </w:r>
      <w:r w:rsidR="00BA457F">
        <w:t xml:space="preserve"> </w:t>
      </w:r>
      <w:r w:rsidR="006A4CAD">
        <w:t xml:space="preserve"> </w:t>
      </w:r>
      <w:r w:rsidR="00BA457F">
        <w:t xml:space="preserve">Also, </w:t>
      </w:r>
      <w:r>
        <w:t>I understand that the Commission has included deadbands and sharing in cost recovery mechanisms for electric supply costs, but not for natural gas supply costs.  This distinction demonstrates the Commission’s view that the design of such mechanisms “must take into account the specific circumstances facing the utility,” and that they “need not be the same.”</w:t>
      </w:r>
      <w:r>
        <w:rPr>
          <w:rStyle w:val="FootnoteReference"/>
        </w:rPr>
        <w:footnoteReference w:id="15"/>
      </w:r>
      <w:r>
        <w:t xml:space="preserve">  The policy that justifies a dollar-for-dollar true-up of natural gas supply costs—that natural gas companies have </w:t>
      </w:r>
      <w:r w:rsidR="00AB5F01">
        <w:t xml:space="preserve">little or </w:t>
      </w:r>
      <w:r>
        <w:t>no ability to control or manage these costs—supports PacifiCorp’s proposed PCAM, especially in light of Washington’s</w:t>
      </w:r>
      <w:r w:rsidR="004B394A">
        <w:t xml:space="preserve"> RPS and EPS, discussed below.</w:t>
      </w:r>
    </w:p>
    <w:p w:rsidR="00275BA9" w:rsidRPr="00590247" w:rsidRDefault="00275BA9" w:rsidP="007E2B9F">
      <w:pPr>
        <w:tabs>
          <w:tab w:val="left" w:pos="720"/>
        </w:tabs>
        <w:spacing w:line="480" w:lineRule="auto"/>
        <w:ind w:left="720" w:hanging="720"/>
        <w:jc w:val="left"/>
        <w:rPr>
          <w:b/>
        </w:rPr>
      </w:pPr>
      <w:r w:rsidRPr="00590247">
        <w:rPr>
          <w:b/>
        </w:rPr>
        <w:t>Q.</w:t>
      </w:r>
      <w:r w:rsidRPr="00590247">
        <w:rPr>
          <w:b/>
        </w:rPr>
        <w:tab/>
        <w:t>Have a majority of state commissions rejected the use of deadbands and sharing bands in the design of e</w:t>
      </w:r>
      <w:r w:rsidR="004B394A">
        <w:rPr>
          <w:b/>
        </w:rPr>
        <w:t>nergy cost recovery mechanisms?</w:t>
      </w:r>
    </w:p>
    <w:p w:rsidR="00C10632" w:rsidRPr="00C10632" w:rsidRDefault="00275BA9" w:rsidP="00C10632">
      <w:pPr>
        <w:tabs>
          <w:tab w:val="left" w:pos="720"/>
        </w:tabs>
        <w:spacing w:line="480" w:lineRule="auto"/>
        <w:ind w:left="720" w:hanging="720"/>
        <w:jc w:val="left"/>
      </w:pPr>
      <w:r>
        <w:t>A.</w:t>
      </w:r>
      <w:r>
        <w:tab/>
        <w:t xml:space="preserve">Yes, to my knowledge.  </w:t>
      </w:r>
      <w:r w:rsidRPr="006B408E">
        <w:t xml:space="preserve">I reviewed the PCAMs of </w:t>
      </w:r>
      <w:r w:rsidR="00BF11CC">
        <w:t>other</w:t>
      </w:r>
      <w:r w:rsidR="00BF11CC" w:rsidRPr="006B408E">
        <w:t xml:space="preserve"> </w:t>
      </w:r>
      <w:r w:rsidRPr="006B408E">
        <w:t>utilities</w:t>
      </w:r>
      <w:r w:rsidR="00573B9F">
        <w:t>,</w:t>
      </w:r>
      <w:r w:rsidRPr="006B408E">
        <w:t xml:space="preserve"> </w:t>
      </w:r>
      <w:r w:rsidR="00BF11CC">
        <w:t xml:space="preserve">including those </w:t>
      </w:r>
      <w:r w:rsidRPr="006B408E">
        <w:t>in the comparable group of companies Dr. Hadaway uses for determining the Company’s cost of equit</w:t>
      </w:r>
      <w:r w:rsidRPr="00C10632">
        <w:t>y.  Th</w:t>
      </w:r>
      <w:r w:rsidRPr="006B408E">
        <w:t>e majority of utility PCAMs that I reviewed do not contain deadbands</w:t>
      </w:r>
      <w:r>
        <w:t xml:space="preserve"> or</w:t>
      </w:r>
      <w:r w:rsidRPr="006B408E">
        <w:t xml:space="preserve"> sharing mechanisms. </w:t>
      </w:r>
      <w:r w:rsidR="006A4CAD">
        <w:t xml:space="preserve"> For more </w:t>
      </w:r>
      <w:r w:rsidR="006A4CAD" w:rsidRPr="001C4772">
        <w:t>detail on the PCAMs I </w:t>
      </w:r>
      <w:r w:rsidRPr="001C4772">
        <w:t xml:space="preserve">reviewed, please refer to </w:t>
      </w:r>
      <w:r w:rsidR="006A4CAD" w:rsidRPr="001C4772">
        <w:t>Exhibit No.__</w:t>
      </w:r>
      <w:proofErr w:type="gramStart"/>
      <w:r w:rsidR="006A4CAD" w:rsidRPr="001C4772">
        <w:t>_</w:t>
      </w:r>
      <w:r w:rsidRPr="001C4772">
        <w:t>(</w:t>
      </w:r>
      <w:proofErr w:type="gramEnd"/>
      <w:r w:rsidRPr="001C4772">
        <w:t>GND</w:t>
      </w:r>
      <w:r w:rsidR="003D2E11" w:rsidRPr="001C4772">
        <w:t>-</w:t>
      </w:r>
      <w:r w:rsidR="008836D7" w:rsidRPr="001C4772">
        <w:t>5</w:t>
      </w:r>
      <w:r w:rsidR="003D2E11" w:rsidRPr="001C4772">
        <w:t>)</w:t>
      </w:r>
      <w:r w:rsidR="00C10632" w:rsidRPr="001C4772">
        <w:t>.</w:t>
      </w:r>
    </w:p>
    <w:p w:rsidR="00275BA9" w:rsidRPr="006B408E" w:rsidRDefault="00275BA9" w:rsidP="007E2B9F">
      <w:pPr>
        <w:tabs>
          <w:tab w:val="left" w:pos="720"/>
        </w:tabs>
        <w:spacing w:line="480" w:lineRule="auto"/>
        <w:ind w:left="720" w:hanging="720"/>
        <w:jc w:val="left"/>
        <w:rPr>
          <w:b/>
        </w:rPr>
      </w:pPr>
      <w:r w:rsidRPr="006B408E">
        <w:rPr>
          <w:b/>
        </w:rPr>
        <w:t>Q.</w:t>
      </w:r>
      <w:r w:rsidRPr="006B408E">
        <w:rPr>
          <w:b/>
        </w:rPr>
        <w:tab/>
        <w:t xml:space="preserve">Does the Company </w:t>
      </w:r>
      <w:r>
        <w:rPr>
          <w:b/>
        </w:rPr>
        <w:t xml:space="preserve">already </w:t>
      </w:r>
      <w:proofErr w:type="gramStart"/>
      <w:r>
        <w:rPr>
          <w:b/>
        </w:rPr>
        <w:t>have</w:t>
      </w:r>
      <w:proofErr w:type="gramEnd"/>
      <w:r>
        <w:rPr>
          <w:b/>
        </w:rPr>
        <w:t xml:space="preserve"> </w:t>
      </w:r>
      <w:r w:rsidRPr="006B408E">
        <w:rPr>
          <w:b/>
        </w:rPr>
        <w:t xml:space="preserve">a PCAM in another state that is similar to the structure of the PCAM </w:t>
      </w:r>
      <w:r>
        <w:rPr>
          <w:b/>
        </w:rPr>
        <w:t xml:space="preserve">proposed </w:t>
      </w:r>
      <w:r w:rsidRPr="006B408E">
        <w:rPr>
          <w:b/>
        </w:rPr>
        <w:t>in this filing?</w:t>
      </w:r>
    </w:p>
    <w:p w:rsidR="003B4132" w:rsidRDefault="006A4CAD" w:rsidP="007E2B9F">
      <w:pPr>
        <w:tabs>
          <w:tab w:val="left" w:pos="720"/>
        </w:tabs>
        <w:spacing w:line="480" w:lineRule="auto"/>
        <w:ind w:left="720" w:hanging="720"/>
        <w:jc w:val="left"/>
      </w:pPr>
      <w:r>
        <w:t>A.</w:t>
      </w:r>
      <w:r>
        <w:tab/>
        <w:t xml:space="preserve">Yes.  </w:t>
      </w:r>
      <w:r w:rsidR="00275BA9">
        <w:t xml:space="preserve">Since 2008, the </w:t>
      </w:r>
      <w:r w:rsidR="00275BA9" w:rsidRPr="006B408E">
        <w:t xml:space="preserve">Company has </w:t>
      </w:r>
      <w:r w:rsidR="00275BA9">
        <w:t xml:space="preserve">had </w:t>
      </w:r>
      <w:r w:rsidR="00275BA9" w:rsidRPr="006B408E">
        <w:t xml:space="preserve">a dollar-for-dollar true-up mechanism for variances in NPC in California called an Energy Cost Adjustment Clause (ECAC). </w:t>
      </w:r>
      <w:r w:rsidR="007A29A8">
        <w:t xml:space="preserve"> </w:t>
      </w:r>
      <w:r w:rsidR="00275BA9">
        <w:t xml:space="preserve">Like Washington, California has an RPS and an EPS.  In </w:t>
      </w:r>
      <w:r w:rsidR="00743B40">
        <w:t>three other</w:t>
      </w:r>
      <w:r w:rsidR="00275BA9">
        <w:t xml:space="preserve"> states, </w:t>
      </w:r>
      <w:r w:rsidR="00743B40">
        <w:t xml:space="preserve">Idaho, Wyoming and Utah, </w:t>
      </w:r>
      <w:r w:rsidR="00275BA9">
        <w:t>the Company has mechanisms with sharing bands (90/10 in Idaho and 70/30 in Wyoming and Utah), but no deadbands.</w:t>
      </w:r>
    </w:p>
    <w:p w:rsidR="00743191" w:rsidRDefault="003B4132" w:rsidP="007E2B9F">
      <w:pPr>
        <w:tabs>
          <w:tab w:val="left" w:pos="720"/>
        </w:tabs>
        <w:spacing w:line="480" w:lineRule="auto"/>
        <w:ind w:left="720" w:hanging="720"/>
        <w:jc w:val="left"/>
      </w:pPr>
      <w:r>
        <w:tab/>
      </w:r>
      <w:r>
        <w:tab/>
      </w:r>
      <w:r w:rsidR="00743191">
        <w:t xml:space="preserve">The </w:t>
      </w:r>
      <w:r w:rsidR="006A4CAD">
        <w:t xml:space="preserve">Public Utility Commission of </w:t>
      </w:r>
      <w:r w:rsidR="00743191">
        <w:t xml:space="preserve">Oregon </w:t>
      </w:r>
      <w:r w:rsidR="0056131B">
        <w:t>just adopted a PCAM for Pac</w:t>
      </w:r>
      <w:r w:rsidR="00743191">
        <w:t>ifiCorp</w:t>
      </w:r>
      <w:r w:rsidR="0056131B">
        <w:t xml:space="preserve"> which, over the Company’s objection, includes</w:t>
      </w:r>
      <w:r w:rsidR="00743191">
        <w:t xml:space="preserve"> deadbands and sharing</w:t>
      </w:r>
      <w:r w:rsidR="00560A33">
        <w:t xml:space="preserve"> bands</w:t>
      </w:r>
      <w:r w:rsidR="00743191">
        <w:t>.</w:t>
      </w:r>
      <w:r w:rsidR="0004329C">
        <w:rPr>
          <w:rStyle w:val="FootnoteReference"/>
        </w:rPr>
        <w:footnoteReference w:id="16"/>
      </w:r>
      <w:r w:rsidR="0056131B">
        <w:t xml:space="preserve"> </w:t>
      </w:r>
      <w:r w:rsidR="006A4CAD">
        <w:t xml:space="preserve"> </w:t>
      </w:r>
      <w:r w:rsidR="0056131B">
        <w:t xml:space="preserve">In this decision, the Oregon </w:t>
      </w:r>
      <w:r w:rsidR="006A4CAD">
        <w:t>c</w:t>
      </w:r>
      <w:r w:rsidR="0056131B">
        <w:t xml:space="preserve">ommission defaulted to </w:t>
      </w:r>
      <w:r w:rsidR="0004329C">
        <w:t xml:space="preserve">its </w:t>
      </w:r>
      <w:r w:rsidR="0056131B">
        <w:t xml:space="preserve">past </w:t>
      </w:r>
      <w:r w:rsidR="0004329C">
        <w:t xml:space="preserve">PCAM design, without </w:t>
      </w:r>
      <w:r w:rsidR="0056131B">
        <w:t>full</w:t>
      </w:r>
      <w:r w:rsidR="003A293E">
        <w:t>y</w:t>
      </w:r>
      <w:r w:rsidR="0056131B">
        <w:t xml:space="preserve"> consider</w:t>
      </w:r>
      <w:r w:rsidR="003A293E">
        <w:t>ing</w:t>
      </w:r>
      <w:r w:rsidR="0056131B">
        <w:t xml:space="preserve"> the increased NPC-related risk the Company now faces. </w:t>
      </w:r>
      <w:r w:rsidR="0004329C">
        <w:t xml:space="preserve"> </w:t>
      </w:r>
      <w:r w:rsidR="00801D1C">
        <w:t xml:space="preserve">The PCAM adopted by the Oregon </w:t>
      </w:r>
      <w:r w:rsidR="006A4CAD">
        <w:t>c</w:t>
      </w:r>
      <w:r w:rsidR="0004329C">
        <w:t>ommission is an outlier compared to PacifiCorp’s other approved PCAMs and the PCAMs of other utilities</w:t>
      </w:r>
      <w:r w:rsidR="00E24571">
        <w:t xml:space="preserve"> in PacifiCorp’s comparable group</w:t>
      </w:r>
      <w:r w:rsidR="0004329C">
        <w:t>.</w:t>
      </w:r>
    </w:p>
    <w:p w:rsidR="00275BA9" w:rsidRPr="006B408E" w:rsidRDefault="00275BA9" w:rsidP="006A4CAD">
      <w:pPr>
        <w:keepNext/>
        <w:widowControl/>
        <w:tabs>
          <w:tab w:val="left" w:pos="720"/>
        </w:tabs>
        <w:spacing w:line="480" w:lineRule="auto"/>
        <w:ind w:left="720" w:hanging="720"/>
        <w:jc w:val="left"/>
        <w:rPr>
          <w:b/>
        </w:rPr>
      </w:pPr>
      <w:r w:rsidRPr="006B408E">
        <w:rPr>
          <w:b/>
        </w:rPr>
        <w:t>Q.</w:t>
      </w:r>
      <w:r w:rsidRPr="006B408E">
        <w:rPr>
          <w:b/>
        </w:rPr>
        <w:tab/>
      </w:r>
      <w:r>
        <w:rPr>
          <w:b/>
        </w:rPr>
        <w:t xml:space="preserve">Will </w:t>
      </w:r>
      <w:r w:rsidRPr="006B408E">
        <w:rPr>
          <w:b/>
        </w:rPr>
        <w:t>the Company have less of an incent</w:t>
      </w:r>
      <w:r>
        <w:rPr>
          <w:b/>
        </w:rPr>
        <w:t xml:space="preserve">ive to minimize actual NPC if its proposed </w:t>
      </w:r>
      <w:r w:rsidRPr="006B408E">
        <w:rPr>
          <w:b/>
        </w:rPr>
        <w:t xml:space="preserve">PCAM is </w:t>
      </w:r>
      <w:r>
        <w:rPr>
          <w:b/>
        </w:rPr>
        <w:t>adopted</w:t>
      </w:r>
      <w:r w:rsidRPr="006B408E">
        <w:rPr>
          <w:b/>
        </w:rPr>
        <w:t>?</w:t>
      </w:r>
    </w:p>
    <w:p w:rsidR="001C4772" w:rsidRDefault="00275BA9" w:rsidP="007E2B9F">
      <w:pPr>
        <w:tabs>
          <w:tab w:val="left" w:pos="720"/>
        </w:tabs>
        <w:spacing w:line="480" w:lineRule="auto"/>
        <w:ind w:left="720" w:hanging="720"/>
        <w:jc w:val="left"/>
      </w:pPr>
      <w:r w:rsidRPr="006B408E">
        <w:t>A.</w:t>
      </w:r>
      <w:r w:rsidRPr="006B408E">
        <w:tab/>
        <w:t xml:space="preserve">No. </w:t>
      </w:r>
      <w:r>
        <w:t xml:space="preserve"> </w:t>
      </w:r>
      <w:r w:rsidRPr="006B408E">
        <w:t xml:space="preserve">The Company </w:t>
      </w:r>
      <w:r>
        <w:t xml:space="preserve">will </w:t>
      </w:r>
      <w:r w:rsidRPr="006B408E">
        <w:t xml:space="preserve">continue to be subject to prudence reviews in </w:t>
      </w:r>
      <w:r>
        <w:t>Washington</w:t>
      </w:r>
      <w:r w:rsidRPr="006B408E">
        <w:t xml:space="preserve"> </w:t>
      </w:r>
    </w:p>
    <w:p w:rsidR="00275BA9" w:rsidRDefault="001C4772" w:rsidP="007E2B9F">
      <w:pPr>
        <w:tabs>
          <w:tab w:val="left" w:pos="720"/>
        </w:tabs>
        <w:spacing w:line="480" w:lineRule="auto"/>
        <w:ind w:left="720" w:hanging="720"/>
        <w:jc w:val="left"/>
      </w:pPr>
      <w:r>
        <w:tab/>
      </w:r>
      <w:proofErr w:type="gramStart"/>
      <w:r w:rsidR="00275BA9" w:rsidRPr="006B408E">
        <w:t>and</w:t>
      </w:r>
      <w:proofErr w:type="gramEnd"/>
      <w:r w:rsidR="00275BA9" w:rsidRPr="006B408E">
        <w:t xml:space="preserve"> </w:t>
      </w:r>
      <w:r w:rsidR="00BF11CC">
        <w:t xml:space="preserve">its five other </w:t>
      </w:r>
      <w:r w:rsidR="00275BA9" w:rsidRPr="006B408E">
        <w:t xml:space="preserve">states.  Implementing a PCAM in </w:t>
      </w:r>
      <w:r w:rsidR="00275BA9">
        <w:t>Washington</w:t>
      </w:r>
      <w:r w:rsidR="00275BA9" w:rsidRPr="006B408E">
        <w:t xml:space="preserve"> will not change the incentive the Company has to </w:t>
      </w:r>
      <w:r w:rsidR="00275BA9">
        <w:t xml:space="preserve">act prudently and </w:t>
      </w:r>
      <w:r w:rsidR="00275BA9" w:rsidRPr="006B408E">
        <w:t>minimize actual NPC.</w:t>
      </w:r>
    </w:p>
    <w:p w:rsidR="00275BA9" w:rsidRPr="006B408E" w:rsidRDefault="00275BA9" w:rsidP="007E2B9F">
      <w:pPr>
        <w:tabs>
          <w:tab w:val="left" w:pos="720"/>
        </w:tabs>
        <w:spacing w:line="480" w:lineRule="auto"/>
        <w:ind w:left="720" w:hanging="720"/>
        <w:jc w:val="left"/>
        <w:rPr>
          <w:b/>
        </w:rPr>
      </w:pPr>
      <w:r w:rsidRPr="006B408E">
        <w:rPr>
          <w:b/>
        </w:rPr>
        <w:t>Q.</w:t>
      </w:r>
      <w:r w:rsidRPr="006B408E">
        <w:rPr>
          <w:b/>
        </w:rPr>
        <w:tab/>
        <w:t xml:space="preserve">Does the PCAM shift all of the risk of increases or decreases in NPC completely away from the </w:t>
      </w:r>
      <w:r w:rsidR="004B394A">
        <w:rPr>
          <w:b/>
        </w:rPr>
        <w:t>Company and onto the customers?</w:t>
      </w:r>
    </w:p>
    <w:p w:rsidR="00275BA9" w:rsidRDefault="00275BA9" w:rsidP="007E2B9F">
      <w:pPr>
        <w:tabs>
          <w:tab w:val="left" w:pos="720"/>
        </w:tabs>
        <w:spacing w:line="480" w:lineRule="auto"/>
        <w:ind w:left="720" w:hanging="720"/>
        <w:jc w:val="left"/>
      </w:pPr>
      <w:r w:rsidRPr="006B408E">
        <w:t>A.</w:t>
      </w:r>
      <w:r w:rsidRPr="006B408E">
        <w:tab/>
        <w:t xml:space="preserve">No.  The proposed PCAM will recover from customers only actual NPC and will pass through to customers any actual NPC reductions. </w:t>
      </w:r>
      <w:r w:rsidR="006A4CAD">
        <w:t xml:space="preserve"> </w:t>
      </w:r>
      <w:r w:rsidRPr="006B408E">
        <w:t>While this creates symmetry, a desirable feature of an adjustment mechanism, it does not shift from the Company to customers the risks of prudently managing its system.  The Company retains that risk.  The Commission, Staff</w:t>
      </w:r>
      <w:r w:rsidR="006A4CAD">
        <w:t>,</w:t>
      </w:r>
      <w:r w:rsidRPr="006B408E">
        <w:t xml:space="preserve"> and parties will have the opportunity to assess the prudence and reasonableness of actual NPC in </w:t>
      </w:r>
      <w:r>
        <w:t>the Company’s</w:t>
      </w:r>
      <w:r w:rsidRPr="006B408E">
        <w:t xml:space="preserve"> </w:t>
      </w:r>
      <w:r w:rsidR="00F20063">
        <w:t>PCAM rate filings</w:t>
      </w:r>
      <w:r w:rsidR="004B394A">
        <w:t>.</w:t>
      </w:r>
    </w:p>
    <w:p w:rsidR="00275BA9" w:rsidRPr="006B408E" w:rsidRDefault="00275BA9" w:rsidP="007E2B9F">
      <w:pPr>
        <w:tabs>
          <w:tab w:val="left" w:pos="720"/>
        </w:tabs>
        <w:spacing w:line="480" w:lineRule="auto"/>
        <w:ind w:left="720" w:hanging="720"/>
        <w:jc w:val="left"/>
        <w:rPr>
          <w:b/>
        </w:rPr>
      </w:pPr>
      <w:r w:rsidRPr="006B408E">
        <w:rPr>
          <w:b/>
        </w:rPr>
        <w:t>Q.</w:t>
      </w:r>
      <w:r w:rsidRPr="006B408E">
        <w:rPr>
          <w:b/>
        </w:rPr>
        <w:tab/>
        <w:t xml:space="preserve">How would </w:t>
      </w:r>
      <w:r>
        <w:rPr>
          <w:b/>
        </w:rPr>
        <w:t xml:space="preserve">Washington </w:t>
      </w:r>
      <w:r w:rsidRPr="006B408E">
        <w:rPr>
          <w:b/>
        </w:rPr>
        <w:t xml:space="preserve">customers benefit from </w:t>
      </w:r>
      <w:r>
        <w:rPr>
          <w:b/>
        </w:rPr>
        <w:t>PacifiCorp’s proposed PCAM</w:t>
      </w:r>
      <w:r w:rsidRPr="006B408E">
        <w:rPr>
          <w:b/>
        </w:rPr>
        <w:t>?</w:t>
      </w:r>
    </w:p>
    <w:p w:rsidR="00275BA9" w:rsidRPr="006B408E" w:rsidRDefault="00275BA9" w:rsidP="007E2B9F">
      <w:pPr>
        <w:tabs>
          <w:tab w:val="left" w:pos="720"/>
        </w:tabs>
        <w:spacing w:line="480" w:lineRule="auto"/>
        <w:ind w:left="720" w:hanging="720"/>
        <w:jc w:val="left"/>
      </w:pPr>
      <w:r w:rsidRPr="006B408E">
        <w:t>A.</w:t>
      </w:r>
      <w:r w:rsidRPr="006B408E">
        <w:tab/>
        <w:t xml:space="preserve">Customers will benefit from the Company’s proposed PCAM in </w:t>
      </w:r>
      <w:r>
        <w:t>several ways</w:t>
      </w:r>
      <w:r w:rsidRPr="006B408E">
        <w:t>:</w:t>
      </w:r>
    </w:p>
    <w:p w:rsidR="00275BA9" w:rsidRDefault="00275BA9" w:rsidP="006A4CAD">
      <w:pPr>
        <w:widowControl/>
        <w:numPr>
          <w:ilvl w:val="0"/>
          <w:numId w:val="23"/>
        </w:numPr>
        <w:tabs>
          <w:tab w:val="left" w:pos="720"/>
        </w:tabs>
        <w:adjustRightInd/>
        <w:spacing w:line="480" w:lineRule="auto"/>
        <w:ind w:left="1080"/>
        <w:jc w:val="left"/>
        <w:textAlignment w:val="auto"/>
      </w:pPr>
      <w:r w:rsidRPr="003936F7">
        <w:t xml:space="preserve">The </w:t>
      </w:r>
      <w:r>
        <w:t xml:space="preserve">PCAM will </w:t>
      </w:r>
      <w:r w:rsidRPr="003936F7">
        <w:t xml:space="preserve">result in rates </w:t>
      </w:r>
      <w:r>
        <w:t>for</w:t>
      </w:r>
      <w:r w:rsidRPr="003936F7">
        <w:t xml:space="preserve"> customers that more closely reflect the actual power supply costs to serve </w:t>
      </w:r>
      <w:r>
        <w:t>them</w:t>
      </w:r>
      <w:r w:rsidR="004B394A">
        <w:t>.</w:t>
      </w:r>
    </w:p>
    <w:p w:rsidR="00275BA9" w:rsidRDefault="00275BA9" w:rsidP="006A4CAD">
      <w:pPr>
        <w:widowControl/>
        <w:numPr>
          <w:ilvl w:val="0"/>
          <w:numId w:val="23"/>
        </w:numPr>
        <w:tabs>
          <w:tab w:val="left" w:pos="720"/>
        </w:tabs>
        <w:adjustRightInd/>
        <w:spacing w:line="480" w:lineRule="auto"/>
        <w:ind w:left="1080"/>
        <w:jc w:val="left"/>
        <w:textAlignment w:val="auto"/>
      </w:pPr>
      <w:r w:rsidRPr="00107DF9">
        <w:t xml:space="preserve">In high wind or water years, customers will realize the </w:t>
      </w:r>
      <w:r>
        <w:t xml:space="preserve">full </w:t>
      </w:r>
      <w:r w:rsidRPr="00107DF9">
        <w:t>benefit of actual wind and hydro generation on the Company’s system</w:t>
      </w:r>
      <w:r>
        <w:t>.  When actual NPC is lower than NPC in rates, rates will be adjusted to reflect lower actual costs.</w:t>
      </w:r>
    </w:p>
    <w:p w:rsidR="00275BA9" w:rsidRDefault="00FA6A20" w:rsidP="006A4CAD">
      <w:pPr>
        <w:widowControl/>
        <w:numPr>
          <w:ilvl w:val="0"/>
          <w:numId w:val="23"/>
        </w:numPr>
        <w:tabs>
          <w:tab w:val="left" w:pos="720"/>
        </w:tabs>
        <w:adjustRightInd/>
        <w:spacing w:line="480" w:lineRule="auto"/>
        <w:ind w:left="1080"/>
        <w:jc w:val="left"/>
        <w:textAlignment w:val="auto"/>
      </w:pPr>
      <w:r>
        <w:t xml:space="preserve">As explained in the testimony of </w:t>
      </w:r>
      <w:r w:rsidR="004D5C83">
        <w:t xml:space="preserve">Mr. </w:t>
      </w:r>
      <w:r>
        <w:t xml:space="preserve">Bruce </w:t>
      </w:r>
      <w:r w:rsidR="004D5C83">
        <w:t xml:space="preserve">N. </w:t>
      </w:r>
      <w:r>
        <w:t>Williams, t</w:t>
      </w:r>
      <w:r w:rsidR="00275BA9" w:rsidRPr="00107DF9">
        <w:t xml:space="preserve">he PCAM </w:t>
      </w:r>
      <w:r w:rsidR="00275BA9">
        <w:t xml:space="preserve">will </w:t>
      </w:r>
      <w:r w:rsidR="00275BA9" w:rsidRPr="00107DF9">
        <w:t>stabi</w:t>
      </w:r>
      <w:r w:rsidR="00275BA9">
        <w:t>l</w:t>
      </w:r>
      <w:r w:rsidR="00275BA9" w:rsidRPr="00107DF9">
        <w:t>ize the Company’s earnings and cash flows and reduce its imputed debt, all of which should improve the Company’s ability to finance its on-going capital investments</w:t>
      </w:r>
      <w:r w:rsidR="00553C64">
        <w:t>.</w:t>
      </w:r>
    </w:p>
    <w:p w:rsidR="00275BA9" w:rsidRDefault="00275BA9" w:rsidP="006A4CAD">
      <w:pPr>
        <w:widowControl/>
        <w:numPr>
          <w:ilvl w:val="0"/>
          <w:numId w:val="23"/>
        </w:numPr>
        <w:tabs>
          <w:tab w:val="left" w:pos="720"/>
        </w:tabs>
        <w:adjustRightInd/>
        <w:spacing w:line="480" w:lineRule="auto"/>
        <w:ind w:left="1080"/>
        <w:jc w:val="left"/>
        <w:textAlignment w:val="auto"/>
      </w:pPr>
      <w:r w:rsidRPr="00107DF9">
        <w:t xml:space="preserve">The PCAM should produce a more streamlined regulatory process focusing on the prudence of the Company’s NPC, rather than modeling issues, as </w:t>
      </w:r>
      <w:r>
        <w:t xml:space="preserve">has </w:t>
      </w:r>
      <w:r w:rsidRPr="00107DF9">
        <w:t>been the cas</w:t>
      </w:r>
      <w:r w:rsidR="006A4CAD">
        <w:t>e in prior general rate cases.</w:t>
      </w:r>
    </w:p>
    <w:p w:rsidR="00275BA9" w:rsidRDefault="00275BA9" w:rsidP="00C10632">
      <w:pPr>
        <w:pStyle w:val="Heading2"/>
        <w:spacing w:after="0" w:line="480" w:lineRule="auto"/>
      </w:pPr>
      <w:bookmarkStart w:id="25" w:name="_Toc345506052"/>
      <w:r>
        <w:t>PacifiCorp’s Increased NPC Business Risk Supports PacifiCorp’s PCAM</w:t>
      </w:r>
      <w:bookmarkEnd w:id="25"/>
    </w:p>
    <w:p w:rsidR="00275BA9" w:rsidRPr="00C079F9" w:rsidRDefault="00275BA9" w:rsidP="007E2B9F">
      <w:pPr>
        <w:tabs>
          <w:tab w:val="left" w:pos="720"/>
        </w:tabs>
        <w:spacing w:line="480" w:lineRule="auto"/>
        <w:ind w:left="720" w:hanging="720"/>
        <w:jc w:val="left"/>
        <w:rPr>
          <w:b/>
        </w:rPr>
      </w:pPr>
      <w:proofErr w:type="gramStart"/>
      <w:r w:rsidRPr="00C079F9">
        <w:rPr>
          <w:b/>
        </w:rPr>
        <w:t>Q.</w:t>
      </w:r>
      <w:r w:rsidRPr="00C079F9">
        <w:rPr>
          <w:b/>
        </w:rPr>
        <w:tab/>
        <w:t xml:space="preserve">Since the Company’s prior PCAM proposals in the 2005 and 2006 </w:t>
      </w:r>
      <w:r w:rsidR="006A4CAD">
        <w:rPr>
          <w:b/>
        </w:rPr>
        <w:t>r</w:t>
      </w:r>
      <w:r w:rsidR="00232229">
        <w:rPr>
          <w:b/>
        </w:rPr>
        <w:t xml:space="preserve">ate </w:t>
      </w:r>
      <w:r w:rsidR="006A4CAD">
        <w:rPr>
          <w:b/>
        </w:rPr>
        <w:t>c</w:t>
      </w:r>
      <w:r w:rsidR="00232229">
        <w:rPr>
          <w:b/>
        </w:rPr>
        <w:t>ase</w:t>
      </w:r>
      <w:r w:rsidRPr="00C079F9">
        <w:rPr>
          <w:b/>
        </w:rPr>
        <w:t>s, have ci</w:t>
      </w:r>
      <w:r>
        <w:rPr>
          <w:b/>
        </w:rPr>
        <w:t>rc</w:t>
      </w:r>
      <w:r w:rsidRPr="00C079F9">
        <w:rPr>
          <w:b/>
        </w:rPr>
        <w:t xml:space="preserve">umstances changed </w:t>
      </w:r>
      <w:r>
        <w:rPr>
          <w:b/>
        </w:rPr>
        <w:t xml:space="preserve">materially </w:t>
      </w:r>
      <w:r w:rsidRPr="00C079F9">
        <w:rPr>
          <w:b/>
        </w:rPr>
        <w:t>with respect to the Company’s NPC busine</w:t>
      </w:r>
      <w:r w:rsidR="006A4CAD">
        <w:rPr>
          <w:b/>
        </w:rPr>
        <w:t>ss risk?</w:t>
      </w:r>
      <w:proofErr w:type="gramEnd"/>
    </w:p>
    <w:p w:rsidR="00275BA9" w:rsidRDefault="00CE0A7D" w:rsidP="007E2B9F">
      <w:pPr>
        <w:tabs>
          <w:tab w:val="left" w:pos="720"/>
        </w:tabs>
        <w:spacing w:line="480" w:lineRule="auto"/>
        <w:ind w:left="720" w:hanging="720"/>
        <w:jc w:val="left"/>
      </w:pPr>
      <w:r>
        <w:t>A.</w:t>
      </w:r>
      <w:r>
        <w:tab/>
        <w:t xml:space="preserve">Yes.  </w:t>
      </w:r>
      <w:r w:rsidR="00275BA9">
        <w:t xml:space="preserve">The passage of the EIA in 2006 and the EPS </w:t>
      </w:r>
      <w:r w:rsidR="00275BA9">
        <w:rPr>
          <w:rFonts w:cs="Arial"/>
        </w:rPr>
        <w:t>in 2007</w:t>
      </w:r>
      <w:r w:rsidR="00275BA9" w:rsidRPr="005E0CBF">
        <w:t xml:space="preserve"> </w:t>
      </w:r>
      <w:r w:rsidR="00275BA9">
        <w:t xml:space="preserve">warrant reassessment of PCAM design.  These statutes remove a significant part of the Company’s discretion with respect to power supply to serve Washington customers, mandating reliance on renewable and natural gas generation resources. </w:t>
      </w:r>
      <w:r w:rsidR="00013B1B">
        <w:t xml:space="preserve"> </w:t>
      </w:r>
      <w:r w:rsidR="00275BA9">
        <w:t>This mandate has further reduced the Company’s ability to manage NPC variability and increased the Company’s NPC business risk.  At the same time, these statutes require customers to bear the costs of prudent compliance with the mandates on electric generation resource mix, shifting the balance of ris</w:t>
      </w:r>
      <w:r w:rsidR="006A4CAD">
        <w:t>ks from utilities to customers.</w:t>
      </w:r>
    </w:p>
    <w:p w:rsidR="00DE02D2" w:rsidRDefault="00DE02D2" w:rsidP="00E774A9">
      <w:pPr>
        <w:widowControl/>
        <w:tabs>
          <w:tab w:val="left" w:pos="720"/>
        </w:tabs>
        <w:spacing w:line="480" w:lineRule="auto"/>
        <w:ind w:left="720" w:hanging="720"/>
        <w:jc w:val="left"/>
      </w:pPr>
      <w:r>
        <w:tab/>
      </w:r>
      <w:r>
        <w:tab/>
        <w:t xml:space="preserve">In addition, the Commission’s adoption of the </w:t>
      </w:r>
      <w:r w:rsidR="00D1442E">
        <w:t>WCA</w:t>
      </w:r>
      <w:r>
        <w:t xml:space="preserve"> </w:t>
      </w:r>
      <w:r w:rsidR="00666071">
        <w:t xml:space="preserve">in the 2006 </w:t>
      </w:r>
      <w:r w:rsidR="00232229">
        <w:t>Rate Case</w:t>
      </w:r>
      <w:r w:rsidR="00666071">
        <w:t xml:space="preserve"> </w:t>
      </w:r>
      <w:r>
        <w:t>increased the Company’s NPC risk by making NPC a large</w:t>
      </w:r>
      <w:r w:rsidR="00737C7F">
        <w:t>r</w:t>
      </w:r>
      <w:r>
        <w:t xml:space="preserve"> portion of the Company’s revenue requirement and increasing the Company’s reliance on market purchases and variable </w:t>
      </w:r>
      <w:r w:rsidR="00013B1B">
        <w:t>resources for its power supply.</w:t>
      </w:r>
    </w:p>
    <w:p w:rsidR="00275BA9" w:rsidRPr="00D503F8" w:rsidRDefault="00275BA9" w:rsidP="00275BA9">
      <w:pPr>
        <w:tabs>
          <w:tab w:val="left" w:pos="720"/>
        </w:tabs>
        <w:spacing w:line="480" w:lineRule="auto"/>
        <w:ind w:left="720" w:hanging="720"/>
        <w:rPr>
          <w:b/>
        </w:rPr>
      </w:pPr>
      <w:r w:rsidRPr="00D503F8">
        <w:rPr>
          <w:b/>
        </w:rPr>
        <w:t>Q.</w:t>
      </w:r>
      <w:r w:rsidRPr="00D503F8">
        <w:rPr>
          <w:b/>
        </w:rPr>
        <w:tab/>
        <w:t xml:space="preserve">Please provide the cost-recovery language to which you refer. </w:t>
      </w:r>
    </w:p>
    <w:p w:rsidR="007E2B9F" w:rsidRPr="007E2B9F" w:rsidRDefault="00275BA9" w:rsidP="002A3C72">
      <w:pPr>
        <w:spacing w:line="480" w:lineRule="auto"/>
      </w:pPr>
      <w:bookmarkStart w:id="26" w:name="_Toc345256362"/>
      <w:r w:rsidRPr="00A72300">
        <w:t>A.</w:t>
      </w:r>
      <w:r w:rsidRPr="00A72300">
        <w:tab/>
        <w:t>Under RCW 19.285.050(2) of the EIA:</w:t>
      </w:r>
      <w:bookmarkEnd w:id="26"/>
    </w:p>
    <w:p w:rsidR="00275BA9" w:rsidRPr="00122F5C" w:rsidRDefault="00275BA9" w:rsidP="007E2B9F">
      <w:pPr>
        <w:pStyle w:val="Answer0"/>
        <w:widowControl w:val="0"/>
        <w:spacing w:line="240" w:lineRule="auto"/>
        <w:ind w:left="1440" w:right="720" w:firstLine="0"/>
        <w:jc w:val="left"/>
      </w:pPr>
      <w:r w:rsidRPr="00122F5C">
        <w:t xml:space="preserve">An investor-owned utility is entitled to recover all prudently incurred costs associated with compliance with this chapter. </w:t>
      </w:r>
      <w:r w:rsidR="00013B1B">
        <w:t xml:space="preserve"> </w:t>
      </w:r>
      <w:r w:rsidRPr="00122F5C">
        <w:t>The commission shall address cost recovery issues of qualifying utilities that are investor-owned utilities that serve both in Washington and in other states in complying with this chapter.</w:t>
      </w:r>
    </w:p>
    <w:p w:rsidR="00275BA9" w:rsidRDefault="00275BA9" w:rsidP="007E2B9F">
      <w:pPr>
        <w:suppressLineNumbers/>
        <w:spacing w:line="240" w:lineRule="auto"/>
      </w:pPr>
    </w:p>
    <w:p w:rsidR="00275BA9" w:rsidRDefault="00275BA9" w:rsidP="007E2B9F">
      <w:pPr>
        <w:tabs>
          <w:tab w:val="left" w:pos="720"/>
        </w:tabs>
        <w:spacing w:line="480" w:lineRule="auto"/>
        <w:ind w:left="720" w:hanging="720"/>
        <w:jc w:val="left"/>
        <w:rPr>
          <w:b/>
        </w:rPr>
      </w:pPr>
      <w:r>
        <w:tab/>
      </w:r>
      <w:r w:rsidRPr="00A72300">
        <w:t>The deferral provisions of RCW 80.80.060(6) of the EPS</w:t>
      </w:r>
      <w:r>
        <w:t>, designed to allow a utility to recover capital costs without shortfalls caused by</w:t>
      </w:r>
      <w:r w:rsidR="00E774A9">
        <w:t xml:space="preserve"> the timing difference between when costs are incurred and when costs are included in rates, </w:t>
      </w:r>
      <w:r>
        <w:t>were</w:t>
      </w:r>
      <w:r w:rsidRPr="00A72300">
        <w:t xml:space="preserve"> </w:t>
      </w:r>
      <w:r>
        <w:t xml:space="preserve">described </w:t>
      </w:r>
      <w:r w:rsidR="00F20063">
        <w:t>earlier</w:t>
      </w:r>
      <w:r w:rsidR="00013B1B">
        <w:t>.</w:t>
      </w:r>
    </w:p>
    <w:p w:rsidR="00275BA9" w:rsidRDefault="00275BA9" w:rsidP="007E2B9F">
      <w:pPr>
        <w:tabs>
          <w:tab w:val="left" w:pos="720"/>
        </w:tabs>
        <w:spacing w:line="480" w:lineRule="auto"/>
        <w:ind w:left="720" w:hanging="720"/>
        <w:jc w:val="left"/>
        <w:rPr>
          <w:b/>
        </w:rPr>
      </w:pPr>
      <w:proofErr w:type="gramStart"/>
      <w:r w:rsidRPr="00FE4104">
        <w:rPr>
          <w:b/>
        </w:rPr>
        <w:t>Q.</w:t>
      </w:r>
      <w:r w:rsidRPr="00FE4104">
        <w:rPr>
          <w:b/>
        </w:rPr>
        <w:tab/>
      </w:r>
      <w:r>
        <w:rPr>
          <w:b/>
        </w:rPr>
        <w:t>P</w:t>
      </w:r>
      <w:r w:rsidRPr="00FE4104">
        <w:rPr>
          <w:b/>
        </w:rPr>
        <w:t xml:space="preserve">lease describe the </w:t>
      </w:r>
      <w:r>
        <w:rPr>
          <w:b/>
        </w:rPr>
        <w:t xml:space="preserve">major </w:t>
      </w:r>
      <w:r w:rsidRPr="00FE4104">
        <w:rPr>
          <w:b/>
        </w:rPr>
        <w:t xml:space="preserve">changes to the Company’s </w:t>
      </w:r>
      <w:r w:rsidR="0067068F">
        <w:rPr>
          <w:b/>
        </w:rPr>
        <w:t>PACW</w:t>
      </w:r>
      <w:r w:rsidRPr="00FE4104">
        <w:rPr>
          <w:b/>
        </w:rPr>
        <w:t xml:space="preserve"> generation portfolio since </w:t>
      </w:r>
      <w:r>
        <w:rPr>
          <w:b/>
        </w:rPr>
        <w:t>2006</w:t>
      </w:r>
      <w:r w:rsidR="004B394A">
        <w:rPr>
          <w:b/>
        </w:rPr>
        <w:t>.</w:t>
      </w:r>
      <w:proofErr w:type="gramEnd"/>
    </w:p>
    <w:p w:rsidR="00573B9F" w:rsidRDefault="00275BA9" w:rsidP="0051336C">
      <w:pPr>
        <w:tabs>
          <w:tab w:val="left" w:pos="720"/>
        </w:tabs>
        <w:spacing w:line="480" w:lineRule="auto"/>
        <w:ind w:left="720" w:hanging="720"/>
        <w:jc w:val="left"/>
      </w:pPr>
      <w:r w:rsidRPr="00F81FA0">
        <w:t>A.</w:t>
      </w:r>
      <w:r w:rsidRPr="00F81FA0">
        <w:tab/>
        <w:t xml:space="preserve">Since 2006, the Company has added </w:t>
      </w:r>
      <w:r w:rsidRPr="00852AEC">
        <w:t xml:space="preserve">approximately 405 MW of new wind resources (Leaning Juniper, </w:t>
      </w:r>
      <w:proofErr w:type="spellStart"/>
      <w:r w:rsidRPr="00852AEC">
        <w:t>Goodnoe</w:t>
      </w:r>
      <w:proofErr w:type="spellEnd"/>
      <w:r w:rsidRPr="00852AEC">
        <w:t xml:space="preserve"> Hills, Marengo I and Marengo II) and </w:t>
      </w:r>
      <w:r w:rsidR="00013B1B">
        <w:t>74 </w:t>
      </w:r>
      <w:r w:rsidRPr="00852AEC">
        <w:t xml:space="preserve">MW of wind PPAs </w:t>
      </w:r>
      <w:r w:rsidR="009924FF" w:rsidRPr="00852AEC">
        <w:t xml:space="preserve">in </w:t>
      </w:r>
      <w:r w:rsidR="00291138">
        <w:t>PACW</w:t>
      </w:r>
      <w:r w:rsidRPr="00852AEC">
        <w:t xml:space="preserve">.  In total, the Company now has </w:t>
      </w:r>
      <w:r w:rsidR="00BA457F" w:rsidRPr="00852AEC">
        <w:t>52</w:t>
      </w:r>
      <w:r w:rsidR="00CB0DBA" w:rsidRPr="00852AEC">
        <w:t xml:space="preserve">1 </w:t>
      </w:r>
      <w:r w:rsidR="00BA457F" w:rsidRPr="00852AEC">
        <w:t>MW</w:t>
      </w:r>
      <w:r w:rsidR="009924FF" w:rsidRPr="00852AEC">
        <w:t xml:space="preserve"> </w:t>
      </w:r>
      <w:r w:rsidRPr="00852AEC">
        <w:t xml:space="preserve">of owned and contracted wind resources </w:t>
      </w:r>
      <w:r w:rsidR="009924FF" w:rsidRPr="00852AEC">
        <w:t xml:space="preserve">used to serve load </w:t>
      </w:r>
      <w:r w:rsidRPr="00852AEC">
        <w:t xml:space="preserve">in </w:t>
      </w:r>
      <w:r w:rsidR="00291138">
        <w:t>PACW</w:t>
      </w:r>
      <w:r w:rsidR="009924FF" w:rsidRPr="00852AEC">
        <w:t xml:space="preserve"> and forecasts </w:t>
      </w:r>
      <w:r w:rsidR="00CB0DBA" w:rsidRPr="00852AEC">
        <w:t xml:space="preserve">approximately </w:t>
      </w:r>
      <w:r w:rsidR="009924FF" w:rsidRPr="00852AEC">
        <w:t>56</w:t>
      </w:r>
      <w:r w:rsidR="00CB0DBA" w:rsidRPr="00852AEC">
        <w:t xml:space="preserve">1 </w:t>
      </w:r>
      <w:r w:rsidR="00E774A9">
        <w:t>MW for the 2014 pro forma period</w:t>
      </w:r>
      <w:r w:rsidR="009924FF" w:rsidRPr="00852AEC">
        <w:t>.</w:t>
      </w:r>
      <w:r w:rsidRPr="00852AEC">
        <w:tab/>
      </w:r>
    </w:p>
    <w:p w:rsidR="00E774A9" w:rsidRPr="001C4772" w:rsidRDefault="00275BA9" w:rsidP="001C4772">
      <w:pPr>
        <w:tabs>
          <w:tab w:val="left" w:pos="720"/>
        </w:tabs>
        <w:spacing w:line="480" w:lineRule="auto"/>
        <w:ind w:left="720" w:hanging="720"/>
        <w:jc w:val="left"/>
      </w:pPr>
      <w:r w:rsidRPr="00852AEC">
        <w:tab/>
      </w:r>
      <w:r w:rsidR="00E774A9">
        <w:t>Before</w:t>
      </w:r>
      <w:r w:rsidRPr="00852AEC">
        <w:t xml:space="preserve"> 2006, </w:t>
      </w:r>
      <w:r w:rsidR="00291138">
        <w:t>PACW</w:t>
      </w:r>
      <w:r w:rsidRPr="00852AEC">
        <w:t xml:space="preserve"> had one large natural gas generation resource: the 484 MW Hermiston </w:t>
      </w:r>
      <w:proofErr w:type="gramStart"/>
      <w:r w:rsidRPr="00852AEC">
        <w:t>plant</w:t>
      </w:r>
      <w:proofErr w:type="gramEnd"/>
      <w:r w:rsidRPr="00852AEC">
        <w:t xml:space="preserve"> (50</w:t>
      </w:r>
      <w:r w:rsidR="00040341" w:rsidRPr="00852AEC">
        <w:t xml:space="preserve"> percent</w:t>
      </w:r>
      <w:r w:rsidRPr="00852AEC">
        <w:t xml:space="preserve"> owned, 50</w:t>
      </w:r>
      <w:r w:rsidR="00040341" w:rsidRPr="00852AEC">
        <w:t xml:space="preserve"> percent</w:t>
      </w:r>
      <w:r w:rsidRPr="00852AEC">
        <w:t xml:space="preserve"> purchased).  In 2008, the Company acquired the 512 MW Chehalis natural gas plant.</w:t>
      </w:r>
    </w:p>
    <w:p w:rsidR="00275BA9" w:rsidRPr="00D04DD0" w:rsidRDefault="00275BA9" w:rsidP="007E2B9F">
      <w:pPr>
        <w:tabs>
          <w:tab w:val="left" w:pos="720"/>
        </w:tabs>
        <w:spacing w:line="480" w:lineRule="auto"/>
        <w:ind w:left="720" w:hanging="720"/>
        <w:jc w:val="left"/>
        <w:rPr>
          <w:b/>
        </w:rPr>
      </w:pPr>
      <w:proofErr w:type="gramStart"/>
      <w:r w:rsidRPr="00D04DD0">
        <w:rPr>
          <w:b/>
        </w:rPr>
        <w:t>Q.</w:t>
      </w:r>
      <w:r w:rsidRPr="00D04DD0">
        <w:rPr>
          <w:b/>
        </w:rPr>
        <w:tab/>
        <w:t>Is the Company now recovering all of its NPC-related costs of compliance with the EIA?</w:t>
      </w:r>
      <w:proofErr w:type="gramEnd"/>
    </w:p>
    <w:p w:rsidR="00275BA9" w:rsidRDefault="00275BA9" w:rsidP="007E2B9F">
      <w:pPr>
        <w:tabs>
          <w:tab w:val="left" w:pos="720"/>
        </w:tabs>
        <w:spacing w:line="480" w:lineRule="auto"/>
        <w:ind w:left="720" w:hanging="720"/>
        <w:jc w:val="left"/>
      </w:pPr>
      <w:r>
        <w:t>A.</w:t>
      </w:r>
      <w:r>
        <w:tab/>
        <w:t>No.  Without a PCAM in place, the Company is subject to th</w:t>
      </w:r>
      <w:r w:rsidR="00013B1B">
        <w:t>e risk of significant NPC under-</w:t>
      </w:r>
      <w:r>
        <w:t xml:space="preserve">recovery.  In the past five years since enactment of the EIA, the Company’s Washington NPC recovery shortfall </w:t>
      </w:r>
      <w:r w:rsidRPr="00852AEC">
        <w:t>exceeded $</w:t>
      </w:r>
      <w:r w:rsidR="00791A87" w:rsidRPr="00852AEC">
        <w:t xml:space="preserve">50 </w:t>
      </w:r>
      <w:r w:rsidRPr="00852AEC">
        <w:t xml:space="preserve">million. </w:t>
      </w:r>
      <w:r w:rsidR="00013B1B">
        <w:t xml:space="preserve"> </w:t>
      </w:r>
      <w:r w:rsidRPr="00852AEC">
        <w:t>The Company’s renewable resources and new gas facilities have contributed to this under</w:t>
      </w:r>
      <w:r w:rsidR="00013B1B">
        <w:t>-</w:t>
      </w:r>
      <w:r w:rsidRPr="00852AEC">
        <w:t xml:space="preserve">recovery by increasing the </w:t>
      </w:r>
      <w:r w:rsidR="00045B65" w:rsidRPr="00852AEC">
        <w:t>complexity and variability</w:t>
      </w:r>
      <w:r w:rsidRPr="00852AEC">
        <w:t xml:space="preserve"> of normal system operations and the challenges o</w:t>
      </w:r>
      <w:r w:rsidR="00013B1B">
        <w:t xml:space="preserve">f accurately forecasting NPC.  </w:t>
      </w:r>
      <w:r w:rsidRPr="00852AEC">
        <w:t xml:space="preserve">For example, in </w:t>
      </w:r>
      <w:r w:rsidR="00291138">
        <w:t>PACW</w:t>
      </w:r>
      <w:r w:rsidRPr="00852AEC">
        <w:t xml:space="preserve">, the Company’s wind resources have an average capacity </w:t>
      </w:r>
      <w:r w:rsidR="00045B65" w:rsidRPr="00852AEC">
        <w:t xml:space="preserve">factor </w:t>
      </w:r>
      <w:r w:rsidR="00013B1B">
        <w:t>of 29 </w:t>
      </w:r>
      <w:r w:rsidRPr="00852AEC">
        <w:t>percent, with capacity swinging from a minimum of zero to a maximum of 9</w:t>
      </w:r>
      <w:r w:rsidR="009469F8" w:rsidRPr="00852AEC">
        <w:t>3</w:t>
      </w:r>
      <w:r w:rsidR="00013B1B">
        <w:t> </w:t>
      </w:r>
      <w:r w:rsidRPr="00852AEC">
        <w:t>percent depending on weather conditions.  When the</w:t>
      </w:r>
      <w:r w:rsidR="00013B1B">
        <w:t xml:space="preserve"> Company under-</w:t>
      </w:r>
      <w:r w:rsidR="00CC5F8F">
        <w:t>recovers its NPC, this under-</w:t>
      </w:r>
      <w:r>
        <w:t>recovery includes EIA compliance costs such as wind PPAs and the costs of shaping, firming</w:t>
      </w:r>
      <w:r w:rsidR="00CC5F8F">
        <w:t>,</w:t>
      </w:r>
      <w:r>
        <w:t xml:space="preserve"> and integr</w:t>
      </w:r>
      <w:r w:rsidR="004B394A">
        <w:t>ating wind resources.</w:t>
      </w:r>
    </w:p>
    <w:p w:rsidR="00275BA9" w:rsidRPr="00D07F4C" w:rsidRDefault="00275BA9" w:rsidP="00275BA9">
      <w:pPr>
        <w:pStyle w:val="Question"/>
        <w:widowControl w:val="0"/>
        <w:jc w:val="left"/>
      </w:pPr>
      <w:r w:rsidRPr="00D07F4C">
        <w:t>Q.</w:t>
      </w:r>
      <w:r w:rsidRPr="00D07F4C">
        <w:tab/>
      </w:r>
      <w:r>
        <w:t>How h</w:t>
      </w:r>
      <w:r w:rsidRPr="00D07F4C">
        <w:t xml:space="preserve">as the Company reevaluated and changed its operational practices to </w:t>
      </w:r>
      <w:r w:rsidR="00E774A9">
        <w:t>address</w:t>
      </w:r>
      <w:r w:rsidRPr="00D07F4C">
        <w:t xml:space="preserve"> the increase in intermittent renewable resources in its portfolio?</w:t>
      </w:r>
    </w:p>
    <w:p w:rsidR="00275BA9" w:rsidRPr="00D07F4C" w:rsidRDefault="00275BA9" w:rsidP="00275BA9">
      <w:pPr>
        <w:pStyle w:val="Answer0"/>
        <w:widowControl w:val="0"/>
        <w:jc w:val="left"/>
      </w:pPr>
      <w:r>
        <w:t>A.</w:t>
      </w:r>
      <w:r>
        <w:tab/>
      </w:r>
      <w:r w:rsidRPr="00D07F4C">
        <w:t xml:space="preserve">The Company has the obligation to balance load and resources within every hour to maintain reliable service to customers.  Because generation </w:t>
      </w:r>
      <w:r w:rsidR="00CB0DBA">
        <w:t>from intermittent resources is</w:t>
      </w:r>
      <w:r w:rsidRPr="00D07F4C">
        <w:t xml:space="preserve"> inherently unpredictable even one hour ahead, the Company must set aside additional balancing reserves every hour to ensure that it has adequate capacity.  These volumes vary every hour and are therefore subject to prices that also vary every hour depending upon market supply and demand.  </w:t>
      </w:r>
      <w:r w:rsidR="0012133C">
        <w:t>As I discussed earlier in my testimony, I have provided the Company’s most recent wind integration stud</w:t>
      </w:r>
      <w:r w:rsidR="0012133C" w:rsidRPr="001C4772">
        <w:t>y as Exhibit No. __</w:t>
      </w:r>
      <w:proofErr w:type="gramStart"/>
      <w:r w:rsidR="0012133C" w:rsidRPr="001C4772">
        <w:t>_(</w:t>
      </w:r>
      <w:proofErr w:type="gramEnd"/>
      <w:r w:rsidR="0012133C" w:rsidRPr="001C4772">
        <w:t>GND-</w:t>
      </w:r>
      <w:r w:rsidR="00791A87" w:rsidRPr="001C4772">
        <w:t>3</w:t>
      </w:r>
      <w:r w:rsidR="0012133C" w:rsidRPr="001C4772">
        <w:t>)</w:t>
      </w:r>
      <w:r w:rsidR="004B394A" w:rsidRPr="001C4772">
        <w:t xml:space="preserve"> to</w:t>
      </w:r>
      <w:r w:rsidR="004B394A">
        <w:t xml:space="preserve"> my testimony.</w:t>
      </w:r>
    </w:p>
    <w:p w:rsidR="00275BA9" w:rsidRPr="00D07F4C" w:rsidRDefault="00275BA9" w:rsidP="00275BA9">
      <w:pPr>
        <w:pStyle w:val="Question"/>
        <w:jc w:val="left"/>
      </w:pPr>
      <w:r w:rsidRPr="00D07F4C">
        <w:t>Q.</w:t>
      </w:r>
      <w:r w:rsidRPr="00D07F4C">
        <w:tab/>
        <w:t>Did FERC recently recognize that variable energy resources (VERs) such as wind are causing major changes in power delivery systems?</w:t>
      </w:r>
    </w:p>
    <w:p w:rsidR="00275BA9" w:rsidRPr="00D07F4C" w:rsidRDefault="00275BA9" w:rsidP="00275BA9">
      <w:pPr>
        <w:pStyle w:val="Answer0"/>
        <w:jc w:val="left"/>
      </w:pPr>
      <w:r w:rsidRPr="00D07F4C">
        <w:t>A.</w:t>
      </w:r>
      <w:r w:rsidRPr="00D07F4C">
        <w:tab/>
        <w:t>Yes.  In FERC Order No. 764 in Docket No. RM 10-11-000, issu</w:t>
      </w:r>
      <w:r w:rsidR="004B394A">
        <w:t>ed June 22, 2012, FERC stated:</w:t>
      </w:r>
    </w:p>
    <w:p w:rsidR="00275BA9" w:rsidRDefault="00275BA9" w:rsidP="00275BA9">
      <w:pPr>
        <w:pStyle w:val="Answer0"/>
        <w:widowControl w:val="0"/>
        <w:spacing w:line="240" w:lineRule="auto"/>
        <w:ind w:left="1440" w:right="720" w:firstLine="0"/>
        <w:jc w:val="left"/>
      </w:pPr>
      <w:r w:rsidRPr="00D07F4C">
        <w:t xml:space="preserve">VERs </w:t>
      </w:r>
      <w:proofErr w:type="gramStart"/>
      <w:r w:rsidRPr="00D07F4C">
        <w:t>are</w:t>
      </w:r>
      <w:proofErr w:type="gramEnd"/>
      <w:r w:rsidRPr="00D07F4C">
        <w:t xml:space="preserve"> making up an increasing percentage of new generating capacity being brought on-line.</w:t>
      </w:r>
      <w:r w:rsidRPr="00D07F4C">
        <w:rPr>
          <w:b/>
          <w:bCs/>
        </w:rPr>
        <w:t xml:space="preserve">  </w:t>
      </w:r>
      <w:r w:rsidRPr="00D07F4C">
        <w:t>This evolution in the Nation’s generation fleet has caused the industry to reevaluate practices developed at a time when virtually all generation on the system could be scheduled with relative precision and when only load exhibited significant degrees of within-hour variation.</w:t>
      </w:r>
    </w:p>
    <w:p w:rsidR="00573B9F" w:rsidRDefault="00573B9F" w:rsidP="00573B9F">
      <w:pPr>
        <w:pStyle w:val="Answer0"/>
        <w:widowControl w:val="0"/>
        <w:suppressLineNumbers/>
        <w:spacing w:line="240" w:lineRule="auto"/>
        <w:ind w:left="1440" w:right="720" w:firstLine="0"/>
        <w:jc w:val="left"/>
      </w:pPr>
    </w:p>
    <w:p w:rsidR="00275BA9" w:rsidRPr="00D07F4C" w:rsidRDefault="00275BA9" w:rsidP="00275BA9">
      <w:pPr>
        <w:pStyle w:val="Question"/>
        <w:jc w:val="left"/>
      </w:pPr>
      <w:proofErr w:type="gramStart"/>
      <w:r w:rsidRPr="00D07F4C">
        <w:t>Q.</w:t>
      </w:r>
      <w:r w:rsidRPr="00D07F4C">
        <w:tab/>
        <w:t>Beyond system balancing issues, do intermittent renewable resources cause other impacts to the Company’s operations?</w:t>
      </w:r>
      <w:proofErr w:type="gramEnd"/>
    </w:p>
    <w:p w:rsidR="00573B9F" w:rsidRPr="00573B9F" w:rsidRDefault="00275BA9" w:rsidP="00573B9F">
      <w:pPr>
        <w:pStyle w:val="Answer0"/>
        <w:jc w:val="left"/>
      </w:pPr>
      <w:r w:rsidRPr="00D07F4C">
        <w:t>A.</w:t>
      </w:r>
      <w:r w:rsidRPr="00D07F4C">
        <w:tab/>
        <w:t>Yes.  The Company’s wind resources, as well as those owned by other market participants, are concentrated in high wind resource areas such as the Columbia River Gorge.  As the weather changes, this concentration results in large swings of unexpected increases or reductions in energy supply that can range from zero to full nameplate capacity.  Incremental supply reduces market prices, and reductions in supply increase market prices.  When there were only a handful of intermittent renewable resources this was not a material issue.  Now, with thousands of megawatts of installed renewable resources, the impact on market prices is substantial.</w:t>
      </w:r>
    </w:p>
    <w:p w:rsidR="00275BA9" w:rsidRPr="00D07F4C" w:rsidRDefault="00275BA9" w:rsidP="00C07793">
      <w:pPr>
        <w:pStyle w:val="Question"/>
        <w:widowControl w:val="0"/>
        <w:jc w:val="left"/>
      </w:pPr>
      <w:proofErr w:type="gramStart"/>
      <w:r w:rsidRPr="00D07F4C">
        <w:t>Q.</w:t>
      </w:r>
      <w:r w:rsidRPr="00D07F4C">
        <w:tab/>
        <w:t>Do changes in market prices due to intermittent renewable resources impact the Company’s NPC?</w:t>
      </w:r>
      <w:proofErr w:type="gramEnd"/>
    </w:p>
    <w:p w:rsidR="00BD2328" w:rsidRPr="00BD2328" w:rsidRDefault="00275BA9" w:rsidP="00BD2328">
      <w:pPr>
        <w:pStyle w:val="Answer0"/>
        <w:widowControl w:val="0"/>
        <w:jc w:val="left"/>
      </w:pPr>
      <w:r w:rsidRPr="00D07F4C">
        <w:t>A.</w:t>
      </w:r>
      <w:r w:rsidRPr="00D07F4C">
        <w:tab/>
        <w:t>Yes.  Historically, the Company has been able to reduce NPC for its customers by making wholesale sales of excess generation from its owned and contracted resources.  In circumstances where market prices and associated margins fall because of incremental wind supply, the Company’s ability to make such beneficial sales is limited.  At times, market prices now go so low that the Company’s thermal generation is reduced to minimum loads or even shut down.</w:t>
      </w:r>
    </w:p>
    <w:p w:rsidR="00275BA9" w:rsidRPr="00D07F4C" w:rsidRDefault="00275BA9" w:rsidP="001C4772">
      <w:pPr>
        <w:pStyle w:val="Answer0"/>
        <w:widowControl w:val="0"/>
        <w:jc w:val="left"/>
        <w:rPr>
          <w:b/>
        </w:rPr>
      </w:pPr>
      <w:proofErr w:type="gramStart"/>
      <w:r w:rsidRPr="00D07F4C">
        <w:rPr>
          <w:b/>
        </w:rPr>
        <w:t>Q.</w:t>
      </w:r>
      <w:r w:rsidRPr="00D07F4C">
        <w:rPr>
          <w:b/>
        </w:rPr>
        <w:tab/>
        <w:t>Are there other related aspects of the Company’s operations that have changed since 2007 that increase the likelihood of NPC variances from forecast</w:t>
      </w:r>
      <w:r w:rsidR="00E774A9">
        <w:rPr>
          <w:b/>
        </w:rPr>
        <w:t>ed levels</w:t>
      </w:r>
      <w:r w:rsidRPr="00D07F4C">
        <w:rPr>
          <w:b/>
        </w:rPr>
        <w:t>?</w:t>
      </w:r>
      <w:proofErr w:type="gramEnd"/>
    </w:p>
    <w:p w:rsidR="00573B9F" w:rsidRPr="00573B9F" w:rsidRDefault="00275BA9" w:rsidP="00573B9F">
      <w:pPr>
        <w:pStyle w:val="Answer0"/>
        <w:widowControl w:val="0"/>
        <w:jc w:val="left"/>
      </w:pPr>
      <w:r w:rsidRPr="00D07F4C">
        <w:t>A.</w:t>
      </w:r>
      <w:r w:rsidRPr="00D07F4C">
        <w:tab/>
        <w:t xml:space="preserve">Yes. </w:t>
      </w:r>
      <w:r>
        <w:t xml:space="preserve"> </w:t>
      </w:r>
      <w:r w:rsidRPr="00D07F4C">
        <w:t xml:space="preserve">In addition to the dramatic increase in intermittent </w:t>
      </w:r>
      <w:proofErr w:type="spellStart"/>
      <w:r w:rsidRPr="00D07F4C">
        <w:t>renewables</w:t>
      </w:r>
      <w:proofErr w:type="spellEnd"/>
      <w:r w:rsidRPr="00D07F4C">
        <w:t>, the Company’s resource portfolio has shifted to a less predictable generation profile due to increased reliance on flexible natural gas generation that is used to back up intermittent renewable generation</w:t>
      </w:r>
      <w:r>
        <w:t>,</w:t>
      </w:r>
      <w:r w:rsidRPr="00D07F4C">
        <w:t xml:space="preserve"> maintain reliable supply to customers</w:t>
      </w:r>
      <w:r w:rsidR="00E774A9">
        <w:t>,</w:t>
      </w:r>
      <w:r>
        <w:t xml:space="preserve"> and comply with the EPS</w:t>
      </w:r>
      <w:r w:rsidRPr="00D07F4C">
        <w:t xml:space="preserve">. </w:t>
      </w:r>
      <w:r>
        <w:t xml:space="preserve"> </w:t>
      </w:r>
      <w:r w:rsidRPr="00D07F4C">
        <w:t xml:space="preserve">The </w:t>
      </w:r>
      <w:r>
        <w:t>effect</w:t>
      </w:r>
      <w:r w:rsidRPr="00D07F4C">
        <w:t xml:space="preserve"> of increased demand for flexible resources that result from intermittent generation</w:t>
      </w:r>
      <w:r w:rsidR="00E774A9">
        <w:t>,</w:t>
      </w:r>
      <w:r w:rsidRPr="00D07F4C">
        <w:t xml:space="preserve"> combined with the recent expiration of a signific</w:t>
      </w:r>
      <w:r w:rsidR="00E774A9">
        <w:t>ant amount of flexible capacity</w:t>
      </w:r>
      <w:r w:rsidRPr="00D07F4C">
        <w:t xml:space="preserve"> such as the BPA Peaking contract, make it necessary for the Company’s natural gas generation to integrate, firm</w:t>
      </w:r>
      <w:r>
        <w:t>,</w:t>
      </w:r>
      <w:r w:rsidRPr="00D07F4C">
        <w:t xml:space="preserve"> and shape wind generation. </w:t>
      </w:r>
      <w:r>
        <w:t xml:space="preserve"> </w:t>
      </w:r>
      <w:r w:rsidRPr="00D07F4C">
        <w:t>Apart from d</w:t>
      </w:r>
      <w:r w:rsidR="004B394A">
        <w:t>emand-</w:t>
      </w:r>
      <w:r>
        <w:t>side resource acquisition</w:t>
      </w:r>
      <w:r w:rsidRPr="00D07F4C">
        <w:t xml:space="preserve"> over the last several years, the Company’s new generation acquisitions have been comprised </w:t>
      </w:r>
      <w:r>
        <w:t xml:space="preserve">of </w:t>
      </w:r>
      <w:r w:rsidRPr="00D07F4C">
        <w:t xml:space="preserve">roughly 50/50 </w:t>
      </w:r>
      <w:r>
        <w:t>VER</w:t>
      </w:r>
      <w:r w:rsidRPr="00D07F4C">
        <w:t xml:space="preserve"> resources</w:t>
      </w:r>
      <w:r>
        <w:t xml:space="preserve"> </w:t>
      </w:r>
      <w:r w:rsidRPr="00D07F4C">
        <w:t>and natural gas resources.</w:t>
      </w:r>
    </w:p>
    <w:p w:rsidR="00275BA9" w:rsidRPr="000A0BD9" w:rsidRDefault="00275BA9" w:rsidP="007E2B9F">
      <w:pPr>
        <w:tabs>
          <w:tab w:val="left" w:pos="720"/>
        </w:tabs>
        <w:spacing w:line="480" w:lineRule="auto"/>
        <w:ind w:left="720" w:hanging="720"/>
        <w:jc w:val="left"/>
        <w:rPr>
          <w:b/>
        </w:rPr>
      </w:pPr>
      <w:r w:rsidRPr="000A0BD9">
        <w:rPr>
          <w:b/>
        </w:rPr>
        <w:t>Q.</w:t>
      </w:r>
      <w:r w:rsidRPr="000A0BD9">
        <w:rPr>
          <w:b/>
        </w:rPr>
        <w:tab/>
        <w:t>How is the variability of wind generation different than the variabil</w:t>
      </w:r>
      <w:r w:rsidR="004B394A">
        <w:rPr>
          <w:b/>
        </w:rPr>
        <w:t>ity created by changes in hydro</w:t>
      </w:r>
      <w:r w:rsidRPr="000A0BD9">
        <w:rPr>
          <w:b/>
        </w:rPr>
        <w:t>electric generation or loads?</w:t>
      </w:r>
    </w:p>
    <w:p w:rsidR="00C10632" w:rsidRPr="00C10632" w:rsidRDefault="004B394A" w:rsidP="00C10632">
      <w:pPr>
        <w:tabs>
          <w:tab w:val="left" w:pos="720"/>
        </w:tabs>
        <w:spacing w:line="480" w:lineRule="auto"/>
        <w:ind w:left="720" w:hanging="720"/>
        <w:jc w:val="left"/>
      </w:pPr>
      <w:r>
        <w:t>A.</w:t>
      </w:r>
      <w:r>
        <w:tab/>
      </w:r>
      <w:r w:rsidR="00275BA9" w:rsidRPr="000A0BD9">
        <w:t xml:space="preserve">Wind is intermittent and has </w:t>
      </w:r>
      <w:r w:rsidR="00EA2E4C">
        <w:t xml:space="preserve">little to </w:t>
      </w:r>
      <w:r w:rsidR="00275BA9" w:rsidRPr="000A0BD9">
        <w:t xml:space="preserve">no predictable pattern of delivery.  It can start and stop quickly, and must be firmed, shaped, and integrated by the Company’s </w:t>
      </w:r>
      <w:proofErr w:type="spellStart"/>
      <w:r w:rsidR="00275BA9" w:rsidRPr="000A0BD9">
        <w:t>dispatchable</w:t>
      </w:r>
      <w:proofErr w:type="spellEnd"/>
      <w:r w:rsidR="00275BA9" w:rsidRPr="000A0BD9">
        <w:t xml:space="preserve"> resources on a moment-to-moment basis.  The addition of wind has dramatically changed the way the Company operates its system.  Load, hydroelectric generation, and thermal generation all have some form of unpredictability, but they are not intermittent.  Loads are predictable in that they increase in the morning and decrease at night, and hydroelectric resources will produce more electricity when there is greater rainfall and during the spring runoff.  Wind has </w:t>
      </w:r>
      <w:r w:rsidR="004433C6">
        <w:t xml:space="preserve">little to </w:t>
      </w:r>
      <w:r w:rsidR="00275BA9" w:rsidRPr="000A0BD9">
        <w:t>no predictable pattern</w:t>
      </w:r>
      <w:r w:rsidR="004433C6">
        <w:t xml:space="preserve"> of delivery</w:t>
      </w:r>
      <w:r w:rsidR="00275BA9" w:rsidRPr="000A0BD9">
        <w:t>, and therefore its intermittency creates a much more complex operating environment for the Company as compa</w:t>
      </w:r>
      <w:r>
        <w:t>red to the variability of hydro</w:t>
      </w:r>
      <w:r w:rsidR="00275BA9" w:rsidRPr="000A0BD9">
        <w:t xml:space="preserve">electric resources and loads.  Adding a significant amount of intermittent resources to the Company’s system in accordance with </w:t>
      </w:r>
      <w:r w:rsidR="00275BA9">
        <w:t>the EIA</w:t>
      </w:r>
      <w:r w:rsidR="00275BA9" w:rsidRPr="000A0BD9">
        <w:t xml:space="preserve"> lessens the Company’s ability to pro</w:t>
      </w:r>
      <w:r w:rsidR="00C10632">
        <w:t xml:space="preserve">duce reliable </w:t>
      </w:r>
      <w:r>
        <w:t>pro forma</w:t>
      </w:r>
      <w:r w:rsidR="00C10632">
        <w:t xml:space="preserve"> NPC.</w:t>
      </w:r>
    </w:p>
    <w:p w:rsidR="00275BA9" w:rsidRPr="00C57C03" w:rsidRDefault="00275BA9" w:rsidP="00275BA9">
      <w:pPr>
        <w:tabs>
          <w:tab w:val="left" w:pos="720"/>
        </w:tabs>
        <w:spacing w:line="480" w:lineRule="auto"/>
        <w:ind w:left="720" w:hanging="720"/>
        <w:rPr>
          <w:b/>
        </w:rPr>
      </w:pPr>
      <w:proofErr w:type="gramStart"/>
      <w:r w:rsidRPr="00C57C03">
        <w:rPr>
          <w:b/>
        </w:rPr>
        <w:t>Q.</w:t>
      </w:r>
      <w:r w:rsidRPr="00C57C03">
        <w:rPr>
          <w:b/>
        </w:rPr>
        <w:tab/>
        <w:t xml:space="preserve">How does the Company model wind in its </w:t>
      </w:r>
      <w:r w:rsidR="004B394A">
        <w:rPr>
          <w:b/>
        </w:rPr>
        <w:t>pro forma</w:t>
      </w:r>
      <w:r w:rsidRPr="00C57C03">
        <w:rPr>
          <w:b/>
        </w:rPr>
        <w:t xml:space="preserve"> NPC?</w:t>
      </w:r>
      <w:proofErr w:type="gramEnd"/>
    </w:p>
    <w:p w:rsidR="00573B9F" w:rsidRDefault="00275BA9" w:rsidP="00573B9F">
      <w:pPr>
        <w:pStyle w:val="Answer0"/>
        <w:widowControl w:val="0"/>
        <w:jc w:val="left"/>
        <w:rPr>
          <w:bCs/>
        </w:rPr>
      </w:pPr>
      <w:r>
        <w:t>A.</w:t>
      </w:r>
      <w:r>
        <w:tab/>
      </w:r>
      <w:r w:rsidRPr="000A0BD9">
        <w:t xml:space="preserve">Using the GRID model, the Company </w:t>
      </w:r>
      <w:r w:rsidRPr="000A0BD9">
        <w:rPr>
          <w:bCs/>
        </w:rPr>
        <w:t xml:space="preserve">models the generation of its wind facilities in four-hour blocks uniformly over the </w:t>
      </w:r>
      <w:r w:rsidR="00801D1C">
        <w:rPr>
          <w:bCs/>
        </w:rPr>
        <w:t>pro forma</w:t>
      </w:r>
      <w:r w:rsidRPr="000A0BD9">
        <w:rPr>
          <w:bCs/>
        </w:rPr>
        <w:t xml:space="preserve"> period.  Th</w:t>
      </w:r>
      <w:r>
        <w:rPr>
          <w:bCs/>
        </w:rPr>
        <w:t xml:space="preserve">e Company models wind in a </w:t>
      </w:r>
      <w:r w:rsidRPr="00C57C03">
        <w:rPr>
          <w:bCs/>
        </w:rPr>
        <w:t>flattened</w:t>
      </w:r>
      <w:r>
        <w:rPr>
          <w:bCs/>
        </w:rPr>
        <w:t>, normalized</w:t>
      </w:r>
      <w:r w:rsidRPr="00C57C03">
        <w:rPr>
          <w:bCs/>
        </w:rPr>
        <w:t xml:space="preserve"> </w:t>
      </w:r>
      <w:r>
        <w:rPr>
          <w:bCs/>
        </w:rPr>
        <w:t xml:space="preserve">manner </w:t>
      </w:r>
      <w:r w:rsidRPr="00C57C03">
        <w:rPr>
          <w:bCs/>
        </w:rPr>
        <w:t xml:space="preserve">because there is no way to </w:t>
      </w:r>
      <w:r>
        <w:rPr>
          <w:bCs/>
        </w:rPr>
        <w:t xml:space="preserve">more </w:t>
      </w:r>
      <w:r w:rsidRPr="00C57C03">
        <w:rPr>
          <w:bCs/>
        </w:rPr>
        <w:t>reliably forecast the real-time vola</w:t>
      </w:r>
      <w:r>
        <w:rPr>
          <w:bCs/>
        </w:rPr>
        <w:t>ti</w:t>
      </w:r>
      <w:r w:rsidR="00553C64">
        <w:rPr>
          <w:bCs/>
        </w:rPr>
        <w:t>lity of wind generation.</w:t>
      </w:r>
    </w:p>
    <w:p w:rsidR="00275BA9" w:rsidRPr="005910FF" w:rsidRDefault="00275BA9" w:rsidP="00275BA9">
      <w:pPr>
        <w:pStyle w:val="Answer0"/>
        <w:widowControl w:val="0"/>
        <w:jc w:val="left"/>
        <w:rPr>
          <w:b/>
        </w:rPr>
      </w:pPr>
      <w:r w:rsidRPr="005910FF">
        <w:rPr>
          <w:b/>
        </w:rPr>
        <w:t>Q.</w:t>
      </w:r>
      <w:r w:rsidRPr="005910FF">
        <w:rPr>
          <w:b/>
        </w:rPr>
        <w:tab/>
      </w:r>
      <w:r w:rsidR="00040341">
        <w:rPr>
          <w:b/>
        </w:rPr>
        <w:t xml:space="preserve">Does the Company’s GRID </w:t>
      </w:r>
      <w:proofErr w:type="gramStart"/>
      <w:r w:rsidR="00040341">
        <w:rPr>
          <w:b/>
        </w:rPr>
        <w:t xml:space="preserve">model </w:t>
      </w:r>
      <w:r>
        <w:rPr>
          <w:b/>
        </w:rPr>
        <w:t>capture</w:t>
      </w:r>
      <w:proofErr w:type="gramEnd"/>
      <w:r>
        <w:rPr>
          <w:b/>
        </w:rPr>
        <w:t xml:space="preserve"> </w:t>
      </w:r>
      <w:r w:rsidRPr="005910FF">
        <w:rPr>
          <w:b/>
        </w:rPr>
        <w:t>the variability and uncertainty of wind generation in the cost of reserves modeled for wi</w:t>
      </w:r>
      <w:r>
        <w:rPr>
          <w:b/>
        </w:rPr>
        <w:t>nd integration?</w:t>
      </w:r>
    </w:p>
    <w:p w:rsidR="00BD2328" w:rsidRPr="00BD2328" w:rsidRDefault="00275BA9" w:rsidP="00BD2328">
      <w:pPr>
        <w:pStyle w:val="Answer0"/>
        <w:widowControl w:val="0"/>
        <w:jc w:val="left"/>
        <w:rPr>
          <w:szCs w:val="24"/>
        </w:rPr>
      </w:pPr>
      <w:r w:rsidRPr="00D07F4C">
        <w:t>A.</w:t>
      </w:r>
      <w:r w:rsidRPr="00D07F4C">
        <w:tab/>
      </w:r>
      <w:r>
        <w:t xml:space="preserve">No.  </w:t>
      </w:r>
      <w:r w:rsidRPr="00D07F4C">
        <w:t xml:space="preserve">GRID models wind integration costs on a normalized basis.  The </w:t>
      </w:r>
      <w:r w:rsidR="0012133C">
        <w:t>reserves modeled</w:t>
      </w:r>
      <w:r w:rsidRPr="00D07F4C">
        <w:t xml:space="preserve"> in GRID </w:t>
      </w:r>
      <w:r w:rsidR="0012133C">
        <w:t>are</w:t>
      </w:r>
      <w:r w:rsidRPr="00D07F4C">
        <w:t xml:space="preserve"> based on historical variability, but GRID assumes the reserve volume is the same </w:t>
      </w:r>
      <w:r w:rsidR="0085199E">
        <w:t xml:space="preserve">for all hours </w:t>
      </w:r>
      <w:r w:rsidR="0012133C">
        <w:t>in a given month</w:t>
      </w:r>
      <w:r w:rsidRPr="00D07F4C">
        <w:t xml:space="preserve"> and further assumes no market price volatility. </w:t>
      </w:r>
      <w:r>
        <w:t xml:space="preserve"> </w:t>
      </w:r>
      <w:r w:rsidRPr="00D07F4C">
        <w:t xml:space="preserve">Because wind volatility and market prices vary every hour of the year, it is certain that actual reserve costs will vary from the GRID forecast. </w:t>
      </w:r>
      <w:r>
        <w:t xml:space="preserve"> </w:t>
      </w:r>
      <w:r w:rsidR="0012133C">
        <w:t>Normalized modeling of the</w:t>
      </w:r>
      <w:r>
        <w:t xml:space="preserve"> Company’s wind integration</w:t>
      </w:r>
      <w:r w:rsidRPr="00D21779">
        <w:rPr>
          <w:szCs w:val="24"/>
        </w:rPr>
        <w:t xml:space="preserve"> </w:t>
      </w:r>
      <w:r w:rsidR="0012133C">
        <w:rPr>
          <w:szCs w:val="24"/>
        </w:rPr>
        <w:t>can</w:t>
      </w:r>
      <w:r w:rsidRPr="00D21779">
        <w:rPr>
          <w:szCs w:val="24"/>
        </w:rPr>
        <w:t>not capture the multi-dimensional cost impacts associated with integrating large amounts of wind resources.</w:t>
      </w:r>
    </w:p>
    <w:p w:rsidR="00275BA9" w:rsidRPr="00D21779" w:rsidRDefault="00275BA9" w:rsidP="007E2B9F">
      <w:pPr>
        <w:tabs>
          <w:tab w:val="left" w:pos="720"/>
        </w:tabs>
        <w:spacing w:line="480" w:lineRule="auto"/>
        <w:ind w:left="720" w:hanging="720"/>
        <w:jc w:val="left"/>
        <w:rPr>
          <w:b/>
        </w:rPr>
      </w:pPr>
      <w:r w:rsidRPr="00D21779">
        <w:rPr>
          <w:b/>
        </w:rPr>
        <w:t>Q.</w:t>
      </w:r>
      <w:r w:rsidRPr="00D21779">
        <w:rPr>
          <w:b/>
        </w:rPr>
        <w:tab/>
        <w:t xml:space="preserve">In its current wind integration cost modeling, does the Company </w:t>
      </w:r>
      <w:proofErr w:type="gramStart"/>
      <w:r w:rsidRPr="00D21779">
        <w:rPr>
          <w:b/>
        </w:rPr>
        <w:t>consider</w:t>
      </w:r>
      <w:proofErr w:type="gramEnd"/>
      <w:r w:rsidRPr="00D21779">
        <w:rPr>
          <w:b/>
        </w:rPr>
        <w:t xml:space="preserve"> the costs associated with ramping down a unit in its modeling of reserves for wind in the GRID model?</w:t>
      </w:r>
    </w:p>
    <w:p w:rsidR="0051336C" w:rsidRDefault="00275BA9" w:rsidP="00C10632">
      <w:pPr>
        <w:tabs>
          <w:tab w:val="left" w:pos="720"/>
        </w:tabs>
        <w:spacing w:line="480" w:lineRule="auto"/>
        <w:ind w:left="720" w:hanging="720"/>
        <w:jc w:val="left"/>
      </w:pPr>
      <w:r w:rsidRPr="00D21779">
        <w:t>A.</w:t>
      </w:r>
      <w:r w:rsidRPr="00D21779">
        <w:tab/>
        <w:t xml:space="preserve">No.  The Company models only the up reserves, or those reserves that are </w:t>
      </w:r>
    </w:p>
    <w:p w:rsidR="0051336C" w:rsidRDefault="0051336C" w:rsidP="0051336C">
      <w:pPr>
        <w:suppressLineNumbers/>
        <w:tabs>
          <w:tab w:val="left" w:pos="720"/>
        </w:tabs>
        <w:spacing w:line="480" w:lineRule="auto"/>
        <w:ind w:left="720" w:hanging="720"/>
        <w:jc w:val="left"/>
      </w:pPr>
    </w:p>
    <w:p w:rsidR="00C10632" w:rsidRDefault="0051336C" w:rsidP="00C10632">
      <w:pPr>
        <w:tabs>
          <w:tab w:val="left" w:pos="720"/>
        </w:tabs>
        <w:spacing w:line="480" w:lineRule="auto"/>
        <w:ind w:left="720" w:hanging="720"/>
        <w:jc w:val="left"/>
        <w:rPr>
          <w:b/>
        </w:rPr>
      </w:pPr>
      <w:r>
        <w:tab/>
      </w:r>
      <w:proofErr w:type="gramStart"/>
      <w:r w:rsidR="00275BA9" w:rsidRPr="00D21779">
        <w:t>required</w:t>
      </w:r>
      <w:proofErr w:type="gramEnd"/>
      <w:r w:rsidR="00275BA9" w:rsidRPr="00D21779">
        <w:t xml:space="preserve"> to balance the system if the wind does not generate as compared to forecast or de</w:t>
      </w:r>
      <w:r w:rsidR="00C10632">
        <w:t>clines rapidly within the hour.</w:t>
      </w:r>
    </w:p>
    <w:p w:rsidR="00275BA9" w:rsidRPr="00D21779" w:rsidRDefault="00275BA9" w:rsidP="007E2B9F">
      <w:pPr>
        <w:tabs>
          <w:tab w:val="left" w:pos="720"/>
        </w:tabs>
        <w:spacing w:line="480" w:lineRule="auto"/>
        <w:ind w:left="720" w:hanging="720"/>
        <w:jc w:val="left"/>
        <w:rPr>
          <w:b/>
        </w:rPr>
      </w:pPr>
      <w:r w:rsidRPr="00D21779">
        <w:rPr>
          <w:b/>
        </w:rPr>
        <w:t>Q.</w:t>
      </w:r>
      <w:r w:rsidRPr="00D21779">
        <w:rPr>
          <w:b/>
        </w:rPr>
        <w:tab/>
        <w:t>Will the actual cost of holding reserves for intra-hour wind variations differ from what the Company models within GRID?</w:t>
      </w:r>
    </w:p>
    <w:p w:rsidR="00275BA9" w:rsidRDefault="00275BA9" w:rsidP="00553C64">
      <w:pPr>
        <w:widowControl/>
        <w:tabs>
          <w:tab w:val="left" w:pos="720"/>
        </w:tabs>
        <w:spacing w:line="480" w:lineRule="auto"/>
        <w:ind w:left="720" w:hanging="720"/>
        <w:jc w:val="left"/>
      </w:pPr>
      <w:r w:rsidRPr="00D21779">
        <w:t>A.</w:t>
      </w:r>
      <w:r w:rsidRPr="00D21779">
        <w:tab/>
        <w:t xml:space="preserve">Yes.  The Company includes an average level of reserves in </w:t>
      </w:r>
      <w:r>
        <w:t xml:space="preserve">GRID </w:t>
      </w:r>
      <w:r w:rsidRPr="00D21779">
        <w:t xml:space="preserve">that are held in each hour to take into consideration the different level of reserves that are required on a real-time basis for regulating and following wind facilities.  By normalizing the additional intra-hour reserves across every hour of the year, there is the potential to under- or over-forecast the costs associated with holding these </w:t>
      </w:r>
      <w:r w:rsidR="00801D1C">
        <w:t>reserves on a real-time basis.</w:t>
      </w:r>
    </w:p>
    <w:p w:rsidR="00674295" w:rsidRPr="00674295" w:rsidRDefault="004B285E" w:rsidP="00553C64">
      <w:pPr>
        <w:widowControl/>
        <w:tabs>
          <w:tab w:val="left" w:pos="720"/>
        </w:tabs>
        <w:spacing w:line="480" w:lineRule="auto"/>
        <w:ind w:left="720" w:hanging="720"/>
        <w:jc w:val="left"/>
        <w:rPr>
          <w:b/>
          <w:bCs/>
        </w:rPr>
      </w:pPr>
      <w:r w:rsidRPr="004B285E">
        <w:rPr>
          <w:b/>
          <w:bCs/>
        </w:rPr>
        <w:t>Q.</w:t>
      </w:r>
      <w:r w:rsidRPr="004B285E">
        <w:rPr>
          <w:b/>
          <w:bCs/>
        </w:rPr>
        <w:tab/>
      </w:r>
      <w:r w:rsidR="00CB0DBA">
        <w:rPr>
          <w:b/>
          <w:bCs/>
        </w:rPr>
        <w:t>H</w:t>
      </w:r>
      <w:r w:rsidRPr="004B285E">
        <w:rPr>
          <w:b/>
          <w:bCs/>
        </w:rPr>
        <w:t xml:space="preserve">ow </w:t>
      </w:r>
      <w:r w:rsidR="00CB0DBA">
        <w:rPr>
          <w:b/>
          <w:bCs/>
        </w:rPr>
        <w:t>does</w:t>
      </w:r>
      <w:r w:rsidR="00CB0DBA" w:rsidRPr="004B285E">
        <w:rPr>
          <w:b/>
          <w:bCs/>
        </w:rPr>
        <w:t xml:space="preserve"> </w:t>
      </w:r>
      <w:r w:rsidRPr="004B285E">
        <w:rPr>
          <w:b/>
          <w:bCs/>
        </w:rPr>
        <w:t xml:space="preserve">the Company’s normalized forecast </w:t>
      </w:r>
      <w:r w:rsidR="007B49CE">
        <w:rPr>
          <w:b/>
          <w:bCs/>
        </w:rPr>
        <w:t xml:space="preserve">of wind generation </w:t>
      </w:r>
      <w:r w:rsidRPr="004B285E">
        <w:rPr>
          <w:b/>
          <w:bCs/>
        </w:rPr>
        <w:t>compare to actual wind output</w:t>
      </w:r>
      <w:r w:rsidR="009924FF">
        <w:rPr>
          <w:b/>
          <w:bCs/>
        </w:rPr>
        <w:t xml:space="preserve"> in </w:t>
      </w:r>
      <w:r w:rsidR="00291138">
        <w:rPr>
          <w:b/>
          <w:bCs/>
        </w:rPr>
        <w:t>PACW</w:t>
      </w:r>
      <w:r w:rsidR="00801D1C">
        <w:rPr>
          <w:b/>
          <w:bCs/>
        </w:rPr>
        <w:t>?</w:t>
      </w:r>
    </w:p>
    <w:p w:rsidR="00C10632" w:rsidRDefault="00674295" w:rsidP="00C10632">
      <w:pPr>
        <w:tabs>
          <w:tab w:val="left" w:pos="720"/>
        </w:tabs>
        <w:spacing w:line="480" w:lineRule="auto"/>
        <w:ind w:left="720" w:hanging="720"/>
        <w:jc w:val="left"/>
        <w:rPr>
          <w:b/>
          <w:bCs/>
        </w:rPr>
      </w:pPr>
      <w:r>
        <w:rPr>
          <w:bCs/>
        </w:rPr>
        <w:t>A.</w:t>
      </w:r>
      <w:r>
        <w:rPr>
          <w:bCs/>
        </w:rPr>
        <w:tab/>
      </w:r>
      <w:r w:rsidR="001B69F9">
        <w:rPr>
          <w:bCs/>
        </w:rPr>
        <w:t xml:space="preserve">Figure </w:t>
      </w:r>
      <w:r w:rsidR="00CB0DBA">
        <w:rPr>
          <w:bCs/>
        </w:rPr>
        <w:t xml:space="preserve">1 </w:t>
      </w:r>
      <w:r>
        <w:rPr>
          <w:bCs/>
        </w:rPr>
        <w:t>below contrasts the constant fluctuations of actual wind generation</w:t>
      </w:r>
      <w:r w:rsidR="001B69F9">
        <w:rPr>
          <w:bCs/>
        </w:rPr>
        <w:t xml:space="preserve"> </w:t>
      </w:r>
      <w:r w:rsidR="00CB0DBA">
        <w:rPr>
          <w:bCs/>
        </w:rPr>
        <w:t xml:space="preserve">during </w:t>
      </w:r>
      <w:r w:rsidR="00801D1C">
        <w:rPr>
          <w:bCs/>
        </w:rPr>
        <w:t>the 12</w:t>
      </w:r>
      <w:r w:rsidR="00CB0DBA">
        <w:rPr>
          <w:bCs/>
        </w:rPr>
        <w:t xml:space="preserve"> months ended June 2012 </w:t>
      </w:r>
      <w:r w:rsidR="001B69F9">
        <w:rPr>
          <w:bCs/>
        </w:rPr>
        <w:t xml:space="preserve">to the normalized </w:t>
      </w:r>
      <w:r w:rsidR="00CB0DBA">
        <w:rPr>
          <w:bCs/>
        </w:rPr>
        <w:t xml:space="preserve">wind generation used </w:t>
      </w:r>
      <w:r w:rsidR="001B69F9">
        <w:rPr>
          <w:bCs/>
        </w:rPr>
        <w:t>in GRID</w:t>
      </w:r>
      <w:r w:rsidR="00801D1C">
        <w:rPr>
          <w:bCs/>
        </w:rPr>
        <w:t xml:space="preserve"> in this case.</w:t>
      </w:r>
    </w:p>
    <w:p w:rsidR="00801D1C" w:rsidRPr="00BD4D9F" w:rsidRDefault="00CB0DBA" w:rsidP="00BD4D9F">
      <w:pPr>
        <w:keepNext/>
        <w:suppressLineNumbers/>
        <w:spacing w:line="240" w:lineRule="auto"/>
        <w:jc w:val="center"/>
        <w:rPr>
          <w:b/>
          <w:bCs/>
        </w:rPr>
      </w:pPr>
      <w:r>
        <w:rPr>
          <w:b/>
          <w:bCs/>
        </w:rPr>
        <w:t>Figure 1</w:t>
      </w:r>
    </w:p>
    <w:p w:rsidR="00674295" w:rsidRDefault="00CB0DBA" w:rsidP="00C10632">
      <w:pPr>
        <w:suppressLineNumbers/>
        <w:tabs>
          <w:tab w:val="left" w:pos="720"/>
        </w:tabs>
        <w:spacing w:line="480" w:lineRule="auto"/>
        <w:ind w:left="720" w:hanging="720"/>
        <w:jc w:val="center"/>
      </w:pPr>
      <w:r w:rsidRPr="00CB0DBA">
        <w:rPr>
          <w:noProof/>
        </w:rPr>
        <w:drawing>
          <wp:inline distT="0" distB="0" distL="0" distR="0">
            <wp:extent cx="4752975" cy="344864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3448646"/>
                    </a:xfrm>
                    <a:prstGeom prst="rect">
                      <a:avLst/>
                    </a:prstGeom>
                    <a:noFill/>
                    <a:ln>
                      <a:noFill/>
                    </a:ln>
                  </pic:spPr>
                </pic:pic>
              </a:graphicData>
            </a:graphic>
          </wp:inline>
        </w:drawing>
      </w:r>
    </w:p>
    <w:p w:rsidR="00275BA9" w:rsidRPr="00F31803" w:rsidRDefault="00275BA9" w:rsidP="00275BA9">
      <w:pPr>
        <w:pStyle w:val="BodyTextIndent"/>
        <w:jc w:val="left"/>
        <w:rPr>
          <w:b/>
        </w:rPr>
      </w:pPr>
      <w:r w:rsidRPr="00F31803">
        <w:rPr>
          <w:b/>
        </w:rPr>
        <w:t>Q.</w:t>
      </w:r>
      <w:r w:rsidRPr="00F31803">
        <w:rPr>
          <w:b/>
        </w:rPr>
        <w:tab/>
      </w:r>
      <w:r>
        <w:rPr>
          <w:b/>
        </w:rPr>
        <w:t>To quantify one aspect of the Company’s increased NPC-related risks, has the Company measured the variance between actual and forecast wind generation levels in its Washington NPC since enactment of the EIA?</w:t>
      </w:r>
    </w:p>
    <w:p w:rsidR="00275BA9" w:rsidRDefault="00275BA9" w:rsidP="00275BA9">
      <w:pPr>
        <w:pStyle w:val="BodyTextIndent"/>
        <w:jc w:val="left"/>
      </w:pPr>
      <w:r w:rsidRPr="00F31803">
        <w:t>A.</w:t>
      </w:r>
      <w:r w:rsidRPr="00F31803">
        <w:tab/>
      </w:r>
      <w:r>
        <w:t xml:space="preserve">Yes.  </w:t>
      </w:r>
      <w:r w:rsidRPr="00F31803">
        <w:t xml:space="preserve">PacifiCorp measured the </w:t>
      </w:r>
      <w:r>
        <w:t>change in the</w:t>
      </w:r>
      <w:r w:rsidRPr="00F31803">
        <w:t xml:space="preserve"> </w:t>
      </w:r>
      <w:r>
        <w:t xml:space="preserve">net market value of its </w:t>
      </w:r>
      <w:r w:rsidRPr="00F31803">
        <w:t xml:space="preserve">owned wind generation from 2007 to 2011, </w:t>
      </w:r>
      <w:r>
        <w:t xml:space="preserve">measured using actual and forecast wind generation levels and market prices.  As shown in </w:t>
      </w:r>
      <w:r w:rsidRPr="00A46722">
        <w:t xml:space="preserve">Table </w:t>
      </w:r>
      <w:r w:rsidR="00CB0DBA">
        <w:t>2</w:t>
      </w:r>
      <w:r w:rsidR="00CB0DBA" w:rsidRPr="00A46722">
        <w:t xml:space="preserve"> </w:t>
      </w:r>
      <w:r w:rsidRPr="00A46722">
        <w:t xml:space="preserve">below, the combined impact of variances in wind generation and market prices over the historical period ranges </w:t>
      </w:r>
      <w:r w:rsidRPr="00852AEC">
        <w:t>from $</w:t>
      </w:r>
      <w:r w:rsidR="00EF48D9" w:rsidRPr="00852AEC">
        <w:t>1.5</w:t>
      </w:r>
      <w:r w:rsidR="00D72E32" w:rsidRPr="00852AEC">
        <w:t xml:space="preserve"> </w:t>
      </w:r>
      <w:r w:rsidRPr="00852AEC">
        <w:t>million to $</w:t>
      </w:r>
      <w:r w:rsidR="00D72E32" w:rsidRPr="00852AEC">
        <w:t xml:space="preserve">36.6 </w:t>
      </w:r>
      <w:r w:rsidRPr="00852AEC">
        <w:t xml:space="preserve">million of over-forecast value on a </w:t>
      </w:r>
      <w:r w:rsidR="0067068F">
        <w:t>PACW</w:t>
      </w:r>
      <w:r w:rsidRPr="00852AEC">
        <w:t xml:space="preserve"> basis, or a </w:t>
      </w:r>
      <w:r w:rsidR="00EF48D9" w:rsidRPr="00852AEC">
        <w:t>five</w:t>
      </w:r>
      <w:r w:rsidRPr="00852AEC">
        <w:t>-year average of $</w:t>
      </w:r>
      <w:r w:rsidR="00EF48D9" w:rsidRPr="00852AEC">
        <w:t>21.1</w:t>
      </w:r>
      <w:r w:rsidR="00D72E32" w:rsidRPr="00852AEC">
        <w:t xml:space="preserve"> </w:t>
      </w:r>
      <w:r w:rsidRPr="00852AEC">
        <w:t xml:space="preserve">million.  </w:t>
      </w:r>
      <w:r w:rsidR="00EF48D9" w:rsidRPr="00852AEC">
        <w:t>The variance in wind generation at Company-owned facilities also impacts the level of production tax credit realized, and over the same five-year peri</w:t>
      </w:r>
      <w:r w:rsidR="00801D1C">
        <w:t xml:space="preserve">od the Company would have over-credited customers </w:t>
      </w:r>
      <w:r w:rsidR="00EF48D9" w:rsidRPr="00852AEC">
        <w:t>approximately $2.0 million</w:t>
      </w:r>
      <w:r w:rsidR="00EF48D9">
        <w:t xml:space="preserve"> on average</w:t>
      </w:r>
      <w:r w:rsidR="009701D6">
        <w:t xml:space="preserve"> on a PACW basis</w:t>
      </w:r>
      <w:r w:rsidR="00EF48D9">
        <w:t xml:space="preserve">.  </w:t>
      </w:r>
      <w:r>
        <w:t xml:space="preserve">Because the Company’s wind penetration must increase under the EIA, the NPC recovery risk associated with variances between forecast and actual wind generation </w:t>
      </w:r>
      <w:r w:rsidR="003C7076">
        <w:t>is also</w:t>
      </w:r>
      <w:r w:rsidR="005115F4">
        <w:t xml:space="preserve"> expected to increase.</w:t>
      </w:r>
    </w:p>
    <w:p w:rsidR="007B49CE" w:rsidRDefault="007B49CE" w:rsidP="00573B9F">
      <w:pPr>
        <w:pStyle w:val="BodyTextIndent"/>
        <w:suppressLineNumbers/>
        <w:spacing w:line="240" w:lineRule="auto"/>
        <w:jc w:val="center"/>
        <w:rPr>
          <w:b/>
        </w:rPr>
      </w:pPr>
      <w:r>
        <w:rPr>
          <w:b/>
        </w:rPr>
        <w:t>Table 2</w:t>
      </w:r>
    </w:p>
    <w:p w:rsidR="00C10632" w:rsidRDefault="00EF48D9" w:rsidP="00573B9F">
      <w:pPr>
        <w:pStyle w:val="BodyTextIndent"/>
        <w:suppressLineNumbers/>
        <w:tabs>
          <w:tab w:val="clear" w:pos="720"/>
          <w:tab w:val="left" w:pos="0"/>
        </w:tabs>
        <w:ind w:left="0" w:firstLine="0"/>
        <w:jc w:val="center"/>
        <w:rPr>
          <w:b/>
        </w:rPr>
      </w:pPr>
      <w:r w:rsidRPr="00EF48D9">
        <w:rPr>
          <w:b/>
        </w:rPr>
        <w:t xml:space="preserve"> </w:t>
      </w:r>
      <w:r w:rsidRPr="00EF48D9">
        <w:rPr>
          <w:noProof/>
        </w:rPr>
        <w:drawing>
          <wp:inline distT="0" distB="0" distL="0" distR="0">
            <wp:extent cx="5133976"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8952" cy="1468272"/>
                    </a:xfrm>
                    <a:prstGeom prst="rect">
                      <a:avLst/>
                    </a:prstGeom>
                    <a:noFill/>
                    <a:ln>
                      <a:noFill/>
                    </a:ln>
                  </pic:spPr>
                </pic:pic>
              </a:graphicData>
            </a:graphic>
          </wp:inline>
        </w:drawing>
      </w:r>
    </w:p>
    <w:p w:rsidR="00275BA9" w:rsidRDefault="00275BA9" w:rsidP="00801D1C">
      <w:pPr>
        <w:pStyle w:val="Heading2"/>
        <w:spacing w:after="0" w:line="480" w:lineRule="auto"/>
      </w:pPr>
      <w:bookmarkStart w:id="27" w:name="_Toc345506053"/>
      <w:r w:rsidRPr="0033388A">
        <w:t xml:space="preserve">Symmetrical Treatment of NPC-Related Costs and Revenues </w:t>
      </w:r>
      <w:proofErr w:type="gramStart"/>
      <w:r w:rsidRPr="0033388A">
        <w:t xml:space="preserve">Supports </w:t>
      </w:r>
      <w:r w:rsidR="00573B9F">
        <w:t xml:space="preserve"> </w:t>
      </w:r>
      <w:r w:rsidRPr="0033388A">
        <w:t>PacifiCorp’s</w:t>
      </w:r>
      <w:proofErr w:type="gramEnd"/>
      <w:r>
        <w:t xml:space="preserve"> </w:t>
      </w:r>
      <w:r w:rsidRPr="0033388A">
        <w:t>PCAM</w:t>
      </w:r>
      <w:bookmarkEnd w:id="27"/>
    </w:p>
    <w:p w:rsidR="00275BA9" w:rsidRDefault="00275BA9" w:rsidP="00275BA9">
      <w:pPr>
        <w:pStyle w:val="BodyTextIndent"/>
        <w:jc w:val="left"/>
        <w:rPr>
          <w:b/>
        </w:rPr>
      </w:pPr>
      <w:r>
        <w:rPr>
          <w:b/>
        </w:rPr>
        <w:t>Q.</w:t>
      </w:r>
      <w:r>
        <w:rPr>
          <w:b/>
        </w:rPr>
        <w:tab/>
        <w:t xml:space="preserve">Did the Commission recently address ratemaking treatment for revenues from the sale of PacifiCorp’s </w:t>
      </w:r>
      <w:r w:rsidR="005115F4">
        <w:rPr>
          <w:b/>
        </w:rPr>
        <w:t xml:space="preserve">renewable energy attributes (REAs) and </w:t>
      </w:r>
      <w:r>
        <w:rPr>
          <w:b/>
        </w:rPr>
        <w:t xml:space="preserve">renewable energy credits (RECs) in </w:t>
      </w:r>
      <w:r w:rsidR="004D2F9A">
        <w:rPr>
          <w:b/>
        </w:rPr>
        <w:t xml:space="preserve">the </w:t>
      </w:r>
      <w:r>
        <w:rPr>
          <w:b/>
        </w:rPr>
        <w:t xml:space="preserve">2010 </w:t>
      </w:r>
      <w:r w:rsidR="00232229">
        <w:rPr>
          <w:b/>
        </w:rPr>
        <w:t>Rate Case</w:t>
      </w:r>
      <w:r w:rsidR="005115F4">
        <w:rPr>
          <w:b/>
        </w:rPr>
        <w:t>?</w:t>
      </w:r>
    </w:p>
    <w:p w:rsidR="005F7343" w:rsidRDefault="00275BA9" w:rsidP="00C07793">
      <w:pPr>
        <w:pStyle w:val="BodyTextIndent"/>
        <w:jc w:val="left"/>
      </w:pPr>
      <w:r w:rsidRPr="0004509F">
        <w:t>A.</w:t>
      </w:r>
      <w:r w:rsidRPr="0004509F">
        <w:tab/>
        <w:t>Yes.</w:t>
      </w:r>
      <w:r>
        <w:t xml:space="preserve">  In Order 06 in that docket, the Commission ordered PacifiCorp to create a </w:t>
      </w:r>
    </w:p>
    <w:p w:rsidR="00275BA9" w:rsidRDefault="005F7343" w:rsidP="005F7343">
      <w:pPr>
        <w:pStyle w:val="BodyTextIndent"/>
        <w:jc w:val="left"/>
      </w:pPr>
      <w:r>
        <w:tab/>
      </w:r>
      <w:proofErr w:type="gramStart"/>
      <w:r w:rsidR="00275BA9">
        <w:t>balancing</w:t>
      </w:r>
      <w:proofErr w:type="gramEnd"/>
      <w:r w:rsidR="00275BA9">
        <w:t xml:space="preserve"> account to track </w:t>
      </w:r>
      <w:r w:rsidR="005115F4">
        <w:t xml:space="preserve">REA and </w:t>
      </w:r>
      <w:r w:rsidR="00275BA9">
        <w:t>REC revenues and provide customers a</w:t>
      </w:r>
      <w:r>
        <w:t xml:space="preserve"> </w:t>
      </w:r>
      <w:r w:rsidR="00275BA9">
        <w:t>dollar-for-dollar rate credit.</w:t>
      </w:r>
      <w:r w:rsidR="00275BA9">
        <w:rPr>
          <w:rStyle w:val="FootnoteReference"/>
        </w:rPr>
        <w:footnoteReference w:id="17"/>
      </w:r>
    </w:p>
    <w:p w:rsidR="00275BA9" w:rsidRPr="00E83688" w:rsidRDefault="00275BA9" w:rsidP="00275BA9">
      <w:pPr>
        <w:pStyle w:val="BodyTextIndent"/>
        <w:jc w:val="left"/>
        <w:rPr>
          <w:b/>
        </w:rPr>
      </w:pPr>
      <w:r w:rsidRPr="00E83688">
        <w:rPr>
          <w:b/>
        </w:rPr>
        <w:t>Q.</w:t>
      </w:r>
      <w:r w:rsidRPr="00E83688">
        <w:rPr>
          <w:b/>
        </w:rPr>
        <w:tab/>
      </w:r>
      <w:r>
        <w:rPr>
          <w:b/>
        </w:rPr>
        <w:t xml:space="preserve">How does the EIA define </w:t>
      </w:r>
      <w:r w:rsidRPr="00E83688">
        <w:rPr>
          <w:b/>
        </w:rPr>
        <w:t>RECs</w:t>
      </w:r>
      <w:r>
        <w:rPr>
          <w:b/>
        </w:rPr>
        <w:t>?</w:t>
      </w:r>
    </w:p>
    <w:p w:rsidR="00275BA9" w:rsidRDefault="00275BA9" w:rsidP="00275BA9">
      <w:pPr>
        <w:pStyle w:val="BodyTextIndent"/>
        <w:jc w:val="left"/>
        <w:rPr>
          <w:sz w:val="22"/>
          <w:szCs w:val="22"/>
        </w:rPr>
      </w:pPr>
      <w:r>
        <w:t>A.</w:t>
      </w:r>
      <w:r>
        <w:tab/>
      </w:r>
      <w:r w:rsidR="005115F4">
        <w:t xml:space="preserve">A Washington </w:t>
      </w:r>
      <w:r>
        <w:t>REC</w:t>
      </w:r>
      <w:r w:rsidR="005115F4">
        <w:t xml:space="preserve"> is</w:t>
      </w:r>
      <w:r>
        <w:t xml:space="preserve"> defined as</w:t>
      </w:r>
      <w:r>
        <w:rPr>
          <w:sz w:val="22"/>
          <w:szCs w:val="22"/>
        </w:rPr>
        <w:t>:</w:t>
      </w:r>
    </w:p>
    <w:p w:rsidR="00275BA9" w:rsidRPr="00122F5C" w:rsidRDefault="00275BA9" w:rsidP="00275BA9">
      <w:pPr>
        <w:pStyle w:val="Answer0"/>
        <w:widowControl w:val="0"/>
        <w:spacing w:line="240" w:lineRule="auto"/>
        <w:ind w:left="1440" w:right="720" w:firstLine="0"/>
        <w:jc w:val="left"/>
        <w:rPr>
          <w:szCs w:val="24"/>
        </w:rPr>
      </w:pPr>
      <w:r w:rsidRPr="00122F5C">
        <w:rPr>
          <w:szCs w:val="24"/>
        </w:rPr>
        <w:t xml:space="preserve">[A] </w:t>
      </w:r>
      <w:proofErr w:type="gramStart"/>
      <w:r w:rsidRPr="00122F5C">
        <w:rPr>
          <w:szCs w:val="24"/>
        </w:rPr>
        <w:t>tradable</w:t>
      </w:r>
      <w:proofErr w:type="gramEnd"/>
      <w:r w:rsidRPr="00122F5C">
        <w:rPr>
          <w:szCs w:val="24"/>
        </w:rPr>
        <w:t xml:space="preserve"> certificate of proof of at least one megawatt-hour of an eligible renewable resource where the generation facility is not powered by freshwater. </w:t>
      </w:r>
      <w:r w:rsidR="005115F4">
        <w:rPr>
          <w:szCs w:val="24"/>
        </w:rPr>
        <w:t xml:space="preserve"> </w:t>
      </w:r>
      <w:r w:rsidRPr="00122F5C">
        <w:rPr>
          <w:szCs w:val="24"/>
        </w:rPr>
        <w:t xml:space="preserve">The certificate includes all of the </w:t>
      </w:r>
      <w:proofErr w:type="spellStart"/>
      <w:r w:rsidRPr="00122F5C">
        <w:rPr>
          <w:szCs w:val="24"/>
        </w:rPr>
        <w:t>nonpower</w:t>
      </w:r>
      <w:proofErr w:type="spellEnd"/>
      <w:r w:rsidRPr="00122F5C">
        <w:rPr>
          <w:szCs w:val="24"/>
        </w:rPr>
        <w:t xml:space="preserve"> attributes associated with that one megawatt-hour of electricity, and the certificate is verified by a renewable energy credit tracking system selected by the department.</w:t>
      </w:r>
      <w:r w:rsidR="005115F4">
        <w:rPr>
          <w:rStyle w:val="FootnoteReference"/>
          <w:szCs w:val="24"/>
        </w:rPr>
        <w:footnoteReference w:id="18"/>
      </w:r>
    </w:p>
    <w:p w:rsidR="00275BA9" w:rsidRDefault="00275BA9" w:rsidP="007E2B9F">
      <w:pPr>
        <w:pStyle w:val="Answer0"/>
        <w:widowControl w:val="0"/>
        <w:suppressLineNumbers/>
        <w:spacing w:line="240" w:lineRule="auto"/>
        <w:ind w:left="1440" w:right="720" w:firstLine="0"/>
        <w:jc w:val="left"/>
        <w:rPr>
          <w:sz w:val="22"/>
          <w:szCs w:val="22"/>
        </w:rPr>
      </w:pPr>
    </w:p>
    <w:p w:rsidR="00275BA9" w:rsidRPr="00D04DD0" w:rsidRDefault="00275BA9" w:rsidP="00275BA9">
      <w:pPr>
        <w:pStyle w:val="BodyTextIndent"/>
        <w:jc w:val="left"/>
        <w:rPr>
          <w:rFonts w:ascii="Arial" w:hAnsi="Arial" w:cs="Arial"/>
        </w:rPr>
      </w:pPr>
      <w:r w:rsidRPr="00D04DD0">
        <w:tab/>
        <w:t>A “</w:t>
      </w:r>
      <w:proofErr w:type="spellStart"/>
      <w:r w:rsidRPr="00D04DD0">
        <w:t>nonpower</w:t>
      </w:r>
      <w:proofErr w:type="spellEnd"/>
      <w:r w:rsidRPr="00D04DD0">
        <w:t xml:space="preserve"> attribute” means:</w:t>
      </w:r>
    </w:p>
    <w:p w:rsidR="00BD2328" w:rsidRDefault="00BD2328" w:rsidP="00BD2328">
      <w:pPr>
        <w:pStyle w:val="Answer0"/>
        <w:widowControl w:val="0"/>
        <w:suppressLineNumbers/>
        <w:spacing w:line="240" w:lineRule="auto"/>
        <w:ind w:left="1440" w:right="720" w:firstLine="0"/>
        <w:jc w:val="left"/>
        <w:rPr>
          <w:szCs w:val="24"/>
        </w:rPr>
      </w:pPr>
    </w:p>
    <w:p w:rsidR="00275BA9" w:rsidRDefault="00275BA9" w:rsidP="00275BA9">
      <w:pPr>
        <w:pStyle w:val="Answer0"/>
        <w:widowControl w:val="0"/>
        <w:spacing w:line="240" w:lineRule="auto"/>
        <w:ind w:left="1440" w:right="720" w:firstLine="0"/>
        <w:jc w:val="left"/>
        <w:rPr>
          <w:szCs w:val="24"/>
        </w:rPr>
      </w:pPr>
      <w:r>
        <w:rPr>
          <w:szCs w:val="24"/>
        </w:rPr>
        <w:t>[A]</w:t>
      </w:r>
      <w:proofErr w:type="spellStart"/>
      <w:r w:rsidRPr="00122F5C">
        <w:rPr>
          <w:szCs w:val="24"/>
        </w:rPr>
        <w:t>ll</w:t>
      </w:r>
      <w:proofErr w:type="spellEnd"/>
      <w:r w:rsidRPr="00122F5C">
        <w:rPr>
          <w:szCs w:val="24"/>
        </w:rPr>
        <w:t xml:space="preserve"> environmentally related characteristics, exclusive of energy, capacity reliability, and other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rsidR="00275BA9" w:rsidRPr="00122F5C" w:rsidRDefault="00275BA9" w:rsidP="007E2B9F">
      <w:pPr>
        <w:pStyle w:val="Answer0"/>
        <w:widowControl w:val="0"/>
        <w:suppressLineNumbers/>
        <w:spacing w:line="240" w:lineRule="auto"/>
        <w:ind w:left="1440" w:right="720" w:firstLine="0"/>
        <w:jc w:val="left"/>
        <w:rPr>
          <w:szCs w:val="24"/>
        </w:rPr>
      </w:pPr>
    </w:p>
    <w:p w:rsidR="00275BA9" w:rsidRDefault="00275BA9" w:rsidP="00275BA9">
      <w:pPr>
        <w:pStyle w:val="BodyTextIndent"/>
        <w:jc w:val="left"/>
        <w:rPr>
          <w:b/>
        </w:rPr>
      </w:pPr>
      <w:r>
        <w:rPr>
          <w:b/>
        </w:rPr>
        <w:t>Q.</w:t>
      </w:r>
      <w:r>
        <w:rPr>
          <w:b/>
        </w:rPr>
        <w:tab/>
        <w:t xml:space="preserve">Does the Company’s PCAM propose to treat NPC expense (the power attributes of electricity) the same as </w:t>
      </w:r>
      <w:r w:rsidR="005115F4">
        <w:rPr>
          <w:b/>
        </w:rPr>
        <w:t xml:space="preserve">REA and </w:t>
      </w:r>
      <w:r>
        <w:rPr>
          <w:b/>
        </w:rPr>
        <w:t>REC revenues (the non</w:t>
      </w:r>
      <w:r w:rsidR="005115F4">
        <w:rPr>
          <w:b/>
        </w:rPr>
        <w:t>-</w:t>
      </w:r>
      <w:r>
        <w:rPr>
          <w:b/>
        </w:rPr>
        <w:t xml:space="preserve">power attributes </w:t>
      </w:r>
      <w:r w:rsidR="005115F4">
        <w:rPr>
          <w:b/>
        </w:rPr>
        <w:t>of electricity) under Order 06?</w:t>
      </w:r>
    </w:p>
    <w:p w:rsidR="00275BA9" w:rsidRDefault="005115F4" w:rsidP="00275BA9">
      <w:pPr>
        <w:pStyle w:val="BodyTextIndent"/>
        <w:jc w:val="left"/>
        <w:rPr>
          <w:b/>
        </w:rPr>
      </w:pPr>
      <w:r>
        <w:t>A.</w:t>
      </w:r>
      <w:r>
        <w:tab/>
        <w:t>Yes.  REAs and</w:t>
      </w:r>
      <w:r w:rsidR="00275BA9">
        <w:t xml:space="preserve"> </w:t>
      </w:r>
      <w:r w:rsidR="00275BA9" w:rsidRPr="00292AB6">
        <w:t xml:space="preserve">RECs are </w:t>
      </w:r>
      <w:r w:rsidR="00275BA9">
        <w:t xml:space="preserve">created by the production of electricity and are therefore </w:t>
      </w:r>
      <w:r w:rsidR="00275BA9" w:rsidRPr="00292AB6">
        <w:t xml:space="preserve">inextricably linked with the electricity generated by renewable resources.  The Company’s PCAM recognizes this fact by proposing the same dollar-for-dollar treatment for the </w:t>
      </w:r>
      <w:r w:rsidR="00275BA9">
        <w:t>costs of electricity production (</w:t>
      </w:r>
      <w:r w:rsidR="00275BA9" w:rsidRPr="005115F4">
        <w:t>i.e.,</w:t>
      </w:r>
      <w:r w:rsidR="00275BA9">
        <w:t xml:space="preserve"> the </w:t>
      </w:r>
      <w:r w:rsidR="00275BA9" w:rsidRPr="00292AB6">
        <w:t>Company’s NPC</w:t>
      </w:r>
      <w:r w:rsidR="00275BA9">
        <w:t>)</w:t>
      </w:r>
      <w:r w:rsidR="00275BA9" w:rsidRPr="00292AB6">
        <w:t xml:space="preserve"> as that now in place for </w:t>
      </w:r>
      <w:r>
        <w:t xml:space="preserve">REA and </w:t>
      </w:r>
      <w:r w:rsidR="00275BA9" w:rsidRPr="00292AB6">
        <w:t xml:space="preserve">REC revenues.  While the Company has filed for judicial review of Orders 10 and 11 in the 2010 </w:t>
      </w:r>
      <w:r w:rsidR="00232229">
        <w:t>Rate Case</w:t>
      </w:r>
      <w:r w:rsidR="00275BA9" w:rsidRPr="00292AB6">
        <w:t xml:space="preserve"> addressing retroactive rate credits for historical </w:t>
      </w:r>
      <w:r>
        <w:t xml:space="preserve">REA and </w:t>
      </w:r>
      <w:r w:rsidR="00275BA9" w:rsidRPr="00292AB6">
        <w:t xml:space="preserve">REC revenues, it has not challenged Order 06’s dollar-for-dollar tracker for </w:t>
      </w:r>
      <w:r>
        <w:t xml:space="preserve">REA and </w:t>
      </w:r>
      <w:r w:rsidR="00275BA9" w:rsidRPr="00292AB6">
        <w:t xml:space="preserve">REC revenues on a prospective basis.  Instead, PacifiCorp </w:t>
      </w:r>
      <w:r w:rsidR="00275BA9">
        <w:t xml:space="preserve">is now </w:t>
      </w:r>
      <w:r w:rsidR="00275BA9" w:rsidRPr="00292AB6">
        <w:t>propos</w:t>
      </w:r>
      <w:r w:rsidR="00275BA9">
        <w:t>ing</w:t>
      </w:r>
      <w:r w:rsidR="00275BA9" w:rsidRPr="00292AB6">
        <w:t xml:space="preserve"> a PCAM </w:t>
      </w:r>
      <w:r w:rsidR="00275BA9">
        <w:t xml:space="preserve">to </w:t>
      </w:r>
      <w:r w:rsidR="00275BA9" w:rsidRPr="00292AB6">
        <w:t xml:space="preserve">provide symmetrical treatment of NPC and </w:t>
      </w:r>
      <w:r>
        <w:t>REA/</w:t>
      </w:r>
      <w:r w:rsidR="00275BA9" w:rsidRPr="00292AB6">
        <w:t>REC revenues, properly matching the power and non-power attributes of the Company’s renewable resources.</w:t>
      </w:r>
    </w:p>
    <w:p w:rsidR="00275BA9" w:rsidRDefault="00275BA9" w:rsidP="00C10632">
      <w:pPr>
        <w:pStyle w:val="Heading2"/>
        <w:spacing w:after="0" w:line="480" w:lineRule="auto"/>
      </w:pPr>
      <w:bookmarkStart w:id="28" w:name="_Toc345506054"/>
      <w:r>
        <w:t xml:space="preserve">PacifiCorp Responses to Issues Raised in the 2006 </w:t>
      </w:r>
      <w:r w:rsidR="00232229">
        <w:t>Rate Case</w:t>
      </w:r>
      <w:bookmarkEnd w:id="28"/>
    </w:p>
    <w:p w:rsidR="00275BA9" w:rsidRDefault="00275BA9" w:rsidP="007E2B9F">
      <w:pPr>
        <w:tabs>
          <w:tab w:val="left" w:pos="720"/>
        </w:tabs>
        <w:spacing w:line="480" w:lineRule="auto"/>
        <w:ind w:left="720" w:hanging="720"/>
        <w:jc w:val="left"/>
        <w:rPr>
          <w:b/>
        </w:rPr>
      </w:pPr>
      <w:proofErr w:type="gramStart"/>
      <w:r>
        <w:rPr>
          <w:b/>
        </w:rPr>
        <w:t>Q.</w:t>
      </w:r>
      <w:r>
        <w:rPr>
          <w:b/>
        </w:rPr>
        <w:tab/>
        <w:t xml:space="preserve">In the 2006 </w:t>
      </w:r>
      <w:r w:rsidR="00232229">
        <w:rPr>
          <w:b/>
        </w:rPr>
        <w:t>Rate Case</w:t>
      </w:r>
      <w:r>
        <w:rPr>
          <w:b/>
        </w:rPr>
        <w:t>, the Commission required the Company to address specific factors in any subsequent PCAM filing.</w:t>
      </w:r>
      <w:proofErr w:type="gramEnd"/>
      <w:r>
        <w:rPr>
          <w:rStyle w:val="FootnoteReference"/>
          <w:b/>
        </w:rPr>
        <w:footnoteReference w:id="19"/>
      </w:r>
      <w:r w:rsidR="005115F4">
        <w:rPr>
          <w:b/>
        </w:rPr>
        <w:t xml:space="preserve">  </w:t>
      </w:r>
      <w:r>
        <w:rPr>
          <w:b/>
        </w:rPr>
        <w:t>Please identify the factors relevant to this filing.</w:t>
      </w:r>
    </w:p>
    <w:p w:rsidR="00275BA9" w:rsidRDefault="00275BA9" w:rsidP="007E2B9F">
      <w:pPr>
        <w:tabs>
          <w:tab w:val="left" w:pos="720"/>
        </w:tabs>
        <w:spacing w:line="480" w:lineRule="auto"/>
        <w:ind w:left="720" w:hanging="720"/>
        <w:jc w:val="left"/>
      </w:pPr>
      <w:r w:rsidRPr="00621490">
        <w:t>A.</w:t>
      </w:r>
      <w:r w:rsidRPr="00621490">
        <w:tab/>
        <w:t xml:space="preserve">The Commission required the Company to address: (1) the process, </w:t>
      </w:r>
      <w:r>
        <w:t>accounting</w:t>
      </w:r>
      <w:r w:rsidR="005115F4">
        <w:t>,</w:t>
      </w:r>
      <w:r>
        <w:t xml:space="preserve"> and reliability of “actual costs” used in t</w:t>
      </w:r>
      <w:r w:rsidR="005115F4">
        <w:t>he annual PCAM true-up; and (2) </w:t>
      </w:r>
      <w:r>
        <w:t xml:space="preserve">refinements to the PCAM design necessary to </w:t>
      </w:r>
      <w:r w:rsidR="005115F4">
        <w:t>reflect asymmetry of power cost </w:t>
      </w:r>
      <w:r>
        <w:t>distribution.</w:t>
      </w:r>
      <w:r>
        <w:rPr>
          <w:rStyle w:val="FootnoteReference"/>
        </w:rPr>
        <w:footnoteReference w:id="20"/>
      </w:r>
    </w:p>
    <w:p w:rsidR="00275BA9" w:rsidRPr="00064FB6" w:rsidRDefault="00275BA9" w:rsidP="007E2B9F">
      <w:pPr>
        <w:tabs>
          <w:tab w:val="left" w:pos="720"/>
        </w:tabs>
        <w:spacing w:line="480" w:lineRule="auto"/>
        <w:ind w:left="720" w:hanging="720"/>
        <w:jc w:val="left"/>
        <w:rPr>
          <w:b/>
        </w:rPr>
      </w:pPr>
      <w:r w:rsidRPr="00064FB6">
        <w:rPr>
          <w:b/>
        </w:rPr>
        <w:t>Q.</w:t>
      </w:r>
      <w:r w:rsidRPr="00064FB6">
        <w:rPr>
          <w:b/>
        </w:rPr>
        <w:tab/>
        <w:t>Please provide some background on the issue relat</w:t>
      </w:r>
      <w:r w:rsidR="005115F4">
        <w:rPr>
          <w:b/>
        </w:rPr>
        <w:t>ed</w:t>
      </w:r>
      <w:r w:rsidRPr="00064FB6">
        <w:rPr>
          <w:b/>
        </w:rPr>
        <w:t xml:space="preserve"> to accounting for actual </w:t>
      </w:r>
      <w:r>
        <w:rPr>
          <w:b/>
        </w:rPr>
        <w:t>NPC</w:t>
      </w:r>
      <w:r w:rsidRPr="00064FB6">
        <w:rPr>
          <w:b/>
        </w:rPr>
        <w:t>.</w:t>
      </w:r>
    </w:p>
    <w:p w:rsidR="00275BA9" w:rsidRDefault="00275BA9" w:rsidP="007E2B9F">
      <w:pPr>
        <w:tabs>
          <w:tab w:val="left" w:pos="720"/>
        </w:tabs>
        <w:spacing w:line="480" w:lineRule="auto"/>
        <w:ind w:left="720" w:hanging="720"/>
        <w:jc w:val="left"/>
      </w:pPr>
      <w:r>
        <w:t>A.</w:t>
      </w:r>
      <w:r>
        <w:tab/>
        <w:t xml:space="preserve">The Company’s </w:t>
      </w:r>
      <w:r w:rsidR="00D1442E">
        <w:t>inter-jurisdictional</w:t>
      </w:r>
      <w:r>
        <w:t xml:space="preserve"> allocation methodology was </w:t>
      </w:r>
      <w:r w:rsidR="004D2F9A">
        <w:t>a key factor</w:t>
      </w:r>
      <w:r w:rsidR="00974CFA">
        <w:t xml:space="preserve"> in the resolution of the Company’s PCAM proposals in </w:t>
      </w:r>
      <w:r>
        <w:t xml:space="preserve">the 2005 and 2006 </w:t>
      </w:r>
      <w:r w:rsidR="00F578A0">
        <w:t>r</w:t>
      </w:r>
      <w:r w:rsidR="00232229">
        <w:t xml:space="preserve">ate </w:t>
      </w:r>
      <w:r w:rsidR="00F578A0">
        <w:t>cas</w:t>
      </w:r>
      <w:r w:rsidR="00232229">
        <w:t>e</w:t>
      </w:r>
      <w:r>
        <w:t xml:space="preserve">s.  In the 2005 </w:t>
      </w:r>
      <w:r w:rsidR="00232229">
        <w:t>Rate Case</w:t>
      </w:r>
      <w:r>
        <w:t>, the Commission rejected the Company’s proposed allocation methodology</w:t>
      </w:r>
      <w:r w:rsidR="005115F4">
        <w:t>,</w:t>
      </w:r>
      <w:r>
        <w:t xml:space="preserve"> which precluded implementation of a PCAM.</w:t>
      </w:r>
      <w:r>
        <w:rPr>
          <w:rStyle w:val="FootnoteReference"/>
        </w:rPr>
        <w:footnoteReference w:id="21"/>
      </w:r>
      <w:r>
        <w:t xml:space="preserve">  In the 2006 </w:t>
      </w:r>
      <w:r w:rsidR="00232229">
        <w:t>Rate Case</w:t>
      </w:r>
      <w:r>
        <w:t xml:space="preserve">, the Commission approved the </w:t>
      </w:r>
      <w:r w:rsidR="00D1442E">
        <w:t>WCA</w:t>
      </w:r>
      <w:r w:rsidR="00F578A0">
        <w:t>, but rejected the manner in </w:t>
      </w:r>
      <w:r>
        <w:t>which the Company proposed to determine its actual NPC under that method.  The Company proposed to calculate its actual NPC in part by modeling a re-dispatch of generation and transmission through the GRID model.  The Commission expressed concern that the “computer-generated, pseudo-actual costs will themselves be only estimates.”</w:t>
      </w:r>
      <w:r>
        <w:rPr>
          <w:rStyle w:val="FootnoteReference"/>
        </w:rPr>
        <w:footnoteReference w:id="22"/>
      </w:r>
      <w:r>
        <w:t xml:space="preserve">  To address this concern, the Commission indicated that it would require a more thorough and detailed explanation of how the proposed calculation of actual NPC accurately and re</w:t>
      </w:r>
      <w:r w:rsidR="005115F4">
        <w:t>liably represents actual costs.</w:t>
      </w:r>
    </w:p>
    <w:p w:rsidR="00275BA9" w:rsidRPr="008C319A" w:rsidRDefault="00275BA9" w:rsidP="005115F4">
      <w:pPr>
        <w:keepNext/>
        <w:widowControl/>
        <w:tabs>
          <w:tab w:val="left" w:pos="720"/>
        </w:tabs>
        <w:spacing w:line="480" w:lineRule="auto"/>
        <w:ind w:left="720" w:hanging="720"/>
        <w:jc w:val="left"/>
        <w:rPr>
          <w:b/>
        </w:rPr>
      </w:pPr>
      <w:r w:rsidRPr="008C319A">
        <w:rPr>
          <w:b/>
        </w:rPr>
        <w:t>Q.</w:t>
      </w:r>
      <w:r w:rsidRPr="008C319A">
        <w:rPr>
          <w:b/>
        </w:rPr>
        <w:tab/>
        <w:t>Has the Company changed its approach to calcula</w:t>
      </w:r>
      <w:r w:rsidR="00F578A0">
        <w:rPr>
          <w:b/>
        </w:rPr>
        <w:t>ting actual NPC in this filing?</w:t>
      </w:r>
    </w:p>
    <w:p w:rsidR="00275BA9" w:rsidRPr="008C319A" w:rsidRDefault="00275BA9" w:rsidP="007E2B9F">
      <w:pPr>
        <w:tabs>
          <w:tab w:val="left" w:pos="720"/>
        </w:tabs>
        <w:spacing w:line="480" w:lineRule="auto"/>
        <w:ind w:left="720" w:hanging="720"/>
        <w:jc w:val="left"/>
      </w:pPr>
      <w:r>
        <w:t>A.</w:t>
      </w:r>
      <w:r>
        <w:tab/>
        <w:t xml:space="preserve">Yes.  The Company will not use “pseudo actual, computer-generated” data to calculate </w:t>
      </w:r>
      <w:r w:rsidR="00F578A0">
        <w:t>a</w:t>
      </w:r>
      <w:r>
        <w:t xml:space="preserve">ctual NPC.  Instead, the Company will </w:t>
      </w:r>
      <w:r w:rsidRPr="008C319A">
        <w:t xml:space="preserve">report actual NPC per the books and records of the Company for assets included in </w:t>
      </w:r>
      <w:r w:rsidR="00291138">
        <w:t>PACW</w:t>
      </w:r>
      <w:r w:rsidRPr="008C319A">
        <w:t xml:space="preserve">.  Assets or proportions of assets included in the reporting of actual NPC will be consistent with the </w:t>
      </w:r>
      <w:r w:rsidR="00D1442E">
        <w:t>WCA</w:t>
      </w:r>
      <w:r w:rsidRPr="008C319A">
        <w:t xml:space="preserve"> used to determine normalized NPC in the Company’s general rate cases.  To the extent an energy imbalance </w:t>
      </w:r>
      <w:r>
        <w:t xml:space="preserve">exists </w:t>
      </w:r>
      <w:r w:rsidRPr="008C319A">
        <w:t xml:space="preserve">after accounting for actual loads and resources, the </w:t>
      </w:r>
      <w:r w:rsidR="00737C7F">
        <w:t xml:space="preserve">Company will </w:t>
      </w:r>
      <w:r w:rsidR="00D72E32">
        <w:t xml:space="preserve">account for the difference by reducing </w:t>
      </w:r>
      <w:r w:rsidR="00737C7F">
        <w:t>actual short-term balancing</w:t>
      </w:r>
      <w:r w:rsidR="00D72E32">
        <w:t xml:space="preserve"> purchase or sales</w:t>
      </w:r>
      <w:r w:rsidR="00737C7F">
        <w:t xml:space="preserve"> transactions</w:t>
      </w:r>
      <w:r w:rsidR="00D72E32">
        <w:t>, leaving actual</w:t>
      </w:r>
      <w:r w:rsidRPr="008C319A">
        <w:t>, per books.</w:t>
      </w:r>
      <w:r w:rsidR="00604CC2">
        <w:t xml:space="preserve">  I </w:t>
      </w:r>
      <w:r w:rsidR="00D72E32">
        <w:t xml:space="preserve">have provided five years of historical actual NPC for the years 2007 through 2011, compiled as I just described, in </w:t>
      </w:r>
      <w:r w:rsidR="00D72E32" w:rsidRPr="00BD4D9F">
        <w:t>Exhibit No.__</w:t>
      </w:r>
      <w:proofErr w:type="gramStart"/>
      <w:r w:rsidR="00D72E32" w:rsidRPr="00BD4D9F">
        <w:t>_(</w:t>
      </w:r>
      <w:proofErr w:type="gramEnd"/>
      <w:r w:rsidR="00D72E32" w:rsidRPr="00BD4D9F">
        <w:t>GND-</w:t>
      </w:r>
      <w:r w:rsidR="008836D7" w:rsidRPr="00BD4D9F">
        <w:t>6</w:t>
      </w:r>
      <w:r w:rsidR="00D72E32" w:rsidRPr="00BD4D9F">
        <w:t>)</w:t>
      </w:r>
      <w:r w:rsidR="00604CC2" w:rsidRPr="00BD4D9F">
        <w:t>.</w:t>
      </w:r>
    </w:p>
    <w:p w:rsidR="00275BA9" w:rsidRPr="008C319A" w:rsidRDefault="00275BA9" w:rsidP="007E2B9F">
      <w:pPr>
        <w:tabs>
          <w:tab w:val="left" w:pos="720"/>
        </w:tabs>
        <w:spacing w:line="480" w:lineRule="auto"/>
        <w:ind w:left="720" w:hanging="720"/>
        <w:jc w:val="left"/>
        <w:rPr>
          <w:b/>
        </w:rPr>
      </w:pPr>
      <w:r w:rsidRPr="008C319A">
        <w:rPr>
          <w:b/>
        </w:rPr>
        <w:t>Q.</w:t>
      </w:r>
      <w:r w:rsidRPr="008C319A">
        <w:rPr>
          <w:b/>
        </w:rPr>
        <w:tab/>
        <w:t xml:space="preserve">Can you specify how the Company’s new accounting method for </w:t>
      </w:r>
      <w:r w:rsidR="00F578A0">
        <w:rPr>
          <w:b/>
        </w:rPr>
        <w:t>a</w:t>
      </w:r>
      <w:r w:rsidRPr="008C319A">
        <w:rPr>
          <w:b/>
        </w:rPr>
        <w:t xml:space="preserve">ctual NPC differs from the method it used in the 2006 </w:t>
      </w:r>
      <w:r w:rsidR="00232229">
        <w:rPr>
          <w:b/>
        </w:rPr>
        <w:t>Rate Case</w:t>
      </w:r>
      <w:r w:rsidRPr="008C319A">
        <w:rPr>
          <w:b/>
        </w:rPr>
        <w:t>?</w:t>
      </w:r>
    </w:p>
    <w:p w:rsidR="00275BA9" w:rsidRDefault="00275BA9" w:rsidP="007E2B9F">
      <w:pPr>
        <w:tabs>
          <w:tab w:val="left" w:pos="720"/>
        </w:tabs>
        <w:spacing w:line="480" w:lineRule="auto"/>
        <w:ind w:left="720" w:hanging="720"/>
        <w:jc w:val="left"/>
      </w:pPr>
      <w:r>
        <w:t>A.</w:t>
      </w:r>
      <w:r>
        <w:tab/>
      </w:r>
      <w:r w:rsidRPr="008C319A">
        <w:t xml:space="preserve">In contrast to the method used since 2006, this new reporting will be based on the actual costs of the Company’s </w:t>
      </w:r>
      <w:r w:rsidR="00FA041A">
        <w:t xml:space="preserve">resources in the </w:t>
      </w:r>
      <w:r w:rsidR="0067068F">
        <w:t>PACW</w:t>
      </w:r>
      <w:r w:rsidR="00F578A0">
        <w:t xml:space="preserve">. </w:t>
      </w:r>
      <w:r w:rsidRPr="008C319A">
        <w:t xml:space="preserve"> </w:t>
      </w:r>
      <w:r>
        <w:t xml:space="preserve">In the 2006 </w:t>
      </w:r>
      <w:r w:rsidR="00232229">
        <w:t>Rate Case</w:t>
      </w:r>
      <w:r>
        <w:t xml:space="preserve">, the </w:t>
      </w:r>
      <w:r w:rsidRPr="008C319A">
        <w:t xml:space="preserve">Company used the GRID model to balance the </w:t>
      </w:r>
      <w:r w:rsidR="0067068F">
        <w:t>PACW</w:t>
      </w:r>
      <w:r w:rsidRPr="008C319A">
        <w:t xml:space="preserve"> after </w:t>
      </w:r>
      <w:r>
        <w:t xml:space="preserve">accounting for </w:t>
      </w:r>
      <w:r w:rsidRPr="008C319A">
        <w:t xml:space="preserve">actual </w:t>
      </w:r>
      <w:r>
        <w:t xml:space="preserve">NPC </w:t>
      </w:r>
      <w:r w:rsidRPr="008C319A">
        <w:t>information.</w:t>
      </w:r>
      <w:r w:rsidR="00F578A0">
        <w:t xml:space="preserve"> </w:t>
      </w:r>
      <w:r w:rsidRPr="008C319A">
        <w:t xml:space="preserve"> </w:t>
      </w:r>
      <w:r>
        <w:t>T</w:t>
      </w:r>
      <w:r w:rsidRPr="008C319A">
        <w:t>o calculate the system balancing</w:t>
      </w:r>
      <w:r>
        <w:t>,</w:t>
      </w:r>
      <w:r w:rsidRPr="008C319A">
        <w:t xml:space="preserve"> </w:t>
      </w:r>
      <w:r>
        <w:t xml:space="preserve">however, </w:t>
      </w:r>
      <w:r w:rsidRPr="008C319A">
        <w:t xml:space="preserve">GRID was allowed to alter the generation from the Company’s </w:t>
      </w:r>
      <w:proofErr w:type="spellStart"/>
      <w:r w:rsidRPr="008C319A">
        <w:t>dispatchable</w:t>
      </w:r>
      <w:proofErr w:type="spellEnd"/>
      <w:r w:rsidRPr="008C319A">
        <w:t xml:space="preserve"> resources</w:t>
      </w:r>
      <w:r>
        <w:t>.  The Company’s approach in this case does not use the GRID model, eliminating the system re-dispatch issue.</w:t>
      </w:r>
    </w:p>
    <w:p w:rsidR="00974CFA" w:rsidRPr="00B71A5D" w:rsidRDefault="004B285E" w:rsidP="00604CC2">
      <w:pPr>
        <w:keepNext/>
        <w:widowControl/>
        <w:tabs>
          <w:tab w:val="left" w:pos="720"/>
        </w:tabs>
        <w:spacing w:line="480" w:lineRule="auto"/>
        <w:ind w:left="720" w:hanging="720"/>
        <w:jc w:val="left"/>
        <w:rPr>
          <w:b/>
        </w:rPr>
      </w:pPr>
      <w:r w:rsidRPr="004B285E">
        <w:rPr>
          <w:b/>
        </w:rPr>
        <w:t>Q.</w:t>
      </w:r>
      <w:r w:rsidRPr="004B285E">
        <w:rPr>
          <w:b/>
        </w:rPr>
        <w:tab/>
        <w:t xml:space="preserve">Do the </w:t>
      </w:r>
      <w:r w:rsidR="004D2F9A">
        <w:rPr>
          <w:b/>
        </w:rPr>
        <w:t xml:space="preserve">proposed </w:t>
      </w:r>
      <w:r w:rsidR="00040341">
        <w:rPr>
          <w:b/>
        </w:rPr>
        <w:t xml:space="preserve">changes to the </w:t>
      </w:r>
      <w:r w:rsidR="00D1442E">
        <w:rPr>
          <w:b/>
        </w:rPr>
        <w:t>WCA</w:t>
      </w:r>
      <w:r w:rsidRPr="004B285E">
        <w:rPr>
          <w:b/>
        </w:rPr>
        <w:t xml:space="preserve"> described in the first section of your testimony facilitate the calculation of </w:t>
      </w:r>
      <w:r w:rsidR="00F578A0">
        <w:rPr>
          <w:b/>
        </w:rPr>
        <w:t>a</w:t>
      </w:r>
      <w:r w:rsidRPr="004B285E">
        <w:rPr>
          <w:b/>
        </w:rPr>
        <w:t>ctual NPC</w:t>
      </w:r>
      <w:r w:rsidR="00857A24">
        <w:rPr>
          <w:b/>
        </w:rPr>
        <w:t xml:space="preserve"> for use in the PCAM</w:t>
      </w:r>
      <w:r w:rsidR="00604CC2">
        <w:rPr>
          <w:b/>
        </w:rPr>
        <w:t>?</w:t>
      </w:r>
    </w:p>
    <w:p w:rsidR="00974CFA" w:rsidRDefault="00974CFA" w:rsidP="007E2B9F">
      <w:pPr>
        <w:tabs>
          <w:tab w:val="left" w:pos="720"/>
        </w:tabs>
        <w:spacing w:line="480" w:lineRule="auto"/>
        <w:ind w:left="720" w:hanging="720"/>
        <w:jc w:val="left"/>
      </w:pPr>
      <w:r>
        <w:t>A.</w:t>
      </w:r>
      <w:r>
        <w:tab/>
        <w:t xml:space="preserve">Yes.  The </w:t>
      </w:r>
      <w:r w:rsidR="00857A24">
        <w:t xml:space="preserve">proposed changes to the </w:t>
      </w:r>
      <w:r w:rsidR="00D1442E">
        <w:t>WCA</w:t>
      </w:r>
      <w:r>
        <w:t xml:space="preserve"> are designed to more accurately capture the Company’s actual operations</w:t>
      </w:r>
      <w:r w:rsidR="00B71A5D">
        <w:t xml:space="preserve"> within </w:t>
      </w:r>
      <w:r w:rsidR="00291138">
        <w:t>PACW</w:t>
      </w:r>
      <w:r w:rsidR="00857A24">
        <w:t xml:space="preserve">. </w:t>
      </w:r>
      <w:r w:rsidR="00F578A0">
        <w:t xml:space="preserve"> </w:t>
      </w:r>
      <w:r w:rsidR="00857A24">
        <w:t>These changes</w:t>
      </w:r>
      <w:r w:rsidR="00B754D0">
        <w:t xml:space="preserve"> </w:t>
      </w:r>
      <w:r w:rsidR="00C019E0">
        <w:t xml:space="preserve">removed some of the </w:t>
      </w:r>
      <w:r w:rsidR="00B71A5D">
        <w:t xml:space="preserve">impediments to </w:t>
      </w:r>
      <w:r w:rsidR="00857A24">
        <w:t xml:space="preserve">the </w:t>
      </w:r>
      <w:r w:rsidR="00B71A5D">
        <w:t xml:space="preserve">calculation of </w:t>
      </w:r>
      <w:r w:rsidR="00F578A0">
        <w:t>a</w:t>
      </w:r>
      <w:r w:rsidR="00B71A5D">
        <w:t>ctual NPC</w:t>
      </w:r>
      <w:r w:rsidR="00223208">
        <w:t xml:space="preserve"> on a per books basis</w:t>
      </w:r>
      <w:r w:rsidR="00B71A5D">
        <w:t xml:space="preserve"> under the </w:t>
      </w:r>
      <w:r w:rsidR="00D1442E">
        <w:t>WCA</w:t>
      </w:r>
      <w:r w:rsidR="00B71A5D">
        <w:t>.</w:t>
      </w:r>
    </w:p>
    <w:p w:rsidR="00275BA9" w:rsidRPr="00EF79E3" w:rsidRDefault="00275BA9" w:rsidP="007E2B9F">
      <w:pPr>
        <w:tabs>
          <w:tab w:val="left" w:pos="720"/>
        </w:tabs>
        <w:spacing w:line="480" w:lineRule="auto"/>
        <w:ind w:left="720" w:hanging="720"/>
        <w:jc w:val="left"/>
        <w:rPr>
          <w:b/>
        </w:rPr>
      </w:pPr>
      <w:r w:rsidRPr="00EF79E3">
        <w:rPr>
          <w:b/>
        </w:rPr>
        <w:t>Q.</w:t>
      </w:r>
      <w:r w:rsidRPr="00EF79E3">
        <w:rPr>
          <w:b/>
        </w:rPr>
        <w:tab/>
        <w:t>Please provide background on the issue of asymmetrical NPC risk distribution and PCAM design.</w:t>
      </w:r>
    </w:p>
    <w:p w:rsidR="00275BA9" w:rsidRDefault="00275BA9" w:rsidP="007E2B9F">
      <w:pPr>
        <w:tabs>
          <w:tab w:val="left" w:pos="720"/>
        </w:tabs>
        <w:spacing w:line="480" w:lineRule="auto"/>
        <w:ind w:left="720" w:hanging="720"/>
        <w:jc w:val="left"/>
      </w:pPr>
      <w:r>
        <w:t>A.</w:t>
      </w:r>
      <w:r>
        <w:tab/>
        <w:t xml:space="preserve">In the 2006 </w:t>
      </w:r>
      <w:r w:rsidR="00232229">
        <w:t>Rate Case</w:t>
      </w:r>
      <w:r>
        <w:t xml:space="preserve">, the Commission reviewed the evidence of NPC variability submitted by Staff.  This evidence </w:t>
      </w:r>
      <w:r w:rsidRPr="00EF79E3">
        <w:t>analyze</w:t>
      </w:r>
      <w:r>
        <w:t>d</w:t>
      </w:r>
      <w:r w:rsidRPr="00EF79E3">
        <w:t xml:space="preserve"> the </w:t>
      </w:r>
      <w:r>
        <w:t xml:space="preserve">range of </w:t>
      </w:r>
      <w:r w:rsidRPr="00EF79E3">
        <w:t xml:space="preserve">NPC </w:t>
      </w:r>
      <w:r>
        <w:t>between the Company’s best and worst historical water years</w:t>
      </w:r>
      <w:r w:rsidR="00F578A0">
        <w:t xml:space="preserve">. </w:t>
      </w:r>
      <w:r w:rsidRPr="00EF79E3">
        <w:t xml:space="preserve"> The analysis showed a $2</w:t>
      </w:r>
      <w:r w:rsidR="00F578A0">
        <w:t>6.6 </w:t>
      </w:r>
      <w:r>
        <w:t>million swing</w:t>
      </w:r>
      <w:r w:rsidR="00690B21">
        <w:t xml:space="preserve"> on a PACW basis</w:t>
      </w:r>
      <w:r>
        <w:t>, with</w:t>
      </w:r>
      <w:r w:rsidRPr="00EF79E3">
        <w:t xml:space="preserve"> $16 million of the differential, or 60 percent, on</w:t>
      </w:r>
      <w:r>
        <w:t xml:space="preserve"> </w:t>
      </w:r>
      <w:r w:rsidR="00F578A0">
        <w:t xml:space="preserve">the </w:t>
      </w:r>
      <w:r>
        <w:t>side of higher costs</w:t>
      </w:r>
      <w:r w:rsidRPr="00EF79E3">
        <w:t xml:space="preserve"> </w:t>
      </w:r>
      <w:r>
        <w:t>(</w:t>
      </w:r>
      <w:r w:rsidRPr="00F578A0">
        <w:t>i.e.</w:t>
      </w:r>
      <w:r w:rsidR="00F578A0">
        <w:t>,</w:t>
      </w:r>
      <w:r>
        <w:t xml:space="preserve"> under-stated NPC).</w:t>
      </w:r>
      <w:r>
        <w:rPr>
          <w:rStyle w:val="FootnoteReference"/>
        </w:rPr>
        <w:footnoteReference w:id="23"/>
      </w:r>
      <w:r>
        <w:t xml:space="preserve">  Based upon this evidence, the Commission concluded that the distribution of PacifiCorp’s NPC was skewed toward higher costs, in part because poor hydropower is correlated with higher wholesale costs and higher fuel costs.</w:t>
      </w:r>
      <w:r>
        <w:rPr>
          <w:rStyle w:val="FootnoteReference"/>
        </w:rPr>
        <w:footnoteReference w:id="24"/>
      </w:r>
    </w:p>
    <w:p w:rsidR="00275BA9" w:rsidRPr="00054AEF" w:rsidRDefault="00275BA9" w:rsidP="00573B9F">
      <w:pPr>
        <w:widowControl/>
        <w:tabs>
          <w:tab w:val="left" w:pos="720"/>
        </w:tabs>
        <w:spacing w:line="480" w:lineRule="auto"/>
        <w:ind w:left="720" w:hanging="720"/>
        <w:jc w:val="left"/>
        <w:rPr>
          <w:b/>
        </w:rPr>
      </w:pPr>
      <w:r>
        <w:tab/>
      </w:r>
      <w:r>
        <w:tab/>
      </w:r>
      <w:r w:rsidR="00604CC2">
        <w:t>F</w:t>
      </w:r>
      <w:r>
        <w:t>or a PCAM to maintain the proper balance of risks between the Company and its customers, the Commission concluded that a PCAM should have deadbands or sharing bands reflecting the asymmetrical NPC risk distribution.</w:t>
      </w:r>
      <w:r>
        <w:rPr>
          <w:rStyle w:val="FootnoteReference"/>
        </w:rPr>
        <w:footnoteReference w:id="25"/>
      </w:r>
      <w:r>
        <w:t xml:space="preserve">  The Commission indicated that an alternative would be to address the issue through an adjustment to the Company’s rate of return.</w:t>
      </w:r>
      <w:r>
        <w:rPr>
          <w:rStyle w:val="FootnoteReference"/>
        </w:rPr>
        <w:footnoteReference w:id="26"/>
      </w:r>
    </w:p>
    <w:p w:rsidR="00275BA9" w:rsidRPr="00054AEF" w:rsidRDefault="00604CC2" w:rsidP="007E2B9F">
      <w:pPr>
        <w:tabs>
          <w:tab w:val="left" w:pos="720"/>
        </w:tabs>
        <w:spacing w:line="480" w:lineRule="auto"/>
        <w:ind w:left="720" w:hanging="720"/>
        <w:jc w:val="left"/>
        <w:rPr>
          <w:b/>
        </w:rPr>
      </w:pPr>
      <w:r>
        <w:rPr>
          <w:b/>
        </w:rPr>
        <w:t>Q.</w:t>
      </w:r>
      <w:r>
        <w:rPr>
          <w:b/>
        </w:rPr>
        <w:tab/>
        <w:t xml:space="preserve">Is the Company’s hydro </w:t>
      </w:r>
      <w:r w:rsidR="00275BA9" w:rsidRPr="00054AEF">
        <w:rPr>
          <w:b/>
        </w:rPr>
        <w:t xml:space="preserve">generation risk skewed toward </w:t>
      </w:r>
      <w:r w:rsidR="00275BA9">
        <w:rPr>
          <w:b/>
        </w:rPr>
        <w:t xml:space="preserve">higher costs </w:t>
      </w:r>
      <w:r w:rsidR="00573B9F">
        <w:rPr>
          <w:b/>
        </w:rPr>
        <w:t xml:space="preserve">        </w:t>
      </w:r>
      <w:r w:rsidR="00275BA9">
        <w:rPr>
          <w:b/>
        </w:rPr>
        <w:t>(</w:t>
      </w:r>
      <w:r w:rsidR="00275BA9" w:rsidRPr="00604CC2">
        <w:rPr>
          <w:b/>
        </w:rPr>
        <w:t>i.e.</w:t>
      </w:r>
      <w:r w:rsidR="00275BA9">
        <w:rPr>
          <w:b/>
        </w:rPr>
        <w:t xml:space="preserve">, under-stated </w:t>
      </w:r>
      <w:r w:rsidR="00275BA9" w:rsidRPr="00054AEF">
        <w:rPr>
          <w:b/>
        </w:rPr>
        <w:t>NPC</w:t>
      </w:r>
      <w:r w:rsidR="00275BA9">
        <w:rPr>
          <w:b/>
        </w:rPr>
        <w:t>)</w:t>
      </w:r>
      <w:r w:rsidR="00275BA9" w:rsidRPr="00054AEF">
        <w:rPr>
          <w:b/>
        </w:rPr>
        <w:t>?</w:t>
      </w:r>
    </w:p>
    <w:p w:rsidR="0012133C" w:rsidRDefault="00275BA9" w:rsidP="007E2B9F">
      <w:pPr>
        <w:tabs>
          <w:tab w:val="left" w:pos="720"/>
        </w:tabs>
        <w:spacing w:line="480" w:lineRule="auto"/>
        <w:ind w:left="720" w:hanging="720"/>
        <w:jc w:val="left"/>
      </w:pPr>
      <w:r>
        <w:t>A.</w:t>
      </w:r>
      <w:r>
        <w:tab/>
        <w:t xml:space="preserve">No, not according to the most recent and relevant data.  Over the last ten years, PacifiCorp’s </w:t>
      </w:r>
      <w:r w:rsidR="0067068F">
        <w:t>PACW</w:t>
      </w:r>
      <w:r>
        <w:t xml:space="preserve"> hydro-generation has </w:t>
      </w:r>
      <w:r w:rsidRPr="00852AEC">
        <w:t>ranged from 1</w:t>
      </w:r>
      <w:r w:rsidR="0012133C" w:rsidRPr="00852AEC">
        <w:t>7</w:t>
      </w:r>
      <w:r w:rsidRPr="00852AEC">
        <w:t xml:space="preserve"> percent lower than the median to 22 percent higher than the median.  </w:t>
      </w:r>
      <w:r w:rsidR="0012133C" w:rsidRPr="00852AEC">
        <w:t>The variation due to high and low hydro was $34 million</w:t>
      </w:r>
      <w:r w:rsidR="00305FF7">
        <w:t xml:space="preserve"> on a PACW basis</w:t>
      </w:r>
      <w:r w:rsidR="0012133C" w:rsidRPr="00852AEC">
        <w:t>, of which approximately $1</w:t>
      </w:r>
      <w:r w:rsidR="0056408D" w:rsidRPr="00852AEC">
        <w:t>9</w:t>
      </w:r>
      <w:r w:rsidR="0012133C" w:rsidRPr="00852AEC">
        <w:t xml:space="preserve"> million, or 5</w:t>
      </w:r>
      <w:r w:rsidR="0056408D" w:rsidRPr="00852AEC">
        <w:t>5</w:t>
      </w:r>
      <w:r w:rsidR="0012133C" w:rsidRPr="00852AEC">
        <w:t xml:space="preserve"> percent, represents a reduction to NPC.</w:t>
      </w:r>
    </w:p>
    <w:p w:rsidR="009469F8" w:rsidRPr="009469F8" w:rsidRDefault="0012133C" w:rsidP="007E2B9F">
      <w:pPr>
        <w:tabs>
          <w:tab w:val="left" w:pos="720"/>
        </w:tabs>
        <w:spacing w:line="480" w:lineRule="auto"/>
        <w:ind w:left="720" w:hanging="720"/>
        <w:jc w:val="left"/>
        <w:rPr>
          <w:b/>
        </w:rPr>
      </w:pPr>
      <w:r w:rsidRPr="009469F8">
        <w:rPr>
          <w:b/>
        </w:rPr>
        <w:t>Q.</w:t>
      </w:r>
      <w:r w:rsidRPr="009469F8">
        <w:rPr>
          <w:b/>
        </w:rPr>
        <w:tab/>
        <w:t xml:space="preserve">Is there a significant difference between the volume of hydro generation under a 40-year water average </w:t>
      </w:r>
      <w:r w:rsidR="009469F8" w:rsidRPr="009469F8">
        <w:rPr>
          <w:b/>
        </w:rPr>
        <w:t xml:space="preserve">model </w:t>
      </w:r>
      <w:r w:rsidRPr="009469F8">
        <w:rPr>
          <w:b/>
        </w:rPr>
        <w:t>and</w:t>
      </w:r>
      <w:r w:rsidR="009469F8" w:rsidRPr="009469F8">
        <w:rPr>
          <w:b/>
        </w:rPr>
        <w:t xml:space="preserve"> a median water model? </w:t>
      </w:r>
    </w:p>
    <w:p w:rsidR="00275BA9" w:rsidRDefault="00223208" w:rsidP="007E2B9F">
      <w:pPr>
        <w:tabs>
          <w:tab w:val="left" w:pos="720"/>
        </w:tabs>
        <w:spacing w:line="480" w:lineRule="auto"/>
        <w:ind w:left="720" w:hanging="720"/>
        <w:jc w:val="left"/>
      </w:pPr>
      <w:r>
        <w:t>A</w:t>
      </w:r>
      <w:r w:rsidR="009469F8">
        <w:t>.</w:t>
      </w:r>
      <w:r w:rsidR="009469F8">
        <w:tab/>
        <w:t xml:space="preserve">No.  When the Company implemented </w:t>
      </w:r>
      <w:r w:rsidR="00857A24">
        <w:t xml:space="preserve">median hydro </w:t>
      </w:r>
      <w:r w:rsidR="009469F8">
        <w:t xml:space="preserve">in </w:t>
      </w:r>
      <w:r w:rsidR="004D2F9A">
        <w:t>the 201</w:t>
      </w:r>
      <w:r w:rsidR="009469F8">
        <w:t xml:space="preserve">0 </w:t>
      </w:r>
      <w:r w:rsidR="00232229">
        <w:t>Rate Case</w:t>
      </w:r>
      <w:r w:rsidR="009469F8">
        <w:t>, the change reduced NPC by approximately $1.5 million</w:t>
      </w:r>
      <w:r w:rsidR="00305FF7">
        <w:t xml:space="preserve"> on a PACW basis</w:t>
      </w:r>
      <w:r w:rsidR="009469F8">
        <w:t xml:space="preserve">. </w:t>
      </w:r>
      <w:r w:rsidR="00604CC2">
        <w:t xml:space="preserve"> </w:t>
      </w:r>
      <w:r w:rsidR="002703EE">
        <w:t xml:space="preserve">This fact demonstrates that hydro risk is symmetrical. </w:t>
      </w:r>
      <w:r w:rsidR="00275BA9">
        <w:t xml:space="preserve"> </w:t>
      </w:r>
    </w:p>
    <w:p w:rsidR="00275BA9" w:rsidRPr="00054AEF" w:rsidRDefault="00275BA9" w:rsidP="007E2B9F">
      <w:pPr>
        <w:tabs>
          <w:tab w:val="left" w:pos="720"/>
        </w:tabs>
        <w:spacing w:line="480" w:lineRule="auto"/>
        <w:ind w:left="720" w:hanging="720"/>
        <w:jc w:val="left"/>
        <w:rPr>
          <w:b/>
        </w:rPr>
      </w:pPr>
      <w:r w:rsidRPr="00054AEF">
        <w:rPr>
          <w:b/>
        </w:rPr>
        <w:t>Q.</w:t>
      </w:r>
      <w:r w:rsidRPr="00054AEF">
        <w:rPr>
          <w:b/>
        </w:rPr>
        <w:tab/>
        <w:t xml:space="preserve">If poor hydropower is correlated with higher wholesale costs as the Commission concluded in the 2006 </w:t>
      </w:r>
      <w:r w:rsidR="00232229">
        <w:rPr>
          <w:b/>
        </w:rPr>
        <w:t>Rate Case</w:t>
      </w:r>
      <w:r w:rsidRPr="00054AEF">
        <w:rPr>
          <w:b/>
        </w:rPr>
        <w:t xml:space="preserve">, does this mean that PacifiCorp’s NPC will </w:t>
      </w:r>
      <w:r>
        <w:rPr>
          <w:b/>
        </w:rPr>
        <w:t xml:space="preserve">always </w:t>
      </w:r>
      <w:r w:rsidRPr="00054AEF">
        <w:rPr>
          <w:b/>
        </w:rPr>
        <w:t>increase</w:t>
      </w:r>
      <w:r>
        <w:rPr>
          <w:b/>
        </w:rPr>
        <w:t xml:space="preserve"> in a scenario of low regional hydro</w:t>
      </w:r>
      <w:r w:rsidRPr="00054AEF">
        <w:rPr>
          <w:b/>
        </w:rPr>
        <w:t xml:space="preserve">? </w:t>
      </w:r>
    </w:p>
    <w:p w:rsidR="00275BA9" w:rsidRDefault="00275BA9" w:rsidP="007E2B9F">
      <w:pPr>
        <w:tabs>
          <w:tab w:val="left" w:pos="720"/>
        </w:tabs>
        <w:spacing w:line="480" w:lineRule="auto"/>
        <w:ind w:left="720" w:hanging="720"/>
        <w:jc w:val="left"/>
      </w:pPr>
      <w:r>
        <w:t>A.</w:t>
      </w:r>
      <w:r>
        <w:tab/>
        <w:t xml:space="preserve">Not necessarily.  PacifiCorp is often a net seller in the market.  Higher wholesale prices can actually mean lower NPC for PacifiCorp, unlike other utilities that are net buyers in the market.  </w:t>
      </w:r>
      <w:r w:rsidR="00F578A0">
        <w:t>In fact</w:t>
      </w:r>
      <w:r>
        <w:t>,</w:t>
      </w:r>
      <w:r w:rsidR="00F578A0">
        <w:t xml:space="preserve"> much of PacifiCorp’s NPC under-</w:t>
      </w:r>
      <w:r>
        <w:t xml:space="preserve">recovery over the </w:t>
      </w:r>
      <w:r w:rsidR="00F578A0">
        <w:t>p</w:t>
      </w:r>
      <w:r>
        <w:t>ast five years is attributable to falling market prices and lower</w:t>
      </w:r>
      <w:r w:rsidR="00F578A0">
        <w:t>-</w:t>
      </w:r>
      <w:r>
        <w:t>than</w:t>
      </w:r>
      <w:r w:rsidR="00F578A0">
        <w:t>-</w:t>
      </w:r>
      <w:r>
        <w:t xml:space="preserve">forecast wholesale revenue credits in rates.  This fact undermines the key assumptions that led the Commission to conclude in the 2006 </w:t>
      </w:r>
      <w:r w:rsidR="00232229">
        <w:t>Rate Case</w:t>
      </w:r>
      <w:r>
        <w:t xml:space="preserve"> that PacifiCorp’s NPC risk w</w:t>
      </w:r>
      <w:r w:rsidR="00040341">
        <w:t xml:space="preserve">as asymmetrically distributed. </w:t>
      </w:r>
      <w:r w:rsidR="00F578A0">
        <w:t xml:space="preserve"> For these reasons,</w:t>
      </w:r>
      <w:r>
        <w:t xml:space="preserve"> the Company has not reflected asymmetrical recovery mechanisms or a cost of capital adjustment</w:t>
      </w:r>
      <w:r>
        <w:rPr>
          <w:rStyle w:val="FootnoteReference"/>
        </w:rPr>
        <w:footnoteReference w:id="27"/>
      </w:r>
      <w:r>
        <w:t xml:space="preserve"> in its proposed PCAM.  </w:t>
      </w:r>
    </w:p>
    <w:p w:rsidR="00D620B9" w:rsidRDefault="00D620B9" w:rsidP="00D620B9">
      <w:pPr>
        <w:pStyle w:val="Heading1"/>
      </w:pPr>
      <w:bookmarkStart w:id="29" w:name="_Toc345506055"/>
      <w:r>
        <w:t>CONCLUSION</w:t>
      </w:r>
      <w:bookmarkEnd w:id="29"/>
    </w:p>
    <w:p w:rsidR="00E30930" w:rsidRDefault="00AD3340">
      <w:pPr>
        <w:keepNext/>
        <w:spacing w:line="480" w:lineRule="auto"/>
        <w:ind w:left="720" w:hanging="720"/>
        <w:jc w:val="left"/>
        <w:rPr>
          <w:b/>
        </w:rPr>
      </w:pPr>
      <w:r w:rsidRPr="00C464F8">
        <w:rPr>
          <w:b/>
        </w:rPr>
        <w:t>Q.</w:t>
      </w:r>
      <w:r w:rsidRPr="00C464F8">
        <w:rPr>
          <w:b/>
        </w:rPr>
        <w:tab/>
        <w:t>Does this conclude your direct testimony?</w:t>
      </w:r>
    </w:p>
    <w:p w:rsidR="007F31BD" w:rsidRPr="00AD3340" w:rsidRDefault="00AD3340" w:rsidP="00450D5B">
      <w:pPr>
        <w:spacing w:line="480" w:lineRule="auto"/>
        <w:ind w:left="720" w:hanging="720"/>
        <w:jc w:val="left"/>
      </w:pPr>
      <w:r w:rsidRPr="00C464F8">
        <w:t>A.</w:t>
      </w:r>
      <w:r w:rsidRPr="00C464F8">
        <w:tab/>
        <w:t>Yes.</w:t>
      </w:r>
    </w:p>
    <w:sectPr w:rsidR="007F31BD" w:rsidRPr="00AD3340" w:rsidSect="00EA20B1">
      <w:headerReference w:type="default" r:id="rId17"/>
      <w:footerReference w:type="default" r:id="rId18"/>
      <w:type w:val="continuous"/>
      <w:pgSz w:w="12240" w:h="15840" w:code="1"/>
      <w:pgMar w:top="1440" w:right="1800" w:bottom="1440" w:left="1800" w:header="720" w:footer="720" w:gutter="0"/>
      <w:lnNumType w:countBy="1"/>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65" w:rsidRDefault="00215C65" w:rsidP="00477C5C">
      <w:pPr>
        <w:spacing w:line="240" w:lineRule="auto"/>
      </w:pPr>
      <w:r>
        <w:separator/>
      </w:r>
    </w:p>
  </w:endnote>
  <w:endnote w:type="continuationSeparator" w:id="0">
    <w:p w:rsidR="00215C65" w:rsidRDefault="00215C65" w:rsidP="00477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C65" w:rsidRDefault="00690610">
    <w:pPr>
      <w:pStyle w:val="Footer"/>
      <w:framePr w:wrap="around" w:vAnchor="text" w:hAnchor="margin" w:xAlign="right" w:y="1"/>
      <w:rPr>
        <w:rStyle w:val="PageNumber"/>
      </w:rPr>
    </w:pPr>
    <w:r>
      <w:rPr>
        <w:rStyle w:val="PageNumber"/>
      </w:rPr>
      <w:fldChar w:fldCharType="begin"/>
    </w:r>
    <w:r w:rsidR="00215C65">
      <w:rPr>
        <w:rStyle w:val="PageNumber"/>
      </w:rPr>
      <w:instrText xml:space="preserve">PAGE  </w:instrText>
    </w:r>
    <w:r>
      <w:rPr>
        <w:rStyle w:val="PageNumber"/>
      </w:rPr>
      <w:fldChar w:fldCharType="separate"/>
    </w:r>
    <w:r w:rsidR="00215C65">
      <w:rPr>
        <w:rStyle w:val="PageNumber"/>
        <w:noProof/>
      </w:rPr>
      <w:t>10</w:t>
    </w:r>
    <w:r>
      <w:rPr>
        <w:rStyle w:val="PageNumber"/>
      </w:rPr>
      <w:fldChar w:fldCharType="end"/>
    </w:r>
  </w:p>
  <w:p w:rsidR="00215C65" w:rsidRDefault="00215C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C65" w:rsidRDefault="007D372E" w:rsidP="0022334D">
    <w:pPr>
      <w:pStyle w:val="Footer"/>
      <w:spacing w:line="240" w:lineRule="auto"/>
    </w:pPr>
    <w:r>
      <w:t>Redacted</w:t>
    </w:r>
    <w:r w:rsidR="00215C65">
      <w:t xml:space="preserve"> </w:t>
    </w:r>
    <w:r w:rsidR="00215C65" w:rsidRPr="00FF34E0">
      <w:t xml:space="preserve">Direct Testimony of </w:t>
    </w:r>
    <w:r w:rsidR="00215C65">
      <w:t>Gregory N. Duvall</w:t>
    </w:r>
    <w:r w:rsidR="00215C65">
      <w:tab/>
      <w:t>Exhibit No.__</w:t>
    </w:r>
    <w:proofErr w:type="gramStart"/>
    <w:r w:rsidR="00215C65">
      <w:t>_(</w:t>
    </w:r>
    <w:proofErr w:type="gramEnd"/>
    <w:r w:rsidR="00215C65">
      <w:t>GND-1CT)</w:t>
    </w:r>
  </w:p>
  <w:p w:rsidR="00215C65" w:rsidRPr="00FF34E0" w:rsidRDefault="00215C65" w:rsidP="0022334D">
    <w:pPr>
      <w:pStyle w:val="Footer"/>
      <w:spacing w:line="240" w:lineRule="auto"/>
    </w:pPr>
    <w:r>
      <w:tab/>
    </w:r>
    <w:r>
      <w:tab/>
      <w:t>P</w:t>
    </w:r>
    <w:r w:rsidRPr="00FF34E0">
      <w:t xml:space="preserve">age </w:t>
    </w:r>
    <w:proofErr w:type="spellStart"/>
    <w:r>
      <w:rPr>
        <w:rStyle w:val="PageNumber"/>
      </w:rPr>
      <w:t>i</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42" w:rsidRDefault="008A334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C65" w:rsidRDefault="00215C65" w:rsidP="0022334D">
    <w:pPr>
      <w:pStyle w:val="Footer"/>
      <w:spacing w:line="240" w:lineRule="auto"/>
    </w:pPr>
    <w:r>
      <w:t xml:space="preserve">Redacted </w:t>
    </w:r>
    <w:r w:rsidRPr="00FF34E0">
      <w:t xml:space="preserve">Direct Testimony of </w:t>
    </w:r>
    <w:r>
      <w:t>Gregory N. Duvall</w:t>
    </w:r>
    <w:r>
      <w:tab/>
      <w:t>Exhibit No.__</w:t>
    </w:r>
    <w:proofErr w:type="gramStart"/>
    <w:r>
      <w:t>_(</w:t>
    </w:r>
    <w:proofErr w:type="gramEnd"/>
    <w:r>
      <w:t>GND-1CT)</w:t>
    </w:r>
  </w:p>
  <w:p w:rsidR="00215C65" w:rsidRPr="00FF34E0" w:rsidRDefault="00215C65" w:rsidP="0022334D">
    <w:pPr>
      <w:pStyle w:val="Footer"/>
      <w:spacing w:line="240" w:lineRule="auto"/>
    </w:pPr>
    <w:r>
      <w:tab/>
    </w:r>
    <w:r>
      <w:tab/>
      <w:t>P</w:t>
    </w:r>
    <w:r w:rsidRPr="00FF34E0">
      <w:t xml:space="preserve">age </w:t>
    </w:r>
    <w:r>
      <w:rPr>
        <w:rStyle w:val="PageNumber"/>
      </w:rPr>
      <w:t>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B1" w:rsidRDefault="00EA20B1" w:rsidP="0022334D">
    <w:pPr>
      <w:pStyle w:val="Footer"/>
      <w:spacing w:line="240" w:lineRule="auto"/>
    </w:pPr>
    <w:r>
      <w:t xml:space="preserve">Redacted </w:t>
    </w:r>
    <w:r w:rsidRPr="00FF34E0">
      <w:t xml:space="preserve">Direct Testimony of </w:t>
    </w:r>
    <w:r>
      <w:t>Gregory N. Duvall</w:t>
    </w:r>
    <w:r>
      <w:tab/>
      <w:t>Exhibit No.__</w:t>
    </w:r>
    <w:proofErr w:type="gramStart"/>
    <w:r>
      <w:t>_(</w:t>
    </w:r>
    <w:proofErr w:type="gramEnd"/>
    <w:r>
      <w:t>GND-1CT)</w:t>
    </w:r>
  </w:p>
  <w:p w:rsidR="00EA20B1" w:rsidRPr="00FF34E0" w:rsidRDefault="00EA20B1" w:rsidP="0022334D">
    <w:pPr>
      <w:pStyle w:val="Footer"/>
      <w:spacing w:line="240" w:lineRule="auto"/>
    </w:pPr>
    <w:r>
      <w:tab/>
    </w:r>
    <w:r>
      <w:tab/>
      <w:t>P</w:t>
    </w:r>
    <w:r w:rsidRPr="00FF34E0">
      <w:t xml:space="preserve">age </w:t>
    </w:r>
    <w:fldSimple w:instr=" PAGE   \* MERGEFORMAT ">
      <w:r w:rsidR="008A334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65" w:rsidRDefault="00215C65" w:rsidP="00477C5C">
      <w:pPr>
        <w:spacing w:line="240" w:lineRule="auto"/>
      </w:pPr>
      <w:r>
        <w:separator/>
      </w:r>
    </w:p>
  </w:footnote>
  <w:footnote w:type="continuationSeparator" w:id="0">
    <w:p w:rsidR="00215C65" w:rsidRDefault="00215C65" w:rsidP="00477C5C">
      <w:pPr>
        <w:spacing w:line="240" w:lineRule="auto"/>
      </w:pPr>
      <w:r>
        <w:continuationSeparator/>
      </w:r>
    </w:p>
  </w:footnote>
  <w:footnote w:id="1">
    <w:p w:rsidR="00215C65" w:rsidRPr="00301CF0" w:rsidRDefault="00215C65" w:rsidP="004B394A">
      <w:pPr>
        <w:pStyle w:val="FootnoteText"/>
      </w:pPr>
      <w:r w:rsidRPr="00301CF0">
        <w:rPr>
          <w:rStyle w:val="FootnoteReference"/>
        </w:rPr>
        <w:footnoteRef/>
      </w:r>
      <w:r w:rsidRPr="00301CF0">
        <w:t xml:space="preserve"> </w:t>
      </w:r>
      <w:r>
        <w:rPr>
          <w:i/>
          <w:iCs/>
        </w:rPr>
        <w:t xml:space="preserve">Wash. </w:t>
      </w:r>
      <w:proofErr w:type="spellStart"/>
      <w:r>
        <w:rPr>
          <w:i/>
          <w:iCs/>
        </w:rPr>
        <w:t>Utils</w:t>
      </w:r>
      <w:proofErr w:type="spellEnd"/>
      <w:r>
        <w:rPr>
          <w:i/>
          <w:iCs/>
        </w:rPr>
        <w:t xml:space="preserve"> &amp; Transp. </w:t>
      </w:r>
      <w:proofErr w:type="spellStart"/>
      <w:r>
        <w:rPr>
          <w:i/>
          <w:iCs/>
        </w:rPr>
        <w:t>Comm'n</w:t>
      </w:r>
      <w:proofErr w:type="spellEnd"/>
      <w:r>
        <w:rPr>
          <w:i/>
          <w:iCs/>
        </w:rPr>
        <w:t xml:space="preserve"> v. </w:t>
      </w:r>
      <w:r w:rsidRPr="00301CF0">
        <w:rPr>
          <w:i/>
          <w:iCs/>
        </w:rPr>
        <w:t>PacifiCorp</w:t>
      </w:r>
      <w:r w:rsidRPr="00301CF0">
        <w:t>, Docket UE-100749, Order 06 (March 25, 2011).</w:t>
      </w:r>
    </w:p>
  </w:footnote>
  <w:footnote w:id="2">
    <w:p w:rsidR="00215C65" w:rsidRPr="00301CF0" w:rsidRDefault="00215C65">
      <w:pPr>
        <w:pStyle w:val="FootnoteText"/>
      </w:pPr>
      <w:r w:rsidRPr="00301CF0">
        <w:rPr>
          <w:rStyle w:val="FootnoteReference"/>
        </w:rPr>
        <w:footnoteRef/>
      </w:r>
      <w:r>
        <w:t xml:space="preserve"> </w:t>
      </w:r>
      <w:proofErr w:type="gramStart"/>
      <w:r>
        <w:rPr>
          <w:i/>
        </w:rPr>
        <w:t>Id.</w:t>
      </w:r>
      <w:r w:rsidRPr="00301CF0">
        <w:t xml:space="preserve"> at 58.</w:t>
      </w:r>
      <w:proofErr w:type="gramEnd"/>
      <w:r w:rsidRPr="00301CF0">
        <w:t xml:space="preserve"> </w:t>
      </w:r>
    </w:p>
  </w:footnote>
  <w:footnote w:id="3">
    <w:p w:rsidR="00215C65" w:rsidRPr="00301CF0" w:rsidRDefault="00215C65" w:rsidP="00D407AF">
      <w:pPr>
        <w:pStyle w:val="FootnoteText"/>
        <w:jc w:val="left"/>
      </w:pPr>
      <w:r w:rsidRPr="00301CF0">
        <w:rPr>
          <w:rStyle w:val="FootnoteReference"/>
        </w:rPr>
        <w:footnoteRef/>
      </w:r>
      <w:r w:rsidRPr="00301CF0">
        <w:t xml:space="preserve"> Mr.</w:t>
      </w:r>
      <w:r>
        <w:t xml:space="preserve"> </w:t>
      </w:r>
      <w:r w:rsidRPr="00301CF0">
        <w:t>McDougal’s testimony also addresses the Company’s application of the production factor in the calculation of Washington pro forma NPC.</w:t>
      </w:r>
    </w:p>
  </w:footnote>
  <w:footnote w:id="4">
    <w:p w:rsidR="00215C65" w:rsidRPr="00301CF0" w:rsidRDefault="00215C65" w:rsidP="00CA2E5F">
      <w:pPr>
        <w:pStyle w:val="FootnoteText"/>
        <w:jc w:val="left"/>
      </w:pPr>
      <w:r w:rsidRPr="00301CF0">
        <w:rPr>
          <w:rStyle w:val="FootnoteReference"/>
        </w:rPr>
        <w:footnoteRef/>
      </w:r>
      <w:r w:rsidRPr="00301CF0">
        <w:t xml:space="preserve"> Output from run of river hydro facilities is included based on historical generation, including the impact of outages.</w:t>
      </w:r>
    </w:p>
  </w:footnote>
  <w:footnote w:id="5">
    <w:p w:rsidR="00215C65" w:rsidRPr="00301CF0" w:rsidRDefault="00215C65" w:rsidP="00976A05">
      <w:pPr>
        <w:pStyle w:val="FootnoteText"/>
        <w:jc w:val="left"/>
      </w:pPr>
      <w:r w:rsidRPr="00301CF0">
        <w:rPr>
          <w:rStyle w:val="FootnoteReference"/>
        </w:rPr>
        <w:footnoteRef/>
      </w:r>
      <w:r w:rsidRPr="00301CF0">
        <w:t xml:space="preserve"> </w:t>
      </w:r>
      <w:r w:rsidRPr="007A29A8">
        <w:rPr>
          <w:i/>
        </w:rPr>
        <w:t>See</w:t>
      </w:r>
      <w:r w:rsidRPr="00301CF0">
        <w:t xml:space="preserve"> </w:t>
      </w:r>
      <w:hyperlink r:id="rId1" w:history="1">
        <w:r w:rsidRPr="00301CF0">
          <w:rPr>
            <w:rStyle w:val="Hyperlink"/>
          </w:rPr>
          <w:t>http://www.pacificorp.com/content/dam/pacificorp/doc/Energy_Sources/ Integrated_Resource_Plan/Wind_Integration/2012WIS/2013IRP_2012WindIntegration-DRAFTReport-11-15-12.pdf</w:t>
        </w:r>
      </w:hyperlink>
      <w:r>
        <w:rPr>
          <w:rStyle w:val="Hyperlink"/>
        </w:rPr>
        <w:t>.</w:t>
      </w:r>
    </w:p>
  </w:footnote>
  <w:footnote w:id="6">
    <w:p w:rsidR="00215C65" w:rsidRPr="00301CF0" w:rsidRDefault="00215C65" w:rsidP="00275BA9">
      <w:pPr>
        <w:pStyle w:val="FootnoteText"/>
      </w:pPr>
      <w:r w:rsidRPr="00301CF0">
        <w:rPr>
          <w:rStyle w:val="FootnoteReference"/>
        </w:rPr>
        <w:footnoteRef/>
      </w:r>
      <w:r w:rsidRPr="00301CF0">
        <w:t xml:space="preserve"> Start up fuel is accounted for separate from the primary fuel for steam power generation plants. Start up costs are not accounted for separately for natural gas plants, and therefore all fuel for natural gas plants is included in the determination of both Base NPC and Actual NPC.</w:t>
      </w:r>
    </w:p>
  </w:footnote>
  <w:footnote w:id="7">
    <w:p w:rsidR="00215C65" w:rsidRPr="00301CF0" w:rsidRDefault="00215C65" w:rsidP="00275BA9">
      <w:pPr>
        <w:pStyle w:val="FootnoteText"/>
      </w:pPr>
      <w:r w:rsidRPr="00301CF0">
        <w:rPr>
          <w:rStyle w:val="FootnoteReference"/>
        </w:rPr>
        <w:footnoteRef/>
      </w:r>
      <w:r w:rsidRPr="00301CF0">
        <w:t xml:space="preserve"> The Greenhouse Gas Emissions Performance Sta</w:t>
      </w:r>
      <w:r>
        <w:t>ndard is codified at RCW 80.80.</w:t>
      </w:r>
    </w:p>
  </w:footnote>
  <w:footnote w:id="8">
    <w:p w:rsidR="00215C65" w:rsidRPr="00301CF0" w:rsidRDefault="00215C65" w:rsidP="00275BA9">
      <w:pPr>
        <w:pStyle w:val="FootnoteText"/>
      </w:pPr>
      <w:r w:rsidRPr="00301CF0">
        <w:rPr>
          <w:rStyle w:val="FootnoteReference"/>
        </w:rPr>
        <w:footnoteRef/>
      </w:r>
      <w:r w:rsidRPr="00301CF0">
        <w:t xml:space="preserve"> </w:t>
      </w:r>
      <w:proofErr w:type="gramStart"/>
      <w:r w:rsidRPr="00301CF0">
        <w:t>RCW 80.80.060(6).</w:t>
      </w:r>
      <w:proofErr w:type="gramEnd"/>
      <w:r w:rsidRPr="00301CF0">
        <w:t xml:space="preserve">  This subsection provides: </w:t>
      </w:r>
    </w:p>
    <w:p w:rsidR="00215C65" w:rsidRPr="008F653E" w:rsidRDefault="00215C65" w:rsidP="0082158C">
      <w:pPr>
        <w:pStyle w:val="Answer0"/>
        <w:widowControl w:val="0"/>
        <w:spacing w:before="120" w:after="120" w:line="240" w:lineRule="auto"/>
        <w:ind w:right="720" w:firstLine="0"/>
        <w:jc w:val="left"/>
        <w:rPr>
          <w:sz w:val="20"/>
        </w:rPr>
      </w:pPr>
      <w:r w:rsidRPr="00301CF0">
        <w:rPr>
          <w:sz w:val="20"/>
        </w:rPr>
        <w:t>An electric company may account for and defer for later consideration by the commission costs incurred in connection with a long-term financial commitment, including operating and maintenance costs, depreciation, taxes, and cost of invested capital.  The deferral begins with the date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w:t>
      </w:r>
      <w:r>
        <w:rPr>
          <w:sz w:val="20"/>
        </w:rPr>
        <w:t xml:space="preserve"> as defined in RCW 19.285.030.</w:t>
      </w:r>
    </w:p>
  </w:footnote>
  <w:footnote w:id="9">
    <w:p w:rsidR="00215C65" w:rsidRPr="007C0745" w:rsidRDefault="00215C65" w:rsidP="007C0745">
      <w:pPr>
        <w:spacing w:line="240" w:lineRule="auto"/>
        <w:rPr>
          <w:i/>
          <w:sz w:val="20"/>
          <w:szCs w:val="20"/>
        </w:rPr>
      </w:pPr>
      <w:r w:rsidRPr="00301CF0">
        <w:rPr>
          <w:rStyle w:val="FootnoteReference"/>
          <w:sz w:val="20"/>
          <w:szCs w:val="20"/>
        </w:rPr>
        <w:footnoteRef/>
      </w:r>
      <w:r w:rsidRPr="00301CF0">
        <w:rPr>
          <w:sz w:val="20"/>
          <w:szCs w:val="20"/>
        </w:rPr>
        <w:t xml:space="preserve"> The EIA is codified</w:t>
      </w:r>
      <w:r>
        <w:rPr>
          <w:sz w:val="20"/>
          <w:szCs w:val="20"/>
        </w:rPr>
        <w:t xml:space="preserve"> at RCW 19.285.</w:t>
      </w:r>
    </w:p>
  </w:footnote>
  <w:footnote w:id="10">
    <w:p w:rsidR="00215C65" w:rsidRPr="007C0745" w:rsidRDefault="00215C65" w:rsidP="00275BA9">
      <w:pPr>
        <w:pStyle w:val="FootnoteText"/>
      </w:pPr>
      <w:r w:rsidRPr="007C0745">
        <w:rPr>
          <w:rStyle w:val="FootnoteReference"/>
        </w:rPr>
        <w:footnoteRef/>
      </w:r>
      <w:r w:rsidRPr="007C0745">
        <w:t xml:space="preserve"> </w:t>
      </w:r>
      <w:proofErr w:type="gramStart"/>
      <w:r w:rsidRPr="007C0745">
        <w:t xml:space="preserve">2006 </w:t>
      </w:r>
      <w:r>
        <w:t>Rate Case</w:t>
      </w:r>
      <w:r w:rsidRPr="007C0745">
        <w:t>, Order 08</w:t>
      </w:r>
      <w:r>
        <w:t>,</w:t>
      </w:r>
      <w:r w:rsidRPr="007C0745">
        <w:t xml:space="preserve"> ¶71.</w:t>
      </w:r>
      <w:proofErr w:type="gramEnd"/>
    </w:p>
  </w:footnote>
  <w:footnote w:id="11">
    <w:p w:rsidR="00215C65" w:rsidRPr="007C0745" w:rsidRDefault="00215C65" w:rsidP="00275BA9">
      <w:pPr>
        <w:pStyle w:val="FootnoteText"/>
      </w:pPr>
      <w:r w:rsidRPr="007C0745">
        <w:rPr>
          <w:rStyle w:val="FootnoteReference"/>
        </w:rPr>
        <w:footnoteRef/>
      </w:r>
      <w:r w:rsidRPr="007C0745">
        <w:t xml:space="preserve"> </w:t>
      </w:r>
      <w:proofErr w:type="gramStart"/>
      <w:r w:rsidRPr="007C0745">
        <w:rPr>
          <w:i/>
        </w:rPr>
        <w:t>Id.</w:t>
      </w:r>
      <w:r>
        <w:t xml:space="preserve"> at ¶68.</w:t>
      </w:r>
      <w:proofErr w:type="gramEnd"/>
    </w:p>
  </w:footnote>
  <w:footnote w:id="12">
    <w:p w:rsidR="00215C65" w:rsidRPr="007C0745" w:rsidRDefault="00215C65" w:rsidP="00ED0C62">
      <w:pPr>
        <w:pStyle w:val="FootnoteText"/>
        <w:jc w:val="left"/>
      </w:pPr>
      <w:r w:rsidRPr="007C0745">
        <w:rPr>
          <w:rStyle w:val="FootnoteReference"/>
        </w:rPr>
        <w:footnoteRef/>
      </w:r>
      <w:r w:rsidRPr="007C0745">
        <w:t xml:space="preserve"> </w:t>
      </w:r>
      <w:proofErr w:type="gramStart"/>
      <w:r w:rsidRPr="007C0745">
        <w:rPr>
          <w:i/>
          <w:iCs/>
        </w:rPr>
        <w:t xml:space="preserve">Wash. </w:t>
      </w:r>
      <w:proofErr w:type="spellStart"/>
      <w:r w:rsidRPr="007C0745">
        <w:rPr>
          <w:i/>
          <w:iCs/>
        </w:rPr>
        <w:t>Utils</w:t>
      </w:r>
      <w:proofErr w:type="spellEnd"/>
      <w:r w:rsidRPr="007C0745">
        <w:rPr>
          <w:i/>
          <w:iCs/>
        </w:rPr>
        <w:t>.</w:t>
      </w:r>
      <w:proofErr w:type="gramEnd"/>
      <w:r w:rsidRPr="007C0745">
        <w:rPr>
          <w:i/>
          <w:iCs/>
        </w:rPr>
        <w:t xml:space="preserve"> </w:t>
      </w:r>
      <w:proofErr w:type="gramStart"/>
      <w:r w:rsidRPr="007C0745">
        <w:rPr>
          <w:i/>
          <w:iCs/>
        </w:rPr>
        <w:t xml:space="preserve">&amp; Transp. </w:t>
      </w:r>
      <w:proofErr w:type="spellStart"/>
      <w:r w:rsidRPr="007C0745">
        <w:rPr>
          <w:i/>
          <w:iCs/>
        </w:rPr>
        <w:t>Comm'n</w:t>
      </w:r>
      <w:proofErr w:type="spellEnd"/>
      <w:r w:rsidRPr="007C0745">
        <w:rPr>
          <w:i/>
          <w:iCs/>
        </w:rPr>
        <w:t xml:space="preserve"> v. PacifiCorp</w:t>
      </w:r>
      <w:r w:rsidRPr="007C0745">
        <w:t xml:space="preserve">, </w:t>
      </w:r>
      <w:r>
        <w:t xml:space="preserve">Dockets </w:t>
      </w:r>
      <w:r w:rsidRPr="007C0745">
        <w:t>UE-050684, Order 0</w:t>
      </w:r>
      <w:r>
        <w:t>4,</w:t>
      </w:r>
      <w:r w:rsidRPr="007C0745">
        <w:t xml:space="preserve"> ¶</w:t>
      </w:r>
      <w:r>
        <w:t xml:space="preserve"> </w:t>
      </w:r>
      <w:r w:rsidRPr="007C0745">
        <w:t xml:space="preserve">99 (April 17, 2006) (2005 </w:t>
      </w:r>
      <w:r>
        <w:t>Rate Case).</w:t>
      </w:r>
      <w:proofErr w:type="gramEnd"/>
    </w:p>
  </w:footnote>
  <w:footnote w:id="13">
    <w:p w:rsidR="00215C65" w:rsidRPr="007C0745" w:rsidRDefault="00215C65" w:rsidP="00275BA9">
      <w:pPr>
        <w:pStyle w:val="FootnoteText"/>
      </w:pPr>
      <w:r w:rsidRPr="007C0745">
        <w:rPr>
          <w:rStyle w:val="FootnoteReference"/>
        </w:rPr>
        <w:footnoteRef/>
      </w:r>
      <w:r w:rsidRPr="007C0745">
        <w:t xml:space="preserve"> </w:t>
      </w:r>
      <w:proofErr w:type="gramStart"/>
      <w:r w:rsidRPr="007C0745">
        <w:rPr>
          <w:i/>
        </w:rPr>
        <w:t>Id</w:t>
      </w:r>
      <w:r w:rsidRPr="007C0745">
        <w:t>. at ¶96.</w:t>
      </w:r>
      <w:proofErr w:type="gramEnd"/>
    </w:p>
  </w:footnote>
  <w:footnote w:id="14">
    <w:p w:rsidR="00215C65" w:rsidRPr="00C10632" w:rsidRDefault="00215C65">
      <w:pPr>
        <w:pStyle w:val="FootnoteText"/>
      </w:pPr>
      <w:r w:rsidRPr="00C10632">
        <w:rPr>
          <w:rStyle w:val="FootnoteReference"/>
        </w:rPr>
        <w:footnoteRef/>
      </w:r>
      <w:r w:rsidRPr="00C10632">
        <w:rPr>
          <w:rStyle w:val="FootnoteReference"/>
        </w:rPr>
        <w:t xml:space="preserve"> </w:t>
      </w:r>
      <w:proofErr w:type="gramStart"/>
      <w:r w:rsidRPr="00C10632">
        <w:rPr>
          <w:i/>
        </w:rPr>
        <w:t>Id.</w:t>
      </w:r>
      <w:r w:rsidRPr="00C10632">
        <w:t xml:space="preserve"> at ¶308; </w:t>
      </w:r>
      <w:r w:rsidRPr="00C10632">
        <w:rPr>
          <w:i/>
          <w:iCs/>
        </w:rPr>
        <w:t xml:space="preserve">Wash. </w:t>
      </w:r>
      <w:proofErr w:type="spellStart"/>
      <w:r w:rsidRPr="00C10632">
        <w:rPr>
          <w:i/>
          <w:iCs/>
        </w:rPr>
        <w:t>Utils</w:t>
      </w:r>
      <w:proofErr w:type="spellEnd"/>
      <w:r w:rsidRPr="00C10632">
        <w:rPr>
          <w:i/>
          <w:iCs/>
        </w:rPr>
        <w:t>.</w:t>
      </w:r>
      <w:proofErr w:type="gramEnd"/>
      <w:r w:rsidRPr="00C10632">
        <w:rPr>
          <w:i/>
          <w:iCs/>
        </w:rPr>
        <w:t xml:space="preserve"> &amp; Transp. </w:t>
      </w:r>
      <w:proofErr w:type="spellStart"/>
      <w:r w:rsidRPr="00C10632">
        <w:rPr>
          <w:i/>
          <w:iCs/>
        </w:rPr>
        <w:t>Comm'n</w:t>
      </w:r>
      <w:proofErr w:type="spellEnd"/>
      <w:r w:rsidRPr="00C10632">
        <w:rPr>
          <w:i/>
          <w:iCs/>
        </w:rPr>
        <w:t xml:space="preserve"> v. PacifiCorp</w:t>
      </w:r>
      <w:r w:rsidRPr="00C10632">
        <w:t xml:space="preserve">, </w:t>
      </w:r>
      <w:r>
        <w:t xml:space="preserve">Docket </w:t>
      </w:r>
      <w:r w:rsidRPr="00C10632">
        <w:t>UE-08</w:t>
      </w:r>
      <w:r>
        <w:t>0220, Order 05 (Oct. 8, 2008).</w:t>
      </w:r>
    </w:p>
  </w:footnote>
  <w:footnote w:id="15">
    <w:p w:rsidR="00215C65" w:rsidRPr="00C10632" w:rsidRDefault="00215C65" w:rsidP="00275BA9">
      <w:pPr>
        <w:pStyle w:val="FootnoteText"/>
      </w:pPr>
      <w:r w:rsidRPr="00C10632">
        <w:rPr>
          <w:rStyle w:val="FootnoteReference"/>
        </w:rPr>
        <w:footnoteRef/>
      </w:r>
      <w:r w:rsidRPr="00C10632">
        <w:t xml:space="preserve"> </w:t>
      </w:r>
      <w:proofErr w:type="gramStart"/>
      <w:r w:rsidRPr="00C10632">
        <w:rPr>
          <w:i/>
        </w:rPr>
        <w:t>Id.</w:t>
      </w:r>
      <w:r>
        <w:t xml:space="preserve"> at ¶ 91.</w:t>
      </w:r>
      <w:proofErr w:type="gramEnd"/>
    </w:p>
  </w:footnote>
  <w:footnote w:id="16">
    <w:p w:rsidR="00215C65" w:rsidRPr="00C10632" w:rsidRDefault="00215C65" w:rsidP="006A4CAD">
      <w:pPr>
        <w:pStyle w:val="FootnoteText"/>
        <w:jc w:val="left"/>
      </w:pPr>
      <w:r w:rsidRPr="00C10632">
        <w:rPr>
          <w:rStyle w:val="FootnoteReference"/>
          <w:i/>
        </w:rPr>
        <w:footnoteRef/>
      </w:r>
      <w:r w:rsidRPr="00C10632">
        <w:rPr>
          <w:i/>
        </w:rPr>
        <w:t xml:space="preserve"> In the Matter of PacifiCorp</w:t>
      </w:r>
      <w:r>
        <w:rPr>
          <w:i/>
        </w:rPr>
        <w:t xml:space="preserve"> d/b/a Pacific Power Request for a General Rate Revision</w:t>
      </w:r>
      <w:r w:rsidRPr="00C10632">
        <w:t xml:space="preserve">, Docket </w:t>
      </w:r>
      <w:r>
        <w:t>No. UE </w:t>
      </w:r>
      <w:r w:rsidRPr="00C10632">
        <w:t xml:space="preserve">246, Order </w:t>
      </w:r>
      <w:r>
        <w:t>No.12-493 (December 20, 2012).</w:t>
      </w:r>
    </w:p>
  </w:footnote>
  <w:footnote w:id="17">
    <w:p w:rsidR="00215C65" w:rsidRPr="00C10632" w:rsidRDefault="00215C65" w:rsidP="00275BA9">
      <w:pPr>
        <w:pStyle w:val="FootnoteText"/>
      </w:pPr>
      <w:r w:rsidRPr="00C10632">
        <w:rPr>
          <w:rStyle w:val="FootnoteReference"/>
        </w:rPr>
        <w:footnoteRef/>
      </w:r>
      <w:r w:rsidRPr="00C10632">
        <w:t xml:space="preserve"> 2010 </w:t>
      </w:r>
      <w:r>
        <w:t>Rate Case</w:t>
      </w:r>
      <w:r w:rsidRPr="00C10632">
        <w:t>, Order 06</w:t>
      </w:r>
      <w:r>
        <w:t>,</w:t>
      </w:r>
      <w:r w:rsidRPr="00C10632">
        <w:t xml:space="preserve"> ¶¶ 244-246.</w:t>
      </w:r>
    </w:p>
  </w:footnote>
  <w:footnote w:id="18">
    <w:p w:rsidR="00215C65" w:rsidRDefault="00215C65">
      <w:pPr>
        <w:pStyle w:val="FootnoteText"/>
      </w:pPr>
      <w:r>
        <w:rPr>
          <w:rStyle w:val="FootnoteReference"/>
        </w:rPr>
        <w:footnoteRef/>
      </w:r>
      <w:r>
        <w:t xml:space="preserve"> </w:t>
      </w:r>
      <w:proofErr w:type="gramStart"/>
      <w:r>
        <w:t>RCW 19.282.030(19).</w:t>
      </w:r>
      <w:proofErr w:type="gramEnd"/>
    </w:p>
  </w:footnote>
  <w:footnote w:id="19">
    <w:p w:rsidR="00215C65" w:rsidRPr="00C10632" w:rsidRDefault="00215C65" w:rsidP="00014C87">
      <w:pPr>
        <w:pStyle w:val="FootnoteText"/>
        <w:jc w:val="left"/>
      </w:pPr>
      <w:r w:rsidRPr="00C10632">
        <w:rPr>
          <w:rStyle w:val="FootnoteReference"/>
        </w:rPr>
        <w:footnoteRef/>
      </w:r>
      <w:r w:rsidRPr="00C10632">
        <w:t xml:space="preserve"> </w:t>
      </w:r>
      <w:proofErr w:type="gramStart"/>
      <w:r w:rsidRPr="00C10632">
        <w:t xml:space="preserve">2006 </w:t>
      </w:r>
      <w:r>
        <w:t>Rate Case</w:t>
      </w:r>
      <w:r w:rsidRPr="00C10632">
        <w:t>, Order 08</w:t>
      </w:r>
      <w:r>
        <w:t>,</w:t>
      </w:r>
      <w:r w:rsidRPr="00C10632">
        <w:t xml:space="preserve"> ¶</w:t>
      </w:r>
      <w:r>
        <w:t xml:space="preserve"> </w:t>
      </w:r>
      <w:r w:rsidRPr="00C10632">
        <w:t>111.</w:t>
      </w:r>
      <w:proofErr w:type="gramEnd"/>
    </w:p>
  </w:footnote>
  <w:footnote w:id="20">
    <w:p w:rsidR="00215C65" w:rsidRPr="00C10632" w:rsidRDefault="00215C65" w:rsidP="00014C87">
      <w:pPr>
        <w:pStyle w:val="FootnoteText"/>
        <w:jc w:val="left"/>
      </w:pPr>
      <w:r w:rsidRPr="00C10632">
        <w:rPr>
          <w:rStyle w:val="FootnoteReference"/>
        </w:rPr>
        <w:footnoteRef/>
      </w:r>
      <w:r w:rsidRPr="00C10632">
        <w:t xml:space="preserve"> The Commission also required a condition related to a PCORC filing </w:t>
      </w:r>
      <w:r>
        <w:t>that</w:t>
      </w:r>
      <w:r w:rsidRPr="00C10632">
        <w:t xml:space="preserve"> is inapplicable to this PCAM filing.  In addition, it required the Company to address the relationship between historical water years used in NPC normalization and the PCAM in response to parties’ arguments that, with a PCAM, the Company should filter historical water years.  The Company now uses </w:t>
      </w:r>
      <w:r>
        <w:t xml:space="preserve">median hydro to normalize hydro </w:t>
      </w:r>
      <w:r w:rsidRPr="00C10632">
        <w:t>generation, rendering this issue moot.</w:t>
      </w:r>
    </w:p>
  </w:footnote>
  <w:footnote w:id="21">
    <w:p w:rsidR="00215C65" w:rsidRDefault="00215C65" w:rsidP="00275BA9">
      <w:pPr>
        <w:pStyle w:val="FootnoteText"/>
      </w:pPr>
      <w:r>
        <w:rPr>
          <w:rStyle w:val="FootnoteReference"/>
        </w:rPr>
        <w:footnoteRef/>
      </w:r>
      <w:r>
        <w:t xml:space="preserve"> </w:t>
      </w:r>
      <w:r>
        <w:rPr>
          <w:sz w:val="22"/>
          <w:szCs w:val="22"/>
        </w:rPr>
        <w:t>2005 Rate Case, Order 04, ¶¶ 98-99 (</w:t>
      </w:r>
      <w:r w:rsidRPr="00006543">
        <w:rPr>
          <w:sz w:val="22"/>
          <w:szCs w:val="22"/>
        </w:rPr>
        <w:t>April 17, 2006).</w:t>
      </w:r>
    </w:p>
  </w:footnote>
  <w:footnote w:id="22">
    <w:p w:rsidR="00215C65" w:rsidRPr="00573B9F" w:rsidRDefault="00215C65" w:rsidP="00275BA9">
      <w:pPr>
        <w:pStyle w:val="FootnoteText"/>
      </w:pPr>
      <w:r w:rsidRPr="00573B9F">
        <w:rPr>
          <w:rStyle w:val="FootnoteReference"/>
        </w:rPr>
        <w:footnoteRef/>
      </w:r>
      <w:r w:rsidRPr="00573B9F">
        <w:t xml:space="preserve"> </w:t>
      </w:r>
      <w:proofErr w:type="gramStart"/>
      <w:r w:rsidRPr="00573B9F">
        <w:t>2006 Rate Case, Order 08, ¶ 77.</w:t>
      </w:r>
      <w:proofErr w:type="gramEnd"/>
    </w:p>
  </w:footnote>
  <w:footnote w:id="23">
    <w:p w:rsidR="00215C65" w:rsidRPr="00573B9F" w:rsidRDefault="00215C65" w:rsidP="00275BA9">
      <w:pPr>
        <w:pStyle w:val="FootnoteText"/>
      </w:pPr>
      <w:r w:rsidRPr="00573B9F">
        <w:rPr>
          <w:rStyle w:val="FootnoteReference"/>
        </w:rPr>
        <w:footnoteRef/>
      </w:r>
      <w:r w:rsidRPr="00573B9F">
        <w:t xml:space="preserve"> </w:t>
      </w:r>
      <w:proofErr w:type="gramStart"/>
      <w:r w:rsidRPr="00573B9F">
        <w:rPr>
          <w:i/>
        </w:rPr>
        <w:t>Id</w:t>
      </w:r>
      <w:r w:rsidRPr="00573B9F">
        <w:t>. at ¶ 68.</w:t>
      </w:r>
      <w:proofErr w:type="gramEnd"/>
    </w:p>
  </w:footnote>
  <w:footnote w:id="24">
    <w:p w:rsidR="00215C65" w:rsidRPr="00573B9F" w:rsidRDefault="00215C65" w:rsidP="00275BA9">
      <w:pPr>
        <w:pStyle w:val="FootnoteText"/>
      </w:pPr>
      <w:r w:rsidRPr="00573B9F">
        <w:rPr>
          <w:rStyle w:val="FootnoteReference"/>
        </w:rPr>
        <w:footnoteRef/>
      </w:r>
      <w:r w:rsidRPr="00573B9F">
        <w:t xml:space="preserve"> </w:t>
      </w:r>
      <w:proofErr w:type="gramStart"/>
      <w:r w:rsidRPr="00573B9F">
        <w:rPr>
          <w:i/>
        </w:rPr>
        <w:t>Id.</w:t>
      </w:r>
      <w:r w:rsidRPr="00573B9F">
        <w:t xml:space="preserve"> at ¶ 85.</w:t>
      </w:r>
      <w:proofErr w:type="gramEnd"/>
    </w:p>
  </w:footnote>
  <w:footnote w:id="25">
    <w:p w:rsidR="00215C65" w:rsidRPr="00573B9F" w:rsidRDefault="00215C65" w:rsidP="00275BA9">
      <w:pPr>
        <w:pStyle w:val="FootnoteText"/>
      </w:pPr>
      <w:r w:rsidRPr="00573B9F">
        <w:rPr>
          <w:rStyle w:val="FootnoteReference"/>
        </w:rPr>
        <w:footnoteRef/>
      </w:r>
      <w:r w:rsidRPr="00573B9F">
        <w:t xml:space="preserve"> </w:t>
      </w:r>
      <w:proofErr w:type="gramStart"/>
      <w:r w:rsidRPr="00573B9F">
        <w:rPr>
          <w:i/>
        </w:rPr>
        <w:t>Id.</w:t>
      </w:r>
      <w:r w:rsidRPr="00573B9F">
        <w:t xml:space="preserve"> at ¶ 86.</w:t>
      </w:r>
      <w:proofErr w:type="gramEnd"/>
    </w:p>
  </w:footnote>
  <w:footnote w:id="26">
    <w:p w:rsidR="00215C65" w:rsidRPr="00573B9F" w:rsidRDefault="00215C65" w:rsidP="00275BA9">
      <w:pPr>
        <w:pStyle w:val="FootnoteText"/>
      </w:pPr>
      <w:r w:rsidRPr="00573B9F">
        <w:rPr>
          <w:rStyle w:val="FootnoteReference"/>
        </w:rPr>
        <w:footnoteRef/>
      </w:r>
      <w:r w:rsidRPr="00573B9F">
        <w:t xml:space="preserve"> </w:t>
      </w:r>
      <w:proofErr w:type="gramStart"/>
      <w:r w:rsidRPr="00573B9F">
        <w:rPr>
          <w:i/>
        </w:rPr>
        <w:t>Id.</w:t>
      </w:r>
      <w:r w:rsidRPr="00573B9F">
        <w:t xml:space="preserve"> at ¶ 87.</w:t>
      </w:r>
      <w:proofErr w:type="gramEnd"/>
    </w:p>
  </w:footnote>
  <w:footnote w:id="27">
    <w:p w:rsidR="00215C65" w:rsidRPr="00F578A0" w:rsidRDefault="00215C65" w:rsidP="00F578A0">
      <w:pPr>
        <w:pStyle w:val="FootnoteText"/>
        <w:jc w:val="left"/>
      </w:pPr>
      <w:r w:rsidRPr="00F578A0">
        <w:rPr>
          <w:rStyle w:val="FootnoteReference"/>
        </w:rPr>
        <w:footnoteRef/>
      </w:r>
      <w:r w:rsidRPr="00F578A0">
        <w:t xml:space="preserve"> In addition, as noted earlier, the Company reviewed the PCAMs of </w:t>
      </w:r>
      <w:r>
        <w:t>the companies that comprise Dr. </w:t>
      </w:r>
      <w:proofErr w:type="spellStart"/>
      <w:r w:rsidRPr="00F578A0">
        <w:t>Hadaway’s</w:t>
      </w:r>
      <w:proofErr w:type="spellEnd"/>
      <w:r w:rsidRPr="00F578A0">
        <w:t xml:space="preserve"> comparable group for purposes of estimating the Company’s cost of equity. </w:t>
      </w:r>
      <w:r>
        <w:t xml:space="preserve"> </w:t>
      </w:r>
      <w:r w:rsidRPr="00F578A0">
        <w:t xml:space="preserve">All of these companies have PCAMs and the </w:t>
      </w:r>
      <w:proofErr w:type="gramStart"/>
      <w:r w:rsidRPr="00F578A0">
        <w:t>majority are</w:t>
      </w:r>
      <w:proofErr w:type="gramEnd"/>
      <w:r w:rsidRPr="00F578A0">
        <w:t xml:space="preserve"> dollar-for-dollar mechanisms.  Given this fact, there is no basis for an adjustment to PacifiCorp’s return on equity if </w:t>
      </w:r>
      <w:proofErr w:type="gramStart"/>
      <w:r w:rsidRPr="00F578A0">
        <w:t>its</w:t>
      </w:r>
      <w:proofErr w:type="gramEnd"/>
      <w:r w:rsidRPr="00F578A0">
        <w:t xml:space="preserve"> requested PCAM is approved.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42" w:rsidRDefault="008A3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42" w:rsidRDefault="008A33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42" w:rsidRDefault="008A33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C65" w:rsidRPr="00BD5540" w:rsidRDefault="00215C65" w:rsidP="00BD55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130"/>
    <w:multiLevelType w:val="singleLevel"/>
    <w:tmpl w:val="75DCEAD2"/>
    <w:lvl w:ilvl="0">
      <w:start w:val="17"/>
      <w:numFmt w:val="upperLetter"/>
      <w:lvlText w:val="%1."/>
      <w:lvlJc w:val="left"/>
      <w:pPr>
        <w:tabs>
          <w:tab w:val="num" w:pos="720"/>
        </w:tabs>
        <w:ind w:left="720" w:hanging="720"/>
      </w:pPr>
      <w:rPr>
        <w:rFonts w:hint="default"/>
      </w:rPr>
    </w:lvl>
  </w:abstractNum>
  <w:abstractNum w:abstractNumId="1">
    <w:nsid w:val="051773C1"/>
    <w:multiLevelType w:val="hybridMultilevel"/>
    <w:tmpl w:val="DAD6C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66B51"/>
    <w:multiLevelType w:val="hybridMultilevel"/>
    <w:tmpl w:val="C4D4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35EBC"/>
    <w:multiLevelType w:val="singleLevel"/>
    <w:tmpl w:val="4A4CA5D4"/>
    <w:lvl w:ilvl="0">
      <w:start w:val="1"/>
      <w:numFmt w:val="upperLetter"/>
      <w:lvlText w:val="%1."/>
      <w:lvlJc w:val="left"/>
      <w:pPr>
        <w:tabs>
          <w:tab w:val="num" w:pos="360"/>
        </w:tabs>
        <w:ind w:left="360" w:hanging="360"/>
      </w:pPr>
      <w:rPr>
        <w:rFonts w:hint="default"/>
      </w:rPr>
    </w:lvl>
  </w:abstractNum>
  <w:abstractNum w:abstractNumId="4">
    <w:nsid w:val="251959D0"/>
    <w:multiLevelType w:val="hybridMultilevel"/>
    <w:tmpl w:val="8F90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05361"/>
    <w:multiLevelType w:val="hybridMultilevel"/>
    <w:tmpl w:val="F5789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572CCF"/>
    <w:multiLevelType w:val="hybridMultilevel"/>
    <w:tmpl w:val="CDEA3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C32A6"/>
    <w:multiLevelType w:val="hybridMultilevel"/>
    <w:tmpl w:val="348C25A2"/>
    <w:lvl w:ilvl="0" w:tplc="C068097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FC33C3"/>
    <w:multiLevelType w:val="singleLevel"/>
    <w:tmpl w:val="5BFA0EE0"/>
    <w:lvl w:ilvl="0">
      <w:start w:val="1"/>
      <w:numFmt w:val="upperLetter"/>
      <w:lvlText w:val="%1."/>
      <w:lvlJc w:val="left"/>
      <w:pPr>
        <w:tabs>
          <w:tab w:val="num" w:pos="720"/>
        </w:tabs>
        <w:ind w:left="720" w:hanging="720"/>
      </w:pPr>
      <w:rPr>
        <w:rFonts w:hint="default"/>
        <w:b w:val="0"/>
      </w:rPr>
    </w:lvl>
  </w:abstractNum>
  <w:abstractNum w:abstractNumId="9">
    <w:nsid w:val="491315D0"/>
    <w:multiLevelType w:val="hybridMultilevel"/>
    <w:tmpl w:val="F418F974"/>
    <w:lvl w:ilvl="0" w:tplc="998C240C">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CF17862"/>
    <w:multiLevelType w:val="hybridMultilevel"/>
    <w:tmpl w:val="E470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FC3977"/>
    <w:multiLevelType w:val="hybridMultilevel"/>
    <w:tmpl w:val="B052A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nsid w:val="51155D2A"/>
    <w:multiLevelType w:val="hybridMultilevel"/>
    <w:tmpl w:val="C1F44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5A69E0"/>
    <w:multiLevelType w:val="hybridMultilevel"/>
    <w:tmpl w:val="1076CB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405D07"/>
    <w:multiLevelType w:val="singleLevel"/>
    <w:tmpl w:val="C6068C22"/>
    <w:lvl w:ilvl="0">
      <w:start w:val="17"/>
      <w:numFmt w:val="upperLetter"/>
      <w:lvlText w:val="%1."/>
      <w:lvlJc w:val="left"/>
      <w:pPr>
        <w:tabs>
          <w:tab w:val="num" w:pos="720"/>
        </w:tabs>
        <w:ind w:left="720" w:hanging="720"/>
      </w:pPr>
      <w:rPr>
        <w:rFonts w:hint="default"/>
        <w:b/>
      </w:rPr>
    </w:lvl>
  </w:abstractNum>
  <w:abstractNum w:abstractNumId="15">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60263C"/>
    <w:multiLevelType w:val="hybridMultilevel"/>
    <w:tmpl w:val="F17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40D19"/>
    <w:multiLevelType w:val="hybridMultilevel"/>
    <w:tmpl w:val="76EA8A1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nsid w:val="679C06FC"/>
    <w:multiLevelType w:val="singleLevel"/>
    <w:tmpl w:val="41E2F158"/>
    <w:lvl w:ilvl="0">
      <w:start w:val="17"/>
      <w:numFmt w:val="upperLetter"/>
      <w:lvlText w:val="%1."/>
      <w:lvlJc w:val="left"/>
      <w:pPr>
        <w:tabs>
          <w:tab w:val="num" w:pos="720"/>
        </w:tabs>
        <w:ind w:left="720" w:hanging="720"/>
      </w:pPr>
      <w:rPr>
        <w:rFonts w:hint="default"/>
        <w:b/>
      </w:rPr>
    </w:lvl>
  </w:abstractNum>
  <w:abstractNum w:abstractNumId="19">
    <w:nsid w:val="71CD1425"/>
    <w:multiLevelType w:val="hybridMultilevel"/>
    <w:tmpl w:val="C8503238"/>
    <w:lvl w:ilvl="0" w:tplc="167C112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625DC0"/>
    <w:multiLevelType w:val="hybridMultilevel"/>
    <w:tmpl w:val="A86CC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06824"/>
    <w:multiLevelType w:val="hybridMultilevel"/>
    <w:tmpl w:val="106A0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AC1ED6"/>
    <w:multiLevelType w:val="hybridMultilevel"/>
    <w:tmpl w:val="7DB89008"/>
    <w:lvl w:ilvl="0" w:tplc="5C78F0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DEE7163"/>
    <w:multiLevelType w:val="hybridMultilevel"/>
    <w:tmpl w:val="595A6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8"/>
  </w:num>
  <w:num w:numId="4">
    <w:abstractNumId w:val="8"/>
  </w:num>
  <w:num w:numId="5">
    <w:abstractNumId w:val="15"/>
  </w:num>
  <w:num w:numId="6">
    <w:abstractNumId w:val="3"/>
  </w:num>
  <w:num w:numId="7">
    <w:abstractNumId w:val="19"/>
  </w:num>
  <w:num w:numId="8">
    <w:abstractNumId w:val="17"/>
  </w:num>
  <w:num w:numId="9">
    <w:abstractNumId w:val="7"/>
  </w:num>
  <w:num w:numId="10">
    <w:abstractNumId w:val="1"/>
  </w:num>
  <w:num w:numId="11">
    <w:abstractNumId w:val="11"/>
  </w:num>
  <w:num w:numId="12">
    <w:abstractNumId w:val="16"/>
  </w:num>
  <w:num w:numId="13">
    <w:abstractNumId w:val="2"/>
  </w:num>
  <w:num w:numId="14">
    <w:abstractNumId w:val="23"/>
  </w:num>
  <w:num w:numId="15">
    <w:abstractNumId w:val="5"/>
  </w:num>
  <w:num w:numId="16">
    <w:abstractNumId w:val="21"/>
  </w:num>
  <w:num w:numId="17">
    <w:abstractNumId w:val="10"/>
  </w:num>
  <w:num w:numId="18">
    <w:abstractNumId w:val="6"/>
  </w:num>
  <w:num w:numId="19">
    <w:abstractNumId w:val="9"/>
  </w:num>
  <w:num w:numId="20">
    <w:abstractNumId w:val="12"/>
  </w:num>
  <w:num w:numId="21">
    <w:abstractNumId w:val="20"/>
  </w:num>
  <w:num w:numId="22">
    <w:abstractNumId w:val="13"/>
  </w:num>
  <w:num w:numId="23">
    <w:abstractNumId w:val="2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61">
      <o:colormenu v:ext="edit" fillcolor="none" strokecolor="none"/>
    </o:shapedefaults>
  </w:hdrShapeDefaults>
  <w:footnotePr>
    <w:footnote w:id="-1"/>
    <w:footnote w:id="0"/>
  </w:footnotePr>
  <w:endnotePr>
    <w:endnote w:id="-1"/>
    <w:endnote w:id="0"/>
  </w:endnotePr>
  <w:compat/>
  <w:rsids>
    <w:rsidRoot w:val="002F721E"/>
    <w:rsid w:val="00013B1B"/>
    <w:rsid w:val="00014C87"/>
    <w:rsid w:val="00016ECA"/>
    <w:rsid w:val="0002437D"/>
    <w:rsid w:val="00034D6C"/>
    <w:rsid w:val="00040341"/>
    <w:rsid w:val="00042DD9"/>
    <w:rsid w:val="0004329C"/>
    <w:rsid w:val="000438EB"/>
    <w:rsid w:val="00043D9A"/>
    <w:rsid w:val="00045983"/>
    <w:rsid w:val="00045B65"/>
    <w:rsid w:val="00051954"/>
    <w:rsid w:val="0005570F"/>
    <w:rsid w:val="00057A43"/>
    <w:rsid w:val="00057B79"/>
    <w:rsid w:val="0007132A"/>
    <w:rsid w:val="00071E09"/>
    <w:rsid w:val="000723A5"/>
    <w:rsid w:val="00073530"/>
    <w:rsid w:val="0007519E"/>
    <w:rsid w:val="00075723"/>
    <w:rsid w:val="000769E9"/>
    <w:rsid w:val="00077F15"/>
    <w:rsid w:val="0008087D"/>
    <w:rsid w:val="00086260"/>
    <w:rsid w:val="00092539"/>
    <w:rsid w:val="000931E2"/>
    <w:rsid w:val="00095712"/>
    <w:rsid w:val="000A1539"/>
    <w:rsid w:val="000A2FC8"/>
    <w:rsid w:val="000A4E46"/>
    <w:rsid w:val="000A66AA"/>
    <w:rsid w:val="000A7225"/>
    <w:rsid w:val="000B0129"/>
    <w:rsid w:val="000B17F4"/>
    <w:rsid w:val="000B515A"/>
    <w:rsid w:val="000C2BFC"/>
    <w:rsid w:val="000C32E8"/>
    <w:rsid w:val="000C771E"/>
    <w:rsid w:val="000D072E"/>
    <w:rsid w:val="000D2F86"/>
    <w:rsid w:val="000D3B48"/>
    <w:rsid w:val="000D4743"/>
    <w:rsid w:val="000E0B8C"/>
    <w:rsid w:val="000E0E40"/>
    <w:rsid w:val="000E2ED7"/>
    <w:rsid w:val="000E45FD"/>
    <w:rsid w:val="000E56F0"/>
    <w:rsid w:val="000F6ECC"/>
    <w:rsid w:val="001057D4"/>
    <w:rsid w:val="001065B8"/>
    <w:rsid w:val="001148DF"/>
    <w:rsid w:val="00114D3A"/>
    <w:rsid w:val="00117A08"/>
    <w:rsid w:val="0012133C"/>
    <w:rsid w:val="001240E9"/>
    <w:rsid w:val="0012562E"/>
    <w:rsid w:val="00126128"/>
    <w:rsid w:val="00126B86"/>
    <w:rsid w:val="001360C2"/>
    <w:rsid w:val="001438F0"/>
    <w:rsid w:val="0015043C"/>
    <w:rsid w:val="00150935"/>
    <w:rsid w:val="00152C26"/>
    <w:rsid w:val="00152D21"/>
    <w:rsid w:val="00163CDD"/>
    <w:rsid w:val="00164D61"/>
    <w:rsid w:val="00166C86"/>
    <w:rsid w:val="001737C1"/>
    <w:rsid w:val="001816FE"/>
    <w:rsid w:val="001831F8"/>
    <w:rsid w:val="0018653E"/>
    <w:rsid w:val="00194319"/>
    <w:rsid w:val="0019527B"/>
    <w:rsid w:val="001B13D5"/>
    <w:rsid w:val="001B205C"/>
    <w:rsid w:val="001B378A"/>
    <w:rsid w:val="001B56A5"/>
    <w:rsid w:val="001B56CE"/>
    <w:rsid w:val="001B69F9"/>
    <w:rsid w:val="001C3B87"/>
    <w:rsid w:val="001C3E1B"/>
    <w:rsid w:val="001C3E4D"/>
    <w:rsid w:val="001C45BD"/>
    <w:rsid w:val="001C4772"/>
    <w:rsid w:val="001D438F"/>
    <w:rsid w:val="001D7555"/>
    <w:rsid w:val="001E2B72"/>
    <w:rsid w:val="001E659B"/>
    <w:rsid w:val="001E7459"/>
    <w:rsid w:val="001F3165"/>
    <w:rsid w:val="001F66F9"/>
    <w:rsid w:val="00215C65"/>
    <w:rsid w:val="0021679E"/>
    <w:rsid w:val="00223208"/>
    <w:rsid w:val="0022334D"/>
    <w:rsid w:val="002271F0"/>
    <w:rsid w:val="00232229"/>
    <w:rsid w:val="00232B03"/>
    <w:rsid w:val="00236636"/>
    <w:rsid w:val="00245233"/>
    <w:rsid w:val="002477AD"/>
    <w:rsid w:val="00250D8A"/>
    <w:rsid w:val="00250E3E"/>
    <w:rsid w:val="002552FD"/>
    <w:rsid w:val="00255FF5"/>
    <w:rsid w:val="00260787"/>
    <w:rsid w:val="002616A6"/>
    <w:rsid w:val="00265B82"/>
    <w:rsid w:val="002673E6"/>
    <w:rsid w:val="002703EE"/>
    <w:rsid w:val="00275BA9"/>
    <w:rsid w:val="00282E21"/>
    <w:rsid w:val="0028344B"/>
    <w:rsid w:val="00285302"/>
    <w:rsid w:val="00291138"/>
    <w:rsid w:val="002933BD"/>
    <w:rsid w:val="00295AF7"/>
    <w:rsid w:val="002A3C72"/>
    <w:rsid w:val="002A5DAC"/>
    <w:rsid w:val="002B5298"/>
    <w:rsid w:val="002B6B8B"/>
    <w:rsid w:val="002C0580"/>
    <w:rsid w:val="002C35FC"/>
    <w:rsid w:val="002C5FF3"/>
    <w:rsid w:val="002C731E"/>
    <w:rsid w:val="002E01C6"/>
    <w:rsid w:val="002E27BD"/>
    <w:rsid w:val="002E3D6E"/>
    <w:rsid w:val="002E541C"/>
    <w:rsid w:val="002E7FB8"/>
    <w:rsid w:val="002F5485"/>
    <w:rsid w:val="002F721E"/>
    <w:rsid w:val="00300A26"/>
    <w:rsid w:val="00300BAE"/>
    <w:rsid w:val="00301CF0"/>
    <w:rsid w:val="00305FF7"/>
    <w:rsid w:val="00307D11"/>
    <w:rsid w:val="00317228"/>
    <w:rsid w:val="00323E85"/>
    <w:rsid w:val="003250F9"/>
    <w:rsid w:val="0032522C"/>
    <w:rsid w:val="00327DDC"/>
    <w:rsid w:val="00330DAF"/>
    <w:rsid w:val="00337197"/>
    <w:rsid w:val="00344B68"/>
    <w:rsid w:val="00347042"/>
    <w:rsid w:val="00347405"/>
    <w:rsid w:val="0035264F"/>
    <w:rsid w:val="00352E19"/>
    <w:rsid w:val="00353E73"/>
    <w:rsid w:val="00353EE2"/>
    <w:rsid w:val="0036136E"/>
    <w:rsid w:val="00364889"/>
    <w:rsid w:val="00364D11"/>
    <w:rsid w:val="003665B5"/>
    <w:rsid w:val="003666A4"/>
    <w:rsid w:val="00366F99"/>
    <w:rsid w:val="0037129A"/>
    <w:rsid w:val="0037237F"/>
    <w:rsid w:val="0038356F"/>
    <w:rsid w:val="003856E0"/>
    <w:rsid w:val="00393977"/>
    <w:rsid w:val="00394B4B"/>
    <w:rsid w:val="003965EE"/>
    <w:rsid w:val="003A293E"/>
    <w:rsid w:val="003A2A1F"/>
    <w:rsid w:val="003A4FB8"/>
    <w:rsid w:val="003A7807"/>
    <w:rsid w:val="003B4132"/>
    <w:rsid w:val="003B46E9"/>
    <w:rsid w:val="003C7076"/>
    <w:rsid w:val="003D2E11"/>
    <w:rsid w:val="003E34E2"/>
    <w:rsid w:val="003E4CFF"/>
    <w:rsid w:val="003E71D2"/>
    <w:rsid w:val="003F2342"/>
    <w:rsid w:val="003F2924"/>
    <w:rsid w:val="003F2C11"/>
    <w:rsid w:val="00407183"/>
    <w:rsid w:val="00410351"/>
    <w:rsid w:val="00411E0C"/>
    <w:rsid w:val="00431087"/>
    <w:rsid w:val="00433244"/>
    <w:rsid w:val="00434383"/>
    <w:rsid w:val="00434D41"/>
    <w:rsid w:val="004433C6"/>
    <w:rsid w:val="00444AEF"/>
    <w:rsid w:val="00446692"/>
    <w:rsid w:val="0045056C"/>
    <w:rsid w:val="00450D5B"/>
    <w:rsid w:val="00454724"/>
    <w:rsid w:val="004552AB"/>
    <w:rsid w:val="004606BE"/>
    <w:rsid w:val="00467DBF"/>
    <w:rsid w:val="00473A89"/>
    <w:rsid w:val="0047574B"/>
    <w:rsid w:val="004759F8"/>
    <w:rsid w:val="00475F96"/>
    <w:rsid w:val="00477C5C"/>
    <w:rsid w:val="00482E8A"/>
    <w:rsid w:val="00482EEC"/>
    <w:rsid w:val="00494B8C"/>
    <w:rsid w:val="004A53C6"/>
    <w:rsid w:val="004B285E"/>
    <w:rsid w:val="004B394A"/>
    <w:rsid w:val="004B3BFB"/>
    <w:rsid w:val="004C2204"/>
    <w:rsid w:val="004C53F3"/>
    <w:rsid w:val="004D2C1B"/>
    <w:rsid w:val="004D2F9A"/>
    <w:rsid w:val="004D5B68"/>
    <w:rsid w:val="004D5C83"/>
    <w:rsid w:val="004D733C"/>
    <w:rsid w:val="004E1046"/>
    <w:rsid w:val="004E3525"/>
    <w:rsid w:val="004E774A"/>
    <w:rsid w:val="004F0D20"/>
    <w:rsid w:val="004F1D35"/>
    <w:rsid w:val="00502C5B"/>
    <w:rsid w:val="00510AA5"/>
    <w:rsid w:val="005115F4"/>
    <w:rsid w:val="00512EC1"/>
    <w:rsid w:val="0051336C"/>
    <w:rsid w:val="00515004"/>
    <w:rsid w:val="00515778"/>
    <w:rsid w:val="00524253"/>
    <w:rsid w:val="005258A5"/>
    <w:rsid w:val="005353BE"/>
    <w:rsid w:val="00536C22"/>
    <w:rsid w:val="0054237D"/>
    <w:rsid w:val="00545B7B"/>
    <w:rsid w:val="0054795A"/>
    <w:rsid w:val="00552C81"/>
    <w:rsid w:val="00553309"/>
    <w:rsid w:val="00553C64"/>
    <w:rsid w:val="00560A33"/>
    <w:rsid w:val="0056131B"/>
    <w:rsid w:val="0056408D"/>
    <w:rsid w:val="00564C05"/>
    <w:rsid w:val="00565465"/>
    <w:rsid w:val="00566139"/>
    <w:rsid w:val="00570427"/>
    <w:rsid w:val="0057328E"/>
    <w:rsid w:val="00573B9F"/>
    <w:rsid w:val="00581DD3"/>
    <w:rsid w:val="00585B89"/>
    <w:rsid w:val="00586EBF"/>
    <w:rsid w:val="00591CE2"/>
    <w:rsid w:val="0059202B"/>
    <w:rsid w:val="00594B28"/>
    <w:rsid w:val="005A1568"/>
    <w:rsid w:val="005A3784"/>
    <w:rsid w:val="005A4449"/>
    <w:rsid w:val="005A69BC"/>
    <w:rsid w:val="005B1158"/>
    <w:rsid w:val="005B1475"/>
    <w:rsid w:val="005B2489"/>
    <w:rsid w:val="005B5D37"/>
    <w:rsid w:val="005C535F"/>
    <w:rsid w:val="005D2F4B"/>
    <w:rsid w:val="005E10A1"/>
    <w:rsid w:val="005E17FB"/>
    <w:rsid w:val="005E240F"/>
    <w:rsid w:val="005F3876"/>
    <w:rsid w:val="005F50B4"/>
    <w:rsid w:val="005F7343"/>
    <w:rsid w:val="00604282"/>
    <w:rsid w:val="00604358"/>
    <w:rsid w:val="00604CC2"/>
    <w:rsid w:val="006125BE"/>
    <w:rsid w:val="00612A6E"/>
    <w:rsid w:val="0061655A"/>
    <w:rsid w:val="0062008D"/>
    <w:rsid w:val="00622381"/>
    <w:rsid w:val="006271F1"/>
    <w:rsid w:val="0063664A"/>
    <w:rsid w:val="00636D04"/>
    <w:rsid w:val="00637A39"/>
    <w:rsid w:val="006507DB"/>
    <w:rsid w:val="006568C2"/>
    <w:rsid w:val="006578B4"/>
    <w:rsid w:val="00662857"/>
    <w:rsid w:val="00666071"/>
    <w:rsid w:val="0067068F"/>
    <w:rsid w:val="00672F84"/>
    <w:rsid w:val="00674295"/>
    <w:rsid w:val="00675AB5"/>
    <w:rsid w:val="00675AFC"/>
    <w:rsid w:val="00677607"/>
    <w:rsid w:val="00677EC0"/>
    <w:rsid w:val="006853B9"/>
    <w:rsid w:val="00690256"/>
    <w:rsid w:val="00690610"/>
    <w:rsid w:val="00690B21"/>
    <w:rsid w:val="006920B1"/>
    <w:rsid w:val="006A03DD"/>
    <w:rsid w:val="006A2EB1"/>
    <w:rsid w:val="006A4CAD"/>
    <w:rsid w:val="006B008E"/>
    <w:rsid w:val="006B230B"/>
    <w:rsid w:val="006B6C93"/>
    <w:rsid w:val="006D1BF5"/>
    <w:rsid w:val="006E29BC"/>
    <w:rsid w:val="006E7AF0"/>
    <w:rsid w:val="006F055F"/>
    <w:rsid w:val="006F0903"/>
    <w:rsid w:val="006F0D33"/>
    <w:rsid w:val="006F6FBC"/>
    <w:rsid w:val="0070124B"/>
    <w:rsid w:val="00701DF2"/>
    <w:rsid w:val="00707B16"/>
    <w:rsid w:val="00712761"/>
    <w:rsid w:val="00716F90"/>
    <w:rsid w:val="007267C8"/>
    <w:rsid w:val="00727E23"/>
    <w:rsid w:val="00737005"/>
    <w:rsid w:val="00737C7F"/>
    <w:rsid w:val="00737EC1"/>
    <w:rsid w:val="00743191"/>
    <w:rsid w:val="00743B40"/>
    <w:rsid w:val="00746B5A"/>
    <w:rsid w:val="00761E47"/>
    <w:rsid w:val="00761FF0"/>
    <w:rsid w:val="00763A16"/>
    <w:rsid w:val="00764E4A"/>
    <w:rsid w:val="00775216"/>
    <w:rsid w:val="007775CE"/>
    <w:rsid w:val="00780238"/>
    <w:rsid w:val="00784ADF"/>
    <w:rsid w:val="0078793A"/>
    <w:rsid w:val="0079058F"/>
    <w:rsid w:val="0079133E"/>
    <w:rsid w:val="00791A87"/>
    <w:rsid w:val="007A04DC"/>
    <w:rsid w:val="007A29A8"/>
    <w:rsid w:val="007A536D"/>
    <w:rsid w:val="007A7044"/>
    <w:rsid w:val="007B49CE"/>
    <w:rsid w:val="007C0677"/>
    <w:rsid w:val="007C0745"/>
    <w:rsid w:val="007C3FBB"/>
    <w:rsid w:val="007D372E"/>
    <w:rsid w:val="007D3BE2"/>
    <w:rsid w:val="007D6A89"/>
    <w:rsid w:val="007E2B9F"/>
    <w:rsid w:val="007E4C3A"/>
    <w:rsid w:val="007F31BD"/>
    <w:rsid w:val="007F3781"/>
    <w:rsid w:val="008010C2"/>
    <w:rsid w:val="00801868"/>
    <w:rsid w:val="00801D1C"/>
    <w:rsid w:val="00805C6A"/>
    <w:rsid w:val="0081216D"/>
    <w:rsid w:val="0081643D"/>
    <w:rsid w:val="0081752F"/>
    <w:rsid w:val="0082133A"/>
    <w:rsid w:val="0082158C"/>
    <w:rsid w:val="00825849"/>
    <w:rsid w:val="0083621F"/>
    <w:rsid w:val="00842A04"/>
    <w:rsid w:val="00843F0A"/>
    <w:rsid w:val="0085199E"/>
    <w:rsid w:val="00851B81"/>
    <w:rsid w:val="00852AEC"/>
    <w:rsid w:val="00857753"/>
    <w:rsid w:val="00857A24"/>
    <w:rsid w:val="00866E6C"/>
    <w:rsid w:val="00867E29"/>
    <w:rsid w:val="008836D7"/>
    <w:rsid w:val="00891A6F"/>
    <w:rsid w:val="008948F8"/>
    <w:rsid w:val="008973A5"/>
    <w:rsid w:val="008A2CB3"/>
    <w:rsid w:val="008A3342"/>
    <w:rsid w:val="008B45C2"/>
    <w:rsid w:val="008C3900"/>
    <w:rsid w:val="008C4A3C"/>
    <w:rsid w:val="008C55D0"/>
    <w:rsid w:val="008C7A11"/>
    <w:rsid w:val="008D3416"/>
    <w:rsid w:val="008D5A99"/>
    <w:rsid w:val="008E3DEC"/>
    <w:rsid w:val="008F653E"/>
    <w:rsid w:val="009018BD"/>
    <w:rsid w:val="009164C9"/>
    <w:rsid w:val="00920ADB"/>
    <w:rsid w:val="009214CC"/>
    <w:rsid w:val="009245EC"/>
    <w:rsid w:val="00934352"/>
    <w:rsid w:val="00936360"/>
    <w:rsid w:val="00937A35"/>
    <w:rsid w:val="009469F8"/>
    <w:rsid w:val="00947E75"/>
    <w:rsid w:val="0095400C"/>
    <w:rsid w:val="009545C6"/>
    <w:rsid w:val="00957852"/>
    <w:rsid w:val="00960254"/>
    <w:rsid w:val="00960313"/>
    <w:rsid w:val="0096165F"/>
    <w:rsid w:val="00967A0A"/>
    <w:rsid w:val="009701D6"/>
    <w:rsid w:val="00974CFA"/>
    <w:rsid w:val="00976A05"/>
    <w:rsid w:val="009771F3"/>
    <w:rsid w:val="00980715"/>
    <w:rsid w:val="009833DB"/>
    <w:rsid w:val="00990E6B"/>
    <w:rsid w:val="009924FF"/>
    <w:rsid w:val="00994243"/>
    <w:rsid w:val="00994D08"/>
    <w:rsid w:val="009A19BF"/>
    <w:rsid w:val="009A652D"/>
    <w:rsid w:val="009B454E"/>
    <w:rsid w:val="009B5803"/>
    <w:rsid w:val="009B72BB"/>
    <w:rsid w:val="009C08B6"/>
    <w:rsid w:val="009C1059"/>
    <w:rsid w:val="009C2B58"/>
    <w:rsid w:val="009C5635"/>
    <w:rsid w:val="009D2D6A"/>
    <w:rsid w:val="009D607C"/>
    <w:rsid w:val="009E2A4E"/>
    <w:rsid w:val="009E404D"/>
    <w:rsid w:val="009E4A7F"/>
    <w:rsid w:val="009F323F"/>
    <w:rsid w:val="009F6FF7"/>
    <w:rsid w:val="009F7B6F"/>
    <w:rsid w:val="00A072E8"/>
    <w:rsid w:val="00A20DD7"/>
    <w:rsid w:val="00A25C36"/>
    <w:rsid w:val="00A3286D"/>
    <w:rsid w:val="00A33825"/>
    <w:rsid w:val="00A436C5"/>
    <w:rsid w:val="00A45538"/>
    <w:rsid w:val="00A55A85"/>
    <w:rsid w:val="00A62D7D"/>
    <w:rsid w:val="00A72471"/>
    <w:rsid w:val="00A72506"/>
    <w:rsid w:val="00A768F7"/>
    <w:rsid w:val="00A80144"/>
    <w:rsid w:val="00A80C45"/>
    <w:rsid w:val="00A82A34"/>
    <w:rsid w:val="00A90392"/>
    <w:rsid w:val="00A93288"/>
    <w:rsid w:val="00AA34AF"/>
    <w:rsid w:val="00AA459C"/>
    <w:rsid w:val="00AA4FBB"/>
    <w:rsid w:val="00AA6AEC"/>
    <w:rsid w:val="00AB4F6F"/>
    <w:rsid w:val="00AB5F01"/>
    <w:rsid w:val="00AC4967"/>
    <w:rsid w:val="00AD101F"/>
    <w:rsid w:val="00AD1036"/>
    <w:rsid w:val="00AD1D2F"/>
    <w:rsid w:val="00AD3340"/>
    <w:rsid w:val="00AF2A23"/>
    <w:rsid w:val="00AF327F"/>
    <w:rsid w:val="00B020A9"/>
    <w:rsid w:val="00B23555"/>
    <w:rsid w:val="00B30AEF"/>
    <w:rsid w:val="00B30EB8"/>
    <w:rsid w:val="00B33FDC"/>
    <w:rsid w:val="00B3757A"/>
    <w:rsid w:val="00B44B07"/>
    <w:rsid w:val="00B450F0"/>
    <w:rsid w:val="00B552B8"/>
    <w:rsid w:val="00B5536E"/>
    <w:rsid w:val="00B65A40"/>
    <w:rsid w:val="00B67C38"/>
    <w:rsid w:val="00B71A5D"/>
    <w:rsid w:val="00B72928"/>
    <w:rsid w:val="00B754D0"/>
    <w:rsid w:val="00B833AC"/>
    <w:rsid w:val="00B86614"/>
    <w:rsid w:val="00B8680C"/>
    <w:rsid w:val="00B86E29"/>
    <w:rsid w:val="00B9448D"/>
    <w:rsid w:val="00BA0859"/>
    <w:rsid w:val="00BA10C8"/>
    <w:rsid w:val="00BA457F"/>
    <w:rsid w:val="00BA4EB9"/>
    <w:rsid w:val="00BA596F"/>
    <w:rsid w:val="00BB026B"/>
    <w:rsid w:val="00BB275F"/>
    <w:rsid w:val="00BB47F6"/>
    <w:rsid w:val="00BB6E27"/>
    <w:rsid w:val="00BB72C1"/>
    <w:rsid w:val="00BC05BF"/>
    <w:rsid w:val="00BC36C1"/>
    <w:rsid w:val="00BD2328"/>
    <w:rsid w:val="00BD2526"/>
    <w:rsid w:val="00BD3CB4"/>
    <w:rsid w:val="00BD4D9F"/>
    <w:rsid w:val="00BD5540"/>
    <w:rsid w:val="00BE3CC0"/>
    <w:rsid w:val="00BF11CC"/>
    <w:rsid w:val="00BF3566"/>
    <w:rsid w:val="00C019E0"/>
    <w:rsid w:val="00C0216C"/>
    <w:rsid w:val="00C02E27"/>
    <w:rsid w:val="00C07793"/>
    <w:rsid w:val="00C10632"/>
    <w:rsid w:val="00C12259"/>
    <w:rsid w:val="00C12C4D"/>
    <w:rsid w:val="00C16D08"/>
    <w:rsid w:val="00C17A54"/>
    <w:rsid w:val="00C219E8"/>
    <w:rsid w:val="00C227B5"/>
    <w:rsid w:val="00C22F61"/>
    <w:rsid w:val="00C30C13"/>
    <w:rsid w:val="00C3147E"/>
    <w:rsid w:val="00C347B0"/>
    <w:rsid w:val="00C43445"/>
    <w:rsid w:val="00C464F8"/>
    <w:rsid w:val="00C5487C"/>
    <w:rsid w:val="00C57518"/>
    <w:rsid w:val="00C636AD"/>
    <w:rsid w:val="00C668F4"/>
    <w:rsid w:val="00C72DD7"/>
    <w:rsid w:val="00C74C3C"/>
    <w:rsid w:val="00C75332"/>
    <w:rsid w:val="00C75FEE"/>
    <w:rsid w:val="00C8233A"/>
    <w:rsid w:val="00C84194"/>
    <w:rsid w:val="00C9044E"/>
    <w:rsid w:val="00C93F58"/>
    <w:rsid w:val="00CA03BB"/>
    <w:rsid w:val="00CA2E5F"/>
    <w:rsid w:val="00CA5AD4"/>
    <w:rsid w:val="00CA6FA2"/>
    <w:rsid w:val="00CB0DBA"/>
    <w:rsid w:val="00CB1FC8"/>
    <w:rsid w:val="00CB3E5B"/>
    <w:rsid w:val="00CB52B1"/>
    <w:rsid w:val="00CB62C1"/>
    <w:rsid w:val="00CC5F8F"/>
    <w:rsid w:val="00CC6A6B"/>
    <w:rsid w:val="00CC7A18"/>
    <w:rsid w:val="00CD0030"/>
    <w:rsid w:val="00CD1C75"/>
    <w:rsid w:val="00CE0A7D"/>
    <w:rsid w:val="00CE17D9"/>
    <w:rsid w:val="00CE7E93"/>
    <w:rsid w:val="00CF1EF1"/>
    <w:rsid w:val="00CF630B"/>
    <w:rsid w:val="00D137A2"/>
    <w:rsid w:val="00D1442E"/>
    <w:rsid w:val="00D240D0"/>
    <w:rsid w:val="00D371B2"/>
    <w:rsid w:val="00D407AF"/>
    <w:rsid w:val="00D41051"/>
    <w:rsid w:val="00D45134"/>
    <w:rsid w:val="00D474AB"/>
    <w:rsid w:val="00D57B5A"/>
    <w:rsid w:val="00D620B9"/>
    <w:rsid w:val="00D72E32"/>
    <w:rsid w:val="00D81009"/>
    <w:rsid w:val="00D82AD4"/>
    <w:rsid w:val="00D8336B"/>
    <w:rsid w:val="00D860FA"/>
    <w:rsid w:val="00D9408D"/>
    <w:rsid w:val="00DB39C4"/>
    <w:rsid w:val="00DB5767"/>
    <w:rsid w:val="00DB5E1E"/>
    <w:rsid w:val="00DC4268"/>
    <w:rsid w:val="00DC4CFD"/>
    <w:rsid w:val="00DE02D2"/>
    <w:rsid w:val="00DF4370"/>
    <w:rsid w:val="00DF7724"/>
    <w:rsid w:val="00E03A24"/>
    <w:rsid w:val="00E15FC4"/>
    <w:rsid w:val="00E202B1"/>
    <w:rsid w:val="00E20955"/>
    <w:rsid w:val="00E20D16"/>
    <w:rsid w:val="00E24571"/>
    <w:rsid w:val="00E30930"/>
    <w:rsid w:val="00E42C14"/>
    <w:rsid w:val="00E563B1"/>
    <w:rsid w:val="00E5750D"/>
    <w:rsid w:val="00E57C07"/>
    <w:rsid w:val="00E6261D"/>
    <w:rsid w:val="00E6343F"/>
    <w:rsid w:val="00E656D0"/>
    <w:rsid w:val="00E67E76"/>
    <w:rsid w:val="00E70BD8"/>
    <w:rsid w:val="00E744E7"/>
    <w:rsid w:val="00E75759"/>
    <w:rsid w:val="00E774A9"/>
    <w:rsid w:val="00E838E6"/>
    <w:rsid w:val="00E84937"/>
    <w:rsid w:val="00EA20B1"/>
    <w:rsid w:val="00EA2E4C"/>
    <w:rsid w:val="00EC1549"/>
    <w:rsid w:val="00EC202A"/>
    <w:rsid w:val="00EC51B3"/>
    <w:rsid w:val="00ED0C62"/>
    <w:rsid w:val="00ED5EF6"/>
    <w:rsid w:val="00ED7906"/>
    <w:rsid w:val="00EE2142"/>
    <w:rsid w:val="00EF1473"/>
    <w:rsid w:val="00EF453B"/>
    <w:rsid w:val="00EF48D9"/>
    <w:rsid w:val="00EF619D"/>
    <w:rsid w:val="00F20063"/>
    <w:rsid w:val="00F258DD"/>
    <w:rsid w:val="00F27048"/>
    <w:rsid w:val="00F31ADA"/>
    <w:rsid w:val="00F35D49"/>
    <w:rsid w:val="00F409CE"/>
    <w:rsid w:val="00F41651"/>
    <w:rsid w:val="00F52255"/>
    <w:rsid w:val="00F578A0"/>
    <w:rsid w:val="00F640F5"/>
    <w:rsid w:val="00F65727"/>
    <w:rsid w:val="00F72B9B"/>
    <w:rsid w:val="00F74490"/>
    <w:rsid w:val="00F75DD2"/>
    <w:rsid w:val="00F776D0"/>
    <w:rsid w:val="00F82227"/>
    <w:rsid w:val="00F83CC5"/>
    <w:rsid w:val="00F8524F"/>
    <w:rsid w:val="00F87E24"/>
    <w:rsid w:val="00F909C7"/>
    <w:rsid w:val="00F923E4"/>
    <w:rsid w:val="00F93DA7"/>
    <w:rsid w:val="00F96EB4"/>
    <w:rsid w:val="00F976EB"/>
    <w:rsid w:val="00FA041A"/>
    <w:rsid w:val="00FA22A3"/>
    <w:rsid w:val="00FA2C66"/>
    <w:rsid w:val="00FA6A20"/>
    <w:rsid w:val="00FB2A70"/>
    <w:rsid w:val="00FB3E08"/>
    <w:rsid w:val="00FC100A"/>
    <w:rsid w:val="00FC633C"/>
    <w:rsid w:val="00FC66E2"/>
    <w:rsid w:val="00FC6A74"/>
    <w:rsid w:val="00FD7E6E"/>
    <w:rsid w:val="00FE5DBF"/>
    <w:rsid w:val="00FE62F0"/>
    <w:rsid w:val="00FF1185"/>
    <w:rsid w:val="00FF3E9B"/>
    <w:rsid w:val="00FF42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3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0D20"/>
    <w:pPr>
      <w:keepNext/>
      <w:spacing w:line="480" w:lineRule="auto"/>
      <w:jc w:val="center"/>
      <w:outlineLvl w:val="0"/>
    </w:pPr>
    <w:rPr>
      <w:b/>
      <w:szCs w:val="20"/>
    </w:rPr>
  </w:style>
  <w:style w:type="paragraph" w:styleId="Heading2">
    <w:name w:val="heading 2"/>
    <w:basedOn w:val="Normal"/>
    <w:next w:val="Normal"/>
    <w:link w:val="Heading2Char"/>
    <w:qFormat/>
    <w:rsid w:val="004F0D20"/>
    <w:pPr>
      <w:keepNext/>
      <w:spacing w:after="240" w:line="240" w:lineRule="auto"/>
      <w:jc w:val="left"/>
      <w:outlineLvl w:val="1"/>
    </w:pPr>
    <w:rPr>
      <w:b/>
    </w:rPr>
  </w:style>
  <w:style w:type="paragraph" w:styleId="Heading3">
    <w:name w:val="heading 3"/>
    <w:basedOn w:val="Normal"/>
    <w:next w:val="Normal"/>
    <w:link w:val="Heading3Char"/>
    <w:qFormat/>
    <w:rsid w:val="009C5635"/>
    <w:pPr>
      <w:keepNext/>
      <w:spacing w:after="240" w:line="240" w:lineRule="auto"/>
      <w:ind w:left="720" w:hanging="720"/>
      <w:jc w:val="left"/>
      <w:outlineLvl w:val="2"/>
    </w:pPr>
    <w:rPr>
      <w:b/>
      <w:szCs w:val="20"/>
    </w:rPr>
  </w:style>
  <w:style w:type="paragraph" w:styleId="Heading4">
    <w:name w:val="heading 4"/>
    <w:basedOn w:val="Normal"/>
    <w:next w:val="Normal"/>
    <w:link w:val="Heading4Char"/>
    <w:qFormat/>
    <w:rsid w:val="002F721E"/>
    <w:pPr>
      <w:keepNext/>
      <w:tabs>
        <w:tab w:val="left" w:pos="720"/>
      </w:tabs>
      <w:spacing w:line="480" w:lineRule="auto"/>
      <w:ind w:left="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D2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F0D2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C563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F721E"/>
    <w:rPr>
      <w:rFonts w:ascii="Times New Roman" w:eastAsia="Times New Roman" w:hAnsi="Times New Roman" w:cs="Times New Roman"/>
      <w:b/>
      <w:sz w:val="24"/>
      <w:szCs w:val="20"/>
    </w:rPr>
  </w:style>
  <w:style w:type="character" w:styleId="LineNumber">
    <w:name w:val="line number"/>
    <w:basedOn w:val="DefaultParagraphFont"/>
    <w:uiPriority w:val="99"/>
    <w:rsid w:val="002F721E"/>
    <w:rPr>
      <w:rFonts w:ascii="Times New Roman" w:hAnsi="Times New Roman"/>
      <w:sz w:val="24"/>
    </w:rPr>
  </w:style>
  <w:style w:type="paragraph" w:styleId="Header">
    <w:name w:val="header"/>
    <w:basedOn w:val="Normal"/>
    <w:link w:val="HeaderChar"/>
    <w:rsid w:val="004F0D20"/>
    <w:pPr>
      <w:spacing w:line="480" w:lineRule="auto"/>
      <w:jc w:val="center"/>
    </w:pPr>
    <w:rPr>
      <w:b/>
    </w:rPr>
  </w:style>
  <w:style w:type="character" w:customStyle="1" w:styleId="HeaderChar">
    <w:name w:val="Header Char"/>
    <w:basedOn w:val="DefaultParagraphFont"/>
    <w:link w:val="Header"/>
    <w:rsid w:val="004F0D20"/>
    <w:rPr>
      <w:rFonts w:ascii="Times New Roman" w:eastAsia="Times New Roman" w:hAnsi="Times New Roman" w:cs="Times New Roman"/>
      <w:b/>
      <w:sz w:val="24"/>
      <w:szCs w:val="24"/>
    </w:rPr>
  </w:style>
  <w:style w:type="paragraph" w:styleId="Footer">
    <w:name w:val="footer"/>
    <w:basedOn w:val="Normal"/>
    <w:link w:val="FooterChar"/>
    <w:rsid w:val="002F721E"/>
    <w:pPr>
      <w:tabs>
        <w:tab w:val="center" w:pos="4320"/>
        <w:tab w:val="right" w:pos="8640"/>
      </w:tabs>
    </w:pPr>
  </w:style>
  <w:style w:type="character" w:customStyle="1" w:styleId="FooterChar">
    <w:name w:val="Footer Char"/>
    <w:basedOn w:val="DefaultParagraphFont"/>
    <w:link w:val="Footer"/>
    <w:uiPriority w:val="99"/>
    <w:rsid w:val="002F721E"/>
    <w:rPr>
      <w:rFonts w:ascii="Times New Roman" w:eastAsia="Times New Roman" w:hAnsi="Times New Roman" w:cs="Times New Roman"/>
      <w:sz w:val="24"/>
      <w:szCs w:val="24"/>
    </w:rPr>
  </w:style>
  <w:style w:type="character" w:styleId="PageNumber">
    <w:name w:val="page number"/>
    <w:basedOn w:val="DefaultParagraphFont"/>
    <w:rsid w:val="002F721E"/>
  </w:style>
  <w:style w:type="paragraph" w:styleId="BodyTextIndent">
    <w:name w:val="Body Text Indent"/>
    <w:basedOn w:val="Normal"/>
    <w:link w:val="BodyTextIndentChar"/>
    <w:rsid w:val="002F721E"/>
    <w:pPr>
      <w:tabs>
        <w:tab w:val="left" w:pos="720"/>
      </w:tabs>
      <w:spacing w:line="480" w:lineRule="auto"/>
      <w:ind w:left="720" w:hanging="720"/>
    </w:pPr>
  </w:style>
  <w:style w:type="character" w:customStyle="1" w:styleId="BodyTextIndentChar">
    <w:name w:val="Body Text Indent Char"/>
    <w:basedOn w:val="DefaultParagraphFont"/>
    <w:link w:val="BodyTextIndent"/>
    <w:rsid w:val="002F721E"/>
    <w:rPr>
      <w:rFonts w:ascii="Times New Roman" w:eastAsia="Times New Roman" w:hAnsi="Times New Roman" w:cs="Times New Roman"/>
      <w:sz w:val="24"/>
      <w:szCs w:val="24"/>
    </w:rPr>
  </w:style>
  <w:style w:type="paragraph" w:styleId="BodyText">
    <w:name w:val="Body Text"/>
    <w:basedOn w:val="Normal"/>
    <w:link w:val="BodyTextChar"/>
    <w:rsid w:val="002F721E"/>
    <w:pPr>
      <w:tabs>
        <w:tab w:val="left" w:pos="720"/>
      </w:tabs>
      <w:spacing w:line="480" w:lineRule="auto"/>
    </w:pPr>
  </w:style>
  <w:style w:type="character" w:customStyle="1" w:styleId="BodyTextChar">
    <w:name w:val="Body Text Char"/>
    <w:basedOn w:val="DefaultParagraphFont"/>
    <w:link w:val="BodyText"/>
    <w:rsid w:val="002F721E"/>
    <w:rPr>
      <w:rFonts w:ascii="Times New Roman" w:eastAsia="Times New Roman" w:hAnsi="Times New Roman" w:cs="Times New Roman"/>
      <w:sz w:val="24"/>
      <w:szCs w:val="24"/>
    </w:rPr>
  </w:style>
  <w:style w:type="paragraph" w:styleId="BodyText2">
    <w:name w:val="Body Text 2"/>
    <w:basedOn w:val="Normal"/>
    <w:link w:val="BodyText2Char"/>
    <w:uiPriority w:val="99"/>
    <w:rsid w:val="002F721E"/>
    <w:pPr>
      <w:tabs>
        <w:tab w:val="left" w:pos="720"/>
      </w:tabs>
      <w:spacing w:line="480" w:lineRule="auto"/>
    </w:pPr>
  </w:style>
  <w:style w:type="character" w:customStyle="1" w:styleId="BodyText2Char">
    <w:name w:val="Body Text 2 Char"/>
    <w:basedOn w:val="DefaultParagraphFont"/>
    <w:link w:val="BodyText2"/>
    <w:uiPriority w:val="99"/>
    <w:rsid w:val="002F721E"/>
    <w:rPr>
      <w:rFonts w:ascii="Times New Roman" w:eastAsia="Times New Roman" w:hAnsi="Times New Roman" w:cs="Times New Roman"/>
      <w:sz w:val="24"/>
      <w:szCs w:val="24"/>
    </w:rPr>
  </w:style>
  <w:style w:type="paragraph" w:styleId="BodyTextIndent2">
    <w:name w:val="Body Text Indent 2"/>
    <w:basedOn w:val="Normal"/>
    <w:link w:val="BodyTextIndent2Char"/>
    <w:rsid w:val="002F721E"/>
    <w:pPr>
      <w:tabs>
        <w:tab w:val="left" w:pos="720"/>
      </w:tabs>
      <w:spacing w:line="480" w:lineRule="auto"/>
      <w:ind w:left="720" w:hanging="720"/>
    </w:pPr>
  </w:style>
  <w:style w:type="character" w:customStyle="1" w:styleId="BodyTextIndent2Char">
    <w:name w:val="Body Text Indent 2 Char"/>
    <w:basedOn w:val="DefaultParagraphFont"/>
    <w:link w:val="BodyTextIndent2"/>
    <w:rsid w:val="002F721E"/>
    <w:rPr>
      <w:rFonts w:ascii="Times New Roman" w:eastAsia="Times New Roman" w:hAnsi="Times New Roman" w:cs="Times New Roman"/>
      <w:sz w:val="24"/>
      <w:szCs w:val="24"/>
    </w:rPr>
  </w:style>
  <w:style w:type="paragraph" w:styleId="BalloonText">
    <w:name w:val="Balloon Text"/>
    <w:basedOn w:val="Normal"/>
    <w:link w:val="BalloonTextChar"/>
    <w:semiHidden/>
    <w:rsid w:val="002F721E"/>
    <w:rPr>
      <w:rFonts w:ascii="Tahoma" w:hAnsi="Tahoma" w:cs="Tahoma"/>
      <w:sz w:val="16"/>
      <w:szCs w:val="16"/>
    </w:rPr>
  </w:style>
  <w:style w:type="character" w:customStyle="1" w:styleId="BalloonTextChar">
    <w:name w:val="Balloon Text Char"/>
    <w:basedOn w:val="DefaultParagraphFont"/>
    <w:link w:val="BalloonText"/>
    <w:semiHidden/>
    <w:rsid w:val="002F721E"/>
    <w:rPr>
      <w:rFonts w:ascii="Tahoma" w:eastAsia="Times New Roman" w:hAnsi="Tahoma" w:cs="Tahoma"/>
      <w:sz w:val="16"/>
      <w:szCs w:val="16"/>
    </w:rPr>
  </w:style>
  <w:style w:type="paragraph" w:styleId="DocumentMap">
    <w:name w:val="Document Map"/>
    <w:basedOn w:val="Normal"/>
    <w:link w:val="DocumentMapChar"/>
    <w:semiHidden/>
    <w:rsid w:val="002F72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21E"/>
    <w:rPr>
      <w:rFonts w:ascii="Tahoma" w:eastAsia="Times New Roman" w:hAnsi="Tahoma" w:cs="Tahoma"/>
      <w:sz w:val="20"/>
      <w:szCs w:val="20"/>
      <w:shd w:val="clear" w:color="auto" w:fill="000080"/>
    </w:rPr>
  </w:style>
  <w:style w:type="paragraph" w:customStyle="1" w:styleId="answer">
    <w:name w:val="answer"/>
    <w:basedOn w:val="Normal"/>
    <w:rsid w:val="002F721E"/>
    <w:pPr>
      <w:spacing w:before="120" w:after="120" w:line="480" w:lineRule="auto"/>
      <w:ind w:left="720" w:hanging="720"/>
    </w:pPr>
    <w:rPr>
      <w:szCs w:val="20"/>
    </w:rPr>
  </w:style>
  <w:style w:type="character" w:styleId="CommentReference">
    <w:name w:val="annotation reference"/>
    <w:basedOn w:val="DefaultParagraphFont"/>
    <w:semiHidden/>
    <w:rsid w:val="002F721E"/>
    <w:rPr>
      <w:sz w:val="16"/>
      <w:szCs w:val="16"/>
    </w:rPr>
  </w:style>
  <w:style w:type="paragraph" w:styleId="CommentText">
    <w:name w:val="annotation text"/>
    <w:basedOn w:val="Normal"/>
    <w:link w:val="CommentTextChar"/>
    <w:uiPriority w:val="99"/>
    <w:semiHidden/>
    <w:rsid w:val="002F721E"/>
    <w:rPr>
      <w:sz w:val="20"/>
      <w:szCs w:val="20"/>
    </w:rPr>
  </w:style>
  <w:style w:type="character" w:customStyle="1" w:styleId="CommentTextChar">
    <w:name w:val="Comment Text Char"/>
    <w:basedOn w:val="DefaultParagraphFont"/>
    <w:link w:val="CommentText"/>
    <w:uiPriority w:val="99"/>
    <w:semiHidden/>
    <w:rsid w:val="002F72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F721E"/>
    <w:rPr>
      <w:b/>
      <w:bCs/>
    </w:rPr>
  </w:style>
  <w:style w:type="character" w:customStyle="1" w:styleId="CommentSubjectChar">
    <w:name w:val="Comment Subject Char"/>
    <w:basedOn w:val="CommentTextChar"/>
    <w:link w:val="CommentSubject"/>
    <w:semiHidden/>
    <w:rsid w:val="002F721E"/>
    <w:rPr>
      <w:rFonts w:ascii="Times New Roman" w:eastAsia="Times New Roman" w:hAnsi="Times New Roman" w:cs="Times New Roman"/>
      <w:b/>
      <w:bCs/>
      <w:sz w:val="20"/>
      <w:szCs w:val="20"/>
    </w:rPr>
  </w:style>
  <w:style w:type="character" w:customStyle="1" w:styleId="zzmpTrailerItem">
    <w:name w:val="zzmpTrailerItem"/>
    <w:basedOn w:val="DefaultParagraphFont"/>
    <w:rsid w:val="002F721E"/>
    <w:rPr>
      <w:rFonts w:ascii="Times New Roman" w:hAnsi="Times New Roman" w:cs="Times New Roman"/>
      <w:b w:val="0"/>
      <w:i w:val="0"/>
      <w:caps w:val="0"/>
      <w:smallCaps w:val="0"/>
      <w:dstrike w:val="0"/>
      <w:noProof/>
      <w:vanish w:val="0"/>
      <w:color w:val="auto"/>
      <w:spacing w:val="0"/>
      <w:position w:val="0"/>
      <w:sz w:val="16"/>
      <w:u w:val="none"/>
      <w:effect w:val="antsRed"/>
      <w:vertAlign w:val="baseline"/>
    </w:rPr>
  </w:style>
  <w:style w:type="paragraph" w:customStyle="1" w:styleId="CharCharCharCharCharCharCharChar">
    <w:name w:val="Char Char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CharCharChar">
    <w:name w:val="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
    <w:name w:val="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
    <w:name w:val="Char Char1"/>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CharCharChar1CharChar">
    <w:name w:val="Char Char1 Char Char Char1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2CharCharCharCharCharChar">
    <w:name w:val="Char Char2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styleId="Revision">
    <w:name w:val="Revision"/>
    <w:hidden/>
    <w:uiPriority w:val="99"/>
    <w:semiHidden/>
    <w:rsid w:val="002F72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721E"/>
    <w:pPr>
      <w:ind w:left="720"/>
      <w:contextualSpacing/>
    </w:pPr>
  </w:style>
  <w:style w:type="character" w:customStyle="1" w:styleId="ListParagraphChar">
    <w:name w:val="List Paragraph Char"/>
    <w:basedOn w:val="DefaultParagraphFont"/>
    <w:link w:val="ListParagraph"/>
    <w:uiPriority w:val="34"/>
    <w:locked/>
    <w:rsid w:val="002F721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93F58"/>
    <w:pPr>
      <w:spacing w:line="240" w:lineRule="auto"/>
    </w:pPr>
    <w:rPr>
      <w:sz w:val="20"/>
      <w:szCs w:val="20"/>
    </w:rPr>
  </w:style>
  <w:style w:type="character" w:customStyle="1" w:styleId="FootnoteTextChar">
    <w:name w:val="Footnote Text Char"/>
    <w:basedOn w:val="DefaultParagraphFont"/>
    <w:link w:val="FootnoteText"/>
    <w:uiPriority w:val="99"/>
    <w:rsid w:val="00C93F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3F58"/>
    <w:rPr>
      <w:vertAlign w:val="superscript"/>
    </w:rPr>
  </w:style>
  <w:style w:type="character" w:styleId="Hyperlink">
    <w:name w:val="Hyperlink"/>
    <w:basedOn w:val="DefaultParagraphFont"/>
    <w:uiPriority w:val="99"/>
    <w:unhideWhenUsed/>
    <w:rsid w:val="00976A05"/>
    <w:rPr>
      <w:color w:val="0000FF" w:themeColor="hyperlink"/>
      <w:u w:val="single"/>
    </w:rPr>
  </w:style>
  <w:style w:type="paragraph" w:customStyle="1" w:styleId="Question">
    <w:name w:val="Question"/>
    <w:basedOn w:val="Normal"/>
    <w:link w:val="QuestionChar"/>
    <w:rsid w:val="00275BA9"/>
    <w:pPr>
      <w:widowControl/>
      <w:adjustRightInd/>
      <w:spacing w:line="480" w:lineRule="auto"/>
      <w:ind w:left="720" w:hanging="720"/>
      <w:textAlignment w:val="auto"/>
    </w:pPr>
    <w:rPr>
      <w:b/>
      <w:bCs/>
      <w:szCs w:val="20"/>
    </w:rPr>
  </w:style>
  <w:style w:type="character" w:customStyle="1" w:styleId="QuestionChar">
    <w:name w:val="Question Char"/>
    <w:basedOn w:val="DefaultParagraphFont"/>
    <w:link w:val="Question"/>
    <w:rsid w:val="00275BA9"/>
    <w:rPr>
      <w:rFonts w:ascii="Times New Roman" w:eastAsia="Times New Roman" w:hAnsi="Times New Roman" w:cs="Times New Roman"/>
      <w:b/>
      <w:bCs/>
      <w:sz w:val="24"/>
      <w:szCs w:val="20"/>
    </w:rPr>
  </w:style>
  <w:style w:type="paragraph" w:customStyle="1" w:styleId="Answer0">
    <w:name w:val="Answer"/>
    <w:basedOn w:val="Normal"/>
    <w:link w:val="AnswerChar1"/>
    <w:qFormat/>
    <w:rsid w:val="00275BA9"/>
    <w:pPr>
      <w:widowControl/>
      <w:adjustRightInd/>
      <w:spacing w:line="480" w:lineRule="auto"/>
      <w:ind w:left="720" w:hanging="720"/>
      <w:textAlignment w:val="auto"/>
    </w:pPr>
    <w:rPr>
      <w:szCs w:val="20"/>
    </w:rPr>
  </w:style>
  <w:style w:type="character" w:customStyle="1" w:styleId="AnswerChar1">
    <w:name w:val="Answer Char1"/>
    <w:basedOn w:val="DefaultParagraphFont"/>
    <w:link w:val="Answer0"/>
    <w:rsid w:val="00275BA9"/>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D620B9"/>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D57B5A"/>
    <w:pPr>
      <w:tabs>
        <w:tab w:val="left" w:pos="480"/>
        <w:tab w:val="right" w:leader="dot" w:pos="8640"/>
      </w:tabs>
      <w:spacing w:after="100"/>
      <w:ind w:right="360"/>
      <w:jc w:val="left"/>
    </w:pPr>
  </w:style>
  <w:style w:type="paragraph" w:styleId="TOC2">
    <w:name w:val="toc 2"/>
    <w:basedOn w:val="Normal"/>
    <w:next w:val="Normal"/>
    <w:autoRedefine/>
    <w:uiPriority w:val="39"/>
    <w:unhideWhenUsed/>
    <w:rsid w:val="002A3C72"/>
    <w:pPr>
      <w:tabs>
        <w:tab w:val="right" w:leader="dot" w:pos="8640"/>
      </w:tabs>
      <w:spacing w:after="100"/>
      <w:ind w:left="240" w:right="360"/>
      <w:jc w:val="left"/>
    </w:pPr>
  </w:style>
  <w:style w:type="paragraph" w:styleId="TOC3">
    <w:name w:val="toc 3"/>
    <w:basedOn w:val="Normal"/>
    <w:next w:val="Normal"/>
    <w:autoRedefine/>
    <w:uiPriority w:val="39"/>
    <w:unhideWhenUsed/>
    <w:rsid w:val="00D57B5A"/>
    <w:pPr>
      <w:tabs>
        <w:tab w:val="right" w:leader="dot" w:pos="8640"/>
      </w:tabs>
      <w:spacing w:after="100"/>
      <w:ind w:left="480" w:righ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3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0D20"/>
    <w:pPr>
      <w:keepNext/>
      <w:spacing w:line="480" w:lineRule="auto"/>
      <w:jc w:val="center"/>
      <w:outlineLvl w:val="0"/>
    </w:pPr>
    <w:rPr>
      <w:b/>
      <w:szCs w:val="20"/>
    </w:rPr>
  </w:style>
  <w:style w:type="paragraph" w:styleId="Heading2">
    <w:name w:val="heading 2"/>
    <w:basedOn w:val="Normal"/>
    <w:next w:val="Normal"/>
    <w:link w:val="Heading2Char"/>
    <w:qFormat/>
    <w:rsid w:val="004F0D20"/>
    <w:pPr>
      <w:keepNext/>
      <w:spacing w:after="240" w:line="240" w:lineRule="auto"/>
      <w:jc w:val="left"/>
      <w:outlineLvl w:val="1"/>
    </w:pPr>
    <w:rPr>
      <w:b/>
    </w:rPr>
  </w:style>
  <w:style w:type="paragraph" w:styleId="Heading3">
    <w:name w:val="heading 3"/>
    <w:basedOn w:val="Normal"/>
    <w:next w:val="Normal"/>
    <w:link w:val="Heading3Char"/>
    <w:qFormat/>
    <w:rsid w:val="009C5635"/>
    <w:pPr>
      <w:keepNext/>
      <w:spacing w:after="240" w:line="240" w:lineRule="auto"/>
      <w:ind w:left="720" w:hanging="720"/>
      <w:jc w:val="left"/>
      <w:outlineLvl w:val="2"/>
    </w:pPr>
    <w:rPr>
      <w:b/>
      <w:szCs w:val="20"/>
    </w:rPr>
  </w:style>
  <w:style w:type="paragraph" w:styleId="Heading4">
    <w:name w:val="heading 4"/>
    <w:basedOn w:val="Normal"/>
    <w:next w:val="Normal"/>
    <w:link w:val="Heading4Char"/>
    <w:qFormat/>
    <w:rsid w:val="002F721E"/>
    <w:pPr>
      <w:keepNext/>
      <w:tabs>
        <w:tab w:val="left" w:pos="720"/>
      </w:tabs>
      <w:spacing w:line="480" w:lineRule="auto"/>
      <w:ind w:left="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D2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F0D2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C563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F721E"/>
    <w:rPr>
      <w:rFonts w:ascii="Times New Roman" w:eastAsia="Times New Roman" w:hAnsi="Times New Roman" w:cs="Times New Roman"/>
      <w:b/>
      <w:sz w:val="24"/>
      <w:szCs w:val="20"/>
    </w:rPr>
  </w:style>
  <w:style w:type="character" w:styleId="LineNumber">
    <w:name w:val="line number"/>
    <w:basedOn w:val="DefaultParagraphFont"/>
    <w:uiPriority w:val="99"/>
    <w:rsid w:val="002F721E"/>
    <w:rPr>
      <w:rFonts w:ascii="Times New Roman" w:hAnsi="Times New Roman"/>
      <w:sz w:val="24"/>
    </w:rPr>
  </w:style>
  <w:style w:type="paragraph" w:styleId="Header">
    <w:name w:val="header"/>
    <w:basedOn w:val="Normal"/>
    <w:link w:val="HeaderChar"/>
    <w:rsid w:val="004F0D20"/>
    <w:pPr>
      <w:spacing w:line="480" w:lineRule="auto"/>
      <w:jc w:val="center"/>
    </w:pPr>
    <w:rPr>
      <w:b/>
    </w:rPr>
  </w:style>
  <w:style w:type="character" w:customStyle="1" w:styleId="HeaderChar">
    <w:name w:val="Header Char"/>
    <w:basedOn w:val="DefaultParagraphFont"/>
    <w:link w:val="Header"/>
    <w:rsid w:val="004F0D20"/>
    <w:rPr>
      <w:rFonts w:ascii="Times New Roman" w:eastAsia="Times New Roman" w:hAnsi="Times New Roman" w:cs="Times New Roman"/>
      <w:b/>
      <w:sz w:val="24"/>
      <w:szCs w:val="24"/>
    </w:rPr>
  </w:style>
  <w:style w:type="paragraph" w:styleId="Footer">
    <w:name w:val="footer"/>
    <w:basedOn w:val="Normal"/>
    <w:link w:val="FooterChar"/>
    <w:rsid w:val="002F721E"/>
    <w:pPr>
      <w:tabs>
        <w:tab w:val="center" w:pos="4320"/>
        <w:tab w:val="right" w:pos="8640"/>
      </w:tabs>
    </w:pPr>
  </w:style>
  <w:style w:type="character" w:customStyle="1" w:styleId="FooterChar">
    <w:name w:val="Footer Char"/>
    <w:basedOn w:val="DefaultParagraphFont"/>
    <w:link w:val="Footer"/>
    <w:uiPriority w:val="99"/>
    <w:rsid w:val="002F721E"/>
    <w:rPr>
      <w:rFonts w:ascii="Times New Roman" w:eastAsia="Times New Roman" w:hAnsi="Times New Roman" w:cs="Times New Roman"/>
      <w:sz w:val="24"/>
      <w:szCs w:val="24"/>
    </w:rPr>
  </w:style>
  <w:style w:type="character" w:styleId="PageNumber">
    <w:name w:val="page number"/>
    <w:basedOn w:val="DefaultParagraphFont"/>
    <w:rsid w:val="002F721E"/>
  </w:style>
  <w:style w:type="paragraph" w:styleId="BodyTextIndent">
    <w:name w:val="Body Text Indent"/>
    <w:basedOn w:val="Normal"/>
    <w:link w:val="BodyTextIndentChar"/>
    <w:rsid w:val="002F721E"/>
    <w:pPr>
      <w:tabs>
        <w:tab w:val="left" w:pos="720"/>
      </w:tabs>
      <w:spacing w:line="480" w:lineRule="auto"/>
      <w:ind w:left="720" w:hanging="720"/>
    </w:pPr>
  </w:style>
  <w:style w:type="character" w:customStyle="1" w:styleId="BodyTextIndentChar">
    <w:name w:val="Body Text Indent Char"/>
    <w:basedOn w:val="DefaultParagraphFont"/>
    <w:link w:val="BodyTextIndent"/>
    <w:rsid w:val="002F721E"/>
    <w:rPr>
      <w:rFonts w:ascii="Times New Roman" w:eastAsia="Times New Roman" w:hAnsi="Times New Roman" w:cs="Times New Roman"/>
      <w:sz w:val="24"/>
      <w:szCs w:val="24"/>
    </w:rPr>
  </w:style>
  <w:style w:type="paragraph" w:styleId="BodyText">
    <w:name w:val="Body Text"/>
    <w:basedOn w:val="Normal"/>
    <w:link w:val="BodyTextChar"/>
    <w:rsid w:val="002F721E"/>
    <w:pPr>
      <w:tabs>
        <w:tab w:val="left" w:pos="720"/>
      </w:tabs>
      <w:spacing w:line="480" w:lineRule="auto"/>
    </w:pPr>
  </w:style>
  <w:style w:type="character" w:customStyle="1" w:styleId="BodyTextChar">
    <w:name w:val="Body Text Char"/>
    <w:basedOn w:val="DefaultParagraphFont"/>
    <w:link w:val="BodyText"/>
    <w:rsid w:val="002F721E"/>
    <w:rPr>
      <w:rFonts w:ascii="Times New Roman" w:eastAsia="Times New Roman" w:hAnsi="Times New Roman" w:cs="Times New Roman"/>
      <w:sz w:val="24"/>
      <w:szCs w:val="24"/>
    </w:rPr>
  </w:style>
  <w:style w:type="paragraph" w:styleId="BodyText2">
    <w:name w:val="Body Text 2"/>
    <w:basedOn w:val="Normal"/>
    <w:link w:val="BodyText2Char"/>
    <w:uiPriority w:val="99"/>
    <w:rsid w:val="002F721E"/>
    <w:pPr>
      <w:tabs>
        <w:tab w:val="left" w:pos="720"/>
      </w:tabs>
      <w:spacing w:line="480" w:lineRule="auto"/>
    </w:pPr>
  </w:style>
  <w:style w:type="character" w:customStyle="1" w:styleId="BodyText2Char">
    <w:name w:val="Body Text 2 Char"/>
    <w:basedOn w:val="DefaultParagraphFont"/>
    <w:link w:val="BodyText2"/>
    <w:uiPriority w:val="99"/>
    <w:rsid w:val="002F721E"/>
    <w:rPr>
      <w:rFonts w:ascii="Times New Roman" w:eastAsia="Times New Roman" w:hAnsi="Times New Roman" w:cs="Times New Roman"/>
      <w:sz w:val="24"/>
      <w:szCs w:val="24"/>
    </w:rPr>
  </w:style>
  <w:style w:type="paragraph" w:styleId="BodyTextIndent2">
    <w:name w:val="Body Text Indent 2"/>
    <w:basedOn w:val="Normal"/>
    <w:link w:val="BodyTextIndent2Char"/>
    <w:rsid w:val="002F721E"/>
    <w:pPr>
      <w:tabs>
        <w:tab w:val="left" w:pos="720"/>
      </w:tabs>
      <w:spacing w:line="480" w:lineRule="auto"/>
      <w:ind w:left="720" w:hanging="720"/>
    </w:pPr>
  </w:style>
  <w:style w:type="character" w:customStyle="1" w:styleId="BodyTextIndent2Char">
    <w:name w:val="Body Text Indent 2 Char"/>
    <w:basedOn w:val="DefaultParagraphFont"/>
    <w:link w:val="BodyTextIndent2"/>
    <w:rsid w:val="002F721E"/>
    <w:rPr>
      <w:rFonts w:ascii="Times New Roman" w:eastAsia="Times New Roman" w:hAnsi="Times New Roman" w:cs="Times New Roman"/>
      <w:sz w:val="24"/>
      <w:szCs w:val="24"/>
    </w:rPr>
  </w:style>
  <w:style w:type="paragraph" w:styleId="BalloonText">
    <w:name w:val="Balloon Text"/>
    <w:basedOn w:val="Normal"/>
    <w:link w:val="BalloonTextChar"/>
    <w:semiHidden/>
    <w:rsid w:val="002F721E"/>
    <w:rPr>
      <w:rFonts w:ascii="Tahoma" w:hAnsi="Tahoma" w:cs="Tahoma"/>
      <w:sz w:val="16"/>
      <w:szCs w:val="16"/>
    </w:rPr>
  </w:style>
  <w:style w:type="character" w:customStyle="1" w:styleId="BalloonTextChar">
    <w:name w:val="Balloon Text Char"/>
    <w:basedOn w:val="DefaultParagraphFont"/>
    <w:link w:val="BalloonText"/>
    <w:semiHidden/>
    <w:rsid w:val="002F721E"/>
    <w:rPr>
      <w:rFonts w:ascii="Tahoma" w:eastAsia="Times New Roman" w:hAnsi="Tahoma" w:cs="Tahoma"/>
      <w:sz w:val="16"/>
      <w:szCs w:val="16"/>
    </w:rPr>
  </w:style>
  <w:style w:type="paragraph" w:styleId="DocumentMap">
    <w:name w:val="Document Map"/>
    <w:basedOn w:val="Normal"/>
    <w:link w:val="DocumentMapChar"/>
    <w:semiHidden/>
    <w:rsid w:val="002F72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21E"/>
    <w:rPr>
      <w:rFonts w:ascii="Tahoma" w:eastAsia="Times New Roman" w:hAnsi="Tahoma" w:cs="Tahoma"/>
      <w:sz w:val="20"/>
      <w:szCs w:val="20"/>
      <w:shd w:val="clear" w:color="auto" w:fill="000080"/>
    </w:rPr>
  </w:style>
  <w:style w:type="paragraph" w:customStyle="1" w:styleId="answer">
    <w:name w:val="answer"/>
    <w:basedOn w:val="Normal"/>
    <w:rsid w:val="002F721E"/>
    <w:pPr>
      <w:spacing w:before="120" w:after="120" w:line="480" w:lineRule="auto"/>
      <w:ind w:left="720" w:hanging="720"/>
    </w:pPr>
    <w:rPr>
      <w:szCs w:val="20"/>
    </w:rPr>
  </w:style>
  <w:style w:type="character" w:styleId="CommentReference">
    <w:name w:val="annotation reference"/>
    <w:basedOn w:val="DefaultParagraphFont"/>
    <w:semiHidden/>
    <w:rsid w:val="002F721E"/>
    <w:rPr>
      <w:sz w:val="16"/>
      <w:szCs w:val="16"/>
    </w:rPr>
  </w:style>
  <w:style w:type="paragraph" w:styleId="CommentText">
    <w:name w:val="annotation text"/>
    <w:basedOn w:val="Normal"/>
    <w:link w:val="CommentTextChar"/>
    <w:uiPriority w:val="99"/>
    <w:semiHidden/>
    <w:rsid w:val="002F721E"/>
    <w:rPr>
      <w:sz w:val="20"/>
      <w:szCs w:val="20"/>
    </w:rPr>
  </w:style>
  <w:style w:type="character" w:customStyle="1" w:styleId="CommentTextChar">
    <w:name w:val="Comment Text Char"/>
    <w:basedOn w:val="DefaultParagraphFont"/>
    <w:link w:val="CommentText"/>
    <w:uiPriority w:val="99"/>
    <w:semiHidden/>
    <w:rsid w:val="002F72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F721E"/>
    <w:rPr>
      <w:b/>
      <w:bCs/>
    </w:rPr>
  </w:style>
  <w:style w:type="character" w:customStyle="1" w:styleId="CommentSubjectChar">
    <w:name w:val="Comment Subject Char"/>
    <w:basedOn w:val="CommentTextChar"/>
    <w:link w:val="CommentSubject"/>
    <w:semiHidden/>
    <w:rsid w:val="002F721E"/>
    <w:rPr>
      <w:rFonts w:ascii="Times New Roman" w:eastAsia="Times New Roman" w:hAnsi="Times New Roman" w:cs="Times New Roman"/>
      <w:b/>
      <w:bCs/>
      <w:sz w:val="20"/>
      <w:szCs w:val="20"/>
    </w:rPr>
  </w:style>
  <w:style w:type="character" w:customStyle="1" w:styleId="zzmpTrailerItem">
    <w:name w:val="zzmpTrailerItem"/>
    <w:basedOn w:val="DefaultParagraphFont"/>
    <w:rsid w:val="002F721E"/>
    <w:rPr>
      <w:rFonts w:ascii="Times New Roman" w:hAnsi="Times New Roman" w:cs="Times New Roman"/>
      <w:b w:val="0"/>
      <w:i w:val="0"/>
      <w:caps w:val="0"/>
      <w:smallCaps w:val="0"/>
      <w:dstrike w:val="0"/>
      <w:noProof/>
      <w:vanish w:val="0"/>
      <w:color w:val="auto"/>
      <w:spacing w:val="0"/>
      <w:position w:val="0"/>
      <w:sz w:val="16"/>
      <w:u w:val="none"/>
      <w:effect w:val="antsRed"/>
      <w:vertAlign w:val="baseline"/>
    </w:rPr>
  </w:style>
  <w:style w:type="paragraph" w:customStyle="1" w:styleId="CharCharCharCharCharCharCharChar">
    <w:name w:val="Char Char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CharCharChar">
    <w:name w:val="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
    <w:name w:val="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
    <w:name w:val="Char Char1"/>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CharCharChar1CharChar">
    <w:name w:val="Char Char1 Char Char Char1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2CharCharCharCharCharChar">
    <w:name w:val="Char Char2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styleId="Revision">
    <w:name w:val="Revision"/>
    <w:hidden/>
    <w:uiPriority w:val="99"/>
    <w:semiHidden/>
    <w:rsid w:val="002F72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721E"/>
    <w:pPr>
      <w:ind w:left="720"/>
      <w:contextualSpacing/>
    </w:pPr>
  </w:style>
  <w:style w:type="character" w:customStyle="1" w:styleId="ListParagraphChar">
    <w:name w:val="List Paragraph Char"/>
    <w:basedOn w:val="DefaultParagraphFont"/>
    <w:link w:val="ListParagraph"/>
    <w:uiPriority w:val="34"/>
    <w:locked/>
    <w:rsid w:val="002F721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93F58"/>
    <w:pPr>
      <w:spacing w:line="240" w:lineRule="auto"/>
    </w:pPr>
    <w:rPr>
      <w:sz w:val="20"/>
      <w:szCs w:val="20"/>
    </w:rPr>
  </w:style>
  <w:style w:type="character" w:customStyle="1" w:styleId="FootnoteTextChar">
    <w:name w:val="Footnote Text Char"/>
    <w:basedOn w:val="DefaultParagraphFont"/>
    <w:link w:val="FootnoteText"/>
    <w:uiPriority w:val="99"/>
    <w:rsid w:val="00C93F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3F58"/>
    <w:rPr>
      <w:vertAlign w:val="superscript"/>
    </w:rPr>
  </w:style>
  <w:style w:type="character" w:styleId="Hyperlink">
    <w:name w:val="Hyperlink"/>
    <w:basedOn w:val="DefaultParagraphFont"/>
    <w:uiPriority w:val="99"/>
    <w:unhideWhenUsed/>
    <w:rsid w:val="00976A05"/>
    <w:rPr>
      <w:color w:val="0000FF" w:themeColor="hyperlink"/>
      <w:u w:val="single"/>
    </w:rPr>
  </w:style>
  <w:style w:type="paragraph" w:customStyle="1" w:styleId="Question">
    <w:name w:val="Question"/>
    <w:basedOn w:val="Normal"/>
    <w:link w:val="QuestionChar"/>
    <w:rsid w:val="00275BA9"/>
    <w:pPr>
      <w:widowControl/>
      <w:adjustRightInd/>
      <w:spacing w:line="480" w:lineRule="auto"/>
      <w:ind w:left="720" w:hanging="720"/>
      <w:textAlignment w:val="auto"/>
    </w:pPr>
    <w:rPr>
      <w:b/>
      <w:bCs/>
      <w:szCs w:val="20"/>
    </w:rPr>
  </w:style>
  <w:style w:type="character" w:customStyle="1" w:styleId="QuestionChar">
    <w:name w:val="Question Char"/>
    <w:basedOn w:val="DefaultParagraphFont"/>
    <w:link w:val="Question"/>
    <w:rsid w:val="00275BA9"/>
    <w:rPr>
      <w:rFonts w:ascii="Times New Roman" w:eastAsia="Times New Roman" w:hAnsi="Times New Roman" w:cs="Times New Roman"/>
      <w:b/>
      <w:bCs/>
      <w:sz w:val="24"/>
      <w:szCs w:val="20"/>
    </w:rPr>
  </w:style>
  <w:style w:type="paragraph" w:customStyle="1" w:styleId="Answer0">
    <w:name w:val="Answer"/>
    <w:basedOn w:val="Normal"/>
    <w:link w:val="AnswerChar1"/>
    <w:qFormat/>
    <w:rsid w:val="00275BA9"/>
    <w:pPr>
      <w:widowControl/>
      <w:adjustRightInd/>
      <w:spacing w:line="480" w:lineRule="auto"/>
      <w:ind w:left="720" w:hanging="720"/>
      <w:textAlignment w:val="auto"/>
    </w:pPr>
    <w:rPr>
      <w:szCs w:val="20"/>
    </w:rPr>
  </w:style>
  <w:style w:type="character" w:customStyle="1" w:styleId="AnswerChar1">
    <w:name w:val="Answer Char1"/>
    <w:basedOn w:val="DefaultParagraphFont"/>
    <w:link w:val="Answer0"/>
    <w:rsid w:val="00275BA9"/>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D620B9"/>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F75DD2"/>
    <w:pPr>
      <w:tabs>
        <w:tab w:val="left" w:pos="480"/>
        <w:tab w:val="right" w:leader="dot" w:pos="8630"/>
      </w:tabs>
      <w:spacing w:after="100"/>
      <w:jc w:val="left"/>
    </w:pPr>
  </w:style>
  <w:style w:type="paragraph" w:styleId="TOC2">
    <w:name w:val="toc 2"/>
    <w:basedOn w:val="Normal"/>
    <w:next w:val="Normal"/>
    <w:autoRedefine/>
    <w:uiPriority w:val="39"/>
    <w:unhideWhenUsed/>
    <w:rsid w:val="00D620B9"/>
    <w:pPr>
      <w:spacing w:after="100"/>
      <w:ind w:left="240"/>
    </w:pPr>
  </w:style>
  <w:style w:type="paragraph" w:styleId="TOC3">
    <w:name w:val="toc 3"/>
    <w:basedOn w:val="Normal"/>
    <w:next w:val="Normal"/>
    <w:autoRedefine/>
    <w:uiPriority w:val="39"/>
    <w:unhideWhenUsed/>
    <w:rsid w:val="00D620B9"/>
    <w:pPr>
      <w:spacing w:after="100"/>
      <w:ind w:left="480"/>
    </w:pPr>
  </w:style>
</w:styles>
</file>

<file path=word/webSettings.xml><?xml version="1.0" encoding="utf-8"?>
<w:webSettings xmlns:r="http://schemas.openxmlformats.org/officeDocument/2006/relationships" xmlns:w="http://schemas.openxmlformats.org/wordprocessingml/2006/main">
  <w:divs>
    <w:div w:id="181945210">
      <w:bodyDiv w:val="1"/>
      <w:marLeft w:val="0"/>
      <w:marRight w:val="0"/>
      <w:marTop w:val="0"/>
      <w:marBottom w:val="0"/>
      <w:divBdr>
        <w:top w:val="none" w:sz="0" w:space="0" w:color="auto"/>
        <w:left w:val="none" w:sz="0" w:space="0" w:color="auto"/>
        <w:bottom w:val="none" w:sz="0" w:space="0" w:color="auto"/>
        <w:right w:val="none" w:sz="0" w:space="0" w:color="auto"/>
      </w:divBdr>
    </w:div>
    <w:div w:id="770858215">
      <w:bodyDiv w:val="1"/>
      <w:marLeft w:val="0"/>
      <w:marRight w:val="0"/>
      <w:marTop w:val="0"/>
      <w:marBottom w:val="0"/>
      <w:divBdr>
        <w:top w:val="none" w:sz="0" w:space="0" w:color="auto"/>
        <w:left w:val="none" w:sz="0" w:space="0" w:color="auto"/>
        <w:bottom w:val="none" w:sz="0" w:space="0" w:color="auto"/>
        <w:right w:val="none" w:sz="0" w:space="0" w:color="auto"/>
      </w:divBdr>
    </w:div>
    <w:div w:id="804003502">
      <w:bodyDiv w:val="1"/>
      <w:marLeft w:val="0"/>
      <w:marRight w:val="0"/>
      <w:marTop w:val="0"/>
      <w:marBottom w:val="0"/>
      <w:divBdr>
        <w:top w:val="none" w:sz="0" w:space="0" w:color="auto"/>
        <w:left w:val="none" w:sz="0" w:space="0" w:color="auto"/>
        <w:bottom w:val="none" w:sz="0" w:space="0" w:color="auto"/>
        <w:right w:val="none" w:sz="0" w:space="0" w:color="auto"/>
      </w:divBdr>
    </w:div>
    <w:div w:id="917059735">
      <w:bodyDiv w:val="1"/>
      <w:marLeft w:val="0"/>
      <w:marRight w:val="0"/>
      <w:marTop w:val="0"/>
      <w:marBottom w:val="0"/>
      <w:divBdr>
        <w:top w:val="none" w:sz="0" w:space="0" w:color="auto"/>
        <w:left w:val="none" w:sz="0" w:space="0" w:color="auto"/>
        <w:bottom w:val="none" w:sz="0" w:space="0" w:color="auto"/>
        <w:right w:val="none" w:sz="0" w:space="0" w:color="auto"/>
      </w:divBdr>
    </w:div>
    <w:div w:id="1185940735">
      <w:bodyDiv w:val="1"/>
      <w:marLeft w:val="0"/>
      <w:marRight w:val="0"/>
      <w:marTop w:val="0"/>
      <w:marBottom w:val="0"/>
      <w:divBdr>
        <w:top w:val="none" w:sz="0" w:space="0" w:color="auto"/>
        <w:left w:val="none" w:sz="0" w:space="0" w:color="auto"/>
        <w:bottom w:val="none" w:sz="0" w:space="0" w:color="auto"/>
        <w:right w:val="none" w:sz="0" w:space="0" w:color="auto"/>
      </w:divBdr>
      <w:divsChild>
        <w:div w:id="364215507">
          <w:marLeft w:val="0"/>
          <w:marRight w:val="0"/>
          <w:marTop w:val="0"/>
          <w:marBottom w:val="0"/>
          <w:divBdr>
            <w:top w:val="none" w:sz="0" w:space="0" w:color="auto"/>
            <w:left w:val="single" w:sz="6" w:space="0" w:color="BBBBBB"/>
            <w:bottom w:val="single" w:sz="6" w:space="0" w:color="BBBBBB"/>
            <w:right w:val="single" w:sz="6" w:space="0" w:color="BBBBBB"/>
          </w:divBdr>
          <w:divsChild>
            <w:div w:id="1139764142">
              <w:marLeft w:val="0"/>
              <w:marRight w:val="0"/>
              <w:marTop w:val="0"/>
              <w:marBottom w:val="0"/>
              <w:divBdr>
                <w:top w:val="none" w:sz="0" w:space="0" w:color="auto"/>
                <w:left w:val="none" w:sz="0" w:space="0" w:color="auto"/>
                <w:bottom w:val="none" w:sz="0" w:space="0" w:color="auto"/>
                <w:right w:val="none" w:sz="0" w:space="0" w:color="auto"/>
              </w:divBdr>
              <w:divsChild>
                <w:div w:id="272253191">
                  <w:marLeft w:val="0"/>
                  <w:marRight w:val="0"/>
                  <w:marTop w:val="0"/>
                  <w:marBottom w:val="0"/>
                  <w:divBdr>
                    <w:top w:val="none" w:sz="0" w:space="0" w:color="auto"/>
                    <w:left w:val="none" w:sz="0" w:space="0" w:color="auto"/>
                    <w:bottom w:val="none" w:sz="0" w:space="0" w:color="auto"/>
                    <w:right w:val="none" w:sz="0" w:space="0" w:color="auto"/>
                  </w:divBdr>
                  <w:divsChild>
                    <w:div w:id="995844590">
                      <w:marLeft w:val="0"/>
                      <w:marRight w:val="0"/>
                      <w:marTop w:val="0"/>
                      <w:marBottom w:val="0"/>
                      <w:divBdr>
                        <w:top w:val="none" w:sz="0" w:space="0" w:color="auto"/>
                        <w:left w:val="none" w:sz="0" w:space="0" w:color="auto"/>
                        <w:bottom w:val="none" w:sz="0" w:space="0" w:color="auto"/>
                        <w:right w:val="none" w:sz="0" w:space="0" w:color="auto"/>
                      </w:divBdr>
                      <w:divsChild>
                        <w:div w:id="1411193065">
                          <w:marLeft w:val="0"/>
                          <w:marRight w:val="0"/>
                          <w:marTop w:val="0"/>
                          <w:marBottom w:val="0"/>
                          <w:divBdr>
                            <w:top w:val="none" w:sz="0" w:space="0" w:color="auto"/>
                            <w:left w:val="none" w:sz="0" w:space="0" w:color="auto"/>
                            <w:bottom w:val="none" w:sz="0" w:space="0" w:color="auto"/>
                            <w:right w:val="none" w:sz="0" w:space="0" w:color="auto"/>
                          </w:divBdr>
                          <w:divsChild>
                            <w:div w:id="47654440">
                              <w:marLeft w:val="0"/>
                              <w:marRight w:val="0"/>
                              <w:marTop w:val="0"/>
                              <w:marBottom w:val="0"/>
                              <w:divBdr>
                                <w:top w:val="none" w:sz="0" w:space="0" w:color="auto"/>
                                <w:left w:val="none" w:sz="0" w:space="0" w:color="auto"/>
                                <w:bottom w:val="none" w:sz="0" w:space="0" w:color="auto"/>
                                <w:right w:val="none" w:sz="0" w:space="0" w:color="auto"/>
                              </w:divBdr>
                              <w:divsChild>
                                <w:div w:id="1313565430">
                                  <w:marLeft w:val="0"/>
                                  <w:marRight w:val="0"/>
                                  <w:marTop w:val="0"/>
                                  <w:marBottom w:val="0"/>
                                  <w:divBdr>
                                    <w:top w:val="none" w:sz="0" w:space="0" w:color="auto"/>
                                    <w:left w:val="none" w:sz="0" w:space="0" w:color="auto"/>
                                    <w:bottom w:val="none" w:sz="0" w:space="0" w:color="auto"/>
                                    <w:right w:val="none" w:sz="0" w:space="0" w:color="auto"/>
                                  </w:divBdr>
                                  <w:divsChild>
                                    <w:div w:id="2125348970">
                                      <w:marLeft w:val="0"/>
                                      <w:marRight w:val="0"/>
                                      <w:marTop w:val="0"/>
                                      <w:marBottom w:val="0"/>
                                      <w:divBdr>
                                        <w:top w:val="none" w:sz="0" w:space="0" w:color="auto"/>
                                        <w:left w:val="none" w:sz="0" w:space="0" w:color="auto"/>
                                        <w:bottom w:val="none" w:sz="0" w:space="0" w:color="auto"/>
                                        <w:right w:val="none" w:sz="0" w:space="0" w:color="auto"/>
                                      </w:divBdr>
                                      <w:divsChild>
                                        <w:div w:id="258485595">
                                          <w:marLeft w:val="1200"/>
                                          <w:marRight w:val="1200"/>
                                          <w:marTop w:val="0"/>
                                          <w:marBottom w:val="0"/>
                                          <w:divBdr>
                                            <w:top w:val="none" w:sz="0" w:space="0" w:color="auto"/>
                                            <w:left w:val="none" w:sz="0" w:space="0" w:color="auto"/>
                                            <w:bottom w:val="none" w:sz="0" w:space="0" w:color="auto"/>
                                            <w:right w:val="none" w:sz="0" w:space="0" w:color="auto"/>
                                          </w:divBdr>
                                          <w:divsChild>
                                            <w:div w:id="918100474">
                                              <w:marLeft w:val="0"/>
                                              <w:marRight w:val="0"/>
                                              <w:marTop w:val="0"/>
                                              <w:marBottom w:val="0"/>
                                              <w:divBdr>
                                                <w:top w:val="none" w:sz="0" w:space="0" w:color="auto"/>
                                                <w:left w:val="none" w:sz="0" w:space="0" w:color="auto"/>
                                                <w:bottom w:val="none" w:sz="0" w:space="0" w:color="auto"/>
                                                <w:right w:val="none" w:sz="0" w:space="0" w:color="auto"/>
                                              </w:divBdr>
                                              <w:divsChild>
                                                <w:div w:id="507672766">
                                                  <w:marLeft w:val="0"/>
                                                  <w:marRight w:val="0"/>
                                                  <w:marTop w:val="240"/>
                                                  <w:marBottom w:val="0"/>
                                                  <w:divBdr>
                                                    <w:top w:val="none" w:sz="0" w:space="0" w:color="auto"/>
                                                    <w:left w:val="none" w:sz="0" w:space="0" w:color="auto"/>
                                                    <w:bottom w:val="none" w:sz="0" w:space="0" w:color="auto"/>
                                                    <w:right w:val="none" w:sz="0" w:space="0" w:color="auto"/>
                                                  </w:divBdr>
                                                  <w:divsChild>
                                                    <w:div w:id="331376001">
                                                      <w:marLeft w:val="0"/>
                                                      <w:marRight w:val="0"/>
                                                      <w:marTop w:val="0"/>
                                                      <w:marBottom w:val="0"/>
                                                      <w:divBdr>
                                                        <w:top w:val="none" w:sz="0" w:space="0" w:color="auto"/>
                                                        <w:left w:val="none" w:sz="0" w:space="0" w:color="auto"/>
                                                        <w:bottom w:val="none" w:sz="0" w:space="0" w:color="auto"/>
                                                        <w:right w:val="none" w:sz="0" w:space="0" w:color="auto"/>
                                                      </w:divBdr>
                                                      <w:divsChild>
                                                        <w:div w:id="1468206859">
                                                          <w:marLeft w:val="1275"/>
                                                          <w:marRight w:val="0"/>
                                                          <w:marTop w:val="0"/>
                                                          <w:marBottom w:val="0"/>
                                                          <w:divBdr>
                                                            <w:top w:val="none" w:sz="0" w:space="0" w:color="auto"/>
                                                            <w:left w:val="none" w:sz="0" w:space="0" w:color="auto"/>
                                                            <w:bottom w:val="none" w:sz="0" w:space="0" w:color="auto"/>
                                                            <w:right w:val="none" w:sz="0" w:space="0" w:color="auto"/>
                                                          </w:divBdr>
                                                          <w:divsChild>
                                                            <w:div w:id="660432879">
                                                              <w:marLeft w:val="0"/>
                                                              <w:marRight w:val="0"/>
                                                              <w:marTop w:val="0"/>
                                                              <w:marBottom w:val="0"/>
                                                              <w:divBdr>
                                                                <w:top w:val="none" w:sz="0" w:space="0" w:color="auto"/>
                                                                <w:left w:val="none" w:sz="0" w:space="0" w:color="auto"/>
                                                                <w:bottom w:val="none" w:sz="0" w:space="0" w:color="auto"/>
                                                                <w:right w:val="none" w:sz="0" w:space="0" w:color="auto"/>
                                                              </w:divBdr>
                                                              <w:divsChild>
                                                                <w:div w:id="15990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175094">
      <w:bodyDiv w:val="1"/>
      <w:marLeft w:val="0"/>
      <w:marRight w:val="0"/>
      <w:marTop w:val="0"/>
      <w:marBottom w:val="0"/>
      <w:divBdr>
        <w:top w:val="none" w:sz="0" w:space="0" w:color="auto"/>
        <w:left w:val="none" w:sz="0" w:space="0" w:color="auto"/>
        <w:bottom w:val="none" w:sz="0" w:space="0" w:color="auto"/>
        <w:right w:val="none" w:sz="0" w:space="0" w:color="auto"/>
      </w:divBdr>
      <w:divsChild>
        <w:div w:id="1584535739">
          <w:marLeft w:val="0"/>
          <w:marRight w:val="0"/>
          <w:marTop w:val="0"/>
          <w:marBottom w:val="0"/>
          <w:divBdr>
            <w:top w:val="none" w:sz="0" w:space="0" w:color="auto"/>
            <w:left w:val="single" w:sz="6" w:space="0" w:color="BBBBBB"/>
            <w:bottom w:val="single" w:sz="6" w:space="0" w:color="BBBBBB"/>
            <w:right w:val="single" w:sz="6" w:space="0" w:color="BBBBBB"/>
          </w:divBdr>
          <w:divsChild>
            <w:div w:id="305670303">
              <w:marLeft w:val="0"/>
              <w:marRight w:val="0"/>
              <w:marTop w:val="0"/>
              <w:marBottom w:val="0"/>
              <w:divBdr>
                <w:top w:val="none" w:sz="0" w:space="0" w:color="auto"/>
                <w:left w:val="none" w:sz="0" w:space="0" w:color="auto"/>
                <w:bottom w:val="none" w:sz="0" w:space="0" w:color="auto"/>
                <w:right w:val="none" w:sz="0" w:space="0" w:color="auto"/>
              </w:divBdr>
              <w:divsChild>
                <w:div w:id="2084444385">
                  <w:marLeft w:val="0"/>
                  <w:marRight w:val="0"/>
                  <w:marTop w:val="0"/>
                  <w:marBottom w:val="0"/>
                  <w:divBdr>
                    <w:top w:val="none" w:sz="0" w:space="0" w:color="auto"/>
                    <w:left w:val="none" w:sz="0" w:space="0" w:color="auto"/>
                    <w:bottom w:val="none" w:sz="0" w:space="0" w:color="auto"/>
                    <w:right w:val="none" w:sz="0" w:space="0" w:color="auto"/>
                  </w:divBdr>
                  <w:divsChild>
                    <w:div w:id="1363821980">
                      <w:marLeft w:val="0"/>
                      <w:marRight w:val="0"/>
                      <w:marTop w:val="0"/>
                      <w:marBottom w:val="0"/>
                      <w:divBdr>
                        <w:top w:val="none" w:sz="0" w:space="0" w:color="auto"/>
                        <w:left w:val="none" w:sz="0" w:space="0" w:color="auto"/>
                        <w:bottom w:val="none" w:sz="0" w:space="0" w:color="auto"/>
                        <w:right w:val="none" w:sz="0" w:space="0" w:color="auto"/>
                      </w:divBdr>
                      <w:divsChild>
                        <w:div w:id="1361396583">
                          <w:marLeft w:val="0"/>
                          <w:marRight w:val="0"/>
                          <w:marTop w:val="0"/>
                          <w:marBottom w:val="0"/>
                          <w:divBdr>
                            <w:top w:val="none" w:sz="0" w:space="0" w:color="auto"/>
                            <w:left w:val="none" w:sz="0" w:space="0" w:color="auto"/>
                            <w:bottom w:val="none" w:sz="0" w:space="0" w:color="auto"/>
                            <w:right w:val="none" w:sz="0" w:space="0" w:color="auto"/>
                          </w:divBdr>
                          <w:divsChild>
                            <w:div w:id="1660041122">
                              <w:marLeft w:val="0"/>
                              <w:marRight w:val="0"/>
                              <w:marTop w:val="0"/>
                              <w:marBottom w:val="0"/>
                              <w:divBdr>
                                <w:top w:val="none" w:sz="0" w:space="0" w:color="auto"/>
                                <w:left w:val="none" w:sz="0" w:space="0" w:color="auto"/>
                                <w:bottom w:val="none" w:sz="0" w:space="0" w:color="auto"/>
                                <w:right w:val="none" w:sz="0" w:space="0" w:color="auto"/>
                              </w:divBdr>
                              <w:divsChild>
                                <w:div w:id="1030303196">
                                  <w:marLeft w:val="0"/>
                                  <w:marRight w:val="0"/>
                                  <w:marTop w:val="0"/>
                                  <w:marBottom w:val="0"/>
                                  <w:divBdr>
                                    <w:top w:val="none" w:sz="0" w:space="0" w:color="auto"/>
                                    <w:left w:val="none" w:sz="0" w:space="0" w:color="auto"/>
                                    <w:bottom w:val="none" w:sz="0" w:space="0" w:color="auto"/>
                                    <w:right w:val="none" w:sz="0" w:space="0" w:color="auto"/>
                                  </w:divBdr>
                                  <w:divsChild>
                                    <w:div w:id="400565389">
                                      <w:marLeft w:val="0"/>
                                      <w:marRight w:val="0"/>
                                      <w:marTop w:val="0"/>
                                      <w:marBottom w:val="0"/>
                                      <w:divBdr>
                                        <w:top w:val="none" w:sz="0" w:space="0" w:color="auto"/>
                                        <w:left w:val="none" w:sz="0" w:space="0" w:color="auto"/>
                                        <w:bottom w:val="none" w:sz="0" w:space="0" w:color="auto"/>
                                        <w:right w:val="none" w:sz="0" w:space="0" w:color="auto"/>
                                      </w:divBdr>
                                      <w:divsChild>
                                        <w:div w:id="1526138407">
                                          <w:marLeft w:val="1200"/>
                                          <w:marRight w:val="1200"/>
                                          <w:marTop w:val="0"/>
                                          <w:marBottom w:val="0"/>
                                          <w:divBdr>
                                            <w:top w:val="none" w:sz="0" w:space="0" w:color="auto"/>
                                            <w:left w:val="none" w:sz="0" w:space="0" w:color="auto"/>
                                            <w:bottom w:val="none" w:sz="0" w:space="0" w:color="auto"/>
                                            <w:right w:val="none" w:sz="0" w:space="0" w:color="auto"/>
                                          </w:divBdr>
                                          <w:divsChild>
                                            <w:div w:id="930312255">
                                              <w:marLeft w:val="0"/>
                                              <w:marRight w:val="0"/>
                                              <w:marTop w:val="0"/>
                                              <w:marBottom w:val="0"/>
                                              <w:divBdr>
                                                <w:top w:val="none" w:sz="0" w:space="0" w:color="auto"/>
                                                <w:left w:val="none" w:sz="0" w:space="0" w:color="auto"/>
                                                <w:bottom w:val="none" w:sz="0" w:space="0" w:color="auto"/>
                                                <w:right w:val="none" w:sz="0" w:space="0" w:color="auto"/>
                                              </w:divBdr>
                                              <w:divsChild>
                                                <w:div w:id="768963043">
                                                  <w:marLeft w:val="0"/>
                                                  <w:marRight w:val="0"/>
                                                  <w:marTop w:val="240"/>
                                                  <w:marBottom w:val="0"/>
                                                  <w:divBdr>
                                                    <w:top w:val="none" w:sz="0" w:space="0" w:color="auto"/>
                                                    <w:left w:val="none" w:sz="0" w:space="0" w:color="auto"/>
                                                    <w:bottom w:val="none" w:sz="0" w:space="0" w:color="auto"/>
                                                    <w:right w:val="none" w:sz="0" w:space="0" w:color="auto"/>
                                                  </w:divBdr>
                                                  <w:divsChild>
                                                    <w:div w:id="2015985023">
                                                      <w:marLeft w:val="0"/>
                                                      <w:marRight w:val="0"/>
                                                      <w:marTop w:val="0"/>
                                                      <w:marBottom w:val="0"/>
                                                      <w:divBdr>
                                                        <w:top w:val="none" w:sz="0" w:space="0" w:color="auto"/>
                                                        <w:left w:val="none" w:sz="0" w:space="0" w:color="auto"/>
                                                        <w:bottom w:val="none" w:sz="0" w:space="0" w:color="auto"/>
                                                        <w:right w:val="none" w:sz="0" w:space="0" w:color="auto"/>
                                                      </w:divBdr>
                                                      <w:divsChild>
                                                        <w:div w:id="480462336">
                                                          <w:marLeft w:val="1275"/>
                                                          <w:marRight w:val="0"/>
                                                          <w:marTop w:val="0"/>
                                                          <w:marBottom w:val="0"/>
                                                          <w:divBdr>
                                                            <w:top w:val="none" w:sz="0" w:space="0" w:color="auto"/>
                                                            <w:left w:val="none" w:sz="0" w:space="0" w:color="auto"/>
                                                            <w:bottom w:val="none" w:sz="0" w:space="0" w:color="auto"/>
                                                            <w:right w:val="none" w:sz="0" w:space="0" w:color="auto"/>
                                                          </w:divBdr>
                                                          <w:divsChild>
                                                            <w:div w:id="1983458047">
                                                              <w:marLeft w:val="0"/>
                                                              <w:marRight w:val="0"/>
                                                              <w:marTop w:val="0"/>
                                                              <w:marBottom w:val="0"/>
                                                              <w:divBdr>
                                                                <w:top w:val="none" w:sz="0" w:space="0" w:color="auto"/>
                                                                <w:left w:val="none" w:sz="0" w:space="0" w:color="auto"/>
                                                                <w:bottom w:val="none" w:sz="0" w:space="0" w:color="auto"/>
                                                                <w:right w:val="none" w:sz="0" w:space="0" w:color="auto"/>
                                                              </w:divBdr>
                                                              <w:divsChild>
                                                                <w:div w:id="1319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0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2.emf"/><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pacificorp.com/content/dam/pacificorp/doc/Energy_Sources/Integrated_Resource_Plan/Wind_Integration/2012WIS/2013IRP_2012WindIntegration-DRAFTReport-11-15-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BE17A6-0847-4517-AAD7-9F3786E07E09}"/>
</file>

<file path=customXml/itemProps2.xml><?xml version="1.0" encoding="utf-8"?>
<ds:datastoreItem xmlns:ds="http://schemas.openxmlformats.org/officeDocument/2006/customXml" ds:itemID="{C226FE34-7602-4478-9180-CD96D286AFD9}"/>
</file>

<file path=customXml/itemProps3.xml><?xml version="1.0" encoding="utf-8"?>
<ds:datastoreItem xmlns:ds="http://schemas.openxmlformats.org/officeDocument/2006/customXml" ds:itemID="{AC19FEB9-0F6D-46FD-855D-B68E71243545}"/>
</file>

<file path=customXml/itemProps4.xml><?xml version="1.0" encoding="utf-8"?>
<ds:datastoreItem xmlns:ds="http://schemas.openxmlformats.org/officeDocument/2006/customXml" ds:itemID="{7133AF1D-847C-47F6-9809-A5F5BF583543}"/>
</file>

<file path=docProps/app.xml><?xml version="1.0" encoding="utf-8"?>
<Properties xmlns="http://schemas.openxmlformats.org/officeDocument/2006/extended-properties" xmlns:vt="http://schemas.openxmlformats.org/officeDocument/2006/docPropsVTypes">
  <Template>Normal.dotm</Template>
  <TotalTime>0</TotalTime>
  <Pages>51</Pages>
  <Words>10897</Words>
  <Characters>62113</Characters>
  <Application>Microsoft Office Word</Application>
  <DocSecurity>0</DocSecurity>
  <Lines>517</Lines>
  <Paragraphs>145</Paragraphs>
  <ScaleCrop>false</ScaleCrop>
  <Company/>
  <LinksUpToDate>false</LinksUpToDate>
  <CharactersWithSpaces>72865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2013-01-09T23:41:00Z</dcterms:created>
  <dcterms:modified xsi:type="dcterms:W3CDTF">2013-01-09T23:41:00Z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