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4664" w:rsidRDefault="006B02FD" w:rsidP="004F4664">
      <w:pPr>
        <w:pStyle w:val="BodyTextIndent"/>
        <w:spacing w:after="0"/>
        <w:ind w:left="0"/>
        <w:rPr>
          <w:rFonts w:ascii="Arial" w:hAnsi="Arial" w:cs="Arial"/>
          <w:sz w:val="20"/>
          <w:u w:val="single"/>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6262577</wp:posOffset>
                </wp:positionH>
                <wp:positionV relativeFrom="paragraph">
                  <wp:posOffset>6823</wp:posOffset>
                </wp:positionV>
                <wp:extent cx="0" cy="652839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6528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1pt,.55pt" to="493.1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" strokecolor="black [3213]"/>
            </w:pict>
          </mc:Fallback>
        </mc:AlternateContent>
      </w:r>
      <w:r w:rsidR="00EC7AC3">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2778D8B1" wp14:editId="621DD0F2">
                <wp:simplePos x="0" y="0"/>
                <wp:positionH relativeFrom="column">
                  <wp:posOffset>6081823</wp:posOffset>
                </wp:positionH>
                <wp:positionV relativeFrom="paragraph">
                  <wp:posOffset>-652395</wp:posOffset>
                </wp:positionV>
                <wp:extent cx="669851" cy="7474644"/>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74746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6B02FD">
                            <w:pPr>
                              <w:rPr>
                                <w:rFonts w:ascii="Arial" w:hAnsi="Arial" w:cs="Arial"/>
                                <w:sz w:val="20"/>
                              </w:rPr>
                            </w:pPr>
                            <w:r>
                              <w:rPr>
                                <w:rFonts w:ascii="Arial" w:hAnsi="Arial" w:cs="Arial"/>
                                <w:sz w:val="20"/>
                              </w:rPr>
                              <w:t>(N)</w:t>
                            </w:r>
                          </w:p>
                          <w:p w:rsidR="006B02FD" w:rsidRDefault="006B02FD">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Pr="00EC7AC3" w:rsidRDefault="006B02FD">
                            <w:pPr>
                              <w:rPr>
                                <w:rFonts w:ascii="Arial" w:hAnsi="Arial" w:cs="Arial"/>
                                <w:sz w:val="20"/>
                              </w:rPr>
                            </w:pPr>
                            <w:r>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8.9pt;margin-top:-51.35pt;width:52.75pt;height:58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6B02FD">
                      <w:pPr>
                        <w:rPr>
                          <w:rFonts w:ascii="Arial" w:hAnsi="Arial" w:cs="Arial"/>
                          <w:sz w:val="20"/>
                        </w:rPr>
                      </w:pPr>
                      <w:r>
                        <w:rPr>
                          <w:rFonts w:ascii="Arial" w:hAnsi="Arial" w:cs="Arial"/>
                          <w:sz w:val="20"/>
                        </w:rPr>
                        <w:t>(N)</w:t>
                      </w:r>
                    </w:p>
                    <w:p w:rsidR="006B02FD" w:rsidRDefault="006B02FD">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Default="006B02FD">
                      <w:pPr>
                        <w:rPr>
                          <w:rFonts w:ascii="Arial" w:hAnsi="Arial" w:cs="Arial"/>
                          <w:sz w:val="20"/>
                        </w:rPr>
                      </w:pPr>
                    </w:p>
                    <w:p w:rsidR="006B02FD" w:rsidRPr="00EC7AC3" w:rsidRDefault="006B02FD">
                      <w:pPr>
                        <w:rPr>
                          <w:rFonts w:ascii="Arial" w:hAnsi="Arial" w:cs="Arial"/>
                          <w:sz w:val="20"/>
                        </w:rPr>
                      </w:pPr>
                      <w:r>
                        <w:rPr>
                          <w:rFonts w:ascii="Arial" w:hAnsi="Arial" w:cs="Arial"/>
                          <w:sz w:val="20"/>
                        </w:rPr>
                        <w:t>(N)</w:t>
                      </w:r>
                    </w:p>
                  </w:txbxContent>
                </v:textbox>
              </v:shape>
            </w:pict>
          </mc:Fallback>
        </mc:AlternateContent>
      </w:r>
      <w:r w:rsidR="004F4664" w:rsidRPr="004F4664">
        <w:rPr>
          <w:rFonts w:ascii="Arial" w:hAnsi="Arial" w:cs="Arial"/>
          <w:sz w:val="20"/>
          <w:u w:val="single"/>
        </w:rPr>
        <w:t xml:space="preserve"> </w:t>
      </w:r>
      <w:r w:rsidR="004F4664" w:rsidRPr="00A75232">
        <w:rPr>
          <w:rFonts w:ascii="Arial" w:hAnsi="Arial" w:cs="Arial"/>
          <w:sz w:val="20"/>
          <w:u w:val="single"/>
        </w:rPr>
        <w:t>PURPOSE:</w:t>
      </w:r>
    </w:p>
    <w:p w:rsidR="004F4664" w:rsidRDefault="004F4664" w:rsidP="004F4664">
      <w:pPr>
        <w:pStyle w:val="BodyTextIndent"/>
        <w:spacing w:after="0"/>
        <w:ind w:left="0"/>
        <w:jc w:val="both"/>
        <w:rPr>
          <w:rFonts w:ascii="Arial" w:hAnsi="Arial" w:cs="Arial"/>
          <w:sz w:val="20"/>
        </w:rPr>
      </w:pPr>
      <w:r w:rsidRPr="00B06E0D">
        <w:rPr>
          <w:rFonts w:ascii="Arial" w:hAnsi="Arial" w:cs="Arial"/>
          <w:sz w:val="20"/>
        </w:rPr>
        <w:tab/>
        <w:t>This schedule implements an annual rate adjustment mechanism that decouples the recovery of the Company’s Commission authorized revenues</w:t>
      </w:r>
      <w:r>
        <w:rPr>
          <w:rFonts w:ascii="Arial" w:hAnsi="Arial" w:cs="Arial"/>
          <w:sz w:val="20"/>
        </w:rPr>
        <w:t xml:space="preserve"> and</w:t>
      </w:r>
      <w:r w:rsidRPr="00B06E0D">
        <w:rPr>
          <w:rFonts w:ascii="Arial" w:hAnsi="Arial" w:cs="Arial"/>
          <w:sz w:val="20"/>
        </w:rPr>
        <w:t xml:space="preserve"> establishes a single balancing account for the residential schedules 16, 17</w:t>
      </w:r>
      <w:r>
        <w:rPr>
          <w:rFonts w:ascii="Arial" w:hAnsi="Arial" w:cs="Arial"/>
          <w:sz w:val="20"/>
        </w:rPr>
        <w:t>,</w:t>
      </w:r>
      <w:r w:rsidRPr="00B06E0D">
        <w:rPr>
          <w:rFonts w:ascii="Arial" w:hAnsi="Arial" w:cs="Arial"/>
          <w:sz w:val="20"/>
        </w:rPr>
        <w:t xml:space="preserve"> and 18</w:t>
      </w:r>
      <w:r>
        <w:rPr>
          <w:rFonts w:ascii="Arial" w:hAnsi="Arial" w:cs="Arial"/>
          <w:sz w:val="20"/>
        </w:rPr>
        <w:t>,</w:t>
      </w:r>
      <w:r w:rsidRPr="00B06E0D">
        <w:rPr>
          <w:rFonts w:ascii="Arial" w:hAnsi="Arial" w:cs="Arial"/>
          <w:sz w:val="20"/>
        </w:rPr>
        <w:t xml:space="preserve"> and separate balancing accounts for Schedules 24, 36</w:t>
      </w:r>
      <w:r>
        <w:rPr>
          <w:rFonts w:ascii="Arial" w:hAnsi="Arial" w:cs="Arial"/>
          <w:sz w:val="20"/>
        </w:rPr>
        <w:t>,</w:t>
      </w:r>
      <w:r w:rsidRPr="00B06E0D">
        <w:rPr>
          <w:rFonts w:ascii="Arial" w:hAnsi="Arial" w:cs="Arial"/>
          <w:sz w:val="20"/>
        </w:rPr>
        <w:t xml:space="preserve"> and 40. </w:t>
      </w:r>
    </w:p>
    <w:p w:rsidR="004F4664" w:rsidRDefault="004F4664" w:rsidP="004F4664">
      <w:pPr>
        <w:pStyle w:val="BodyTextIndent"/>
        <w:spacing w:after="0"/>
        <w:ind w:left="0"/>
        <w:jc w:val="both"/>
        <w:rPr>
          <w:rFonts w:ascii="Arial" w:hAnsi="Arial" w:cs="Arial"/>
          <w:sz w:val="20"/>
        </w:rPr>
      </w:pPr>
    </w:p>
    <w:p w:rsidR="004F4664" w:rsidRPr="00BA1A54" w:rsidRDefault="004F4664" w:rsidP="004F4664">
      <w:pPr>
        <w:pStyle w:val="BodyTextIndent"/>
        <w:spacing w:after="0"/>
        <w:ind w:left="0"/>
        <w:jc w:val="both"/>
        <w:rPr>
          <w:rFonts w:ascii="Arial" w:hAnsi="Arial" w:cs="Arial"/>
          <w:sz w:val="20"/>
        </w:rPr>
      </w:pPr>
      <w:r w:rsidRPr="00BA1A54">
        <w:rPr>
          <w:rFonts w:ascii="Arial" w:hAnsi="Arial" w:cs="Arial"/>
          <w:sz w:val="20"/>
          <w:u w:val="single"/>
        </w:rPr>
        <w:t>APPLICABLE</w:t>
      </w:r>
      <w:r w:rsidRPr="00BA1A54">
        <w:rPr>
          <w:rFonts w:ascii="Arial" w:hAnsi="Arial" w:cs="Arial"/>
          <w:sz w:val="20"/>
        </w:rPr>
        <w:t>:</w:t>
      </w:r>
    </w:p>
    <w:p w:rsidR="004F4664" w:rsidRPr="00BA1A54" w:rsidRDefault="004F4664" w:rsidP="004F4664">
      <w:pPr>
        <w:pStyle w:val="BodyTextIndent"/>
        <w:spacing w:after="0"/>
        <w:ind w:left="0"/>
        <w:jc w:val="both"/>
        <w:rPr>
          <w:rFonts w:ascii="Arial" w:hAnsi="Arial" w:cs="Arial"/>
          <w:sz w:val="20"/>
        </w:rPr>
      </w:pPr>
      <w:r w:rsidRPr="00BA1A54">
        <w:rPr>
          <w:rFonts w:ascii="Arial" w:hAnsi="Arial" w:cs="Arial"/>
          <w:sz w:val="20"/>
        </w:rPr>
        <w:tab/>
      </w:r>
      <w:r>
        <w:rPr>
          <w:rFonts w:ascii="Arial" w:hAnsi="Arial" w:cs="Arial"/>
          <w:sz w:val="20"/>
        </w:rPr>
        <w:t xml:space="preserve">To all retail customers taking service under Residential Schedules 16, 17, 18, Small General Service Schedule 24, Large General Service Schedule 36, and Irrigation Schedule 40. This schedule does not apply to Large General Service Schedule 47—Partial Requirement Service Metered Time of Use 1,000 KW and Over, Large General Service Schedule 48—Metered Time of Use 1,000 KW and Over or to Street and Area Light Schedules 15 and 51 through 57. </w:t>
      </w:r>
      <w:r w:rsidRPr="00BA1A54">
        <w:rPr>
          <w:rFonts w:ascii="Arial" w:hAnsi="Arial" w:cs="Arial"/>
          <w:sz w:val="20"/>
        </w:rPr>
        <w:t xml:space="preserve">All bills calculated in accordance with </w:t>
      </w:r>
      <w:r>
        <w:rPr>
          <w:rFonts w:ascii="Arial" w:hAnsi="Arial" w:cs="Arial"/>
          <w:sz w:val="20"/>
        </w:rPr>
        <w:t xml:space="preserve">the above applicable schedules </w:t>
      </w:r>
      <w:r w:rsidRPr="00BA1A54">
        <w:rPr>
          <w:rFonts w:ascii="Arial" w:hAnsi="Arial" w:cs="Arial"/>
          <w:sz w:val="20"/>
        </w:rPr>
        <w:t xml:space="preserve">contained in presently effective </w:t>
      </w:r>
      <w:r>
        <w:rPr>
          <w:rFonts w:ascii="Arial" w:hAnsi="Arial" w:cs="Arial"/>
          <w:sz w:val="20"/>
        </w:rPr>
        <w:t xml:space="preserve">Tariff </w:t>
      </w:r>
      <w:proofErr w:type="spellStart"/>
      <w:r>
        <w:rPr>
          <w:rFonts w:ascii="Arial" w:hAnsi="Arial" w:cs="Arial"/>
          <w:sz w:val="20"/>
        </w:rPr>
        <w:t>WN</w:t>
      </w:r>
      <w:proofErr w:type="spellEnd"/>
      <w:r>
        <w:rPr>
          <w:rFonts w:ascii="Arial" w:hAnsi="Arial" w:cs="Arial"/>
          <w:sz w:val="20"/>
        </w:rPr>
        <w:t>. No. U-75</w:t>
      </w:r>
      <w:r w:rsidRPr="00BA1A54">
        <w:rPr>
          <w:rFonts w:ascii="Arial" w:hAnsi="Arial" w:cs="Arial"/>
          <w:sz w:val="20"/>
        </w:rPr>
        <w:t xml:space="preserve"> shall have </w:t>
      </w:r>
      <w:r>
        <w:rPr>
          <w:rFonts w:ascii="Arial" w:hAnsi="Arial" w:cs="Arial"/>
          <w:sz w:val="20"/>
        </w:rPr>
        <w:t xml:space="preserve">applied </w:t>
      </w:r>
      <w:r w:rsidRPr="00BA1A54">
        <w:rPr>
          <w:rFonts w:ascii="Arial" w:hAnsi="Arial" w:cs="Arial"/>
          <w:sz w:val="20"/>
        </w:rPr>
        <w:t>an amount equal to the product of all kilowatt-hours of use multiplied by the following cents per kilowatt-hour.</w:t>
      </w:r>
    </w:p>
    <w:p w:rsidR="004F4664" w:rsidRPr="00BA1A54" w:rsidRDefault="004F4664" w:rsidP="004F4664">
      <w:pPr>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16</w:t>
      </w:r>
      <w:r>
        <w:rPr>
          <w:rFonts w:ascii="Arial" w:hAnsi="Arial" w:cs="Arial"/>
          <w:sz w:val="20"/>
        </w:rPr>
        <w:t>/17/18</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24</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36</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40</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Default="004F4664" w:rsidP="004F4664">
      <w:pPr>
        <w:jc w:val="both"/>
        <w:rPr>
          <w:rFonts w:ascii="Arial" w:hAnsi="Arial" w:cs="Arial"/>
          <w:sz w:val="20"/>
          <w:u w:val="single"/>
        </w:rPr>
      </w:pPr>
    </w:p>
    <w:p w:rsidR="004F4664" w:rsidRDefault="004F4664" w:rsidP="004F4664">
      <w:pPr>
        <w:jc w:val="both"/>
        <w:rPr>
          <w:rFonts w:ascii="Arial" w:hAnsi="Arial" w:cs="Arial"/>
          <w:sz w:val="20"/>
          <w:u w:val="single"/>
        </w:rPr>
      </w:pPr>
      <w:r w:rsidRPr="003748C2">
        <w:rPr>
          <w:rFonts w:ascii="Arial" w:hAnsi="Arial" w:cs="Arial"/>
          <w:sz w:val="20"/>
          <w:u w:val="single"/>
        </w:rPr>
        <w:t>DECOUPLING MECHANISM:</w:t>
      </w:r>
    </w:p>
    <w:p w:rsidR="004F4664" w:rsidRPr="00217C9B" w:rsidRDefault="004F4664" w:rsidP="004F4664">
      <w:pPr>
        <w:ind w:firstLine="720"/>
        <w:jc w:val="both"/>
        <w:rPr>
          <w:rFonts w:ascii="Arial" w:hAnsi="Arial" w:cs="Arial"/>
          <w:sz w:val="20"/>
          <w:u w:val="single"/>
        </w:rPr>
      </w:pPr>
      <w:r w:rsidRPr="00217C9B">
        <w:rPr>
          <w:rFonts w:ascii="Arial" w:eastAsia="Times" w:hAnsi="Arial" w:cs="Arial"/>
          <w:sz w:val="20"/>
          <w:lang w:eastAsia="en-US"/>
        </w:rPr>
        <w:t xml:space="preserve">The decoupling mechanism includes a monthly deferral to capture the differences between the allowed and actual </w:t>
      </w:r>
      <w:r>
        <w:rPr>
          <w:rFonts w:ascii="Arial" w:eastAsia="Times" w:hAnsi="Arial" w:cs="Arial"/>
          <w:sz w:val="20"/>
          <w:lang w:eastAsia="en-US"/>
        </w:rPr>
        <w:t xml:space="preserve">decoupled </w:t>
      </w:r>
      <w:r w:rsidRPr="00217C9B">
        <w:rPr>
          <w:rFonts w:ascii="Arial" w:eastAsia="Times" w:hAnsi="Arial" w:cs="Arial"/>
          <w:sz w:val="20"/>
          <w:lang w:eastAsia="en-US"/>
        </w:rPr>
        <w:t xml:space="preserve">revenue.  </w:t>
      </w:r>
      <w:r>
        <w:rPr>
          <w:rFonts w:ascii="Arial" w:eastAsia="Times" w:hAnsi="Arial" w:cs="Arial"/>
          <w:sz w:val="20"/>
          <w:lang w:eastAsia="en-US"/>
        </w:rPr>
        <w:t xml:space="preserve">Decoupled revenue includes all revenue from the applicable rate schedules excluding net power costs and fixed monthly basic charges.  </w:t>
      </w:r>
      <w:r w:rsidRPr="00217C9B">
        <w:rPr>
          <w:rFonts w:ascii="Arial" w:eastAsia="Times" w:hAnsi="Arial" w:cs="Arial"/>
          <w:sz w:val="20"/>
          <w:lang w:eastAsia="en-US"/>
        </w:rPr>
        <w:t xml:space="preserve">The monthly allowed </w:t>
      </w:r>
      <w:r>
        <w:rPr>
          <w:rFonts w:ascii="Arial" w:eastAsia="Times" w:hAnsi="Arial" w:cs="Arial"/>
          <w:sz w:val="20"/>
          <w:lang w:eastAsia="en-US"/>
        </w:rPr>
        <w:t xml:space="preserve">decoupled </w:t>
      </w:r>
      <w:r w:rsidRPr="00217C9B">
        <w:rPr>
          <w:rFonts w:ascii="Arial" w:eastAsia="Times" w:hAnsi="Arial" w:cs="Arial"/>
          <w:sz w:val="20"/>
          <w:lang w:eastAsia="en-US"/>
        </w:rPr>
        <w:t>revenue per customer is determined as follow</w:t>
      </w:r>
      <w:r>
        <w:rPr>
          <w:rFonts w:ascii="Arial" w:eastAsia="Times" w:hAnsi="Arial" w:cs="Arial"/>
          <w:sz w:val="20"/>
          <w:lang w:eastAsia="en-US"/>
        </w:rPr>
        <w:t>s for each of the applicable rate schedule balancing accounts</w:t>
      </w:r>
      <w:r w:rsidRPr="00217C9B">
        <w:rPr>
          <w:rFonts w:ascii="Arial" w:eastAsia="Times" w:hAnsi="Arial" w:cs="Arial"/>
          <w:sz w:val="20"/>
          <w:lang w:eastAsia="en-US"/>
        </w:rPr>
        <w:t xml:space="preserve">: </w:t>
      </w:r>
    </w:p>
    <w:p w:rsidR="004F4664" w:rsidRDefault="004F4664" w:rsidP="004F4664">
      <w:pPr>
        <w:jc w:val="both"/>
        <w:rPr>
          <w:rFonts w:ascii="Arial" w:hAnsi="Arial" w:cs="Arial"/>
          <w:sz w:val="20"/>
        </w:rPr>
      </w:pPr>
    </w:p>
    <w:p w:rsidR="004F4664" w:rsidRPr="00CC016A" w:rsidRDefault="004F4664" w:rsidP="004F4664">
      <w:pPr>
        <w:jc w:val="both"/>
        <w:rPr>
          <w:rFonts w:ascii="Arial" w:hAnsi="Arial" w:cs="Arial"/>
          <w:sz w:val="20"/>
          <w:u w:val="single"/>
        </w:rPr>
      </w:pPr>
      <w:r>
        <w:rPr>
          <w:rFonts w:ascii="Arial" w:hAnsi="Arial" w:cs="Arial"/>
          <w:sz w:val="20"/>
        </w:rPr>
        <w:tab/>
      </w:r>
      <w:r w:rsidRPr="00CC016A">
        <w:rPr>
          <w:rFonts w:ascii="Arial" w:hAnsi="Arial" w:cs="Arial"/>
          <w:sz w:val="20"/>
          <w:u w:val="single"/>
        </w:rPr>
        <w:t xml:space="preserve">Calculation of Monthly Allowed </w:t>
      </w:r>
      <w:r>
        <w:rPr>
          <w:rFonts w:ascii="Arial" w:hAnsi="Arial" w:cs="Arial"/>
          <w:sz w:val="20"/>
          <w:u w:val="single"/>
        </w:rPr>
        <w:t>Decoupled</w:t>
      </w:r>
      <w:r w:rsidRPr="00CC016A">
        <w:rPr>
          <w:rFonts w:ascii="Arial" w:hAnsi="Arial" w:cs="Arial"/>
          <w:sz w:val="20"/>
          <w:u w:val="single"/>
        </w:rPr>
        <w:t xml:space="preserve"> Revenue Per Customer:</w:t>
      </w:r>
    </w:p>
    <w:p w:rsidR="004F4664" w:rsidRPr="00C526EF" w:rsidRDefault="004F4664" w:rsidP="004F4664">
      <w:pPr>
        <w:ind w:left="720"/>
        <w:jc w:val="both"/>
        <w:rPr>
          <w:rFonts w:ascii="Times" w:eastAsia="Times" w:hAnsi="Times"/>
          <w:sz w:val="24"/>
          <w:lang w:eastAsia="en-US"/>
        </w:rPr>
      </w:pP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u w:val="single"/>
          <w:lang w:eastAsia="en-US"/>
        </w:rPr>
        <w:t>Step 1</w:t>
      </w:r>
      <w:r w:rsidRPr="00217C9B">
        <w:rPr>
          <w:rFonts w:ascii="Arial" w:eastAsia="Times" w:hAnsi="Arial" w:cs="Arial"/>
          <w:sz w:val="20"/>
          <w:lang w:eastAsia="en-US"/>
        </w:rPr>
        <w:t xml:space="preserve"> – Determine the Total Revenue – The Total Revenue will be the revenue for the 12-month period </w:t>
      </w:r>
      <w:r>
        <w:rPr>
          <w:rFonts w:ascii="Arial" w:eastAsia="Times" w:hAnsi="Arial" w:cs="Arial"/>
          <w:sz w:val="20"/>
          <w:lang w:eastAsia="en-US"/>
        </w:rPr>
        <w:t xml:space="preserve">used to set rates for the applicable rate schedules.  </w:t>
      </w:r>
    </w:p>
    <w:p w:rsidR="004F4664" w:rsidRPr="00C526EF" w:rsidRDefault="004F4664" w:rsidP="004F4664">
      <w:pPr>
        <w:ind w:left="720"/>
        <w:jc w:val="both"/>
        <w:rPr>
          <w:rFonts w:ascii="Times" w:eastAsia="Times" w:hAnsi="Times"/>
          <w:sz w:val="24"/>
          <w:lang w:eastAsia="en-US"/>
        </w:rPr>
      </w:pPr>
      <w:r>
        <w:rPr>
          <w:rFonts w:ascii="Times" w:eastAsia="Times" w:hAnsi="Times"/>
          <w:sz w:val="24"/>
          <w:lang w:eastAsia="en-US"/>
        </w:rPr>
        <w:t xml:space="preserve"> </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u w:val="single"/>
          <w:lang w:eastAsia="en-US"/>
        </w:rPr>
        <w:t>Step 2</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Net Power Cost Revenue – Total Net Power Cost Revenue is equal to the total net power cost in rates as approved in UE-140762 or the net power costs in rates from the Company’s latest </w:t>
      </w:r>
      <w:r>
        <w:rPr>
          <w:rFonts w:ascii="Arial" w:eastAsia="Times" w:hAnsi="Arial" w:cs="Arial"/>
          <w:sz w:val="20"/>
          <w:lang w:eastAsia="en-US"/>
        </w:rPr>
        <w:t>g</w:t>
      </w:r>
      <w:r w:rsidRPr="00217C9B">
        <w:rPr>
          <w:rFonts w:ascii="Arial" w:eastAsia="Times" w:hAnsi="Arial" w:cs="Arial"/>
          <w:sz w:val="20"/>
          <w:lang w:eastAsia="en-US"/>
        </w:rPr>
        <w:t xml:space="preserve">eneral </w:t>
      </w:r>
      <w:r>
        <w:rPr>
          <w:rFonts w:ascii="Arial" w:eastAsia="Times" w:hAnsi="Arial" w:cs="Arial"/>
          <w:sz w:val="20"/>
          <w:lang w:eastAsia="en-US"/>
        </w:rPr>
        <w:t>r</w:t>
      </w:r>
      <w:r w:rsidRPr="00217C9B">
        <w:rPr>
          <w:rFonts w:ascii="Arial" w:eastAsia="Times" w:hAnsi="Arial" w:cs="Arial"/>
          <w:sz w:val="20"/>
          <w:lang w:eastAsia="en-US"/>
        </w:rPr>
        <w:t xml:space="preserve">ate </w:t>
      </w:r>
      <w:r>
        <w:rPr>
          <w:rFonts w:ascii="Arial" w:eastAsia="Times" w:hAnsi="Arial" w:cs="Arial"/>
          <w:sz w:val="20"/>
          <w:lang w:eastAsia="en-US"/>
        </w:rPr>
        <w:t>c</w:t>
      </w:r>
      <w:r w:rsidRPr="00217C9B">
        <w:rPr>
          <w:rFonts w:ascii="Arial" w:eastAsia="Times" w:hAnsi="Arial" w:cs="Arial"/>
          <w:sz w:val="20"/>
          <w:lang w:eastAsia="en-US"/>
        </w:rPr>
        <w:t>ase.</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lang w:eastAsia="en-US"/>
        </w:rPr>
        <w:t xml:space="preserve"> </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u w:val="single"/>
          <w:lang w:eastAsia="en-US"/>
        </w:rPr>
        <w:t>Step 3</w:t>
      </w:r>
      <w:r w:rsidRPr="00217C9B">
        <w:rPr>
          <w:rFonts w:ascii="Arial" w:eastAsia="Times" w:hAnsi="Arial" w:cs="Arial"/>
          <w:sz w:val="20"/>
          <w:lang w:eastAsia="en-US"/>
        </w:rPr>
        <w:t xml:space="preserve"> – Determine </w:t>
      </w:r>
      <w:r>
        <w:rPr>
          <w:rFonts w:ascii="Arial" w:eastAsia="Times" w:hAnsi="Arial" w:cs="Arial"/>
          <w:sz w:val="20"/>
          <w:lang w:eastAsia="en-US"/>
        </w:rPr>
        <w:t>Fixed Basic Charge Revenue</w:t>
      </w:r>
      <w:r w:rsidRPr="00217C9B">
        <w:rPr>
          <w:rFonts w:ascii="Arial" w:eastAsia="Times" w:hAnsi="Arial" w:cs="Arial"/>
          <w:sz w:val="20"/>
          <w:lang w:eastAsia="en-US"/>
        </w:rPr>
        <w:t xml:space="preserve"> –</w:t>
      </w:r>
      <w:r>
        <w:rPr>
          <w:rFonts w:ascii="Arial" w:eastAsia="Times" w:hAnsi="Arial" w:cs="Arial"/>
          <w:sz w:val="20"/>
          <w:lang w:eastAsia="en-US"/>
        </w:rPr>
        <w:t>Fixed Basic Charge Revenue is equal to the revenue for the fixed basic charge and the fixed minimum charge for the 12-month period used to set rates</w:t>
      </w:r>
      <w:r w:rsidRPr="00217C9B">
        <w:rPr>
          <w:rFonts w:ascii="Arial" w:eastAsia="Times" w:hAnsi="Arial" w:cs="Arial"/>
          <w:sz w:val="20"/>
          <w:lang w:eastAsia="en-US"/>
        </w:rPr>
        <w:t>.</w:t>
      </w:r>
    </w:p>
    <w:p w:rsidR="004F4664" w:rsidRPr="00217C9B" w:rsidRDefault="004F4664" w:rsidP="004F4664">
      <w:pPr>
        <w:ind w:left="720"/>
        <w:jc w:val="both"/>
        <w:rPr>
          <w:rFonts w:ascii="Arial" w:eastAsia="Times" w:hAnsi="Arial" w:cs="Arial"/>
          <w:sz w:val="20"/>
          <w:u w:val="single"/>
          <w:lang w:eastAsia="en-US"/>
        </w:rPr>
      </w:pPr>
    </w:p>
    <w:p w:rsidR="006A266F" w:rsidRPr="00782828" w:rsidRDefault="004F4664" w:rsidP="006B02FD">
      <w:pPr>
        <w:ind w:left="720"/>
        <w:rPr>
          <w:rFonts w:ascii="Arial" w:hAnsi="Arial" w:cs="Arial"/>
          <w:sz w:val="20"/>
        </w:rPr>
      </w:pPr>
      <w:r w:rsidRPr="00217C9B">
        <w:rPr>
          <w:rFonts w:ascii="Arial" w:eastAsia="Times" w:hAnsi="Arial" w:cs="Arial"/>
          <w:sz w:val="20"/>
          <w:u w:val="single"/>
          <w:lang w:eastAsia="en-US"/>
        </w:rPr>
        <w:t xml:space="preserve">Step </w:t>
      </w:r>
      <w:r>
        <w:rPr>
          <w:rFonts w:ascii="Arial" w:eastAsia="Times" w:hAnsi="Arial" w:cs="Arial"/>
          <w:sz w:val="20"/>
          <w:u w:val="single"/>
          <w:lang w:eastAsia="en-US"/>
        </w:rPr>
        <w:t>4</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w:t>
      </w:r>
      <w:r>
        <w:rPr>
          <w:rFonts w:ascii="Arial" w:eastAsia="Times" w:hAnsi="Arial" w:cs="Arial"/>
          <w:sz w:val="20"/>
          <w:lang w:eastAsia="en-US"/>
        </w:rPr>
        <w:t xml:space="preserve">Allowed </w:t>
      </w:r>
      <w:r w:rsidRPr="00217C9B">
        <w:rPr>
          <w:rFonts w:ascii="Arial" w:eastAsia="Times" w:hAnsi="Arial" w:cs="Arial"/>
          <w:sz w:val="20"/>
          <w:lang w:eastAsia="en-US"/>
        </w:rPr>
        <w:t xml:space="preserve">Decoupled Revenue – </w:t>
      </w:r>
      <w:r>
        <w:rPr>
          <w:rFonts w:ascii="Arial" w:eastAsia="Times" w:hAnsi="Arial" w:cs="Arial"/>
          <w:sz w:val="20"/>
          <w:lang w:eastAsia="en-US"/>
        </w:rPr>
        <w:t xml:space="preserve">Allowed </w:t>
      </w:r>
      <w:r w:rsidRPr="00217C9B">
        <w:rPr>
          <w:rFonts w:ascii="Arial" w:eastAsia="Times" w:hAnsi="Arial" w:cs="Arial"/>
          <w:sz w:val="20"/>
          <w:lang w:eastAsia="en-US"/>
        </w:rPr>
        <w:t>Decouple</w:t>
      </w:r>
      <w:r>
        <w:rPr>
          <w:rFonts w:ascii="Arial" w:eastAsia="Times" w:hAnsi="Arial" w:cs="Arial"/>
          <w:sz w:val="20"/>
          <w:lang w:eastAsia="en-US"/>
        </w:rPr>
        <w:t>d</w:t>
      </w:r>
      <w:r w:rsidRPr="00217C9B">
        <w:rPr>
          <w:rFonts w:ascii="Arial" w:eastAsia="Times" w:hAnsi="Arial" w:cs="Arial"/>
          <w:sz w:val="20"/>
          <w:lang w:eastAsia="en-US"/>
        </w:rPr>
        <w:t xml:space="preserve"> Revenue is equal to the </w:t>
      </w:r>
      <w:r>
        <w:rPr>
          <w:rFonts w:ascii="Arial" w:eastAsia="Times" w:hAnsi="Arial" w:cs="Arial"/>
          <w:sz w:val="20"/>
          <w:lang w:eastAsia="en-US"/>
        </w:rPr>
        <w:t xml:space="preserve">Total Revenue (Step 1) minus </w:t>
      </w:r>
      <w:r w:rsidRPr="00217C9B">
        <w:rPr>
          <w:rFonts w:ascii="Arial" w:eastAsia="Times" w:hAnsi="Arial" w:cs="Arial"/>
          <w:sz w:val="20"/>
          <w:lang w:eastAsia="en-US"/>
        </w:rPr>
        <w:t xml:space="preserve">Net Power Cost Revenue (Step </w:t>
      </w:r>
      <w:r>
        <w:rPr>
          <w:rFonts w:ascii="Arial" w:eastAsia="Times" w:hAnsi="Arial" w:cs="Arial"/>
          <w:sz w:val="20"/>
          <w:lang w:eastAsia="en-US"/>
        </w:rPr>
        <w:t>2</w:t>
      </w:r>
      <w:r w:rsidRPr="00217C9B">
        <w:rPr>
          <w:rFonts w:ascii="Arial" w:eastAsia="Times" w:hAnsi="Arial" w:cs="Arial"/>
          <w:sz w:val="20"/>
          <w:lang w:eastAsia="en-US"/>
        </w:rPr>
        <w:t xml:space="preserve">) </w:t>
      </w:r>
      <w:r>
        <w:rPr>
          <w:rFonts w:ascii="Arial" w:eastAsia="Times" w:hAnsi="Arial" w:cs="Arial"/>
          <w:sz w:val="20"/>
          <w:lang w:eastAsia="en-US"/>
        </w:rPr>
        <w:t xml:space="preserve">and </w:t>
      </w:r>
      <w:r w:rsidRPr="00217C9B">
        <w:rPr>
          <w:rFonts w:ascii="Arial" w:eastAsia="Times" w:hAnsi="Arial" w:cs="Arial"/>
          <w:sz w:val="20"/>
          <w:lang w:eastAsia="en-US"/>
        </w:rPr>
        <w:t xml:space="preserve">minus </w:t>
      </w:r>
      <w:r>
        <w:rPr>
          <w:rFonts w:ascii="Arial" w:eastAsia="Times" w:hAnsi="Arial" w:cs="Arial"/>
          <w:sz w:val="20"/>
          <w:lang w:eastAsia="en-US"/>
        </w:rPr>
        <w:t xml:space="preserve">Fixed </w:t>
      </w:r>
      <w:r w:rsidRPr="00217C9B">
        <w:rPr>
          <w:rFonts w:ascii="Arial" w:eastAsia="Times" w:hAnsi="Arial" w:cs="Arial"/>
          <w:sz w:val="20"/>
          <w:lang w:eastAsia="en-US"/>
        </w:rPr>
        <w:t>Basic Charge Revenue</w:t>
      </w:r>
      <w:r>
        <w:rPr>
          <w:rFonts w:ascii="Arial" w:eastAsia="Times" w:hAnsi="Arial" w:cs="Arial"/>
          <w:sz w:val="20"/>
          <w:lang w:eastAsia="en-US"/>
        </w:rPr>
        <w:t xml:space="preserve"> (Step 3)</w:t>
      </w:r>
      <w:r w:rsidRPr="00217C9B">
        <w:rPr>
          <w:rFonts w:ascii="Arial" w:eastAsia="Times" w:hAnsi="Arial" w:cs="Arial"/>
          <w:sz w:val="20"/>
          <w:lang w:eastAsia="en-US"/>
        </w:rPr>
        <w:t xml:space="preserve">. </w:t>
      </w:r>
    </w:p>
    <w:sectPr w:rsidR="006A266F" w:rsidRPr="0078282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DF" w:rsidRDefault="00250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68730D">
      <w:rPr>
        <w:rFonts w:ascii="Arial" w:hAnsi="Arial" w:cs="Arial"/>
        <w:sz w:val="20"/>
      </w:rPr>
      <w:t>April 7, 2016</w:t>
    </w:r>
    <w:r>
      <w:rPr>
        <w:rFonts w:ascii="Arial" w:hAnsi="Arial" w:cs="Arial"/>
        <w:sz w:val="20"/>
      </w:rPr>
      <w:tab/>
    </w:r>
    <w:r>
      <w:rPr>
        <w:rFonts w:ascii="Arial" w:hAnsi="Arial" w:cs="Arial"/>
        <w:b/>
        <w:sz w:val="20"/>
      </w:rPr>
      <w:t>Effective:</w:t>
    </w:r>
    <w:r>
      <w:rPr>
        <w:rFonts w:ascii="Arial" w:hAnsi="Arial" w:cs="Arial"/>
        <w:sz w:val="20"/>
      </w:rPr>
      <w:t xml:space="preserve"> </w:t>
    </w:r>
    <w:r w:rsidR="0068730D">
      <w:rPr>
        <w:rFonts w:ascii="Arial" w:hAnsi="Arial" w:cs="Arial"/>
        <w:sz w:val="20"/>
      </w:rPr>
      <w:t>July 1, 2016</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68730D">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DF" w:rsidRDefault="00250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DF" w:rsidRDefault="00250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A91A21">
      <w:rPr>
        <w:rFonts w:ascii="Arial" w:hAnsi="Arial" w:cs="Arial"/>
        <w:sz w:val="20"/>
      </w:rPr>
      <w:t>.1</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DF" w:rsidRDefault="00250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F4"/>
    <w:rsid w:val="000E3B96"/>
    <w:rsid w:val="0010710A"/>
    <w:rsid w:val="001522E7"/>
    <w:rsid w:val="001620F1"/>
    <w:rsid w:val="00172CFA"/>
    <w:rsid w:val="001D4F15"/>
    <w:rsid w:val="001F19AC"/>
    <w:rsid w:val="00204381"/>
    <w:rsid w:val="00205735"/>
    <w:rsid w:val="00250FDF"/>
    <w:rsid w:val="00266E07"/>
    <w:rsid w:val="00274DAC"/>
    <w:rsid w:val="002C1B76"/>
    <w:rsid w:val="002C79BC"/>
    <w:rsid w:val="002E41E4"/>
    <w:rsid w:val="002E6C6E"/>
    <w:rsid w:val="00341521"/>
    <w:rsid w:val="0034455A"/>
    <w:rsid w:val="00360A6E"/>
    <w:rsid w:val="003F72C1"/>
    <w:rsid w:val="004043D5"/>
    <w:rsid w:val="004A30F3"/>
    <w:rsid w:val="004B1617"/>
    <w:rsid w:val="004C5FE8"/>
    <w:rsid w:val="004F2A6C"/>
    <w:rsid w:val="004F4664"/>
    <w:rsid w:val="00534D32"/>
    <w:rsid w:val="00546A05"/>
    <w:rsid w:val="00554EB1"/>
    <w:rsid w:val="00555712"/>
    <w:rsid w:val="00564506"/>
    <w:rsid w:val="00577682"/>
    <w:rsid w:val="00580EC3"/>
    <w:rsid w:val="00590B21"/>
    <w:rsid w:val="005A1156"/>
    <w:rsid w:val="005B0070"/>
    <w:rsid w:val="005E29DE"/>
    <w:rsid w:val="005F64B9"/>
    <w:rsid w:val="005F7880"/>
    <w:rsid w:val="00601236"/>
    <w:rsid w:val="00622929"/>
    <w:rsid w:val="006638F3"/>
    <w:rsid w:val="0068713C"/>
    <w:rsid w:val="0068730D"/>
    <w:rsid w:val="00690554"/>
    <w:rsid w:val="006A266F"/>
    <w:rsid w:val="006B02FD"/>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D784A"/>
    <w:rsid w:val="008E7364"/>
    <w:rsid w:val="00914370"/>
    <w:rsid w:val="00920A5D"/>
    <w:rsid w:val="00990C5D"/>
    <w:rsid w:val="009E0C82"/>
    <w:rsid w:val="00A261ED"/>
    <w:rsid w:val="00A91A21"/>
    <w:rsid w:val="00AA6EAF"/>
    <w:rsid w:val="00AD2ABC"/>
    <w:rsid w:val="00AD4335"/>
    <w:rsid w:val="00AE07BB"/>
    <w:rsid w:val="00AE1E9E"/>
    <w:rsid w:val="00AE7611"/>
    <w:rsid w:val="00AF0EAC"/>
    <w:rsid w:val="00B05623"/>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9D9E4C-B4E0-4F4A-B283-206D1118A6CC}"/>
</file>

<file path=customXml/itemProps2.xml><?xml version="1.0" encoding="utf-8"?>
<ds:datastoreItem xmlns:ds="http://schemas.openxmlformats.org/officeDocument/2006/customXml" ds:itemID="{AA8300FD-6366-404B-957F-96A8E1437F32}"/>
</file>

<file path=customXml/itemProps3.xml><?xml version="1.0" encoding="utf-8"?>
<ds:datastoreItem xmlns:ds="http://schemas.openxmlformats.org/officeDocument/2006/customXml" ds:itemID="{0AEACF3C-DF11-41A6-B0A6-B514B4DB7C79}"/>
</file>

<file path=customXml/itemProps4.xml><?xml version="1.0" encoding="utf-8"?>
<ds:datastoreItem xmlns:ds="http://schemas.openxmlformats.org/officeDocument/2006/customXml" ds:itemID="{3A5D29E8-CFC1-48A5-975D-DB61B3F4C5F4}"/>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2016-04-07T16:36:00Z</dcterms:created>
  <dcterms:modified xsi:type="dcterms:W3CDTF">2016-04-07T16:36:00Z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