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SimSun" w:hAnsi="Times New Roman" w:cs="Times New Roman"/>
          <w:b w:val="0"/>
          <w:bCs w:val="0"/>
          <w:color w:val="auto"/>
          <w:sz w:val="24"/>
          <w:szCs w:val="24"/>
          <w:lang w:eastAsia="zh-CN"/>
        </w:rPr>
        <w:id w:val="-1653276189"/>
        <w:docPartObj>
          <w:docPartGallery w:val="Table of Contents"/>
          <w:docPartUnique/>
        </w:docPartObj>
      </w:sdtPr>
      <w:sdtEndPr>
        <w:rPr>
          <w:noProof/>
        </w:rPr>
      </w:sdtEndPr>
      <w:sdtContent>
        <w:p w:rsidR="00B30954" w:rsidRPr="00E354E4" w:rsidRDefault="00B30954" w:rsidP="00B30954">
          <w:pPr>
            <w:pStyle w:val="TOCHeading"/>
            <w:suppressLineNumbers/>
            <w:spacing w:before="0" w:line="480" w:lineRule="auto"/>
            <w:jc w:val="center"/>
            <w:rPr>
              <w:rFonts w:ascii="Times New Roman" w:hAnsi="Times New Roman" w:cs="Times New Roman"/>
              <w:color w:val="auto"/>
              <w:sz w:val="24"/>
            </w:rPr>
          </w:pPr>
          <w:r w:rsidRPr="00E354E4">
            <w:rPr>
              <w:rFonts w:ascii="Times New Roman" w:hAnsi="Times New Roman" w:cs="Times New Roman"/>
              <w:color w:val="auto"/>
              <w:sz w:val="24"/>
            </w:rPr>
            <w:t>TABLE OF CONTENTS</w:t>
          </w:r>
        </w:p>
        <w:p w:rsidR="00B30954" w:rsidRDefault="00B30954" w:rsidP="00B30954">
          <w:pPr>
            <w:pStyle w:val="TOC1"/>
            <w:suppressLineNumbers/>
            <w:tabs>
              <w:tab w:val="right" w:leader="dot" w:pos="8990"/>
            </w:tabs>
            <w:spacing w:after="0" w:line="360" w:lineRule="auto"/>
            <w:rPr>
              <w:noProof/>
            </w:rPr>
          </w:pPr>
          <w:r>
            <w:fldChar w:fldCharType="begin"/>
          </w:r>
          <w:r>
            <w:instrText xml:space="preserve"> TOC \o "1-3" \h \z \u </w:instrText>
          </w:r>
          <w:r>
            <w:fldChar w:fldCharType="separate"/>
          </w:r>
          <w:hyperlink w:anchor="_Toc447709069" w:history="1">
            <w:r w:rsidRPr="004E62FF">
              <w:rPr>
                <w:rStyle w:val="Hyperlink"/>
                <w:noProof/>
              </w:rPr>
              <w:t>PURPOSE AND SUMMARY OF TESTIMONY</w:t>
            </w:r>
            <w:r>
              <w:rPr>
                <w:noProof/>
                <w:webHidden/>
              </w:rPr>
              <w:tab/>
            </w:r>
            <w:r>
              <w:rPr>
                <w:noProof/>
                <w:webHidden/>
              </w:rPr>
              <w:fldChar w:fldCharType="begin"/>
            </w:r>
            <w:r>
              <w:rPr>
                <w:noProof/>
                <w:webHidden/>
              </w:rPr>
              <w:instrText xml:space="preserve"> PAGEREF _Toc447709069 \h </w:instrText>
            </w:r>
            <w:r>
              <w:rPr>
                <w:noProof/>
                <w:webHidden/>
              </w:rPr>
            </w:r>
            <w:r>
              <w:rPr>
                <w:noProof/>
                <w:webHidden/>
              </w:rPr>
              <w:fldChar w:fldCharType="separate"/>
            </w:r>
            <w:r w:rsidR="00B801A8">
              <w:rPr>
                <w:noProof/>
                <w:webHidden/>
              </w:rPr>
              <w:t>1</w:t>
            </w:r>
            <w:r>
              <w:rPr>
                <w:noProof/>
                <w:webHidden/>
              </w:rPr>
              <w:fldChar w:fldCharType="end"/>
            </w:r>
          </w:hyperlink>
        </w:p>
        <w:p w:rsidR="00B30954" w:rsidRDefault="00687C7A" w:rsidP="00B30954">
          <w:pPr>
            <w:pStyle w:val="TOC1"/>
            <w:suppressLineNumbers/>
            <w:tabs>
              <w:tab w:val="right" w:leader="dot" w:pos="8990"/>
            </w:tabs>
            <w:spacing w:after="0" w:line="360" w:lineRule="auto"/>
            <w:rPr>
              <w:noProof/>
            </w:rPr>
          </w:pPr>
          <w:hyperlink w:anchor="_Toc447709070" w:history="1">
            <w:r w:rsidR="00B30954" w:rsidRPr="004E62FF">
              <w:rPr>
                <w:rStyle w:val="Hyperlink"/>
                <w:noProof/>
              </w:rPr>
              <w:t>COMPANY PROCESS FOR REVIEW OF SCR INVESTMENTS</w:t>
            </w:r>
            <w:r w:rsidR="00B30954">
              <w:rPr>
                <w:noProof/>
                <w:webHidden/>
              </w:rPr>
              <w:tab/>
            </w:r>
            <w:r w:rsidR="00B30954">
              <w:rPr>
                <w:noProof/>
                <w:webHidden/>
              </w:rPr>
              <w:fldChar w:fldCharType="begin"/>
            </w:r>
            <w:r w:rsidR="00B30954">
              <w:rPr>
                <w:noProof/>
                <w:webHidden/>
              </w:rPr>
              <w:instrText xml:space="preserve"> PAGEREF _Toc447709070 \h </w:instrText>
            </w:r>
            <w:r w:rsidR="00B30954">
              <w:rPr>
                <w:noProof/>
                <w:webHidden/>
              </w:rPr>
            </w:r>
            <w:r w:rsidR="00B30954">
              <w:rPr>
                <w:noProof/>
                <w:webHidden/>
              </w:rPr>
              <w:fldChar w:fldCharType="separate"/>
            </w:r>
            <w:r w:rsidR="00B801A8">
              <w:rPr>
                <w:noProof/>
                <w:webHidden/>
              </w:rPr>
              <w:t>5</w:t>
            </w:r>
            <w:r w:rsidR="00B30954">
              <w:rPr>
                <w:noProof/>
                <w:webHidden/>
              </w:rPr>
              <w:fldChar w:fldCharType="end"/>
            </w:r>
          </w:hyperlink>
        </w:p>
        <w:p w:rsidR="00B30954" w:rsidRDefault="00687C7A" w:rsidP="00B30954">
          <w:pPr>
            <w:pStyle w:val="TOC1"/>
            <w:suppressLineNumbers/>
            <w:tabs>
              <w:tab w:val="right" w:leader="dot" w:pos="8990"/>
            </w:tabs>
            <w:spacing w:after="0" w:line="360" w:lineRule="auto"/>
            <w:rPr>
              <w:noProof/>
            </w:rPr>
          </w:pPr>
          <w:hyperlink w:anchor="_Toc447709071" w:history="1">
            <w:r w:rsidR="00B30954" w:rsidRPr="004E62FF">
              <w:rPr>
                <w:rStyle w:val="Hyperlink"/>
                <w:noProof/>
              </w:rPr>
              <w:t>PROJECT SCOPE AND TIMING</w:t>
            </w:r>
            <w:r w:rsidR="00B30954">
              <w:rPr>
                <w:noProof/>
                <w:webHidden/>
              </w:rPr>
              <w:tab/>
            </w:r>
            <w:r w:rsidR="00B30954">
              <w:rPr>
                <w:noProof/>
                <w:webHidden/>
              </w:rPr>
              <w:fldChar w:fldCharType="begin"/>
            </w:r>
            <w:r w:rsidR="00B30954">
              <w:rPr>
                <w:noProof/>
                <w:webHidden/>
              </w:rPr>
              <w:instrText xml:space="preserve"> PAGEREF _Toc447709071 \h </w:instrText>
            </w:r>
            <w:r w:rsidR="00B30954">
              <w:rPr>
                <w:noProof/>
                <w:webHidden/>
              </w:rPr>
            </w:r>
            <w:r w:rsidR="00B30954">
              <w:rPr>
                <w:noProof/>
                <w:webHidden/>
              </w:rPr>
              <w:fldChar w:fldCharType="separate"/>
            </w:r>
            <w:r w:rsidR="00B801A8">
              <w:rPr>
                <w:noProof/>
                <w:webHidden/>
              </w:rPr>
              <w:t>17</w:t>
            </w:r>
            <w:r w:rsidR="00B30954">
              <w:rPr>
                <w:noProof/>
                <w:webHidden/>
              </w:rPr>
              <w:fldChar w:fldCharType="end"/>
            </w:r>
          </w:hyperlink>
        </w:p>
        <w:p w:rsidR="00B30954" w:rsidRDefault="00687C7A" w:rsidP="00B30954">
          <w:pPr>
            <w:pStyle w:val="TOC1"/>
            <w:suppressLineNumbers/>
            <w:tabs>
              <w:tab w:val="right" w:leader="dot" w:pos="8990"/>
            </w:tabs>
            <w:spacing w:after="0" w:line="360" w:lineRule="auto"/>
            <w:rPr>
              <w:noProof/>
            </w:rPr>
          </w:pPr>
          <w:hyperlink w:anchor="_Toc447709072" w:history="1">
            <w:r w:rsidR="00B30954" w:rsidRPr="004E62FF">
              <w:rPr>
                <w:rStyle w:val="Hyperlink"/>
                <w:noProof/>
              </w:rPr>
              <w:t>CONCLUSION</w:t>
            </w:r>
            <w:r w:rsidR="00B30954">
              <w:rPr>
                <w:noProof/>
                <w:webHidden/>
              </w:rPr>
              <w:tab/>
            </w:r>
            <w:r w:rsidR="00B30954">
              <w:rPr>
                <w:noProof/>
                <w:webHidden/>
              </w:rPr>
              <w:fldChar w:fldCharType="begin"/>
            </w:r>
            <w:r w:rsidR="00B30954">
              <w:rPr>
                <w:noProof/>
                <w:webHidden/>
              </w:rPr>
              <w:instrText xml:space="preserve"> PAGEREF _Toc447709072 \h </w:instrText>
            </w:r>
            <w:r w:rsidR="00B30954">
              <w:rPr>
                <w:noProof/>
                <w:webHidden/>
              </w:rPr>
            </w:r>
            <w:r w:rsidR="00B30954">
              <w:rPr>
                <w:noProof/>
                <w:webHidden/>
              </w:rPr>
              <w:fldChar w:fldCharType="separate"/>
            </w:r>
            <w:r w:rsidR="00B801A8">
              <w:rPr>
                <w:noProof/>
                <w:webHidden/>
              </w:rPr>
              <w:t>20</w:t>
            </w:r>
            <w:r w:rsidR="00B30954">
              <w:rPr>
                <w:noProof/>
                <w:webHidden/>
              </w:rPr>
              <w:fldChar w:fldCharType="end"/>
            </w:r>
          </w:hyperlink>
        </w:p>
        <w:p w:rsidR="00B30954" w:rsidRDefault="00B30954" w:rsidP="00B30954">
          <w:pPr>
            <w:suppressLineNumbers/>
          </w:pPr>
          <w:r>
            <w:rPr>
              <w:b/>
              <w:bCs/>
              <w:noProof/>
            </w:rPr>
            <w:fldChar w:fldCharType="end"/>
          </w:r>
        </w:p>
      </w:sdtContent>
    </w:sdt>
    <w:p w:rsidR="00AA2DEF" w:rsidRDefault="00B30954" w:rsidP="00B30954">
      <w:pPr>
        <w:suppressLineNumbers/>
        <w:spacing w:line="480" w:lineRule="auto"/>
        <w:ind w:left="720" w:hanging="720"/>
        <w:jc w:val="center"/>
        <w:rPr>
          <w:b/>
        </w:rPr>
      </w:pPr>
      <w:r>
        <w:rPr>
          <w:b/>
        </w:rPr>
        <w:t>ATTACHED EXHIBITS</w:t>
      </w:r>
    </w:p>
    <w:p w:rsidR="00B30954" w:rsidRDefault="000C3708" w:rsidP="00B30954">
      <w:pPr>
        <w:suppressLineNumbers/>
        <w:spacing w:line="480" w:lineRule="auto"/>
        <w:ind w:left="720" w:hanging="720"/>
      </w:pPr>
      <w:r>
        <w:t>Exhibit No. CAT-15—2015 IRP PacifiCorp Stakeholder Feedback Form</w:t>
      </w:r>
    </w:p>
    <w:p w:rsidR="000C3708" w:rsidRDefault="000C3708" w:rsidP="00B30954">
      <w:pPr>
        <w:suppressLineNumbers/>
        <w:spacing w:line="480" w:lineRule="auto"/>
        <w:ind w:left="720" w:hanging="720"/>
      </w:pPr>
      <w:r>
        <w:t>Exhibit No. CAT-16—Synapse Comments on PacifiCorp’s IRP Process</w:t>
      </w:r>
    </w:p>
    <w:p w:rsidR="00B01B38" w:rsidRDefault="000C3708" w:rsidP="000C3708">
      <w:pPr>
        <w:suppressLineNumbers/>
        <w:ind w:left="720" w:hanging="720"/>
      </w:pPr>
      <w:r>
        <w:t xml:space="preserve">Exhibit No. CAT-17—Testimony Excerpt of Jeremy Fisher in Oklahoma </w:t>
      </w:r>
    </w:p>
    <w:p w:rsidR="000C3708" w:rsidRDefault="000C3708" w:rsidP="006D4311">
      <w:pPr>
        <w:suppressLineNumbers/>
        <w:ind w:left="1440" w:firstLine="720"/>
      </w:pPr>
      <w:r>
        <w:t>Cause No. PUD 201400229</w:t>
      </w:r>
    </w:p>
    <w:p w:rsidR="000C3708" w:rsidRDefault="000C3708" w:rsidP="000C3708">
      <w:pPr>
        <w:suppressLineNumbers/>
        <w:ind w:left="720" w:hanging="720"/>
      </w:pPr>
    </w:p>
    <w:p w:rsidR="000C3708" w:rsidRDefault="000C3708" w:rsidP="000C3708">
      <w:pPr>
        <w:suppressLineNumbers/>
        <w:ind w:left="720" w:hanging="720"/>
      </w:pPr>
      <w:proofErr w:type="gramStart"/>
      <w:r>
        <w:t>Confidential Exhibit No.</w:t>
      </w:r>
      <w:proofErr w:type="gramEnd"/>
      <w:r>
        <w:t xml:space="preserve"> CAT-18C—Jim Bridger Unit 3 SCR Routing</w:t>
      </w:r>
    </w:p>
    <w:p w:rsidR="000C3708" w:rsidRDefault="000C3708" w:rsidP="000C3708">
      <w:pPr>
        <w:suppressLineNumbers/>
        <w:ind w:left="720" w:hanging="720"/>
      </w:pPr>
    </w:p>
    <w:p w:rsidR="000C3708" w:rsidRDefault="000C3708" w:rsidP="000C3708">
      <w:pPr>
        <w:suppressLineNumbers/>
        <w:ind w:left="720" w:hanging="720"/>
      </w:pPr>
      <w:r>
        <w:t>Exhibit No. CAT-19—Excerpt from Best Practices in Electric Utility IRP</w:t>
      </w:r>
    </w:p>
    <w:p w:rsidR="000C3708" w:rsidRDefault="000C3708" w:rsidP="000C3708">
      <w:pPr>
        <w:suppressLineNumbers/>
        <w:ind w:left="720" w:hanging="720"/>
      </w:pPr>
    </w:p>
    <w:p w:rsidR="000C3708" w:rsidRDefault="000C3708" w:rsidP="000C3708">
      <w:pPr>
        <w:suppressLineNumbers/>
        <w:ind w:left="720" w:hanging="720"/>
      </w:pPr>
      <w:proofErr w:type="gramStart"/>
      <w:r>
        <w:t>Confidential Exhibit No.</w:t>
      </w:r>
      <w:proofErr w:type="gramEnd"/>
      <w:r>
        <w:t xml:space="preserve"> CAT-20C—Corporate Governance and Approvals Process</w:t>
      </w:r>
    </w:p>
    <w:p w:rsidR="000C3708" w:rsidRDefault="000C3708" w:rsidP="000C3708">
      <w:pPr>
        <w:suppressLineNumbers/>
      </w:pPr>
    </w:p>
    <w:p w:rsidR="006D4311" w:rsidRDefault="000C3708" w:rsidP="006D4311">
      <w:pPr>
        <w:suppressLineNumbers/>
      </w:pPr>
      <w:proofErr w:type="gramStart"/>
      <w:r>
        <w:t>Confidential Exhibit No.</w:t>
      </w:r>
      <w:proofErr w:type="gramEnd"/>
      <w:r>
        <w:t xml:space="preserve"> CAT-21C—</w:t>
      </w:r>
      <w:r w:rsidR="008F282D">
        <w:t>Jim B</w:t>
      </w:r>
      <w:r>
        <w:t xml:space="preserve">ridger Units 3 and 4 SCR Systems Available </w:t>
      </w:r>
    </w:p>
    <w:p w:rsidR="000C3708" w:rsidRDefault="000C3708" w:rsidP="006D4311">
      <w:pPr>
        <w:suppressLineNumbers/>
        <w:ind w:left="2880" w:firstLine="720"/>
      </w:pPr>
      <w:r>
        <w:t>Compliance Options</w:t>
      </w:r>
    </w:p>
    <w:p w:rsidR="000C3708" w:rsidRDefault="000C3708" w:rsidP="000C3708">
      <w:pPr>
        <w:suppressLineNumbers/>
        <w:ind w:left="720" w:hanging="720"/>
      </w:pPr>
    </w:p>
    <w:p w:rsidR="000C3708" w:rsidRDefault="00B01B38" w:rsidP="000C3708">
      <w:pPr>
        <w:suppressLineNumbers/>
        <w:ind w:left="720" w:hanging="720"/>
      </w:pPr>
      <w:proofErr w:type="gramStart"/>
      <w:r>
        <w:t>Confidential Exhibit No.</w:t>
      </w:r>
      <w:proofErr w:type="gramEnd"/>
      <w:r>
        <w:t xml:space="preserve"> CAT-22C—LNTP Update Memo dated May 22, 2013</w:t>
      </w:r>
    </w:p>
    <w:p w:rsidR="00B01B38" w:rsidRDefault="00B01B38" w:rsidP="000C3708">
      <w:pPr>
        <w:suppressLineNumbers/>
        <w:ind w:left="720" w:hanging="720"/>
      </w:pPr>
    </w:p>
    <w:p w:rsidR="00B01B38" w:rsidRDefault="00B01B38" w:rsidP="000C3708">
      <w:pPr>
        <w:suppressLineNumbers/>
        <w:ind w:left="720" w:hanging="720"/>
      </w:pPr>
      <w:proofErr w:type="gramStart"/>
      <w:r>
        <w:t>Confidential Exhibit No.</w:t>
      </w:r>
      <w:proofErr w:type="gramEnd"/>
      <w:r>
        <w:t xml:space="preserve"> CAT-23C—FNTP Decision Memo dated December 5, 2013</w:t>
      </w:r>
    </w:p>
    <w:p w:rsidR="00B01B38" w:rsidRDefault="00B01B38" w:rsidP="000C3708">
      <w:pPr>
        <w:suppressLineNumbers/>
        <w:ind w:left="720" w:hanging="720"/>
      </w:pPr>
    </w:p>
    <w:p w:rsidR="00B01B38" w:rsidRDefault="00B01B38" w:rsidP="000C3708">
      <w:pPr>
        <w:suppressLineNumbers/>
        <w:ind w:left="720" w:hanging="720"/>
      </w:pPr>
      <w:r>
        <w:t>Exhibit No. CAT-24—BART Appeal Settlement Agreement</w:t>
      </w:r>
    </w:p>
    <w:p w:rsidR="00B01B38" w:rsidRDefault="00B01B38" w:rsidP="000C3708">
      <w:pPr>
        <w:suppressLineNumbers/>
        <w:ind w:left="720" w:hanging="720"/>
      </w:pPr>
    </w:p>
    <w:p w:rsidR="00B01B38" w:rsidRDefault="00B01B38" w:rsidP="000C3708">
      <w:pPr>
        <w:suppressLineNumbers/>
        <w:ind w:left="720" w:hanging="720"/>
      </w:pPr>
      <w:r>
        <w:t>Exhibit No. CAT-25—DEQ Letter to PacifiCorp dated March 6, 2013</w:t>
      </w:r>
    </w:p>
    <w:p w:rsidR="00B01B38" w:rsidRDefault="00B01B38" w:rsidP="000C3708">
      <w:pPr>
        <w:suppressLineNumbers/>
        <w:ind w:left="720" w:hanging="720"/>
      </w:pPr>
    </w:p>
    <w:p w:rsidR="00B01B38" w:rsidRPr="000C3708" w:rsidRDefault="00B01B38" w:rsidP="000C3708">
      <w:pPr>
        <w:suppressLineNumbers/>
        <w:ind w:left="720" w:hanging="720"/>
      </w:pPr>
      <w:r>
        <w:t>Exhibit No. CAT-26—MEHC letter dated March 5, 2013</w:t>
      </w:r>
    </w:p>
    <w:p w:rsidR="00B30954" w:rsidRDefault="00B30954" w:rsidP="00B30954">
      <w:pPr>
        <w:suppressLineNumbers/>
        <w:spacing w:line="480" w:lineRule="auto"/>
        <w:ind w:left="720" w:hanging="720"/>
        <w:rPr>
          <w:b/>
        </w:rPr>
      </w:pPr>
    </w:p>
    <w:p w:rsidR="00B30954" w:rsidRDefault="00B30954" w:rsidP="00B30954">
      <w:pPr>
        <w:suppressLineNumbers/>
        <w:spacing w:line="480" w:lineRule="auto"/>
        <w:ind w:left="720" w:hanging="720"/>
        <w:rPr>
          <w:b/>
        </w:rPr>
        <w:sectPr w:rsidR="00B30954" w:rsidSect="00AA2DE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fmt="lowerRoman" w:start="1"/>
          <w:cols w:space="720"/>
          <w:docGrid w:linePitch="360"/>
        </w:sectPr>
      </w:pPr>
    </w:p>
    <w:p w:rsidR="00134D0B" w:rsidRDefault="00E2072B">
      <w:pPr>
        <w:spacing w:line="480" w:lineRule="auto"/>
        <w:ind w:left="720" w:hanging="720"/>
      </w:pPr>
      <w:r>
        <w:rPr>
          <w:b/>
        </w:rPr>
        <w:lastRenderedPageBreak/>
        <w:t>Q.</w:t>
      </w:r>
      <w:r>
        <w:rPr>
          <w:b/>
        </w:rPr>
        <w:tab/>
        <w:t xml:space="preserve">Are you the same Chad A. Teply who submitted direct testimony in this </w:t>
      </w:r>
      <w:r w:rsidR="00C96FF3">
        <w:rPr>
          <w:b/>
        </w:rPr>
        <w:t>case</w:t>
      </w:r>
      <w:r w:rsidR="00C96FF3">
        <w:t xml:space="preserve"> </w:t>
      </w:r>
      <w:r>
        <w:rPr>
          <w:b/>
        </w:rPr>
        <w:t>on behalf of Pacific Power &amp; Light Company (Pacific Power or Company), a division of PacifiCorp?</w:t>
      </w:r>
    </w:p>
    <w:p w:rsidR="00134D0B" w:rsidRDefault="00E2072B">
      <w:pPr>
        <w:spacing w:line="480" w:lineRule="auto"/>
        <w:ind w:left="720" w:hanging="720"/>
      </w:pPr>
      <w:r>
        <w:t>A.</w:t>
      </w:r>
      <w:r>
        <w:rPr>
          <w:b/>
        </w:rPr>
        <w:tab/>
      </w:r>
      <w:r>
        <w:t>Yes.</w:t>
      </w:r>
    </w:p>
    <w:p w:rsidR="00134D0B" w:rsidRDefault="00E2072B" w:rsidP="00D414C3">
      <w:pPr>
        <w:pStyle w:val="Heading1"/>
        <w:rPr>
          <w:u w:val="single"/>
        </w:rPr>
      </w:pPr>
      <w:bookmarkStart w:id="1" w:name="_Toc447709069"/>
      <w:r>
        <w:t>PURPOSE AND SUMMARY OF TESTIMONY</w:t>
      </w:r>
      <w:bookmarkEnd w:id="1"/>
    </w:p>
    <w:p w:rsidR="00134D0B" w:rsidRDefault="00E2072B">
      <w:pPr>
        <w:spacing w:line="480" w:lineRule="auto"/>
        <w:ind w:left="720" w:hanging="720"/>
      </w:pPr>
      <w:r>
        <w:rPr>
          <w:b/>
        </w:rPr>
        <w:t>Q.</w:t>
      </w:r>
      <w:r>
        <w:rPr>
          <w:b/>
        </w:rPr>
        <w:tab/>
        <w:t>What is the purpose of your rebuttal testimony?</w:t>
      </w:r>
    </w:p>
    <w:p w:rsidR="00134D0B" w:rsidRDefault="00E2072B">
      <w:pPr>
        <w:widowControl w:val="0"/>
        <w:spacing w:line="480" w:lineRule="auto"/>
        <w:ind w:left="720" w:hanging="720"/>
      </w:pPr>
      <w:r>
        <w:t>A.</w:t>
      </w:r>
      <w:r>
        <w:tab/>
        <w:t xml:space="preserve">My rebuttal testimony responds to the testimony in this case challenging the prudence of the Company’s investments in selective catalytic reduction systems </w:t>
      </w:r>
      <w:r w:rsidR="00E33493">
        <w:t xml:space="preserve">(SCRs) </w:t>
      </w:r>
      <w:r>
        <w:t>and other necessary capital additions at Units 3 and 4 of the Jim Bridger generating plant (Jim Bridger Units 3 and 4).  This testimony was submitted by Mr. Jeremy B. Twitchell on behalf of the Staff of Washington Utilities and Transportation Commission</w:t>
      </w:r>
      <w:r w:rsidR="00DB5BE3">
        <w:t xml:space="preserve"> (Commission)</w:t>
      </w:r>
      <w:r>
        <w:t xml:space="preserve"> and Dr. Jeremy I. Fisher on behalf of Sierra Club. </w:t>
      </w:r>
    </w:p>
    <w:p w:rsidR="00134D0B" w:rsidRDefault="00E2072B">
      <w:pPr>
        <w:widowControl w:val="0"/>
        <w:spacing w:line="480" w:lineRule="auto"/>
        <w:ind w:left="720" w:hanging="720"/>
        <w:rPr>
          <w:b/>
        </w:rPr>
      </w:pPr>
      <w:r>
        <w:rPr>
          <w:b/>
        </w:rPr>
        <w:t>Q.</w:t>
      </w:r>
      <w:r>
        <w:rPr>
          <w:b/>
        </w:rPr>
        <w:tab/>
        <w:t xml:space="preserve">Please identify the specific issues you address and the related issues addressed by other Pacific Power witnesses. </w:t>
      </w:r>
    </w:p>
    <w:p w:rsidR="00134D0B" w:rsidRDefault="00E2072B">
      <w:pPr>
        <w:widowControl w:val="0"/>
        <w:spacing w:line="480" w:lineRule="auto"/>
        <w:ind w:left="720" w:hanging="720"/>
      </w:pPr>
      <w:r>
        <w:t>A.</w:t>
      </w:r>
      <w:r>
        <w:tab/>
        <w:t xml:space="preserve">In my role at PacifiCorp, I am directly responsible for the development, evaluation and implementation of the SCRs at Jim Bridger Units 3 and 4 (Bridger SCRs).  In response to Staff’s and Sierra Club’s testimony, I summarize the reasons why these parties are wrong in claiming that the Company acted imprudently.  I also respond to Staff’s challenges regarding the Company’s process for evaluation, review and approval of the Bridger SCRs, and to Sierra Club’s challenges based on timing and scope of the Company’s compliance requirements underlying its investment in the SCRs.  </w:t>
      </w:r>
    </w:p>
    <w:p w:rsidR="00134D0B" w:rsidRDefault="00E2072B">
      <w:pPr>
        <w:widowControl w:val="0"/>
        <w:spacing w:line="480" w:lineRule="auto"/>
        <w:ind w:left="720" w:hanging="720"/>
      </w:pPr>
      <w:r>
        <w:tab/>
      </w:r>
      <w:r>
        <w:tab/>
        <w:t xml:space="preserve">Mr. Rick T. Link responds to the specific adjustments Staff and Sierra Club </w:t>
      </w:r>
      <w:r>
        <w:lastRenderedPageBreak/>
        <w:t>proposed to the Company’s System Optimizer Model analysis supporting the Bridger SCRs.  These adjustments are based on updates for alleged material decreases in natural gas prices and increases in coal costs.  Staff also includes an adjustment for replacement power.  Mr. Link demonstrates the significant errors in each of these adjustments and shows that none of the adjustments, when properly calculated, fundamentally change the Company’s supporting analysis.  Mr. Dana</w:t>
      </w:r>
      <w:r w:rsidR="00DB5BE3">
        <w:t xml:space="preserve"> </w:t>
      </w:r>
      <w:r>
        <w:t xml:space="preserve">Ralston corrects testimony of Staff and Sierra Club regarding alleged material increases in coal costs in 2013.  </w:t>
      </w:r>
    </w:p>
    <w:p w:rsidR="00134D0B" w:rsidRDefault="00E2072B">
      <w:pPr>
        <w:widowControl w:val="0"/>
        <w:spacing w:line="480" w:lineRule="auto"/>
        <w:ind w:left="720" w:hanging="720"/>
        <w:rPr>
          <w:b/>
        </w:rPr>
      </w:pPr>
      <w:r>
        <w:rPr>
          <w:b/>
        </w:rPr>
        <w:t>Q.</w:t>
      </w:r>
      <w:r>
        <w:rPr>
          <w:b/>
        </w:rPr>
        <w:tab/>
        <w:t xml:space="preserve">Please summarize your rebuttal testimony. </w:t>
      </w:r>
    </w:p>
    <w:p w:rsidR="00134D0B" w:rsidRDefault="00E2072B">
      <w:pPr>
        <w:widowControl w:val="0"/>
        <w:spacing w:line="480" w:lineRule="auto"/>
        <w:ind w:left="720" w:hanging="720"/>
      </w:pPr>
      <w:r>
        <w:t>A.</w:t>
      </w:r>
      <w:r>
        <w:tab/>
        <w:t>My rebuttal testimony can be summarized as follows:</w:t>
      </w:r>
    </w:p>
    <w:p w:rsidR="00134D0B" w:rsidRDefault="00E2072B" w:rsidP="00AD7912">
      <w:pPr>
        <w:pStyle w:val="ListParagraph"/>
        <w:widowControl w:val="0"/>
        <w:numPr>
          <w:ilvl w:val="0"/>
          <w:numId w:val="32"/>
        </w:numPr>
        <w:spacing w:line="480" w:lineRule="auto"/>
        <w:ind w:left="1080"/>
      </w:pPr>
      <w:r>
        <w:t xml:space="preserve">Contrary to Staff’s assertions, the Company prudently and reasonably developed, assessed, and approved the Bridger SCRs through a robust, multi-year process that fully complied with the Company’s governance policies. </w:t>
      </w:r>
    </w:p>
    <w:p w:rsidR="00134D0B" w:rsidRDefault="00E2072B" w:rsidP="00AD7912">
      <w:pPr>
        <w:pStyle w:val="ListParagraph"/>
        <w:widowControl w:val="0"/>
        <w:numPr>
          <w:ilvl w:val="0"/>
          <w:numId w:val="32"/>
        </w:numPr>
        <w:spacing w:line="480" w:lineRule="auto"/>
        <w:ind w:left="1080"/>
      </w:pPr>
      <w:r>
        <w:t>Staff’s claims that the Company “chose to ignore” new information available before the Company released the Full Notice to Proceed (FNTP) are simply untrue.  In fact, the Company’s negotiation and use of the engineer</w:t>
      </w:r>
      <w:r w:rsidR="006D4311">
        <w:t>ing</w:t>
      </w:r>
      <w:r>
        <w:t>, procure</w:t>
      </w:r>
      <w:r w:rsidR="006D4311">
        <w:t>ment</w:t>
      </w:r>
      <w:r>
        <w:t>, and construct</w:t>
      </w:r>
      <w:r w:rsidR="006D4311">
        <w:t>ion services</w:t>
      </w:r>
      <w:r>
        <w:t xml:space="preserve"> (EPC) contract’s Limited Notice to Proceed (LNTP) provision is evidence of the Company’s prudence.  </w:t>
      </w:r>
      <w:proofErr w:type="gramStart"/>
      <w:r>
        <w:t>This provision allowed the Company to limit outlay of costs while pursuing parallel path regulatory reviews and permit</w:t>
      </w:r>
      <w:proofErr w:type="gramEnd"/>
      <w:r>
        <w:t xml:space="preserve"> requirements, and allowed assessment of market conditions and the project’s economics up to the last feasible point in time, December 2013, while still meeting the Company’s Regional Haze compliance deadlines.  The evidence in this case demonstrates that—at all points relevant to this prudence review—the Bridger SCRs were the most cost-effective compliance option for customers.    </w:t>
      </w:r>
    </w:p>
    <w:p w:rsidR="00134D0B" w:rsidRDefault="00E2072B" w:rsidP="00AD7912">
      <w:pPr>
        <w:pStyle w:val="ListParagraph"/>
        <w:widowControl w:val="0"/>
        <w:numPr>
          <w:ilvl w:val="0"/>
          <w:numId w:val="32"/>
        </w:numPr>
        <w:spacing w:line="480" w:lineRule="auto"/>
        <w:ind w:left="1080"/>
      </w:pPr>
      <w:r>
        <w:t xml:space="preserve">Sierra Club knowingly misrepresents the flexibility the Company had in meeting its compliance obligations with the state of Wyoming.  As Sierra Club is aware, its position is directly refuted by correspondence from the state of Wyoming.  Sierra Club’s position is also contrary to the position it took in comments to the </w:t>
      </w:r>
      <w:r w:rsidR="00DB5BE3">
        <w:t xml:space="preserve">U.S. </w:t>
      </w:r>
      <w:r>
        <w:t>Environmental Protection Agency (EPA) on the Wyoming Regional Haze State Implementation Plan (Wyoming SIP).  The Company followed a schedule for the Bridger SCRs</w:t>
      </w:r>
      <w:r w:rsidR="00CD2160">
        <w:t xml:space="preserve"> </w:t>
      </w:r>
      <w:r>
        <w:t xml:space="preserve">that balanced the need for careful review of the investments with the need to cost-effectively meet its compliance obligations. </w:t>
      </w:r>
    </w:p>
    <w:p w:rsidR="00134D0B" w:rsidRDefault="00E2072B">
      <w:pPr>
        <w:tabs>
          <w:tab w:val="left" w:pos="720"/>
        </w:tabs>
        <w:spacing w:line="480" w:lineRule="auto"/>
        <w:ind w:left="720" w:hanging="720"/>
        <w:rPr>
          <w:rFonts w:ascii="BerkeleyStd-Book" w:hAnsi="BerkeleyStd-Book" w:cs="BerkeleyStd-Book"/>
          <w:b/>
        </w:rPr>
      </w:pPr>
      <w:r>
        <w:rPr>
          <w:rFonts w:ascii="BerkeleyStd-Book" w:hAnsi="BerkeleyStd-Book" w:cs="BerkeleyStd-Book"/>
          <w:b/>
        </w:rPr>
        <w:t>Q.</w:t>
      </w:r>
      <w:r>
        <w:rPr>
          <w:rFonts w:ascii="BerkeleyStd-Book" w:hAnsi="BerkeleyStd-Book" w:cs="BerkeleyStd-Book"/>
          <w:b/>
        </w:rPr>
        <w:tab/>
        <w:t>Please summarize the Company’s overall response to Staff’s testimony claiming that the Company was imprudent for failing to update its analysis before giving its contractor the FNTP.</w:t>
      </w:r>
    </w:p>
    <w:p w:rsidR="00134D0B" w:rsidRDefault="00E2072B">
      <w:pPr>
        <w:tabs>
          <w:tab w:val="left" w:pos="720"/>
        </w:tabs>
        <w:spacing w:line="480" w:lineRule="auto"/>
        <w:ind w:left="720" w:hanging="720"/>
        <w:rPr>
          <w:szCs w:val="20"/>
        </w:rPr>
      </w:pPr>
      <w:r>
        <w:rPr>
          <w:rFonts w:ascii="BerkeleyStd-Book" w:hAnsi="BerkeleyStd-Book" w:cs="BerkeleyStd-Book"/>
        </w:rPr>
        <w:t>A.</w:t>
      </w:r>
      <w:r>
        <w:rPr>
          <w:rFonts w:ascii="BerkeleyStd-Book" w:hAnsi="BerkeleyStd-Book" w:cs="BerkeleyStd-Book"/>
        </w:rPr>
        <w:tab/>
        <w:t xml:space="preserve">I strongly disagree with Staff’s conclusion that the Company acted imprudently.  During the </w:t>
      </w:r>
      <w:r>
        <w:rPr>
          <w:szCs w:val="20"/>
        </w:rPr>
        <w:t xml:space="preserve">multi-year review period for the Bridger SCRs, the Company refined and updated its economic analysis.  Both Staff and Sierra Club </w:t>
      </w:r>
      <w:r w:rsidR="009D7322">
        <w:rPr>
          <w:szCs w:val="20"/>
        </w:rPr>
        <w:t xml:space="preserve">have acknowledged </w:t>
      </w:r>
      <w:r>
        <w:rPr>
          <w:szCs w:val="20"/>
        </w:rPr>
        <w:t xml:space="preserve">the proficiency of the Company’s long-term resource modeling.  In addition, Staff acknowledges that the Company acted prudently in terms of the timing of the investment, the comprehensive analysis of different alternatives, and the documentation provided.  </w:t>
      </w:r>
    </w:p>
    <w:p w:rsidR="00134D0B" w:rsidRDefault="00E2072B" w:rsidP="006D4311">
      <w:pPr>
        <w:keepNext/>
        <w:tabs>
          <w:tab w:val="left" w:pos="720"/>
        </w:tabs>
        <w:spacing w:line="480" w:lineRule="auto"/>
        <w:ind w:left="720" w:hanging="720"/>
        <w:rPr>
          <w:szCs w:val="20"/>
        </w:rPr>
      </w:pPr>
      <w:r>
        <w:rPr>
          <w:rFonts w:ascii="BerkeleyStd-Book" w:hAnsi="BerkeleyStd-Book" w:cs="BerkeleyStd-Book"/>
        </w:rPr>
        <w:tab/>
      </w:r>
      <w:r>
        <w:rPr>
          <w:rFonts w:ascii="BerkeleyStd-Book" w:hAnsi="BerkeleyStd-Book" w:cs="BerkeleyStd-Book"/>
        </w:rPr>
        <w:tab/>
      </w:r>
      <w:r w:rsidR="004E41F9">
        <w:rPr>
          <w:szCs w:val="20"/>
        </w:rPr>
        <w:t xml:space="preserve">Nonetheless, Staff recommends partial disallowance based on </w:t>
      </w:r>
      <w:r>
        <w:rPr>
          <w:szCs w:val="20"/>
        </w:rPr>
        <w:t xml:space="preserve">an inaccurate narrative </w:t>
      </w:r>
      <w:r w:rsidR="00F62055">
        <w:rPr>
          <w:szCs w:val="20"/>
        </w:rPr>
        <w:t xml:space="preserve">allegedly describing </w:t>
      </w:r>
      <w:r>
        <w:rPr>
          <w:szCs w:val="20"/>
        </w:rPr>
        <w:t>the Company’s review process</w:t>
      </w:r>
      <w:r w:rsidR="00F62055">
        <w:rPr>
          <w:szCs w:val="20"/>
        </w:rPr>
        <w:t xml:space="preserve">, </w:t>
      </w:r>
      <w:r>
        <w:rPr>
          <w:szCs w:val="20"/>
        </w:rPr>
        <w:t xml:space="preserve">implying a bad faith failure to update analysis and substandard governance process.  In my testimony, </w:t>
      </w:r>
      <w:r w:rsidR="006D4311">
        <w:rPr>
          <w:szCs w:val="20"/>
        </w:rPr>
        <w:t xml:space="preserve">       </w:t>
      </w:r>
      <w:r>
        <w:rPr>
          <w:szCs w:val="20"/>
        </w:rPr>
        <w:t xml:space="preserve">I directly rebut these allegations and demonstrate that the Company diligently studied the costs and benefits of installing the Bridger SCRs for several years before executing and finalizing the EPC contract.  The Company’s review process in this case was fully consistent with its governance policies for major expenditures. </w:t>
      </w:r>
    </w:p>
    <w:p w:rsidR="00134D0B" w:rsidRDefault="00E2072B">
      <w:pPr>
        <w:tabs>
          <w:tab w:val="left" w:pos="720"/>
        </w:tabs>
        <w:spacing w:line="480" w:lineRule="auto"/>
        <w:ind w:left="720" w:hanging="720"/>
        <w:rPr>
          <w:szCs w:val="20"/>
        </w:rPr>
      </w:pPr>
      <w:r>
        <w:rPr>
          <w:szCs w:val="20"/>
        </w:rPr>
        <w:tab/>
      </w:r>
      <w:r>
        <w:rPr>
          <w:szCs w:val="20"/>
        </w:rPr>
        <w:tab/>
        <w:t xml:space="preserve">Staff also proposes its own analysis purporting to update the Company’s review of </w:t>
      </w:r>
      <w:r w:rsidR="00075551">
        <w:rPr>
          <w:szCs w:val="20"/>
        </w:rPr>
        <w:t xml:space="preserve">SCR </w:t>
      </w:r>
      <w:r>
        <w:rPr>
          <w:szCs w:val="20"/>
        </w:rPr>
        <w:t>investment</w:t>
      </w:r>
      <w:r w:rsidR="00075551">
        <w:rPr>
          <w:szCs w:val="20"/>
        </w:rPr>
        <w:t>s</w:t>
      </w:r>
      <w:r>
        <w:rPr>
          <w:szCs w:val="20"/>
        </w:rPr>
        <w:t xml:space="preserve"> to show that </w:t>
      </w:r>
      <w:r w:rsidR="00075551">
        <w:rPr>
          <w:szCs w:val="20"/>
        </w:rPr>
        <w:t xml:space="preserve">they </w:t>
      </w:r>
      <w:r>
        <w:rPr>
          <w:szCs w:val="20"/>
        </w:rPr>
        <w:t xml:space="preserve">became uneconomic in fall 2013.  As Mr. Link and Mr. Ralston demonstrate, Staff’s updates are incomplete and inaccurate.  When corrected, Staff’s analysis supports the Company’s decision to move forward with the Bridger SCRs.  In addition, my testimony demonstrates that Staff’s updates did not take into account significant reductions in project costs that increase the benefits to customers associated with the </w:t>
      </w:r>
      <w:r w:rsidR="00075551">
        <w:rPr>
          <w:szCs w:val="20"/>
        </w:rPr>
        <w:t xml:space="preserve">Bridger </w:t>
      </w:r>
      <w:r>
        <w:rPr>
          <w:szCs w:val="20"/>
        </w:rPr>
        <w:t xml:space="preserve">SCRs.  </w:t>
      </w:r>
    </w:p>
    <w:p w:rsidR="00134D0B" w:rsidRDefault="00E2072B">
      <w:pPr>
        <w:tabs>
          <w:tab w:val="left" w:pos="720"/>
        </w:tabs>
        <w:spacing w:line="480" w:lineRule="auto"/>
        <w:ind w:left="720" w:hanging="720"/>
        <w:rPr>
          <w:rFonts w:ascii="BerkeleyStd-Book" w:hAnsi="BerkeleyStd-Book" w:cs="BerkeleyStd-Book"/>
        </w:rPr>
      </w:pPr>
      <w:r>
        <w:rPr>
          <w:rFonts w:ascii="BerkeleyStd-Book" w:hAnsi="BerkeleyStd-Book" w:cs="BerkeleyStd-Book"/>
          <w:b/>
        </w:rPr>
        <w:t>Q.</w:t>
      </w:r>
      <w:r>
        <w:rPr>
          <w:rFonts w:ascii="BerkeleyStd-Book" w:hAnsi="BerkeleyStd-Book" w:cs="BerkeleyStd-Book"/>
          <w:b/>
        </w:rPr>
        <w:tab/>
        <w:t xml:space="preserve">Please summarize the Company’s overall response to Sierra Club’s claim that the Company acted imprudently in investing in the Bridger SCRs. </w:t>
      </w:r>
    </w:p>
    <w:p w:rsidR="00134D0B" w:rsidRDefault="00E2072B">
      <w:pPr>
        <w:tabs>
          <w:tab w:val="left" w:pos="720"/>
        </w:tabs>
        <w:spacing w:line="480" w:lineRule="auto"/>
        <w:ind w:left="720" w:hanging="720"/>
        <w:rPr>
          <w:szCs w:val="20"/>
        </w:rPr>
      </w:pPr>
      <w:r>
        <w:rPr>
          <w:rFonts w:ascii="BerkeleyStd-Book" w:hAnsi="BerkeleyStd-Book" w:cs="BerkeleyStd-Book"/>
        </w:rPr>
        <w:t>A.</w:t>
      </w:r>
      <w:r>
        <w:rPr>
          <w:rFonts w:ascii="BerkeleyStd-Book" w:hAnsi="BerkeleyStd-Book" w:cs="BerkeleyStd-Book"/>
        </w:rPr>
        <w:tab/>
        <w:t xml:space="preserve">There are numerous errors underlying </w:t>
      </w:r>
      <w:r>
        <w:rPr>
          <w:szCs w:val="20"/>
        </w:rPr>
        <w:t xml:space="preserve">Sierra Club’s testimony that the Company’s investments in the </w:t>
      </w:r>
      <w:r w:rsidR="00075551">
        <w:rPr>
          <w:szCs w:val="20"/>
        </w:rPr>
        <w:t xml:space="preserve">Bridger </w:t>
      </w:r>
      <w:r>
        <w:rPr>
          <w:szCs w:val="20"/>
        </w:rPr>
        <w:t xml:space="preserve">SCRs were imprudent.  First, Sierra Club’s recommendation is improperly based on forward price curves and coal costs that post-date the Company’s execution of the EPC contract and the FNTP.  Second, like Staff, Sierra’s Club’s analysis is demonstrably incomplete and inaccurate.  Third, Sierra Club mischaracterizes the nature and timing of the Company’s Regional Haze compliance obligations, inaccurately alleging that the Company could have delayed </w:t>
      </w:r>
      <w:r w:rsidR="00CD2160">
        <w:rPr>
          <w:szCs w:val="20"/>
        </w:rPr>
        <w:t xml:space="preserve">planning, and therefore </w:t>
      </w:r>
      <w:r>
        <w:rPr>
          <w:szCs w:val="20"/>
        </w:rPr>
        <w:t>install</w:t>
      </w:r>
      <w:r w:rsidR="00CD2160">
        <w:rPr>
          <w:szCs w:val="20"/>
        </w:rPr>
        <w:t>ation, of</w:t>
      </w:r>
      <w:r>
        <w:rPr>
          <w:szCs w:val="20"/>
        </w:rPr>
        <w:t xml:space="preserve"> the SCRs past the deadlines contained in the </w:t>
      </w:r>
      <w:r>
        <w:t xml:space="preserve">Wyoming SIP and associated permits and agreements described in </w:t>
      </w:r>
      <w:r w:rsidR="00CD2160">
        <w:t xml:space="preserve">my </w:t>
      </w:r>
      <w:r>
        <w:t>testimony</w:t>
      </w:r>
      <w:r>
        <w:rPr>
          <w:szCs w:val="20"/>
        </w:rPr>
        <w:t xml:space="preserve">.  </w:t>
      </w:r>
    </w:p>
    <w:p w:rsidR="00FE3D5A" w:rsidRPr="00FE3D5A" w:rsidRDefault="00B65906">
      <w:pPr>
        <w:tabs>
          <w:tab w:val="left" w:pos="720"/>
        </w:tabs>
        <w:spacing w:line="480" w:lineRule="auto"/>
        <w:ind w:left="720" w:hanging="720"/>
        <w:rPr>
          <w:b/>
        </w:rPr>
      </w:pPr>
      <w:r w:rsidRPr="00FE3D5A">
        <w:rPr>
          <w:rFonts w:ascii="BerkeleyStd-Book" w:hAnsi="BerkeleyStd-Book" w:cs="BerkeleyStd-Book"/>
          <w:b/>
        </w:rPr>
        <w:t>Q.</w:t>
      </w:r>
      <w:r w:rsidRPr="00FE3D5A">
        <w:rPr>
          <w:rFonts w:ascii="BerkeleyStd-Book" w:hAnsi="BerkeleyStd-Book" w:cs="BerkeleyStd-Book"/>
          <w:b/>
        </w:rPr>
        <w:tab/>
        <w:t xml:space="preserve">Does any party </w:t>
      </w:r>
      <w:r w:rsidR="00FE3D5A" w:rsidRPr="00FE3D5A">
        <w:rPr>
          <w:rFonts w:ascii="BerkeleyStd-Book" w:hAnsi="BerkeleyStd-Book" w:cs="BerkeleyStd-Book"/>
          <w:b/>
        </w:rPr>
        <w:t xml:space="preserve">separately </w:t>
      </w:r>
      <w:r w:rsidRPr="00FE3D5A">
        <w:rPr>
          <w:rFonts w:ascii="BerkeleyStd-Book" w:hAnsi="BerkeleyStd-Book" w:cs="BerkeleyStd-Book"/>
          <w:b/>
        </w:rPr>
        <w:t>chall</w:t>
      </w:r>
      <w:r w:rsidR="00FE3D5A" w:rsidRPr="00FE3D5A">
        <w:rPr>
          <w:rFonts w:ascii="BerkeleyStd-Book" w:hAnsi="BerkeleyStd-Book" w:cs="BerkeleyStd-Book"/>
          <w:b/>
        </w:rPr>
        <w:t xml:space="preserve">enge the prudence of the other </w:t>
      </w:r>
      <w:r w:rsidR="00EE3A45">
        <w:rPr>
          <w:rFonts w:ascii="BerkeleyStd-Book" w:hAnsi="BerkeleyStd-Book" w:cs="BerkeleyStd-Book"/>
          <w:b/>
        </w:rPr>
        <w:t xml:space="preserve">major </w:t>
      </w:r>
      <w:r w:rsidR="00FE3D5A" w:rsidRPr="00FE3D5A">
        <w:rPr>
          <w:rFonts w:ascii="BerkeleyStd-Book" w:hAnsi="BerkeleyStd-Book" w:cs="BerkeleyStd-Book"/>
          <w:b/>
        </w:rPr>
        <w:t xml:space="preserve">capital </w:t>
      </w:r>
      <w:r w:rsidR="00EE3A45">
        <w:rPr>
          <w:rFonts w:ascii="BerkeleyStd-Book" w:hAnsi="BerkeleyStd-Book" w:cs="BerkeleyStd-Book"/>
          <w:b/>
        </w:rPr>
        <w:t xml:space="preserve">maintenance </w:t>
      </w:r>
      <w:r w:rsidR="00FE3D5A" w:rsidRPr="00FE3D5A">
        <w:rPr>
          <w:rFonts w:ascii="BerkeleyStd-Book" w:hAnsi="BerkeleyStd-Book" w:cs="BerkeleyStd-Book"/>
          <w:b/>
        </w:rPr>
        <w:t xml:space="preserve">projects placed into service as a part of the maintenance overhauls at </w:t>
      </w:r>
      <w:r w:rsidR="00FE3D5A" w:rsidRPr="00FE3D5A">
        <w:rPr>
          <w:b/>
        </w:rPr>
        <w:t>Jim Bridger Units 3 and 4?</w:t>
      </w:r>
    </w:p>
    <w:p w:rsidR="00FE3D5A" w:rsidRDefault="00FE3D5A">
      <w:pPr>
        <w:tabs>
          <w:tab w:val="left" w:pos="720"/>
        </w:tabs>
        <w:spacing w:line="480" w:lineRule="auto"/>
        <w:ind w:left="720" w:hanging="720"/>
      </w:pPr>
      <w:r>
        <w:rPr>
          <w:rFonts w:ascii="BerkeleyStd-Book" w:hAnsi="BerkeleyStd-Book" w:cs="BerkeleyStd-Book"/>
        </w:rPr>
        <w:t>A.</w:t>
      </w:r>
      <w:r>
        <w:rPr>
          <w:rFonts w:ascii="BerkeleyStd-Book" w:hAnsi="BerkeleyStd-Book" w:cs="BerkeleyStd-Book"/>
        </w:rPr>
        <w:tab/>
        <w:t xml:space="preserve">No.  </w:t>
      </w:r>
      <w:r w:rsidR="00EE3A45">
        <w:rPr>
          <w:rFonts w:ascii="BerkeleyStd-Book" w:hAnsi="BerkeleyStd-Book" w:cs="BerkeleyStd-Book"/>
        </w:rPr>
        <w:t>Staff challenges these projects only on the basis that they would have been avoided if the units had been converted to natural gas.</w:t>
      </w:r>
      <w:r w:rsidR="00EE3A45">
        <w:rPr>
          <w:rStyle w:val="FootnoteReference"/>
          <w:rFonts w:ascii="BerkeleyStd-Book" w:hAnsi="BerkeleyStd-Book"/>
        </w:rPr>
        <w:footnoteReference w:id="1"/>
      </w:r>
      <w:r w:rsidR="00EE3A45">
        <w:rPr>
          <w:rFonts w:ascii="BerkeleyStd-Book" w:hAnsi="BerkeleyStd-Book" w:cs="BerkeleyStd-Book"/>
        </w:rPr>
        <w:t xml:space="preserve">  Sierra Club does not address or include these projects in its proposed disallowance.   </w:t>
      </w:r>
    </w:p>
    <w:p w:rsidR="00134D0B" w:rsidRDefault="00E2072B" w:rsidP="00D414C3">
      <w:pPr>
        <w:spacing w:line="480" w:lineRule="auto"/>
        <w:rPr>
          <w:b/>
        </w:rPr>
      </w:pPr>
      <w:r>
        <w:rPr>
          <w:b/>
        </w:rPr>
        <w:t>Q.</w:t>
      </w:r>
      <w:r>
        <w:tab/>
      </w:r>
      <w:r>
        <w:rPr>
          <w:b/>
        </w:rPr>
        <w:t>What is the current status of the EPC contract for the Bridger SCRs?</w:t>
      </w:r>
    </w:p>
    <w:p w:rsidR="00134D0B" w:rsidRDefault="00E2072B" w:rsidP="00075551">
      <w:pPr>
        <w:spacing w:line="480" w:lineRule="auto"/>
        <w:ind w:left="720" w:hanging="720"/>
      </w:pPr>
      <w:r>
        <w:t>A.</w:t>
      </w:r>
      <w:r>
        <w:tab/>
        <w:t xml:space="preserve">The SCR at Jim Bridger Unit 3 was placed in service in November 2015, and the SCR at Jim Bridger Unit 4 is on schedule to be placed in service in November 2016, with each project being tied-in and placed in-service following the concurrently planned major maintenance outage for the respective unit.  For the Jim Bridger Unit 4 SCR, all foundations have been constructed, all SCR structural support steel has been erected, and both reactors, including inlet and outlet ductwork, are set in position.  Construction of piping and electrical construction throughout the project is underway.  The Jim Bridger Unit 4 SCR is on schedule to meet the Company's environmental compliance deadline for that unit as established by the governing permits, implementation plans, and agreements. </w:t>
      </w:r>
    </w:p>
    <w:p w:rsidR="00134D0B" w:rsidRDefault="00E2072B" w:rsidP="00AB02DE">
      <w:pPr>
        <w:pStyle w:val="Heading1"/>
      </w:pPr>
      <w:bookmarkStart w:id="2" w:name="_Toc447709070"/>
      <w:r>
        <w:t>COMPANY PROCESS FOR REVIEW OF SCR INVESTMENTS</w:t>
      </w:r>
      <w:bookmarkEnd w:id="2"/>
    </w:p>
    <w:p w:rsidR="00134D0B" w:rsidRDefault="00E2072B">
      <w:pPr>
        <w:spacing w:line="480" w:lineRule="auto"/>
        <w:ind w:left="720" w:hanging="720"/>
        <w:rPr>
          <w:b/>
          <w:szCs w:val="20"/>
        </w:rPr>
      </w:pPr>
      <w:r>
        <w:rPr>
          <w:b/>
        </w:rPr>
        <w:t>Q.</w:t>
      </w:r>
      <w:r>
        <w:rPr>
          <w:b/>
        </w:rPr>
        <w:tab/>
        <w:t>Before executing the EPC contract</w:t>
      </w:r>
      <w:r>
        <w:rPr>
          <w:b/>
          <w:szCs w:val="20"/>
        </w:rPr>
        <w:t>, did the Company engage in a multi-year process to develop, study, review</w:t>
      </w:r>
      <w:r w:rsidR="00A36F92">
        <w:rPr>
          <w:b/>
          <w:szCs w:val="20"/>
        </w:rPr>
        <w:t>,</w:t>
      </w:r>
      <w:r>
        <w:rPr>
          <w:b/>
          <w:szCs w:val="20"/>
        </w:rPr>
        <w:t xml:space="preserve"> and obtain initial regulatory approvals for the Bridger SCRs?</w:t>
      </w:r>
    </w:p>
    <w:p w:rsidR="00134D0B" w:rsidRDefault="00E2072B">
      <w:pPr>
        <w:spacing w:line="480" w:lineRule="auto"/>
        <w:ind w:left="720" w:hanging="720"/>
        <w:rPr>
          <w:szCs w:val="20"/>
        </w:rPr>
      </w:pPr>
      <w:r>
        <w:t>A.</w:t>
      </w:r>
      <w:r>
        <w:tab/>
        <w:t>Yes.  This process began with the issuance of Wyoming’s SIP in 2008, which led to lengthy environmental permitting and public comment processes, appeals</w:t>
      </w:r>
      <w:r w:rsidR="00A36F92">
        <w:t>,</w:t>
      </w:r>
      <w:r>
        <w:t xml:space="preserve"> and settlements.  In August 2012, the Company initiated a Certificate of Public Convenience and Necessity (CPCN) proceeding in Wyoming and a pre-approval proceeding in Utah</w:t>
      </w:r>
      <w:r>
        <w:rPr>
          <w:szCs w:val="20"/>
        </w:rPr>
        <w:t>, resulting in h</w:t>
      </w:r>
      <w:r>
        <w:t>ighly scrutinized and publicized regulatory reviews that lasted until May 2013.  In April 2013,</w:t>
      </w:r>
      <w:r>
        <w:rPr>
          <w:szCs w:val="20"/>
        </w:rPr>
        <w:t xml:space="preserve"> the Company filed its 2013 Integrated Resource Plan (2013 IRP), which contained a comprehensive review of the Bridger SCRs.  </w:t>
      </w:r>
      <w:r w:rsidR="00B65906">
        <w:rPr>
          <w:szCs w:val="20"/>
        </w:rPr>
        <w:t>The 2013 IRP was filed and reviewed in each of the Company’s jurisdictions</w:t>
      </w:r>
      <w:r>
        <w:rPr>
          <w:szCs w:val="20"/>
        </w:rPr>
        <w:t xml:space="preserve">. </w:t>
      </w:r>
    </w:p>
    <w:p w:rsidR="00134D0B" w:rsidRDefault="00E2072B">
      <w:pPr>
        <w:spacing w:line="480" w:lineRule="auto"/>
        <w:ind w:left="720" w:hanging="720"/>
        <w:rPr>
          <w:szCs w:val="20"/>
        </w:rPr>
      </w:pPr>
      <w:r>
        <w:rPr>
          <w:b/>
          <w:szCs w:val="20"/>
        </w:rPr>
        <w:t>Q.</w:t>
      </w:r>
      <w:r>
        <w:rPr>
          <w:b/>
          <w:szCs w:val="20"/>
        </w:rPr>
        <w:tab/>
        <w:t>Did the detailed evaluation of the Bridger SCRs that occurred as part of this multi-year process inform the Company’s decision to move forward with this investment</w:t>
      </w:r>
      <w:r w:rsidRPr="00AB02DE">
        <w:rPr>
          <w:b/>
          <w:szCs w:val="20"/>
        </w:rPr>
        <w:t>?</w:t>
      </w:r>
      <w:r>
        <w:rPr>
          <w:szCs w:val="20"/>
        </w:rPr>
        <w:t xml:space="preserve"> </w:t>
      </w:r>
    </w:p>
    <w:p w:rsidR="00134D0B" w:rsidRDefault="00E2072B">
      <w:pPr>
        <w:spacing w:line="480" w:lineRule="auto"/>
        <w:ind w:left="720" w:hanging="720"/>
        <w:rPr>
          <w:szCs w:val="20"/>
        </w:rPr>
      </w:pPr>
      <w:r>
        <w:rPr>
          <w:szCs w:val="20"/>
        </w:rPr>
        <w:t>A.</w:t>
      </w:r>
      <w:r>
        <w:rPr>
          <w:szCs w:val="20"/>
        </w:rPr>
        <w:tab/>
        <w:t xml:space="preserve">Yes.  The Bridger SCRs were fully vetted in numerous different processes, helping to confirm that </w:t>
      </w:r>
      <w:r w:rsidR="00A36F92">
        <w:rPr>
          <w:szCs w:val="20"/>
        </w:rPr>
        <w:t>they were</w:t>
      </w:r>
      <w:r>
        <w:rPr>
          <w:szCs w:val="20"/>
        </w:rPr>
        <w:t xml:space="preserve"> the best compliance option</w:t>
      </w:r>
      <w:r w:rsidR="00A36F92">
        <w:rPr>
          <w:szCs w:val="20"/>
        </w:rPr>
        <w:t>s</w:t>
      </w:r>
      <w:r>
        <w:rPr>
          <w:szCs w:val="20"/>
        </w:rPr>
        <w:t xml:space="preserve"> for customers.</w:t>
      </w:r>
    </w:p>
    <w:p w:rsidR="00134D0B" w:rsidRDefault="00E2072B">
      <w:pPr>
        <w:spacing w:line="480" w:lineRule="auto"/>
        <w:ind w:left="720" w:hanging="720"/>
        <w:rPr>
          <w:b/>
          <w:szCs w:val="20"/>
        </w:rPr>
      </w:pPr>
      <w:r>
        <w:rPr>
          <w:b/>
          <w:szCs w:val="20"/>
        </w:rPr>
        <w:t>Q.</w:t>
      </w:r>
      <w:r>
        <w:rPr>
          <w:b/>
          <w:szCs w:val="20"/>
        </w:rPr>
        <w:tab/>
        <w:t>Have you prepared a timeline that reflects the life</w:t>
      </w:r>
      <w:r w:rsidR="008764F5">
        <w:rPr>
          <w:b/>
          <w:szCs w:val="20"/>
        </w:rPr>
        <w:t xml:space="preserve"> </w:t>
      </w:r>
      <w:r>
        <w:rPr>
          <w:b/>
          <w:szCs w:val="20"/>
        </w:rPr>
        <w:t xml:space="preserve">cycle of the Bridger SCRs from the draft Wyoming SIP to the final completion date later this year? </w:t>
      </w:r>
    </w:p>
    <w:p w:rsidR="00A36F92" w:rsidRDefault="00E2072B" w:rsidP="00D414C3">
      <w:pPr>
        <w:spacing w:line="480" w:lineRule="auto"/>
        <w:ind w:left="720" w:hanging="720"/>
        <w:rPr>
          <w:b/>
        </w:rPr>
      </w:pPr>
      <w:r>
        <w:rPr>
          <w:szCs w:val="20"/>
        </w:rPr>
        <w:t>A.</w:t>
      </w:r>
      <w:r>
        <w:rPr>
          <w:szCs w:val="20"/>
        </w:rPr>
        <w:tab/>
        <w:t xml:space="preserve">Yes.  </w:t>
      </w:r>
      <w:r>
        <w:t>Figure 1 contains the major milestones in the life</w:t>
      </w:r>
      <w:r w:rsidR="008764F5">
        <w:t xml:space="preserve"> </w:t>
      </w:r>
      <w:r>
        <w:t xml:space="preserve">cycle of this project. </w:t>
      </w:r>
      <w:r w:rsidR="00A36F92">
        <w:rPr>
          <w:b/>
        </w:rPr>
        <w:br w:type="page"/>
      </w:r>
    </w:p>
    <w:p w:rsidR="00A36F92" w:rsidRDefault="00E2072B" w:rsidP="00D414C3">
      <w:pPr>
        <w:suppressLineNumbers/>
        <w:spacing w:line="480" w:lineRule="auto"/>
        <w:jc w:val="center"/>
      </w:pPr>
      <w:r>
        <w:rPr>
          <w:b/>
        </w:rPr>
        <w:t>Figure 1</w:t>
      </w:r>
      <w:r w:rsidR="00A36F92">
        <w:rPr>
          <w:b/>
        </w:rPr>
        <w:t>—Bridger SCRs Timeline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768"/>
      </w:tblGrid>
      <w:tr w:rsidR="00A36F92" w:rsidRPr="001E291A" w:rsidTr="00D414C3">
        <w:trPr>
          <w:jc w:val="center"/>
        </w:trPr>
        <w:tc>
          <w:tcPr>
            <w:tcW w:w="2088" w:type="dxa"/>
            <w:tcBorders>
              <w:right w:val="single" w:sz="36" w:space="0" w:color="A6A6A6" w:themeColor="background1" w:themeShade="A6"/>
            </w:tcBorders>
            <w:vAlign w:val="center"/>
          </w:tcPr>
          <w:p w:rsidR="00A36F92" w:rsidRPr="001E291A" w:rsidRDefault="00A36F92" w:rsidP="00A36F92">
            <w:pPr>
              <w:spacing w:line="276" w:lineRule="auto"/>
              <w:ind w:right="252"/>
              <w:jc w:val="right"/>
              <w:rPr>
                <w:b/>
                <w:sz w:val="20"/>
                <w:szCs w:val="20"/>
              </w:rPr>
            </w:pPr>
            <w:r w:rsidRPr="001E291A">
              <w:rPr>
                <w:b/>
                <w:sz w:val="20"/>
                <w:szCs w:val="20"/>
              </w:rPr>
              <w:t>2008—2011</w:t>
            </w:r>
          </w:p>
        </w:tc>
        <w:tc>
          <w:tcPr>
            <w:tcW w:w="6768" w:type="dxa"/>
            <w:tcBorders>
              <w:left w:val="single" w:sz="36" w:space="0" w:color="A6A6A6" w:themeColor="background1" w:themeShade="A6"/>
            </w:tcBorders>
          </w:tcPr>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r>
              <w:rPr>
                <w:sz w:val="20"/>
                <w:szCs w:val="20"/>
              </w:rPr>
              <w:t>May 22, 2008—Wyoming</w:t>
            </w:r>
            <w:r w:rsidRPr="001E291A">
              <w:rPr>
                <w:sz w:val="20"/>
                <w:szCs w:val="20"/>
              </w:rPr>
              <w:t xml:space="preserve"> Regional Haze SIP (revised)</w:t>
            </w:r>
          </w:p>
          <w:p w:rsidR="00A36F92" w:rsidRPr="001E291A" w:rsidRDefault="00A36F92" w:rsidP="00A36F92">
            <w:pPr>
              <w:pBdr>
                <w:left w:val="single" w:sz="36" w:space="4" w:color="A6A6A6" w:themeColor="background1" w:themeShade="A6"/>
              </w:pBdr>
              <w:spacing w:line="276" w:lineRule="auto"/>
              <w:rPr>
                <w:sz w:val="20"/>
                <w:szCs w:val="20"/>
              </w:rPr>
            </w:pPr>
          </w:p>
          <w:p w:rsidR="00A36F92" w:rsidRPr="001E291A" w:rsidRDefault="00A36F92" w:rsidP="00A36F92">
            <w:pPr>
              <w:pBdr>
                <w:left w:val="single" w:sz="36" w:space="4" w:color="A6A6A6" w:themeColor="background1" w:themeShade="A6"/>
              </w:pBdr>
              <w:spacing w:line="276" w:lineRule="auto"/>
              <w:rPr>
                <w:sz w:val="20"/>
                <w:szCs w:val="20"/>
              </w:rPr>
            </w:pPr>
            <w:r>
              <w:rPr>
                <w:sz w:val="20"/>
                <w:szCs w:val="20"/>
              </w:rPr>
              <w:t>Dec. 31, 2009—Jim Bridger</w:t>
            </w:r>
            <w:r w:rsidRPr="001E291A">
              <w:rPr>
                <w:sz w:val="20"/>
                <w:szCs w:val="20"/>
              </w:rPr>
              <w:t xml:space="preserve"> BART Permit</w:t>
            </w:r>
          </w:p>
          <w:p w:rsidR="00A36F92" w:rsidRPr="001E291A" w:rsidRDefault="00A36F92" w:rsidP="00A36F92">
            <w:pPr>
              <w:pBdr>
                <w:left w:val="single" w:sz="36" w:space="4" w:color="A6A6A6" w:themeColor="background1" w:themeShade="A6"/>
              </w:pBdr>
              <w:spacing w:line="276" w:lineRule="auto"/>
              <w:rPr>
                <w:sz w:val="20"/>
                <w:szCs w:val="20"/>
              </w:rPr>
            </w:pPr>
          </w:p>
          <w:p w:rsidR="00A36F92" w:rsidRPr="001E291A" w:rsidRDefault="00A36F92" w:rsidP="00A36F92">
            <w:pPr>
              <w:pBdr>
                <w:left w:val="single" w:sz="36" w:space="4" w:color="A6A6A6" w:themeColor="background1" w:themeShade="A6"/>
              </w:pBdr>
              <w:spacing w:line="276" w:lineRule="auto"/>
              <w:rPr>
                <w:sz w:val="20"/>
                <w:szCs w:val="20"/>
              </w:rPr>
            </w:pPr>
            <w:r>
              <w:rPr>
                <w:sz w:val="20"/>
                <w:szCs w:val="20"/>
              </w:rPr>
              <w:t>Feb. 26, 2010—PacifiCorp</w:t>
            </w:r>
            <w:r w:rsidRPr="001E291A">
              <w:rPr>
                <w:sz w:val="20"/>
                <w:szCs w:val="20"/>
              </w:rPr>
              <w:t xml:space="preserve"> Appeal of BART Permit</w:t>
            </w:r>
          </w:p>
          <w:p w:rsidR="00A36F92" w:rsidRPr="001E291A" w:rsidRDefault="00A36F92" w:rsidP="00A36F92">
            <w:pPr>
              <w:pBdr>
                <w:left w:val="single" w:sz="36" w:space="4" w:color="A6A6A6" w:themeColor="background1" w:themeShade="A6"/>
              </w:pBdr>
              <w:spacing w:line="276" w:lineRule="auto"/>
              <w:rPr>
                <w:sz w:val="20"/>
                <w:szCs w:val="20"/>
              </w:rPr>
            </w:pPr>
          </w:p>
          <w:p w:rsidR="00A36F92" w:rsidRPr="001E291A" w:rsidRDefault="00A36F92" w:rsidP="00A36F92">
            <w:pPr>
              <w:pBdr>
                <w:left w:val="single" w:sz="36" w:space="4" w:color="A6A6A6" w:themeColor="background1" w:themeShade="A6"/>
              </w:pBdr>
              <w:spacing w:line="276" w:lineRule="auto"/>
              <w:rPr>
                <w:sz w:val="20"/>
                <w:szCs w:val="20"/>
              </w:rPr>
            </w:pPr>
            <w:r>
              <w:rPr>
                <w:sz w:val="20"/>
                <w:szCs w:val="20"/>
              </w:rPr>
              <w:t xml:space="preserve">Nov. 2, 2010—Wyoming BART Appeal Settlement (Bridger </w:t>
            </w:r>
            <w:r w:rsidRPr="001E291A">
              <w:rPr>
                <w:sz w:val="20"/>
                <w:szCs w:val="20"/>
              </w:rPr>
              <w:t>SCR Requirement)</w:t>
            </w:r>
          </w:p>
          <w:p w:rsidR="00A36F92" w:rsidRPr="001E291A" w:rsidRDefault="00A36F92" w:rsidP="00A36F92">
            <w:pPr>
              <w:pBdr>
                <w:left w:val="single" w:sz="36" w:space="4" w:color="A6A6A6" w:themeColor="background1" w:themeShade="A6"/>
              </w:pBdr>
              <w:spacing w:line="276" w:lineRule="auto"/>
              <w:rPr>
                <w:sz w:val="20"/>
                <w:szCs w:val="20"/>
              </w:rPr>
            </w:pPr>
            <w:r>
              <w:rPr>
                <w:sz w:val="20"/>
                <w:szCs w:val="20"/>
              </w:rPr>
              <w:t>Dec. 23, 2010—Jim Bridger</w:t>
            </w:r>
            <w:r w:rsidRPr="001E291A">
              <w:rPr>
                <w:sz w:val="20"/>
                <w:szCs w:val="20"/>
              </w:rPr>
              <w:t xml:space="preserve"> BART Permit Amendment</w:t>
            </w:r>
          </w:p>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r>
              <w:rPr>
                <w:sz w:val="20"/>
                <w:szCs w:val="20"/>
              </w:rPr>
              <w:t>Jan. 7, 2011—Wyoming</w:t>
            </w:r>
            <w:r w:rsidRPr="001E291A">
              <w:rPr>
                <w:sz w:val="20"/>
                <w:szCs w:val="20"/>
              </w:rPr>
              <w:t xml:space="preserve"> Regional Haze SIP (revised)</w:t>
            </w:r>
          </w:p>
          <w:p w:rsidR="00A36F92" w:rsidRPr="001E291A" w:rsidRDefault="00A36F92" w:rsidP="00A36F92">
            <w:pPr>
              <w:spacing w:line="276" w:lineRule="auto"/>
              <w:rPr>
                <w:sz w:val="20"/>
                <w:szCs w:val="20"/>
              </w:rPr>
            </w:pPr>
          </w:p>
        </w:tc>
      </w:tr>
      <w:tr w:rsidR="00A36F92" w:rsidRPr="001E291A" w:rsidTr="00D414C3">
        <w:trPr>
          <w:jc w:val="center"/>
        </w:trPr>
        <w:tc>
          <w:tcPr>
            <w:tcW w:w="2088" w:type="dxa"/>
            <w:vAlign w:val="center"/>
          </w:tcPr>
          <w:p w:rsidR="00A36F92" w:rsidRPr="001E291A" w:rsidRDefault="00A36F92" w:rsidP="00A36F92">
            <w:pPr>
              <w:spacing w:line="276" w:lineRule="auto"/>
              <w:ind w:right="252"/>
              <w:jc w:val="right"/>
              <w:rPr>
                <w:b/>
                <w:sz w:val="6"/>
                <w:szCs w:val="6"/>
              </w:rPr>
            </w:pPr>
          </w:p>
        </w:tc>
        <w:tc>
          <w:tcPr>
            <w:tcW w:w="6768" w:type="dxa"/>
          </w:tcPr>
          <w:p w:rsidR="00A36F92" w:rsidRPr="001E291A" w:rsidRDefault="00A36F92" w:rsidP="00A36F92">
            <w:pPr>
              <w:spacing w:line="276" w:lineRule="auto"/>
              <w:rPr>
                <w:sz w:val="6"/>
                <w:szCs w:val="6"/>
              </w:rPr>
            </w:pPr>
          </w:p>
        </w:tc>
      </w:tr>
      <w:tr w:rsidR="00A36F92" w:rsidRPr="001E291A" w:rsidTr="00D414C3">
        <w:trPr>
          <w:jc w:val="center"/>
        </w:trPr>
        <w:tc>
          <w:tcPr>
            <w:tcW w:w="2088" w:type="dxa"/>
            <w:tcBorders>
              <w:right w:val="single" w:sz="36" w:space="0" w:color="7F7F7F" w:themeColor="text1" w:themeTint="80"/>
            </w:tcBorders>
            <w:vAlign w:val="center"/>
          </w:tcPr>
          <w:p w:rsidR="00A36F92" w:rsidRPr="001E291A" w:rsidRDefault="00A36F92" w:rsidP="00A36F92">
            <w:pPr>
              <w:spacing w:line="276" w:lineRule="auto"/>
              <w:ind w:right="252"/>
              <w:jc w:val="right"/>
              <w:rPr>
                <w:b/>
                <w:sz w:val="20"/>
                <w:szCs w:val="20"/>
              </w:rPr>
            </w:pPr>
            <w:r w:rsidRPr="001E291A">
              <w:rPr>
                <w:b/>
                <w:sz w:val="20"/>
                <w:szCs w:val="20"/>
              </w:rPr>
              <w:t>2012</w:t>
            </w:r>
          </w:p>
        </w:tc>
        <w:tc>
          <w:tcPr>
            <w:tcW w:w="6768" w:type="dxa"/>
            <w:tcBorders>
              <w:left w:val="single" w:sz="36" w:space="0" w:color="7F7F7F" w:themeColor="text1" w:themeTint="80"/>
            </w:tcBorders>
          </w:tcPr>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r w:rsidRPr="001E291A">
              <w:rPr>
                <w:sz w:val="20"/>
                <w:szCs w:val="20"/>
              </w:rPr>
              <w:t>Jun. 4, 2012—EPA W</w:t>
            </w:r>
            <w:r>
              <w:rPr>
                <w:sz w:val="20"/>
                <w:szCs w:val="20"/>
              </w:rPr>
              <w:t>yoming</w:t>
            </w:r>
            <w:r w:rsidRPr="001E291A">
              <w:rPr>
                <w:sz w:val="20"/>
                <w:szCs w:val="20"/>
              </w:rPr>
              <w:t xml:space="preserve"> FIP Proposal</w:t>
            </w:r>
          </w:p>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r w:rsidRPr="001E291A">
              <w:rPr>
                <w:sz w:val="20"/>
                <w:szCs w:val="20"/>
              </w:rPr>
              <w:t>Aug. 7, 2012—W</w:t>
            </w:r>
            <w:r>
              <w:rPr>
                <w:sz w:val="20"/>
                <w:szCs w:val="20"/>
              </w:rPr>
              <w:t>yoming</w:t>
            </w:r>
            <w:r w:rsidRPr="001E291A">
              <w:rPr>
                <w:sz w:val="20"/>
                <w:szCs w:val="20"/>
              </w:rPr>
              <w:t xml:space="preserve"> CPCN Application </w:t>
            </w:r>
          </w:p>
          <w:p w:rsidR="00A36F92" w:rsidRPr="001E291A" w:rsidRDefault="00A36F92" w:rsidP="00A36F92">
            <w:pPr>
              <w:spacing w:line="276" w:lineRule="auto"/>
              <w:rPr>
                <w:sz w:val="20"/>
                <w:szCs w:val="20"/>
              </w:rPr>
            </w:pPr>
            <w:r>
              <w:rPr>
                <w:sz w:val="20"/>
                <w:szCs w:val="20"/>
              </w:rPr>
              <w:t>Aug. 24, 2012—Utah</w:t>
            </w:r>
            <w:r w:rsidRPr="001E291A">
              <w:rPr>
                <w:sz w:val="20"/>
                <w:szCs w:val="20"/>
              </w:rPr>
              <w:t xml:space="preserve"> Pre</w:t>
            </w:r>
            <w:r>
              <w:rPr>
                <w:sz w:val="20"/>
                <w:szCs w:val="20"/>
              </w:rPr>
              <w:t>-a</w:t>
            </w:r>
            <w:r w:rsidRPr="001E291A">
              <w:rPr>
                <w:sz w:val="20"/>
                <w:szCs w:val="20"/>
              </w:rPr>
              <w:t xml:space="preserve">pproval Application </w:t>
            </w:r>
          </w:p>
          <w:p w:rsidR="00A36F92" w:rsidRPr="001E291A" w:rsidRDefault="00A36F92" w:rsidP="00A36F92">
            <w:pPr>
              <w:spacing w:line="276" w:lineRule="auto"/>
              <w:rPr>
                <w:sz w:val="20"/>
                <w:szCs w:val="20"/>
              </w:rPr>
            </w:pPr>
          </w:p>
        </w:tc>
      </w:tr>
      <w:tr w:rsidR="00A36F92" w:rsidRPr="001E291A" w:rsidTr="00D414C3">
        <w:trPr>
          <w:jc w:val="center"/>
        </w:trPr>
        <w:tc>
          <w:tcPr>
            <w:tcW w:w="2088" w:type="dxa"/>
            <w:vAlign w:val="center"/>
          </w:tcPr>
          <w:p w:rsidR="00A36F92" w:rsidRPr="001E291A" w:rsidRDefault="00A36F92" w:rsidP="00A36F92">
            <w:pPr>
              <w:spacing w:line="276" w:lineRule="auto"/>
              <w:ind w:right="252"/>
              <w:jc w:val="right"/>
              <w:rPr>
                <w:b/>
                <w:sz w:val="6"/>
                <w:szCs w:val="6"/>
              </w:rPr>
            </w:pPr>
          </w:p>
        </w:tc>
        <w:tc>
          <w:tcPr>
            <w:tcW w:w="6768" w:type="dxa"/>
          </w:tcPr>
          <w:p w:rsidR="00A36F92" w:rsidRPr="001E291A" w:rsidRDefault="00A36F92" w:rsidP="00A36F92">
            <w:pPr>
              <w:spacing w:line="276" w:lineRule="auto"/>
              <w:rPr>
                <w:sz w:val="6"/>
                <w:szCs w:val="6"/>
              </w:rPr>
            </w:pPr>
          </w:p>
        </w:tc>
      </w:tr>
      <w:tr w:rsidR="00A36F92" w:rsidRPr="001E291A" w:rsidTr="00D414C3">
        <w:trPr>
          <w:jc w:val="center"/>
        </w:trPr>
        <w:tc>
          <w:tcPr>
            <w:tcW w:w="2088" w:type="dxa"/>
            <w:tcBorders>
              <w:right w:val="single" w:sz="36" w:space="0" w:color="595959" w:themeColor="text1" w:themeTint="A6"/>
            </w:tcBorders>
            <w:vAlign w:val="center"/>
          </w:tcPr>
          <w:p w:rsidR="00A36F92" w:rsidRPr="001E291A" w:rsidRDefault="00A36F92" w:rsidP="00A36F92">
            <w:pPr>
              <w:spacing w:line="276" w:lineRule="auto"/>
              <w:ind w:right="252"/>
              <w:jc w:val="right"/>
              <w:rPr>
                <w:b/>
                <w:sz w:val="20"/>
                <w:szCs w:val="20"/>
              </w:rPr>
            </w:pPr>
            <w:r w:rsidRPr="001E291A">
              <w:rPr>
                <w:b/>
                <w:sz w:val="20"/>
                <w:szCs w:val="20"/>
              </w:rPr>
              <w:t>2013</w:t>
            </w:r>
          </w:p>
        </w:tc>
        <w:tc>
          <w:tcPr>
            <w:tcW w:w="6768" w:type="dxa"/>
            <w:tcBorders>
              <w:left w:val="single" w:sz="36" w:space="0" w:color="595959" w:themeColor="text1" w:themeTint="A6"/>
            </w:tcBorders>
          </w:tcPr>
          <w:p w:rsidR="00A36F92" w:rsidRPr="001E291A" w:rsidRDefault="00A36F92" w:rsidP="00A36F92">
            <w:pPr>
              <w:spacing w:line="276" w:lineRule="auto"/>
              <w:rPr>
                <w:sz w:val="20"/>
                <w:szCs w:val="20"/>
              </w:rPr>
            </w:pPr>
            <w:r>
              <w:rPr>
                <w:sz w:val="20"/>
                <w:szCs w:val="20"/>
              </w:rPr>
              <w:t>Feb. 11, 2013—Utah</w:t>
            </w:r>
            <w:r w:rsidRPr="001E291A">
              <w:rPr>
                <w:sz w:val="20"/>
                <w:szCs w:val="20"/>
              </w:rPr>
              <w:t xml:space="preserve"> Pre</w:t>
            </w:r>
            <w:r>
              <w:rPr>
                <w:sz w:val="20"/>
                <w:szCs w:val="20"/>
              </w:rPr>
              <w:t>-</w:t>
            </w:r>
            <w:r w:rsidRPr="001E291A">
              <w:rPr>
                <w:sz w:val="20"/>
                <w:szCs w:val="20"/>
              </w:rPr>
              <w:t xml:space="preserve">approval Rebuttal </w:t>
            </w:r>
          </w:p>
          <w:p w:rsidR="00A36F92" w:rsidRPr="001E291A" w:rsidRDefault="00A36F92" w:rsidP="00A36F92">
            <w:pPr>
              <w:spacing w:line="276" w:lineRule="auto"/>
              <w:rPr>
                <w:sz w:val="20"/>
                <w:szCs w:val="20"/>
              </w:rPr>
            </w:pPr>
            <w:r>
              <w:rPr>
                <w:sz w:val="20"/>
                <w:szCs w:val="20"/>
              </w:rPr>
              <w:t>Mar. 4, 2013—Wyoming</w:t>
            </w:r>
            <w:r w:rsidRPr="001E291A">
              <w:rPr>
                <w:sz w:val="20"/>
                <w:szCs w:val="20"/>
              </w:rPr>
              <w:t xml:space="preserve"> CPCN Rebuttal </w:t>
            </w:r>
          </w:p>
          <w:p w:rsidR="00A36F92" w:rsidRPr="001E291A" w:rsidRDefault="00A36F92" w:rsidP="00A36F92">
            <w:pPr>
              <w:spacing w:line="276" w:lineRule="auto"/>
              <w:rPr>
                <w:sz w:val="20"/>
                <w:szCs w:val="20"/>
              </w:rPr>
            </w:pPr>
            <w:r>
              <w:rPr>
                <w:sz w:val="20"/>
                <w:szCs w:val="20"/>
              </w:rPr>
              <w:t>Apr. 30, 2013—PacifiCorp</w:t>
            </w:r>
            <w:r w:rsidRPr="001E291A">
              <w:rPr>
                <w:sz w:val="20"/>
                <w:szCs w:val="20"/>
              </w:rPr>
              <w:t xml:space="preserve"> 2013 IRP Confidential Volume III Filed</w:t>
            </w:r>
          </w:p>
          <w:p w:rsidR="00A36F92" w:rsidRPr="001E291A" w:rsidRDefault="00A36F92" w:rsidP="00A36F92">
            <w:pPr>
              <w:spacing w:line="276" w:lineRule="auto"/>
              <w:rPr>
                <w:sz w:val="20"/>
                <w:szCs w:val="20"/>
              </w:rPr>
            </w:pPr>
            <w:r>
              <w:rPr>
                <w:sz w:val="20"/>
                <w:szCs w:val="20"/>
              </w:rPr>
              <w:t>May 10, 2013—Utah</w:t>
            </w:r>
            <w:r w:rsidRPr="001E291A">
              <w:rPr>
                <w:sz w:val="20"/>
                <w:szCs w:val="20"/>
              </w:rPr>
              <w:t xml:space="preserve"> Preapproval Order</w:t>
            </w:r>
          </w:p>
          <w:p w:rsidR="00A36F92" w:rsidRPr="001E291A" w:rsidRDefault="00A36F92" w:rsidP="00A36F92">
            <w:pPr>
              <w:spacing w:line="276" w:lineRule="auto"/>
              <w:rPr>
                <w:sz w:val="20"/>
                <w:szCs w:val="20"/>
              </w:rPr>
            </w:pPr>
            <w:r>
              <w:rPr>
                <w:sz w:val="20"/>
                <w:szCs w:val="20"/>
              </w:rPr>
              <w:t>May 30, 2013—Wyoming</w:t>
            </w:r>
            <w:r w:rsidRPr="001E291A">
              <w:rPr>
                <w:sz w:val="20"/>
                <w:szCs w:val="20"/>
              </w:rPr>
              <w:t xml:space="preserve"> CPCN Approval Order</w:t>
            </w:r>
          </w:p>
          <w:p w:rsidR="00A36F92" w:rsidRPr="001E291A" w:rsidRDefault="00A36F92" w:rsidP="00A36F92">
            <w:pPr>
              <w:spacing w:line="276" w:lineRule="auto"/>
              <w:rPr>
                <w:sz w:val="20"/>
                <w:szCs w:val="20"/>
              </w:rPr>
            </w:pPr>
            <w:r w:rsidRPr="001E291A">
              <w:rPr>
                <w:sz w:val="20"/>
                <w:szCs w:val="20"/>
              </w:rPr>
              <w:t>May 30, 2013—APR Approval</w:t>
            </w:r>
          </w:p>
          <w:p w:rsidR="00A36F92" w:rsidRPr="001E291A" w:rsidRDefault="00A36F92" w:rsidP="00A36F92">
            <w:pPr>
              <w:spacing w:line="276" w:lineRule="auto"/>
              <w:rPr>
                <w:sz w:val="20"/>
                <w:szCs w:val="20"/>
              </w:rPr>
            </w:pPr>
            <w:r w:rsidRPr="001E291A">
              <w:rPr>
                <w:sz w:val="20"/>
                <w:szCs w:val="20"/>
              </w:rPr>
              <w:t>May 31, 2013—EPC LNTP</w:t>
            </w:r>
          </w:p>
          <w:p w:rsidR="00A36F92" w:rsidRPr="001E291A" w:rsidRDefault="00A36F92" w:rsidP="00A36F92">
            <w:pPr>
              <w:spacing w:line="276" w:lineRule="auto"/>
              <w:rPr>
                <w:sz w:val="20"/>
                <w:szCs w:val="20"/>
              </w:rPr>
            </w:pPr>
            <w:r>
              <w:rPr>
                <w:sz w:val="20"/>
                <w:szCs w:val="20"/>
              </w:rPr>
              <w:t xml:space="preserve">Jun. 28, 2013—Idaho Power Company’s Wyoming </w:t>
            </w:r>
            <w:r w:rsidRPr="001E291A">
              <w:rPr>
                <w:sz w:val="20"/>
                <w:szCs w:val="20"/>
              </w:rPr>
              <w:t>CPCN Application</w:t>
            </w:r>
          </w:p>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r w:rsidRPr="001E291A">
              <w:rPr>
                <w:sz w:val="20"/>
                <w:szCs w:val="20"/>
              </w:rPr>
              <w:t>Dec. 1, 2013—EPC FNTP</w:t>
            </w:r>
          </w:p>
          <w:p w:rsidR="00A36F92" w:rsidRPr="001E291A" w:rsidRDefault="00A36F92" w:rsidP="00F62055">
            <w:pPr>
              <w:spacing w:line="276" w:lineRule="auto"/>
              <w:rPr>
                <w:sz w:val="20"/>
                <w:szCs w:val="20"/>
              </w:rPr>
            </w:pPr>
            <w:r w:rsidRPr="001E291A">
              <w:rPr>
                <w:sz w:val="20"/>
                <w:szCs w:val="20"/>
              </w:rPr>
              <w:t>Dec. 2, 2013—</w:t>
            </w:r>
            <w:r>
              <w:rPr>
                <w:sz w:val="20"/>
                <w:szCs w:val="20"/>
              </w:rPr>
              <w:t xml:space="preserve">Idaho Power Company’s Wyoming </w:t>
            </w:r>
            <w:r w:rsidRPr="001E291A">
              <w:rPr>
                <w:sz w:val="20"/>
                <w:szCs w:val="20"/>
              </w:rPr>
              <w:t>CPCN Approval Order</w:t>
            </w:r>
          </w:p>
        </w:tc>
      </w:tr>
      <w:tr w:rsidR="00A36F92" w:rsidRPr="001E291A" w:rsidTr="00D414C3">
        <w:trPr>
          <w:jc w:val="center"/>
        </w:trPr>
        <w:tc>
          <w:tcPr>
            <w:tcW w:w="2088" w:type="dxa"/>
            <w:vAlign w:val="center"/>
          </w:tcPr>
          <w:p w:rsidR="00A36F92" w:rsidRPr="001E291A" w:rsidRDefault="00A36F92" w:rsidP="00A36F92">
            <w:pPr>
              <w:spacing w:line="276" w:lineRule="auto"/>
              <w:ind w:right="252"/>
              <w:jc w:val="right"/>
              <w:rPr>
                <w:b/>
                <w:sz w:val="6"/>
                <w:szCs w:val="6"/>
              </w:rPr>
            </w:pPr>
          </w:p>
        </w:tc>
        <w:tc>
          <w:tcPr>
            <w:tcW w:w="6768" w:type="dxa"/>
          </w:tcPr>
          <w:p w:rsidR="00A36F92" w:rsidRPr="001E291A" w:rsidRDefault="00A36F92" w:rsidP="00A36F92">
            <w:pPr>
              <w:spacing w:line="276" w:lineRule="auto"/>
              <w:rPr>
                <w:sz w:val="6"/>
                <w:szCs w:val="6"/>
              </w:rPr>
            </w:pPr>
          </w:p>
        </w:tc>
      </w:tr>
      <w:tr w:rsidR="00A36F92" w:rsidRPr="001E291A" w:rsidTr="00D414C3">
        <w:trPr>
          <w:jc w:val="center"/>
        </w:trPr>
        <w:tc>
          <w:tcPr>
            <w:tcW w:w="2088" w:type="dxa"/>
            <w:tcBorders>
              <w:right w:val="single" w:sz="36" w:space="0" w:color="404040" w:themeColor="text1" w:themeTint="BF"/>
            </w:tcBorders>
            <w:vAlign w:val="center"/>
          </w:tcPr>
          <w:p w:rsidR="00A36F92" w:rsidRPr="001E291A" w:rsidRDefault="00A36F92" w:rsidP="00A36F92">
            <w:pPr>
              <w:spacing w:line="276" w:lineRule="auto"/>
              <w:ind w:right="252"/>
              <w:jc w:val="right"/>
              <w:rPr>
                <w:b/>
                <w:sz w:val="20"/>
                <w:szCs w:val="20"/>
              </w:rPr>
            </w:pPr>
            <w:r w:rsidRPr="001E291A">
              <w:rPr>
                <w:b/>
                <w:sz w:val="20"/>
                <w:szCs w:val="20"/>
              </w:rPr>
              <w:t>2014</w:t>
            </w:r>
          </w:p>
        </w:tc>
        <w:tc>
          <w:tcPr>
            <w:tcW w:w="6768" w:type="dxa"/>
            <w:tcBorders>
              <w:left w:val="single" w:sz="36" w:space="0" w:color="404040" w:themeColor="text1" w:themeTint="BF"/>
            </w:tcBorders>
          </w:tcPr>
          <w:p w:rsidR="00A36F92" w:rsidRPr="001E291A" w:rsidRDefault="00A36F92" w:rsidP="00A36F92">
            <w:pPr>
              <w:spacing w:line="276" w:lineRule="auto"/>
              <w:rPr>
                <w:sz w:val="20"/>
                <w:szCs w:val="20"/>
              </w:rPr>
            </w:pPr>
            <w:r w:rsidRPr="001E291A">
              <w:rPr>
                <w:sz w:val="20"/>
                <w:szCs w:val="20"/>
              </w:rPr>
              <w:t>Jan. 30, 20</w:t>
            </w:r>
            <w:r>
              <w:rPr>
                <w:sz w:val="20"/>
                <w:szCs w:val="20"/>
              </w:rPr>
              <w:t>14—EPA Wyoming</w:t>
            </w:r>
            <w:r w:rsidRPr="001E291A">
              <w:rPr>
                <w:sz w:val="20"/>
                <w:szCs w:val="20"/>
              </w:rPr>
              <w:t xml:space="preserve"> FIP Final Action</w:t>
            </w:r>
          </w:p>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r>
              <w:rPr>
                <w:sz w:val="20"/>
                <w:szCs w:val="20"/>
              </w:rPr>
              <w:t>Mar. 31, 2014—PacifiCorp</w:t>
            </w:r>
            <w:r w:rsidRPr="001E291A">
              <w:rPr>
                <w:sz w:val="20"/>
                <w:szCs w:val="20"/>
              </w:rPr>
              <w:t xml:space="preserve"> 2013 IRP Update Confidential Exhibit F</w:t>
            </w:r>
            <w:r w:rsidR="00726547">
              <w:rPr>
                <w:sz w:val="20"/>
                <w:szCs w:val="20"/>
              </w:rPr>
              <w:t xml:space="preserve"> Filed</w:t>
            </w:r>
          </w:p>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p>
        </w:tc>
      </w:tr>
      <w:tr w:rsidR="00A36F92" w:rsidRPr="001E291A" w:rsidTr="00D414C3">
        <w:trPr>
          <w:jc w:val="center"/>
        </w:trPr>
        <w:tc>
          <w:tcPr>
            <w:tcW w:w="2088" w:type="dxa"/>
            <w:vAlign w:val="center"/>
          </w:tcPr>
          <w:p w:rsidR="00A36F92" w:rsidRPr="001E291A" w:rsidRDefault="00A36F92" w:rsidP="00A36F92">
            <w:pPr>
              <w:spacing w:line="276" w:lineRule="auto"/>
              <w:ind w:right="252"/>
              <w:jc w:val="right"/>
              <w:rPr>
                <w:b/>
                <w:sz w:val="6"/>
                <w:szCs w:val="6"/>
              </w:rPr>
            </w:pPr>
          </w:p>
        </w:tc>
        <w:tc>
          <w:tcPr>
            <w:tcW w:w="6768" w:type="dxa"/>
          </w:tcPr>
          <w:p w:rsidR="00A36F92" w:rsidRPr="001E291A" w:rsidRDefault="00A36F92" w:rsidP="00A36F92">
            <w:pPr>
              <w:spacing w:line="276" w:lineRule="auto"/>
              <w:rPr>
                <w:sz w:val="6"/>
                <w:szCs w:val="6"/>
              </w:rPr>
            </w:pPr>
          </w:p>
        </w:tc>
      </w:tr>
      <w:tr w:rsidR="00A36F92" w:rsidRPr="001E291A" w:rsidTr="00D414C3">
        <w:trPr>
          <w:jc w:val="center"/>
        </w:trPr>
        <w:tc>
          <w:tcPr>
            <w:tcW w:w="2088" w:type="dxa"/>
            <w:tcBorders>
              <w:right w:val="single" w:sz="36" w:space="0" w:color="262626" w:themeColor="text1" w:themeTint="D9"/>
            </w:tcBorders>
            <w:vAlign w:val="center"/>
          </w:tcPr>
          <w:p w:rsidR="00A36F92" w:rsidRPr="001E291A" w:rsidRDefault="00A36F92" w:rsidP="00A36F92">
            <w:pPr>
              <w:spacing w:line="276" w:lineRule="auto"/>
              <w:ind w:right="252"/>
              <w:jc w:val="right"/>
              <w:rPr>
                <w:b/>
                <w:sz w:val="20"/>
                <w:szCs w:val="20"/>
              </w:rPr>
            </w:pPr>
            <w:r w:rsidRPr="001E291A">
              <w:rPr>
                <w:b/>
                <w:sz w:val="20"/>
                <w:szCs w:val="20"/>
              </w:rPr>
              <w:t>2015</w:t>
            </w:r>
          </w:p>
        </w:tc>
        <w:tc>
          <w:tcPr>
            <w:tcW w:w="6768" w:type="dxa"/>
            <w:tcBorders>
              <w:left w:val="single" w:sz="36" w:space="0" w:color="262626" w:themeColor="text1" w:themeTint="D9"/>
            </w:tcBorders>
          </w:tcPr>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r w:rsidRPr="001E291A">
              <w:rPr>
                <w:sz w:val="20"/>
                <w:szCs w:val="20"/>
              </w:rPr>
              <w:t>Dec. 30, 2015—W</w:t>
            </w:r>
            <w:r>
              <w:rPr>
                <w:sz w:val="20"/>
                <w:szCs w:val="20"/>
              </w:rPr>
              <w:t>yoming</w:t>
            </w:r>
            <w:r w:rsidRPr="001E291A">
              <w:rPr>
                <w:sz w:val="20"/>
                <w:szCs w:val="20"/>
              </w:rPr>
              <w:t xml:space="preserve"> GRC Order</w:t>
            </w:r>
          </w:p>
          <w:p w:rsidR="00A36F92" w:rsidRPr="001E291A" w:rsidRDefault="00A36F92" w:rsidP="00F62055">
            <w:pPr>
              <w:spacing w:line="276" w:lineRule="auto"/>
              <w:rPr>
                <w:sz w:val="20"/>
                <w:szCs w:val="20"/>
              </w:rPr>
            </w:pPr>
            <w:r w:rsidRPr="001E291A">
              <w:rPr>
                <w:sz w:val="20"/>
                <w:szCs w:val="20"/>
              </w:rPr>
              <w:t>Dec. 31, 2015—</w:t>
            </w:r>
            <w:r>
              <w:rPr>
                <w:sz w:val="20"/>
                <w:szCs w:val="20"/>
              </w:rPr>
              <w:t>Jim Bridger 3</w:t>
            </w:r>
            <w:r w:rsidRPr="001E291A">
              <w:rPr>
                <w:sz w:val="20"/>
                <w:szCs w:val="20"/>
              </w:rPr>
              <w:t xml:space="preserve"> SCR Compliance Deadline</w:t>
            </w:r>
          </w:p>
        </w:tc>
      </w:tr>
      <w:tr w:rsidR="00A36F92" w:rsidRPr="001E291A" w:rsidTr="00D414C3">
        <w:trPr>
          <w:jc w:val="center"/>
        </w:trPr>
        <w:tc>
          <w:tcPr>
            <w:tcW w:w="2088" w:type="dxa"/>
            <w:vAlign w:val="center"/>
          </w:tcPr>
          <w:p w:rsidR="00A36F92" w:rsidRPr="001E291A" w:rsidRDefault="00A36F92" w:rsidP="00A36F92">
            <w:pPr>
              <w:spacing w:line="276" w:lineRule="auto"/>
              <w:ind w:right="252"/>
              <w:jc w:val="right"/>
              <w:rPr>
                <w:b/>
                <w:sz w:val="6"/>
                <w:szCs w:val="6"/>
              </w:rPr>
            </w:pPr>
          </w:p>
        </w:tc>
        <w:tc>
          <w:tcPr>
            <w:tcW w:w="6768" w:type="dxa"/>
          </w:tcPr>
          <w:p w:rsidR="00A36F92" w:rsidRPr="001E291A" w:rsidRDefault="00A36F92" w:rsidP="00A36F92">
            <w:pPr>
              <w:spacing w:line="276" w:lineRule="auto"/>
              <w:rPr>
                <w:sz w:val="6"/>
                <w:szCs w:val="6"/>
              </w:rPr>
            </w:pPr>
          </w:p>
        </w:tc>
      </w:tr>
      <w:tr w:rsidR="00A36F92" w:rsidRPr="001E291A" w:rsidTr="00D414C3">
        <w:trPr>
          <w:jc w:val="center"/>
        </w:trPr>
        <w:tc>
          <w:tcPr>
            <w:tcW w:w="2088" w:type="dxa"/>
            <w:tcBorders>
              <w:right w:val="single" w:sz="36" w:space="0" w:color="000000" w:themeColor="text1"/>
            </w:tcBorders>
            <w:vAlign w:val="center"/>
          </w:tcPr>
          <w:p w:rsidR="00A36F92" w:rsidRPr="001E291A" w:rsidRDefault="00A36F92" w:rsidP="00A36F92">
            <w:pPr>
              <w:spacing w:line="276" w:lineRule="auto"/>
              <w:ind w:right="252"/>
              <w:jc w:val="right"/>
              <w:rPr>
                <w:b/>
                <w:sz w:val="20"/>
                <w:szCs w:val="20"/>
              </w:rPr>
            </w:pPr>
            <w:r w:rsidRPr="001E291A">
              <w:rPr>
                <w:b/>
                <w:sz w:val="20"/>
                <w:szCs w:val="20"/>
              </w:rPr>
              <w:t>2016</w:t>
            </w:r>
          </w:p>
        </w:tc>
        <w:tc>
          <w:tcPr>
            <w:tcW w:w="6768" w:type="dxa"/>
            <w:tcBorders>
              <w:left w:val="single" w:sz="36" w:space="0" w:color="000000" w:themeColor="text1"/>
            </w:tcBorders>
          </w:tcPr>
          <w:p w:rsidR="00A36F92" w:rsidRPr="001E291A" w:rsidRDefault="00A36F92" w:rsidP="00A36F92">
            <w:pPr>
              <w:spacing w:line="276" w:lineRule="auto"/>
              <w:rPr>
                <w:sz w:val="20"/>
                <w:szCs w:val="20"/>
              </w:rPr>
            </w:pPr>
          </w:p>
          <w:p w:rsidR="00A36F92" w:rsidRPr="001E291A" w:rsidRDefault="00A36F92" w:rsidP="00A36F92">
            <w:pPr>
              <w:spacing w:line="276" w:lineRule="auto"/>
              <w:rPr>
                <w:sz w:val="20"/>
                <w:szCs w:val="20"/>
              </w:rPr>
            </w:pPr>
          </w:p>
          <w:p w:rsidR="00A36F92" w:rsidRPr="001E291A" w:rsidRDefault="00A36F92" w:rsidP="00F62055">
            <w:pPr>
              <w:spacing w:line="276" w:lineRule="auto"/>
              <w:rPr>
                <w:sz w:val="20"/>
                <w:szCs w:val="20"/>
              </w:rPr>
            </w:pPr>
            <w:r w:rsidRPr="001E291A">
              <w:rPr>
                <w:sz w:val="20"/>
                <w:szCs w:val="20"/>
              </w:rPr>
              <w:t>Dec. 31, 2016—</w:t>
            </w:r>
            <w:r>
              <w:rPr>
                <w:sz w:val="20"/>
                <w:szCs w:val="20"/>
              </w:rPr>
              <w:t>Jim Bridger</w:t>
            </w:r>
            <w:r w:rsidRPr="001E291A">
              <w:rPr>
                <w:sz w:val="20"/>
                <w:szCs w:val="20"/>
              </w:rPr>
              <w:t xml:space="preserve"> 4 SCR Compliance Deadline</w:t>
            </w:r>
          </w:p>
        </w:tc>
      </w:tr>
    </w:tbl>
    <w:p w:rsidR="00134D0B" w:rsidRDefault="00134D0B" w:rsidP="00D414C3">
      <w:pPr>
        <w:suppressLineNumbers/>
        <w:spacing w:line="480" w:lineRule="auto"/>
        <w:ind w:left="533" w:hanging="720"/>
        <w:jc w:val="both"/>
      </w:pPr>
    </w:p>
    <w:p w:rsidR="00134D0B" w:rsidRDefault="00E2072B">
      <w:pPr>
        <w:spacing w:line="480" w:lineRule="auto"/>
        <w:ind w:left="720" w:hanging="720"/>
        <w:rPr>
          <w:b/>
          <w:szCs w:val="20"/>
        </w:rPr>
      </w:pPr>
      <w:r>
        <w:rPr>
          <w:b/>
          <w:szCs w:val="20"/>
        </w:rPr>
        <w:t>Q.</w:t>
      </w:r>
      <w:r>
        <w:rPr>
          <w:b/>
          <w:szCs w:val="20"/>
        </w:rPr>
        <w:tab/>
        <w:t xml:space="preserve">Throughout this process, did the Company use the models and analytical approaches developed and applied in its IRP to evaluate the Bridger SCRs? </w:t>
      </w:r>
    </w:p>
    <w:p w:rsidR="00134D0B" w:rsidRDefault="00E2072B">
      <w:pPr>
        <w:tabs>
          <w:tab w:val="left" w:pos="720"/>
        </w:tabs>
        <w:spacing w:line="480" w:lineRule="auto"/>
        <w:ind w:left="720" w:hanging="720"/>
        <w:rPr>
          <w:szCs w:val="20"/>
        </w:rPr>
      </w:pPr>
      <w:r>
        <w:rPr>
          <w:szCs w:val="20"/>
        </w:rPr>
        <w:t>A.</w:t>
      </w:r>
      <w:r>
        <w:rPr>
          <w:szCs w:val="20"/>
        </w:rPr>
        <w:tab/>
        <w:t xml:space="preserve">Yes.  </w:t>
      </w:r>
    </w:p>
    <w:p w:rsidR="00134D0B" w:rsidRDefault="00E2072B">
      <w:pPr>
        <w:tabs>
          <w:tab w:val="left" w:pos="720"/>
        </w:tabs>
        <w:spacing w:line="480" w:lineRule="auto"/>
        <w:ind w:left="720" w:hanging="720"/>
        <w:rPr>
          <w:b/>
          <w:szCs w:val="20"/>
        </w:rPr>
      </w:pPr>
      <w:r>
        <w:rPr>
          <w:b/>
          <w:szCs w:val="20"/>
        </w:rPr>
        <w:t>Q.</w:t>
      </w:r>
      <w:r>
        <w:rPr>
          <w:b/>
          <w:szCs w:val="20"/>
        </w:rPr>
        <w:tab/>
        <w:t>Have Staff and Sierra Club previously recognized the rigor of the Company’s IRP process?</w:t>
      </w:r>
    </w:p>
    <w:p w:rsidR="00134D0B" w:rsidRDefault="00E2072B">
      <w:pPr>
        <w:tabs>
          <w:tab w:val="left" w:pos="720"/>
        </w:tabs>
        <w:spacing w:line="480" w:lineRule="auto"/>
        <w:ind w:left="720" w:hanging="720"/>
        <w:rPr>
          <w:szCs w:val="20"/>
        </w:rPr>
      </w:pPr>
      <w:r>
        <w:rPr>
          <w:szCs w:val="20"/>
        </w:rPr>
        <w:t>A.</w:t>
      </w:r>
      <w:r>
        <w:rPr>
          <w:szCs w:val="20"/>
        </w:rPr>
        <w:tab/>
        <w:t>Yes.  For example, in a comment submitted during the Company’s 2015 IRP stakeholder outreach process, Mr. Twitchell wrote:</w:t>
      </w:r>
    </w:p>
    <w:p w:rsidR="00134D0B" w:rsidRDefault="00E2072B">
      <w:pPr>
        <w:tabs>
          <w:tab w:val="left" w:pos="720"/>
        </w:tabs>
        <w:ind w:left="1440" w:right="1440"/>
        <w:rPr>
          <w:b/>
        </w:rPr>
      </w:pPr>
      <w:r>
        <w:t>I want to begin by restating my respect and appreciation for the work that IRP team has done.  There are a number of unprecedented challenges on the table in this planning cycle, and the IRP team has consistently proven nimble and creative in developing approaches to modeling those challenges.  The work has been strong, well presented and understandable.  I believe that PacifiCorp sets the bar for other utilities with the quality and depth of its IRP process.</w:t>
      </w:r>
      <w:r>
        <w:rPr>
          <w:rStyle w:val="FootnoteReference"/>
        </w:rPr>
        <w:footnoteReference w:id="2"/>
      </w:r>
    </w:p>
    <w:p w:rsidR="00134D0B" w:rsidRDefault="00134D0B" w:rsidP="00D414C3">
      <w:pPr>
        <w:suppressLineNumbers/>
        <w:tabs>
          <w:tab w:val="left" w:pos="720"/>
        </w:tabs>
        <w:ind w:left="1440" w:right="1440"/>
      </w:pPr>
    </w:p>
    <w:p w:rsidR="00134D0B" w:rsidRDefault="00E2072B">
      <w:pPr>
        <w:tabs>
          <w:tab w:val="left" w:pos="720"/>
        </w:tabs>
        <w:spacing w:line="480" w:lineRule="auto"/>
        <w:ind w:left="720" w:hanging="720"/>
        <w:rPr>
          <w:szCs w:val="20"/>
        </w:rPr>
      </w:pPr>
      <w:r>
        <w:rPr>
          <w:szCs w:val="20"/>
        </w:rPr>
        <w:t xml:space="preserve"> </w:t>
      </w:r>
      <w:r w:rsidR="006D4311">
        <w:rPr>
          <w:szCs w:val="20"/>
        </w:rPr>
        <w:tab/>
      </w:r>
      <w:r w:rsidR="006D4311">
        <w:rPr>
          <w:szCs w:val="20"/>
        </w:rPr>
        <w:tab/>
        <w:t>Over the last several years, D</w:t>
      </w:r>
      <w:r>
        <w:rPr>
          <w:szCs w:val="20"/>
        </w:rPr>
        <w:t>r. Fisher has referenced PacifiCorp’s IRP as the model that should be emulated by utilities in other jurisdictions.</w:t>
      </w:r>
      <w:r>
        <w:rPr>
          <w:rStyle w:val="FootnoteReference"/>
          <w:szCs w:val="20"/>
        </w:rPr>
        <w:footnoteReference w:id="3"/>
      </w:r>
      <w:r w:rsidR="006D4311">
        <w:rPr>
          <w:szCs w:val="20"/>
        </w:rPr>
        <w:t xml:space="preserve">  For example, in 2014, D</w:t>
      </w:r>
      <w:r>
        <w:rPr>
          <w:szCs w:val="20"/>
        </w:rPr>
        <w:t>r. Fisher pointed to PacifiCorp’s carbon modeling when testifying how an Oklahoma utility should model future costs associated with environmental regulation.</w:t>
      </w:r>
      <w:r>
        <w:rPr>
          <w:rStyle w:val="FootnoteReference"/>
          <w:szCs w:val="20"/>
        </w:rPr>
        <w:footnoteReference w:id="4"/>
      </w:r>
      <w:r>
        <w:rPr>
          <w:szCs w:val="20"/>
        </w:rPr>
        <w:t xml:space="preserve">  </w:t>
      </w:r>
    </w:p>
    <w:p w:rsidR="00134D0B" w:rsidRDefault="00E2072B">
      <w:pPr>
        <w:tabs>
          <w:tab w:val="left" w:pos="720"/>
        </w:tabs>
        <w:spacing w:line="480" w:lineRule="auto"/>
        <w:ind w:left="720" w:hanging="720"/>
        <w:rPr>
          <w:b/>
          <w:szCs w:val="20"/>
        </w:rPr>
      </w:pPr>
      <w:r>
        <w:rPr>
          <w:b/>
          <w:szCs w:val="20"/>
        </w:rPr>
        <w:t>Q.</w:t>
      </w:r>
      <w:r>
        <w:rPr>
          <w:b/>
          <w:szCs w:val="20"/>
        </w:rPr>
        <w:tab/>
        <w:t xml:space="preserve">Have others in the industry similarly recognized the high quality of PacifiCorp’s resource planning and modeling? </w:t>
      </w:r>
    </w:p>
    <w:p w:rsidR="00134D0B" w:rsidRDefault="00E2072B">
      <w:pPr>
        <w:tabs>
          <w:tab w:val="left" w:pos="720"/>
        </w:tabs>
        <w:spacing w:line="480" w:lineRule="auto"/>
        <w:ind w:left="720" w:hanging="720"/>
        <w:rPr>
          <w:rFonts w:ascii="BerkeleyStd-Book" w:hAnsi="BerkeleyStd-Book" w:cs="BerkeleyStd-Book"/>
        </w:rPr>
      </w:pPr>
      <w:r>
        <w:rPr>
          <w:szCs w:val="20"/>
        </w:rPr>
        <w:t>A.</w:t>
      </w:r>
      <w:r>
        <w:rPr>
          <w:szCs w:val="20"/>
        </w:rPr>
        <w:tab/>
        <w:t xml:space="preserve">Yes.  In 2013, the </w:t>
      </w:r>
      <w:r>
        <w:t xml:space="preserve">Regulatory Assistance Project </w:t>
      </w:r>
      <w:r w:rsidR="006D4311">
        <w:t>(RAP) co-authored a paper with   D</w:t>
      </w:r>
      <w:r>
        <w:t>r. Fisher’s firm, Synapse Energy Economics, Inc., on electric utility resource planning.  RAP and Synapse wrote that the Company’s IRP uses “</w:t>
      </w:r>
      <w:r>
        <w:rPr>
          <w:rFonts w:ascii="BerkeleyStd-Book" w:hAnsi="BerkeleyStd-Book" w:cs="BerkeleyStd-Book"/>
        </w:rPr>
        <w:t>progressive methodologies and contain[s] modern elements that contribute to the production of high-quality plans that are useful examples of superior resource planning efforts.”</w:t>
      </w:r>
      <w:r>
        <w:rPr>
          <w:rStyle w:val="FootnoteReference"/>
          <w:rFonts w:ascii="BerkeleyStd-Book" w:hAnsi="BerkeleyStd-Book" w:cs="BerkeleyStd-Book"/>
        </w:rPr>
        <w:footnoteReference w:id="5"/>
      </w:r>
      <w:r>
        <w:rPr>
          <w:rFonts w:ascii="BerkeleyStd-Book" w:hAnsi="BerkeleyStd-Book" w:cs="BerkeleyStd-Book"/>
        </w:rPr>
        <w:t xml:space="preserve">  The publication further describes the Company’s System Optimizer </w:t>
      </w:r>
      <w:r w:rsidR="00BD34DF">
        <w:rPr>
          <w:rFonts w:ascii="BerkeleyStd-Book" w:hAnsi="BerkeleyStd-Book" w:cs="BerkeleyStd-Book"/>
        </w:rPr>
        <w:t>M</w:t>
      </w:r>
      <w:r>
        <w:rPr>
          <w:rFonts w:ascii="BerkeleyStd-Book" w:hAnsi="BerkeleyStd-Book" w:cs="BerkeleyStd-Book"/>
        </w:rPr>
        <w:t>odel, which was used to evaluate the SCR</w:t>
      </w:r>
      <w:r w:rsidR="00BD34DF">
        <w:rPr>
          <w:rFonts w:ascii="BerkeleyStd-Book" w:hAnsi="BerkeleyStd-Book" w:cs="BerkeleyStd-Book"/>
        </w:rPr>
        <w:t>s</w:t>
      </w:r>
      <w:r>
        <w:rPr>
          <w:rFonts w:ascii="BerkeleyStd-Book" w:hAnsi="BerkeleyStd-Book" w:cs="BerkeleyStd-Book"/>
        </w:rPr>
        <w:t xml:space="preserve">, as the “most </w:t>
      </w:r>
      <w:r>
        <w:rPr>
          <w:szCs w:val="20"/>
        </w:rPr>
        <w:t>comprehensive</w:t>
      </w:r>
      <w:r>
        <w:rPr>
          <w:rFonts w:ascii="BerkeleyStd-Book" w:hAnsi="BerkeleyStd-Book" w:cs="BerkeleyStd-Book"/>
        </w:rPr>
        <w:t>” model RAP and Synapse examined for the report.</w:t>
      </w:r>
      <w:r>
        <w:rPr>
          <w:rStyle w:val="FootnoteReference"/>
          <w:rFonts w:ascii="BerkeleyStd-Book" w:hAnsi="BerkeleyStd-Book" w:cs="BerkeleyStd-Book"/>
        </w:rPr>
        <w:footnoteReference w:id="6"/>
      </w:r>
    </w:p>
    <w:p w:rsidR="00134D0B" w:rsidRDefault="00E2072B">
      <w:pPr>
        <w:spacing w:line="480" w:lineRule="auto"/>
        <w:ind w:left="720" w:hanging="720"/>
        <w:rPr>
          <w:rFonts w:ascii="BerkeleyStd-Book" w:hAnsi="BerkeleyStd-Book" w:cs="BerkeleyStd-Book"/>
          <w:b/>
        </w:rPr>
      </w:pPr>
      <w:r>
        <w:rPr>
          <w:rFonts w:ascii="BerkeleyStd-Book" w:hAnsi="BerkeleyStd-Book" w:cs="BerkeleyStd-Book"/>
          <w:b/>
        </w:rPr>
        <w:t>Q.</w:t>
      </w:r>
      <w:r>
        <w:rPr>
          <w:rFonts w:ascii="BerkeleyStd-Book" w:hAnsi="BerkeleyStd-Book" w:cs="BerkeleyStd-Book"/>
          <w:b/>
        </w:rPr>
        <w:tab/>
        <w:t>Please explain the timing and process by which the Company decided to make the investment</w:t>
      </w:r>
      <w:r w:rsidR="00BD34DF">
        <w:rPr>
          <w:rFonts w:ascii="BerkeleyStd-Book" w:hAnsi="BerkeleyStd-Book" w:cs="BerkeleyStd-Book"/>
          <w:b/>
        </w:rPr>
        <w:t>s</w:t>
      </w:r>
      <w:r>
        <w:rPr>
          <w:rFonts w:ascii="BerkeleyStd-Book" w:hAnsi="BerkeleyStd-Book" w:cs="BerkeleyStd-Book"/>
          <w:b/>
        </w:rPr>
        <w:t xml:space="preserve"> in the SCRs.</w:t>
      </w:r>
    </w:p>
    <w:p w:rsidR="00134D0B" w:rsidRDefault="00E2072B">
      <w:pPr>
        <w:spacing w:line="480" w:lineRule="auto"/>
        <w:ind w:left="720" w:hanging="720"/>
      </w:pPr>
      <w:r>
        <w:rPr>
          <w:rFonts w:ascii="BerkeleyStd-Book" w:hAnsi="BerkeleyStd-Book" w:cs="BerkeleyStd-Book"/>
        </w:rPr>
        <w:t>A.</w:t>
      </w:r>
      <w:r>
        <w:rPr>
          <w:rFonts w:ascii="BerkeleyStd-Book" w:hAnsi="BerkeleyStd-Book" w:cs="BerkeleyStd-Book"/>
        </w:rPr>
        <w:tab/>
        <w:t xml:space="preserve">The Company </w:t>
      </w:r>
      <w:r>
        <w:t xml:space="preserve">authorized the Bridger SCRs in May 2013, before execution of the EPC contract for the project, as required by the Company’s governance policies.  The authorization process included a series of reviews by the project team, environmental compliance personnel, plant personnel including the managing director of the facility, the business unit controller, the vice president of strategy and development responsible for project development and implementation, PacifiCorp’s vice president of finance, the </w:t>
      </w:r>
      <w:r w:rsidR="00BD34DF">
        <w:t xml:space="preserve">chief financial officer </w:t>
      </w:r>
      <w:r>
        <w:t xml:space="preserve">of PacifiCorp, the President and </w:t>
      </w:r>
      <w:r w:rsidR="00BD34DF">
        <w:t xml:space="preserve">chief executive officer </w:t>
      </w:r>
      <w:r>
        <w:t xml:space="preserve">of what was known at the time as PacifiCorp Energy, and the </w:t>
      </w:r>
      <w:r w:rsidR="00BD34DF">
        <w:t xml:space="preserve">chief executive officer </w:t>
      </w:r>
      <w:r>
        <w:t>of PacifiCorp via delegation of authority.  A list of the individuals involved in the authorization review process is provided in Confidential Exhibit No</w:t>
      </w:r>
      <w:r w:rsidR="006D4311" w:rsidRPr="006D4311">
        <w:t>. CAT-18</w:t>
      </w:r>
      <w:r w:rsidRPr="006D4311">
        <w:t>C.</w:t>
      </w:r>
      <w:r>
        <w:t xml:space="preserve"> </w:t>
      </w:r>
    </w:p>
    <w:p w:rsidR="00AB02DE" w:rsidRDefault="00E2072B" w:rsidP="00AB02DE">
      <w:pPr>
        <w:widowControl w:val="0"/>
        <w:spacing w:line="480" w:lineRule="auto"/>
        <w:ind w:left="720" w:hanging="720"/>
        <w:rPr>
          <w:b/>
        </w:rPr>
      </w:pPr>
      <w:r>
        <w:rPr>
          <w:b/>
        </w:rPr>
        <w:t>Q.</w:t>
      </w:r>
      <w:r>
        <w:rPr>
          <w:b/>
        </w:rPr>
        <w:tab/>
        <w:t xml:space="preserve">Was the review of the Bridger SCR investments fully consistent with the Company’s governance policies? </w:t>
      </w:r>
    </w:p>
    <w:p w:rsidR="00134D0B" w:rsidRDefault="00E2072B" w:rsidP="00AB02DE">
      <w:pPr>
        <w:widowControl w:val="0"/>
        <w:spacing w:line="480" w:lineRule="auto"/>
        <w:ind w:left="720" w:hanging="720"/>
      </w:pPr>
      <w:r>
        <w:t>A.</w:t>
      </w:r>
      <w:r>
        <w:tab/>
        <w:t>Yes.  PacifiCorp’s governance policy for major expenditures sets forth the structured requirements for the internal review and approval process.  Regarding authorization of major expenditures, the governance policy states:</w:t>
      </w:r>
    </w:p>
    <w:p w:rsidR="00134D0B" w:rsidRDefault="00E2072B" w:rsidP="003E0AC3">
      <w:pPr>
        <w:spacing w:after="240"/>
        <w:ind w:left="1440" w:right="720"/>
      </w:pPr>
      <w:r>
        <w:t xml:space="preserve">Signature authorities for executing contracts and approving expenditures are detailed in Appendix 1 and within this document. These limits are subject to and, where appropriate, apply after the underlying matter has been reviewed and approved in accordance with Company procedures and this policy. This includes, but is not limited to, contract review by the appropriate business unit legal counsel and finance staff.   </w:t>
      </w:r>
    </w:p>
    <w:p w:rsidR="00134D0B" w:rsidRDefault="00E2072B">
      <w:pPr>
        <w:spacing w:line="480" w:lineRule="auto"/>
        <w:ind w:left="720"/>
      </w:pPr>
      <w:r>
        <w:t xml:space="preserve">I have attached the Company’s governance policy as Confidential Exhibit No. </w:t>
      </w:r>
      <w:r w:rsidR="00AB02DE" w:rsidRPr="006D4311">
        <w:t>CAT-20</w:t>
      </w:r>
      <w:r w:rsidRPr="006D4311">
        <w:t>C.</w:t>
      </w:r>
    </w:p>
    <w:p w:rsidR="009D7322" w:rsidRDefault="009D7322" w:rsidP="009D7322">
      <w:pPr>
        <w:spacing w:line="480" w:lineRule="auto"/>
        <w:ind w:left="720" w:hanging="720"/>
        <w:rPr>
          <w:b/>
        </w:rPr>
      </w:pPr>
      <w:r>
        <w:rPr>
          <w:b/>
        </w:rPr>
        <w:t>Q.</w:t>
      </w:r>
      <w:r>
        <w:rPr>
          <w:b/>
        </w:rPr>
        <w:tab/>
        <w:t>Staff’s testimony implies that the Company’s decision-making in this case should be more heavily scrutinized because the Company does not have a formal board of directors that approves major resource decisions.</w:t>
      </w:r>
      <w:r>
        <w:rPr>
          <w:rStyle w:val="FootnoteReference"/>
          <w:b/>
        </w:rPr>
        <w:footnoteReference w:id="7"/>
      </w:r>
      <w:r>
        <w:rPr>
          <w:b/>
        </w:rPr>
        <w:t xml:space="preserve">  Please respond.    </w:t>
      </w:r>
    </w:p>
    <w:p w:rsidR="009D7322" w:rsidRDefault="009D7322" w:rsidP="009D7322">
      <w:pPr>
        <w:spacing w:line="480" w:lineRule="auto"/>
        <w:ind w:left="720" w:hanging="720"/>
      </w:pPr>
      <w:r w:rsidRPr="00376ABC">
        <w:t>A.</w:t>
      </w:r>
      <w:r w:rsidRPr="00376ABC">
        <w:tab/>
      </w:r>
      <w:r>
        <w:t>Based on my understanding, t</w:t>
      </w:r>
      <w:r w:rsidRPr="00376ABC">
        <w:t xml:space="preserve">he Commission’s </w:t>
      </w:r>
      <w:r>
        <w:t xml:space="preserve">prudence </w:t>
      </w:r>
      <w:r w:rsidRPr="00376ABC">
        <w:t xml:space="preserve">standard </w:t>
      </w:r>
      <w:r>
        <w:t>also refers to decision-making by “company management.”</w:t>
      </w:r>
      <w:r>
        <w:rPr>
          <w:rStyle w:val="FootnoteReference"/>
        </w:rPr>
        <w:footnoteReference w:id="8"/>
      </w:r>
      <w:r>
        <w:t xml:space="preserve">  In a prudence review in the Company’s 2013 rate case, the Commission allowed </w:t>
      </w:r>
      <w:r w:rsidRPr="00376ABC">
        <w:t xml:space="preserve">the decision-making of </w:t>
      </w:r>
      <w:r>
        <w:t>the Company’s</w:t>
      </w:r>
      <w:r w:rsidRPr="00376ABC">
        <w:t xml:space="preserve"> senior executive </w:t>
      </w:r>
      <w:r>
        <w:t xml:space="preserve">to </w:t>
      </w:r>
      <w:r w:rsidRPr="00376ABC">
        <w:t xml:space="preserve">stand in for </w:t>
      </w:r>
      <w:r>
        <w:t>a</w:t>
      </w:r>
      <w:r w:rsidRPr="00376ABC">
        <w:t xml:space="preserve"> decision of the board of directors, </w:t>
      </w:r>
      <w:r>
        <w:t xml:space="preserve">because </w:t>
      </w:r>
      <w:r w:rsidRPr="00376ABC">
        <w:t xml:space="preserve">such action </w:t>
      </w:r>
      <w:r>
        <w:t>was</w:t>
      </w:r>
      <w:r w:rsidRPr="00376ABC">
        <w:t xml:space="preserve"> consistent with Company policy.</w:t>
      </w:r>
      <w:r w:rsidRPr="006E7374">
        <w:rPr>
          <w:vertAlign w:val="superscript"/>
        </w:rPr>
        <w:footnoteReference w:id="9"/>
      </w:r>
      <w:r w:rsidRPr="00376ABC">
        <w:t xml:space="preserve"> </w:t>
      </w:r>
      <w:r>
        <w:t xml:space="preserve"> The Company’s decision-making process in this case was fully consistent with its governance policy, so there is no basis for applying a different review standard.  </w:t>
      </w:r>
    </w:p>
    <w:p w:rsidR="00EE73B0" w:rsidRDefault="00EE73B0" w:rsidP="00EE73B0">
      <w:pPr>
        <w:suppressLineNumbers/>
        <w:spacing w:line="480" w:lineRule="auto"/>
        <w:ind w:left="720" w:hanging="720"/>
        <w:rPr>
          <w:b/>
        </w:rPr>
      </w:pPr>
    </w:p>
    <w:p w:rsidR="00EE73B0" w:rsidRDefault="00EE73B0" w:rsidP="00EE73B0">
      <w:pPr>
        <w:suppressLineNumbers/>
        <w:spacing w:line="480" w:lineRule="auto"/>
        <w:ind w:left="720" w:hanging="720"/>
        <w:rPr>
          <w:b/>
        </w:rPr>
      </w:pPr>
    </w:p>
    <w:p w:rsidR="00EE73B0" w:rsidRDefault="00EE73B0" w:rsidP="00EE73B0">
      <w:pPr>
        <w:suppressLineNumbers/>
        <w:spacing w:line="480" w:lineRule="auto"/>
        <w:ind w:left="720" w:hanging="720"/>
        <w:rPr>
          <w:b/>
        </w:rPr>
      </w:pPr>
    </w:p>
    <w:p w:rsidR="00134D0B" w:rsidRDefault="00E2072B">
      <w:pPr>
        <w:spacing w:line="480" w:lineRule="auto"/>
        <w:ind w:left="720" w:hanging="720"/>
        <w:rPr>
          <w:b/>
        </w:rPr>
      </w:pPr>
      <w:r>
        <w:rPr>
          <w:b/>
        </w:rPr>
        <w:t>Q.</w:t>
      </w:r>
      <w:r>
        <w:rPr>
          <w:b/>
        </w:rPr>
        <w:tab/>
        <w:t>Staff points to the Company’s “proposals” provided as attachments to WUTC Data Request 90</w:t>
      </w:r>
      <w:r>
        <w:rPr>
          <w:rStyle w:val="FootnoteReference"/>
          <w:b/>
        </w:rPr>
        <w:footnoteReference w:id="10"/>
      </w:r>
      <w:r>
        <w:rPr>
          <w:b/>
        </w:rPr>
        <w:t xml:space="preserve"> and </w:t>
      </w:r>
      <w:proofErr w:type="gramStart"/>
      <w:r>
        <w:rPr>
          <w:b/>
        </w:rPr>
        <w:t>implies</w:t>
      </w:r>
      <w:proofErr w:type="gramEnd"/>
      <w:r>
        <w:rPr>
          <w:b/>
        </w:rPr>
        <w:t xml:space="preserve"> that these represent the entirety of the information considered by Company personnel responsible for reviewing and approving the Bridger SCRs.  Is this correct?</w:t>
      </w:r>
    </w:p>
    <w:p w:rsidR="00134D0B" w:rsidRDefault="00E2072B">
      <w:pPr>
        <w:spacing w:line="480" w:lineRule="auto"/>
        <w:ind w:left="720" w:hanging="720"/>
      </w:pPr>
      <w:r>
        <w:t xml:space="preserve">A. </w:t>
      </w:r>
      <w:r>
        <w:tab/>
        <w:t>No.  While the appropriation request (APR) documents Staff reviewed (which Staff calls “proposals”) are the fundamental components of the Company’s structured review and approval process, the complex nature and many stages of the multi-year project life</w:t>
      </w:r>
      <w:r w:rsidR="008764F5">
        <w:t xml:space="preserve"> </w:t>
      </w:r>
      <w:r>
        <w:t>cycle of the Bridger SCRs were also known, documented</w:t>
      </w:r>
      <w:r w:rsidR="00EE73B0">
        <w:t>,</w:t>
      </w:r>
      <w:r>
        <w:t xml:space="preserve"> and considered as part of the overall review and approval process. Please refer to Confidential Exhibit No. </w:t>
      </w:r>
      <w:proofErr w:type="gramStart"/>
      <w:r w:rsidR="00AB02DE" w:rsidRPr="00EE73B0">
        <w:t>CAT-21</w:t>
      </w:r>
      <w:r w:rsidRPr="00EE73B0">
        <w:t>C,</w:t>
      </w:r>
      <w:r w:rsidRPr="00EE73B0">
        <w:rPr>
          <w:rStyle w:val="FootnoteReference"/>
        </w:rPr>
        <w:footnoteReference w:id="11"/>
      </w:r>
      <w:r>
        <w:t xml:space="preserve"> dated April 24, 2013, and Confidential Exhibit No.</w:t>
      </w:r>
      <w:proofErr w:type="gramEnd"/>
      <w:r>
        <w:t xml:space="preserve"> </w:t>
      </w:r>
      <w:r w:rsidR="00AB02DE" w:rsidRPr="00EE73B0">
        <w:t>CAT-22</w:t>
      </w:r>
      <w:r w:rsidRPr="00EE73B0">
        <w:t>C,</w:t>
      </w:r>
      <w:r>
        <w:t xml:space="preserve"> dated May 22, 2013, which offer additional detail regarding the information the Company considered when approving the APRs and execution of the EPC contract (i.e., release of the LNTP) in the May 2013 timeframe. </w:t>
      </w:r>
    </w:p>
    <w:p w:rsidR="00134D0B" w:rsidRDefault="00E2072B">
      <w:pPr>
        <w:spacing w:line="480" w:lineRule="auto"/>
        <w:ind w:left="720" w:hanging="720"/>
        <w:rPr>
          <w:b/>
        </w:rPr>
      </w:pPr>
      <w:r>
        <w:rPr>
          <w:b/>
        </w:rPr>
        <w:t>Q.</w:t>
      </w:r>
      <w:r>
        <w:rPr>
          <w:b/>
        </w:rPr>
        <w:tab/>
        <w:t>Were the APR documents “inaccurate and incomplete” as Staff asserts?</w:t>
      </w:r>
    </w:p>
    <w:p w:rsidR="00134D0B" w:rsidRDefault="00E2072B">
      <w:pPr>
        <w:spacing w:line="480" w:lineRule="auto"/>
        <w:ind w:left="720" w:hanging="720"/>
      </w:pPr>
      <w:r>
        <w:t>A.</w:t>
      </w:r>
      <w:r>
        <w:tab/>
        <w:t>No.  While Staff takes issue with the fact that the APR documents very clearly reference and annotate the present value revenue requirement difference (PVRR(d)) results for each unit from the Company’s initial CPCN, Utah voluntary preapproval, and 2013 IRP filings in the initial summary pages of the documents,</w:t>
      </w:r>
      <w:r w:rsidR="008764F5">
        <w:rPr>
          <w:rStyle w:val="FootnoteReference"/>
        </w:rPr>
        <w:footnoteReference w:id="12"/>
      </w:r>
      <w:r>
        <w:t xml:space="preserve"> Staff ignores the fact that the APR documents also dedicate an entire section to describing the updates to the Company’s analysis results between those initial filings and the May 2013 timeframe when the APR documents were prepared for final review and approval.</w:t>
      </w:r>
      <w:r w:rsidR="008764F5">
        <w:rPr>
          <w:rStyle w:val="FootnoteReference"/>
        </w:rPr>
        <w:footnoteReference w:id="13"/>
      </w:r>
      <w:r>
        <w:t xml:space="preserve">  To assert that the Company somehow intentionally “downplayed” the significance of updated information is simply untrue.  “Downplaying” updated information would have been effectively impossible within an organization so fully engaged in the parallel paths of ongoing regulatory, permitting, and procurement activities for these projects.         </w:t>
      </w:r>
    </w:p>
    <w:p w:rsidR="00134D0B" w:rsidRDefault="00E2072B">
      <w:pPr>
        <w:spacing w:line="480" w:lineRule="auto"/>
        <w:ind w:left="720" w:hanging="720"/>
        <w:rPr>
          <w:b/>
        </w:rPr>
      </w:pPr>
      <w:r>
        <w:rPr>
          <w:b/>
        </w:rPr>
        <w:t>Q.</w:t>
      </w:r>
      <w:r>
        <w:rPr>
          <w:b/>
        </w:rPr>
        <w:tab/>
        <w:t>Is Staff’s assertion that the Company’s APR documents “intentionally de-emphasized the risk of future carbon emission regulations” accurate?</w:t>
      </w:r>
    </w:p>
    <w:p w:rsidR="00134D0B" w:rsidRDefault="00E2072B">
      <w:pPr>
        <w:spacing w:line="480" w:lineRule="auto"/>
        <w:ind w:left="720" w:hanging="720"/>
      </w:pPr>
      <w:r>
        <w:t>A.</w:t>
      </w:r>
      <w:r>
        <w:tab/>
        <w:t>No.  The Company’s economic analysis of the Bridger SCRs, as described in detail in the APR documents, clearly includes assessment of six different scenarios representing different combinations of natural gas and carbon dioxide price assumptions.  With respect to carbon dioxide in particular, the Company’s base</w:t>
      </w:r>
      <w:r w:rsidR="00F62055">
        <w:t>-</w:t>
      </w:r>
      <w:r>
        <w:t>case assumptions assume a carbon dioxide cost of $16 per ton in 2021, escalating at three percent plus inflation.  Th</w:t>
      </w:r>
      <w:r w:rsidR="002C48DD">
        <w:t>e</w:t>
      </w:r>
      <w:r>
        <w:t xml:space="preserve"> single sentence that</w:t>
      </w:r>
      <w:r w:rsidR="00883BCB">
        <w:t xml:space="preserve"> </w:t>
      </w:r>
      <w:r>
        <w:t>Staff highlights</w:t>
      </w:r>
      <w:r w:rsidR="002C48DD">
        <w:t xml:space="preserve"> </w:t>
      </w:r>
      <w:r w:rsidR="00832D54">
        <w:t xml:space="preserve">was used in </w:t>
      </w:r>
      <w:r w:rsidR="00883BCB">
        <w:t xml:space="preserve">each of </w:t>
      </w:r>
      <w:r>
        <w:t xml:space="preserve">the APR documents to </w:t>
      </w:r>
      <w:r w:rsidR="00832D54">
        <w:t xml:space="preserve">specifically </w:t>
      </w:r>
      <w:r>
        <w:t xml:space="preserve">explain why the Company chose to assume a zero-dollar carbon dioxide price for its </w:t>
      </w:r>
      <w:r w:rsidRPr="003E0AC3">
        <w:rPr>
          <w:i/>
        </w:rPr>
        <w:t>low carbon scenario</w:t>
      </w:r>
      <w:r>
        <w:t xml:space="preserve"> in the assessment</w:t>
      </w:r>
      <w:r w:rsidR="00EE73B0">
        <w:t>.</w:t>
      </w:r>
      <w:r w:rsidR="00726547">
        <w:rPr>
          <w:rStyle w:val="FootnoteReference"/>
        </w:rPr>
        <w:footnoteReference w:id="14"/>
      </w:r>
      <w:r>
        <w:t xml:space="preserve">  The statement is entirely reasonable when properly considered in context.</w:t>
      </w:r>
    </w:p>
    <w:p w:rsidR="00134D0B" w:rsidRDefault="00E2072B">
      <w:pPr>
        <w:spacing w:line="480" w:lineRule="auto"/>
        <w:ind w:left="720" w:hanging="720"/>
        <w:rPr>
          <w:b/>
        </w:rPr>
      </w:pPr>
      <w:r>
        <w:rPr>
          <w:b/>
        </w:rPr>
        <w:t>Q.</w:t>
      </w:r>
      <w:r>
        <w:rPr>
          <w:b/>
        </w:rPr>
        <w:tab/>
        <w:t>Does Staff provide any evidence to support its argument that the Company should have re-assessed its base-case carbon-dioxide cost assumptions based upon President Obama’s June 25, 2013 direction to EPA to develop and implement the Clean Power Plan?</w:t>
      </w:r>
    </w:p>
    <w:p w:rsidR="00134D0B" w:rsidRDefault="00E2072B">
      <w:pPr>
        <w:spacing w:line="480" w:lineRule="auto"/>
        <w:ind w:left="720" w:hanging="720"/>
      </w:pPr>
      <w:r>
        <w:t>A.</w:t>
      </w:r>
      <w:r>
        <w:tab/>
        <w:t xml:space="preserve">No.  Staff provides no evidence that the Company’s $16-per-ton assumption was unreasonable when considering what was known at the time.  In fact, Staff fails to acknowledge that the Company included significant carbon dioxide costs in its base-case assessment of the Bridger SCRs. </w:t>
      </w:r>
    </w:p>
    <w:p w:rsidR="00134D0B" w:rsidRDefault="00E2072B">
      <w:pPr>
        <w:spacing w:line="480" w:lineRule="auto"/>
        <w:ind w:left="720" w:hanging="720"/>
      </w:pPr>
      <w:r>
        <w:tab/>
      </w:r>
      <w:r>
        <w:tab/>
        <w:t xml:space="preserve">President Obama’s June 25, 2013 directive did not establish a clearly defined methodology to implement future greenhouse gas regulations, nor did it include a directive to implement a specific carbon tax or carbon market price.  In fact, the EPA did not publish its proposed Clean Air Act section 111(d) rulemaking until June 18, 2014, and did not issue its final section 111(d) rule until October 24, 2015.  </w:t>
      </w:r>
    </w:p>
    <w:p w:rsidR="00134D0B" w:rsidRDefault="00E2072B">
      <w:pPr>
        <w:spacing w:line="480" w:lineRule="auto"/>
        <w:ind w:left="720" w:hanging="720"/>
        <w:rPr>
          <w:b/>
        </w:rPr>
      </w:pPr>
      <w:r>
        <w:rPr>
          <w:b/>
        </w:rPr>
        <w:t xml:space="preserve">Q. </w:t>
      </w:r>
      <w:r>
        <w:rPr>
          <w:b/>
        </w:rPr>
        <w:tab/>
        <w:t>Does the Company concur with Staff’s assertion that December 1, 2013, is the correct time for evaluating the prudence of the Bridger SCRs?</w:t>
      </w:r>
    </w:p>
    <w:p w:rsidR="00134D0B" w:rsidRDefault="00E2072B">
      <w:pPr>
        <w:spacing w:line="480" w:lineRule="auto"/>
        <w:ind w:left="720" w:hanging="720"/>
      </w:pPr>
      <w:r>
        <w:t xml:space="preserve">A. </w:t>
      </w:r>
      <w:r>
        <w:tab/>
        <w:t xml:space="preserve">No, not in isolation.  The normal timing for evaluating the prudence of utility decision-making is when the project is approved to proceed and contracts are executed.  For the Bridger SCRs, this was May 2013.  In this case, the Company prudently and effectively negotiated a commercial structure to the EPC contract that provided risk mitigation and facilitated timely decision-making on a number of fronts that could have impacted the projects both positively and negatively through the December 2013 timeframe.  While it is relevant to consider how the Company managed the first stage of the EPC contract from the LNTP in May 2013 to the FNTP in December 2013, this consideration should not be blind to the Company’s significant review process in May 2013, nor to the fact that the structure of the EPC contract itself is evidence of the Company’s prudence.   </w:t>
      </w:r>
    </w:p>
    <w:p w:rsidR="00AB02DE" w:rsidRDefault="00E2072B" w:rsidP="00AB02DE">
      <w:pPr>
        <w:widowControl w:val="0"/>
        <w:spacing w:line="480" w:lineRule="auto"/>
        <w:ind w:left="720" w:hanging="720"/>
        <w:rPr>
          <w:b/>
        </w:rPr>
      </w:pPr>
      <w:r>
        <w:rPr>
          <w:b/>
        </w:rPr>
        <w:t>Q.</w:t>
      </w:r>
      <w:r>
        <w:rPr>
          <w:b/>
        </w:rPr>
        <w:tab/>
        <w:t>Did the Company consider additional information before providing the FNTP to the EPC contractor in December 2013?</w:t>
      </w:r>
    </w:p>
    <w:p w:rsidR="00134D0B" w:rsidRDefault="00E2072B" w:rsidP="00AB02DE">
      <w:pPr>
        <w:widowControl w:val="0"/>
        <w:spacing w:line="480" w:lineRule="auto"/>
        <w:ind w:left="720" w:hanging="720"/>
      </w:pPr>
      <w:r>
        <w:t>A.</w:t>
      </w:r>
      <w:r>
        <w:tab/>
        <w:t>Yes.  As described in Mr. Link’s direct and rebuttal testimon</w:t>
      </w:r>
      <w:r w:rsidR="004E41F9">
        <w:t>ies</w:t>
      </w:r>
      <w:r>
        <w:t xml:space="preserve"> in this proceeding, the </w:t>
      </w:r>
      <w:r w:rsidR="00AB2682">
        <w:t>Company’s assessment of</w:t>
      </w:r>
      <w:r>
        <w:t xml:space="preserve"> the economic merits of the Bridger SCRs before release of the FNTP to the EPC contractor</w:t>
      </w:r>
      <w:r w:rsidR="00AB2682">
        <w:t xml:space="preserve"> continued to support the projects</w:t>
      </w:r>
      <w:r>
        <w:t>.</w:t>
      </w:r>
      <w:r w:rsidR="00F62055">
        <w:rPr>
          <w:rStyle w:val="FootnoteReference"/>
        </w:rPr>
        <w:footnoteReference w:id="15"/>
      </w:r>
      <w:r>
        <w:t xml:space="preserve">  A detailed overview of other information considered by the Company before releasing the FNTP is provided in Confidential Exhibit No. </w:t>
      </w:r>
      <w:r w:rsidR="00AB02DE" w:rsidRPr="00EE73B0">
        <w:t>CAT-23</w:t>
      </w:r>
      <w:r w:rsidRPr="00EE73B0">
        <w:t>C,</w:t>
      </w:r>
      <w:r>
        <w:t xml:space="preserve"> dated December 5, 2013.     </w:t>
      </w:r>
    </w:p>
    <w:p w:rsidR="00134D0B" w:rsidRDefault="00AB02DE">
      <w:pPr>
        <w:spacing w:line="480" w:lineRule="auto"/>
        <w:ind w:left="720" w:hanging="720"/>
        <w:rPr>
          <w:b/>
        </w:rPr>
      </w:pPr>
      <w:r>
        <w:rPr>
          <w:b/>
          <w:noProof/>
          <w:lang w:eastAsia="en-US"/>
        </w:rPr>
        <mc:AlternateContent>
          <mc:Choice Requires="wps">
            <w:drawing>
              <wp:anchor distT="0" distB="0" distL="114300" distR="114300" simplePos="0" relativeHeight="251659264" behindDoc="0" locked="0" layoutInCell="1" allowOverlap="1" wp14:anchorId="5273CB1B" wp14:editId="3F43A1CD">
                <wp:simplePos x="0" y="0"/>
                <wp:positionH relativeFrom="column">
                  <wp:posOffset>247650</wp:posOffset>
                </wp:positionH>
                <wp:positionV relativeFrom="paragraph">
                  <wp:posOffset>-2106930</wp:posOffset>
                </wp:positionV>
                <wp:extent cx="5324475" cy="5238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244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02DE" w:rsidRDefault="00E07DC1" w:rsidP="00AB02DE">
                            <w:pPr>
                              <w:jc w:val="center"/>
                            </w:pPr>
                            <w:r>
                              <w:t xml:space="preserve">REDACTED - </w:t>
                            </w:r>
                            <w:r w:rsidR="00AB02DE">
                              <w:t>CONFIDENTIAL PER PROTECTIVE ORDER</w:t>
                            </w:r>
                          </w:p>
                          <w:p w:rsidR="00AB02DE" w:rsidRDefault="00AB02DE" w:rsidP="00AB02DE">
                            <w:pPr>
                              <w:jc w:val="center"/>
                            </w:pPr>
                            <w: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5pt;margin-top:-165.9pt;width:419.2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" filled="f" stroked="f" strokeweight=".5pt">
                <v:textbox>
                  <w:txbxContent>
                    <w:p w:rsidR="00AB02DE" w:rsidRDefault="00E07DC1" w:rsidP="00AB02DE">
                      <w:pPr>
                        <w:jc w:val="center"/>
                      </w:pPr>
                      <w:r>
                        <w:t xml:space="preserve">REDACTED - </w:t>
                      </w:r>
                      <w:r w:rsidR="00AB02DE">
                        <w:t>CONFIDENTIAL PER PROTECTIVE ORDER</w:t>
                      </w:r>
                    </w:p>
                    <w:p w:rsidR="00AB02DE" w:rsidRDefault="00AB02DE" w:rsidP="00AB02DE">
                      <w:pPr>
                        <w:jc w:val="center"/>
                      </w:pPr>
                      <w:r>
                        <w:t>IN UTC DOCKET UE-152253</w:t>
                      </w:r>
                    </w:p>
                  </w:txbxContent>
                </v:textbox>
              </v:shape>
            </w:pict>
          </mc:Fallback>
        </mc:AlternateContent>
      </w:r>
      <w:r w:rsidR="00E2072B">
        <w:rPr>
          <w:b/>
        </w:rPr>
        <w:t>Q.</w:t>
      </w:r>
      <w:r w:rsidR="00E2072B">
        <w:rPr>
          <w:b/>
        </w:rPr>
        <w:tab/>
        <w:t xml:space="preserve">Staff and Sierra Club argue that, by December 2013, the Bridger SCRs had become uneconomic as compared to natural gas conversion, so the Company should not have released the FNTP.  Please respond. </w:t>
      </w:r>
    </w:p>
    <w:p w:rsidR="00134D0B" w:rsidRDefault="00E2072B">
      <w:pPr>
        <w:spacing w:line="480" w:lineRule="auto"/>
        <w:ind w:left="720" w:hanging="720"/>
      </w:pPr>
      <w:r>
        <w:t>A.</w:t>
      </w:r>
      <w:r>
        <w:tab/>
        <w:t>Staff and Sierra Club paint an inaccurate and incomplete picture</w:t>
      </w:r>
      <w:r w:rsidR="00F62055">
        <w:t xml:space="preserve"> of</w:t>
      </w:r>
      <w:r>
        <w:t xml:space="preserve"> the relative economics of the Bridger SCRs at the FNTP stage.  First, as Mr. Link and Mr.</w:t>
      </w:r>
      <w:r w:rsidR="004E41F9">
        <w:t> </w:t>
      </w:r>
      <w:r>
        <w:t xml:space="preserve">Ralston explain in their rebuttal testimonies, the updated forward market price curves and coal cost information available to the Company when releasing the FNTP continued to support the SCRs as the least expensive option for customers.  To argue otherwise, Staff and Sierra Club have relied on aggressive positions that cannot withstand analytic scrutiny.      </w:t>
      </w:r>
    </w:p>
    <w:p w:rsidR="00134D0B" w:rsidRDefault="00E2072B">
      <w:pPr>
        <w:spacing w:line="480" w:lineRule="auto"/>
        <w:ind w:left="720" w:firstLine="720"/>
      </w:pPr>
      <w:r>
        <w:t>Second, at the time the Company evaluated the FNTP, the Company was aware of a significant reduction in the final negotiated and executed EPC contract</w:t>
      </w:r>
      <w:r w:rsidR="004E41F9">
        <w:t xml:space="preserve"> costs</w:t>
      </w:r>
      <w:r>
        <w:t>, as compared to the EPC contract cost estimates used in the Company’s base</w:t>
      </w:r>
      <w:r w:rsidR="00F62055">
        <w:t>-</w:t>
      </w:r>
      <w:r>
        <w:t xml:space="preserve">case analyses.  The EPC cost was approximately </w:t>
      </w:r>
      <w:r w:rsidR="00E07DC1" w:rsidRPr="00E07DC1">
        <w:rPr>
          <w:highlight w:val="black"/>
        </w:rPr>
        <w:t>___________</w:t>
      </w:r>
      <w:r>
        <w:t xml:space="preserve"> less for PacifiCorp’s share as joint owner than originally estimated, as shown in Confidential Figure 2 below.  This </w:t>
      </w:r>
      <w:r w:rsidR="00726547">
        <w:t xml:space="preserve">tangible </w:t>
      </w:r>
      <w:r>
        <w:t>adjustment supported execution of the FNTP.</w:t>
      </w:r>
    </w:p>
    <w:p w:rsidR="00AB02DE" w:rsidRDefault="00AB02DE" w:rsidP="00D414C3">
      <w:pPr>
        <w:suppressLineNumbers/>
        <w:spacing w:line="480" w:lineRule="auto"/>
        <w:jc w:val="center"/>
        <w:rPr>
          <w:b/>
          <w:highlight w:val="lightGray"/>
        </w:rPr>
      </w:pPr>
    </w:p>
    <w:p w:rsidR="00AB02DE" w:rsidRDefault="00AB02DE" w:rsidP="00D414C3">
      <w:pPr>
        <w:suppressLineNumbers/>
        <w:spacing w:line="480" w:lineRule="auto"/>
        <w:jc w:val="center"/>
        <w:rPr>
          <w:b/>
          <w:highlight w:val="lightGray"/>
        </w:rPr>
      </w:pPr>
    </w:p>
    <w:p w:rsidR="00AB02DE" w:rsidRDefault="00AB02DE" w:rsidP="00D414C3">
      <w:pPr>
        <w:suppressLineNumbers/>
        <w:spacing w:line="480" w:lineRule="auto"/>
        <w:jc w:val="center"/>
        <w:rPr>
          <w:b/>
          <w:highlight w:val="lightGray"/>
        </w:rPr>
      </w:pPr>
    </w:p>
    <w:p w:rsidR="00134D0B" w:rsidRPr="00D414C3" w:rsidRDefault="00E07DC1" w:rsidP="00D414C3">
      <w:pPr>
        <w:suppressLineNumbers/>
        <w:spacing w:line="480" w:lineRule="auto"/>
        <w:jc w:val="center"/>
        <w:rPr>
          <w:b/>
          <w:highlight w:val="lightGray"/>
        </w:rPr>
      </w:pPr>
      <w:r>
        <w:rPr>
          <w:b/>
          <w:noProof/>
          <w:lang w:eastAsia="en-US"/>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314325</wp:posOffset>
                </wp:positionV>
                <wp:extent cx="6029325" cy="1990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029325" cy="199072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2pt;margin-top:24.75pt;width:474.75pt;height:15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" fillcolor="black [3200]" strokecolor="black [3213]" strokeweight="2pt"/>
            </w:pict>
          </mc:Fallback>
        </mc:AlternateContent>
      </w:r>
      <w:r w:rsidR="005505C6">
        <w:rPr>
          <w:b/>
          <w:noProof/>
          <w:lang w:eastAsia="en-US"/>
        </w:rPr>
        <mc:AlternateContent>
          <mc:Choice Requires="wps">
            <w:drawing>
              <wp:anchor distT="0" distB="0" distL="114300" distR="114300" simplePos="0" relativeHeight="251660288" behindDoc="0" locked="0" layoutInCell="1" allowOverlap="1" wp14:anchorId="20A30AE5" wp14:editId="29E5A95E">
                <wp:simplePos x="0" y="0"/>
                <wp:positionH relativeFrom="column">
                  <wp:posOffset>552450</wp:posOffset>
                </wp:positionH>
                <wp:positionV relativeFrom="paragraph">
                  <wp:posOffset>-657225</wp:posOffset>
                </wp:positionV>
                <wp:extent cx="4886325" cy="57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8863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05C6" w:rsidRDefault="00E07DC1" w:rsidP="005505C6">
                            <w:pPr>
                              <w:jc w:val="center"/>
                            </w:pPr>
                            <w:r>
                              <w:t xml:space="preserve">REDACTED - </w:t>
                            </w:r>
                            <w:r w:rsidR="005505C6">
                              <w:t>CONFIDENTIAL PER PROTECTIVE ORDER</w:t>
                            </w:r>
                          </w:p>
                          <w:p w:rsidR="005505C6" w:rsidRDefault="005505C6" w:rsidP="005505C6">
                            <w:pPr>
                              <w:jc w:val="center"/>
                            </w:pPr>
                            <w:r>
                              <w:t>IN UTC DOCKET UE-152253</w:t>
                            </w:r>
                          </w:p>
                          <w:p w:rsidR="005505C6" w:rsidRDefault="00550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left:0;text-align:left;margin-left:43.5pt;margin-top:-51.75pt;width:384.7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" filled="f" stroked="f" strokeweight=".5pt">
                <v:textbox>
                  <w:txbxContent>
                    <w:p w:rsidR="005505C6" w:rsidRDefault="00E07DC1" w:rsidP="005505C6">
                      <w:pPr>
                        <w:jc w:val="center"/>
                      </w:pPr>
                      <w:r>
                        <w:t xml:space="preserve">REDACTED - </w:t>
                      </w:r>
                      <w:r w:rsidR="005505C6">
                        <w:t>CONFIDENTIAL PER PROTECTIVE ORDER</w:t>
                      </w:r>
                    </w:p>
                    <w:p w:rsidR="005505C6" w:rsidRDefault="005505C6" w:rsidP="005505C6">
                      <w:pPr>
                        <w:jc w:val="center"/>
                      </w:pPr>
                      <w:r>
                        <w:t>IN UTC DOCKET UE-152253</w:t>
                      </w:r>
                    </w:p>
                    <w:p w:rsidR="005505C6" w:rsidRDefault="005505C6"/>
                  </w:txbxContent>
                </v:textbox>
              </v:shape>
            </w:pict>
          </mc:Fallback>
        </mc:AlternateContent>
      </w:r>
      <w:r w:rsidR="00F62055" w:rsidRPr="00D414C3">
        <w:rPr>
          <w:b/>
          <w:highlight w:val="lightGray"/>
        </w:rPr>
        <w:t>CONFIDENTIAL FIGURE 2</w:t>
      </w:r>
    </w:p>
    <w:p w:rsidR="00134D0B" w:rsidRDefault="00134D0B" w:rsidP="00D414C3">
      <w:pPr>
        <w:suppressLineNumbers/>
        <w:spacing w:line="480" w:lineRule="auto"/>
        <w:ind w:left="734" w:hanging="547"/>
        <w:jc w:val="center"/>
        <w:rPr>
          <w:noProof/>
          <w:lang w:eastAsia="en-US"/>
        </w:rPr>
      </w:pPr>
    </w:p>
    <w:p w:rsidR="00E07DC1" w:rsidRDefault="00E07DC1" w:rsidP="00D414C3">
      <w:pPr>
        <w:suppressLineNumbers/>
        <w:spacing w:line="480" w:lineRule="auto"/>
        <w:ind w:left="734" w:hanging="547"/>
        <w:jc w:val="center"/>
        <w:rPr>
          <w:noProof/>
          <w:lang w:eastAsia="en-US"/>
        </w:rPr>
      </w:pPr>
    </w:p>
    <w:p w:rsidR="00E07DC1" w:rsidRDefault="00E07DC1" w:rsidP="00D414C3">
      <w:pPr>
        <w:suppressLineNumbers/>
        <w:spacing w:line="480" w:lineRule="auto"/>
        <w:ind w:left="734" w:hanging="547"/>
        <w:jc w:val="center"/>
        <w:rPr>
          <w:noProof/>
          <w:lang w:eastAsia="en-US"/>
        </w:rPr>
      </w:pPr>
    </w:p>
    <w:p w:rsidR="00E07DC1" w:rsidRDefault="00E07DC1" w:rsidP="00D414C3">
      <w:pPr>
        <w:suppressLineNumbers/>
        <w:spacing w:line="480" w:lineRule="auto"/>
        <w:ind w:left="734" w:hanging="547"/>
        <w:jc w:val="center"/>
        <w:rPr>
          <w:noProof/>
          <w:lang w:eastAsia="en-US"/>
        </w:rPr>
      </w:pPr>
    </w:p>
    <w:p w:rsidR="00E07DC1" w:rsidRDefault="00E07DC1" w:rsidP="00D414C3">
      <w:pPr>
        <w:suppressLineNumbers/>
        <w:spacing w:line="480" w:lineRule="auto"/>
        <w:ind w:left="734" w:hanging="547"/>
        <w:jc w:val="center"/>
        <w:rPr>
          <w:noProof/>
          <w:lang w:eastAsia="en-US"/>
        </w:rPr>
      </w:pPr>
    </w:p>
    <w:p w:rsidR="00E07DC1" w:rsidRDefault="00E07DC1" w:rsidP="00D414C3">
      <w:pPr>
        <w:suppressLineNumbers/>
        <w:spacing w:line="480" w:lineRule="auto"/>
        <w:ind w:left="734" w:hanging="547"/>
        <w:jc w:val="center"/>
      </w:pPr>
    </w:p>
    <w:p w:rsidR="00134D0B" w:rsidRDefault="00E2072B" w:rsidP="008A2517">
      <w:pPr>
        <w:spacing w:line="480" w:lineRule="auto"/>
        <w:ind w:left="720" w:firstLine="720"/>
      </w:pPr>
      <w:r>
        <w:t xml:space="preserve">Third, as noted above, in December 2013, the Company’s inclusion of a carbon dioxide cost in its base-case analysis of the Bridger SCRs was reasonable given the fact that the President’s Clean Power Plan announcement did not include a defined methodology to reduce carbon dioxide emissions, and certainly did not mandate a carbon dioxide cost impact on a unit-by-unit basis.  </w:t>
      </w:r>
    </w:p>
    <w:p w:rsidR="00134D0B" w:rsidRDefault="00E2072B" w:rsidP="008A2517">
      <w:pPr>
        <w:spacing w:line="480" w:lineRule="auto"/>
        <w:ind w:left="720" w:firstLine="720"/>
      </w:pPr>
      <w:r>
        <w:t>In summary, in fall 2013, there was no definitive or tangible driver that the Company identified or should have identified that warranted changing the Company’s decision about the Bridger SCR investments.</w:t>
      </w:r>
      <w:r w:rsidR="00E14C4D">
        <w:t xml:space="preserve"> In fact, the tangible adjustment from the final negotiated EPC contract </w:t>
      </w:r>
      <w:proofErr w:type="gramStart"/>
      <w:r w:rsidR="00E14C4D">
        <w:t>cost</w:t>
      </w:r>
      <w:r w:rsidR="00AB2682">
        <w:t xml:space="preserve"> </w:t>
      </w:r>
      <w:r w:rsidR="00E14C4D">
        <w:t>know</w:t>
      </w:r>
      <w:proofErr w:type="gramEnd"/>
      <w:r w:rsidR="00E14C4D">
        <w:t xml:space="preserve"> at this time further supported the projects.</w:t>
      </w:r>
    </w:p>
    <w:p w:rsidR="00134D0B" w:rsidRDefault="00E2072B" w:rsidP="008A2517">
      <w:pPr>
        <w:spacing w:line="480" w:lineRule="auto"/>
        <w:ind w:left="720" w:hanging="720"/>
        <w:rPr>
          <w:b/>
        </w:rPr>
      </w:pPr>
      <w:r>
        <w:rPr>
          <w:b/>
        </w:rPr>
        <w:t>Q.</w:t>
      </w:r>
      <w:r>
        <w:rPr>
          <w:b/>
        </w:rPr>
        <w:tab/>
        <w:t>Has the Company effectively and prudently managed the risks associated with the Bridger SCRs?</w:t>
      </w:r>
    </w:p>
    <w:p w:rsidR="00134D0B" w:rsidRDefault="00E2072B" w:rsidP="008A2517">
      <w:pPr>
        <w:spacing w:line="480" w:lineRule="auto"/>
        <w:ind w:left="720" w:hanging="720"/>
      </w:pPr>
      <w:r>
        <w:t>A.</w:t>
      </w:r>
      <w:r>
        <w:tab/>
        <w:t>Yes.  As described above and in my direct testimony in this docket, the Company engaged on several fronts to effectively and prudently manage the risks associated with the Bridger SCRs.  On the regulatory front, the Company engaged its stakeholders and regulators in rigorous reviews of the projects before committing to the major expenditures that the projects entail.  In parallel to those regulatory reviews, the Company negotiated the LNTP concept into the EPC contract for the projects to allow as much time as possible for reviews in other regulatory dockets to proceed, federal action on the state of Wyoming’s Regional Haze compliance requirements to progress, the Company’s joint owner to get regulatory approval of a CPCN for its share of the project, and potential scope and schedule changes that could have resulted from those processes to be considered and integrated into project plans before releasing FNTP to the EPC contractor.  At the same time, the Company committed to deliver the projects within the cost structures agreed to in the regulatory proceedings in Utah and Wyoming, while knowing that it would be held accountable in subsequent prudence reviews of the Company’s management of the projects.</w:t>
      </w:r>
    </w:p>
    <w:p w:rsidR="00134D0B" w:rsidRDefault="00E2072B" w:rsidP="008A2517">
      <w:pPr>
        <w:spacing w:line="480" w:lineRule="auto"/>
        <w:ind w:left="720" w:hanging="720"/>
        <w:rPr>
          <w:b/>
        </w:rPr>
      </w:pPr>
      <w:r>
        <w:rPr>
          <w:b/>
        </w:rPr>
        <w:t>Q.</w:t>
      </w:r>
      <w:r>
        <w:rPr>
          <w:b/>
        </w:rPr>
        <w:tab/>
        <w:t xml:space="preserve">Was the Company granted “carte blanche authorization” by the states of Utah and Wyoming </w:t>
      </w:r>
      <w:r w:rsidR="00C73ABA">
        <w:rPr>
          <w:b/>
        </w:rPr>
        <w:t xml:space="preserve">via </w:t>
      </w:r>
      <w:r>
        <w:rPr>
          <w:b/>
        </w:rPr>
        <w:t>the</w:t>
      </w:r>
      <w:r w:rsidR="00C73ABA">
        <w:rPr>
          <w:b/>
        </w:rPr>
        <w:t xml:space="preserve"> </w:t>
      </w:r>
      <w:r>
        <w:rPr>
          <w:b/>
        </w:rPr>
        <w:t>CPCN and voluntary procurement pre-approval proceedings regarding the Bridger SCRs in those states, as Staff asserts?</w:t>
      </w:r>
    </w:p>
    <w:p w:rsidR="00134D0B" w:rsidRDefault="00E2072B" w:rsidP="008A2517">
      <w:pPr>
        <w:spacing w:line="480" w:lineRule="auto"/>
        <w:ind w:left="720" w:hanging="720"/>
      </w:pPr>
      <w:r>
        <w:t>A.</w:t>
      </w:r>
      <w:r>
        <w:tab/>
        <w:t xml:space="preserve">No.  As Staff correctly highlights in its testimony, the Utah Public Service Commission’s </w:t>
      </w:r>
      <w:r w:rsidR="00F62055">
        <w:t>o</w:t>
      </w:r>
      <w:r>
        <w:t>rder in the Bridger SCR voluntary procurement pre-approval docket includes the following language:</w:t>
      </w:r>
    </w:p>
    <w:p w:rsidR="00134D0B" w:rsidRDefault="00E2072B" w:rsidP="008A2517">
      <w:pPr>
        <w:spacing w:after="240"/>
        <w:ind w:left="1440" w:right="720"/>
      </w:pPr>
      <w:r>
        <w:t xml:space="preserve">[T]he approval of resource decision projected costs in this </w:t>
      </w:r>
      <w:r w:rsidR="00F62055">
        <w:t>O</w:t>
      </w:r>
      <w:r>
        <w:t>rder is conditioned on the Company acting prudently when responding to potential new information and changed conditions.</w:t>
      </w:r>
      <w:r>
        <w:rPr>
          <w:rStyle w:val="FootnoteReference"/>
        </w:rPr>
        <w:footnoteReference w:id="16"/>
      </w:r>
    </w:p>
    <w:p w:rsidR="00134D0B" w:rsidRDefault="00E2072B" w:rsidP="008A2517">
      <w:pPr>
        <w:spacing w:line="480" w:lineRule="auto"/>
        <w:ind w:left="720"/>
      </w:pPr>
      <w:r>
        <w:t xml:space="preserve">In Wyoming, the Public Service Commission’s </w:t>
      </w:r>
      <w:r w:rsidR="00F62055">
        <w:t>o</w:t>
      </w:r>
      <w:r>
        <w:t>rder in the Bridger SCR CPCN docket states:</w:t>
      </w:r>
    </w:p>
    <w:p w:rsidR="00134D0B" w:rsidRDefault="00E2072B" w:rsidP="008A2517">
      <w:pPr>
        <w:spacing w:after="240"/>
        <w:ind w:left="1440" w:right="720"/>
      </w:pPr>
      <w:r>
        <w:t xml:space="preserve">[T]he Parties agree that they will not challenge the Company's prudence or recovery of the costs associated with that facility in any future Wyoming rate case </w:t>
      </w:r>
      <w:r w:rsidRPr="008029EB">
        <w:rPr>
          <w:i/>
        </w:rPr>
        <w:t>except to the extent</w:t>
      </w:r>
      <w:r>
        <w:t xml:space="preserve"> that (1) the cost of the environmental project exceeds the estimated costs or (2) there is evidence of mismanagement.  If such circumstances ever exist, any challenge to the environmental project will be limited to the prudence of the construction costs in excess of the estimated costs or the impact of the mismanagement.</w:t>
      </w:r>
      <w:r>
        <w:rPr>
          <w:rStyle w:val="FootnoteReference"/>
        </w:rPr>
        <w:footnoteReference w:id="17"/>
      </w:r>
    </w:p>
    <w:p w:rsidR="007516AB" w:rsidRDefault="00E2072B" w:rsidP="008A2517">
      <w:pPr>
        <w:spacing w:line="480" w:lineRule="auto"/>
        <w:ind w:left="720"/>
      </w:pPr>
      <w:r>
        <w:t xml:space="preserve">Neither of these outcomes grant the Company “carte blanche authorization” for the Bridger SCRs, nor has the Company ignored market conditions or unfairly shifted all risk associated with the Bridger SCRs to customers, as Staff asserts. </w:t>
      </w:r>
      <w:r w:rsidR="005505C6">
        <w:t xml:space="preserve"> </w:t>
      </w:r>
      <w:r>
        <w:t>The Company takes its obligation to safely, effectively, and prudently manage its major generation resource projects very seriously</w:t>
      </w:r>
      <w:r w:rsidR="007516AB">
        <w:t xml:space="preserve">.  The Company recognizes that it has the burden of proof to demonstrate the prudence of the Bridger SCRs to the Washington Commission, as is apparent from the Company’s extensive testimony on this issue. </w:t>
      </w:r>
    </w:p>
    <w:p w:rsidR="00134D0B" w:rsidRDefault="00E2072B">
      <w:pPr>
        <w:tabs>
          <w:tab w:val="left" w:pos="720"/>
        </w:tabs>
        <w:spacing w:line="480" w:lineRule="auto"/>
        <w:ind w:left="720" w:hanging="720"/>
        <w:rPr>
          <w:b/>
          <w:szCs w:val="20"/>
        </w:rPr>
      </w:pPr>
      <w:r>
        <w:rPr>
          <w:b/>
          <w:szCs w:val="20"/>
        </w:rPr>
        <w:t>Q.</w:t>
      </w:r>
      <w:r>
        <w:rPr>
          <w:b/>
          <w:szCs w:val="20"/>
        </w:rPr>
        <w:tab/>
        <w:t xml:space="preserve">Staff claims that the Company ignored the Commission’s requests for additional analysis on the Bridger SCRs in the 2013 IRP Update.  Please respond.  </w:t>
      </w:r>
    </w:p>
    <w:p w:rsidR="00134D0B" w:rsidRDefault="00E2072B">
      <w:pPr>
        <w:tabs>
          <w:tab w:val="left" w:pos="720"/>
        </w:tabs>
        <w:spacing w:line="480" w:lineRule="auto"/>
        <w:ind w:left="720" w:hanging="720"/>
        <w:rPr>
          <w:szCs w:val="20"/>
        </w:rPr>
      </w:pPr>
      <w:r>
        <w:rPr>
          <w:szCs w:val="20"/>
        </w:rPr>
        <w:t>A.</w:t>
      </w:r>
      <w:r>
        <w:rPr>
          <w:szCs w:val="20"/>
        </w:rPr>
        <w:tab/>
        <w:t>As s</w:t>
      </w:r>
      <w:r w:rsidR="007516AB">
        <w:rPr>
          <w:szCs w:val="20"/>
        </w:rPr>
        <w:t>et forth in my direct testimony,</w:t>
      </w:r>
      <w:r>
        <w:rPr>
          <w:szCs w:val="20"/>
        </w:rPr>
        <w:t xml:space="preserve"> the Company respectfully disagrees with this characterization.  </w:t>
      </w:r>
      <w:r w:rsidR="007516AB">
        <w:rPr>
          <w:szCs w:val="20"/>
        </w:rPr>
        <w:t xml:space="preserve">Mr. Link responds to this issue in detail in his rebuttal testimony. </w:t>
      </w:r>
    </w:p>
    <w:p w:rsidR="00134D0B" w:rsidRDefault="00E2072B" w:rsidP="005505C6">
      <w:pPr>
        <w:pStyle w:val="Heading1"/>
      </w:pPr>
      <w:bookmarkStart w:id="3" w:name="_Toc447709071"/>
      <w:r>
        <w:t>PROJECT SCOPE AND TIMING</w:t>
      </w:r>
      <w:bookmarkEnd w:id="3"/>
    </w:p>
    <w:p w:rsidR="00134D0B" w:rsidRDefault="00E2072B" w:rsidP="00B65906">
      <w:pPr>
        <w:spacing w:line="480" w:lineRule="auto"/>
        <w:ind w:left="720" w:hanging="720"/>
        <w:rPr>
          <w:b/>
        </w:rPr>
      </w:pPr>
      <w:r>
        <w:rPr>
          <w:b/>
        </w:rPr>
        <w:t>Q.</w:t>
      </w:r>
      <w:r>
        <w:rPr>
          <w:b/>
        </w:rPr>
        <w:tab/>
        <w:t>Does Sierra Club mischaracterize the flexibility of Regional Haze compliance deadlines for the Bridger SCRs?</w:t>
      </w:r>
    </w:p>
    <w:p w:rsidR="00134D0B" w:rsidRDefault="00E2072B" w:rsidP="00B65906">
      <w:pPr>
        <w:spacing w:line="480" w:lineRule="auto"/>
        <w:ind w:left="720" w:hanging="720"/>
      </w:pPr>
      <w:r>
        <w:t>A.</w:t>
      </w:r>
      <w:r>
        <w:tab/>
        <w:t>Yes.  Sierra Club asserts that “the Company had no legal obligation to begin planning for the SCR systems until January 2014, when EPA issued it final decision.”</w:t>
      </w:r>
      <w:r>
        <w:rPr>
          <w:rStyle w:val="FootnoteReference"/>
        </w:rPr>
        <w:footnoteReference w:id="18"/>
      </w:r>
      <w:r>
        <w:t xml:space="preserve">  This statement is patently untrue and unsupportable.</w:t>
      </w:r>
    </w:p>
    <w:p w:rsidR="00134D0B" w:rsidRDefault="00E2072B" w:rsidP="00B65906">
      <w:pPr>
        <w:pStyle w:val="Default"/>
        <w:spacing w:line="480" w:lineRule="auto"/>
        <w:ind w:left="720" w:hanging="720"/>
        <w:rPr>
          <w:b/>
        </w:rPr>
      </w:pPr>
      <w:r>
        <w:rPr>
          <w:b/>
        </w:rPr>
        <w:t>Q</w:t>
      </w:r>
      <w:r>
        <w:rPr>
          <w:b/>
        </w:rPr>
        <w:tab/>
        <w:t>Is Sierra Club aware the Company is under a legally enforceable obligation to the state of Wyoming to meet compliance deadlines despite any lack of ruling by the EPA?</w:t>
      </w:r>
    </w:p>
    <w:p w:rsidR="00134D0B" w:rsidRDefault="00E2072B" w:rsidP="00B65906">
      <w:pPr>
        <w:pStyle w:val="Default"/>
        <w:spacing w:line="480" w:lineRule="auto"/>
        <w:ind w:left="720" w:hanging="720"/>
      </w:pPr>
      <w:r>
        <w:t>A.</w:t>
      </w:r>
      <w:r>
        <w:tab/>
        <w:t>Yes.  Sierra Club’s witness in this proceeding, Dr. Fisher, has also been a witness for Sierra Club in several dockets where this issue was previously litigated, so he is well aware that the Company is under a legally enforceable obligation to complete the SCRs or otherwise meet the associated unit-specific emission limits on Jim Bridger Units 3 and 4 if the Company is going to continue to operate these units</w:t>
      </w:r>
      <w:r w:rsidR="00F62055">
        <w:t>,</w:t>
      </w:r>
      <w:r>
        <w:t xml:space="preserve"> with or without an EPA ruling.  These legal obligations were established in the Best Available Retrofit Technology (BART) appeal settlement agreement</w:t>
      </w:r>
      <w:r>
        <w:rPr>
          <w:rStyle w:val="FootnoteReference"/>
        </w:rPr>
        <w:footnoteReference w:id="19"/>
      </w:r>
      <w:r>
        <w:t xml:space="preserve"> between the state of Wyoming and the Company, </w:t>
      </w:r>
      <w:r w:rsidR="008B0567">
        <w:t>the Wyoming SIP,</w:t>
      </w:r>
      <w:r w:rsidR="008B0567" w:rsidDel="008B0567">
        <w:rPr>
          <w:rStyle w:val="FootnoteReference"/>
        </w:rPr>
        <w:t xml:space="preserve"> </w:t>
      </w:r>
      <w:r w:rsidR="008B0567">
        <w:t xml:space="preserve"> </w:t>
      </w:r>
      <w:r>
        <w:t>and the BART permit issued by the state of Wyoming.</w:t>
      </w:r>
    </w:p>
    <w:p w:rsidR="00134D0B" w:rsidRDefault="00E2072B" w:rsidP="00B65906">
      <w:pPr>
        <w:pStyle w:val="Default"/>
        <w:spacing w:line="480" w:lineRule="auto"/>
        <w:ind w:left="720" w:hanging="720"/>
        <w:rPr>
          <w:b/>
        </w:rPr>
      </w:pPr>
      <w:r>
        <w:rPr>
          <w:b/>
        </w:rPr>
        <w:t>Q.</w:t>
      </w:r>
      <w:r>
        <w:rPr>
          <w:b/>
        </w:rPr>
        <w:tab/>
        <w:t xml:space="preserve">Considering the complexity of the Bridger SCRs, as well as the lengthy project </w:t>
      </w:r>
      <w:r w:rsidR="008764F5">
        <w:rPr>
          <w:b/>
        </w:rPr>
        <w:t>life cycle</w:t>
      </w:r>
      <w:r>
        <w:rPr>
          <w:b/>
        </w:rPr>
        <w:t xml:space="preserve"> information presented above, could the Company have deferred the start of planning for the SCRs until after the EPA’s final action in January 2014 and still have met the prescribed and legally enforceable compliance deadlines?</w:t>
      </w:r>
    </w:p>
    <w:p w:rsidR="00134D0B" w:rsidRDefault="00E2072B">
      <w:pPr>
        <w:tabs>
          <w:tab w:val="left" w:pos="720"/>
        </w:tabs>
        <w:spacing w:line="480" w:lineRule="auto"/>
        <w:ind w:left="720" w:hanging="720"/>
        <w:rPr>
          <w:szCs w:val="20"/>
        </w:rPr>
      </w:pPr>
      <w:r>
        <w:t>A.</w:t>
      </w:r>
      <w:r>
        <w:tab/>
        <w:t xml:space="preserve">No.  In the Wyoming CPCN and the Utah pre-approval dockets, </w:t>
      </w:r>
      <w:r w:rsidR="00EE73B0">
        <w:rPr>
          <w:szCs w:val="20"/>
        </w:rPr>
        <w:t>D</w:t>
      </w:r>
      <w:r>
        <w:rPr>
          <w:szCs w:val="20"/>
        </w:rPr>
        <w:t>r. Fisher provided similar testimony on the Company’s ability to postpone these investment decisions for several years.  The Utah</w:t>
      </w:r>
      <w:r w:rsidR="00E734FE">
        <w:rPr>
          <w:szCs w:val="20"/>
        </w:rPr>
        <w:t xml:space="preserve"> Public Service Commission</w:t>
      </w:r>
      <w:r>
        <w:rPr>
          <w:szCs w:val="20"/>
        </w:rPr>
        <w:t xml:space="preserve"> and </w:t>
      </w:r>
      <w:r w:rsidR="00E734FE">
        <w:rPr>
          <w:szCs w:val="20"/>
        </w:rPr>
        <w:t xml:space="preserve">the </w:t>
      </w:r>
      <w:r>
        <w:rPr>
          <w:szCs w:val="20"/>
        </w:rPr>
        <w:t xml:space="preserve">Wyoming </w:t>
      </w:r>
      <w:r w:rsidR="00E734FE">
        <w:rPr>
          <w:szCs w:val="20"/>
        </w:rPr>
        <w:t xml:space="preserve">Public Service </w:t>
      </w:r>
      <w:r>
        <w:rPr>
          <w:szCs w:val="20"/>
        </w:rPr>
        <w:t>Co</w:t>
      </w:r>
      <w:r w:rsidR="00EE73B0">
        <w:rPr>
          <w:szCs w:val="20"/>
        </w:rPr>
        <w:t>mmission reviewed and rejected D</w:t>
      </w:r>
      <w:r>
        <w:rPr>
          <w:szCs w:val="20"/>
        </w:rPr>
        <w:t>r. Fisher’s arguments, finding that the Company was legally required to comply with the timelines set in Wyoming’s SIP.</w:t>
      </w:r>
      <w:r w:rsidR="007B5291">
        <w:rPr>
          <w:rStyle w:val="FootnoteReference"/>
          <w:szCs w:val="20"/>
        </w:rPr>
        <w:footnoteReference w:id="20"/>
      </w:r>
      <w:r>
        <w:rPr>
          <w:szCs w:val="20"/>
        </w:rPr>
        <w:t xml:space="preserve">  </w:t>
      </w:r>
    </w:p>
    <w:p w:rsidR="005505C6" w:rsidRDefault="005505C6" w:rsidP="005505C6">
      <w:pPr>
        <w:suppressLineNumbers/>
        <w:tabs>
          <w:tab w:val="left" w:pos="720"/>
        </w:tabs>
        <w:spacing w:line="480" w:lineRule="auto"/>
        <w:ind w:left="720" w:hanging="720"/>
      </w:pPr>
    </w:p>
    <w:p w:rsidR="00134D0B" w:rsidRDefault="00E2072B" w:rsidP="00B65906">
      <w:pPr>
        <w:pStyle w:val="Default"/>
        <w:spacing w:line="480" w:lineRule="auto"/>
        <w:ind w:left="720" w:hanging="720"/>
        <w:rPr>
          <w:b/>
        </w:rPr>
      </w:pPr>
      <w:r>
        <w:rPr>
          <w:b/>
        </w:rPr>
        <w:t>Q.</w:t>
      </w:r>
      <w:r>
        <w:rPr>
          <w:b/>
        </w:rPr>
        <w:tab/>
        <w:t xml:space="preserve">Did the Company specifically query the state of Wyoming regarding the enforceability and applicability of these obligations? </w:t>
      </w:r>
    </w:p>
    <w:p w:rsidR="00134D0B" w:rsidRDefault="00E2072B" w:rsidP="00B65906">
      <w:pPr>
        <w:pStyle w:val="Default"/>
        <w:spacing w:line="480" w:lineRule="auto"/>
        <w:ind w:left="720" w:hanging="720"/>
      </w:pPr>
      <w:r>
        <w:t>A.</w:t>
      </w:r>
      <w:r>
        <w:tab/>
        <w:t xml:space="preserve">Yes.  The state of Wyoming responded that the Company was required to comply with the deadlines set in the Wyoming SIP.  The Company previously provided this response to Sierra Club in the Wyoming CPCN.  The Company’s request and the state’s response are attached as Exhibit No. </w:t>
      </w:r>
      <w:proofErr w:type="gramStart"/>
      <w:r w:rsidR="007B5291" w:rsidRPr="007B5291">
        <w:t>CAT-25</w:t>
      </w:r>
      <w:r w:rsidRPr="007B5291">
        <w:t xml:space="preserve"> and Exhibit No</w:t>
      </w:r>
      <w:r w:rsidR="007B5291" w:rsidRPr="007B5291">
        <w:t>.</w:t>
      </w:r>
      <w:proofErr w:type="gramEnd"/>
      <w:r w:rsidR="007B5291" w:rsidRPr="007B5291">
        <w:t xml:space="preserve"> </w:t>
      </w:r>
      <w:proofErr w:type="gramStart"/>
      <w:r w:rsidR="007B5291" w:rsidRPr="007B5291">
        <w:t>CAT-26</w:t>
      </w:r>
      <w:r w:rsidRPr="007B5291">
        <w:t>,</w:t>
      </w:r>
      <w:r>
        <w:t xml:space="preserve"> respectively.</w:t>
      </w:r>
      <w:proofErr w:type="gramEnd"/>
    </w:p>
    <w:p w:rsidR="00134D0B" w:rsidRDefault="00E2072B" w:rsidP="00B65906">
      <w:pPr>
        <w:pStyle w:val="Default"/>
        <w:spacing w:line="480" w:lineRule="auto"/>
        <w:ind w:left="720" w:hanging="720"/>
        <w:rPr>
          <w:b/>
        </w:rPr>
      </w:pPr>
      <w:r>
        <w:rPr>
          <w:b/>
        </w:rPr>
        <w:t>Q.</w:t>
      </w:r>
      <w:r>
        <w:rPr>
          <w:b/>
        </w:rPr>
        <w:tab/>
        <w:t>Is Dr. Fisher’s assertion regarding timelines for the Bridger SCRs also contrary to positions that Sierra Club has taken in comments filed with the EPA in the Wyoming Regional Haze docket?</w:t>
      </w:r>
    </w:p>
    <w:p w:rsidR="00134D0B" w:rsidRDefault="00E2072B" w:rsidP="00B65906">
      <w:pPr>
        <w:pStyle w:val="Default"/>
        <w:spacing w:line="480" w:lineRule="auto"/>
        <w:ind w:left="720" w:hanging="720"/>
      </w:pPr>
      <w:r>
        <w:t>A.</w:t>
      </w:r>
      <w:r>
        <w:tab/>
        <w:t>Yes.  Dr. Fisher’s statement</w:t>
      </w:r>
      <w:r w:rsidR="00F808EE" w:rsidRPr="00F808EE">
        <w:rPr>
          <w:b/>
        </w:rPr>
        <w:t xml:space="preserve"> </w:t>
      </w:r>
      <w:r w:rsidR="00F808EE" w:rsidRPr="00B65906">
        <w:t>that Company could have deferred the start of planning for the SCRs until after the EPA’s final action in January 2014</w:t>
      </w:r>
      <w:r>
        <w:t xml:space="preserve"> is contrary to the position taken previously by Sierra Club in comments filed with the EPA on the Wyoming SIP </w:t>
      </w:r>
      <w:r w:rsidR="00F808EE">
        <w:t xml:space="preserve">regarding the </w:t>
      </w:r>
      <w:r>
        <w:t>Jim Bridger SCR</w:t>
      </w:r>
      <w:r w:rsidR="00F808EE">
        <w:t>s 2015 and 2016 compliance deadlines</w:t>
      </w:r>
      <w:r>
        <w:t>. Sierra Club’s comments state in pertinent part:</w:t>
      </w:r>
    </w:p>
    <w:p w:rsidR="00134D0B" w:rsidRDefault="00E2072B" w:rsidP="00B65906">
      <w:pPr>
        <w:pStyle w:val="Default"/>
        <w:ind w:left="1440" w:right="720"/>
        <w:rPr>
          <w:color w:val="auto"/>
        </w:rPr>
      </w:pPr>
      <w:r>
        <w:t xml:space="preserve">EPA’s proposal would require installation of SCR plus low-NOx burners/SOFA by 2015 at Unit 3 and 2016 at Unit 4.  </w:t>
      </w:r>
      <w:proofErr w:type="gramStart"/>
      <w:r>
        <w:t>77 Fed.</w:t>
      </w:r>
      <w:proofErr w:type="gramEnd"/>
      <w:r>
        <w:t xml:space="preserve"> </w:t>
      </w:r>
      <w:proofErr w:type="gramStart"/>
      <w:r>
        <w:t>Reg. at 33035.</w:t>
      </w:r>
      <w:proofErr w:type="gramEnd"/>
      <w:r>
        <w:t xml:space="preserve">  However, EPA also is seeking comment on </w:t>
      </w:r>
      <w:r>
        <w:rPr>
          <w:color w:val="auto"/>
        </w:rPr>
        <w:t xml:space="preserve">an alternative that would allow PacifiCorp to install SCR at Jim Bridger Units 3 and 4 within 5 years from the date of EPA’s final action.  </w:t>
      </w:r>
      <w:proofErr w:type="gramStart"/>
      <w:r>
        <w:rPr>
          <w:i/>
          <w:iCs/>
          <w:color w:val="auto"/>
        </w:rPr>
        <w:t xml:space="preserve">Id. </w:t>
      </w:r>
      <w:r>
        <w:rPr>
          <w:color w:val="auto"/>
        </w:rPr>
        <w:t>at 33053.</w:t>
      </w:r>
      <w:proofErr w:type="gramEnd"/>
      <w:r>
        <w:rPr>
          <w:color w:val="auto"/>
        </w:rPr>
        <w:t xml:space="preserve">  EPA’s reasoning is that this alternative would allow PacifiCorp the flexibility to determine the implementation schedule for BART controls on all four Jim Bridger units.  Because EPA’s initial proposal to require BART installation by 2016 best complies with the statutory requirement that BART be installed and operated ―as expeditiously as practicable, 42 U.S.C. § 7491(b)(2)(A), we support EPA‘s proposal over the alternative for Jim Bridger Units 3 and 4.</w:t>
      </w:r>
      <w:r>
        <w:rPr>
          <w:rStyle w:val="FootnoteReference"/>
          <w:color w:val="auto"/>
        </w:rPr>
        <w:footnoteReference w:id="21"/>
      </w:r>
    </w:p>
    <w:p w:rsidR="00134D0B" w:rsidRDefault="00134D0B">
      <w:pPr>
        <w:pStyle w:val="Default"/>
        <w:suppressLineNumbers/>
        <w:ind w:left="1440" w:right="720"/>
        <w:jc w:val="both"/>
      </w:pPr>
    </w:p>
    <w:p w:rsidR="00134D0B" w:rsidRDefault="00E2072B" w:rsidP="00B65906">
      <w:pPr>
        <w:pStyle w:val="Default"/>
        <w:spacing w:line="480" w:lineRule="auto"/>
        <w:ind w:left="720" w:hanging="720"/>
      </w:pPr>
      <w:r>
        <w:tab/>
      </w:r>
      <w:r w:rsidR="005505C6">
        <w:tab/>
      </w:r>
      <w:r>
        <w:t xml:space="preserve">In other words, in the EPA docket to review the Wyoming SIP, Sierra Club filed comments on August 2012 advocating that the Company be held to the 2015 and 2016 compliance deadlines for the Jim Bridger units.  </w:t>
      </w:r>
      <w:r w:rsidR="00E734FE">
        <w:t xml:space="preserve">But Sierra Club’s position in this case and in the EPA proceeding are not reconcilable—it would be impossible to meet the 2015 and 2016 deadlines if PacifiCorp had waited to act until after issuance of the EPA’s decision in January 2014.  </w:t>
      </w:r>
      <w:r>
        <w:t>Sierra Club’s testimony here does not acknowledge its shifting positions on this issue</w:t>
      </w:r>
      <w:r w:rsidR="00F808EE">
        <w:t xml:space="preserve">, which appear to be </w:t>
      </w:r>
      <w:r w:rsidR="00BC5C88">
        <w:t xml:space="preserve">driven by competing desired outcomes </w:t>
      </w:r>
      <w:r w:rsidR="00B65906">
        <w:t xml:space="preserve">in related </w:t>
      </w:r>
      <w:r w:rsidR="00F808EE">
        <w:t xml:space="preserve">regulatory </w:t>
      </w:r>
      <w:r w:rsidR="00B65906">
        <w:t>processes.</w:t>
      </w:r>
      <w:r>
        <w:t xml:space="preserve"> </w:t>
      </w:r>
    </w:p>
    <w:p w:rsidR="00134D0B" w:rsidRDefault="00E2072B" w:rsidP="00B65906">
      <w:pPr>
        <w:spacing w:line="480" w:lineRule="auto"/>
        <w:ind w:left="720" w:hanging="720"/>
        <w:rPr>
          <w:b/>
        </w:rPr>
      </w:pPr>
      <w:r>
        <w:rPr>
          <w:b/>
        </w:rPr>
        <w:t>Q.</w:t>
      </w:r>
      <w:r>
        <w:rPr>
          <w:b/>
        </w:rPr>
        <w:tab/>
        <w:t>To be clear, has EPA approved the state of Wyoming’s Regional Haze compliance requirements for Jim Bridger Units 3 and 4?</w:t>
      </w:r>
    </w:p>
    <w:p w:rsidR="00134D0B" w:rsidRDefault="00E2072B" w:rsidP="00B65906">
      <w:pPr>
        <w:spacing w:line="480" w:lineRule="auto"/>
        <w:ind w:left="720" w:hanging="720"/>
      </w:pPr>
      <w:r>
        <w:t>A.</w:t>
      </w:r>
      <w:r>
        <w:tab/>
        <w:t xml:space="preserve">Yes.  EPA approved these requirements in its final Regional Haze Federal Implementation Plan (FIP) for Wyoming published in the </w:t>
      </w:r>
      <w:r>
        <w:rPr>
          <w:i/>
        </w:rPr>
        <w:t>Federal Register</w:t>
      </w:r>
      <w:r>
        <w:t xml:space="preserve"> on June 4, 2012.  EPA reiterated its approval of these requirements in its updated Regional Haze FIP for Wyoming published in the </w:t>
      </w:r>
      <w:r>
        <w:rPr>
          <w:i/>
        </w:rPr>
        <w:t>Federal Register</w:t>
      </w:r>
      <w:r>
        <w:t xml:space="preserve"> on January 30, 2014.  EPA’s final approval makes these emissions reduction compliance requirements at Jim Bridger Units 3 and 4 federally enforceable, in addition to being enforceable under state law.</w:t>
      </w:r>
    </w:p>
    <w:p w:rsidR="00134D0B" w:rsidRDefault="00E2072B" w:rsidP="005505C6">
      <w:pPr>
        <w:pStyle w:val="Heading1"/>
      </w:pPr>
      <w:bookmarkStart w:id="4" w:name="_Toc447709072"/>
      <w:r>
        <w:t>CONCLUSION</w:t>
      </w:r>
      <w:bookmarkEnd w:id="4"/>
    </w:p>
    <w:p w:rsidR="00134D0B" w:rsidRDefault="00E2072B" w:rsidP="00B65906">
      <w:pPr>
        <w:spacing w:line="480" w:lineRule="auto"/>
        <w:ind w:left="720" w:hanging="720"/>
        <w:rPr>
          <w:b/>
        </w:rPr>
      </w:pPr>
      <w:r>
        <w:rPr>
          <w:b/>
        </w:rPr>
        <w:t>Q.</w:t>
      </w:r>
      <w:r>
        <w:rPr>
          <w:b/>
        </w:rPr>
        <w:tab/>
        <w:t>Please summarize your testimony.</w:t>
      </w:r>
    </w:p>
    <w:p w:rsidR="00134D0B" w:rsidRDefault="00E2072B" w:rsidP="00B65906">
      <w:pPr>
        <w:widowControl w:val="0"/>
        <w:spacing w:line="480" w:lineRule="auto"/>
        <w:ind w:left="720" w:hanging="720"/>
      </w:pPr>
      <w:r>
        <w:t>A.</w:t>
      </w:r>
      <w:r>
        <w:tab/>
        <w:t>The Company prudently and reasonably assessed and approved the</w:t>
      </w:r>
      <w:r w:rsidR="000C00FE">
        <w:t xml:space="preserve"> installation of </w:t>
      </w:r>
      <w:r>
        <w:t>the Bridger SCRs through a robust review process, consistent with a well-established governance policy.  The Company did not ignore new information available before releasing the FNTP to the EPC contractor.  In fact, the Company deliberately negotiated and used the EPC contract LNTP provisions to further mitigate project risk and limit outlay of costs</w:t>
      </w:r>
      <w:r w:rsidR="00B65906">
        <w:t>,</w:t>
      </w:r>
      <w:r>
        <w:t xml:space="preserve"> while facilitating confirmation of parallel path regulatory reviews, permit requirements, and market conditions up to the last feasible point in time, December 2013.  The Company balanced the need to carefully review the Bridger SCRs with the need to meet the critical path implementation schedule, meet compliance deadlines, and allow continued compliant operation of these key generation resources on behalf of customers.</w:t>
      </w:r>
    </w:p>
    <w:p w:rsidR="00134D0B" w:rsidRDefault="00E2072B" w:rsidP="00B65906">
      <w:pPr>
        <w:spacing w:line="480" w:lineRule="auto"/>
        <w:ind w:left="720" w:firstLine="720"/>
      </w:pPr>
      <w:r>
        <w:t>Sierra Club’s mischaracterizations on compliance timeline flexibility have been thoroughly refuted not only by the Company in past regulatory proceedings, but also directly through correspondence from the state of Wyoming.</w:t>
      </w:r>
    </w:p>
    <w:p w:rsidR="00134D0B" w:rsidRDefault="00E2072B" w:rsidP="00B65906">
      <w:pPr>
        <w:spacing w:line="480" w:lineRule="auto"/>
        <w:ind w:left="720" w:firstLine="720"/>
      </w:pPr>
      <w:r>
        <w:t xml:space="preserve">Whether assessed in May 2013 or December 2013, the Company </w:t>
      </w:r>
      <w:r w:rsidR="00B95B7C">
        <w:t>p</w:t>
      </w:r>
      <w:r>
        <w:t xml:space="preserve">rudently evaluated and implemented the Bridger SCRs. </w:t>
      </w:r>
    </w:p>
    <w:p w:rsidR="00134D0B" w:rsidRDefault="00E2072B" w:rsidP="00B65906">
      <w:pPr>
        <w:tabs>
          <w:tab w:val="left" w:pos="720"/>
        </w:tabs>
        <w:spacing w:line="480" w:lineRule="auto"/>
        <w:ind w:left="720" w:hanging="720"/>
        <w:rPr>
          <w:b/>
        </w:rPr>
      </w:pPr>
      <w:r>
        <w:rPr>
          <w:b/>
        </w:rPr>
        <w:t>Q.</w:t>
      </w:r>
      <w:r>
        <w:rPr>
          <w:b/>
        </w:rPr>
        <w:tab/>
        <w:t>Does this conclude your rebuttal testimony?</w:t>
      </w:r>
    </w:p>
    <w:p w:rsidR="00134D0B" w:rsidRDefault="00E2072B" w:rsidP="00B65906">
      <w:pPr>
        <w:spacing w:line="480" w:lineRule="auto"/>
        <w:ind w:left="720" w:hanging="720"/>
      </w:pPr>
      <w:r>
        <w:t>A.</w:t>
      </w:r>
      <w:r>
        <w:tab/>
        <w:t>Yes.</w:t>
      </w:r>
    </w:p>
    <w:sectPr w:rsidR="00134D0B" w:rsidSect="00AA2DEF">
      <w:headerReference w:type="default" r:id="rId14"/>
      <w:footerReference w:type="default" r:id="rId15"/>
      <w:pgSz w:w="12240" w:h="15840" w:code="1"/>
      <w:pgMar w:top="1440" w:right="1440" w:bottom="1440" w:left="1800"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4823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EAA" w:rsidRDefault="00693EAA">
      <w:r>
        <w:separator/>
      </w:r>
    </w:p>
  </w:endnote>
  <w:endnote w:type="continuationSeparator" w:id="0">
    <w:p w:rsidR="00693EAA" w:rsidRDefault="0069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keleyStd-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7A" w:rsidRDefault="00687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4FE" w:rsidRDefault="00E734FE" w:rsidP="00D414C3">
    <w:pPr>
      <w:pStyle w:val="Footer"/>
      <w:tabs>
        <w:tab w:val="clear" w:pos="8640"/>
        <w:tab w:val="right" w:pos="9000"/>
      </w:tabs>
    </w:pPr>
    <w:r>
      <w:t>Rebuttal Testimony of Chad A. Teply</w:t>
    </w:r>
    <w:r w:rsidR="00D414C3">
      <w:tab/>
    </w:r>
    <w:r>
      <w:tab/>
      <w:t>Exhibit No. CAT-14CT</w:t>
    </w:r>
  </w:p>
  <w:p w:rsidR="00E734FE" w:rsidRDefault="00E734FE" w:rsidP="00D414C3">
    <w:pPr>
      <w:pStyle w:val="Footer"/>
      <w:jc w:val="right"/>
    </w:pPr>
    <w:r>
      <w:t xml:space="preserve">Page </w:t>
    </w:r>
    <w:r>
      <w:fldChar w:fldCharType="begin"/>
    </w:r>
    <w:r>
      <w:instrText xml:space="preserve"> PAGE   \* MERGEFORMAT </w:instrText>
    </w:r>
    <w:r>
      <w:fldChar w:fldCharType="separate"/>
    </w:r>
    <w:r w:rsidR="00687C7A">
      <w:rPr>
        <w:noProof/>
      </w:rPr>
      <w:t>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7A" w:rsidRDefault="00687C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EF" w:rsidRDefault="00AA2DEF" w:rsidP="00D414C3">
    <w:pPr>
      <w:pStyle w:val="Footer"/>
      <w:tabs>
        <w:tab w:val="clear" w:pos="8640"/>
        <w:tab w:val="right" w:pos="9000"/>
      </w:tabs>
    </w:pPr>
    <w:r>
      <w:t>Rebuttal Testimony of Chad A. Teply</w:t>
    </w:r>
    <w:r>
      <w:tab/>
    </w:r>
    <w:r>
      <w:tab/>
      <w:t>Exhibit No. CAT-14CT</w:t>
    </w:r>
  </w:p>
  <w:p w:rsidR="00AA2DEF" w:rsidRDefault="00AA2DEF" w:rsidP="00D414C3">
    <w:pPr>
      <w:pStyle w:val="Footer"/>
      <w:jc w:val="right"/>
    </w:pPr>
    <w:r>
      <w:t xml:space="preserve">Page </w:t>
    </w:r>
    <w:r>
      <w:fldChar w:fldCharType="begin"/>
    </w:r>
    <w:r>
      <w:instrText xml:space="preserve"> PAGE   \* MERGEFORMAT </w:instrText>
    </w:r>
    <w:r>
      <w:fldChar w:fldCharType="separate"/>
    </w:r>
    <w:r w:rsidR="00687C7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EAA" w:rsidRDefault="00693EAA">
      <w:r>
        <w:separator/>
      </w:r>
    </w:p>
  </w:footnote>
  <w:footnote w:type="continuationSeparator" w:id="0">
    <w:p w:rsidR="00693EAA" w:rsidRDefault="00693EAA">
      <w:r>
        <w:continuationSeparator/>
      </w:r>
    </w:p>
  </w:footnote>
  <w:footnote w:id="1">
    <w:p w:rsidR="00E734FE" w:rsidRDefault="00E734FE">
      <w:pPr>
        <w:pStyle w:val="FootnoteText"/>
      </w:pPr>
      <w:r>
        <w:rPr>
          <w:rStyle w:val="FootnoteReference"/>
        </w:rPr>
        <w:footnoteRef/>
      </w:r>
      <w:r>
        <w:t xml:space="preserve"> Twitchell, JBT-1</w:t>
      </w:r>
      <w:r w:rsidR="006D4311">
        <w:t>C</w:t>
      </w:r>
      <w:r>
        <w:t xml:space="preserve">T 5: 20-22. </w:t>
      </w:r>
    </w:p>
  </w:footnote>
  <w:footnote w:id="2">
    <w:p w:rsidR="00E734FE" w:rsidRPr="006D4311" w:rsidRDefault="00E734FE">
      <w:pPr>
        <w:pStyle w:val="FootnoteText"/>
      </w:pPr>
      <w:r w:rsidRPr="006D4311">
        <w:rPr>
          <w:rStyle w:val="FootnoteReference"/>
        </w:rPr>
        <w:footnoteRef/>
      </w:r>
      <w:r w:rsidRPr="006D4311">
        <w:t xml:space="preserve"> </w:t>
      </w:r>
      <w:proofErr w:type="spellStart"/>
      <w:proofErr w:type="gramStart"/>
      <w:r w:rsidRPr="006D4311">
        <w:t>Exh</w:t>
      </w:r>
      <w:proofErr w:type="spellEnd"/>
      <w:r w:rsidRPr="006D4311">
        <w:t>.</w:t>
      </w:r>
      <w:proofErr w:type="gramEnd"/>
      <w:r w:rsidRPr="006D4311">
        <w:t xml:space="preserve"> No. </w:t>
      </w:r>
      <w:proofErr w:type="gramStart"/>
      <w:r w:rsidRPr="006D4311">
        <w:t>CAT-</w:t>
      </w:r>
      <w:r w:rsidR="006D4311" w:rsidRPr="006D4311">
        <w:t>15.</w:t>
      </w:r>
      <w:proofErr w:type="gramEnd"/>
    </w:p>
  </w:footnote>
  <w:footnote w:id="3">
    <w:p w:rsidR="00E734FE" w:rsidRPr="006D4311" w:rsidRDefault="00E734FE">
      <w:pPr>
        <w:pStyle w:val="FootnoteText"/>
      </w:pPr>
      <w:r w:rsidRPr="006D4311">
        <w:rPr>
          <w:rStyle w:val="FootnoteReference"/>
        </w:rPr>
        <w:footnoteRef/>
      </w:r>
      <w:r w:rsidRPr="006D4311">
        <w:t xml:space="preserve"> </w:t>
      </w:r>
      <w:proofErr w:type="spellStart"/>
      <w:proofErr w:type="gramStart"/>
      <w:r w:rsidRPr="006D4311">
        <w:t>Exh</w:t>
      </w:r>
      <w:proofErr w:type="spellEnd"/>
      <w:r w:rsidRPr="006D4311">
        <w:t>.</w:t>
      </w:r>
      <w:proofErr w:type="gramEnd"/>
      <w:r w:rsidRPr="006D4311">
        <w:t xml:space="preserve"> No. </w:t>
      </w:r>
      <w:proofErr w:type="gramStart"/>
      <w:r w:rsidRPr="006D4311">
        <w:t>CAT-</w:t>
      </w:r>
      <w:r w:rsidR="006D4311" w:rsidRPr="006D4311">
        <w:t>16.</w:t>
      </w:r>
      <w:proofErr w:type="gramEnd"/>
      <w:r w:rsidRPr="006D4311">
        <w:t xml:space="preserve"> </w:t>
      </w:r>
    </w:p>
  </w:footnote>
  <w:footnote w:id="4">
    <w:p w:rsidR="00E734FE" w:rsidRPr="00D414C3" w:rsidRDefault="00E734FE">
      <w:pPr>
        <w:pStyle w:val="FootnoteText"/>
        <w:rPr>
          <w:highlight w:val="yellow"/>
        </w:rPr>
      </w:pPr>
      <w:r w:rsidRPr="006D4311">
        <w:rPr>
          <w:rStyle w:val="FootnoteReference"/>
        </w:rPr>
        <w:footnoteRef/>
      </w:r>
      <w:r w:rsidRPr="006D4311">
        <w:t xml:space="preserve"> </w:t>
      </w:r>
      <w:proofErr w:type="spellStart"/>
      <w:proofErr w:type="gramStart"/>
      <w:r w:rsidRPr="006D4311">
        <w:t>Exh</w:t>
      </w:r>
      <w:proofErr w:type="spellEnd"/>
      <w:r w:rsidRPr="006D4311">
        <w:t>.</w:t>
      </w:r>
      <w:proofErr w:type="gramEnd"/>
      <w:r w:rsidRPr="006D4311">
        <w:t xml:space="preserve"> No. </w:t>
      </w:r>
      <w:proofErr w:type="gramStart"/>
      <w:r w:rsidRPr="006D4311">
        <w:t>CAT-</w:t>
      </w:r>
      <w:r w:rsidR="006D4311" w:rsidRPr="006D4311">
        <w:t>17.</w:t>
      </w:r>
      <w:proofErr w:type="gramEnd"/>
    </w:p>
  </w:footnote>
  <w:footnote w:id="5">
    <w:p w:rsidR="00E734FE" w:rsidRPr="006D4311" w:rsidRDefault="00E734FE">
      <w:pPr>
        <w:pStyle w:val="FootnoteText"/>
      </w:pPr>
      <w:r w:rsidRPr="006D4311">
        <w:rPr>
          <w:rStyle w:val="FootnoteReference"/>
        </w:rPr>
        <w:footnoteRef/>
      </w:r>
      <w:r w:rsidR="006D4311" w:rsidRPr="006D4311">
        <w:t xml:space="preserve"> </w:t>
      </w:r>
      <w:proofErr w:type="spellStart"/>
      <w:proofErr w:type="gramStart"/>
      <w:r w:rsidR="006D4311" w:rsidRPr="006D4311">
        <w:t>Exh</w:t>
      </w:r>
      <w:proofErr w:type="spellEnd"/>
      <w:r w:rsidR="006D4311" w:rsidRPr="006D4311">
        <w:t>.</w:t>
      </w:r>
      <w:proofErr w:type="gramEnd"/>
      <w:r w:rsidR="006D4311" w:rsidRPr="006D4311">
        <w:t xml:space="preserve"> No. </w:t>
      </w:r>
      <w:proofErr w:type="gramStart"/>
      <w:r w:rsidR="006D4311" w:rsidRPr="006D4311">
        <w:t>CAT-19.</w:t>
      </w:r>
      <w:proofErr w:type="gramEnd"/>
    </w:p>
  </w:footnote>
  <w:footnote w:id="6">
    <w:p w:rsidR="00E734FE" w:rsidRDefault="00E734FE">
      <w:pPr>
        <w:pStyle w:val="FootnoteText"/>
      </w:pPr>
      <w:r w:rsidRPr="006D4311">
        <w:rPr>
          <w:rStyle w:val="FootnoteReference"/>
        </w:rPr>
        <w:footnoteRef/>
      </w:r>
      <w:r w:rsidRPr="006D4311">
        <w:t xml:space="preserve"> </w:t>
      </w:r>
      <w:r w:rsidR="006D4311" w:rsidRPr="006D4311">
        <w:rPr>
          <w:i/>
        </w:rPr>
        <w:t>Id</w:t>
      </w:r>
      <w:r w:rsidR="006D4311" w:rsidRPr="006D4311">
        <w:t>.</w:t>
      </w:r>
    </w:p>
  </w:footnote>
  <w:footnote w:id="7">
    <w:p w:rsidR="00E734FE" w:rsidRDefault="00E734FE" w:rsidP="009D7322">
      <w:pPr>
        <w:pStyle w:val="FootnoteText"/>
      </w:pPr>
      <w:r>
        <w:rPr>
          <w:rStyle w:val="FootnoteReference"/>
        </w:rPr>
        <w:footnoteRef/>
      </w:r>
      <w:r>
        <w:t xml:space="preserve"> </w:t>
      </w:r>
      <w:proofErr w:type="spellStart"/>
      <w:r>
        <w:t>Twitchell</w:t>
      </w:r>
      <w:proofErr w:type="spellEnd"/>
      <w:r>
        <w:t xml:space="preserve">, </w:t>
      </w:r>
      <w:proofErr w:type="spellStart"/>
      <w:r>
        <w:t>Exh</w:t>
      </w:r>
      <w:proofErr w:type="spellEnd"/>
      <w:r>
        <w:t>. JBT-1</w:t>
      </w:r>
      <w:r w:rsidR="006D4311">
        <w:t>C</w:t>
      </w:r>
      <w:r>
        <w:t>T, 14:8-14.</w:t>
      </w:r>
    </w:p>
  </w:footnote>
  <w:footnote w:id="8">
    <w:p w:rsidR="00E734FE" w:rsidRDefault="00E734FE" w:rsidP="009D7322">
      <w:pPr>
        <w:pStyle w:val="FootnoteText"/>
      </w:pPr>
      <w:r>
        <w:rPr>
          <w:rStyle w:val="FootnoteReference"/>
        </w:rPr>
        <w:footnoteRef/>
      </w:r>
      <w:r>
        <w:t xml:space="preserve"> </w:t>
      </w:r>
      <w:r w:rsidR="006D4311" w:rsidRPr="006D4311">
        <w:rPr>
          <w:i/>
        </w:rPr>
        <w:t>Id</w:t>
      </w:r>
      <w:r>
        <w:t>, 12:7.</w:t>
      </w:r>
    </w:p>
  </w:footnote>
  <w:footnote w:id="9">
    <w:p w:rsidR="00E734FE" w:rsidRPr="00854224" w:rsidRDefault="00E734FE" w:rsidP="009D7322">
      <w:pPr>
        <w:pStyle w:val="FootnoteText"/>
        <w:rPr>
          <w:rFonts w:ascii="Arial" w:hAnsi="Arial" w:cs="Arial"/>
          <w:i/>
        </w:rPr>
      </w:pPr>
      <w:r w:rsidRPr="006D4311">
        <w:rPr>
          <w:rStyle w:val="FootnoteReference"/>
        </w:rPr>
        <w:footnoteRef/>
      </w:r>
      <w:r w:rsidRPr="006D4311">
        <w:t xml:space="preserve"> </w:t>
      </w:r>
      <w:proofErr w:type="gramStart"/>
      <w:r w:rsidRPr="00376ABC">
        <w:rPr>
          <w:i/>
        </w:rPr>
        <w:t xml:space="preserve">Wash. </w:t>
      </w:r>
      <w:proofErr w:type="spellStart"/>
      <w:r w:rsidRPr="00376ABC">
        <w:rPr>
          <w:i/>
        </w:rPr>
        <w:t>Utils</w:t>
      </w:r>
      <w:proofErr w:type="spellEnd"/>
      <w:r w:rsidRPr="00376ABC">
        <w:rPr>
          <w:i/>
        </w:rPr>
        <w:t>.</w:t>
      </w:r>
      <w:proofErr w:type="gramEnd"/>
      <w:r w:rsidRPr="00376ABC">
        <w:rPr>
          <w:i/>
        </w:rPr>
        <w:t xml:space="preserve"> &amp; Transp. </w:t>
      </w:r>
      <w:proofErr w:type="spellStart"/>
      <w:r w:rsidRPr="00376ABC">
        <w:rPr>
          <w:i/>
        </w:rPr>
        <w:t>Comm’n</w:t>
      </w:r>
      <w:proofErr w:type="spellEnd"/>
      <w:r w:rsidRPr="00376ABC">
        <w:rPr>
          <w:i/>
        </w:rPr>
        <w:t xml:space="preserve"> v. PacifiCorp d/b/a Pacific Power &amp; Light Co.</w:t>
      </w:r>
      <w:r w:rsidRPr="00376ABC">
        <w:t>, Docket UE-130043, Order 05, ¶ 261 (Dec. 4, 2013) ( “[a]</w:t>
      </w:r>
      <w:proofErr w:type="spellStart"/>
      <w:r w:rsidRPr="00376ABC">
        <w:t>lthough</w:t>
      </w:r>
      <w:proofErr w:type="spellEnd"/>
      <w:r w:rsidRPr="00376ABC">
        <w:t xml:space="preserve"> the Board of Directors was not the final decision maker in any of these matters, the decisions were appropriately made by a senior executive, consistent with Company policy.)</w:t>
      </w:r>
    </w:p>
  </w:footnote>
  <w:footnote w:id="10">
    <w:p w:rsidR="00E734FE" w:rsidRDefault="00E734FE">
      <w:pPr>
        <w:pStyle w:val="FootnoteText"/>
      </w:pPr>
      <w:r>
        <w:rPr>
          <w:rStyle w:val="FootnoteReference"/>
        </w:rPr>
        <w:footnoteRef/>
      </w:r>
      <w:r>
        <w:t xml:space="preserve"> </w:t>
      </w:r>
      <w:proofErr w:type="spellStart"/>
      <w:r>
        <w:t>Twitchell</w:t>
      </w:r>
      <w:proofErr w:type="spellEnd"/>
      <w:r>
        <w:t xml:space="preserve">, </w:t>
      </w:r>
      <w:proofErr w:type="spellStart"/>
      <w:r>
        <w:t>Exh</w:t>
      </w:r>
      <w:proofErr w:type="spellEnd"/>
      <w:r>
        <w:t>. No. JBT-10C.</w:t>
      </w:r>
    </w:p>
  </w:footnote>
  <w:footnote w:id="11">
    <w:p w:rsidR="00E734FE" w:rsidRDefault="00E734FE">
      <w:pPr>
        <w:pStyle w:val="FootnoteText"/>
      </w:pPr>
      <w:r>
        <w:rPr>
          <w:rStyle w:val="FootnoteReference"/>
        </w:rPr>
        <w:footnoteRef/>
      </w:r>
      <w:r>
        <w:t xml:space="preserve"> Although this document was originally labeled as privileged, the Company is providing a confidential version of the document.</w:t>
      </w:r>
    </w:p>
  </w:footnote>
  <w:footnote w:id="12">
    <w:p w:rsidR="00E734FE" w:rsidRDefault="00E734FE" w:rsidP="008764F5">
      <w:pPr>
        <w:pStyle w:val="FootnoteText"/>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w:t>
      </w:r>
      <w:proofErr w:type="gramStart"/>
      <w:r>
        <w:t>JBT-10C</w:t>
      </w:r>
      <w:r w:rsidRPr="00AB2682">
        <w:t>, 4.</w:t>
      </w:r>
      <w:proofErr w:type="gramEnd"/>
    </w:p>
  </w:footnote>
  <w:footnote w:id="13">
    <w:p w:rsidR="00E734FE" w:rsidRDefault="00E734FE" w:rsidP="008764F5">
      <w:pPr>
        <w:pStyle w:val="FootnoteText"/>
      </w:pPr>
      <w:r>
        <w:rPr>
          <w:rStyle w:val="FootnoteReference"/>
        </w:rPr>
        <w:footnoteRef/>
      </w:r>
      <w:r>
        <w:t xml:space="preserve"> </w:t>
      </w:r>
      <w:proofErr w:type="spellStart"/>
      <w:r>
        <w:t>Twitchell</w:t>
      </w:r>
      <w:proofErr w:type="spellEnd"/>
      <w:r>
        <w:t xml:space="preserve"> </w:t>
      </w:r>
      <w:proofErr w:type="spellStart"/>
      <w:r>
        <w:t>Exh</w:t>
      </w:r>
      <w:proofErr w:type="spellEnd"/>
      <w:r>
        <w:t>. No. JBT-10C</w:t>
      </w:r>
      <w:r w:rsidRPr="00AB2682">
        <w:t>, 21-23.</w:t>
      </w:r>
    </w:p>
  </w:footnote>
  <w:footnote w:id="14">
    <w:p w:rsidR="00726547" w:rsidRDefault="00726547" w:rsidP="00726547">
      <w:pPr>
        <w:pStyle w:val="FootnoteText"/>
      </w:pPr>
      <w:r>
        <w:rPr>
          <w:rStyle w:val="FootnoteReference"/>
        </w:rPr>
        <w:footnoteRef/>
      </w:r>
      <w:r>
        <w:t xml:space="preserve"> </w:t>
      </w:r>
      <w:proofErr w:type="gramStart"/>
      <w:r w:rsidR="00EE73B0" w:rsidRPr="00EE73B0">
        <w:rPr>
          <w:i/>
        </w:rPr>
        <w:t>Id</w:t>
      </w:r>
      <w:r w:rsidR="00EE73B0">
        <w:t xml:space="preserve">., </w:t>
      </w:r>
      <w:r w:rsidR="00AB2682" w:rsidRPr="00D414C3">
        <w:t>19</w:t>
      </w:r>
      <w:r w:rsidRPr="00D414C3">
        <w:t>.</w:t>
      </w:r>
      <w:proofErr w:type="gramEnd"/>
    </w:p>
  </w:footnote>
  <w:footnote w:id="15">
    <w:p w:rsidR="00E734FE" w:rsidRDefault="00E734FE">
      <w:pPr>
        <w:pStyle w:val="FootnoteText"/>
      </w:pPr>
      <w:r>
        <w:rPr>
          <w:rStyle w:val="FootnoteReference"/>
        </w:rPr>
        <w:footnoteRef/>
      </w:r>
      <w:r>
        <w:t xml:space="preserve"> </w:t>
      </w:r>
      <w:proofErr w:type="gramStart"/>
      <w:r w:rsidR="00EE73B0">
        <w:t xml:space="preserve">Link, </w:t>
      </w:r>
      <w:proofErr w:type="spellStart"/>
      <w:r w:rsidR="00EE73B0">
        <w:t>Exh</w:t>
      </w:r>
      <w:proofErr w:type="spellEnd"/>
      <w:r w:rsidR="00EE73B0">
        <w:t>.</w:t>
      </w:r>
      <w:proofErr w:type="gramEnd"/>
      <w:r w:rsidR="00EE73B0">
        <w:t xml:space="preserve"> No. RTL-1CT, 20:9-21:9, </w:t>
      </w:r>
      <w:proofErr w:type="spellStart"/>
      <w:r w:rsidR="00EE73B0">
        <w:t>Exh</w:t>
      </w:r>
      <w:proofErr w:type="spellEnd"/>
      <w:r w:rsidR="00EE73B0">
        <w:t xml:space="preserve">. No. RTL-11CT, 10:19-11:7, 18:3-22:6. </w:t>
      </w:r>
      <w:r w:rsidR="00AB2682">
        <w:t xml:space="preserve"> </w:t>
      </w:r>
    </w:p>
  </w:footnote>
  <w:footnote w:id="16">
    <w:p w:rsidR="00E734FE" w:rsidRDefault="00E734FE">
      <w:pPr>
        <w:pStyle w:val="FootnoteText"/>
      </w:pPr>
      <w:r>
        <w:rPr>
          <w:rStyle w:val="FootnoteReference"/>
        </w:rPr>
        <w:footnoteRef/>
      </w:r>
      <w:r>
        <w:t xml:space="preserve"> </w:t>
      </w:r>
      <w:r>
        <w:rPr>
          <w:i/>
        </w:rPr>
        <w:t>In the Matter of the Voluntary Request of Rocky Mountain Power for Approval of Resource Decision to Construct Selective Catalytic Reduction Systems on Jim Bridger Units 3 and 4,</w:t>
      </w:r>
      <w:r>
        <w:t xml:space="preserve"> Utah PSC Docket No. 12-035-092, Redacted Report and Order at 34 (May 10, 2013).  </w:t>
      </w:r>
    </w:p>
  </w:footnote>
  <w:footnote w:id="17">
    <w:p w:rsidR="00E734FE" w:rsidRDefault="00E734FE">
      <w:pPr>
        <w:pStyle w:val="FootnoteText"/>
      </w:pPr>
      <w:r>
        <w:rPr>
          <w:rStyle w:val="FootnoteReference"/>
        </w:rPr>
        <w:footnoteRef/>
      </w:r>
      <w:r>
        <w:t xml:space="preserve"> </w:t>
      </w:r>
      <w:r>
        <w:rPr>
          <w:i/>
        </w:rPr>
        <w:t>In the Matter of the Application of Rocky Mountain Power for Approval of a Certificate of Public Convenience and Necessity to Construct Selective Catalytic Reduction Systems on Jim Bridger Units 3 and 4 Located Near Point of Rocks, Wyoming</w:t>
      </w:r>
      <w:r>
        <w:t xml:space="preserve">, Wyoming PSC Docket No. 20000-418-EA-12 (Record No. 13314), Memorandum Opinion, Findings and Order Granting Application for a Certificate of Public Convenience and Necessity at 7 (May 29, 2013). </w:t>
      </w:r>
    </w:p>
  </w:footnote>
  <w:footnote w:id="18">
    <w:p w:rsidR="00E734FE" w:rsidRDefault="00E734FE">
      <w:pPr>
        <w:pStyle w:val="FootnoteText"/>
      </w:pPr>
      <w:r>
        <w:rPr>
          <w:rStyle w:val="FootnoteReference"/>
        </w:rPr>
        <w:footnoteRef/>
      </w:r>
      <w:r>
        <w:t xml:space="preserve"> </w:t>
      </w:r>
      <w:r w:rsidR="00EE73B0">
        <w:t xml:space="preserve">Fisher, </w:t>
      </w:r>
      <w:proofErr w:type="spellStart"/>
      <w:r w:rsidR="00EE73B0">
        <w:t>Exh</w:t>
      </w:r>
      <w:proofErr w:type="spellEnd"/>
      <w:r w:rsidR="00EE73B0">
        <w:t xml:space="preserve">. No. </w:t>
      </w:r>
      <w:proofErr w:type="gramStart"/>
      <w:r w:rsidR="00EE73B0">
        <w:t>JIF-1CT, 28fn. 66.</w:t>
      </w:r>
      <w:proofErr w:type="gramEnd"/>
    </w:p>
  </w:footnote>
  <w:footnote w:id="19">
    <w:p w:rsidR="00E734FE" w:rsidRDefault="00E734FE">
      <w:pPr>
        <w:pStyle w:val="FootnoteText"/>
      </w:pPr>
      <w:r>
        <w:rPr>
          <w:rStyle w:val="FootnoteReference"/>
        </w:rPr>
        <w:footnoteRef/>
      </w:r>
      <w:r w:rsidR="005505C6">
        <w:t xml:space="preserve"> </w:t>
      </w:r>
      <w:r w:rsidR="005505C6" w:rsidRPr="005505C6">
        <w:rPr>
          <w:i/>
        </w:rPr>
        <w:t>See</w:t>
      </w:r>
      <w:r w:rsidR="00EE73B0">
        <w:t xml:space="preserve"> Exhibit No. </w:t>
      </w:r>
      <w:proofErr w:type="gramStart"/>
      <w:r w:rsidR="00EE73B0">
        <w:t>CAT-24</w:t>
      </w:r>
      <w:r w:rsidR="005505C6">
        <w:t>.</w:t>
      </w:r>
      <w:proofErr w:type="gramEnd"/>
    </w:p>
  </w:footnote>
  <w:footnote w:id="20">
    <w:p w:rsidR="007B5291" w:rsidRPr="007B5291" w:rsidRDefault="007B5291">
      <w:pPr>
        <w:pStyle w:val="FootnoteText"/>
      </w:pPr>
      <w:r>
        <w:rPr>
          <w:rStyle w:val="FootnoteReference"/>
        </w:rPr>
        <w:footnoteRef/>
      </w:r>
      <w:r>
        <w:t xml:space="preserve"> </w:t>
      </w:r>
      <w:r w:rsidRPr="007B5291">
        <w:rPr>
          <w:i/>
        </w:rPr>
        <w:t>In the Matter of the Voluntary Request of Rocky Mountain Power for Approval of Resource Decision to Construct Selective Catalytic Reduction Systems on Jim Bridger Units 3 and 4</w:t>
      </w:r>
      <w:r>
        <w:t xml:space="preserve">, Docket No. 12-035-92, Report and Order (May 10, 2013); </w:t>
      </w:r>
      <w:r w:rsidRPr="007B5291">
        <w:rPr>
          <w:i/>
        </w:rPr>
        <w:t>In the Matter of the Application of Rocky Mountain Power for Approval of a Certificate of Public Convenience and Necessity to Construct Selective Catalytic Reduction Systems on Jim Bridger Units 3 and 4 located near Poin</w:t>
      </w:r>
      <w:r>
        <w:rPr>
          <w:i/>
        </w:rPr>
        <w:t>t of Rocks, Wyoming</w:t>
      </w:r>
      <w:r w:rsidRPr="007B5291">
        <w:t>,</w:t>
      </w:r>
      <w:r>
        <w:rPr>
          <w:i/>
        </w:rPr>
        <w:t xml:space="preserve"> </w:t>
      </w:r>
      <w:r>
        <w:t>Docket No. 20000-418-EA-12, Record No. 13314, (August 9, 2013).</w:t>
      </w:r>
    </w:p>
  </w:footnote>
  <w:footnote w:id="21">
    <w:p w:rsidR="00E734FE" w:rsidRDefault="00E734FE">
      <w:pPr>
        <w:pStyle w:val="FootnoteText"/>
      </w:pPr>
      <w:r>
        <w:rPr>
          <w:rStyle w:val="FootnoteReference"/>
        </w:rPr>
        <w:footnoteRef/>
      </w:r>
      <w:r>
        <w:t xml:space="preserve"> See comments at:  </w:t>
      </w:r>
      <w:hyperlink r:id="rId1" w:anchor="!documentDetail;D=EPA-R08-OAR-2012-0026-0056" w:history="1">
        <w:r>
          <w:rPr>
            <w:rStyle w:val="Hyperlink"/>
          </w:rPr>
          <w:t>http://www.regulations.gov/#!documentDetail;D=EPA-R08-OAR-2012-0026-0056</w:t>
        </w:r>
      </w:hyperlink>
      <w:r>
        <w:t xml:space="preserve"> at pages 23 – 24.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7A" w:rsidRDefault="00687C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7A" w:rsidRDefault="00687C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7A" w:rsidRDefault="00687C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EF" w:rsidRDefault="00AA2D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A6D"/>
    <w:multiLevelType w:val="hybridMultilevel"/>
    <w:tmpl w:val="75300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A57EC0"/>
    <w:multiLevelType w:val="hybridMultilevel"/>
    <w:tmpl w:val="E5CE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C0F99"/>
    <w:multiLevelType w:val="hybridMultilevel"/>
    <w:tmpl w:val="2C9820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1657370"/>
    <w:multiLevelType w:val="hybridMultilevel"/>
    <w:tmpl w:val="B92ECDF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2672440"/>
    <w:multiLevelType w:val="hybridMultilevel"/>
    <w:tmpl w:val="CE2C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E84"/>
    <w:multiLevelType w:val="hybridMultilevel"/>
    <w:tmpl w:val="DA906F8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D9E6918"/>
    <w:multiLevelType w:val="hybridMultilevel"/>
    <w:tmpl w:val="F8AA4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B40E09"/>
    <w:multiLevelType w:val="hybridMultilevel"/>
    <w:tmpl w:val="24D09E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3D02D52"/>
    <w:multiLevelType w:val="hybridMultilevel"/>
    <w:tmpl w:val="FE7C8E8A"/>
    <w:lvl w:ilvl="0" w:tplc="B7B297BC">
      <w:start w:val="1"/>
      <w:numFmt w:val="decimal"/>
      <w:lvlText w:val="%1)"/>
      <w:lvlJc w:val="left"/>
      <w:pPr>
        <w:ind w:left="2160" w:hanging="360"/>
      </w:pPr>
      <w:rPr>
        <w:rFonts w:ascii="Times New Roman" w:eastAsia="SimSu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A175D71"/>
    <w:multiLevelType w:val="hybridMultilevel"/>
    <w:tmpl w:val="646278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65990"/>
    <w:multiLevelType w:val="hybridMultilevel"/>
    <w:tmpl w:val="86782B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70591"/>
    <w:multiLevelType w:val="hybridMultilevel"/>
    <w:tmpl w:val="7DF6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7655B9"/>
    <w:multiLevelType w:val="hybridMultilevel"/>
    <w:tmpl w:val="AE601CD2"/>
    <w:lvl w:ilvl="0" w:tplc="1C2C42A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8683505"/>
    <w:multiLevelType w:val="hybridMultilevel"/>
    <w:tmpl w:val="5D560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81002"/>
    <w:multiLevelType w:val="hybridMultilevel"/>
    <w:tmpl w:val="C5002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52881"/>
    <w:multiLevelType w:val="hybridMultilevel"/>
    <w:tmpl w:val="429C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0A1C48"/>
    <w:multiLevelType w:val="hybridMultilevel"/>
    <w:tmpl w:val="6714F2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43071385"/>
    <w:multiLevelType w:val="hybridMultilevel"/>
    <w:tmpl w:val="C8A28FAC"/>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F00C4"/>
    <w:multiLevelType w:val="hybridMultilevel"/>
    <w:tmpl w:val="36EC69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B733639"/>
    <w:multiLevelType w:val="hybridMultilevel"/>
    <w:tmpl w:val="E46C85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2574E6"/>
    <w:multiLevelType w:val="multilevel"/>
    <w:tmpl w:val="55422D6C"/>
    <w:name w:val="zzmpPBLPara2||PBL Para 2|2|3|1|1|2|32||1|0|0||1|0|0||1|0|0||1|0|0||1|0|0||1|0|0||1|0|0||mpNA||"/>
    <w:lvl w:ilvl="0">
      <w:start w:val="1"/>
      <w:numFmt w:val="decimal"/>
      <w:lvlRestart w:val="0"/>
      <w:pStyle w:val="PBLPara2L1"/>
      <w:lvlText w:val="UIEC REQUEST 1-%1:"/>
      <w:lvlJc w:val="left"/>
      <w:pPr>
        <w:tabs>
          <w:tab w:val="num" w:pos="4130"/>
        </w:tabs>
        <w:ind w:left="0" w:firstLine="14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pStyle w:val="PBLPara2L2"/>
      <w:lvlText w:val="(%2)"/>
      <w:lvlJc w:val="left"/>
      <w:pPr>
        <w:tabs>
          <w:tab w:val="num" w:pos="2250"/>
        </w:tabs>
        <w:ind w:left="90" w:firstLine="1440"/>
      </w:pPr>
      <w:rPr>
        <w:rFonts w:ascii="Times New Roman" w:hAnsi="Times New Roman" w:cs="Times New Roman"/>
        <w:b w:val="0"/>
        <w:i w:val="0"/>
        <w:caps w:val="0"/>
        <w:color w:val="auto"/>
        <w:u w:val="none"/>
      </w:rPr>
    </w:lvl>
    <w:lvl w:ilvl="2">
      <w:start w:val="1"/>
      <w:numFmt w:val="lowerRoman"/>
      <w:pStyle w:val="PBLPara2L3"/>
      <w:lvlText w:val="(%3)"/>
      <w:lvlJc w:val="left"/>
      <w:pPr>
        <w:tabs>
          <w:tab w:val="num" w:pos="2880"/>
        </w:tabs>
        <w:ind w:left="0" w:firstLine="2160"/>
      </w:pPr>
      <w:rPr>
        <w:rFonts w:ascii="Times New Roman" w:hAnsi="Times New Roman" w:cs="Times New Roman"/>
        <w:b w:val="0"/>
        <w:i w:val="0"/>
        <w:caps w:val="0"/>
        <w:color w:val="auto"/>
        <w:u w:val="none"/>
      </w:rPr>
    </w:lvl>
    <w:lvl w:ilvl="3">
      <w:start w:val="1"/>
      <w:numFmt w:val="upperLetter"/>
      <w:pStyle w:val="PBLPara2L4"/>
      <w:lvlText w:val="(%4)"/>
      <w:lvlJc w:val="left"/>
      <w:pPr>
        <w:tabs>
          <w:tab w:val="num" w:pos="3600"/>
        </w:tabs>
        <w:ind w:left="0" w:firstLine="2880"/>
      </w:pPr>
      <w:rPr>
        <w:rFonts w:ascii="Times New Roman" w:hAnsi="Times New Roman" w:cs="Times New Roman"/>
        <w:b w:val="0"/>
        <w:i w:val="0"/>
        <w:caps w:val="0"/>
        <w:color w:val="auto"/>
        <w:u w:val="none"/>
      </w:rPr>
    </w:lvl>
    <w:lvl w:ilvl="4">
      <w:start w:val="1"/>
      <w:numFmt w:val="decimal"/>
      <w:pStyle w:val="PBLPara2L5"/>
      <w:lvlText w:val="(%5)"/>
      <w:lvlJc w:val="left"/>
      <w:pPr>
        <w:tabs>
          <w:tab w:val="num" w:pos="4320"/>
        </w:tabs>
        <w:ind w:left="0" w:firstLine="3600"/>
      </w:pPr>
      <w:rPr>
        <w:rFonts w:ascii="Times New Roman" w:hAnsi="Times New Roman" w:cs="Times New Roman"/>
        <w:b w:val="0"/>
        <w:i w:val="0"/>
        <w:caps w:val="0"/>
        <w:color w:val="auto"/>
        <w:u w:val="none"/>
      </w:rPr>
    </w:lvl>
    <w:lvl w:ilvl="5">
      <w:start w:val="1"/>
      <w:numFmt w:val="lowerLetter"/>
      <w:pStyle w:val="PBLPara2L6"/>
      <w:lvlText w:val="%6."/>
      <w:lvlJc w:val="left"/>
      <w:pPr>
        <w:tabs>
          <w:tab w:val="num" w:pos="5040"/>
        </w:tabs>
        <w:ind w:left="0" w:firstLine="4320"/>
      </w:pPr>
      <w:rPr>
        <w:rFonts w:ascii="Times New Roman" w:hAnsi="Times New Roman" w:cs="Times New Roman"/>
        <w:b w:val="0"/>
        <w:i w:val="0"/>
        <w:caps w:val="0"/>
        <w:color w:val="auto"/>
        <w:u w:val="none"/>
      </w:rPr>
    </w:lvl>
    <w:lvl w:ilvl="6">
      <w:start w:val="1"/>
      <w:numFmt w:val="lowerRoman"/>
      <w:pStyle w:val="PBLPara2L7"/>
      <w:lvlText w:val="%7."/>
      <w:lvlJc w:val="left"/>
      <w:pPr>
        <w:tabs>
          <w:tab w:val="num" w:pos="5760"/>
        </w:tabs>
        <w:ind w:left="0" w:firstLine="5040"/>
      </w:pPr>
      <w:rPr>
        <w:rFonts w:ascii="Times New Roman" w:hAnsi="Times New Roman" w:cs="Times New Roman"/>
        <w:b w:val="0"/>
        <w:i w:val="0"/>
        <w:caps w:val="0"/>
        <w:color w:val="auto"/>
        <w:u w:val="none"/>
      </w:rPr>
    </w:lvl>
    <w:lvl w:ilvl="7">
      <w:start w:val="1"/>
      <w:numFmt w:val="upperLetter"/>
      <w:pStyle w:val="PBLPara2L8"/>
      <w:lvlText w:val="%8."/>
      <w:lvlJc w:val="left"/>
      <w:pPr>
        <w:tabs>
          <w:tab w:val="num" w:pos="6480"/>
        </w:tabs>
        <w:ind w:left="0" w:firstLine="5760"/>
      </w:pPr>
      <w:rPr>
        <w:rFonts w:ascii="Times New Roman" w:hAnsi="Times New Roman" w:cs="Times New Roman"/>
        <w:b w:val="0"/>
        <w:i w:val="0"/>
        <w:caps w:val="0"/>
        <w:color w:val="auto"/>
        <w:u w:val="none"/>
      </w:rPr>
    </w:lvl>
    <w:lvl w:ilvl="8">
      <w:start w:val="1"/>
      <w:numFmt w:val="lowerRoman"/>
      <w:lvlText w:val="%9)"/>
      <w:lvlJc w:val="left"/>
      <w:pPr>
        <w:tabs>
          <w:tab w:val="num" w:pos="7200"/>
        </w:tabs>
        <w:ind w:left="0" w:firstLine="6480"/>
      </w:pPr>
      <w:rPr>
        <w:rFonts w:ascii="Times New Roman" w:hAnsi="Times New Roman" w:cs="Times New Roman"/>
        <w:b w:val="0"/>
        <w:i w:val="0"/>
        <w:caps w:val="0"/>
        <w:color w:val="auto"/>
        <w:u w:val="none"/>
      </w:rPr>
    </w:lvl>
  </w:abstractNum>
  <w:abstractNum w:abstractNumId="21">
    <w:nsid w:val="529F57FD"/>
    <w:multiLevelType w:val="hybridMultilevel"/>
    <w:tmpl w:val="222440D0"/>
    <w:lvl w:ilvl="0" w:tplc="04090019">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4952B50"/>
    <w:multiLevelType w:val="hybridMultilevel"/>
    <w:tmpl w:val="79F2D9B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DC8064A"/>
    <w:multiLevelType w:val="hybridMultilevel"/>
    <w:tmpl w:val="E61A025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71638F"/>
    <w:multiLevelType w:val="hybridMultilevel"/>
    <w:tmpl w:val="F6526F18"/>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nsid w:val="5FBD0FDE"/>
    <w:multiLevelType w:val="hybridMultilevel"/>
    <w:tmpl w:val="C5002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DF2EE3"/>
    <w:multiLevelType w:val="hybridMultilevel"/>
    <w:tmpl w:val="D336440E"/>
    <w:lvl w:ilvl="0" w:tplc="B8483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6502A"/>
    <w:multiLevelType w:val="hybridMultilevel"/>
    <w:tmpl w:val="7682D676"/>
    <w:lvl w:ilvl="0" w:tplc="9F8C5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895F23"/>
    <w:multiLevelType w:val="hybridMultilevel"/>
    <w:tmpl w:val="5D560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F33848"/>
    <w:multiLevelType w:val="hybridMultilevel"/>
    <w:tmpl w:val="CA3CDC9A"/>
    <w:lvl w:ilvl="0" w:tplc="B8483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DB2AE2"/>
    <w:multiLevelType w:val="hybridMultilevel"/>
    <w:tmpl w:val="C6D6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BE06EE"/>
    <w:multiLevelType w:val="hybridMultilevel"/>
    <w:tmpl w:val="26807258"/>
    <w:lvl w:ilvl="0" w:tplc="2D6E30CC">
      <w:start w:val="1"/>
      <w:numFmt w:val="bullet"/>
      <w:lvlText w:val=""/>
      <w:lvlJc w:val="left"/>
      <w:pPr>
        <w:tabs>
          <w:tab w:val="num" w:pos="720"/>
        </w:tabs>
        <w:ind w:left="720" w:hanging="360"/>
      </w:pPr>
      <w:rPr>
        <w:rFonts w:ascii="Wingdings" w:hAnsi="Wingdings" w:hint="default"/>
      </w:rPr>
    </w:lvl>
    <w:lvl w:ilvl="1" w:tplc="67C45582" w:tentative="1">
      <w:start w:val="1"/>
      <w:numFmt w:val="bullet"/>
      <w:lvlText w:val=""/>
      <w:lvlJc w:val="left"/>
      <w:pPr>
        <w:tabs>
          <w:tab w:val="num" w:pos="1440"/>
        </w:tabs>
        <w:ind w:left="1440" w:hanging="360"/>
      </w:pPr>
      <w:rPr>
        <w:rFonts w:ascii="Wingdings" w:hAnsi="Wingdings" w:hint="default"/>
      </w:rPr>
    </w:lvl>
    <w:lvl w:ilvl="2" w:tplc="D0AAA9C4" w:tentative="1">
      <w:start w:val="1"/>
      <w:numFmt w:val="bullet"/>
      <w:lvlText w:val=""/>
      <w:lvlJc w:val="left"/>
      <w:pPr>
        <w:tabs>
          <w:tab w:val="num" w:pos="2160"/>
        </w:tabs>
        <w:ind w:left="2160" w:hanging="360"/>
      </w:pPr>
      <w:rPr>
        <w:rFonts w:ascii="Wingdings" w:hAnsi="Wingdings" w:hint="default"/>
      </w:rPr>
    </w:lvl>
    <w:lvl w:ilvl="3" w:tplc="6E6EF74E" w:tentative="1">
      <w:start w:val="1"/>
      <w:numFmt w:val="bullet"/>
      <w:lvlText w:val=""/>
      <w:lvlJc w:val="left"/>
      <w:pPr>
        <w:tabs>
          <w:tab w:val="num" w:pos="2880"/>
        </w:tabs>
        <w:ind w:left="2880" w:hanging="360"/>
      </w:pPr>
      <w:rPr>
        <w:rFonts w:ascii="Wingdings" w:hAnsi="Wingdings" w:hint="default"/>
      </w:rPr>
    </w:lvl>
    <w:lvl w:ilvl="4" w:tplc="0BC03A34" w:tentative="1">
      <w:start w:val="1"/>
      <w:numFmt w:val="bullet"/>
      <w:lvlText w:val=""/>
      <w:lvlJc w:val="left"/>
      <w:pPr>
        <w:tabs>
          <w:tab w:val="num" w:pos="3600"/>
        </w:tabs>
        <w:ind w:left="3600" w:hanging="360"/>
      </w:pPr>
      <w:rPr>
        <w:rFonts w:ascii="Wingdings" w:hAnsi="Wingdings" w:hint="default"/>
      </w:rPr>
    </w:lvl>
    <w:lvl w:ilvl="5" w:tplc="2D5C9F60" w:tentative="1">
      <w:start w:val="1"/>
      <w:numFmt w:val="bullet"/>
      <w:lvlText w:val=""/>
      <w:lvlJc w:val="left"/>
      <w:pPr>
        <w:tabs>
          <w:tab w:val="num" w:pos="4320"/>
        </w:tabs>
        <w:ind w:left="4320" w:hanging="360"/>
      </w:pPr>
      <w:rPr>
        <w:rFonts w:ascii="Wingdings" w:hAnsi="Wingdings" w:hint="default"/>
      </w:rPr>
    </w:lvl>
    <w:lvl w:ilvl="6" w:tplc="C820ED1C" w:tentative="1">
      <w:start w:val="1"/>
      <w:numFmt w:val="bullet"/>
      <w:lvlText w:val=""/>
      <w:lvlJc w:val="left"/>
      <w:pPr>
        <w:tabs>
          <w:tab w:val="num" w:pos="5040"/>
        </w:tabs>
        <w:ind w:left="5040" w:hanging="360"/>
      </w:pPr>
      <w:rPr>
        <w:rFonts w:ascii="Wingdings" w:hAnsi="Wingdings" w:hint="default"/>
      </w:rPr>
    </w:lvl>
    <w:lvl w:ilvl="7" w:tplc="F5C8B87C" w:tentative="1">
      <w:start w:val="1"/>
      <w:numFmt w:val="bullet"/>
      <w:lvlText w:val=""/>
      <w:lvlJc w:val="left"/>
      <w:pPr>
        <w:tabs>
          <w:tab w:val="num" w:pos="5760"/>
        </w:tabs>
        <w:ind w:left="5760" w:hanging="360"/>
      </w:pPr>
      <w:rPr>
        <w:rFonts w:ascii="Wingdings" w:hAnsi="Wingdings" w:hint="default"/>
      </w:rPr>
    </w:lvl>
    <w:lvl w:ilvl="8" w:tplc="E7C4EDA8"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9"/>
  </w:num>
  <w:num w:numId="3">
    <w:abstractNumId w:val="31"/>
  </w:num>
  <w:num w:numId="4">
    <w:abstractNumId w:val="7"/>
  </w:num>
  <w:num w:numId="5">
    <w:abstractNumId w:val="19"/>
  </w:num>
  <w:num w:numId="6">
    <w:abstractNumId w:val="4"/>
  </w:num>
  <w:num w:numId="7">
    <w:abstractNumId w:val="15"/>
  </w:num>
  <w:num w:numId="8">
    <w:abstractNumId w:val="8"/>
  </w:num>
  <w:num w:numId="9">
    <w:abstractNumId w:val="12"/>
  </w:num>
  <w:num w:numId="10">
    <w:abstractNumId w:val="14"/>
  </w:num>
  <w:num w:numId="11">
    <w:abstractNumId w:val="23"/>
  </w:num>
  <w:num w:numId="12">
    <w:abstractNumId w:val="1"/>
  </w:num>
  <w:num w:numId="13">
    <w:abstractNumId w:val="21"/>
  </w:num>
  <w:num w:numId="14">
    <w:abstractNumId w:val="16"/>
  </w:num>
  <w:num w:numId="15">
    <w:abstractNumId w:val="3"/>
  </w:num>
  <w:num w:numId="16">
    <w:abstractNumId w:val="27"/>
  </w:num>
  <w:num w:numId="17">
    <w:abstractNumId w:val="17"/>
  </w:num>
  <w:num w:numId="18">
    <w:abstractNumId w:val="10"/>
  </w:num>
  <w:num w:numId="19">
    <w:abstractNumId w:val="5"/>
  </w:num>
  <w:num w:numId="20">
    <w:abstractNumId w:val="18"/>
  </w:num>
  <w:num w:numId="21">
    <w:abstractNumId w:val="13"/>
  </w:num>
  <w:num w:numId="22">
    <w:abstractNumId w:val="9"/>
  </w:num>
  <w:num w:numId="23">
    <w:abstractNumId w:val="28"/>
  </w:num>
  <w:num w:numId="24">
    <w:abstractNumId w:val="20"/>
  </w:num>
  <w:num w:numId="25">
    <w:abstractNumId w:val="11"/>
  </w:num>
  <w:num w:numId="26">
    <w:abstractNumId w:val="24"/>
  </w:num>
  <w:num w:numId="27">
    <w:abstractNumId w:val="22"/>
  </w:num>
  <w:num w:numId="28">
    <w:abstractNumId w:val="25"/>
  </w:num>
  <w:num w:numId="29">
    <w:abstractNumId w:val="0"/>
  </w:num>
  <w:num w:numId="30">
    <w:abstractNumId w:val="2"/>
  </w:num>
  <w:num w:numId="31">
    <w:abstractNumId w:val="3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0B"/>
    <w:rsid w:val="00075551"/>
    <w:rsid w:val="000C00FE"/>
    <w:rsid w:val="000C3708"/>
    <w:rsid w:val="00134D0B"/>
    <w:rsid w:val="00152C5B"/>
    <w:rsid w:val="001B4549"/>
    <w:rsid w:val="002C48DD"/>
    <w:rsid w:val="003E0AC3"/>
    <w:rsid w:val="004C41FE"/>
    <w:rsid w:val="004E41F9"/>
    <w:rsid w:val="005505C6"/>
    <w:rsid w:val="005E4434"/>
    <w:rsid w:val="00687C7A"/>
    <w:rsid w:val="00693EAA"/>
    <w:rsid w:val="006D4311"/>
    <w:rsid w:val="00726547"/>
    <w:rsid w:val="007516AB"/>
    <w:rsid w:val="007B5291"/>
    <w:rsid w:val="007E629F"/>
    <w:rsid w:val="008029EB"/>
    <w:rsid w:val="00832D54"/>
    <w:rsid w:val="008764F5"/>
    <w:rsid w:val="00883BCB"/>
    <w:rsid w:val="008A2517"/>
    <w:rsid w:val="008B0567"/>
    <w:rsid w:val="008F282D"/>
    <w:rsid w:val="00975B57"/>
    <w:rsid w:val="009807B8"/>
    <w:rsid w:val="009D7322"/>
    <w:rsid w:val="00A36F92"/>
    <w:rsid w:val="00AA2DEF"/>
    <w:rsid w:val="00AB02DE"/>
    <w:rsid w:val="00AB2682"/>
    <w:rsid w:val="00AD7912"/>
    <w:rsid w:val="00B01B38"/>
    <w:rsid w:val="00B11522"/>
    <w:rsid w:val="00B30954"/>
    <w:rsid w:val="00B65906"/>
    <w:rsid w:val="00B801A8"/>
    <w:rsid w:val="00B95B7C"/>
    <w:rsid w:val="00BC5C88"/>
    <w:rsid w:val="00BD34DF"/>
    <w:rsid w:val="00C30E4C"/>
    <w:rsid w:val="00C73ABA"/>
    <w:rsid w:val="00C861EF"/>
    <w:rsid w:val="00C96FF3"/>
    <w:rsid w:val="00CD2160"/>
    <w:rsid w:val="00D414C3"/>
    <w:rsid w:val="00D7452E"/>
    <w:rsid w:val="00DA7D6A"/>
    <w:rsid w:val="00DB5BE3"/>
    <w:rsid w:val="00E07DC1"/>
    <w:rsid w:val="00E14C4D"/>
    <w:rsid w:val="00E2072B"/>
    <w:rsid w:val="00E33493"/>
    <w:rsid w:val="00E354E4"/>
    <w:rsid w:val="00E55752"/>
    <w:rsid w:val="00E734FE"/>
    <w:rsid w:val="00E80902"/>
    <w:rsid w:val="00EE3A45"/>
    <w:rsid w:val="00EE73B0"/>
    <w:rsid w:val="00EF0F17"/>
    <w:rsid w:val="00F62055"/>
    <w:rsid w:val="00F808EE"/>
    <w:rsid w:val="00FE3D5A"/>
    <w:rsid w:val="00FF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D414C3"/>
    <w:pPr>
      <w:keepNext/>
      <w:keepLines/>
      <w:spacing w:line="480" w:lineRule="auto"/>
      <w:jc w:val="center"/>
      <w:outlineLvl w:val="0"/>
    </w:pPr>
    <w:rPr>
      <w:rFonts w:ascii="Times New Roman Bold" w:eastAsiaTheme="majorEastAsia" w:hAnsi="Times New Roman Bold" w:cstheme="majorBidi"/>
      <w:b/>
      <w:caps/>
      <w:szCs w:val="32"/>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9"/>
    <w:qFormat/>
    <w:pPr>
      <w:keepNext/>
      <w:spacing w:line="480" w:lineRule="auto"/>
      <w:jc w:val="both"/>
      <w:outlineLvl w:val="4"/>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Times New Roman" w:eastAsia="Times New Roman" w:hAnsi="Times New Roman" w:cs="Times New Roman"/>
      <w:b/>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Pr>
      <w:color w:val="0000FF"/>
      <w:u w:val="single"/>
    </w:rPr>
  </w:style>
  <w:style w:type="paragraph" w:customStyle="1" w:styleId="Question">
    <w:name w:val="Question"/>
    <w:basedOn w:val="Normal"/>
    <w:link w:val="QuestionChar1"/>
    <w:uiPriority w:val="99"/>
    <w:pPr>
      <w:spacing w:line="480" w:lineRule="auto"/>
      <w:ind w:left="720" w:hanging="720"/>
      <w:jc w:val="both"/>
    </w:pPr>
    <w:rPr>
      <w:rFonts w:eastAsia="Times New Roman"/>
      <w:b/>
      <w:bCs/>
      <w:lang w:eastAsia="en-US"/>
    </w:rPr>
  </w:style>
  <w:style w:type="paragraph" w:customStyle="1" w:styleId="Answer">
    <w:name w:val="Answer"/>
    <w:basedOn w:val="Normal"/>
    <w:link w:val="AnswerChar1"/>
    <w:pPr>
      <w:spacing w:line="480" w:lineRule="auto"/>
      <w:ind w:left="720" w:hanging="720"/>
      <w:jc w:val="both"/>
    </w:pPr>
    <w:rPr>
      <w:rFonts w:eastAsia="Times New Roman"/>
      <w:lang w:eastAsia="en-US"/>
    </w:rPr>
  </w:style>
  <w:style w:type="character" w:customStyle="1" w:styleId="QuestionChar1">
    <w:name w:val="Question Char1"/>
    <w:basedOn w:val="DefaultParagraphFont"/>
    <w:link w:val="Question"/>
    <w:uiPriority w:val="99"/>
    <w:locked/>
    <w:rPr>
      <w:rFonts w:ascii="Times New Roman" w:eastAsia="Times New Roman" w:hAnsi="Times New Roman" w:cs="Times New Roman"/>
      <w:b/>
      <w:bCs/>
      <w:sz w:val="24"/>
      <w:szCs w:val="24"/>
    </w:rPr>
  </w:style>
  <w:style w:type="character" w:customStyle="1" w:styleId="AnswerChar1">
    <w:name w:val="Answer Char1"/>
    <w:basedOn w:val="DefaultParagraphFont"/>
    <w:link w:val="Answer"/>
    <w:locked/>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
    <w:basedOn w:val="Normal"/>
    <w:link w:val="FootnoteTextChar"/>
    <w:uiPriority w:val="99"/>
    <w:qFormat/>
    <w:rPr>
      <w:rFonts w:eastAsia="Times New Roman"/>
      <w:sz w:val="20"/>
      <w:szCs w:val="20"/>
      <w:lang w:eastAsia="en-U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Pr>
      <w:rFonts w:cs="Times New Roman"/>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eastAsia="SimSun" w:hAnsi="Times New Roman" w:cs="Times New Roman"/>
      <w:sz w:val="24"/>
      <w:szCs w:val="24"/>
      <w:lang w:eastAsia="zh-CN"/>
    </w:rPr>
  </w:style>
  <w:style w:type="paragraph" w:customStyle="1" w:styleId="PBLPara2L1">
    <w:name w:val="PBLPara2_L1"/>
    <w:basedOn w:val="Normal"/>
    <w:next w:val="BalloonText"/>
    <w:pPr>
      <w:numPr>
        <w:numId w:val="24"/>
      </w:numPr>
      <w:spacing w:line="480" w:lineRule="auto"/>
      <w:jc w:val="both"/>
      <w:outlineLvl w:val="0"/>
    </w:pPr>
    <w:rPr>
      <w:rFonts w:eastAsia="Times New Roman"/>
      <w:szCs w:val="20"/>
    </w:rPr>
  </w:style>
  <w:style w:type="paragraph" w:customStyle="1" w:styleId="PBLPara2L2">
    <w:name w:val="PBLPara2_L2"/>
    <w:basedOn w:val="PBLPara2L1"/>
    <w:next w:val="BodyText"/>
    <w:pPr>
      <w:numPr>
        <w:ilvl w:val="1"/>
      </w:numPr>
      <w:outlineLvl w:val="1"/>
    </w:pPr>
  </w:style>
  <w:style w:type="paragraph" w:customStyle="1" w:styleId="PBLPara2L3">
    <w:name w:val="PBLPara2_L3"/>
    <w:basedOn w:val="PBLPara2L2"/>
    <w:next w:val="BodyText"/>
    <w:pPr>
      <w:numPr>
        <w:ilvl w:val="2"/>
      </w:numPr>
      <w:outlineLvl w:val="2"/>
    </w:pPr>
  </w:style>
  <w:style w:type="paragraph" w:customStyle="1" w:styleId="PBLPara2L4">
    <w:name w:val="PBLPara2_L4"/>
    <w:basedOn w:val="PBLPara2L3"/>
    <w:next w:val="BodyText"/>
    <w:pPr>
      <w:numPr>
        <w:ilvl w:val="3"/>
      </w:numPr>
      <w:outlineLvl w:val="3"/>
    </w:pPr>
  </w:style>
  <w:style w:type="paragraph" w:customStyle="1" w:styleId="PBLPara2L5">
    <w:name w:val="PBLPara2_L5"/>
    <w:basedOn w:val="PBLPara2L4"/>
    <w:next w:val="BodyText"/>
    <w:pPr>
      <w:numPr>
        <w:ilvl w:val="4"/>
      </w:numPr>
      <w:outlineLvl w:val="4"/>
    </w:pPr>
  </w:style>
  <w:style w:type="paragraph" w:customStyle="1" w:styleId="PBLPara2L6">
    <w:name w:val="PBLPara2_L6"/>
    <w:basedOn w:val="PBLPara2L5"/>
    <w:next w:val="BodyText"/>
    <w:pPr>
      <w:numPr>
        <w:ilvl w:val="5"/>
      </w:numPr>
      <w:outlineLvl w:val="5"/>
    </w:pPr>
  </w:style>
  <w:style w:type="paragraph" w:customStyle="1" w:styleId="PBLPara2L7">
    <w:name w:val="PBLPara2_L7"/>
    <w:basedOn w:val="PBLPara2L6"/>
    <w:next w:val="BodyText"/>
    <w:pPr>
      <w:numPr>
        <w:ilvl w:val="6"/>
      </w:numPr>
      <w:outlineLvl w:val="6"/>
    </w:pPr>
  </w:style>
  <w:style w:type="paragraph" w:customStyle="1" w:styleId="PBLPara2L8">
    <w:name w:val="PBLPara2_L8"/>
    <w:basedOn w:val="PBLPara2L7"/>
    <w:next w:val="BodyText"/>
    <w:pPr>
      <w:numPr>
        <w:ilvl w:val="7"/>
      </w:numPr>
      <w:outlineLvl w:val="7"/>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SimSun" w:hAnsi="Times New Roman" w:cs="Times New Roman"/>
      <w:sz w:val="24"/>
      <w:szCs w:val="24"/>
      <w:lang w:eastAsia="zh-CN"/>
    </w:rPr>
  </w:style>
  <w:style w:type="character" w:customStyle="1" w:styleId="ptext-25">
    <w:name w:val="ptext-25"/>
    <w:basedOn w:val="DefaultParagraphFont"/>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uiPriority w:val="99"/>
    <w:rPr>
      <w:sz w:val="20"/>
      <w:szCs w:val="20"/>
    </w:rPr>
  </w:style>
  <w:style w:type="character" w:customStyle="1" w:styleId="Heading1Char">
    <w:name w:val="Heading 1 Char"/>
    <w:basedOn w:val="DefaultParagraphFont"/>
    <w:link w:val="Heading1"/>
    <w:uiPriority w:val="9"/>
    <w:rsid w:val="00D414C3"/>
    <w:rPr>
      <w:rFonts w:ascii="Times New Roman Bold" w:eastAsiaTheme="majorEastAsia" w:hAnsi="Times New Roman Bold" w:cstheme="majorBidi"/>
      <w:b/>
      <w:caps/>
      <w:sz w:val="24"/>
      <w:szCs w:val="32"/>
      <w:lang w:eastAsia="zh-CN"/>
    </w:rPr>
  </w:style>
  <w:style w:type="table" w:styleId="TableGrid">
    <w:name w:val="Table Grid"/>
    <w:basedOn w:val="TableNormal"/>
    <w:uiPriority w:val="59"/>
    <w:rsid w:val="00A3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6547"/>
    <w:rPr>
      <w:sz w:val="20"/>
      <w:szCs w:val="20"/>
    </w:rPr>
  </w:style>
  <w:style w:type="character" w:customStyle="1" w:styleId="EndnoteTextChar">
    <w:name w:val="Endnote Text Char"/>
    <w:basedOn w:val="DefaultParagraphFont"/>
    <w:link w:val="EndnoteText"/>
    <w:uiPriority w:val="99"/>
    <w:semiHidden/>
    <w:rsid w:val="00726547"/>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726547"/>
    <w:rPr>
      <w:vertAlign w:val="superscript"/>
    </w:rPr>
  </w:style>
  <w:style w:type="paragraph" w:styleId="TOCHeading">
    <w:name w:val="TOC Heading"/>
    <w:basedOn w:val="Heading1"/>
    <w:next w:val="Normal"/>
    <w:uiPriority w:val="39"/>
    <w:semiHidden/>
    <w:unhideWhenUsed/>
    <w:qFormat/>
    <w:rsid w:val="00B30954"/>
    <w:pPr>
      <w:spacing w:before="480" w:line="276" w:lineRule="auto"/>
      <w:jc w:val="left"/>
      <w:outlineLvl w:val="9"/>
    </w:pPr>
    <w:rPr>
      <w:rFonts w:asciiTheme="majorHAnsi" w:hAnsiTheme="majorHAnsi"/>
      <w:bCs/>
      <w:caps w:val="0"/>
      <w:color w:val="365F91" w:themeColor="accent1" w:themeShade="BF"/>
      <w:sz w:val="28"/>
      <w:szCs w:val="28"/>
      <w:lang w:eastAsia="ja-JP"/>
    </w:rPr>
  </w:style>
  <w:style w:type="paragraph" w:styleId="TOC1">
    <w:name w:val="toc 1"/>
    <w:basedOn w:val="Normal"/>
    <w:next w:val="Normal"/>
    <w:autoRedefine/>
    <w:uiPriority w:val="39"/>
    <w:unhideWhenUsed/>
    <w:rsid w:val="00B3095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D414C3"/>
    <w:pPr>
      <w:keepNext/>
      <w:keepLines/>
      <w:spacing w:line="480" w:lineRule="auto"/>
      <w:jc w:val="center"/>
      <w:outlineLvl w:val="0"/>
    </w:pPr>
    <w:rPr>
      <w:rFonts w:ascii="Times New Roman Bold" w:eastAsiaTheme="majorEastAsia" w:hAnsi="Times New Roman Bold" w:cstheme="majorBidi"/>
      <w:b/>
      <w:caps/>
      <w:szCs w:val="32"/>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9"/>
    <w:qFormat/>
    <w:pPr>
      <w:keepNext/>
      <w:spacing w:line="480" w:lineRule="auto"/>
      <w:jc w:val="both"/>
      <w:outlineLvl w:val="4"/>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Times New Roman" w:eastAsia="Times New Roman" w:hAnsi="Times New Roman" w:cs="Times New Roman"/>
      <w:b/>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Pr>
      <w:color w:val="0000FF"/>
      <w:u w:val="single"/>
    </w:rPr>
  </w:style>
  <w:style w:type="paragraph" w:customStyle="1" w:styleId="Question">
    <w:name w:val="Question"/>
    <w:basedOn w:val="Normal"/>
    <w:link w:val="QuestionChar1"/>
    <w:uiPriority w:val="99"/>
    <w:pPr>
      <w:spacing w:line="480" w:lineRule="auto"/>
      <w:ind w:left="720" w:hanging="720"/>
      <w:jc w:val="both"/>
    </w:pPr>
    <w:rPr>
      <w:rFonts w:eastAsia="Times New Roman"/>
      <w:b/>
      <w:bCs/>
      <w:lang w:eastAsia="en-US"/>
    </w:rPr>
  </w:style>
  <w:style w:type="paragraph" w:customStyle="1" w:styleId="Answer">
    <w:name w:val="Answer"/>
    <w:basedOn w:val="Normal"/>
    <w:link w:val="AnswerChar1"/>
    <w:pPr>
      <w:spacing w:line="480" w:lineRule="auto"/>
      <w:ind w:left="720" w:hanging="720"/>
      <w:jc w:val="both"/>
    </w:pPr>
    <w:rPr>
      <w:rFonts w:eastAsia="Times New Roman"/>
      <w:lang w:eastAsia="en-US"/>
    </w:rPr>
  </w:style>
  <w:style w:type="character" w:customStyle="1" w:styleId="QuestionChar1">
    <w:name w:val="Question Char1"/>
    <w:basedOn w:val="DefaultParagraphFont"/>
    <w:link w:val="Question"/>
    <w:uiPriority w:val="99"/>
    <w:locked/>
    <w:rPr>
      <w:rFonts w:ascii="Times New Roman" w:eastAsia="Times New Roman" w:hAnsi="Times New Roman" w:cs="Times New Roman"/>
      <w:b/>
      <w:bCs/>
      <w:sz w:val="24"/>
      <w:szCs w:val="24"/>
    </w:rPr>
  </w:style>
  <w:style w:type="character" w:customStyle="1" w:styleId="AnswerChar1">
    <w:name w:val="Answer Char1"/>
    <w:basedOn w:val="DefaultParagraphFont"/>
    <w:link w:val="Answer"/>
    <w:locked/>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
    <w:basedOn w:val="Normal"/>
    <w:link w:val="FootnoteTextChar"/>
    <w:uiPriority w:val="99"/>
    <w:qFormat/>
    <w:rPr>
      <w:rFonts w:eastAsia="Times New Roman"/>
      <w:sz w:val="20"/>
      <w:szCs w:val="20"/>
      <w:lang w:eastAsia="en-U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Pr>
      <w:rFonts w:cs="Times New Roman"/>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eastAsia="SimSun" w:hAnsi="Times New Roman" w:cs="Times New Roman"/>
      <w:sz w:val="24"/>
      <w:szCs w:val="24"/>
      <w:lang w:eastAsia="zh-CN"/>
    </w:rPr>
  </w:style>
  <w:style w:type="paragraph" w:customStyle="1" w:styleId="PBLPara2L1">
    <w:name w:val="PBLPara2_L1"/>
    <w:basedOn w:val="Normal"/>
    <w:next w:val="BalloonText"/>
    <w:pPr>
      <w:numPr>
        <w:numId w:val="24"/>
      </w:numPr>
      <w:spacing w:line="480" w:lineRule="auto"/>
      <w:jc w:val="both"/>
      <w:outlineLvl w:val="0"/>
    </w:pPr>
    <w:rPr>
      <w:rFonts w:eastAsia="Times New Roman"/>
      <w:szCs w:val="20"/>
    </w:rPr>
  </w:style>
  <w:style w:type="paragraph" w:customStyle="1" w:styleId="PBLPara2L2">
    <w:name w:val="PBLPara2_L2"/>
    <w:basedOn w:val="PBLPara2L1"/>
    <w:next w:val="BodyText"/>
    <w:pPr>
      <w:numPr>
        <w:ilvl w:val="1"/>
      </w:numPr>
      <w:outlineLvl w:val="1"/>
    </w:pPr>
  </w:style>
  <w:style w:type="paragraph" w:customStyle="1" w:styleId="PBLPara2L3">
    <w:name w:val="PBLPara2_L3"/>
    <w:basedOn w:val="PBLPara2L2"/>
    <w:next w:val="BodyText"/>
    <w:pPr>
      <w:numPr>
        <w:ilvl w:val="2"/>
      </w:numPr>
      <w:outlineLvl w:val="2"/>
    </w:pPr>
  </w:style>
  <w:style w:type="paragraph" w:customStyle="1" w:styleId="PBLPara2L4">
    <w:name w:val="PBLPara2_L4"/>
    <w:basedOn w:val="PBLPara2L3"/>
    <w:next w:val="BodyText"/>
    <w:pPr>
      <w:numPr>
        <w:ilvl w:val="3"/>
      </w:numPr>
      <w:outlineLvl w:val="3"/>
    </w:pPr>
  </w:style>
  <w:style w:type="paragraph" w:customStyle="1" w:styleId="PBLPara2L5">
    <w:name w:val="PBLPara2_L5"/>
    <w:basedOn w:val="PBLPara2L4"/>
    <w:next w:val="BodyText"/>
    <w:pPr>
      <w:numPr>
        <w:ilvl w:val="4"/>
      </w:numPr>
      <w:outlineLvl w:val="4"/>
    </w:pPr>
  </w:style>
  <w:style w:type="paragraph" w:customStyle="1" w:styleId="PBLPara2L6">
    <w:name w:val="PBLPara2_L6"/>
    <w:basedOn w:val="PBLPara2L5"/>
    <w:next w:val="BodyText"/>
    <w:pPr>
      <w:numPr>
        <w:ilvl w:val="5"/>
      </w:numPr>
      <w:outlineLvl w:val="5"/>
    </w:pPr>
  </w:style>
  <w:style w:type="paragraph" w:customStyle="1" w:styleId="PBLPara2L7">
    <w:name w:val="PBLPara2_L7"/>
    <w:basedOn w:val="PBLPara2L6"/>
    <w:next w:val="BodyText"/>
    <w:pPr>
      <w:numPr>
        <w:ilvl w:val="6"/>
      </w:numPr>
      <w:outlineLvl w:val="6"/>
    </w:pPr>
  </w:style>
  <w:style w:type="paragraph" w:customStyle="1" w:styleId="PBLPara2L8">
    <w:name w:val="PBLPara2_L8"/>
    <w:basedOn w:val="PBLPara2L7"/>
    <w:next w:val="BodyText"/>
    <w:pPr>
      <w:numPr>
        <w:ilvl w:val="7"/>
      </w:numPr>
      <w:outlineLvl w:val="7"/>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SimSun" w:hAnsi="Times New Roman" w:cs="Times New Roman"/>
      <w:sz w:val="24"/>
      <w:szCs w:val="24"/>
      <w:lang w:eastAsia="zh-CN"/>
    </w:rPr>
  </w:style>
  <w:style w:type="character" w:customStyle="1" w:styleId="ptext-25">
    <w:name w:val="ptext-25"/>
    <w:basedOn w:val="DefaultParagraphFont"/>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uiPriority w:val="99"/>
    <w:rPr>
      <w:sz w:val="20"/>
      <w:szCs w:val="20"/>
    </w:rPr>
  </w:style>
  <w:style w:type="character" w:customStyle="1" w:styleId="Heading1Char">
    <w:name w:val="Heading 1 Char"/>
    <w:basedOn w:val="DefaultParagraphFont"/>
    <w:link w:val="Heading1"/>
    <w:uiPriority w:val="9"/>
    <w:rsid w:val="00D414C3"/>
    <w:rPr>
      <w:rFonts w:ascii="Times New Roman Bold" w:eastAsiaTheme="majorEastAsia" w:hAnsi="Times New Roman Bold" w:cstheme="majorBidi"/>
      <w:b/>
      <w:caps/>
      <w:sz w:val="24"/>
      <w:szCs w:val="32"/>
      <w:lang w:eastAsia="zh-CN"/>
    </w:rPr>
  </w:style>
  <w:style w:type="table" w:styleId="TableGrid">
    <w:name w:val="Table Grid"/>
    <w:basedOn w:val="TableNormal"/>
    <w:uiPriority w:val="59"/>
    <w:rsid w:val="00A3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6547"/>
    <w:rPr>
      <w:sz w:val="20"/>
      <w:szCs w:val="20"/>
    </w:rPr>
  </w:style>
  <w:style w:type="character" w:customStyle="1" w:styleId="EndnoteTextChar">
    <w:name w:val="Endnote Text Char"/>
    <w:basedOn w:val="DefaultParagraphFont"/>
    <w:link w:val="EndnoteText"/>
    <w:uiPriority w:val="99"/>
    <w:semiHidden/>
    <w:rsid w:val="00726547"/>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726547"/>
    <w:rPr>
      <w:vertAlign w:val="superscript"/>
    </w:rPr>
  </w:style>
  <w:style w:type="paragraph" w:styleId="TOCHeading">
    <w:name w:val="TOC Heading"/>
    <w:basedOn w:val="Heading1"/>
    <w:next w:val="Normal"/>
    <w:uiPriority w:val="39"/>
    <w:semiHidden/>
    <w:unhideWhenUsed/>
    <w:qFormat/>
    <w:rsid w:val="00B30954"/>
    <w:pPr>
      <w:spacing w:before="480" w:line="276" w:lineRule="auto"/>
      <w:jc w:val="left"/>
      <w:outlineLvl w:val="9"/>
    </w:pPr>
    <w:rPr>
      <w:rFonts w:asciiTheme="majorHAnsi" w:hAnsiTheme="majorHAnsi"/>
      <w:bCs/>
      <w:caps w:val="0"/>
      <w:color w:val="365F91" w:themeColor="accent1" w:themeShade="BF"/>
      <w:sz w:val="28"/>
      <w:szCs w:val="28"/>
      <w:lang w:eastAsia="ja-JP"/>
    </w:rPr>
  </w:style>
  <w:style w:type="paragraph" w:styleId="TOC1">
    <w:name w:val="toc 1"/>
    <w:basedOn w:val="Normal"/>
    <w:next w:val="Normal"/>
    <w:autoRedefine/>
    <w:uiPriority w:val="39"/>
    <w:unhideWhenUsed/>
    <w:rsid w:val="00B3095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665573">
      <w:bodyDiv w:val="1"/>
      <w:marLeft w:val="0"/>
      <w:marRight w:val="0"/>
      <w:marTop w:val="0"/>
      <w:marBottom w:val="0"/>
      <w:divBdr>
        <w:top w:val="none" w:sz="0" w:space="0" w:color="auto"/>
        <w:left w:val="none" w:sz="0" w:space="0" w:color="auto"/>
        <w:bottom w:val="none" w:sz="0" w:space="0" w:color="auto"/>
        <w:right w:val="none" w:sz="0" w:space="0" w:color="auto"/>
      </w:divBdr>
      <w:divsChild>
        <w:div w:id="1836653808">
          <w:marLeft w:val="547"/>
          <w:marRight w:val="0"/>
          <w:marTop w:val="72"/>
          <w:marBottom w:val="0"/>
          <w:divBdr>
            <w:top w:val="none" w:sz="0" w:space="0" w:color="auto"/>
            <w:left w:val="none" w:sz="0" w:space="0" w:color="auto"/>
            <w:bottom w:val="none" w:sz="0" w:space="0" w:color="auto"/>
            <w:right w:val="none" w:sz="0" w:space="0" w:color="auto"/>
          </w:divBdr>
        </w:div>
      </w:divsChild>
    </w:div>
    <w:div w:id="1370833712">
      <w:bodyDiv w:val="1"/>
      <w:marLeft w:val="0"/>
      <w:marRight w:val="0"/>
      <w:marTop w:val="0"/>
      <w:marBottom w:val="0"/>
      <w:divBdr>
        <w:top w:val="none" w:sz="0" w:space="0" w:color="auto"/>
        <w:left w:val="none" w:sz="0" w:space="0" w:color="auto"/>
        <w:bottom w:val="none" w:sz="0" w:space="0" w:color="auto"/>
        <w:right w:val="none" w:sz="0" w:space="0" w:color="auto"/>
      </w:divBdr>
    </w:div>
    <w:div w:id="21304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544F074-A0AF-4FD8-BE9F-09FD3D876613}"/>
</file>

<file path=customXml/itemProps2.xml><?xml version="1.0" encoding="utf-8"?>
<ds:datastoreItem xmlns:ds="http://schemas.openxmlformats.org/officeDocument/2006/customXml" ds:itemID="{AE3A3878-4DA0-4FAA-9FAA-FBC80D37FC77}"/>
</file>

<file path=customXml/itemProps3.xml><?xml version="1.0" encoding="utf-8"?>
<ds:datastoreItem xmlns:ds="http://schemas.openxmlformats.org/officeDocument/2006/customXml" ds:itemID="{FE322356-309A-4CE5-988C-9E3B7B5D86D0}"/>
</file>

<file path=customXml/itemProps4.xml><?xml version="1.0" encoding="utf-8"?>
<ds:datastoreItem xmlns:ds="http://schemas.openxmlformats.org/officeDocument/2006/customXml" ds:itemID="{C9C3CA42-1EE2-495D-90AC-07A98234AC83}"/>
</file>

<file path=docProps/app.xml><?xml version="1.0" encoding="utf-8"?>
<Properties xmlns="http://schemas.openxmlformats.org/officeDocument/2006/extended-properties" xmlns:vt="http://schemas.openxmlformats.org/officeDocument/2006/docPropsVTypes">
  <Template>Normal.dotm</Template>
  <TotalTime>0</TotalTime>
  <Pages>22</Pages>
  <Words>4956</Words>
  <Characters>28252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2016-04-06T14:57:00Z</dcterms:created>
  <dcterms:modified xsi:type="dcterms:W3CDTF">2016-04-07T15:43:00Z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