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64" w:rsidRPr="00C92FF1" w:rsidRDefault="00047B64" w:rsidP="00531E4B">
      <w:pPr>
        <w:pStyle w:val="Heading1"/>
        <w:rPr>
          <w:sz w:val="24"/>
        </w:rPr>
      </w:pPr>
      <w:bookmarkStart w:id="0" w:name="_GoBack"/>
      <w:bookmarkEnd w:id="0"/>
    </w:p>
    <w:p w:rsidR="001242BF" w:rsidRDefault="00531E4B" w:rsidP="007A55CD">
      <w:pPr>
        <w:pStyle w:val="Heading1"/>
        <w:rPr>
          <w:sz w:val="24"/>
        </w:rPr>
      </w:pPr>
      <w:r w:rsidRPr="00C92FF1">
        <w:rPr>
          <w:sz w:val="24"/>
        </w:rPr>
        <w:t xml:space="preserve">SUMMARY OF </w:t>
      </w:r>
      <w:r w:rsidR="006D0CE1" w:rsidRPr="00C92FF1">
        <w:rPr>
          <w:sz w:val="24"/>
        </w:rPr>
        <w:t>POWER COST ADJUSTMENT</w:t>
      </w:r>
      <w:r w:rsidR="00D64550" w:rsidRPr="00C92FF1">
        <w:rPr>
          <w:sz w:val="24"/>
        </w:rPr>
        <w:t xml:space="preserve"> (PCA</w:t>
      </w:r>
      <w:r w:rsidR="00134771" w:rsidRPr="00C92FF1">
        <w:rPr>
          <w:sz w:val="24"/>
        </w:rPr>
        <w:t>) MECHANISM</w:t>
      </w:r>
      <w:r w:rsidR="006D0CE1" w:rsidRPr="00C92FF1">
        <w:rPr>
          <w:sz w:val="24"/>
        </w:rPr>
        <w:t xml:space="preserve"> </w:t>
      </w:r>
      <w:r w:rsidRPr="00C92FF1">
        <w:rPr>
          <w:sz w:val="24"/>
        </w:rPr>
        <w:t>SETTLEMENT TERMS</w:t>
      </w:r>
    </w:p>
    <w:p w:rsidR="00A66D97" w:rsidRPr="00A66D97" w:rsidRDefault="00A66D97" w:rsidP="00A66D97"/>
    <w:p w:rsidR="006D0CE1" w:rsidRPr="00C92FF1" w:rsidRDefault="006D0CE1">
      <w:pPr>
        <w:pStyle w:val="Heading2"/>
        <w:rPr>
          <w:sz w:val="24"/>
        </w:rPr>
      </w:pPr>
      <w:r w:rsidRPr="00C92FF1">
        <w:rPr>
          <w:sz w:val="24"/>
        </w:rPr>
        <w:t>A.</w:t>
      </w:r>
      <w:r w:rsidRPr="00C92FF1">
        <w:rPr>
          <w:sz w:val="24"/>
        </w:rPr>
        <w:tab/>
      </w:r>
      <w:r w:rsidRPr="002F6474">
        <w:rPr>
          <w:caps/>
          <w:sz w:val="24"/>
        </w:rPr>
        <w:t>Overview of PCA</w:t>
      </w:r>
    </w:p>
    <w:p w:rsidR="006D0CE1" w:rsidRPr="00C92FF1" w:rsidRDefault="006D0CE1" w:rsidP="0064256C">
      <w:pPr>
        <w:pStyle w:val="single"/>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The PCA is a mechanism that account</w:t>
      </w:r>
      <w:r w:rsidR="006C7EBF" w:rsidRPr="00C92FF1">
        <w:rPr>
          <w:sz w:val="24"/>
        </w:rPr>
        <w:t>s</w:t>
      </w:r>
      <w:r w:rsidRPr="00C92FF1">
        <w:rPr>
          <w:sz w:val="24"/>
        </w:rPr>
        <w:t xml:space="preserve"> for differences in PSE's modified actual power costs relative to a power cost baseline.  This mechanism </w:t>
      </w:r>
      <w:r w:rsidR="00DD4F27" w:rsidRPr="00C92FF1">
        <w:rPr>
          <w:sz w:val="24"/>
        </w:rPr>
        <w:t>provides</w:t>
      </w:r>
      <w:r w:rsidRPr="00C92FF1">
        <w:rPr>
          <w:sz w:val="24"/>
        </w:rPr>
        <w:t xml:space="preserve"> for a sharing of costs and benefits that are graduated over </w:t>
      </w:r>
      <w:r w:rsidR="00F23AAF" w:rsidRPr="00C92FF1">
        <w:rPr>
          <w:sz w:val="24"/>
        </w:rPr>
        <w:t xml:space="preserve">three </w:t>
      </w:r>
      <w:r w:rsidRPr="00C92FF1">
        <w:rPr>
          <w:sz w:val="24"/>
        </w:rPr>
        <w:t xml:space="preserve">levels of power cost variances.  The factors influencing the variability of power costs included in the </w:t>
      </w:r>
      <w:r w:rsidR="006F2183" w:rsidRPr="00C92FF1">
        <w:rPr>
          <w:sz w:val="24"/>
        </w:rPr>
        <w:t xml:space="preserve">mechanism </w:t>
      </w:r>
      <w:r w:rsidRPr="00C92FF1">
        <w:rPr>
          <w:sz w:val="24"/>
        </w:rPr>
        <w:t>are primarily weather or market related. PSE will be allowed to file for rate increases to implement limited power supply cost increases, discussed later.</w:t>
      </w:r>
    </w:p>
    <w:p w:rsidR="006D0CE1" w:rsidRPr="00C92FF1" w:rsidRDefault="006D0CE1" w:rsidP="0064256C">
      <w:pPr>
        <w:ind w:firstLine="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Pr="00C92FF1">
        <w:rPr>
          <w:b/>
          <w:sz w:val="24"/>
          <w:u w:val="single"/>
        </w:rPr>
        <w:t xml:space="preserve">Sharing </w:t>
      </w:r>
      <w:r w:rsidR="00DD4F27" w:rsidRPr="00C92FF1">
        <w:rPr>
          <w:b/>
          <w:sz w:val="24"/>
          <w:u w:val="single"/>
        </w:rPr>
        <w:t>Bands</w:t>
      </w:r>
      <w:r w:rsidRPr="00C92FF1">
        <w:rPr>
          <w:b/>
          <w:sz w:val="24"/>
          <w:u w:val="single"/>
        </w:rPr>
        <w:t>:</w:t>
      </w:r>
    </w:p>
    <w:p w:rsidR="006D0CE1" w:rsidRPr="00C92FF1" w:rsidRDefault="00093574" w:rsidP="0064256C">
      <w:pPr>
        <w:pStyle w:val="normalhanging2"/>
        <w:numPr>
          <w:ilvl w:val="1"/>
          <w:numId w:val="12"/>
        </w:numPr>
        <w:ind w:left="1080"/>
        <w:rPr>
          <w:sz w:val="24"/>
        </w:rPr>
      </w:pPr>
      <w:r w:rsidRPr="00C92FF1">
        <w:rPr>
          <w:sz w:val="24"/>
          <w:u w:val="single"/>
        </w:rPr>
        <w:t>Dead</w:t>
      </w:r>
      <w:r w:rsidR="006D0CE1" w:rsidRPr="002F6474">
        <w:rPr>
          <w:sz w:val="24"/>
          <w:u w:val="single"/>
        </w:rPr>
        <w:t xml:space="preserve"> Band</w:t>
      </w:r>
      <w:r w:rsidR="00490E4C" w:rsidRPr="00C92FF1">
        <w:rPr>
          <w:sz w:val="24"/>
          <w:u w:val="single"/>
        </w:rPr>
        <w:t>:</w:t>
      </w:r>
      <w:r w:rsidR="006D0CE1" w:rsidRPr="00C92FF1">
        <w:rPr>
          <w:b/>
          <w:sz w:val="24"/>
        </w:rPr>
        <w:t xml:space="preserve"> </w:t>
      </w:r>
      <w:r w:rsidR="006D0CE1" w:rsidRPr="00C92FF1">
        <w:rPr>
          <w:sz w:val="24"/>
        </w:rPr>
        <w:t>$</w:t>
      </w:r>
      <w:r w:rsidR="00F23AAF" w:rsidRPr="00C92FF1">
        <w:rPr>
          <w:sz w:val="24"/>
        </w:rPr>
        <w:t xml:space="preserve">17 </w:t>
      </w:r>
      <w:r w:rsidR="006D0CE1" w:rsidRPr="00C92FF1">
        <w:rPr>
          <w:sz w:val="24"/>
        </w:rPr>
        <w:t>million (+/-) annually, 100% of costs and benefits to Company.</w:t>
      </w:r>
    </w:p>
    <w:p w:rsidR="00F23AAF" w:rsidRPr="00C92FF1" w:rsidRDefault="00093574" w:rsidP="005F330F">
      <w:pPr>
        <w:pStyle w:val="normalhanging2"/>
        <w:numPr>
          <w:ilvl w:val="1"/>
          <w:numId w:val="12"/>
        </w:numPr>
        <w:ind w:left="1080"/>
        <w:rPr>
          <w:sz w:val="24"/>
        </w:rPr>
      </w:pPr>
      <w:r w:rsidRPr="00C92FF1">
        <w:rPr>
          <w:sz w:val="24"/>
          <w:u w:val="single"/>
        </w:rPr>
        <w:t>First</w:t>
      </w:r>
      <w:r w:rsidR="006D0CE1" w:rsidRPr="002F6474">
        <w:rPr>
          <w:sz w:val="24"/>
          <w:u w:val="single"/>
        </w:rPr>
        <w:t xml:space="preserve"> Sharing Band:</w:t>
      </w:r>
      <w:r w:rsidR="006D0CE1" w:rsidRPr="00C92FF1">
        <w:rPr>
          <w:sz w:val="24"/>
        </w:rPr>
        <w:t xml:space="preserve">  $</w:t>
      </w:r>
      <w:r w:rsidR="00F23AAF" w:rsidRPr="00C92FF1">
        <w:rPr>
          <w:sz w:val="24"/>
        </w:rPr>
        <w:t>17</w:t>
      </w:r>
      <w:r w:rsidR="006D0CE1" w:rsidRPr="00C92FF1">
        <w:rPr>
          <w:sz w:val="24"/>
        </w:rPr>
        <w:t xml:space="preserve">-$40 million (+/-) annually, </w:t>
      </w:r>
    </w:p>
    <w:p w:rsidR="006D0CE1" w:rsidRPr="00C92FF1" w:rsidRDefault="00F23AAF" w:rsidP="0064256C">
      <w:pPr>
        <w:pStyle w:val="normalhanging2"/>
        <w:numPr>
          <w:ilvl w:val="2"/>
          <w:numId w:val="12"/>
        </w:numPr>
        <w:ind w:left="1620"/>
        <w:rPr>
          <w:sz w:val="24"/>
        </w:rPr>
      </w:pPr>
      <w:r w:rsidRPr="00C92FF1">
        <w:rPr>
          <w:sz w:val="24"/>
        </w:rPr>
        <w:t>Costs (under-recover</w:t>
      </w:r>
      <w:r w:rsidR="00DB59E5" w:rsidRPr="00C92FF1">
        <w:rPr>
          <w:sz w:val="24"/>
        </w:rPr>
        <w:t>ed</w:t>
      </w:r>
      <w:r w:rsidRPr="00C92FF1">
        <w:rPr>
          <w:sz w:val="24"/>
        </w:rPr>
        <w:t xml:space="preserve">) will be shared </w:t>
      </w:r>
      <w:r w:rsidR="006D0CE1" w:rsidRPr="00C92FF1">
        <w:rPr>
          <w:sz w:val="24"/>
        </w:rPr>
        <w:t>50% to Company; 50% to Customers.</w:t>
      </w:r>
    </w:p>
    <w:p w:rsidR="00F23AAF" w:rsidRPr="00C92FF1" w:rsidRDefault="00F23AAF" w:rsidP="005F330F">
      <w:pPr>
        <w:pStyle w:val="normalhanging2"/>
        <w:numPr>
          <w:ilvl w:val="2"/>
          <w:numId w:val="12"/>
        </w:numPr>
        <w:ind w:left="1620"/>
        <w:rPr>
          <w:sz w:val="24"/>
        </w:rPr>
      </w:pPr>
      <w:r w:rsidRPr="00C92FF1">
        <w:rPr>
          <w:sz w:val="24"/>
        </w:rPr>
        <w:t>Benefits (over-recover</w:t>
      </w:r>
      <w:r w:rsidR="00DB59E5" w:rsidRPr="00C92FF1">
        <w:rPr>
          <w:sz w:val="24"/>
        </w:rPr>
        <w:t>ed</w:t>
      </w:r>
      <w:r w:rsidRPr="00C92FF1">
        <w:rPr>
          <w:sz w:val="24"/>
        </w:rPr>
        <w:t xml:space="preserve">) will be shared </w:t>
      </w:r>
      <w:r w:rsidR="00FD5621" w:rsidRPr="00C92FF1">
        <w:rPr>
          <w:sz w:val="24"/>
        </w:rPr>
        <w:t>3</w:t>
      </w:r>
      <w:r w:rsidRPr="00C92FF1">
        <w:rPr>
          <w:sz w:val="24"/>
        </w:rPr>
        <w:t xml:space="preserve">5% to the Company; </w:t>
      </w:r>
      <w:r w:rsidR="00FD5621" w:rsidRPr="00C92FF1">
        <w:rPr>
          <w:sz w:val="24"/>
        </w:rPr>
        <w:t>6</w:t>
      </w:r>
      <w:r w:rsidRPr="00C92FF1">
        <w:rPr>
          <w:sz w:val="24"/>
        </w:rPr>
        <w:t>5% to Customers</w:t>
      </w:r>
    </w:p>
    <w:p w:rsidR="006D0CE1" w:rsidRPr="00C92FF1" w:rsidRDefault="00093574" w:rsidP="0064256C">
      <w:pPr>
        <w:pStyle w:val="normalhanging2"/>
        <w:numPr>
          <w:ilvl w:val="1"/>
          <w:numId w:val="12"/>
        </w:numPr>
        <w:ind w:left="1080"/>
        <w:rPr>
          <w:sz w:val="24"/>
        </w:rPr>
      </w:pPr>
      <w:r w:rsidRPr="00C92FF1">
        <w:rPr>
          <w:sz w:val="24"/>
          <w:u w:val="single"/>
        </w:rPr>
        <w:t>Second</w:t>
      </w:r>
      <w:r w:rsidR="00FD73FD" w:rsidRPr="002F6474">
        <w:rPr>
          <w:sz w:val="24"/>
          <w:u w:val="single"/>
        </w:rPr>
        <w:t xml:space="preserve"> </w:t>
      </w:r>
      <w:r w:rsidR="006D0CE1" w:rsidRPr="002F6474">
        <w:rPr>
          <w:sz w:val="24"/>
          <w:u w:val="single"/>
        </w:rPr>
        <w:t>Sharing Band</w:t>
      </w:r>
      <w:r w:rsidR="006D0CE1" w:rsidRPr="002F6474">
        <w:rPr>
          <w:sz w:val="24"/>
        </w:rPr>
        <w:t>:</w:t>
      </w:r>
      <w:r w:rsidR="006D0CE1" w:rsidRPr="00C92FF1">
        <w:rPr>
          <w:sz w:val="24"/>
        </w:rPr>
        <w:t xml:space="preserve"> </w:t>
      </w:r>
      <w:r w:rsidR="00F23AAF" w:rsidRPr="00C92FF1">
        <w:rPr>
          <w:sz w:val="24"/>
        </w:rPr>
        <w:t xml:space="preserve">Over </w:t>
      </w:r>
      <w:r w:rsidR="006D0CE1" w:rsidRPr="00C92FF1">
        <w:rPr>
          <w:sz w:val="24"/>
        </w:rPr>
        <w:t>$40</w:t>
      </w:r>
      <w:r w:rsidR="00B33DA1" w:rsidRPr="00C92FF1">
        <w:rPr>
          <w:sz w:val="24"/>
        </w:rPr>
        <w:t xml:space="preserve"> </w:t>
      </w:r>
      <w:r w:rsidR="006D0CE1" w:rsidRPr="00C92FF1">
        <w:rPr>
          <w:sz w:val="24"/>
        </w:rPr>
        <w:t>million (+/-) annually, 10% of costs and benefits to Company; 90% of costs and benefits to Customers.</w:t>
      </w:r>
    </w:p>
    <w:p w:rsidR="00134771" w:rsidRPr="00C92FF1" w:rsidRDefault="006D0CE1" w:rsidP="0064256C">
      <w:pPr>
        <w:pStyle w:val="normalhanging2"/>
        <w:numPr>
          <w:ilvl w:val="1"/>
          <w:numId w:val="12"/>
        </w:numPr>
        <w:ind w:left="1080"/>
        <w:rPr>
          <w:sz w:val="24"/>
        </w:rPr>
      </w:pPr>
      <w:r w:rsidRPr="002F6474">
        <w:rPr>
          <w:sz w:val="24"/>
          <w:u w:val="single"/>
        </w:rPr>
        <w:t>Deferral and Interest:</w:t>
      </w:r>
      <w:r w:rsidRPr="00C92FF1">
        <w:rPr>
          <w:b/>
          <w:sz w:val="24"/>
        </w:rPr>
        <w:t xml:space="preserve">  </w:t>
      </w:r>
      <w:r w:rsidRPr="00C92FF1">
        <w:rPr>
          <w:sz w:val="24"/>
        </w:rPr>
        <w:t>The customer’s share of the power cost variability will  be deferred as described below, and the balance will  accrue monthly interest at the interest rate calculated in accordance with WAC 480-90-233(4).  Amounts will be deferred consistent with recovery under the provisions of</w:t>
      </w:r>
      <w:r w:rsidR="00BF3B3E">
        <w:rPr>
          <w:sz w:val="24"/>
        </w:rPr>
        <w:t>Accounting Standards Codification 980</w:t>
      </w:r>
      <w:r w:rsidRPr="00C92FF1">
        <w:rPr>
          <w:sz w:val="24"/>
        </w:rPr>
        <w:t>.</w:t>
      </w:r>
    </w:p>
    <w:p w:rsidR="006D0CE1" w:rsidRPr="00C92FF1" w:rsidRDefault="00134771" w:rsidP="0064256C">
      <w:pPr>
        <w:ind w:firstLine="0"/>
        <w:rPr>
          <w:sz w:val="24"/>
        </w:rPr>
      </w:pPr>
      <w:r w:rsidRPr="00C92FF1">
        <w:br w:type="page"/>
      </w:r>
      <w:r w:rsidR="006D0CE1" w:rsidRPr="00C92FF1">
        <w:rPr>
          <w:sz w:val="24"/>
        </w:rPr>
        <w:lastRenderedPageBreak/>
        <w:fldChar w:fldCharType="begin"/>
      </w:r>
      <w:r w:rsidR="006D0CE1" w:rsidRPr="00C92FF1">
        <w:rPr>
          <w:sz w:val="24"/>
        </w:rPr>
        <w:instrText xml:space="preserve"> AUTONUM </w:instrText>
      </w:r>
      <w:r w:rsidR="006D0CE1" w:rsidRPr="00C92FF1">
        <w:rPr>
          <w:sz w:val="24"/>
        </w:rPr>
        <w:fldChar w:fldCharType="end"/>
      </w:r>
      <w:r w:rsidR="006D0CE1" w:rsidRPr="00C92FF1">
        <w:rPr>
          <w:sz w:val="24"/>
        </w:rPr>
        <w:tab/>
      </w:r>
      <w:r w:rsidR="006D0CE1" w:rsidRPr="00C92FF1">
        <w:rPr>
          <w:b/>
          <w:sz w:val="24"/>
          <w:u w:val="single"/>
        </w:rPr>
        <w:t>Timing of surcharges or credits:</w:t>
      </w:r>
    </w:p>
    <w:p w:rsidR="006D0CE1" w:rsidRPr="00C92FF1" w:rsidRDefault="006D0CE1" w:rsidP="002F6474">
      <w:pPr>
        <w:pStyle w:val="normalhanging2"/>
        <w:numPr>
          <w:ilvl w:val="0"/>
          <w:numId w:val="14"/>
        </w:numPr>
        <w:rPr>
          <w:sz w:val="24"/>
        </w:rPr>
      </w:pPr>
      <w:r w:rsidRPr="00C92FF1">
        <w:rPr>
          <w:sz w:val="24"/>
        </w:rPr>
        <w:t>The sharing amounts will be accounted for on an annual basis</w:t>
      </w:r>
      <w:r w:rsidR="00F23AAF" w:rsidRPr="00C92FF1">
        <w:rPr>
          <w:sz w:val="24"/>
        </w:rPr>
        <w:t xml:space="preserve">, with </w:t>
      </w:r>
      <w:r w:rsidR="00632509" w:rsidRPr="00C92FF1">
        <w:rPr>
          <w:sz w:val="24"/>
        </w:rPr>
        <w:t xml:space="preserve">a </w:t>
      </w:r>
      <w:r w:rsidR="00F23AAF" w:rsidRPr="00C92FF1">
        <w:rPr>
          <w:sz w:val="24"/>
        </w:rPr>
        <w:t xml:space="preserve">PCA period </w:t>
      </w:r>
      <w:r w:rsidR="00632509" w:rsidRPr="00C92FF1">
        <w:rPr>
          <w:sz w:val="24"/>
        </w:rPr>
        <w:t xml:space="preserve">of </w:t>
      </w:r>
      <w:r w:rsidR="00F23AAF" w:rsidRPr="00C92FF1">
        <w:rPr>
          <w:sz w:val="24"/>
        </w:rPr>
        <w:t xml:space="preserve">January 1 </w:t>
      </w:r>
      <w:r w:rsidR="00DD4F27" w:rsidRPr="00C92FF1">
        <w:rPr>
          <w:sz w:val="24"/>
        </w:rPr>
        <w:t xml:space="preserve">through December 31 </w:t>
      </w:r>
      <w:r w:rsidR="00632509" w:rsidRPr="00C92FF1">
        <w:rPr>
          <w:sz w:val="24"/>
        </w:rPr>
        <w:t>for</w:t>
      </w:r>
      <w:r w:rsidR="00F23AAF" w:rsidRPr="00C92FF1">
        <w:rPr>
          <w:sz w:val="24"/>
        </w:rPr>
        <w:t xml:space="preserve"> each year</w:t>
      </w:r>
      <w:r w:rsidR="006C7EBF" w:rsidRPr="00C92FF1">
        <w:rPr>
          <w:rStyle w:val="FootnoteReference"/>
        </w:rPr>
        <w:footnoteReference w:id="2"/>
      </w:r>
      <w:r w:rsidRPr="00C92FF1">
        <w:rPr>
          <w:sz w:val="24"/>
        </w:rPr>
        <w:t>.  The surcharging of deferrals can be triggered by the Company when the balance of the deferral account is approximately $</w:t>
      </w:r>
      <w:r w:rsidR="00F23AAF" w:rsidRPr="00C92FF1">
        <w:rPr>
          <w:sz w:val="24"/>
        </w:rPr>
        <w:t xml:space="preserve">20 </w:t>
      </w:r>
      <w:r w:rsidRPr="00C92FF1">
        <w:rPr>
          <w:sz w:val="24"/>
        </w:rPr>
        <w:t>million.  The Company shall make a filing to refund deferrals when the balance in the deferral account is a credit of $</w:t>
      </w:r>
      <w:r w:rsidR="00F23AAF" w:rsidRPr="00C92FF1">
        <w:rPr>
          <w:sz w:val="24"/>
        </w:rPr>
        <w:t xml:space="preserve">20 </w:t>
      </w:r>
      <w:r w:rsidRPr="00C92FF1">
        <w:rPr>
          <w:sz w:val="24"/>
        </w:rPr>
        <w:t xml:space="preserve">million or more. </w:t>
      </w:r>
    </w:p>
    <w:p w:rsidR="006D0CE1" w:rsidRPr="00C92FF1" w:rsidRDefault="006D0CE1" w:rsidP="002F6474">
      <w:pPr>
        <w:pStyle w:val="normalhanging2"/>
        <w:numPr>
          <w:ilvl w:val="0"/>
          <w:numId w:val="14"/>
        </w:numPr>
        <w:rPr>
          <w:sz w:val="24"/>
        </w:rPr>
      </w:pPr>
      <w:r w:rsidRPr="00C92FF1">
        <w:rPr>
          <w:sz w:val="24"/>
        </w:rPr>
        <w:t>To address financial needs and to provide Customers a price signal to reduce energy consumption, a surcharge can be triggered when the Company determines that, for any upcoming 12 month period, the projected increase in the deferral balance for increased power costs will exceed $</w:t>
      </w:r>
      <w:r w:rsidR="00F23AAF" w:rsidRPr="00C92FF1">
        <w:rPr>
          <w:sz w:val="24"/>
        </w:rPr>
        <w:t xml:space="preserve">20 </w:t>
      </w:r>
      <w:r w:rsidRPr="00C92FF1">
        <w:rPr>
          <w:sz w:val="24"/>
        </w:rPr>
        <w:t xml:space="preserve">million.  The surcharge will be implemented through a special filing subject to Commission approval detailing the events giving rise to the projected cost variance.  </w:t>
      </w:r>
    </w:p>
    <w:p w:rsidR="006D0CE1" w:rsidRPr="00C92FF1" w:rsidRDefault="006D0CE1" w:rsidP="002F6474">
      <w:pPr>
        <w:pStyle w:val="normalhanging2"/>
        <w:numPr>
          <w:ilvl w:val="0"/>
          <w:numId w:val="14"/>
        </w:numPr>
        <w:rPr>
          <w:i/>
          <w:sz w:val="24"/>
        </w:rPr>
      </w:pPr>
      <w:r w:rsidRPr="00C92FF1">
        <w:rPr>
          <w:sz w:val="24"/>
        </w:rPr>
        <w:t xml:space="preserve">In </w:t>
      </w:r>
      <w:r w:rsidR="00222DBA">
        <w:rPr>
          <w:sz w:val="24"/>
        </w:rPr>
        <w:t>April</w:t>
      </w:r>
      <w:r w:rsidR="00222DBA" w:rsidRPr="00C92FF1">
        <w:rPr>
          <w:sz w:val="24"/>
        </w:rPr>
        <w:t xml:space="preserve"> </w:t>
      </w:r>
      <w:r w:rsidR="00F23AAF" w:rsidRPr="00C92FF1">
        <w:rPr>
          <w:sz w:val="24"/>
        </w:rPr>
        <w:t>of</w:t>
      </w:r>
      <w:r w:rsidRPr="00C92FF1">
        <w:rPr>
          <w:sz w:val="24"/>
        </w:rPr>
        <w:t xml:space="preserve"> each year, the Company shall file an annual report detailing the power costs included in the deferral calculation, in a form satisfactory to the Commission, for Commission review and approval</w:t>
      </w:r>
      <w:r w:rsidR="00A02B79">
        <w:rPr>
          <w:sz w:val="24"/>
        </w:rPr>
        <w:t xml:space="preserve"> by September 30 of that year</w:t>
      </w:r>
      <w:r w:rsidRPr="00C92FF1">
        <w:rPr>
          <w:sz w:val="24"/>
        </w:rPr>
        <w:t xml:space="preserve">.  The Commission shall have an opportunity to review the prudence of the power costs included in the deferred calculation, and costs determined to be imprudent can be disallowed at that time.  </w:t>
      </w:r>
      <w:r w:rsidRPr="00C92FF1">
        <w:rPr>
          <w:snapToGrid w:val="0"/>
          <w:sz w:val="24"/>
        </w:rPr>
        <w:t xml:space="preserve">Staff and other interested parties will have the opportunity to participate in the prudence review process.  </w:t>
      </w:r>
      <w:r w:rsidRPr="00C92FF1">
        <w:rPr>
          <w:sz w:val="24"/>
        </w:rPr>
        <w:t>The Company will also provide the Commission with a quarterly report of the deferral calculation in a form satisfactory to the Commission.</w:t>
      </w:r>
    </w:p>
    <w:p w:rsidR="006D0CE1" w:rsidRPr="00C92FF1" w:rsidRDefault="006D0CE1" w:rsidP="002F6474">
      <w:pPr>
        <w:pStyle w:val="normalhanging2"/>
        <w:numPr>
          <w:ilvl w:val="0"/>
          <w:numId w:val="14"/>
        </w:numPr>
        <w:rPr>
          <w:sz w:val="24"/>
        </w:rPr>
      </w:pPr>
      <w:r w:rsidRPr="00C92FF1">
        <w:rPr>
          <w:sz w:val="24"/>
        </w:rPr>
        <w:t>Unless otherwise determined by the Commission, surcharges or credits will be collected or refunded, as the case may be, over a one year period.  If for any reason the PCA shall cease to exist, any balances in the deferred accounts not previously reviewed will be reviewed and set for refund or surcharge to customers at that time.</w:t>
      </w:r>
    </w:p>
    <w:p w:rsidR="006D0CE1" w:rsidRPr="00C92FF1" w:rsidRDefault="00D64550" w:rsidP="0064256C">
      <w:pPr>
        <w:pStyle w:val="Heading2"/>
        <w:spacing w:line="480" w:lineRule="auto"/>
        <w:rPr>
          <w:sz w:val="24"/>
        </w:rPr>
      </w:pPr>
      <w:r w:rsidRPr="00C92FF1">
        <w:rPr>
          <w:sz w:val="24"/>
        </w:rPr>
        <w:t>B</w:t>
      </w:r>
      <w:r w:rsidR="006D0CE1" w:rsidRPr="00C92FF1">
        <w:rPr>
          <w:sz w:val="24"/>
        </w:rPr>
        <w:t>.</w:t>
      </w:r>
      <w:r w:rsidR="006D0CE1" w:rsidRPr="00C92FF1">
        <w:rPr>
          <w:sz w:val="24"/>
        </w:rPr>
        <w:tab/>
      </w:r>
      <w:r w:rsidR="00F721A4" w:rsidRPr="00C92FF1">
        <w:rPr>
          <w:sz w:val="24"/>
        </w:rPr>
        <w:t xml:space="preserve"> </w:t>
      </w:r>
      <w:r w:rsidR="00490E4C" w:rsidRPr="00C92FF1">
        <w:rPr>
          <w:sz w:val="24"/>
        </w:rPr>
        <w:t>ELEMENTS OF PCA</w:t>
      </w:r>
    </w:p>
    <w:p w:rsidR="00A66D97" w:rsidRPr="00A66D97" w:rsidRDefault="006D0CE1" w:rsidP="00A66D97">
      <w:pPr>
        <w:pStyle w:val="ListParagraph"/>
        <w:ind w:hanging="720"/>
        <w:contextualSpacing/>
        <w:rPr>
          <w:rFonts w:ascii="Times New Roman" w:hAnsi="Times New Roman" w:cs="Times New Roman"/>
          <w:sz w:val="24"/>
        </w:rPr>
      </w:pPr>
      <w:r w:rsidRPr="00C92FF1">
        <w:rPr>
          <w:rFonts w:ascii="Times New Roman" w:hAnsi="Times New Roman" w:cs="Times New Roman"/>
          <w:sz w:val="24"/>
        </w:rPr>
        <w:fldChar w:fldCharType="begin"/>
      </w:r>
      <w:r w:rsidRPr="00C92FF1">
        <w:rPr>
          <w:rFonts w:ascii="Times New Roman" w:hAnsi="Times New Roman" w:cs="Times New Roman"/>
          <w:sz w:val="24"/>
        </w:rPr>
        <w:instrText xml:space="preserve"> AUTONUM </w:instrText>
      </w:r>
      <w:r w:rsidRPr="00C92FF1">
        <w:rPr>
          <w:rFonts w:ascii="Times New Roman" w:hAnsi="Times New Roman" w:cs="Times New Roman"/>
          <w:sz w:val="24"/>
        </w:rPr>
        <w:fldChar w:fldCharType="end"/>
      </w:r>
      <w:r w:rsidRPr="00C92FF1">
        <w:rPr>
          <w:rFonts w:ascii="Times New Roman" w:hAnsi="Times New Roman" w:cs="Times New Roman"/>
          <w:sz w:val="24"/>
        </w:rPr>
        <w:tab/>
      </w:r>
      <w:r w:rsidRPr="00C92FF1">
        <w:rPr>
          <w:rFonts w:ascii="Times New Roman" w:hAnsi="Times New Roman" w:cs="Times New Roman"/>
          <w:b/>
          <w:sz w:val="24"/>
          <w:u w:val="single"/>
        </w:rPr>
        <w:t xml:space="preserve">Power Cost </w:t>
      </w:r>
      <w:r w:rsidR="006647A3" w:rsidRPr="00C92FF1">
        <w:rPr>
          <w:rFonts w:ascii="Times New Roman" w:hAnsi="Times New Roman" w:cs="Times New Roman"/>
          <w:b/>
          <w:sz w:val="24"/>
          <w:u w:val="single"/>
        </w:rPr>
        <w:t>Baseline</w:t>
      </w:r>
      <w:r w:rsidRPr="00C92FF1">
        <w:rPr>
          <w:rFonts w:ascii="Times New Roman" w:hAnsi="Times New Roman" w:cs="Times New Roman"/>
          <w:b/>
          <w:sz w:val="24"/>
          <w:u w:val="single"/>
        </w:rPr>
        <w:t xml:space="preserve"> Rate</w:t>
      </w:r>
      <w:r w:rsidR="005C31C3" w:rsidRPr="00C92FF1">
        <w:rPr>
          <w:rFonts w:ascii="Times New Roman" w:hAnsi="Times New Roman" w:cs="Times New Roman"/>
          <w:sz w:val="24"/>
        </w:rPr>
        <w:t xml:space="preserve">:  </w:t>
      </w:r>
      <w:r w:rsidRPr="00C92FF1">
        <w:rPr>
          <w:rFonts w:ascii="Times New Roman" w:hAnsi="Times New Roman" w:cs="Times New Roman"/>
          <w:sz w:val="24"/>
        </w:rPr>
        <w:t xml:space="preserve">In order to focus on the component of the Company's rates to be </w:t>
      </w:r>
      <w:r w:rsidR="00BF3B3E">
        <w:rPr>
          <w:rFonts w:ascii="Times New Roman" w:hAnsi="Times New Roman" w:cs="Times New Roman"/>
          <w:sz w:val="24"/>
        </w:rPr>
        <w:t>included in</w:t>
      </w:r>
      <w:r w:rsidRPr="00C92FF1">
        <w:rPr>
          <w:rFonts w:ascii="Times New Roman" w:hAnsi="Times New Roman" w:cs="Times New Roman"/>
          <w:sz w:val="24"/>
        </w:rPr>
        <w:t xml:space="preserve"> a PCA, it is necessary to distinguish between power costs and all other costs in </w:t>
      </w:r>
      <w:r w:rsidR="006E317A" w:rsidRPr="00C92FF1">
        <w:rPr>
          <w:rFonts w:ascii="Times New Roman" w:hAnsi="Times New Roman" w:cs="Times New Roman"/>
          <w:sz w:val="24"/>
        </w:rPr>
        <w:t xml:space="preserve">rates.  </w:t>
      </w:r>
      <w:r w:rsidR="006E317A" w:rsidRPr="002F6474">
        <w:rPr>
          <w:rFonts w:ascii="Times New Roman" w:hAnsi="Times New Roman" w:cs="Times New Roman"/>
          <w:sz w:val="24"/>
        </w:rPr>
        <w:t xml:space="preserve"> </w:t>
      </w:r>
      <w:r w:rsidR="00EB3FAE" w:rsidRPr="00C92FF1">
        <w:rPr>
          <w:rFonts w:ascii="Times New Roman" w:hAnsi="Times New Roman" w:cs="Times New Roman"/>
          <w:sz w:val="24"/>
          <w:szCs w:val="24"/>
        </w:rPr>
        <w:t>Total PSE</w:t>
      </w:r>
      <w:r w:rsidR="00AB6737">
        <w:rPr>
          <w:rFonts w:ascii="Times New Roman" w:hAnsi="Times New Roman" w:cs="Times New Roman"/>
          <w:sz w:val="24"/>
          <w:szCs w:val="24"/>
        </w:rPr>
        <w:t xml:space="preserve"> </w:t>
      </w:r>
      <w:r w:rsidR="00EB3FAE" w:rsidRPr="00C92FF1">
        <w:rPr>
          <w:rFonts w:ascii="Times New Roman" w:hAnsi="Times New Roman" w:cs="Times New Roman"/>
          <w:sz w:val="24"/>
          <w:szCs w:val="24"/>
        </w:rPr>
        <w:t xml:space="preserve">costs will be divided, or separately identified, into three categories: 1) </w:t>
      </w:r>
      <w:r w:rsidR="008908B1" w:rsidRPr="00C92FF1">
        <w:rPr>
          <w:rFonts w:ascii="Times New Roman" w:hAnsi="Times New Roman" w:cs="Times New Roman"/>
          <w:sz w:val="24"/>
          <w:szCs w:val="24"/>
        </w:rPr>
        <w:t>Variable P</w:t>
      </w:r>
      <w:r w:rsidR="00EB3FAE" w:rsidRPr="00C92FF1">
        <w:rPr>
          <w:rFonts w:ascii="Times New Roman" w:hAnsi="Times New Roman" w:cs="Times New Roman"/>
          <w:sz w:val="24"/>
          <w:szCs w:val="24"/>
        </w:rPr>
        <w:t xml:space="preserve">roduction </w:t>
      </w:r>
      <w:r w:rsidR="008908B1" w:rsidRPr="00C92FF1">
        <w:rPr>
          <w:rFonts w:ascii="Times New Roman" w:hAnsi="Times New Roman" w:cs="Times New Roman"/>
          <w:sz w:val="24"/>
          <w:szCs w:val="24"/>
        </w:rPr>
        <w:t xml:space="preserve">Costs </w:t>
      </w:r>
      <w:r w:rsidR="00EB3FAE" w:rsidRPr="00C92FF1">
        <w:rPr>
          <w:rFonts w:ascii="Times New Roman" w:hAnsi="Times New Roman" w:cs="Times New Roman"/>
          <w:sz w:val="24"/>
          <w:szCs w:val="24"/>
        </w:rPr>
        <w:t xml:space="preserve">(tracked through the PCA imbalance calculation), 2) </w:t>
      </w:r>
      <w:r w:rsidR="008908B1" w:rsidRPr="00C92FF1">
        <w:rPr>
          <w:rFonts w:ascii="Times New Roman" w:hAnsi="Times New Roman" w:cs="Times New Roman"/>
          <w:sz w:val="24"/>
          <w:szCs w:val="24"/>
        </w:rPr>
        <w:t xml:space="preserve">Fixed Production Costs </w:t>
      </w:r>
      <w:r w:rsidR="00EB3FAE" w:rsidRPr="00C92FF1">
        <w:rPr>
          <w:rFonts w:ascii="Times New Roman" w:hAnsi="Times New Roman" w:cs="Times New Roman"/>
          <w:sz w:val="24"/>
          <w:szCs w:val="24"/>
        </w:rPr>
        <w:t xml:space="preserve">(that will be included in </w:t>
      </w:r>
      <w:r w:rsidR="00DB59E5" w:rsidRPr="00C92FF1">
        <w:rPr>
          <w:rFonts w:ascii="Times New Roman" w:hAnsi="Times New Roman" w:cs="Times New Roman"/>
          <w:sz w:val="24"/>
          <w:szCs w:val="24"/>
        </w:rPr>
        <w:t>PSE’s</w:t>
      </w:r>
      <w:r w:rsidR="00EB3FAE" w:rsidRPr="00C92FF1">
        <w:rPr>
          <w:rFonts w:ascii="Times New Roman" w:hAnsi="Times New Roman" w:cs="Times New Roman"/>
          <w:sz w:val="24"/>
          <w:szCs w:val="24"/>
        </w:rPr>
        <w:t xml:space="preserve"> electric decoupling mechanism if the mechanism continues), and 3) </w:t>
      </w:r>
      <w:r w:rsidR="008908B1" w:rsidRPr="00C92FF1">
        <w:rPr>
          <w:rFonts w:ascii="Times New Roman" w:hAnsi="Times New Roman" w:cs="Times New Roman"/>
          <w:sz w:val="24"/>
          <w:szCs w:val="24"/>
        </w:rPr>
        <w:t xml:space="preserve">Delivery Costs </w:t>
      </w:r>
      <w:r w:rsidR="00EB3FAE" w:rsidRPr="00C92FF1">
        <w:rPr>
          <w:rFonts w:ascii="Times New Roman" w:hAnsi="Times New Roman" w:cs="Times New Roman"/>
          <w:sz w:val="24"/>
          <w:szCs w:val="24"/>
        </w:rPr>
        <w:t xml:space="preserve">(currently included in </w:t>
      </w:r>
      <w:r w:rsidR="00DB59E5" w:rsidRPr="00C92FF1">
        <w:rPr>
          <w:rFonts w:ascii="Times New Roman" w:hAnsi="Times New Roman" w:cs="Times New Roman"/>
          <w:sz w:val="24"/>
          <w:szCs w:val="24"/>
        </w:rPr>
        <w:t>PSE’s</w:t>
      </w:r>
      <w:r w:rsidR="00EB3FAE" w:rsidRPr="00C92FF1">
        <w:rPr>
          <w:rFonts w:ascii="Times New Roman" w:hAnsi="Times New Roman" w:cs="Times New Roman"/>
          <w:sz w:val="24"/>
          <w:szCs w:val="24"/>
        </w:rPr>
        <w:t xml:space="preserve"> decoupling plan)</w:t>
      </w:r>
      <w:r w:rsidR="0020697A" w:rsidRPr="00C92FF1">
        <w:rPr>
          <w:rFonts w:ascii="Times New Roman" w:hAnsi="Times New Roman" w:cs="Times New Roman"/>
          <w:sz w:val="24"/>
          <w:szCs w:val="24"/>
        </w:rPr>
        <w:t>.</w:t>
      </w:r>
      <w:r w:rsidR="00EB3FAE" w:rsidRPr="00C92FF1">
        <w:rPr>
          <w:rFonts w:ascii="Times New Roman" w:hAnsi="Times New Roman" w:cs="Times New Roman"/>
          <w:sz w:val="24"/>
          <w:szCs w:val="24"/>
        </w:rPr>
        <w:t xml:space="preserve"> </w:t>
      </w:r>
      <w:r w:rsidR="00852D08" w:rsidRPr="00C92FF1">
        <w:rPr>
          <w:rFonts w:ascii="Times New Roman" w:hAnsi="Times New Roman" w:cs="Times New Roman"/>
          <w:sz w:val="24"/>
          <w:szCs w:val="24"/>
        </w:rPr>
        <w:t xml:space="preserve">The Power Cost </w:t>
      </w:r>
      <w:r w:rsidR="006647A3" w:rsidRPr="00C92FF1">
        <w:rPr>
          <w:rFonts w:ascii="Times New Roman" w:hAnsi="Times New Roman" w:cs="Times New Roman"/>
          <w:sz w:val="24"/>
          <w:szCs w:val="24"/>
        </w:rPr>
        <w:t>Baseline</w:t>
      </w:r>
      <w:r w:rsidR="00852D08" w:rsidRPr="00C92FF1">
        <w:rPr>
          <w:rFonts w:ascii="Times New Roman" w:hAnsi="Times New Roman" w:cs="Times New Roman"/>
          <w:sz w:val="24"/>
          <w:szCs w:val="24"/>
        </w:rPr>
        <w:t xml:space="preserve"> Rate is the combination </w:t>
      </w:r>
      <w:r w:rsidR="00852D08" w:rsidRPr="00C92FF1">
        <w:rPr>
          <w:rFonts w:ascii="Times New Roman" w:hAnsi="Times New Roman" w:cs="Times New Roman"/>
          <w:sz w:val="24"/>
          <w:szCs w:val="24"/>
        </w:rPr>
        <w:lastRenderedPageBreak/>
        <w:t xml:space="preserve">of </w:t>
      </w:r>
      <w:r w:rsidR="008908B1" w:rsidRPr="00C92FF1">
        <w:rPr>
          <w:rFonts w:ascii="Times New Roman" w:hAnsi="Times New Roman" w:cs="Times New Roman"/>
          <w:sz w:val="24"/>
          <w:szCs w:val="24"/>
        </w:rPr>
        <w:t xml:space="preserve">Variable Production Costs </w:t>
      </w:r>
      <w:r w:rsidR="00852D08" w:rsidRPr="00C92FF1">
        <w:rPr>
          <w:rFonts w:ascii="Times New Roman" w:hAnsi="Times New Roman" w:cs="Times New Roman"/>
          <w:sz w:val="24"/>
          <w:szCs w:val="24"/>
        </w:rPr>
        <w:t xml:space="preserve">and </w:t>
      </w:r>
      <w:r w:rsidR="008908B1" w:rsidRPr="00C92FF1">
        <w:rPr>
          <w:rFonts w:ascii="Times New Roman" w:hAnsi="Times New Roman" w:cs="Times New Roman"/>
          <w:sz w:val="24"/>
          <w:szCs w:val="24"/>
        </w:rPr>
        <w:t>Fixed Production Costs</w:t>
      </w:r>
      <w:r w:rsidR="00852D08" w:rsidRPr="00C92FF1">
        <w:rPr>
          <w:rFonts w:ascii="Times New Roman" w:hAnsi="Times New Roman" w:cs="Times New Roman"/>
          <w:sz w:val="24"/>
          <w:szCs w:val="24"/>
        </w:rPr>
        <w:t xml:space="preserve">.  </w:t>
      </w:r>
      <w:r w:rsidRPr="00C92FF1">
        <w:rPr>
          <w:rFonts w:ascii="Times New Roman" w:hAnsi="Times New Roman" w:cs="Times New Roman"/>
          <w:sz w:val="24"/>
        </w:rPr>
        <w:t>Th</w:t>
      </w:r>
      <w:r w:rsidR="00246432" w:rsidRPr="00C92FF1">
        <w:rPr>
          <w:rFonts w:ascii="Times New Roman" w:hAnsi="Times New Roman" w:cs="Times New Roman"/>
          <w:sz w:val="24"/>
        </w:rPr>
        <w:t xml:space="preserve">e following table </w:t>
      </w:r>
      <w:r w:rsidR="006259D6">
        <w:rPr>
          <w:rFonts w:ascii="Times New Roman" w:hAnsi="Times New Roman" w:cs="Times New Roman"/>
          <w:sz w:val="24"/>
        </w:rPr>
        <w:t>indicates</w:t>
      </w:r>
      <w:r w:rsidRPr="00C92FF1">
        <w:rPr>
          <w:rFonts w:ascii="Times New Roman" w:hAnsi="Times New Roman" w:cs="Times New Roman"/>
          <w:sz w:val="24"/>
        </w:rPr>
        <w:t xml:space="preserve"> the portion of the Company's rate to be adjusted by the PCA </w:t>
      </w:r>
      <w:r w:rsidR="00F82AC6" w:rsidRPr="00C92FF1">
        <w:rPr>
          <w:rFonts w:ascii="Times New Roman" w:hAnsi="Times New Roman" w:cs="Times New Roman"/>
          <w:sz w:val="24"/>
        </w:rPr>
        <w:t xml:space="preserve">mechanism </w:t>
      </w:r>
      <w:r w:rsidRPr="00C92FF1">
        <w:rPr>
          <w:rFonts w:ascii="Times New Roman" w:hAnsi="Times New Roman" w:cs="Times New Roman"/>
          <w:sz w:val="24"/>
        </w:rPr>
        <w:t>and in the periodic "Power Cost Only</w:t>
      </w:r>
      <w:r w:rsidR="003D65C2" w:rsidRPr="00C92FF1">
        <w:rPr>
          <w:rFonts w:ascii="Times New Roman" w:hAnsi="Times New Roman" w:cs="Times New Roman"/>
          <w:sz w:val="24"/>
        </w:rPr>
        <w:t xml:space="preserve"> Rate Case</w:t>
      </w:r>
      <w:r w:rsidRPr="00C92FF1">
        <w:rPr>
          <w:rFonts w:ascii="Times New Roman" w:hAnsi="Times New Roman" w:cs="Times New Roman"/>
          <w:sz w:val="24"/>
        </w:rPr>
        <w:t>" review</w:t>
      </w:r>
      <w:r w:rsidR="009C450D">
        <w:rPr>
          <w:rFonts w:ascii="Times New Roman" w:hAnsi="Times New Roman" w:cs="Times New Roman"/>
          <w:sz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72"/>
        <w:gridCol w:w="3786"/>
        <w:gridCol w:w="2358"/>
      </w:tblGrid>
      <w:tr w:rsidR="00DE5AEE" w:rsidRPr="00C92FF1" w:rsidTr="001344B6">
        <w:trPr>
          <w:trHeight w:val="341"/>
        </w:trPr>
        <w:tc>
          <w:tcPr>
            <w:tcW w:w="9216" w:type="dxa"/>
            <w:gridSpan w:val="3"/>
            <w:tcBorders>
              <w:top w:val="single" w:sz="4" w:space="0" w:color="auto"/>
              <w:bottom w:val="single" w:sz="6" w:space="0" w:color="auto"/>
              <w:right w:val="single" w:sz="4" w:space="0" w:color="auto"/>
            </w:tcBorders>
            <w:vAlign w:val="center"/>
          </w:tcPr>
          <w:p w:rsidR="00DE5AEE" w:rsidRPr="00C92FF1" w:rsidRDefault="00DE5AEE" w:rsidP="00205517">
            <w:pPr>
              <w:spacing w:before="0" w:line="240" w:lineRule="auto"/>
              <w:jc w:val="center"/>
              <w:rPr>
                <w:b/>
                <w:sz w:val="24"/>
                <w:szCs w:val="24"/>
              </w:rPr>
            </w:pPr>
            <w:r w:rsidRPr="00C92FF1">
              <w:rPr>
                <w:b/>
                <w:sz w:val="24"/>
              </w:rPr>
              <w:t xml:space="preserve">TOTAL REVENUE REQUIREMENT </w:t>
            </w:r>
          </w:p>
        </w:tc>
      </w:tr>
      <w:tr w:rsidR="002F6474" w:rsidRPr="00C92FF1" w:rsidTr="00CF4376">
        <w:trPr>
          <w:trHeight w:val="429"/>
        </w:trPr>
        <w:tc>
          <w:tcPr>
            <w:tcW w:w="6858" w:type="dxa"/>
            <w:gridSpan w:val="2"/>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DD4F27" w:rsidRPr="00C92FF1" w:rsidRDefault="006647A3" w:rsidP="002F6474">
            <w:pPr>
              <w:spacing w:before="0" w:line="240" w:lineRule="auto"/>
              <w:jc w:val="center"/>
              <w:rPr>
                <w:b/>
                <w:sz w:val="24"/>
                <w:szCs w:val="24"/>
              </w:rPr>
            </w:pPr>
            <w:r w:rsidRPr="00C92FF1">
              <w:rPr>
                <w:b/>
                <w:sz w:val="24"/>
                <w:szCs w:val="24"/>
              </w:rPr>
              <w:t>Power Cost Baseline Rate</w:t>
            </w:r>
            <w:r w:rsidR="00D6629C" w:rsidRPr="00C92FF1">
              <w:rPr>
                <w:b/>
                <w:sz w:val="24"/>
                <w:szCs w:val="24"/>
              </w:rPr>
              <w:t xml:space="preserve"> (see Exhibit A)</w:t>
            </w:r>
          </w:p>
        </w:tc>
        <w:tc>
          <w:tcPr>
            <w:tcW w:w="2358" w:type="dxa"/>
            <w:tcBorders>
              <w:top w:val="single" w:sz="6" w:space="0" w:color="auto"/>
              <w:left w:val="double" w:sz="4" w:space="0" w:color="auto"/>
              <w:bottom w:val="single" w:sz="6" w:space="0" w:color="auto"/>
              <w:right w:val="single" w:sz="4" w:space="0" w:color="auto"/>
            </w:tcBorders>
            <w:vAlign w:val="center"/>
          </w:tcPr>
          <w:p w:rsidR="00DD4F27" w:rsidRPr="00C92FF1" w:rsidRDefault="00DD4F27" w:rsidP="002F6474">
            <w:pPr>
              <w:spacing w:before="0" w:line="240" w:lineRule="auto"/>
              <w:jc w:val="center"/>
              <w:rPr>
                <w:b/>
                <w:sz w:val="24"/>
                <w:szCs w:val="24"/>
              </w:rPr>
            </w:pPr>
          </w:p>
        </w:tc>
      </w:tr>
      <w:tr w:rsidR="00743CB9" w:rsidRPr="00C92FF1" w:rsidTr="00CF4376">
        <w:tc>
          <w:tcPr>
            <w:tcW w:w="3072" w:type="dxa"/>
            <w:tcBorders>
              <w:top w:val="single" w:sz="6" w:space="0" w:color="auto"/>
              <w:left w:val="double" w:sz="4" w:space="0" w:color="auto"/>
              <w:bottom w:val="single" w:sz="6" w:space="0" w:color="auto"/>
            </w:tcBorders>
            <w:vAlign w:val="center"/>
          </w:tcPr>
          <w:p w:rsidR="006D0CE1" w:rsidRPr="00C92FF1" w:rsidRDefault="006D0CE1" w:rsidP="002F6474">
            <w:pPr>
              <w:spacing w:before="0"/>
              <w:ind w:firstLine="0"/>
              <w:jc w:val="center"/>
              <w:rPr>
                <w:b/>
                <w:sz w:val="24"/>
              </w:rPr>
            </w:pPr>
            <w:r w:rsidRPr="00C92FF1">
              <w:rPr>
                <w:b/>
                <w:sz w:val="24"/>
              </w:rPr>
              <w:t xml:space="preserve">Variable </w:t>
            </w:r>
            <w:r w:rsidR="00E34805" w:rsidRPr="00C92FF1">
              <w:rPr>
                <w:b/>
                <w:sz w:val="24"/>
                <w:szCs w:val="24"/>
              </w:rPr>
              <w:t>Production</w:t>
            </w:r>
            <w:r w:rsidR="008E2D12" w:rsidRPr="00C92FF1">
              <w:rPr>
                <w:b/>
                <w:sz w:val="24"/>
                <w:szCs w:val="24"/>
              </w:rPr>
              <w:t xml:space="preserve"> </w:t>
            </w:r>
            <w:r w:rsidR="00D6629C" w:rsidRPr="00C92FF1">
              <w:rPr>
                <w:b/>
                <w:sz w:val="24"/>
                <w:szCs w:val="24"/>
              </w:rPr>
              <w:t>Costs</w:t>
            </w:r>
            <w:r w:rsidR="002837C7" w:rsidRPr="00C92FF1">
              <w:rPr>
                <w:sz w:val="22"/>
                <w:szCs w:val="22"/>
                <w:vertAlign w:val="superscript"/>
              </w:rPr>
              <w:footnoteReference w:id="3"/>
            </w:r>
          </w:p>
        </w:tc>
        <w:tc>
          <w:tcPr>
            <w:tcW w:w="3786" w:type="dxa"/>
            <w:tcBorders>
              <w:top w:val="single" w:sz="6" w:space="0" w:color="auto"/>
              <w:bottom w:val="single" w:sz="6" w:space="0" w:color="auto"/>
              <w:right w:val="double" w:sz="4" w:space="0" w:color="auto"/>
            </w:tcBorders>
            <w:vAlign w:val="center"/>
          </w:tcPr>
          <w:p w:rsidR="006D0CE1" w:rsidRPr="00C92FF1" w:rsidRDefault="006D0CE1" w:rsidP="002F6474">
            <w:pPr>
              <w:spacing w:before="0" w:line="240" w:lineRule="auto"/>
              <w:ind w:firstLine="0"/>
              <w:jc w:val="center"/>
              <w:rPr>
                <w:b/>
                <w:sz w:val="24"/>
              </w:rPr>
            </w:pPr>
            <w:r w:rsidRPr="00C92FF1">
              <w:rPr>
                <w:b/>
                <w:sz w:val="24"/>
              </w:rPr>
              <w:t xml:space="preserve">Fixed </w:t>
            </w:r>
            <w:r w:rsidR="008E2D12" w:rsidRPr="00C92FF1">
              <w:rPr>
                <w:b/>
                <w:sz w:val="24"/>
                <w:szCs w:val="24"/>
              </w:rPr>
              <w:t>Production Costs</w:t>
            </w:r>
          </w:p>
        </w:tc>
        <w:tc>
          <w:tcPr>
            <w:tcW w:w="2358" w:type="dxa"/>
            <w:tcBorders>
              <w:top w:val="single" w:sz="6" w:space="0" w:color="auto"/>
              <w:left w:val="double" w:sz="4" w:space="0" w:color="auto"/>
              <w:bottom w:val="single" w:sz="6" w:space="0" w:color="auto"/>
            </w:tcBorders>
            <w:vAlign w:val="center"/>
          </w:tcPr>
          <w:p w:rsidR="006D0CE1" w:rsidRPr="00C92FF1" w:rsidRDefault="008E2D12" w:rsidP="002F6474">
            <w:pPr>
              <w:spacing w:before="0" w:line="240" w:lineRule="auto"/>
              <w:ind w:firstLine="0"/>
              <w:jc w:val="center"/>
              <w:rPr>
                <w:b/>
                <w:sz w:val="24"/>
              </w:rPr>
            </w:pPr>
            <w:r w:rsidRPr="00C92FF1">
              <w:rPr>
                <w:b/>
                <w:sz w:val="24"/>
                <w:szCs w:val="24"/>
              </w:rPr>
              <w:t>Deliver</w:t>
            </w:r>
            <w:r w:rsidR="004524B0" w:rsidRPr="00C92FF1">
              <w:rPr>
                <w:b/>
                <w:sz w:val="24"/>
                <w:szCs w:val="24"/>
              </w:rPr>
              <w:t>y</w:t>
            </w:r>
            <w:r w:rsidRPr="00C92FF1">
              <w:rPr>
                <w:b/>
                <w:sz w:val="24"/>
                <w:szCs w:val="24"/>
              </w:rPr>
              <w:t xml:space="preserve"> Costs</w:t>
            </w:r>
          </w:p>
        </w:tc>
      </w:tr>
      <w:tr w:rsidR="000C07E8" w:rsidRPr="00C92FF1" w:rsidTr="00CF4376">
        <w:trPr>
          <w:trHeight w:val="65"/>
        </w:trPr>
        <w:tc>
          <w:tcPr>
            <w:tcW w:w="3072" w:type="dxa"/>
            <w:tcBorders>
              <w:top w:val="single" w:sz="6" w:space="0" w:color="auto"/>
              <w:left w:val="double" w:sz="4" w:space="0" w:color="auto"/>
              <w:bottom w:val="double" w:sz="4" w:space="0" w:color="auto"/>
            </w:tcBorders>
          </w:tcPr>
          <w:p w:rsidR="006D0CE1" w:rsidRPr="009C450D" w:rsidRDefault="007A55CD" w:rsidP="00C92FF1">
            <w:pPr>
              <w:spacing w:before="0"/>
              <w:ind w:firstLine="0"/>
              <w:rPr>
                <w:sz w:val="22"/>
                <w:szCs w:val="22"/>
              </w:rPr>
            </w:pPr>
            <w:r>
              <w:rPr>
                <w:sz w:val="22"/>
                <w:szCs w:val="22"/>
              </w:rPr>
              <w:t>•</w:t>
            </w:r>
            <w:r w:rsidR="006D0CE1" w:rsidRPr="009C450D">
              <w:rPr>
                <w:sz w:val="22"/>
                <w:szCs w:val="22"/>
              </w:rPr>
              <w:t>Fuel</w:t>
            </w:r>
            <w:r w:rsidR="00E34805" w:rsidRPr="009C450D">
              <w:rPr>
                <w:sz w:val="22"/>
                <w:szCs w:val="22"/>
              </w:rPr>
              <w:t xml:space="preserve">, </w:t>
            </w:r>
            <w:r w:rsidR="009D017E" w:rsidRPr="009C450D">
              <w:rPr>
                <w:sz w:val="22"/>
                <w:szCs w:val="22"/>
              </w:rPr>
              <w:t xml:space="preserve"> FERC accounts 547 and 501</w:t>
            </w:r>
            <w:r w:rsidR="00C92FF1" w:rsidRPr="009C450D">
              <w:rPr>
                <w:sz w:val="22"/>
                <w:szCs w:val="22"/>
              </w:rPr>
              <w:t>;</w:t>
            </w:r>
            <w:r w:rsidR="009D017E" w:rsidRPr="009C450D">
              <w:rPr>
                <w:sz w:val="22"/>
                <w:szCs w:val="22"/>
              </w:rPr>
              <w:t xml:space="preserve"> </w:t>
            </w:r>
          </w:p>
          <w:p w:rsidR="00C92FF1" w:rsidRPr="009C450D" w:rsidRDefault="00C92FF1" w:rsidP="00C92FF1">
            <w:pPr>
              <w:spacing w:before="0"/>
              <w:ind w:firstLine="0"/>
              <w:rPr>
                <w:sz w:val="22"/>
                <w:szCs w:val="22"/>
              </w:rPr>
            </w:pPr>
          </w:p>
          <w:p w:rsidR="004524B0" w:rsidRPr="009C450D" w:rsidRDefault="00D602E6" w:rsidP="00C92FF1">
            <w:pPr>
              <w:spacing w:before="0" w:after="120" w:line="240" w:lineRule="auto"/>
              <w:ind w:firstLine="0"/>
              <w:rPr>
                <w:sz w:val="22"/>
                <w:szCs w:val="22"/>
              </w:rPr>
            </w:pPr>
            <w:r>
              <w:rPr>
                <w:sz w:val="22"/>
                <w:szCs w:val="22"/>
              </w:rPr>
              <w:t>•</w:t>
            </w:r>
            <w:r w:rsidR="006D0CE1" w:rsidRPr="009C450D">
              <w:rPr>
                <w:sz w:val="22"/>
                <w:szCs w:val="22"/>
              </w:rPr>
              <w:t>Purchase &amp; Interchange</w:t>
            </w:r>
            <w:r w:rsidR="009D017E" w:rsidRPr="009C450D">
              <w:rPr>
                <w:sz w:val="22"/>
                <w:szCs w:val="22"/>
              </w:rPr>
              <w:t>, FERC account 555</w:t>
            </w:r>
            <w:r w:rsidR="00C92FF1" w:rsidRPr="009C450D">
              <w:rPr>
                <w:sz w:val="22"/>
                <w:szCs w:val="22"/>
              </w:rPr>
              <w:t>;</w:t>
            </w:r>
            <w:r w:rsidR="009D017E" w:rsidRPr="009C450D">
              <w:rPr>
                <w:sz w:val="22"/>
                <w:szCs w:val="22"/>
              </w:rPr>
              <w:t xml:space="preserve"> </w:t>
            </w:r>
          </w:p>
          <w:p w:rsidR="009D017E" w:rsidRPr="009C450D" w:rsidRDefault="00D602E6" w:rsidP="00C92FF1">
            <w:pPr>
              <w:spacing w:before="0" w:after="120" w:line="240" w:lineRule="auto"/>
              <w:ind w:firstLine="0"/>
              <w:rPr>
                <w:sz w:val="22"/>
                <w:szCs w:val="22"/>
              </w:rPr>
            </w:pPr>
            <w:r>
              <w:rPr>
                <w:sz w:val="22"/>
                <w:szCs w:val="22"/>
              </w:rPr>
              <w:t>•</w:t>
            </w:r>
            <w:r w:rsidR="009D017E" w:rsidRPr="009C450D">
              <w:rPr>
                <w:sz w:val="22"/>
                <w:szCs w:val="22"/>
              </w:rPr>
              <w:t>Purchases/Sales of Non-Core Gas</w:t>
            </w:r>
            <w:r w:rsidR="00E34805" w:rsidRPr="009C450D">
              <w:rPr>
                <w:sz w:val="22"/>
                <w:szCs w:val="22"/>
              </w:rPr>
              <w:t>, FERC Account 456.0</w:t>
            </w:r>
            <w:r w:rsidR="00C92FF1" w:rsidRPr="009C450D">
              <w:rPr>
                <w:sz w:val="22"/>
                <w:szCs w:val="22"/>
              </w:rPr>
              <w:t>;</w:t>
            </w:r>
            <w:r w:rsidR="00E34805" w:rsidRPr="009C450D">
              <w:rPr>
                <w:sz w:val="22"/>
                <w:szCs w:val="22"/>
              </w:rPr>
              <w:t xml:space="preserve"> </w:t>
            </w:r>
            <w:r w:rsidR="009D017E" w:rsidRPr="009C450D">
              <w:rPr>
                <w:sz w:val="22"/>
                <w:szCs w:val="22"/>
              </w:rPr>
              <w:t xml:space="preserve"> </w:t>
            </w:r>
          </w:p>
          <w:p w:rsidR="002E7919" w:rsidRDefault="00D602E6" w:rsidP="00C92FF1">
            <w:pPr>
              <w:spacing w:before="0"/>
              <w:ind w:firstLine="0"/>
              <w:rPr>
                <w:sz w:val="22"/>
                <w:szCs w:val="22"/>
              </w:rPr>
            </w:pPr>
            <w:r>
              <w:rPr>
                <w:sz w:val="22"/>
                <w:szCs w:val="22"/>
              </w:rPr>
              <w:t>•</w:t>
            </w:r>
            <w:r w:rsidR="009D017E" w:rsidRPr="009C450D">
              <w:rPr>
                <w:sz w:val="22"/>
                <w:szCs w:val="22"/>
              </w:rPr>
              <w:t>Hedging Gains or Losses on Fuel and Power Purchases</w:t>
            </w:r>
            <w:r w:rsidR="006B78D2" w:rsidRPr="009C450D">
              <w:rPr>
                <w:sz w:val="22"/>
                <w:szCs w:val="22"/>
              </w:rPr>
              <w:t xml:space="preserve"> and Sales</w:t>
            </w:r>
            <w:r w:rsidR="009D017E" w:rsidRPr="009C450D">
              <w:rPr>
                <w:sz w:val="22"/>
                <w:szCs w:val="22"/>
              </w:rPr>
              <w:t xml:space="preserve"> and related Brokerage Fees</w:t>
            </w:r>
            <w:r w:rsidR="00C92FF1" w:rsidRPr="009C450D">
              <w:rPr>
                <w:sz w:val="22"/>
                <w:szCs w:val="22"/>
              </w:rPr>
              <w:t>;</w:t>
            </w:r>
            <w:r w:rsidR="009D017E" w:rsidRPr="009C450D">
              <w:rPr>
                <w:sz w:val="22"/>
                <w:szCs w:val="22"/>
              </w:rPr>
              <w:t xml:space="preserve"> </w:t>
            </w:r>
          </w:p>
          <w:p w:rsidR="002E7919" w:rsidRDefault="002E7919" w:rsidP="00C92FF1">
            <w:pPr>
              <w:spacing w:before="0"/>
              <w:ind w:firstLine="0"/>
              <w:rPr>
                <w:sz w:val="22"/>
                <w:szCs w:val="22"/>
              </w:rPr>
            </w:pPr>
          </w:p>
          <w:p w:rsidR="006D0CE1" w:rsidRPr="009C450D" w:rsidRDefault="00D602E6" w:rsidP="00C92FF1">
            <w:pPr>
              <w:spacing w:before="0"/>
              <w:ind w:firstLine="0"/>
              <w:rPr>
                <w:sz w:val="22"/>
                <w:szCs w:val="22"/>
              </w:rPr>
            </w:pPr>
            <w:r>
              <w:rPr>
                <w:sz w:val="22"/>
                <w:szCs w:val="22"/>
              </w:rPr>
              <w:t>•</w:t>
            </w:r>
            <w:r w:rsidR="006D0CE1" w:rsidRPr="009C450D">
              <w:rPr>
                <w:sz w:val="22"/>
                <w:szCs w:val="22"/>
              </w:rPr>
              <w:t>Sales to Others</w:t>
            </w:r>
            <w:r w:rsidR="009D017E" w:rsidRPr="009C450D">
              <w:rPr>
                <w:sz w:val="22"/>
                <w:szCs w:val="22"/>
              </w:rPr>
              <w:t>, FERC Account 447</w:t>
            </w:r>
            <w:r w:rsidR="00C92FF1" w:rsidRPr="009C450D">
              <w:rPr>
                <w:sz w:val="22"/>
                <w:szCs w:val="22"/>
              </w:rPr>
              <w:t>;</w:t>
            </w:r>
          </w:p>
          <w:p w:rsidR="00C92FF1" w:rsidRPr="009C450D" w:rsidRDefault="00C92FF1" w:rsidP="00C92FF1">
            <w:pPr>
              <w:spacing w:before="0"/>
              <w:ind w:firstLine="0"/>
              <w:rPr>
                <w:sz w:val="22"/>
                <w:szCs w:val="22"/>
              </w:rPr>
            </w:pPr>
          </w:p>
          <w:p w:rsidR="006D0CE1" w:rsidRPr="009C450D" w:rsidRDefault="00D602E6" w:rsidP="00C92FF1">
            <w:pPr>
              <w:spacing w:before="0"/>
              <w:ind w:firstLine="0"/>
              <w:rPr>
                <w:sz w:val="22"/>
                <w:szCs w:val="22"/>
              </w:rPr>
            </w:pPr>
            <w:r>
              <w:rPr>
                <w:sz w:val="22"/>
                <w:szCs w:val="22"/>
              </w:rPr>
              <w:t>•</w:t>
            </w:r>
            <w:r w:rsidR="006D0CE1" w:rsidRPr="009C450D">
              <w:rPr>
                <w:sz w:val="22"/>
                <w:szCs w:val="22"/>
              </w:rPr>
              <w:t>Wheeling costs</w:t>
            </w:r>
            <w:r w:rsidR="009D017E" w:rsidRPr="009C450D">
              <w:rPr>
                <w:sz w:val="22"/>
                <w:szCs w:val="22"/>
              </w:rPr>
              <w:t>, FERC Account 565</w:t>
            </w:r>
            <w:r w:rsidR="00C92FF1" w:rsidRPr="009C450D">
              <w:rPr>
                <w:sz w:val="22"/>
                <w:szCs w:val="22"/>
              </w:rPr>
              <w:t>;</w:t>
            </w:r>
          </w:p>
          <w:p w:rsidR="00C92FF1" w:rsidRPr="009C450D" w:rsidRDefault="00C92FF1" w:rsidP="00C92FF1">
            <w:pPr>
              <w:spacing w:before="0"/>
              <w:ind w:firstLine="0"/>
              <w:rPr>
                <w:sz w:val="22"/>
                <w:szCs w:val="22"/>
              </w:rPr>
            </w:pPr>
          </w:p>
          <w:p w:rsidR="004524B0" w:rsidRPr="009C450D" w:rsidRDefault="00D602E6" w:rsidP="00C92FF1">
            <w:pPr>
              <w:spacing w:before="0" w:after="120" w:line="240" w:lineRule="auto"/>
              <w:ind w:firstLine="0"/>
              <w:rPr>
                <w:sz w:val="22"/>
                <w:szCs w:val="22"/>
              </w:rPr>
            </w:pPr>
            <w:r>
              <w:rPr>
                <w:sz w:val="22"/>
                <w:szCs w:val="22"/>
              </w:rPr>
              <w:t>•</w:t>
            </w:r>
            <w:r w:rsidR="009D017E" w:rsidRPr="009C450D">
              <w:rPr>
                <w:sz w:val="22"/>
                <w:szCs w:val="22"/>
              </w:rPr>
              <w:t xml:space="preserve">Amortization of </w:t>
            </w:r>
            <w:r w:rsidR="006D0CE1" w:rsidRPr="009C450D">
              <w:rPr>
                <w:sz w:val="22"/>
                <w:szCs w:val="22"/>
              </w:rPr>
              <w:t>Production regulatory assets</w:t>
            </w:r>
            <w:r w:rsidR="00E34805" w:rsidRPr="009C450D">
              <w:rPr>
                <w:sz w:val="22"/>
                <w:szCs w:val="22"/>
              </w:rPr>
              <w:t xml:space="preserve"> or liabilities</w:t>
            </w:r>
            <w:r w:rsidR="009D017E" w:rsidRPr="009C450D">
              <w:rPr>
                <w:sz w:val="22"/>
                <w:szCs w:val="22"/>
              </w:rPr>
              <w:t xml:space="preserve"> amortized to Accts.: 501, 547, 555 and 565. </w:t>
            </w:r>
            <w:r w:rsidR="00047B64" w:rsidRPr="009C450D">
              <w:rPr>
                <w:sz w:val="22"/>
                <w:szCs w:val="22"/>
              </w:rPr>
              <w:t xml:space="preserve"> Inclusion of any other variable regulatory assets or liabilities will be decided in a future GRC or PCORC</w:t>
            </w:r>
            <w:r w:rsidR="00C92FF1" w:rsidRPr="009C450D">
              <w:rPr>
                <w:sz w:val="22"/>
                <w:szCs w:val="22"/>
              </w:rPr>
              <w:t>;</w:t>
            </w:r>
          </w:p>
          <w:p w:rsidR="000416DB" w:rsidRPr="009C450D" w:rsidRDefault="00D602E6" w:rsidP="00C92FF1">
            <w:pPr>
              <w:spacing w:before="0" w:after="120" w:line="240" w:lineRule="auto"/>
              <w:ind w:firstLine="0"/>
              <w:rPr>
                <w:sz w:val="22"/>
                <w:szCs w:val="22"/>
              </w:rPr>
            </w:pPr>
            <w:r>
              <w:rPr>
                <w:sz w:val="22"/>
                <w:szCs w:val="22"/>
              </w:rPr>
              <w:t>•Acct. 408.1—</w:t>
            </w:r>
            <w:r w:rsidR="000416DB" w:rsidRPr="009C450D">
              <w:rPr>
                <w:sz w:val="22"/>
                <w:szCs w:val="22"/>
              </w:rPr>
              <w:t>Montana Electric Energy Taxes</w:t>
            </w:r>
            <w:r w:rsidR="00C92FF1" w:rsidRPr="009C450D">
              <w:rPr>
                <w:sz w:val="22"/>
                <w:szCs w:val="22"/>
              </w:rPr>
              <w:t>;</w:t>
            </w:r>
            <w:r w:rsidR="000416DB" w:rsidRPr="009C450D">
              <w:rPr>
                <w:sz w:val="22"/>
                <w:szCs w:val="22"/>
              </w:rPr>
              <w:tab/>
              <w:t xml:space="preserve"> </w:t>
            </w:r>
          </w:p>
          <w:p w:rsidR="006D0CE1" w:rsidRPr="009C450D" w:rsidRDefault="00D602E6" w:rsidP="009C450D">
            <w:pPr>
              <w:spacing w:before="0" w:after="120" w:line="240" w:lineRule="auto"/>
              <w:ind w:firstLine="0"/>
              <w:rPr>
                <w:sz w:val="22"/>
                <w:szCs w:val="22"/>
              </w:rPr>
            </w:pPr>
            <w:r>
              <w:rPr>
                <w:sz w:val="22"/>
                <w:szCs w:val="22"/>
              </w:rPr>
              <w:t>•</w:t>
            </w:r>
            <w:r w:rsidR="00E34805" w:rsidRPr="009C450D">
              <w:rPr>
                <w:sz w:val="22"/>
                <w:szCs w:val="22"/>
              </w:rPr>
              <w:t>Commission Approved Equity Adder associated with Coal Transition PPA</w:t>
            </w:r>
            <w:r w:rsidR="00C92FF1" w:rsidRPr="009C450D">
              <w:rPr>
                <w:sz w:val="22"/>
                <w:szCs w:val="22"/>
              </w:rPr>
              <w:t>.</w:t>
            </w:r>
            <w:r w:rsidR="00E34805" w:rsidRPr="009C450D">
              <w:rPr>
                <w:sz w:val="22"/>
                <w:szCs w:val="22"/>
              </w:rPr>
              <w:t xml:space="preserve"> </w:t>
            </w:r>
          </w:p>
        </w:tc>
        <w:tc>
          <w:tcPr>
            <w:tcW w:w="3786" w:type="dxa"/>
            <w:tcBorders>
              <w:top w:val="single" w:sz="6" w:space="0" w:color="auto"/>
              <w:bottom w:val="double" w:sz="4" w:space="0" w:color="auto"/>
              <w:right w:val="double" w:sz="4" w:space="0" w:color="auto"/>
            </w:tcBorders>
          </w:tcPr>
          <w:p w:rsidR="00F82AC6" w:rsidRPr="009C450D" w:rsidRDefault="00D602E6" w:rsidP="00C92FF1">
            <w:pPr>
              <w:spacing w:before="0"/>
              <w:ind w:firstLine="0"/>
              <w:rPr>
                <w:sz w:val="22"/>
                <w:szCs w:val="22"/>
              </w:rPr>
            </w:pPr>
            <w:r>
              <w:rPr>
                <w:sz w:val="22"/>
                <w:szCs w:val="22"/>
              </w:rPr>
              <w:t>•</w:t>
            </w:r>
            <w:r w:rsidR="000416DB" w:rsidRPr="009C450D">
              <w:rPr>
                <w:sz w:val="22"/>
                <w:szCs w:val="22"/>
              </w:rPr>
              <w:t xml:space="preserve">Return on Fixed </w:t>
            </w:r>
            <w:r w:rsidR="006D0CE1" w:rsidRPr="009C450D">
              <w:rPr>
                <w:sz w:val="22"/>
                <w:szCs w:val="22"/>
              </w:rPr>
              <w:t>Production Plant and specific Transmission</w:t>
            </w:r>
            <w:r w:rsidR="001E1C9D" w:rsidRPr="009C450D">
              <w:rPr>
                <w:sz w:val="22"/>
                <w:szCs w:val="22"/>
                <w:vertAlign w:val="superscript"/>
              </w:rPr>
              <w:t>3</w:t>
            </w:r>
            <w:r w:rsidR="006D0CE1" w:rsidRPr="009C450D">
              <w:rPr>
                <w:sz w:val="22"/>
                <w:szCs w:val="22"/>
              </w:rPr>
              <w:t xml:space="preserve"> </w:t>
            </w:r>
            <w:r w:rsidR="000416DB" w:rsidRPr="009C450D">
              <w:rPr>
                <w:sz w:val="22"/>
                <w:szCs w:val="22"/>
              </w:rPr>
              <w:t>Assets, at the current authorized net of tax rate of return</w:t>
            </w:r>
            <w:r w:rsidR="00C92FF1" w:rsidRPr="009C450D">
              <w:rPr>
                <w:sz w:val="22"/>
                <w:szCs w:val="22"/>
              </w:rPr>
              <w:t xml:space="preserve">; </w:t>
            </w:r>
          </w:p>
          <w:p w:rsidR="00C92FF1" w:rsidRPr="009C450D" w:rsidRDefault="00C92FF1" w:rsidP="00C92FF1">
            <w:pPr>
              <w:spacing w:before="0"/>
              <w:ind w:firstLine="0"/>
              <w:rPr>
                <w:sz w:val="22"/>
                <w:szCs w:val="22"/>
              </w:rPr>
            </w:pPr>
          </w:p>
          <w:p w:rsidR="00F82AC6" w:rsidRPr="009C450D" w:rsidRDefault="00D602E6" w:rsidP="00C92FF1">
            <w:pPr>
              <w:spacing w:before="0"/>
              <w:ind w:firstLine="0"/>
              <w:rPr>
                <w:sz w:val="22"/>
                <w:szCs w:val="22"/>
              </w:rPr>
            </w:pPr>
            <w:r>
              <w:rPr>
                <w:sz w:val="22"/>
                <w:szCs w:val="22"/>
              </w:rPr>
              <w:t>•</w:t>
            </w:r>
            <w:r w:rsidR="00F82AC6" w:rsidRPr="009C450D">
              <w:rPr>
                <w:sz w:val="22"/>
                <w:szCs w:val="22"/>
              </w:rPr>
              <w:t>Return on Productio</w:t>
            </w:r>
            <w:r w:rsidR="009C450D">
              <w:rPr>
                <w:sz w:val="22"/>
                <w:szCs w:val="22"/>
              </w:rPr>
              <w:t>n-</w:t>
            </w:r>
            <w:r w:rsidR="00F82AC6" w:rsidRPr="009C450D">
              <w:rPr>
                <w:sz w:val="22"/>
                <w:szCs w:val="22"/>
              </w:rPr>
              <w:t xml:space="preserve">related Regulatory Assets </w:t>
            </w:r>
            <w:r w:rsidR="006A3DAD" w:rsidRPr="009C450D">
              <w:rPr>
                <w:sz w:val="22"/>
                <w:szCs w:val="22"/>
              </w:rPr>
              <w:t xml:space="preserve">and Liabilities </w:t>
            </w:r>
            <w:r w:rsidR="00F82AC6" w:rsidRPr="009C450D">
              <w:rPr>
                <w:sz w:val="22"/>
                <w:szCs w:val="22"/>
              </w:rPr>
              <w:t>at the current authorized net of tax rate of return</w:t>
            </w:r>
            <w:r w:rsidR="00C92FF1" w:rsidRPr="009C450D">
              <w:rPr>
                <w:sz w:val="22"/>
                <w:szCs w:val="22"/>
              </w:rPr>
              <w:t>;</w:t>
            </w:r>
          </w:p>
          <w:p w:rsidR="00C92FF1" w:rsidRPr="009C450D" w:rsidRDefault="00C92FF1" w:rsidP="00C92FF1">
            <w:pPr>
              <w:spacing w:before="0"/>
              <w:ind w:firstLine="0"/>
              <w:rPr>
                <w:sz w:val="22"/>
                <w:szCs w:val="22"/>
              </w:rPr>
            </w:pPr>
          </w:p>
          <w:p w:rsidR="007631A7" w:rsidRDefault="00D602E6" w:rsidP="00C92FF1">
            <w:pPr>
              <w:spacing w:before="0"/>
              <w:ind w:firstLine="0"/>
              <w:rPr>
                <w:sz w:val="22"/>
                <w:szCs w:val="22"/>
              </w:rPr>
            </w:pPr>
            <w:r>
              <w:rPr>
                <w:sz w:val="22"/>
                <w:szCs w:val="22"/>
              </w:rPr>
              <w:t>•</w:t>
            </w:r>
            <w:r w:rsidR="000416DB" w:rsidRPr="009C450D">
              <w:rPr>
                <w:sz w:val="22"/>
                <w:szCs w:val="22"/>
              </w:rPr>
              <w:t>Depre</w:t>
            </w:r>
            <w:r w:rsidR="00F82AC6" w:rsidRPr="009C450D">
              <w:rPr>
                <w:sz w:val="22"/>
                <w:szCs w:val="22"/>
              </w:rPr>
              <w:t>c</w:t>
            </w:r>
            <w:r w:rsidR="000416DB" w:rsidRPr="009C450D">
              <w:rPr>
                <w:sz w:val="22"/>
                <w:szCs w:val="22"/>
              </w:rPr>
              <w:t xml:space="preserve">iation expense for </w:t>
            </w:r>
            <w:r w:rsidR="006D0CE1" w:rsidRPr="009C450D">
              <w:rPr>
                <w:sz w:val="22"/>
                <w:szCs w:val="22"/>
              </w:rPr>
              <w:t>Production Plant and specific Transmission</w:t>
            </w:r>
            <w:r w:rsidR="001E1C9D" w:rsidRPr="009C450D">
              <w:rPr>
                <w:sz w:val="22"/>
                <w:szCs w:val="22"/>
                <w:vertAlign w:val="superscript"/>
              </w:rPr>
              <w:t>3</w:t>
            </w:r>
            <w:r w:rsidR="006D0CE1" w:rsidRPr="009C450D">
              <w:rPr>
                <w:sz w:val="22"/>
                <w:szCs w:val="22"/>
              </w:rPr>
              <w:t xml:space="preserve"> </w:t>
            </w:r>
            <w:r w:rsidR="000416DB" w:rsidRPr="009C450D">
              <w:rPr>
                <w:sz w:val="22"/>
                <w:szCs w:val="22"/>
              </w:rPr>
              <w:t>Assets</w:t>
            </w:r>
            <w:r w:rsidR="00C92FF1" w:rsidRPr="009C450D">
              <w:rPr>
                <w:sz w:val="22"/>
                <w:szCs w:val="22"/>
              </w:rPr>
              <w:t>;</w:t>
            </w:r>
          </w:p>
          <w:p w:rsidR="00A54323" w:rsidRDefault="00A54323" w:rsidP="00C92FF1">
            <w:pPr>
              <w:spacing w:before="0"/>
              <w:ind w:firstLine="0"/>
              <w:rPr>
                <w:sz w:val="22"/>
                <w:szCs w:val="22"/>
              </w:rPr>
            </w:pPr>
          </w:p>
          <w:p w:rsidR="00A54323" w:rsidRPr="009C450D" w:rsidRDefault="00A54323" w:rsidP="00C92FF1">
            <w:pPr>
              <w:spacing w:before="0"/>
              <w:ind w:firstLine="0"/>
              <w:rPr>
                <w:sz w:val="22"/>
                <w:szCs w:val="22"/>
              </w:rPr>
            </w:pPr>
            <w:r>
              <w:rPr>
                <w:sz w:val="22"/>
                <w:szCs w:val="22"/>
              </w:rPr>
              <w:t>•Hydro and other Production Plant O&amp;M (including Payroll OH/taxes);</w:t>
            </w:r>
          </w:p>
          <w:p w:rsidR="00A54323" w:rsidRDefault="00A54323" w:rsidP="00C92FF1">
            <w:pPr>
              <w:spacing w:before="0"/>
              <w:ind w:firstLine="0"/>
              <w:rPr>
                <w:rFonts w:eastAsia="Calibri"/>
                <w:sz w:val="22"/>
                <w:szCs w:val="22"/>
              </w:rPr>
            </w:pPr>
          </w:p>
          <w:p w:rsidR="00C92FF1" w:rsidRPr="009C450D" w:rsidRDefault="00D602E6" w:rsidP="00C92FF1">
            <w:pPr>
              <w:spacing w:before="0"/>
              <w:ind w:firstLine="0"/>
              <w:rPr>
                <w:sz w:val="22"/>
                <w:szCs w:val="22"/>
              </w:rPr>
            </w:pPr>
            <w:r>
              <w:rPr>
                <w:sz w:val="22"/>
                <w:szCs w:val="22"/>
              </w:rPr>
              <w:t>•</w:t>
            </w:r>
            <w:r w:rsidR="006D0CE1" w:rsidRPr="009C450D">
              <w:rPr>
                <w:sz w:val="22"/>
                <w:szCs w:val="22"/>
              </w:rPr>
              <w:t>Other Power Supply Expenses</w:t>
            </w:r>
            <w:r w:rsidR="00F82AC6" w:rsidRPr="009C450D">
              <w:rPr>
                <w:sz w:val="22"/>
                <w:szCs w:val="22"/>
              </w:rPr>
              <w:t>, FERC 557 (including Payroll OH/taxes)</w:t>
            </w:r>
            <w:r w:rsidR="00C92FF1" w:rsidRPr="009C450D">
              <w:rPr>
                <w:sz w:val="22"/>
                <w:szCs w:val="22"/>
              </w:rPr>
              <w:t>;</w:t>
            </w:r>
          </w:p>
          <w:p w:rsidR="007631A7" w:rsidRPr="009C450D" w:rsidRDefault="007631A7" w:rsidP="00C92FF1">
            <w:pPr>
              <w:spacing w:before="0"/>
              <w:ind w:firstLine="0"/>
              <w:rPr>
                <w:sz w:val="22"/>
                <w:szCs w:val="22"/>
              </w:rPr>
            </w:pPr>
          </w:p>
          <w:p w:rsidR="00F82AC6" w:rsidRPr="009C450D" w:rsidRDefault="00D602E6" w:rsidP="00C92FF1">
            <w:pPr>
              <w:pStyle w:val="ListParagraph"/>
              <w:ind w:left="0"/>
              <w:rPr>
                <w:rFonts w:ascii="Times New Roman" w:hAnsi="Times New Roman" w:cs="Times New Roman"/>
              </w:rPr>
            </w:pPr>
            <w:r>
              <w:rPr>
                <w:rFonts w:ascii="Times New Roman" w:hAnsi="Times New Roman" w:cs="Times New Roman"/>
              </w:rPr>
              <w:t>•</w:t>
            </w:r>
            <w:r w:rsidR="00F82AC6" w:rsidRPr="009C450D">
              <w:rPr>
                <w:rFonts w:ascii="Times New Roman" w:hAnsi="Times New Roman" w:cs="Times New Roman"/>
              </w:rPr>
              <w:t>Property Insurance associated with Production Plant</w:t>
            </w:r>
            <w:r w:rsidR="00C92FF1" w:rsidRPr="009C450D">
              <w:rPr>
                <w:rFonts w:ascii="Times New Roman" w:hAnsi="Times New Roman" w:cs="Times New Roman"/>
              </w:rPr>
              <w:t>;</w:t>
            </w:r>
          </w:p>
          <w:p w:rsidR="00F82AC6" w:rsidRPr="009C450D" w:rsidRDefault="00D602E6" w:rsidP="00C92FF1">
            <w:pPr>
              <w:pStyle w:val="ListParagraph"/>
              <w:ind w:left="0"/>
              <w:rPr>
                <w:rFonts w:ascii="Times New Roman" w:hAnsi="Times New Roman" w:cs="Times New Roman"/>
              </w:rPr>
            </w:pPr>
            <w:r>
              <w:rPr>
                <w:rFonts w:ascii="Times New Roman" w:hAnsi="Times New Roman" w:cs="Times New Roman"/>
              </w:rPr>
              <w:t>•</w:t>
            </w:r>
            <w:r w:rsidR="00F82AC6" w:rsidRPr="009C450D">
              <w:rPr>
                <w:rFonts w:ascii="Times New Roman" w:hAnsi="Times New Roman" w:cs="Times New Roman"/>
              </w:rPr>
              <w:t>Amortization of Regulatory Assets</w:t>
            </w:r>
            <w:r w:rsidR="00E34805" w:rsidRPr="009C450D">
              <w:rPr>
                <w:rFonts w:ascii="Times New Roman" w:hAnsi="Times New Roman" w:cs="Times New Roman"/>
              </w:rPr>
              <w:t xml:space="preserve"> and Liabilities</w:t>
            </w:r>
            <w:r w:rsidR="00F82AC6" w:rsidRPr="009C450D">
              <w:rPr>
                <w:rFonts w:ascii="Times New Roman" w:hAnsi="Times New Roman" w:cs="Times New Roman"/>
              </w:rPr>
              <w:t xml:space="preserve"> (Except amounts amortized to Accts.: 501, 547, 555 and 565)</w:t>
            </w:r>
            <w:r w:rsidR="00C92FF1" w:rsidRPr="009C450D">
              <w:rPr>
                <w:rFonts w:ascii="Times New Roman" w:hAnsi="Times New Roman" w:cs="Times New Roman"/>
              </w:rPr>
              <w:t>;</w:t>
            </w:r>
          </w:p>
          <w:p w:rsidR="006D0CE1" w:rsidRPr="009C450D" w:rsidRDefault="00D602E6" w:rsidP="00C92FF1">
            <w:pPr>
              <w:spacing w:before="0"/>
              <w:ind w:firstLine="0"/>
              <w:rPr>
                <w:sz w:val="22"/>
                <w:szCs w:val="22"/>
              </w:rPr>
            </w:pPr>
            <w:r>
              <w:rPr>
                <w:sz w:val="22"/>
                <w:szCs w:val="22"/>
              </w:rPr>
              <w:t>•</w:t>
            </w:r>
            <w:r w:rsidR="006D0CE1" w:rsidRPr="009C450D">
              <w:rPr>
                <w:sz w:val="22"/>
                <w:szCs w:val="22"/>
              </w:rPr>
              <w:t>Specific Transmission</w:t>
            </w:r>
            <w:r w:rsidR="001E1C9D" w:rsidRPr="009C450D">
              <w:rPr>
                <w:sz w:val="22"/>
                <w:szCs w:val="22"/>
                <w:vertAlign w:val="superscript"/>
              </w:rPr>
              <w:footnoteReference w:id="4"/>
            </w:r>
            <w:r w:rsidR="006D0CE1" w:rsidRPr="009C450D">
              <w:rPr>
                <w:sz w:val="22"/>
                <w:szCs w:val="22"/>
              </w:rPr>
              <w:t xml:space="preserve"> </w:t>
            </w:r>
            <w:r w:rsidR="0020697A" w:rsidRPr="009C450D">
              <w:rPr>
                <w:sz w:val="22"/>
                <w:szCs w:val="22"/>
              </w:rPr>
              <w:t>expense and revenues:</w:t>
            </w:r>
          </w:p>
          <w:p w:rsidR="000416DB" w:rsidRPr="009C450D" w:rsidRDefault="000416DB" w:rsidP="003348A2">
            <w:pPr>
              <w:pStyle w:val="ListParagraph"/>
              <w:numPr>
                <w:ilvl w:val="0"/>
                <w:numId w:val="7"/>
              </w:numPr>
              <w:spacing w:after="0"/>
              <w:rPr>
                <w:rFonts w:ascii="Times New Roman" w:hAnsi="Times New Roman" w:cs="Times New Roman"/>
              </w:rPr>
            </w:pPr>
            <w:r w:rsidRPr="009C450D">
              <w:rPr>
                <w:rFonts w:ascii="Times New Roman" w:hAnsi="Times New Roman" w:cs="Times New Roman"/>
              </w:rPr>
              <w:t>Transmission Expense</w:t>
            </w:r>
            <w:r w:rsidR="00D602E6">
              <w:rPr>
                <w:rFonts w:ascii="Times New Roman" w:hAnsi="Times New Roman" w:cs="Times New Roman"/>
              </w:rPr>
              <w:t>—</w:t>
            </w:r>
            <w:r w:rsidRPr="009C450D">
              <w:rPr>
                <w:rFonts w:ascii="Times New Roman" w:hAnsi="Times New Roman" w:cs="Times New Roman"/>
              </w:rPr>
              <w:t>500 kV</w:t>
            </w:r>
            <w:r w:rsidR="006259D6">
              <w:rPr>
                <w:rFonts w:ascii="Times New Roman" w:hAnsi="Times New Roman" w:cs="Times New Roman"/>
              </w:rPr>
              <w:t>;</w:t>
            </w:r>
          </w:p>
          <w:p w:rsidR="000416DB" w:rsidRPr="009C450D" w:rsidRDefault="000416DB" w:rsidP="003348A2">
            <w:pPr>
              <w:pStyle w:val="ListParagraph"/>
              <w:numPr>
                <w:ilvl w:val="0"/>
                <w:numId w:val="7"/>
              </w:numPr>
              <w:spacing w:after="0"/>
              <w:rPr>
                <w:rFonts w:ascii="Times New Roman" w:hAnsi="Times New Roman" w:cs="Times New Roman"/>
              </w:rPr>
            </w:pPr>
            <w:r w:rsidRPr="009C450D">
              <w:rPr>
                <w:rFonts w:ascii="Times New Roman" w:hAnsi="Times New Roman" w:cs="Times New Roman"/>
              </w:rPr>
              <w:t>Acct. 456.1 - Transmission Revenue</w:t>
            </w:r>
            <w:r w:rsidR="00CF4376">
              <w:rPr>
                <w:rFonts w:ascii="Times New Roman" w:hAnsi="Times New Roman" w:cs="Times New Roman"/>
              </w:rPr>
              <w:t>.</w:t>
            </w:r>
          </w:p>
        </w:tc>
        <w:tc>
          <w:tcPr>
            <w:tcW w:w="2358" w:type="dxa"/>
            <w:tcBorders>
              <w:top w:val="single" w:sz="6" w:space="0" w:color="auto"/>
              <w:left w:val="double" w:sz="4" w:space="0" w:color="auto"/>
              <w:bottom w:val="single" w:sz="4" w:space="0" w:color="auto"/>
            </w:tcBorders>
          </w:tcPr>
          <w:p w:rsidR="006D0CE1" w:rsidRPr="009C450D" w:rsidRDefault="00D602E6" w:rsidP="00C92FF1">
            <w:pPr>
              <w:spacing w:before="0"/>
              <w:ind w:firstLine="0"/>
              <w:rPr>
                <w:sz w:val="22"/>
                <w:szCs w:val="22"/>
              </w:rPr>
            </w:pPr>
            <w:r>
              <w:rPr>
                <w:sz w:val="22"/>
                <w:szCs w:val="22"/>
              </w:rPr>
              <w:t>•</w:t>
            </w:r>
            <w:r w:rsidR="006D0CE1" w:rsidRPr="009C450D">
              <w:rPr>
                <w:sz w:val="22"/>
                <w:szCs w:val="22"/>
              </w:rPr>
              <w:t xml:space="preserve">Transmission (other than what has been included in PCA </w:t>
            </w:r>
            <w:r w:rsidR="006B78D2" w:rsidRPr="009C450D">
              <w:rPr>
                <w:sz w:val="22"/>
                <w:szCs w:val="22"/>
              </w:rPr>
              <w:t>F</w:t>
            </w:r>
            <w:r w:rsidR="006D0CE1" w:rsidRPr="009C450D">
              <w:rPr>
                <w:sz w:val="22"/>
                <w:szCs w:val="22"/>
              </w:rPr>
              <w:t xml:space="preserve">ixed </w:t>
            </w:r>
            <w:r w:rsidR="006B78D2" w:rsidRPr="009C450D">
              <w:rPr>
                <w:sz w:val="22"/>
                <w:szCs w:val="22"/>
              </w:rPr>
              <w:t xml:space="preserve">Production Costs </w:t>
            </w:r>
            <w:r w:rsidR="006D0CE1" w:rsidRPr="009C450D">
              <w:rPr>
                <w:sz w:val="22"/>
                <w:szCs w:val="22"/>
              </w:rPr>
              <w:t>component)</w:t>
            </w:r>
          </w:p>
          <w:p w:rsidR="006D0CE1" w:rsidRPr="009C450D" w:rsidRDefault="006D0CE1" w:rsidP="00C92FF1">
            <w:pPr>
              <w:spacing w:before="0"/>
              <w:ind w:firstLine="0"/>
              <w:rPr>
                <w:sz w:val="22"/>
                <w:szCs w:val="22"/>
              </w:rPr>
            </w:pPr>
            <w:r w:rsidRPr="009C450D">
              <w:rPr>
                <w:sz w:val="22"/>
                <w:szCs w:val="22"/>
              </w:rPr>
              <w:t>Distribution</w:t>
            </w:r>
            <w:r w:rsidR="006259D6">
              <w:rPr>
                <w:sz w:val="22"/>
                <w:szCs w:val="22"/>
              </w:rPr>
              <w:t>;</w:t>
            </w:r>
          </w:p>
          <w:p w:rsidR="009C450D" w:rsidRPr="009C450D" w:rsidRDefault="009C450D" w:rsidP="00C92FF1">
            <w:pPr>
              <w:spacing w:before="0"/>
              <w:ind w:firstLine="0"/>
              <w:rPr>
                <w:sz w:val="22"/>
                <w:szCs w:val="22"/>
              </w:rPr>
            </w:pPr>
          </w:p>
          <w:p w:rsidR="006D0CE1" w:rsidRPr="009C450D" w:rsidRDefault="00D602E6" w:rsidP="00C92FF1">
            <w:pPr>
              <w:spacing w:before="0"/>
              <w:ind w:firstLine="0"/>
              <w:rPr>
                <w:sz w:val="22"/>
                <w:szCs w:val="22"/>
              </w:rPr>
            </w:pPr>
            <w:r>
              <w:rPr>
                <w:sz w:val="22"/>
                <w:szCs w:val="22"/>
              </w:rPr>
              <w:t>•</w:t>
            </w:r>
            <w:r w:rsidR="006D0CE1" w:rsidRPr="009C450D">
              <w:rPr>
                <w:sz w:val="22"/>
                <w:szCs w:val="22"/>
              </w:rPr>
              <w:t xml:space="preserve">All other operating accounts not included in the </w:t>
            </w:r>
            <w:r w:rsidR="006647A3" w:rsidRPr="009C450D">
              <w:rPr>
                <w:sz w:val="22"/>
                <w:szCs w:val="22"/>
              </w:rPr>
              <w:t>Power Cost Baseline Rate</w:t>
            </w:r>
            <w:r w:rsidR="00E144F8">
              <w:rPr>
                <w:sz w:val="22"/>
                <w:szCs w:val="22"/>
              </w:rPr>
              <w:t xml:space="preserve"> </w:t>
            </w:r>
            <w:r w:rsidR="008E2D12" w:rsidRPr="009C450D">
              <w:rPr>
                <w:sz w:val="22"/>
                <w:szCs w:val="22"/>
              </w:rPr>
              <w:t xml:space="preserve">Variable </w:t>
            </w:r>
            <w:r w:rsidR="00D6629C" w:rsidRPr="009C450D">
              <w:rPr>
                <w:sz w:val="22"/>
                <w:szCs w:val="22"/>
              </w:rPr>
              <w:t xml:space="preserve">Production </w:t>
            </w:r>
            <w:r w:rsidR="008E2D12" w:rsidRPr="009C450D">
              <w:rPr>
                <w:sz w:val="22"/>
                <w:szCs w:val="22"/>
              </w:rPr>
              <w:t>Cost</w:t>
            </w:r>
            <w:r w:rsidR="00D6629C" w:rsidRPr="009C450D">
              <w:rPr>
                <w:sz w:val="22"/>
                <w:szCs w:val="22"/>
              </w:rPr>
              <w:t>s</w:t>
            </w:r>
            <w:r w:rsidR="008E2D12" w:rsidRPr="009C450D">
              <w:rPr>
                <w:sz w:val="22"/>
                <w:szCs w:val="22"/>
              </w:rPr>
              <w:t xml:space="preserve"> or Fixed Production </w:t>
            </w:r>
            <w:r w:rsidR="00D6629C" w:rsidRPr="009C450D">
              <w:rPr>
                <w:sz w:val="22"/>
                <w:szCs w:val="22"/>
              </w:rPr>
              <w:t>C</w:t>
            </w:r>
            <w:r w:rsidR="008E2D12" w:rsidRPr="009C450D">
              <w:rPr>
                <w:sz w:val="22"/>
                <w:szCs w:val="22"/>
              </w:rPr>
              <w:t>ost</w:t>
            </w:r>
            <w:r w:rsidR="00D6629C" w:rsidRPr="009C450D">
              <w:rPr>
                <w:sz w:val="22"/>
                <w:szCs w:val="22"/>
              </w:rPr>
              <w:t>s</w:t>
            </w:r>
            <w:r w:rsidR="006259D6">
              <w:rPr>
                <w:sz w:val="22"/>
                <w:szCs w:val="22"/>
              </w:rPr>
              <w:t>;</w:t>
            </w:r>
          </w:p>
          <w:p w:rsidR="00F82AC6" w:rsidRPr="009C450D" w:rsidRDefault="00F82AC6" w:rsidP="00C92FF1">
            <w:pPr>
              <w:pStyle w:val="ListParagraph"/>
              <w:rPr>
                <w:rFonts w:ascii="Times New Roman" w:hAnsi="Times New Roman" w:cs="Times New Roman"/>
              </w:rPr>
            </w:pPr>
          </w:p>
          <w:p w:rsidR="00F82AC6" w:rsidRPr="009C450D" w:rsidRDefault="00D602E6" w:rsidP="00C92FF1">
            <w:pPr>
              <w:pStyle w:val="ListParagraph"/>
              <w:ind w:left="0"/>
              <w:rPr>
                <w:rFonts w:ascii="Times New Roman" w:hAnsi="Times New Roman" w:cs="Times New Roman"/>
              </w:rPr>
            </w:pPr>
            <w:r>
              <w:rPr>
                <w:rFonts w:ascii="Times New Roman" w:hAnsi="Times New Roman" w:cs="Times New Roman"/>
              </w:rPr>
              <w:t>•</w:t>
            </w:r>
            <w:r w:rsidR="00F82AC6" w:rsidRPr="009C450D">
              <w:rPr>
                <w:rFonts w:ascii="Times New Roman" w:hAnsi="Times New Roman" w:cs="Times New Roman"/>
              </w:rPr>
              <w:t>Line of Credit costs associated with Hedging program (included as a cost of capital item in next GRC)</w:t>
            </w:r>
            <w:r w:rsidR="006259D6">
              <w:rPr>
                <w:rFonts w:ascii="Times New Roman" w:hAnsi="Times New Roman" w:cs="Times New Roman"/>
              </w:rPr>
              <w:t>.</w:t>
            </w:r>
          </w:p>
          <w:p w:rsidR="006D0CE1" w:rsidRPr="009C450D" w:rsidRDefault="006D0CE1" w:rsidP="00C92FF1">
            <w:pPr>
              <w:spacing w:before="0"/>
              <w:rPr>
                <w:sz w:val="22"/>
                <w:szCs w:val="22"/>
              </w:rPr>
            </w:pPr>
          </w:p>
        </w:tc>
      </w:tr>
    </w:tbl>
    <w:p w:rsidR="006D0CE1" w:rsidRPr="00C92FF1" w:rsidRDefault="006D0CE1" w:rsidP="00F721A4">
      <w:pPr>
        <w:ind w:left="720" w:hanging="720"/>
        <w:rPr>
          <w:sz w:val="24"/>
        </w:rPr>
      </w:pPr>
      <w:r w:rsidRPr="00C92FF1">
        <w:rPr>
          <w:sz w:val="24"/>
        </w:rPr>
        <w:lastRenderedPageBreak/>
        <w:fldChar w:fldCharType="begin"/>
      </w:r>
      <w:r w:rsidRPr="00C92FF1">
        <w:rPr>
          <w:sz w:val="24"/>
        </w:rPr>
        <w:instrText xml:space="preserve"> AUTONUM </w:instrText>
      </w:r>
      <w:r w:rsidRPr="00C92FF1">
        <w:rPr>
          <w:sz w:val="24"/>
        </w:rPr>
        <w:fldChar w:fldCharType="end"/>
      </w:r>
      <w:r w:rsidRPr="00C92FF1">
        <w:rPr>
          <w:sz w:val="24"/>
        </w:rPr>
        <w:tab/>
      </w:r>
      <w:r w:rsidRPr="00C92FF1">
        <w:rPr>
          <w:b/>
          <w:sz w:val="24"/>
          <w:u w:val="single"/>
        </w:rPr>
        <w:t>New Resources:</w:t>
      </w:r>
      <w:r w:rsidRPr="00C92FF1">
        <w:rPr>
          <w:sz w:val="24"/>
        </w:rPr>
        <w:t xml:space="preserve">  New resources will be included in the allowable PCA costs.  The prudence of </w:t>
      </w:r>
      <w:r w:rsidR="00304D7B" w:rsidRPr="00C92FF1">
        <w:rPr>
          <w:sz w:val="24"/>
        </w:rPr>
        <w:t>new</w:t>
      </w:r>
      <w:r w:rsidRPr="00C92FF1">
        <w:rPr>
          <w:sz w:val="24"/>
        </w:rPr>
        <w:t xml:space="preserve"> resources</w:t>
      </w:r>
      <w:r w:rsidR="00304D7B" w:rsidRPr="00C92FF1">
        <w:rPr>
          <w:sz w:val="24"/>
        </w:rPr>
        <w:t xml:space="preserve"> with a term less than or equal to two years</w:t>
      </w:r>
      <w:r w:rsidRPr="00C92FF1">
        <w:rPr>
          <w:sz w:val="24"/>
        </w:rPr>
        <w:t xml:space="preserve"> will be determined in the Commission’s review of the annual PCA report. </w:t>
      </w:r>
      <w:r w:rsidR="004D03C0" w:rsidRPr="00C92FF1">
        <w:rPr>
          <w:sz w:val="24"/>
        </w:rPr>
        <w:t>The prudence of new resources with a term greater than two years may be reviewed in a Power Cost Only Rate Case or general rate proceeding</w:t>
      </w:r>
      <w:r w:rsidR="00531E4B" w:rsidRPr="00C92FF1">
        <w:rPr>
          <w:sz w:val="24"/>
        </w:rPr>
        <w:t>.</w:t>
      </w:r>
    </w:p>
    <w:p w:rsidR="00BC53A3" w:rsidRPr="00C92FF1" w:rsidRDefault="006D0CE1" w:rsidP="008A5479">
      <w:pPr>
        <w:ind w:left="720" w:hanging="720"/>
        <w:rPr>
          <w:b/>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Pr="00C92FF1">
        <w:rPr>
          <w:b/>
          <w:sz w:val="24"/>
          <w:u w:val="single"/>
        </w:rPr>
        <w:t xml:space="preserve">Power Cost Only Rate </w:t>
      </w:r>
      <w:r w:rsidR="00852D08" w:rsidRPr="00C92FF1">
        <w:rPr>
          <w:b/>
          <w:sz w:val="24"/>
          <w:u w:val="single"/>
        </w:rPr>
        <w:t>Case (PCORC)</w:t>
      </w:r>
    </w:p>
    <w:p w:rsidR="006D0CE1" w:rsidRPr="00C92FF1" w:rsidRDefault="006D0CE1" w:rsidP="00F721A4">
      <w:pPr>
        <w:ind w:left="720" w:firstLine="0"/>
        <w:rPr>
          <w:b/>
          <w:sz w:val="24"/>
        </w:rPr>
      </w:pPr>
      <w:r w:rsidRPr="00C92FF1">
        <w:rPr>
          <w:sz w:val="24"/>
        </w:rPr>
        <w:t>In addition to the yearly adjustment for power cost variances</w:t>
      </w:r>
      <w:r w:rsidR="008A3F6B" w:rsidRPr="00C92FF1">
        <w:rPr>
          <w:sz w:val="24"/>
        </w:rPr>
        <w:t xml:space="preserve"> in </w:t>
      </w:r>
      <w:r w:rsidR="002E6B2C" w:rsidRPr="00C92FF1">
        <w:rPr>
          <w:sz w:val="24"/>
        </w:rPr>
        <w:t>Variable Production Costs</w:t>
      </w:r>
      <w:r w:rsidRPr="00C92FF1">
        <w:rPr>
          <w:sz w:val="24"/>
        </w:rPr>
        <w:t xml:space="preserve">, </w:t>
      </w:r>
      <w:r w:rsidR="00303BC6">
        <w:rPr>
          <w:sz w:val="24"/>
        </w:rPr>
        <w:t>PSE may file</w:t>
      </w:r>
      <w:r w:rsidRPr="00C92FF1">
        <w:rPr>
          <w:sz w:val="24"/>
        </w:rPr>
        <w:t xml:space="preserve"> a periodic proceeding that would true </w:t>
      </w:r>
      <w:r w:rsidR="00303BC6">
        <w:rPr>
          <w:sz w:val="24"/>
        </w:rPr>
        <w:t xml:space="preserve">up </w:t>
      </w:r>
      <w:r w:rsidRPr="00C92FF1">
        <w:rPr>
          <w:i/>
          <w:sz w:val="24"/>
        </w:rPr>
        <w:t>all power costs</w:t>
      </w:r>
      <w:r w:rsidRPr="00C92FF1">
        <w:rPr>
          <w:sz w:val="24"/>
        </w:rPr>
        <w:t xml:space="preserve"> identified in the </w:t>
      </w:r>
      <w:r w:rsidR="006647A3" w:rsidRPr="00C92FF1">
        <w:rPr>
          <w:sz w:val="24"/>
        </w:rPr>
        <w:t>Power Cost Baseline Rate</w:t>
      </w:r>
      <w:r w:rsidR="004D03C0" w:rsidRPr="00C92FF1">
        <w:rPr>
          <w:sz w:val="24"/>
        </w:rPr>
        <w:t xml:space="preserve">, </w:t>
      </w:r>
      <w:r w:rsidR="009355FE" w:rsidRPr="00C92FF1">
        <w:rPr>
          <w:sz w:val="24"/>
        </w:rPr>
        <w:t xml:space="preserve">as well as allow </w:t>
      </w:r>
      <w:r w:rsidRPr="00C92FF1">
        <w:rPr>
          <w:sz w:val="24"/>
        </w:rPr>
        <w:t xml:space="preserve">new resources </w:t>
      </w:r>
      <w:r w:rsidR="009355FE" w:rsidRPr="00C92FF1">
        <w:rPr>
          <w:sz w:val="24"/>
        </w:rPr>
        <w:t>in</w:t>
      </w:r>
      <w:r w:rsidRPr="00C92FF1">
        <w:rPr>
          <w:sz w:val="24"/>
        </w:rPr>
        <w:t xml:space="preserve">to the </w:t>
      </w:r>
      <w:r w:rsidR="006647A3" w:rsidRPr="00C92FF1">
        <w:rPr>
          <w:sz w:val="24"/>
        </w:rPr>
        <w:t>Power Cost Baseline Rate</w:t>
      </w:r>
      <w:r w:rsidRPr="00C92FF1">
        <w:rPr>
          <w:sz w:val="24"/>
        </w:rPr>
        <w:t xml:space="preserve">. </w:t>
      </w:r>
      <w:r w:rsidR="002E7919">
        <w:rPr>
          <w:sz w:val="24"/>
        </w:rPr>
        <w:t xml:space="preserve"> </w:t>
      </w:r>
      <w:r w:rsidRPr="00C92FF1">
        <w:rPr>
          <w:sz w:val="24"/>
        </w:rPr>
        <w:t>In either case, the Company would submit a P</w:t>
      </w:r>
      <w:r w:rsidR="009355FE" w:rsidRPr="00C92FF1">
        <w:rPr>
          <w:sz w:val="24"/>
        </w:rPr>
        <w:t>CORC</w:t>
      </w:r>
      <w:r w:rsidRPr="00C92FF1">
        <w:rPr>
          <w:sz w:val="24"/>
        </w:rPr>
        <w:t xml:space="preserve"> filing proposing such change</w:t>
      </w:r>
      <w:r w:rsidR="009355FE" w:rsidRPr="00C92FF1">
        <w:rPr>
          <w:sz w:val="24"/>
        </w:rPr>
        <w:t>s</w:t>
      </w:r>
      <w:r w:rsidRPr="00C92FF1">
        <w:rPr>
          <w:sz w:val="24"/>
        </w:rPr>
        <w:t xml:space="preserve">.  </w:t>
      </w:r>
      <w:r w:rsidRPr="00C92FF1">
        <w:rPr>
          <w:snapToGrid w:val="0"/>
          <w:sz w:val="24"/>
        </w:rPr>
        <w:t>This filing shall include testimony and exhibits that include the following</w:t>
      </w:r>
      <w:r w:rsidRPr="00C92FF1">
        <w:rPr>
          <w:sz w:val="24"/>
        </w:rPr>
        <w:t>:</w:t>
      </w:r>
    </w:p>
    <w:p w:rsidR="006D0CE1" w:rsidRPr="00C92FF1" w:rsidRDefault="006D0CE1" w:rsidP="00F721A4">
      <w:pPr>
        <w:numPr>
          <w:ilvl w:val="0"/>
          <w:numId w:val="16"/>
        </w:numPr>
        <w:tabs>
          <w:tab w:val="num" w:pos="1440"/>
        </w:tabs>
        <w:rPr>
          <w:sz w:val="24"/>
        </w:rPr>
      </w:pPr>
      <w:r w:rsidRPr="00C92FF1">
        <w:rPr>
          <w:sz w:val="24"/>
        </w:rPr>
        <w:t xml:space="preserve">Current or updated </w:t>
      </w:r>
      <w:r w:rsidR="007631A7" w:rsidRPr="00C92FF1">
        <w:rPr>
          <w:sz w:val="24"/>
        </w:rPr>
        <w:t>integrated resource plan</w:t>
      </w:r>
    </w:p>
    <w:p w:rsidR="006D0CE1" w:rsidRPr="00C92FF1" w:rsidRDefault="006D0CE1" w:rsidP="00F721A4">
      <w:pPr>
        <w:numPr>
          <w:ilvl w:val="0"/>
          <w:numId w:val="16"/>
        </w:numPr>
        <w:tabs>
          <w:tab w:val="num" w:pos="1440"/>
        </w:tabs>
        <w:rPr>
          <w:sz w:val="24"/>
        </w:rPr>
      </w:pPr>
      <w:r w:rsidRPr="00C92FF1">
        <w:rPr>
          <w:sz w:val="24"/>
        </w:rPr>
        <w:t>Description of the need for additional resources (as applicable)</w:t>
      </w:r>
    </w:p>
    <w:p w:rsidR="006D0CE1" w:rsidRPr="00C92FF1" w:rsidRDefault="006D0CE1" w:rsidP="00F721A4">
      <w:pPr>
        <w:numPr>
          <w:ilvl w:val="0"/>
          <w:numId w:val="16"/>
        </w:numPr>
        <w:tabs>
          <w:tab w:val="num" w:pos="1440"/>
        </w:tabs>
        <w:rPr>
          <w:sz w:val="24"/>
        </w:rPr>
      </w:pPr>
      <w:r w:rsidRPr="00C92FF1">
        <w:rPr>
          <w:sz w:val="24"/>
        </w:rPr>
        <w:t>Evaluation of alternatives under various scenarios</w:t>
      </w:r>
      <w:r w:rsidR="00303BC6">
        <w:rPr>
          <w:sz w:val="24"/>
        </w:rPr>
        <w:t xml:space="preserve"> (as applicable)</w:t>
      </w:r>
    </w:p>
    <w:p w:rsidR="006D0CE1" w:rsidRPr="00C92FF1" w:rsidRDefault="006D0CE1" w:rsidP="00F721A4">
      <w:pPr>
        <w:numPr>
          <w:ilvl w:val="0"/>
          <w:numId w:val="16"/>
        </w:numPr>
        <w:tabs>
          <w:tab w:val="num" w:pos="1440"/>
        </w:tabs>
        <w:rPr>
          <w:sz w:val="24"/>
        </w:rPr>
      </w:pPr>
      <w:r w:rsidRPr="00C92FF1">
        <w:rPr>
          <w:sz w:val="24"/>
        </w:rPr>
        <w:t xml:space="preserve">Adjustments to the Fixed </w:t>
      </w:r>
      <w:r w:rsidR="00E34805" w:rsidRPr="00C92FF1">
        <w:rPr>
          <w:sz w:val="24"/>
        </w:rPr>
        <w:t xml:space="preserve">Production </w:t>
      </w:r>
      <w:r w:rsidR="00852D08" w:rsidRPr="00C92FF1">
        <w:rPr>
          <w:sz w:val="24"/>
        </w:rPr>
        <w:t xml:space="preserve">Cost </w:t>
      </w:r>
      <w:r w:rsidRPr="00C92FF1">
        <w:rPr>
          <w:sz w:val="24"/>
        </w:rPr>
        <w:t xml:space="preserve">Component </w:t>
      </w:r>
    </w:p>
    <w:p w:rsidR="006D0CE1" w:rsidRPr="00C92FF1" w:rsidRDefault="006D0CE1" w:rsidP="00F721A4">
      <w:pPr>
        <w:numPr>
          <w:ilvl w:val="0"/>
          <w:numId w:val="16"/>
        </w:numPr>
        <w:tabs>
          <w:tab w:val="num" w:pos="1440"/>
        </w:tabs>
        <w:rPr>
          <w:sz w:val="24"/>
        </w:rPr>
      </w:pPr>
      <w:r w:rsidRPr="00C92FF1">
        <w:rPr>
          <w:sz w:val="24"/>
        </w:rPr>
        <w:t xml:space="preserve">Adjustments to the Variable </w:t>
      </w:r>
      <w:r w:rsidR="00E34805" w:rsidRPr="00C92FF1">
        <w:rPr>
          <w:sz w:val="24"/>
        </w:rPr>
        <w:t xml:space="preserve">Production </w:t>
      </w:r>
      <w:r w:rsidR="00852D08" w:rsidRPr="00C92FF1">
        <w:rPr>
          <w:sz w:val="24"/>
        </w:rPr>
        <w:t xml:space="preserve">Cost </w:t>
      </w:r>
      <w:r w:rsidRPr="00C92FF1">
        <w:rPr>
          <w:sz w:val="24"/>
        </w:rPr>
        <w:t>Component</w:t>
      </w:r>
    </w:p>
    <w:p w:rsidR="006D0CE1" w:rsidRPr="00C92FF1" w:rsidRDefault="006D0CE1" w:rsidP="00F721A4">
      <w:pPr>
        <w:numPr>
          <w:ilvl w:val="0"/>
          <w:numId w:val="16"/>
        </w:numPr>
        <w:tabs>
          <w:tab w:val="num" w:pos="1440"/>
        </w:tabs>
        <w:rPr>
          <w:sz w:val="24"/>
        </w:rPr>
      </w:pPr>
      <w:r w:rsidRPr="00C92FF1">
        <w:rPr>
          <w:sz w:val="24"/>
        </w:rPr>
        <w:t>A calculation of proforma production cost schedules that are</w:t>
      </w:r>
      <w:r w:rsidR="00F23AAF" w:rsidRPr="00C92FF1">
        <w:rPr>
          <w:sz w:val="24"/>
        </w:rPr>
        <w:t xml:space="preserve"> </w:t>
      </w:r>
      <w:r w:rsidRPr="00C92FF1">
        <w:rPr>
          <w:sz w:val="24"/>
        </w:rPr>
        <w:t xml:space="preserve">consistent with this docket, including power supply and other adjustments impacting then current production costs.  </w:t>
      </w:r>
    </w:p>
    <w:p w:rsidR="006D0CE1"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00852D08" w:rsidRPr="00C92FF1">
        <w:rPr>
          <w:sz w:val="24"/>
        </w:rPr>
        <w:t>I</w:t>
      </w:r>
      <w:r w:rsidRPr="00C92FF1">
        <w:rPr>
          <w:sz w:val="24"/>
        </w:rPr>
        <w:t>f the Company shall file for a P</w:t>
      </w:r>
      <w:r w:rsidR="00852D08" w:rsidRPr="00C92FF1">
        <w:rPr>
          <w:sz w:val="24"/>
        </w:rPr>
        <w:t>CORC</w:t>
      </w:r>
      <w:r w:rsidRPr="00C92FF1">
        <w:rPr>
          <w:sz w:val="24"/>
        </w:rPr>
        <w:t xml:space="preserve">, and such filing shall result in an increase to general rates then in effect, the Company shall, within three (3) months of the effective date of any rate increase resulting from such </w:t>
      </w:r>
      <w:r w:rsidR="00852D08" w:rsidRPr="00C92FF1">
        <w:rPr>
          <w:sz w:val="24"/>
        </w:rPr>
        <w:t>PCORC</w:t>
      </w:r>
      <w:r w:rsidRPr="00C92FF1">
        <w:rPr>
          <w:sz w:val="24"/>
        </w:rPr>
        <w:t xml:space="preserve">, file a general rate case.  Not more than one general rate case filing in any 12 month period shall be required to comply with this requirement.  </w:t>
      </w:r>
      <w:r w:rsidR="006F2FF7" w:rsidRPr="00C92FF1">
        <w:rPr>
          <w:sz w:val="24"/>
        </w:rPr>
        <w:t xml:space="preserve">Except for requests for interim rate relief, PSE is prohibited from overlapping </w:t>
      </w:r>
      <w:r w:rsidR="00D6629C" w:rsidRPr="00C92FF1">
        <w:rPr>
          <w:sz w:val="24"/>
        </w:rPr>
        <w:t>PCORC</w:t>
      </w:r>
      <w:r w:rsidR="006F2FF7" w:rsidRPr="00C92FF1">
        <w:rPr>
          <w:sz w:val="24"/>
        </w:rPr>
        <w:t xml:space="preserve"> and general rate case filings. Additionally, PSE is limited to filing one power cost update per </w:t>
      </w:r>
      <w:r w:rsidR="00D6629C" w:rsidRPr="00C92FF1">
        <w:rPr>
          <w:sz w:val="24"/>
        </w:rPr>
        <w:t>PCORC</w:t>
      </w:r>
      <w:r w:rsidR="006F2FF7" w:rsidRPr="00C92FF1">
        <w:rPr>
          <w:sz w:val="24"/>
        </w:rPr>
        <w:t>, with an additional update allowed as part of the compliance filing if the Commission determines the update is necessary due to increased gas costs and orders that such update be made as part of the compliance filing</w:t>
      </w:r>
      <w:r w:rsidR="00852D08" w:rsidRPr="00C92FF1">
        <w:rPr>
          <w:rStyle w:val="FootnoteReference"/>
        </w:rPr>
        <w:footnoteReference w:id="5"/>
      </w:r>
      <w:r w:rsidR="006F2FF7" w:rsidRPr="00C92FF1">
        <w:rPr>
          <w:sz w:val="24"/>
        </w:rPr>
        <w:t>.</w:t>
      </w:r>
    </w:p>
    <w:p w:rsidR="006D0CE1" w:rsidRPr="00C92FF1" w:rsidRDefault="006D0CE1" w:rsidP="00F721A4">
      <w:pPr>
        <w:ind w:left="720" w:hanging="720"/>
        <w:rPr>
          <w:sz w:val="24"/>
        </w:rPr>
      </w:pPr>
      <w:r w:rsidRPr="00C92FF1">
        <w:rPr>
          <w:sz w:val="24"/>
        </w:rPr>
        <w:lastRenderedPageBreak/>
        <w:fldChar w:fldCharType="begin"/>
      </w:r>
      <w:r w:rsidRPr="00C92FF1">
        <w:rPr>
          <w:sz w:val="24"/>
        </w:rPr>
        <w:instrText xml:space="preserve"> AUTONUM </w:instrText>
      </w:r>
      <w:r w:rsidRPr="00C92FF1">
        <w:rPr>
          <w:sz w:val="24"/>
        </w:rPr>
        <w:fldChar w:fldCharType="end"/>
      </w:r>
      <w:r w:rsidRPr="00C92FF1">
        <w:rPr>
          <w:sz w:val="24"/>
        </w:rPr>
        <w:tab/>
        <w:t xml:space="preserve">One objective of a new resource proceeding is to have the new </w:t>
      </w:r>
      <w:r w:rsidR="006647A3" w:rsidRPr="00C92FF1">
        <w:rPr>
          <w:sz w:val="24"/>
        </w:rPr>
        <w:t>Power Cost Baseline Rate</w:t>
      </w:r>
      <w:r w:rsidR="001979F4" w:rsidRPr="00C92FF1">
        <w:rPr>
          <w:sz w:val="24"/>
        </w:rPr>
        <w:t xml:space="preserve"> </w:t>
      </w:r>
      <w:r w:rsidRPr="00C92FF1">
        <w:rPr>
          <w:sz w:val="24"/>
        </w:rPr>
        <w:t xml:space="preserve">in effect by the time the new resource would go into service.  Upon receipt of </w:t>
      </w:r>
      <w:r w:rsidR="00852D08" w:rsidRPr="00C92FF1">
        <w:rPr>
          <w:sz w:val="24"/>
        </w:rPr>
        <w:t xml:space="preserve">a </w:t>
      </w:r>
      <w:r w:rsidRPr="00C92FF1">
        <w:rPr>
          <w:sz w:val="24"/>
        </w:rPr>
        <w:t xml:space="preserve">filing, hearings would be scheduled to review the appropriateness of adjusting the </w:t>
      </w:r>
      <w:r w:rsidR="006647A3" w:rsidRPr="00C92FF1">
        <w:rPr>
          <w:sz w:val="24"/>
        </w:rPr>
        <w:t>Power Cost Baseline Rate</w:t>
      </w:r>
      <w:r w:rsidR="00F721A4" w:rsidRPr="00C92FF1">
        <w:rPr>
          <w:sz w:val="24"/>
        </w:rPr>
        <w:t>.</w:t>
      </w:r>
      <w:r w:rsidRPr="00C92FF1">
        <w:rPr>
          <w:sz w:val="24"/>
        </w:rPr>
        <w:t xml:space="preserve">  These hearings would consider only power supply costs included within the </w:t>
      </w:r>
      <w:r w:rsidR="006647A3" w:rsidRPr="00C92FF1">
        <w:rPr>
          <w:sz w:val="24"/>
        </w:rPr>
        <w:t>Power Cost Baseline Rate</w:t>
      </w:r>
      <w:r w:rsidRPr="00C92FF1">
        <w:rPr>
          <w:sz w:val="24"/>
        </w:rPr>
        <w:t xml:space="preserve">.  It is contemplated that this review would be completed within </w:t>
      </w:r>
      <w:r w:rsidR="00F23AAF" w:rsidRPr="00C92FF1">
        <w:rPr>
          <w:sz w:val="24"/>
        </w:rPr>
        <w:t xml:space="preserve">five </w:t>
      </w:r>
      <w:r w:rsidRPr="00C92FF1">
        <w:rPr>
          <w:sz w:val="24"/>
        </w:rPr>
        <w:t>months</w:t>
      </w:r>
      <w:r w:rsidR="000C07E8" w:rsidRPr="00C92FF1">
        <w:rPr>
          <w:sz w:val="24"/>
        </w:rPr>
        <w:t>.</w:t>
      </w:r>
      <w:r w:rsidR="00AF1CCF" w:rsidRPr="00C92FF1">
        <w:rPr>
          <w:rStyle w:val="FootnoteReference"/>
        </w:rPr>
        <w:footnoteReference w:id="6"/>
      </w:r>
      <w:r w:rsidRPr="00C92FF1">
        <w:rPr>
          <w:sz w:val="24"/>
        </w:rPr>
        <w:t xml:space="preserve">  </w:t>
      </w:r>
      <w:r w:rsidR="006F2FF7" w:rsidRPr="00C92FF1">
        <w:rPr>
          <w:sz w:val="24"/>
        </w:rPr>
        <w:t>Data request response time during the review period will be five days.</w:t>
      </w:r>
      <w:r w:rsidR="0038077E" w:rsidRPr="00C92FF1">
        <w:rPr>
          <w:rStyle w:val="FootnoteReference"/>
        </w:rPr>
        <w:footnoteReference w:id="7"/>
      </w:r>
      <w:r w:rsidR="000C07E8" w:rsidRPr="00C92FF1">
        <w:rPr>
          <w:sz w:val="24"/>
        </w:rPr>
        <w:t xml:space="preserve">  </w:t>
      </w:r>
      <w:r w:rsidRPr="00C92FF1">
        <w:rPr>
          <w:sz w:val="24"/>
        </w:rPr>
        <w:t xml:space="preserve">Within 30 days following the </w:t>
      </w:r>
      <w:r w:rsidR="00F23AAF" w:rsidRPr="00C92FF1">
        <w:rPr>
          <w:sz w:val="24"/>
        </w:rPr>
        <w:t xml:space="preserve">five </w:t>
      </w:r>
      <w:r w:rsidRPr="00C92FF1">
        <w:rPr>
          <w:sz w:val="24"/>
        </w:rPr>
        <w:t xml:space="preserve">month review, the Commission would issue an order determining the appropriateness of </w:t>
      </w:r>
      <w:r w:rsidR="007631A7" w:rsidRPr="00C92FF1">
        <w:rPr>
          <w:sz w:val="24"/>
        </w:rPr>
        <w:t xml:space="preserve">all power costs included in the </w:t>
      </w:r>
      <w:r w:rsidR="006647A3" w:rsidRPr="00C92FF1">
        <w:rPr>
          <w:sz w:val="24"/>
        </w:rPr>
        <w:t>Power Cost Baseline Rate</w:t>
      </w:r>
      <w:r w:rsidR="00304D7B" w:rsidRPr="00C92FF1">
        <w:rPr>
          <w:sz w:val="24"/>
        </w:rPr>
        <w:t xml:space="preserve"> </w:t>
      </w:r>
      <w:r w:rsidRPr="00C92FF1">
        <w:rPr>
          <w:sz w:val="24"/>
        </w:rPr>
        <w:t xml:space="preserve">and the prudence of any new resource (with a term greater than two years) acquisition. </w:t>
      </w:r>
    </w:p>
    <w:p w:rsidR="006D0CE1" w:rsidRPr="00C92FF1" w:rsidRDefault="00D64550">
      <w:pPr>
        <w:pStyle w:val="Heading2"/>
        <w:rPr>
          <w:sz w:val="24"/>
        </w:rPr>
      </w:pPr>
      <w:r w:rsidRPr="00C92FF1">
        <w:rPr>
          <w:sz w:val="24"/>
        </w:rPr>
        <w:t>C</w:t>
      </w:r>
      <w:r w:rsidR="006D0CE1" w:rsidRPr="00C92FF1">
        <w:rPr>
          <w:sz w:val="24"/>
        </w:rPr>
        <w:t>.</w:t>
      </w:r>
      <w:r w:rsidR="006D0CE1" w:rsidRPr="00C92FF1">
        <w:rPr>
          <w:sz w:val="24"/>
        </w:rPr>
        <w:tab/>
      </w:r>
      <w:r w:rsidR="00490E4C" w:rsidRPr="00C92FF1">
        <w:rPr>
          <w:sz w:val="24"/>
        </w:rPr>
        <w:t>PCA MECHANISM (PROCEDURES)</w:t>
      </w:r>
    </w:p>
    <w:p w:rsidR="001B7148"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Exhibit A</w:t>
      </w:r>
      <w:r w:rsidR="003B35F9" w:rsidRPr="00C92FF1">
        <w:rPr>
          <w:sz w:val="24"/>
        </w:rPr>
        <w:t>-1</w:t>
      </w:r>
      <w:r w:rsidRPr="00C92FF1">
        <w:rPr>
          <w:sz w:val="24"/>
        </w:rPr>
        <w:t xml:space="preserve"> details </w:t>
      </w:r>
      <w:r w:rsidR="00857DBF" w:rsidRPr="00C92FF1">
        <w:rPr>
          <w:sz w:val="24"/>
        </w:rPr>
        <w:t xml:space="preserve">an example of </w:t>
      </w:r>
      <w:r w:rsidRPr="00C92FF1">
        <w:rPr>
          <w:sz w:val="24"/>
        </w:rPr>
        <w:t>PSE’s presentation of the power costs, on a test year level (as defined in the revenue requirement settlement in Docket No. UE-</w:t>
      </w:r>
      <w:r w:rsidR="00857DBF" w:rsidRPr="00C92FF1">
        <w:rPr>
          <w:sz w:val="24"/>
        </w:rPr>
        <w:t>141141</w:t>
      </w:r>
      <w:r w:rsidRPr="00C92FF1">
        <w:rPr>
          <w:sz w:val="24"/>
        </w:rPr>
        <w:t xml:space="preserve">) identified in the Total Revenue Requirement Table.  The purpose of this exhibit is to calculate the Power Cost Baseline Rate which is defined as the sum of </w:t>
      </w:r>
      <w:r w:rsidR="002E6B2C" w:rsidRPr="00C92FF1">
        <w:rPr>
          <w:sz w:val="24"/>
        </w:rPr>
        <w:t xml:space="preserve">both </w:t>
      </w:r>
      <w:r w:rsidRPr="00C92FF1">
        <w:rPr>
          <w:sz w:val="24"/>
        </w:rPr>
        <w:t xml:space="preserve">the </w:t>
      </w:r>
      <w:r w:rsidR="00857DBF" w:rsidRPr="00C92FF1">
        <w:rPr>
          <w:sz w:val="24"/>
        </w:rPr>
        <w:t>Variable Production Costs and Fixed Production Costs</w:t>
      </w:r>
      <w:r w:rsidR="002E6B2C" w:rsidRPr="00C92FF1">
        <w:rPr>
          <w:sz w:val="24"/>
        </w:rPr>
        <w:t>,</w:t>
      </w:r>
      <w:r w:rsidRPr="00C92FF1">
        <w:rPr>
          <w:sz w:val="24"/>
        </w:rPr>
        <w:t xml:space="preserve"> divided by the test year delivered load (MWh).  </w:t>
      </w:r>
    </w:p>
    <w:p w:rsidR="00304D7B" w:rsidRPr="00C92FF1" w:rsidRDefault="006D0CE1" w:rsidP="00F721A4">
      <w:pPr>
        <w:ind w:left="720" w:hanging="720"/>
        <w:rPr>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 xml:space="preserve">Exhibit B, </w:t>
      </w:r>
      <w:r w:rsidR="00857DBF" w:rsidRPr="00C92FF1">
        <w:rPr>
          <w:sz w:val="24"/>
        </w:rPr>
        <w:t>which is based on the Company’s presentation of test year costs, is an explanation and example of the calculation used to determine</w:t>
      </w:r>
      <w:r w:rsidRPr="00C92FF1">
        <w:rPr>
          <w:sz w:val="24"/>
        </w:rPr>
        <w:t xml:space="preserve"> the amount </w:t>
      </w:r>
      <w:r w:rsidR="00857DBF" w:rsidRPr="00C92FF1">
        <w:rPr>
          <w:sz w:val="24"/>
        </w:rPr>
        <w:t xml:space="preserve">of power cost that will be </w:t>
      </w:r>
      <w:r w:rsidRPr="00C92FF1">
        <w:rPr>
          <w:sz w:val="24"/>
        </w:rPr>
        <w:t xml:space="preserve">subject to </w:t>
      </w:r>
      <w:r w:rsidR="00857DBF" w:rsidRPr="00C92FF1">
        <w:rPr>
          <w:sz w:val="24"/>
        </w:rPr>
        <w:t xml:space="preserve">the </w:t>
      </w:r>
      <w:r w:rsidRPr="00C92FF1">
        <w:rPr>
          <w:sz w:val="24"/>
        </w:rPr>
        <w:t xml:space="preserve">sharing </w:t>
      </w:r>
      <w:r w:rsidR="00857DBF" w:rsidRPr="00C92FF1">
        <w:rPr>
          <w:sz w:val="24"/>
        </w:rPr>
        <w:t>mechanism</w:t>
      </w:r>
      <w:r w:rsidR="00AD247D" w:rsidRPr="00C92FF1">
        <w:rPr>
          <w:sz w:val="24"/>
        </w:rPr>
        <w:t xml:space="preserve">.  This exhibit calculates the amount subject to sharing </w:t>
      </w:r>
      <w:r w:rsidRPr="00C92FF1">
        <w:rPr>
          <w:sz w:val="24"/>
        </w:rPr>
        <w:t xml:space="preserve">by subtracting the Baseline </w:t>
      </w:r>
      <w:r w:rsidR="00F23AAF" w:rsidRPr="00C92FF1">
        <w:rPr>
          <w:sz w:val="24"/>
        </w:rPr>
        <w:t xml:space="preserve">Variable </w:t>
      </w:r>
      <w:r w:rsidR="00857DBF" w:rsidRPr="00C92FF1">
        <w:rPr>
          <w:sz w:val="24"/>
        </w:rPr>
        <w:t xml:space="preserve">Production </w:t>
      </w:r>
      <w:r w:rsidRPr="00C92FF1">
        <w:rPr>
          <w:sz w:val="24"/>
        </w:rPr>
        <w:t xml:space="preserve">Costs from the </w:t>
      </w:r>
      <w:r w:rsidR="00972712" w:rsidRPr="00C92FF1">
        <w:rPr>
          <w:sz w:val="24"/>
        </w:rPr>
        <w:t>a</w:t>
      </w:r>
      <w:r w:rsidRPr="00C92FF1">
        <w:rPr>
          <w:sz w:val="24"/>
        </w:rPr>
        <w:t xml:space="preserve">llowed </w:t>
      </w:r>
      <w:r w:rsidR="00AB6737">
        <w:rPr>
          <w:sz w:val="24"/>
        </w:rPr>
        <w:t xml:space="preserve">total </w:t>
      </w:r>
      <w:r w:rsidR="00F23AAF" w:rsidRPr="00C92FF1">
        <w:rPr>
          <w:sz w:val="24"/>
        </w:rPr>
        <w:t xml:space="preserve">Variable </w:t>
      </w:r>
      <w:r w:rsidR="00857DBF" w:rsidRPr="00C92FF1">
        <w:rPr>
          <w:sz w:val="24"/>
        </w:rPr>
        <w:t xml:space="preserve">Production </w:t>
      </w:r>
      <w:r w:rsidRPr="00C92FF1">
        <w:rPr>
          <w:sz w:val="24"/>
        </w:rPr>
        <w:t xml:space="preserve">Costs </w:t>
      </w:r>
      <w:r w:rsidR="00AD247D" w:rsidRPr="00C92FF1">
        <w:rPr>
          <w:sz w:val="24"/>
        </w:rPr>
        <w:t xml:space="preserve">for the </w:t>
      </w:r>
      <w:r w:rsidR="00D8634C" w:rsidRPr="00C92FF1">
        <w:rPr>
          <w:sz w:val="24"/>
        </w:rPr>
        <w:t>PCA period</w:t>
      </w:r>
      <w:r w:rsidRPr="00C92FF1">
        <w:rPr>
          <w:sz w:val="24"/>
        </w:rPr>
        <w:t xml:space="preserve">.  Baseline </w:t>
      </w:r>
      <w:r w:rsidR="009E4F2D" w:rsidRPr="00C92FF1">
        <w:rPr>
          <w:sz w:val="24"/>
        </w:rPr>
        <w:t xml:space="preserve">Variable Production </w:t>
      </w:r>
      <w:r w:rsidRPr="00C92FF1">
        <w:rPr>
          <w:sz w:val="24"/>
        </w:rPr>
        <w:t xml:space="preserve">Costs are defined as the </w:t>
      </w:r>
      <w:r w:rsidR="00F23AAF" w:rsidRPr="00C92FF1">
        <w:rPr>
          <w:sz w:val="24"/>
        </w:rPr>
        <w:t xml:space="preserve">Variable </w:t>
      </w:r>
      <w:r w:rsidR="00AD247D" w:rsidRPr="00C92FF1">
        <w:rPr>
          <w:sz w:val="24"/>
        </w:rPr>
        <w:t xml:space="preserve">Production </w:t>
      </w:r>
      <w:r w:rsidRPr="00C92FF1">
        <w:rPr>
          <w:sz w:val="24"/>
        </w:rPr>
        <w:t>Cost</w:t>
      </w:r>
      <w:r w:rsidR="009E4F2D" w:rsidRPr="00C92FF1">
        <w:rPr>
          <w:sz w:val="24"/>
        </w:rPr>
        <w:t xml:space="preserve"> component of the </w:t>
      </w:r>
      <w:r w:rsidR="006647A3" w:rsidRPr="00C92FF1">
        <w:rPr>
          <w:sz w:val="24"/>
        </w:rPr>
        <w:t>Power Cost Baseline Rate</w:t>
      </w:r>
      <w:r w:rsidRPr="00C92FF1">
        <w:rPr>
          <w:sz w:val="24"/>
        </w:rPr>
        <w:t xml:space="preserve"> </w:t>
      </w:r>
      <w:r w:rsidR="00972712" w:rsidRPr="00C92FF1">
        <w:rPr>
          <w:sz w:val="24"/>
        </w:rPr>
        <w:t xml:space="preserve">multiplied by the </w:t>
      </w:r>
      <w:r w:rsidRPr="00C92FF1">
        <w:rPr>
          <w:sz w:val="24"/>
        </w:rPr>
        <w:t xml:space="preserve">actual delivered load in the PCA period. </w:t>
      </w:r>
    </w:p>
    <w:p w:rsidR="00455B6E" w:rsidRPr="00C92FF1" w:rsidRDefault="008D714E" w:rsidP="00204FAF">
      <w:pPr>
        <w:widowControl w:val="0"/>
        <w:tabs>
          <w:tab w:val="left" w:pos="720"/>
          <w:tab w:val="left" w:pos="4950"/>
        </w:tabs>
        <w:spacing w:line="249" w:lineRule="exact"/>
        <w:ind w:left="720" w:hanging="720"/>
        <w:rPr>
          <w:sz w:val="24"/>
          <w:szCs w:val="24"/>
        </w:rPr>
      </w:pPr>
      <w:r w:rsidRPr="00C92FF1">
        <w:rPr>
          <w:sz w:val="24"/>
        </w:rPr>
        <w:fldChar w:fldCharType="begin"/>
      </w:r>
      <w:r w:rsidRPr="00C92FF1">
        <w:rPr>
          <w:sz w:val="24"/>
        </w:rPr>
        <w:instrText xml:space="preserve"> AUTONUM </w:instrText>
      </w:r>
      <w:r w:rsidRPr="00C92FF1">
        <w:rPr>
          <w:sz w:val="24"/>
        </w:rPr>
        <w:fldChar w:fldCharType="end"/>
      </w:r>
      <w:r w:rsidR="00455B6E" w:rsidRPr="00C92FF1">
        <w:rPr>
          <w:sz w:val="24"/>
        </w:rPr>
        <w:tab/>
      </w:r>
      <w:r w:rsidR="00455B6E" w:rsidRPr="00C92FF1">
        <w:rPr>
          <w:b/>
          <w:sz w:val="24"/>
          <w:szCs w:val="24"/>
          <w:u w:val="single"/>
        </w:rPr>
        <w:t>Adjustments of Costs Outside of the PCA Period</w:t>
      </w:r>
      <w:r w:rsidR="001C11C7" w:rsidRPr="00C92FF1">
        <w:rPr>
          <w:b/>
          <w:sz w:val="24"/>
          <w:szCs w:val="24"/>
        </w:rPr>
        <w:t xml:space="preserve">:  </w:t>
      </w:r>
      <w:r w:rsidR="001C11C7" w:rsidRPr="00C92FF1">
        <w:rPr>
          <w:sz w:val="24"/>
          <w:szCs w:val="24"/>
        </w:rPr>
        <w:t xml:space="preserve">Power </w:t>
      </w:r>
      <w:r w:rsidR="00455B6E" w:rsidRPr="00C92FF1">
        <w:rPr>
          <w:sz w:val="24"/>
          <w:szCs w:val="24"/>
        </w:rPr>
        <w:t xml:space="preserve">cost adjustments or true-ups for prior periods that fall within the PCA period are included as recoverable power costs </w:t>
      </w:r>
      <w:r w:rsidR="009E4F2D" w:rsidRPr="00C92FF1">
        <w:rPr>
          <w:sz w:val="24"/>
          <w:szCs w:val="24"/>
        </w:rPr>
        <w:t>through</w:t>
      </w:r>
      <w:r w:rsidR="00455B6E" w:rsidRPr="00C92FF1">
        <w:rPr>
          <w:sz w:val="24"/>
          <w:szCs w:val="24"/>
        </w:rPr>
        <w:t xml:space="preserve"> the Variable Production Costs component.</w:t>
      </w:r>
    </w:p>
    <w:p w:rsidR="00455B6E" w:rsidRPr="00C92FF1" w:rsidRDefault="00455B6E" w:rsidP="003C01D2">
      <w:pPr>
        <w:widowControl w:val="0"/>
        <w:numPr>
          <w:ilvl w:val="0"/>
          <w:numId w:val="17"/>
        </w:numPr>
        <w:tabs>
          <w:tab w:val="left" w:pos="360"/>
        </w:tabs>
        <w:spacing w:after="240" w:line="240" w:lineRule="exact"/>
        <w:ind w:left="1080"/>
        <w:jc w:val="both"/>
        <w:rPr>
          <w:sz w:val="24"/>
          <w:szCs w:val="24"/>
        </w:rPr>
      </w:pPr>
      <w:r w:rsidRPr="00C92FF1">
        <w:rPr>
          <w:snapToGrid w:val="0"/>
          <w:sz w:val="24"/>
          <w:szCs w:val="24"/>
          <w:u w:val="single"/>
        </w:rPr>
        <w:t>Adjustments for Previous PCA Periods:</w:t>
      </w:r>
    </w:p>
    <w:p w:rsidR="00204FAF" w:rsidRPr="00C92FF1" w:rsidRDefault="00455B6E" w:rsidP="00204FAF">
      <w:pPr>
        <w:pStyle w:val="BodyTextIndent"/>
        <w:widowControl w:val="0"/>
        <w:numPr>
          <w:ilvl w:val="0"/>
          <w:numId w:val="18"/>
        </w:numPr>
        <w:tabs>
          <w:tab w:val="left" w:pos="360"/>
        </w:tabs>
        <w:spacing w:after="240" w:line="273" w:lineRule="exact"/>
        <w:ind w:hanging="316"/>
        <w:rPr>
          <w:rFonts w:ascii="Times New Roman" w:hAnsi="Times New Roman"/>
          <w:snapToGrid w:val="0"/>
          <w:sz w:val="24"/>
          <w:szCs w:val="24"/>
        </w:rPr>
      </w:pPr>
      <w:r w:rsidRPr="00C92FF1">
        <w:rPr>
          <w:rFonts w:ascii="Times New Roman" w:hAnsi="Times New Roman"/>
          <w:sz w:val="24"/>
          <w:szCs w:val="24"/>
        </w:rPr>
        <w:t>Adjustments for previous PCA period(s) that are equal to or less than $1 million (debit or credit) will flow through the current months PCA calculation.</w:t>
      </w:r>
    </w:p>
    <w:p w:rsidR="00204FAF" w:rsidRPr="00C92FF1" w:rsidRDefault="00455B6E" w:rsidP="00204FAF">
      <w:pPr>
        <w:pStyle w:val="BodyTextIndent"/>
        <w:widowControl w:val="0"/>
        <w:numPr>
          <w:ilvl w:val="0"/>
          <w:numId w:val="18"/>
        </w:numPr>
        <w:tabs>
          <w:tab w:val="left" w:pos="360"/>
        </w:tabs>
        <w:spacing w:after="240" w:line="273" w:lineRule="exact"/>
        <w:ind w:hanging="316"/>
        <w:rPr>
          <w:rFonts w:ascii="Times New Roman" w:hAnsi="Times New Roman"/>
          <w:snapToGrid w:val="0"/>
          <w:sz w:val="24"/>
          <w:szCs w:val="24"/>
        </w:rPr>
      </w:pPr>
      <w:r w:rsidRPr="00C92FF1">
        <w:rPr>
          <w:rFonts w:ascii="Times New Roman" w:hAnsi="Times New Roman"/>
          <w:sz w:val="24"/>
          <w:szCs w:val="24"/>
        </w:rPr>
        <w:t xml:space="preserve">Adjustments or true-ups greater than $1 million (debit or credit) that relate to prior PCA period(s) will flow through a recalculation of the previous PCA period(s) for regulatory purposes. Any changes to the customer deferrals from </w:t>
      </w:r>
      <w:r w:rsidRPr="00C92FF1">
        <w:rPr>
          <w:rFonts w:ascii="Times New Roman" w:hAnsi="Times New Roman"/>
          <w:sz w:val="24"/>
          <w:szCs w:val="24"/>
        </w:rPr>
        <w:lastRenderedPageBreak/>
        <w:t>the prior PCA period(s) will be indicated in a reconciliation schedule for deferrals by PCA period(s).</w:t>
      </w:r>
    </w:p>
    <w:p w:rsidR="00455B6E" w:rsidRPr="00C92FF1" w:rsidRDefault="00455B6E" w:rsidP="005F330F">
      <w:pPr>
        <w:pStyle w:val="BodyTextIndent"/>
        <w:widowControl w:val="0"/>
        <w:numPr>
          <w:ilvl w:val="0"/>
          <w:numId w:val="17"/>
        </w:numPr>
        <w:tabs>
          <w:tab w:val="left" w:pos="360"/>
        </w:tabs>
        <w:spacing w:after="240" w:line="273" w:lineRule="exact"/>
        <w:ind w:left="1080"/>
        <w:rPr>
          <w:rFonts w:ascii="Times New Roman" w:hAnsi="Times New Roman"/>
          <w:snapToGrid w:val="0"/>
          <w:sz w:val="24"/>
          <w:szCs w:val="24"/>
        </w:rPr>
      </w:pPr>
      <w:r w:rsidRPr="00C92FF1">
        <w:rPr>
          <w:rFonts w:ascii="Times New Roman" w:hAnsi="Times New Roman"/>
          <w:snapToGrid w:val="0"/>
          <w:sz w:val="24"/>
          <w:szCs w:val="24"/>
          <w:u w:val="single"/>
        </w:rPr>
        <w:t>Exceptions to Adjustments for Previous Periods:</w:t>
      </w:r>
    </w:p>
    <w:p w:rsidR="00204FAF" w:rsidRPr="00C92FF1" w:rsidRDefault="00455B6E" w:rsidP="00490E4C">
      <w:pPr>
        <w:pStyle w:val="BodyTextIndent"/>
        <w:numPr>
          <w:ilvl w:val="0"/>
          <w:numId w:val="20"/>
        </w:numPr>
        <w:tabs>
          <w:tab w:val="left" w:pos="360"/>
        </w:tabs>
        <w:spacing w:after="240"/>
        <w:rPr>
          <w:rFonts w:ascii="Times New Roman" w:hAnsi="Times New Roman"/>
          <w:sz w:val="24"/>
          <w:szCs w:val="24"/>
          <w:u w:val="single"/>
        </w:rPr>
      </w:pPr>
      <w:r w:rsidRPr="00C92FF1">
        <w:rPr>
          <w:rFonts w:ascii="Times New Roman" w:hAnsi="Times New Roman"/>
          <w:i/>
          <w:sz w:val="24"/>
          <w:szCs w:val="24"/>
        </w:rPr>
        <w:t>Company Accounting Errors:</w:t>
      </w:r>
      <w:r w:rsidR="00204FAF" w:rsidRPr="00C92FF1">
        <w:rPr>
          <w:rFonts w:ascii="Times New Roman" w:hAnsi="Times New Roman"/>
          <w:sz w:val="24"/>
          <w:szCs w:val="24"/>
        </w:rPr>
        <w:t xml:space="preserve">  </w:t>
      </w:r>
      <w:r w:rsidRPr="00C92FF1">
        <w:rPr>
          <w:rFonts w:ascii="Times New Roman" w:hAnsi="Times New Roman"/>
          <w:sz w:val="24"/>
          <w:szCs w:val="24"/>
        </w:rPr>
        <w:t>If an error has been made in regard to accounting for power cost transactions, except for Colstrip fuel costs and to the extent that the Company should have known at the time of the transaction, the Company will reflect the appropriate adjustment to the PCA period(s) and adjust the deferral for the</w:t>
      </w:r>
      <w:r w:rsidR="009E4F2D" w:rsidRPr="00C92FF1">
        <w:rPr>
          <w:rFonts w:ascii="Times New Roman" w:hAnsi="Times New Roman"/>
          <w:sz w:val="24"/>
          <w:szCs w:val="24"/>
        </w:rPr>
        <w:t xml:space="preserve"> PCA</w:t>
      </w:r>
      <w:r w:rsidRPr="00C92FF1">
        <w:rPr>
          <w:rFonts w:ascii="Times New Roman" w:hAnsi="Times New Roman"/>
          <w:sz w:val="24"/>
          <w:szCs w:val="24"/>
        </w:rPr>
        <w:t xml:space="preserve"> period(s) accordingly.</w:t>
      </w:r>
    </w:p>
    <w:p w:rsidR="00204FAF" w:rsidRPr="00C92FF1" w:rsidRDefault="00455B6E" w:rsidP="00490E4C">
      <w:pPr>
        <w:pStyle w:val="BodyTextIndent"/>
        <w:numPr>
          <w:ilvl w:val="0"/>
          <w:numId w:val="20"/>
        </w:numPr>
        <w:tabs>
          <w:tab w:val="left" w:pos="360"/>
        </w:tabs>
        <w:spacing w:after="240"/>
        <w:rPr>
          <w:rFonts w:ascii="Times New Roman" w:hAnsi="Times New Roman"/>
          <w:sz w:val="24"/>
          <w:szCs w:val="24"/>
        </w:rPr>
      </w:pPr>
      <w:r w:rsidRPr="00C92FF1">
        <w:rPr>
          <w:rFonts w:ascii="Times New Roman" w:hAnsi="Times New Roman"/>
          <w:i/>
          <w:snapToGrid w:val="0"/>
          <w:sz w:val="24"/>
          <w:szCs w:val="24"/>
        </w:rPr>
        <w:t>Mid-Columbia Power Costs:</w:t>
      </w:r>
      <w:r w:rsidRPr="00C92FF1">
        <w:rPr>
          <w:rFonts w:ascii="Times New Roman" w:hAnsi="Times New Roman"/>
          <w:snapToGrid w:val="0"/>
          <w:sz w:val="24"/>
          <w:szCs w:val="24"/>
        </w:rPr>
        <w:t xml:space="preserve">  </w:t>
      </w:r>
      <w:r w:rsidR="001C11C7" w:rsidRPr="00C92FF1">
        <w:rPr>
          <w:rFonts w:ascii="Times New Roman" w:hAnsi="Times New Roman"/>
          <w:snapToGrid w:val="0"/>
          <w:sz w:val="24"/>
          <w:szCs w:val="24"/>
        </w:rPr>
        <w:t>S</w:t>
      </w:r>
      <w:r w:rsidRPr="00C92FF1">
        <w:rPr>
          <w:rFonts w:ascii="Times New Roman" w:hAnsi="Times New Roman"/>
          <w:snapToGrid w:val="0"/>
          <w:sz w:val="24"/>
          <w:szCs w:val="24"/>
        </w:rPr>
        <w:t>ince it is difficult to determine the months impacted by any annual true-ups under PSE’s Mid-Columbia contracts, any annual true-ups for PSE’s costs under its Mid-Columbia contracts will be considered a Variable Production Cost</w:t>
      </w:r>
      <w:r w:rsidRPr="00C92FF1">
        <w:rPr>
          <w:rFonts w:ascii="Times New Roman" w:hAnsi="Times New Roman"/>
          <w:sz w:val="24"/>
          <w:szCs w:val="24"/>
        </w:rPr>
        <w:t xml:space="preserve"> and included</w:t>
      </w:r>
      <w:r w:rsidRPr="00C92FF1">
        <w:rPr>
          <w:rFonts w:ascii="Times New Roman" w:hAnsi="Times New Roman"/>
          <w:snapToGrid w:val="0"/>
          <w:sz w:val="24"/>
          <w:szCs w:val="24"/>
        </w:rPr>
        <w:t xml:space="preserve"> in the</w:t>
      </w:r>
      <w:r w:rsidR="009E4F2D" w:rsidRPr="00C92FF1">
        <w:rPr>
          <w:rFonts w:ascii="Times New Roman" w:hAnsi="Times New Roman"/>
          <w:snapToGrid w:val="0"/>
          <w:sz w:val="24"/>
          <w:szCs w:val="24"/>
        </w:rPr>
        <w:t xml:space="preserve"> same</w:t>
      </w:r>
      <w:r w:rsidRPr="00C92FF1">
        <w:rPr>
          <w:rFonts w:ascii="Times New Roman" w:hAnsi="Times New Roman"/>
          <w:snapToGrid w:val="0"/>
          <w:sz w:val="24"/>
          <w:szCs w:val="24"/>
        </w:rPr>
        <w:t xml:space="preserve"> PCA period</w:t>
      </w:r>
      <w:r w:rsidRPr="00C92FF1">
        <w:rPr>
          <w:rFonts w:ascii="Times New Roman" w:hAnsi="Times New Roman"/>
          <w:sz w:val="24"/>
          <w:szCs w:val="24"/>
        </w:rPr>
        <w:t>(s)</w:t>
      </w:r>
      <w:r w:rsidRPr="00C92FF1">
        <w:rPr>
          <w:rFonts w:ascii="Times New Roman" w:hAnsi="Times New Roman"/>
          <w:snapToGrid w:val="0"/>
          <w:sz w:val="24"/>
          <w:szCs w:val="24"/>
        </w:rPr>
        <w:t xml:space="preserve"> </w:t>
      </w:r>
      <w:r w:rsidR="009E4F2D" w:rsidRPr="00C92FF1">
        <w:rPr>
          <w:rFonts w:ascii="Times New Roman" w:hAnsi="Times New Roman"/>
          <w:snapToGrid w:val="0"/>
          <w:sz w:val="24"/>
          <w:szCs w:val="24"/>
        </w:rPr>
        <w:t>for which they</w:t>
      </w:r>
      <w:r w:rsidRPr="00C92FF1">
        <w:rPr>
          <w:rFonts w:ascii="Times New Roman" w:hAnsi="Times New Roman"/>
          <w:snapToGrid w:val="0"/>
          <w:sz w:val="24"/>
          <w:szCs w:val="24"/>
        </w:rPr>
        <w:t xml:space="preserve"> are booked to power costs.</w:t>
      </w:r>
    </w:p>
    <w:p w:rsidR="00204FAF" w:rsidRPr="00C92FF1" w:rsidRDefault="00455B6E" w:rsidP="00490E4C">
      <w:pPr>
        <w:pStyle w:val="BodyTextIndent"/>
        <w:numPr>
          <w:ilvl w:val="0"/>
          <w:numId w:val="20"/>
        </w:numPr>
        <w:tabs>
          <w:tab w:val="left" w:pos="360"/>
        </w:tabs>
        <w:spacing w:after="240"/>
        <w:rPr>
          <w:rFonts w:ascii="Times New Roman" w:hAnsi="Times New Roman"/>
          <w:sz w:val="24"/>
          <w:szCs w:val="24"/>
        </w:rPr>
      </w:pPr>
      <w:r w:rsidRPr="00C92FF1">
        <w:rPr>
          <w:rFonts w:ascii="Times New Roman" w:hAnsi="Times New Roman"/>
          <w:i/>
          <w:sz w:val="24"/>
          <w:szCs w:val="24"/>
        </w:rPr>
        <w:t>Colstrip Fuel Costs</w:t>
      </w:r>
      <w:r w:rsidR="00204FAF" w:rsidRPr="00C92FF1">
        <w:rPr>
          <w:rFonts w:ascii="Times New Roman" w:hAnsi="Times New Roman"/>
          <w:i/>
          <w:sz w:val="24"/>
          <w:szCs w:val="24"/>
        </w:rPr>
        <w:t>:</w:t>
      </w:r>
      <w:r w:rsidR="00204FAF" w:rsidRPr="00C92FF1">
        <w:rPr>
          <w:rFonts w:ascii="Times New Roman" w:hAnsi="Times New Roman"/>
          <w:sz w:val="24"/>
          <w:szCs w:val="24"/>
        </w:rPr>
        <w:t xml:space="preserve">  </w:t>
      </w:r>
      <w:r w:rsidRPr="00C92FF1">
        <w:rPr>
          <w:rFonts w:ascii="Times New Roman" w:hAnsi="Times New Roman"/>
          <w:snapToGrid w:val="0"/>
          <w:sz w:val="24"/>
          <w:szCs w:val="24"/>
        </w:rPr>
        <w:t xml:space="preserve">Any adjustments, true-ups, or corrections made for Colstrip inventory valuation for prior period will be considered a Variable Production Cost and included in the </w:t>
      </w:r>
      <w:r w:rsidR="009E4F2D" w:rsidRPr="00C92FF1">
        <w:rPr>
          <w:rFonts w:ascii="Times New Roman" w:hAnsi="Times New Roman"/>
          <w:snapToGrid w:val="0"/>
          <w:sz w:val="24"/>
          <w:szCs w:val="24"/>
        </w:rPr>
        <w:t xml:space="preserve">same </w:t>
      </w:r>
      <w:r w:rsidRPr="00C92FF1">
        <w:rPr>
          <w:rFonts w:ascii="Times New Roman" w:hAnsi="Times New Roman"/>
          <w:snapToGrid w:val="0"/>
          <w:sz w:val="24"/>
          <w:szCs w:val="24"/>
        </w:rPr>
        <w:t xml:space="preserve">PCA period(s) </w:t>
      </w:r>
      <w:r w:rsidR="009E4F2D" w:rsidRPr="00C92FF1">
        <w:rPr>
          <w:rFonts w:ascii="Times New Roman" w:hAnsi="Times New Roman"/>
          <w:snapToGrid w:val="0"/>
          <w:sz w:val="24"/>
          <w:szCs w:val="24"/>
        </w:rPr>
        <w:t>for which they</w:t>
      </w:r>
      <w:r w:rsidRPr="00C92FF1">
        <w:rPr>
          <w:rFonts w:ascii="Times New Roman" w:hAnsi="Times New Roman"/>
          <w:snapToGrid w:val="0"/>
          <w:sz w:val="24"/>
          <w:szCs w:val="24"/>
        </w:rPr>
        <w:t xml:space="preserve"> are booked to power costs. </w:t>
      </w:r>
    </w:p>
    <w:p w:rsidR="00455B6E" w:rsidRPr="00C92FF1" w:rsidRDefault="00455B6E" w:rsidP="005F330F">
      <w:pPr>
        <w:pStyle w:val="BodyTextIndent"/>
        <w:numPr>
          <w:ilvl w:val="0"/>
          <w:numId w:val="17"/>
        </w:numPr>
        <w:tabs>
          <w:tab w:val="left" w:pos="360"/>
        </w:tabs>
        <w:ind w:left="1080"/>
        <w:rPr>
          <w:rFonts w:ascii="Times New Roman" w:hAnsi="Times New Roman"/>
          <w:sz w:val="24"/>
          <w:szCs w:val="24"/>
        </w:rPr>
      </w:pPr>
      <w:r w:rsidRPr="00C92FF1">
        <w:rPr>
          <w:rFonts w:ascii="Times New Roman" w:hAnsi="Times New Roman"/>
          <w:snapToGrid w:val="0"/>
          <w:sz w:val="24"/>
          <w:szCs w:val="24"/>
          <w:u w:val="single"/>
        </w:rPr>
        <w:t xml:space="preserve">Adjustments for Costs Recorded </w:t>
      </w:r>
      <w:r w:rsidR="00A455FD" w:rsidRPr="00C92FF1">
        <w:rPr>
          <w:rFonts w:ascii="Times New Roman" w:hAnsi="Times New Roman"/>
          <w:snapToGrid w:val="0"/>
          <w:sz w:val="24"/>
          <w:szCs w:val="24"/>
          <w:u w:val="single"/>
        </w:rPr>
        <w:t>after</w:t>
      </w:r>
      <w:r w:rsidR="001C11C7" w:rsidRPr="00C92FF1">
        <w:rPr>
          <w:rFonts w:ascii="Times New Roman" w:hAnsi="Times New Roman"/>
          <w:snapToGrid w:val="0"/>
          <w:sz w:val="24"/>
          <w:szCs w:val="24"/>
          <w:u w:val="single"/>
        </w:rPr>
        <w:t xml:space="preserve"> </w:t>
      </w:r>
      <w:r w:rsidRPr="00C92FF1">
        <w:rPr>
          <w:rFonts w:ascii="Times New Roman" w:hAnsi="Times New Roman"/>
          <w:snapToGrid w:val="0"/>
          <w:sz w:val="24"/>
          <w:szCs w:val="24"/>
          <w:u w:val="single"/>
        </w:rPr>
        <w:t>Termination of PCA Mechanism:</w:t>
      </w:r>
      <w:r w:rsidR="00204FAF" w:rsidRPr="00C92FF1">
        <w:rPr>
          <w:rFonts w:ascii="Times New Roman" w:hAnsi="Times New Roman"/>
          <w:snapToGrid w:val="0"/>
          <w:sz w:val="24"/>
          <w:szCs w:val="24"/>
          <w:u w:val="single"/>
        </w:rPr>
        <w:t xml:space="preserve">  </w:t>
      </w:r>
      <w:r w:rsidRPr="00C92FF1">
        <w:rPr>
          <w:rFonts w:ascii="Times New Roman" w:hAnsi="Times New Roman"/>
          <w:sz w:val="24"/>
          <w:szCs w:val="24"/>
        </w:rPr>
        <w:t>Power cost adjustments posted in the month following the termination of the PCA Mechanism relating to the PCA period(s) will be included in power costs for the month of the final PCA calculation and the deferral will be adjusted subject to the exceptions in item B.</w:t>
      </w:r>
    </w:p>
    <w:p w:rsidR="00662FC0" w:rsidRPr="00C92FF1" w:rsidRDefault="006D0CE1" w:rsidP="00F721A4">
      <w:pPr>
        <w:ind w:left="720" w:hanging="720"/>
        <w:rPr>
          <w:snapToGrid w:val="0"/>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t xml:space="preserve">Unless otherwise ordered by the Commission, changes in rates attributable to PCA adjustments shall be charged on a cents/kWh basis, and changes in rates attributable to adjustments to the </w:t>
      </w:r>
      <w:r w:rsidR="00AB6737">
        <w:rPr>
          <w:sz w:val="24"/>
        </w:rPr>
        <w:t>power costs</w:t>
      </w:r>
      <w:r w:rsidRPr="00C92FF1">
        <w:rPr>
          <w:sz w:val="24"/>
        </w:rPr>
        <w:t xml:space="preserve"> as a result of a </w:t>
      </w:r>
      <w:r w:rsidR="008D714E" w:rsidRPr="00C92FF1">
        <w:rPr>
          <w:sz w:val="24"/>
        </w:rPr>
        <w:t xml:space="preserve">PCORC </w:t>
      </w:r>
      <w:r w:rsidRPr="00C92FF1">
        <w:rPr>
          <w:sz w:val="24"/>
        </w:rPr>
        <w:t xml:space="preserve">shall be charged based upon </w:t>
      </w:r>
      <w:r w:rsidR="0050204E" w:rsidRPr="00C92FF1">
        <w:rPr>
          <w:sz w:val="24"/>
        </w:rPr>
        <w:t xml:space="preserve">the Company’s most recent </w:t>
      </w:r>
      <w:r w:rsidR="005B39F2" w:rsidRPr="00C92FF1">
        <w:rPr>
          <w:sz w:val="24"/>
        </w:rPr>
        <w:t xml:space="preserve">approved Cost-of-Service methodology </w:t>
      </w:r>
      <w:r w:rsidR="005C6BE4" w:rsidRPr="00C92FF1">
        <w:rPr>
          <w:sz w:val="24"/>
        </w:rPr>
        <w:t>as agreed to in Docket UE-141368 or as subsequently modified pursuant to that agreement</w:t>
      </w:r>
      <w:r w:rsidRPr="00C92FF1">
        <w:rPr>
          <w:sz w:val="24"/>
        </w:rPr>
        <w:t xml:space="preserve">.  No party is deemed to have approved or accepted these methodologies for any other purpose or precedent.  </w:t>
      </w:r>
      <w:r w:rsidRPr="00C92FF1">
        <w:rPr>
          <w:snapToGrid w:val="0"/>
          <w:sz w:val="24"/>
        </w:rPr>
        <w:t xml:space="preserve">Wholesale customers will be allocated power costs and power revenues at the end of a PCA year in the same relationship as done in the rate allocation from </w:t>
      </w:r>
      <w:r w:rsidR="006F2FF7" w:rsidRPr="00C92FF1">
        <w:rPr>
          <w:snapToGrid w:val="0"/>
          <w:sz w:val="24"/>
        </w:rPr>
        <w:t xml:space="preserve">the Company’s most recent </w:t>
      </w:r>
      <w:r w:rsidR="005B39F2" w:rsidRPr="00C92FF1">
        <w:rPr>
          <w:snapToGrid w:val="0"/>
          <w:sz w:val="24"/>
        </w:rPr>
        <w:t xml:space="preserve">approved Cost-of-Service methodology </w:t>
      </w:r>
      <w:r w:rsidR="006F2FF7" w:rsidRPr="00C92FF1">
        <w:rPr>
          <w:snapToGrid w:val="0"/>
          <w:sz w:val="24"/>
        </w:rPr>
        <w:t>proceeding</w:t>
      </w:r>
      <w:r w:rsidR="009642E0" w:rsidRPr="00C92FF1">
        <w:rPr>
          <w:snapToGrid w:val="0"/>
          <w:sz w:val="24"/>
        </w:rPr>
        <w:t xml:space="preserve"> as agreed to in Docket UE-141368 or subsequently modified pursuant to that agreement</w:t>
      </w:r>
      <w:r w:rsidRPr="00C92FF1">
        <w:rPr>
          <w:snapToGrid w:val="0"/>
          <w:sz w:val="24"/>
        </w:rPr>
        <w:t>.</w:t>
      </w:r>
    </w:p>
    <w:p w:rsidR="006D0CE1" w:rsidRPr="00C92FF1" w:rsidRDefault="00D64550" w:rsidP="000E7315">
      <w:pPr>
        <w:ind w:left="720" w:hanging="720"/>
        <w:rPr>
          <w:b/>
          <w:sz w:val="24"/>
        </w:rPr>
      </w:pPr>
      <w:r w:rsidRPr="00C92FF1">
        <w:rPr>
          <w:b/>
          <w:sz w:val="24"/>
        </w:rPr>
        <w:t>D</w:t>
      </w:r>
      <w:r w:rsidR="006D0CE1" w:rsidRPr="00C92FF1">
        <w:rPr>
          <w:b/>
          <w:sz w:val="24"/>
        </w:rPr>
        <w:t>.</w:t>
      </w:r>
      <w:r w:rsidR="00E34805" w:rsidRPr="00C92FF1" w:rsidDel="00E34805">
        <w:rPr>
          <w:b/>
          <w:sz w:val="24"/>
        </w:rPr>
        <w:t xml:space="preserve"> </w:t>
      </w:r>
      <w:r w:rsidR="00202532" w:rsidRPr="00C92FF1">
        <w:rPr>
          <w:b/>
          <w:sz w:val="24"/>
        </w:rPr>
        <w:tab/>
      </w:r>
      <w:r w:rsidR="00490E4C" w:rsidRPr="00C92FF1">
        <w:rPr>
          <w:b/>
          <w:sz w:val="24"/>
        </w:rPr>
        <w:t>DECOUPLING</w:t>
      </w:r>
    </w:p>
    <w:p w:rsidR="006D0CE1" w:rsidRPr="00C92FF1" w:rsidRDefault="006D0CE1" w:rsidP="008A5479">
      <w:pPr>
        <w:ind w:left="720" w:hanging="720"/>
        <w:rPr>
          <w:snapToGrid w:val="0"/>
          <w:sz w:val="24"/>
        </w:rPr>
      </w:pPr>
      <w:r w:rsidRPr="00C92FF1">
        <w:rPr>
          <w:sz w:val="24"/>
        </w:rPr>
        <w:fldChar w:fldCharType="begin"/>
      </w:r>
      <w:r w:rsidRPr="00C92FF1">
        <w:rPr>
          <w:sz w:val="24"/>
        </w:rPr>
        <w:instrText xml:space="preserve"> AUTONUM </w:instrText>
      </w:r>
      <w:r w:rsidRPr="00C92FF1">
        <w:rPr>
          <w:sz w:val="24"/>
        </w:rPr>
        <w:fldChar w:fldCharType="end"/>
      </w:r>
      <w:r w:rsidRPr="00C92FF1">
        <w:rPr>
          <w:sz w:val="24"/>
        </w:rPr>
        <w:tab/>
      </w:r>
      <w:r w:rsidR="00850D24" w:rsidRPr="00C92FF1">
        <w:rPr>
          <w:sz w:val="24"/>
          <w:szCs w:val="24"/>
        </w:rPr>
        <w:t xml:space="preserve">Parties are not bound to any position with respect to the continuation of decoupling or the treatment of fixed production costs within the decoupling mechanism in PSE’s next general rate case.  However, if the electric decoupling mechanism continues for PSE after the review of decoupling in PSE’s next general rate case, the electric </w:t>
      </w:r>
      <w:r w:rsidR="00850D24" w:rsidRPr="00C92FF1">
        <w:rPr>
          <w:sz w:val="24"/>
          <w:szCs w:val="24"/>
        </w:rPr>
        <w:lastRenderedPageBreak/>
        <w:t xml:space="preserve">decoupling mechanism will include </w:t>
      </w:r>
      <w:r w:rsidR="003B35F9" w:rsidRPr="00C92FF1">
        <w:rPr>
          <w:sz w:val="24"/>
          <w:szCs w:val="24"/>
        </w:rPr>
        <w:t>the F</w:t>
      </w:r>
      <w:r w:rsidR="00850D24" w:rsidRPr="00C92FF1">
        <w:rPr>
          <w:sz w:val="24"/>
          <w:szCs w:val="24"/>
        </w:rPr>
        <w:t xml:space="preserve">ixed </w:t>
      </w:r>
      <w:r w:rsidR="003B35F9" w:rsidRPr="00C92FF1">
        <w:rPr>
          <w:sz w:val="24"/>
          <w:szCs w:val="24"/>
        </w:rPr>
        <w:t>P</w:t>
      </w:r>
      <w:r w:rsidR="00850D24" w:rsidRPr="00C92FF1">
        <w:rPr>
          <w:sz w:val="24"/>
          <w:szCs w:val="24"/>
        </w:rPr>
        <w:t xml:space="preserve">roduction </w:t>
      </w:r>
      <w:r w:rsidR="003B35F9" w:rsidRPr="00C92FF1">
        <w:rPr>
          <w:sz w:val="24"/>
          <w:szCs w:val="24"/>
        </w:rPr>
        <w:t>C</w:t>
      </w:r>
      <w:r w:rsidR="00850D24" w:rsidRPr="00C92FF1">
        <w:rPr>
          <w:sz w:val="24"/>
          <w:szCs w:val="24"/>
        </w:rPr>
        <w:t xml:space="preserve">osts as defined in Section </w:t>
      </w:r>
      <w:r w:rsidR="00D64550" w:rsidRPr="00C92FF1">
        <w:rPr>
          <w:sz w:val="24"/>
          <w:szCs w:val="24"/>
        </w:rPr>
        <w:t xml:space="preserve">B </w:t>
      </w:r>
      <w:r w:rsidR="00850D24" w:rsidRPr="00C92FF1">
        <w:rPr>
          <w:sz w:val="24"/>
          <w:szCs w:val="24"/>
        </w:rPr>
        <w:t>above that were formerly tracked in the PCA</w:t>
      </w:r>
      <w:r w:rsidR="00AB6737">
        <w:rPr>
          <w:sz w:val="24"/>
          <w:szCs w:val="24"/>
        </w:rPr>
        <w:t xml:space="preserve"> imbalance</w:t>
      </w:r>
      <w:r w:rsidR="00850D24" w:rsidRPr="00C92FF1">
        <w:rPr>
          <w:sz w:val="24"/>
          <w:szCs w:val="24"/>
        </w:rPr>
        <w:t xml:space="preserve"> </w:t>
      </w:r>
      <w:r w:rsidR="003E487E">
        <w:rPr>
          <w:sz w:val="24"/>
          <w:szCs w:val="24"/>
        </w:rPr>
        <w:t>calculation</w:t>
      </w:r>
      <w:r w:rsidR="00850D24" w:rsidRPr="00C92FF1">
        <w:rPr>
          <w:sz w:val="24"/>
          <w:szCs w:val="24"/>
        </w:rPr>
        <w:t xml:space="preserve">.  Nothing in this agreement binds any party to any position with regard to treatment of costs in an automatic escalation factor mechanism (such as a K-factor) or in a multiyear rate plan.   </w:t>
      </w:r>
    </w:p>
    <w:p w:rsidR="006F2FF7" w:rsidRPr="00C92FF1" w:rsidRDefault="00D64550" w:rsidP="006F2FF7">
      <w:pPr>
        <w:pStyle w:val="Heading2"/>
        <w:rPr>
          <w:sz w:val="24"/>
        </w:rPr>
      </w:pPr>
      <w:r w:rsidRPr="00C92FF1">
        <w:rPr>
          <w:sz w:val="24"/>
        </w:rPr>
        <w:t>E</w:t>
      </w:r>
      <w:r w:rsidR="006F2FF7" w:rsidRPr="00C92FF1">
        <w:rPr>
          <w:sz w:val="24"/>
        </w:rPr>
        <w:t>.</w:t>
      </w:r>
      <w:r w:rsidR="006F2FF7" w:rsidRPr="00C92FF1">
        <w:rPr>
          <w:sz w:val="24"/>
        </w:rPr>
        <w:tab/>
      </w:r>
      <w:r w:rsidR="00490E4C" w:rsidRPr="00C92FF1">
        <w:rPr>
          <w:sz w:val="24"/>
        </w:rPr>
        <w:t>TEMPORARY PROVISIONS</w:t>
      </w:r>
    </w:p>
    <w:p w:rsidR="002E7919" w:rsidRDefault="001001BD" w:rsidP="002E7919">
      <w:pPr>
        <w:ind w:left="720" w:hanging="720"/>
        <w:rPr>
          <w:sz w:val="24"/>
          <w:szCs w:val="24"/>
        </w:rPr>
      </w:pPr>
      <w:r w:rsidRPr="00C92FF1">
        <w:rPr>
          <w:sz w:val="24"/>
          <w:szCs w:val="24"/>
        </w:rPr>
        <w:fldChar w:fldCharType="begin"/>
      </w:r>
      <w:r w:rsidRPr="00C92FF1">
        <w:rPr>
          <w:sz w:val="24"/>
          <w:szCs w:val="24"/>
        </w:rPr>
        <w:instrText xml:space="preserve"> AUTONUM </w:instrText>
      </w:r>
      <w:r w:rsidRPr="00C92FF1">
        <w:rPr>
          <w:sz w:val="24"/>
          <w:szCs w:val="24"/>
        </w:rPr>
        <w:fldChar w:fldCharType="end"/>
      </w:r>
      <w:r w:rsidRPr="00C92FF1">
        <w:rPr>
          <w:sz w:val="24"/>
          <w:szCs w:val="24"/>
        </w:rPr>
        <w:tab/>
      </w:r>
      <w:r w:rsidR="006F2FF7" w:rsidRPr="00C92FF1">
        <w:rPr>
          <w:sz w:val="24"/>
          <w:szCs w:val="24"/>
        </w:rPr>
        <w:t xml:space="preserve">The parties agree to a </w:t>
      </w:r>
      <w:r w:rsidR="00BC38EE" w:rsidRPr="00C92FF1">
        <w:rPr>
          <w:sz w:val="24"/>
          <w:szCs w:val="24"/>
        </w:rPr>
        <w:t>five</w:t>
      </w:r>
      <w:r w:rsidR="006F2FF7" w:rsidRPr="00C92FF1">
        <w:rPr>
          <w:sz w:val="24"/>
          <w:szCs w:val="24"/>
        </w:rPr>
        <w:t>-</w:t>
      </w:r>
      <w:r w:rsidR="00BC38EE" w:rsidRPr="00C92FF1">
        <w:rPr>
          <w:sz w:val="24"/>
          <w:szCs w:val="24"/>
        </w:rPr>
        <w:t xml:space="preserve">year </w:t>
      </w:r>
      <w:r w:rsidR="006F2FF7" w:rsidRPr="00C92FF1">
        <w:rPr>
          <w:sz w:val="24"/>
          <w:szCs w:val="24"/>
        </w:rPr>
        <w:t xml:space="preserve">moratorium for changes to the PCA mechanism, from the </w:t>
      </w:r>
      <w:r w:rsidR="005E2984" w:rsidRPr="00C92FF1">
        <w:rPr>
          <w:sz w:val="24"/>
          <w:szCs w:val="24"/>
        </w:rPr>
        <w:t>implementation date of this agreement, January 1, 2017.</w:t>
      </w:r>
    </w:p>
    <w:p w:rsidR="006D0CE1" w:rsidRPr="002E7919" w:rsidRDefault="002E7919" w:rsidP="002E7919">
      <w:pPr>
        <w:ind w:left="720" w:hanging="720"/>
        <w:rPr>
          <w:sz w:val="24"/>
          <w:szCs w:val="24"/>
        </w:rPr>
      </w:pPr>
      <w:r>
        <w:rPr>
          <w:sz w:val="24"/>
          <w:szCs w:val="24"/>
        </w:rPr>
        <w:t>15.</w:t>
      </w:r>
      <w:r>
        <w:rPr>
          <w:sz w:val="24"/>
          <w:szCs w:val="24"/>
        </w:rPr>
        <w:tab/>
      </w:r>
      <w:r w:rsidR="003348A2" w:rsidRPr="00C92FF1">
        <w:rPr>
          <w:sz w:val="24"/>
          <w:szCs w:val="24"/>
        </w:rPr>
        <w:t>PSE’s ability to file a PCORC will not change, including the continued use of the PCORC to update Fixed Production Costs referenced in Section C above.   However, for the five year moratorium, PSE will agree to a limited stay-out period after the filing of any PCORC during that five-year period.  Specifically, PSE agrees to not file a general rate case or a PCORC within six months of the date new rates go into effect for any PCORC filing. Additionally, the requirement to file a general rate case within 3 months of the completion of a PCORC, as outlined in Section 7 is suspended during this five-year moratorium.</w:t>
      </w:r>
    </w:p>
    <w:sectPr w:rsidR="006D0CE1" w:rsidRPr="002E7919" w:rsidSect="0064256C">
      <w:footerReference w:type="default" r:id="rId9"/>
      <w:headerReference w:type="first" r:id="rId10"/>
      <w:footerReference w:type="first" r:id="rId11"/>
      <w:pgSz w:w="12240" w:h="15840"/>
      <w:pgMar w:top="1584" w:right="1584" w:bottom="1800" w:left="1656"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62" w:rsidRDefault="00297D62">
      <w:r>
        <w:separator/>
      </w:r>
    </w:p>
  </w:endnote>
  <w:endnote w:type="continuationSeparator" w:id="0">
    <w:p w:rsidR="00297D62" w:rsidRDefault="00297D62">
      <w:r>
        <w:continuationSeparator/>
      </w:r>
    </w:p>
  </w:endnote>
  <w:endnote w:type="continuationNotice" w:id="1">
    <w:p w:rsidR="00297D62" w:rsidRDefault="00297D6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E1" w:rsidRPr="007A55CD" w:rsidRDefault="001242BF">
    <w:pPr>
      <w:pStyle w:val="Footer"/>
      <w:rPr>
        <w:rFonts w:ascii="Times New Roman" w:hAnsi="Times New Roman"/>
      </w:rPr>
    </w:pPr>
    <w:r w:rsidRPr="007A55CD">
      <w:rPr>
        <w:rFonts w:ascii="Times New Roman" w:hAnsi="Times New Roman"/>
        <w:sz w:val="24"/>
      </w:rPr>
      <w:t>SUMMARY OF PCA MECHANISM</w:t>
    </w:r>
    <w:r w:rsidR="00D602E6" w:rsidRPr="007A55CD">
      <w:rPr>
        <w:rFonts w:ascii="Times New Roman" w:hAnsi="Times New Roman"/>
        <w:sz w:val="24"/>
      </w:rPr>
      <w:t>—</w:t>
    </w:r>
    <w:r w:rsidR="006D0CE1" w:rsidRPr="007A55CD">
      <w:rPr>
        <w:rFonts w:ascii="Times New Roman" w:hAnsi="Times New Roman"/>
        <w:sz w:val="24"/>
      </w:rPr>
      <w:fldChar w:fldCharType="begin"/>
    </w:r>
    <w:r w:rsidR="006D0CE1" w:rsidRPr="007A55CD">
      <w:rPr>
        <w:rFonts w:ascii="Times New Roman" w:hAnsi="Times New Roman"/>
        <w:sz w:val="24"/>
      </w:rPr>
      <w:instrText>page</w:instrText>
    </w:r>
    <w:r w:rsidR="006D0CE1" w:rsidRPr="007A55CD">
      <w:rPr>
        <w:rFonts w:ascii="Times New Roman" w:hAnsi="Times New Roman"/>
        <w:sz w:val="24"/>
      </w:rPr>
      <w:fldChar w:fldCharType="separate"/>
    </w:r>
    <w:r w:rsidR="00543C93">
      <w:rPr>
        <w:rFonts w:ascii="Times New Roman" w:hAnsi="Times New Roman"/>
        <w:noProof/>
        <w:sz w:val="24"/>
      </w:rPr>
      <w:t>7</w:t>
    </w:r>
    <w:r w:rsidR="006D0CE1" w:rsidRPr="007A55CD">
      <w:rPr>
        <w:rFonts w:ascii="Times New Roman" w:hAnsi="Times New Roman"/>
        <w:sz w:val="24"/>
      </w:rPr>
      <w:fldChar w:fldCharType="end"/>
    </w:r>
    <w:r w:rsidR="006D0CE1" w:rsidRPr="007A55CD">
      <w:rPr>
        <w:rFonts w:ascii="Times New Roman" w:hAnsi="Times New Roman"/>
        <w:sz w:val="24"/>
      </w:rPr>
      <w:tab/>
    </w:r>
    <w:r w:rsidR="006D0CE1" w:rsidRPr="007A55CD">
      <w:rPr>
        <w:rFonts w:ascii="Times New Roman" w:hAnsi="Times New Roman"/>
      </w:rPr>
      <w:tab/>
    </w:r>
    <w:r w:rsidR="00C00760" w:rsidRPr="007A55CD">
      <w:rPr>
        <w:rFonts w:ascii="Times New Roman" w:hAnsi="Times New Roman"/>
      </w:rPr>
      <w:t>[</w:t>
    </w:r>
    <w:r w:rsidR="00E144F8" w:rsidRPr="007A55CD">
      <w:rPr>
        <w:rFonts w:ascii="Times New Roman" w:hAnsi="Times New Roman"/>
        <w:noProof/>
        <w:sz w:val="16"/>
      </w:rPr>
      <w:t>3/</w:t>
    </w:r>
    <w:r w:rsidR="007A55CD">
      <w:rPr>
        <w:rFonts w:ascii="Times New Roman" w:hAnsi="Times New Roman"/>
        <w:noProof/>
        <w:sz w:val="16"/>
      </w:rPr>
      <w:t>27</w:t>
    </w:r>
    <w:r w:rsidR="00E144F8" w:rsidRPr="007A55CD">
      <w:rPr>
        <w:rFonts w:ascii="Times New Roman" w:hAnsi="Times New Roman"/>
        <w:noProof/>
        <w:sz w:val="16"/>
      </w:rPr>
      <w:t>/15</w:t>
    </w:r>
    <w:r w:rsidR="006D0CE1" w:rsidRPr="007A55CD">
      <w:rPr>
        <w:rFonts w:ascii="Times New Roman" w:hAnsi="Times New Roman"/>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E1" w:rsidRDefault="006D0CE1">
    <w:pPr>
      <w:pStyle w:val="Footer"/>
      <w:rPr>
        <w:rStyle w:val="PageNumber"/>
        <w:rFonts w:ascii="Times New Roman" w:hAnsi="Times New Roman"/>
        <w:sz w:val="24"/>
      </w:rPr>
    </w:pPr>
    <w:r>
      <w:rPr>
        <w:rFonts w:ascii="Times New Roman" w:hAnsi="Times New Roman"/>
        <w:sz w:val="24"/>
      </w:rPr>
      <w:t>SETTLEMENT TERMS FOR PCA</w:t>
    </w:r>
    <w:r w:rsidR="00A66D97">
      <w:rPr>
        <w:rFonts w:ascii="Times New Roman" w:hAnsi="Times New Roman"/>
        <w:sz w:val="24"/>
      </w:rPr>
      <w:t>—</w:t>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43C93">
      <w:rPr>
        <w:rStyle w:val="PageNumber"/>
        <w:rFonts w:ascii="Times New Roman" w:hAnsi="Times New Roman"/>
        <w:noProof/>
        <w:sz w:val="24"/>
      </w:rPr>
      <w:t>1</w:t>
    </w:r>
    <w:r>
      <w:rPr>
        <w:rStyle w:val="PageNumber"/>
        <w:rFonts w:ascii="Times New Roman" w:hAnsi="Times New Roman"/>
        <w:sz w:val="24"/>
      </w:rPr>
      <w:fldChar w:fldCharType="end"/>
    </w:r>
  </w:p>
  <w:p w:rsidR="006D0CE1" w:rsidRDefault="006D0CE1">
    <w:pPr>
      <w:pStyle w:val="Footer"/>
      <w:rPr>
        <w:rFonts w:ascii="Times New Roman" w:hAnsi="Times New Roman"/>
        <w:sz w:val="16"/>
      </w:rPr>
    </w:pPr>
    <w:r>
      <w:rPr>
        <w:rFonts w:ascii="Times New Roman" w:hAnsi="Times New Roman"/>
        <w:sz w:val="16"/>
      </w:rPr>
      <w:tab/>
    </w:r>
    <w:r>
      <w:rPr>
        <w:rFonts w:ascii="Times New Roman" w:hAnsi="Times New Roman"/>
        <w:sz w:val="16"/>
      </w:rPr>
      <w:tab/>
    </w:r>
  </w:p>
  <w:p w:rsidR="006D0CE1" w:rsidRDefault="006D0CE1">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62" w:rsidRDefault="00297D62">
      <w:r>
        <w:separator/>
      </w:r>
    </w:p>
  </w:footnote>
  <w:footnote w:type="continuationSeparator" w:id="0">
    <w:p w:rsidR="00297D62" w:rsidRDefault="00297D62">
      <w:r>
        <w:continuationSeparator/>
      </w:r>
    </w:p>
  </w:footnote>
  <w:footnote w:type="continuationNotice" w:id="1">
    <w:p w:rsidR="00297D62" w:rsidRDefault="00297D62">
      <w:pPr>
        <w:spacing w:before="0" w:line="240" w:lineRule="auto"/>
      </w:pPr>
    </w:p>
  </w:footnote>
  <w:footnote w:id="2">
    <w:p w:rsidR="006C7EBF" w:rsidRPr="007A55CD" w:rsidRDefault="006C7EBF" w:rsidP="00D602E6">
      <w:pPr>
        <w:pStyle w:val="FootnoteText"/>
        <w:spacing w:before="0"/>
        <w:ind w:firstLine="0"/>
        <w:rPr>
          <w:sz w:val="20"/>
        </w:rPr>
      </w:pPr>
      <w:r w:rsidRPr="007A55CD">
        <w:rPr>
          <w:rStyle w:val="FootnoteReference"/>
          <w:sz w:val="20"/>
        </w:rPr>
        <w:footnoteRef/>
      </w:r>
      <w:r w:rsidRPr="007A55CD">
        <w:rPr>
          <w:sz w:val="20"/>
        </w:rPr>
        <w:t xml:space="preserve"> PCA moved to calendar year per docket UE-050870</w:t>
      </w:r>
    </w:p>
  </w:footnote>
  <w:footnote w:id="3">
    <w:p w:rsidR="00D602E6" w:rsidRPr="007A55CD" w:rsidRDefault="002837C7" w:rsidP="00D602E6">
      <w:pPr>
        <w:pStyle w:val="FootnoteText"/>
        <w:spacing w:before="0"/>
        <w:ind w:firstLine="0"/>
        <w:rPr>
          <w:sz w:val="20"/>
        </w:rPr>
      </w:pPr>
      <w:r w:rsidRPr="007A55CD">
        <w:rPr>
          <w:rStyle w:val="FootnoteReference"/>
          <w:sz w:val="20"/>
        </w:rPr>
        <w:footnoteRef/>
      </w:r>
      <w:r w:rsidRPr="007A55CD">
        <w:rPr>
          <w:sz w:val="20"/>
        </w:rPr>
        <w:t xml:space="preserve"> Modifying the above table due to changes in account numbering by FERC or the addition of new production resources will not be subject to the 5-year moratorium.</w:t>
      </w:r>
      <w:r w:rsidR="008A5479" w:rsidRPr="007A55CD">
        <w:rPr>
          <w:sz w:val="20"/>
        </w:rPr>
        <w:t xml:space="preserve"> Inclusion of any other accounts will be decided in a General Rate Case, PCORC, or PCA compliance filing</w:t>
      </w:r>
      <w:r w:rsidR="006E317A" w:rsidRPr="007A55CD">
        <w:rPr>
          <w:sz w:val="20"/>
        </w:rPr>
        <w:t>.</w:t>
      </w:r>
    </w:p>
  </w:footnote>
  <w:footnote w:id="4">
    <w:p w:rsidR="001E1C9D" w:rsidRPr="007A55CD" w:rsidRDefault="001E1C9D" w:rsidP="00D602E6">
      <w:pPr>
        <w:pStyle w:val="FootnoteText"/>
        <w:spacing w:before="0"/>
        <w:ind w:firstLine="0"/>
        <w:rPr>
          <w:sz w:val="20"/>
        </w:rPr>
      </w:pPr>
      <w:r w:rsidRPr="007A55CD">
        <w:rPr>
          <w:rStyle w:val="FootnoteReference"/>
          <w:sz w:val="20"/>
        </w:rPr>
        <w:footnoteRef/>
      </w:r>
      <w:r w:rsidRPr="007A55CD">
        <w:rPr>
          <w:sz w:val="20"/>
        </w:rPr>
        <w:t xml:space="preserve"> Specific Transmission refers to: Colstrip 1&amp;2 line, Colstrip 3&amp;4 line</w:t>
      </w:r>
      <w:r w:rsidR="009C450D" w:rsidRPr="007A55CD">
        <w:rPr>
          <w:sz w:val="20"/>
        </w:rPr>
        <w:t>,</w:t>
      </w:r>
      <w:r w:rsidRPr="007A55CD">
        <w:rPr>
          <w:sz w:val="20"/>
        </w:rPr>
        <w:t xml:space="preserve"> Third AC, &amp; Northern Intertie.  </w:t>
      </w:r>
    </w:p>
  </w:footnote>
  <w:footnote w:id="5">
    <w:p w:rsidR="00852D08" w:rsidRPr="007A55CD" w:rsidRDefault="00852D08" w:rsidP="00D602E6">
      <w:pPr>
        <w:pStyle w:val="FootnoteText"/>
        <w:spacing w:before="0"/>
        <w:ind w:firstLine="0"/>
        <w:rPr>
          <w:sz w:val="20"/>
        </w:rPr>
      </w:pPr>
      <w:r w:rsidRPr="007A55CD">
        <w:rPr>
          <w:rStyle w:val="FootnoteReference"/>
          <w:sz w:val="20"/>
        </w:rPr>
        <w:footnoteRef/>
      </w:r>
      <w:r w:rsidRPr="007A55CD">
        <w:rPr>
          <w:sz w:val="20"/>
        </w:rPr>
        <w:t xml:space="preserve"> </w:t>
      </w:r>
      <w:r w:rsidR="00372DC0" w:rsidRPr="007A55CD">
        <w:rPr>
          <w:i/>
          <w:sz w:val="20"/>
        </w:rPr>
        <w:t xml:space="preserve">See </w:t>
      </w:r>
      <w:r w:rsidR="00372DC0" w:rsidRPr="007A55CD">
        <w:rPr>
          <w:sz w:val="20"/>
        </w:rPr>
        <w:t xml:space="preserve">Docket </w:t>
      </w:r>
      <w:r w:rsidRPr="007A55CD">
        <w:rPr>
          <w:sz w:val="20"/>
        </w:rPr>
        <w:t>UE-072300</w:t>
      </w:r>
      <w:r w:rsidR="00000771" w:rsidRPr="007A55CD">
        <w:rPr>
          <w:sz w:val="20"/>
        </w:rPr>
        <w:t xml:space="preserve"> (Order 13)</w:t>
      </w:r>
      <w:r w:rsidR="00372DC0" w:rsidRPr="007A55CD">
        <w:rPr>
          <w:sz w:val="20"/>
        </w:rPr>
        <w:t>.</w:t>
      </w:r>
    </w:p>
  </w:footnote>
  <w:footnote w:id="6">
    <w:p w:rsidR="00AF1CCF" w:rsidRPr="007A55CD" w:rsidRDefault="00AF1CCF" w:rsidP="00D602E6">
      <w:pPr>
        <w:pStyle w:val="FootnoteText"/>
        <w:spacing w:before="0"/>
        <w:ind w:firstLine="0"/>
        <w:rPr>
          <w:sz w:val="20"/>
        </w:rPr>
      </w:pPr>
      <w:r w:rsidRPr="007A55CD">
        <w:rPr>
          <w:rStyle w:val="FootnoteReference"/>
          <w:sz w:val="20"/>
        </w:rPr>
        <w:footnoteRef/>
      </w:r>
      <w:r w:rsidRPr="007A55CD">
        <w:rPr>
          <w:sz w:val="20"/>
        </w:rPr>
        <w:t xml:space="preserve"> </w:t>
      </w:r>
      <w:r w:rsidR="00000771" w:rsidRPr="007A55CD">
        <w:rPr>
          <w:i/>
          <w:sz w:val="20"/>
        </w:rPr>
        <w:t xml:space="preserve">See </w:t>
      </w:r>
      <w:r w:rsidR="00000771" w:rsidRPr="007A55CD">
        <w:rPr>
          <w:sz w:val="20"/>
        </w:rPr>
        <w:t xml:space="preserve">Docket </w:t>
      </w:r>
      <w:r w:rsidRPr="007A55CD">
        <w:rPr>
          <w:sz w:val="20"/>
        </w:rPr>
        <w:t>UE-072300</w:t>
      </w:r>
      <w:r w:rsidR="00000771" w:rsidRPr="007A55CD">
        <w:rPr>
          <w:sz w:val="20"/>
        </w:rPr>
        <w:t xml:space="preserve"> (Order 13).</w:t>
      </w:r>
    </w:p>
  </w:footnote>
  <w:footnote w:id="7">
    <w:p w:rsidR="0038077E" w:rsidRPr="007A55CD" w:rsidRDefault="0038077E" w:rsidP="00D602E6">
      <w:pPr>
        <w:pStyle w:val="FootnoteText"/>
        <w:spacing w:before="0"/>
        <w:ind w:firstLine="0"/>
        <w:rPr>
          <w:sz w:val="20"/>
        </w:rPr>
      </w:pPr>
      <w:r w:rsidRPr="007A55CD">
        <w:rPr>
          <w:rStyle w:val="FootnoteReference"/>
          <w:sz w:val="20"/>
        </w:rPr>
        <w:footnoteRef/>
      </w:r>
      <w:r w:rsidRPr="007A55CD">
        <w:rPr>
          <w:sz w:val="20"/>
        </w:rPr>
        <w:t xml:space="preserve"> </w:t>
      </w:r>
      <w:r w:rsidR="00000771" w:rsidRPr="007A55CD">
        <w:rPr>
          <w:i/>
          <w:sz w:val="20"/>
        </w:rPr>
        <w:t xml:space="preserve">See </w:t>
      </w:r>
      <w:r w:rsidR="00000771" w:rsidRPr="007A55CD">
        <w:rPr>
          <w:sz w:val="20"/>
        </w:rPr>
        <w:t xml:space="preserve">Docket </w:t>
      </w:r>
      <w:r w:rsidRPr="007A55CD">
        <w:rPr>
          <w:sz w:val="20"/>
        </w:rPr>
        <w:t>UE-072300</w:t>
      </w:r>
      <w:r w:rsidR="00000771" w:rsidRPr="007A55CD">
        <w:rPr>
          <w:sz w:val="20"/>
        </w:rPr>
        <w:t xml:space="preserve"> (Order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DC" w:rsidRPr="002E13CB" w:rsidRDefault="00101ADC" w:rsidP="00101ADC">
    <w:pPr>
      <w:pStyle w:val="Heading1"/>
      <w:spacing w:line="240" w:lineRule="auto"/>
      <w:jc w:val="right"/>
      <w:rPr>
        <w:sz w:val="24"/>
      </w:rPr>
    </w:pPr>
    <w:r w:rsidRPr="002E13CB">
      <w:rPr>
        <w:sz w:val="24"/>
      </w:rPr>
      <w:t xml:space="preserve">Attachment A to </w:t>
    </w:r>
    <w:r w:rsidRPr="002E13CB">
      <w:rPr>
        <w:sz w:val="24"/>
      </w:rPr>
      <w:br/>
      <w:t>Settlement Stipulation</w:t>
    </w:r>
  </w:p>
  <w:p w:rsidR="00101ADC" w:rsidRDefault="00101ADC" w:rsidP="002F6474">
    <w:pPr>
      <w:spacing w:line="240" w:lineRule="auto"/>
      <w:ind w:left="2160" w:right="720"/>
      <w:jc w:val="right"/>
    </w:pPr>
    <w:r w:rsidRPr="002E13CB">
      <w:rPr>
        <w:b/>
        <w:sz w:val="24"/>
      </w:rPr>
      <w:t>Effective January 1, 2017</w:t>
    </w:r>
    <w:r w:rsidRPr="002E13CB">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DAE"/>
    <w:multiLevelType w:val="hybridMultilevel"/>
    <w:tmpl w:val="83829058"/>
    <w:lvl w:ilvl="0" w:tplc="2DD6D96C">
      <w:start w:val="1"/>
      <w:numFmt w:val="decimal"/>
      <w:lvlText w:val="%1."/>
      <w:lvlJc w:val="left"/>
      <w:pPr>
        <w:ind w:left="1080" w:hanging="216"/>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ED1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E9645B"/>
    <w:multiLevelType w:val="hybridMultilevel"/>
    <w:tmpl w:val="A25AC218"/>
    <w:lvl w:ilvl="0" w:tplc="FE1C1B3E">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201081"/>
    <w:multiLevelType w:val="hybridMultilevel"/>
    <w:tmpl w:val="C1D0EE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5C0A8D"/>
    <w:multiLevelType w:val="hybridMultilevel"/>
    <w:tmpl w:val="D618D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AE1826"/>
    <w:multiLevelType w:val="hybridMultilevel"/>
    <w:tmpl w:val="52C60348"/>
    <w:lvl w:ilvl="0" w:tplc="80F00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B22025"/>
    <w:multiLevelType w:val="hybridMultilevel"/>
    <w:tmpl w:val="A5229E9A"/>
    <w:lvl w:ilvl="0" w:tplc="0409001B">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8213DEB"/>
    <w:multiLevelType w:val="hybridMultilevel"/>
    <w:tmpl w:val="20523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3508BD"/>
    <w:multiLevelType w:val="singleLevel"/>
    <w:tmpl w:val="04090001"/>
    <w:lvl w:ilvl="0">
      <w:start w:val="1"/>
      <w:numFmt w:val="bullet"/>
      <w:lvlText w:val=""/>
      <w:lvlJc w:val="left"/>
      <w:pPr>
        <w:ind w:left="720" w:hanging="360"/>
      </w:pPr>
      <w:rPr>
        <w:rFonts w:ascii="Symbol" w:hAnsi="Symbol" w:hint="default"/>
      </w:rPr>
    </w:lvl>
  </w:abstractNum>
  <w:abstractNum w:abstractNumId="9">
    <w:nsid w:val="531E67AA"/>
    <w:multiLevelType w:val="hybridMultilevel"/>
    <w:tmpl w:val="70CE23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48A02E2"/>
    <w:multiLevelType w:val="hybridMultilevel"/>
    <w:tmpl w:val="B282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96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224C46"/>
    <w:multiLevelType w:val="hybridMultilevel"/>
    <w:tmpl w:val="D494E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15CA2"/>
    <w:multiLevelType w:val="hybridMultilevel"/>
    <w:tmpl w:val="462C9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310039"/>
    <w:multiLevelType w:val="hybridMultilevel"/>
    <w:tmpl w:val="74AC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05EE5"/>
    <w:multiLevelType w:val="hybridMultilevel"/>
    <w:tmpl w:val="6CA0C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B1687C"/>
    <w:multiLevelType w:val="hybridMultilevel"/>
    <w:tmpl w:val="36DCFB02"/>
    <w:lvl w:ilvl="0" w:tplc="2D2AE9E4">
      <w:start w:val="1"/>
      <w:numFmt w:val="lowerLetter"/>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EA2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5AE587A"/>
    <w:multiLevelType w:val="hybridMultilevel"/>
    <w:tmpl w:val="307C7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A44F8"/>
    <w:multiLevelType w:val="hybridMultilevel"/>
    <w:tmpl w:val="4B3A4C9E"/>
    <w:lvl w:ilvl="0" w:tplc="0409001B">
      <w:start w:val="1"/>
      <w:numFmt w:val="lowerRoman"/>
      <w:lvlText w:val="%1."/>
      <w:lvlJc w:val="righ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7"/>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7"/>
  </w:num>
  <w:num w:numId="11">
    <w:abstractNumId w:val="10"/>
  </w:num>
  <w:num w:numId="12">
    <w:abstractNumId w:val="18"/>
  </w:num>
  <w:num w:numId="13">
    <w:abstractNumId w:val="12"/>
  </w:num>
  <w:num w:numId="14">
    <w:abstractNumId w:val="16"/>
  </w:num>
  <w:num w:numId="15">
    <w:abstractNumId w:val="3"/>
  </w:num>
  <w:num w:numId="16">
    <w:abstractNumId w:val="9"/>
  </w:num>
  <w:num w:numId="17">
    <w:abstractNumId w:val="5"/>
  </w:num>
  <w:num w:numId="18">
    <w:abstractNumId w:val="6"/>
  </w:num>
  <w:num w:numId="19">
    <w:abstractNumId w:val="2"/>
  </w:num>
  <w:num w:numId="20">
    <w:abstractNumId w:val="19"/>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printColBlack/>
    <w:showBreaksInFrames/>
    <w:suppressTopSpacing/>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778"/>
    <w:rsid w:val="00000771"/>
    <w:rsid w:val="000027A1"/>
    <w:rsid w:val="0002366D"/>
    <w:rsid w:val="00027B67"/>
    <w:rsid w:val="00033832"/>
    <w:rsid w:val="000416DB"/>
    <w:rsid w:val="00047B64"/>
    <w:rsid w:val="000553A8"/>
    <w:rsid w:val="000577E7"/>
    <w:rsid w:val="00093574"/>
    <w:rsid w:val="000C07E8"/>
    <w:rsid w:val="000C7F0C"/>
    <w:rsid w:val="000E7315"/>
    <w:rsid w:val="000F4D5B"/>
    <w:rsid w:val="001001BD"/>
    <w:rsid w:val="00101ADC"/>
    <w:rsid w:val="001242BF"/>
    <w:rsid w:val="001344B6"/>
    <w:rsid w:val="00134771"/>
    <w:rsid w:val="001541CC"/>
    <w:rsid w:val="0016011F"/>
    <w:rsid w:val="001979F4"/>
    <w:rsid w:val="001B7148"/>
    <w:rsid w:val="001C11C7"/>
    <w:rsid w:val="001E1C9D"/>
    <w:rsid w:val="00202532"/>
    <w:rsid w:val="00204FAF"/>
    <w:rsid w:val="00205517"/>
    <w:rsid w:val="0020697A"/>
    <w:rsid w:val="002148F1"/>
    <w:rsid w:val="00222DBA"/>
    <w:rsid w:val="00246432"/>
    <w:rsid w:val="00246C0F"/>
    <w:rsid w:val="002837C7"/>
    <w:rsid w:val="00297D62"/>
    <w:rsid w:val="002B2405"/>
    <w:rsid w:val="002E6B2C"/>
    <w:rsid w:val="002E7919"/>
    <w:rsid w:val="002F6474"/>
    <w:rsid w:val="00303BC6"/>
    <w:rsid w:val="00304D7B"/>
    <w:rsid w:val="003348A2"/>
    <w:rsid w:val="00344C6F"/>
    <w:rsid w:val="00372DC0"/>
    <w:rsid w:val="0038077E"/>
    <w:rsid w:val="003B35F9"/>
    <w:rsid w:val="003C01D2"/>
    <w:rsid w:val="003D65C2"/>
    <w:rsid w:val="003D6918"/>
    <w:rsid w:val="003E0E35"/>
    <w:rsid w:val="003E487E"/>
    <w:rsid w:val="004314D9"/>
    <w:rsid w:val="004349E7"/>
    <w:rsid w:val="00441DE1"/>
    <w:rsid w:val="00446C69"/>
    <w:rsid w:val="004524B0"/>
    <w:rsid w:val="00455B6E"/>
    <w:rsid w:val="00490E4C"/>
    <w:rsid w:val="00497F38"/>
    <w:rsid w:val="004A3CB9"/>
    <w:rsid w:val="004D03C0"/>
    <w:rsid w:val="004E32BF"/>
    <w:rsid w:val="0050204E"/>
    <w:rsid w:val="0050642A"/>
    <w:rsid w:val="0052304D"/>
    <w:rsid w:val="00531E4B"/>
    <w:rsid w:val="00543C93"/>
    <w:rsid w:val="005506CF"/>
    <w:rsid w:val="005578E0"/>
    <w:rsid w:val="005868B1"/>
    <w:rsid w:val="005B39F2"/>
    <w:rsid w:val="005C31C3"/>
    <w:rsid w:val="005C6BE4"/>
    <w:rsid w:val="005E2984"/>
    <w:rsid w:val="005F330F"/>
    <w:rsid w:val="005F436E"/>
    <w:rsid w:val="0061523A"/>
    <w:rsid w:val="00616778"/>
    <w:rsid w:val="006259D6"/>
    <w:rsid w:val="00632509"/>
    <w:rsid w:val="0064256C"/>
    <w:rsid w:val="00662FC0"/>
    <w:rsid w:val="006647A3"/>
    <w:rsid w:val="006703AF"/>
    <w:rsid w:val="00686742"/>
    <w:rsid w:val="006A3DAD"/>
    <w:rsid w:val="006A4011"/>
    <w:rsid w:val="006B05A1"/>
    <w:rsid w:val="006B4A98"/>
    <w:rsid w:val="006B78D2"/>
    <w:rsid w:val="006C7EBF"/>
    <w:rsid w:val="006D0CE1"/>
    <w:rsid w:val="006E317A"/>
    <w:rsid w:val="006F2183"/>
    <w:rsid w:val="006F2FF7"/>
    <w:rsid w:val="006F6812"/>
    <w:rsid w:val="00722E02"/>
    <w:rsid w:val="00743CB9"/>
    <w:rsid w:val="0076072E"/>
    <w:rsid w:val="007631A7"/>
    <w:rsid w:val="007A55CD"/>
    <w:rsid w:val="007B03E7"/>
    <w:rsid w:val="007E4976"/>
    <w:rsid w:val="00804911"/>
    <w:rsid w:val="00844AB7"/>
    <w:rsid w:val="0084628F"/>
    <w:rsid w:val="00850D24"/>
    <w:rsid w:val="00852D08"/>
    <w:rsid w:val="00857DBF"/>
    <w:rsid w:val="008908B1"/>
    <w:rsid w:val="008A384B"/>
    <w:rsid w:val="008A3F6B"/>
    <w:rsid w:val="008A5479"/>
    <w:rsid w:val="008D714E"/>
    <w:rsid w:val="008D75A9"/>
    <w:rsid w:val="008E2D12"/>
    <w:rsid w:val="008F4D19"/>
    <w:rsid w:val="009355FE"/>
    <w:rsid w:val="009642E0"/>
    <w:rsid w:val="00972712"/>
    <w:rsid w:val="009758C4"/>
    <w:rsid w:val="009C450D"/>
    <w:rsid w:val="009D017E"/>
    <w:rsid w:val="009E4F2D"/>
    <w:rsid w:val="00A02B79"/>
    <w:rsid w:val="00A272CC"/>
    <w:rsid w:val="00A42E00"/>
    <w:rsid w:val="00A455FD"/>
    <w:rsid w:val="00A54323"/>
    <w:rsid w:val="00A66D97"/>
    <w:rsid w:val="00AB6737"/>
    <w:rsid w:val="00AD247D"/>
    <w:rsid w:val="00AD734A"/>
    <w:rsid w:val="00AE33FE"/>
    <w:rsid w:val="00AE67B2"/>
    <w:rsid w:val="00AF1CCF"/>
    <w:rsid w:val="00B00F6E"/>
    <w:rsid w:val="00B33DA1"/>
    <w:rsid w:val="00B65AF3"/>
    <w:rsid w:val="00B75AF0"/>
    <w:rsid w:val="00B829B4"/>
    <w:rsid w:val="00BC38EE"/>
    <w:rsid w:val="00BC53A3"/>
    <w:rsid w:val="00BF058F"/>
    <w:rsid w:val="00BF3B3E"/>
    <w:rsid w:val="00C00760"/>
    <w:rsid w:val="00C21A11"/>
    <w:rsid w:val="00C54F94"/>
    <w:rsid w:val="00C92FF1"/>
    <w:rsid w:val="00CC154F"/>
    <w:rsid w:val="00CF4376"/>
    <w:rsid w:val="00D04D8D"/>
    <w:rsid w:val="00D242CE"/>
    <w:rsid w:val="00D4134B"/>
    <w:rsid w:val="00D432B1"/>
    <w:rsid w:val="00D53035"/>
    <w:rsid w:val="00D602E6"/>
    <w:rsid w:val="00D64550"/>
    <w:rsid w:val="00D6629C"/>
    <w:rsid w:val="00D737B4"/>
    <w:rsid w:val="00D8634C"/>
    <w:rsid w:val="00DB0985"/>
    <w:rsid w:val="00DB1ED4"/>
    <w:rsid w:val="00DB59E5"/>
    <w:rsid w:val="00DB6C48"/>
    <w:rsid w:val="00DD4F27"/>
    <w:rsid w:val="00DD7829"/>
    <w:rsid w:val="00DE5AEE"/>
    <w:rsid w:val="00E144F8"/>
    <w:rsid w:val="00E34805"/>
    <w:rsid w:val="00E53062"/>
    <w:rsid w:val="00E91E1A"/>
    <w:rsid w:val="00EA1F45"/>
    <w:rsid w:val="00EB3FAE"/>
    <w:rsid w:val="00ED590E"/>
    <w:rsid w:val="00F11953"/>
    <w:rsid w:val="00F23AAF"/>
    <w:rsid w:val="00F253C2"/>
    <w:rsid w:val="00F51080"/>
    <w:rsid w:val="00F644F7"/>
    <w:rsid w:val="00F65408"/>
    <w:rsid w:val="00F721A4"/>
    <w:rsid w:val="00F82AC6"/>
    <w:rsid w:val="00FD0D4E"/>
    <w:rsid w:val="00FD5621"/>
    <w:rsid w:val="00FD73FD"/>
    <w:rsid w:val="00FF3DDE"/>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style>
  <w:style w:type="character" w:styleId="CommentReference">
    <w:name w:val="annotation reference"/>
    <w:rsid w:val="0064256C"/>
    <w:rPr>
      <w:rFonts w:ascii="Univers (WN)" w:hAnsi="Univers (WN)" w:cs="Times New Roman"/>
      <w:position w:val="6"/>
      <w:sz w:val="16"/>
      <w:u w:val="double"/>
    </w:rPr>
  </w:style>
  <w:style w:type="paragraph" w:styleId="CommentText">
    <w:name w:val="annotation text"/>
    <w:basedOn w:val="FootnoteText"/>
    <w:link w:val="CommentTextChar"/>
    <w:rsid w:val="0064256C"/>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semiHidden/>
    <w:rPr>
      <w:rFonts w:cs="Times New Roman"/>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ind w:left="432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N)" w:hAnsi="Univers (WN)"/>
      <w:b/>
      <w:i/>
      <w:vanish/>
      <w:color w:val="FF0000"/>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round"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1"/>
    <w:rPr>
      <w:caps/>
      <w:vanish/>
      <w:color w:val="FF0000"/>
    </w:rPr>
  </w:style>
  <w:style w:type="paragraph" w:styleId="Title">
    <w:name w:val="Title"/>
    <w:basedOn w:val="center"/>
    <w:qFormat/>
    <w:pPr>
      <w:keepNext/>
      <w:ind w:left="720" w:right="720"/>
    </w:pPr>
    <w:rPr>
      <w:b/>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center" w:pos="5850"/>
      </w:tabs>
      <w:ind w:left="4770"/>
      <w:jc w:val="center"/>
    </w:pPr>
    <w:rPr>
      <w:color w:val="FF0000"/>
      <w:sz w:val="24"/>
    </w:rPr>
  </w:style>
  <w:style w:type="paragraph" w:customStyle="1" w:styleId="Resolution">
    <w:name w:val="Resolution"/>
    <w:basedOn w:val="NormalIndent"/>
    <w:pPr>
      <w:ind w:left="720"/>
    </w:pPr>
  </w:style>
  <w:style w:type="paragraph" w:styleId="BodyText">
    <w:name w:val="Body Text"/>
    <w:basedOn w:val="Normal"/>
    <w:pPr>
      <w:spacing w:before="0" w:line="240" w:lineRule="auto"/>
      <w:ind w:firstLine="0"/>
    </w:pPr>
    <w:rPr>
      <w:sz w:val="24"/>
    </w:rPr>
  </w:style>
  <w:style w:type="paragraph" w:customStyle="1" w:styleId="hangingsingle">
    <w:name w:val="hanging single"/>
    <w:basedOn w:val="single"/>
    <w:rsid w:val="0064256C"/>
    <w:pPr>
      <w:keepLines/>
      <w:tabs>
        <w:tab w:val="right" w:pos="8820"/>
      </w:tabs>
      <w:ind w:left="720" w:right="360" w:hanging="720"/>
    </w:pPr>
    <w:rPr>
      <w:sz w:val="24"/>
    </w:rPr>
  </w:style>
  <w:style w:type="paragraph" w:styleId="BodyText2">
    <w:name w:val="Body Text 2"/>
    <w:basedOn w:val="Normal"/>
    <w:pPr>
      <w:autoSpaceDE w:val="0"/>
      <w:autoSpaceDN w:val="0"/>
      <w:adjustRightInd w:val="0"/>
      <w:spacing w:before="0" w:line="240" w:lineRule="auto"/>
      <w:ind w:firstLine="0"/>
    </w:pPr>
    <w:rPr>
      <w:rFonts w:ascii="Courier New" w:hAnsi="Courier New"/>
      <w:sz w:val="20"/>
      <w:u w:val="single"/>
    </w:rPr>
  </w:style>
  <w:style w:type="paragraph" w:styleId="BodyTextIndent">
    <w:name w:val="Body Text Indent"/>
    <w:basedOn w:val="Normal"/>
    <w:pPr>
      <w:autoSpaceDE w:val="0"/>
      <w:autoSpaceDN w:val="0"/>
      <w:adjustRightInd w:val="0"/>
      <w:spacing w:before="0" w:line="240" w:lineRule="auto"/>
      <w:ind w:left="360" w:firstLine="0"/>
    </w:pPr>
    <w:rPr>
      <w:rFonts w:ascii="Arial" w:hAnsi="Arial"/>
      <w:sz w:val="20"/>
    </w:rPr>
  </w:style>
  <w:style w:type="character" w:styleId="PageNumber">
    <w:name w:val="page number"/>
    <w:rPr>
      <w:rFonts w:cs="Times New Roman"/>
    </w:rPr>
  </w:style>
  <w:style w:type="paragraph" w:styleId="BalloonText">
    <w:name w:val="Balloon Text"/>
    <w:basedOn w:val="Normal"/>
    <w:link w:val="BalloonTextChar"/>
    <w:rsid w:val="00F23AAF"/>
    <w:pPr>
      <w:spacing w:before="0" w:line="240" w:lineRule="auto"/>
    </w:pPr>
    <w:rPr>
      <w:rFonts w:ascii="Tahoma" w:hAnsi="Tahoma" w:cs="Tahoma"/>
      <w:sz w:val="16"/>
      <w:szCs w:val="16"/>
    </w:rPr>
  </w:style>
  <w:style w:type="character" w:customStyle="1" w:styleId="BalloonTextChar">
    <w:name w:val="Balloon Text Char"/>
    <w:link w:val="BalloonText"/>
    <w:rsid w:val="00F23AAF"/>
    <w:rPr>
      <w:rFonts w:ascii="Tahoma" w:hAnsi="Tahoma" w:cs="Tahoma"/>
      <w:sz w:val="16"/>
      <w:szCs w:val="16"/>
    </w:rPr>
  </w:style>
  <w:style w:type="paragraph" w:styleId="CommentSubject">
    <w:name w:val="annotation subject"/>
    <w:basedOn w:val="CommentText"/>
    <w:next w:val="CommentText"/>
    <w:link w:val="CommentSubjectChar"/>
    <w:rsid w:val="00F23AAF"/>
    <w:rPr>
      <w:b/>
      <w:bCs/>
      <w:sz w:val="20"/>
    </w:rPr>
  </w:style>
  <w:style w:type="character" w:customStyle="1" w:styleId="singleChar">
    <w:name w:val="single Char"/>
    <w:link w:val="single"/>
    <w:rsid w:val="00F23AAF"/>
    <w:rPr>
      <w:rFonts w:ascii="Times New Roman" w:hAnsi="Times New Roman"/>
      <w:sz w:val="26"/>
    </w:rPr>
  </w:style>
  <w:style w:type="character" w:customStyle="1" w:styleId="FootnoteTextChar">
    <w:name w:val="Footnote Text Char"/>
    <w:link w:val="FootnoteText"/>
    <w:semiHidden/>
    <w:rsid w:val="00F23AAF"/>
    <w:rPr>
      <w:rFonts w:ascii="Times New Roman" w:hAnsi="Times New Roman"/>
      <w:sz w:val="22"/>
    </w:rPr>
  </w:style>
  <w:style w:type="character" w:customStyle="1" w:styleId="CommentTextChar">
    <w:name w:val="Comment Text Char"/>
    <w:basedOn w:val="FootnoteTextChar"/>
    <w:link w:val="CommentText"/>
    <w:rsid w:val="00F23AAF"/>
    <w:rPr>
      <w:rFonts w:ascii="Times New Roman" w:hAnsi="Times New Roman"/>
      <w:sz w:val="22"/>
    </w:rPr>
  </w:style>
  <w:style w:type="character" w:customStyle="1" w:styleId="CommentSubjectChar">
    <w:name w:val="Comment Subject Char"/>
    <w:link w:val="CommentSubject"/>
    <w:rsid w:val="00F23AAF"/>
    <w:rPr>
      <w:rFonts w:ascii="Times New Roman" w:hAnsi="Times New Roman"/>
      <w:b/>
      <w:bCs/>
      <w:sz w:val="22"/>
    </w:rPr>
  </w:style>
  <w:style w:type="paragraph" w:styleId="ListParagraph">
    <w:name w:val="List Paragraph"/>
    <w:basedOn w:val="Normal"/>
    <w:uiPriority w:val="34"/>
    <w:qFormat/>
    <w:rsid w:val="000416DB"/>
    <w:pPr>
      <w:spacing w:before="0" w:after="120" w:line="240" w:lineRule="auto"/>
      <w:ind w:left="720" w:firstLine="0"/>
    </w:pPr>
    <w:rPr>
      <w:rFonts w:ascii="Calibri" w:eastAsia="Calibri" w:hAnsi="Calibri" w:cs="Calibri"/>
      <w:sz w:val="22"/>
      <w:szCs w:val="22"/>
    </w:rPr>
  </w:style>
  <w:style w:type="paragraph" w:styleId="BodyTextIndent2">
    <w:name w:val="Body Text Indent 2"/>
    <w:basedOn w:val="Normal"/>
    <w:link w:val="BodyTextIndent2Char"/>
    <w:rsid w:val="00455B6E"/>
    <w:pPr>
      <w:spacing w:after="120" w:line="480" w:lineRule="auto"/>
      <w:ind w:left="360"/>
    </w:pPr>
  </w:style>
  <w:style w:type="character" w:customStyle="1" w:styleId="BodyTextIndent2Char">
    <w:name w:val="Body Text Indent 2 Char"/>
    <w:link w:val="BodyTextIndent2"/>
    <w:rsid w:val="00455B6E"/>
    <w:rPr>
      <w:rFonts w:ascii="Times New Roman" w:hAnsi="Times New Roman"/>
      <w:sz w:val="26"/>
    </w:rPr>
  </w:style>
  <w:style w:type="paragraph" w:styleId="BodyTextIndent3">
    <w:name w:val="Body Text Indent 3"/>
    <w:basedOn w:val="Normal"/>
    <w:link w:val="BodyTextIndent3Char"/>
    <w:rsid w:val="00455B6E"/>
    <w:pPr>
      <w:spacing w:after="120"/>
      <w:ind w:left="360"/>
    </w:pPr>
    <w:rPr>
      <w:sz w:val="16"/>
      <w:szCs w:val="16"/>
    </w:rPr>
  </w:style>
  <w:style w:type="character" w:customStyle="1" w:styleId="BodyTextIndent3Char">
    <w:name w:val="Body Text Indent 3 Char"/>
    <w:link w:val="BodyTextIndent3"/>
    <w:rsid w:val="00455B6E"/>
    <w:rPr>
      <w:rFonts w:ascii="Times New Roman" w:hAnsi="Times New Roman"/>
      <w:sz w:val="16"/>
      <w:szCs w:val="16"/>
    </w:rPr>
  </w:style>
  <w:style w:type="paragraph" w:customStyle="1" w:styleId="Title2">
    <w:name w:val="Title2"/>
    <w:basedOn w:val="center"/>
    <w:rsid w:val="0064256C"/>
    <w:pPr>
      <w:keepNext/>
      <w:ind w:left="720" w:right="7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style>
  <w:style w:type="character" w:styleId="CommentReference">
    <w:name w:val="annotation reference"/>
    <w:rsid w:val="0064256C"/>
    <w:rPr>
      <w:rFonts w:ascii="Univers (WN)" w:hAnsi="Univers (WN)" w:cs="Times New Roman"/>
      <w:position w:val="6"/>
      <w:sz w:val="16"/>
      <w:u w:val="double"/>
    </w:rPr>
  </w:style>
  <w:style w:type="paragraph" w:styleId="CommentText">
    <w:name w:val="annotation text"/>
    <w:basedOn w:val="FootnoteText"/>
    <w:link w:val="CommentTextChar"/>
    <w:rsid w:val="0064256C"/>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semiHidden/>
    <w:rPr>
      <w:rFonts w:cs="Times New Roman"/>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ind w:left="432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N)" w:hAnsi="Univers (WN)"/>
      <w:b/>
      <w:i/>
      <w:vanish/>
      <w:color w:val="FF0000"/>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round"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1"/>
    <w:rPr>
      <w:caps/>
      <w:vanish/>
      <w:color w:val="FF0000"/>
    </w:rPr>
  </w:style>
  <w:style w:type="paragraph" w:styleId="Title">
    <w:name w:val="Title"/>
    <w:basedOn w:val="center"/>
    <w:qFormat/>
    <w:pPr>
      <w:keepNext/>
      <w:ind w:left="720" w:right="720"/>
    </w:pPr>
    <w:rPr>
      <w:b/>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center" w:pos="5850"/>
      </w:tabs>
      <w:ind w:left="4770"/>
      <w:jc w:val="center"/>
    </w:pPr>
    <w:rPr>
      <w:color w:val="FF0000"/>
      <w:sz w:val="24"/>
    </w:rPr>
  </w:style>
  <w:style w:type="paragraph" w:customStyle="1" w:styleId="Resolution">
    <w:name w:val="Resolution"/>
    <w:basedOn w:val="NormalIndent"/>
    <w:pPr>
      <w:ind w:left="720"/>
    </w:pPr>
  </w:style>
  <w:style w:type="paragraph" w:styleId="BodyText">
    <w:name w:val="Body Text"/>
    <w:basedOn w:val="Normal"/>
    <w:pPr>
      <w:spacing w:before="0" w:line="240" w:lineRule="auto"/>
      <w:ind w:firstLine="0"/>
    </w:pPr>
    <w:rPr>
      <w:sz w:val="24"/>
    </w:rPr>
  </w:style>
  <w:style w:type="paragraph" w:customStyle="1" w:styleId="hangingsingle">
    <w:name w:val="hanging single"/>
    <w:basedOn w:val="single"/>
    <w:rsid w:val="0064256C"/>
    <w:pPr>
      <w:keepLines/>
      <w:tabs>
        <w:tab w:val="right" w:pos="8820"/>
      </w:tabs>
      <w:ind w:left="720" w:right="360" w:hanging="720"/>
    </w:pPr>
    <w:rPr>
      <w:sz w:val="24"/>
    </w:rPr>
  </w:style>
  <w:style w:type="paragraph" w:styleId="BodyText2">
    <w:name w:val="Body Text 2"/>
    <w:basedOn w:val="Normal"/>
    <w:pPr>
      <w:autoSpaceDE w:val="0"/>
      <w:autoSpaceDN w:val="0"/>
      <w:adjustRightInd w:val="0"/>
      <w:spacing w:before="0" w:line="240" w:lineRule="auto"/>
      <w:ind w:firstLine="0"/>
    </w:pPr>
    <w:rPr>
      <w:rFonts w:ascii="Courier New" w:hAnsi="Courier New"/>
      <w:sz w:val="20"/>
      <w:u w:val="single"/>
    </w:rPr>
  </w:style>
  <w:style w:type="paragraph" w:styleId="BodyTextIndent">
    <w:name w:val="Body Text Indent"/>
    <w:basedOn w:val="Normal"/>
    <w:pPr>
      <w:autoSpaceDE w:val="0"/>
      <w:autoSpaceDN w:val="0"/>
      <w:adjustRightInd w:val="0"/>
      <w:spacing w:before="0" w:line="240" w:lineRule="auto"/>
      <w:ind w:left="360" w:firstLine="0"/>
    </w:pPr>
    <w:rPr>
      <w:rFonts w:ascii="Arial" w:hAnsi="Arial"/>
      <w:sz w:val="20"/>
    </w:rPr>
  </w:style>
  <w:style w:type="character" w:styleId="PageNumber">
    <w:name w:val="page number"/>
    <w:rPr>
      <w:rFonts w:cs="Times New Roman"/>
    </w:rPr>
  </w:style>
  <w:style w:type="paragraph" w:styleId="BalloonText">
    <w:name w:val="Balloon Text"/>
    <w:basedOn w:val="Normal"/>
    <w:link w:val="BalloonTextChar"/>
    <w:rsid w:val="00F23AAF"/>
    <w:pPr>
      <w:spacing w:before="0" w:line="240" w:lineRule="auto"/>
    </w:pPr>
    <w:rPr>
      <w:rFonts w:ascii="Tahoma" w:hAnsi="Tahoma" w:cs="Tahoma"/>
      <w:sz w:val="16"/>
      <w:szCs w:val="16"/>
    </w:rPr>
  </w:style>
  <w:style w:type="character" w:customStyle="1" w:styleId="BalloonTextChar">
    <w:name w:val="Balloon Text Char"/>
    <w:link w:val="BalloonText"/>
    <w:rsid w:val="00F23AAF"/>
    <w:rPr>
      <w:rFonts w:ascii="Tahoma" w:hAnsi="Tahoma" w:cs="Tahoma"/>
      <w:sz w:val="16"/>
      <w:szCs w:val="16"/>
    </w:rPr>
  </w:style>
  <w:style w:type="paragraph" w:styleId="CommentSubject">
    <w:name w:val="annotation subject"/>
    <w:basedOn w:val="CommentText"/>
    <w:next w:val="CommentText"/>
    <w:link w:val="CommentSubjectChar"/>
    <w:rsid w:val="00F23AAF"/>
    <w:rPr>
      <w:b/>
      <w:bCs/>
      <w:sz w:val="20"/>
    </w:rPr>
  </w:style>
  <w:style w:type="character" w:customStyle="1" w:styleId="singleChar">
    <w:name w:val="single Char"/>
    <w:link w:val="single"/>
    <w:rsid w:val="00F23AAF"/>
    <w:rPr>
      <w:rFonts w:ascii="Times New Roman" w:hAnsi="Times New Roman"/>
      <w:sz w:val="26"/>
    </w:rPr>
  </w:style>
  <w:style w:type="character" w:customStyle="1" w:styleId="FootnoteTextChar">
    <w:name w:val="Footnote Text Char"/>
    <w:link w:val="FootnoteText"/>
    <w:semiHidden/>
    <w:rsid w:val="00F23AAF"/>
    <w:rPr>
      <w:rFonts w:ascii="Times New Roman" w:hAnsi="Times New Roman"/>
      <w:sz w:val="22"/>
    </w:rPr>
  </w:style>
  <w:style w:type="character" w:customStyle="1" w:styleId="CommentTextChar">
    <w:name w:val="Comment Text Char"/>
    <w:basedOn w:val="FootnoteTextChar"/>
    <w:link w:val="CommentText"/>
    <w:rsid w:val="00F23AAF"/>
    <w:rPr>
      <w:rFonts w:ascii="Times New Roman" w:hAnsi="Times New Roman"/>
      <w:sz w:val="22"/>
    </w:rPr>
  </w:style>
  <w:style w:type="character" w:customStyle="1" w:styleId="CommentSubjectChar">
    <w:name w:val="Comment Subject Char"/>
    <w:link w:val="CommentSubject"/>
    <w:rsid w:val="00F23AAF"/>
    <w:rPr>
      <w:rFonts w:ascii="Times New Roman" w:hAnsi="Times New Roman"/>
      <w:b/>
      <w:bCs/>
      <w:sz w:val="22"/>
    </w:rPr>
  </w:style>
  <w:style w:type="paragraph" w:styleId="ListParagraph">
    <w:name w:val="List Paragraph"/>
    <w:basedOn w:val="Normal"/>
    <w:uiPriority w:val="34"/>
    <w:qFormat/>
    <w:rsid w:val="000416DB"/>
    <w:pPr>
      <w:spacing w:before="0" w:after="120" w:line="240" w:lineRule="auto"/>
      <w:ind w:left="720" w:firstLine="0"/>
    </w:pPr>
    <w:rPr>
      <w:rFonts w:ascii="Calibri" w:eastAsia="Calibri" w:hAnsi="Calibri" w:cs="Calibri"/>
      <w:sz w:val="22"/>
      <w:szCs w:val="22"/>
    </w:rPr>
  </w:style>
  <w:style w:type="paragraph" w:styleId="BodyTextIndent2">
    <w:name w:val="Body Text Indent 2"/>
    <w:basedOn w:val="Normal"/>
    <w:link w:val="BodyTextIndent2Char"/>
    <w:rsid w:val="00455B6E"/>
    <w:pPr>
      <w:spacing w:after="120" w:line="480" w:lineRule="auto"/>
      <w:ind w:left="360"/>
    </w:pPr>
  </w:style>
  <w:style w:type="character" w:customStyle="1" w:styleId="BodyTextIndent2Char">
    <w:name w:val="Body Text Indent 2 Char"/>
    <w:link w:val="BodyTextIndent2"/>
    <w:rsid w:val="00455B6E"/>
    <w:rPr>
      <w:rFonts w:ascii="Times New Roman" w:hAnsi="Times New Roman"/>
      <w:sz w:val="26"/>
    </w:rPr>
  </w:style>
  <w:style w:type="paragraph" w:styleId="BodyTextIndent3">
    <w:name w:val="Body Text Indent 3"/>
    <w:basedOn w:val="Normal"/>
    <w:link w:val="BodyTextIndent3Char"/>
    <w:rsid w:val="00455B6E"/>
    <w:pPr>
      <w:spacing w:after="120"/>
      <w:ind w:left="360"/>
    </w:pPr>
    <w:rPr>
      <w:sz w:val="16"/>
      <w:szCs w:val="16"/>
    </w:rPr>
  </w:style>
  <w:style w:type="character" w:customStyle="1" w:styleId="BodyTextIndent3Char">
    <w:name w:val="Body Text Indent 3 Char"/>
    <w:link w:val="BodyTextIndent3"/>
    <w:rsid w:val="00455B6E"/>
    <w:rPr>
      <w:rFonts w:ascii="Times New Roman" w:hAnsi="Times New Roman"/>
      <w:sz w:val="16"/>
      <w:szCs w:val="16"/>
    </w:rPr>
  </w:style>
  <w:style w:type="paragraph" w:customStyle="1" w:styleId="Title2">
    <w:name w:val="Title2"/>
    <w:basedOn w:val="center"/>
    <w:rsid w:val="0064256C"/>
    <w:pPr>
      <w:keepNext/>
      <w:ind w:left="720" w:right="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5257">
      <w:bodyDiv w:val="1"/>
      <w:marLeft w:val="0"/>
      <w:marRight w:val="0"/>
      <w:marTop w:val="0"/>
      <w:marBottom w:val="0"/>
      <w:divBdr>
        <w:top w:val="none" w:sz="0" w:space="0" w:color="auto"/>
        <w:left w:val="none" w:sz="0" w:space="0" w:color="auto"/>
        <w:bottom w:val="none" w:sz="0" w:space="0" w:color="auto"/>
        <w:right w:val="none" w:sz="0" w:space="0" w:color="auto"/>
      </w:divBdr>
    </w:div>
    <w:div w:id="1464423729">
      <w:bodyDiv w:val="1"/>
      <w:marLeft w:val="0"/>
      <w:marRight w:val="0"/>
      <w:marTop w:val="0"/>
      <w:marBottom w:val="0"/>
      <w:divBdr>
        <w:top w:val="none" w:sz="0" w:space="0" w:color="auto"/>
        <w:left w:val="none" w:sz="0" w:space="0" w:color="auto"/>
        <w:bottom w:val="none" w:sz="0" w:space="0" w:color="auto"/>
        <w:right w:val="none" w:sz="0" w:space="0" w:color="auto"/>
      </w:divBdr>
    </w:div>
    <w:div w:id="1565023830">
      <w:bodyDiv w:val="1"/>
      <w:marLeft w:val="0"/>
      <w:marRight w:val="0"/>
      <w:marTop w:val="0"/>
      <w:marBottom w:val="0"/>
      <w:divBdr>
        <w:top w:val="none" w:sz="0" w:space="0" w:color="auto"/>
        <w:left w:val="none" w:sz="0" w:space="0" w:color="auto"/>
        <w:bottom w:val="none" w:sz="0" w:space="0" w:color="auto"/>
        <w:right w:val="none" w:sz="0" w:space="0" w:color="auto"/>
      </w:divBdr>
    </w:div>
    <w:div w:id="1587106825">
      <w:bodyDiv w:val="1"/>
      <w:marLeft w:val="0"/>
      <w:marRight w:val="0"/>
      <w:marTop w:val="0"/>
      <w:marBottom w:val="0"/>
      <w:divBdr>
        <w:top w:val="none" w:sz="0" w:space="0" w:color="auto"/>
        <w:left w:val="none" w:sz="0" w:space="0" w:color="auto"/>
        <w:bottom w:val="none" w:sz="0" w:space="0" w:color="auto"/>
        <w:right w:val="none" w:sz="0" w:space="0" w:color="auto"/>
      </w:divBdr>
    </w:div>
    <w:div w:id="18554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PL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8B0238-86A0-42EC-971B-7D31E9208B08}"/>
</file>

<file path=customXml/itemProps2.xml><?xml version="1.0" encoding="utf-8"?>
<ds:datastoreItem xmlns:ds="http://schemas.openxmlformats.org/officeDocument/2006/customXml" ds:itemID="{ADD5636B-61BC-40EB-AB15-DD89D5D05AE9}"/>
</file>

<file path=customXml/itemProps3.xml><?xml version="1.0" encoding="utf-8"?>
<ds:datastoreItem xmlns:ds="http://schemas.openxmlformats.org/officeDocument/2006/customXml" ds:itemID="{F9AF6C91-DD81-4332-8769-3646B39E6DF9}"/>
</file>

<file path=customXml/itemProps4.xml><?xml version="1.0" encoding="utf-8"?>
<ds:datastoreItem xmlns:ds="http://schemas.openxmlformats.org/officeDocument/2006/customXml" ds:itemID="{0D34E3B2-91B2-4593-80DC-5775B36FEEC5}"/>
</file>

<file path=customXml/itemProps5.xml><?xml version="1.0" encoding="utf-8"?>
<ds:datastoreItem xmlns:ds="http://schemas.openxmlformats.org/officeDocument/2006/customXml" ds:itemID="{BEF72FB5-5945-4C61-8C18-84C66A38D58E}"/>
</file>

<file path=docProps/app.xml><?xml version="1.0" encoding="utf-8"?>
<Properties xmlns="http://schemas.openxmlformats.org/officeDocument/2006/extended-properties" xmlns:vt="http://schemas.openxmlformats.org/officeDocument/2006/docPropsVTypes">
  <Template>PC-PLAIS.DOT</Template>
  <TotalTime>2</TotalTime>
  <Pages>7</Pages>
  <Words>2278</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14315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Stefanie (ATG)</dc:creator>
  <cp:lastModifiedBy>carolw</cp:lastModifiedBy>
  <cp:revision>2</cp:revision>
  <dcterms:created xsi:type="dcterms:W3CDTF">2015-03-27T20:38:00Z</dcterms:created>
  <dcterms:modified xsi:type="dcterms:W3CDTF">2015-03-27T20:38:00Z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gFAACRwgU2+mnxlcRmtDcZxGdImCw8VJqOZSXWIhK5JCVtehBs9YWoG49hEgWySGlZRZGnZmT22ZWg2m
vJRkoIqGvOrnt/noNNZKConfPU8GR3fB7XSNg60KJHO5Q/iOy27Pr6qKFOwa5nUVGtuchuqBkeLu
84go4qISMRB+DkH/Kn4vaQcediJ0FQCFqhqkAUoufvrXR2Bjg+KgxPY6i+T1LyCUWeP/F+84OEBW
WsMa3Djzt5+6YDHrQ</vt:lpwstr>
  </property>
  <property fmtid="{D5CDD505-2E9C-101B-9397-08002B2CF9AE}" pid="3" name="MAIL_MSG_ID2">
    <vt:lpwstr>kq9ZvzQ71OYj30Yjgf0zSjSwyx5b+d5INiLOYE48DF3iVqUvpb2p/mfavB2
P5UcXtqEqqVMAq2onHACGe174bi4FaoSq6xqtQ==</vt:lpwstr>
  </property>
  <property fmtid="{D5CDD505-2E9C-101B-9397-08002B2CF9AE}" pid="4" name="RESPONSE_SENDER_NAME">
    <vt:lpwstr>sAAA2RgG6J6jCJ1rtSLBenFAUMxQPPwa1m+ZP9M1M+FbmwQ=</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