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AC" w:rsidRPr="00384017" w:rsidRDefault="007F5EDF" w:rsidP="00384017">
      <w:pPr>
        <w:pStyle w:val="Subtitle"/>
        <w:tabs>
          <w:tab w:val="right" w:pos="9180"/>
        </w:tabs>
        <w:ind w:right="36"/>
        <w:rPr>
          <w:sz w:val="24"/>
          <w:szCs w:val="24"/>
        </w:rPr>
      </w:pPr>
      <w:bookmarkStart w:id="0" w:name="_GoBack"/>
      <w:bookmarkEnd w:id="0"/>
      <w:r w:rsidRPr="00384017">
        <w:rPr>
          <w:sz w:val="24"/>
          <w:szCs w:val="24"/>
        </w:rPr>
        <w:t>TABLE OF CONTENTS</w:t>
      </w:r>
    </w:p>
    <w:p w:rsidR="00213A24" w:rsidRDefault="007F5EDF"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r w:rsidRPr="00384017">
        <w:rPr>
          <w:bCs w:val="0"/>
          <w:caps w:val="0"/>
        </w:rPr>
        <w:fldChar w:fldCharType="begin"/>
      </w:r>
      <w:r w:rsidRPr="00384017">
        <w:rPr>
          <w:bCs w:val="0"/>
          <w:caps w:val="0"/>
        </w:rPr>
        <w:instrText xml:space="preserve"> TOC \o "1-3" \h \z \u </w:instrText>
      </w:r>
      <w:r w:rsidRPr="00384017">
        <w:rPr>
          <w:bCs w:val="0"/>
          <w:caps w:val="0"/>
        </w:rPr>
        <w:fldChar w:fldCharType="separate"/>
      </w:r>
      <w:hyperlink w:anchor="_Toc403726940" w:history="1">
        <w:r w:rsidR="00213A24" w:rsidRPr="008B4C51">
          <w:rPr>
            <w:rStyle w:val="Hyperlink"/>
            <w:noProof/>
          </w:rPr>
          <w:t>I.   Purpose of Testimony and summary of opinions</w:t>
        </w:r>
        <w:r w:rsidR="00213A24">
          <w:rPr>
            <w:noProof/>
            <w:webHidden/>
          </w:rPr>
          <w:tab/>
        </w:r>
        <w:r w:rsidR="00213A24">
          <w:rPr>
            <w:noProof/>
            <w:webHidden/>
          </w:rPr>
          <w:fldChar w:fldCharType="begin"/>
        </w:r>
        <w:r w:rsidR="00213A24">
          <w:rPr>
            <w:noProof/>
            <w:webHidden/>
          </w:rPr>
          <w:instrText xml:space="preserve"> PAGEREF _Toc403726940 \h </w:instrText>
        </w:r>
        <w:r w:rsidR="00213A24">
          <w:rPr>
            <w:noProof/>
            <w:webHidden/>
          </w:rPr>
        </w:r>
        <w:r w:rsidR="00213A24">
          <w:rPr>
            <w:noProof/>
            <w:webHidden/>
          </w:rPr>
          <w:fldChar w:fldCharType="separate"/>
        </w:r>
        <w:r w:rsidR="0030109B">
          <w:rPr>
            <w:noProof/>
            <w:webHidden/>
          </w:rPr>
          <w:t>1</w:t>
        </w:r>
        <w:r w:rsidR="00213A24">
          <w:rPr>
            <w:noProof/>
            <w:webHidden/>
          </w:rPr>
          <w:fldChar w:fldCharType="end"/>
        </w:r>
      </w:hyperlink>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41" w:history="1">
        <w:r w:rsidR="00213A24" w:rsidRPr="008B4C51">
          <w:rPr>
            <w:rStyle w:val="Hyperlink"/>
            <w:noProof/>
          </w:rPr>
          <w:t>II.   Corrected Analysis of Allowed Returns</w:t>
        </w:r>
        <w:r w:rsidR="00213A24">
          <w:rPr>
            <w:noProof/>
            <w:webHidden/>
          </w:rPr>
          <w:tab/>
        </w:r>
        <w:r w:rsidR="00213A24">
          <w:rPr>
            <w:noProof/>
            <w:webHidden/>
          </w:rPr>
          <w:fldChar w:fldCharType="begin"/>
        </w:r>
        <w:r w:rsidR="00213A24">
          <w:rPr>
            <w:noProof/>
            <w:webHidden/>
          </w:rPr>
          <w:instrText xml:space="preserve"> PAGEREF _Toc403726941 \h </w:instrText>
        </w:r>
        <w:r w:rsidR="00213A24">
          <w:rPr>
            <w:noProof/>
            <w:webHidden/>
          </w:rPr>
        </w:r>
        <w:r w:rsidR="00213A24">
          <w:rPr>
            <w:noProof/>
            <w:webHidden/>
          </w:rPr>
          <w:fldChar w:fldCharType="separate"/>
        </w:r>
        <w:r w:rsidR="0030109B">
          <w:rPr>
            <w:noProof/>
            <w:webHidden/>
          </w:rPr>
          <w:t>6</w:t>
        </w:r>
        <w:r w:rsidR="00213A24">
          <w:rPr>
            <w:noProof/>
            <w:webHidden/>
          </w:rPr>
          <w:fldChar w:fldCharType="end"/>
        </w:r>
      </w:hyperlink>
    </w:p>
    <w:p w:rsidR="00213A24" w:rsidRDefault="00213A24" w:rsidP="00213A24">
      <w:pPr>
        <w:pStyle w:val="TOC1"/>
        <w:tabs>
          <w:tab w:val="right" w:leader="dot" w:pos="8846"/>
        </w:tabs>
        <w:spacing w:before="0" w:after="0" w:line="360" w:lineRule="auto"/>
        <w:rPr>
          <w:rStyle w:val="Hyperlink"/>
          <w:noProof/>
        </w:rPr>
      </w:pPr>
      <w:r w:rsidRPr="008B4C51">
        <w:rPr>
          <w:rStyle w:val="Hyperlink"/>
          <w:noProof/>
        </w:rPr>
        <w:fldChar w:fldCharType="begin"/>
      </w:r>
      <w:r w:rsidRPr="008B4C51">
        <w:rPr>
          <w:rStyle w:val="Hyperlink"/>
          <w:noProof/>
        </w:rPr>
        <w:instrText xml:space="preserve"> </w:instrText>
      </w:r>
      <w:r>
        <w:rPr>
          <w:noProof/>
        </w:rPr>
        <w:instrText>HYPERLINK \l "_Toc403726942"</w:instrText>
      </w:r>
      <w:r w:rsidRPr="008B4C51">
        <w:rPr>
          <w:rStyle w:val="Hyperlink"/>
          <w:noProof/>
        </w:rPr>
        <w:instrText xml:space="preserve"> </w:instrText>
      </w:r>
      <w:r w:rsidRPr="008B4C51">
        <w:rPr>
          <w:rStyle w:val="Hyperlink"/>
          <w:noProof/>
        </w:rPr>
        <w:fldChar w:fldCharType="separate"/>
      </w:r>
      <w:r w:rsidRPr="008B4C51">
        <w:rPr>
          <w:rStyle w:val="Hyperlink"/>
          <w:noProof/>
        </w:rPr>
        <w:t>III.   ASSESSMENT OF CAPITAL MARKET CONDITIONS</w:t>
      </w:r>
      <w:r>
        <w:rPr>
          <w:rStyle w:val="Hyperlink"/>
          <w:noProof/>
        </w:rPr>
        <w:t xml:space="preserve"> </w:t>
      </w:r>
    </w:p>
    <w:p w:rsidR="00213A24" w:rsidRDefault="00213A24"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r w:rsidRPr="008B4C51">
        <w:rPr>
          <w:rStyle w:val="Hyperlink"/>
          <w:noProof/>
        </w:rPr>
        <w:t>and Utility Stocks</w:t>
      </w:r>
      <w:r>
        <w:rPr>
          <w:noProof/>
          <w:webHidden/>
        </w:rPr>
        <w:tab/>
      </w:r>
      <w:r>
        <w:rPr>
          <w:noProof/>
          <w:webHidden/>
        </w:rPr>
        <w:fldChar w:fldCharType="begin"/>
      </w:r>
      <w:r>
        <w:rPr>
          <w:noProof/>
          <w:webHidden/>
        </w:rPr>
        <w:instrText xml:space="preserve"> PAGEREF _Toc403726942 \h </w:instrText>
      </w:r>
      <w:r>
        <w:rPr>
          <w:noProof/>
          <w:webHidden/>
        </w:rPr>
      </w:r>
      <w:r>
        <w:rPr>
          <w:noProof/>
          <w:webHidden/>
        </w:rPr>
        <w:fldChar w:fldCharType="separate"/>
      </w:r>
      <w:r w:rsidR="0030109B">
        <w:rPr>
          <w:noProof/>
          <w:webHidden/>
        </w:rPr>
        <w:t>10</w:t>
      </w:r>
      <w:r>
        <w:rPr>
          <w:noProof/>
          <w:webHidden/>
        </w:rPr>
        <w:fldChar w:fldCharType="end"/>
      </w:r>
      <w:r w:rsidRPr="008B4C51">
        <w:rPr>
          <w:rStyle w:val="Hyperlink"/>
          <w:noProof/>
        </w:rPr>
        <w:fldChar w:fldCharType="end"/>
      </w:r>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43" w:history="1">
        <w:r w:rsidR="00213A24" w:rsidRPr="008B4C51">
          <w:rPr>
            <w:rStyle w:val="Hyperlink"/>
            <w:noProof/>
          </w:rPr>
          <w:t>IV.   CAPITAL STRUCTURE, CREDIT RATINGS AND Associated EFFECTS  ON THE COST OF EQUITY</w:t>
        </w:r>
        <w:r w:rsidR="00213A24">
          <w:rPr>
            <w:noProof/>
            <w:webHidden/>
          </w:rPr>
          <w:tab/>
        </w:r>
        <w:r w:rsidR="00213A24">
          <w:rPr>
            <w:noProof/>
            <w:webHidden/>
          </w:rPr>
          <w:fldChar w:fldCharType="begin"/>
        </w:r>
        <w:r w:rsidR="00213A24">
          <w:rPr>
            <w:noProof/>
            <w:webHidden/>
          </w:rPr>
          <w:instrText xml:space="preserve"> PAGEREF _Toc403726943 \h </w:instrText>
        </w:r>
        <w:r w:rsidR="00213A24">
          <w:rPr>
            <w:noProof/>
            <w:webHidden/>
          </w:rPr>
        </w:r>
        <w:r w:rsidR="00213A24">
          <w:rPr>
            <w:noProof/>
            <w:webHidden/>
          </w:rPr>
          <w:fldChar w:fldCharType="separate"/>
        </w:r>
        <w:r w:rsidR="0030109B">
          <w:rPr>
            <w:noProof/>
            <w:webHidden/>
          </w:rPr>
          <w:t>12</w:t>
        </w:r>
        <w:r w:rsidR="00213A24">
          <w:rPr>
            <w:noProof/>
            <w:webHidden/>
          </w:rPr>
          <w:fldChar w:fldCharType="end"/>
        </w:r>
      </w:hyperlink>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44" w:history="1">
        <w:r w:rsidR="00213A24" w:rsidRPr="008B4C51">
          <w:rPr>
            <w:rStyle w:val="Hyperlink"/>
            <w:noProof/>
          </w:rPr>
          <w:t>V.   Choice of MODELs</w:t>
        </w:r>
        <w:r w:rsidR="00213A24">
          <w:rPr>
            <w:noProof/>
            <w:webHidden/>
          </w:rPr>
          <w:tab/>
        </w:r>
        <w:r w:rsidR="00213A24">
          <w:rPr>
            <w:noProof/>
            <w:webHidden/>
          </w:rPr>
          <w:fldChar w:fldCharType="begin"/>
        </w:r>
        <w:r w:rsidR="00213A24">
          <w:rPr>
            <w:noProof/>
            <w:webHidden/>
          </w:rPr>
          <w:instrText xml:space="preserve"> PAGEREF _Toc403726944 \h </w:instrText>
        </w:r>
        <w:r w:rsidR="00213A24">
          <w:rPr>
            <w:noProof/>
            <w:webHidden/>
          </w:rPr>
        </w:r>
        <w:r w:rsidR="00213A24">
          <w:rPr>
            <w:noProof/>
            <w:webHidden/>
          </w:rPr>
          <w:fldChar w:fldCharType="separate"/>
        </w:r>
        <w:r w:rsidR="0030109B">
          <w:rPr>
            <w:noProof/>
            <w:webHidden/>
          </w:rPr>
          <w:t>20</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45" w:history="1">
        <w:r w:rsidR="00213A24" w:rsidRPr="008B4C51">
          <w:rPr>
            <w:rStyle w:val="Hyperlink"/>
            <w:noProof/>
          </w:rPr>
          <w:t>Yield-Plus-Growth</w:t>
        </w:r>
        <w:r w:rsidR="00213A24">
          <w:rPr>
            <w:noProof/>
            <w:webHidden/>
          </w:rPr>
          <w:tab/>
        </w:r>
        <w:r w:rsidR="00213A24">
          <w:rPr>
            <w:noProof/>
            <w:webHidden/>
          </w:rPr>
          <w:fldChar w:fldCharType="begin"/>
        </w:r>
        <w:r w:rsidR="00213A24">
          <w:rPr>
            <w:noProof/>
            <w:webHidden/>
          </w:rPr>
          <w:instrText xml:space="preserve"> PAGEREF _Toc403726945 \h </w:instrText>
        </w:r>
        <w:r w:rsidR="00213A24">
          <w:rPr>
            <w:noProof/>
            <w:webHidden/>
          </w:rPr>
        </w:r>
        <w:r w:rsidR="00213A24">
          <w:rPr>
            <w:noProof/>
            <w:webHidden/>
          </w:rPr>
          <w:fldChar w:fldCharType="separate"/>
        </w:r>
        <w:r w:rsidR="0030109B">
          <w:rPr>
            <w:noProof/>
            <w:webHidden/>
          </w:rPr>
          <w:t>20</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46" w:history="1">
        <w:r w:rsidR="00213A24" w:rsidRPr="008B4C51">
          <w:rPr>
            <w:rStyle w:val="Hyperlink"/>
            <w:noProof/>
          </w:rPr>
          <w:t>Comparable Earnings</w:t>
        </w:r>
        <w:r w:rsidR="00213A24">
          <w:rPr>
            <w:noProof/>
            <w:webHidden/>
          </w:rPr>
          <w:tab/>
        </w:r>
        <w:r w:rsidR="00213A24">
          <w:rPr>
            <w:noProof/>
            <w:webHidden/>
          </w:rPr>
          <w:fldChar w:fldCharType="begin"/>
        </w:r>
        <w:r w:rsidR="00213A24">
          <w:rPr>
            <w:noProof/>
            <w:webHidden/>
          </w:rPr>
          <w:instrText xml:space="preserve"> PAGEREF _Toc403726946 \h </w:instrText>
        </w:r>
        <w:r w:rsidR="00213A24">
          <w:rPr>
            <w:noProof/>
            <w:webHidden/>
          </w:rPr>
        </w:r>
        <w:r w:rsidR="00213A24">
          <w:rPr>
            <w:noProof/>
            <w:webHidden/>
          </w:rPr>
          <w:fldChar w:fldCharType="separate"/>
        </w:r>
        <w:r w:rsidR="0030109B">
          <w:rPr>
            <w:noProof/>
            <w:webHidden/>
          </w:rPr>
          <w:t>20</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47" w:history="1">
        <w:r w:rsidR="00213A24" w:rsidRPr="008B4C51">
          <w:rPr>
            <w:rStyle w:val="Hyperlink"/>
            <w:noProof/>
          </w:rPr>
          <w:t>Modified Earnings-Price Ratio</w:t>
        </w:r>
        <w:r w:rsidR="00213A24">
          <w:rPr>
            <w:noProof/>
            <w:webHidden/>
          </w:rPr>
          <w:tab/>
        </w:r>
        <w:r w:rsidR="00213A24">
          <w:rPr>
            <w:noProof/>
            <w:webHidden/>
          </w:rPr>
          <w:fldChar w:fldCharType="begin"/>
        </w:r>
        <w:r w:rsidR="00213A24">
          <w:rPr>
            <w:noProof/>
            <w:webHidden/>
          </w:rPr>
          <w:instrText xml:space="preserve"> PAGEREF _Toc403726947 \h </w:instrText>
        </w:r>
        <w:r w:rsidR="00213A24">
          <w:rPr>
            <w:noProof/>
            <w:webHidden/>
          </w:rPr>
        </w:r>
        <w:r w:rsidR="00213A24">
          <w:rPr>
            <w:noProof/>
            <w:webHidden/>
          </w:rPr>
          <w:fldChar w:fldCharType="separate"/>
        </w:r>
        <w:r w:rsidR="0030109B">
          <w:rPr>
            <w:noProof/>
            <w:webHidden/>
          </w:rPr>
          <w:t>21</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48" w:history="1">
        <w:r w:rsidR="00213A24" w:rsidRPr="008B4C51">
          <w:rPr>
            <w:rStyle w:val="Hyperlink"/>
            <w:noProof/>
          </w:rPr>
          <w:t>Market-to-Book</w:t>
        </w:r>
        <w:r w:rsidR="00213A24">
          <w:rPr>
            <w:noProof/>
            <w:webHidden/>
          </w:rPr>
          <w:tab/>
        </w:r>
        <w:r w:rsidR="00213A24">
          <w:rPr>
            <w:noProof/>
            <w:webHidden/>
          </w:rPr>
          <w:fldChar w:fldCharType="begin"/>
        </w:r>
        <w:r w:rsidR="00213A24">
          <w:rPr>
            <w:noProof/>
            <w:webHidden/>
          </w:rPr>
          <w:instrText xml:space="preserve"> PAGEREF _Toc403726948 \h </w:instrText>
        </w:r>
        <w:r w:rsidR="00213A24">
          <w:rPr>
            <w:noProof/>
            <w:webHidden/>
          </w:rPr>
        </w:r>
        <w:r w:rsidR="00213A24">
          <w:rPr>
            <w:noProof/>
            <w:webHidden/>
          </w:rPr>
          <w:fldChar w:fldCharType="separate"/>
        </w:r>
        <w:r w:rsidR="0030109B">
          <w:rPr>
            <w:noProof/>
            <w:webHidden/>
          </w:rPr>
          <w:t>22</w:t>
        </w:r>
        <w:r w:rsidR="00213A24">
          <w:rPr>
            <w:noProof/>
            <w:webHidden/>
          </w:rPr>
          <w:fldChar w:fldCharType="end"/>
        </w:r>
      </w:hyperlink>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49" w:history="1">
        <w:r w:rsidR="00213A24" w:rsidRPr="008B4C51">
          <w:rPr>
            <w:rStyle w:val="Hyperlink"/>
            <w:noProof/>
          </w:rPr>
          <w:t>VI.   MODEL INPUTS</w:t>
        </w:r>
        <w:r w:rsidR="00213A24">
          <w:rPr>
            <w:noProof/>
            <w:webHidden/>
          </w:rPr>
          <w:tab/>
        </w:r>
        <w:r w:rsidR="00213A24">
          <w:rPr>
            <w:noProof/>
            <w:webHidden/>
          </w:rPr>
          <w:fldChar w:fldCharType="begin"/>
        </w:r>
        <w:r w:rsidR="00213A24">
          <w:rPr>
            <w:noProof/>
            <w:webHidden/>
          </w:rPr>
          <w:instrText xml:space="preserve"> PAGEREF _Toc403726949 \h </w:instrText>
        </w:r>
        <w:r w:rsidR="00213A24">
          <w:rPr>
            <w:noProof/>
            <w:webHidden/>
          </w:rPr>
        </w:r>
        <w:r w:rsidR="00213A24">
          <w:rPr>
            <w:noProof/>
            <w:webHidden/>
          </w:rPr>
          <w:fldChar w:fldCharType="separate"/>
        </w:r>
        <w:r w:rsidR="0030109B">
          <w:rPr>
            <w:noProof/>
            <w:webHidden/>
          </w:rPr>
          <w:t>23</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0" w:history="1">
        <w:r w:rsidR="00213A24" w:rsidRPr="008B4C51">
          <w:rPr>
            <w:rStyle w:val="Hyperlink"/>
            <w:noProof/>
          </w:rPr>
          <w:t>Equity Risk Premium</w:t>
        </w:r>
        <w:r w:rsidR="00213A24">
          <w:rPr>
            <w:noProof/>
            <w:webHidden/>
          </w:rPr>
          <w:tab/>
        </w:r>
        <w:r w:rsidR="00213A24">
          <w:rPr>
            <w:noProof/>
            <w:webHidden/>
          </w:rPr>
          <w:fldChar w:fldCharType="begin"/>
        </w:r>
        <w:r w:rsidR="00213A24">
          <w:rPr>
            <w:noProof/>
            <w:webHidden/>
          </w:rPr>
          <w:instrText xml:space="preserve"> PAGEREF _Toc403726950 \h </w:instrText>
        </w:r>
        <w:r w:rsidR="00213A24">
          <w:rPr>
            <w:noProof/>
            <w:webHidden/>
          </w:rPr>
        </w:r>
        <w:r w:rsidR="00213A24">
          <w:rPr>
            <w:noProof/>
            <w:webHidden/>
          </w:rPr>
          <w:fldChar w:fldCharType="separate"/>
        </w:r>
        <w:r w:rsidR="0030109B">
          <w:rPr>
            <w:noProof/>
            <w:webHidden/>
          </w:rPr>
          <w:t>23</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1" w:history="1">
        <w:r w:rsidR="00213A24" w:rsidRPr="008B4C51">
          <w:rPr>
            <w:rStyle w:val="Hyperlink"/>
            <w:noProof/>
          </w:rPr>
          <w:t>Proxy Group Selection</w:t>
        </w:r>
        <w:r w:rsidR="00213A24">
          <w:rPr>
            <w:noProof/>
            <w:webHidden/>
          </w:rPr>
          <w:tab/>
        </w:r>
        <w:r w:rsidR="00213A24">
          <w:rPr>
            <w:noProof/>
            <w:webHidden/>
          </w:rPr>
          <w:fldChar w:fldCharType="begin"/>
        </w:r>
        <w:r w:rsidR="00213A24">
          <w:rPr>
            <w:noProof/>
            <w:webHidden/>
          </w:rPr>
          <w:instrText xml:space="preserve"> PAGEREF _Toc403726951 \h </w:instrText>
        </w:r>
        <w:r w:rsidR="00213A24">
          <w:rPr>
            <w:noProof/>
            <w:webHidden/>
          </w:rPr>
        </w:r>
        <w:r w:rsidR="00213A24">
          <w:rPr>
            <w:noProof/>
            <w:webHidden/>
          </w:rPr>
          <w:fldChar w:fldCharType="separate"/>
        </w:r>
        <w:r w:rsidR="0030109B">
          <w:rPr>
            <w:noProof/>
            <w:webHidden/>
          </w:rPr>
          <w:t>25</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2" w:history="1">
        <w:r w:rsidR="00213A24" w:rsidRPr="008B4C51">
          <w:rPr>
            <w:rStyle w:val="Hyperlink"/>
            <w:noProof/>
          </w:rPr>
          <w:t>Dividend Yield Adjustment</w:t>
        </w:r>
        <w:r w:rsidR="00213A24">
          <w:rPr>
            <w:noProof/>
            <w:webHidden/>
          </w:rPr>
          <w:tab/>
        </w:r>
        <w:r w:rsidR="00213A24">
          <w:rPr>
            <w:noProof/>
            <w:webHidden/>
          </w:rPr>
          <w:fldChar w:fldCharType="begin"/>
        </w:r>
        <w:r w:rsidR="00213A24">
          <w:rPr>
            <w:noProof/>
            <w:webHidden/>
          </w:rPr>
          <w:instrText xml:space="preserve"> PAGEREF _Toc403726952 \h </w:instrText>
        </w:r>
        <w:r w:rsidR="00213A24">
          <w:rPr>
            <w:noProof/>
            <w:webHidden/>
          </w:rPr>
        </w:r>
        <w:r w:rsidR="00213A24">
          <w:rPr>
            <w:noProof/>
            <w:webHidden/>
          </w:rPr>
          <w:fldChar w:fldCharType="separate"/>
        </w:r>
        <w:r w:rsidR="0030109B">
          <w:rPr>
            <w:noProof/>
            <w:webHidden/>
          </w:rPr>
          <w:t>26</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3" w:history="1">
        <w:r w:rsidR="00213A24" w:rsidRPr="008B4C51">
          <w:rPr>
            <w:rStyle w:val="Hyperlink"/>
            <w:noProof/>
          </w:rPr>
          <w:t>Analyst Growth Forecasts</w:t>
        </w:r>
        <w:r w:rsidR="00213A24">
          <w:rPr>
            <w:noProof/>
            <w:webHidden/>
          </w:rPr>
          <w:tab/>
        </w:r>
        <w:r w:rsidR="00213A24">
          <w:rPr>
            <w:noProof/>
            <w:webHidden/>
          </w:rPr>
          <w:fldChar w:fldCharType="begin"/>
        </w:r>
        <w:r w:rsidR="00213A24">
          <w:rPr>
            <w:noProof/>
            <w:webHidden/>
          </w:rPr>
          <w:instrText xml:space="preserve"> PAGEREF _Toc403726953 \h </w:instrText>
        </w:r>
        <w:r w:rsidR="00213A24">
          <w:rPr>
            <w:noProof/>
            <w:webHidden/>
          </w:rPr>
        </w:r>
        <w:r w:rsidR="00213A24">
          <w:rPr>
            <w:noProof/>
            <w:webHidden/>
          </w:rPr>
          <w:fldChar w:fldCharType="separate"/>
        </w:r>
        <w:r w:rsidR="0030109B">
          <w:rPr>
            <w:noProof/>
            <w:webHidden/>
          </w:rPr>
          <w:t>27</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4" w:history="1">
        <w:r w:rsidR="00213A24" w:rsidRPr="008B4C51">
          <w:rPr>
            <w:rStyle w:val="Hyperlink"/>
            <w:noProof/>
          </w:rPr>
          <w:t>Measure of Central Tendency</w:t>
        </w:r>
        <w:r w:rsidR="00213A24">
          <w:rPr>
            <w:noProof/>
            <w:webHidden/>
          </w:rPr>
          <w:tab/>
        </w:r>
        <w:r w:rsidR="00213A24">
          <w:rPr>
            <w:noProof/>
            <w:webHidden/>
          </w:rPr>
          <w:fldChar w:fldCharType="begin"/>
        </w:r>
        <w:r w:rsidR="00213A24">
          <w:rPr>
            <w:noProof/>
            <w:webHidden/>
          </w:rPr>
          <w:instrText xml:space="preserve"> PAGEREF _Toc403726954 \h </w:instrText>
        </w:r>
        <w:r w:rsidR="00213A24">
          <w:rPr>
            <w:noProof/>
            <w:webHidden/>
          </w:rPr>
        </w:r>
        <w:r w:rsidR="00213A24">
          <w:rPr>
            <w:noProof/>
            <w:webHidden/>
          </w:rPr>
          <w:fldChar w:fldCharType="separate"/>
        </w:r>
        <w:r w:rsidR="0030109B">
          <w:rPr>
            <w:noProof/>
            <w:webHidden/>
          </w:rPr>
          <w:t>28</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5" w:history="1">
        <w:r w:rsidR="00213A24" w:rsidRPr="008B4C51">
          <w:rPr>
            <w:rStyle w:val="Hyperlink"/>
            <w:noProof/>
          </w:rPr>
          <w:t>Screening Criteria</w:t>
        </w:r>
        <w:r w:rsidR="00213A24">
          <w:rPr>
            <w:noProof/>
            <w:webHidden/>
          </w:rPr>
          <w:tab/>
        </w:r>
        <w:r w:rsidR="00213A24">
          <w:rPr>
            <w:noProof/>
            <w:webHidden/>
          </w:rPr>
          <w:fldChar w:fldCharType="begin"/>
        </w:r>
        <w:r w:rsidR="00213A24">
          <w:rPr>
            <w:noProof/>
            <w:webHidden/>
          </w:rPr>
          <w:instrText xml:space="preserve"> PAGEREF _Toc403726955 \h </w:instrText>
        </w:r>
        <w:r w:rsidR="00213A24">
          <w:rPr>
            <w:noProof/>
            <w:webHidden/>
          </w:rPr>
        </w:r>
        <w:r w:rsidR="00213A24">
          <w:rPr>
            <w:noProof/>
            <w:webHidden/>
          </w:rPr>
          <w:fldChar w:fldCharType="separate"/>
        </w:r>
        <w:r w:rsidR="0030109B">
          <w:rPr>
            <w:noProof/>
            <w:webHidden/>
          </w:rPr>
          <w:t>29</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6" w:history="1">
        <w:r w:rsidR="00213A24" w:rsidRPr="008B4C51">
          <w:rPr>
            <w:rStyle w:val="Hyperlink"/>
            <w:noProof/>
          </w:rPr>
          <w:t>Geometric versus Arithmetic Mean</w:t>
        </w:r>
        <w:r w:rsidR="00213A24">
          <w:rPr>
            <w:noProof/>
            <w:webHidden/>
          </w:rPr>
          <w:tab/>
        </w:r>
        <w:r w:rsidR="00213A24">
          <w:rPr>
            <w:noProof/>
            <w:webHidden/>
          </w:rPr>
          <w:fldChar w:fldCharType="begin"/>
        </w:r>
        <w:r w:rsidR="00213A24">
          <w:rPr>
            <w:noProof/>
            <w:webHidden/>
          </w:rPr>
          <w:instrText xml:space="preserve"> PAGEREF _Toc403726956 \h </w:instrText>
        </w:r>
        <w:r w:rsidR="00213A24">
          <w:rPr>
            <w:noProof/>
            <w:webHidden/>
          </w:rPr>
        </w:r>
        <w:r w:rsidR="00213A24">
          <w:rPr>
            <w:noProof/>
            <w:webHidden/>
          </w:rPr>
          <w:fldChar w:fldCharType="separate"/>
        </w:r>
        <w:r w:rsidR="0030109B">
          <w:rPr>
            <w:noProof/>
            <w:webHidden/>
          </w:rPr>
          <w:t>30</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7" w:history="1">
        <w:r w:rsidR="00213A24" w:rsidRPr="008B4C51">
          <w:rPr>
            <w:rStyle w:val="Hyperlink"/>
            <w:noProof/>
          </w:rPr>
          <w:t>GDP Forecasts as Inputs to the DCF Model and Caps on Earnings Growth</w:t>
        </w:r>
        <w:r w:rsidR="00213A24">
          <w:rPr>
            <w:noProof/>
            <w:webHidden/>
          </w:rPr>
          <w:tab/>
        </w:r>
        <w:r w:rsidR="00213A24">
          <w:rPr>
            <w:noProof/>
            <w:webHidden/>
          </w:rPr>
          <w:fldChar w:fldCharType="begin"/>
        </w:r>
        <w:r w:rsidR="00213A24">
          <w:rPr>
            <w:noProof/>
            <w:webHidden/>
          </w:rPr>
          <w:instrText xml:space="preserve"> PAGEREF _Toc403726957 \h </w:instrText>
        </w:r>
        <w:r w:rsidR="00213A24">
          <w:rPr>
            <w:noProof/>
            <w:webHidden/>
          </w:rPr>
        </w:r>
        <w:r w:rsidR="00213A24">
          <w:rPr>
            <w:noProof/>
            <w:webHidden/>
          </w:rPr>
          <w:fldChar w:fldCharType="separate"/>
        </w:r>
        <w:r w:rsidR="0030109B">
          <w:rPr>
            <w:noProof/>
            <w:webHidden/>
          </w:rPr>
          <w:t>30</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8" w:history="1">
        <w:r w:rsidR="00213A24" w:rsidRPr="008B4C51">
          <w:rPr>
            <w:rStyle w:val="Hyperlink"/>
            <w:noProof/>
          </w:rPr>
          <w:t>Company Selection for Yield-Plus-Growth Model</w:t>
        </w:r>
        <w:r w:rsidR="00213A24">
          <w:rPr>
            <w:noProof/>
            <w:webHidden/>
          </w:rPr>
          <w:tab/>
        </w:r>
        <w:r w:rsidR="00213A24">
          <w:rPr>
            <w:noProof/>
            <w:webHidden/>
          </w:rPr>
          <w:fldChar w:fldCharType="begin"/>
        </w:r>
        <w:r w:rsidR="00213A24">
          <w:rPr>
            <w:noProof/>
            <w:webHidden/>
          </w:rPr>
          <w:instrText xml:space="preserve"> PAGEREF _Toc403726958 \h </w:instrText>
        </w:r>
        <w:r w:rsidR="00213A24">
          <w:rPr>
            <w:noProof/>
            <w:webHidden/>
          </w:rPr>
        </w:r>
        <w:r w:rsidR="00213A24">
          <w:rPr>
            <w:noProof/>
            <w:webHidden/>
          </w:rPr>
          <w:fldChar w:fldCharType="separate"/>
        </w:r>
        <w:r w:rsidR="0030109B">
          <w:rPr>
            <w:noProof/>
            <w:webHidden/>
          </w:rPr>
          <w:t>32</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59" w:history="1">
        <w:r w:rsidR="00213A24" w:rsidRPr="008B4C51">
          <w:rPr>
            <w:rStyle w:val="Hyperlink"/>
            <w:noProof/>
          </w:rPr>
          <w:t>Specification of the Risk Premium Model</w:t>
        </w:r>
        <w:r w:rsidR="00213A24">
          <w:rPr>
            <w:noProof/>
            <w:webHidden/>
          </w:rPr>
          <w:tab/>
        </w:r>
        <w:r w:rsidR="00213A24">
          <w:rPr>
            <w:noProof/>
            <w:webHidden/>
          </w:rPr>
          <w:fldChar w:fldCharType="begin"/>
        </w:r>
        <w:r w:rsidR="00213A24">
          <w:rPr>
            <w:noProof/>
            <w:webHidden/>
          </w:rPr>
          <w:instrText xml:space="preserve"> PAGEREF _Toc403726959 \h </w:instrText>
        </w:r>
        <w:r w:rsidR="00213A24">
          <w:rPr>
            <w:noProof/>
            <w:webHidden/>
          </w:rPr>
        </w:r>
        <w:r w:rsidR="00213A24">
          <w:rPr>
            <w:noProof/>
            <w:webHidden/>
          </w:rPr>
          <w:fldChar w:fldCharType="separate"/>
        </w:r>
        <w:r w:rsidR="0030109B">
          <w:rPr>
            <w:noProof/>
            <w:webHidden/>
          </w:rPr>
          <w:t>33</w:t>
        </w:r>
        <w:r w:rsidR="00213A24">
          <w:rPr>
            <w:noProof/>
            <w:webHidden/>
          </w:rPr>
          <w:fldChar w:fldCharType="end"/>
        </w:r>
      </w:hyperlink>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60" w:history="1">
        <w:r w:rsidR="00213A24" w:rsidRPr="008B4C51">
          <w:rPr>
            <w:rStyle w:val="Hyperlink"/>
            <w:noProof/>
          </w:rPr>
          <w:t>VII.   Corroboration of Cost of Equity Estimates</w:t>
        </w:r>
        <w:r w:rsidR="00213A24">
          <w:rPr>
            <w:noProof/>
            <w:webHidden/>
          </w:rPr>
          <w:tab/>
        </w:r>
        <w:r w:rsidR="00213A24">
          <w:rPr>
            <w:noProof/>
            <w:webHidden/>
          </w:rPr>
          <w:fldChar w:fldCharType="begin"/>
        </w:r>
        <w:r w:rsidR="00213A24">
          <w:rPr>
            <w:noProof/>
            <w:webHidden/>
          </w:rPr>
          <w:instrText xml:space="preserve"> PAGEREF _Toc403726960 \h </w:instrText>
        </w:r>
        <w:r w:rsidR="00213A24">
          <w:rPr>
            <w:noProof/>
            <w:webHidden/>
          </w:rPr>
        </w:r>
        <w:r w:rsidR="00213A24">
          <w:rPr>
            <w:noProof/>
            <w:webHidden/>
          </w:rPr>
          <w:fldChar w:fldCharType="separate"/>
        </w:r>
        <w:r w:rsidR="0030109B">
          <w:rPr>
            <w:noProof/>
            <w:webHidden/>
          </w:rPr>
          <w:t>34</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61" w:history="1">
        <w:r w:rsidR="00213A24" w:rsidRPr="008B4C51">
          <w:rPr>
            <w:rStyle w:val="Hyperlink"/>
            <w:noProof/>
          </w:rPr>
          <w:t>Use of Pension Fund Returns</w:t>
        </w:r>
        <w:r w:rsidR="00213A24">
          <w:rPr>
            <w:noProof/>
            <w:webHidden/>
          </w:rPr>
          <w:tab/>
        </w:r>
        <w:r w:rsidR="00213A24">
          <w:rPr>
            <w:noProof/>
            <w:webHidden/>
          </w:rPr>
          <w:fldChar w:fldCharType="begin"/>
        </w:r>
        <w:r w:rsidR="00213A24">
          <w:rPr>
            <w:noProof/>
            <w:webHidden/>
          </w:rPr>
          <w:instrText xml:space="preserve"> PAGEREF _Toc403726961 \h </w:instrText>
        </w:r>
        <w:r w:rsidR="00213A24">
          <w:rPr>
            <w:noProof/>
            <w:webHidden/>
          </w:rPr>
        </w:r>
        <w:r w:rsidR="00213A24">
          <w:rPr>
            <w:noProof/>
            <w:webHidden/>
          </w:rPr>
          <w:fldChar w:fldCharType="separate"/>
        </w:r>
        <w:r w:rsidR="0030109B">
          <w:rPr>
            <w:noProof/>
            <w:webHidden/>
          </w:rPr>
          <w:t>34</w:t>
        </w:r>
        <w:r w:rsidR="00213A24">
          <w:rPr>
            <w:noProof/>
            <w:webHidden/>
          </w:rPr>
          <w:fldChar w:fldCharType="end"/>
        </w:r>
      </w:hyperlink>
    </w:p>
    <w:p w:rsidR="00213A24" w:rsidRDefault="0090086C" w:rsidP="00213A24">
      <w:pPr>
        <w:pStyle w:val="TOC2"/>
        <w:tabs>
          <w:tab w:val="right" w:leader="dot" w:pos="8846"/>
        </w:tabs>
        <w:spacing w:line="360" w:lineRule="auto"/>
        <w:rPr>
          <w:rFonts w:asciiTheme="minorHAnsi" w:eastAsiaTheme="minorEastAsia" w:hAnsiTheme="minorHAnsi" w:cstheme="minorBidi"/>
          <w:noProof/>
          <w:sz w:val="22"/>
          <w:szCs w:val="22"/>
        </w:rPr>
      </w:pPr>
      <w:hyperlink w:anchor="_Toc403726962" w:history="1">
        <w:r w:rsidR="00213A24" w:rsidRPr="008B4C51">
          <w:rPr>
            <w:rStyle w:val="Hyperlink"/>
            <w:noProof/>
          </w:rPr>
          <w:t>Allowed Returns</w:t>
        </w:r>
        <w:r w:rsidR="00213A24">
          <w:rPr>
            <w:noProof/>
            <w:webHidden/>
          </w:rPr>
          <w:tab/>
        </w:r>
        <w:r w:rsidR="00213A24">
          <w:rPr>
            <w:noProof/>
            <w:webHidden/>
          </w:rPr>
          <w:fldChar w:fldCharType="begin"/>
        </w:r>
        <w:r w:rsidR="00213A24">
          <w:rPr>
            <w:noProof/>
            <w:webHidden/>
          </w:rPr>
          <w:instrText xml:space="preserve"> PAGEREF _Toc403726962 \h </w:instrText>
        </w:r>
        <w:r w:rsidR="00213A24">
          <w:rPr>
            <w:noProof/>
            <w:webHidden/>
          </w:rPr>
        </w:r>
        <w:r w:rsidR="00213A24">
          <w:rPr>
            <w:noProof/>
            <w:webHidden/>
          </w:rPr>
          <w:fldChar w:fldCharType="separate"/>
        </w:r>
        <w:r w:rsidR="0030109B">
          <w:rPr>
            <w:noProof/>
            <w:webHidden/>
          </w:rPr>
          <w:t>34</w:t>
        </w:r>
        <w:r w:rsidR="00213A24">
          <w:rPr>
            <w:noProof/>
            <w:webHidden/>
          </w:rPr>
          <w:fldChar w:fldCharType="end"/>
        </w:r>
      </w:hyperlink>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63" w:history="1">
        <w:r w:rsidR="00213A24" w:rsidRPr="008B4C51">
          <w:rPr>
            <w:rStyle w:val="Hyperlink"/>
            <w:noProof/>
          </w:rPr>
          <w:t>VIII.   Business and Financial RISKs Relative TO the proxy Group</w:t>
        </w:r>
        <w:r w:rsidR="00213A24">
          <w:rPr>
            <w:noProof/>
            <w:webHidden/>
          </w:rPr>
          <w:tab/>
        </w:r>
        <w:r w:rsidR="00213A24">
          <w:rPr>
            <w:noProof/>
            <w:webHidden/>
          </w:rPr>
          <w:fldChar w:fldCharType="begin"/>
        </w:r>
        <w:r w:rsidR="00213A24">
          <w:rPr>
            <w:noProof/>
            <w:webHidden/>
          </w:rPr>
          <w:instrText xml:space="preserve"> PAGEREF _Toc403726963 \h </w:instrText>
        </w:r>
        <w:r w:rsidR="00213A24">
          <w:rPr>
            <w:noProof/>
            <w:webHidden/>
          </w:rPr>
        </w:r>
        <w:r w:rsidR="00213A24">
          <w:rPr>
            <w:noProof/>
            <w:webHidden/>
          </w:rPr>
          <w:fldChar w:fldCharType="separate"/>
        </w:r>
        <w:r w:rsidR="0030109B">
          <w:rPr>
            <w:noProof/>
            <w:webHidden/>
          </w:rPr>
          <w:t>36</w:t>
        </w:r>
        <w:r w:rsidR="00213A24">
          <w:rPr>
            <w:noProof/>
            <w:webHidden/>
          </w:rPr>
          <w:fldChar w:fldCharType="end"/>
        </w:r>
      </w:hyperlink>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64" w:history="1">
        <w:r w:rsidR="00213A24" w:rsidRPr="008B4C51">
          <w:rPr>
            <w:rStyle w:val="Hyperlink"/>
            <w:noProof/>
          </w:rPr>
          <w:t>IX.   Financial Integrity Analysis</w:t>
        </w:r>
        <w:r w:rsidR="00213A24">
          <w:rPr>
            <w:noProof/>
            <w:webHidden/>
          </w:rPr>
          <w:tab/>
        </w:r>
        <w:r w:rsidR="00213A24">
          <w:rPr>
            <w:noProof/>
            <w:webHidden/>
          </w:rPr>
          <w:fldChar w:fldCharType="begin"/>
        </w:r>
        <w:r w:rsidR="00213A24">
          <w:rPr>
            <w:noProof/>
            <w:webHidden/>
          </w:rPr>
          <w:instrText xml:space="preserve"> PAGEREF _Toc403726964 \h </w:instrText>
        </w:r>
        <w:r w:rsidR="00213A24">
          <w:rPr>
            <w:noProof/>
            <w:webHidden/>
          </w:rPr>
        </w:r>
        <w:r w:rsidR="00213A24">
          <w:rPr>
            <w:noProof/>
            <w:webHidden/>
          </w:rPr>
          <w:fldChar w:fldCharType="separate"/>
        </w:r>
        <w:r w:rsidR="0030109B">
          <w:rPr>
            <w:noProof/>
            <w:webHidden/>
          </w:rPr>
          <w:t>39</w:t>
        </w:r>
        <w:r w:rsidR="00213A24">
          <w:rPr>
            <w:noProof/>
            <w:webHidden/>
          </w:rPr>
          <w:fldChar w:fldCharType="end"/>
        </w:r>
      </w:hyperlink>
    </w:p>
    <w:p w:rsidR="00213A24" w:rsidRDefault="0090086C" w:rsidP="00213A24">
      <w:pPr>
        <w:pStyle w:val="TOC1"/>
        <w:tabs>
          <w:tab w:val="right" w:leader="dot" w:pos="8846"/>
        </w:tabs>
        <w:spacing w:before="0" w:after="0" w:line="360" w:lineRule="auto"/>
        <w:rPr>
          <w:rFonts w:asciiTheme="minorHAnsi" w:eastAsiaTheme="minorEastAsia" w:hAnsiTheme="minorHAnsi" w:cstheme="minorBidi"/>
          <w:bCs w:val="0"/>
          <w:caps w:val="0"/>
          <w:noProof/>
          <w:sz w:val="22"/>
          <w:szCs w:val="22"/>
        </w:rPr>
      </w:pPr>
      <w:hyperlink w:anchor="_Toc403726965" w:history="1">
        <w:r w:rsidR="00213A24" w:rsidRPr="008B4C51">
          <w:rPr>
            <w:rStyle w:val="Hyperlink"/>
            <w:noProof/>
          </w:rPr>
          <w:t>X.   Updated Cost of Equity Analysis</w:t>
        </w:r>
        <w:r w:rsidR="00213A24">
          <w:rPr>
            <w:noProof/>
            <w:webHidden/>
          </w:rPr>
          <w:tab/>
        </w:r>
        <w:r w:rsidR="00213A24">
          <w:rPr>
            <w:noProof/>
            <w:webHidden/>
          </w:rPr>
          <w:fldChar w:fldCharType="begin"/>
        </w:r>
        <w:r w:rsidR="00213A24">
          <w:rPr>
            <w:noProof/>
            <w:webHidden/>
          </w:rPr>
          <w:instrText xml:space="preserve"> PAGEREF _Toc403726965 \h </w:instrText>
        </w:r>
        <w:r w:rsidR="00213A24">
          <w:rPr>
            <w:noProof/>
            <w:webHidden/>
          </w:rPr>
        </w:r>
        <w:r w:rsidR="00213A24">
          <w:rPr>
            <w:noProof/>
            <w:webHidden/>
          </w:rPr>
          <w:fldChar w:fldCharType="separate"/>
        </w:r>
        <w:r w:rsidR="0030109B">
          <w:rPr>
            <w:noProof/>
            <w:webHidden/>
          </w:rPr>
          <w:t>42</w:t>
        </w:r>
        <w:r w:rsidR="00213A24">
          <w:rPr>
            <w:noProof/>
            <w:webHidden/>
          </w:rPr>
          <w:fldChar w:fldCharType="end"/>
        </w:r>
      </w:hyperlink>
    </w:p>
    <w:p w:rsidR="008E22C3" w:rsidRDefault="007F5EDF" w:rsidP="00213A24">
      <w:pPr>
        <w:spacing w:line="360" w:lineRule="auto"/>
        <w:rPr>
          <w:b/>
          <w:bCs/>
          <w:noProof/>
        </w:rPr>
      </w:pPr>
      <w:r w:rsidRPr="00384017">
        <w:rPr>
          <w:bCs/>
          <w:caps/>
          <w:szCs w:val="24"/>
        </w:rPr>
        <w:fldChar w:fldCharType="end"/>
      </w:r>
    </w:p>
    <w:p w:rsidR="008E22C3" w:rsidRDefault="008E22C3" w:rsidP="0095708E">
      <w:pPr>
        <w:jc w:val="center"/>
        <w:rPr>
          <w:b/>
          <w:szCs w:val="24"/>
        </w:rPr>
      </w:pPr>
      <w:r w:rsidRPr="0095708E">
        <w:rPr>
          <w:b/>
          <w:szCs w:val="24"/>
        </w:rPr>
        <w:lastRenderedPageBreak/>
        <w:t>ATTACHED EXHIBIT</w:t>
      </w:r>
      <w:r w:rsidR="0084336F" w:rsidRPr="0095708E">
        <w:rPr>
          <w:b/>
          <w:szCs w:val="24"/>
        </w:rPr>
        <w:t>S</w:t>
      </w:r>
    </w:p>
    <w:p w:rsidR="0095708E" w:rsidRPr="0095708E" w:rsidRDefault="0095708E" w:rsidP="0095708E">
      <w:pPr>
        <w:jc w:val="center"/>
        <w:rPr>
          <w:b/>
          <w:szCs w:val="24"/>
        </w:rPr>
      </w:pPr>
    </w:p>
    <w:p w:rsidR="00877852" w:rsidRPr="00875C3F" w:rsidRDefault="007C1C30" w:rsidP="0095708E">
      <w:pPr>
        <w:pStyle w:val="FootnoteText"/>
        <w:spacing w:after="0"/>
        <w:jc w:val="left"/>
        <w:rPr>
          <w:szCs w:val="24"/>
        </w:rPr>
      </w:pPr>
      <w:r>
        <w:rPr>
          <w:sz w:val="24"/>
          <w:szCs w:val="24"/>
        </w:rPr>
        <w:t>Exhibit No. KGS-18</w:t>
      </w:r>
      <w:r w:rsidR="00C62BF2">
        <w:t>—</w:t>
      </w:r>
      <w:r w:rsidR="00344328">
        <w:rPr>
          <w:sz w:val="24"/>
          <w:szCs w:val="24"/>
        </w:rPr>
        <w:t xml:space="preserve">Updated </w:t>
      </w:r>
      <w:r w:rsidR="00877852" w:rsidRPr="00FE77C1">
        <w:rPr>
          <w:sz w:val="24"/>
          <w:szCs w:val="24"/>
        </w:rPr>
        <w:t>Summary of Cost of Equity Estimates</w:t>
      </w:r>
    </w:p>
    <w:p w:rsidR="00877852" w:rsidRPr="00875C3F" w:rsidRDefault="007C1C30" w:rsidP="0095708E">
      <w:pPr>
        <w:pStyle w:val="FootnoteText"/>
        <w:spacing w:after="0"/>
        <w:jc w:val="left"/>
        <w:rPr>
          <w:szCs w:val="24"/>
        </w:rPr>
      </w:pPr>
      <w:r>
        <w:rPr>
          <w:sz w:val="24"/>
          <w:szCs w:val="24"/>
        </w:rPr>
        <w:t>Exhibit No. KGS-19</w:t>
      </w:r>
      <w:r w:rsidR="00C62BF2">
        <w:t>—</w:t>
      </w:r>
      <w:r w:rsidR="00877852" w:rsidRPr="00FE77C1">
        <w:rPr>
          <w:sz w:val="24"/>
          <w:szCs w:val="24"/>
        </w:rPr>
        <w:t>Allowed ROE</w:t>
      </w:r>
      <w:r w:rsidR="00374875">
        <w:rPr>
          <w:sz w:val="24"/>
          <w:szCs w:val="24"/>
        </w:rPr>
        <w:t>s</w:t>
      </w:r>
      <w:r w:rsidR="00877852" w:rsidRPr="00FE77C1">
        <w:rPr>
          <w:sz w:val="24"/>
          <w:szCs w:val="24"/>
        </w:rPr>
        <w:t xml:space="preserve"> for </w:t>
      </w:r>
      <w:r w:rsidR="00344328">
        <w:rPr>
          <w:sz w:val="24"/>
          <w:szCs w:val="24"/>
        </w:rPr>
        <w:t>Other Electric Utilities</w:t>
      </w:r>
    </w:p>
    <w:p w:rsidR="00877852" w:rsidRPr="00875C3F" w:rsidRDefault="0095708E" w:rsidP="00F06E3E">
      <w:pPr>
        <w:pStyle w:val="FootnoteText"/>
        <w:spacing w:after="0"/>
        <w:ind w:left="720" w:hanging="720"/>
        <w:jc w:val="left"/>
        <w:rPr>
          <w:szCs w:val="24"/>
        </w:rPr>
      </w:pPr>
      <w:r>
        <w:rPr>
          <w:sz w:val="24"/>
          <w:szCs w:val="24"/>
        </w:rPr>
        <w:t xml:space="preserve">Exhibit No. </w:t>
      </w:r>
      <w:r w:rsidR="007C1C30">
        <w:rPr>
          <w:sz w:val="24"/>
          <w:szCs w:val="24"/>
        </w:rPr>
        <w:t>KGS-20</w:t>
      </w:r>
      <w:r w:rsidR="00C62BF2">
        <w:t>—</w:t>
      </w:r>
      <w:r w:rsidR="00344328">
        <w:rPr>
          <w:sz w:val="24"/>
          <w:szCs w:val="24"/>
        </w:rPr>
        <w:t>Bloomberg Yield Forecasts</w:t>
      </w:r>
    </w:p>
    <w:p w:rsidR="00877852" w:rsidRPr="00875C3F" w:rsidRDefault="007C1C30" w:rsidP="0095708E">
      <w:pPr>
        <w:pStyle w:val="FootnoteText"/>
        <w:spacing w:after="0"/>
        <w:jc w:val="left"/>
        <w:rPr>
          <w:szCs w:val="24"/>
        </w:rPr>
      </w:pPr>
      <w:r>
        <w:rPr>
          <w:sz w:val="24"/>
          <w:szCs w:val="24"/>
        </w:rPr>
        <w:t xml:space="preserve">Exhibit No. </w:t>
      </w:r>
      <w:r w:rsidR="00877852" w:rsidRPr="00FE77C1">
        <w:rPr>
          <w:sz w:val="24"/>
          <w:szCs w:val="24"/>
        </w:rPr>
        <w:t>KGS-21</w:t>
      </w:r>
      <w:r w:rsidR="00C62BF2">
        <w:t>—</w:t>
      </w:r>
      <w:r w:rsidR="00877852" w:rsidRPr="00FE77C1">
        <w:rPr>
          <w:sz w:val="24"/>
          <w:szCs w:val="24"/>
        </w:rPr>
        <w:t>VIX Index</w:t>
      </w:r>
    </w:p>
    <w:p w:rsidR="00344328" w:rsidRPr="00875C3F" w:rsidRDefault="00344328" w:rsidP="00344328">
      <w:pPr>
        <w:pStyle w:val="FootnoteText"/>
        <w:spacing w:after="0"/>
        <w:ind w:left="720" w:hanging="720"/>
        <w:jc w:val="left"/>
        <w:rPr>
          <w:szCs w:val="24"/>
        </w:rPr>
      </w:pPr>
      <w:r>
        <w:rPr>
          <w:sz w:val="24"/>
          <w:szCs w:val="24"/>
        </w:rPr>
        <w:t xml:space="preserve">Exhibit No. </w:t>
      </w:r>
      <w:r w:rsidRPr="00FE77C1">
        <w:rPr>
          <w:sz w:val="24"/>
          <w:szCs w:val="24"/>
        </w:rPr>
        <w:t>KGS-2</w:t>
      </w:r>
      <w:r>
        <w:rPr>
          <w:sz w:val="24"/>
          <w:szCs w:val="24"/>
        </w:rPr>
        <w:t>2</w:t>
      </w:r>
      <w:r w:rsidR="00C62BF2">
        <w:t>—</w:t>
      </w:r>
      <w:r w:rsidRPr="00FE77C1">
        <w:rPr>
          <w:sz w:val="24"/>
          <w:szCs w:val="24"/>
        </w:rPr>
        <w:t>Large Company Stock Retur</w:t>
      </w:r>
      <w:r>
        <w:rPr>
          <w:sz w:val="24"/>
          <w:szCs w:val="24"/>
        </w:rPr>
        <w:t>ns Over the Period 1987-2011 One</w:t>
      </w:r>
      <w:r w:rsidRPr="00FE77C1">
        <w:rPr>
          <w:sz w:val="24"/>
          <w:szCs w:val="24"/>
        </w:rPr>
        <w:t>-Year Returns</w:t>
      </w:r>
      <w:r>
        <w:rPr>
          <w:sz w:val="24"/>
          <w:szCs w:val="24"/>
        </w:rPr>
        <w:t xml:space="preserve"> </w:t>
      </w:r>
    </w:p>
    <w:p w:rsidR="00877852" w:rsidRPr="00875C3F" w:rsidRDefault="007C1C30" w:rsidP="00344328">
      <w:pPr>
        <w:pStyle w:val="FootnoteText"/>
        <w:spacing w:after="0"/>
        <w:ind w:left="720" w:hanging="720"/>
        <w:jc w:val="left"/>
        <w:rPr>
          <w:szCs w:val="24"/>
        </w:rPr>
      </w:pPr>
      <w:r>
        <w:rPr>
          <w:sz w:val="24"/>
          <w:szCs w:val="24"/>
        </w:rPr>
        <w:t xml:space="preserve">Exhibit No. </w:t>
      </w:r>
      <w:r w:rsidR="00877852" w:rsidRPr="00FE77C1">
        <w:rPr>
          <w:sz w:val="24"/>
          <w:szCs w:val="24"/>
        </w:rPr>
        <w:t>KGS-</w:t>
      </w:r>
      <w:r w:rsidR="006F712E" w:rsidRPr="00FE77C1">
        <w:rPr>
          <w:sz w:val="24"/>
          <w:szCs w:val="24"/>
        </w:rPr>
        <w:t>2</w:t>
      </w:r>
      <w:r w:rsidR="00344328">
        <w:rPr>
          <w:sz w:val="24"/>
          <w:szCs w:val="24"/>
        </w:rPr>
        <w:t>3</w:t>
      </w:r>
      <w:r w:rsidR="00C62BF2">
        <w:t>—</w:t>
      </w:r>
      <w:r w:rsidR="00344328">
        <w:rPr>
          <w:sz w:val="24"/>
          <w:szCs w:val="24"/>
        </w:rPr>
        <w:t>CONFIDENTIAL Use of Pension Yields as Benchmark for Utility ROE</w:t>
      </w:r>
    </w:p>
    <w:p w:rsidR="00877852" w:rsidRPr="00875C3F" w:rsidRDefault="007C1C30" w:rsidP="00F06E3E">
      <w:pPr>
        <w:pStyle w:val="FootnoteText"/>
        <w:spacing w:after="0"/>
        <w:ind w:left="720" w:hanging="720"/>
        <w:jc w:val="left"/>
        <w:rPr>
          <w:szCs w:val="24"/>
        </w:rPr>
      </w:pPr>
      <w:r>
        <w:rPr>
          <w:sz w:val="24"/>
          <w:szCs w:val="24"/>
        </w:rPr>
        <w:t xml:space="preserve">Exhibit No. </w:t>
      </w:r>
      <w:r w:rsidR="00877852" w:rsidRPr="00FE77C1">
        <w:rPr>
          <w:sz w:val="24"/>
          <w:szCs w:val="24"/>
        </w:rPr>
        <w:t>KGS-</w:t>
      </w:r>
      <w:r w:rsidR="006F712E" w:rsidRPr="00FE77C1">
        <w:rPr>
          <w:sz w:val="24"/>
          <w:szCs w:val="24"/>
        </w:rPr>
        <w:t>2</w:t>
      </w:r>
      <w:r w:rsidR="006F712E">
        <w:rPr>
          <w:sz w:val="24"/>
          <w:szCs w:val="24"/>
        </w:rPr>
        <w:t>4</w:t>
      </w:r>
      <w:r w:rsidR="00C62BF2">
        <w:t>—</w:t>
      </w:r>
      <w:r w:rsidR="00877852" w:rsidRPr="00FE77C1">
        <w:rPr>
          <w:sz w:val="24"/>
          <w:szCs w:val="24"/>
        </w:rPr>
        <w:t>Comparison of Coal-fired Generation Capacity and Energy Production</w:t>
      </w:r>
    </w:p>
    <w:p w:rsidR="00877852" w:rsidRPr="00875C3F" w:rsidRDefault="007C1C30" w:rsidP="0095708E">
      <w:pPr>
        <w:pStyle w:val="FootnoteText"/>
        <w:spacing w:after="0"/>
        <w:jc w:val="left"/>
        <w:rPr>
          <w:szCs w:val="24"/>
        </w:rPr>
      </w:pPr>
      <w:r>
        <w:rPr>
          <w:sz w:val="24"/>
          <w:szCs w:val="24"/>
        </w:rPr>
        <w:t xml:space="preserve">Exhibit No. </w:t>
      </w:r>
      <w:r w:rsidR="00877852" w:rsidRPr="00FE77C1">
        <w:rPr>
          <w:sz w:val="24"/>
          <w:szCs w:val="24"/>
        </w:rPr>
        <w:t>KGS-</w:t>
      </w:r>
      <w:r w:rsidR="006F712E" w:rsidRPr="00FE77C1">
        <w:rPr>
          <w:sz w:val="24"/>
          <w:szCs w:val="24"/>
        </w:rPr>
        <w:t>2</w:t>
      </w:r>
      <w:r w:rsidR="006F712E">
        <w:rPr>
          <w:sz w:val="24"/>
          <w:szCs w:val="24"/>
        </w:rPr>
        <w:t>5</w:t>
      </w:r>
      <w:r w:rsidR="00C62BF2">
        <w:t>—</w:t>
      </w:r>
      <w:r w:rsidR="00877852" w:rsidRPr="00FE77C1">
        <w:rPr>
          <w:sz w:val="24"/>
          <w:szCs w:val="24"/>
        </w:rPr>
        <w:t>Proxy Group BR + SV</w:t>
      </w:r>
    </w:p>
    <w:p w:rsidR="00877852" w:rsidRPr="00875C3F" w:rsidRDefault="007C1C30" w:rsidP="0095708E">
      <w:pPr>
        <w:pStyle w:val="FootnoteText"/>
        <w:spacing w:after="0"/>
        <w:jc w:val="left"/>
        <w:rPr>
          <w:szCs w:val="24"/>
        </w:rPr>
      </w:pPr>
      <w:r>
        <w:rPr>
          <w:sz w:val="24"/>
          <w:szCs w:val="24"/>
        </w:rPr>
        <w:t xml:space="preserve">Exhibit No. </w:t>
      </w:r>
      <w:r w:rsidR="00877852" w:rsidRPr="00FE77C1">
        <w:rPr>
          <w:sz w:val="24"/>
          <w:szCs w:val="24"/>
        </w:rPr>
        <w:t>KGS-</w:t>
      </w:r>
      <w:r w:rsidR="006F712E" w:rsidRPr="00FE77C1">
        <w:rPr>
          <w:sz w:val="24"/>
          <w:szCs w:val="24"/>
        </w:rPr>
        <w:t>2</w:t>
      </w:r>
      <w:r w:rsidR="006F712E">
        <w:rPr>
          <w:sz w:val="24"/>
          <w:szCs w:val="24"/>
        </w:rPr>
        <w:t>6</w:t>
      </w:r>
      <w:r w:rsidR="00C62BF2">
        <w:t>—</w:t>
      </w:r>
      <w:r w:rsidR="00877852" w:rsidRPr="00FE77C1">
        <w:rPr>
          <w:sz w:val="24"/>
          <w:szCs w:val="24"/>
        </w:rPr>
        <w:t>Proxy Group S and V Estimation</w:t>
      </w:r>
    </w:p>
    <w:p w:rsidR="00877852" w:rsidRPr="00875C3F" w:rsidRDefault="007C1C30" w:rsidP="0095708E">
      <w:pPr>
        <w:pStyle w:val="FootnoteText"/>
        <w:spacing w:after="0"/>
        <w:jc w:val="left"/>
        <w:rPr>
          <w:szCs w:val="24"/>
        </w:rPr>
      </w:pPr>
      <w:r>
        <w:rPr>
          <w:sz w:val="24"/>
          <w:szCs w:val="24"/>
        </w:rPr>
        <w:t xml:space="preserve">Exhibit No. </w:t>
      </w:r>
      <w:r w:rsidR="00877852" w:rsidRPr="00FE77C1">
        <w:rPr>
          <w:sz w:val="24"/>
          <w:szCs w:val="24"/>
        </w:rPr>
        <w:t>KGS-</w:t>
      </w:r>
      <w:r w:rsidR="006F712E" w:rsidRPr="00FE77C1">
        <w:rPr>
          <w:sz w:val="24"/>
          <w:szCs w:val="24"/>
        </w:rPr>
        <w:t>2</w:t>
      </w:r>
      <w:r w:rsidR="006F712E">
        <w:rPr>
          <w:sz w:val="24"/>
          <w:szCs w:val="24"/>
        </w:rPr>
        <w:t>7</w:t>
      </w:r>
      <w:r w:rsidR="00C62BF2">
        <w:t>—</w:t>
      </w:r>
      <w:r w:rsidR="00877852" w:rsidRPr="00FE77C1">
        <w:rPr>
          <w:sz w:val="24"/>
          <w:szCs w:val="24"/>
        </w:rPr>
        <w:t>Proxy Group DCF Analysis</w:t>
      </w:r>
    </w:p>
    <w:p w:rsidR="00877852" w:rsidRPr="00875C3F" w:rsidRDefault="007C1C30" w:rsidP="0095708E">
      <w:pPr>
        <w:pStyle w:val="FootnoteText"/>
        <w:spacing w:after="0"/>
        <w:jc w:val="left"/>
        <w:rPr>
          <w:szCs w:val="24"/>
        </w:rPr>
      </w:pPr>
      <w:r>
        <w:rPr>
          <w:sz w:val="24"/>
          <w:szCs w:val="24"/>
        </w:rPr>
        <w:t xml:space="preserve">Exhibit No. </w:t>
      </w:r>
      <w:r w:rsidR="00877852" w:rsidRPr="00FE77C1">
        <w:rPr>
          <w:sz w:val="24"/>
          <w:szCs w:val="24"/>
        </w:rPr>
        <w:t>KGS-</w:t>
      </w:r>
      <w:r w:rsidR="006F712E" w:rsidRPr="00FE77C1">
        <w:rPr>
          <w:sz w:val="24"/>
          <w:szCs w:val="24"/>
        </w:rPr>
        <w:t>2</w:t>
      </w:r>
      <w:r w:rsidR="006F712E">
        <w:rPr>
          <w:sz w:val="24"/>
          <w:szCs w:val="24"/>
        </w:rPr>
        <w:t>8</w:t>
      </w:r>
      <w:r w:rsidR="00C62BF2">
        <w:t>—</w:t>
      </w:r>
      <w:r w:rsidR="00877852" w:rsidRPr="00FE77C1">
        <w:rPr>
          <w:sz w:val="24"/>
          <w:szCs w:val="24"/>
        </w:rPr>
        <w:t>Yield + Growth Model</w:t>
      </w:r>
    </w:p>
    <w:p w:rsidR="00877852" w:rsidRPr="00875C3F" w:rsidRDefault="007C1C30" w:rsidP="0095708E">
      <w:pPr>
        <w:pStyle w:val="FootnoteText"/>
        <w:spacing w:after="0"/>
        <w:jc w:val="left"/>
        <w:rPr>
          <w:szCs w:val="24"/>
        </w:rPr>
      </w:pPr>
      <w:r>
        <w:rPr>
          <w:sz w:val="24"/>
          <w:szCs w:val="24"/>
        </w:rPr>
        <w:t>Exhibit No.</w:t>
      </w:r>
      <w:r w:rsidR="0095708E">
        <w:rPr>
          <w:sz w:val="24"/>
          <w:szCs w:val="24"/>
        </w:rPr>
        <w:t xml:space="preserve"> </w:t>
      </w:r>
      <w:r w:rsidR="00877852" w:rsidRPr="00FE77C1">
        <w:rPr>
          <w:sz w:val="24"/>
          <w:szCs w:val="24"/>
        </w:rPr>
        <w:t>KGS-</w:t>
      </w:r>
      <w:r w:rsidR="006F712E">
        <w:rPr>
          <w:sz w:val="24"/>
          <w:szCs w:val="24"/>
        </w:rPr>
        <w:t>29</w:t>
      </w:r>
      <w:r w:rsidR="00C62BF2">
        <w:t>—</w:t>
      </w:r>
      <w:r w:rsidR="00877852" w:rsidRPr="00FE77C1">
        <w:rPr>
          <w:sz w:val="24"/>
          <w:szCs w:val="24"/>
        </w:rPr>
        <w:t>S&amp;P 500 Forward Looking Market Risk Premium</w:t>
      </w:r>
    </w:p>
    <w:p w:rsidR="00877852" w:rsidRPr="00875C3F" w:rsidRDefault="007C1C30" w:rsidP="0095708E">
      <w:pPr>
        <w:pStyle w:val="FootnoteText"/>
        <w:spacing w:after="0"/>
        <w:jc w:val="left"/>
        <w:rPr>
          <w:szCs w:val="24"/>
        </w:rPr>
      </w:pPr>
      <w:r>
        <w:rPr>
          <w:sz w:val="24"/>
          <w:szCs w:val="24"/>
        </w:rPr>
        <w:t xml:space="preserve">Exhibit No. </w:t>
      </w:r>
      <w:r w:rsidR="00877852" w:rsidRPr="00FE77C1">
        <w:rPr>
          <w:sz w:val="24"/>
          <w:szCs w:val="24"/>
        </w:rPr>
        <w:t>KGS-</w:t>
      </w:r>
      <w:r w:rsidR="006F712E" w:rsidRPr="00FE77C1">
        <w:rPr>
          <w:sz w:val="24"/>
          <w:szCs w:val="24"/>
        </w:rPr>
        <w:t>3</w:t>
      </w:r>
      <w:r w:rsidR="006F712E">
        <w:rPr>
          <w:sz w:val="24"/>
          <w:szCs w:val="24"/>
        </w:rPr>
        <w:t>0</w:t>
      </w:r>
      <w:r w:rsidR="00C62BF2">
        <w:t>—</w:t>
      </w:r>
      <w:r w:rsidR="00877852" w:rsidRPr="00FE77C1">
        <w:rPr>
          <w:sz w:val="24"/>
          <w:szCs w:val="24"/>
        </w:rPr>
        <w:t>Proxy Group Capital Asset Pricing Model</w:t>
      </w:r>
    </w:p>
    <w:p w:rsidR="00877852" w:rsidRPr="00875C3F" w:rsidRDefault="007C1C30" w:rsidP="0095708E">
      <w:pPr>
        <w:pStyle w:val="FootnoteText"/>
        <w:spacing w:after="0"/>
        <w:jc w:val="left"/>
        <w:rPr>
          <w:szCs w:val="24"/>
        </w:rPr>
      </w:pPr>
      <w:r>
        <w:rPr>
          <w:sz w:val="24"/>
          <w:szCs w:val="24"/>
        </w:rPr>
        <w:t xml:space="preserve">Exhibit No. </w:t>
      </w:r>
      <w:r w:rsidR="00877852" w:rsidRPr="00FE77C1">
        <w:rPr>
          <w:sz w:val="24"/>
          <w:szCs w:val="24"/>
        </w:rPr>
        <w:t>KGS-</w:t>
      </w:r>
      <w:r w:rsidR="006F712E" w:rsidRPr="00FE77C1">
        <w:rPr>
          <w:sz w:val="24"/>
          <w:szCs w:val="24"/>
        </w:rPr>
        <w:t>3</w:t>
      </w:r>
      <w:r w:rsidR="006F712E">
        <w:rPr>
          <w:sz w:val="24"/>
          <w:szCs w:val="24"/>
        </w:rPr>
        <w:t>1</w:t>
      </w:r>
      <w:r w:rsidR="00C62BF2">
        <w:t>—</w:t>
      </w:r>
      <w:r w:rsidR="00877852" w:rsidRPr="00FE77C1">
        <w:rPr>
          <w:sz w:val="24"/>
          <w:szCs w:val="24"/>
        </w:rPr>
        <w:t>Bond Yield + Risk Premium</w:t>
      </w:r>
    </w:p>
    <w:p w:rsidR="00DA5F43" w:rsidRDefault="007C1C30" w:rsidP="0095708E">
      <w:pPr>
        <w:tabs>
          <w:tab w:val="left" w:pos="2610"/>
        </w:tabs>
        <w:jc w:val="left"/>
        <w:rPr>
          <w:szCs w:val="24"/>
        </w:rPr>
      </w:pPr>
      <w:r>
        <w:rPr>
          <w:szCs w:val="24"/>
        </w:rPr>
        <w:t xml:space="preserve">Exhibit No. </w:t>
      </w:r>
      <w:r w:rsidR="00877852" w:rsidRPr="00875C3F">
        <w:rPr>
          <w:szCs w:val="24"/>
        </w:rPr>
        <w:t>KGS-</w:t>
      </w:r>
      <w:r w:rsidR="006F712E" w:rsidRPr="00875C3F">
        <w:rPr>
          <w:szCs w:val="24"/>
        </w:rPr>
        <w:t>3</w:t>
      </w:r>
      <w:r w:rsidR="006F712E">
        <w:rPr>
          <w:szCs w:val="24"/>
        </w:rPr>
        <w:t>2</w:t>
      </w:r>
      <w:r w:rsidR="00C62BF2">
        <w:t>—</w:t>
      </w:r>
      <w:r w:rsidR="00877852" w:rsidRPr="00875C3F">
        <w:rPr>
          <w:szCs w:val="24"/>
        </w:rPr>
        <w:t>Comparable Earnings</w:t>
      </w:r>
    </w:p>
    <w:p w:rsidR="00DA5F43" w:rsidRDefault="007C1C30" w:rsidP="0095708E">
      <w:pPr>
        <w:tabs>
          <w:tab w:val="left" w:pos="2610"/>
        </w:tabs>
        <w:jc w:val="left"/>
        <w:rPr>
          <w:szCs w:val="24"/>
        </w:rPr>
      </w:pPr>
      <w:r>
        <w:rPr>
          <w:szCs w:val="24"/>
        </w:rPr>
        <w:t xml:space="preserve">Exhibit No. </w:t>
      </w:r>
      <w:r w:rsidR="00DA5F43" w:rsidRPr="00875C3F">
        <w:rPr>
          <w:szCs w:val="24"/>
        </w:rPr>
        <w:t>KGS-</w:t>
      </w:r>
      <w:r w:rsidR="006F712E" w:rsidRPr="00875C3F">
        <w:rPr>
          <w:szCs w:val="24"/>
        </w:rPr>
        <w:t>3</w:t>
      </w:r>
      <w:r w:rsidR="006F712E">
        <w:rPr>
          <w:szCs w:val="24"/>
        </w:rPr>
        <w:t>3</w:t>
      </w:r>
      <w:r w:rsidR="00C62BF2">
        <w:t>—</w:t>
      </w:r>
      <w:r w:rsidR="00344328">
        <w:rPr>
          <w:szCs w:val="24"/>
        </w:rPr>
        <w:t xml:space="preserve">Bloomberg </w:t>
      </w:r>
      <w:r w:rsidR="00DA5F43">
        <w:rPr>
          <w:szCs w:val="24"/>
        </w:rPr>
        <w:t>Dividend Yields</w:t>
      </w:r>
      <w:r w:rsidR="00344328">
        <w:rPr>
          <w:szCs w:val="24"/>
        </w:rPr>
        <w:t xml:space="preserve"> 1993</w:t>
      </w:r>
      <w:r w:rsidR="00C62BF2">
        <w:t>—</w:t>
      </w:r>
      <w:r w:rsidR="00344328">
        <w:rPr>
          <w:szCs w:val="24"/>
        </w:rPr>
        <w:t>Present</w:t>
      </w:r>
    </w:p>
    <w:p w:rsidR="008E22C3" w:rsidRDefault="007C1C30" w:rsidP="0095708E">
      <w:pPr>
        <w:tabs>
          <w:tab w:val="left" w:pos="2610"/>
        </w:tabs>
        <w:jc w:val="left"/>
      </w:pPr>
      <w:r>
        <w:rPr>
          <w:szCs w:val="24"/>
        </w:rPr>
        <w:t xml:space="preserve">Exhibit No. </w:t>
      </w:r>
      <w:r w:rsidR="00DA5F43" w:rsidRPr="00875C3F">
        <w:rPr>
          <w:szCs w:val="24"/>
        </w:rPr>
        <w:t>KGS-</w:t>
      </w:r>
      <w:r w:rsidR="006F712E" w:rsidRPr="00875C3F">
        <w:rPr>
          <w:szCs w:val="24"/>
        </w:rPr>
        <w:t>3</w:t>
      </w:r>
      <w:r w:rsidR="006F712E">
        <w:rPr>
          <w:szCs w:val="24"/>
        </w:rPr>
        <w:t>4</w:t>
      </w:r>
      <w:r w:rsidR="00C62BF2">
        <w:t>—</w:t>
      </w:r>
      <w:r w:rsidR="00344328">
        <w:rPr>
          <w:szCs w:val="24"/>
        </w:rPr>
        <w:t xml:space="preserve">30 Year </w:t>
      </w:r>
      <w:r w:rsidR="00DA5F43">
        <w:rPr>
          <w:szCs w:val="24"/>
        </w:rPr>
        <w:t>Treasury Yields</w:t>
      </w:r>
      <w:r w:rsidR="00DA5F43" w:rsidDel="00877852">
        <w:t xml:space="preserve"> </w:t>
      </w:r>
      <w:r w:rsidR="00344328">
        <w:t>1993</w:t>
      </w:r>
      <w:r w:rsidR="00C62BF2">
        <w:t>—</w:t>
      </w:r>
      <w:r w:rsidR="00344328">
        <w:t>Present</w:t>
      </w:r>
    </w:p>
    <w:p w:rsidR="00344328" w:rsidRPr="003241BD" w:rsidRDefault="00344328" w:rsidP="00344328">
      <w:pPr>
        <w:tabs>
          <w:tab w:val="left" w:pos="2610"/>
        </w:tabs>
        <w:jc w:val="left"/>
        <w:rPr>
          <w:szCs w:val="24"/>
        </w:rPr>
      </w:pPr>
      <w:r>
        <w:rPr>
          <w:szCs w:val="24"/>
        </w:rPr>
        <w:t xml:space="preserve">Exhibit No. </w:t>
      </w:r>
      <w:r w:rsidRPr="00875C3F">
        <w:rPr>
          <w:szCs w:val="24"/>
        </w:rPr>
        <w:t>KGS-3</w:t>
      </w:r>
      <w:r>
        <w:rPr>
          <w:szCs w:val="24"/>
        </w:rPr>
        <w:t>5</w:t>
      </w:r>
      <w:r w:rsidR="00C62BF2">
        <w:t>—</w:t>
      </w:r>
      <w:r>
        <w:rPr>
          <w:szCs w:val="24"/>
        </w:rPr>
        <w:t>Companies Used in Proxy Group and Comparison to PacifiCorp</w:t>
      </w:r>
    </w:p>
    <w:p w:rsidR="00344328" w:rsidRPr="003241BD" w:rsidRDefault="00344328" w:rsidP="00344328">
      <w:pPr>
        <w:tabs>
          <w:tab w:val="left" w:pos="2610"/>
        </w:tabs>
        <w:jc w:val="left"/>
        <w:rPr>
          <w:szCs w:val="24"/>
        </w:rPr>
      </w:pPr>
      <w:r>
        <w:rPr>
          <w:szCs w:val="24"/>
        </w:rPr>
        <w:t xml:space="preserve">Exhibit No. </w:t>
      </w:r>
      <w:r w:rsidRPr="00875C3F">
        <w:rPr>
          <w:szCs w:val="24"/>
        </w:rPr>
        <w:t>KGS-3</w:t>
      </w:r>
      <w:r>
        <w:rPr>
          <w:szCs w:val="24"/>
        </w:rPr>
        <w:t>6</w:t>
      </w:r>
      <w:r w:rsidR="00C62BF2">
        <w:t>—</w:t>
      </w:r>
      <w:r>
        <w:rPr>
          <w:szCs w:val="24"/>
        </w:rPr>
        <w:t>Proxy Group Screening Results</w:t>
      </w:r>
    </w:p>
    <w:p w:rsidR="00344328" w:rsidRPr="003241BD" w:rsidRDefault="00344328" w:rsidP="0095708E">
      <w:pPr>
        <w:tabs>
          <w:tab w:val="left" w:pos="2610"/>
        </w:tabs>
        <w:jc w:val="left"/>
        <w:rPr>
          <w:szCs w:val="24"/>
        </w:rPr>
      </w:pPr>
    </w:p>
    <w:p w:rsidR="00EB35AC" w:rsidRPr="00384017" w:rsidRDefault="00EB35AC" w:rsidP="0095708E">
      <w:pPr>
        <w:pStyle w:val="Subtitle"/>
        <w:spacing w:before="0" w:after="0"/>
        <w:ind w:right="864"/>
        <w:jc w:val="left"/>
        <w:rPr>
          <w:bCs/>
          <w:caps/>
          <w:sz w:val="24"/>
          <w:szCs w:val="24"/>
        </w:rPr>
      </w:pPr>
    </w:p>
    <w:p w:rsidR="00EB35AC" w:rsidRPr="00384017" w:rsidRDefault="00EB35AC" w:rsidP="00384017">
      <w:pPr>
        <w:pStyle w:val="Subtitle"/>
        <w:jc w:val="left"/>
        <w:rPr>
          <w:bCs/>
          <w:caps/>
          <w:sz w:val="24"/>
          <w:szCs w:val="24"/>
        </w:rPr>
        <w:sectPr w:rsidR="00EB35AC" w:rsidRPr="00384017" w:rsidSect="003F737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800" w:header="720" w:footer="720" w:gutter="144"/>
          <w:pgNumType w:fmt="lowerRoman"/>
          <w:cols w:space="720"/>
          <w:titlePg/>
          <w:docGrid w:linePitch="326"/>
        </w:sectPr>
      </w:pPr>
    </w:p>
    <w:p w:rsidR="00A255BA" w:rsidRPr="00384017" w:rsidRDefault="00A255BA" w:rsidP="00A255BA">
      <w:pPr>
        <w:pStyle w:val="QAQuestion"/>
        <w:tabs>
          <w:tab w:val="num" w:pos="720"/>
        </w:tabs>
        <w:spacing w:after="0" w:line="480" w:lineRule="auto"/>
        <w:ind w:left="720" w:hanging="720"/>
        <w:jc w:val="left"/>
        <w:rPr>
          <w:b/>
          <w:szCs w:val="24"/>
        </w:rPr>
      </w:pPr>
      <w:r w:rsidRPr="00482134">
        <w:rPr>
          <w:b/>
          <w:szCs w:val="24"/>
        </w:rPr>
        <w:lastRenderedPageBreak/>
        <w:t>Q.</w:t>
      </w:r>
      <w:r w:rsidRPr="00384017">
        <w:rPr>
          <w:b/>
          <w:szCs w:val="24"/>
        </w:rPr>
        <w:tab/>
      </w:r>
      <w:r>
        <w:rPr>
          <w:b/>
          <w:szCs w:val="24"/>
        </w:rPr>
        <w:t>Are you the same Kurt G. Strunk who pre</w:t>
      </w:r>
      <w:r w:rsidR="007C1C30">
        <w:rPr>
          <w:b/>
          <w:szCs w:val="24"/>
        </w:rPr>
        <w:t>viously submitted direct t</w:t>
      </w:r>
      <w:r>
        <w:rPr>
          <w:b/>
          <w:szCs w:val="24"/>
        </w:rPr>
        <w:t xml:space="preserve">estimony in this </w:t>
      </w:r>
      <w:r w:rsidR="007C1C30">
        <w:rPr>
          <w:b/>
          <w:szCs w:val="24"/>
        </w:rPr>
        <w:t>case on behalf of Pacific Power &amp; Light Company (Pacific Power or Company), a division of PacifiCorp</w:t>
      </w:r>
      <w:r>
        <w:rPr>
          <w:b/>
          <w:szCs w:val="24"/>
        </w:rPr>
        <w:t>?</w:t>
      </w:r>
    </w:p>
    <w:p w:rsidR="00A255BA" w:rsidRPr="00384017" w:rsidRDefault="00A255BA" w:rsidP="0095708E">
      <w:pPr>
        <w:pStyle w:val="BodyText"/>
        <w:tabs>
          <w:tab w:val="num" w:pos="720"/>
        </w:tabs>
        <w:spacing w:after="0" w:line="480" w:lineRule="auto"/>
        <w:ind w:left="720" w:hanging="720"/>
        <w:jc w:val="left"/>
        <w:rPr>
          <w:szCs w:val="24"/>
        </w:rPr>
      </w:pPr>
      <w:r>
        <w:rPr>
          <w:szCs w:val="24"/>
        </w:rPr>
        <w:t>A.</w:t>
      </w:r>
      <w:r w:rsidRPr="00384017">
        <w:rPr>
          <w:szCs w:val="24"/>
        </w:rPr>
        <w:tab/>
      </w:r>
      <w:r>
        <w:rPr>
          <w:szCs w:val="24"/>
        </w:rPr>
        <w:t xml:space="preserve">Yes, I am.  </w:t>
      </w:r>
      <w:r w:rsidRPr="00384017">
        <w:rPr>
          <w:szCs w:val="24"/>
        </w:rPr>
        <w:t xml:space="preserve">My curriculum vitae, which more fully details my educational, consulting and testifying experience, is provided as </w:t>
      </w:r>
      <w:r w:rsidR="007C1C30">
        <w:rPr>
          <w:bCs/>
          <w:szCs w:val="24"/>
        </w:rPr>
        <w:t>Exhibit No. KGS-2</w:t>
      </w:r>
      <w:r w:rsidR="00330D61">
        <w:rPr>
          <w:bCs/>
          <w:szCs w:val="24"/>
        </w:rPr>
        <w:t>, together with my direct testimony</w:t>
      </w:r>
      <w:r>
        <w:rPr>
          <w:bCs/>
          <w:szCs w:val="24"/>
        </w:rPr>
        <w:t xml:space="preserve"> in this proceeding</w:t>
      </w:r>
      <w:r w:rsidRPr="00384017">
        <w:rPr>
          <w:szCs w:val="24"/>
        </w:rPr>
        <w:t>.</w:t>
      </w:r>
    </w:p>
    <w:p w:rsidR="00EB35AC" w:rsidRPr="00576AE6" w:rsidRDefault="00C62BF2" w:rsidP="00B63E63">
      <w:pPr>
        <w:pStyle w:val="Heading1"/>
        <w:spacing w:after="0" w:line="480" w:lineRule="auto"/>
        <w:ind w:left="0"/>
      </w:pPr>
      <w:bookmarkStart w:id="1" w:name="_Toc354997998"/>
      <w:bookmarkStart w:id="2" w:name="_Toc355788472"/>
      <w:bookmarkStart w:id="3" w:name="_Toc384626544"/>
      <w:bookmarkStart w:id="4" w:name="_Toc384626564"/>
      <w:bookmarkStart w:id="5" w:name="_Toc384626606"/>
      <w:bookmarkStart w:id="6" w:name="_Toc403726940"/>
      <w:r>
        <w:t xml:space="preserve">I. </w:t>
      </w:r>
      <w:r w:rsidR="000A74D5">
        <w:t xml:space="preserve">  </w:t>
      </w:r>
      <w:r w:rsidR="007F5EDF" w:rsidRPr="00576AE6">
        <w:t>Purpose of Testimony and summary of opinions</w:t>
      </w:r>
      <w:bookmarkEnd w:id="1"/>
      <w:bookmarkEnd w:id="2"/>
      <w:bookmarkEnd w:id="3"/>
      <w:bookmarkEnd w:id="4"/>
      <w:bookmarkEnd w:id="5"/>
      <w:bookmarkEnd w:id="6"/>
    </w:p>
    <w:p w:rsidR="00EB35AC" w:rsidRPr="00384017" w:rsidRDefault="007F5EDF" w:rsidP="0095708E">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explain the purpose of your testimony. </w:t>
      </w:r>
    </w:p>
    <w:p w:rsidR="00153AC3" w:rsidRDefault="007F5EDF" w:rsidP="00153AC3">
      <w:pPr>
        <w:pStyle w:val="QAAnswer"/>
        <w:tabs>
          <w:tab w:val="num" w:pos="720"/>
        </w:tabs>
        <w:spacing w:after="0" w:line="480" w:lineRule="auto"/>
        <w:ind w:left="720" w:hanging="720"/>
        <w:jc w:val="left"/>
        <w:rPr>
          <w:b/>
          <w:szCs w:val="24"/>
        </w:rPr>
      </w:pPr>
      <w:r w:rsidRPr="00384017">
        <w:rPr>
          <w:szCs w:val="24"/>
        </w:rPr>
        <w:t>A.</w:t>
      </w:r>
      <w:r w:rsidRPr="00384017">
        <w:rPr>
          <w:szCs w:val="24"/>
        </w:rPr>
        <w:tab/>
      </w:r>
      <w:r w:rsidR="00C62BF2">
        <w:rPr>
          <w:szCs w:val="24"/>
        </w:rPr>
        <w:t>My testimony responds</w:t>
      </w:r>
      <w:r w:rsidR="00A255BA">
        <w:rPr>
          <w:szCs w:val="24"/>
        </w:rPr>
        <w:t xml:space="preserve"> to the testimonies of Messrs</w:t>
      </w:r>
      <w:r w:rsidR="004833FE">
        <w:rPr>
          <w:szCs w:val="24"/>
        </w:rPr>
        <w:t>.</w:t>
      </w:r>
      <w:r w:rsidR="00A255BA">
        <w:rPr>
          <w:szCs w:val="24"/>
        </w:rPr>
        <w:t xml:space="preserve"> </w:t>
      </w:r>
      <w:r w:rsidR="0051265E">
        <w:rPr>
          <w:szCs w:val="24"/>
        </w:rPr>
        <w:t xml:space="preserve">David C. </w:t>
      </w:r>
      <w:r w:rsidR="00F9119B">
        <w:rPr>
          <w:szCs w:val="24"/>
        </w:rPr>
        <w:t xml:space="preserve">Parcell, </w:t>
      </w:r>
      <w:r w:rsidR="0051265E">
        <w:rPr>
          <w:szCs w:val="24"/>
        </w:rPr>
        <w:t xml:space="preserve">Stephen G. </w:t>
      </w:r>
      <w:r w:rsidR="00A255BA">
        <w:rPr>
          <w:szCs w:val="24"/>
        </w:rPr>
        <w:t xml:space="preserve">Hill, and </w:t>
      </w:r>
      <w:r w:rsidR="0051265E">
        <w:rPr>
          <w:szCs w:val="24"/>
        </w:rPr>
        <w:t>Michael P. Gorman</w:t>
      </w:r>
      <w:r w:rsidR="00A255BA">
        <w:rPr>
          <w:szCs w:val="24"/>
        </w:rPr>
        <w:t xml:space="preserve">, who offer opinions on </w:t>
      </w:r>
      <w:r w:rsidR="00E75126">
        <w:rPr>
          <w:szCs w:val="24"/>
        </w:rPr>
        <w:t>Pacific</w:t>
      </w:r>
      <w:r w:rsidR="00A255BA">
        <w:rPr>
          <w:szCs w:val="24"/>
        </w:rPr>
        <w:t xml:space="preserve"> Power’s cost of capital on behalf of the Staff of the Washington Utilities and Transportation Commission</w:t>
      </w:r>
      <w:r w:rsidR="00C62BF2">
        <w:rPr>
          <w:szCs w:val="24"/>
        </w:rPr>
        <w:t xml:space="preserve"> (Commission) Staff</w:t>
      </w:r>
      <w:r w:rsidR="00A255BA">
        <w:rPr>
          <w:szCs w:val="24"/>
        </w:rPr>
        <w:t xml:space="preserve">, </w:t>
      </w:r>
      <w:r w:rsidR="00A255BA">
        <w:t>Public Counsel</w:t>
      </w:r>
      <w:r w:rsidR="00C62BF2">
        <w:rPr>
          <w:szCs w:val="24"/>
        </w:rPr>
        <w:t>, and Boise White Paper LLC</w:t>
      </w:r>
      <w:r w:rsidR="00A255BA">
        <w:rPr>
          <w:szCs w:val="24"/>
        </w:rPr>
        <w:t xml:space="preserve"> (Boise), respectively.</w:t>
      </w:r>
      <w:r w:rsidR="00134C29" w:rsidRPr="00384017">
        <w:rPr>
          <w:szCs w:val="24"/>
        </w:rPr>
        <w:t xml:space="preserve"> </w:t>
      </w:r>
      <w:r w:rsidR="00A255BA">
        <w:rPr>
          <w:szCs w:val="24"/>
        </w:rPr>
        <w:t xml:space="preserve"> </w:t>
      </w:r>
      <w:r w:rsidR="00907D50" w:rsidRPr="00384017">
        <w:rPr>
          <w:szCs w:val="24"/>
        </w:rPr>
        <w:t xml:space="preserve">I </w:t>
      </w:r>
      <w:r w:rsidR="00B4478A">
        <w:rPr>
          <w:szCs w:val="24"/>
        </w:rPr>
        <w:t xml:space="preserve">also </w:t>
      </w:r>
      <w:r w:rsidR="00A255BA">
        <w:rPr>
          <w:szCs w:val="24"/>
        </w:rPr>
        <w:t xml:space="preserve">provide an update to my cost-of-capital analysis in order to present the Commission with a recommendation that reflects the </w:t>
      </w:r>
      <w:r w:rsidR="00F9119B">
        <w:rPr>
          <w:szCs w:val="24"/>
        </w:rPr>
        <w:t xml:space="preserve">most </w:t>
      </w:r>
      <w:r w:rsidR="00A255BA">
        <w:rPr>
          <w:szCs w:val="24"/>
        </w:rPr>
        <w:t>current conditions in the capital markets.</w:t>
      </w:r>
      <w:r w:rsidR="00644B40">
        <w:rPr>
          <w:szCs w:val="24"/>
        </w:rPr>
        <w:t xml:space="preserve">  Mr. Bruce </w:t>
      </w:r>
      <w:r w:rsidR="0051265E">
        <w:rPr>
          <w:szCs w:val="24"/>
        </w:rPr>
        <w:t xml:space="preserve">N. </w:t>
      </w:r>
      <w:r w:rsidR="00644B40">
        <w:rPr>
          <w:szCs w:val="24"/>
        </w:rPr>
        <w:t xml:space="preserve">Williams provides </w:t>
      </w:r>
      <w:r w:rsidR="00C62BF2">
        <w:rPr>
          <w:szCs w:val="24"/>
        </w:rPr>
        <w:t>related</w:t>
      </w:r>
      <w:r w:rsidR="000C0068">
        <w:rPr>
          <w:szCs w:val="24"/>
        </w:rPr>
        <w:t xml:space="preserve"> responsive </w:t>
      </w:r>
      <w:r w:rsidR="00644B40">
        <w:rPr>
          <w:szCs w:val="24"/>
        </w:rPr>
        <w:t>testimony on capital structure</w:t>
      </w:r>
      <w:r w:rsidR="00153AC3">
        <w:rPr>
          <w:szCs w:val="24"/>
        </w:rPr>
        <w:t xml:space="preserve"> and</w:t>
      </w:r>
      <w:r w:rsidR="000C0068">
        <w:rPr>
          <w:szCs w:val="24"/>
        </w:rPr>
        <w:t xml:space="preserve"> credit</w:t>
      </w:r>
      <w:r w:rsidR="00153AC3">
        <w:rPr>
          <w:szCs w:val="24"/>
        </w:rPr>
        <w:t xml:space="preserve"> metrics</w:t>
      </w:r>
      <w:r w:rsidR="000C0068">
        <w:rPr>
          <w:szCs w:val="24"/>
        </w:rPr>
        <w:t xml:space="preserve">. </w:t>
      </w:r>
      <w:r w:rsidR="00153AC3">
        <w:rPr>
          <w:szCs w:val="24"/>
        </w:rPr>
        <w:t xml:space="preserve"> </w:t>
      </w:r>
    </w:p>
    <w:p w:rsidR="00A255BA" w:rsidRDefault="00A255BA" w:rsidP="0095708E">
      <w:pPr>
        <w:pStyle w:val="QAAnswer"/>
        <w:tabs>
          <w:tab w:val="num" w:pos="720"/>
        </w:tabs>
        <w:spacing w:after="0" w:line="480" w:lineRule="auto"/>
        <w:ind w:left="720" w:hanging="720"/>
        <w:jc w:val="left"/>
        <w:rPr>
          <w:b/>
          <w:szCs w:val="24"/>
        </w:rPr>
      </w:pPr>
      <w:r>
        <w:rPr>
          <w:b/>
          <w:szCs w:val="24"/>
        </w:rPr>
        <w:t xml:space="preserve">Q. </w:t>
      </w:r>
      <w:r>
        <w:rPr>
          <w:b/>
          <w:szCs w:val="24"/>
        </w:rPr>
        <w:tab/>
        <w:t>P</w:t>
      </w:r>
      <w:r w:rsidR="00B4478A">
        <w:rPr>
          <w:b/>
          <w:szCs w:val="24"/>
        </w:rPr>
        <w:t>lease summarize your rebuttal of the other cost of capital experts</w:t>
      </w:r>
      <w:r>
        <w:rPr>
          <w:b/>
          <w:szCs w:val="24"/>
        </w:rPr>
        <w:t>.</w:t>
      </w:r>
    </w:p>
    <w:p w:rsidR="00A255BA" w:rsidRDefault="00A255BA" w:rsidP="0095708E">
      <w:pPr>
        <w:pStyle w:val="QAAnswer"/>
        <w:tabs>
          <w:tab w:val="num" w:pos="720"/>
        </w:tabs>
        <w:spacing w:after="0" w:line="480" w:lineRule="auto"/>
        <w:ind w:left="720" w:hanging="720"/>
        <w:jc w:val="left"/>
        <w:rPr>
          <w:szCs w:val="24"/>
        </w:rPr>
      </w:pPr>
      <w:r>
        <w:rPr>
          <w:szCs w:val="24"/>
        </w:rPr>
        <w:t xml:space="preserve">A. </w:t>
      </w:r>
      <w:r>
        <w:rPr>
          <w:szCs w:val="24"/>
        </w:rPr>
        <w:tab/>
        <w:t xml:space="preserve">Based on a thorough review and analysis of these witnesses’ testimony, I reach the following conclusions: </w:t>
      </w:r>
    </w:p>
    <w:p w:rsidR="00A255BA" w:rsidRPr="00EE51A2" w:rsidRDefault="00A255BA" w:rsidP="0095708E">
      <w:pPr>
        <w:pStyle w:val="ListParagraph"/>
        <w:numPr>
          <w:ilvl w:val="0"/>
          <w:numId w:val="9"/>
        </w:numPr>
        <w:tabs>
          <w:tab w:val="left" w:pos="720"/>
          <w:tab w:val="left" w:pos="1440"/>
        </w:tabs>
        <w:spacing w:after="0" w:line="480" w:lineRule="auto"/>
        <w:ind w:right="288"/>
        <w:rPr>
          <w:sz w:val="24"/>
          <w:szCs w:val="24"/>
        </w:rPr>
      </w:pPr>
      <w:r w:rsidRPr="00EE51A2">
        <w:rPr>
          <w:sz w:val="24"/>
          <w:szCs w:val="24"/>
        </w:rPr>
        <w:t xml:space="preserve">There is no dispute regarding the standards against which a fair rate of return should be judged.  </w:t>
      </w:r>
    </w:p>
    <w:p w:rsidR="00A255BA" w:rsidRDefault="00183274" w:rsidP="00F06E3E">
      <w:pPr>
        <w:pStyle w:val="ListParagraph"/>
        <w:numPr>
          <w:ilvl w:val="0"/>
          <w:numId w:val="9"/>
        </w:numPr>
        <w:tabs>
          <w:tab w:val="left" w:pos="720"/>
          <w:tab w:val="left" w:pos="1440"/>
        </w:tabs>
        <w:spacing w:after="0" w:line="480" w:lineRule="auto"/>
        <w:ind w:right="288"/>
        <w:jc w:val="left"/>
        <w:rPr>
          <w:sz w:val="24"/>
          <w:szCs w:val="24"/>
        </w:rPr>
      </w:pPr>
      <w:r>
        <w:rPr>
          <w:sz w:val="24"/>
          <w:szCs w:val="24"/>
        </w:rPr>
        <w:t>A</w:t>
      </w:r>
      <w:r w:rsidR="00A255BA" w:rsidRPr="00EE51A2">
        <w:rPr>
          <w:sz w:val="24"/>
          <w:szCs w:val="24"/>
        </w:rPr>
        <w:t xml:space="preserve"> consensus exists among the experts on the objective of the exercise and the </w:t>
      </w:r>
      <w:r>
        <w:rPr>
          <w:sz w:val="24"/>
          <w:szCs w:val="24"/>
        </w:rPr>
        <w:t xml:space="preserve">use of several well-accepted financial models, including the Discounted Cash </w:t>
      </w:r>
      <w:r>
        <w:rPr>
          <w:sz w:val="24"/>
          <w:szCs w:val="24"/>
        </w:rPr>
        <w:lastRenderedPageBreak/>
        <w:t>Flow (DCF) and Capital Asset Pricing Model (CAPM) from which to derive</w:t>
      </w:r>
      <w:r w:rsidR="00A255BA" w:rsidRPr="00EE51A2">
        <w:rPr>
          <w:sz w:val="24"/>
          <w:szCs w:val="24"/>
        </w:rPr>
        <w:t xml:space="preserve"> </w:t>
      </w:r>
      <w:r>
        <w:rPr>
          <w:sz w:val="24"/>
          <w:szCs w:val="24"/>
        </w:rPr>
        <w:t>estimates of</w:t>
      </w:r>
      <w:r w:rsidR="00A255BA" w:rsidRPr="00EE51A2">
        <w:rPr>
          <w:sz w:val="24"/>
          <w:szCs w:val="24"/>
        </w:rPr>
        <w:t xml:space="preserve"> a fair return for </w:t>
      </w:r>
      <w:r>
        <w:rPr>
          <w:sz w:val="24"/>
          <w:szCs w:val="24"/>
        </w:rPr>
        <w:t>Pacific</w:t>
      </w:r>
      <w:r w:rsidR="00A255BA" w:rsidRPr="00EE51A2">
        <w:rPr>
          <w:sz w:val="24"/>
          <w:szCs w:val="24"/>
        </w:rPr>
        <w:t xml:space="preserve"> Power.</w:t>
      </w:r>
      <w:r>
        <w:rPr>
          <w:sz w:val="24"/>
          <w:szCs w:val="24"/>
        </w:rPr>
        <w:t xml:space="preserve">  </w:t>
      </w:r>
    </w:p>
    <w:p w:rsidR="00A255BA" w:rsidRDefault="00F84536" w:rsidP="00F06E3E">
      <w:pPr>
        <w:pStyle w:val="ListParagraph"/>
        <w:numPr>
          <w:ilvl w:val="0"/>
          <w:numId w:val="9"/>
        </w:numPr>
        <w:tabs>
          <w:tab w:val="left" w:pos="720"/>
          <w:tab w:val="left" w:pos="1440"/>
        </w:tabs>
        <w:spacing w:after="0" w:line="480" w:lineRule="auto"/>
        <w:ind w:right="288"/>
        <w:jc w:val="left"/>
        <w:rPr>
          <w:sz w:val="24"/>
          <w:szCs w:val="24"/>
        </w:rPr>
      </w:pPr>
      <w:r>
        <w:rPr>
          <w:sz w:val="24"/>
          <w:szCs w:val="24"/>
        </w:rPr>
        <w:t xml:space="preserve">While some dispute exists regarding the relevance of </w:t>
      </w:r>
      <w:r w:rsidR="00437860">
        <w:rPr>
          <w:sz w:val="24"/>
          <w:szCs w:val="24"/>
        </w:rPr>
        <w:t>other</w:t>
      </w:r>
      <w:r>
        <w:rPr>
          <w:sz w:val="24"/>
          <w:szCs w:val="24"/>
        </w:rPr>
        <w:t xml:space="preserve"> models,</w:t>
      </w:r>
      <w:r w:rsidRPr="00EE51A2">
        <w:rPr>
          <w:sz w:val="24"/>
          <w:szCs w:val="24"/>
        </w:rPr>
        <w:t xml:space="preserve"> </w:t>
      </w:r>
      <w:r>
        <w:rPr>
          <w:sz w:val="24"/>
          <w:szCs w:val="24"/>
        </w:rPr>
        <w:t>t</w:t>
      </w:r>
      <w:r w:rsidR="00A255BA" w:rsidRPr="00EE51A2">
        <w:rPr>
          <w:sz w:val="24"/>
          <w:szCs w:val="24"/>
        </w:rPr>
        <w:t xml:space="preserve">he </w:t>
      </w:r>
      <w:r>
        <w:rPr>
          <w:sz w:val="24"/>
          <w:szCs w:val="24"/>
        </w:rPr>
        <w:t xml:space="preserve">primary </w:t>
      </w:r>
      <w:r w:rsidR="00A255BA" w:rsidRPr="00EE51A2">
        <w:rPr>
          <w:sz w:val="24"/>
          <w:szCs w:val="24"/>
        </w:rPr>
        <w:t xml:space="preserve">differences of opinion amongst the experts relate to the specifics of </w:t>
      </w:r>
      <w:r w:rsidR="00437860">
        <w:rPr>
          <w:sz w:val="24"/>
          <w:szCs w:val="24"/>
        </w:rPr>
        <w:t xml:space="preserve">how the </w:t>
      </w:r>
      <w:r w:rsidR="00A255BA" w:rsidRPr="00EE51A2">
        <w:rPr>
          <w:sz w:val="24"/>
          <w:szCs w:val="24"/>
        </w:rPr>
        <w:t>financial models are applied</w:t>
      </w:r>
      <w:r w:rsidR="00183274">
        <w:rPr>
          <w:sz w:val="24"/>
          <w:szCs w:val="24"/>
        </w:rPr>
        <w:t xml:space="preserve"> and</w:t>
      </w:r>
      <w:r w:rsidR="00A255BA" w:rsidRPr="00EE51A2">
        <w:rPr>
          <w:sz w:val="24"/>
          <w:szCs w:val="24"/>
        </w:rPr>
        <w:t xml:space="preserve"> which inputs are most appropriately relied upon.</w:t>
      </w:r>
      <w:r>
        <w:rPr>
          <w:sz w:val="24"/>
          <w:szCs w:val="24"/>
        </w:rPr>
        <w:t xml:space="preserve"> </w:t>
      </w:r>
    </w:p>
    <w:p w:rsidR="00A255BA" w:rsidRPr="00EE51A2" w:rsidRDefault="00A255BA" w:rsidP="00F06E3E">
      <w:pPr>
        <w:pStyle w:val="ListParagraph"/>
        <w:numPr>
          <w:ilvl w:val="0"/>
          <w:numId w:val="9"/>
        </w:numPr>
        <w:tabs>
          <w:tab w:val="left" w:pos="720"/>
          <w:tab w:val="left" w:pos="1440"/>
        </w:tabs>
        <w:spacing w:after="0" w:line="480" w:lineRule="auto"/>
        <w:ind w:right="288"/>
        <w:jc w:val="left"/>
        <w:rPr>
          <w:sz w:val="24"/>
          <w:szCs w:val="24"/>
        </w:rPr>
      </w:pPr>
      <w:r w:rsidRPr="00EE51A2">
        <w:rPr>
          <w:sz w:val="24"/>
          <w:szCs w:val="24"/>
        </w:rPr>
        <w:t>In this regard, I find that Messrs</w:t>
      </w:r>
      <w:r w:rsidR="004833FE">
        <w:rPr>
          <w:sz w:val="24"/>
          <w:szCs w:val="24"/>
        </w:rPr>
        <w:t>.</w:t>
      </w:r>
      <w:r w:rsidRPr="00EE51A2">
        <w:rPr>
          <w:sz w:val="24"/>
          <w:szCs w:val="24"/>
        </w:rPr>
        <w:t xml:space="preserve"> Parcell</w:t>
      </w:r>
      <w:r w:rsidR="006F712E">
        <w:rPr>
          <w:sz w:val="24"/>
          <w:szCs w:val="24"/>
        </w:rPr>
        <w:t xml:space="preserve"> (for Staff)</w:t>
      </w:r>
      <w:r w:rsidR="00183274">
        <w:rPr>
          <w:sz w:val="24"/>
          <w:szCs w:val="24"/>
        </w:rPr>
        <w:t>, Hill</w:t>
      </w:r>
      <w:r w:rsidRPr="00EE51A2">
        <w:rPr>
          <w:sz w:val="24"/>
          <w:szCs w:val="24"/>
        </w:rPr>
        <w:t xml:space="preserve"> </w:t>
      </w:r>
      <w:r w:rsidR="006F712E">
        <w:rPr>
          <w:sz w:val="24"/>
          <w:szCs w:val="24"/>
        </w:rPr>
        <w:t xml:space="preserve">(for Public Counsel) </w:t>
      </w:r>
      <w:r w:rsidRPr="00EE51A2">
        <w:rPr>
          <w:sz w:val="24"/>
          <w:szCs w:val="24"/>
        </w:rPr>
        <w:t xml:space="preserve">and Gorman </w:t>
      </w:r>
      <w:r w:rsidR="006F712E">
        <w:rPr>
          <w:sz w:val="24"/>
          <w:szCs w:val="24"/>
        </w:rPr>
        <w:t xml:space="preserve">(for Boise) </w:t>
      </w:r>
      <w:r w:rsidR="00C62BF2">
        <w:rPr>
          <w:sz w:val="24"/>
          <w:szCs w:val="24"/>
        </w:rPr>
        <w:t xml:space="preserve">rely upon invalid methods </w:t>
      </w:r>
      <w:r w:rsidRPr="00EE51A2">
        <w:rPr>
          <w:sz w:val="24"/>
          <w:szCs w:val="24"/>
        </w:rPr>
        <w:t>or inappropriate data sources</w:t>
      </w:r>
      <w:r w:rsidR="00C62BF2">
        <w:rPr>
          <w:sz w:val="24"/>
          <w:szCs w:val="24"/>
        </w:rPr>
        <w:t xml:space="preserve"> or both</w:t>
      </w:r>
      <w:r w:rsidR="006F712E">
        <w:rPr>
          <w:sz w:val="24"/>
          <w:szCs w:val="24"/>
        </w:rPr>
        <w:t>, which causes them</w:t>
      </w:r>
      <w:r w:rsidRPr="00EE51A2">
        <w:rPr>
          <w:sz w:val="24"/>
          <w:szCs w:val="24"/>
        </w:rPr>
        <w:t xml:space="preserve"> to understate</w:t>
      </w:r>
      <w:r w:rsidR="006F712E">
        <w:rPr>
          <w:sz w:val="24"/>
          <w:szCs w:val="24"/>
        </w:rPr>
        <w:t xml:space="preserve"> the</w:t>
      </w:r>
      <w:r w:rsidRPr="00EE51A2">
        <w:rPr>
          <w:sz w:val="24"/>
          <w:szCs w:val="24"/>
        </w:rPr>
        <w:t xml:space="preserve"> fair return estimate for </w:t>
      </w:r>
      <w:r w:rsidR="00183274">
        <w:rPr>
          <w:sz w:val="24"/>
          <w:szCs w:val="24"/>
        </w:rPr>
        <w:t>Pacific</w:t>
      </w:r>
      <w:r w:rsidRPr="00EE51A2">
        <w:rPr>
          <w:sz w:val="24"/>
          <w:szCs w:val="24"/>
        </w:rPr>
        <w:t xml:space="preserve"> Power.  While I offer a detailed re</w:t>
      </w:r>
      <w:r w:rsidR="004F2FD4">
        <w:rPr>
          <w:sz w:val="24"/>
          <w:szCs w:val="24"/>
        </w:rPr>
        <w:t>sponse</w:t>
      </w:r>
      <w:r w:rsidRPr="00EE51A2">
        <w:rPr>
          <w:sz w:val="24"/>
          <w:szCs w:val="24"/>
        </w:rPr>
        <w:t xml:space="preserve"> in the body of my rebuttal testimony, I highlight here the key deficiencies in the analyses </w:t>
      </w:r>
      <w:r w:rsidR="006F712E">
        <w:rPr>
          <w:sz w:val="24"/>
          <w:szCs w:val="24"/>
        </w:rPr>
        <w:t xml:space="preserve">those witnesses </w:t>
      </w:r>
      <w:r w:rsidR="00C62BF2">
        <w:rPr>
          <w:sz w:val="24"/>
          <w:szCs w:val="24"/>
        </w:rPr>
        <w:t>present:</w:t>
      </w:r>
    </w:p>
    <w:p w:rsidR="00A255BA" w:rsidRPr="00EE51A2" w:rsidRDefault="00A255BA" w:rsidP="00F06E3E">
      <w:pPr>
        <w:pStyle w:val="ListParagraph"/>
        <w:numPr>
          <w:ilvl w:val="0"/>
          <w:numId w:val="8"/>
        </w:numPr>
        <w:tabs>
          <w:tab w:val="left" w:pos="720"/>
          <w:tab w:val="left" w:pos="1440"/>
        </w:tabs>
        <w:spacing w:after="0" w:line="480" w:lineRule="auto"/>
        <w:ind w:left="1440" w:right="288"/>
        <w:jc w:val="left"/>
        <w:rPr>
          <w:sz w:val="24"/>
          <w:szCs w:val="24"/>
        </w:rPr>
      </w:pPr>
      <w:r w:rsidRPr="00EE51A2">
        <w:rPr>
          <w:sz w:val="24"/>
          <w:szCs w:val="24"/>
        </w:rPr>
        <w:t>The Staff and intervenor cost-of-capital witnesses mischaracterize the trends in allowed returns granted by state regulators across the country since January 2013.  My rebuttal testimony corrects errors they have made when assessing the average allowed return and presents a proper evaluation of the trends in</w:t>
      </w:r>
      <w:r w:rsidR="00C62BF2">
        <w:rPr>
          <w:sz w:val="24"/>
          <w:szCs w:val="24"/>
        </w:rPr>
        <w:t xml:space="preserve"> allowed returns for vertically </w:t>
      </w:r>
      <w:r w:rsidRPr="00EE51A2">
        <w:rPr>
          <w:sz w:val="24"/>
          <w:szCs w:val="24"/>
        </w:rPr>
        <w:t xml:space="preserve">integrated utilities comparable to </w:t>
      </w:r>
      <w:r w:rsidR="00183274">
        <w:rPr>
          <w:sz w:val="24"/>
          <w:szCs w:val="24"/>
        </w:rPr>
        <w:t>Pacific</w:t>
      </w:r>
      <w:r w:rsidRPr="00EE51A2">
        <w:rPr>
          <w:sz w:val="24"/>
          <w:szCs w:val="24"/>
        </w:rPr>
        <w:t xml:space="preserve"> Power.</w:t>
      </w:r>
    </w:p>
    <w:p w:rsidR="00F9119B" w:rsidRDefault="00A255BA" w:rsidP="00F06E3E">
      <w:pPr>
        <w:pStyle w:val="ListParagraph"/>
        <w:numPr>
          <w:ilvl w:val="0"/>
          <w:numId w:val="8"/>
        </w:numPr>
        <w:tabs>
          <w:tab w:val="left" w:pos="720"/>
          <w:tab w:val="left" w:pos="1440"/>
        </w:tabs>
        <w:spacing w:after="0" w:line="480" w:lineRule="auto"/>
        <w:ind w:left="1440" w:right="288"/>
        <w:jc w:val="left"/>
        <w:rPr>
          <w:sz w:val="24"/>
          <w:szCs w:val="24"/>
        </w:rPr>
      </w:pPr>
      <w:r w:rsidRPr="00EE51A2">
        <w:rPr>
          <w:sz w:val="24"/>
          <w:szCs w:val="24"/>
        </w:rPr>
        <w:t xml:space="preserve">These witnesses present </w:t>
      </w:r>
      <w:r w:rsidR="006F712E" w:rsidRPr="00EE51A2">
        <w:rPr>
          <w:sz w:val="24"/>
          <w:szCs w:val="24"/>
        </w:rPr>
        <w:t>f</w:t>
      </w:r>
      <w:r w:rsidR="006F712E">
        <w:rPr>
          <w:sz w:val="24"/>
          <w:szCs w:val="24"/>
        </w:rPr>
        <w:t>aulty</w:t>
      </w:r>
      <w:r w:rsidR="006F712E" w:rsidRPr="00EE51A2">
        <w:rPr>
          <w:sz w:val="24"/>
          <w:szCs w:val="24"/>
        </w:rPr>
        <w:t xml:space="preserve"> </w:t>
      </w:r>
      <w:r w:rsidR="00183274">
        <w:rPr>
          <w:sz w:val="24"/>
          <w:szCs w:val="24"/>
        </w:rPr>
        <w:t>analyses of capital structure</w:t>
      </w:r>
      <w:r w:rsidR="00F9119B">
        <w:rPr>
          <w:sz w:val="24"/>
          <w:szCs w:val="24"/>
        </w:rPr>
        <w:t xml:space="preserve">.  Each </w:t>
      </w:r>
      <w:r w:rsidR="00C62BF2">
        <w:rPr>
          <w:sz w:val="24"/>
          <w:szCs w:val="24"/>
        </w:rPr>
        <w:t xml:space="preserve">cost-of-capital </w:t>
      </w:r>
      <w:r w:rsidR="00F9119B">
        <w:rPr>
          <w:sz w:val="24"/>
          <w:szCs w:val="24"/>
        </w:rPr>
        <w:t xml:space="preserve">witness for the other parties recommends a hypothetical capital structure.  None provides any evidence that actually supports </w:t>
      </w:r>
      <w:r w:rsidR="006F712E">
        <w:rPr>
          <w:sz w:val="24"/>
          <w:szCs w:val="24"/>
        </w:rPr>
        <w:t xml:space="preserve">their </w:t>
      </w:r>
      <w:r w:rsidR="00F9119B">
        <w:rPr>
          <w:sz w:val="24"/>
          <w:szCs w:val="24"/>
        </w:rPr>
        <w:t>recommendation</w:t>
      </w:r>
      <w:r w:rsidR="006F712E">
        <w:rPr>
          <w:sz w:val="24"/>
          <w:szCs w:val="24"/>
        </w:rPr>
        <w:t>s in this respect</w:t>
      </w:r>
      <w:r w:rsidR="00F9119B">
        <w:rPr>
          <w:sz w:val="24"/>
          <w:szCs w:val="24"/>
        </w:rPr>
        <w:t xml:space="preserve">.  </w:t>
      </w:r>
    </w:p>
    <w:p w:rsidR="00A255BA" w:rsidRPr="00EE51A2" w:rsidRDefault="00F9119B" w:rsidP="00F06E3E">
      <w:pPr>
        <w:pStyle w:val="ListParagraph"/>
        <w:numPr>
          <w:ilvl w:val="0"/>
          <w:numId w:val="8"/>
        </w:numPr>
        <w:tabs>
          <w:tab w:val="left" w:pos="720"/>
          <w:tab w:val="left" w:pos="1440"/>
        </w:tabs>
        <w:spacing w:after="0" w:line="480" w:lineRule="auto"/>
        <w:ind w:left="1440" w:right="288"/>
        <w:jc w:val="left"/>
        <w:rPr>
          <w:sz w:val="24"/>
          <w:szCs w:val="24"/>
        </w:rPr>
      </w:pPr>
      <w:r>
        <w:rPr>
          <w:sz w:val="24"/>
          <w:szCs w:val="24"/>
        </w:rPr>
        <w:lastRenderedPageBreak/>
        <w:t>Further, they</w:t>
      </w:r>
      <w:r w:rsidR="00183274">
        <w:rPr>
          <w:sz w:val="24"/>
          <w:szCs w:val="24"/>
        </w:rPr>
        <w:t xml:space="preserve"> present invalid assessments of how a hypothetical capital structure changes the cost of equity capital.  This </w:t>
      </w:r>
      <w:r w:rsidR="00A255BA" w:rsidRPr="00EE51A2">
        <w:rPr>
          <w:sz w:val="24"/>
          <w:szCs w:val="24"/>
        </w:rPr>
        <w:t>lead</w:t>
      </w:r>
      <w:r w:rsidR="00183274">
        <w:rPr>
          <w:sz w:val="24"/>
          <w:szCs w:val="24"/>
        </w:rPr>
        <w:t>s</w:t>
      </w:r>
      <w:r w:rsidR="00A255BA" w:rsidRPr="00EE51A2">
        <w:rPr>
          <w:sz w:val="24"/>
          <w:szCs w:val="24"/>
        </w:rPr>
        <w:t xml:space="preserve"> </w:t>
      </w:r>
      <w:r>
        <w:rPr>
          <w:sz w:val="24"/>
          <w:szCs w:val="24"/>
        </w:rPr>
        <w:t>Messrs. Parcell and Gorman</w:t>
      </w:r>
      <w:r w:rsidR="00A255BA" w:rsidRPr="00EE51A2">
        <w:rPr>
          <w:sz w:val="24"/>
          <w:szCs w:val="24"/>
        </w:rPr>
        <w:t xml:space="preserve"> to the incorrect </w:t>
      </w:r>
      <w:r w:rsidR="00183274">
        <w:rPr>
          <w:sz w:val="24"/>
          <w:szCs w:val="24"/>
        </w:rPr>
        <w:t xml:space="preserve">and unsupportable </w:t>
      </w:r>
      <w:r w:rsidR="00A255BA" w:rsidRPr="00EE51A2">
        <w:rPr>
          <w:sz w:val="24"/>
          <w:szCs w:val="24"/>
        </w:rPr>
        <w:t xml:space="preserve">conclusion that no </w:t>
      </w:r>
      <w:r w:rsidR="00183274">
        <w:rPr>
          <w:sz w:val="24"/>
          <w:szCs w:val="24"/>
        </w:rPr>
        <w:t>leverage</w:t>
      </w:r>
      <w:r w:rsidR="00A255BA" w:rsidRPr="00EE51A2">
        <w:rPr>
          <w:sz w:val="24"/>
          <w:szCs w:val="24"/>
        </w:rPr>
        <w:t xml:space="preserve">-based adjustment </w:t>
      </w:r>
      <w:r>
        <w:rPr>
          <w:sz w:val="24"/>
          <w:szCs w:val="24"/>
        </w:rPr>
        <w:t xml:space="preserve">to </w:t>
      </w:r>
      <w:r w:rsidR="000C0068">
        <w:rPr>
          <w:sz w:val="24"/>
          <w:szCs w:val="24"/>
        </w:rPr>
        <w:t>return on equity (</w:t>
      </w:r>
      <w:r>
        <w:rPr>
          <w:sz w:val="24"/>
          <w:szCs w:val="24"/>
        </w:rPr>
        <w:t>ROE</w:t>
      </w:r>
      <w:r w:rsidR="000C0068">
        <w:rPr>
          <w:sz w:val="24"/>
          <w:szCs w:val="24"/>
        </w:rPr>
        <w:t>)</w:t>
      </w:r>
      <w:r>
        <w:rPr>
          <w:sz w:val="24"/>
          <w:szCs w:val="24"/>
        </w:rPr>
        <w:t xml:space="preserve"> </w:t>
      </w:r>
      <w:r w:rsidR="00A255BA" w:rsidRPr="00EE51A2">
        <w:rPr>
          <w:sz w:val="24"/>
          <w:szCs w:val="24"/>
        </w:rPr>
        <w:t xml:space="preserve">is necessary </w:t>
      </w:r>
      <w:r w:rsidR="00183274">
        <w:rPr>
          <w:sz w:val="24"/>
          <w:szCs w:val="24"/>
        </w:rPr>
        <w:t xml:space="preserve">in the event the Commission elects to set rates using a hypothetical capital structure in place of the actual structure </w:t>
      </w:r>
      <w:r w:rsidR="00E32373">
        <w:rPr>
          <w:sz w:val="24"/>
          <w:szCs w:val="24"/>
        </w:rPr>
        <w:t>of</w:t>
      </w:r>
      <w:r w:rsidR="00183274">
        <w:rPr>
          <w:sz w:val="24"/>
          <w:szCs w:val="24"/>
        </w:rPr>
        <w:t xml:space="preserve"> the Company</w:t>
      </w:r>
      <w:r w:rsidR="00A255BA" w:rsidRPr="00EE51A2">
        <w:rPr>
          <w:sz w:val="24"/>
          <w:szCs w:val="24"/>
        </w:rPr>
        <w:t xml:space="preserve">.  </w:t>
      </w:r>
      <w:r w:rsidR="00183274">
        <w:rPr>
          <w:sz w:val="24"/>
          <w:szCs w:val="24"/>
        </w:rPr>
        <w:t>Their testimon</w:t>
      </w:r>
      <w:r w:rsidR="00293628">
        <w:rPr>
          <w:sz w:val="24"/>
          <w:szCs w:val="24"/>
        </w:rPr>
        <w:t>ies</w:t>
      </w:r>
      <w:r w:rsidR="00183274">
        <w:rPr>
          <w:sz w:val="24"/>
          <w:szCs w:val="24"/>
        </w:rPr>
        <w:t xml:space="preserve"> </w:t>
      </w:r>
      <w:r w:rsidR="00293628">
        <w:rPr>
          <w:sz w:val="24"/>
          <w:szCs w:val="24"/>
        </w:rPr>
        <w:t>on</w:t>
      </w:r>
      <w:r w:rsidR="00183274">
        <w:rPr>
          <w:sz w:val="24"/>
          <w:szCs w:val="24"/>
        </w:rPr>
        <w:t xml:space="preserve"> this </w:t>
      </w:r>
      <w:r w:rsidR="00293628">
        <w:rPr>
          <w:sz w:val="24"/>
          <w:szCs w:val="24"/>
        </w:rPr>
        <w:t>subject ignore</w:t>
      </w:r>
      <w:r w:rsidR="00183274">
        <w:rPr>
          <w:sz w:val="24"/>
          <w:szCs w:val="24"/>
        </w:rPr>
        <w:t xml:space="preserve"> </w:t>
      </w:r>
      <w:r>
        <w:rPr>
          <w:sz w:val="24"/>
          <w:szCs w:val="24"/>
        </w:rPr>
        <w:t>the elementary principle</w:t>
      </w:r>
      <w:r w:rsidR="00183274">
        <w:rPr>
          <w:sz w:val="24"/>
          <w:szCs w:val="24"/>
        </w:rPr>
        <w:t xml:space="preserve"> of finance that </w:t>
      </w:r>
      <w:r w:rsidR="00293628">
        <w:rPr>
          <w:sz w:val="24"/>
          <w:szCs w:val="24"/>
        </w:rPr>
        <w:t xml:space="preserve">equity costs </w:t>
      </w:r>
      <w:r>
        <w:rPr>
          <w:sz w:val="24"/>
          <w:szCs w:val="24"/>
        </w:rPr>
        <w:t xml:space="preserve">more as </w:t>
      </w:r>
      <w:r w:rsidR="00293628">
        <w:rPr>
          <w:sz w:val="24"/>
          <w:szCs w:val="24"/>
        </w:rPr>
        <w:t>leverage</w:t>
      </w:r>
      <w:r>
        <w:rPr>
          <w:sz w:val="24"/>
          <w:szCs w:val="24"/>
        </w:rPr>
        <w:t xml:space="preserve"> increases</w:t>
      </w:r>
      <w:r w:rsidR="000F4F1D">
        <w:rPr>
          <w:sz w:val="24"/>
          <w:szCs w:val="24"/>
        </w:rPr>
        <w:t xml:space="preserve"> because of the “financial risk” (a concept that is solidly part of the financial literature)</w:t>
      </w:r>
      <w:r w:rsidR="00293628">
        <w:rPr>
          <w:sz w:val="24"/>
          <w:szCs w:val="24"/>
        </w:rPr>
        <w:t>.</w:t>
      </w:r>
      <w:r>
        <w:rPr>
          <w:sz w:val="24"/>
          <w:szCs w:val="24"/>
        </w:rPr>
        <w:t xml:space="preserve">  Mr. Hill is correct to </w:t>
      </w:r>
      <w:r w:rsidR="0075353A">
        <w:rPr>
          <w:sz w:val="24"/>
          <w:szCs w:val="24"/>
        </w:rPr>
        <w:t xml:space="preserve">acknowledge that the </w:t>
      </w:r>
      <w:r>
        <w:rPr>
          <w:sz w:val="24"/>
          <w:szCs w:val="24"/>
        </w:rPr>
        <w:t xml:space="preserve">ROE </w:t>
      </w:r>
      <w:r w:rsidR="0075353A">
        <w:rPr>
          <w:sz w:val="24"/>
          <w:szCs w:val="24"/>
        </w:rPr>
        <w:t xml:space="preserve">should be higher with a hypothetical capital structure, but his estimate of the increment is based on </w:t>
      </w:r>
      <w:r w:rsidR="00B30F11">
        <w:rPr>
          <w:sz w:val="24"/>
          <w:szCs w:val="24"/>
        </w:rPr>
        <w:t>faulty</w:t>
      </w:r>
      <w:r w:rsidR="0075353A">
        <w:rPr>
          <w:sz w:val="24"/>
          <w:szCs w:val="24"/>
        </w:rPr>
        <w:t xml:space="preserve"> assumptions.</w:t>
      </w:r>
    </w:p>
    <w:p w:rsidR="009F62B6" w:rsidRDefault="00131967" w:rsidP="00F06E3E">
      <w:pPr>
        <w:pStyle w:val="ListParagraph"/>
        <w:widowControl w:val="0"/>
        <w:numPr>
          <w:ilvl w:val="0"/>
          <w:numId w:val="8"/>
        </w:numPr>
        <w:tabs>
          <w:tab w:val="left" w:pos="720"/>
          <w:tab w:val="left" w:pos="1440"/>
        </w:tabs>
        <w:spacing w:after="0" w:line="480" w:lineRule="auto"/>
        <w:ind w:left="1440" w:right="288"/>
        <w:jc w:val="left"/>
        <w:rPr>
          <w:sz w:val="24"/>
          <w:szCs w:val="24"/>
        </w:rPr>
      </w:pPr>
      <w:r>
        <w:rPr>
          <w:sz w:val="24"/>
          <w:szCs w:val="24"/>
        </w:rPr>
        <w:t>Mr.</w:t>
      </w:r>
      <w:r w:rsidR="00183274">
        <w:rPr>
          <w:sz w:val="24"/>
          <w:szCs w:val="24"/>
        </w:rPr>
        <w:t xml:space="preserve"> </w:t>
      </w:r>
      <w:r w:rsidR="00A255BA" w:rsidRPr="00EE51A2">
        <w:rPr>
          <w:sz w:val="24"/>
          <w:szCs w:val="24"/>
        </w:rPr>
        <w:t>Gorman choose</w:t>
      </w:r>
      <w:r w:rsidR="00153AC3">
        <w:rPr>
          <w:sz w:val="24"/>
          <w:szCs w:val="24"/>
        </w:rPr>
        <w:t>s</w:t>
      </w:r>
      <w:r w:rsidR="00A255BA" w:rsidRPr="00EE51A2">
        <w:rPr>
          <w:sz w:val="24"/>
          <w:szCs w:val="24"/>
        </w:rPr>
        <w:t xml:space="preserve"> to use </w:t>
      </w:r>
      <w:r>
        <w:rPr>
          <w:sz w:val="24"/>
          <w:szCs w:val="24"/>
        </w:rPr>
        <w:t xml:space="preserve">a </w:t>
      </w:r>
      <w:r w:rsidR="00A011CB">
        <w:rPr>
          <w:sz w:val="24"/>
          <w:szCs w:val="24"/>
        </w:rPr>
        <w:t>10</w:t>
      </w:r>
      <w:r w:rsidR="00153AC3">
        <w:rPr>
          <w:sz w:val="24"/>
          <w:szCs w:val="24"/>
        </w:rPr>
        <w:t>-</w:t>
      </w:r>
      <w:r w:rsidR="00A011CB">
        <w:rPr>
          <w:sz w:val="24"/>
          <w:szCs w:val="24"/>
        </w:rPr>
        <w:t xml:space="preserve">year </w:t>
      </w:r>
      <w:r w:rsidR="00A255BA" w:rsidRPr="00EE51A2">
        <w:rPr>
          <w:sz w:val="24"/>
          <w:szCs w:val="24"/>
        </w:rPr>
        <w:t xml:space="preserve">GDP growth </w:t>
      </w:r>
      <w:r w:rsidR="0091366B">
        <w:rPr>
          <w:sz w:val="24"/>
          <w:szCs w:val="24"/>
        </w:rPr>
        <w:t xml:space="preserve">forecast </w:t>
      </w:r>
      <w:r w:rsidR="00A255BA" w:rsidRPr="00EE51A2">
        <w:rPr>
          <w:sz w:val="24"/>
          <w:szCs w:val="24"/>
        </w:rPr>
        <w:t xml:space="preserve">as a measure of long-term earnings growth for electric utilities.  In using </w:t>
      </w:r>
      <w:r w:rsidR="00644B40">
        <w:rPr>
          <w:sz w:val="24"/>
          <w:szCs w:val="24"/>
        </w:rPr>
        <w:t xml:space="preserve">a </w:t>
      </w:r>
      <w:r w:rsidR="00A255BA" w:rsidRPr="00EE51A2">
        <w:rPr>
          <w:sz w:val="24"/>
          <w:szCs w:val="24"/>
        </w:rPr>
        <w:t>U</w:t>
      </w:r>
      <w:r w:rsidR="00644B40">
        <w:rPr>
          <w:sz w:val="24"/>
          <w:szCs w:val="24"/>
        </w:rPr>
        <w:t>.</w:t>
      </w:r>
      <w:r w:rsidR="00A255BA" w:rsidRPr="00EE51A2">
        <w:rPr>
          <w:sz w:val="24"/>
          <w:szCs w:val="24"/>
        </w:rPr>
        <w:t>S</w:t>
      </w:r>
      <w:r w:rsidR="00644B40">
        <w:rPr>
          <w:sz w:val="24"/>
          <w:szCs w:val="24"/>
        </w:rPr>
        <w:t>.</w:t>
      </w:r>
      <w:r w:rsidR="00A255BA" w:rsidRPr="00EE51A2">
        <w:rPr>
          <w:sz w:val="24"/>
          <w:szCs w:val="24"/>
        </w:rPr>
        <w:t xml:space="preserve"> government GDP growth forecast as a proxy for the expected long-term earnings growth rate for utilities (i.e., the ex</w:t>
      </w:r>
      <w:r w:rsidR="00C62BF2">
        <w:rPr>
          <w:sz w:val="24"/>
          <w:szCs w:val="24"/>
        </w:rPr>
        <w:t>pected growth that runs beyond five</w:t>
      </w:r>
      <w:r w:rsidR="00A255BA" w:rsidRPr="00EE51A2">
        <w:rPr>
          <w:sz w:val="24"/>
          <w:szCs w:val="24"/>
        </w:rPr>
        <w:t xml:space="preserve">-year projections available from securities analysts), </w:t>
      </w:r>
      <w:r w:rsidR="00153AC3">
        <w:rPr>
          <w:sz w:val="24"/>
          <w:szCs w:val="24"/>
        </w:rPr>
        <w:t xml:space="preserve">Mr. Gorman </w:t>
      </w:r>
      <w:r w:rsidR="00A255BA" w:rsidRPr="00EE51A2">
        <w:rPr>
          <w:sz w:val="24"/>
          <w:szCs w:val="24"/>
        </w:rPr>
        <w:t>assume</w:t>
      </w:r>
      <w:r w:rsidR="00153AC3">
        <w:rPr>
          <w:sz w:val="24"/>
          <w:szCs w:val="24"/>
        </w:rPr>
        <w:t>s</w:t>
      </w:r>
      <w:r w:rsidR="00A255BA" w:rsidRPr="00EE51A2">
        <w:rPr>
          <w:sz w:val="24"/>
          <w:szCs w:val="24"/>
        </w:rPr>
        <w:t xml:space="preserve"> those two growth rates should converge to each other.  That assumption is incorrect, given the accepted empirical stu</w:t>
      </w:r>
      <w:r w:rsidR="00C62BF2">
        <w:rPr>
          <w:sz w:val="24"/>
          <w:szCs w:val="24"/>
        </w:rPr>
        <w:t xml:space="preserve">dies that document persistently </w:t>
      </w:r>
      <w:r w:rsidR="00A255BA" w:rsidRPr="00EE51A2">
        <w:rPr>
          <w:sz w:val="24"/>
          <w:szCs w:val="24"/>
        </w:rPr>
        <w:t>higher total factor productivity (TFP) growth rates for the electric utility industry than for the economy as a whole.  Given the established empirical relationship between economy-wide (</w:t>
      </w:r>
      <w:r w:rsidR="00A255BA" w:rsidRPr="00EE51A2">
        <w:rPr>
          <w:i/>
          <w:sz w:val="24"/>
          <w:szCs w:val="24"/>
        </w:rPr>
        <w:t>i.e.</w:t>
      </w:r>
      <w:r w:rsidR="00A255BA" w:rsidRPr="00EE51A2">
        <w:rPr>
          <w:sz w:val="24"/>
          <w:szCs w:val="24"/>
        </w:rPr>
        <w:t xml:space="preserve">, GDP) growth and relative TFP growth for the electricity industry, using the former as a proxy for expected growth in DCF cost of equity measures of the latter is invalid and </w:t>
      </w:r>
      <w:r w:rsidR="00A255BA" w:rsidRPr="00EE51A2">
        <w:rPr>
          <w:sz w:val="24"/>
          <w:szCs w:val="24"/>
        </w:rPr>
        <w:lastRenderedPageBreak/>
        <w:t>understates expected investor returns and the computed return on equity.</w:t>
      </w:r>
    </w:p>
    <w:p w:rsidR="00921C01" w:rsidRDefault="00921C01" w:rsidP="00F06E3E">
      <w:pPr>
        <w:pStyle w:val="ListParagraph"/>
        <w:numPr>
          <w:ilvl w:val="0"/>
          <w:numId w:val="8"/>
        </w:numPr>
        <w:tabs>
          <w:tab w:val="left" w:pos="720"/>
          <w:tab w:val="left" w:pos="1440"/>
        </w:tabs>
        <w:spacing w:after="0" w:line="480" w:lineRule="auto"/>
        <w:ind w:left="1440" w:right="288"/>
        <w:jc w:val="left"/>
        <w:rPr>
          <w:sz w:val="24"/>
          <w:szCs w:val="24"/>
        </w:rPr>
      </w:pPr>
      <w:r w:rsidRPr="009F62B6">
        <w:rPr>
          <w:sz w:val="24"/>
          <w:szCs w:val="24"/>
        </w:rPr>
        <w:t xml:space="preserve">Mr. </w:t>
      </w:r>
      <w:r>
        <w:rPr>
          <w:sz w:val="24"/>
          <w:szCs w:val="24"/>
        </w:rPr>
        <w:t>Hill</w:t>
      </w:r>
      <w:r w:rsidRPr="009F62B6">
        <w:rPr>
          <w:sz w:val="24"/>
          <w:szCs w:val="24"/>
        </w:rPr>
        <w:t xml:space="preserve"> </w:t>
      </w:r>
      <w:r>
        <w:rPr>
          <w:sz w:val="24"/>
          <w:szCs w:val="24"/>
        </w:rPr>
        <w:t>allege</w:t>
      </w:r>
      <w:r w:rsidR="00131967">
        <w:rPr>
          <w:sz w:val="24"/>
          <w:szCs w:val="24"/>
        </w:rPr>
        <w:t>s</w:t>
      </w:r>
      <w:r>
        <w:rPr>
          <w:sz w:val="24"/>
          <w:szCs w:val="24"/>
        </w:rPr>
        <w:t xml:space="preserve"> that the forecast growth rates issued by securities analysts are biased upwards</w:t>
      </w:r>
      <w:r w:rsidR="0067706B">
        <w:rPr>
          <w:sz w:val="24"/>
          <w:szCs w:val="24"/>
        </w:rPr>
        <w:t>, and that consequently the cost of capital estimates derived therefrom are overstated</w:t>
      </w:r>
      <w:r>
        <w:rPr>
          <w:sz w:val="24"/>
          <w:szCs w:val="24"/>
        </w:rPr>
        <w:t xml:space="preserve">.  Yet </w:t>
      </w:r>
      <w:r w:rsidR="009315DF">
        <w:rPr>
          <w:sz w:val="24"/>
          <w:szCs w:val="24"/>
        </w:rPr>
        <w:t>he provides</w:t>
      </w:r>
      <w:r>
        <w:rPr>
          <w:sz w:val="24"/>
          <w:szCs w:val="24"/>
        </w:rPr>
        <w:t xml:space="preserve"> no evidence to support this claim</w:t>
      </w:r>
      <w:r w:rsidR="0067706B">
        <w:rPr>
          <w:sz w:val="24"/>
          <w:szCs w:val="24"/>
        </w:rPr>
        <w:t xml:space="preserve">.  My rebuttal testimony demonstrates that there is no reason to expect systematic bias </w:t>
      </w:r>
      <w:r>
        <w:rPr>
          <w:sz w:val="24"/>
          <w:szCs w:val="24"/>
        </w:rPr>
        <w:t xml:space="preserve">in the current market and regulatory context. </w:t>
      </w:r>
      <w:r w:rsidR="0067706B">
        <w:rPr>
          <w:sz w:val="24"/>
          <w:szCs w:val="24"/>
        </w:rPr>
        <w:t xml:space="preserve"> Reputational concerns incentivize securities analysts to provide accurate forecasts.  In addition, the Securities and Exchange Commission</w:t>
      </w:r>
      <w:r w:rsidR="004833FE">
        <w:rPr>
          <w:sz w:val="24"/>
          <w:szCs w:val="24"/>
        </w:rPr>
        <w:t>, in its oversight of the capital markets,</w:t>
      </w:r>
      <w:r w:rsidR="0067706B">
        <w:rPr>
          <w:sz w:val="24"/>
          <w:szCs w:val="24"/>
        </w:rPr>
        <w:t xml:space="preserve"> </w:t>
      </w:r>
      <w:r w:rsidR="004833FE">
        <w:rPr>
          <w:sz w:val="24"/>
          <w:szCs w:val="24"/>
        </w:rPr>
        <w:t>took</w:t>
      </w:r>
      <w:r w:rsidR="0067706B">
        <w:rPr>
          <w:sz w:val="24"/>
          <w:szCs w:val="24"/>
        </w:rPr>
        <w:t xml:space="preserve"> measures </w:t>
      </w:r>
      <w:r w:rsidR="004833FE">
        <w:rPr>
          <w:sz w:val="24"/>
          <w:szCs w:val="24"/>
        </w:rPr>
        <w:t xml:space="preserve">over ten years ago to address </w:t>
      </w:r>
      <w:r w:rsidR="00763326">
        <w:rPr>
          <w:sz w:val="24"/>
          <w:szCs w:val="24"/>
        </w:rPr>
        <w:t>and resolve potential</w:t>
      </w:r>
      <w:r w:rsidR="004833FE">
        <w:rPr>
          <w:sz w:val="24"/>
          <w:szCs w:val="24"/>
        </w:rPr>
        <w:t xml:space="preserve"> bias.  The allegations of bias and “rosy forecasts” offered by </w:t>
      </w:r>
      <w:r w:rsidR="004833FE" w:rsidRPr="009F62B6">
        <w:rPr>
          <w:sz w:val="24"/>
          <w:szCs w:val="24"/>
        </w:rPr>
        <w:t>M</w:t>
      </w:r>
      <w:r w:rsidR="00644B40">
        <w:rPr>
          <w:sz w:val="24"/>
          <w:szCs w:val="24"/>
        </w:rPr>
        <w:t>r.</w:t>
      </w:r>
      <w:r w:rsidR="004833FE" w:rsidRPr="009F62B6">
        <w:rPr>
          <w:sz w:val="24"/>
          <w:szCs w:val="24"/>
        </w:rPr>
        <w:t xml:space="preserve"> </w:t>
      </w:r>
      <w:r w:rsidR="004833FE">
        <w:rPr>
          <w:sz w:val="24"/>
          <w:szCs w:val="24"/>
        </w:rPr>
        <w:t>Hill</w:t>
      </w:r>
      <w:r w:rsidR="004833FE" w:rsidRPr="009F62B6">
        <w:rPr>
          <w:sz w:val="24"/>
          <w:szCs w:val="24"/>
        </w:rPr>
        <w:t xml:space="preserve"> </w:t>
      </w:r>
      <w:r w:rsidR="004833FE">
        <w:rPr>
          <w:sz w:val="24"/>
          <w:szCs w:val="24"/>
        </w:rPr>
        <w:t>are disconnected from the current regulatory arrangements and the incentives associated with securities analyst forecasting.</w:t>
      </w:r>
    </w:p>
    <w:p w:rsidR="00EB35AC" w:rsidRPr="009F62B6" w:rsidRDefault="00921C01" w:rsidP="007C0561">
      <w:pPr>
        <w:pStyle w:val="ListParagraph"/>
        <w:numPr>
          <w:ilvl w:val="0"/>
          <w:numId w:val="8"/>
        </w:numPr>
        <w:tabs>
          <w:tab w:val="left" w:pos="720"/>
          <w:tab w:val="left" w:pos="1440"/>
        </w:tabs>
        <w:spacing w:after="0" w:line="480" w:lineRule="auto"/>
        <w:ind w:left="1440" w:right="288"/>
        <w:jc w:val="left"/>
        <w:rPr>
          <w:sz w:val="24"/>
          <w:szCs w:val="24"/>
        </w:rPr>
      </w:pPr>
      <w:r>
        <w:rPr>
          <w:sz w:val="24"/>
          <w:szCs w:val="24"/>
        </w:rPr>
        <w:t>Finally</w:t>
      </w:r>
      <w:r w:rsidR="00A255BA" w:rsidRPr="009F62B6">
        <w:rPr>
          <w:sz w:val="24"/>
          <w:szCs w:val="24"/>
        </w:rPr>
        <w:t>, Messrs. Parcell</w:t>
      </w:r>
      <w:r w:rsidR="00B30F11">
        <w:rPr>
          <w:sz w:val="24"/>
          <w:szCs w:val="24"/>
        </w:rPr>
        <w:t>, Hill</w:t>
      </w:r>
      <w:r w:rsidR="007C0561">
        <w:rPr>
          <w:sz w:val="24"/>
          <w:szCs w:val="24"/>
        </w:rPr>
        <w:t>,</w:t>
      </w:r>
      <w:r w:rsidR="00A255BA" w:rsidRPr="009F62B6">
        <w:rPr>
          <w:sz w:val="24"/>
          <w:szCs w:val="24"/>
        </w:rPr>
        <w:t xml:space="preserve"> and Gorman present inaccurate analyses of the effects of their recommended</w:t>
      </w:r>
      <w:r w:rsidR="00763326">
        <w:rPr>
          <w:sz w:val="24"/>
          <w:szCs w:val="24"/>
        </w:rPr>
        <w:t xml:space="preserve"> capital structure and</w:t>
      </w:r>
      <w:r w:rsidR="00A255BA" w:rsidRPr="009F62B6">
        <w:rPr>
          <w:sz w:val="24"/>
          <w:szCs w:val="24"/>
        </w:rPr>
        <w:t xml:space="preserve"> </w:t>
      </w:r>
      <w:r w:rsidR="00763326">
        <w:rPr>
          <w:sz w:val="24"/>
          <w:szCs w:val="24"/>
        </w:rPr>
        <w:t xml:space="preserve">cost of capital </w:t>
      </w:r>
      <w:r w:rsidR="00A255BA" w:rsidRPr="009F62B6">
        <w:rPr>
          <w:sz w:val="24"/>
          <w:szCs w:val="24"/>
        </w:rPr>
        <w:t xml:space="preserve">on the Company’s financial integrity and standard financial ratios.  My rebuttal corrects these analyses and demonstrates that the returns recommended by these witnesses will lead to a weaker financial position for the Company. </w:t>
      </w:r>
      <w:r w:rsidR="007F5EDF" w:rsidRPr="009F62B6">
        <w:rPr>
          <w:szCs w:val="24"/>
        </w:rPr>
        <w:t xml:space="preserve"> </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t xml:space="preserve">What is your </w:t>
      </w:r>
      <w:r w:rsidR="009F62B6">
        <w:rPr>
          <w:b/>
          <w:szCs w:val="24"/>
        </w:rPr>
        <w:t xml:space="preserve">updated </w:t>
      </w:r>
      <w:r w:rsidRPr="00384017">
        <w:rPr>
          <w:b/>
          <w:szCs w:val="24"/>
        </w:rPr>
        <w:t xml:space="preserve">recommendation for a fair </w:t>
      </w:r>
      <w:r w:rsidR="00C62BF2">
        <w:rPr>
          <w:b/>
          <w:szCs w:val="24"/>
        </w:rPr>
        <w:t>ROE</w:t>
      </w:r>
      <w:r w:rsidR="0006618F" w:rsidRPr="00384017">
        <w:rPr>
          <w:b/>
          <w:szCs w:val="24"/>
        </w:rPr>
        <w:t xml:space="preserve"> for Pacific Power</w:t>
      </w:r>
      <w:r w:rsidRPr="00384017">
        <w:rPr>
          <w:b/>
          <w:szCs w:val="24"/>
        </w:rPr>
        <w:t>?</w:t>
      </w:r>
    </w:p>
    <w:p w:rsidR="00EB35AC" w:rsidRPr="00384017" w:rsidRDefault="007F5EDF"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t xml:space="preserve">As shown in Exhibit </w:t>
      </w:r>
      <w:r w:rsidR="0095708E">
        <w:rPr>
          <w:szCs w:val="24"/>
        </w:rPr>
        <w:t xml:space="preserve">No. </w:t>
      </w:r>
      <w:r w:rsidR="0006618F" w:rsidRPr="00384017">
        <w:rPr>
          <w:szCs w:val="24"/>
        </w:rPr>
        <w:t>KGS-</w:t>
      </w:r>
      <w:r w:rsidR="0021192E">
        <w:rPr>
          <w:szCs w:val="24"/>
        </w:rPr>
        <w:t>18</w:t>
      </w:r>
      <w:r w:rsidRPr="00384017">
        <w:rPr>
          <w:szCs w:val="24"/>
        </w:rPr>
        <w:t xml:space="preserve">, </w:t>
      </w:r>
      <w:r w:rsidR="009F62B6">
        <w:rPr>
          <w:szCs w:val="24"/>
        </w:rPr>
        <w:t xml:space="preserve">based on my updated analysis, I </w:t>
      </w:r>
      <w:r w:rsidR="003D7990">
        <w:rPr>
          <w:szCs w:val="24"/>
        </w:rPr>
        <w:t xml:space="preserve">continue to </w:t>
      </w:r>
      <w:r w:rsidR="009F62B6">
        <w:rPr>
          <w:szCs w:val="24"/>
        </w:rPr>
        <w:t>recommend a</w:t>
      </w:r>
      <w:r w:rsidRPr="00384017">
        <w:rPr>
          <w:szCs w:val="24"/>
        </w:rPr>
        <w:t xml:space="preserve"> </w:t>
      </w:r>
      <w:r w:rsidR="00C62BF2">
        <w:rPr>
          <w:szCs w:val="24"/>
        </w:rPr>
        <w:t>ROE</w:t>
      </w:r>
      <w:r w:rsidRPr="00384017">
        <w:rPr>
          <w:szCs w:val="24"/>
        </w:rPr>
        <w:t xml:space="preserve"> of </w:t>
      </w:r>
      <w:r w:rsidR="0006618F" w:rsidRPr="00384017">
        <w:rPr>
          <w:szCs w:val="24"/>
        </w:rPr>
        <w:t>10.0</w:t>
      </w:r>
      <w:r w:rsidR="00482134">
        <w:rPr>
          <w:szCs w:val="24"/>
        </w:rPr>
        <w:t xml:space="preserve"> </w:t>
      </w:r>
      <w:r w:rsidRPr="00384017">
        <w:rPr>
          <w:szCs w:val="24"/>
        </w:rPr>
        <w:t xml:space="preserve">percent for the Company.  </w:t>
      </w:r>
      <w:r w:rsidR="00A4341A">
        <w:rPr>
          <w:szCs w:val="24"/>
        </w:rPr>
        <w:t xml:space="preserve">The capital markets data I have reviewed and analyzed indicates that this return will allow the Company to preserve its financial integrity and attract capital on terms that are fair and reasonable to customers.  Additionally, this return corresponds to the average return granted to other utilities so far this year and is therefore reasonably grounded in industry practice.  </w:t>
      </w:r>
    </w:p>
    <w:p w:rsidR="00A4341A" w:rsidRPr="00384017" w:rsidRDefault="00A4341A" w:rsidP="00A4341A">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Pr>
          <w:b/>
          <w:szCs w:val="24"/>
        </w:rPr>
        <w:t xml:space="preserve">Does this recommended return correspond to a specific equity ratio?  </w:t>
      </w:r>
    </w:p>
    <w:p w:rsidR="00A4341A" w:rsidRPr="00384017" w:rsidRDefault="00A4341A" w:rsidP="00A4341A">
      <w:pPr>
        <w:pStyle w:val="QAQuestion"/>
        <w:tabs>
          <w:tab w:val="num" w:pos="720"/>
        </w:tabs>
        <w:spacing w:after="0" w:line="480" w:lineRule="auto"/>
        <w:ind w:left="720" w:hanging="720"/>
        <w:jc w:val="left"/>
        <w:rPr>
          <w:szCs w:val="24"/>
        </w:rPr>
      </w:pPr>
      <w:r w:rsidRPr="00384017">
        <w:rPr>
          <w:szCs w:val="24"/>
        </w:rPr>
        <w:t>A.</w:t>
      </w:r>
      <w:r w:rsidRPr="00384017">
        <w:rPr>
          <w:szCs w:val="24"/>
        </w:rPr>
        <w:tab/>
      </w:r>
      <w:r>
        <w:rPr>
          <w:szCs w:val="24"/>
        </w:rPr>
        <w:t xml:space="preserve">Yes, it corresponds to the Company’s actual </w:t>
      </w:r>
      <w:r w:rsidR="00763326">
        <w:rPr>
          <w:szCs w:val="24"/>
        </w:rPr>
        <w:t>common</w:t>
      </w:r>
      <w:r>
        <w:rPr>
          <w:szCs w:val="24"/>
        </w:rPr>
        <w:t xml:space="preserve"> equity ratio</w:t>
      </w:r>
      <w:r w:rsidR="009D02AE">
        <w:rPr>
          <w:szCs w:val="24"/>
        </w:rPr>
        <w:t xml:space="preserve"> of 51.73 percent</w:t>
      </w:r>
      <w:r w:rsidRPr="00384017">
        <w:rPr>
          <w:szCs w:val="24"/>
        </w:rPr>
        <w:t xml:space="preserve">.  </w:t>
      </w:r>
      <w:r>
        <w:rPr>
          <w:szCs w:val="24"/>
        </w:rPr>
        <w:t xml:space="preserve">Should the Commission elect to employ a hypothetical capital structure </w:t>
      </w:r>
      <w:r w:rsidR="009D02AE">
        <w:rPr>
          <w:szCs w:val="24"/>
        </w:rPr>
        <w:t>of</w:t>
      </w:r>
      <w:r>
        <w:rPr>
          <w:szCs w:val="24"/>
        </w:rPr>
        <w:t xml:space="preserve"> </w:t>
      </w:r>
      <w:r w:rsidR="00C62BF2">
        <w:rPr>
          <w:szCs w:val="24"/>
        </w:rPr>
        <w:t xml:space="preserve">            </w:t>
      </w:r>
      <w:r w:rsidR="00075809">
        <w:rPr>
          <w:szCs w:val="24"/>
        </w:rPr>
        <w:t>49.1 percent</w:t>
      </w:r>
      <w:r>
        <w:rPr>
          <w:szCs w:val="24"/>
        </w:rPr>
        <w:t xml:space="preserve"> equity ratio, as </w:t>
      </w:r>
      <w:r w:rsidR="00E773B3">
        <w:rPr>
          <w:szCs w:val="24"/>
        </w:rPr>
        <w:t xml:space="preserve">proposed by Staff and intervenor witnesses, I recommend an </w:t>
      </w:r>
      <w:r w:rsidR="000C0068">
        <w:rPr>
          <w:szCs w:val="24"/>
        </w:rPr>
        <w:t xml:space="preserve">upward </w:t>
      </w:r>
      <w:r w:rsidR="00E773B3">
        <w:rPr>
          <w:szCs w:val="24"/>
        </w:rPr>
        <w:t>adjustment of 28 basis points to reflect the increased risk to the Company’s equity owners of the more highly-levered capital structure</w:t>
      </w:r>
      <w:r w:rsidR="00763326">
        <w:rPr>
          <w:szCs w:val="24"/>
        </w:rPr>
        <w:t>, as explained in my direct testimony</w:t>
      </w:r>
      <w:r w:rsidR="00E773B3">
        <w:rPr>
          <w:szCs w:val="24"/>
        </w:rPr>
        <w:t xml:space="preserve">. </w:t>
      </w:r>
      <w:r w:rsidR="007B721B">
        <w:rPr>
          <w:szCs w:val="24"/>
        </w:rPr>
        <w:t xml:space="preserve"> My rebuttal work papers contain an update to this analysis, showing the continue</w:t>
      </w:r>
      <w:r w:rsidR="00C62BF2">
        <w:rPr>
          <w:szCs w:val="24"/>
        </w:rPr>
        <w:t>d applicability of the 28-basis-</w:t>
      </w:r>
      <w:r w:rsidR="007B721B">
        <w:rPr>
          <w:szCs w:val="24"/>
        </w:rPr>
        <w:t>point adjustment.</w:t>
      </w:r>
    </w:p>
    <w:p w:rsidR="009F62B6" w:rsidRDefault="009F62B6" w:rsidP="00B4478A">
      <w:pPr>
        <w:pStyle w:val="QAQuestion"/>
        <w:tabs>
          <w:tab w:val="num" w:pos="720"/>
        </w:tabs>
        <w:spacing w:after="0" w:line="480" w:lineRule="auto"/>
        <w:ind w:left="720" w:hanging="720"/>
        <w:jc w:val="left"/>
        <w:rPr>
          <w:b/>
          <w:szCs w:val="24"/>
        </w:rPr>
      </w:pPr>
      <w:r>
        <w:rPr>
          <w:b/>
          <w:szCs w:val="24"/>
        </w:rPr>
        <w:t xml:space="preserve">Q. </w:t>
      </w:r>
      <w:r>
        <w:rPr>
          <w:b/>
          <w:szCs w:val="24"/>
        </w:rPr>
        <w:tab/>
        <w:t>H</w:t>
      </w:r>
      <w:r w:rsidR="00B4478A">
        <w:rPr>
          <w:b/>
          <w:szCs w:val="24"/>
        </w:rPr>
        <w:t>ow</w:t>
      </w:r>
      <w:r>
        <w:rPr>
          <w:b/>
          <w:szCs w:val="24"/>
        </w:rPr>
        <w:t xml:space="preserve"> </w:t>
      </w:r>
      <w:r w:rsidR="00B4478A">
        <w:rPr>
          <w:b/>
          <w:szCs w:val="24"/>
        </w:rPr>
        <w:t xml:space="preserve">is the rest of your rebuttal testimony organized? </w:t>
      </w:r>
    </w:p>
    <w:p w:rsidR="009F62B6" w:rsidRDefault="009F62B6" w:rsidP="0095708E">
      <w:pPr>
        <w:pStyle w:val="QAQuestion"/>
        <w:tabs>
          <w:tab w:val="num" w:pos="720"/>
        </w:tabs>
        <w:spacing w:after="0" w:line="480" w:lineRule="auto"/>
        <w:ind w:left="720" w:hanging="720"/>
        <w:jc w:val="left"/>
        <w:rPr>
          <w:szCs w:val="24"/>
        </w:rPr>
      </w:pPr>
      <w:r>
        <w:rPr>
          <w:szCs w:val="24"/>
        </w:rPr>
        <w:t xml:space="preserve">A. </w:t>
      </w:r>
      <w:r>
        <w:rPr>
          <w:szCs w:val="24"/>
        </w:rPr>
        <w:tab/>
      </w:r>
      <w:r w:rsidRPr="00A7314B">
        <w:rPr>
          <w:szCs w:val="24"/>
        </w:rPr>
        <w:t xml:space="preserve">In Section II, I clarify the record with respect to the trends in allowed returns.  In Section III, </w:t>
      </w:r>
      <w:r w:rsidR="008C5A8B">
        <w:rPr>
          <w:szCs w:val="24"/>
        </w:rPr>
        <w:t xml:space="preserve">I address the characterization of capital market conditions presented by Messrs. Parcell, Hill and Gorman. </w:t>
      </w:r>
      <w:r w:rsidR="008C5A8B" w:rsidRPr="00A7314B">
        <w:rPr>
          <w:szCs w:val="24"/>
        </w:rPr>
        <w:t xml:space="preserve"> </w:t>
      </w:r>
      <w:r>
        <w:rPr>
          <w:szCs w:val="24"/>
        </w:rPr>
        <w:t xml:space="preserve">In Section IV, </w:t>
      </w:r>
      <w:r w:rsidR="008C5A8B" w:rsidRPr="00A7314B">
        <w:rPr>
          <w:szCs w:val="24"/>
        </w:rPr>
        <w:t xml:space="preserve">I </w:t>
      </w:r>
      <w:r w:rsidR="008C5A8B">
        <w:rPr>
          <w:szCs w:val="24"/>
        </w:rPr>
        <w:t>evaluate the claims of Messrs</w:t>
      </w:r>
      <w:r w:rsidR="00763326">
        <w:rPr>
          <w:szCs w:val="24"/>
        </w:rPr>
        <w:t>.</w:t>
      </w:r>
      <w:r w:rsidR="008C5A8B">
        <w:rPr>
          <w:szCs w:val="24"/>
        </w:rPr>
        <w:t xml:space="preserve"> Parcell, Hill and Gorman as they pertain to an appropriate capital structure for ratemaking purposes and the effects of capital structure on credit ratings and the cost of equity.  </w:t>
      </w:r>
      <w:r>
        <w:rPr>
          <w:szCs w:val="24"/>
        </w:rPr>
        <w:t xml:space="preserve">In Section V, </w:t>
      </w:r>
      <w:r w:rsidR="008C5A8B">
        <w:rPr>
          <w:szCs w:val="24"/>
        </w:rPr>
        <w:t xml:space="preserve">I address the choice of models to be used in establishing a fair rate of return and respond to these witnesses’ claims about the choice of models.  In </w:t>
      </w:r>
      <w:r w:rsidRPr="00A7314B">
        <w:rPr>
          <w:szCs w:val="24"/>
        </w:rPr>
        <w:t>Section V</w:t>
      </w:r>
      <w:r>
        <w:rPr>
          <w:szCs w:val="24"/>
        </w:rPr>
        <w:t>I</w:t>
      </w:r>
      <w:r w:rsidR="008C5A8B">
        <w:rPr>
          <w:szCs w:val="24"/>
        </w:rPr>
        <w:t>,</w:t>
      </w:r>
      <w:r>
        <w:rPr>
          <w:szCs w:val="24"/>
        </w:rPr>
        <w:t xml:space="preserve"> I address the </w:t>
      </w:r>
      <w:r w:rsidR="008C5A8B">
        <w:rPr>
          <w:szCs w:val="24"/>
        </w:rPr>
        <w:t xml:space="preserve">appropriate inputs to the rate of return models.  </w:t>
      </w:r>
      <w:r>
        <w:rPr>
          <w:szCs w:val="24"/>
        </w:rPr>
        <w:t>Section VII</w:t>
      </w:r>
      <w:r w:rsidR="00763326">
        <w:rPr>
          <w:szCs w:val="24"/>
        </w:rPr>
        <w:t xml:space="preserve"> covers purported corroboration</w:t>
      </w:r>
      <w:r>
        <w:rPr>
          <w:szCs w:val="24"/>
        </w:rPr>
        <w:t xml:space="preserve"> </w:t>
      </w:r>
      <w:r w:rsidR="00763326">
        <w:rPr>
          <w:szCs w:val="24"/>
        </w:rPr>
        <w:t>of the rate of return estimates made by Staff and intervenor witnesses, while</w:t>
      </w:r>
      <w:r>
        <w:rPr>
          <w:szCs w:val="24"/>
        </w:rPr>
        <w:t xml:space="preserve"> Section VIII</w:t>
      </w:r>
      <w:r w:rsidR="00763326">
        <w:rPr>
          <w:szCs w:val="24"/>
        </w:rPr>
        <w:t xml:space="preserve"> </w:t>
      </w:r>
      <w:r>
        <w:rPr>
          <w:szCs w:val="24"/>
        </w:rPr>
        <w:t>address</w:t>
      </w:r>
      <w:r w:rsidR="00763326">
        <w:rPr>
          <w:szCs w:val="24"/>
        </w:rPr>
        <w:t>es</w:t>
      </w:r>
      <w:r>
        <w:rPr>
          <w:szCs w:val="24"/>
        </w:rPr>
        <w:t xml:space="preserve"> the </w:t>
      </w:r>
      <w:r w:rsidR="00763326">
        <w:rPr>
          <w:szCs w:val="24"/>
        </w:rPr>
        <w:t>business and financial risks of the Company’s regulated Washington operations relative to the proxy group utilities and the industry more broadly</w:t>
      </w:r>
      <w:r>
        <w:rPr>
          <w:szCs w:val="24"/>
        </w:rPr>
        <w:t xml:space="preserve">. </w:t>
      </w:r>
      <w:r w:rsidR="00705E72">
        <w:rPr>
          <w:szCs w:val="24"/>
        </w:rPr>
        <w:t xml:space="preserve"> </w:t>
      </w:r>
      <w:r w:rsidR="00F56CEA">
        <w:rPr>
          <w:szCs w:val="24"/>
        </w:rPr>
        <w:t>I</w:t>
      </w:r>
      <w:r>
        <w:rPr>
          <w:szCs w:val="24"/>
        </w:rPr>
        <w:t>n Section IX,</w:t>
      </w:r>
      <w:r w:rsidRPr="00A1468E">
        <w:rPr>
          <w:szCs w:val="24"/>
        </w:rPr>
        <w:t xml:space="preserve"> </w:t>
      </w:r>
      <w:r>
        <w:rPr>
          <w:szCs w:val="24"/>
        </w:rPr>
        <w:t xml:space="preserve">I examine Pacific Power’s financial integrity under the ROEs proposed by Staff and </w:t>
      </w:r>
      <w:r w:rsidR="00E94C29">
        <w:rPr>
          <w:szCs w:val="24"/>
        </w:rPr>
        <w:t>i</w:t>
      </w:r>
      <w:r>
        <w:rPr>
          <w:szCs w:val="24"/>
        </w:rPr>
        <w:t>ntervenor witnesses.</w:t>
      </w:r>
      <w:r w:rsidR="00F56CEA">
        <w:rPr>
          <w:szCs w:val="24"/>
        </w:rPr>
        <w:t xml:space="preserve">  Section X presents my updated analysis of the cost of equity capital.</w:t>
      </w:r>
    </w:p>
    <w:p w:rsidR="001D3BAA" w:rsidRPr="00576AE6" w:rsidRDefault="00C62BF2" w:rsidP="00B63E63">
      <w:pPr>
        <w:pStyle w:val="Heading1"/>
        <w:spacing w:after="0" w:line="480" w:lineRule="auto"/>
        <w:ind w:left="0"/>
      </w:pPr>
      <w:bookmarkStart w:id="7" w:name="_Toc403726941"/>
      <w:r>
        <w:t xml:space="preserve">II. </w:t>
      </w:r>
      <w:r w:rsidR="000A74D5">
        <w:t xml:space="preserve">  </w:t>
      </w:r>
      <w:r w:rsidR="001D3BAA">
        <w:t xml:space="preserve">Corrected </w:t>
      </w:r>
      <w:r w:rsidR="001D3BAA" w:rsidRPr="00576AE6">
        <w:t xml:space="preserve">Analysis </w:t>
      </w:r>
      <w:r w:rsidR="001D3BAA">
        <w:t xml:space="preserve">of </w:t>
      </w:r>
      <w:r w:rsidR="001D3BAA" w:rsidRPr="00576AE6">
        <w:t>Allowed Returns</w:t>
      </w:r>
      <w:bookmarkEnd w:id="7"/>
    </w:p>
    <w:p w:rsidR="001D3BAA" w:rsidRDefault="001D3BAA" w:rsidP="0095708E">
      <w:pPr>
        <w:pStyle w:val="QAQuestion"/>
        <w:tabs>
          <w:tab w:val="num" w:pos="720"/>
        </w:tabs>
        <w:spacing w:after="0" w:line="480" w:lineRule="auto"/>
        <w:ind w:left="720" w:hanging="720"/>
        <w:jc w:val="left"/>
        <w:rPr>
          <w:b/>
          <w:szCs w:val="24"/>
        </w:rPr>
      </w:pPr>
      <w:r>
        <w:rPr>
          <w:b/>
          <w:szCs w:val="24"/>
        </w:rPr>
        <w:t xml:space="preserve">Q. </w:t>
      </w:r>
      <w:r>
        <w:rPr>
          <w:b/>
          <w:szCs w:val="24"/>
        </w:rPr>
        <w:tab/>
        <w:t>W</w:t>
      </w:r>
      <w:r w:rsidR="003D7990">
        <w:rPr>
          <w:b/>
          <w:szCs w:val="24"/>
        </w:rPr>
        <w:t>hat is the purpose of this section of your testimony</w:t>
      </w:r>
      <w:r>
        <w:rPr>
          <w:b/>
          <w:szCs w:val="24"/>
        </w:rPr>
        <w:t>?</w:t>
      </w:r>
    </w:p>
    <w:p w:rsidR="001D3BAA" w:rsidRDefault="001D3BAA" w:rsidP="00B4478A">
      <w:pPr>
        <w:pStyle w:val="QAAnswer"/>
        <w:tabs>
          <w:tab w:val="num" w:pos="720"/>
        </w:tabs>
        <w:spacing w:after="0" w:line="480" w:lineRule="auto"/>
        <w:ind w:left="720" w:hanging="720"/>
        <w:jc w:val="left"/>
        <w:rPr>
          <w:szCs w:val="24"/>
        </w:rPr>
      </w:pPr>
      <w:r>
        <w:rPr>
          <w:szCs w:val="24"/>
        </w:rPr>
        <w:t xml:space="preserve">A. </w:t>
      </w:r>
      <w:r>
        <w:rPr>
          <w:szCs w:val="24"/>
        </w:rPr>
        <w:tab/>
      </w:r>
      <w:r w:rsidR="003D7990">
        <w:rPr>
          <w:szCs w:val="24"/>
        </w:rPr>
        <w:t xml:space="preserve">Its purpose is to </w:t>
      </w:r>
      <w:r>
        <w:rPr>
          <w:szCs w:val="24"/>
        </w:rPr>
        <w:t xml:space="preserve">correct the record with regard to recent experience of </w:t>
      </w:r>
      <w:r w:rsidR="003D7990">
        <w:rPr>
          <w:szCs w:val="24"/>
        </w:rPr>
        <w:t xml:space="preserve">the equity returns </w:t>
      </w:r>
      <w:r>
        <w:rPr>
          <w:szCs w:val="24"/>
        </w:rPr>
        <w:t>allowed</w:t>
      </w:r>
      <w:r w:rsidR="003D7990">
        <w:rPr>
          <w:szCs w:val="24"/>
        </w:rPr>
        <w:t xml:space="preserve"> by state regulatory authorities in the United States</w:t>
      </w:r>
      <w:r>
        <w:rPr>
          <w:szCs w:val="24"/>
        </w:rPr>
        <w:t xml:space="preserve">.  The Staff and </w:t>
      </w:r>
      <w:r w:rsidR="00705E72">
        <w:rPr>
          <w:szCs w:val="24"/>
        </w:rPr>
        <w:t>i</w:t>
      </w:r>
      <w:r>
        <w:rPr>
          <w:szCs w:val="24"/>
        </w:rPr>
        <w:t>ntervenor testimony characterize</w:t>
      </w:r>
      <w:r w:rsidR="00302D8D">
        <w:rPr>
          <w:szCs w:val="24"/>
        </w:rPr>
        <w:t>s</w:t>
      </w:r>
      <w:r>
        <w:rPr>
          <w:szCs w:val="24"/>
        </w:rPr>
        <w:t xml:space="preserve"> the allowed returns as declining in 2014.  However, a careful analysis of the 2014 allowed returns proves them to be stable</w:t>
      </w:r>
      <w:r w:rsidR="00302D8D">
        <w:rPr>
          <w:szCs w:val="24"/>
        </w:rPr>
        <w:t>,</w:t>
      </w:r>
      <w:r>
        <w:rPr>
          <w:szCs w:val="24"/>
        </w:rPr>
        <w:t xml:space="preserve"> not declining. </w:t>
      </w:r>
    </w:p>
    <w:p w:rsidR="001D3BAA" w:rsidRDefault="001D3BAA" w:rsidP="003D7990">
      <w:pPr>
        <w:pStyle w:val="QAQuestion"/>
        <w:tabs>
          <w:tab w:val="num" w:pos="720"/>
        </w:tabs>
        <w:spacing w:after="0" w:line="480" w:lineRule="auto"/>
        <w:ind w:left="720" w:hanging="720"/>
        <w:jc w:val="left"/>
        <w:rPr>
          <w:b/>
          <w:szCs w:val="24"/>
        </w:rPr>
      </w:pPr>
      <w:r>
        <w:rPr>
          <w:b/>
          <w:szCs w:val="24"/>
        </w:rPr>
        <w:t xml:space="preserve">Q. </w:t>
      </w:r>
      <w:r>
        <w:rPr>
          <w:b/>
          <w:szCs w:val="24"/>
        </w:rPr>
        <w:tab/>
        <w:t>P</w:t>
      </w:r>
      <w:r w:rsidR="003D7990">
        <w:rPr>
          <w:b/>
          <w:szCs w:val="24"/>
        </w:rPr>
        <w:t xml:space="preserve">lease summarize the Staff and intervenor testimony as it pertains to allowed returns in other jurisdictions. </w:t>
      </w:r>
    </w:p>
    <w:p w:rsidR="001D3BAA" w:rsidRDefault="001D3BAA" w:rsidP="0095708E">
      <w:pPr>
        <w:pStyle w:val="QAAnswer"/>
        <w:tabs>
          <w:tab w:val="num" w:pos="720"/>
        </w:tabs>
        <w:spacing w:after="0" w:line="480" w:lineRule="auto"/>
        <w:ind w:left="720" w:hanging="720"/>
        <w:jc w:val="left"/>
        <w:rPr>
          <w:szCs w:val="24"/>
        </w:rPr>
      </w:pPr>
      <w:r>
        <w:rPr>
          <w:szCs w:val="24"/>
        </w:rPr>
        <w:t xml:space="preserve">A. </w:t>
      </w:r>
      <w:r>
        <w:rPr>
          <w:szCs w:val="24"/>
        </w:rPr>
        <w:tab/>
      </w:r>
      <w:r w:rsidR="00302D8D">
        <w:rPr>
          <w:szCs w:val="24"/>
        </w:rPr>
        <w:t>Messrs</w:t>
      </w:r>
      <w:r>
        <w:rPr>
          <w:szCs w:val="24"/>
        </w:rPr>
        <w:t xml:space="preserve">. </w:t>
      </w:r>
      <w:r w:rsidR="00302D8D">
        <w:rPr>
          <w:szCs w:val="24"/>
        </w:rPr>
        <w:t>Parcell, Hill</w:t>
      </w:r>
      <w:r>
        <w:rPr>
          <w:szCs w:val="24"/>
        </w:rPr>
        <w:t xml:space="preserve"> and Gorman characterize recent experience of allowed/authorized returns as follows: </w:t>
      </w:r>
    </w:p>
    <w:p w:rsidR="001D3BAA" w:rsidRPr="00543275" w:rsidRDefault="0088626D" w:rsidP="00F06E3E">
      <w:pPr>
        <w:pStyle w:val="ListParagraph"/>
        <w:numPr>
          <w:ilvl w:val="0"/>
          <w:numId w:val="11"/>
        </w:numPr>
        <w:tabs>
          <w:tab w:val="left" w:pos="720"/>
          <w:tab w:val="left" w:pos="1440"/>
        </w:tabs>
        <w:spacing w:after="0" w:line="480" w:lineRule="auto"/>
        <w:ind w:right="288"/>
        <w:jc w:val="left"/>
        <w:rPr>
          <w:sz w:val="24"/>
          <w:szCs w:val="24"/>
        </w:rPr>
      </w:pPr>
      <w:r w:rsidRPr="00543275">
        <w:rPr>
          <w:sz w:val="24"/>
          <w:szCs w:val="24"/>
        </w:rPr>
        <w:t xml:space="preserve">Mr. Gorman contends that the correct average authorized return for </w:t>
      </w:r>
      <w:r>
        <w:rPr>
          <w:sz w:val="24"/>
          <w:szCs w:val="24"/>
        </w:rPr>
        <w:t xml:space="preserve">2013 is </w:t>
      </w:r>
      <w:r w:rsidR="00C62BF2">
        <w:rPr>
          <w:sz w:val="24"/>
          <w:szCs w:val="24"/>
        </w:rPr>
        <w:t xml:space="preserve">  </w:t>
      </w:r>
      <w:r>
        <w:rPr>
          <w:sz w:val="24"/>
          <w:szCs w:val="24"/>
        </w:rPr>
        <w:t xml:space="preserve">9.8 percent.  </w:t>
      </w:r>
      <w:r w:rsidRPr="00543275">
        <w:rPr>
          <w:sz w:val="24"/>
          <w:szCs w:val="24"/>
        </w:rPr>
        <w:t>Mr. Gorman further argues that “authorized returns on equity are decreasing</w:t>
      </w:r>
      <w:r w:rsidR="00705E72">
        <w:rPr>
          <w:sz w:val="24"/>
          <w:szCs w:val="24"/>
        </w:rPr>
        <w:t>,</w:t>
      </w:r>
      <w:r w:rsidRPr="00543275">
        <w:rPr>
          <w:sz w:val="24"/>
          <w:szCs w:val="24"/>
        </w:rPr>
        <w:t>” and that the average authorized return for the first six months of 2014 is 9.72 percent</w:t>
      </w:r>
      <w:r w:rsidR="00705E72">
        <w:rPr>
          <w:sz w:val="24"/>
          <w:szCs w:val="24"/>
        </w:rPr>
        <w:t>.</w:t>
      </w:r>
      <w:r w:rsidR="00705E72">
        <w:rPr>
          <w:rStyle w:val="FootnoteReference"/>
          <w:sz w:val="24"/>
          <w:szCs w:val="24"/>
        </w:rPr>
        <w:footnoteReference w:id="2"/>
      </w:r>
    </w:p>
    <w:p w:rsidR="001D3BAA" w:rsidRDefault="001D3BAA" w:rsidP="00F06E3E">
      <w:pPr>
        <w:pStyle w:val="ListParagraph"/>
        <w:numPr>
          <w:ilvl w:val="0"/>
          <w:numId w:val="11"/>
        </w:numPr>
        <w:tabs>
          <w:tab w:val="left" w:pos="720"/>
          <w:tab w:val="left" w:pos="1440"/>
        </w:tabs>
        <w:spacing w:after="0" w:line="480" w:lineRule="auto"/>
        <w:ind w:right="288"/>
        <w:jc w:val="left"/>
        <w:rPr>
          <w:sz w:val="24"/>
          <w:szCs w:val="24"/>
        </w:rPr>
      </w:pPr>
      <w:r w:rsidRPr="00543275">
        <w:rPr>
          <w:sz w:val="24"/>
          <w:szCs w:val="24"/>
        </w:rPr>
        <w:t>Mr. Parcell also a</w:t>
      </w:r>
      <w:r w:rsidR="002F539B">
        <w:rPr>
          <w:sz w:val="24"/>
          <w:szCs w:val="24"/>
        </w:rPr>
        <w:t>lleges</w:t>
      </w:r>
      <w:r w:rsidRPr="00543275">
        <w:rPr>
          <w:sz w:val="24"/>
          <w:szCs w:val="24"/>
        </w:rPr>
        <w:t xml:space="preserve"> that </w:t>
      </w:r>
      <w:r w:rsidR="002F539B">
        <w:rPr>
          <w:sz w:val="24"/>
          <w:szCs w:val="24"/>
        </w:rPr>
        <w:t xml:space="preserve">“commission-authorized returns </w:t>
      </w:r>
      <w:r w:rsidR="00114901">
        <w:rPr>
          <w:sz w:val="24"/>
          <w:szCs w:val="24"/>
        </w:rPr>
        <w:t xml:space="preserve">on equity </w:t>
      </w:r>
      <w:r w:rsidR="002F539B">
        <w:rPr>
          <w:sz w:val="24"/>
          <w:szCs w:val="24"/>
        </w:rPr>
        <w:t>have declined over recent years</w:t>
      </w:r>
      <w:r w:rsidR="00705E72">
        <w:rPr>
          <w:sz w:val="24"/>
          <w:szCs w:val="24"/>
        </w:rPr>
        <w:t>.</w:t>
      </w:r>
      <w:r w:rsidR="00114901">
        <w:rPr>
          <w:sz w:val="24"/>
          <w:szCs w:val="24"/>
        </w:rPr>
        <w:t>”</w:t>
      </w:r>
      <w:r w:rsidR="00705E72">
        <w:rPr>
          <w:rStyle w:val="FootnoteReference"/>
          <w:sz w:val="24"/>
          <w:szCs w:val="24"/>
        </w:rPr>
        <w:footnoteReference w:id="3"/>
      </w:r>
      <w:r w:rsidR="002F539B">
        <w:rPr>
          <w:sz w:val="24"/>
          <w:szCs w:val="24"/>
        </w:rPr>
        <w:t xml:space="preserve">  He claims that</w:t>
      </w:r>
      <w:r w:rsidRPr="00543275">
        <w:rPr>
          <w:sz w:val="24"/>
          <w:szCs w:val="24"/>
        </w:rPr>
        <w:t xml:space="preserve"> </w:t>
      </w:r>
      <w:r w:rsidR="002F539B">
        <w:rPr>
          <w:sz w:val="24"/>
          <w:szCs w:val="24"/>
        </w:rPr>
        <w:t>the</w:t>
      </w:r>
      <w:r w:rsidRPr="00543275">
        <w:rPr>
          <w:sz w:val="24"/>
          <w:szCs w:val="24"/>
        </w:rPr>
        <w:t xml:space="preserve"> average allowed return for 2013 should be 9.8 percent and that the first quarter 2014 average sh</w:t>
      </w:r>
      <w:r w:rsidR="00666356">
        <w:rPr>
          <w:sz w:val="24"/>
          <w:szCs w:val="24"/>
        </w:rPr>
        <w:t>ould be 9.57 percent.</w:t>
      </w:r>
      <w:r w:rsidR="00705E72">
        <w:rPr>
          <w:rStyle w:val="FootnoteReference"/>
          <w:sz w:val="24"/>
          <w:szCs w:val="24"/>
        </w:rPr>
        <w:footnoteReference w:id="4"/>
      </w:r>
      <w:r w:rsidR="00666356">
        <w:rPr>
          <w:sz w:val="24"/>
          <w:szCs w:val="24"/>
        </w:rPr>
        <w:t xml:space="preserve">  </w:t>
      </w:r>
    </w:p>
    <w:p w:rsidR="001D3BAA" w:rsidRPr="0095708E" w:rsidRDefault="00666356" w:rsidP="00F06E3E">
      <w:pPr>
        <w:pStyle w:val="ListParagraph"/>
        <w:numPr>
          <w:ilvl w:val="0"/>
          <w:numId w:val="11"/>
        </w:numPr>
        <w:tabs>
          <w:tab w:val="left" w:pos="720"/>
          <w:tab w:val="left" w:pos="1440"/>
        </w:tabs>
        <w:spacing w:after="0" w:line="480" w:lineRule="auto"/>
        <w:ind w:right="288"/>
        <w:jc w:val="left"/>
        <w:rPr>
          <w:sz w:val="24"/>
          <w:szCs w:val="24"/>
        </w:rPr>
      </w:pPr>
      <w:r w:rsidRPr="00E94C29">
        <w:rPr>
          <w:sz w:val="24"/>
          <w:szCs w:val="24"/>
        </w:rPr>
        <w:t xml:space="preserve">Mr. Hill contends that </w:t>
      </w:r>
      <w:r w:rsidR="00CE084C" w:rsidRPr="00E94C29">
        <w:rPr>
          <w:sz w:val="24"/>
          <w:szCs w:val="24"/>
        </w:rPr>
        <w:t xml:space="preserve">“the average allowed return for electric utilities in 2013 was 9.8%” and that </w:t>
      </w:r>
      <w:r w:rsidRPr="00E94C29">
        <w:rPr>
          <w:sz w:val="24"/>
          <w:szCs w:val="24"/>
        </w:rPr>
        <w:t xml:space="preserve">the published </w:t>
      </w:r>
      <w:r w:rsidRPr="00705E72">
        <w:rPr>
          <w:sz w:val="24"/>
          <w:szCs w:val="24"/>
        </w:rPr>
        <w:t>R</w:t>
      </w:r>
      <w:r w:rsidR="000C0068">
        <w:rPr>
          <w:sz w:val="24"/>
          <w:szCs w:val="24"/>
        </w:rPr>
        <w:t xml:space="preserve">egulatory </w:t>
      </w:r>
      <w:r w:rsidR="004E4D64">
        <w:rPr>
          <w:sz w:val="24"/>
          <w:szCs w:val="24"/>
        </w:rPr>
        <w:t>R</w:t>
      </w:r>
      <w:r w:rsidR="000C0068">
        <w:rPr>
          <w:sz w:val="24"/>
          <w:szCs w:val="24"/>
        </w:rPr>
        <w:t xml:space="preserve">esearch </w:t>
      </w:r>
      <w:r w:rsidRPr="00705E72">
        <w:rPr>
          <w:sz w:val="24"/>
          <w:szCs w:val="24"/>
        </w:rPr>
        <w:t>A</w:t>
      </w:r>
      <w:r w:rsidR="000C0068">
        <w:rPr>
          <w:sz w:val="24"/>
          <w:szCs w:val="24"/>
        </w:rPr>
        <w:t>ssociates (RRA)</w:t>
      </w:r>
      <w:r w:rsidRPr="00705E72">
        <w:rPr>
          <w:sz w:val="24"/>
          <w:szCs w:val="24"/>
        </w:rPr>
        <w:t xml:space="preserve"> allowed return averages include cases that “were not based solely on the cost of capital.”</w:t>
      </w:r>
      <w:r w:rsidR="00705E72">
        <w:rPr>
          <w:rStyle w:val="FootnoteReference"/>
          <w:sz w:val="24"/>
          <w:szCs w:val="24"/>
        </w:rPr>
        <w:footnoteReference w:id="5"/>
      </w:r>
      <w:r w:rsidRPr="00705E72">
        <w:rPr>
          <w:sz w:val="24"/>
          <w:szCs w:val="24"/>
        </w:rPr>
        <w:t xml:space="preserve"> </w:t>
      </w:r>
      <w:r w:rsidR="00CE084C" w:rsidRPr="00705E72">
        <w:rPr>
          <w:sz w:val="24"/>
          <w:szCs w:val="24"/>
        </w:rPr>
        <w:t xml:space="preserve"> </w:t>
      </w:r>
      <w:r w:rsidRPr="00705E72">
        <w:rPr>
          <w:sz w:val="24"/>
          <w:szCs w:val="24"/>
        </w:rPr>
        <w:t xml:space="preserve"> </w:t>
      </w:r>
    </w:p>
    <w:p w:rsidR="001D3BAA" w:rsidRDefault="001D3BAA" w:rsidP="0095708E">
      <w:pPr>
        <w:pStyle w:val="QAQuestion"/>
        <w:tabs>
          <w:tab w:val="num" w:pos="720"/>
        </w:tabs>
        <w:spacing w:after="0" w:line="480" w:lineRule="auto"/>
        <w:ind w:left="720" w:hanging="720"/>
        <w:jc w:val="left"/>
        <w:rPr>
          <w:b/>
          <w:szCs w:val="24"/>
        </w:rPr>
      </w:pPr>
      <w:r>
        <w:rPr>
          <w:b/>
          <w:szCs w:val="24"/>
        </w:rPr>
        <w:t xml:space="preserve">Q. </w:t>
      </w:r>
      <w:r>
        <w:rPr>
          <w:b/>
          <w:szCs w:val="24"/>
        </w:rPr>
        <w:tab/>
        <w:t>W</w:t>
      </w:r>
      <w:r w:rsidR="003D7990">
        <w:rPr>
          <w:b/>
          <w:szCs w:val="24"/>
        </w:rPr>
        <w:t>hat is wrong with these characterizations of allowed returns?</w:t>
      </w:r>
    </w:p>
    <w:p w:rsidR="001D3BAA" w:rsidRDefault="001D3BAA" w:rsidP="0095708E">
      <w:pPr>
        <w:pStyle w:val="QAAnswer"/>
        <w:tabs>
          <w:tab w:val="num" w:pos="720"/>
        </w:tabs>
        <w:spacing w:after="0" w:line="480" w:lineRule="auto"/>
        <w:ind w:left="720" w:hanging="720"/>
        <w:jc w:val="left"/>
        <w:rPr>
          <w:szCs w:val="24"/>
        </w:rPr>
      </w:pPr>
      <w:r>
        <w:rPr>
          <w:szCs w:val="24"/>
        </w:rPr>
        <w:t xml:space="preserve">A. </w:t>
      </w:r>
      <w:r>
        <w:rPr>
          <w:szCs w:val="24"/>
        </w:rPr>
        <w:tab/>
      </w:r>
      <w:r w:rsidR="00CE084C">
        <w:rPr>
          <w:szCs w:val="24"/>
        </w:rPr>
        <w:t xml:space="preserve">Messrs. </w:t>
      </w:r>
      <w:r w:rsidR="00302D8D">
        <w:rPr>
          <w:szCs w:val="24"/>
        </w:rPr>
        <w:t>Parcell</w:t>
      </w:r>
      <w:r w:rsidR="000C0068">
        <w:rPr>
          <w:szCs w:val="24"/>
        </w:rPr>
        <w:t>,</w:t>
      </w:r>
      <w:r w:rsidR="00302D8D">
        <w:rPr>
          <w:szCs w:val="24"/>
        </w:rPr>
        <w:t xml:space="preserve"> Hill</w:t>
      </w:r>
      <w:r w:rsidR="00CE084C">
        <w:rPr>
          <w:szCs w:val="24"/>
        </w:rPr>
        <w:t xml:space="preserve">, and </w:t>
      </w:r>
      <w:r w:rsidR="00302D8D">
        <w:rPr>
          <w:szCs w:val="24"/>
        </w:rPr>
        <w:t xml:space="preserve">Gorman </w:t>
      </w:r>
      <w:r>
        <w:rPr>
          <w:szCs w:val="24"/>
        </w:rPr>
        <w:t xml:space="preserve">remove </w:t>
      </w:r>
      <w:r w:rsidR="00CE084C">
        <w:rPr>
          <w:szCs w:val="24"/>
        </w:rPr>
        <w:t xml:space="preserve">the </w:t>
      </w:r>
      <w:r>
        <w:rPr>
          <w:szCs w:val="24"/>
        </w:rPr>
        <w:t xml:space="preserve">allowed returns for Virginia Power’s generation facilities, claiming that they are not comparable, without removing other observations that would logically be excluded if a rigorous comparability screen were applied.  </w:t>
      </w:r>
    </w:p>
    <w:p w:rsidR="001D3BAA" w:rsidRDefault="001D3BAA" w:rsidP="00CC1705">
      <w:pPr>
        <w:pStyle w:val="QAQuestion"/>
        <w:tabs>
          <w:tab w:val="num" w:pos="720"/>
        </w:tabs>
        <w:spacing w:after="0" w:line="480" w:lineRule="auto"/>
        <w:ind w:left="720" w:hanging="720"/>
        <w:jc w:val="left"/>
        <w:rPr>
          <w:b/>
          <w:szCs w:val="24"/>
        </w:rPr>
      </w:pPr>
      <w:r>
        <w:rPr>
          <w:b/>
          <w:szCs w:val="24"/>
        </w:rPr>
        <w:t xml:space="preserve">Q. </w:t>
      </w:r>
      <w:r>
        <w:rPr>
          <w:b/>
          <w:szCs w:val="24"/>
        </w:rPr>
        <w:tab/>
        <w:t>I</w:t>
      </w:r>
      <w:r w:rsidR="00CC1705">
        <w:rPr>
          <w:b/>
          <w:szCs w:val="24"/>
        </w:rPr>
        <w:t xml:space="preserve">s it necessary to apply the screen </w:t>
      </w:r>
      <w:r w:rsidR="000C0068">
        <w:rPr>
          <w:b/>
          <w:szCs w:val="24"/>
        </w:rPr>
        <w:t>proposed</w:t>
      </w:r>
      <w:r w:rsidR="00CC1705">
        <w:rPr>
          <w:b/>
          <w:szCs w:val="24"/>
        </w:rPr>
        <w:t xml:space="preserve"> by these witnesses</w:t>
      </w:r>
      <w:r>
        <w:rPr>
          <w:b/>
          <w:szCs w:val="24"/>
        </w:rPr>
        <w:t>?</w:t>
      </w:r>
    </w:p>
    <w:p w:rsidR="001D3BAA" w:rsidRDefault="001D3BAA" w:rsidP="00CC1705">
      <w:pPr>
        <w:pStyle w:val="QAAnswer"/>
        <w:tabs>
          <w:tab w:val="num" w:pos="720"/>
        </w:tabs>
        <w:spacing w:after="0" w:line="480" w:lineRule="auto"/>
        <w:ind w:left="720" w:hanging="720"/>
        <w:jc w:val="left"/>
        <w:rPr>
          <w:szCs w:val="24"/>
        </w:rPr>
      </w:pPr>
      <w:r w:rsidRPr="00A9093D">
        <w:rPr>
          <w:szCs w:val="24"/>
        </w:rPr>
        <w:t xml:space="preserve">A. </w:t>
      </w:r>
      <w:r w:rsidRPr="00A9093D">
        <w:rPr>
          <w:szCs w:val="24"/>
        </w:rPr>
        <w:tab/>
      </w:r>
      <w:r>
        <w:rPr>
          <w:szCs w:val="24"/>
        </w:rPr>
        <w:t xml:space="preserve">No.  In my experience, investors tend to form expectations based on the published averages.  In the market commentary and securities analysis I typically review in connection with the development of an ROE estimate, I often find reference to the published averages. </w:t>
      </w:r>
      <w:r w:rsidR="00CE084C">
        <w:rPr>
          <w:szCs w:val="24"/>
        </w:rPr>
        <w:t xml:space="preserve"> </w:t>
      </w:r>
      <w:r>
        <w:rPr>
          <w:szCs w:val="24"/>
        </w:rPr>
        <w:t>In light of the weight the published averages are given by investment analysts, it is appropriate to use them as the proper benchmark for industry allowed returns.</w:t>
      </w:r>
    </w:p>
    <w:p w:rsidR="001D3BAA" w:rsidRDefault="001D3BAA" w:rsidP="0095708E">
      <w:pPr>
        <w:pStyle w:val="QAQuestion"/>
        <w:widowControl w:val="0"/>
        <w:tabs>
          <w:tab w:val="num" w:pos="720"/>
        </w:tabs>
        <w:spacing w:after="0" w:line="480" w:lineRule="auto"/>
        <w:ind w:left="720" w:hanging="720"/>
        <w:jc w:val="left"/>
        <w:rPr>
          <w:b/>
          <w:szCs w:val="24"/>
        </w:rPr>
      </w:pPr>
      <w:r>
        <w:rPr>
          <w:b/>
          <w:szCs w:val="24"/>
        </w:rPr>
        <w:t xml:space="preserve">Q. </w:t>
      </w:r>
      <w:r>
        <w:rPr>
          <w:b/>
          <w:szCs w:val="24"/>
        </w:rPr>
        <w:tab/>
      </w:r>
      <w:r w:rsidR="00FC19AB">
        <w:rPr>
          <w:b/>
          <w:szCs w:val="24"/>
        </w:rPr>
        <w:t>C</w:t>
      </w:r>
      <w:r w:rsidR="00CC1705">
        <w:rPr>
          <w:b/>
          <w:szCs w:val="24"/>
        </w:rPr>
        <w:t xml:space="preserve">ould a rigorous screen be structured correctly to yield allowed returns that are directly comparable? </w:t>
      </w:r>
    </w:p>
    <w:p w:rsidR="001D3BAA" w:rsidRPr="00F546BE" w:rsidRDefault="001D3BAA" w:rsidP="0095708E">
      <w:pPr>
        <w:pStyle w:val="QAAnswer"/>
        <w:widowControl w:val="0"/>
        <w:tabs>
          <w:tab w:val="num" w:pos="720"/>
        </w:tabs>
        <w:spacing w:after="0" w:line="480" w:lineRule="auto"/>
        <w:ind w:left="720" w:hanging="720"/>
        <w:jc w:val="left"/>
        <w:rPr>
          <w:szCs w:val="24"/>
        </w:rPr>
      </w:pPr>
      <w:r>
        <w:rPr>
          <w:szCs w:val="24"/>
        </w:rPr>
        <w:t>A.</w:t>
      </w:r>
      <w:r>
        <w:rPr>
          <w:szCs w:val="24"/>
        </w:rPr>
        <w:tab/>
      </w:r>
      <w:r w:rsidR="00FC19AB">
        <w:rPr>
          <w:szCs w:val="24"/>
        </w:rPr>
        <w:t xml:space="preserve">Yes.  </w:t>
      </w:r>
      <w:r w:rsidRPr="00F546BE">
        <w:rPr>
          <w:szCs w:val="24"/>
        </w:rPr>
        <w:t xml:space="preserve">The allowed returns that </w:t>
      </w:r>
      <w:r>
        <w:rPr>
          <w:szCs w:val="24"/>
        </w:rPr>
        <w:t>comprise</w:t>
      </w:r>
      <w:r w:rsidRPr="00F546BE">
        <w:rPr>
          <w:szCs w:val="24"/>
        </w:rPr>
        <w:t xml:space="preserve"> the 10.02 percent average for 2013 are returns that apply to a mix of </w:t>
      </w:r>
      <w:r>
        <w:rPr>
          <w:szCs w:val="24"/>
        </w:rPr>
        <w:t xml:space="preserve">business profiles within the </w:t>
      </w:r>
      <w:r w:rsidRPr="00F546BE">
        <w:rPr>
          <w:szCs w:val="24"/>
        </w:rPr>
        <w:t>electric utility</w:t>
      </w:r>
      <w:r>
        <w:rPr>
          <w:szCs w:val="24"/>
        </w:rPr>
        <w:t xml:space="preserve"> industry</w:t>
      </w:r>
      <w:r w:rsidRPr="00F546BE">
        <w:rPr>
          <w:szCs w:val="24"/>
        </w:rPr>
        <w:t xml:space="preserve">.  </w:t>
      </w:r>
      <w:r>
        <w:rPr>
          <w:szCs w:val="24"/>
        </w:rPr>
        <w:t>Whe</w:t>
      </w:r>
      <w:r w:rsidR="00C62BF2">
        <w:rPr>
          <w:szCs w:val="24"/>
        </w:rPr>
        <w:t xml:space="preserve">n taken as a group, they are </w:t>
      </w:r>
      <w:r>
        <w:rPr>
          <w:szCs w:val="24"/>
        </w:rPr>
        <w:t>appropriately reflective of investor expectations for the industry.  However, a</w:t>
      </w:r>
      <w:r w:rsidRPr="00F546BE">
        <w:rPr>
          <w:szCs w:val="24"/>
        </w:rPr>
        <w:t xml:space="preserve">s highlighted by the Virginia Power cases, some </w:t>
      </w:r>
      <w:r>
        <w:rPr>
          <w:szCs w:val="24"/>
        </w:rPr>
        <w:t xml:space="preserve">individual returns </w:t>
      </w:r>
      <w:r w:rsidRPr="00F546BE">
        <w:rPr>
          <w:szCs w:val="24"/>
        </w:rPr>
        <w:t>apply to generation-only businesses</w:t>
      </w:r>
      <w:r w:rsidR="007C0561">
        <w:rPr>
          <w:szCs w:val="24"/>
        </w:rPr>
        <w:t>,</w:t>
      </w:r>
      <w:r w:rsidRPr="00F546BE">
        <w:rPr>
          <w:szCs w:val="24"/>
        </w:rPr>
        <w:t xml:space="preserve"> </w:t>
      </w:r>
      <w:r>
        <w:rPr>
          <w:szCs w:val="24"/>
        </w:rPr>
        <w:t>o</w:t>
      </w:r>
      <w:r w:rsidRPr="00F546BE">
        <w:rPr>
          <w:szCs w:val="24"/>
        </w:rPr>
        <w:t xml:space="preserve">thers apply to distribution-only </w:t>
      </w:r>
      <w:r>
        <w:rPr>
          <w:szCs w:val="24"/>
        </w:rPr>
        <w:t>or transmission-only</w:t>
      </w:r>
      <w:r w:rsidRPr="00E32373">
        <w:rPr>
          <w:vertAlign w:val="superscript"/>
        </w:rPr>
        <w:footnoteReference w:id="6"/>
      </w:r>
      <w:r>
        <w:rPr>
          <w:szCs w:val="24"/>
        </w:rPr>
        <w:t xml:space="preserve"> </w:t>
      </w:r>
      <w:r w:rsidRPr="00F546BE">
        <w:rPr>
          <w:szCs w:val="24"/>
        </w:rPr>
        <w:t>businesses</w:t>
      </w:r>
      <w:r w:rsidR="007C0561">
        <w:rPr>
          <w:szCs w:val="24"/>
        </w:rPr>
        <w:t>,</w:t>
      </w:r>
      <w:r>
        <w:rPr>
          <w:szCs w:val="24"/>
        </w:rPr>
        <w:t xml:space="preserve"> while</w:t>
      </w:r>
      <w:r w:rsidRPr="00F546BE">
        <w:rPr>
          <w:szCs w:val="24"/>
        </w:rPr>
        <w:t xml:space="preserve"> </w:t>
      </w:r>
      <w:r>
        <w:rPr>
          <w:szCs w:val="24"/>
        </w:rPr>
        <w:t>t</w:t>
      </w:r>
      <w:r w:rsidRPr="00F546BE">
        <w:rPr>
          <w:szCs w:val="24"/>
        </w:rPr>
        <w:t xml:space="preserve">he balance of cases deal with integrated utilities directly comparable to </w:t>
      </w:r>
      <w:r w:rsidR="00CE084C">
        <w:rPr>
          <w:szCs w:val="24"/>
        </w:rPr>
        <w:t>Pacific</w:t>
      </w:r>
      <w:r w:rsidRPr="00F546BE">
        <w:rPr>
          <w:szCs w:val="24"/>
        </w:rPr>
        <w:t xml:space="preserve"> Power.  Because generation-only</w:t>
      </w:r>
      <w:r>
        <w:rPr>
          <w:szCs w:val="24"/>
        </w:rPr>
        <w:t>, transmission-only</w:t>
      </w:r>
      <w:r w:rsidRPr="00F546BE">
        <w:rPr>
          <w:szCs w:val="24"/>
        </w:rPr>
        <w:t xml:space="preserve"> and distribution-only businesses carry risk profiles that differ from that of an integrated utility, a rigorous screen </w:t>
      </w:r>
      <w:r>
        <w:rPr>
          <w:szCs w:val="24"/>
        </w:rPr>
        <w:t>w</w:t>
      </w:r>
      <w:r w:rsidRPr="00F546BE">
        <w:rPr>
          <w:szCs w:val="24"/>
        </w:rPr>
        <w:t xml:space="preserve">ould </w:t>
      </w:r>
      <w:r>
        <w:rPr>
          <w:szCs w:val="24"/>
        </w:rPr>
        <w:t xml:space="preserve">logically </w:t>
      </w:r>
      <w:r w:rsidRPr="00F546BE">
        <w:rPr>
          <w:szCs w:val="24"/>
        </w:rPr>
        <w:t xml:space="preserve">exclude </w:t>
      </w:r>
      <w:r>
        <w:rPr>
          <w:szCs w:val="24"/>
        </w:rPr>
        <w:t>entities only operating in one segment of the supply chain and</w:t>
      </w:r>
      <w:r w:rsidRPr="00F546BE">
        <w:rPr>
          <w:szCs w:val="24"/>
        </w:rPr>
        <w:t xml:space="preserve"> i</w:t>
      </w:r>
      <w:r>
        <w:rPr>
          <w:szCs w:val="24"/>
        </w:rPr>
        <w:t>nclude</w:t>
      </w:r>
      <w:r w:rsidRPr="00F546BE">
        <w:rPr>
          <w:szCs w:val="24"/>
        </w:rPr>
        <w:t xml:space="preserve"> only integrated utilities as </w:t>
      </w:r>
      <w:r>
        <w:rPr>
          <w:szCs w:val="24"/>
        </w:rPr>
        <w:t xml:space="preserve">directly </w:t>
      </w:r>
      <w:r w:rsidRPr="00F546BE">
        <w:rPr>
          <w:szCs w:val="24"/>
        </w:rPr>
        <w:t>comparable.</w:t>
      </w:r>
    </w:p>
    <w:p w:rsidR="001D3BAA" w:rsidRDefault="001D3BAA" w:rsidP="00CC1705">
      <w:pPr>
        <w:pStyle w:val="QAQuestion"/>
        <w:tabs>
          <w:tab w:val="num" w:pos="720"/>
        </w:tabs>
        <w:spacing w:after="0" w:line="480" w:lineRule="auto"/>
        <w:ind w:left="720" w:hanging="720"/>
        <w:jc w:val="left"/>
        <w:rPr>
          <w:b/>
          <w:szCs w:val="24"/>
        </w:rPr>
      </w:pPr>
      <w:r>
        <w:rPr>
          <w:b/>
          <w:szCs w:val="24"/>
        </w:rPr>
        <w:t xml:space="preserve">Q. </w:t>
      </w:r>
      <w:r>
        <w:rPr>
          <w:b/>
          <w:szCs w:val="24"/>
        </w:rPr>
        <w:tab/>
        <w:t>W</w:t>
      </w:r>
      <w:r w:rsidR="00CC1705">
        <w:rPr>
          <w:b/>
          <w:szCs w:val="24"/>
        </w:rPr>
        <w:t>hat is the result of such a screen?</w:t>
      </w:r>
    </w:p>
    <w:p w:rsidR="001D3BAA" w:rsidRDefault="001D3BAA" w:rsidP="00383995">
      <w:pPr>
        <w:pStyle w:val="QAAnswer"/>
        <w:tabs>
          <w:tab w:val="num" w:pos="720"/>
        </w:tabs>
        <w:spacing w:after="0" w:line="480" w:lineRule="auto"/>
        <w:ind w:left="720" w:hanging="720"/>
        <w:jc w:val="left"/>
        <w:rPr>
          <w:szCs w:val="24"/>
        </w:rPr>
      </w:pPr>
      <w:r>
        <w:rPr>
          <w:szCs w:val="24"/>
        </w:rPr>
        <w:t>A.</w:t>
      </w:r>
      <w:r>
        <w:rPr>
          <w:szCs w:val="24"/>
        </w:rPr>
        <w:tab/>
        <w:t xml:space="preserve">Table 1 below presents the averages for the calendar year 2013 and for the first </w:t>
      </w:r>
      <w:r w:rsidR="00761E23">
        <w:rPr>
          <w:szCs w:val="24"/>
        </w:rPr>
        <w:t xml:space="preserve">ten </w:t>
      </w:r>
      <w:r>
        <w:rPr>
          <w:szCs w:val="24"/>
        </w:rPr>
        <w:t xml:space="preserve">months of 2014.  In addition, I provide company-by-company allowed ROEs in </w:t>
      </w:r>
      <w:r w:rsidR="00875553">
        <w:rPr>
          <w:szCs w:val="24"/>
        </w:rPr>
        <w:t xml:space="preserve">Exhibit No. </w:t>
      </w:r>
      <w:r w:rsidR="00CE084C">
        <w:rPr>
          <w:szCs w:val="24"/>
        </w:rPr>
        <w:t>KGS-</w:t>
      </w:r>
      <w:r w:rsidR="0021192E">
        <w:rPr>
          <w:szCs w:val="24"/>
        </w:rPr>
        <w:t>19</w:t>
      </w:r>
      <w:r w:rsidRPr="00F546BE">
        <w:rPr>
          <w:szCs w:val="24"/>
        </w:rPr>
        <w:t>.</w:t>
      </w:r>
    </w:p>
    <w:p w:rsidR="001D3BAA" w:rsidRPr="0052039F" w:rsidRDefault="00C62BF2" w:rsidP="00383995">
      <w:pPr>
        <w:suppressLineNumbers/>
        <w:tabs>
          <w:tab w:val="left" w:pos="720"/>
          <w:tab w:val="left" w:pos="1440"/>
        </w:tabs>
        <w:ind w:left="1440" w:right="288" w:hanging="1440"/>
        <w:jc w:val="center"/>
        <w:rPr>
          <w:b/>
          <w:szCs w:val="24"/>
        </w:rPr>
      </w:pPr>
      <w:r>
        <w:rPr>
          <w:b/>
          <w:szCs w:val="24"/>
        </w:rPr>
        <w:t>TABLE</w:t>
      </w:r>
      <w:r w:rsidR="001D3BAA" w:rsidRPr="0052039F">
        <w:rPr>
          <w:b/>
          <w:szCs w:val="24"/>
        </w:rPr>
        <w:t xml:space="preserve"> 1</w:t>
      </w:r>
    </w:p>
    <w:p w:rsidR="001D3BAA" w:rsidRDefault="001D3BAA" w:rsidP="00383995">
      <w:pPr>
        <w:suppressLineNumbers/>
        <w:tabs>
          <w:tab w:val="left" w:pos="720"/>
          <w:tab w:val="left" w:pos="1440"/>
        </w:tabs>
        <w:ind w:left="1440" w:right="288" w:hanging="1440"/>
        <w:jc w:val="center"/>
        <w:rPr>
          <w:b/>
          <w:szCs w:val="24"/>
        </w:rPr>
      </w:pPr>
      <w:r w:rsidRPr="0052039F">
        <w:rPr>
          <w:b/>
          <w:szCs w:val="24"/>
        </w:rPr>
        <w:t xml:space="preserve">Average Allowed ROE for Integrated Utilities Comparable to </w:t>
      </w:r>
      <w:r w:rsidR="00E75126">
        <w:rPr>
          <w:b/>
          <w:szCs w:val="24"/>
        </w:rPr>
        <w:t>Pacific</w:t>
      </w:r>
      <w:r w:rsidRPr="0052039F">
        <w:rPr>
          <w:b/>
          <w:szCs w:val="24"/>
        </w:rPr>
        <w:t xml:space="preserve"> Power</w:t>
      </w:r>
    </w:p>
    <w:p w:rsidR="001D3BAA" w:rsidRPr="0052039F" w:rsidRDefault="001D3BAA" w:rsidP="00383995">
      <w:pPr>
        <w:suppressLineNumbers/>
        <w:tabs>
          <w:tab w:val="left" w:pos="720"/>
          <w:tab w:val="left" w:pos="1440"/>
        </w:tabs>
        <w:ind w:left="1440" w:right="288" w:hanging="1440"/>
        <w:jc w:val="center"/>
        <w:rPr>
          <w:b/>
          <w:szCs w:val="24"/>
        </w:rPr>
      </w:pPr>
    </w:p>
    <w:tbl>
      <w:tblPr>
        <w:tblStyle w:val="TableGrid"/>
        <w:tblW w:w="0" w:type="auto"/>
        <w:jc w:val="center"/>
        <w:tblInd w:w="1440" w:type="dxa"/>
        <w:tblLook w:val="04A0" w:firstRow="1" w:lastRow="0" w:firstColumn="1" w:lastColumn="0" w:noHBand="0" w:noVBand="1"/>
      </w:tblPr>
      <w:tblGrid>
        <w:gridCol w:w="3765"/>
        <w:gridCol w:w="3795"/>
      </w:tblGrid>
      <w:tr w:rsidR="001D3BAA" w:rsidTr="007C0561">
        <w:trPr>
          <w:trHeight w:val="530"/>
          <w:jc w:val="center"/>
        </w:trPr>
        <w:tc>
          <w:tcPr>
            <w:tcW w:w="3765" w:type="dxa"/>
          </w:tcPr>
          <w:p w:rsidR="001D3BAA" w:rsidRDefault="001D3BAA" w:rsidP="00302D8D">
            <w:pPr>
              <w:tabs>
                <w:tab w:val="left" w:pos="720"/>
                <w:tab w:val="left" w:pos="1440"/>
              </w:tabs>
              <w:spacing w:line="480" w:lineRule="exact"/>
              <w:ind w:right="288"/>
              <w:jc w:val="center"/>
              <w:rPr>
                <w:b/>
                <w:szCs w:val="24"/>
              </w:rPr>
            </w:pPr>
            <w:r>
              <w:rPr>
                <w:b/>
                <w:szCs w:val="24"/>
              </w:rPr>
              <w:t>Time Period</w:t>
            </w:r>
          </w:p>
        </w:tc>
        <w:tc>
          <w:tcPr>
            <w:tcW w:w="3795" w:type="dxa"/>
          </w:tcPr>
          <w:p w:rsidR="001D3BAA" w:rsidRPr="00C62BF2" w:rsidRDefault="00C62BF2" w:rsidP="00C62BF2">
            <w:pPr>
              <w:jc w:val="center"/>
              <w:rPr>
                <w:szCs w:val="24"/>
              </w:rPr>
            </w:pPr>
            <w:r w:rsidRPr="000757DA">
              <w:rPr>
                <w:b/>
                <w:szCs w:val="24"/>
              </w:rPr>
              <w:t>Average Integrated Utility</w:t>
            </w:r>
            <w:r w:rsidRPr="000757DA">
              <w:rPr>
                <w:b/>
                <w:szCs w:val="24"/>
              </w:rPr>
              <w:br/>
              <w:t>Allowed Return</w:t>
            </w:r>
          </w:p>
        </w:tc>
      </w:tr>
      <w:tr w:rsidR="001D3BAA" w:rsidTr="007C0561">
        <w:trPr>
          <w:jc w:val="center"/>
        </w:trPr>
        <w:tc>
          <w:tcPr>
            <w:tcW w:w="3765" w:type="dxa"/>
          </w:tcPr>
          <w:p w:rsidR="001D3BAA" w:rsidRDefault="001D3BAA" w:rsidP="00302D8D">
            <w:pPr>
              <w:tabs>
                <w:tab w:val="left" w:pos="720"/>
                <w:tab w:val="left" w:pos="1440"/>
              </w:tabs>
              <w:spacing w:line="480" w:lineRule="exact"/>
              <w:ind w:right="288"/>
              <w:jc w:val="center"/>
              <w:rPr>
                <w:b/>
                <w:szCs w:val="24"/>
              </w:rPr>
            </w:pPr>
            <w:r>
              <w:rPr>
                <w:b/>
                <w:szCs w:val="24"/>
              </w:rPr>
              <w:t>Calendar Year 2013</w:t>
            </w:r>
          </w:p>
        </w:tc>
        <w:tc>
          <w:tcPr>
            <w:tcW w:w="3795" w:type="dxa"/>
          </w:tcPr>
          <w:p w:rsidR="001D3BAA" w:rsidRDefault="001D3BAA" w:rsidP="00255BBE">
            <w:pPr>
              <w:tabs>
                <w:tab w:val="left" w:pos="720"/>
                <w:tab w:val="left" w:pos="1440"/>
              </w:tabs>
              <w:spacing w:line="480" w:lineRule="exact"/>
              <w:ind w:right="288"/>
              <w:jc w:val="center"/>
              <w:rPr>
                <w:b/>
                <w:szCs w:val="24"/>
              </w:rPr>
            </w:pPr>
            <w:r>
              <w:rPr>
                <w:b/>
                <w:szCs w:val="24"/>
              </w:rPr>
              <w:t>9.9</w:t>
            </w:r>
            <w:r w:rsidR="00255BBE">
              <w:rPr>
                <w:b/>
                <w:szCs w:val="24"/>
              </w:rPr>
              <w:t>2</w:t>
            </w:r>
            <w:r>
              <w:rPr>
                <w:b/>
                <w:szCs w:val="24"/>
              </w:rPr>
              <w:t xml:space="preserve"> percent</w:t>
            </w:r>
            <w:r>
              <w:rPr>
                <w:rStyle w:val="FootnoteReference"/>
                <w:b/>
                <w:szCs w:val="24"/>
              </w:rPr>
              <w:footnoteReference w:id="7"/>
            </w:r>
          </w:p>
        </w:tc>
      </w:tr>
      <w:tr w:rsidR="001D3BAA" w:rsidTr="007C0561">
        <w:trPr>
          <w:jc w:val="center"/>
        </w:trPr>
        <w:tc>
          <w:tcPr>
            <w:tcW w:w="3765" w:type="dxa"/>
          </w:tcPr>
          <w:p w:rsidR="001D3BAA" w:rsidRDefault="001D3BAA" w:rsidP="00CE084C">
            <w:pPr>
              <w:tabs>
                <w:tab w:val="left" w:pos="720"/>
                <w:tab w:val="left" w:pos="1440"/>
              </w:tabs>
              <w:spacing w:line="480" w:lineRule="exact"/>
              <w:ind w:right="288"/>
              <w:jc w:val="center"/>
              <w:rPr>
                <w:b/>
                <w:szCs w:val="24"/>
              </w:rPr>
            </w:pPr>
            <w:r>
              <w:rPr>
                <w:b/>
                <w:szCs w:val="24"/>
              </w:rPr>
              <w:t>January-</w:t>
            </w:r>
            <w:r w:rsidR="00CE084C">
              <w:rPr>
                <w:b/>
                <w:szCs w:val="24"/>
              </w:rPr>
              <w:t>October</w:t>
            </w:r>
            <w:r>
              <w:rPr>
                <w:b/>
                <w:szCs w:val="24"/>
              </w:rPr>
              <w:t xml:space="preserve"> 2014</w:t>
            </w:r>
          </w:p>
        </w:tc>
        <w:tc>
          <w:tcPr>
            <w:tcW w:w="3795" w:type="dxa"/>
          </w:tcPr>
          <w:p w:rsidR="001D3BAA" w:rsidRDefault="00255BBE" w:rsidP="00255BBE">
            <w:pPr>
              <w:tabs>
                <w:tab w:val="left" w:pos="720"/>
                <w:tab w:val="left" w:pos="1440"/>
              </w:tabs>
              <w:spacing w:line="480" w:lineRule="exact"/>
              <w:ind w:right="288"/>
              <w:jc w:val="center"/>
              <w:rPr>
                <w:b/>
                <w:szCs w:val="24"/>
              </w:rPr>
            </w:pPr>
            <w:r>
              <w:rPr>
                <w:b/>
                <w:szCs w:val="24"/>
              </w:rPr>
              <w:t>9</w:t>
            </w:r>
            <w:r w:rsidR="001D3BAA">
              <w:rPr>
                <w:b/>
                <w:szCs w:val="24"/>
              </w:rPr>
              <w:t>.</w:t>
            </w:r>
            <w:r>
              <w:rPr>
                <w:b/>
                <w:szCs w:val="24"/>
              </w:rPr>
              <w:t xml:space="preserve">92 </w:t>
            </w:r>
            <w:r w:rsidR="001D3BAA">
              <w:rPr>
                <w:b/>
                <w:szCs w:val="24"/>
              </w:rPr>
              <w:t>percent</w:t>
            </w:r>
          </w:p>
        </w:tc>
      </w:tr>
      <w:tr w:rsidR="001D3BAA" w:rsidTr="007C0561">
        <w:trPr>
          <w:jc w:val="center"/>
        </w:trPr>
        <w:tc>
          <w:tcPr>
            <w:tcW w:w="7560" w:type="dxa"/>
            <w:gridSpan w:val="2"/>
          </w:tcPr>
          <w:p w:rsidR="001D3BAA" w:rsidRDefault="001D3BAA" w:rsidP="00302D8D">
            <w:pPr>
              <w:tabs>
                <w:tab w:val="left" w:pos="720"/>
                <w:tab w:val="left" w:pos="1440"/>
              </w:tabs>
              <w:spacing w:line="480" w:lineRule="exact"/>
              <w:ind w:right="288"/>
              <w:rPr>
                <w:b/>
                <w:szCs w:val="24"/>
              </w:rPr>
            </w:pPr>
            <w:r>
              <w:rPr>
                <w:b/>
                <w:szCs w:val="24"/>
              </w:rPr>
              <w:t>Source: Regulatory Research Associates</w:t>
            </w:r>
            <w:r w:rsidR="00C62BF2">
              <w:rPr>
                <w:b/>
                <w:szCs w:val="24"/>
              </w:rPr>
              <w:t xml:space="preserve"> (RRA)</w:t>
            </w:r>
          </w:p>
        </w:tc>
      </w:tr>
    </w:tbl>
    <w:p w:rsidR="00CE084C" w:rsidRDefault="00CE084C" w:rsidP="00FC19AB">
      <w:pPr>
        <w:pStyle w:val="QAAnswer"/>
        <w:tabs>
          <w:tab w:val="num" w:pos="720"/>
        </w:tabs>
        <w:spacing w:after="0" w:line="480" w:lineRule="auto"/>
        <w:ind w:left="720" w:hanging="720"/>
        <w:jc w:val="left"/>
        <w:rPr>
          <w:b/>
          <w:szCs w:val="24"/>
        </w:rPr>
      </w:pPr>
      <w:r w:rsidRPr="00CE084C">
        <w:rPr>
          <w:szCs w:val="24"/>
        </w:rPr>
        <w:tab/>
        <w:t xml:space="preserve">Table 1 confirms that </w:t>
      </w:r>
      <w:r>
        <w:rPr>
          <w:szCs w:val="24"/>
        </w:rPr>
        <w:t xml:space="preserve">average </w:t>
      </w:r>
      <w:r w:rsidRPr="00CE084C">
        <w:rPr>
          <w:szCs w:val="24"/>
        </w:rPr>
        <w:t xml:space="preserve">authorized returns </w:t>
      </w:r>
      <w:r w:rsidR="00255BBE">
        <w:rPr>
          <w:szCs w:val="24"/>
        </w:rPr>
        <w:t>have remained stable</w:t>
      </w:r>
      <w:r w:rsidR="00255BBE" w:rsidRPr="00CE084C">
        <w:rPr>
          <w:szCs w:val="24"/>
        </w:rPr>
        <w:t xml:space="preserve"> </w:t>
      </w:r>
      <w:r w:rsidRPr="00CE084C">
        <w:rPr>
          <w:szCs w:val="24"/>
        </w:rPr>
        <w:t>from 2013 to 2014.  The claims of Messrs. Gorman and Parcell that authorized returns are declining is simply incorrect.</w:t>
      </w:r>
      <w:r>
        <w:rPr>
          <w:b/>
          <w:szCs w:val="24"/>
        </w:rPr>
        <w:t xml:space="preserve"> </w:t>
      </w:r>
    </w:p>
    <w:p w:rsidR="001D3BAA" w:rsidRDefault="001D3BAA" w:rsidP="00CC1705">
      <w:pPr>
        <w:pStyle w:val="QAQuestion"/>
        <w:tabs>
          <w:tab w:val="num" w:pos="720"/>
        </w:tabs>
        <w:spacing w:after="0" w:line="480" w:lineRule="auto"/>
        <w:ind w:left="720" w:hanging="720"/>
        <w:jc w:val="left"/>
        <w:rPr>
          <w:b/>
          <w:szCs w:val="24"/>
        </w:rPr>
      </w:pPr>
      <w:r>
        <w:rPr>
          <w:b/>
          <w:szCs w:val="24"/>
        </w:rPr>
        <w:t xml:space="preserve">Q. </w:t>
      </w:r>
      <w:r>
        <w:rPr>
          <w:b/>
          <w:szCs w:val="24"/>
        </w:rPr>
        <w:tab/>
        <w:t>S</w:t>
      </w:r>
      <w:r w:rsidR="00CC1705">
        <w:rPr>
          <w:b/>
          <w:szCs w:val="24"/>
        </w:rPr>
        <w:t>taff and intervenor</w:t>
      </w:r>
      <w:r>
        <w:rPr>
          <w:b/>
          <w:szCs w:val="24"/>
        </w:rPr>
        <w:t xml:space="preserve"> </w:t>
      </w:r>
      <w:r w:rsidR="00CC1705">
        <w:rPr>
          <w:b/>
          <w:szCs w:val="24"/>
        </w:rPr>
        <w:t xml:space="preserve">witnesses opine that the Virginia Power returns are not comparable because they include incentives.  Is it correct to exclude published returns that incorporate incentives? </w:t>
      </w:r>
    </w:p>
    <w:p w:rsidR="001D3BAA" w:rsidRPr="00A9093D" w:rsidRDefault="001D3BAA" w:rsidP="00CC1705">
      <w:pPr>
        <w:pStyle w:val="QAAnswer"/>
        <w:tabs>
          <w:tab w:val="num" w:pos="720"/>
        </w:tabs>
        <w:spacing w:after="0" w:line="480" w:lineRule="auto"/>
        <w:ind w:left="720" w:hanging="720"/>
        <w:jc w:val="left"/>
        <w:rPr>
          <w:szCs w:val="24"/>
        </w:rPr>
      </w:pPr>
      <w:r w:rsidRPr="00A9093D">
        <w:rPr>
          <w:szCs w:val="24"/>
        </w:rPr>
        <w:t xml:space="preserve">A. </w:t>
      </w:r>
      <w:r w:rsidRPr="00A9093D">
        <w:rPr>
          <w:szCs w:val="24"/>
        </w:rPr>
        <w:tab/>
      </w:r>
      <w:r>
        <w:rPr>
          <w:szCs w:val="24"/>
        </w:rPr>
        <w:t>No</w:t>
      </w:r>
      <w:r w:rsidRPr="00A9093D">
        <w:rPr>
          <w:szCs w:val="24"/>
        </w:rPr>
        <w:t>.</w:t>
      </w:r>
      <w:r>
        <w:rPr>
          <w:szCs w:val="24"/>
        </w:rPr>
        <w:t xml:space="preserve">  Investor expectations depend on the total returns available to entities in the sector.  A reasonable reading of </w:t>
      </w:r>
      <w:r w:rsidRPr="00E32373">
        <w:rPr>
          <w:i/>
          <w:szCs w:val="24"/>
        </w:rPr>
        <w:t>Hope</w:t>
      </w:r>
      <w:r>
        <w:rPr>
          <w:szCs w:val="24"/>
        </w:rPr>
        <w:t xml:space="preserve"> and </w:t>
      </w:r>
      <w:r w:rsidRPr="00E32373">
        <w:rPr>
          <w:i/>
          <w:szCs w:val="24"/>
        </w:rPr>
        <w:t>Bluefield</w:t>
      </w:r>
      <w:r>
        <w:rPr>
          <w:szCs w:val="24"/>
        </w:rPr>
        <w:t xml:space="preserve"> suggests that </w:t>
      </w:r>
      <w:r w:rsidRPr="00CC1705">
        <w:rPr>
          <w:szCs w:val="24"/>
        </w:rPr>
        <w:t>total</w:t>
      </w:r>
      <w:r>
        <w:rPr>
          <w:szCs w:val="24"/>
        </w:rPr>
        <w:t xml:space="preserve"> returns are the correct focus and it </w:t>
      </w:r>
      <w:r w:rsidR="00FC19AB">
        <w:rPr>
          <w:szCs w:val="24"/>
        </w:rPr>
        <w:t xml:space="preserve">is </w:t>
      </w:r>
      <w:r>
        <w:rPr>
          <w:szCs w:val="24"/>
        </w:rPr>
        <w:t>not how the return value was arrived at but whether at the end of the day it is just and reasonable.  Following this reasoning, it is total achievable returns from comparable investments that should be considered when determining the returns available from comparable investments.  It would be unreasonable to assume that returns available to comparable investments should be dissected and a portion of such returns ignored for ROE evaluation purposes.</w:t>
      </w:r>
    </w:p>
    <w:p w:rsidR="001D3BAA" w:rsidRDefault="001D3BAA" w:rsidP="00CC1705">
      <w:pPr>
        <w:pStyle w:val="QAQuestion"/>
        <w:tabs>
          <w:tab w:val="num" w:pos="720"/>
        </w:tabs>
        <w:spacing w:after="0" w:line="480" w:lineRule="auto"/>
        <w:ind w:left="720" w:hanging="720"/>
        <w:jc w:val="left"/>
        <w:rPr>
          <w:b/>
          <w:szCs w:val="24"/>
        </w:rPr>
      </w:pPr>
      <w:r>
        <w:rPr>
          <w:b/>
          <w:szCs w:val="24"/>
        </w:rPr>
        <w:t xml:space="preserve">Q. </w:t>
      </w:r>
      <w:r>
        <w:rPr>
          <w:b/>
          <w:szCs w:val="24"/>
        </w:rPr>
        <w:tab/>
        <w:t>I</w:t>
      </w:r>
      <w:r w:rsidR="00D767B8">
        <w:rPr>
          <w:b/>
          <w:szCs w:val="24"/>
        </w:rPr>
        <w:t>s</w:t>
      </w:r>
      <w:r>
        <w:rPr>
          <w:b/>
          <w:szCs w:val="24"/>
        </w:rPr>
        <w:t xml:space="preserve"> V</w:t>
      </w:r>
      <w:r w:rsidR="00D767B8">
        <w:rPr>
          <w:b/>
          <w:szCs w:val="24"/>
        </w:rPr>
        <w:t>irginia</w:t>
      </w:r>
      <w:r>
        <w:rPr>
          <w:b/>
          <w:szCs w:val="24"/>
        </w:rPr>
        <w:t xml:space="preserve"> P</w:t>
      </w:r>
      <w:r w:rsidR="00D767B8">
        <w:rPr>
          <w:b/>
          <w:szCs w:val="24"/>
        </w:rPr>
        <w:t>ower</w:t>
      </w:r>
      <w:r>
        <w:rPr>
          <w:b/>
          <w:szCs w:val="24"/>
        </w:rPr>
        <w:t xml:space="preserve"> </w:t>
      </w:r>
      <w:r w:rsidR="00D767B8">
        <w:rPr>
          <w:b/>
          <w:szCs w:val="24"/>
        </w:rPr>
        <w:t xml:space="preserve">the only company whose published returns include incentives? </w:t>
      </w:r>
    </w:p>
    <w:p w:rsidR="001D3BAA" w:rsidRPr="00A9093D" w:rsidRDefault="001D3BAA" w:rsidP="00383995">
      <w:pPr>
        <w:pStyle w:val="QAAnswer"/>
        <w:tabs>
          <w:tab w:val="num" w:pos="720"/>
        </w:tabs>
        <w:spacing w:after="0" w:line="480" w:lineRule="auto"/>
        <w:ind w:left="720" w:hanging="720"/>
        <w:jc w:val="left"/>
        <w:rPr>
          <w:szCs w:val="24"/>
        </w:rPr>
      </w:pPr>
      <w:r w:rsidRPr="00A9093D">
        <w:rPr>
          <w:szCs w:val="24"/>
        </w:rPr>
        <w:t xml:space="preserve">A. </w:t>
      </w:r>
      <w:r w:rsidRPr="00A9093D">
        <w:rPr>
          <w:szCs w:val="24"/>
        </w:rPr>
        <w:tab/>
      </w:r>
      <w:r>
        <w:rPr>
          <w:szCs w:val="24"/>
        </w:rPr>
        <w:t>No</w:t>
      </w:r>
      <w:r w:rsidRPr="00A9093D">
        <w:rPr>
          <w:szCs w:val="24"/>
        </w:rPr>
        <w:t>.</w:t>
      </w:r>
      <w:r>
        <w:rPr>
          <w:szCs w:val="24"/>
        </w:rPr>
        <w:t xml:space="preserve">  The published returns for other utilities</w:t>
      </w:r>
      <w:r w:rsidRPr="00A9093D">
        <w:rPr>
          <w:szCs w:val="24"/>
        </w:rPr>
        <w:t xml:space="preserve"> </w:t>
      </w:r>
      <w:r>
        <w:rPr>
          <w:szCs w:val="24"/>
        </w:rPr>
        <w:t>may also include the effects of any incentives granted.  For example, the allowed ROE published by R</w:t>
      </w:r>
      <w:r w:rsidR="003241BD">
        <w:rPr>
          <w:szCs w:val="24"/>
        </w:rPr>
        <w:t>RA</w:t>
      </w:r>
      <w:r>
        <w:rPr>
          <w:szCs w:val="24"/>
        </w:rPr>
        <w:t xml:space="preserve"> for Sierra Pacific Power Company in </w:t>
      </w:r>
      <w:r w:rsidRPr="0052039F">
        <w:rPr>
          <w:szCs w:val="24"/>
        </w:rPr>
        <w:t>D</w:t>
      </w:r>
      <w:r w:rsidR="0051265E">
        <w:rPr>
          <w:szCs w:val="24"/>
        </w:rPr>
        <w:t>ocket</w:t>
      </w:r>
      <w:r>
        <w:rPr>
          <w:szCs w:val="24"/>
        </w:rPr>
        <w:t xml:space="preserve"> </w:t>
      </w:r>
      <w:r w:rsidRPr="0052039F">
        <w:rPr>
          <w:szCs w:val="24"/>
        </w:rPr>
        <w:t>13-06002</w:t>
      </w:r>
      <w:r>
        <w:rPr>
          <w:szCs w:val="24"/>
        </w:rPr>
        <w:t xml:space="preserve"> includes certain generation-related incentives.</w:t>
      </w:r>
      <w:r w:rsidR="0029743D">
        <w:rPr>
          <w:rStyle w:val="FootnoteReference"/>
          <w:szCs w:val="24"/>
        </w:rPr>
        <w:footnoteReference w:id="8"/>
      </w:r>
      <w:r>
        <w:rPr>
          <w:szCs w:val="24"/>
        </w:rPr>
        <w:t xml:space="preserve">  </w:t>
      </w:r>
    </w:p>
    <w:p w:rsidR="001D3BAA" w:rsidRDefault="001D3BAA" w:rsidP="00383995">
      <w:pPr>
        <w:pStyle w:val="QAQuestion"/>
        <w:widowControl w:val="0"/>
        <w:tabs>
          <w:tab w:val="num" w:pos="720"/>
        </w:tabs>
        <w:spacing w:after="0" w:line="480" w:lineRule="auto"/>
        <w:ind w:left="720" w:hanging="720"/>
        <w:jc w:val="left"/>
        <w:rPr>
          <w:b/>
          <w:szCs w:val="24"/>
        </w:rPr>
      </w:pPr>
      <w:r>
        <w:rPr>
          <w:b/>
          <w:szCs w:val="24"/>
        </w:rPr>
        <w:t xml:space="preserve">Q. </w:t>
      </w:r>
      <w:r>
        <w:rPr>
          <w:b/>
          <w:szCs w:val="24"/>
        </w:rPr>
        <w:tab/>
        <w:t>F</w:t>
      </w:r>
      <w:r w:rsidR="00D767B8">
        <w:rPr>
          <w:b/>
          <w:szCs w:val="24"/>
        </w:rPr>
        <w:t xml:space="preserve">or electric utility rates overseen by the </w:t>
      </w:r>
      <w:r w:rsidR="00F06E3E">
        <w:rPr>
          <w:b/>
          <w:szCs w:val="24"/>
        </w:rPr>
        <w:t>Federal Energy Regulatory Commission (</w:t>
      </w:r>
      <w:r w:rsidR="00D767B8">
        <w:rPr>
          <w:b/>
          <w:szCs w:val="24"/>
        </w:rPr>
        <w:t>FERC</w:t>
      </w:r>
      <w:r w:rsidR="00F06E3E">
        <w:rPr>
          <w:b/>
          <w:szCs w:val="24"/>
        </w:rPr>
        <w:t>)</w:t>
      </w:r>
      <w:r w:rsidR="00D767B8">
        <w:rPr>
          <w:b/>
          <w:szCs w:val="24"/>
        </w:rPr>
        <w:t xml:space="preserve">, have allowed returns on equity declined?  </w:t>
      </w:r>
    </w:p>
    <w:p w:rsidR="001D3BAA" w:rsidRDefault="001D3BAA" w:rsidP="00383995">
      <w:pPr>
        <w:pStyle w:val="QAAnswer"/>
        <w:widowControl w:val="0"/>
        <w:tabs>
          <w:tab w:val="num" w:pos="720"/>
        </w:tabs>
        <w:spacing w:after="0" w:line="480" w:lineRule="auto"/>
        <w:ind w:left="720" w:hanging="720"/>
        <w:jc w:val="left"/>
        <w:rPr>
          <w:szCs w:val="24"/>
        </w:rPr>
      </w:pPr>
      <w:r w:rsidRPr="00A9093D">
        <w:rPr>
          <w:szCs w:val="24"/>
        </w:rPr>
        <w:t xml:space="preserve">A. </w:t>
      </w:r>
      <w:r w:rsidRPr="00A9093D">
        <w:rPr>
          <w:szCs w:val="24"/>
        </w:rPr>
        <w:tab/>
      </w:r>
      <w:r>
        <w:rPr>
          <w:szCs w:val="24"/>
        </w:rPr>
        <w:t>No</w:t>
      </w:r>
      <w:r w:rsidRPr="00A9093D">
        <w:rPr>
          <w:szCs w:val="24"/>
        </w:rPr>
        <w:t>.</w:t>
      </w:r>
      <w:r>
        <w:rPr>
          <w:szCs w:val="24"/>
        </w:rPr>
        <w:t xml:space="preserve">  I have reviewed recent rate decisions by the FERC and the ROEs authorized for electric utility ratemaking purposes have remained stable</w:t>
      </w:r>
      <w:r w:rsidR="00CF6F5F">
        <w:rPr>
          <w:szCs w:val="24"/>
        </w:rPr>
        <w:t xml:space="preserve"> and</w:t>
      </w:r>
      <w:r w:rsidR="00617AC1">
        <w:rPr>
          <w:szCs w:val="24"/>
        </w:rPr>
        <w:t>,</w:t>
      </w:r>
      <w:r w:rsidR="00CF6F5F">
        <w:rPr>
          <w:szCs w:val="24"/>
        </w:rPr>
        <w:t xml:space="preserve"> in some instances, increased</w:t>
      </w:r>
      <w:r>
        <w:rPr>
          <w:szCs w:val="24"/>
        </w:rPr>
        <w:t xml:space="preserve">.  </w:t>
      </w:r>
      <w:r w:rsidR="00CF6F5F">
        <w:rPr>
          <w:szCs w:val="24"/>
        </w:rPr>
        <w:t>O</w:t>
      </w:r>
      <w:r>
        <w:rPr>
          <w:szCs w:val="24"/>
        </w:rPr>
        <w:t>n June 19, 2014, the FERC authorized a base ROE of 10.57</w:t>
      </w:r>
      <w:r w:rsidR="009042F6">
        <w:rPr>
          <w:szCs w:val="24"/>
        </w:rPr>
        <w:t xml:space="preserve"> percent</w:t>
      </w:r>
      <w:r>
        <w:rPr>
          <w:szCs w:val="24"/>
        </w:rPr>
        <w:t xml:space="preserve"> for the New England Transmission Owners,</w:t>
      </w:r>
      <w:r w:rsidRPr="00D767B8">
        <w:rPr>
          <w:vertAlign w:val="superscript"/>
        </w:rPr>
        <w:footnoteReference w:id="9"/>
      </w:r>
      <w:r w:rsidR="00617AC1">
        <w:rPr>
          <w:szCs w:val="24"/>
        </w:rPr>
        <w:t xml:space="preserve"> which is comparable</w:t>
      </w:r>
      <w:r>
        <w:rPr>
          <w:szCs w:val="24"/>
        </w:rPr>
        <w:t xml:space="preserve"> and</w:t>
      </w:r>
      <w:r w:rsidR="00617AC1">
        <w:rPr>
          <w:szCs w:val="24"/>
        </w:rPr>
        <w:t>,</w:t>
      </w:r>
      <w:r>
        <w:rPr>
          <w:szCs w:val="24"/>
        </w:rPr>
        <w:t xml:space="preserve"> in several cases, above prior base ROE decisions over the past several years.  </w:t>
      </w:r>
    </w:p>
    <w:p w:rsidR="001D3BAA" w:rsidRDefault="001D3BAA" w:rsidP="00D767B8">
      <w:pPr>
        <w:pStyle w:val="QAQuestion"/>
        <w:tabs>
          <w:tab w:val="num" w:pos="720"/>
        </w:tabs>
        <w:spacing w:after="0" w:line="480" w:lineRule="auto"/>
        <w:ind w:left="720" w:hanging="720"/>
        <w:jc w:val="left"/>
        <w:rPr>
          <w:b/>
          <w:szCs w:val="24"/>
        </w:rPr>
      </w:pPr>
      <w:r>
        <w:rPr>
          <w:b/>
          <w:szCs w:val="24"/>
        </w:rPr>
        <w:t xml:space="preserve">Q. </w:t>
      </w:r>
      <w:r>
        <w:rPr>
          <w:b/>
          <w:szCs w:val="24"/>
        </w:rPr>
        <w:tab/>
        <w:t>P</w:t>
      </w:r>
      <w:r w:rsidR="00D767B8">
        <w:rPr>
          <w:b/>
          <w:szCs w:val="24"/>
        </w:rPr>
        <w:t xml:space="preserve">lease summarize your rebuttal testimony on allowed returns. </w:t>
      </w:r>
    </w:p>
    <w:p w:rsidR="009F62B6" w:rsidRPr="00383995" w:rsidRDefault="001D3BAA" w:rsidP="00383995">
      <w:pPr>
        <w:pStyle w:val="QAAnswer"/>
        <w:tabs>
          <w:tab w:val="num" w:pos="720"/>
        </w:tabs>
        <w:spacing w:after="0" w:line="480" w:lineRule="auto"/>
        <w:ind w:left="720" w:hanging="720"/>
        <w:jc w:val="left"/>
        <w:rPr>
          <w:szCs w:val="24"/>
        </w:rPr>
      </w:pPr>
      <w:r w:rsidRPr="00A9093D">
        <w:rPr>
          <w:szCs w:val="24"/>
        </w:rPr>
        <w:t xml:space="preserve">A. </w:t>
      </w:r>
      <w:r w:rsidRPr="00A9093D">
        <w:rPr>
          <w:szCs w:val="24"/>
        </w:rPr>
        <w:tab/>
      </w:r>
      <w:r>
        <w:rPr>
          <w:szCs w:val="24"/>
        </w:rPr>
        <w:t xml:space="preserve">Contrary to the statements of Staff and </w:t>
      </w:r>
      <w:r w:rsidR="007A1E97">
        <w:rPr>
          <w:szCs w:val="24"/>
        </w:rPr>
        <w:t>i</w:t>
      </w:r>
      <w:r>
        <w:rPr>
          <w:szCs w:val="24"/>
        </w:rPr>
        <w:t xml:space="preserve">ntervenor witnesses, the trend in allowed returns for electric utilities in the United States has </w:t>
      </w:r>
      <w:r w:rsidR="00D767B8">
        <w:rPr>
          <w:szCs w:val="24"/>
        </w:rPr>
        <w:t>not declined</w:t>
      </w:r>
      <w:r>
        <w:rPr>
          <w:szCs w:val="24"/>
        </w:rPr>
        <w:t xml:space="preserve"> since January 2013.  There is no evidence to suggest a substantial decrease in allowed returns, as contended by these witnesses.  </w:t>
      </w:r>
      <w:r w:rsidR="00D767B8">
        <w:rPr>
          <w:szCs w:val="24"/>
        </w:rPr>
        <w:t xml:space="preserve">Rather, the average return for the first ten months of 2014 is </w:t>
      </w:r>
      <w:r w:rsidR="00255BBE">
        <w:rPr>
          <w:szCs w:val="24"/>
        </w:rPr>
        <w:t xml:space="preserve">equal to </w:t>
      </w:r>
      <w:r w:rsidR="00D767B8">
        <w:rPr>
          <w:szCs w:val="24"/>
        </w:rPr>
        <w:t xml:space="preserve">the 2013 average.  In sum, </w:t>
      </w:r>
      <w:r>
        <w:rPr>
          <w:szCs w:val="24"/>
        </w:rPr>
        <w:t xml:space="preserve">I find the return on equity to be stable at </w:t>
      </w:r>
      <w:r w:rsidR="00255BBE">
        <w:rPr>
          <w:szCs w:val="24"/>
        </w:rPr>
        <w:t xml:space="preserve">approximately </w:t>
      </w:r>
      <w:r>
        <w:rPr>
          <w:szCs w:val="24"/>
        </w:rPr>
        <w:t>10 percent for electric utility rates overseen by state commissions and above 10 percent</w:t>
      </w:r>
      <w:r w:rsidR="00CF6F5F" w:rsidRPr="00CF6F5F">
        <w:rPr>
          <w:szCs w:val="24"/>
        </w:rPr>
        <w:t xml:space="preserve"> </w:t>
      </w:r>
      <w:r w:rsidR="00CF6F5F">
        <w:rPr>
          <w:szCs w:val="24"/>
        </w:rPr>
        <w:t>for electric utility rates overseen by the FERC</w:t>
      </w:r>
      <w:r>
        <w:rPr>
          <w:szCs w:val="24"/>
        </w:rPr>
        <w:t xml:space="preserve">, before </w:t>
      </w:r>
      <w:r w:rsidR="00CF6F5F">
        <w:rPr>
          <w:szCs w:val="24"/>
        </w:rPr>
        <w:t xml:space="preserve">the addition of </w:t>
      </w:r>
      <w:r>
        <w:rPr>
          <w:szCs w:val="24"/>
        </w:rPr>
        <w:t>incentive</w:t>
      </w:r>
      <w:r w:rsidR="00CF6F5F">
        <w:rPr>
          <w:szCs w:val="24"/>
        </w:rPr>
        <w:t>s</w:t>
      </w:r>
      <w:r>
        <w:rPr>
          <w:szCs w:val="24"/>
        </w:rPr>
        <w:t xml:space="preserve">. </w:t>
      </w:r>
    </w:p>
    <w:p w:rsidR="009F62B6" w:rsidRPr="00576AE6" w:rsidRDefault="00617AC1" w:rsidP="00B63E63">
      <w:pPr>
        <w:pStyle w:val="Heading1"/>
        <w:ind w:left="0"/>
      </w:pPr>
      <w:bookmarkStart w:id="8" w:name="_Toc403726942"/>
      <w:r>
        <w:t xml:space="preserve">III. </w:t>
      </w:r>
      <w:r w:rsidR="000A74D5">
        <w:t xml:space="preserve">  </w:t>
      </w:r>
      <w:r w:rsidR="009F62B6" w:rsidRPr="00576AE6">
        <w:t>ASSESSMENT OF CAPITAL MARKET CONDITIONS</w:t>
      </w:r>
      <w:r w:rsidR="00B63E63">
        <w:t xml:space="preserve"> </w:t>
      </w:r>
      <w:r w:rsidR="00B63E63">
        <w:br/>
      </w:r>
      <w:r w:rsidR="00B4478A">
        <w:t>and Utility Stocks</w:t>
      </w:r>
      <w:bookmarkEnd w:id="8"/>
    </w:p>
    <w:p w:rsidR="00B4478A" w:rsidRPr="00384017" w:rsidRDefault="00B4478A" w:rsidP="00B4478A">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Mr. Gorman characterizes utility stocks as </w:t>
      </w:r>
      <w:r w:rsidR="00D767B8">
        <w:rPr>
          <w:b/>
          <w:szCs w:val="24"/>
        </w:rPr>
        <w:t>“low-risk securities.”</w:t>
      </w:r>
      <w:r w:rsidR="003E17F7">
        <w:rPr>
          <w:rStyle w:val="FootnoteReference"/>
          <w:b/>
          <w:szCs w:val="24"/>
        </w:rPr>
        <w:footnoteReference w:id="10"/>
      </w:r>
      <w:r w:rsidR="00D767B8">
        <w:rPr>
          <w:b/>
          <w:szCs w:val="24"/>
        </w:rPr>
        <w:t xml:space="preserve">  Is this a fair characterization? </w:t>
      </w:r>
    </w:p>
    <w:p w:rsidR="00E32373" w:rsidRPr="00590094" w:rsidRDefault="00B4478A" w:rsidP="00E32373">
      <w:pPr>
        <w:pStyle w:val="QAAnswer"/>
        <w:tabs>
          <w:tab w:val="num" w:pos="720"/>
        </w:tabs>
        <w:spacing w:after="0" w:line="480" w:lineRule="auto"/>
        <w:ind w:left="720" w:hanging="720"/>
        <w:jc w:val="left"/>
        <w:rPr>
          <w:szCs w:val="24"/>
        </w:rPr>
      </w:pPr>
      <w:r w:rsidRPr="00A9093D">
        <w:rPr>
          <w:szCs w:val="24"/>
        </w:rPr>
        <w:t xml:space="preserve">A. </w:t>
      </w:r>
      <w:r w:rsidRPr="00A9093D">
        <w:rPr>
          <w:szCs w:val="24"/>
        </w:rPr>
        <w:tab/>
      </w:r>
      <w:r w:rsidR="00D767B8">
        <w:rPr>
          <w:szCs w:val="24"/>
        </w:rPr>
        <w:t>No.  Over a century of practical experience with and scholarly study of financial markets demonstrates the statement to be false.  Common equity, irrespective of the issuer, is widely acknowledged to be among the riskiest classes of securities available to investors.</w:t>
      </w:r>
      <w:r w:rsidR="00D767B8">
        <w:rPr>
          <w:rStyle w:val="FootnoteReference"/>
          <w:szCs w:val="24"/>
        </w:rPr>
        <w:footnoteReference w:id="11"/>
      </w:r>
      <w:r w:rsidR="005E6EE2">
        <w:rPr>
          <w:szCs w:val="24"/>
        </w:rPr>
        <w:t xml:space="preserve">  </w:t>
      </w:r>
      <w:r w:rsidR="00E32373" w:rsidRPr="00590094">
        <w:rPr>
          <w:szCs w:val="24"/>
        </w:rPr>
        <w:t>While utilities</w:t>
      </w:r>
      <w:r w:rsidR="00E32373">
        <w:rPr>
          <w:szCs w:val="24"/>
        </w:rPr>
        <w:t>’ equities</w:t>
      </w:r>
      <w:r w:rsidR="00E32373" w:rsidRPr="00590094">
        <w:rPr>
          <w:szCs w:val="24"/>
        </w:rPr>
        <w:t xml:space="preserve"> may be less sensitive to certain market news</w:t>
      </w:r>
      <w:r w:rsidR="00617AC1">
        <w:rPr>
          <w:lang w:val="en"/>
        </w:rPr>
        <w:t>—</w:t>
      </w:r>
      <w:r w:rsidR="00E32373" w:rsidRPr="00590094">
        <w:rPr>
          <w:szCs w:val="24"/>
        </w:rPr>
        <w:t>after all, their beta is below unity</w:t>
      </w:r>
      <w:r w:rsidR="00617AC1">
        <w:rPr>
          <w:lang w:val="en"/>
        </w:rPr>
        <w:t>—</w:t>
      </w:r>
      <w:r w:rsidR="00E32373" w:rsidRPr="00590094">
        <w:rPr>
          <w:szCs w:val="24"/>
        </w:rPr>
        <w:t xml:space="preserve">they are certainly not immune to large fluctuations in value and are by no means appropriately characterized as low-risk securities.  </w:t>
      </w:r>
    </w:p>
    <w:p w:rsidR="00F44990" w:rsidRPr="00384017" w:rsidRDefault="00F44990"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describe </w:t>
      </w:r>
      <w:r w:rsidR="00330D61">
        <w:rPr>
          <w:b/>
          <w:szCs w:val="24"/>
        </w:rPr>
        <w:t>any updates you have with respect to</w:t>
      </w:r>
      <w:r w:rsidRPr="00384017">
        <w:rPr>
          <w:b/>
          <w:szCs w:val="24"/>
        </w:rPr>
        <w:t xml:space="preserve"> trends in capital market conditions that provide context for your </w:t>
      </w:r>
      <w:r w:rsidR="00330D61">
        <w:rPr>
          <w:b/>
          <w:szCs w:val="24"/>
        </w:rPr>
        <w:t xml:space="preserve">rate-of-return </w:t>
      </w:r>
      <w:r w:rsidRPr="00384017">
        <w:rPr>
          <w:b/>
          <w:szCs w:val="24"/>
        </w:rPr>
        <w:t xml:space="preserve">recommendations. </w:t>
      </w:r>
    </w:p>
    <w:p w:rsidR="00330D61" w:rsidRDefault="00F44990" w:rsidP="00384017">
      <w:pPr>
        <w:pStyle w:val="QAQuestion"/>
        <w:tabs>
          <w:tab w:val="num" w:pos="720"/>
        </w:tabs>
        <w:spacing w:after="0" w:line="480" w:lineRule="auto"/>
        <w:ind w:left="720" w:hanging="720"/>
        <w:jc w:val="left"/>
        <w:rPr>
          <w:szCs w:val="24"/>
        </w:rPr>
      </w:pPr>
      <w:r w:rsidRPr="00384017">
        <w:rPr>
          <w:szCs w:val="24"/>
        </w:rPr>
        <w:t>A.</w:t>
      </w:r>
      <w:r w:rsidRPr="00384017">
        <w:rPr>
          <w:szCs w:val="24"/>
        </w:rPr>
        <w:tab/>
      </w:r>
      <w:r w:rsidR="00330D61">
        <w:rPr>
          <w:szCs w:val="24"/>
        </w:rPr>
        <w:t>In my direct testimony, I characterize c</w:t>
      </w:r>
      <w:r w:rsidRPr="00384017">
        <w:rPr>
          <w:szCs w:val="24"/>
        </w:rPr>
        <w:t>urrent capital market conditions a</w:t>
      </w:r>
      <w:r w:rsidR="00330D61">
        <w:rPr>
          <w:szCs w:val="24"/>
        </w:rPr>
        <w:t>s</w:t>
      </w:r>
      <w:r w:rsidRPr="00384017">
        <w:rPr>
          <w:szCs w:val="24"/>
        </w:rPr>
        <w:t xml:space="preserve"> unique from a historical perspective</w:t>
      </w:r>
      <w:r w:rsidR="00330D61">
        <w:rPr>
          <w:szCs w:val="24"/>
        </w:rPr>
        <w:t xml:space="preserve"> on the grounds that y</w:t>
      </w:r>
      <w:r w:rsidRPr="00384017">
        <w:rPr>
          <w:szCs w:val="24"/>
        </w:rPr>
        <w:t xml:space="preserve">ields on long-term treasury bonds </w:t>
      </w:r>
      <w:r w:rsidR="00E2405B" w:rsidRPr="00384017">
        <w:rPr>
          <w:szCs w:val="24"/>
        </w:rPr>
        <w:t>have been suppressed by the Federal Reserve’s bond</w:t>
      </w:r>
      <w:r w:rsidR="00E941A5" w:rsidRPr="00384017">
        <w:rPr>
          <w:szCs w:val="24"/>
        </w:rPr>
        <w:t>-</w:t>
      </w:r>
      <w:r w:rsidR="00E2405B" w:rsidRPr="00384017">
        <w:rPr>
          <w:szCs w:val="24"/>
        </w:rPr>
        <w:t>buying program and remain at levels</w:t>
      </w:r>
      <w:r w:rsidRPr="00384017">
        <w:rPr>
          <w:szCs w:val="24"/>
        </w:rPr>
        <w:t xml:space="preserve"> well below their historical average.  </w:t>
      </w:r>
      <w:r w:rsidR="00330D61">
        <w:rPr>
          <w:szCs w:val="24"/>
        </w:rPr>
        <w:t>The stock market continues to reflect these unique conditions.  Although</w:t>
      </w:r>
      <w:r w:rsidRPr="00384017">
        <w:rPr>
          <w:szCs w:val="24"/>
        </w:rPr>
        <w:t xml:space="preserve"> </w:t>
      </w:r>
      <w:r w:rsidR="00330D61">
        <w:rPr>
          <w:szCs w:val="24"/>
        </w:rPr>
        <w:t xml:space="preserve">the </w:t>
      </w:r>
      <w:r w:rsidRPr="00384017">
        <w:rPr>
          <w:szCs w:val="24"/>
        </w:rPr>
        <w:t xml:space="preserve">Federal Reserve </w:t>
      </w:r>
      <w:r w:rsidR="00330D61">
        <w:rPr>
          <w:szCs w:val="24"/>
        </w:rPr>
        <w:t xml:space="preserve">stopped its bond-buying program on October </w:t>
      </w:r>
      <w:r w:rsidR="007B721B">
        <w:rPr>
          <w:szCs w:val="24"/>
        </w:rPr>
        <w:t>29</w:t>
      </w:r>
      <w:r w:rsidR="00330D61">
        <w:rPr>
          <w:szCs w:val="24"/>
        </w:rPr>
        <w:t xml:space="preserve">, 2014, it has indicated that it intends to keep short-term rates low.  </w:t>
      </w:r>
    </w:p>
    <w:p w:rsidR="00F44990" w:rsidRDefault="00330D61" w:rsidP="00384017">
      <w:pPr>
        <w:pStyle w:val="QAQuestion"/>
        <w:tabs>
          <w:tab w:val="num" w:pos="720"/>
        </w:tabs>
        <w:spacing w:after="0" w:line="480" w:lineRule="auto"/>
        <w:ind w:left="720" w:hanging="720"/>
        <w:jc w:val="left"/>
        <w:rPr>
          <w:szCs w:val="24"/>
        </w:rPr>
      </w:pPr>
      <w:r>
        <w:rPr>
          <w:szCs w:val="24"/>
        </w:rPr>
        <w:tab/>
        <w:t xml:space="preserve">The effects </w:t>
      </w:r>
      <w:r w:rsidR="005E6EE2">
        <w:rPr>
          <w:szCs w:val="24"/>
        </w:rPr>
        <w:t xml:space="preserve">of these recent changes </w:t>
      </w:r>
      <w:r>
        <w:rPr>
          <w:szCs w:val="24"/>
        </w:rPr>
        <w:t>on long-term Treasury yields have yet to be seen.  Market forecasters anticipate a rise in yields, expecting that they will a</w:t>
      </w:r>
      <w:r w:rsidR="00617AC1">
        <w:rPr>
          <w:szCs w:val="24"/>
        </w:rPr>
        <w:t>gain be over four</w:t>
      </w:r>
      <w:r>
        <w:rPr>
          <w:szCs w:val="24"/>
        </w:rPr>
        <w:t xml:space="preserve"> percent,</w:t>
      </w:r>
      <w:r w:rsidRPr="00330D61">
        <w:rPr>
          <w:szCs w:val="24"/>
        </w:rPr>
        <w:t xml:space="preserve"> </w:t>
      </w:r>
      <w:r>
        <w:rPr>
          <w:szCs w:val="24"/>
        </w:rPr>
        <w:t>as shown in Exhibit</w:t>
      </w:r>
      <w:r w:rsidR="00EA50F3">
        <w:rPr>
          <w:szCs w:val="24"/>
        </w:rPr>
        <w:t xml:space="preserve"> </w:t>
      </w:r>
      <w:r w:rsidR="00EA50F3" w:rsidRPr="00384017">
        <w:rPr>
          <w:szCs w:val="24"/>
        </w:rPr>
        <w:t>No</w:t>
      </w:r>
      <w:r w:rsidR="00383995">
        <w:rPr>
          <w:szCs w:val="24"/>
        </w:rPr>
        <w:t xml:space="preserve">. </w:t>
      </w:r>
      <w:r w:rsidRPr="00384017">
        <w:rPr>
          <w:szCs w:val="24"/>
        </w:rPr>
        <w:t>KGS-</w:t>
      </w:r>
      <w:r w:rsidR="0021192E">
        <w:rPr>
          <w:szCs w:val="24"/>
        </w:rPr>
        <w:t>20</w:t>
      </w:r>
      <w:r w:rsidR="005E6EE2">
        <w:rPr>
          <w:szCs w:val="24"/>
        </w:rPr>
        <w:t xml:space="preserve">.  </w:t>
      </w:r>
    </w:p>
    <w:p w:rsidR="00330D61" w:rsidRPr="00384017" w:rsidRDefault="00330D61" w:rsidP="00330D61">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w:t>
      </w:r>
      <w:r>
        <w:rPr>
          <w:b/>
          <w:szCs w:val="24"/>
        </w:rPr>
        <w:t xml:space="preserve">address volatility and the cost of equity for utility stocks. </w:t>
      </w:r>
    </w:p>
    <w:p w:rsidR="0022557B" w:rsidRDefault="00330D61" w:rsidP="00330D61">
      <w:pPr>
        <w:pStyle w:val="QAQuestion"/>
        <w:tabs>
          <w:tab w:val="num" w:pos="720"/>
        </w:tabs>
        <w:spacing w:after="0" w:line="480" w:lineRule="auto"/>
        <w:ind w:left="720" w:hanging="720"/>
        <w:jc w:val="left"/>
        <w:rPr>
          <w:szCs w:val="24"/>
        </w:rPr>
      </w:pPr>
      <w:r w:rsidRPr="00384017">
        <w:rPr>
          <w:szCs w:val="24"/>
        </w:rPr>
        <w:t>A.</w:t>
      </w:r>
      <w:r w:rsidRPr="00384017">
        <w:rPr>
          <w:szCs w:val="24"/>
        </w:rPr>
        <w:tab/>
      </w:r>
      <w:r w:rsidR="00C609C8">
        <w:rPr>
          <w:szCs w:val="24"/>
        </w:rPr>
        <w:t xml:space="preserve">Volatility is an important contributor to </w:t>
      </w:r>
      <w:r w:rsidR="00865946">
        <w:rPr>
          <w:szCs w:val="24"/>
        </w:rPr>
        <w:t xml:space="preserve">investment </w:t>
      </w:r>
      <w:r w:rsidR="0022557B">
        <w:rPr>
          <w:szCs w:val="24"/>
        </w:rPr>
        <w:t xml:space="preserve">risk and to </w:t>
      </w:r>
      <w:r w:rsidR="00C609C8">
        <w:rPr>
          <w:szCs w:val="24"/>
        </w:rPr>
        <w:t xml:space="preserve">investor perceptions </w:t>
      </w:r>
      <w:r w:rsidR="0022557B">
        <w:rPr>
          <w:szCs w:val="24"/>
        </w:rPr>
        <w:t>thereof</w:t>
      </w:r>
      <w:r w:rsidR="00C609C8">
        <w:rPr>
          <w:szCs w:val="24"/>
        </w:rPr>
        <w:t xml:space="preserve">.  </w:t>
      </w:r>
      <w:r>
        <w:rPr>
          <w:szCs w:val="24"/>
        </w:rPr>
        <w:t xml:space="preserve">In my direct testimony, I </w:t>
      </w:r>
      <w:r w:rsidR="00C609C8">
        <w:rPr>
          <w:szCs w:val="24"/>
        </w:rPr>
        <w:t>note that utility stocks have been more volatile than broader stock indices since 2009.  At the time of drafting this rebuttal testimony, uncertainty over the domestic economy, the Fed’s continued intervention, and intervention of the European and Japanese Central Banks had led stock volatility indices to spike from under 15</w:t>
      </w:r>
      <w:r w:rsidR="007A1E97">
        <w:rPr>
          <w:szCs w:val="24"/>
        </w:rPr>
        <w:t xml:space="preserve"> percent</w:t>
      </w:r>
      <w:r w:rsidR="00C609C8">
        <w:rPr>
          <w:szCs w:val="24"/>
        </w:rPr>
        <w:t xml:space="preserve"> to over 25</w:t>
      </w:r>
      <w:r w:rsidR="007A1E97">
        <w:rPr>
          <w:szCs w:val="24"/>
        </w:rPr>
        <w:t xml:space="preserve"> percent</w:t>
      </w:r>
      <w:r w:rsidR="00C609C8">
        <w:rPr>
          <w:szCs w:val="24"/>
        </w:rPr>
        <w:t xml:space="preserve">.  </w:t>
      </w:r>
      <w:r w:rsidR="0022557B">
        <w:rPr>
          <w:szCs w:val="24"/>
        </w:rPr>
        <w:t>The press has documented this trend of increased volatility.  For example, an article in the Financial Times recently noted: “Investors are far from relaxed about the volatility spike, and understandably so.”</w:t>
      </w:r>
      <w:r w:rsidR="0022557B">
        <w:rPr>
          <w:rStyle w:val="FootnoteReference"/>
          <w:szCs w:val="24"/>
        </w:rPr>
        <w:footnoteReference w:id="12"/>
      </w:r>
      <w:r w:rsidR="0022557B">
        <w:rPr>
          <w:szCs w:val="24"/>
        </w:rPr>
        <w:t xml:space="preserve">  </w:t>
      </w:r>
      <w:r w:rsidR="00A00209">
        <w:rPr>
          <w:szCs w:val="24"/>
        </w:rPr>
        <w:t>This article considers several explanations for the increased volatility</w:t>
      </w:r>
      <w:r w:rsidR="007967DB">
        <w:rPr>
          <w:szCs w:val="24"/>
        </w:rPr>
        <w:t>, including, for example, a reaction to reduced intervention by the Federal Reserve and a decreasing effectiveness of its policies to contain market volatility</w:t>
      </w:r>
      <w:r w:rsidR="00A00209">
        <w:rPr>
          <w:szCs w:val="24"/>
        </w:rPr>
        <w:t>.</w:t>
      </w:r>
    </w:p>
    <w:p w:rsidR="00576AE6" w:rsidRPr="00330D61" w:rsidRDefault="0022557B" w:rsidP="00330D61">
      <w:pPr>
        <w:pStyle w:val="QAQuestion"/>
        <w:tabs>
          <w:tab w:val="num" w:pos="720"/>
        </w:tabs>
        <w:spacing w:after="0" w:line="480" w:lineRule="auto"/>
        <w:ind w:left="720" w:hanging="720"/>
        <w:jc w:val="left"/>
        <w:rPr>
          <w:szCs w:val="24"/>
        </w:rPr>
      </w:pPr>
      <w:r>
        <w:rPr>
          <w:szCs w:val="24"/>
        </w:rPr>
        <w:tab/>
      </w:r>
      <w:r w:rsidR="00C609C8">
        <w:rPr>
          <w:szCs w:val="24"/>
        </w:rPr>
        <w:t xml:space="preserve">I illustrate </w:t>
      </w:r>
      <w:r>
        <w:rPr>
          <w:szCs w:val="24"/>
        </w:rPr>
        <w:t xml:space="preserve">the </w:t>
      </w:r>
      <w:r w:rsidR="00C609C8">
        <w:rPr>
          <w:szCs w:val="24"/>
        </w:rPr>
        <w:t xml:space="preserve">trend of </w:t>
      </w:r>
      <w:r>
        <w:rPr>
          <w:szCs w:val="24"/>
        </w:rPr>
        <w:t xml:space="preserve">increased </w:t>
      </w:r>
      <w:r w:rsidR="00C609C8">
        <w:rPr>
          <w:szCs w:val="24"/>
        </w:rPr>
        <w:t xml:space="preserve">volatility in </w:t>
      </w:r>
      <w:r w:rsidR="00383995">
        <w:rPr>
          <w:szCs w:val="24"/>
        </w:rPr>
        <w:t xml:space="preserve">Exhibit No. </w:t>
      </w:r>
      <w:r w:rsidR="00C609C8" w:rsidRPr="00384017">
        <w:rPr>
          <w:szCs w:val="24"/>
        </w:rPr>
        <w:t>KGS-</w:t>
      </w:r>
      <w:r w:rsidR="0021192E">
        <w:rPr>
          <w:szCs w:val="24"/>
        </w:rPr>
        <w:t>21</w:t>
      </w:r>
      <w:r w:rsidR="00C609C8">
        <w:rPr>
          <w:szCs w:val="24"/>
        </w:rPr>
        <w:t xml:space="preserve">.  Although the volatility index has fallen since the spike, this event reflects </w:t>
      </w:r>
      <w:r w:rsidR="005E6EE2">
        <w:rPr>
          <w:szCs w:val="24"/>
        </w:rPr>
        <w:t>the great</w:t>
      </w:r>
      <w:r w:rsidR="00C609C8">
        <w:rPr>
          <w:szCs w:val="24"/>
        </w:rPr>
        <w:t xml:space="preserve"> uncertainty in the markets and concern</w:t>
      </w:r>
      <w:r w:rsidR="007239A9">
        <w:rPr>
          <w:szCs w:val="24"/>
        </w:rPr>
        <w:t>s</w:t>
      </w:r>
      <w:r w:rsidR="00C609C8">
        <w:rPr>
          <w:szCs w:val="24"/>
        </w:rPr>
        <w:t xml:space="preserve"> over the potential for a correction.  </w:t>
      </w:r>
      <w:r w:rsidR="007239A9">
        <w:rPr>
          <w:szCs w:val="24"/>
        </w:rPr>
        <w:t>T</w:t>
      </w:r>
      <w:r w:rsidR="00C609C8">
        <w:rPr>
          <w:szCs w:val="24"/>
        </w:rPr>
        <w:t xml:space="preserve">he volatility index </w:t>
      </w:r>
      <w:r w:rsidR="007239A9">
        <w:rPr>
          <w:szCs w:val="24"/>
        </w:rPr>
        <w:t>remains at an increased level relative to where it was when I performed</w:t>
      </w:r>
      <w:r w:rsidR="00C609C8">
        <w:rPr>
          <w:szCs w:val="24"/>
        </w:rPr>
        <w:t xml:space="preserve"> </w:t>
      </w:r>
      <w:r w:rsidR="00F0333A">
        <w:rPr>
          <w:szCs w:val="24"/>
        </w:rPr>
        <w:t>the</w:t>
      </w:r>
      <w:r w:rsidR="00C609C8">
        <w:rPr>
          <w:szCs w:val="24"/>
        </w:rPr>
        <w:t xml:space="preserve"> analysis </w:t>
      </w:r>
      <w:r w:rsidR="007239A9">
        <w:rPr>
          <w:szCs w:val="24"/>
        </w:rPr>
        <w:t>to support</w:t>
      </w:r>
      <w:r w:rsidR="00C609C8">
        <w:rPr>
          <w:szCs w:val="24"/>
        </w:rPr>
        <w:t xml:space="preserve"> my direct testimony</w:t>
      </w:r>
      <w:r w:rsidR="00F0333A">
        <w:rPr>
          <w:szCs w:val="24"/>
        </w:rPr>
        <w:t>, indicating higher risk</w:t>
      </w:r>
      <w:r w:rsidR="00C609C8">
        <w:rPr>
          <w:szCs w:val="24"/>
        </w:rPr>
        <w:t>.</w:t>
      </w:r>
      <w:r w:rsidR="005E6EE2">
        <w:rPr>
          <w:szCs w:val="24"/>
        </w:rPr>
        <w:t xml:space="preserve"> </w:t>
      </w:r>
    </w:p>
    <w:p w:rsidR="00907275" w:rsidRPr="00384017" w:rsidRDefault="00617AC1" w:rsidP="0051265E">
      <w:pPr>
        <w:pStyle w:val="Heading1"/>
        <w:spacing w:after="240"/>
        <w:ind w:left="0"/>
      </w:pPr>
      <w:bookmarkStart w:id="9" w:name="_Toc403726943"/>
      <w:r>
        <w:t xml:space="preserve">IV. </w:t>
      </w:r>
      <w:r w:rsidR="000A74D5">
        <w:t xml:space="preserve">  </w:t>
      </w:r>
      <w:r w:rsidR="00907275">
        <w:t>CAPITAL STRUCTURE, CREDIT RATINGS</w:t>
      </w:r>
      <w:r w:rsidR="00B63E63">
        <w:br/>
      </w:r>
      <w:r w:rsidR="00907275">
        <w:t xml:space="preserve"> AND </w:t>
      </w:r>
      <w:r w:rsidR="00E75126">
        <w:t xml:space="preserve">Associated </w:t>
      </w:r>
      <w:r w:rsidR="00907275">
        <w:t>EFFECTS</w:t>
      </w:r>
      <w:r w:rsidR="00B63E63">
        <w:t xml:space="preserve"> </w:t>
      </w:r>
      <w:r w:rsidR="00907275">
        <w:t>ON THE COST OF EQUITY</w:t>
      </w:r>
      <w:bookmarkEnd w:id="9"/>
    </w:p>
    <w:p w:rsidR="00DB6F43" w:rsidRPr="0079454C" w:rsidRDefault="00DB6F43" w:rsidP="0051265E">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Pr>
          <w:b/>
          <w:szCs w:val="24"/>
        </w:rPr>
        <w:t xml:space="preserve">Do you agree with the recommendation of Messrs. </w:t>
      </w:r>
      <w:r w:rsidRPr="00F9119B">
        <w:rPr>
          <w:b/>
          <w:szCs w:val="24"/>
        </w:rPr>
        <w:t>Parcell</w:t>
      </w:r>
      <w:r>
        <w:rPr>
          <w:b/>
          <w:szCs w:val="24"/>
        </w:rPr>
        <w:t xml:space="preserve">, Hill and Gorman that </w:t>
      </w:r>
      <w:r w:rsidR="006F44CA">
        <w:rPr>
          <w:b/>
          <w:szCs w:val="24"/>
        </w:rPr>
        <w:t xml:space="preserve">the use of a hypothetical capital structure instead of the </w:t>
      </w:r>
      <w:r>
        <w:rPr>
          <w:b/>
          <w:szCs w:val="24"/>
        </w:rPr>
        <w:t xml:space="preserve">Company’s actual capital structure is appropriate </w:t>
      </w:r>
      <w:r w:rsidR="006F44CA">
        <w:rPr>
          <w:b/>
          <w:szCs w:val="24"/>
        </w:rPr>
        <w:t>for ratemaking purposes</w:t>
      </w:r>
      <w:r w:rsidR="00332C63">
        <w:rPr>
          <w:b/>
          <w:szCs w:val="24"/>
        </w:rPr>
        <w:t>?</w:t>
      </w:r>
    </w:p>
    <w:p w:rsidR="00E373A7" w:rsidRDefault="00DB6F43" w:rsidP="00383995">
      <w:pPr>
        <w:pStyle w:val="QAQuestion"/>
        <w:widowControl w:val="0"/>
        <w:tabs>
          <w:tab w:val="num" w:pos="720"/>
        </w:tabs>
        <w:spacing w:after="0" w:line="480" w:lineRule="auto"/>
        <w:ind w:left="720" w:hanging="720"/>
        <w:jc w:val="left"/>
        <w:rPr>
          <w:szCs w:val="24"/>
        </w:rPr>
      </w:pPr>
      <w:r w:rsidRPr="00384017">
        <w:rPr>
          <w:szCs w:val="24"/>
        </w:rPr>
        <w:t>A.</w:t>
      </w:r>
      <w:r w:rsidRPr="00384017">
        <w:rPr>
          <w:szCs w:val="24"/>
        </w:rPr>
        <w:tab/>
      </w:r>
      <w:r>
        <w:rPr>
          <w:szCs w:val="24"/>
        </w:rPr>
        <w:t>No</w:t>
      </w:r>
      <w:r w:rsidR="006F44CA">
        <w:rPr>
          <w:szCs w:val="24"/>
        </w:rPr>
        <w:t xml:space="preserve">.  </w:t>
      </w:r>
      <w:r w:rsidR="00E373A7">
        <w:rPr>
          <w:szCs w:val="24"/>
        </w:rPr>
        <w:t>In r</w:t>
      </w:r>
      <w:r w:rsidR="006F44CA">
        <w:rPr>
          <w:szCs w:val="24"/>
        </w:rPr>
        <w:t>egulatory practice</w:t>
      </w:r>
      <w:r w:rsidR="00E373A7">
        <w:rPr>
          <w:szCs w:val="24"/>
        </w:rPr>
        <w:t>, it is most common to rely upon the utility’s actual capital structure.</w:t>
      </w:r>
      <w:r w:rsidR="00E373A7">
        <w:rPr>
          <w:rStyle w:val="FootnoteReference"/>
          <w:szCs w:val="24"/>
        </w:rPr>
        <w:footnoteReference w:id="13"/>
      </w:r>
      <w:r w:rsidR="00E373A7">
        <w:rPr>
          <w:szCs w:val="24"/>
        </w:rPr>
        <w:t xml:space="preserve"> </w:t>
      </w:r>
      <w:r w:rsidR="00EE341A">
        <w:rPr>
          <w:szCs w:val="24"/>
        </w:rPr>
        <w:t xml:space="preserve"> </w:t>
      </w:r>
      <w:r w:rsidR="00E373A7">
        <w:rPr>
          <w:szCs w:val="24"/>
        </w:rPr>
        <w:t>Regulators typically employ</w:t>
      </w:r>
      <w:r w:rsidR="006F44CA">
        <w:rPr>
          <w:szCs w:val="24"/>
        </w:rPr>
        <w:t xml:space="preserve"> a hypothetical capital structure when the actual capital structure of a utility </w:t>
      </w:r>
      <w:r w:rsidR="00E373A7">
        <w:rPr>
          <w:szCs w:val="24"/>
        </w:rPr>
        <w:t xml:space="preserve">is unreasonable, abnormal or imprudent and thus </w:t>
      </w:r>
      <w:r w:rsidR="006F44CA">
        <w:rPr>
          <w:szCs w:val="24"/>
        </w:rPr>
        <w:t>falls outside the zone of reasonableness.</w:t>
      </w:r>
      <w:r w:rsidR="002B74F2">
        <w:rPr>
          <w:rStyle w:val="FootnoteReference"/>
          <w:szCs w:val="24"/>
        </w:rPr>
        <w:footnoteReference w:id="14"/>
      </w:r>
      <w:r w:rsidR="006F44CA">
        <w:rPr>
          <w:szCs w:val="24"/>
        </w:rPr>
        <w:t xml:space="preserve">  To merit the imputation of a hypothetical capital structure, a utility’s actual capital structure would </w:t>
      </w:r>
      <w:r w:rsidR="00943DBD">
        <w:rPr>
          <w:szCs w:val="24"/>
        </w:rPr>
        <w:t>need to</w:t>
      </w:r>
      <w:r w:rsidR="006F44CA">
        <w:rPr>
          <w:szCs w:val="24"/>
        </w:rPr>
        <w:t xml:space="preserve"> </w:t>
      </w:r>
      <w:r w:rsidR="00302D8D">
        <w:rPr>
          <w:szCs w:val="24"/>
        </w:rPr>
        <w:t>obstruct</w:t>
      </w:r>
      <w:r w:rsidR="00943DBD">
        <w:rPr>
          <w:szCs w:val="24"/>
        </w:rPr>
        <w:t xml:space="preserve"> the achievement of</w:t>
      </w:r>
      <w:r w:rsidR="006F44CA">
        <w:rPr>
          <w:szCs w:val="24"/>
        </w:rPr>
        <w:t xml:space="preserve"> well-established ratemaking objectives, which</w:t>
      </w:r>
      <w:r w:rsidR="00943DBD">
        <w:rPr>
          <w:szCs w:val="24"/>
        </w:rPr>
        <w:t xml:space="preserve">, as this Commission has articulated, involve balancing </w:t>
      </w:r>
      <w:r w:rsidR="00943DBD" w:rsidRPr="00943DBD">
        <w:rPr>
          <w:szCs w:val="24"/>
        </w:rPr>
        <w:t xml:space="preserve">financial safety </w:t>
      </w:r>
      <w:r w:rsidR="00943DBD">
        <w:rPr>
          <w:szCs w:val="24"/>
        </w:rPr>
        <w:t xml:space="preserve">and cost </w:t>
      </w:r>
      <w:r w:rsidR="00943DBD" w:rsidRPr="00943DBD">
        <w:rPr>
          <w:szCs w:val="24"/>
        </w:rPr>
        <w:t>minimiz</w:t>
      </w:r>
      <w:r w:rsidR="00943DBD">
        <w:rPr>
          <w:szCs w:val="24"/>
        </w:rPr>
        <w:t>ation.</w:t>
      </w:r>
      <w:r w:rsidR="002B74F2">
        <w:rPr>
          <w:rStyle w:val="FootnoteReference"/>
          <w:szCs w:val="24"/>
        </w:rPr>
        <w:footnoteReference w:id="15"/>
      </w:r>
      <w:r w:rsidR="00943DBD">
        <w:rPr>
          <w:szCs w:val="24"/>
        </w:rPr>
        <w:t xml:space="preserve">  </w:t>
      </w:r>
    </w:p>
    <w:p w:rsidR="00DB6F43" w:rsidRDefault="00E373A7" w:rsidP="00DB6F43">
      <w:pPr>
        <w:pStyle w:val="QAQuestion"/>
        <w:tabs>
          <w:tab w:val="num" w:pos="720"/>
        </w:tabs>
        <w:spacing w:after="0" w:line="480" w:lineRule="auto"/>
        <w:ind w:left="720" w:hanging="720"/>
        <w:jc w:val="left"/>
        <w:rPr>
          <w:b/>
          <w:szCs w:val="24"/>
        </w:rPr>
      </w:pPr>
      <w:r>
        <w:rPr>
          <w:szCs w:val="24"/>
        </w:rPr>
        <w:tab/>
      </w:r>
      <w:r w:rsidR="006F44CA">
        <w:rPr>
          <w:szCs w:val="24"/>
        </w:rPr>
        <w:t>The actual capital structure equity ratio proposed by the Company is n</w:t>
      </w:r>
      <w:r w:rsidR="00943DBD">
        <w:rPr>
          <w:szCs w:val="24"/>
        </w:rPr>
        <w:t>ot</w:t>
      </w:r>
      <w:r w:rsidR="006F44CA">
        <w:rPr>
          <w:szCs w:val="24"/>
        </w:rPr>
        <w:t xml:space="preserve"> </w:t>
      </w:r>
      <w:r>
        <w:rPr>
          <w:szCs w:val="24"/>
        </w:rPr>
        <w:t>unreasonable, abnormal or imprudent</w:t>
      </w:r>
      <w:r w:rsidR="002B74F2">
        <w:rPr>
          <w:szCs w:val="24"/>
        </w:rPr>
        <w:t>.  Rather, it</w:t>
      </w:r>
      <w:r w:rsidR="00943DBD">
        <w:rPr>
          <w:szCs w:val="24"/>
        </w:rPr>
        <w:t xml:space="preserve"> is fully consistent with industry practice</w:t>
      </w:r>
      <w:r w:rsidR="006F44CA">
        <w:rPr>
          <w:szCs w:val="24"/>
        </w:rPr>
        <w:t xml:space="preserve"> </w:t>
      </w:r>
      <w:r w:rsidR="00943DBD">
        <w:rPr>
          <w:szCs w:val="24"/>
        </w:rPr>
        <w:t xml:space="preserve">and does not </w:t>
      </w:r>
      <w:r>
        <w:rPr>
          <w:szCs w:val="24"/>
        </w:rPr>
        <w:t>obstruct</w:t>
      </w:r>
      <w:r w:rsidR="00943DBD">
        <w:rPr>
          <w:szCs w:val="24"/>
        </w:rPr>
        <w:t xml:space="preserve"> the achievement of an appropriate balance</w:t>
      </w:r>
      <w:r w:rsidR="002B74F2">
        <w:rPr>
          <w:szCs w:val="24"/>
        </w:rPr>
        <w:t xml:space="preserve"> between financial safety and cost minimization</w:t>
      </w:r>
      <w:r w:rsidR="00943DBD">
        <w:rPr>
          <w:szCs w:val="24"/>
        </w:rPr>
        <w:t>.  No evide</w:t>
      </w:r>
      <w:r w:rsidR="00617AC1">
        <w:rPr>
          <w:szCs w:val="24"/>
        </w:rPr>
        <w:t>nce put forth by the other cost-</w:t>
      </w:r>
      <w:r w:rsidR="00943DBD">
        <w:rPr>
          <w:szCs w:val="24"/>
        </w:rPr>
        <w:t>of</w:t>
      </w:r>
      <w:r w:rsidR="00617AC1">
        <w:rPr>
          <w:szCs w:val="24"/>
        </w:rPr>
        <w:t>-</w:t>
      </w:r>
      <w:r w:rsidR="00943DBD">
        <w:rPr>
          <w:szCs w:val="24"/>
        </w:rPr>
        <w:t xml:space="preserve">capital experts provides any </w:t>
      </w:r>
      <w:r w:rsidR="006E0C2F">
        <w:rPr>
          <w:szCs w:val="24"/>
        </w:rPr>
        <w:t xml:space="preserve">defensible </w:t>
      </w:r>
      <w:r w:rsidR="00943DBD">
        <w:rPr>
          <w:szCs w:val="24"/>
        </w:rPr>
        <w:t xml:space="preserve">basis to reject the Company’s </w:t>
      </w:r>
      <w:r w:rsidR="00E32373">
        <w:rPr>
          <w:szCs w:val="24"/>
        </w:rPr>
        <w:t>actual</w:t>
      </w:r>
      <w:r w:rsidR="00943DBD">
        <w:rPr>
          <w:szCs w:val="24"/>
        </w:rPr>
        <w:t xml:space="preserve"> capital structure.  </w:t>
      </w:r>
      <w:r w:rsidR="00332C63">
        <w:rPr>
          <w:szCs w:val="24"/>
        </w:rPr>
        <w:t>As I show below</w:t>
      </w:r>
      <w:r w:rsidR="00943DBD">
        <w:rPr>
          <w:szCs w:val="24"/>
        </w:rPr>
        <w:t xml:space="preserve">, the evidence </w:t>
      </w:r>
      <w:r w:rsidR="00332C63">
        <w:rPr>
          <w:szCs w:val="24"/>
        </w:rPr>
        <w:t xml:space="preserve">of the other parties in this regard </w:t>
      </w:r>
      <w:r w:rsidR="00943DBD">
        <w:rPr>
          <w:szCs w:val="24"/>
        </w:rPr>
        <w:t xml:space="preserve">is based on </w:t>
      </w:r>
      <w:r w:rsidR="00332C63">
        <w:rPr>
          <w:szCs w:val="24"/>
        </w:rPr>
        <w:t xml:space="preserve">misleading comparisons and incorrect </w:t>
      </w:r>
      <w:r w:rsidR="002B74F2">
        <w:rPr>
          <w:szCs w:val="24"/>
        </w:rPr>
        <w:t xml:space="preserve">data or </w:t>
      </w:r>
      <w:r w:rsidR="00332C63">
        <w:rPr>
          <w:szCs w:val="24"/>
        </w:rPr>
        <w:t>assumptions</w:t>
      </w:r>
      <w:r w:rsidR="00943DBD">
        <w:rPr>
          <w:szCs w:val="24"/>
        </w:rPr>
        <w:t>.</w:t>
      </w:r>
    </w:p>
    <w:p w:rsidR="00332C63" w:rsidRDefault="00332C63" w:rsidP="00332C63">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Pr>
          <w:b/>
          <w:szCs w:val="24"/>
        </w:rPr>
        <w:t xml:space="preserve">Is Mr. Gorman right </w:t>
      </w:r>
      <w:r w:rsidR="002B74F2">
        <w:rPr>
          <w:b/>
          <w:szCs w:val="24"/>
        </w:rPr>
        <w:t>to</w:t>
      </w:r>
      <w:r>
        <w:rPr>
          <w:b/>
          <w:szCs w:val="24"/>
        </w:rPr>
        <w:t xml:space="preserve"> arg</w:t>
      </w:r>
      <w:r w:rsidR="002B74F2">
        <w:rPr>
          <w:b/>
          <w:szCs w:val="24"/>
        </w:rPr>
        <w:t>ue</w:t>
      </w:r>
      <w:r>
        <w:rPr>
          <w:b/>
          <w:szCs w:val="24"/>
        </w:rPr>
        <w:t xml:space="preserve"> that </w:t>
      </w:r>
      <w:r w:rsidR="002B74F2">
        <w:rPr>
          <w:b/>
          <w:szCs w:val="24"/>
        </w:rPr>
        <w:t xml:space="preserve">a </w:t>
      </w:r>
      <w:r w:rsidR="00075809">
        <w:rPr>
          <w:b/>
          <w:szCs w:val="24"/>
        </w:rPr>
        <w:t>49.1 percent</w:t>
      </w:r>
      <w:r>
        <w:rPr>
          <w:b/>
          <w:szCs w:val="24"/>
        </w:rPr>
        <w:t xml:space="preserve"> equity </w:t>
      </w:r>
      <w:r w:rsidR="002B74F2">
        <w:rPr>
          <w:b/>
          <w:szCs w:val="24"/>
        </w:rPr>
        <w:t xml:space="preserve">ratio </w:t>
      </w:r>
      <w:r>
        <w:rPr>
          <w:b/>
          <w:szCs w:val="24"/>
        </w:rPr>
        <w:t>is consistent with industry practice?</w:t>
      </w:r>
    </w:p>
    <w:p w:rsidR="00F84AE7" w:rsidRDefault="00332C63" w:rsidP="00F0333A">
      <w:pPr>
        <w:pStyle w:val="QAQuestion"/>
        <w:tabs>
          <w:tab w:val="num" w:pos="720"/>
        </w:tabs>
        <w:spacing w:after="0" w:line="480" w:lineRule="auto"/>
        <w:ind w:left="720" w:hanging="720"/>
        <w:jc w:val="left"/>
        <w:rPr>
          <w:szCs w:val="24"/>
        </w:rPr>
      </w:pPr>
      <w:r w:rsidRPr="00384017">
        <w:rPr>
          <w:szCs w:val="24"/>
        </w:rPr>
        <w:t>A.</w:t>
      </w:r>
      <w:r w:rsidRPr="00384017">
        <w:rPr>
          <w:szCs w:val="24"/>
        </w:rPr>
        <w:tab/>
      </w:r>
      <w:r>
        <w:rPr>
          <w:szCs w:val="24"/>
        </w:rPr>
        <w:t>No</w:t>
      </w:r>
      <w:r w:rsidR="00E373A7">
        <w:rPr>
          <w:szCs w:val="24"/>
        </w:rPr>
        <w:t>, that characterization fails to recognize important facts about ratemaking practice for electric utilities</w:t>
      </w:r>
      <w:r>
        <w:rPr>
          <w:szCs w:val="24"/>
        </w:rPr>
        <w:t>.</w:t>
      </w:r>
      <w:r w:rsidR="00E373A7">
        <w:rPr>
          <w:szCs w:val="24"/>
        </w:rPr>
        <w:t xml:space="preserve">  </w:t>
      </w:r>
      <w:r w:rsidR="00F84AE7">
        <w:rPr>
          <w:szCs w:val="24"/>
        </w:rPr>
        <w:t xml:space="preserve">While the </w:t>
      </w:r>
      <w:r w:rsidR="00075809">
        <w:rPr>
          <w:szCs w:val="24"/>
        </w:rPr>
        <w:t>49.1 percent</w:t>
      </w:r>
      <w:r w:rsidR="00F84AE7">
        <w:rPr>
          <w:szCs w:val="24"/>
        </w:rPr>
        <w:t xml:space="preserve"> equity ratio is, of course, consistent with this Commission’s decision in the Company’s most recent rate case, which I am informed is </w:t>
      </w:r>
      <w:r w:rsidR="0093473D">
        <w:rPr>
          <w:szCs w:val="24"/>
        </w:rPr>
        <w:t>currently in the judicial review process</w:t>
      </w:r>
      <w:r w:rsidR="00F84AE7">
        <w:rPr>
          <w:szCs w:val="24"/>
        </w:rPr>
        <w:t>, it fall</w:t>
      </w:r>
      <w:r w:rsidR="00AF3CD4">
        <w:rPr>
          <w:szCs w:val="24"/>
        </w:rPr>
        <w:t>s</w:t>
      </w:r>
      <w:r w:rsidR="00F84AE7">
        <w:rPr>
          <w:szCs w:val="24"/>
        </w:rPr>
        <w:t xml:space="preserve"> on the low end of the zone of reasonableness, as I explain below</w:t>
      </w:r>
      <w:r w:rsidR="006E0C2F">
        <w:rPr>
          <w:szCs w:val="24"/>
        </w:rPr>
        <w:t>, and could not be implemented without corresponding adjustments to the costs of debt and equity</w:t>
      </w:r>
      <w:r w:rsidR="00F84AE7">
        <w:rPr>
          <w:szCs w:val="24"/>
        </w:rPr>
        <w:t xml:space="preserve">. </w:t>
      </w:r>
    </w:p>
    <w:p w:rsidR="00332C63" w:rsidRDefault="00F0333A" w:rsidP="00F0333A">
      <w:pPr>
        <w:pStyle w:val="QAQuestion"/>
        <w:tabs>
          <w:tab w:val="num" w:pos="720"/>
        </w:tabs>
        <w:spacing w:after="0" w:line="480" w:lineRule="auto"/>
        <w:ind w:left="720" w:hanging="720"/>
        <w:jc w:val="left"/>
        <w:rPr>
          <w:szCs w:val="24"/>
        </w:rPr>
      </w:pPr>
      <w:r>
        <w:rPr>
          <w:szCs w:val="24"/>
        </w:rPr>
        <w:tab/>
      </w:r>
      <w:r>
        <w:rPr>
          <w:szCs w:val="24"/>
        </w:rPr>
        <w:tab/>
      </w:r>
      <w:r w:rsidR="002B74F2">
        <w:rPr>
          <w:szCs w:val="24"/>
        </w:rPr>
        <w:t>The equity ratios authorized by public utility commissions across the United States establish the parameters that characterize industry practice.  In fact,</w:t>
      </w:r>
      <w:r w:rsidR="00E32373">
        <w:rPr>
          <w:szCs w:val="24"/>
        </w:rPr>
        <w:t xml:space="preserve"> when considered in this context, a</w:t>
      </w:r>
      <w:r w:rsidR="002B74F2">
        <w:rPr>
          <w:szCs w:val="24"/>
        </w:rPr>
        <w:t xml:space="preserve"> </w:t>
      </w:r>
      <w:r w:rsidR="00075809">
        <w:rPr>
          <w:szCs w:val="24"/>
        </w:rPr>
        <w:t>49.1 percent</w:t>
      </w:r>
      <w:r w:rsidR="002B74F2">
        <w:rPr>
          <w:szCs w:val="24"/>
        </w:rPr>
        <w:t xml:space="preserve"> </w:t>
      </w:r>
      <w:r w:rsidR="00E32373">
        <w:rPr>
          <w:szCs w:val="24"/>
        </w:rPr>
        <w:t xml:space="preserve">equity ratio </w:t>
      </w:r>
      <w:r w:rsidR="002B74F2">
        <w:rPr>
          <w:szCs w:val="24"/>
        </w:rPr>
        <w:t xml:space="preserve">falls on the low end of equity ratios employed by other utilities for ratemaking purposes.  </w:t>
      </w:r>
      <w:r w:rsidR="00E75126">
        <w:rPr>
          <w:szCs w:val="24"/>
        </w:rPr>
        <w:t>I illustrate this in Table 2 below</w:t>
      </w:r>
      <w:r w:rsidR="008702C9">
        <w:rPr>
          <w:szCs w:val="24"/>
        </w:rPr>
        <w:t xml:space="preserve"> and in Exhibit </w:t>
      </w:r>
      <w:r w:rsidR="00383995">
        <w:rPr>
          <w:szCs w:val="24"/>
        </w:rPr>
        <w:t xml:space="preserve">No. </w:t>
      </w:r>
      <w:r w:rsidR="008702C9" w:rsidRPr="00F0333A">
        <w:rPr>
          <w:szCs w:val="24"/>
        </w:rPr>
        <w:t>KGS-</w:t>
      </w:r>
      <w:r w:rsidR="0021192E">
        <w:rPr>
          <w:szCs w:val="24"/>
        </w:rPr>
        <w:t>22</w:t>
      </w:r>
      <w:r w:rsidR="008702C9">
        <w:rPr>
          <w:szCs w:val="24"/>
        </w:rPr>
        <w:t>.</w:t>
      </w:r>
    </w:p>
    <w:p w:rsidR="00383995" w:rsidRDefault="00383995" w:rsidP="00383995">
      <w:pPr>
        <w:suppressLineNumbers/>
        <w:tabs>
          <w:tab w:val="left" w:pos="720"/>
          <w:tab w:val="left" w:pos="1440"/>
        </w:tabs>
        <w:ind w:left="1440" w:right="288" w:hanging="1440"/>
        <w:jc w:val="center"/>
        <w:rPr>
          <w:b/>
          <w:szCs w:val="24"/>
        </w:rPr>
      </w:pPr>
    </w:p>
    <w:p w:rsidR="0061235F" w:rsidRDefault="0061235F" w:rsidP="00383995">
      <w:pPr>
        <w:suppressLineNumbers/>
        <w:tabs>
          <w:tab w:val="left" w:pos="720"/>
          <w:tab w:val="left" w:pos="1440"/>
        </w:tabs>
        <w:ind w:left="1440" w:right="288" w:hanging="1440"/>
        <w:jc w:val="center"/>
        <w:rPr>
          <w:b/>
          <w:szCs w:val="24"/>
        </w:rPr>
      </w:pPr>
    </w:p>
    <w:p w:rsidR="0061235F" w:rsidRDefault="0061235F" w:rsidP="00383995">
      <w:pPr>
        <w:suppressLineNumbers/>
        <w:tabs>
          <w:tab w:val="left" w:pos="720"/>
          <w:tab w:val="left" w:pos="1440"/>
        </w:tabs>
        <w:ind w:left="1440" w:right="288" w:hanging="1440"/>
        <w:jc w:val="center"/>
        <w:rPr>
          <w:b/>
          <w:szCs w:val="24"/>
        </w:rPr>
      </w:pPr>
    </w:p>
    <w:p w:rsidR="0061235F" w:rsidRDefault="0061235F" w:rsidP="00383995">
      <w:pPr>
        <w:suppressLineNumbers/>
        <w:tabs>
          <w:tab w:val="left" w:pos="720"/>
          <w:tab w:val="left" w:pos="1440"/>
        </w:tabs>
        <w:ind w:left="1440" w:right="288" w:hanging="1440"/>
        <w:jc w:val="center"/>
        <w:rPr>
          <w:b/>
          <w:szCs w:val="24"/>
        </w:rPr>
      </w:pPr>
    </w:p>
    <w:p w:rsidR="0061235F" w:rsidRDefault="0061235F" w:rsidP="00383995">
      <w:pPr>
        <w:suppressLineNumbers/>
        <w:tabs>
          <w:tab w:val="left" w:pos="720"/>
          <w:tab w:val="left" w:pos="1440"/>
        </w:tabs>
        <w:ind w:left="1440" w:right="288" w:hanging="1440"/>
        <w:jc w:val="center"/>
        <w:rPr>
          <w:b/>
          <w:szCs w:val="24"/>
        </w:rPr>
      </w:pPr>
    </w:p>
    <w:p w:rsidR="0061235F" w:rsidRDefault="0061235F" w:rsidP="00383995">
      <w:pPr>
        <w:suppressLineNumbers/>
        <w:tabs>
          <w:tab w:val="left" w:pos="720"/>
          <w:tab w:val="left" w:pos="1440"/>
        </w:tabs>
        <w:ind w:left="1440" w:right="288" w:hanging="1440"/>
        <w:jc w:val="center"/>
        <w:rPr>
          <w:b/>
          <w:szCs w:val="24"/>
        </w:rPr>
      </w:pPr>
    </w:p>
    <w:p w:rsidR="00E75126" w:rsidRPr="0052039F" w:rsidRDefault="00617AC1" w:rsidP="00383995">
      <w:pPr>
        <w:suppressLineNumbers/>
        <w:tabs>
          <w:tab w:val="left" w:pos="720"/>
          <w:tab w:val="left" w:pos="1440"/>
        </w:tabs>
        <w:ind w:left="1440" w:right="288" w:hanging="1440"/>
        <w:jc w:val="center"/>
        <w:rPr>
          <w:b/>
          <w:szCs w:val="24"/>
        </w:rPr>
      </w:pPr>
      <w:r>
        <w:rPr>
          <w:b/>
          <w:szCs w:val="24"/>
        </w:rPr>
        <w:t>TABLE</w:t>
      </w:r>
      <w:r w:rsidR="00E75126" w:rsidRPr="0052039F">
        <w:rPr>
          <w:b/>
          <w:szCs w:val="24"/>
        </w:rPr>
        <w:t xml:space="preserve"> </w:t>
      </w:r>
      <w:r w:rsidR="00E75126">
        <w:rPr>
          <w:b/>
          <w:szCs w:val="24"/>
        </w:rPr>
        <w:t>2</w:t>
      </w:r>
    </w:p>
    <w:p w:rsidR="00E75126" w:rsidRDefault="00E75126" w:rsidP="00383995">
      <w:pPr>
        <w:suppressLineNumbers/>
        <w:tabs>
          <w:tab w:val="left" w:pos="720"/>
          <w:tab w:val="left" w:pos="1440"/>
        </w:tabs>
        <w:ind w:left="1440" w:right="288" w:hanging="1440"/>
        <w:jc w:val="center"/>
        <w:rPr>
          <w:b/>
          <w:szCs w:val="24"/>
        </w:rPr>
      </w:pPr>
      <w:r w:rsidRPr="0052039F">
        <w:rPr>
          <w:b/>
          <w:szCs w:val="24"/>
        </w:rPr>
        <w:t>A</w:t>
      </w:r>
      <w:r>
        <w:rPr>
          <w:b/>
          <w:szCs w:val="24"/>
        </w:rPr>
        <w:t>uthorized Equity</w:t>
      </w:r>
      <w:r w:rsidRPr="0052039F">
        <w:rPr>
          <w:b/>
          <w:szCs w:val="24"/>
        </w:rPr>
        <w:t xml:space="preserve"> </w:t>
      </w:r>
      <w:r>
        <w:rPr>
          <w:b/>
          <w:szCs w:val="24"/>
        </w:rPr>
        <w:t>Ratios</w:t>
      </w:r>
      <w:r w:rsidRPr="0052039F">
        <w:rPr>
          <w:b/>
          <w:szCs w:val="24"/>
        </w:rPr>
        <w:t xml:space="preserve"> for Integrated Utilities Comparable to </w:t>
      </w:r>
      <w:r w:rsidR="005E2DD7">
        <w:rPr>
          <w:b/>
          <w:szCs w:val="24"/>
        </w:rPr>
        <w:t>Pacific</w:t>
      </w:r>
      <w:r w:rsidRPr="0052039F">
        <w:rPr>
          <w:b/>
          <w:szCs w:val="24"/>
        </w:rPr>
        <w:t xml:space="preserve"> Power</w:t>
      </w:r>
    </w:p>
    <w:p w:rsidR="005E2DD7" w:rsidRDefault="005E2DD7" w:rsidP="00383995">
      <w:pPr>
        <w:suppressLineNumbers/>
        <w:tabs>
          <w:tab w:val="left" w:pos="720"/>
          <w:tab w:val="left" w:pos="1440"/>
        </w:tabs>
        <w:ind w:left="1440" w:right="288" w:hanging="1440"/>
        <w:jc w:val="center"/>
        <w:rPr>
          <w:b/>
          <w:szCs w:val="24"/>
        </w:rPr>
      </w:pPr>
      <w:r>
        <w:rPr>
          <w:b/>
          <w:szCs w:val="24"/>
        </w:rPr>
        <w:t>January 2009 through October 2014</w:t>
      </w:r>
    </w:p>
    <w:p w:rsidR="00E75126" w:rsidRPr="0052039F" w:rsidRDefault="00E75126" w:rsidP="00383995">
      <w:pPr>
        <w:suppressLineNumbers/>
        <w:tabs>
          <w:tab w:val="left" w:pos="720"/>
          <w:tab w:val="left" w:pos="1440"/>
        </w:tabs>
        <w:ind w:left="1440" w:right="288" w:hanging="1440"/>
        <w:jc w:val="center"/>
        <w:rPr>
          <w:b/>
          <w:szCs w:val="24"/>
        </w:rPr>
      </w:pPr>
    </w:p>
    <w:tbl>
      <w:tblPr>
        <w:tblStyle w:val="TableGrid"/>
        <w:tblW w:w="0" w:type="auto"/>
        <w:jc w:val="center"/>
        <w:tblInd w:w="1098" w:type="dxa"/>
        <w:tblLook w:val="04A0" w:firstRow="1" w:lastRow="0" w:firstColumn="1" w:lastColumn="0" w:noHBand="0" w:noVBand="1"/>
      </w:tblPr>
      <w:tblGrid>
        <w:gridCol w:w="3017"/>
        <w:gridCol w:w="2766"/>
        <w:gridCol w:w="2335"/>
      </w:tblGrid>
      <w:tr w:rsidR="005E2DD7" w:rsidTr="007C0561">
        <w:trPr>
          <w:jc w:val="center"/>
        </w:trPr>
        <w:tc>
          <w:tcPr>
            <w:tcW w:w="3017" w:type="dxa"/>
          </w:tcPr>
          <w:p w:rsidR="005E2DD7" w:rsidRDefault="005E2DD7" w:rsidP="00302D8D">
            <w:pPr>
              <w:tabs>
                <w:tab w:val="left" w:pos="720"/>
                <w:tab w:val="left" w:pos="1440"/>
              </w:tabs>
              <w:spacing w:line="480" w:lineRule="exact"/>
              <w:ind w:right="288"/>
              <w:jc w:val="center"/>
              <w:rPr>
                <w:b/>
                <w:szCs w:val="24"/>
              </w:rPr>
            </w:pPr>
          </w:p>
        </w:tc>
        <w:tc>
          <w:tcPr>
            <w:tcW w:w="2766" w:type="dxa"/>
          </w:tcPr>
          <w:p w:rsidR="005E2DD7" w:rsidRDefault="005E2DD7" w:rsidP="005E2DD7">
            <w:pPr>
              <w:tabs>
                <w:tab w:val="left" w:pos="720"/>
                <w:tab w:val="left" w:pos="1440"/>
              </w:tabs>
              <w:spacing w:line="480" w:lineRule="exact"/>
              <w:ind w:right="288"/>
              <w:jc w:val="center"/>
              <w:rPr>
                <w:b/>
                <w:szCs w:val="24"/>
              </w:rPr>
            </w:pPr>
            <w:r>
              <w:rPr>
                <w:b/>
                <w:szCs w:val="24"/>
              </w:rPr>
              <w:t>Number of Cases</w:t>
            </w:r>
          </w:p>
        </w:tc>
        <w:tc>
          <w:tcPr>
            <w:tcW w:w="2335" w:type="dxa"/>
          </w:tcPr>
          <w:p w:rsidR="005E2DD7" w:rsidRDefault="005E2DD7" w:rsidP="005E2DD7">
            <w:pPr>
              <w:tabs>
                <w:tab w:val="left" w:pos="720"/>
                <w:tab w:val="left" w:pos="1440"/>
              </w:tabs>
              <w:spacing w:line="480" w:lineRule="exact"/>
              <w:ind w:right="288"/>
              <w:jc w:val="center"/>
              <w:rPr>
                <w:b/>
                <w:szCs w:val="24"/>
              </w:rPr>
            </w:pPr>
            <w:r>
              <w:rPr>
                <w:b/>
                <w:szCs w:val="24"/>
              </w:rPr>
              <w:t>Percent of Cases</w:t>
            </w:r>
          </w:p>
        </w:tc>
      </w:tr>
      <w:tr w:rsidR="005E2DD7" w:rsidTr="007C0561">
        <w:trPr>
          <w:jc w:val="center"/>
        </w:trPr>
        <w:tc>
          <w:tcPr>
            <w:tcW w:w="3017" w:type="dxa"/>
          </w:tcPr>
          <w:p w:rsidR="005E2DD7" w:rsidRPr="00617AC1" w:rsidRDefault="00617AC1" w:rsidP="00617AC1">
            <w:pPr>
              <w:jc w:val="center"/>
              <w:rPr>
                <w:rFonts w:eastAsiaTheme="minorHAnsi"/>
                <w:szCs w:val="24"/>
              </w:rPr>
            </w:pPr>
            <w:r w:rsidRPr="00617AC1">
              <w:rPr>
                <w:rFonts w:eastAsiaTheme="minorHAnsi"/>
                <w:b/>
                <w:szCs w:val="24"/>
              </w:rPr>
              <w:t>Cases with Equity Ratio Above 49.1</w:t>
            </w:r>
          </w:p>
        </w:tc>
        <w:tc>
          <w:tcPr>
            <w:tcW w:w="2766" w:type="dxa"/>
          </w:tcPr>
          <w:p w:rsidR="005E2DD7" w:rsidRDefault="005E2DD7" w:rsidP="00255BBE">
            <w:pPr>
              <w:tabs>
                <w:tab w:val="left" w:pos="720"/>
                <w:tab w:val="left" w:pos="1440"/>
              </w:tabs>
              <w:spacing w:line="480" w:lineRule="exact"/>
              <w:ind w:right="288"/>
              <w:jc w:val="center"/>
              <w:rPr>
                <w:b/>
                <w:szCs w:val="24"/>
              </w:rPr>
            </w:pPr>
            <w:r>
              <w:rPr>
                <w:b/>
                <w:szCs w:val="24"/>
              </w:rPr>
              <w:t>10</w:t>
            </w:r>
            <w:r w:rsidR="00255BBE">
              <w:rPr>
                <w:b/>
                <w:szCs w:val="24"/>
              </w:rPr>
              <w:t>5</w:t>
            </w:r>
          </w:p>
        </w:tc>
        <w:tc>
          <w:tcPr>
            <w:tcW w:w="2335" w:type="dxa"/>
          </w:tcPr>
          <w:p w:rsidR="005E2DD7" w:rsidRDefault="005E2DD7" w:rsidP="005E2DD7">
            <w:pPr>
              <w:tabs>
                <w:tab w:val="left" w:pos="720"/>
                <w:tab w:val="left" w:pos="1440"/>
              </w:tabs>
              <w:spacing w:line="480" w:lineRule="exact"/>
              <w:ind w:right="288"/>
              <w:jc w:val="center"/>
              <w:rPr>
                <w:b/>
                <w:szCs w:val="24"/>
              </w:rPr>
            </w:pPr>
            <w:r>
              <w:rPr>
                <w:b/>
                <w:szCs w:val="24"/>
              </w:rPr>
              <w:t>66%</w:t>
            </w:r>
          </w:p>
        </w:tc>
      </w:tr>
      <w:tr w:rsidR="005E2DD7" w:rsidTr="007C0561">
        <w:trPr>
          <w:jc w:val="center"/>
        </w:trPr>
        <w:tc>
          <w:tcPr>
            <w:tcW w:w="3017" w:type="dxa"/>
          </w:tcPr>
          <w:p w:rsidR="005E2DD7" w:rsidRDefault="00617AC1" w:rsidP="00617AC1">
            <w:pPr>
              <w:jc w:val="center"/>
              <w:rPr>
                <w:b/>
                <w:szCs w:val="24"/>
              </w:rPr>
            </w:pPr>
            <w:r>
              <w:rPr>
                <w:rFonts w:eastAsiaTheme="minorHAnsi"/>
                <w:b/>
                <w:szCs w:val="24"/>
              </w:rPr>
              <w:t>Cases with Equity Ratio At or Below</w:t>
            </w:r>
            <w:r w:rsidRPr="00617AC1">
              <w:rPr>
                <w:rFonts w:eastAsiaTheme="minorHAnsi"/>
                <w:b/>
                <w:szCs w:val="24"/>
              </w:rPr>
              <w:t xml:space="preserve"> 49.1</w:t>
            </w:r>
          </w:p>
        </w:tc>
        <w:tc>
          <w:tcPr>
            <w:tcW w:w="2766" w:type="dxa"/>
          </w:tcPr>
          <w:p w:rsidR="005E2DD7" w:rsidRDefault="005E2DD7" w:rsidP="00255BBE">
            <w:pPr>
              <w:tabs>
                <w:tab w:val="left" w:pos="720"/>
                <w:tab w:val="left" w:pos="1440"/>
              </w:tabs>
              <w:spacing w:line="480" w:lineRule="exact"/>
              <w:ind w:right="288"/>
              <w:jc w:val="center"/>
              <w:rPr>
                <w:b/>
                <w:szCs w:val="24"/>
              </w:rPr>
            </w:pPr>
            <w:r>
              <w:rPr>
                <w:b/>
                <w:szCs w:val="24"/>
              </w:rPr>
              <w:t>5</w:t>
            </w:r>
            <w:r w:rsidR="00255BBE">
              <w:rPr>
                <w:b/>
                <w:szCs w:val="24"/>
              </w:rPr>
              <w:t>3</w:t>
            </w:r>
          </w:p>
        </w:tc>
        <w:tc>
          <w:tcPr>
            <w:tcW w:w="2335" w:type="dxa"/>
          </w:tcPr>
          <w:p w:rsidR="005E2DD7" w:rsidRDefault="005E2DD7" w:rsidP="00302D8D">
            <w:pPr>
              <w:tabs>
                <w:tab w:val="left" w:pos="720"/>
                <w:tab w:val="left" w:pos="1440"/>
              </w:tabs>
              <w:spacing w:line="480" w:lineRule="exact"/>
              <w:ind w:right="288"/>
              <w:jc w:val="center"/>
              <w:rPr>
                <w:b/>
                <w:szCs w:val="24"/>
              </w:rPr>
            </w:pPr>
            <w:r>
              <w:rPr>
                <w:b/>
                <w:szCs w:val="24"/>
              </w:rPr>
              <w:t>34%</w:t>
            </w:r>
          </w:p>
        </w:tc>
      </w:tr>
      <w:tr w:rsidR="005E2DD7" w:rsidTr="007C0561">
        <w:trPr>
          <w:jc w:val="center"/>
        </w:trPr>
        <w:tc>
          <w:tcPr>
            <w:tcW w:w="8118" w:type="dxa"/>
            <w:gridSpan w:val="3"/>
          </w:tcPr>
          <w:p w:rsidR="005E2DD7" w:rsidRDefault="005E2DD7" w:rsidP="00302D8D">
            <w:pPr>
              <w:tabs>
                <w:tab w:val="left" w:pos="720"/>
                <w:tab w:val="left" w:pos="1440"/>
              </w:tabs>
              <w:spacing w:line="480" w:lineRule="exact"/>
              <w:ind w:right="288"/>
              <w:rPr>
                <w:b/>
                <w:szCs w:val="24"/>
              </w:rPr>
            </w:pPr>
            <w:r>
              <w:rPr>
                <w:b/>
                <w:szCs w:val="24"/>
              </w:rPr>
              <w:t>Source: Regulatory Research Associates</w:t>
            </w:r>
          </w:p>
        </w:tc>
      </w:tr>
    </w:tbl>
    <w:p w:rsidR="00E75126" w:rsidRPr="00A668F5" w:rsidRDefault="00E75126" w:rsidP="00383995">
      <w:pPr>
        <w:pStyle w:val="QAQuestion"/>
        <w:suppressLineNumbers/>
        <w:tabs>
          <w:tab w:val="num" w:pos="720"/>
        </w:tabs>
        <w:spacing w:after="0" w:line="480" w:lineRule="auto"/>
        <w:ind w:left="720" w:hanging="720"/>
        <w:jc w:val="left"/>
        <w:rPr>
          <w:szCs w:val="24"/>
        </w:rPr>
      </w:pPr>
    </w:p>
    <w:p w:rsidR="00E75126" w:rsidRPr="00A668F5" w:rsidRDefault="00A668F5" w:rsidP="00383995">
      <w:pPr>
        <w:pStyle w:val="QAQuestion"/>
        <w:tabs>
          <w:tab w:val="num" w:pos="720"/>
        </w:tabs>
        <w:spacing w:after="0" w:line="480" w:lineRule="auto"/>
        <w:ind w:left="720" w:hanging="720"/>
        <w:jc w:val="left"/>
        <w:rPr>
          <w:szCs w:val="24"/>
        </w:rPr>
      </w:pPr>
      <w:r>
        <w:rPr>
          <w:szCs w:val="24"/>
        </w:rPr>
        <w:tab/>
      </w:r>
      <w:r w:rsidR="008702C9">
        <w:rPr>
          <w:szCs w:val="24"/>
        </w:rPr>
        <w:t xml:space="preserve">Table 2 confirms that it is </w:t>
      </w:r>
      <w:r w:rsidR="008129EC">
        <w:rPr>
          <w:szCs w:val="24"/>
        </w:rPr>
        <w:t xml:space="preserve">considerably </w:t>
      </w:r>
      <w:r w:rsidR="008702C9">
        <w:rPr>
          <w:szCs w:val="24"/>
        </w:rPr>
        <w:t xml:space="preserve">more common in the regulated </w:t>
      </w:r>
      <w:r w:rsidR="008129EC">
        <w:rPr>
          <w:szCs w:val="24"/>
        </w:rPr>
        <w:t xml:space="preserve">electric </w:t>
      </w:r>
      <w:r w:rsidR="008702C9">
        <w:rPr>
          <w:szCs w:val="24"/>
        </w:rPr>
        <w:t>utility industry to employ an equity ratio that exceeds these witnesses</w:t>
      </w:r>
      <w:r w:rsidR="008129EC">
        <w:rPr>
          <w:szCs w:val="24"/>
        </w:rPr>
        <w:t>’</w:t>
      </w:r>
      <w:r w:rsidR="008702C9">
        <w:rPr>
          <w:szCs w:val="24"/>
        </w:rPr>
        <w:t xml:space="preserve"> proposal of </w:t>
      </w:r>
      <w:r w:rsidR="00617AC1">
        <w:rPr>
          <w:szCs w:val="24"/>
        </w:rPr>
        <w:t xml:space="preserve">          </w:t>
      </w:r>
      <w:r w:rsidR="00075809">
        <w:rPr>
          <w:szCs w:val="24"/>
        </w:rPr>
        <w:t>49.1 percent</w:t>
      </w:r>
      <w:r w:rsidR="00302D8D">
        <w:rPr>
          <w:szCs w:val="24"/>
        </w:rPr>
        <w:t xml:space="preserve"> than one at or below that level</w:t>
      </w:r>
      <w:r w:rsidR="008702C9">
        <w:rPr>
          <w:szCs w:val="24"/>
        </w:rPr>
        <w:t xml:space="preserve">.  </w:t>
      </w:r>
      <w:r w:rsidR="003E2125">
        <w:rPr>
          <w:szCs w:val="24"/>
        </w:rPr>
        <w:t>The</w:t>
      </w:r>
      <w:r w:rsidR="006E0C2F">
        <w:rPr>
          <w:szCs w:val="24"/>
        </w:rPr>
        <w:t xml:space="preserve"> suggestion by Mr. Gorman that </w:t>
      </w:r>
      <w:r w:rsidR="009042F6">
        <w:rPr>
          <w:szCs w:val="24"/>
        </w:rPr>
        <w:t xml:space="preserve">a common equity ratio of 49.1 percent </w:t>
      </w:r>
      <w:r w:rsidR="006E0C2F">
        <w:rPr>
          <w:szCs w:val="24"/>
        </w:rPr>
        <w:t>is squarely</w:t>
      </w:r>
      <w:r w:rsidR="003E2125">
        <w:rPr>
          <w:szCs w:val="24"/>
        </w:rPr>
        <w:t xml:space="preserve"> </w:t>
      </w:r>
      <w:r w:rsidR="008129EC">
        <w:rPr>
          <w:szCs w:val="24"/>
        </w:rPr>
        <w:t xml:space="preserve">consistent with industry practice </w:t>
      </w:r>
      <w:r w:rsidR="003E2125">
        <w:rPr>
          <w:szCs w:val="24"/>
        </w:rPr>
        <w:t>is</w:t>
      </w:r>
      <w:r w:rsidR="008129EC">
        <w:rPr>
          <w:szCs w:val="24"/>
        </w:rPr>
        <w:t xml:space="preserve"> incorrect</w:t>
      </w:r>
      <w:r w:rsidR="00E32373">
        <w:rPr>
          <w:szCs w:val="24"/>
        </w:rPr>
        <w:t xml:space="preserve"> and misleading</w:t>
      </w:r>
      <w:r w:rsidR="008129EC">
        <w:rPr>
          <w:szCs w:val="24"/>
        </w:rPr>
        <w:t>.</w:t>
      </w:r>
    </w:p>
    <w:p w:rsidR="00F9119B" w:rsidRPr="0079454C" w:rsidRDefault="00F9119B" w:rsidP="00383995">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sidRPr="00F9119B">
        <w:rPr>
          <w:b/>
          <w:szCs w:val="24"/>
        </w:rPr>
        <w:t xml:space="preserve">Mr. Parcell suggests that the use of a </w:t>
      </w:r>
      <w:r w:rsidR="00075809">
        <w:rPr>
          <w:b/>
          <w:szCs w:val="24"/>
        </w:rPr>
        <w:t>49.1 percent</w:t>
      </w:r>
      <w:r w:rsidRPr="00F9119B">
        <w:rPr>
          <w:b/>
          <w:szCs w:val="24"/>
        </w:rPr>
        <w:t xml:space="preserve"> equity ratio is somehow justified by the lack of significant short-term debt in the Company’s capital structure.  </w:t>
      </w:r>
      <w:r>
        <w:rPr>
          <w:b/>
          <w:szCs w:val="24"/>
        </w:rPr>
        <w:t>Is this a reasonable public policy recommendation</w:t>
      </w:r>
      <w:r w:rsidRPr="00384017">
        <w:rPr>
          <w:b/>
          <w:szCs w:val="24"/>
        </w:rPr>
        <w:t xml:space="preserve">? </w:t>
      </w:r>
    </w:p>
    <w:p w:rsidR="00B20977" w:rsidRPr="00B20977" w:rsidRDefault="00F9119B" w:rsidP="00F06E3E">
      <w:pPr>
        <w:pStyle w:val="QAQuestion"/>
        <w:tabs>
          <w:tab w:val="num" w:pos="720"/>
        </w:tabs>
        <w:spacing w:after="0" w:line="480" w:lineRule="auto"/>
        <w:ind w:left="720" w:hanging="720"/>
        <w:jc w:val="left"/>
      </w:pPr>
      <w:r w:rsidRPr="00384017">
        <w:rPr>
          <w:szCs w:val="24"/>
        </w:rPr>
        <w:t>A.</w:t>
      </w:r>
      <w:r w:rsidRPr="00384017">
        <w:rPr>
          <w:szCs w:val="24"/>
        </w:rPr>
        <w:tab/>
      </w:r>
      <w:r>
        <w:rPr>
          <w:szCs w:val="24"/>
        </w:rPr>
        <w:t xml:space="preserve">No.  </w:t>
      </w:r>
      <w:r w:rsidR="00F84AE7">
        <w:rPr>
          <w:szCs w:val="24"/>
        </w:rPr>
        <w:t>Mr. Parcell’s suggestion is based upon</w:t>
      </w:r>
      <w:r w:rsidR="00DB6F43">
        <w:rPr>
          <w:szCs w:val="24"/>
        </w:rPr>
        <w:t xml:space="preserve"> misconceptions of the role of short-term debt</w:t>
      </w:r>
      <w:r w:rsidR="00F84AE7">
        <w:rPr>
          <w:szCs w:val="24"/>
        </w:rPr>
        <w:t xml:space="preserve"> and its effect on utilities’ financial integrity</w:t>
      </w:r>
      <w:r w:rsidR="00D51B52">
        <w:rPr>
          <w:szCs w:val="24"/>
        </w:rPr>
        <w:t xml:space="preserve"> in today’s markets</w:t>
      </w:r>
      <w:r w:rsidR="00DB6F43">
        <w:rPr>
          <w:szCs w:val="24"/>
        </w:rPr>
        <w:t xml:space="preserve">.  </w:t>
      </w:r>
      <w:r w:rsidR="00D51B52">
        <w:t>Typically, the role of s</w:t>
      </w:r>
      <w:r w:rsidR="003E2125">
        <w:t xml:space="preserve">hort-term debt </w:t>
      </w:r>
      <w:r w:rsidR="00D51B52">
        <w:t>is</w:t>
      </w:r>
      <w:r w:rsidR="00F84AE7">
        <w:t xml:space="preserve"> </w:t>
      </w:r>
      <w:r w:rsidR="00F84AE7" w:rsidRPr="00142386">
        <w:rPr>
          <w:i/>
        </w:rPr>
        <w:t>not</w:t>
      </w:r>
      <w:r w:rsidR="003E2125">
        <w:t xml:space="preserve"> </w:t>
      </w:r>
      <w:r w:rsidR="00D51B52">
        <w:t xml:space="preserve">to </w:t>
      </w:r>
      <w:r w:rsidR="00F84AE7">
        <w:t xml:space="preserve">provide a </w:t>
      </w:r>
      <w:r w:rsidR="003E2125">
        <w:t>consistent source of funding for long-</w:t>
      </w:r>
      <w:r w:rsidR="00F84AE7">
        <w:t>lived</w:t>
      </w:r>
      <w:r w:rsidR="003E2125">
        <w:t xml:space="preserve"> assets</w:t>
      </w:r>
      <w:r w:rsidR="00F84AE7">
        <w:t xml:space="preserve"> like those carried on the books of public utilities</w:t>
      </w:r>
      <w:r w:rsidR="003E2125">
        <w:t xml:space="preserve">.  </w:t>
      </w:r>
      <w:r w:rsidR="00D51B52">
        <w:t>In addition, f</w:t>
      </w:r>
      <w:r w:rsidR="00F84AE7">
        <w:t xml:space="preserve">or many companies, </w:t>
      </w:r>
      <w:r w:rsidR="00D51B52">
        <w:t>short-term debt</w:t>
      </w:r>
      <w:r w:rsidR="003E2125">
        <w:t xml:space="preserve"> can be seasonal in nature, </w:t>
      </w:r>
      <w:r w:rsidR="00B20977">
        <w:t xml:space="preserve">or can be used intermittently, </w:t>
      </w:r>
      <w:r w:rsidR="003E2125">
        <w:t xml:space="preserve">with </w:t>
      </w:r>
      <w:r w:rsidR="00B20977">
        <w:t xml:space="preserve">some periods showing balances and others showing </w:t>
      </w:r>
      <w:r w:rsidR="003E2125">
        <w:t xml:space="preserve">no short-term debt.  </w:t>
      </w:r>
      <w:r w:rsidR="00B20977">
        <w:t xml:space="preserve">My review of </w:t>
      </w:r>
      <w:r w:rsidR="00617AC1">
        <w:t>the Company</w:t>
      </w:r>
      <w:r w:rsidR="00B20977">
        <w:t xml:space="preserve">’s short-term debt </w:t>
      </w:r>
      <w:r w:rsidR="00142386">
        <w:t xml:space="preserve">over time </w:t>
      </w:r>
      <w:r w:rsidR="00B20977">
        <w:t>shows significant volatility in the quarter-end balances and does not suggest that it is a permanent source of funding for long-lived assets used to provide public utility services.</w:t>
      </w:r>
    </w:p>
    <w:p w:rsidR="003E2125" w:rsidRDefault="00F84AE7" w:rsidP="00F06E3E">
      <w:pPr>
        <w:pStyle w:val="QAQCont"/>
        <w:spacing w:after="0" w:line="480" w:lineRule="auto"/>
        <w:ind w:left="720" w:firstLine="720"/>
        <w:jc w:val="left"/>
      </w:pPr>
      <w:r>
        <w:t>In addition</w:t>
      </w:r>
      <w:r w:rsidR="003E2125">
        <w:t>,</w:t>
      </w:r>
      <w:r>
        <w:t xml:space="preserve"> since </w:t>
      </w:r>
      <w:r w:rsidR="00B20977">
        <w:t xml:space="preserve">today’s </w:t>
      </w:r>
      <w:r>
        <w:t xml:space="preserve">capital markets are exhibiting extraordinary tendencies, </w:t>
      </w:r>
      <w:r w:rsidR="00003A64">
        <w:t xml:space="preserve">one must </w:t>
      </w:r>
      <w:r w:rsidR="00E32373">
        <w:t>consider</w:t>
      </w:r>
      <w:r>
        <w:t xml:space="preserve"> whether it is appropriate </w:t>
      </w:r>
      <w:r w:rsidR="00E32373">
        <w:t xml:space="preserve">public policy </w:t>
      </w:r>
      <w:r>
        <w:t xml:space="preserve">to include short-term debt </w:t>
      </w:r>
      <w:r w:rsidRPr="00E32373">
        <w:rPr>
          <w:i/>
        </w:rPr>
        <w:t>under the</w:t>
      </w:r>
      <w:r w:rsidR="00B17D7C" w:rsidRPr="00E32373">
        <w:rPr>
          <w:i/>
        </w:rPr>
        <w:t xml:space="preserve"> current</w:t>
      </w:r>
      <w:r w:rsidRPr="00E32373">
        <w:rPr>
          <w:i/>
        </w:rPr>
        <w:t xml:space="preserve"> market conditions</w:t>
      </w:r>
      <w:r>
        <w:t xml:space="preserve">.  The origin of the use of </w:t>
      </w:r>
      <w:r w:rsidR="00302D8D">
        <w:t xml:space="preserve">short-term debt </w:t>
      </w:r>
      <w:r>
        <w:t xml:space="preserve">as a component of the capital structure </w:t>
      </w:r>
      <w:r w:rsidR="00302D8D">
        <w:t xml:space="preserve">in </w:t>
      </w:r>
      <w:r>
        <w:t>ratemaking dates to</w:t>
      </w:r>
      <w:r w:rsidR="003E2125">
        <w:t xml:space="preserve"> the </w:t>
      </w:r>
      <w:r>
        <w:t xml:space="preserve">beginning of the </w:t>
      </w:r>
      <w:r w:rsidR="003E2125">
        <w:t>1980s</w:t>
      </w:r>
      <w:r w:rsidR="00302D8D">
        <w:t xml:space="preserve">. </w:t>
      </w:r>
      <w:r w:rsidR="001927FE">
        <w:t xml:space="preserve"> </w:t>
      </w:r>
      <w:r>
        <w:t xml:space="preserve">At that point, utilities </w:t>
      </w:r>
      <w:r w:rsidR="00003A64">
        <w:t>began to propose</w:t>
      </w:r>
      <w:r>
        <w:t xml:space="preserve"> </w:t>
      </w:r>
      <w:r w:rsidR="00003A64" w:rsidRPr="00D51B52">
        <w:rPr>
          <w:i/>
        </w:rPr>
        <w:t>the</w:t>
      </w:r>
      <w:r w:rsidRPr="00D51B52">
        <w:rPr>
          <w:i/>
        </w:rPr>
        <w:t xml:space="preserve"> inclu</w:t>
      </w:r>
      <w:r w:rsidR="00003A64" w:rsidRPr="00D51B52">
        <w:rPr>
          <w:i/>
        </w:rPr>
        <w:t>sion</w:t>
      </w:r>
      <w:r w:rsidR="00003A64" w:rsidRPr="00B17D7C">
        <w:t xml:space="preserve"> of</w:t>
      </w:r>
      <w:r w:rsidRPr="00B17D7C">
        <w:t xml:space="preserve"> </w:t>
      </w:r>
      <w:r w:rsidRPr="00003A64">
        <w:t>short-term debt</w:t>
      </w:r>
      <w:r>
        <w:t xml:space="preserve"> because it was necessary to do so to preserve their financial integrity in light of the extreme, sometimes negative, spreads </w:t>
      </w:r>
      <w:r w:rsidR="00003A64">
        <w:t xml:space="preserve">observed </w:t>
      </w:r>
      <w:r>
        <w:t xml:space="preserve">between </w:t>
      </w:r>
      <w:r w:rsidR="00003A64">
        <w:t xml:space="preserve">long-term and short-term debt instruments.  </w:t>
      </w:r>
      <w:r w:rsidR="00302D8D">
        <w:t xml:space="preserve">A reversal of capital market conditions </w:t>
      </w:r>
      <w:r w:rsidR="00003A64">
        <w:t>today warrants</w:t>
      </w:r>
      <w:r w:rsidR="00302D8D">
        <w:t xml:space="preserve"> </w:t>
      </w:r>
      <w:r w:rsidR="00302D8D" w:rsidRPr="00D51B52">
        <w:rPr>
          <w:i/>
        </w:rPr>
        <w:t>the exclusion</w:t>
      </w:r>
      <w:r w:rsidR="00302D8D" w:rsidRPr="00B17D7C">
        <w:t xml:space="preserve"> of</w:t>
      </w:r>
      <w:r w:rsidR="00302D8D">
        <w:t xml:space="preserve"> short-term debt from the capital structure </w:t>
      </w:r>
      <w:r w:rsidR="00B17D7C">
        <w:t xml:space="preserve">for that same reason, </w:t>
      </w:r>
      <w:r w:rsidR="00B17D7C" w:rsidRPr="00B17D7C">
        <w:rPr>
          <w:i/>
        </w:rPr>
        <w:t>i.e.</w:t>
      </w:r>
      <w:r w:rsidR="00B17D7C">
        <w:t xml:space="preserve">, </w:t>
      </w:r>
      <w:r w:rsidR="00302D8D">
        <w:t xml:space="preserve">in order to maintain </w:t>
      </w:r>
      <w:r w:rsidR="003E2125">
        <w:t xml:space="preserve">financial </w:t>
      </w:r>
      <w:r w:rsidR="00302D8D">
        <w:t xml:space="preserve">strength.  </w:t>
      </w:r>
      <w:r w:rsidR="003E2125">
        <w:t xml:space="preserve">The current spreads between </w:t>
      </w:r>
      <w:r w:rsidR="00302D8D">
        <w:t xml:space="preserve">the cost of </w:t>
      </w:r>
      <w:r w:rsidR="003E2125">
        <w:t xml:space="preserve">long-term and short-term debt are </w:t>
      </w:r>
      <w:r w:rsidR="00B20977">
        <w:t>higher than</w:t>
      </w:r>
      <w:r w:rsidR="003E2125">
        <w:t xml:space="preserve"> average, whi</w:t>
      </w:r>
      <w:r w:rsidR="00003A64">
        <w:t>ch is precisely the opposite of the conditions under which short-term debt was initially considered for inclusion</w:t>
      </w:r>
      <w:r w:rsidR="00B17D7C">
        <w:t xml:space="preserve"> in the capital structure</w:t>
      </w:r>
      <w:r w:rsidR="003E2125">
        <w:t xml:space="preserve">.  </w:t>
      </w:r>
    </w:p>
    <w:p w:rsidR="003E2125" w:rsidRPr="00A668F5" w:rsidRDefault="003E2125" w:rsidP="00F06E3E">
      <w:pPr>
        <w:pStyle w:val="QAQuestion"/>
        <w:tabs>
          <w:tab w:val="num" w:pos="720"/>
        </w:tabs>
        <w:spacing w:after="0" w:line="480" w:lineRule="auto"/>
        <w:ind w:left="720" w:hanging="720"/>
        <w:jc w:val="left"/>
        <w:rPr>
          <w:b/>
          <w:szCs w:val="24"/>
        </w:rPr>
      </w:pPr>
      <w:r w:rsidRPr="00A668F5">
        <w:rPr>
          <w:b/>
          <w:szCs w:val="24"/>
        </w:rPr>
        <w:t xml:space="preserve">Q. </w:t>
      </w:r>
      <w:r w:rsidR="00302D8D" w:rsidRPr="00A668F5">
        <w:rPr>
          <w:b/>
          <w:szCs w:val="24"/>
        </w:rPr>
        <w:tab/>
      </w:r>
      <w:r w:rsidRPr="00A668F5">
        <w:rPr>
          <w:b/>
          <w:szCs w:val="24"/>
        </w:rPr>
        <w:t xml:space="preserve">Is </w:t>
      </w:r>
      <w:r w:rsidR="00B17D7C">
        <w:rPr>
          <w:b/>
          <w:szCs w:val="24"/>
        </w:rPr>
        <w:t>it standard, for ratemaking pur</w:t>
      </w:r>
      <w:r w:rsidR="00003A64">
        <w:rPr>
          <w:b/>
          <w:szCs w:val="24"/>
        </w:rPr>
        <w:t xml:space="preserve">poses, to include </w:t>
      </w:r>
      <w:r w:rsidRPr="00A668F5">
        <w:rPr>
          <w:b/>
          <w:szCs w:val="24"/>
        </w:rPr>
        <w:t>short-term debt in a utility’s capital structure?</w:t>
      </w:r>
    </w:p>
    <w:p w:rsidR="00E359CA" w:rsidRDefault="003E2125" w:rsidP="00F06E3E">
      <w:pPr>
        <w:pStyle w:val="QAQCont"/>
        <w:spacing w:after="0" w:line="480" w:lineRule="auto"/>
        <w:ind w:left="720" w:hanging="720"/>
        <w:jc w:val="left"/>
      </w:pPr>
      <w:r>
        <w:t xml:space="preserve">A. </w:t>
      </w:r>
      <w:r w:rsidR="00302D8D">
        <w:tab/>
      </w:r>
      <w:r>
        <w:t xml:space="preserve">No.  </w:t>
      </w:r>
      <w:r w:rsidR="00003A64">
        <w:t xml:space="preserve">As Leonard Saul Goodman explains in </w:t>
      </w:r>
      <w:r w:rsidRPr="00B17D7C">
        <w:rPr>
          <w:i/>
        </w:rPr>
        <w:t>The Process of Ratemaking</w:t>
      </w:r>
      <w:r w:rsidR="00003A64">
        <w:t>, “</w:t>
      </w:r>
      <w:r w:rsidR="007F516E">
        <w:t>[</w:t>
      </w:r>
      <w:r w:rsidR="00003A64">
        <w:t>i</w:t>
      </w:r>
      <w:r w:rsidR="007F516E">
        <w:t>]</w:t>
      </w:r>
      <w:r w:rsidR="00003A64">
        <w:t>nclusion of short-term debt in the capital structure is the exception, rather than the rule</w:t>
      </w:r>
      <w:r w:rsidRPr="0010723D">
        <w:t>.</w:t>
      </w:r>
      <w:r w:rsidR="00003A64">
        <w:t>”</w:t>
      </w:r>
      <w:r w:rsidRPr="00B17D7C">
        <w:rPr>
          <w:vertAlign w:val="superscript"/>
        </w:rPr>
        <w:footnoteReference w:id="16"/>
      </w:r>
      <w:r w:rsidRPr="0010723D">
        <w:t xml:space="preserve"> </w:t>
      </w:r>
      <w:r w:rsidR="00003A64">
        <w:t xml:space="preserve"> </w:t>
      </w:r>
      <w:r>
        <w:t xml:space="preserve">The rule </w:t>
      </w:r>
      <w:r w:rsidR="00003A64">
        <w:t xml:space="preserve">to which Professor Goodman refers is to account for only those sources of financing that are permanent.  </w:t>
      </w:r>
    </w:p>
    <w:p w:rsidR="00F9119B" w:rsidRDefault="00E359CA" w:rsidP="00F06E3E">
      <w:pPr>
        <w:pStyle w:val="QAQCont"/>
        <w:spacing w:after="0" w:line="480" w:lineRule="auto"/>
        <w:ind w:left="720" w:firstLine="720"/>
        <w:jc w:val="left"/>
      </w:pPr>
      <w:r>
        <w:t>S</w:t>
      </w:r>
      <w:r w:rsidR="00302D8D">
        <w:t xml:space="preserve">hort-term debt </w:t>
      </w:r>
      <w:r>
        <w:t xml:space="preserve">is </w:t>
      </w:r>
      <w:r w:rsidR="0075353A">
        <w:t>appropriate</w:t>
      </w:r>
      <w:r>
        <w:t>ly included</w:t>
      </w:r>
      <w:r w:rsidR="0075353A">
        <w:t xml:space="preserve"> only in </w:t>
      </w:r>
      <w:r w:rsidR="00302D8D">
        <w:t>exceptional circumstances</w:t>
      </w:r>
      <w:r>
        <w:t xml:space="preserve"> such as those experienced in the 1980s</w:t>
      </w:r>
      <w:r w:rsidR="003E2125">
        <w:t xml:space="preserve">.  </w:t>
      </w:r>
      <w:r w:rsidR="008A751A">
        <w:t>A</w:t>
      </w:r>
      <w:r>
        <w:t>ddition</w:t>
      </w:r>
      <w:r w:rsidR="008A751A">
        <w:t>ally</w:t>
      </w:r>
      <w:r>
        <w:t xml:space="preserve">, commissions have </w:t>
      </w:r>
      <w:r w:rsidR="00D51B52">
        <w:t>in some cases</w:t>
      </w:r>
      <w:r>
        <w:t xml:space="preserve"> allowed short-term debt under two </w:t>
      </w:r>
      <w:r w:rsidR="00142386">
        <w:t>additional</w:t>
      </w:r>
      <w:r>
        <w:t xml:space="preserve"> circumstances: either when short-term debt is a regular and continuing component of the Company’s capital or when short-term debt is expected to be converted to long-term debt.  These conditions are not present in th</w:t>
      </w:r>
      <w:r w:rsidR="001927FE">
        <w:t>is cas</w:t>
      </w:r>
      <w:r>
        <w:t>e.  In sum, there is no basis to impute a level of short-term debt in the capital structure.</w:t>
      </w:r>
    </w:p>
    <w:p w:rsidR="00826C7E" w:rsidRDefault="00826C7E" w:rsidP="00F06E3E">
      <w:pPr>
        <w:pStyle w:val="QAQuestion"/>
        <w:tabs>
          <w:tab w:val="num" w:pos="720"/>
        </w:tabs>
        <w:spacing w:after="0" w:line="480" w:lineRule="auto"/>
        <w:ind w:left="720" w:hanging="720"/>
        <w:jc w:val="left"/>
        <w:rPr>
          <w:b/>
          <w:szCs w:val="24"/>
        </w:rPr>
      </w:pPr>
      <w:r w:rsidRPr="00A668F5">
        <w:rPr>
          <w:b/>
          <w:szCs w:val="24"/>
        </w:rPr>
        <w:t xml:space="preserve">Q. </w:t>
      </w:r>
      <w:r w:rsidRPr="00A668F5">
        <w:rPr>
          <w:b/>
          <w:szCs w:val="24"/>
        </w:rPr>
        <w:tab/>
      </w:r>
      <w:r>
        <w:rPr>
          <w:b/>
          <w:szCs w:val="24"/>
        </w:rPr>
        <w:t>How does the FERC use short-term debt</w:t>
      </w:r>
      <w:r w:rsidRPr="00A668F5">
        <w:rPr>
          <w:b/>
          <w:szCs w:val="24"/>
        </w:rPr>
        <w:t>?</w:t>
      </w:r>
    </w:p>
    <w:p w:rsidR="00826C7E" w:rsidRDefault="00826C7E" w:rsidP="00F06E3E">
      <w:pPr>
        <w:pStyle w:val="QAQCont"/>
        <w:spacing w:after="0" w:line="480" w:lineRule="auto"/>
        <w:ind w:left="720" w:hanging="720"/>
        <w:jc w:val="left"/>
      </w:pPr>
      <w:r>
        <w:t xml:space="preserve">A. </w:t>
      </w:r>
      <w:r>
        <w:tab/>
        <w:t xml:space="preserve">The FERC specifies in its Uniform System of Accounts that short-term debt is to be used to determine an appropriate Allowance for Funds Used During Construction (AFUDC).  Effectively, it assumes utilities will fund construction projects first </w:t>
      </w:r>
      <w:r w:rsidR="00477891">
        <w:t>with</w:t>
      </w:r>
      <w:r>
        <w:t xml:space="preserve"> short-term debt and then </w:t>
      </w:r>
      <w:r w:rsidR="00477891">
        <w:t xml:space="preserve">with </w:t>
      </w:r>
      <w:r>
        <w:t xml:space="preserve">permanent sources of financing </w:t>
      </w:r>
      <w:r w:rsidR="000F6451">
        <w:t>such as</w:t>
      </w:r>
      <w:r>
        <w:t xml:space="preserve"> long-term debt, preferred stock and common equity.</w:t>
      </w:r>
      <w:r>
        <w:rPr>
          <w:rStyle w:val="FootnoteReference"/>
        </w:rPr>
        <w:footnoteReference w:id="17"/>
      </w:r>
      <w:r>
        <w:t xml:space="preserve">  FERC does not apply the short-term debt rate when determining the rate of return on assets that are in service</w:t>
      </w:r>
      <w:r w:rsidR="00477891">
        <w:t xml:space="preserve"> and comprise </w:t>
      </w:r>
      <w:r w:rsidR="001524BE">
        <w:t>a public utility’s</w:t>
      </w:r>
      <w:r w:rsidR="00477891">
        <w:t xml:space="preserve"> rate base</w:t>
      </w:r>
      <w:r>
        <w:t>.</w:t>
      </w:r>
    </w:p>
    <w:p w:rsidR="00F57AA5" w:rsidRDefault="00F57AA5" w:rsidP="00F06E3E">
      <w:pPr>
        <w:pStyle w:val="QAQuestion"/>
        <w:tabs>
          <w:tab w:val="num" w:pos="720"/>
        </w:tabs>
        <w:spacing w:after="0" w:line="480" w:lineRule="auto"/>
        <w:ind w:left="720" w:hanging="720"/>
        <w:jc w:val="left"/>
      </w:pPr>
      <w:r>
        <w:rPr>
          <w:b/>
        </w:rPr>
        <w:t>Q.</w:t>
      </w:r>
      <w:r>
        <w:rPr>
          <w:b/>
        </w:rPr>
        <w:tab/>
      </w:r>
      <w:r w:rsidR="006674A1">
        <w:rPr>
          <w:b/>
        </w:rPr>
        <w:t xml:space="preserve">Did Mr. Gorman testify in support of the Company’s </w:t>
      </w:r>
      <w:r w:rsidR="009315DF">
        <w:rPr>
          <w:b/>
        </w:rPr>
        <w:t>approach to the use of</w:t>
      </w:r>
      <w:r w:rsidR="006674A1">
        <w:rPr>
          <w:b/>
        </w:rPr>
        <w:t xml:space="preserve"> short-term debt in the Company’s 2013 rate case</w:t>
      </w:r>
      <w:r>
        <w:rPr>
          <w:b/>
        </w:rPr>
        <w:t>?</w:t>
      </w:r>
    </w:p>
    <w:p w:rsidR="00F57AA5" w:rsidRDefault="00F57AA5" w:rsidP="00F06E3E">
      <w:pPr>
        <w:pStyle w:val="QAQCont"/>
        <w:spacing w:after="0" w:line="480" w:lineRule="auto"/>
        <w:ind w:left="720" w:hanging="720"/>
        <w:jc w:val="left"/>
      </w:pPr>
      <w:r>
        <w:t>A.</w:t>
      </w:r>
      <w:r>
        <w:tab/>
        <w:t xml:space="preserve">Yes.  </w:t>
      </w:r>
      <w:r w:rsidR="00B231A9">
        <w:t xml:space="preserve">I understand that </w:t>
      </w:r>
      <w:r>
        <w:t>Mr. Gorman testified that many utilities do not rely on short-term debt and instead finance in a more conservative manner to lock in low interest rates and mitigate risk associated with refinancing short-term securities.</w:t>
      </w:r>
      <w:r>
        <w:rPr>
          <w:rStyle w:val="FootnoteReference"/>
        </w:rPr>
        <w:footnoteReference w:id="18"/>
      </w:r>
      <w:r>
        <w:t xml:space="preserve">  According to Mr. Gorman, the use of exclusively long-term debt is “generally consistent with a conservative utility financing structure.”</w:t>
      </w:r>
      <w:r>
        <w:rPr>
          <w:rStyle w:val="FootnoteReference"/>
        </w:rPr>
        <w:footnoteReference w:id="19"/>
      </w:r>
      <w:r>
        <w:t xml:space="preserve">  Therefore, Mr. Gorman did not propose the imputation of short-term debt.</w:t>
      </w:r>
      <w:r>
        <w:rPr>
          <w:rStyle w:val="FootnoteReference"/>
        </w:rPr>
        <w:footnoteReference w:id="20"/>
      </w:r>
    </w:p>
    <w:p w:rsidR="00D51B52" w:rsidRPr="0079454C" w:rsidRDefault="00D51B52" w:rsidP="00F06E3E">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Pr>
          <w:b/>
          <w:szCs w:val="24"/>
        </w:rPr>
        <w:t>Please address Mr. Gorman’s statement that Standard &amp; Poor</w:t>
      </w:r>
      <w:r w:rsidR="00075809">
        <w:rPr>
          <w:b/>
          <w:szCs w:val="24"/>
        </w:rPr>
        <w:t>’</w:t>
      </w:r>
      <w:r>
        <w:rPr>
          <w:b/>
          <w:szCs w:val="24"/>
        </w:rPr>
        <w:t>s</w:t>
      </w:r>
      <w:r w:rsidR="00DC5996">
        <w:rPr>
          <w:b/>
          <w:szCs w:val="24"/>
        </w:rPr>
        <w:t xml:space="preserve"> (S&amp;P)</w:t>
      </w:r>
      <w:r>
        <w:rPr>
          <w:b/>
          <w:szCs w:val="24"/>
        </w:rPr>
        <w:t xml:space="preserve"> no longer uses debt-to-capital ratios to determine a utility’s financial risk profile</w:t>
      </w:r>
      <w:r w:rsidR="006918E3">
        <w:rPr>
          <w:b/>
          <w:szCs w:val="24"/>
        </w:rPr>
        <w:t>.</w:t>
      </w:r>
      <w:r w:rsidR="006918E3">
        <w:rPr>
          <w:rStyle w:val="FootnoteReference"/>
          <w:b/>
          <w:szCs w:val="24"/>
        </w:rPr>
        <w:footnoteReference w:id="21"/>
      </w:r>
      <w:r w:rsidR="006918E3">
        <w:rPr>
          <w:b/>
          <w:szCs w:val="24"/>
        </w:rPr>
        <w:t xml:space="preserve"> </w:t>
      </w:r>
      <w:r w:rsidR="0099627F">
        <w:rPr>
          <w:b/>
          <w:szCs w:val="24"/>
        </w:rPr>
        <w:t xml:space="preserve"> </w:t>
      </w:r>
    </w:p>
    <w:p w:rsidR="00D51B52" w:rsidRDefault="00D51B52" w:rsidP="00F06E3E">
      <w:pPr>
        <w:pStyle w:val="QAQCont"/>
        <w:spacing w:after="0" w:line="480" w:lineRule="auto"/>
        <w:ind w:left="720" w:hanging="720"/>
        <w:jc w:val="left"/>
      </w:pPr>
      <w:r>
        <w:t>A.</w:t>
      </w:r>
      <w:r>
        <w:tab/>
        <w:t>Mr. Gorman raise</w:t>
      </w:r>
      <w:r w:rsidR="00B21996">
        <w:t>s</w:t>
      </w:r>
      <w:r>
        <w:t xml:space="preserve"> this issue in the context of evaluating whether the imputation of a </w:t>
      </w:r>
      <w:r w:rsidR="00075809">
        <w:t>49.1 percent</w:t>
      </w:r>
      <w:r>
        <w:t xml:space="preserve"> equity ratio would </w:t>
      </w:r>
      <w:r w:rsidR="00B21996">
        <w:t>change the</w:t>
      </w:r>
      <w:r>
        <w:t xml:space="preserve"> financial risk profile</w:t>
      </w:r>
      <w:r w:rsidR="00B21996">
        <w:t xml:space="preserve"> for this business</w:t>
      </w:r>
      <w:r>
        <w:t xml:space="preserve">, and would, as I state in my direct testimony, </w:t>
      </w:r>
      <w:r w:rsidR="00B21996">
        <w:t>move it from</w:t>
      </w:r>
      <w:r>
        <w:t xml:space="preserve"> a “Significant” to an “Aggressive” financial risk profile. </w:t>
      </w:r>
    </w:p>
    <w:p w:rsidR="00B21996" w:rsidRDefault="00D51B52" w:rsidP="00F06E3E">
      <w:pPr>
        <w:pStyle w:val="QAQCont"/>
        <w:spacing w:after="0" w:line="480" w:lineRule="auto"/>
        <w:ind w:left="720" w:firstLine="720"/>
        <w:jc w:val="left"/>
      </w:pPr>
      <w:r>
        <w:t xml:space="preserve">Although Mr. Gorman is </w:t>
      </w:r>
      <w:r w:rsidR="0099627F">
        <w:t xml:space="preserve">technically </w:t>
      </w:r>
      <w:r>
        <w:t>correct to state that the guidance from S</w:t>
      </w:r>
      <w:r w:rsidR="00DC5996">
        <w:t>&amp;P</w:t>
      </w:r>
      <w:r>
        <w:t xml:space="preserve"> in late 2013 </w:t>
      </w:r>
      <w:r w:rsidR="001A6EBC">
        <w:t>indicates</w:t>
      </w:r>
      <w:r>
        <w:t xml:space="preserve"> a future focus on ratios other than debt</w:t>
      </w:r>
      <w:r w:rsidR="00B20977">
        <w:t>-</w:t>
      </w:r>
      <w:r>
        <w:t>to</w:t>
      </w:r>
      <w:r w:rsidR="00B20977">
        <w:t>-</w:t>
      </w:r>
      <w:r>
        <w:t>capital,</w:t>
      </w:r>
      <w:r w:rsidR="00AF3CD4">
        <w:rPr>
          <w:rStyle w:val="FootnoteReference"/>
        </w:rPr>
        <w:footnoteReference w:id="22"/>
      </w:r>
      <w:r>
        <w:t xml:space="preserve"> this new focus does not affect my conclusions with regards to the effect of a lower equity ratio</w:t>
      </w:r>
      <w:r w:rsidR="0099627F">
        <w:t xml:space="preserve"> on </w:t>
      </w:r>
      <w:r w:rsidR="00B21996">
        <w:t>the</w:t>
      </w:r>
      <w:r w:rsidR="0099627F">
        <w:t xml:space="preserve"> financial risk profile</w:t>
      </w:r>
      <w:r>
        <w:t>.  This is because the debt-to-capital ratio</w:t>
      </w:r>
      <w:r w:rsidR="0099627F">
        <w:t xml:space="preserve">, </w:t>
      </w:r>
      <w:r w:rsidR="00AC5CBB">
        <w:t xml:space="preserve">long </w:t>
      </w:r>
      <w:r w:rsidR="0099627F">
        <w:t>used by S</w:t>
      </w:r>
      <w:r w:rsidR="00DC5996">
        <w:t>&amp;P</w:t>
      </w:r>
      <w:r w:rsidR="0099627F">
        <w:t>, is but one indicator of leverage.  T</w:t>
      </w:r>
      <w:r>
        <w:t xml:space="preserve">he </w:t>
      </w:r>
      <w:r w:rsidR="0099627F">
        <w:t>ratios that S</w:t>
      </w:r>
      <w:r w:rsidR="00DC5996">
        <w:t>&amp;P</w:t>
      </w:r>
      <w:r w:rsidR="0099627F">
        <w:t xml:space="preserve"> now examines, including for example </w:t>
      </w:r>
      <w:r w:rsidR="00DC5996">
        <w:t>funds from operations (</w:t>
      </w:r>
      <w:r w:rsidR="0099627F">
        <w:t>FFO</w:t>
      </w:r>
      <w:r w:rsidR="00DC5996">
        <w:t>)</w:t>
      </w:r>
      <w:r w:rsidR="0099627F">
        <w:t>-to-</w:t>
      </w:r>
      <w:r w:rsidR="00B20977">
        <w:t>d</w:t>
      </w:r>
      <w:r w:rsidR="0099627F">
        <w:t xml:space="preserve">ebt and </w:t>
      </w:r>
      <w:r w:rsidR="00B20977">
        <w:t>d</w:t>
      </w:r>
      <w:r w:rsidR="0099627F">
        <w:t>ebt-to-</w:t>
      </w:r>
      <w:r w:rsidR="007E4233">
        <w:rPr>
          <w:kern w:val="16"/>
        </w:rPr>
        <w:t>earnings before interest, taxes, depreciation and amortization (</w:t>
      </w:r>
      <w:r w:rsidR="0099627F">
        <w:t>EBITDA</w:t>
      </w:r>
      <w:r w:rsidR="007E4233">
        <w:t>)</w:t>
      </w:r>
      <w:r w:rsidR="006E0C2F">
        <w:t>,</w:t>
      </w:r>
      <w:r w:rsidR="0099627F">
        <w:t xml:space="preserve"> are alternative indicators of leverage</w:t>
      </w:r>
      <w:r w:rsidR="00B21996">
        <w:t xml:space="preserve">, which have traditionally been used in conjunction with the </w:t>
      </w:r>
      <w:r w:rsidR="00B20977">
        <w:t>d</w:t>
      </w:r>
      <w:r w:rsidR="00B21996">
        <w:t>ebt-to-</w:t>
      </w:r>
      <w:r w:rsidR="00B20977">
        <w:t>c</w:t>
      </w:r>
      <w:r w:rsidR="00B21996">
        <w:t>apital ratio</w:t>
      </w:r>
      <w:r w:rsidR="0099627F">
        <w:t xml:space="preserve">.  </w:t>
      </w:r>
    </w:p>
    <w:p w:rsidR="00AF3CD4" w:rsidRPr="00470C4C" w:rsidRDefault="00B21996" w:rsidP="00F06E3E">
      <w:pPr>
        <w:pStyle w:val="QAQCont"/>
        <w:spacing w:after="0" w:line="480" w:lineRule="auto"/>
        <w:ind w:left="720" w:firstLine="720"/>
        <w:jc w:val="left"/>
      </w:pPr>
      <w:r>
        <w:t>Ultimately t</w:t>
      </w:r>
      <w:r w:rsidR="003C6E5B">
        <w:t xml:space="preserve">he tool one uses to measure leverage is less important than the leverage itself.  Just as an increase in leverage </w:t>
      </w:r>
      <w:r w:rsidR="00470C4C">
        <w:t xml:space="preserve">would manifest itself </w:t>
      </w:r>
      <w:r w:rsidR="003C6E5B">
        <w:t xml:space="preserve">in the </w:t>
      </w:r>
      <w:r w:rsidR="00B20977">
        <w:t>d</w:t>
      </w:r>
      <w:r w:rsidR="003C6E5B">
        <w:t>ebt-to-</w:t>
      </w:r>
      <w:r w:rsidR="00B20977">
        <w:t>c</w:t>
      </w:r>
      <w:r w:rsidR="003C6E5B">
        <w:t xml:space="preserve">apital ratio, it will </w:t>
      </w:r>
      <w:r w:rsidR="00470C4C">
        <w:t>also manifest</w:t>
      </w:r>
      <w:r w:rsidR="003C6E5B">
        <w:t xml:space="preserve"> </w:t>
      </w:r>
      <w:r w:rsidR="00470C4C">
        <w:t xml:space="preserve">itself </w:t>
      </w:r>
      <w:r w:rsidR="003C6E5B">
        <w:t>in the FFO-to-</w:t>
      </w:r>
      <w:r w:rsidR="00B20977">
        <w:t>d</w:t>
      </w:r>
      <w:r w:rsidR="003C6E5B">
        <w:t xml:space="preserve">ebt ratio and in the </w:t>
      </w:r>
      <w:r w:rsidR="00B20977">
        <w:t>d</w:t>
      </w:r>
      <w:r w:rsidR="003C6E5B">
        <w:t>ebt-to-EBITDA</w:t>
      </w:r>
      <w:r w:rsidR="006E0C2F">
        <w:t xml:space="preserve"> ratio</w:t>
      </w:r>
      <w:r w:rsidR="003C6E5B">
        <w:t xml:space="preserve">. </w:t>
      </w:r>
      <w:r w:rsidR="00AF3CD4">
        <w:t xml:space="preserve"> Notably, S</w:t>
      </w:r>
      <w:r w:rsidR="00DC5996">
        <w:t>&amp;P</w:t>
      </w:r>
      <w:r w:rsidR="006E0C2F">
        <w:t>’</w:t>
      </w:r>
      <w:r w:rsidR="00AF3CD4">
        <w:t>s benchmarks for FFO-to-</w:t>
      </w:r>
      <w:r w:rsidR="00B20977">
        <w:t>d</w:t>
      </w:r>
      <w:r w:rsidR="00AF3CD4">
        <w:t xml:space="preserve">ebt and </w:t>
      </w:r>
      <w:r w:rsidR="00B20977">
        <w:t>d</w:t>
      </w:r>
      <w:r w:rsidR="00AF3CD4">
        <w:t xml:space="preserve">ebt-to-EBITDA did not change in November 2013. </w:t>
      </w:r>
      <w:r w:rsidR="00470C4C">
        <w:t xml:space="preserve"> Hence, there is no reason to believe that the increase in leverage implied by a </w:t>
      </w:r>
      <w:r w:rsidR="00075809">
        <w:t>49.1 percent</w:t>
      </w:r>
      <w:r w:rsidR="00470C4C">
        <w:t xml:space="preserve"> hypothetical equity ratio would not trigger a change in the financial risk profile for the business</w:t>
      </w:r>
      <w:r w:rsidR="006E0C2F">
        <w:t>, consistent with the guidelines that have long governed the S</w:t>
      </w:r>
      <w:r w:rsidR="00DC5996">
        <w:t>&amp;P</w:t>
      </w:r>
      <w:r w:rsidR="006E0C2F">
        <w:t xml:space="preserve"> rating process</w:t>
      </w:r>
      <w:r w:rsidR="00470C4C">
        <w:t>.</w:t>
      </w:r>
    </w:p>
    <w:p w:rsidR="00907275" w:rsidRPr="0079454C" w:rsidRDefault="00907275" w:rsidP="00383995">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sidR="00A668F5">
        <w:rPr>
          <w:b/>
          <w:szCs w:val="24"/>
        </w:rPr>
        <w:t xml:space="preserve">Please comment on Mr. Hill’s approach to assessing the </w:t>
      </w:r>
      <w:r w:rsidR="00E84A8C">
        <w:rPr>
          <w:b/>
          <w:szCs w:val="24"/>
        </w:rPr>
        <w:t xml:space="preserve">premium on the </w:t>
      </w:r>
      <w:r w:rsidR="00A668F5">
        <w:rPr>
          <w:b/>
          <w:szCs w:val="24"/>
        </w:rPr>
        <w:t xml:space="preserve">cost of equity that would accompany the use of a </w:t>
      </w:r>
      <w:r w:rsidR="00075809">
        <w:rPr>
          <w:b/>
          <w:szCs w:val="24"/>
        </w:rPr>
        <w:t>49.1 percent</w:t>
      </w:r>
      <w:r w:rsidR="00A668F5">
        <w:rPr>
          <w:b/>
          <w:szCs w:val="24"/>
        </w:rPr>
        <w:t xml:space="preserve"> equity ratio.</w:t>
      </w:r>
    </w:p>
    <w:p w:rsidR="00A668F5" w:rsidRPr="003E2125" w:rsidRDefault="00A668F5" w:rsidP="00F06E3E">
      <w:pPr>
        <w:pStyle w:val="QAQCont"/>
        <w:spacing w:after="0" w:line="480" w:lineRule="auto"/>
        <w:ind w:left="720" w:hanging="720"/>
        <w:jc w:val="left"/>
      </w:pPr>
      <w:r>
        <w:t>A.</w:t>
      </w:r>
      <w:r>
        <w:tab/>
        <w:t xml:space="preserve">Mr. Hill computes an adder </w:t>
      </w:r>
      <w:r w:rsidR="00D51B52">
        <w:t xml:space="preserve">of </w:t>
      </w:r>
      <w:r w:rsidR="00617AC1">
        <w:t>eight</w:t>
      </w:r>
      <w:r w:rsidR="00D51B52">
        <w:t xml:space="preserve"> basis points </w:t>
      </w:r>
      <w:r>
        <w:t>to be applied i</w:t>
      </w:r>
      <w:r w:rsidR="00617AC1">
        <w:t>f</w:t>
      </w:r>
      <w:r>
        <w:t xml:space="preserve"> the Commission imposes a hypothetical equity ratio of </w:t>
      </w:r>
      <w:r w:rsidR="00075809">
        <w:t>49.1 percent</w:t>
      </w:r>
      <w:r>
        <w:t xml:space="preserve"> in place of the Company’s actual capital structure.  The method Mr. Hill uses is nearly identical to the one I relied upon to determine my recommended adjustment</w:t>
      </w:r>
      <w:r w:rsidR="00D51B52">
        <w:t xml:space="preserve"> of 28 basis points</w:t>
      </w:r>
      <w:r>
        <w:t xml:space="preserve">, the only </w:t>
      </w:r>
      <w:r w:rsidR="00D51B52">
        <w:t xml:space="preserve">conceptual </w:t>
      </w:r>
      <w:r>
        <w:t xml:space="preserve">difference being the fact that Mr. Hill assumes PacifiCorp’s regulated operations in Washington would carry a higher market-to-book ratio. This is an assumption I disagree with and that Mr. Hill has not supported.  </w:t>
      </w:r>
    </w:p>
    <w:p w:rsidR="00470C4C" w:rsidRDefault="00470C4C" w:rsidP="00383995">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Pr>
          <w:b/>
          <w:szCs w:val="24"/>
        </w:rPr>
        <w:t xml:space="preserve">Do you agree with Messrs. Parcell and Gorman that no adjustment is needed on the grounds that the </w:t>
      </w:r>
      <w:r w:rsidR="00142386">
        <w:rPr>
          <w:b/>
          <w:szCs w:val="24"/>
        </w:rPr>
        <w:t>P</w:t>
      </w:r>
      <w:r>
        <w:rPr>
          <w:b/>
          <w:szCs w:val="24"/>
        </w:rPr>
        <w:t xml:space="preserve">roxy </w:t>
      </w:r>
      <w:r w:rsidR="00142386">
        <w:rPr>
          <w:b/>
          <w:szCs w:val="24"/>
        </w:rPr>
        <w:t>G</w:t>
      </w:r>
      <w:r>
        <w:rPr>
          <w:b/>
          <w:szCs w:val="24"/>
        </w:rPr>
        <w:t xml:space="preserve">roup </w:t>
      </w:r>
      <w:r w:rsidR="00352F32">
        <w:rPr>
          <w:b/>
          <w:szCs w:val="24"/>
        </w:rPr>
        <w:t xml:space="preserve">purportedly </w:t>
      </w:r>
      <w:r>
        <w:rPr>
          <w:b/>
          <w:szCs w:val="24"/>
        </w:rPr>
        <w:t xml:space="preserve">already has an equivalent or </w:t>
      </w:r>
      <w:r w:rsidR="00B20977">
        <w:rPr>
          <w:b/>
          <w:szCs w:val="24"/>
        </w:rPr>
        <w:t xml:space="preserve">even </w:t>
      </w:r>
      <w:r>
        <w:rPr>
          <w:b/>
          <w:szCs w:val="24"/>
        </w:rPr>
        <w:t>lower equity ratio?</w:t>
      </w:r>
    </w:p>
    <w:p w:rsidR="00B20977" w:rsidRDefault="00B20977" w:rsidP="00F06E3E">
      <w:pPr>
        <w:pStyle w:val="QAQCont"/>
        <w:spacing w:after="0" w:line="480" w:lineRule="auto"/>
        <w:ind w:left="720" w:hanging="720"/>
        <w:jc w:val="left"/>
      </w:pPr>
      <w:r>
        <w:t>A.</w:t>
      </w:r>
      <w:r>
        <w:tab/>
        <w:t xml:space="preserve">No.  </w:t>
      </w:r>
      <w:r w:rsidR="00142386">
        <w:t xml:space="preserve">While I agree </w:t>
      </w:r>
      <w:r w:rsidR="00352F32">
        <w:t xml:space="preserve">with these witnesses </w:t>
      </w:r>
      <w:r w:rsidR="00142386">
        <w:t xml:space="preserve">that the book value debt-to-capital ratio is a </w:t>
      </w:r>
      <w:r w:rsidR="00142386" w:rsidRPr="00142386">
        <w:rPr>
          <w:i/>
        </w:rPr>
        <w:t>prima facie</w:t>
      </w:r>
      <w:r w:rsidR="00142386">
        <w:t xml:space="preserve"> indicator of the level of </w:t>
      </w:r>
      <w:r w:rsidR="001524BE">
        <w:t xml:space="preserve">financial risk </w:t>
      </w:r>
      <w:r w:rsidR="00142386">
        <w:t xml:space="preserve">employed, their analysis of </w:t>
      </w:r>
      <w:r w:rsidR="001524BE">
        <w:t xml:space="preserve">the </w:t>
      </w:r>
      <w:r w:rsidR="00142386">
        <w:t>Proxy Group does not encompass sufficient detail from which to draw reliable conclusions.  One problem</w:t>
      </w:r>
      <w:r>
        <w:t xml:space="preserve"> </w:t>
      </w:r>
      <w:r w:rsidR="00142386">
        <w:t xml:space="preserve">is that </w:t>
      </w:r>
      <w:r>
        <w:t xml:space="preserve">these witnesses rely upon capital structure measures that do not necessarily convey the true financial </w:t>
      </w:r>
      <w:r w:rsidR="001524BE">
        <w:t xml:space="preserve">risk </w:t>
      </w:r>
      <w:r>
        <w:t xml:space="preserve">that the proxy group and other industry benchmarks carry.  Specifically, they elect to analyze debt before adjustments are made to impute debt from long-term obligations such as the capacity payments under power purchase agreements and other debt-like instruments.  </w:t>
      </w:r>
      <w:r w:rsidR="00C61CA2">
        <w:t xml:space="preserve">These adjustments are </w:t>
      </w:r>
      <w:r w:rsidR="001A6EBC">
        <w:t>critical</w:t>
      </w:r>
      <w:r w:rsidR="00C61CA2">
        <w:t xml:space="preserve"> to </w:t>
      </w:r>
      <w:r w:rsidR="001A6EBC">
        <w:t>assessing</w:t>
      </w:r>
      <w:r w:rsidR="00C61CA2">
        <w:t xml:space="preserve"> a utility’s true financial position.  By ignoring them</w:t>
      </w:r>
      <w:r>
        <w:t>, the</w:t>
      </w:r>
      <w:r w:rsidR="00050A18">
        <w:t>se witnesses</w:t>
      </w:r>
      <w:r>
        <w:t xml:space="preserve"> </w:t>
      </w:r>
      <w:r w:rsidR="00050A18">
        <w:t>do</w:t>
      </w:r>
      <w:r>
        <w:t xml:space="preserve"> not mak</w:t>
      </w:r>
      <w:r w:rsidR="00050A18">
        <w:t>e</w:t>
      </w:r>
      <w:r w:rsidR="00142386">
        <w:t xml:space="preserve"> a proper comparison.</w:t>
      </w:r>
      <w:r w:rsidR="00EB183A">
        <w:t xml:space="preserve"> </w:t>
      </w:r>
    </w:p>
    <w:p w:rsidR="00B20977" w:rsidRDefault="00B20977" w:rsidP="00617AC1">
      <w:pPr>
        <w:pStyle w:val="QAQCont"/>
        <w:spacing w:after="0" w:line="480" w:lineRule="auto"/>
        <w:ind w:left="720" w:firstLine="720"/>
        <w:jc w:val="left"/>
      </w:pPr>
      <w:r>
        <w:t xml:space="preserve">In contrast, when I </w:t>
      </w:r>
      <w:r w:rsidR="00142386">
        <w:t xml:space="preserve">sought to evaluate </w:t>
      </w:r>
      <w:r w:rsidR="001524BE">
        <w:t>financial risk</w:t>
      </w:r>
      <w:r w:rsidR="00E84A8C">
        <w:t>, I found that PacifiCorp shows reasonable comparability to the Proxy Group companies</w:t>
      </w:r>
      <w:r w:rsidR="00142386">
        <w:t xml:space="preserve"> when more detailed measures than the </w:t>
      </w:r>
      <w:r w:rsidR="00142386" w:rsidRPr="00142386">
        <w:rPr>
          <w:i/>
        </w:rPr>
        <w:t>prima facie</w:t>
      </w:r>
      <w:r w:rsidR="00142386">
        <w:t xml:space="preserve"> book </w:t>
      </w:r>
      <w:r w:rsidR="00EB183A">
        <w:t xml:space="preserve">value </w:t>
      </w:r>
      <w:r w:rsidR="00142386">
        <w:t>debt-to-capital ratio</w:t>
      </w:r>
      <w:r w:rsidR="00C61CA2">
        <w:t xml:space="preserve"> are considered</w:t>
      </w:r>
      <w:r w:rsidR="00E84A8C">
        <w:t xml:space="preserve">.  </w:t>
      </w:r>
      <w:r w:rsidR="00142386">
        <w:t xml:space="preserve">The detailed measures do not support the claim </w:t>
      </w:r>
      <w:r w:rsidR="00050A18">
        <w:t xml:space="preserve">that PacifiCorp </w:t>
      </w:r>
      <w:r w:rsidR="001524BE">
        <w:t>carries a lower financial risk profile</w:t>
      </w:r>
      <w:r w:rsidR="00050A18">
        <w:t xml:space="preserve"> than the Proxy Group.  </w:t>
      </w:r>
      <w:r w:rsidR="00E84A8C">
        <w:t xml:space="preserve">Specifically, I </w:t>
      </w:r>
      <w:r w:rsidR="00142386">
        <w:t>examined</w:t>
      </w:r>
      <w:r w:rsidR="00E84A8C">
        <w:t xml:space="preserve"> the following metrics for PacifiCorp and the Proxy Group companies</w:t>
      </w:r>
      <w:r w:rsidR="00142386">
        <w:t xml:space="preserve"> to arrive at this conclusion</w:t>
      </w:r>
      <w:r w:rsidR="00E84A8C">
        <w:t xml:space="preserve">: </w:t>
      </w:r>
    </w:p>
    <w:p w:rsidR="007C0561" w:rsidRDefault="00050A18" w:rsidP="007C0561">
      <w:pPr>
        <w:numPr>
          <w:ilvl w:val="0"/>
          <w:numId w:val="17"/>
        </w:numPr>
        <w:ind w:left="1440"/>
        <w:jc w:val="left"/>
      </w:pPr>
      <w:r>
        <w:t>FFO coverage, from S</w:t>
      </w:r>
      <w:r w:rsidR="00DC5996">
        <w:t>&amp;P</w:t>
      </w:r>
      <w:r>
        <w:t xml:space="preserve">.  This is </w:t>
      </w:r>
      <w:r w:rsidR="007B721B">
        <w:t>an</w:t>
      </w:r>
      <w:r>
        <w:t xml:space="preserve"> important </w:t>
      </w:r>
      <w:r w:rsidR="007B721B">
        <w:t xml:space="preserve">financial risk </w:t>
      </w:r>
      <w:r>
        <w:t>ratio considered by S</w:t>
      </w:r>
      <w:r w:rsidR="00DC5996">
        <w:t>&amp;P</w:t>
      </w:r>
      <w:r>
        <w:t xml:space="preserve"> when assessing financial risk </w:t>
      </w:r>
      <w:r w:rsidR="00C61CA2">
        <w:t xml:space="preserve">in the ratings process </w:t>
      </w:r>
      <w:r>
        <w:t xml:space="preserve">and is also a key metric used by Moody’s and Fitch.  </w:t>
      </w:r>
      <w:r w:rsidR="0025189C">
        <w:t>The Company’s FFO coverage ratio falls reasonably in the range of that observed for the proxy group.</w:t>
      </w:r>
    </w:p>
    <w:p w:rsidR="007C0561" w:rsidRDefault="007C0561" w:rsidP="007C0561">
      <w:pPr>
        <w:suppressLineNumbers/>
        <w:ind w:left="1440"/>
        <w:jc w:val="left"/>
      </w:pPr>
    </w:p>
    <w:p w:rsidR="00EB183A" w:rsidRDefault="00050A18" w:rsidP="007C0561">
      <w:pPr>
        <w:numPr>
          <w:ilvl w:val="0"/>
          <w:numId w:val="17"/>
        </w:numPr>
        <w:ind w:left="1440"/>
        <w:jc w:val="left"/>
      </w:pPr>
      <w:r>
        <w:t>Authorized equity ratios.  I compared t</w:t>
      </w:r>
      <w:r w:rsidR="00E84A8C">
        <w:t xml:space="preserve">he Company’s equity ratio of 51.73 percent to those for proxy company utilities during 2013 and 2014.  </w:t>
      </w:r>
      <w:r w:rsidR="007B721B">
        <w:t>T</w:t>
      </w:r>
      <w:r w:rsidR="00E84A8C">
        <w:t xml:space="preserve">he Company’s proposed equity ratio falls reasonably within the </w:t>
      </w:r>
      <w:r w:rsidR="0025189C">
        <w:t>range of authorized equity ratios</w:t>
      </w:r>
      <w:r w:rsidR="00E84A8C">
        <w:t xml:space="preserve">.  </w:t>
      </w:r>
    </w:p>
    <w:p w:rsidR="00EB183A" w:rsidRDefault="00EB183A" w:rsidP="00F06E3E">
      <w:pPr>
        <w:suppressLineNumbers/>
        <w:jc w:val="left"/>
      </w:pPr>
    </w:p>
    <w:p w:rsidR="007D421A" w:rsidRPr="007D421A" w:rsidRDefault="007D421A" w:rsidP="00F06E3E">
      <w:pPr>
        <w:tabs>
          <w:tab w:val="num" w:pos="720"/>
        </w:tabs>
        <w:spacing w:line="480" w:lineRule="auto"/>
        <w:ind w:left="720" w:hanging="720"/>
        <w:jc w:val="left"/>
        <w:rPr>
          <w:szCs w:val="24"/>
        </w:rPr>
      </w:pPr>
      <w:r>
        <w:rPr>
          <w:szCs w:val="24"/>
        </w:rPr>
        <w:tab/>
      </w:r>
      <w:r w:rsidRPr="007D421A">
        <w:rPr>
          <w:szCs w:val="24"/>
        </w:rPr>
        <w:t>Furthermore</w:t>
      </w:r>
      <w:r w:rsidR="00050A18" w:rsidRPr="007D421A">
        <w:rPr>
          <w:szCs w:val="24"/>
        </w:rPr>
        <w:t xml:space="preserve">, my </w:t>
      </w:r>
      <w:r w:rsidR="00C61CA2">
        <w:rPr>
          <w:szCs w:val="24"/>
        </w:rPr>
        <w:t xml:space="preserve">proxy group </w:t>
      </w:r>
      <w:r w:rsidR="00050A18" w:rsidRPr="007D421A">
        <w:rPr>
          <w:szCs w:val="24"/>
        </w:rPr>
        <w:t xml:space="preserve">screening criteria consider only </w:t>
      </w:r>
      <w:r w:rsidRPr="007D421A">
        <w:rPr>
          <w:szCs w:val="24"/>
        </w:rPr>
        <w:t>companies that carry comparable credit ratings and are comparable in size.</w:t>
      </w:r>
      <w:r w:rsidR="00050A18" w:rsidRPr="007D421A">
        <w:rPr>
          <w:szCs w:val="24"/>
        </w:rPr>
        <w:t xml:space="preserve"> </w:t>
      </w:r>
      <w:r w:rsidRPr="007D421A">
        <w:rPr>
          <w:szCs w:val="24"/>
        </w:rPr>
        <w:t xml:space="preserve"> Although these </w:t>
      </w:r>
      <w:r w:rsidR="00142386">
        <w:rPr>
          <w:szCs w:val="24"/>
        </w:rPr>
        <w:t xml:space="preserve">initial </w:t>
      </w:r>
      <w:r w:rsidRPr="007D421A">
        <w:rPr>
          <w:szCs w:val="24"/>
        </w:rPr>
        <w:t xml:space="preserve">screens are less granular than the above comparisons, they also help to assure </w:t>
      </w:r>
      <w:r w:rsidR="00142386">
        <w:rPr>
          <w:szCs w:val="24"/>
        </w:rPr>
        <w:t xml:space="preserve">general </w:t>
      </w:r>
      <w:r w:rsidRPr="007D421A">
        <w:rPr>
          <w:szCs w:val="24"/>
        </w:rPr>
        <w:t>comparability as between the Company and the Proxy Group.</w:t>
      </w:r>
    </w:p>
    <w:p w:rsidR="00C61CA2" w:rsidRPr="0079454C" w:rsidRDefault="007D421A" w:rsidP="00CC236A">
      <w:pPr>
        <w:tabs>
          <w:tab w:val="num" w:pos="720"/>
        </w:tabs>
        <w:spacing w:line="480" w:lineRule="auto"/>
        <w:ind w:left="720" w:hanging="720"/>
        <w:jc w:val="left"/>
      </w:pPr>
      <w:r>
        <w:rPr>
          <w:szCs w:val="24"/>
        </w:rPr>
        <w:tab/>
      </w:r>
      <w:r>
        <w:rPr>
          <w:szCs w:val="24"/>
        </w:rPr>
        <w:tab/>
      </w:r>
      <w:r w:rsidRPr="007D421A">
        <w:rPr>
          <w:szCs w:val="24"/>
        </w:rPr>
        <w:t>In sum, the</w:t>
      </w:r>
      <w:r w:rsidR="00050A18" w:rsidRPr="007D421A">
        <w:rPr>
          <w:szCs w:val="24"/>
        </w:rPr>
        <w:t xml:space="preserve"> evidence </w:t>
      </w:r>
      <w:r w:rsidRPr="007D421A">
        <w:rPr>
          <w:szCs w:val="24"/>
        </w:rPr>
        <w:t xml:space="preserve">put forth by the other cost of capital experts is based on </w:t>
      </w:r>
      <w:r w:rsidR="00EB183A">
        <w:rPr>
          <w:szCs w:val="24"/>
        </w:rPr>
        <w:t>one</w:t>
      </w:r>
      <w:r w:rsidR="00C61CA2">
        <w:rPr>
          <w:szCs w:val="24"/>
        </w:rPr>
        <w:t xml:space="preserve"> </w:t>
      </w:r>
      <w:r w:rsidR="00C61CA2" w:rsidRPr="00C61CA2">
        <w:rPr>
          <w:i/>
          <w:szCs w:val="24"/>
        </w:rPr>
        <w:t>prima facie</w:t>
      </w:r>
      <w:r w:rsidR="00C61CA2">
        <w:rPr>
          <w:szCs w:val="24"/>
        </w:rPr>
        <w:t xml:space="preserve"> indicator alone.  </w:t>
      </w:r>
      <w:r w:rsidRPr="007D421A">
        <w:rPr>
          <w:szCs w:val="24"/>
        </w:rPr>
        <w:t xml:space="preserve">More complete and more relevant data </w:t>
      </w:r>
      <w:r w:rsidR="00C61CA2">
        <w:rPr>
          <w:szCs w:val="24"/>
        </w:rPr>
        <w:t xml:space="preserve">analysis </w:t>
      </w:r>
      <w:r w:rsidRPr="007D421A">
        <w:rPr>
          <w:szCs w:val="24"/>
        </w:rPr>
        <w:t xml:space="preserve">indicates </w:t>
      </w:r>
      <w:r w:rsidR="00050A18" w:rsidRPr="007D421A">
        <w:rPr>
          <w:szCs w:val="24"/>
        </w:rPr>
        <w:t xml:space="preserve">that the Proxy Group companies </w:t>
      </w:r>
      <w:r w:rsidRPr="007D421A">
        <w:rPr>
          <w:szCs w:val="24"/>
        </w:rPr>
        <w:t xml:space="preserve">do not </w:t>
      </w:r>
      <w:r w:rsidR="001524BE">
        <w:rPr>
          <w:szCs w:val="24"/>
        </w:rPr>
        <w:t>carry</w:t>
      </w:r>
      <w:r w:rsidR="00050A18" w:rsidRPr="007D421A">
        <w:rPr>
          <w:szCs w:val="24"/>
        </w:rPr>
        <w:t xml:space="preserve"> </w:t>
      </w:r>
      <w:r w:rsidR="001524BE">
        <w:rPr>
          <w:szCs w:val="24"/>
        </w:rPr>
        <w:t xml:space="preserve">riskier </w:t>
      </w:r>
      <w:r w:rsidRPr="007D421A">
        <w:rPr>
          <w:szCs w:val="24"/>
        </w:rPr>
        <w:t xml:space="preserve">financial </w:t>
      </w:r>
      <w:r w:rsidR="001524BE">
        <w:rPr>
          <w:szCs w:val="24"/>
        </w:rPr>
        <w:t>profiles</w:t>
      </w:r>
      <w:r w:rsidR="001524BE" w:rsidRPr="007D421A">
        <w:rPr>
          <w:szCs w:val="24"/>
        </w:rPr>
        <w:t xml:space="preserve"> </w:t>
      </w:r>
      <w:r w:rsidR="00050A18" w:rsidRPr="007D421A">
        <w:rPr>
          <w:szCs w:val="24"/>
        </w:rPr>
        <w:t>than PacifiCorp</w:t>
      </w:r>
      <w:r w:rsidRPr="007D421A">
        <w:rPr>
          <w:szCs w:val="24"/>
        </w:rPr>
        <w:t>.  In this context,</w:t>
      </w:r>
      <w:r w:rsidR="00050A18" w:rsidRPr="007D421A">
        <w:rPr>
          <w:szCs w:val="24"/>
        </w:rPr>
        <w:t xml:space="preserve"> </w:t>
      </w:r>
      <w:r w:rsidRPr="00C61CA2">
        <w:rPr>
          <w:i/>
          <w:szCs w:val="24"/>
        </w:rPr>
        <w:t>it is</w:t>
      </w:r>
      <w:r w:rsidRPr="007D421A">
        <w:rPr>
          <w:szCs w:val="24"/>
        </w:rPr>
        <w:t xml:space="preserve"> necessary to account for higher costs of </w:t>
      </w:r>
      <w:r w:rsidR="00C61CA2">
        <w:rPr>
          <w:szCs w:val="24"/>
        </w:rPr>
        <w:t xml:space="preserve">equity </w:t>
      </w:r>
      <w:r w:rsidRPr="007D421A">
        <w:rPr>
          <w:szCs w:val="24"/>
        </w:rPr>
        <w:t xml:space="preserve">capital when imputing </w:t>
      </w:r>
      <w:r w:rsidR="00EB183A">
        <w:rPr>
          <w:szCs w:val="24"/>
        </w:rPr>
        <w:t xml:space="preserve">for ratemaking purposes </w:t>
      </w:r>
      <w:r w:rsidRPr="007D421A">
        <w:rPr>
          <w:szCs w:val="24"/>
        </w:rPr>
        <w:t>a capital structure with more</w:t>
      </w:r>
      <w:r>
        <w:t xml:space="preserve"> </w:t>
      </w:r>
      <w:r w:rsidR="001524BE">
        <w:t xml:space="preserve">financial risk </w:t>
      </w:r>
      <w:r>
        <w:t>than PacifiCorp and the Proxy Group companies.</w:t>
      </w:r>
    </w:p>
    <w:p w:rsidR="00576AE6" w:rsidRPr="00576AE6" w:rsidRDefault="00617AC1" w:rsidP="00B63E63">
      <w:pPr>
        <w:pStyle w:val="Heading1"/>
        <w:spacing w:after="0" w:line="480" w:lineRule="auto"/>
        <w:ind w:left="0"/>
      </w:pPr>
      <w:bookmarkStart w:id="10" w:name="_Toc403726944"/>
      <w:r>
        <w:t xml:space="preserve">V. </w:t>
      </w:r>
      <w:r w:rsidR="000A74D5">
        <w:t xml:space="preserve">  </w:t>
      </w:r>
      <w:r w:rsidR="00576AE6">
        <w:t xml:space="preserve">Choice of </w:t>
      </w:r>
      <w:r w:rsidR="00576AE6" w:rsidRPr="00576AE6">
        <w:t>MODEL</w:t>
      </w:r>
      <w:r w:rsidR="00576AE6">
        <w:t>s</w:t>
      </w:r>
      <w:bookmarkEnd w:id="10"/>
    </w:p>
    <w:p w:rsidR="000D28BD" w:rsidRPr="00617AC1" w:rsidRDefault="000D28BD" w:rsidP="00875553">
      <w:pPr>
        <w:pStyle w:val="Heading2"/>
        <w:numPr>
          <w:ilvl w:val="0"/>
          <w:numId w:val="0"/>
        </w:numPr>
        <w:spacing w:before="0" w:after="0" w:line="480" w:lineRule="auto"/>
        <w:rPr>
          <w:sz w:val="24"/>
          <w:szCs w:val="24"/>
        </w:rPr>
      </w:pPr>
      <w:bookmarkStart w:id="11" w:name="_Toc403726945"/>
      <w:r w:rsidRPr="00617AC1">
        <w:rPr>
          <w:sz w:val="24"/>
          <w:szCs w:val="24"/>
        </w:rPr>
        <w:t>Yield-Plus-Growth</w:t>
      </w:r>
      <w:bookmarkEnd w:id="11"/>
    </w:p>
    <w:p w:rsidR="000D28BD" w:rsidRPr="00CC236A" w:rsidRDefault="000D28BD" w:rsidP="00CC236A">
      <w:pPr>
        <w:pStyle w:val="QAQuestion"/>
        <w:tabs>
          <w:tab w:val="num" w:pos="720"/>
        </w:tabs>
        <w:spacing w:after="0" w:line="480" w:lineRule="auto"/>
        <w:ind w:left="720" w:hanging="720"/>
        <w:jc w:val="left"/>
        <w:rPr>
          <w:b/>
          <w:szCs w:val="24"/>
        </w:rPr>
      </w:pPr>
      <w:r w:rsidRPr="00CC236A">
        <w:rPr>
          <w:b/>
          <w:szCs w:val="24"/>
        </w:rPr>
        <w:t xml:space="preserve">Q. </w:t>
      </w:r>
      <w:r w:rsidRPr="00CC236A">
        <w:rPr>
          <w:b/>
          <w:szCs w:val="24"/>
        </w:rPr>
        <w:tab/>
        <w:t xml:space="preserve">Please comment on Mr. Gorman’s </w:t>
      </w:r>
      <w:r w:rsidR="00617AC1">
        <w:rPr>
          <w:b/>
          <w:szCs w:val="24"/>
        </w:rPr>
        <w:t>statement</w:t>
      </w:r>
      <w:r w:rsidRPr="00CC236A">
        <w:rPr>
          <w:b/>
          <w:szCs w:val="24"/>
        </w:rPr>
        <w:t xml:space="preserve"> that the Yield-Plus-Growth model “is not a methodology that is appropriate for estimating a fair return for PacifiCorp in this proceeding</w:t>
      </w:r>
      <w:r w:rsidR="00DC5996" w:rsidRPr="00CC236A">
        <w:rPr>
          <w:b/>
          <w:szCs w:val="24"/>
        </w:rPr>
        <w:t>.</w:t>
      </w:r>
      <w:r w:rsidRPr="00CC236A">
        <w:rPr>
          <w:b/>
          <w:szCs w:val="24"/>
        </w:rPr>
        <w:t>”</w:t>
      </w:r>
      <w:r w:rsidR="00DC5996" w:rsidRPr="00CC236A">
        <w:rPr>
          <w:rStyle w:val="FootnoteReference"/>
          <w:b/>
          <w:szCs w:val="24"/>
        </w:rPr>
        <w:footnoteReference w:id="23"/>
      </w:r>
      <w:r w:rsidRPr="00CC236A">
        <w:rPr>
          <w:b/>
          <w:szCs w:val="24"/>
        </w:rPr>
        <w:t xml:space="preserve"> </w:t>
      </w:r>
    </w:p>
    <w:p w:rsidR="000D28BD" w:rsidRDefault="000D28BD" w:rsidP="00F06E3E">
      <w:pPr>
        <w:pStyle w:val="QAQuestion"/>
        <w:tabs>
          <w:tab w:val="num" w:pos="720"/>
        </w:tabs>
        <w:spacing w:after="0" w:line="480" w:lineRule="auto"/>
        <w:ind w:left="720" w:hanging="720"/>
        <w:jc w:val="left"/>
        <w:rPr>
          <w:b/>
          <w:szCs w:val="24"/>
        </w:rPr>
      </w:pPr>
      <w:r>
        <w:t>A.</w:t>
      </w:r>
      <w:r>
        <w:tab/>
        <w:t xml:space="preserve">This statement is </w:t>
      </w:r>
      <w:r w:rsidR="000F4F1D">
        <w:t>not correct</w:t>
      </w:r>
      <w:r>
        <w:t xml:space="preserve">.  It is well established that the return expectations for the industry as a whole influence </w:t>
      </w:r>
      <w:r w:rsidR="00A00209">
        <w:t>investors’</w:t>
      </w:r>
      <w:r>
        <w:t xml:space="preserve"> expectations for individual companies within the industry.  </w:t>
      </w:r>
      <w:r w:rsidR="007967DB">
        <w:t xml:space="preserve">Often, when it is difficult to assess a company-specific or project-specific cost of capital, practitioners rely upon the industry-average cost of capital in its place.  </w:t>
      </w:r>
      <w:r w:rsidR="00AC5CBB">
        <w:t>This</w:t>
      </w:r>
      <w:r w:rsidR="007967DB">
        <w:t xml:space="preserve"> confirm</w:t>
      </w:r>
      <w:r w:rsidR="00AC5CBB">
        <w:t>s</w:t>
      </w:r>
      <w:r>
        <w:t xml:space="preserve"> th</w:t>
      </w:r>
      <w:r w:rsidR="007967DB">
        <w:t>e relevance of industry return expectations.</w:t>
      </w:r>
      <w:r w:rsidR="007967DB">
        <w:rPr>
          <w:rStyle w:val="FootnoteReference"/>
        </w:rPr>
        <w:footnoteReference w:id="24"/>
      </w:r>
      <w:r>
        <w:t xml:space="preserve">  The record in this proceeding would be wanting if estimates </w:t>
      </w:r>
      <w:r w:rsidR="00336B42">
        <w:t xml:space="preserve">of expected industry returns </w:t>
      </w:r>
      <w:r>
        <w:t>were not presented to the Commission.</w:t>
      </w:r>
    </w:p>
    <w:p w:rsidR="00576AE6" w:rsidRPr="00617AC1" w:rsidRDefault="00576AE6" w:rsidP="00F06E3E">
      <w:pPr>
        <w:pStyle w:val="Heading2"/>
        <w:numPr>
          <w:ilvl w:val="0"/>
          <w:numId w:val="0"/>
        </w:numPr>
        <w:spacing w:before="0" w:after="0" w:line="480" w:lineRule="auto"/>
        <w:rPr>
          <w:sz w:val="24"/>
          <w:szCs w:val="24"/>
        </w:rPr>
      </w:pPr>
      <w:bookmarkStart w:id="12" w:name="_Toc403726946"/>
      <w:r w:rsidRPr="00617AC1">
        <w:rPr>
          <w:sz w:val="24"/>
          <w:szCs w:val="24"/>
        </w:rPr>
        <w:t>Comparable Earnings</w:t>
      </w:r>
      <w:bookmarkEnd w:id="12"/>
    </w:p>
    <w:p w:rsidR="00C609C8" w:rsidRDefault="00C609C8" w:rsidP="00F06E3E">
      <w:pPr>
        <w:pStyle w:val="QAQuestion"/>
        <w:tabs>
          <w:tab w:val="num" w:pos="720"/>
        </w:tabs>
        <w:spacing w:after="0" w:line="480" w:lineRule="auto"/>
        <w:ind w:left="720" w:hanging="720"/>
        <w:jc w:val="left"/>
        <w:rPr>
          <w:b/>
          <w:szCs w:val="24"/>
        </w:rPr>
      </w:pPr>
      <w:r w:rsidRPr="00384017">
        <w:rPr>
          <w:b/>
          <w:szCs w:val="24"/>
        </w:rPr>
        <w:t xml:space="preserve">Q. </w:t>
      </w:r>
      <w:r w:rsidRPr="00384017">
        <w:rPr>
          <w:b/>
          <w:szCs w:val="24"/>
        </w:rPr>
        <w:tab/>
      </w:r>
      <w:r>
        <w:rPr>
          <w:b/>
          <w:szCs w:val="24"/>
        </w:rPr>
        <w:t>Please comment on the testimony of Messrs. Parcell, Hill and Gorman as it concerns the use of the Comparable Earnings model.</w:t>
      </w:r>
    </w:p>
    <w:p w:rsidR="00F0333A" w:rsidRDefault="00C609C8" w:rsidP="00F06E3E">
      <w:pPr>
        <w:pStyle w:val="QAQCont"/>
        <w:spacing w:after="0" w:line="480" w:lineRule="auto"/>
        <w:ind w:left="720" w:hanging="720"/>
        <w:jc w:val="left"/>
        <w:rPr>
          <w:szCs w:val="24"/>
        </w:rPr>
      </w:pPr>
      <w:r>
        <w:t>A.</w:t>
      </w:r>
      <w:r>
        <w:tab/>
      </w:r>
      <w:r w:rsidR="001A6EBC">
        <w:t xml:space="preserve">No consensus exists </w:t>
      </w:r>
      <w:r w:rsidR="00617AC1">
        <w:t>among</w:t>
      </w:r>
      <w:r w:rsidR="001A6EBC">
        <w:t xml:space="preserve"> these experts on the applicability of the Comparable Earnings model.  </w:t>
      </w:r>
      <w:r w:rsidR="00F0333A">
        <w:t xml:space="preserve">Mr. Gorman contends that Comparable Earnings is not an appropriate method for estimating ROE.  Mr. Hill makes a similar claim.  </w:t>
      </w:r>
      <w:r w:rsidR="00F42ACF">
        <w:t>However, t</w:t>
      </w:r>
      <w:r w:rsidR="00F0333A">
        <w:t xml:space="preserve">heir </w:t>
      </w:r>
      <w:r w:rsidR="00F0333A">
        <w:rPr>
          <w:szCs w:val="24"/>
        </w:rPr>
        <w:t>testimony in this regard is unsupported and contradicts the well-established principle in applied finance that past retur</w:t>
      </w:r>
      <w:r w:rsidR="00617AC1">
        <w:rPr>
          <w:szCs w:val="24"/>
        </w:rPr>
        <w:t>ns influence investors’ forward-</w:t>
      </w:r>
      <w:r w:rsidR="00F0333A">
        <w:rPr>
          <w:szCs w:val="24"/>
        </w:rPr>
        <w:t xml:space="preserve">looking expectations.  </w:t>
      </w:r>
      <w:r w:rsidR="00DC5996">
        <w:rPr>
          <w:szCs w:val="24"/>
        </w:rPr>
        <w:t>T</w:t>
      </w:r>
      <w:r w:rsidR="00F0333A">
        <w:rPr>
          <w:szCs w:val="24"/>
        </w:rPr>
        <w:t xml:space="preserve">o claim, as Mr. Gorman does, that the comparable earnings model is flawed or irrelevant inappropriately ignores a key factor of influence for rate-of-return expectations as well as the specific guidance of the Supreme Court’s </w:t>
      </w:r>
      <w:r w:rsidR="00F0333A">
        <w:rPr>
          <w:i/>
          <w:szCs w:val="24"/>
        </w:rPr>
        <w:t>Hope</w:t>
      </w:r>
      <w:r w:rsidR="00F0333A">
        <w:rPr>
          <w:szCs w:val="24"/>
        </w:rPr>
        <w:t xml:space="preserve"> decision, where the Court makes specific reference to the need for an analysis of comparable earnings.</w:t>
      </w:r>
    </w:p>
    <w:p w:rsidR="00F0333A" w:rsidRPr="00F0333A" w:rsidRDefault="00F0333A" w:rsidP="00F06E3E">
      <w:pPr>
        <w:pStyle w:val="QAQCont"/>
        <w:spacing w:after="0" w:line="480" w:lineRule="auto"/>
        <w:ind w:left="720" w:hanging="720"/>
        <w:jc w:val="left"/>
      </w:pPr>
      <w:r w:rsidRPr="00F0333A">
        <w:tab/>
      </w:r>
      <w:r w:rsidR="00617AC1">
        <w:tab/>
      </w:r>
      <w:r w:rsidRPr="00F0333A">
        <w:t xml:space="preserve">I note that Staff’s cost-of-capital expert, Mr. Parcell, lauds the use of the Comparable Earnings </w:t>
      </w:r>
      <w:r w:rsidR="00BF3018">
        <w:t>(</w:t>
      </w:r>
      <w:r w:rsidRPr="00F0333A">
        <w:t>CE</w:t>
      </w:r>
      <w:r w:rsidR="00BF3018">
        <w:t>)</w:t>
      </w:r>
      <w:r w:rsidRPr="00F0333A">
        <w:t xml:space="preserve"> model:  “The CE method is designed to measure the returns expected to be earned on the original cost book value of similar risk enterprises.  Thus, it provides a direct measure of the fair return, since it translates into practice the competitive principle upon which regulation rests.”</w:t>
      </w:r>
      <w:r w:rsidR="00DC5996">
        <w:rPr>
          <w:rStyle w:val="FootnoteReference"/>
        </w:rPr>
        <w:footnoteReference w:id="25"/>
      </w:r>
      <w:r w:rsidRPr="00F0333A">
        <w:t xml:space="preserve"> </w:t>
      </w:r>
    </w:p>
    <w:p w:rsidR="00F57AA5" w:rsidRPr="00F0333A" w:rsidRDefault="00F57AA5" w:rsidP="00F06E3E">
      <w:pPr>
        <w:pStyle w:val="QAQCont"/>
        <w:spacing w:after="0" w:line="480" w:lineRule="auto"/>
        <w:ind w:left="720" w:hanging="720"/>
        <w:jc w:val="left"/>
      </w:pPr>
      <w:r>
        <w:tab/>
      </w:r>
      <w:r w:rsidR="00617AC1">
        <w:tab/>
      </w:r>
      <w:r>
        <w:t>I understand that the Commission has also previously relied on the Comparable Earnings model, after first observing that it “appreciate</w:t>
      </w:r>
      <w:r w:rsidR="009E1079">
        <w:t>s</w:t>
      </w:r>
      <w:r>
        <w:t xml:space="preserve"> and values a variety of perspectives and analytic results because these serve to better inform the judgment it must exercise than would a single model, or a single expert’s opinion.”</w:t>
      </w:r>
      <w:r>
        <w:rPr>
          <w:rStyle w:val="FootnoteReference"/>
        </w:rPr>
        <w:footnoteReference w:id="26"/>
      </w:r>
    </w:p>
    <w:p w:rsidR="00576AE6" w:rsidRPr="00617AC1" w:rsidRDefault="00576AE6" w:rsidP="00F06E3E">
      <w:pPr>
        <w:pStyle w:val="Heading2"/>
        <w:numPr>
          <w:ilvl w:val="0"/>
          <w:numId w:val="0"/>
        </w:numPr>
        <w:spacing w:before="0" w:after="0" w:line="480" w:lineRule="auto"/>
        <w:rPr>
          <w:sz w:val="24"/>
          <w:szCs w:val="24"/>
        </w:rPr>
      </w:pPr>
      <w:bookmarkStart w:id="13" w:name="_Toc403726947"/>
      <w:r w:rsidRPr="00617AC1">
        <w:rPr>
          <w:sz w:val="24"/>
          <w:szCs w:val="24"/>
        </w:rPr>
        <w:t>Modified Earnings-Price Ratio</w:t>
      </w:r>
      <w:bookmarkEnd w:id="13"/>
    </w:p>
    <w:p w:rsidR="00B26BEA" w:rsidRDefault="00B26BEA" w:rsidP="00F06E3E">
      <w:pPr>
        <w:pStyle w:val="QAQuestion"/>
        <w:tabs>
          <w:tab w:val="num" w:pos="720"/>
        </w:tabs>
        <w:spacing w:after="0" w:line="480" w:lineRule="auto"/>
        <w:ind w:left="720" w:hanging="720"/>
        <w:jc w:val="left"/>
        <w:rPr>
          <w:b/>
          <w:szCs w:val="24"/>
        </w:rPr>
      </w:pPr>
      <w:r>
        <w:rPr>
          <w:b/>
          <w:szCs w:val="24"/>
        </w:rPr>
        <w:t>Q.</w:t>
      </w:r>
      <w:r>
        <w:rPr>
          <w:b/>
          <w:szCs w:val="24"/>
        </w:rPr>
        <w:tab/>
        <w:t xml:space="preserve">Please comment on the </w:t>
      </w:r>
      <w:r w:rsidRPr="00322871">
        <w:rPr>
          <w:b/>
          <w:szCs w:val="24"/>
        </w:rPr>
        <w:t xml:space="preserve">Modified Earnings-Price Ratio </w:t>
      </w:r>
      <w:r>
        <w:rPr>
          <w:b/>
          <w:szCs w:val="24"/>
        </w:rPr>
        <w:t xml:space="preserve">model advanced by </w:t>
      </w:r>
      <w:r w:rsidR="00F06E3E">
        <w:rPr>
          <w:b/>
          <w:szCs w:val="24"/>
        </w:rPr>
        <w:t xml:space="preserve">    </w:t>
      </w:r>
      <w:r>
        <w:rPr>
          <w:b/>
          <w:szCs w:val="24"/>
        </w:rPr>
        <w:t>Mr. Hill.</w:t>
      </w:r>
    </w:p>
    <w:p w:rsidR="00C500E9" w:rsidRDefault="00322871" w:rsidP="00F06E3E">
      <w:pPr>
        <w:pStyle w:val="QAQCont"/>
        <w:widowControl w:val="0"/>
        <w:spacing w:after="0" w:line="480" w:lineRule="auto"/>
        <w:ind w:left="720" w:hanging="720"/>
        <w:jc w:val="left"/>
      </w:pPr>
      <w:r>
        <w:t>A.</w:t>
      </w:r>
      <w:r>
        <w:tab/>
      </w:r>
      <w:r w:rsidRPr="00E71565">
        <w:t xml:space="preserve">Mr. Hill employs the modified earning-price ratio (MEPR) analysis and states it can be useful in a corroborative sense. </w:t>
      </w:r>
      <w:r w:rsidR="00B231A9">
        <w:t xml:space="preserve"> </w:t>
      </w:r>
      <w:r w:rsidR="00C500E9">
        <w:t>It is well known that the Earnings-Price ratio understates the cost of capital when market-to-book ratios exceed unity.</w:t>
      </w:r>
      <w:r w:rsidR="003449B4">
        <w:t xml:space="preserve"> </w:t>
      </w:r>
      <w:r w:rsidR="00C500E9">
        <w:t xml:space="preserve">  </w:t>
      </w:r>
      <w:r w:rsidRPr="00E71565">
        <w:t>Although Mr. Hill modifie</w:t>
      </w:r>
      <w:r w:rsidR="00A00209">
        <w:t>s</w:t>
      </w:r>
      <w:r w:rsidRPr="00E71565">
        <w:t xml:space="preserve"> </w:t>
      </w:r>
      <w:r w:rsidR="00A00209">
        <w:t xml:space="preserve">the </w:t>
      </w:r>
      <w:r w:rsidRPr="00E71565">
        <w:t xml:space="preserve">approach, </w:t>
      </w:r>
      <w:r w:rsidR="00A00209">
        <w:t>his recommendation to use the midpoint of the bounds he identifies is arbitrary.  T</w:t>
      </w:r>
      <w:r w:rsidRPr="00E71565">
        <w:t xml:space="preserve">he </w:t>
      </w:r>
      <w:r>
        <w:t xml:space="preserve">method remains </w:t>
      </w:r>
      <w:r w:rsidRPr="00E71565">
        <w:t>inferior to other approaches and is not a good source of corroboration.</w:t>
      </w:r>
      <w:r w:rsidR="00F60F14">
        <w:rPr>
          <w:rStyle w:val="FootnoteReference"/>
        </w:rPr>
        <w:footnoteReference w:id="27"/>
      </w:r>
      <w:r w:rsidR="00F60F14">
        <w:t xml:space="preserve"> </w:t>
      </w:r>
      <w:r w:rsidR="00C500E9">
        <w:t xml:space="preserve"> </w:t>
      </w:r>
    </w:p>
    <w:p w:rsidR="00322871" w:rsidRPr="00576AE6" w:rsidRDefault="00C500E9" w:rsidP="003105A0">
      <w:pPr>
        <w:pStyle w:val="QAQCont"/>
        <w:widowControl w:val="0"/>
        <w:spacing w:after="0" w:line="480" w:lineRule="auto"/>
        <w:ind w:left="720" w:firstLine="720"/>
        <w:jc w:val="left"/>
      </w:pPr>
      <w:r>
        <w:t xml:space="preserve">Importantly, it is not a model that </w:t>
      </w:r>
      <w:r w:rsidR="00C430FB">
        <w:t>is</w:t>
      </w:r>
      <w:r>
        <w:t xml:space="preserve"> used </w:t>
      </w:r>
      <w:r w:rsidR="00C430FB">
        <w:t xml:space="preserve">by investors or relied upon </w:t>
      </w:r>
      <w:r>
        <w:t>in regulatory practice.</w:t>
      </w:r>
      <w:r w:rsidR="00C430FB">
        <w:t xml:space="preserve">  It has been my experience that investors do not rely upon</w:t>
      </w:r>
      <w:r>
        <w:t xml:space="preserve"> </w:t>
      </w:r>
      <w:r w:rsidR="00C430FB">
        <w:t xml:space="preserve">the earnings-price approach or the modified earnings-price approach to assess the cost of capital.  In regulatory practice, </w:t>
      </w:r>
      <w:r>
        <w:t>Mr. Hill cites the generic financing proceeding Order No. 420, issued by the FERC in 1985, as support for this model</w:t>
      </w:r>
      <w:r w:rsidR="00C430FB">
        <w:t>.  However</w:t>
      </w:r>
      <w:r>
        <w:t xml:space="preserve">, the FERC has adopted it neither as a method for estimating the ROE nor as a means of corroborating ROE estimates.  </w:t>
      </w:r>
    </w:p>
    <w:p w:rsidR="00576AE6" w:rsidRPr="003105A0" w:rsidRDefault="00576AE6" w:rsidP="00F06E3E">
      <w:pPr>
        <w:pStyle w:val="Heading2"/>
        <w:numPr>
          <w:ilvl w:val="0"/>
          <w:numId w:val="0"/>
        </w:numPr>
        <w:spacing w:before="0" w:after="0" w:line="480" w:lineRule="auto"/>
        <w:rPr>
          <w:sz w:val="24"/>
          <w:szCs w:val="24"/>
        </w:rPr>
      </w:pPr>
      <w:bookmarkStart w:id="14" w:name="_Toc403726948"/>
      <w:r w:rsidRPr="003105A0">
        <w:rPr>
          <w:sz w:val="24"/>
          <w:szCs w:val="24"/>
        </w:rPr>
        <w:t>Market-to-Book</w:t>
      </w:r>
      <w:bookmarkEnd w:id="14"/>
    </w:p>
    <w:p w:rsidR="00B26BEA" w:rsidRDefault="00B26BEA" w:rsidP="00F06E3E">
      <w:pPr>
        <w:pStyle w:val="QAQuestion"/>
        <w:tabs>
          <w:tab w:val="num" w:pos="720"/>
        </w:tabs>
        <w:spacing w:after="0" w:line="480" w:lineRule="auto"/>
        <w:ind w:left="720" w:hanging="720"/>
        <w:jc w:val="left"/>
        <w:rPr>
          <w:b/>
          <w:szCs w:val="24"/>
        </w:rPr>
      </w:pPr>
      <w:r>
        <w:rPr>
          <w:b/>
          <w:szCs w:val="24"/>
        </w:rPr>
        <w:t>Q.</w:t>
      </w:r>
      <w:r>
        <w:rPr>
          <w:b/>
          <w:szCs w:val="24"/>
        </w:rPr>
        <w:tab/>
        <w:t xml:space="preserve">Please comment on the </w:t>
      </w:r>
      <w:r w:rsidRPr="00322871">
        <w:rPr>
          <w:b/>
          <w:szCs w:val="24"/>
        </w:rPr>
        <w:t>M</w:t>
      </w:r>
      <w:r>
        <w:rPr>
          <w:b/>
          <w:szCs w:val="24"/>
        </w:rPr>
        <w:t>arket-to-Book</w:t>
      </w:r>
      <w:r w:rsidRPr="00322871">
        <w:rPr>
          <w:b/>
          <w:szCs w:val="24"/>
        </w:rPr>
        <w:t xml:space="preserve"> </w:t>
      </w:r>
      <w:r>
        <w:rPr>
          <w:b/>
          <w:szCs w:val="24"/>
        </w:rPr>
        <w:t>model advanced by Mr. Hill.</w:t>
      </w:r>
    </w:p>
    <w:p w:rsidR="00576AE6" w:rsidRDefault="001971A8" w:rsidP="00F06E3E">
      <w:pPr>
        <w:pStyle w:val="QAQCont"/>
        <w:spacing w:after="0" w:line="480" w:lineRule="auto"/>
        <w:ind w:left="720" w:hanging="720"/>
        <w:jc w:val="left"/>
      </w:pPr>
      <w:r>
        <w:t>A.</w:t>
      </w:r>
      <w:r>
        <w:tab/>
      </w:r>
      <w:r w:rsidR="0025189C">
        <w:t>In my experience, analysis of</w:t>
      </w:r>
      <w:r w:rsidR="0025189C" w:rsidRPr="00E71565">
        <w:t xml:space="preserve"> </w:t>
      </w:r>
      <w:r w:rsidR="00B26BEA" w:rsidRPr="00E71565">
        <w:t>market-to-book ratio</w:t>
      </w:r>
      <w:r w:rsidR="0025189C">
        <w:t>s</w:t>
      </w:r>
      <w:r w:rsidR="00B26BEA" w:rsidRPr="00E71565">
        <w:t xml:space="preserve"> </w:t>
      </w:r>
      <w:r w:rsidR="0025189C">
        <w:t>in the context of cost of capital determination often involves the use of econometrics.  Mr. Hill’s use of them does not employ econometric techniques.  His analysis, as presented,</w:t>
      </w:r>
      <w:r>
        <w:t xml:space="preserve"> provides little additional information and </w:t>
      </w:r>
      <w:r w:rsidR="00B26BEA" w:rsidRPr="00E71565">
        <w:t xml:space="preserve">does not </w:t>
      </w:r>
      <w:r>
        <w:t xml:space="preserve">properly serve as a </w:t>
      </w:r>
      <w:r w:rsidR="00B26BEA" w:rsidRPr="00A507E9">
        <w:t>corroboration</w:t>
      </w:r>
      <w:r>
        <w:t xml:space="preserve"> of the ROE estimates presented </w:t>
      </w:r>
      <w:r w:rsidR="00B26BEA" w:rsidRPr="00A507E9">
        <w:t>by Mr. Hill.</w:t>
      </w:r>
      <w:r w:rsidR="00C500E9">
        <w:t xml:space="preserve">  Again, this is an approach that has little use </w:t>
      </w:r>
      <w:r w:rsidR="00C430FB">
        <w:t xml:space="preserve">by investors and by </w:t>
      </w:r>
      <w:r w:rsidR="00C500E9">
        <w:t>regulator</w:t>
      </w:r>
      <w:r w:rsidR="00C430FB">
        <w:t>s in their</w:t>
      </w:r>
      <w:r w:rsidR="00C500E9">
        <w:t xml:space="preserve"> practic</w:t>
      </w:r>
      <w:r w:rsidR="00C430FB">
        <w:t>al assessments of utility costs of capital.</w:t>
      </w:r>
      <w:r w:rsidR="00C500E9">
        <w:t xml:space="preserve"> </w:t>
      </w:r>
    </w:p>
    <w:p w:rsidR="00575C66" w:rsidRDefault="00575C66" w:rsidP="00575C66">
      <w:pPr>
        <w:pStyle w:val="QAQCont"/>
        <w:suppressLineNumbers/>
        <w:spacing w:after="0" w:line="480" w:lineRule="auto"/>
        <w:ind w:left="720" w:hanging="720"/>
        <w:jc w:val="left"/>
      </w:pPr>
    </w:p>
    <w:p w:rsidR="0044027A" w:rsidRPr="00576AE6" w:rsidRDefault="003105A0" w:rsidP="00B63E63">
      <w:pPr>
        <w:pStyle w:val="Heading1"/>
        <w:spacing w:after="0" w:line="480" w:lineRule="auto"/>
        <w:ind w:left="0"/>
      </w:pPr>
      <w:bookmarkStart w:id="15" w:name="_Toc403726949"/>
      <w:r>
        <w:t xml:space="preserve">VI. </w:t>
      </w:r>
      <w:r w:rsidR="000A74D5">
        <w:t xml:space="preserve">  </w:t>
      </w:r>
      <w:r w:rsidR="0044027A" w:rsidRPr="00576AE6">
        <w:t>MODEL INPUTS</w:t>
      </w:r>
      <w:bookmarkEnd w:id="15"/>
    </w:p>
    <w:p w:rsidR="0044027A" w:rsidRPr="003105A0" w:rsidRDefault="0044027A" w:rsidP="00F06E3E">
      <w:pPr>
        <w:pStyle w:val="Heading2"/>
        <w:numPr>
          <w:ilvl w:val="0"/>
          <w:numId w:val="0"/>
        </w:numPr>
        <w:spacing w:before="0" w:after="0" w:line="480" w:lineRule="auto"/>
        <w:rPr>
          <w:sz w:val="24"/>
          <w:szCs w:val="24"/>
        </w:rPr>
      </w:pPr>
      <w:bookmarkStart w:id="16" w:name="_Toc403726950"/>
      <w:r w:rsidRPr="003105A0">
        <w:rPr>
          <w:sz w:val="24"/>
          <w:szCs w:val="24"/>
        </w:rPr>
        <w:t>Equity Risk Premium</w:t>
      </w:r>
      <w:bookmarkEnd w:id="16"/>
    </w:p>
    <w:p w:rsidR="0044027A" w:rsidRDefault="0044027A" w:rsidP="00F06E3E">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Do</w:t>
      </w:r>
      <w:r>
        <w:rPr>
          <w:b/>
          <w:szCs w:val="24"/>
        </w:rPr>
        <w:t>es Mr. Parcell’s claim</w:t>
      </w:r>
      <w:r w:rsidRPr="00384017">
        <w:rPr>
          <w:b/>
          <w:szCs w:val="24"/>
        </w:rPr>
        <w:t xml:space="preserve"> </w:t>
      </w:r>
      <w:r w:rsidR="00FA1AA0">
        <w:rPr>
          <w:b/>
          <w:szCs w:val="24"/>
        </w:rPr>
        <w:t>that you should not use current interest rates to measure the equity risk premium have merit</w:t>
      </w:r>
      <w:r w:rsidRPr="00384017">
        <w:rPr>
          <w:b/>
          <w:szCs w:val="24"/>
        </w:rPr>
        <w:t>?</w:t>
      </w:r>
    </w:p>
    <w:p w:rsidR="0044027A" w:rsidRDefault="00FA1AA0" w:rsidP="00F06E3E">
      <w:pPr>
        <w:tabs>
          <w:tab w:val="num" w:pos="720"/>
        </w:tabs>
        <w:spacing w:line="480" w:lineRule="auto"/>
        <w:ind w:left="720" w:hanging="720"/>
        <w:jc w:val="left"/>
        <w:rPr>
          <w:szCs w:val="24"/>
        </w:rPr>
      </w:pPr>
      <w:r w:rsidRPr="00384017">
        <w:rPr>
          <w:szCs w:val="24"/>
        </w:rPr>
        <w:t xml:space="preserve">A. </w:t>
      </w:r>
      <w:r w:rsidRPr="00384017">
        <w:rPr>
          <w:szCs w:val="24"/>
        </w:rPr>
        <w:tab/>
      </w:r>
      <w:r>
        <w:rPr>
          <w:szCs w:val="24"/>
        </w:rPr>
        <w:t>No</w:t>
      </w:r>
      <w:r w:rsidRPr="00384017">
        <w:rPr>
          <w:szCs w:val="24"/>
        </w:rPr>
        <w:t xml:space="preserve">.  </w:t>
      </w:r>
      <w:r>
        <w:rPr>
          <w:szCs w:val="24"/>
        </w:rPr>
        <w:t xml:space="preserve">Mr. Parcell conflates two separate and distinct issues: </w:t>
      </w:r>
      <w:r w:rsidR="003105A0">
        <w:rPr>
          <w:szCs w:val="24"/>
        </w:rPr>
        <w:t>(</w:t>
      </w:r>
      <w:r>
        <w:rPr>
          <w:szCs w:val="24"/>
        </w:rPr>
        <w:t>1) whether the historic</w:t>
      </w:r>
      <w:r w:rsidR="00B231A9">
        <w:rPr>
          <w:szCs w:val="24"/>
        </w:rPr>
        <w:t>al</w:t>
      </w:r>
      <w:r>
        <w:rPr>
          <w:szCs w:val="24"/>
        </w:rPr>
        <w:t xml:space="preserve"> equity risk premium applies in today’s marketplace; and </w:t>
      </w:r>
      <w:r w:rsidR="003105A0">
        <w:rPr>
          <w:szCs w:val="24"/>
        </w:rPr>
        <w:t>(</w:t>
      </w:r>
      <w:r>
        <w:rPr>
          <w:szCs w:val="24"/>
        </w:rPr>
        <w:t>2) how to estimate and use a forward-looking risk premium today.  He attempts to tie my statement that the historic</w:t>
      </w:r>
      <w:r w:rsidR="00B231A9">
        <w:rPr>
          <w:szCs w:val="24"/>
        </w:rPr>
        <w:t>al</w:t>
      </w:r>
      <w:r>
        <w:rPr>
          <w:szCs w:val="24"/>
        </w:rPr>
        <w:t xml:space="preserve"> risk premium is inapplicable today to the question of how to </w:t>
      </w:r>
      <w:r w:rsidR="00117FF5">
        <w:rPr>
          <w:szCs w:val="24"/>
        </w:rPr>
        <w:t>estimate and use a forward-looking risk premium</w:t>
      </w:r>
      <w:r w:rsidRPr="00384017">
        <w:rPr>
          <w:szCs w:val="24"/>
        </w:rPr>
        <w:t xml:space="preserve">.  </w:t>
      </w:r>
      <w:r w:rsidR="00117FF5">
        <w:rPr>
          <w:szCs w:val="24"/>
        </w:rPr>
        <w:t xml:space="preserve">Yet these have little to do with one another.  </w:t>
      </w:r>
      <w:r w:rsidR="00100414">
        <w:rPr>
          <w:szCs w:val="24"/>
        </w:rPr>
        <w:t>M</w:t>
      </w:r>
      <w:r w:rsidR="00117FF5">
        <w:rPr>
          <w:szCs w:val="24"/>
        </w:rPr>
        <w:t xml:space="preserve">y analysis </w:t>
      </w:r>
      <w:r w:rsidR="00100414">
        <w:rPr>
          <w:szCs w:val="24"/>
        </w:rPr>
        <w:t xml:space="preserve">of the Market Risk Premium </w:t>
      </w:r>
      <w:r w:rsidR="00117FF5">
        <w:rPr>
          <w:szCs w:val="24"/>
        </w:rPr>
        <w:t>is consistent</w:t>
      </w:r>
      <w:r w:rsidR="00100414">
        <w:rPr>
          <w:szCs w:val="24"/>
        </w:rPr>
        <w:t xml:space="preserve"> as it </w:t>
      </w:r>
      <w:r w:rsidR="00117FF5">
        <w:rPr>
          <w:szCs w:val="24"/>
        </w:rPr>
        <w:t>assess</w:t>
      </w:r>
      <w:r w:rsidR="00100414">
        <w:rPr>
          <w:szCs w:val="24"/>
        </w:rPr>
        <w:t>es</w:t>
      </w:r>
      <w:r w:rsidR="00117FF5">
        <w:rPr>
          <w:szCs w:val="24"/>
        </w:rPr>
        <w:t xml:space="preserve"> the premium based on th</w:t>
      </w:r>
      <w:r w:rsidR="00100414">
        <w:rPr>
          <w:szCs w:val="24"/>
        </w:rPr>
        <w:t>e</w:t>
      </w:r>
      <w:r w:rsidR="00117FF5">
        <w:rPr>
          <w:szCs w:val="24"/>
        </w:rPr>
        <w:t xml:space="preserve"> </w:t>
      </w:r>
      <w:r w:rsidR="00100414">
        <w:rPr>
          <w:szCs w:val="24"/>
        </w:rPr>
        <w:t xml:space="preserve">current level of </w:t>
      </w:r>
      <w:r w:rsidR="00117FF5">
        <w:rPr>
          <w:szCs w:val="24"/>
        </w:rPr>
        <w:t>rates and appli</w:t>
      </w:r>
      <w:r w:rsidR="00100414">
        <w:rPr>
          <w:szCs w:val="24"/>
        </w:rPr>
        <w:t>es</w:t>
      </w:r>
      <w:r w:rsidR="00117FF5">
        <w:rPr>
          <w:szCs w:val="24"/>
        </w:rPr>
        <w:t xml:space="preserve"> the premium to those rates.  </w:t>
      </w:r>
      <w:r w:rsidR="00100414">
        <w:rPr>
          <w:szCs w:val="24"/>
        </w:rPr>
        <w:t xml:space="preserve">It would be inconsistent to do it in any other fashion.  </w:t>
      </w:r>
    </w:p>
    <w:p w:rsidR="00336B42" w:rsidRPr="00C85546" w:rsidRDefault="00336B42" w:rsidP="005E6531">
      <w:pPr>
        <w:tabs>
          <w:tab w:val="num" w:pos="720"/>
        </w:tabs>
        <w:spacing w:line="480" w:lineRule="auto"/>
        <w:ind w:left="720" w:hanging="720"/>
        <w:jc w:val="left"/>
        <w:rPr>
          <w:b/>
          <w:szCs w:val="24"/>
        </w:rPr>
      </w:pPr>
      <w:r w:rsidRPr="00336B42">
        <w:rPr>
          <w:b/>
          <w:szCs w:val="24"/>
        </w:rPr>
        <w:t>Q.</w:t>
      </w:r>
      <w:r w:rsidRPr="00336B42">
        <w:rPr>
          <w:b/>
          <w:szCs w:val="24"/>
        </w:rPr>
        <w:tab/>
        <w:t xml:space="preserve">Please address Mr. Gorman’s claim that the Equity Risk Premium you rely upon is not reasonable because it </w:t>
      </w:r>
      <w:r w:rsidRPr="00C85546">
        <w:rPr>
          <w:b/>
          <w:szCs w:val="24"/>
        </w:rPr>
        <w:t>is based on too high an expectation of growth.</w:t>
      </w:r>
      <w:r w:rsidR="009E1079">
        <w:rPr>
          <w:rStyle w:val="FootnoteReference"/>
          <w:b/>
          <w:szCs w:val="24"/>
        </w:rPr>
        <w:footnoteReference w:id="28"/>
      </w:r>
      <w:r w:rsidR="00C85546">
        <w:rPr>
          <w:b/>
          <w:szCs w:val="24"/>
        </w:rPr>
        <w:t xml:space="preserve"> </w:t>
      </w:r>
    </w:p>
    <w:p w:rsidR="00336B42" w:rsidRDefault="00336B42" w:rsidP="00814366">
      <w:pPr>
        <w:tabs>
          <w:tab w:val="num" w:pos="720"/>
          <w:tab w:val="left" w:pos="4635"/>
        </w:tabs>
        <w:spacing w:line="480" w:lineRule="auto"/>
        <w:ind w:left="720" w:hanging="720"/>
        <w:jc w:val="left"/>
        <w:rPr>
          <w:szCs w:val="24"/>
        </w:rPr>
      </w:pPr>
      <w:r w:rsidRPr="00384017">
        <w:rPr>
          <w:szCs w:val="24"/>
        </w:rPr>
        <w:t xml:space="preserve">A. </w:t>
      </w:r>
      <w:r w:rsidRPr="00384017">
        <w:rPr>
          <w:szCs w:val="24"/>
        </w:rPr>
        <w:tab/>
      </w:r>
      <w:r w:rsidR="00C85546">
        <w:rPr>
          <w:szCs w:val="24"/>
        </w:rPr>
        <w:t xml:space="preserve">To support this claim, </w:t>
      </w:r>
      <w:r>
        <w:rPr>
          <w:szCs w:val="24"/>
        </w:rPr>
        <w:t>Mr. Gorman compares the projected growth of corporate earnings to the projected US GDP growth</w:t>
      </w:r>
      <w:r w:rsidRPr="00384017">
        <w:rPr>
          <w:szCs w:val="24"/>
        </w:rPr>
        <w:t xml:space="preserve">.  </w:t>
      </w:r>
      <w:r>
        <w:rPr>
          <w:szCs w:val="24"/>
        </w:rPr>
        <w:t>Mr. Gorman premises his criticism on the statement “It is simply not a rational expectation to believe that, for an extended period of time, the growth rate of companies will exceed t</w:t>
      </w:r>
      <w:r w:rsidR="00206042">
        <w:rPr>
          <w:szCs w:val="24"/>
        </w:rPr>
        <w:t>he growth of the overall econom</w:t>
      </w:r>
      <w:r>
        <w:rPr>
          <w:szCs w:val="24"/>
        </w:rPr>
        <w:t>y in which they sell their goods and services.”</w:t>
      </w:r>
      <w:r w:rsidR="009E1079">
        <w:rPr>
          <w:rStyle w:val="FootnoteReference"/>
          <w:szCs w:val="24"/>
        </w:rPr>
        <w:footnoteReference w:id="29"/>
      </w:r>
    </w:p>
    <w:p w:rsidR="00336B42" w:rsidRDefault="00336B42" w:rsidP="005E6531">
      <w:pPr>
        <w:tabs>
          <w:tab w:val="num" w:pos="720"/>
        </w:tabs>
        <w:spacing w:line="480" w:lineRule="auto"/>
        <w:ind w:left="720" w:hanging="720"/>
        <w:jc w:val="left"/>
        <w:rPr>
          <w:szCs w:val="24"/>
        </w:rPr>
      </w:pPr>
      <w:r>
        <w:rPr>
          <w:szCs w:val="24"/>
        </w:rPr>
        <w:tab/>
      </w:r>
      <w:r w:rsidR="003105A0">
        <w:rPr>
          <w:szCs w:val="24"/>
        </w:rPr>
        <w:tab/>
      </w:r>
      <w:r>
        <w:rPr>
          <w:szCs w:val="24"/>
        </w:rPr>
        <w:t xml:space="preserve">Mr. Gorman’s analysis is flawed for several reasons.  First, it fails to recognize that part of the growth in these companies derives from activities abroad.  He assumes erroneously that </w:t>
      </w:r>
      <w:r w:rsidR="00206042">
        <w:rPr>
          <w:szCs w:val="24"/>
        </w:rPr>
        <w:t xml:space="preserve">these companies source their growth exclusively from transactions in the US economy. </w:t>
      </w:r>
    </w:p>
    <w:p w:rsidR="00EB183A" w:rsidRPr="00644EEE" w:rsidRDefault="00206042" w:rsidP="00644EEE">
      <w:pPr>
        <w:tabs>
          <w:tab w:val="num" w:pos="720"/>
        </w:tabs>
        <w:spacing w:line="480" w:lineRule="auto"/>
        <w:ind w:left="720" w:hanging="720"/>
        <w:jc w:val="left"/>
        <w:rPr>
          <w:szCs w:val="24"/>
        </w:rPr>
      </w:pPr>
      <w:r>
        <w:rPr>
          <w:szCs w:val="24"/>
        </w:rPr>
        <w:tab/>
      </w:r>
      <w:r w:rsidR="003105A0">
        <w:rPr>
          <w:szCs w:val="24"/>
        </w:rPr>
        <w:tab/>
      </w:r>
      <w:r>
        <w:rPr>
          <w:szCs w:val="24"/>
        </w:rPr>
        <w:t>Second, histor</w:t>
      </w:r>
      <w:r w:rsidR="00C85546">
        <w:rPr>
          <w:szCs w:val="24"/>
        </w:rPr>
        <w:t>ic</w:t>
      </w:r>
      <w:r w:rsidR="00032B23">
        <w:rPr>
          <w:szCs w:val="24"/>
        </w:rPr>
        <w:t>al</w:t>
      </w:r>
      <w:r>
        <w:rPr>
          <w:szCs w:val="24"/>
        </w:rPr>
        <w:t xml:space="preserve"> stock market performance shows that Mr. Gorman’s contention is wrong.  The capital market data indicate an overall market return of </w:t>
      </w:r>
      <w:r w:rsidR="0021192E">
        <w:rPr>
          <w:szCs w:val="24"/>
        </w:rPr>
        <w:t>11</w:t>
      </w:r>
      <w:r>
        <w:rPr>
          <w:szCs w:val="24"/>
        </w:rPr>
        <w:t>.</w:t>
      </w:r>
      <w:r w:rsidR="0021192E">
        <w:rPr>
          <w:szCs w:val="24"/>
        </w:rPr>
        <w:t xml:space="preserve">95 </w:t>
      </w:r>
      <w:r>
        <w:rPr>
          <w:szCs w:val="24"/>
        </w:rPr>
        <w:t>percent</w:t>
      </w:r>
      <w:r w:rsidR="0051265E">
        <w:rPr>
          <w:szCs w:val="24"/>
        </w:rPr>
        <w:t xml:space="preserve">.  As I show in Exhibit No. </w:t>
      </w:r>
      <w:r>
        <w:rPr>
          <w:szCs w:val="24"/>
        </w:rPr>
        <w:t>KGS-</w:t>
      </w:r>
      <w:r w:rsidR="0021192E">
        <w:rPr>
          <w:szCs w:val="24"/>
        </w:rPr>
        <w:t>2</w:t>
      </w:r>
      <w:r w:rsidR="007C0561">
        <w:rPr>
          <w:szCs w:val="24"/>
        </w:rPr>
        <w:t>2</w:t>
      </w:r>
      <w:r>
        <w:rPr>
          <w:szCs w:val="24"/>
        </w:rPr>
        <w:t>, this return is consistent with actual returns achieved by investors in the S&amp;P 500 Index</w:t>
      </w:r>
      <w:r w:rsidR="00C85546">
        <w:rPr>
          <w:szCs w:val="24"/>
        </w:rPr>
        <w:t xml:space="preserve">, </w:t>
      </w:r>
      <w:r w:rsidR="00700A7A">
        <w:rPr>
          <w:szCs w:val="24"/>
        </w:rPr>
        <w:t xml:space="preserve">which is </w:t>
      </w:r>
      <w:r w:rsidR="00C85546">
        <w:rPr>
          <w:szCs w:val="24"/>
        </w:rPr>
        <w:t>the index</w:t>
      </w:r>
      <w:r>
        <w:rPr>
          <w:szCs w:val="24"/>
        </w:rPr>
        <w:t xml:space="preserve"> from which I develop the market return.  Hence, the</w:t>
      </w:r>
      <w:r w:rsidR="003105A0">
        <w:rPr>
          <w:szCs w:val="24"/>
        </w:rPr>
        <w:t xml:space="preserve"> return assu</w:t>
      </w:r>
      <w:r w:rsidR="005D7313">
        <w:rPr>
          <w:szCs w:val="24"/>
        </w:rPr>
        <w:t>mption I rely upon—</w:t>
      </w:r>
      <w:r>
        <w:rPr>
          <w:szCs w:val="24"/>
        </w:rPr>
        <w:t>a</w:t>
      </w:r>
      <w:r w:rsidR="005D7313">
        <w:rPr>
          <w:szCs w:val="24"/>
        </w:rPr>
        <w:t xml:space="preserve"> </w:t>
      </w:r>
      <w:r>
        <w:rPr>
          <w:szCs w:val="24"/>
        </w:rPr>
        <w:t>forward-looking figure imp</w:t>
      </w:r>
      <w:r w:rsidR="005D7313">
        <w:rPr>
          <w:szCs w:val="24"/>
        </w:rPr>
        <w:t>lied by equity markets pricing—</w:t>
      </w:r>
      <w:r>
        <w:rPr>
          <w:szCs w:val="24"/>
        </w:rPr>
        <w:t>is</w:t>
      </w:r>
      <w:r w:rsidR="005D7313">
        <w:rPr>
          <w:szCs w:val="24"/>
        </w:rPr>
        <w:t xml:space="preserve"> </w:t>
      </w:r>
      <w:r>
        <w:rPr>
          <w:szCs w:val="24"/>
        </w:rPr>
        <w:t>also well calibrated to historic</w:t>
      </w:r>
      <w:r w:rsidR="00032B23">
        <w:rPr>
          <w:szCs w:val="24"/>
        </w:rPr>
        <w:t>al</w:t>
      </w:r>
      <w:r>
        <w:rPr>
          <w:szCs w:val="24"/>
        </w:rPr>
        <w:t xml:space="preserve"> conditions in those same markets.</w:t>
      </w:r>
      <w:r w:rsidR="00C85546">
        <w:rPr>
          <w:szCs w:val="24"/>
        </w:rPr>
        <w:t xml:space="preserve">  Mr. Gorman’s criticisms are based on incorrect assumptions and data. </w:t>
      </w:r>
      <w:r w:rsidR="00336B42">
        <w:rPr>
          <w:szCs w:val="24"/>
        </w:rPr>
        <w:tab/>
      </w:r>
    </w:p>
    <w:p w:rsidR="00700A7A" w:rsidRPr="00C85546" w:rsidRDefault="009315DF" w:rsidP="005E6531">
      <w:pPr>
        <w:tabs>
          <w:tab w:val="num" w:pos="720"/>
        </w:tabs>
        <w:spacing w:line="480" w:lineRule="auto"/>
        <w:ind w:left="720" w:hanging="720"/>
        <w:jc w:val="left"/>
        <w:rPr>
          <w:b/>
          <w:szCs w:val="24"/>
        </w:rPr>
      </w:pPr>
      <w:r>
        <w:rPr>
          <w:b/>
          <w:szCs w:val="24"/>
        </w:rPr>
        <w:t>Q.</w:t>
      </w:r>
      <w:r>
        <w:rPr>
          <w:b/>
          <w:szCs w:val="24"/>
        </w:rPr>
        <w:tab/>
        <w:t>Do you agree with Mr. Hill’s and Mr. Parcell’s equity risk premium assumptions of 6</w:t>
      </w:r>
      <w:r w:rsidR="003105A0">
        <w:rPr>
          <w:b/>
          <w:szCs w:val="24"/>
        </w:rPr>
        <w:t>.0</w:t>
      </w:r>
      <w:r>
        <w:rPr>
          <w:b/>
          <w:szCs w:val="24"/>
        </w:rPr>
        <w:t xml:space="preserve"> percent and 5.85 percent, respectively? </w:t>
      </w:r>
      <w:r w:rsidRPr="00336B42">
        <w:rPr>
          <w:b/>
          <w:szCs w:val="24"/>
        </w:rPr>
        <w:t xml:space="preserve"> </w:t>
      </w:r>
    </w:p>
    <w:p w:rsidR="00700A7A" w:rsidRDefault="00700A7A" w:rsidP="00700A7A">
      <w:pPr>
        <w:tabs>
          <w:tab w:val="num" w:pos="720"/>
        </w:tabs>
        <w:spacing w:line="480" w:lineRule="auto"/>
        <w:ind w:left="720" w:hanging="720"/>
        <w:jc w:val="left"/>
        <w:rPr>
          <w:szCs w:val="24"/>
        </w:rPr>
      </w:pPr>
      <w:r w:rsidRPr="00384017">
        <w:rPr>
          <w:szCs w:val="24"/>
        </w:rPr>
        <w:t xml:space="preserve">A. </w:t>
      </w:r>
      <w:r w:rsidRPr="00384017">
        <w:rPr>
          <w:szCs w:val="24"/>
        </w:rPr>
        <w:tab/>
      </w:r>
      <w:r>
        <w:rPr>
          <w:szCs w:val="24"/>
        </w:rPr>
        <w:t xml:space="preserve">No.  </w:t>
      </w:r>
      <w:r w:rsidR="00CC6812">
        <w:rPr>
          <w:szCs w:val="24"/>
        </w:rPr>
        <w:t>The</w:t>
      </w:r>
      <w:r w:rsidR="009315DF">
        <w:rPr>
          <w:szCs w:val="24"/>
        </w:rPr>
        <w:t>se assumptions</w:t>
      </w:r>
      <w:r w:rsidR="00CC6812">
        <w:rPr>
          <w:szCs w:val="24"/>
        </w:rPr>
        <w:t xml:space="preserve"> do not make sense and are disconnected from current capital market conditions.  As I explain in my direct testimony, t</w:t>
      </w:r>
      <w:r w:rsidR="00CC6812" w:rsidRPr="00CC6812">
        <w:rPr>
          <w:szCs w:val="24"/>
        </w:rPr>
        <w:t xml:space="preserve">he spread between the risk-free rate and the required returns for holding equities has broadened as the Federal Reserve System has aggressively acted to keep </w:t>
      </w:r>
      <w:r w:rsidR="00CC6812">
        <w:rPr>
          <w:szCs w:val="24"/>
        </w:rPr>
        <w:t xml:space="preserve">long-term </w:t>
      </w:r>
      <w:r w:rsidR="00CC6812" w:rsidRPr="00CC6812">
        <w:rPr>
          <w:szCs w:val="24"/>
        </w:rPr>
        <w:t xml:space="preserve">interest rates at record lows and stimulate the economy. </w:t>
      </w:r>
      <w:r w:rsidR="00C749F6">
        <w:rPr>
          <w:szCs w:val="24"/>
        </w:rPr>
        <w:t xml:space="preserve"> Both </w:t>
      </w:r>
      <w:r w:rsidR="00CC6812">
        <w:rPr>
          <w:szCs w:val="24"/>
        </w:rPr>
        <w:t xml:space="preserve">Mr. Parcell </w:t>
      </w:r>
      <w:r w:rsidR="00C749F6">
        <w:rPr>
          <w:szCs w:val="24"/>
        </w:rPr>
        <w:t>and Mr. Hill rely on historic</w:t>
      </w:r>
      <w:r w:rsidR="00DF50DA">
        <w:rPr>
          <w:szCs w:val="24"/>
        </w:rPr>
        <w:t>al</w:t>
      </w:r>
      <w:r w:rsidR="00C749F6">
        <w:rPr>
          <w:szCs w:val="24"/>
        </w:rPr>
        <w:t xml:space="preserve"> estimates that do not capture the uniqueness of current capital market conditions.  Creating further problems, Mr. Parcell </w:t>
      </w:r>
      <w:r w:rsidR="00CC6812">
        <w:rPr>
          <w:szCs w:val="24"/>
        </w:rPr>
        <w:t>a</w:t>
      </w:r>
      <w:r w:rsidR="007967DB">
        <w:rPr>
          <w:szCs w:val="24"/>
        </w:rPr>
        <w:t>rrives at his estimate by blending in the geometric mean of historic</w:t>
      </w:r>
      <w:r w:rsidR="00DF50DA">
        <w:rPr>
          <w:szCs w:val="24"/>
        </w:rPr>
        <w:t>al</w:t>
      </w:r>
      <w:r w:rsidR="007967DB">
        <w:rPr>
          <w:szCs w:val="24"/>
        </w:rPr>
        <w:t xml:space="preserve"> equity return spreads</w:t>
      </w:r>
      <w:r w:rsidR="00C749F6">
        <w:rPr>
          <w:szCs w:val="24"/>
        </w:rPr>
        <w:t xml:space="preserve"> with arithmetic mean estimates</w:t>
      </w:r>
      <w:r w:rsidR="007967DB">
        <w:rPr>
          <w:szCs w:val="24"/>
        </w:rPr>
        <w:t xml:space="preserve">.  As I demonstrate below, the use of </w:t>
      </w:r>
      <w:r w:rsidR="00C749F6">
        <w:rPr>
          <w:szCs w:val="24"/>
        </w:rPr>
        <w:t xml:space="preserve">geometric means for forward-looking cost-of-capital analysis is invalid. </w:t>
      </w:r>
      <w:r w:rsidR="009E1079">
        <w:rPr>
          <w:szCs w:val="24"/>
        </w:rPr>
        <w:t xml:space="preserve"> </w:t>
      </w:r>
      <w:r w:rsidR="00C749F6">
        <w:rPr>
          <w:szCs w:val="24"/>
        </w:rPr>
        <w:t xml:space="preserve">These flaws render their equity risk premium assumptions unreliable.  </w:t>
      </w:r>
    </w:p>
    <w:p w:rsidR="0000342C" w:rsidRPr="00C85546" w:rsidRDefault="0000342C" w:rsidP="0000342C">
      <w:pPr>
        <w:tabs>
          <w:tab w:val="num" w:pos="720"/>
        </w:tabs>
        <w:spacing w:line="480" w:lineRule="auto"/>
        <w:ind w:left="720" w:hanging="720"/>
        <w:jc w:val="left"/>
        <w:rPr>
          <w:b/>
          <w:szCs w:val="24"/>
        </w:rPr>
      </w:pPr>
      <w:r>
        <w:rPr>
          <w:b/>
          <w:szCs w:val="24"/>
        </w:rPr>
        <w:t>Q.</w:t>
      </w:r>
      <w:r>
        <w:rPr>
          <w:b/>
          <w:szCs w:val="24"/>
        </w:rPr>
        <w:tab/>
        <w:t>Mr. Hill substitute</w:t>
      </w:r>
      <w:r w:rsidR="000E5A32">
        <w:rPr>
          <w:b/>
          <w:szCs w:val="24"/>
        </w:rPr>
        <w:t>s</w:t>
      </w:r>
      <w:r>
        <w:rPr>
          <w:b/>
          <w:szCs w:val="24"/>
        </w:rPr>
        <w:t xml:space="preserve"> the equity risk premium </w:t>
      </w:r>
      <w:r w:rsidR="001E4A34">
        <w:rPr>
          <w:b/>
          <w:szCs w:val="24"/>
        </w:rPr>
        <w:t>used in Australia by the Australian Energy Regulator</w:t>
      </w:r>
      <w:r w:rsidR="00DF4F12">
        <w:rPr>
          <w:b/>
          <w:szCs w:val="24"/>
        </w:rPr>
        <w:t xml:space="preserve"> in your CAPM model</w:t>
      </w:r>
      <w:r w:rsidR="00075989">
        <w:rPr>
          <w:b/>
          <w:szCs w:val="24"/>
        </w:rPr>
        <w:t>.</w:t>
      </w:r>
      <w:r w:rsidR="00DF4F12">
        <w:rPr>
          <w:rStyle w:val="FootnoteReference"/>
          <w:b/>
          <w:szCs w:val="24"/>
        </w:rPr>
        <w:footnoteReference w:id="30"/>
      </w:r>
      <w:r w:rsidR="00075989">
        <w:rPr>
          <w:b/>
          <w:szCs w:val="24"/>
        </w:rPr>
        <w:t xml:space="preserve">  Is Mr. Hill’s substitution reasonable</w:t>
      </w:r>
      <w:r>
        <w:rPr>
          <w:b/>
          <w:szCs w:val="24"/>
        </w:rPr>
        <w:t xml:space="preserve">? </w:t>
      </w:r>
      <w:r w:rsidRPr="00336B42">
        <w:rPr>
          <w:b/>
          <w:szCs w:val="24"/>
        </w:rPr>
        <w:t xml:space="preserve"> </w:t>
      </w:r>
    </w:p>
    <w:p w:rsidR="00A56AF6" w:rsidRPr="00A56AF6" w:rsidRDefault="001E4A34" w:rsidP="00875553">
      <w:pPr>
        <w:tabs>
          <w:tab w:val="num" w:pos="720"/>
        </w:tabs>
        <w:spacing w:line="480" w:lineRule="auto"/>
        <w:ind w:left="720" w:hanging="720"/>
        <w:jc w:val="left"/>
        <w:rPr>
          <w:i/>
          <w:szCs w:val="24"/>
        </w:rPr>
      </w:pPr>
      <w:r w:rsidRPr="00384017">
        <w:rPr>
          <w:szCs w:val="24"/>
        </w:rPr>
        <w:t xml:space="preserve">A. </w:t>
      </w:r>
      <w:r w:rsidRPr="00384017">
        <w:rPr>
          <w:szCs w:val="24"/>
        </w:rPr>
        <w:tab/>
      </w:r>
      <w:r>
        <w:rPr>
          <w:szCs w:val="24"/>
        </w:rPr>
        <w:t xml:space="preserve">No.  The specific value used by the </w:t>
      </w:r>
      <w:r w:rsidRPr="001E4A34">
        <w:rPr>
          <w:szCs w:val="24"/>
        </w:rPr>
        <w:t>Australian Energy Regulator</w:t>
      </w:r>
      <w:r>
        <w:rPr>
          <w:szCs w:val="24"/>
        </w:rPr>
        <w:t xml:space="preserve"> has no </w:t>
      </w:r>
      <w:r w:rsidR="0025189C">
        <w:rPr>
          <w:szCs w:val="24"/>
        </w:rPr>
        <w:t xml:space="preserve">direct application </w:t>
      </w:r>
      <w:r>
        <w:rPr>
          <w:szCs w:val="24"/>
        </w:rPr>
        <w:t>to the cost of equity for Pacific Power</w:t>
      </w:r>
      <w:r w:rsidR="006A1247">
        <w:rPr>
          <w:szCs w:val="24"/>
        </w:rPr>
        <w:t>, as Mr. Hill suggests it does</w:t>
      </w:r>
      <w:r>
        <w:rPr>
          <w:szCs w:val="24"/>
        </w:rPr>
        <w:t xml:space="preserve">.   Several factors make this so.  First, the Australian Energy Regulator establishes the equity risk premium for the Australian stock market, not the </w:t>
      </w:r>
      <w:r w:rsidR="006B3CC9">
        <w:rPr>
          <w:szCs w:val="24"/>
        </w:rPr>
        <w:t>stock</w:t>
      </w:r>
      <w:r>
        <w:rPr>
          <w:szCs w:val="24"/>
        </w:rPr>
        <w:t xml:space="preserve"> market in the United States.  In addition, the equity risk premium used is calculated with reference to a 10-year bond yield, not a 30-year bond yield.  In the context of an upward-sloping yield curve, this will produce a</w:t>
      </w:r>
      <w:r w:rsidR="002023C4">
        <w:rPr>
          <w:szCs w:val="24"/>
        </w:rPr>
        <w:t xml:space="preserve">n equity </w:t>
      </w:r>
      <w:r>
        <w:rPr>
          <w:szCs w:val="24"/>
        </w:rPr>
        <w:t xml:space="preserve">risk premium that </w:t>
      </w:r>
      <w:r w:rsidR="002023C4">
        <w:rPr>
          <w:szCs w:val="24"/>
        </w:rPr>
        <w:t xml:space="preserve">is too low and </w:t>
      </w:r>
      <w:r>
        <w:rPr>
          <w:szCs w:val="24"/>
        </w:rPr>
        <w:t xml:space="preserve">cannot be applied </w:t>
      </w:r>
      <w:r w:rsidR="002023C4">
        <w:rPr>
          <w:szCs w:val="24"/>
        </w:rPr>
        <w:t>to</w:t>
      </w:r>
      <w:r>
        <w:rPr>
          <w:szCs w:val="24"/>
        </w:rPr>
        <w:t xml:space="preserve"> a 30-year treasury yield</w:t>
      </w:r>
      <w:r w:rsidR="006B3CC9">
        <w:rPr>
          <w:szCs w:val="24"/>
        </w:rPr>
        <w:t>.</w:t>
      </w:r>
      <w:r>
        <w:rPr>
          <w:szCs w:val="24"/>
        </w:rPr>
        <w:t xml:space="preserve"> Mr. Hill </w:t>
      </w:r>
      <w:r w:rsidR="006B3CC9">
        <w:rPr>
          <w:szCs w:val="24"/>
        </w:rPr>
        <w:t>erroneously applies it to a 30-year treasury yield</w:t>
      </w:r>
      <w:r>
        <w:rPr>
          <w:szCs w:val="24"/>
        </w:rPr>
        <w:t xml:space="preserve">.  For these reasons, Mr. Hill’s comparisons </w:t>
      </w:r>
      <w:r w:rsidR="002023C4">
        <w:rPr>
          <w:szCs w:val="24"/>
        </w:rPr>
        <w:t xml:space="preserve">are </w:t>
      </w:r>
      <w:r w:rsidR="00AF2C3A">
        <w:rPr>
          <w:szCs w:val="24"/>
        </w:rPr>
        <w:t>not relevant</w:t>
      </w:r>
      <w:r>
        <w:rPr>
          <w:szCs w:val="24"/>
        </w:rPr>
        <w:t xml:space="preserve">. </w:t>
      </w:r>
    </w:p>
    <w:p w:rsidR="00CC4491" w:rsidRPr="003105A0" w:rsidRDefault="00CC4491" w:rsidP="00875553">
      <w:pPr>
        <w:pStyle w:val="Heading2"/>
        <w:numPr>
          <w:ilvl w:val="0"/>
          <w:numId w:val="0"/>
        </w:numPr>
        <w:spacing w:before="0" w:after="0" w:line="480" w:lineRule="auto"/>
        <w:rPr>
          <w:sz w:val="24"/>
          <w:szCs w:val="24"/>
        </w:rPr>
      </w:pPr>
      <w:bookmarkStart w:id="17" w:name="_Toc403726951"/>
      <w:r w:rsidRPr="003105A0">
        <w:rPr>
          <w:sz w:val="24"/>
          <w:szCs w:val="24"/>
        </w:rPr>
        <w:t>P</w:t>
      </w:r>
      <w:r w:rsidR="00907275" w:rsidRPr="003105A0">
        <w:rPr>
          <w:sz w:val="24"/>
          <w:szCs w:val="24"/>
        </w:rPr>
        <w:t>roxy</w:t>
      </w:r>
      <w:r w:rsidRPr="003105A0">
        <w:rPr>
          <w:sz w:val="24"/>
          <w:szCs w:val="24"/>
        </w:rPr>
        <w:t xml:space="preserve"> G</w:t>
      </w:r>
      <w:r w:rsidR="00907275" w:rsidRPr="003105A0">
        <w:rPr>
          <w:sz w:val="24"/>
          <w:szCs w:val="24"/>
        </w:rPr>
        <w:t>roup</w:t>
      </w:r>
      <w:r w:rsidRPr="003105A0">
        <w:rPr>
          <w:sz w:val="24"/>
          <w:szCs w:val="24"/>
        </w:rPr>
        <w:t xml:space="preserve"> </w:t>
      </w:r>
      <w:r w:rsidR="00576AE6" w:rsidRPr="003105A0">
        <w:rPr>
          <w:sz w:val="24"/>
          <w:szCs w:val="24"/>
        </w:rPr>
        <w:t>S</w:t>
      </w:r>
      <w:r w:rsidR="00907275" w:rsidRPr="003105A0">
        <w:rPr>
          <w:sz w:val="24"/>
          <w:szCs w:val="24"/>
        </w:rPr>
        <w:t>election</w:t>
      </w:r>
      <w:bookmarkEnd w:id="17"/>
    </w:p>
    <w:p w:rsidR="00EB35AC" w:rsidRPr="00384017" w:rsidRDefault="007F5EDF" w:rsidP="00875553">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F56CEA">
        <w:rPr>
          <w:b/>
          <w:szCs w:val="24"/>
        </w:rPr>
        <w:t xml:space="preserve">Please comment on the </w:t>
      </w:r>
      <w:r w:rsidRPr="00384017">
        <w:rPr>
          <w:b/>
          <w:szCs w:val="24"/>
        </w:rPr>
        <w:t xml:space="preserve">proxy group </w:t>
      </w:r>
      <w:r w:rsidR="00F56CEA">
        <w:rPr>
          <w:b/>
          <w:szCs w:val="24"/>
        </w:rPr>
        <w:t>selection of Mes</w:t>
      </w:r>
      <w:r w:rsidR="00271898">
        <w:rPr>
          <w:b/>
          <w:szCs w:val="24"/>
        </w:rPr>
        <w:t>srs. Parcell, Hill and Gorman.</w:t>
      </w:r>
    </w:p>
    <w:p w:rsidR="00717103" w:rsidRDefault="007F5EDF" w:rsidP="00CC236A">
      <w:pPr>
        <w:tabs>
          <w:tab w:val="num" w:pos="720"/>
        </w:tabs>
        <w:spacing w:line="480" w:lineRule="auto"/>
        <w:ind w:left="720" w:hanging="720"/>
        <w:jc w:val="left"/>
        <w:rPr>
          <w:szCs w:val="24"/>
        </w:rPr>
      </w:pPr>
      <w:r w:rsidRPr="00384017">
        <w:rPr>
          <w:szCs w:val="24"/>
        </w:rPr>
        <w:t xml:space="preserve">A. </w:t>
      </w:r>
      <w:r w:rsidRPr="00384017">
        <w:rPr>
          <w:szCs w:val="24"/>
        </w:rPr>
        <w:tab/>
      </w:r>
      <w:r w:rsidR="00717103">
        <w:rPr>
          <w:szCs w:val="24"/>
        </w:rPr>
        <w:t>Mr. Gorman adopts the proxy group that I employed in my direct testimony, although he removes Avista, Duke</w:t>
      </w:r>
      <w:r w:rsidR="003105A0">
        <w:rPr>
          <w:szCs w:val="24"/>
        </w:rPr>
        <w:t>,</w:t>
      </w:r>
      <w:r w:rsidR="00717103">
        <w:rPr>
          <w:szCs w:val="24"/>
        </w:rPr>
        <w:t xml:space="preserve"> Pepco Holdings and Wisconsin Energy due to “significant merger and acquisition activity.”  I had not excluded </w:t>
      </w:r>
      <w:r w:rsidR="004664D3">
        <w:rPr>
          <w:szCs w:val="24"/>
        </w:rPr>
        <w:t xml:space="preserve">Duke, </w:t>
      </w:r>
      <w:r w:rsidR="00717103">
        <w:rPr>
          <w:szCs w:val="24"/>
        </w:rPr>
        <w:t>Pepco Holdings</w:t>
      </w:r>
      <w:r w:rsidR="004664D3">
        <w:rPr>
          <w:szCs w:val="24"/>
        </w:rPr>
        <w:t xml:space="preserve"> and</w:t>
      </w:r>
      <w:r w:rsidR="00717103">
        <w:rPr>
          <w:szCs w:val="24"/>
        </w:rPr>
        <w:t xml:space="preserve"> Wisconsin Energy </w:t>
      </w:r>
      <w:r w:rsidR="004664D3">
        <w:rPr>
          <w:szCs w:val="24"/>
        </w:rPr>
        <w:t>a</w:t>
      </w:r>
      <w:r w:rsidR="00717103">
        <w:rPr>
          <w:szCs w:val="24"/>
        </w:rPr>
        <w:t xml:space="preserve">s that their merger announcements occurred after my testimony was filed.  </w:t>
      </w:r>
      <w:r w:rsidR="004664D3">
        <w:rPr>
          <w:szCs w:val="24"/>
        </w:rPr>
        <w:t xml:space="preserve">As described in Section X, </w:t>
      </w:r>
      <w:r w:rsidR="00717103">
        <w:rPr>
          <w:szCs w:val="24"/>
        </w:rPr>
        <w:t xml:space="preserve">I </w:t>
      </w:r>
      <w:r w:rsidR="004664D3">
        <w:rPr>
          <w:szCs w:val="24"/>
        </w:rPr>
        <w:t>also</w:t>
      </w:r>
      <w:r w:rsidR="00717103">
        <w:rPr>
          <w:szCs w:val="24"/>
        </w:rPr>
        <w:t xml:space="preserve"> </w:t>
      </w:r>
      <w:r w:rsidR="006B3CC9">
        <w:rPr>
          <w:szCs w:val="24"/>
        </w:rPr>
        <w:t xml:space="preserve">exclude the cost-of-capital parameters for </w:t>
      </w:r>
      <w:r w:rsidR="004664D3">
        <w:rPr>
          <w:szCs w:val="24"/>
        </w:rPr>
        <w:t>these three companies</w:t>
      </w:r>
      <w:r w:rsidR="004664D3" w:rsidRPr="004664D3">
        <w:rPr>
          <w:szCs w:val="24"/>
        </w:rPr>
        <w:t xml:space="preserve"> </w:t>
      </w:r>
      <w:r w:rsidR="006B3CC9">
        <w:rPr>
          <w:szCs w:val="24"/>
        </w:rPr>
        <w:t xml:space="preserve">when I refresh the analysis for </w:t>
      </w:r>
      <w:r w:rsidR="004664D3">
        <w:rPr>
          <w:szCs w:val="24"/>
        </w:rPr>
        <w:t xml:space="preserve">my Proxy Group.  </w:t>
      </w:r>
      <w:r w:rsidR="000D437E">
        <w:rPr>
          <w:szCs w:val="24"/>
        </w:rPr>
        <w:t xml:space="preserve">On balance, the differences as between Mr. Gorman’s proxy group and my Proxy Group are not significant. </w:t>
      </w:r>
    </w:p>
    <w:p w:rsidR="00F57AA5" w:rsidRDefault="000D437E" w:rsidP="00CC236A">
      <w:pPr>
        <w:tabs>
          <w:tab w:val="num" w:pos="720"/>
        </w:tabs>
        <w:spacing w:line="480" w:lineRule="auto"/>
        <w:ind w:left="720" w:hanging="720"/>
        <w:jc w:val="left"/>
        <w:rPr>
          <w:szCs w:val="24"/>
        </w:rPr>
      </w:pPr>
      <w:r>
        <w:rPr>
          <w:szCs w:val="24"/>
        </w:rPr>
        <w:tab/>
        <w:t xml:space="preserve">Similarly, Mr. Parcell also adopts the </w:t>
      </w:r>
      <w:r w:rsidR="006B3CC9">
        <w:rPr>
          <w:szCs w:val="24"/>
        </w:rPr>
        <w:t xml:space="preserve">Proxy Group </w:t>
      </w:r>
      <w:r>
        <w:rPr>
          <w:szCs w:val="24"/>
        </w:rPr>
        <w:t xml:space="preserve">from my direct testimony, although he also determines himself another proxy group of seven companies.  Given the large pool of publicly-traded, electric utility holding companies, I find his seven-company proxy group to be unnecessarily small in number and not sufficiently diverse.  The law of large numbers dictates that, all else equal, more companies yield greater confidence in the results.  </w:t>
      </w:r>
      <w:r w:rsidR="00F57AA5">
        <w:rPr>
          <w:szCs w:val="24"/>
        </w:rPr>
        <w:t xml:space="preserve">It is also my understanding that the Commission has </w:t>
      </w:r>
      <w:r w:rsidR="00DF50DA">
        <w:rPr>
          <w:szCs w:val="24"/>
        </w:rPr>
        <w:t>previously</w:t>
      </w:r>
      <w:r w:rsidR="00F57AA5">
        <w:rPr>
          <w:szCs w:val="24"/>
        </w:rPr>
        <w:t xml:space="preserve"> criticized a seven company proxy group for having “questionable statistical reliability.”</w:t>
      </w:r>
      <w:r w:rsidR="00F57AA5">
        <w:rPr>
          <w:rStyle w:val="FootnoteReference"/>
          <w:szCs w:val="24"/>
        </w:rPr>
        <w:footnoteReference w:id="31"/>
      </w:r>
    </w:p>
    <w:p w:rsidR="000D437E" w:rsidRDefault="00A56AF6" w:rsidP="00CC236A">
      <w:pPr>
        <w:tabs>
          <w:tab w:val="num" w:pos="720"/>
        </w:tabs>
        <w:spacing w:line="480" w:lineRule="auto"/>
        <w:ind w:left="720" w:hanging="720"/>
        <w:jc w:val="left"/>
        <w:rPr>
          <w:szCs w:val="24"/>
        </w:rPr>
      </w:pPr>
      <w:r>
        <w:rPr>
          <w:szCs w:val="24"/>
        </w:rPr>
        <w:tab/>
      </w:r>
      <w:r w:rsidR="00271898">
        <w:rPr>
          <w:szCs w:val="24"/>
        </w:rPr>
        <w:t>Mr. Hill, for his part, uses very strict criteria to arrive at a</w:t>
      </w:r>
      <w:r>
        <w:rPr>
          <w:szCs w:val="24"/>
        </w:rPr>
        <w:t xml:space="preserve"> proxy group</w:t>
      </w:r>
      <w:r w:rsidR="00271898">
        <w:rPr>
          <w:szCs w:val="24"/>
        </w:rPr>
        <w:t xml:space="preserve"> of 13 companies.  He uses approximately one quarter of the entities considered by Value Line to be electric utilities.  Like that of Mr. Parcell, Mr. Hill’s proxy group is less likely to provide a robust result due to its small size than a larger proxy group. </w:t>
      </w:r>
    </w:p>
    <w:p w:rsidR="00417836" w:rsidRPr="003105A0" w:rsidRDefault="00417836" w:rsidP="00875553">
      <w:pPr>
        <w:pStyle w:val="Heading2"/>
        <w:numPr>
          <w:ilvl w:val="0"/>
          <w:numId w:val="0"/>
        </w:numPr>
        <w:spacing w:before="0" w:after="0" w:line="480" w:lineRule="auto"/>
        <w:rPr>
          <w:sz w:val="24"/>
          <w:szCs w:val="24"/>
        </w:rPr>
      </w:pPr>
      <w:bookmarkStart w:id="18" w:name="_Toc403726952"/>
      <w:r w:rsidRPr="003105A0">
        <w:rPr>
          <w:sz w:val="24"/>
          <w:szCs w:val="24"/>
        </w:rPr>
        <w:t>Dividend Yield Adjustment</w:t>
      </w:r>
      <w:bookmarkEnd w:id="18"/>
    </w:p>
    <w:p w:rsidR="00417836" w:rsidRPr="00384017" w:rsidRDefault="00417836" w:rsidP="00CC236A">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Please explain the multiplier you used to convert the historic</w:t>
      </w:r>
      <w:r w:rsidR="00DF50DA">
        <w:rPr>
          <w:b/>
          <w:szCs w:val="24"/>
        </w:rPr>
        <w:t>al</w:t>
      </w:r>
      <w:r>
        <w:rPr>
          <w:b/>
          <w:szCs w:val="24"/>
        </w:rPr>
        <w:t xml:space="preserve"> dividend yield to a forward-looking dividend yield for your DCF model. </w:t>
      </w:r>
    </w:p>
    <w:p w:rsidR="00417836" w:rsidRDefault="00417836" w:rsidP="00CC236A">
      <w:pPr>
        <w:tabs>
          <w:tab w:val="num" w:pos="720"/>
        </w:tabs>
        <w:spacing w:line="480" w:lineRule="auto"/>
        <w:ind w:left="720" w:hanging="720"/>
        <w:jc w:val="left"/>
        <w:rPr>
          <w:szCs w:val="24"/>
        </w:rPr>
      </w:pPr>
      <w:r w:rsidRPr="00FC6F6C">
        <w:rPr>
          <w:szCs w:val="24"/>
        </w:rPr>
        <w:t>A.</w:t>
      </w:r>
      <w:r w:rsidRPr="00FC6F6C">
        <w:rPr>
          <w:szCs w:val="24"/>
        </w:rPr>
        <w:tab/>
        <w:t>I rel</w:t>
      </w:r>
      <w:r>
        <w:rPr>
          <w:szCs w:val="24"/>
        </w:rPr>
        <w:t>y</w:t>
      </w:r>
      <w:r w:rsidRPr="00FC6F6C">
        <w:rPr>
          <w:szCs w:val="24"/>
        </w:rPr>
        <w:t xml:space="preserve"> on a full year of historic</w:t>
      </w:r>
      <w:r w:rsidR="00DF50DA">
        <w:rPr>
          <w:szCs w:val="24"/>
        </w:rPr>
        <w:t>al</w:t>
      </w:r>
      <w:r w:rsidRPr="00FC6F6C">
        <w:rPr>
          <w:szCs w:val="24"/>
        </w:rPr>
        <w:t xml:space="preserve"> dividends to calculate the dividend yield.  When converting that to a forward-looking dividend yield, I added one year of growth.  This is the correct method to use when one relies on a full year of historic</w:t>
      </w:r>
      <w:r w:rsidR="00DF50DA">
        <w:rPr>
          <w:szCs w:val="24"/>
        </w:rPr>
        <w:t>al</w:t>
      </w:r>
      <w:r w:rsidRPr="00FC6F6C">
        <w:rPr>
          <w:szCs w:val="24"/>
        </w:rPr>
        <w:t xml:space="preserve"> dividend data.  In effect, each quarter of dividends is brought forward by a year in order to have a full year of expected future dividends.</w:t>
      </w:r>
    </w:p>
    <w:p w:rsidR="00417836" w:rsidRDefault="00417836" w:rsidP="0061235F">
      <w:pPr>
        <w:pStyle w:val="QAQuestion"/>
        <w:widowControl w:val="0"/>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 xml:space="preserve">Does Mr. Hill take issue with this method? </w:t>
      </w:r>
    </w:p>
    <w:p w:rsidR="00417836" w:rsidRDefault="00417836" w:rsidP="0061235F">
      <w:pPr>
        <w:widowControl w:val="0"/>
        <w:tabs>
          <w:tab w:val="num" w:pos="720"/>
        </w:tabs>
        <w:spacing w:line="480" w:lineRule="auto"/>
        <w:ind w:left="720" w:hanging="720"/>
        <w:jc w:val="left"/>
        <w:rPr>
          <w:szCs w:val="24"/>
        </w:rPr>
      </w:pPr>
      <w:r w:rsidRPr="00FC6F6C">
        <w:rPr>
          <w:szCs w:val="24"/>
        </w:rPr>
        <w:t>A.</w:t>
      </w:r>
      <w:r w:rsidRPr="00FC6F6C">
        <w:rPr>
          <w:szCs w:val="24"/>
        </w:rPr>
        <w:tab/>
        <w:t>Yes.  He argues that I should have only applied half a year’s growth.  This would have been appropriate had I used six months of dividends, but with one year of historic</w:t>
      </w:r>
      <w:r w:rsidR="00DF50DA">
        <w:rPr>
          <w:szCs w:val="24"/>
        </w:rPr>
        <w:t>al</w:t>
      </w:r>
      <w:r w:rsidRPr="00FC6F6C">
        <w:rPr>
          <w:szCs w:val="24"/>
        </w:rPr>
        <w:t xml:space="preserve"> dividends, the right growth factor is a full year of growth.  </w:t>
      </w:r>
    </w:p>
    <w:p w:rsidR="00417836" w:rsidRDefault="00417836" w:rsidP="00CC236A">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Is Mr. Hill right to criticize your use of a half a year’s growth in FERC proceedings?</w:t>
      </w:r>
    </w:p>
    <w:p w:rsidR="00417836" w:rsidRDefault="00417836" w:rsidP="00A774E0">
      <w:pPr>
        <w:tabs>
          <w:tab w:val="num" w:pos="720"/>
        </w:tabs>
        <w:spacing w:line="480" w:lineRule="auto"/>
        <w:ind w:left="720" w:hanging="720"/>
        <w:jc w:val="left"/>
        <w:rPr>
          <w:szCs w:val="24"/>
        </w:rPr>
      </w:pPr>
      <w:r w:rsidRPr="00FC6F6C">
        <w:rPr>
          <w:szCs w:val="24"/>
        </w:rPr>
        <w:t>A.</w:t>
      </w:r>
      <w:r w:rsidRPr="00FC6F6C">
        <w:rPr>
          <w:szCs w:val="24"/>
        </w:rPr>
        <w:tab/>
      </w:r>
      <w:r>
        <w:rPr>
          <w:szCs w:val="24"/>
        </w:rPr>
        <w:t>No</w:t>
      </w:r>
      <w:r w:rsidRPr="00FC6F6C">
        <w:rPr>
          <w:szCs w:val="24"/>
        </w:rPr>
        <w:t xml:space="preserve">.  </w:t>
      </w:r>
      <w:r>
        <w:rPr>
          <w:szCs w:val="24"/>
        </w:rPr>
        <w:t xml:space="preserve">Mr. Hill has no basis for </w:t>
      </w:r>
      <w:r w:rsidR="0055227C">
        <w:rPr>
          <w:szCs w:val="24"/>
        </w:rPr>
        <w:t xml:space="preserve">this </w:t>
      </w:r>
      <w:r>
        <w:rPr>
          <w:szCs w:val="24"/>
        </w:rPr>
        <w:t xml:space="preserve">criticism.  </w:t>
      </w:r>
      <w:r w:rsidR="00F8517B">
        <w:rPr>
          <w:szCs w:val="24"/>
        </w:rPr>
        <w:t>Even where the application of a full year’s growth is the proper approach,</w:t>
      </w:r>
      <w:r w:rsidR="00F8517B">
        <w:rPr>
          <w:rStyle w:val="FootnoteReference"/>
          <w:szCs w:val="24"/>
        </w:rPr>
        <w:footnoteReference w:id="32"/>
      </w:r>
      <w:r w:rsidR="00F8517B">
        <w:rPr>
          <w:szCs w:val="24"/>
        </w:rPr>
        <w:t xml:space="preserve"> as a practical matter, t</w:t>
      </w:r>
      <w:r w:rsidR="00F8517B" w:rsidRPr="00FC6F6C">
        <w:rPr>
          <w:szCs w:val="24"/>
        </w:rPr>
        <w:t>h</w:t>
      </w:r>
      <w:r w:rsidR="00F8517B">
        <w:rPr>
          <w:szCs w:val="24"/>
        </w:rPr>
        <w:t>ere is virtually no room in a FERC proceeding to implement any alternative to the</w:t>
      </w:r>
      <w:r w:rsidR="00F60F14">
        <w:rPr>
          <w:szCs w:val="24"/>
        </w:rPr>
        <w:t xml:space="preserve"> use of</w:t>
      </w:r>
      <w:r w:rsidR="00F8517B">
        <w:rPr>
          <w:szCs w:val="24"/>
        </w:rPr>
        <w:t xml:space="preserve"> half a year’s growth.  </w:t>
      </w:r>
      <w:r>
        <w:rPr>
          <w:szCs w:val="24"/>
        </w:rPr>
        <w:t>The use of half a year’s growth for the FERC DCF model is prescribed by federal case precedent</w:t>
      </w:r>
      <w:r w:rsidR="00AC5CBB">
        <w:rPr>
          <w:rStyle w:val="FootnoteReference"/>
          <w:szCs w:val="24"/>
        </w:rPr>
        <w:footnoteReference w:id="33"/>
      </w:r>
      <w:r>
        <w:rPr>
          <w:szCs w:val="24"/>
        </w:rPr>
        <w:t xml:space="preserve"> that </w:t>
      </w:r>
      <w:r w:rsidR="00F8517B">
        <w:rPr>
          <w:szCs w:val="24"/>
        </w:rPr>
        <w:t>requires</w:t>
      </w:r>
      <w:r>
        <w:rPr>
          <w:szCs w:val="24"/>
        </w:rPr>
        <w:t xml:space="preserve"> a very strict adherence to FERC’s stated methodology and stated sources for data</w:t>
      </w:r>
      <w:r w:rsidRPr="00FC6F6C">
        <w:rPr>
          <w:szCs w:val="24"/>
        </w:rPr>
        <w:t xml:space="preserve">.  </w:t>
      </w:r>
    </w:p>
    <w:p w:rsidR="0079454C" w:rsidRPr="003105A0" w:rsidRDefault="0079454C" w:rsidP="00875553">
      <w:pPr>
        <w:pStyle w:val="Heading2"/>
        <w:numPr>
          <w:ilvl w:val="0"/>
          <w:numId w:val="0"/>
        </w:numPr>
        <w:spacing w:before="0" w:after="0" w:line="480" w:lineRule="auto"/>
        <w:rPr>
          <w:sz w:val="24"/>
          <w:szCs w:val="24"/>
        </w:rPr>
      </w:pPr>
      <w:bookmarkStart w:id="19" w:name="_Toc403726953"/>
      <w:r w:rsidRPr="003105A0">
        <w:rPr>
          <w:sz w:val="24"/>
          <w:szCs w:val="24"/>
        </w:rPr>
        <w:t>Analyst Growth Forecasts</w:t>
      </w:r>
      <w:bookmarkEnd w:id="19"/>
    </w:p>
    <w:p w:rsidR="00023BDB" w:rsidRDefault="00023BDB" w:rsidP="00A774E0">
      <w:pPr>
        <w:pStyle w:val="QAQuestion"/>
        <w:tabs>
          <w:tab w:val="num" w:pos="720"/>
        </w:tabs>
        <w:spacing w:after="0" w:line="480" w:lineRule="auto"/>
        <w:ind w:left="720" w:hanging="720"/>
        <w:jc w:val="left"/>
        <w:rPr>
          <w:b/>
          <w:szCs w:val="24"/>
        </w:rPr>
      </w:pPr>
      <w:r>
        <w:rPr>
          <w:b/>
          <w:szCs w:val="24"/>
        </w:rPr>
        <w:t>Q.</w:t>
      </w:r>
      <w:r>
        <w:rPr>
          <w:b/>
          <w:szCs w:val="24"/>
        </w:rPr>
        <w:tab/>
        <w:t>Mr</w:t>
      </w:r>
      <w:r w:rsidRPr="00C74777">
        <w:rPr>
          <w:b/>
          <w:szCs w:val="24"/>
        </w:rPr>
        <w:t xml:space="preserve">. </w:t>
      </w:r>
      <w:r>
        <w:rPr>
          <w:b/>
          <w:szCs w:val="24"/>
        </w:rPr>
        <w:t>Hill claims that “sell-side institutional analysts that are polled by IBES, Zacks, and similar services offer relatively ‘rosy’ expectations for the stock they follow.  Simply put, some analysts overstate growth expectations to make the stocks they want to sell look more attractive.”</w:t>
      </w:r>
      <w:r w:rsidR="00471171">
        <w:rPr>
          <w:rStyle w:val="FootnoteReference"/>
          <w:b/>
          <w:szCs w:val="24"/>
        </w:rPr>
        <w:footnoteReference w:id="34"/>
      </w:r>
      <w:r>
        <w:rPr>
          <w:b/>
          <w:szCs w:val="24"/>
        </w:rPr>
        <w:t xml:space="preserve">  Please comment.</w:t>
      </w:r>
    </w:p>
    <w:p w:rsidR="00DA095F" w:rsidRDefault="00023BDB" w:rsidP="00F06E3E">
      <w:pPr>
        <w:tabs>
          <w:tab w:val="num" w:pos="720"/>
        </w:tabs>
        <w:spacing w:line="480" w:lineRule="auto"/>
        <w:ind w:left="720" w:hanging="720"/>
        <w:jc w:val="left"/>
        <w:rPr>
          <w:szCs w:val="24"/>
        </w:rPr>
      </w:pPr>
      <w:r w:rsidRPr="00FC6F6C">
        <w:rPr>
          <w:szCs w:val="24"/>
        </w:rPr>
        <w:t>A.</w:t>
      </w:r>
      <w:r w:rsidRPr="00FC6F6C">
        <w:rPr>
          <w:szCs w:val="24"/>
        </w:rPr>
        <w:tab/>
      </w:r>
      <w:r>
        <w:rPr>
          <w:szCs w:val="24"/>
        </w:rPr>
        <w:t xml:space="preserve">Mr. Hill appears to be describing the conflicts of interest that were identified by the Securities and Exchange Commission </w:t>
      </w:r>
      <w:r w:rsidR="003914B4">
        <w:rPr>
          <w:szCs w:val="24"/>
        </w:rPr>
        <w:t>(SEC)</w:t>
      </w:r>
      <w:r w:rsidR="00864F34">
        <w:rPr>
          <w:szCs w:val="24"/>
        </w:rPr>
        <w:t xml:space="preserve"> </w:t>
      </w:r>
      <w:r>
        <w:rPr>
          <w:szCs w:val="24"/>
        </w:rPr>
        <w:t>and were addressed in a series of reforms in 2003</w:t>
      </w:r>
      <w:r w:rsidR="00864F34">
        <w:rPr>
          <w:szCs w:val="24"/>
        </w:rPr>
        <w:t>, although he fails to distinguish between questions of whether</w:t>
      </w:r>
      <w:r w:rsidR="00864F34">
        <w:t xml:space="preserve"> analysts’ ratings ("Buy," "Sell” and the like) are optimistic and questions about the integrity of </w:t>
      </w:r>
      <w:r w:rsidR="00C03AD7">
        <w:t>analyst’s</w:t>
      </w:r>
      <w:r w:rsidR="00864F34">
        <w:t xml:space="preserve"> earnings forecasts</w:t>
      </w:r>
      <w:r>
        <w:rPr>
          <w:szCs w:val="24"/>
        </w:rPr>
        <w:t xml:space="preserve">.  </w:t>
      </w:r>
      <w:r w:rsidR="00864F34">
        <w:rPr>
          <w:szCs w:val="24"/>
        </w:rPr>
        <w:t>In any event, the SEC’s</w:t>
      </w:r>
      <w:r>
        <w:rPr>
          <w:szCs w:val="24"/>
        </w:rPr>
        <w:t xml:space="preserve"> reforms include Regulation AC and the Global Analyst Research Settlements.  Regulation AC requires securities analysts to make certain certifications regarding potential conflicts; it </w:t>
      </w:r>
      <w:r w:rsidR="00234C97">
        <w:rPr>
          <w:szCs w:val="24"/>
        </w:rPr>
        <w:t>i</w:t>
      </w:r>
      <w:r>
        <w:rPr>
          <w:szCs w:val="24"/>
        </w:rPr>
        <w:t xml:space="preserve">s designed to promote the integrity of analyst reporting.  In addition, the Global Analyst Research Settlements </w:t>
      </w:r>
      <w:r w:rsidR="00234C97">
        <w:rPr>
          <w:szCs w:val="24"/>
        </w:rPr>
        <w:t>required investment banks with research departments to make structural reforms that separate research and investment banking activities.  Under the settlements, “</w:t>
      </w:r>
      <w:r w:rsidR="00234C97" w:rsidRPr="00234C97">
        <w:rPr>
          <w:szCs w:val="24"/>
        </w:rPr>
        <w:t>analyst's compensation will be based in significant part on the</w:t>
      </w:r>
      <w:r w:rsidR="00234C97">
        <w:rPr>
          <w:szCs w:val="24"/>
        </w:rPr>
        <w:t xml:space="preserve"> </w:t>
      </w:r>
      <w:r w:rsidR="00234C97" w:rsidRPr="00234C97">
        <w:rPr>
          <w:szCs w:val="24"/>
        </w:rPr>
        <w:t>quality and accuracy of the analyst's research</w:t>
      </w:r>
      <w:r w:rsidR="00234C97">
        <w:rPr>
          <w:szCs w:val="24"/>
        </w:rPr>
        <w:t>.”</w:t>
      </w:r>
      <w:r w:rsidR="00234C97">
        <w:rPr>
          <w:rStyle w:val="FootnoteReference"/>
          <w:szCs w:val="24"/>
        </w:rPr>
        <w:footnoteReference w:id="35"/>
      </w:r>
      <w:r w:rsidR="00234C97" w:rsidRPr="00234C97">
        <w:rPr>
          <w:szCs w:val="24"/>
        </w:rPr>
        <w:t xml:space="preserve"> </w:t>
      </w:r>
      <w:r w:rsidR="00234C97">
        <w:rPr>
          <w:szCs w:val="24"/>
        </w:rPr>
        <w:t xml:space="preserve"> </w:t>
      </w:r>
      <w:r>
        <w:rPr>
          <w:szCs w:val="24"/>
        </w:rPr>
        <w:t>Since the reforms, several academic papers have documented improvement in the integrity of analyst</w:t>
      </w:r>
      <w:r w:rsidR="00B75CBF">
        <w:rPr>
          <w:szCs w:val="24"/>
        </w:rPr>
        <w:t xml:space="preserve"> </w:t>
      </w:r>
      <w:r w:rsidR="00A53318">
        <w:rPr>
          <w:szCs w:val="24"/>
        </w:rPr>
        <w:t>guidance</w:t>
      </w:r>
      <w:r>
        <w:rPr>
          <w:szCs w:val="24"/>
        </w:rPr>
        <w:t>.</w:t>
      </w:r>
      <w:r w:rsidR="00234C97">
        <w:rPr>
          <w:rStyle w:val="FootnoteReference"/>
          <w:szCs w:val="24"/>
        </w:rPr>
        <w:footnoteReference w:id="36"/>
      </w:r>
      <w:r>
        <w:rPr>
          <w:szCs w:val="24"/>
        </w:rPr>
        <w:t xml:space="preserve"> </w:t>
      </w:r>
      <w:r w:rsidR="00A53318">
        <w:rPr>
          <w:szCs w:val="24"/>
        </w:rPr>
        <w:t xml:space="preserve"> </w:t>
      </w:r>
    </w:p>
    <w:p w:rsidR="00A467C6" w:rsidRDefault="00A467C6" w:rsidP="00F06E3E">
      <w:pPr>
        <w:pStyle w:val="QAQCont"/>
        <w:ind w:left="720" w:hanging="720"/>
        <w:jc w:val="left"/>
      </w:pPr>
      <w:r>
        <w:rPr>
          <w:b/>
        </w:rPr>
        <w:t>Q.</w:t>
      </w:r>
      <w:r>
        <w:rPr>
          <w:b/>
        </w:rPr>
        <w:tab/>
      </w:r>
      <w:r w:rsidR="0055227C">
        <w:rPr>
          <w:b/>
        </w:rPr>
        <w:t>Did Mr. Gorman rely on</w:t>
      </w:r>
      <w:r>
        <w:rPr>
          <w:b/>
        </w:rPr>
        <w:t xml:space="preserve"> analyst growth rates in </w:t>
      </w:r>
      <w:r w:rsidR="0055227C">
        <w:rPr>
          <w:b/>
        </w:rPr>
        <w:t>his constant growth</w:t>
      </w:r>
      <w:r>
        <w:rPr>
          <w:b/>
        </w:rPr>
        <w:t xml:space="preserve"> DCF model?</w:t>
      </w:r>
    </w:p>
    <w:p w:rsidR="00A467C6" w:rsidRPr="00D85B92" w:rsidRDefault="00A467C6" w:rsidP="00875553">
      <w:pPr>
        <w:tabs>
          <w:tab w:val="num" w:pos="720"/>
        </w:tabs>
        <w:spacing w:line="480" w:lineRule="auto"/>
        <w:ind w:left="720" w:hanging="720"/>
        <w:jc w:val="left"/>
      </w:pPr>
      <w:r>
        <w:t>A.</w:t>
      </w:r>
      <w:r>
        <w:tab/>
        <w:t xml:space="preserve">Yes.  Mr. Gorman </w:t>
      </w:r>
      <w:r w:rsidR="0048767E">
        <w:t>relies on analyst growth rates for his constant growth model on the basis that</w:t>
      </w:r>
      <w:r>
        <w:t>, “As predictors of future returns, security analysts’ growth estimates have been shown to be more accurate than growth rates derived from historical data.”</w:t>
      </w:r>
      <w:r>
        <w:rPr>
          <w:rStyle w:val="FootnoteReference"/>
        </w:rPr>
        <w:footnoteReference w:id="37"/>
      </w:r>
      <w:r>
        <w:t xml:space="preserve">  </w:t>
      </w:r>
    </w:p>
    <w:p w:rsidR="00894BD3" w:rsidRPr="003105A0" w:rsidRDefault="00894BD3" w:rsidP="00875553">
      <w:pPr>
        <w:pStyle w:val="Heading2"/>
        <w:numPr>
          <w:ilvl w:val="0"/>
          <w:numId w:val="0"/>
        </w:numPr>
        <w:spacing w:before="0" w:after="0" w:line="480" w:lineRule="auto"/>
        <w:rPr>
          <w:sz w:val="24"/>
          <w:szCs w:val="24"/>
        </w:rPr>
      </w:pPr>
      <w:bookmarkStart w:id="20" w:name="_Toc403726954"/>
      <w:r w:rsidRPr="003105A0">
        <w:rPr>
          <w:sz w:val="24"/>
          <w:szCs w:val="24"/>
        </w:rPr>
        <w:t>Measure of Central Tendency</w:t>
      </w:r>
      <w:bookmarkEnd w:id="20"/>
    </w:p>
    <w:p w:rsidR="00894BD3" w:rsidRDefault="00894BD3" w:rsidP="00875553">
      <w:pPr>
        <w:pStyle w:val="QAQuestion"/>
        <w:tabs>
          <w:tab w:val="num" w:pos="720"/>
        </w:tabs>
        <w:spacing w:after="0" w:line="480" w:lineRule="auto"/>
        <w:ind w:left="720" w:hanging="720"/>
        <w:jc w:val="left"/>
        <w:rPr>
          <w:b/>
          <w:szCs w:val="24"/>
        </w:rPr>
      </w:pPr>
      <w:r>
        <w:rPr>
          <w:b/>
          <w:szCs w:val="24"/>
        </w:rPr>
        <w:t>Q.</w:t>
      </w:r>
      <w:r>
        <w:rPr>
          <w:b/>
          <w:szCs w:val="24"/>
        </w:rPr>
        <w:tab/>
        <w:t>Mr</w:t>
      </w:r>
      <w:r w:rsidRPr="00C74777">
        <w:rPr>
          <w:b/>
          <w:szCs w:val="24"/>
        </w:rPr>
        <w:t xml:space="preserve">. </w:t>
      </w:r>
      <w:r>
        <w:rPr>
          <w:b/>
          <w:szCs w:val="24"/>
        </w:rPr>
        <w:t>Gorman suggests that your DCF analysis should have been based upon the median</w:t>
      </w:r>
      <w:r w:rsidRPr="00C74777">
        <w:rPr>
          <w:b/>
          <w:szCs w:val="24"/>
        </w:rPr>
        <w:t>,</w:t>
      </w:r>
      <w:r>
        <w:rPr>
          <w:b/>
          <w:szCs w:val="24"/>
        </w:rPr>
        <w:t xml:space="preserve"> not the mean.</w:t>
      </w:r>
      <w:r w:rsidR="00682CC0">
        <w:rPr>
          <w:rStyle w:val="FootnoteReference"/>
          <w:b/>
          <w:szCs w:val="24"/>
        </w:rPr>
        <w:footnoteReference w:id="38"/>
      </w:r>
      <w:r>
        <w:rPr>
          <w:b/>
          <w:szCs w:val="24"/>
        </w:rPr>
        <w:t xml:space="preserve">  </w:t>
      </w:r>
      <w:r w:rsidRPr="00C74777">
        <w:rPr>
          <w:b/>
          <w:szCs w:val="24"/>
        </w:rPr>
        <w:t xml:space="preserve">Is </w:t>
      </w:r>
      <w:r>
        <w:rPr>
          <w:b/>
          <w:szCs w:val="24"/>
        </w:rPr>
        <w:t>he</w:t>
      </w:r>
      <w:r w:rsidRPr="00C74777">
        <w:rPr>
          <w:b/>
          <w:szCs w:val="24"/>
        </w:rPr>
        <w:t xml:space="preserve"> </w:t>
      </w:r>
      <w:r>
        <w:rPr>
          <w:b/>
          <w:szCs w:val="24"/>
        </w:rPr>
        <w:t>correct</w:t>
      </w:r>
      <w:r w:rsidRPr="00C74777">
        <w:rPr>
          <w:b/>
          <w:szCs w:val="24"/>
        </w:rPr>
        <w:t>?</w:t>
      </w:r>
    </w:p>
    <w:p w:rsidR="00894BD3" w:rsidRPr="00C74777" w:rsidRDefault="00894BD3" w:rsidP="00875553">
      <w:pPr>
        <w:tabs>
          <w:tab w:val="num" w:pos="720"/>
        </w:tabs>
        <w:spacing w:line="480" w:lineRule="auto"/>
        <w:ind w:left="720" w:hanging="720"/>
        <w:jc w:val="left"/>
        <w:rPr>
          <w:szCs w:val="24"/>
        </w:rPr>
      </w:pPr>
      <w:r w:rsidRPr="00384017">
        <w:rPr>
          <w:szCs w:val="24"/>
        </w:rPr>
        <w:t>A.</w:t>
      </w:r>
      <w:r w:rsidRPr="00384017">
        <w:rPr>
          <w:szCs w:val="24"/>
        </w:rPr>
        <w:tab/>
      </w:r>
      <w:r w:rsidRPr="00C74777">
        <w:rPr>
          <w:szCs w:val="24"/>
        </w:rPr>
        <w:t xml:space="preserve">No.  </w:t>
      </w:r>
      <w:r>
        <w:rPr>
          <w:szCs w:val="24"/>
        </w:rPr>
        <w:t>His opinion in this regard is based upon his subjective judgment.  The mean and the median both provide useful information, but the information conveyed by each measure is different.  Mr. Gorman believes that certain individual company estimates are outliers (both high and low) and should be excluded from the central tendency analysis</w:t>
      </w:r>
      <w:r w:rsidRPr="00C74777">
        <w:rPr>
          <w:szCs w:val="24"/>
        </w:rPr>
        <w:t xml:space="preserve">. </w:t>
      </w:r>
      <w:r w:rsidR="00DF50DA">
        <w:rPr>
          <w:szCs w:val="24"/>
        </w:rPr>
        <w:t xml:space="preserve"> </w:t>
      </w:r>
      <w:r>
        <w:rPr>
          <w:szCs w:val="24"/>
        </w:rPr>
        <w:t xml:space="preserve">Yet, he has no rational way to differentiate between outliers and data that truly </w:t>
      </w:r>
      <w:r w:rsidR="00271898">
        <w:rPr>
          <w:szCs w:val="24"/>
        </w:rPr>
        <w:t xml:space="preserve">can </w:t>
      </w:r>
      <w:r>
        <w:rPr>
          <w:szCs w:val="24"/>
        </w:rPr>
        <w:t xml:space="preserve">inform </w:t>
      </w:r>
      <w:r w:rsidR="00C749F6">
        <w:rPr>
          <w:szCs w:val="24"/>
        </w:rPr>
        <w:t>the Commission</w:t>
      </w:r>
      <w:r>
        <w:rPr>
          <w:szCs w:val="24"/>
        </w:rPr>
        <w:t xml:space="preserve"> about the central tendency</w:t>
      </w:r>
      <w:r w:rsidR="00271898">
        <w:rPr>
          <w:szCs w:val="24"/>
        </w:rPr>
        <w:t xml:space="preserve"> and the ROE</w:t>
      </w:r>
      <w:r>
        <w:rPr>
          <w:szCs w:val="24"/>
        </w:rPr>
        <w:t xml:space="preserve">.  To ignore these estimates would be to limit unnecessarily and arbitrarily the data upon which the estimates are based.  </w:t>
      </w:r>
      <w:r w:rsidR="00DF50DA">
        <w:rPr>
          <w:szCs w:val="24"/>
        </w:rPr>
        <w:t>T</w:t>
      </w:r>
      <w:r>
        <w:rPr>
          <w:szCs w:val="24"/>
        </w:rPr>
        <w:t>he end result of Mr. Gorman’s use of the median is to lower the DCF-based estimate</w:t>
      </w:r>
      <w:r w:rsidR="000A74D5">
        <w:rPr>
          <w:szCs w:val="24"/>
        </w:rPr>
        <w:t xml:space="preserve"> </w:t>
      </w:r>
      <w:r>
        <w:rPr>
          <w:szCs w:val="24"/>
        </w:rPr>
        <w:t>– falling a full 30 basis points below Mr. Gorman’s own recommendation</w:t>
      </w:r>
      <w:r w:rsidR="00DF50DA">
        <w:rPr>
          <w:szCs w:val="24"/>
        </w:rPr>
        <w:t xml:space="preserve">.  This </w:t>
      </w:r>
      <w:r>
        <w:rPr>
          <w:szCs w:val="24"/>
        </w:rPr>
        <w:t>subjective and arbitrary choice of central tendency measure is unwarranted.</w:t>
      </w:r>
      <w:r w:rsidR="00271898">
        <w:rPr>
          <w:szCs w:val="24"/>
        </w:rPr>
        <w:t xml:space="preserve">  Instead, the DCF results should be viewed, as I have viewed them, as a portfolio with an average expected return.</w:t>
      </w:r>
    </w:p>
    <w:p w:rsidR="00C749F6" w:rsidRPr="003105A0" w:rsidRDefault="00C749F6" w:rsidP="00875553">
      <w:pPr>
        <w:pStyle w:val="Heading2"/>
        <w:numPr>
          <w:ilvl w:val="0"/>
          <w:numId w:val="0"/>
        </w:numPr>
        <w:spacing w:before="0" w:after="0" w:line="480" w:lineRule="auto"/>
        <w:rPr>
          <w:sz w:val="24"/>
          <w:szCs w:val="24"/>
        </w:rPr>
      </w:pPr>
      <w:bookmarkStart w:id="21" w:name="_Toc403726955"/>
      <w:r w:rsidRPr="003105A0">
        <w:rPr>
          <w:sz w:val="24"/>
          <w:szCs w:val="24"/>
        </w:rPr>
        <w:t>Screening Criteria</w:t>
      </w:r>
      <w:bookmarkEnd w:id="21"/>
    </w:p>
    <w:p w:rsidR="00C749F6" w:rsidRPr="00C749F6" w:rsidRDefault="00C749F6" w:rsidP="00875553">
      <w:pPr>
        <w:pStyle w:val="QAQuestion"/>
        <w:tabs>
          <w:tab w:val="num" w:pos="720"/>
        </w:tabs>
        <w:spacing w:after="0" w:line="480" w:lineRule="auto"/>
        <w:ind w:left="720" w:hanging="720"/>
        <w:jc w:val="left"/>
        <w:rPr>
          <w:b/>
          <w:szCs w:val="24"/>
        </w:rPr>
      </w:pPr>
      <w:r w:rsidRPr="00C749F6">
        <w:rPr>
          <w:b/>
          <w:szCs w:val="24"/>
        </w:rPr>
        <w:t>Q.</w:t>
      </w:r>
      <w:r w:rsidRPr="00C749F6">
        <w:rPr>
          <w:b/>
          <w:szCs w:val="24"/>
        </w:rPr>
        <w:tab/>
        <w:t>Mr. Hill suggests that your screening methods somehow trigger adverse selection and bias your DCF results.  Please respond.</w:t>
      </w:r>
    </w:p>
    <w:p w:rsidR="00C749F6" w:rsidRPr="00493153" w:rsidRDefault="00C749F6" w:rsidP="003914B4">
      <w:pPr>
        <w:pStyle w:val="QAQuestion"/>
        <w:tabs>
          <w:tab w:val="num" w:pos="720"/>
        </w:tabs>
        <w:spacing w:after="0" w:line="480" w:lineRule="auto"/>
        <w:ind w:left="720" w:hanging="720"/>
        <w:jc w:val="left"/>
        <w:rPr>
          <w:szCs w:val="24"/>
        </w:rPr>
      </w:pPr>
      <w:r w:rsidRPr="00384017">
        <w:rPr>
          <w:szCs w:val="24"/>
        </w:rPr>
        <w:t>A.</w:t>
      </w:r>
      <w:r w:rsidRPr="00384017">
        <w:rPr>
          <w:szCs w:val="24"/>
        </w:rPr>
        <w:tab/>
      </w:r>
      <w:r w:rsidR="00E6786A">
        <w:rPr>
          <w:szCs w:val="24"/>
        </w:rPr>
        <w:t>Mr. Hill</w:t>
      </w:r>
      <w:r>
        <w:rPr>
          <w:szCs w:val="24"/>
        </w:rPr>
        <w:t xml:space="preserve"> </w:t>
      </w:r>
      <w:r w:rsidR="00E6786A">
        <w:rPr>
          <w:szCs w:val="24"/>
        </w:rPr>
        <w:t>believes that excluding utilities with negative earnings growth forecasts or dividend cuts somehow assures an overstated ROE.</w:t>
      </w:r>
      <w:r w:rsidR="00133DEF">
        <w:rPr>
          <w:rStyle w:val="FootnoteReference"/>
          <w:szCs w:val="24"/>
        </w:rPr>
        <w:footnoteReference w:id="39"/>
      </w:r>
      <w:r w:rsidR="00E6786A">
        <w:rPr>
          <w:szCs w:val="24"/>
        </w:rPr>
        <w:t xml:space="preserve">  However, Mr. Hill is wrong to believe this and to make this suggestion.  Mr. Hill himself excludes companies that have had dividend cuts.  As for growth forecasts, </w:t>
      </w:r>
      <w:r w:rsidR="00493153">
        <w:rPr>
          <w:szCs w:val="24"/>
        </w:rPr>
        <w:t>one</w:t>
      </w:r>
      <w:r w:rsidR="00E6786A">
        <w:rPr>
          <w:szCs w:val="24"/>
        </w:rPr>
        <w:t xml:space="preserve"> reason I exclude utilities with negative earnings growth forecasts </w:t>
      </w:r>
      <w:r w:rsidR="00271898">
        <w:rPr>
          <w:szCs w:val="24"/>
        </w:rPr>
        <w:t xml:space="preserve">is that those companies typically have </w:t>
      </w:r>
      <w:r w:rsidR="00493153">
        <w:rPr>
          <w:szCs w:val="24"/>
        </w:rPr>
        <w:t>idiosyncratic issues</w:t>
      </w:r>
      <w:r w:rsidR="00271898">
        <w:rPr>
          <w:szCs w:val="24"/>
        </w:rPr>
        <w:t xml:space="preserve"> that </w:t>
      </w:r>
      <w:r w:rsidR="00493153">
        <w:rPr>
          <w:szCs w:val="24"/>
        </w:rPr>
        <w:t xml:space="preserve">cause the forecasts to be negative.  It would be inappropriate to assume that those idiosyncratic issues should be incorporated into a rate-of-return estimate for a proxy group.  A second reason I exclude utilities with negative earnings growth forecasts is that incorporating them is not tractable.  Importantly, my approach is commonly used in regulatory practice, and for good reason.  </w:t>
      </w:r>
    </w:p>
    <w:p w:rsidR="00C74777" w:rsidRPr="003105A0" w:rsidRDefault="00C74777" w:rsidP="00875553">
      <w:pPr>
        <w:pStyle w:val="Heading2"/>
        <w:numPr>
          <w:ilvl w:val="0"/>
          <w:numId w:val="0"/>
        </w:numPr>
        <w:spacing w:before="0" w:after="0" w:line="480" w:lineRule="auto"/>
        <w:rPr>
          <w:sz w:val="24"/>
          <w:szCs w:val="24"/>
        </w:rPr>
      </w:pPr>
      <w:bookmarkStart w:id="22" w:name="_Toc403726956"/>
      <w:r w:rsidRPr="003105A0">
        <w:rPr>
          <w:sz w:val="24"/>
          <w:szCs w:val="24"/>
        </w:rPr>
        <w:t>Geometric versus Arithmetic Mean</w:t>
      </w:r>
      <w:bookmarkEnd w:id="22"/>
    </w:p>
    <w:p w:rsidR="00C74777" w:rsidRPr="00C74777" w:rsidRDefault="00C74777" w:rsidP="003914B4">
      <w:pPr>
        <w:pStyle w:val="QAQuestion"/>
        <w:tabs>
          <w:tab w:val="num" w:pos="720"/>
        </w:tabs>
        <w:spacing w:after="0" w:line="480" w:lineRule="auto"/>
        <w:ind w:left="720" w:hanging="720"/>
        <w:jc w:val="left"/>
        <w:rPr>
          <w:b/>
          <w:szCs w:val="24"/>
        </w:rPr>
      </w:pPr>
      <w:r>
        <w:rPr>
          <w:b/>
          <w:szCs w:val="24"/>
        </w:rPr>
        <w:t>Q.</w:t>
      </w:r>
      <w:r>
        <w:rPr>
          <w:b/>
          <w:szCs w:val="24"/>
        </w:rPr>
        <w:tab/>
      </w:r>
      <w:r w:rsidRPr="00C74777">
        <w:rPr>
          <w:b/>
          <w:szCs w:val="24"/>
        </w:rPr>
        <w:t>On various occasions, Messrs. Parcell, Hill and Gorman rely upon the geometric mean of historical values in their ROE analyses.  Is this defensible?</w:t>
      </w:r>
    </w:p>
    <w:p w:rsidR="00C74777" w:rsidRPr="00C74777" w:rsidRDefault="00C74777" w:rsidP="003914B4">
      <w:pPr>
        <w:tabs>
          <w:tab w:val="num" w:pos="720"/>
        </w:tabs>
        <w:spacing w:line="480" w:lineRule="auto"/>
        <w:ind w:left="720" w:hanging="720"/>
        <w:jc w:val="left"/>
        <w:rPr>
          <w:szCs w:val="24"/>
        </w:rPr>
      </w:pPr>
      <w:r w:rsidRPr="00384017">
        <w:rPr>
          <w:szCs w:val="24"/>
        </w:rPr>
        <w:t>A.</w:t>
      </w:r>
      <w:r w:rsidRPr="00384017">
        <w:rPr>
          <w:szCs w:val="24"/>
        </w:rPr>
        <w:tab/>
      </w:r>
      <w:r w:rsidRPr="00C74777">
        <w:rPr>
          <w:szCs w:val="24"/>
        </w:rPr>
        <w:t>No.  Scholarly inquiry into whether the geometric or arithmetic mean is appropriate indicates a general preference for the arithmetic mean in the context of forward-looking rate-of-return estimation.</w:t>
      </w:r>
      <w:r w:rsidRPr="00C74777">
        <w:rPr>
          <w:szCs w:val="24"/>
          <w:vertAlign w:val="superscript"/>
        </w:rPr>
        <w:footnoteReference w:id="40"/>
      </w:r>
      <w:r w:rsidRPr="00C74777">
        <w:rPr>
          <w:szCs w:val="24"/>
        </w:rPr>
        <w:t xml:space="preserve">  Roger Morin explains in his treatise, </w:t>
      </w:r>
      <w:r w:rsidRPr="005E6531">
        <w:rPr>
          <w:i/>
          <w:szCs w:val="24"/>
        </w:rPr>
        <w:t>Regulatory Finance</w:t>
      </w:r>
      <w:r w:rsidRPr="00C74777">
        <w:rPr>
          <w:szCs w:val="24"/>
        </w:rPr>
        <w:t xml:space="preserve">: “One major issue relating to the use of realized returns is whether to use the ordinary average (arithmetic mean) or the geometric mean return. </w:t>
      </w:r>
      <w:r w:rsidR="0055227C">
        <w:rPr>
          <w:szCs w:val="24"/>
        </w:rPr>
        <w:t xml:space="preserve"> </w:t>
      </w:r>
      <w:r w:rsidRPr="00C74777">
        <w:rPr>
          <w:szCs w:val="24"/>
        </w:rPr>
        <w:t>Only arithmetic means are correct for forecasting purposes and for estimating the cost of capital.”</w:t>
      </w:r>
      <w:r w:rsidR="00D570FE">
        <w:rPr>
          <w:rStyle w:val="FootnoteReference"/>
          <w:szCs w:val="24"/>
        </w:rPr>
        <w:footnoteReference w:id="41"/>
      </w:r>
    </w:p>
    <w:p w:rsidR="00A668F5" w:rsidRPr="003105A0" w:rsidRDefault="00A668F5" w:rsidP="00875553">
      <w:pPr>
        <w:pStyle w:val="Heading2"/>
        <w:numPr>
          <w:ilvl w:val="0"/>
          <w:numId w:val="0"/>
        </w:numPr>
        <w:spacing w:before="0" w:after="0" w:line="480" w:lineRule="auto"/>
        <w:rPr>
          <w:sz w:val="24"/>
          <w:szCs w:val="24"/>
        </w:rPr>
      </w:pPr>
      <w:bookmarkStart w:id="23" w:name="_Toc403726957"/>
      <w:r w:rsidRPr="003105A0">
        <w:rPr>
          <w:sz w:val="24"/>
          <w:szCs w:val="24"/>
        </w:rPr>
        <w:t>GDP Forecast</w:t>
      </w:r>
      <w:r w:rsidR="00A4341A" w:rsidRPr="003105A0">
        <w:rPr>
          <w:sz w:val="24"/>
          <w:szCs w:val="24"/>
        </w:rPr>
        <w:t>s</w:t>
      </w:r>
      <w:r w:rsidRPr="003105A0">
        <w:rPr>
          <w:sz w:val="24"/>
          <w:szCs w:val="24"/>
        </w:rPr>
        <w:t xml:space="preserve"> as Input</w:t>
      </w:r>
      <w:r w:rsidR="00A4341A" w:rsidRPr="003105A0">
        <w:rPr>
          <w:sz w:val="24"/>
          <w:szCs w:val="24"/>
        </w:rPr>
        <w:t>s</w:t>
      </w:r>
      <w:r w:rsidRPr="003105A0">
        <w:rPr>
          <w:sz w:val="24"/>
          <w:szCs w:val="24"/>
        </w:rPr>
        <w:t xml:space="preserve"> to the DCF Model and Cap</w:t>
      </w:r>
      <w:r w:rsidR="00A4341A" w:rsidRPr="003105A0">
        <w:rPr>
          <w:sz w:val="24"/>
          <w:szCs w:val="24"/>
        </w:rPr>
        <w:t>s</w:t>
      </w:r>
      <w:r w:rsidRPr="003105A0">
        <w:rPr>
          <w:sz w:val="24"/>
          <w:szCs w:val="24"/>
        </w:rPr>
        <w:t xml:space="preserve"> on Earnings Growth</w:t>
      </w:r>
      <w:bookmarkEnd w:id="23"/>
    </w:p>
    <w:p w:rsidR="00A668F5" w:rsidRDefault="00A668F5" w:rsidP="003914B4">
      <w:pPr>
        <w:pStyle w:val="QAQuestion"/>
        <w:keepNext/>
        <w:tabs>
          <w:tab w:val="num" w:pos="720"/>
        </w:tabs>
        <w:spacing w:after="0" w:line="480" w:lineRule="auto"/>
        <w:ind w:left="720" w:hanging="720"/>
        <w:jc w:val="left"/>
        <w:rPr>
          <w:b/>
          <w:szCs w:val="24"/>
        </w:rPr>
      </w:pPr>
      <w:r>
        <w:rPr>
          <w:b/>
          <w:szCs w:val="24"/>
        </w:rPr>
        <w:t xml:space="preserve">Q. </w:t>
      </w:r>
      <w:r>
        <w:rPr>
          <w:b/>
          <w:szCs w:val="24"/>
        </w:rPr>
        <w:tab/>
        <w:t>P</w:t>
      </w:r>
      <w:r w:rsidR="00A4341A">
        <w:rPr>
          <w:b/>
          <w:szCs w:val="24"/>
        </w:rPr>
        <w:t xml:space="preserve">lease describe the purpose of this section of your testimony. </w:t>
      </w:r>
    </w:p>
    <w:p w:rsidR="00A668F5" w:rsidRDefault="00A668F5" w:rsidP="003914B4">
      <w:pPr>
        <w:pStyle w:val="QAAnswer"/>
        <w:tabs>
          <w:tab w:val="num" w:pos="720"/>
        </w:tabs>
        <w:spacing w:after="0" w:line="480" w:lineRule="auto"/>
        <w:ind w:left="720" w:hanging="720"/>
        <w:jc w:val="left"/>
        <w:rPr>
          <w:szCs w:val="24"/>
        </w:rPr>
      </w:pPr>
      <w:r>
        <w:rPr>
          <w:szCs w:val="24"/>
        </w:rPr>
        <w:t xml:space="preserve">A. </w:t>
      </w:r>
      <w:r>
        <w:rPr>
          <w:szCs w:val="24"/>
        </w:rPr>
        <w:tab/>
        <w:t xml:space="preserve">In this section, I address the proposed use of GDP </w:t>
      </w:r>
      <w:r w:rsidR="00A467C6">
        <w:rPr>
          <w:szCs w:val="24"/>
        </w:rPr>
        <w:t xml:space="preserve">forecasts </w:t>
      </w:r>
      <w:r>
        <w:rPr>
          <w:szCs w:val="24"/>
        </w:rPr>
        <w:t xml:space="preserve">as an input to the DCF model, an approach taken by </w:t>
      </w:r>
      <w:r w:rsidR="00A4341A">
        <w:rPr>
          <w:szCs w:val="24"/>
        </w:rPr>
        <w:t>M</w:t>
      </w:r>
      <w:r w:rsidR="00717B47">
        <w:rPr>
          <w:szCs w:val="24"/>
        </w:rPr>
        <w:t>r.</w:t>
      </w:r>
      <w:r>
        <w:rPr>
          <w:szCs w:val="24"/>
        </w:rPr>
        <w:t xml:space="preserve"> Gorman.  I further address Mr. Gorman’s statement that “Utilities cannot indefinitely sustain a growth rate that exceeds the growth rate of the economy in which they sell services” and his contention that growth rates above GDP are unsustainable and should be removed from the DCF analysis.   </w:t>
      </w:r>
    </w:p>
    <w:p w:rsidR="00E05576" w:rsidRDefault="00A668F5" w:rsidP="00A4341A">
      <w:pPr>
        <w:pStyle w:val="QAQuestion"/>
        <w:keepNext/>
        <w:tabs>
          <w:tab w:val="num" w:pos="720"/>
        </w:tabs>
        <w:spacing w:after="0" w:line="480" w:lineRule="auto"/>
        <w:ind w:left="720" w:hanging="720"/>
        <w:jc w:val="left"/>
        <w:rPr>
          <w:b/>
          <w:szCs w:val="24"/>
        </w:rPr>
      </w:pPr>
      <w:r>
        <w:rPr>
          <w:b/>
          <w:szCs w:val="24"/>
        </w:rPr>
        <w:t xml:space="preserve">Q. </w:t>
      </w:r>
      <w:r>
        <w:rPr>
          <w:b/>
          <w:szCs w:val="24"/>
        </w:rPr>
        <w:tab/>
      </w:r>
      <w:r w:rsidR="00E05576">
        <w:rPr>
          <w:b/>
          <w:szCs w:val="24"/>
        </w:rPr>
        <w:t xml:space="preserve">Has the Washington Commission </w:t>
      </w:r>
      <w:r w:rsidR="00EA3B4B">
        <w:rPr>
          <w:b/>
          <w:szCs w:val="24"/>
        </w:rPr>
        <w:t xml:space="preserve">expressed </w:t>
      </w:r>
      <w:r w:rsidR="0055227C">
        <w:rPr>
          <w:b/>
          <w:szCs w:val="24"/>
        </w:rPr>
        <w:t xml:space="preserve">reservations about the use of </w:t>
      </w:r>
      <w:r w:rsidR="00E05576">
        <w:rPr>
          <w:b/>
          <w:szCs w:val="24"/>
        </w:rPr>
        <w:t xml:space="preserve">GDP growth rates for the DCF model in previous cases? </w:t>
      </w:r>
    </w:p>
    <w:p w:rsidR="00E05576" w:rsidRPr="00234C97" w:rsidRDefault="00E05576" w:rsidP="00234C97">
      <w:pPr>
        <w:pStyle w:val="QAAnswer"/>
        <w:tabs>
          <w:tab w:val="num" w:pos="720"/>
        </w:tabs>
        <w:spacing w:after="0" w:line="480" w:lineRule="auto"/>
        <w:ind w:left="720" w:hanging="720"/>
        <w:jc w:val="left"/>
      </w:pPr>
      <w:r>
        <w:rPr>
          <w:b/>
          <w:szCs w:val="24"/>
        </w:rPr>
        <w:t>A.</w:t>
      </w:r>
      <w:r>
        <w:tab/>
      </w:r>
      <w:r w:rsidR="00EA3B4B">
        <w:t>Yes.  In the last two Pacifi</w:t>
      </w:r>
      <w:r w:rsidR="00B51E9A">
        <w:t>c Power</w:t>
      </w:r>
      <w:r w:rsidR="00EA3B4B">
        <w:t xml:space="preserve"> rate orders, the Commission rejected </w:t>
      </w:r>
      <w:r w:rsidR="00B51E9A">
        <w:t>the Company’s</w:t>
      </w:r>
      <w:r w:rsidR="00EA3B4B">
        <w:t xml:space="preserve"> use </w:t>
      </w:r>
      <w:r w:rsidR="0055227C">
        <w:t xml:space="preserve">of </w:t>
      </w:r>
      <w:r w:rsidR="00717B47">
        <w:t xml:space="preserve">a </w:t>
      </w:r>
      <w:r w:rsidR="00EA3B4B">
        <w:t xml:space="preserve">GDP growth rate informed by historical GDP data in the DCF </w:t>
      </w:r>
      <w:r w:rsidR="0055227C">
        <w:t>model</w:t>
      </w:r>
      <w:r w:rsidR="00EA3B4B">
        <w:t xml:space="preserve">.  The Commission </w:t>
      </w:r>
      <w:r w:rsidR="00717B47">
        <w:t xml:space="preserve">did </w:t>
      </w:r>
      <w:r w:rsidR="00EA3B4B">
        <w:t>indicate that it might consider short-term</w:t>
      </w:r>
      <w:r w:rsidR="002C2DAF">
        <w:t>, forward-looking</w:t>
      </w:r>
      <w:r w:rsidR="00EA3B4B">
        <w:t xml:space="preserve"> GDP </w:t>
      </w:r>
      <w:r w:rsidR="002C2DAF">
        <w:t>estimates as a DCF growth rate.</w:t>
      </w:r>
      <w:r w:rsidR="00EA3B4B">
        <w:t xml:space="preserve">  </w:t>
      </w:r>
    </w:p>
    <w:p w:rsidR="00A668F5" w:rsidRDefault="00EA3B4B" w:rsidP="00A4341A">
      <w:pPr>
        <w:pStyle w:val="QAQuestion"/>
        <w:keepNext/>
        <w:tabs>
          <w:tab w:val="num" w:pos="720"/>
        </w:tabs>
        <w:spacing w:after="0" w:line="480" w:lineRule="auto"/>
        <w:ind w:left="720" w:hanging="720"/>
        <w:jc w:val="left"/>
        <w:rPr>
          <w:b/>
          <w:szCs w:val="24"/>
        </w:rPr>
      </w:pPr>
      <w:r>
        <w:rPr>
          <w:b/>
          <w:szCs w:val="24"/>
        </w:rPr>
        <w:t>Q.</w:t>
      </w:r>
      <w:r>
        <w:rPr>
          <w:b/>
          <w:szCs w:val="24"/>
        </w:rPr>
        <w:tab/>
      </w:r>
      <w:r w:rsidR="00A668F5">
        <w:rPr>
          <w:b/>
          <w:szCs w:val="24"/>
        </w:rPr>
        <w:t>I</w:t>
      </w:r>
      <w:r w:rsidR="00A4341A">
        <w:rPr>
          <w:b/>
          <w:szCs w:val="24"/>
        </w:rPr>
        <w:t xml:space="preserve">s it correct to use </w:t>
      </w:r>
      <w:r w:rsidR="002C2DAF">
        <w:rPr>
          <w:b/>
          <w:szCs w:val="24"/>
        </w:rPr>
        <w:t xml:space="preserve">short-term </w:t>
      </w:r>
      <w:r w:rsidR="00A4341A">
        <w:rPr>
          <w:b/>
          <w:szCs w:val="24"/>
        </w:rPr>
        <w:t xml:space="preserve">GDP </w:t>
      </w:r>
      <w:r w:rsidR="002C2DAF">
        <w:rPr>
          <w:b/>
          <w:szCs w:val="24"/>
        </w:rPr>
        <w:t xml:space="preserve">forecasts </w:t>
      </w:r>
      <w:r w:rsidR="00A4341A">
        <w:rPr>
          <w:b/>
          <w:szCs w:val="24"/>
        </w:rPr>
        <w:t xml:space="preserve">as a proxy for the long-term earnings growth of electric utilities? </w:t>
      </w:r>
    </w:p>
    <w:p w:rsidR="00A668F5" w:rsidRDefault="00A668F5" w:rsidP="003914B4">
      <w:pPr>
        <w:pStyle w:val="QAAnswer"/>
        <w:tabs>
          <w:tab w:val="num" w:pos="720"/>
        </w:tabs>
        <w:spacing w:after="0" w:line="480" w:lineRule="auto"/>
        <w:ind w:left="720" w:hanging="720"/>
        <w:jc w:val="left"/>
        <w:rPr>
          <w:szCs w:val="24"/>
        </w:rPr>
      </w:pPr>
      <w:r>
        <w:rPr>
          <w:szCs w:val="24"/>
        </w:rPr>
        <w:t xml:space="preserve">A. </w:t>
      </w:r>
      <w:r>
        <w:rPr>
          <w:szCs w:val="24"/>
        </w:rPr>
        <w:tab/>
        <w:t xml:space="preserve">No.  Use of </w:t>
      </w:r>
      <w:r w:rsidR="002C2DAF">
        <w:rPr>
          <w:szCs w:val="24"/>
        </w:rPr>
        <w:t xml:space="preserve">short-term </w:t>
      </w:r>
      <w:r>
        <w:rPr>
          <w:szCs w:val="24"/>
        </w:rPr>
        <w:t>gross domestic product (GDP) growth</w:t>
      </w:r>
      <w:r w:rsidR="002C2DAF">
        <w:rPr>
          <w:szCs w:val="24"/>
        </w:rPr>
        <w:t xml:space="preserve"> forecasts</w:t>
      </w:r>
      <w:r>
        <w:rPr>
          <w:szCs w:val="24"/>
        </w:rPr>
        <w:t>, a national income accounting statistic, as a proxy for the expected long-term earnings growth rate of utilities has no theoretical basis.  There is significant theoretical and empirical support for the notion that utilities productivity (and in turn their earnings) grow at different rates than that of the economy as a whole.  A Total Factor Productivity (TFP) Study can identify the differential TFP growth rates for various segments of economic activity as compared to the economy as a whole.</w:t>
      </w:r>
      <w:r w:rsidRPr="005E5528">
        <w:rPr>
          <w:vertAlign w:val="superscript"/>
        </w:rPr>
        <w:footnoteReference w:id="42"/>
      </w:r>
      <w:r>
        <w:rPr>
          <w:szCs w:val="24"/>
        </w:rPr>
        <w:t xml:space="preserve">  Given the theoretical relationship between GDP growth and relative TFP growth, using the former as a proxy for expected profitability of the latter is invalid and should not be an input to determine the fair rate of return.</w:t>
      </w:r>
    </w:p>
    <w:p w:rsidR="00A668F5" w:rsidRDefault="00A668F5" w:rsidP="006D04D3">
      <w:pPr>
        <w:pStyle w:val="QAQuestion"/>
        <w:keepNext/>
        <w:tabs>
          <w:tab w:val="num" w:pos="720"/>
        </w:tabs>
        <w:spacing w:after="0" w:line="480" w:lineRule="auto"/>
        <w:ind w:left="720" w:hanging="720"/>
        <w:jc w:val="left"/>
        <w:rPr>
          <w:b/>
          <w:szCs w:val="24"/>
        </w:rPr>
      </w:pPr>
      <w:r>
        <w:rPr>
          <w:b/>
          <w:szCs w:val="24"/>
        </w:rPr>
        <w:t xml:space="preserve">Q. </w:t>
      </w:r>
      <w:r>
        <w:rPr>
          <w:b/>
          <w:szCs w:val="24"/>
        </w:rPr>
        <w:tab/>
        <w:t>D</w:t>
      </w:r>
      <w:r w:rsidR="006D04D3">
        <w:rPr>
          <w:b/>
          <w:szCs w:val="24"/>
        </w:rPr>
        <w:t>oes</w:t>
      </w:r>
      <w:r>
        <w:rPr>
          <w:b/>
          <w:szCs w:val="24"/>
        </w:rPr>
        <w:t xml:space="preserve"> M</w:t>
      </w:r>
      <w:r w:rsidR="006D04D3">
        <w:rPr>
          <w:b/>
          <w:szCs w:val="24"/>
        </w:rPr>
        <w:t>r</w:t>
      </w:r>
      <w:r>
        <w:rPr>
          <w:b/>
          <w:szCs w:val="24"/>
        </w:rPr>
        <w:t>. G</w:t>
      </w:r>
      <w:r w:rsidR="006D04D3">
        <w:rPr>
          <w:b/>
          <w:szCs w:val="24"/>
        </w:rPr>
        <w:t>orman’s approach</w:t>
      </w:r>
      <w:r>
        <w:rPr>
          <w:b/>
          <w:szCs w:val="24"/>
        </w:rPr>
        <w:t xml:space="preserve">, </w:t>
      </w:r>
      <w:r w:rsidR="006D04D3">
        <w:rPr>
          <w:b/>
          <w:szCs w:val="24"/>
        </w:rPr>
        <w:t xml:space="preserve">to exclude forecast earnings growth rates that exceed the GDP growth rate, make sense? </w:t>
      </w:r>
    </w:p>
    <w:p w:rsidR="00A668F5" w:rsidRDefault="00A668F5" w:rsidP="0061235F">
      <w:pPr>
        <w:pStyle w:val="QAAnswer"/>
        <w:tabs>
          <w:tab w:val="num" w:pos="720"/>
        </w:tabs>
        <w:spacing w:after="0" w:line="480" w:lineRule="auto"/>
        <w:ind w:left="720" w:hanging="720"/>
        <w:jc w:val="left"/>
        <w:rPr>
          <w:szCs w:val="24"/>
        </w:rPr>
      </w:pPr>
      <w:r>
        <w:rPr>
          <w:szCs w:val="24"/>
        </w:rPr>
        <w:t>A.</w:t>
      </w:r>
      <w:r>
        <w:rPr>
          <w:szCs w:val="24"/>
        </w:rPr>
        <w:tab/>
        <w:t xml:space="preserve">No, Mr. Gorman’s approach is incorrect. </w:t>
      </w:r>
      <w:r w:rsidR="0055227C">
        <w:rPr>
          <w:szCs w:val="24"/>
        </w:rPr>
        <w:t xml:space="preserve"> </w:t>
      </w:r>
      <w:r>
        <w:rPr>
          <w:szCs w:val="24"/>
        </w:rPr>
        <w:t xml:space="preserve">NERA’s empirical studies, relying on FERC Form 1 data, show that the total factor productivity growth of combination electric/gas utilities during the period 1972 to 2009 averaged 0.96 percent. </w:t>
      </w:r>
      <w:r w:rsidR="002C2DAF">
        <w:rPr>
          <w:szCs w:val="24"/>
        </w:rPr>
        <w:t xml:space="preserve"> </w:t>
      </w:r>
      <w:r>
        <w:rPr>
          <w:szCs w:val="24"/>
        </w:rPr>
        <w:t>Over the same period, the total factor productivity of the US economy grew at a slower pace of 0.91 percent.</w:t>
      </w:r>
      <w:r w:rsidRPr="005E5528">
        <w:rPr>
          <w:vertAlign w:val="superscript"/>
        </w:rPr>
        <w:footnoteReference w:id="43"/>
      </w:r>
      <w:r>
        <w:rPr>
          <w:szCs w:val="24"/>
        </w:rPr>
        <w:t xml:space="preserve"> </w:t>
      </w:r>
      <w:r w:rsidR="0055227C">
        <w:rPr>
          <w:szCs w:val="24"/>
        </w:rPr>
        <w:t xml:space="preserve"> </w:t>
      </w:r>
      <w:r>
        <w:rPr>
          <w:szCs w:val="24"/>
        </w:rPr>
        <w:t>In other words, utilities were more productive than the economy as a whole by more than 5 percent.  These results, and those of similar TFP studies, consistently show that, contrary to Mr. Gorman’s statements, utilities can sustain—and, indeed, have sustained— growth rates that exceed the economy in which they sell services.  As such, it is not appropriate or logical to exclude forecast utility earnings growth rates that are above the GDP growth forecast.</w:t>
      </w:r>
    </w:p>
    <w:p w:rsidR="00A668F5" w:rsidRDefault="00A668F5" w:rsidP="0061235F">
      <w:pPr>
        <w:pStyle w:val="QAQuestion"/>
        <w:keepNext/>
        <w:tabs>
          <w:tab w:val="num" w:pos="720"/>
        </w:tabs>
        <w:spacing w:after="0" w:line="480" w:lineRule="auto"/>
        <w:ind w:left="720" w:hanging="720"/>
        <w:jc w:val="left"/>
        <w:rPr>
          <w:b/>
          <w:szCs w:val="24"/>
        </w:rPr>
      </w:pPr>
      <w:r>
        <w:rPr>
          <w:b/>
          <w:szCs w:val="24"/>
        </w:rPr>
        <w:t xml:space="preserve">Q. </w:t>
      </w:r>
      <w:r>
        <w:rPr>
          <w:b/>
          <w:szCs w:val="24"/>
        </w:rPr>
        <w:tab/>
        <w:t>P</w:t>
      </w:r>
      <w:r w:rsidR="006D04D3">
        <w:rPr>
          <w:b/>
          <w:szCs w:val="24"/>
        </w:rPr>
        <w:t>lease</w:t>
      </w:r>
      <w:r>
        <w:rPr>
          <w:b/>
          <w:szCs w:val="24"/>
        </w:rPr>
        <w:t xml:space="preserve"> </w:t>
      </w:r>
      <w:r w:rsidR="006D04D3">
        <w:rPr>
          <w:b/>
          <w:szCs w:val="24"/>
        </w:rPr>
        <w:t>summarize your conclusions on the use of GDP growth forecasts in ROE estimation</w:t>
      </w:r>
      <w:r w:rsidR="00717B47">
        <w:rPr>
          <w:b/>
          <w:szCs w:val="24"/>
        </w:rPr>
        <w:t xml:space="preserve"> in Washington</w:t>
      </w:r>
      <w:r w:rsidR="006D04D3">
        <w:rPr>
          <w:b/>
          <w:szCs w:val="24"/>
        </w:rPr>
        <w:t>.</w:t>
      </w:r>
    </w:p>
    <w:p w:rsidR="00A668F5" w:rsidRDefault="00A668F5" w:rsidP="0061235F">
      <w:pPr>
        <w:pStyle w:val="QAAnswer"/>
        <w:tabs>
          <w:tab w:val="num" w:pos="720"/>
        </w:tabs>
        <w:spacing w:after="0" w:line="480" w:lineRule="auto"/>
        <w:ind w:left="720" w:hanging="720"/>
        <w:jc w:val="left"/>
        <w:rPr>
          <w:szCs w:val="24"/>
        </w:rPr>
      </w:pPr>
      <w:r>
        <w:rPr>
          <w:szCs w:val="24"/>
        </w:rPr>
        <w:t>A.</w:t>
      </w:r>
      <w:r>
        <w:rPr>
          <w:szCs w:val="24"/>
        </w:rPr>
        <w:tab/>
      </w:r>
      <w:r w:rsidR="002C2DAF">
        <w:rPr>
          <w:szCs w:val="24"/>
        </w:rPr>
        <w:t>Short-term f</w:t>
      </w:r>
      <w:r>
        <w:rPr>
          <w:szCs w:val="24"/>
        </w:rPr>
        <w:t>orecast</w:t>
      </w:r>
      <w:r w:rsidR="002C2DAF">
        <w:rPr>
          <w:szCs w:val="24"/>
        </w:rPr>
        <w:t>s of</w:t>
      </w:r>
      <w:r>
        <w:rPr>
          <w:szCs w:val="24"/>
        </w:rPr>
        <w:t xml:space="preserve"> GDP growth, a national income statistic, </w:t>
      </w:r>
      <w:r w:rsidR="00A54692">
        <w:rPr>
          <w:szCs w:val="24"/>
        </w:rPr>
        <w:t>are</w:t>
      </w:r>
      <w:r>
        <w:rPr>
          <w:szCs w:val="24"/>
        </w:rPr>
        <w:t xml:space="preserve"> not necessarily tied in any way to the </w:t>
      </w:r>
      <w:r w:rsidR="00A54692">
        <w:rPr>
          <w:szCs w:val="24"/>
        </w:rPr>
        <w:t xml:space="preserve">long-term </w:t>
      </w:r>
      <w:r>
        <w:rPr>
          <w:szCs w:val="24"/>
        </w:rPr>
        <w:t xml:space="preserve">growth of individual utilities.  As such, it is not an appropriate input for the DCF model and should not serve as a cap on sustainable growth.  Empirical studies show that utilities can grow at rates that exceed the growth in the economy overall.  Hence, insofar as </w:t>
      </w:r>
      <w:r w:rsidR="00B51E9A">
        <w:rPr>
          <w:szCs w:val="24"/>
        </w:rPr>
        <w:t>Mr. Gorman</w:t>
      </w:r>
      <w:r>
        <w:rPr>
          <w:szCs w:val="24"/>
        </w:rPr>
        <w:t xml:space="preserve"> rel</w:t>
      </w:r>
      <w:r w:rsidR="00B51E9A">
        <w:rPr>
          <w:szCs w:val="24"/>
        </w:rPr>
        <w:t>ies</w:t>
      </w:r>
      <w:r>
        <w:rPr>
          <w:szCs w:val="24"/>
        </w:rPr>
        <w:t xml:space="preserve"> upon it, such reliance will lead to </w:t>
      </w:r>
      <w:r w:rsidR="00B51E9A">
        <w:rPr>
          <w:szCs w:val="24"/>
        </w:rPr>
        <w:t xml:space="preserve">an </w:t>
      </w:r>
      <w:r>
        <w:rPr>
          <w:szCs w:val="24"/>
        </w:rPr>
        <w:t>underestimate of the ROE.</w:t>
      </w:r>
    </w:p>
    <w:p w:rsidR="0079454C" w:rsidRPr="003105A0" w:rsidRDefault="0079454C" w:rsidP="0061235F">
      <w:pPr>
        <w:pStyle w:val="Heading2"/>
        <w:numPr>
          <w:ilvl w:val="0"/>
          <w:numId w:val="0"/>
        </w:numPr>
        <w:spacing w:before="0" w:after="0" w:line="480" w:lineRule="auto"/>
        <w:rPr>
          <w:sz w:val="24"/>
          <w:szCs w:val="24"/>
        </w:rPr>
      </w:pPr>
      <w:bookmarkStart w:id="24" w:name="_Toc403726958"/>
      <w:r w:rsidRPr="003105A0">
        <w:rPr>
          <w:sz w:val="24"/>
          <w:szCs w:val="24"/>
        </w:rPr>
        <w:t>Company Selection for Yield-Plus-Growth Model</w:t>
      </w:r>
      <w:bookmarkEnd w:id="24"/>
    </w:p>
    <w:p w:rsidR="00CA43EE" w:rsidRDefault="00CA43EE" w:rsidP="0061235F">
      <w:pPr>
        <w:pStyle w:val="QAQuestion"/>
        <w:keepNext/>
        <w:tabs>
          <w:tab w:val="num" w:pos="720"/>
        </w:tabs>
        <w:spacing w:after="0" w:line="480" w:lineRule="auto"/>
        <w:ind w:left="720" w:hanging="720"/>
        <w:jc w:val="left"/>
        <w:rPr>
          <w:b/>
          <w:szCs w:val="24"/>
        </w:rPr>
      </w:pPr>
      <w:r>
        <w:rPr>
          <w:b/>
          <w:szCs w:val="24"/>
        </w:rPr>
        <w:t xml:space="preserve">Q. </w:t>
      </w:r>
      <w:r>
        <w:rPr>
          <w:b/>
          <w:szCs w:val="24"/>
        </w:rPr>
        <w:tab/>
        <w:t xml:space="preserve">Mr. Hill criticizes your yield-plus-growth model on the grounds that the “yield” and “growth” inputs rely on distinct sets of companies. </w:t>
      </w:r>
      <w:r w:rsidR="00717B47">
        <w:rPr>
          <w:b/>
          <w:szCs w:val="24"/>
        </w:rPr>
        <w:t xml:space="preserve"> </w:t>
      </w:r>
      <w:r>
        <w:rPr>
          <w:b/>
          <w:szCs w:val="24"/>
        </w:rPr>
        <w:t>Please comment on this criticism.</w:t>
      </w:r>
    </w:p>
    <w:p w:rsidR="00CA43EE" w:rsidRDefault="00CA43EE" w:rsidP="0061235F">
      <w:pPr>
        <w:pStyle w:val="QAAnswer"/>
        <w:tabs>
          <w:tab w:val="num" w:pos="720"/>
        </w:tabs>
        <w:spacing w:after="0" w:line="480" w:lineRule="auto"/>
        <w:ind w:left="720" w:hanging="720"/>
        <w:jc w:val="left"/>
        <w:rPr>
          <w:szCs w:val="24"/>
        </w:rPr>
      </w:pPr>
      <w:r>
        <w:rPr>
          <w:szCs w:val="24"/>
        </w:rPr>
        <w:t>A.</w:t>
      </w:r>
      <w:r>
        <w:rPr>
          <w:szCs w:val="24"/>
        </w:rPr>
        <w:tab/>
        <w:t xml:space="preserve">Mr. Hill is factually correct that the Zacks growth forecast considers additional companies to Value Line.  Mr Hill is incorrect as to the implications of this for ROE estimation.  Mr. Hill’s conclusions are </w:t>
      </w:r>
      <w:r w:rsidR="000F4F1D">
        <w:rPr>
          <w:szCs w:val="24"/>
        </w:rPr>
        <w:t xml:space="preserve">incorrect </w:t>
      </w:r>
      <w:r>
        <w:rPr>
          <w:szCs w:val="24"/>
        </w:rPr>
        <w:t xml:space="preserve">for at least two reasons.  The first is that overlap exists as between the companies covered by Zacks growth forecast and the Value Line dividend yield assessment.  Zacks includes 47 of 49 electric utility companies followed by Value Line.  Second, both the Zacks growth forecast and the Value Line dividend yield assessment serve to influence investor expectations for the electric utilities industry generally.  It is thus appropriate to rely on these metrics to evaluate investor expectations.  </w:t>
      </w:r>
      <w:r w:rsidR="005E5528">
        <w:rPr>
          <w:szCs w:val="24"/>
        </w:rPr>
        <w:t xml:space="preserve">It is not uncommon for components of the broad yield-plus-growth model calculation to cover slightly different sets of companies.  </w:t>
      </w:r>
    </w:p>
    <w:p w:rsidR="00CA43EE" w:rsidRDefault="00CA43EE" w:rsidP="00CA43EE">
      <w:pPr>
        <w:pStyle w:val="QAQuestion"/>
        <w:keepNext/>
        <w:tabs>
          <w:tab w:val="num" w:pos="720"/>
        </w:tabs>
        <w:spacing w:after="0" w:line="480" w:lineRule="auto"/>
        <w:ind w:left="720" w:hanging="720"/>
        <w:jc w:val="left"/>
        <w:rPr>
          <w:b/>
          <w:szCs w:val="24"/>
        </w:rPr>
      </w:pPr>
      <w:r>
        <w:rPr>
          <w:b/>
          <w:szCs w:val="24"/>
        </w:rPr>
        <w:t xml:space="preserve">Q. </w:t>
      </w:r>
      <w:r>
        <w:rPr>
          <w:b/>
          <w:szCs w:val="24"/>
        </w:rPr>
        <w:tab/>
        <w:t xml:space="preserve">Mr. Hill presents an alternative calculation whereby he uses the Yahoo Finance industry growth forecast and the Value Line dividend yield.  Please comment on this calculation.  </w:t>
      </w:r>
    </w:p>
    <w:p w:rsidR="00CA43EE" w:rsidRDefault="00CA43EE" w:rsidP="0061235F">
      <w:pPr>
        <w:pStyle w:val="QAAnswer"/>
        <w:tabs>
          <w:tab w:val="num" w:pos="720"/>
        </w:tabs>
        <w:spacing w:after="0" w:line="480" w:lineRule="auto"/>
        <w:ind w:left="720" w:hanging="720"/>
        <w:jc w:val="left"/>
        <w:rPr>
          <w:szCs w:val="24"/>
        </w:rPr>
      </w:pPr>
      <w:r>
        <w:rPr>
          <w:szCs w:val="24"/>
        </w:rPr>
        <w:t>A.</w:t>
      </w:r>
      <w:r>
        <w:rPr>
          <w:szCs w:val="24"/>
        </w:rPr>
        <w:tab/>
        <w:t>Mr. Hill claims that his alternative calculation relies on the same set of companies, but h</w:t>
      </w:r>
      <w:r w:rsidR="005E5528">
        <w:rPr>
          <w:szCs w:val="24"/>
        </w:rPr>
        <w:t xml:space="preserve">is statement in this regard is </w:t>
      </w:r>
      <w:r w:rsidR="00493153">
        <w:rPr>
          <w:szCs w:val="24"/>
        </w:rPr>
        <w:t>incorrect</w:t>
      </w:r>
      <w:r>
        <w:rPr>
          <w:szCs w:val="24"/>
        </w:rPr>
        <w:t xml:space="preserve">.  Mr Hill </w:t>
      </w:r>
      <w:r w:rsidR="005E5528">
        <w:rPr>
          <w:szCs w:val="24"/>
        </w:rPr>
        <w:t xml:space="preserve">relies upon the dividend yield data for 49 electric utilities covered by Value Line and then relies upon the growth forecast for </w:t>
      </w:r>
      <w:r w:rsidR="00C03AD7">
        <w:rPr>
          <w:szCs w:val="24"/>
        </w:rPr>
        <w:t xml:space="preserve">278 </w:t>
      </w:r>
      <w:r w:rsidR="005E5528">
        <w:rPr>
          <w:szCs w:val="24"/>
        </w:rPr>
        <w:t xml:space="preserve">companies covered by Yahoo Finance.  His calculation does not resolve the problem that he attributes to my analysis. </w:t>
      </w:r>
    </w:p>
    <w:p w:rsidR="00644EEE" w:rsidRPr="003105A0" w:rsidRDefault="00644EEE" w:rsidP="0061235F">
      <w:pPr>
        <w:pStyle w:val="Heading2"/>
        <w:numPr>
          <w:ilvl w:val="0"/>
          <w:numId w:val="0"/>
        </w:numPr>
        <w:spacing w:before="0" w:after="0" w:line="480" w:lineRule="auto"/>
        <w:rPr>
          <w:sz w:val="24"/>
          <w:szCs w:val="24"/>
        </w:rPr>
      </w:pPr>
      <w:bookmarkStart w:id="25" w:name="_Toc403726959"/>
      <w:r w:rsidRPr="003105A0">
        <w:rPr>
          <w:sz w:val="24"/>
          <w:szCs w:val="24"/>
        </w:rPr>
        <w:t>Specification of the Risk Premium Model</w:t>
      </w:r>
      <w:bookmarkEnd w:id="25"/>
    </w:p>
    <w:p w:rsidR="00644EEE" w:rsidRDefault="00644EEE" w:rsidP="0061235F">
      <w:pPr>
        <w:pStyle w:val="QAQuestion"/>
        <w:keepNext/>
        <w:tabs>
          <w:tab w:val="num" w:pos="720"/>
        </w:tabs>
        <w:spacing w:after="0" w:line="480" w:lineRule="auto"/>
        <w:ind w:left="720" w:hanging="720"/>
        <w:jc w:val="left"/>
        <w:rPr>
          <w:b/>
          <w:szCs w:val="24"/>
        </w:rPr>
      </w:pPr>
      <w:r>
        <w:rPr>
          <w:b/>
          <w:szCs w:val="24"/>
        </w:rPr>
        <w:t xml:space="preserve">Q. </w:t>
      </w:r>
      <w:r>
        <w:rPr>
          <w:b/>
          <w:szCs w:val="24"/>
        </w:rPr>
        <w:tab/>
        <w:t>Mr. Hill takes issue with your finding that the expected risk prem</w:t>
      </w:r>
      <w:r w:rsidR="00670089">
        <w:rPr>
          <w:b/>
          <w:szCs w:val="24"/>
        </w:rPr>
        <w:t xml:space="preserve">ium </w:t>
      </w:r>
      <w:r w:rsidR="00A36CB6">
        <w:rPr>
          <w:b/>
          <w:szCs w:val="24"/>
        </w:rPr>
        <w:t xml:space="preserve">for utility stocks </w:t>
      </w:r>
      <w:r w:rsidR="00670089">
        <w:rPr>
          <w:b/>
          <w:szCs w:val="24"/>
        </w:rPr>
        <w:t>varies inversely with long-term treasury yields.  Please respond</w:t>
      </w:r>
      <w:r>
        <w:rPr>
          <w:b/>
          <w:szCs w:val="24"/>
        </w:rPr>
        <w:t xml:space="preserve">.  </w:t>
      </w:r>
    </w:p>
    <w:p w:rsidR="00644EEE" w:rsidRDefault="00644EEE" w:rsidP="0061235F">
      <w:pPr>
        <w:pStyle w:val="QAAnswer"/>
        <w:tabs>
          <w:tab w:val="num" w:pos="720"/>
        </w:tabs>
        <w:spacing w:after="0" w:line="480" w:lineRule="auto"/>
        <w:ind w:left="720" w:hanging="720"/>
        <w:jc w:val="left"/>
        <w:rPr>
          <w:szCs w:val="24"/>
        </w:rPr>
      </w:pPr>
      <w:r>
        <w:rPr>
          <w:szCs w:val="24"/>
        </w:rPr>
        <w:t>A.</w:t>
      </w:r>
      <w:r>
        <w:rPr>
          <w:szCs w:val="24"/>
        </w:rPr>
        <w:tab/>
        <w:t>Mr. Hill</w:t>
      </w:r>
      <w:r w:rsidR="00670089">
        <w:rPr>
          <w:szCs w:val="24"/>
        </w:rPr>
        <w:t>’s claims in this regard are without merit.  He characterizes the relationship as “counter-intuitive.”  However, the finding is quite intuitive when viewed in the context of investor sentiment.  When investors perceive large risks associated with holding risky assets, they flock to securities like long-term treasuries</w:t>
      </w:r>
      <w:r w:rsidR="000F1E4A" w:rsidRPr="000F1E4A">
        <w:rPr>
          <w:szCs w:val="24"/>
        </w:rPr>
        <w:t xml:space="preserve"> </w:t>
      </w:r>
      <w:r w:rsidR="000F1E4A">
        <w:rPr>
          <w:szCs w:val="24"/>
        </w:rPr>
        <w:t>and other high-grade bonds</w:t>
      </w:r>
      <w:r w:rsidR="00670089">
        <w:rPr>
          <w:szCs w:val="24"/>
        </w:rPr>
        <w:t xml:space="preserve">.  </w:t>
      </w:r>
      <w:r w:rsidR="00C24F72">
        <w:rPr>
          <w:szCs w:val="24"/>
        </w:rPr>
        <w:t xml:space="preserve">This drives up prices and drives down yields on </w:t>
      </w:r>
      <w:r w:rsidR="000F1E4A">
        <w:rPr>
          <w:szCs w:val="24"/>
        </w:rPr>
        <w:t>such securities</w:t>
      </w:r>
      <w:r w:rsidR="00C24F72">
        <w:rPr>
          <w:szCs w:val="24"/>
        </w:rPr>
        <w:t xml:space="preserve">.  The spread between the cost of holding treasury </w:t>
      </w:r>
      <w:r w:rsidR="000F1E4A">
        <w:rPr>
          <w:szCs w:val="24"/>
        </w:rPr>
        <w:t xml:space="preserve">and </w:t>
      </w:r>
      <w:r w:rsidR="00C03AD7">
        <w:rPr>
          <w:szCs w:val="24"/>
        </w:rPr>
        <w:t xml:space="preserve">other </w:t>
      </w:r>
      <w:r w:rsidR="000F1E4A">
        <w:rPr>
          <w:szCs w:val="24"/>
        </w:rPr>
        <w:t xml:space="preserve">high-grade </w:t>
      </w:r>
      <w:r w:rsidR="00C24F72">
        <w:rPr>
          <w:szCs w:val="24"/>
        </w:rPr>
        <w:t xml:space="preserve">bonds and the cost of holding </w:t>
      </w:r>
      <w:r w:rsidR="000F1E4A">
        <w:rPr>
          <w:szCs w:val="24"/>
        </w:rPr>
        <w:t xml:space="preserve">riskier </w:t>
      </w:r>
      <w:r w:rsidR="00C24F72">
        <w:rPr>
          <w:szCs w:val="24"/>
        </w:rPr>
        <w:t xml:space="preserve">assets expands.  </w:t>
      </w:r>
      <w:r w:rsidR="000F1E4A">
        <w:rPr>
          <w:szCs w:val="24"/>
        </w:rPr>
        <w:t>H</w:t>
      </w:r>
      <w:r w:rsidR="00C24F72">
        <w:rPr>
          <w:szCs w:val="24"/>
        </w:rPr>
        <w:t>istory demonstrates that the premium for holding risky assets has expanded during time</w:t>
      </w:r>
      <w:r w:rsidR="00A36CB6">
        <w:rPr>
          <w:szCs w:val="24"/>
        </w:rPr>
        <w:t>s when investors have pursued a flight to quality</w:t>
      </w:r>
      <w:r w:rsidR="00C24F72">
        <w:rPr>
          <w:szCs w:val="24"/>
        </w:rPr>
        <w:t>.  While Mr. Hill may believe that this investor behavior is counter-intuitive, it represents a trend in the capital markets</w:t>
      </w:r>
      <w:r>
        <w:rPr>
          <w:szCs w:val="24"/>
        </w:rPr>
        <w:t>.</w:t>
      </w:r>
      <w:r w:rsidR="00C24F72">
        <w:rPr>
          <w:szCs w:val="24"/>
        </w:rPr>
        <w:t xml:space="preserve">  I cite in my direct testimony several scholarly articles that arrive at the same finding with respect to </w:t>
      </w:r>
      <w:r w:rsidR="000F1E4A">
        <w:rPr>
          <w:szCs w:val="24"/>
        </w:rPr>
        <w:t xml:space="preserve">this </w:t>
      </w:r>
      <w:r w:rsidR="00C24F72">
        <w:rPr>
          <w:szCs w:val="24"/>
        </w:rPr>
        <w:t xml:space="preserve">relationship. </w:t>
      </w:r>
      <w:r>
        <w:rPr>
          <w:szCs w:val="24"/>
        </w:rPr>
        <w:t xml:space="preserve"> </w:t>
      </w:r>
    </w:p>
    <w:p w:rsidR="00EB35AC" w:rsidRPr="00384017" w:rsidRDefault="003105A0" w:rsidP="00B63E63">
      <w:pPr>
        <w:pStyle w:val="Heading1"/>
        <w:spacing w:after="0" w:line="480" w:lineRule="auto"/>
        <w:ind w:left="0"/>
      </w:pPr>
      <w:bookmarkStart w:id="26" w:name="_Toc355788477"/>
      <w:bookmarkStart w:id="27" w:name="_Toc403726960"/>
      <w:bookmarkEnd w:id="26"/>
      <w:r>
        <w:t xml:space="preserve">VII. </w:t>
      </w:r>
      <w:r w:rsidR="000A74D5">
        <w:t xml:space="preserve">  </w:t>
      </w:r>
      <w:r w:rsidR="00907275">
        <w:t>Corroboration of Cost of Equity Estimates</w:t>
      </w:r>
      <w:bookmarkEnd w:id="27"/>
    </w:p>
    <w:p w:rsidR="00EB35AC" w:rsidRPr="003105A0" w:rsidRDefault="00907275" w:rsidP="0061235F">
      <w:pPr>
        <w:pStyle w:val="Heading2"/>
        <w:numPr>
          <w:ilvl w:val="0"/>
          <w:numId w:val="0"/>
        </w:numPr>
        <w:tabs>
          <w:tab w:val="num" w:pos="720"/>
        </w:tabs>
        <w:spacing w:before="0" w:after="0" w:line="480" w:lineRule="auto"/>
        <w:ind w:left="720" w:hanging="720"/>
        <w:rPr>
          <w:sz w:val="24"/>
          <w:szCs w:val="24"/>
        </w:rPr>
      </w:pPr>
      <w:bookmarkStart w:id="28" w:name="_Toc403726961"/>
      <w:r w:rsidRPr="003105A0">
        <w:rPr>
          <w:sz w:val="24"/>
          <w:szCs w:val="24"/>
        </w:rPr>
        <w:t>Use of Pension Fund Returns</w:t>
      </w:r>
      <w:bookmarkEnd w:id="28"/>
    </w:p>
    <w:p w:rsidR="00422279" w:rsidRDefault="00422279" w:rsidP="0061235F">
      <w:pPr>
        <w:pStyle w:val="QAQuestion"/>
        <w:keepNext/>
        <w:tabs>
          <w:tab w:val="num" w:pos="720"/>
        </w:tabs>
        <w:spacing w:after="0" w:line="480" w:lineRule="auto"/>
        <w:ind w:left="720" w:hanging="720"/>
        <w:jc w:val="left"/>
        <w:rPr>
          <w:b/>
          <w:szCs w:val="24"/>
        </w:rPr>
      </w:pPr>
      <w:r>
        <w:rPr>
          <w:b/>
          <w:szCs w:val="24"/>
        </w:rPr>
        <w:t xml:space="preserve">Q. </w:t>
      </w:r>
      <w:r>
        <w:rPr>
          <w:b/>
          <w:szCs w:val="24"/>
        </w:rPr>
        <w:tab/>
        <w:t>Does Mr. Hill use expected pension fund returns as an alleged corroboration of his estimated ROE?</w:t>
      </w:r>
    </w:p>
    <w:p w:rsidR="00422279" w:rsidRDefault="00422279" w:rsidP="00422279">
      <w:pPr>
        <w:pStyle w:val="QAAnswer"/>
        <w:tabs>
          <w:tab w:val="num" w:pos="720"/>
        </w:tabs>
        <w:spacing w:after="0" w:line="480" w:lineRule="auto"/>
        <w:ind w:left="720" w:hanging="720"/>
        <w:jc w:val="left"/>
        <w:rPr>
          <w:szCs w:val="24"/>
        </w:rPr>
      </w:pPr>
      <w:r>
        <w:rPr>
          <w:szCs w:val="24"/>
        </w:rPr>
        <w:t>A.</w:t>
      </w:r>
      <w:r>
        <w:rPr>
          <w:szCs w:val="24"/>
        </w:rPr>
        <w:tab/>
        <w:t xml:space="preserve">Yes.  Mr. Hill relies upon the expected returns on certain index fund investments as a point of comparison for </w:t>
      </w:r>
      <w:r w:rsidR="00BF6DB5">
        <w:rPr>
          <w:szCs w:val="24"/>
        </w:rPr>
        <w:t>his ROE recommendation for Pacific Power</w:t>
      </w:r>
      <w:r>
        <w:rPr>
          <w:szCs w:val="24"/>
        </w:rPr>
        <w:t xml:space="preserve">.  These indices are </w:t>
      </w:r>
      <w:r w:rsidR="003F15C3">
        <w:rPr>
          <w:szCs w:val="24"/>
        </w:rPr>
        <w:t xml:space="preserve">not utility indices and do not provide a direct comparison. </w:t>
      </w:r>
      <w:r w:rsidR="00877852">
        <w:rPr>
          <w:szCs w:val="24"/>
        </w:rPr>
        <w:t xml:space="preserve"> Insofar as they might be u</w:t>
      </w:r>
      <w:r w:rsidR="005D7313">
        <w:rPr>
          <w:szCs w:val="24"/>
        </w:rPr>
        <w:t xml:space="preserve">sed to estimate a utility ROE—for </w:t>
      </w:r>
      <w:r w:rsidR="00877852">
        <w:rPr>
          <w:szCs w:val="24"/>
        </w:rPr>
        <w:t xml:space="preserve">example, by applying a utility beta to the </w:t>
      </w:r>
      <w:r w:rsidR="006A1247">
        <w:rPr>
          <w:szCs w:val="24"/>
        </w:rPr>
        <w:t xml:space="preserve">risk premium implied by the </w:t>
      </w:r>
      <w:r w:rsidR="005D7313">
        <w:rPr>
          <w:szCs w:val="24"/>
        </w:rPr>
        <w:t>expected market return—</w:t>
      </w:r>
      <w:r w:rsidR="00877852">
        <w:rPr>
          <w:szCs w:val="24"/>
        </w:rPr>
        <w:t>the</w:t>
      </w:r>
      <w:r w:rsidR="005D7313">
        <w:rPr>
          <w:szCs w:val="24"/>
        </w:rPr>
        <w:t xml:space="preserve"> </w:t>
      </w:r>
      <w:r w:rsidR="00877852">
        <w:rPr>
          <w:szCs w:val="24"/>
        </w:rPr>
        <w:t>results demonstrate that this benchmark falls outside of the zone of reasonableness.  The benchmark falls closer to the cost of debt than to the cost of equity</w:t>
      </w:r>
      <w:r w:rsidR="00C24F72">
        <w:rPr>
          <w:szCs w:val="24"/>
        </w:rPr>
        <w:t xml:space="preserve"> for an electric utility</w:t>
      </w:r>
      <w:r w:rsidR="006A1247">
        <w:rPr>
          <w:szCs w:val="24"/>
        </w:rPr>
        <w:t xml:space="preserve"> and </w:t>
      </w:r>
      <w:r w:rsidR="000F1E4A">
        <w:rPr>
          <w:szCs w:val="24"/>
        </w:rPr>
        <w:t xml:space="preserve">thus </w:t>
      </w:r>
      <w:r w:rsidR="006A1247">
        <w:rPr>
          <w:szCs w:val="24"/>
        </w:rPr>
        <w:t>is not realistic</w:t>
      </w:r>
      <w:r w:rsidR="0061235F">
        <w:rPr>
          <w:szCs w:val="24"/>
        </w:rPr>
        <w:t xml:space="preserve">.   See Confidential Exhibit No. </w:t>
      </w:r>
      <w:r w:rsidR="00877852">
        <w:rPr>
          <w:szCs w:val="24"/>
        </w:rPr>
        <w:t>KGS-</w:t>
      </w:r>
      <w:r w:rsidR="007C0561">
        <w:rPr>
          <w:szCs w:val="24"/>
        </w:rPr>
        <w:t>23C</w:t>
      </w:r>
      <w:r w:rsidR="00877852">
        <w:rPr>
          <w:szCs w:val="24"/>
        </w:rPr>
        <w:t xml:space="preserve">.  </w:t>
      </w:r>
    </w:p>
    <w:p w:rsidR="00877852" w:rsidRDefault="00877852" w:rsidP="00877852">
      <w:pPr>
        <w:pStyle w:val="QAQuestion"/>
        <w:keepNext/>
        <w:tabs>
          <w:tab w:val="num" w:pos="720"/>
        </w:tabs>
        <w:spacing w:after="0" w:line="480" w:lineRule="auto"/>
        <w:ind w:left="720" w:hanging="720"/>
        <w:jc w:val="left"/>
        <w:rPr>
          <w:b/>
          <w:szCs w:val="24"/>
        </w:rPr>
      </w:pPr>
      <w:r>
        <w:rPr>
          <w:b/>
          <w:szCs w:val="24"/>
        </w:rPr>
        <w:t xml:space="preserve">Q. </w:t>
      </w:r>
      <w:r>
        <w:rPr>
          <w:b/>
          <w:szCs w:val="24"/>
        </w:rPr>
        <w:tab/>
        <w:t>Does the use of expected pension fund returns have any basis in regulatory practice?</w:t>
      </w:r>
    </w:p>
    <w:p w:rsidR="006720CC" w:rsidRPr="00C40BF9" w:rsidRDefault="00877852" w:rsidP="00C40BF9">
      <w:pPr>
        <w:pStyle w:val="QAAnswer"/>
        <w:tabs>
          <w:tab w:val="num" w:pos="720"/>
        </w:tabs>
        <w:spacing w:after="0" w:line="480" w:lineRule="auto"/>
        <w:ind w:left="720" w:hanging="720"/>
        <w:jc w:val="left"/>
        <w:rPr>
          <w:szCs w:val="24"/>
        </w:rPr>
      </w:pPr>
      <w:r>
        <w:rPr>
          <w:szCs w:val="24"/>
        </w:rPr>
        <w:t>A.</w:t>
      </w:r>
      <w:r>
        <w:rPr>
          <w:szCs w:val="24"/>
        </w:rPr>
        <w:tab/>
        <w:t xml:space="preserve">No.  I am unaware of any regulatory authority that has relied upon this type of evidence when determining a just and reasonable rate of return for public utilities.  </w:t>
      </w:r>
    </w:p>
    <w:p w:rsidR="009362E2" w:rsidRPr="003105A0" w:rsidRDefault="009362E2" w:rsidP="009362E2">
      <w:pPr>
        <w:pStyle w:val="Heading2"/>
        <w:numPr>
          <w:ilvl w:val="0"/>
          <w:numId w:val="0"/>
        </w:numPr>
        <w:tabs>
          <w:tab w:val="num" w:pos="720"/>
        </w:tabs>
        <w:spacing w:before="0" w:after="0" w:line="480" w:lineRule="auto"/>
        <w:ind w:left="720" w:hanging="720"/>
        <w:rPr>
          <w:sz w:val="24"/>
          <w:szCs w:val="24"/>
        </w:rPr>
      </w:pPr>
      <w:bookmarkStart w:id="29" w:name="_Toc403726962"/>
      <w:r w:rsidRPr="003105A0">
        <w:rPr>
          <w:sz w:val="24"/>
          <w:szCs w:val="24"/>
        </w:rPr>
        <w:t>Allowed Returns</w:t>
      </w:r>
      <w:bookmarkEnd w:id="29"/>
    </w:p>
    <w:p w:rsidR="00682CC0" w:rsidRDefault="00682CC0" w:rsidP="00682CC0">
      <w:pPr>
        <w:pStyle w:val="QAQuestion"/>
        <w:keepNext/>
        <w:tabs>
          <w:tab w:val="num" w:pos="720"/>
        </w:tabs>
        <w:spacing w:after="0" w:line="480" w:lineRule="auto"/>
        <w:ind w:left="720" w:hanging="720"/>
        <w:jc w:val="left"/>
        <w:rPr>
          <w:b/>
          <w:szCs w:val="24"/>
        </w:rPr>
      </w:pPr>
      <w:r>
        <w:rPr>
          <w:b/>
          <w:szCs w:val="24"/>
        </w:rPr>
        <w:t xml:space="preserve">Q. </w:t>
      </w:r>
      <w:r>
        <w:rPr>
          <w:b/>
          <w:szCs w:val="24"/>
        </w:rPr>
        <w:tab/>
        <w:t xml:space="preserve">Can </w:t>
      </w:r>
      <w:r w:rsidR="00F52448">
        <w:rPr>
          <w:b/>
          <w:szCs w:val="24"/>
        </w:rPr>
        <w:t>ROEs</w:t>
      </w:r>
      <w:r>
        <w:rPr>
          <w:b/>
          <w:szCs w:val="24"/>
        </w:rPr>
        <w:t xml:space="preserve"> allowed by other state regulators serve to corroborate the estimated ROE?</w:t>
      </w:r>
    </w:p>
    <w:p w:rsidR="00682CC0" w:rsidRDefault="00682CC0" w:rsidP="00682CC0">
      <w:pPr>
        <w:pStyle w:val="QAAnswer"/>
        <w:tabs>
          <w:tab w:val="num" w:pos="720"/>
        </w:tabs>
        <w:spacing w:after="0" w:line="480" w:lineRule="auto"/>
        <w:ind w:left="720" w:hanging="720"/>
        <w:jc w:val="left"/>
        <w:rPr>
          <w:szCs w:val="24"/>
        </w:rPr>
      </w:pPr>
      <w:r>
        <w:rPr>
          <w:szCs w:val="24"/>
        </w:rPr>
        <w:t>A.</w:t>
      </w:r>
      <w:r>
        <w:rPr>
          <w:szCs w:val="24"/>
        </w:rPr>
        <w:tab/>
        <w:t>Yes.  State regulators make their findings as to a reasonable ROE based on the evidence presented to them in rate cases.  Their findings are thus based on a careful review of capital market data and the processing of such data using models like the DCF and CAPM</w:t>
      </w:r>
      <w:r w:rsidR="00877852">
        <w:rPr>
          <w:szCs w:val="24"/>
        </w:rPr>
        <w:t>, among others</w:t>
      </w:r>
      <w:r>
        <w:rPr>
          <w:szCs w:val="24"/>
        </w:rPr>
        <w:t xml:space="preserve">.  As such, allowed returns provide an important source of corroboration for the ROE estimates advanced by the parties.  Furthermore, as I explain in my direct testimony, the returns allowed by regulators help to shape investor expectations about the returns that their investments in the electric utilities sector will deliver.  </w:t>
      </w:r>
    </w:p>
    <w:p w:rsidR="00682CC0" w:rsidRDefault="00682CC0" w:rsidP="00682CC0">
      <w:pPr>
        <w:pStyle w:val="QAQuestion"/>
        <w:keepNext/>
        <w:tabs>
          <w:tab w:val="num" w:pos="720"/>
        </w:tabs>
        <w:spacing w:after="0" w:line="480" w:lineRule="auto"/>
        <w:ind w:left="720" w:hanging="720"/>
        <w:jc w:val="left"/>
        <w:rPr>
          <w:b/>
          <w:szCs w:val="24"/>
        </w:rPr>
      </w:pPr>
      <w:r>
        <w:rPr>
          <w:b/>
          <w:szCs w:val="24"/>
        </w:rPr>
        <w:t xml:space="preserve">Q. </w:t>
      </w:r>
      <w:r>
        <w:rPr>
          <w:b/>
          <w:szCs w:val="24"/>
        </w:rPr>
        <w:tab/>
        <w:t>How do the allowed returns compare to the ROE you recommend and those recommended by the other cost-of-capital experts?</w:t>
      </w:r>
    </w:p>
    <w:p w:rsidR="00EB35AC" w:rsidRPr="00384017" w:rsidRDefault="00682CC0" w:rsidP="00CC236A">
      <w:pPr>
        <w:pStyle w:val="QAAnswer"/>
        <w:tabs>
          <w:tab w:val="num" w:pos="720"/>
        </w:tabs>
        <w:spacing w:after="0" w:line="480" w:lineRule="auto"/>
        <w:ind w:left="720" w:hanging="720"/>
        <w:jc w:val="left"/>
        <w:rPr>
          <w:szCs w:val="24"/>
        </w:rPr>
      </w:pPr>
      <w:r>
        <w:rPr>
          <w:szCs w:val="24"/>
        </w:rPr>
        <w:t>A.</w:t>
      </w:r>
      <w:r>
        <w:rPr>
          <w:szCs w:val="24"/>
        </w:rPr>
        <w:tab/>
        <w:t xml:space="preserve">As shown in </w:t>
      </w:r>
      <w:r w:rsidR="00875553">
        <w:rPr>
          <w:szCs w:val="24"/>
        </w:rPr>
        <w:t>Exhibit No. KGS-19</w:t>
      </w:r>
      <w:r w:rsidRPr="00A36CB6">
        <w:rPr>
          <w:szCs w:val="24"/>
        </w:rPr>
        <w:t>,</w:t>
      </w:r>
      <w:r>
        <w:rPr>
          <w:szCs w:val="24"/>
        </w:rPr>
        <w:t xml:space="preserve"> the allowed returns demonstrate that the ROE of 10 percent that I recommend for establishing Pacific Power’s electric rates in Washington falls squarely within the zone of reasonableness.  That return level is consistent with the return levels granted by state regulators</w:t>
      </w:r>
      <w:r w:rsidR="00816A29">
        <w:rPr>
          <w:szCs w:val="24"/>
        </w:rPr>
        <w:t xml:space="preserve"> and below the returns granted by FERC</w:t>
      </w:r>
      <w:r>
        <w:rPr>
          <w:szCs w:val="24"/>
        </w:rPr>
        <w:t xml:space="preserve">.  In contrast, the experience from other regulatory proceedings </w:t>
      </w:r>
      <w:r w:rsidR="00F468A2">
        <w:rPr>
          <w:szCs w:val="24"/>
        </w:rPr>
        <w:t xml:space="preserve">does not </w:t>
      </w:r>
      <w:r>
        <w:rPr>
          <w:szCs w:val="24"/>
        </w:rPr>
        <w:t xml:space="preserve">support the ROE recommendations of Mr. Hill (8.9 percent), Mr. Parcell (9.0 percent) and Mr. Gorman (9.3 percent).  </w:t>
      </w:r>
      <w:r w:rsidR="00F468A2">
        <w:rPr>
          <w:szCs w:val="24"/>
        </w:rPr>
        <w:t xml:space="preserve">These ROE recommendations fall close to </w:t>
      </w:r>
      <w:r w:rsidR="00255BBE">
        <w:rPr>
          <w:szCs w:val="24"/>
        </w:rPr>
        <w:t>6</w:t>
      </w:r>
      <w:r w:rsidR="00F468A2">
        <w:rPr>
          <w:szCs w:val="24"/>
        </w:rPr>
        <w:t>0 to 1</w:t>
      </w:r>
      <w:r w:rsidR="00255BBE">
        <w:rPr>
          <w:szCs w:val="24"/>
        </w:rPr>
        <w:t>0</w:t>
      </w:r>
      <w:r w:rsidR="00F468A2">
        <w:rPr>
          <w:szCs w:val="24"/>
        </w:rPr>
        <w:t>0 basis points below the average award issued by state commissions in</w:t>
      </w:r>
      <w:r w:rsidR="00380776">
        <w:rPr>
          <w:szCs w:val="24"/>
        </w:rPr>
        <w:t xml:space="preserve"> </w:t>
      </w:r>
      <w:r w:rsidR="00F468A2">
        <w:rPr>
          <w:szCs w:val="24"/>
        </w:rPr>
        <w:t>forty-two</w:t>
      </w:r>
      <w:r w:rsidR="00380776">
        <w:rPr>
          <w:szCs w:val="24"/>
        </w:rPr>
        <w:t xml:space="preserve"> rate case</w:t>
      </w:r>
      <w:r w:rsidR="00F468A2">
        <w:rPr>
          <w:szCs w:val="24"/>
        </w:rPr>
        <w:t>s</w:t>
      </w:r>
      <w:r w:rsidR="00380776">
        <w:rPr>
          <w:szCs w:val="24"/>
        </w:rPr>
        <w:t xml:space="preserve"> </w:t>
      </w:r>
      <w:r w:rsidR="00F468A2">
        <w:rPr>
          <w:szCs w:val="24"/>
        </w:rPr>
        <w:t>during</w:t>
      </w:r>
      <w:r w:rsidR="00380776">
        <w:rPr>
          <w:szCs w:val="24"/>
        </w:rPr>
        <w:t xml:space="preserve"> 2013 </w:t>
      </w:r>
      <w:r w:rsidR="00F468A2">
        <w:rPr>
          <w:szCs w:val="24"/>
        </w:rPr>
        <w:t>or</w:t>
      </w:r>
      <w:r w:rsidR="00380776">
        <w:rPr>
          <w:szCs w:val="24"/>
        </w:rPr>
        <w:t xml:space="preserve"> 2014</w:t>
      </w:r>
      <w:r w:rsidR="00816A29">
        <w:rPr>
          <w:szCs w:val="24"/>
        </w:rPr>
        <w:t xml:space="preserve"> and close to 300 basis points below the returns granted to certain transmission operators by the FERC</w:t>
      </w:r>
      <w:r w:rsidR="00F468A2">
        <w:rPr>
          <w:szCs w:val="24"/>
        </w:rPr>
        <w:t xml:space="preserve">.  </w:t>
      </w:r>
      <w:r>
        <w:rPr>
          <w:szCs w:val="24"/>
        </w:rPr>
        <w:t>This underscores that my analysis provides a more reasonable view of the required return on equity for investments in utilities like Pacific Power.</w:t>
      </w:r>
    </w:p>
    <w:p w:rsidR="00EB35AC" w:rsidRPr="00384017" w:rsidRDefault="003105A0" w:rsidP="00CC236A">
      <w:pPr>
        <w:pStyle w:val="Heading1"/>
        <w:spacing w:after="0" w:line="480" w:lineRule="auto"/>
        <w:ind w:left="0"/>
      </w:pPr>
      <w:bookmarkStart w:id="30" w:name="_Toc384626553"/>
      <w:bookmarkStart w:id="31" w:name="_Toc384626573"/>
      <w:bookmarkStart w:id="32" w:name="_Toc384626615"/>
      <w:bookmarkStart w:id="33" w:name="_Toc403726963"/>
      <w:r>
        <w:t xml:space="preserve">VIII. </w:t>
      </w:r>
      <w:r w:rsidR="000A74D5">
        <w:t xml:space="preserve">  </w:t>
      </w:r>
      <w:r w:rsidR="007F5EDF" w:rsidRPr="00384017">
        <w:t>Business and Financial RISKs Relative TO the proxy Group</w:t>
      </w:r>
      <w:bookmarkEnd w:id="30"/>
      <w:bookmarkEnd w:id="31"/>
      <w:bookmarkEnd w:id="32"/>
      <w:bookmarkEnd w:id="33"/>
    </w:p>
    <w:p w:rsidR="00EB35AC" w:rsidRPr="00384017" w:rsidRDefault="007F5EDF" w:rsidP="00CC236A">
      <w:pPr>
        <w:pStyle w:val="QAQuestion"/>
        <w:keepNext/>
        <w:tabs>
          <w:tab w:val="num" w:pos="720"/>
        </w:tabs>
        <w:spacing w:after="0" w:line="480" w:lineRule="auto"/>
        <w:ind w:left="720" w:hanging="720"/>
        <w:jc w:val="left"/>
        <w:rPr>
          <w:b/>
          <w:szCs w:val="24"/>
        </w:rPr>
      </w:pPr>
      <w:r w:rsidRPr="00384017">
        <w:rPr>
          <w:b/>
          <w:szCs w:val="24"/>
        </w:rPr>
        <w:t>Q.</w:t>
      </w:r>
      <w:r w:rsidRPr="00384017">
        <w:rPr>
          <w:b/>
          <w:szCs w:val="24"/>
        </w:rPr>
        <w:tab/>
        <w:t>What is the purpose of this section of your testimony?</w:t>
      </w:r>
    </w:p>
    <w:p w:rsidR="00EB35AC" w:rsidRPr="00384017" w:rsidRDefault="007F5EDF" w:rsidP="00CC236A">
      <w:pPr>
        <w:pStyle w:val="QAAnswer"/>
        <w:tabs>
          <w:tab w:val="num" w:pos="720"/>
        </w:tabs>
        <w:spacing w:after="0" w:line="480" w:lineRule="auto"/>
        <w:ind w:left="720" w:hanging="720"/>
        <w:jc w:val="left"/>
        <w:rPr>
          <w:szCs w:val="24"/>
        </w:rPr>
      </w:pPr>
      <w:r w:rsidRPr="00384017">
        <w:rPr>
          <w:szCs w:val="24"/>
        </w:rPr>
        <w:t>A.</w:t>
      </w:r>
      <w:r w:rsidRPr="00384017">
        <w:rPr>
          <w:szCs w:val="24"/>
        </w:rPr>
        <w:tab/>
        <w:t xml:space="preserve">In this </w:t>
      </w:r>
      <w:r w:rsidR="00D738BC" w:rsidRPr="00384017">
        <w:rPr>
          <w:szCs w:val="24"/>
        </w:rPr>
        <w:t>s</w:t>
      </w:r>
      <w:r w:rsidRPr="00384017">
        <w:rPr>
          <w:szCs w:val="24"/>
        </w:rPr>
        <w:t xml:space="preserve">ection, I </w:t>
      </w:r>
      <w:r w:rsidR="0038384D">
        <w:rPr>
          <w:szCs w:val="24"/>
        </w:rPr>
        <w:t>summarize my response to Messrs. Parcell, Hill and Gorman</w:t>
      </w:r>
      <w:r w:rsidR="00671552">
        <w:rPr>
          <w:szCs w:val="24"/>
        </w:rPr>
        <w:t xml:space="preserve"> with respect to PacifiCorp’s business and financial risk relative to the Proxy Group and industry</w:t>
      </w:r>
      <w:r w:rsidRPr="00384017">
        <w:rPr>
          <w:szCs w:val="24"/>
        </w:rPr>
        <w:t>.</w:t>
      </w:r>
      <w:r w:rsidR="006D04D3">
        <w:rPr>
          <w:szCs w:val="24"/>
        </w:rPr>
        <w:t xml:space="preserve">  These witnesses allege that PacifiCorp, and by implication its regulated operations in Washington, is less risky than the Proxy Group. </w:t>
      </w:r>
    </w:p>
    <w:p w:rsidR="00EB35AC" w:rsidRPr="00384017" w:rsidRDefault="007F5EDF" w:rsidP="00CC236A">
      <w:pPr>
        <w:pStyle w:val="QAQuestion"/>
        <w:keepNext/>
        <w:tabs>
          <w:tab w:val="num" w:pos="720"/>
        </w:tabs>
        <w:spacing w:after="0" w:line="480" w:lineRule="auto"/>
        <w:ind w:left="720" w:hanging="720"/>
        <w:jc w:val="left"/>
        <w:rPr>
          <w:b/>
          <w:szCs w:val="24"/>
        </w:rPr>
      </w:pPr>
      <w:r w:rsidRPr="00384017">
        <w:rPr>
          <w:b/>
          <w:szCs w:val="24"/>
        </w:rPr>
        <w:t>Q.</w:t>
      </w:r>
      <w:r w:rsidRPr="00384017">
        <w:rPr>
          <w:b/>
          <w:szCs w:val="24"/>
        </w:rPr>
        <w:tab/>
        <w:t>What are the basic types of business risks applicable to electric utilities?</w:t>
      </w:r>
    </w:p>
    <w:p w:rsidR="00EB35AC" w:rsidRPr="00384017" w:rsidRDefault="007F5EDF" w:rsidP="00CC236A">
      <w:pPr>
        <w:pStyle w:val="QAAnswer"/>
        <w:tabs>
          <w:tab w:val="num" w:pos="720"/>
        </w:tabs>
        <w:spacing w:after="0" w:line="480" w:lineRule="auto"/>
        <w:ind w:left="720" w:hanging="720"/>
        <w:jc w:val="left"/>
        <w:rPr>
          <w:szCs w:val="24"/>
        </w:rPr>
      </w:pPr>
      <w:r w:rsidRPr="00384017">
        <w:rPr>
          <w:szCs w:val="24"/>
        </w:rPr>
        <w:t>A.</w:t>
      </w:r>
      <w:r w:rsidRPr="00384017">
        <w:rPr>
          <w:szCs w:val="24"/>
        </w:rPr>
        <w:tab/>
      </w:r>
      <w:bookmarkStart w:id="34" w:name="_Toc37417593"/>
      <w:r w:rsidR="00671552">
        <w:rPr>
          <w:szCs w:val="24"/>
        </w:rPr>
        <w:t xml:space="preserve">My direct </w:t>
      </w:r>
      <w:r w:rsidR="009362E2">
        <w:rPr>
          <w:szCs w:val="24"/>
        </w:rPr>
        <w:t xml:space="preserve">testimony summarizes the risks </w:t>
      </w:r>
      <w:r w:rsidR="00701C29">
        <w:rPr>
          <w:szCs w:val="24"/>
        </w:rPr>
        <w:t xml:space="preserve">faced by </w:t>
      </w:r>
      <w:r w:rsidRPr="00384017">
        <w:rPr>
          <w:szCs w:val="24"/>
        </w:rPr>
        <w:t xml:space="preserve">Companies engaged in the generation, distribution and sale of electric power at retail.  </w:t>
      </w:r>
      <w:r w:rsidR="00214F45">
        <w:rPr>
          <w:szCs w:val="24"/>
        </w:rPr>
        <w:t xml:space="preserve">Since </w:t>
      </w:r>
      <w:r w:rsidR="009362E2">
        <w:rPr>
          <w:szCs w:val="24"/>
        </w:rPr>
        <w:t>I filed my direct testimony</w:t>
      </w:r>
      <w:r w:rsidR="00214F45">
        <w:rPr>
          <w:szCs w:val="24"/>
        </w:rPr>
        <w:t>,</w:t>
      </w:r>
      <w:r w:rsidR="009362E2">
        <w:rPr>
          <w:szCs w:val="24"/>
        </w:rPr>
        <w:t xml:space="preserve"> the Environmental Protection A</w:t>
      </w:r>
      <w:r w:rsidR="00701C29">
        <w:rPr>
          <w:szCs w:val="24"/>
        </w:rPr>
        <w:t>gency (EPA)</w:t>
      </w:r>
      <w:r w:rsidR="009362E2">
        <w:rPr>
          <w:szCs w:val="24"/>
        </w:rPr>
        <w:t xml:space="preserve"> released</w:t>
      </w:r>
      <w:r w:rsidR="00214F45">
        <w:rPr>
          <w:szCs w:val="24"/>
        </w:rPr>
        <w:t>, on June 2, 2014,</w:t>
      </w:r>
      <w:r w:rsidR="009362E2">
        <w:rPr>
          <w:szCs w:val="24"/>
        </w:rPr>
        <w:t xml:space="preserve"> its Clean Power Plan Proposal, which seeks to regulate greenhouse gas emissions from existing generation plants</w:t>
      </w:r>
      <w:r w:rsidR="00214F45">
        <w:rPr>
          <w:szCs w:val="24"/>
        </w:rPr>
        <w:t xml:space="preserve"> under Section 111(d) of the Clean Air Act</w:t>
      </w:r>
      <w:r w:rsidR="009362E2">
        <w:rPr>
          <w:szCs w:val="24"/>
        </w:rPr>
        <w:t xml:space="preserve">.  </w:t>
      </w:r>
      <w:r w:rsidR="00214F45">
        <w:rPr>
          <w:szCs w:val="24"/>
        </w:rPr>
        <w:t>T</w:t>
      </w:r>
      <w:r w:rsidR="009362E2">
        <w:rPr>
          <w:szCs w:val="24"/>
        </w:rPr>
        <w:t xml:space="preserve">his </w:t>
      </w:r>
      <w:r w:rsidR="00214F45">
        <w:rPr>
          <w:szCs w:val="24"/>
        </w:rPr>
        <w:t>plan, as proposed, will reduce CO</w:t>
      </w:r>
      <w:r w:rsidR="00214F45" w:rsidRPr="00214F45">
        <w:rPr>
          <w:szCs w:val="24"/>
          <w:vertAlign w:val="subscript"/>
        </w:rPr>
        <w:t>2</w:t>
      </w:r>
      <w:r w:rsidR="00214F45">
        <w:rPr>
          <w:szCs w:val="24"/>
        </w:rPr>
        <w:t xml:space="preserve"> emissions to 30</w:t>
      </w:r>
      <w:r w:rsidR="00752BF7">
        <w:rPr>
          <w:szCs w:val="24"/>
        </w:rPr>
        <w:t xml:space="preserve"> percent</w:t>
      </w:r>
      <w:r w:rsidR="00214F45">
        <w:rPr>
          <w:szCs w:val="24"/>
        </w:rPr>
        <w:t xml:space="preserve"> below 2005 levels by 2030.  It will require a shift in the fuel mix so that coal-fired generation has an increasingly less important role in supplying energy to regional electric markets.  </w:t>
      </w:r>
      <w:r w:rsidR="00701C29">
        <w:rPr>
          <w:szCs w:val="24"/>
        </w:rPr>
        <w:t xml:space="preserve">The EPA </w:t>
      </w:r>
      <w:r w:rsidR="00214F45">
        <w:rPr>
          <w:szCs w:val="24"/>
        </w:rPr>
        <w:t>anticipate</w:t>
      </w:r>
      <w:r w:rsidR="00701C29">
        <w:rPr>
          <w:szCs w:val="24"/>
        </w:rPr>
        <w:t>s</w:t>
      </w:r>
      <w:r w:rsidR="00214F45">
        <w:rPr>
          <w:szCs w:val="24"/>
        </w:rPr>
        <w:t xml:space="preserve"> that </w:t>
      </w:r>
      <w:r w:rsidR="00701C29">
        <w:rPr>
          <w:szCs w:val="24"/>
        </w:rPr>
        <w:t xml:space="preserve">increased </w:t>
      </w:r>
      <w:r w:rsidR="00214F45">
        <w:rPr>
          <w:szCs w:val="24"/>
        </w:rPr>
        <w:t>natural gas generation</w:t>
      </w:r>
      <w:r w:rsidR="00701C29">
        <w:rPr>
          <w:szCs w:val="24"/>
        </w:rPr>
        <w:t xml:space="preserve">, renewables and energy efficiency </w:t>
      </w:r>
      <w:r w:rsidR="00214F45">
        <w:rPr>
          <w:szCs w:val="24"/>
        </w:rPr>
        <w:t>will fill the void left by reduction</w:t>
      </w:r>
      <w:r w:rsidR="00701C29">
        <w:rPr>
          <w:szCs w:val="24"/>
        </w:rPr>
        <w:t>s</w:t>
      </w:r>
      <w:r w:rsidR="00214F45">
        <w:rPr>
          <w:szCs w:val="24"/>
        </w:rPr>
        <w:t xml:space="preserve"> in base load coal-fired generation. </w:t>
      </w:r>
    </w:p>
    <w:p w:rsidR="00214F45" w:rsidRDefault="00214F45" w:rsidP="00F06E3E">
      <w:pPr>
        <w:pStyle w:val="QAQuestion"/>
        <w:keepNext/>
        <w:tabs>
          <w:tab w:val="num" w:pos="720"/>
        </w:tabs>
        <w:spacing w:after="0" w:line="480" w:lineRule="auto"/>
        <w:ind w:left="720" w:hanging="720"/>
        <w:jc w:val="left"/>
        <w:rPr>
          <w:b/>
          <w:szCs w:val="24"/>
        </w:rPr>
      </w:pPr>
      <w:bookmarkStart w:id="35" w:name="_Toc99790338"/>
      <w:bookmarkStart w:id="36" w:name="_Toc99790491"/>
      <w:bookmarkStart w:id="37" w:name="_Toc99788635"/>
      <w:bookmarkStart w:id="38" w:name="_Toc99790341"/>
      <w:bookmarkStart w:id="39" w:name="_Toc99790494"/>
      <w:bookmarkEnd w:id="34"/>
      <w:bookmarkEnd w:id="35"/>
      <w:bookmarkEnd w:id="36"/>
      <w:bookmarkEnd w:id="37"/>
      <w:bookmarkEnd w:id="38"/>
      <w:bookmarkEnd w:id="39"/>
      <w:r w:rsidRPr="00384017">
        <w:rPr>
          <w:b/>
          <w:szCs w:val="24"/>
        </w:rPr>
        <w:t>Q.</w:t>
      </w:r>
      <w:r w:rsidRPr="00384017">
        <w:rPr>
          <w:b/>
          <w:szCs w:val="24"/>
        </w:rPr>
        <w:tab/>
      </w:r>
      <w:r>
        <w:rPr>
          <w:b/>
          <w:szCs w:val="24"/>
        </w:rPr>
        <w:t>How does th</w:t>
      </w:r>
      <w:r w:rsidR="00701C29">
        <w:rPr>
          <w:b/>
          <w:szCs w:val="24"/>
        </w:rPr>
        <w:t xml:space="preserve">e </w:t>
      </w:r>
      <w:r w:rsidR="00701C29" w:rsidRPr="00701C29">
        <w:rPr>
          <w:b/>
          <w:szCs w:val="24"/>
        </w:rPr>
        <w:t>Clean Power Plan</w:t>
      </w:r>
      <w:r>
        <w:rPr>
          <w:b/>
          <w:szCs w:val="24"/>
        </w:rPr>
        <w:t xml:space="preserve"> affect the risks to </w:t>
      </w:r>
      <w:r w:rsidR="00701C29">
        <w:rPr>
          <w:b/>
          <w:szCs w:val="24"/>
        </w:rPr>
        <w:t>investors in the utilities sector</w:t>
      </w:r>
      <w:r w:rsidRPr="00384017">
        <w:rPr>
          <w:b/>
          <w:szCs w:val="24"/>
        </w:rPr>
        <w:t>?</w:t>
      </w:r>
    </w:p>
    <w:p w:rsidR="00EB5B68" w:rsidRDefault="00214F45" w:rsidP="00F06E3E">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A4255C">
        <w:rPr>
          <w:szCs w:val="24"/>
        </w:rPr>
        <w:t>While the EPA has not yet issued its final rule, and is not scheduled to do so until June 2015, investor perceptions of this new rule are that it will increase risks for utilities that are heavily dependent on coal-fired generation, particularly those that do not have or are unable to obtain explicit recovery mechanisms for asset retirements and incremental generation dispatch costs</w:t>
      </w:r>
      <w:r w:rsidR="006D04D3">
        <w:rPr>
          <w:szCs w:val="24"/>
        </w:rPr>
        <w:t xml:space="preserve"> (</w:t>
      </w:r>
      <w:r w:rsidR="006D04D3" w:rsidRPr="006D04D3">
        <w:rPr>
          <w:i/>
          <w:szCs w:val="24"/>
        </w:rPr>
        <w:t>e.g.</w:t>
      </w:r>
      <w:r w:rsidR="006D04D3">
        <w:rPr>
          <w:szCs w:val="24"/>
        </w:rPr>
        <w:t>, in the absence of a fuel adjustment clause)</w:t>
      </w:r>
      <w:r w:rsidR="00A4255C">
        <w:rPr>
          <w:szCs w:val="24"/>
        </w:rPr>
        <w:t xml:space="preserve">.  </w:t>
      </w:r>
      <w:r w:rsidR="00402477">
        <w:rPr>
          <w:szCs w:val="24"/>
        </w:rPr>
        <w:t xml:space="preserve">In this sense, it underscores the need for a regulatory framework that is flexible and </w:t>
      </w:r>
      <w:r w:rsidR="00EB5B68">
        <w:rPr>
          <w:szCs w:val="24"/>
        </w:rPr>
        <w:t xml:space="preserve">makes a priority of </w:t>
      </w:r>
      <w:r w:rsidR="00402477">
        <w:rPr>
          <w:szCs w:val="24"/>
        </w:rPr>
        <w:t>preserv</w:t>
      </w:r>
      <w:r w:rsidR="00EB5B68">
        <w:rPr>
          <w:szCs w:val="24"/>
        </w:rPr>
        <w:t>ing</w:t>
      </w:r>
      <w:r w:rsidR="00402477">
        <w:rPr>
          <w:szCs w:val="24"/>
        </w:rPr>
        <w:t xml:space="preserve"> the financial strength of incumbent utilities </w:t>
      </w:r>
      <w:r w:rsidR="007B74CA">
        <w:rPr>
          <w:szCs w:val="24"/>
        </w:rPr>
        <w:t xml:space="preserve">which </w:t>
      </w:r>
      <w:r w:rsidR="00402477">
        <w:rPr>
          <w:szCs w:val="24"/>
        </w:rPr>
        <w:t xml:space="preserve">need that strength to be able to facilitate the transition to cleaner fuels.  </w:t>
      </w:r>
      <w:r w:rsidR="00EB5B68">
        <w:rPr>
          <w:szCs w:val="24"/>
        </w:rPr>
        <w:t xml:space="preserve">Financial strength is essential if incumbent utilities are to continue to contract with independent power producers who rely on the credit of the offtaker to secure financing.  It is essential to enable the construction of new utility-owned facilities. </w:t>
      </w:r>
    </w:p>
    <w:p w:rsidR="0011543F" w:rsidRDefault="00EB5B68" w:rsidP="00F06E3E">
      <w:pPr>
        <w:pStyle w:val="QAAnswer"/>
        <w:tabs>
          <w:tab w:val="num" w:pos="720"/>
        </w:tabs>
        <w:spacing w:after="0" w:line="480" w:lineRule="auto"/>
        <w:ind w:left="720" w:hanging="720"/>
        <w:jc w:val="left"/>
        <w:rPr>
          <w:szCs w:val="24"/>
        </w:rPr>
      </w:pPr>
      <w:r>
        <w:rPr>
          <w:szCs w:val="24"/>
        </w:rPr>
        <w:tab/>
      </w:r>
      <w:r w:rsidR="00A4255C" w:rsidRPr="0011543F">
        <w:rPr>
          <w:szCs w:val="24"/>
        </w:rPr>
        <w:t xml:space="preserve">For </w:t>
      </w:r>
      <w:r w:rsidR="00A4255C">
        <w:rPr>
          <w:szCs w:val="24"/>
        </w:rPr>
        <w:t>its part</w:t>
      </w:r>
      <w:r w:rsidR="00A4255C" w:rsidRPr="0011543F">
        <w:rPr>
          <w:szCs w:val="24"/>
        </w:rPr>
        <w:t>, S</w:t>
      </w:r>
      <w:r w:rsidR="00752BF7">
        <w:rPr>
          <w:szCs w:val="24"/>
        </w:rPr>
        <w:t>&amp;P</w:t>
      </w:r>
      <w:r w:rsidR="00A4255C" w:rsidRPr="0011543F">
        <w:rPr>
          <w:szCs w:val="24"/>
        </w:rPr>
        <w:t xml:space="preserve"> note</w:t>
      </w:r>
      <w:r w:rsidR="00A4255C">
        <w:rPr>
          <w:szCs w:val="24"/>
        </w:rPr>
        <w:t>d at the time the Clean Power Plan was released</w:t>
      </w:r>
      <w:r w:rsidR="00F52448">
        <w:rPr>
          <w:szCs w:val="24"/>
        </w:rPr>
        <w:t xml:space="preserve"> that</w:t>
      </w:r>
      <w:r w:rsidR="00A4255C" w:rsidRPr="0011543F">
        <w:rPr>
          <w:szCs w:val="24"/>
        </w:rPr>
        <w:t>: “For some regulated utilities, credit quality could suffer marginally if they are unable to fully recover investments and incremental operating costs.”</w:t>
      </w:r>
      <w:r w:rsidR="00A4255C">
        <w:rPr>
          <w:rStyle w:val="FootnoteReference"/>
          <w:szCs w:val="24"/>
        </w:rPr>
        <w:footnoteReference w:id="44"/>
      </w:r>
      <w:r w:rsidR="00A4255C">
        <w:rPr>
          <w:szCs w:val="24"/>
        </w:rPr>
        <w:t xml:space="preserve">   Equity analysts share the same view of risks as they could materialize for equity investors</w:t>
      </w:r>
      <w:r w:rsidR="0021705D">
        <w:rPr>
          <w:szCs w:val="24"/>
        </w:rPr>
        <w:t>.  For example, Barclays notes</w:t>
      </w:r>
      <w:r w:rsidR="0021705D" w:rsidRPr="0021705D">
        <w:rPr>
          <w:szCs w:val="24"/>
        </w:rPr>
        <w:t xml:space="preserve"> </w:t>
      </w:r>
      <w:r w:rsidR="0021705D">
        <w:rPr>
          <w:szCs w:val="24"/>
        </w:rPr>
        <w:t>in its Power &amp; Utilities Energy Conference Review: “</w:t>
      </w:r>
      <w:r w:rsidR="0021705D" w:rsidRPr="0021705D">
        <w:rPr>
          <w:bCs/>
          <w:szCs w:val="24"/>
          <w:u w:val="single"/>
        </w:rPr>
        <w:t>The negatives included uncertainty around 111(d)</w:t>
      </w:r>
      <w:r w:rsidR="0021705D">
        <w:rPr>
          <w:bCs/>
          <w:szCs w:val="24"/>
        </w:rPr>
        <w:t>.</w:t>
      </w:r>
      <w:r w:rsidR="0021705D">
        <w:rPr>
          <w:b/>
          <w:bCs/>
          <w:szCs w:val="24"/>
        </w:rPr>
        <w:t>”</w:t>
      </w:r>
      <w:r w:rsidR="000400EF" w:rsidRPr="007C1C30">
        <w:rPr>
          <w:rStyle w:val="FootnoteReference"/>
          <w:bCs/>
          <w:szCs w:val="24"/>
        </w:rPr>
        <w:footnoteReference w:id="45"/>
      </w:r>
      <w:r w:rsidR="0021705D">
        <w:rPr>
          <w:b/>
          <w:bCs/>
          <w:szCs w:val="24"/>
        </w:rPr>
        <w:t xml:space="preserve">  </w:t>
      </w:r>
      <w:r w:rsidR="0021705D">
        <w:rPr>
          <w:szCs w:val="24"/>
        </w:rPr>
        <w:t>Barclays goes on to summarize investor</w:t>
      </w:r>
      <w:r w:rsidR="006D04D3">
        <w:rPr>
          <w:szCs w:val="24"/>
        </w:rPr>
        <w:t xml:space="preserve"> sentiment: “</w:t>
      </w:r>
      <w:r w:rsidR="006D04D3" w:rsidRPr="006D04D3">
        <w:rPr>
          <w:szCs w:val="24"/>
          <w:u w:val="single"/>
        </w:rPr>
        <w:t>Key areas of uncertainty were 111(d)</w:t>
      </w:r>
      <w:r w:rsidR="006D04D3">
        <w:rPr>
          <w:szCs w:val="24"/>
        </w:rPr>
        <w:t xml:space="preserve">, </w:t>
      </w:r>
      <w:r w:rsidR="006D04D3" w:rsidRPr="006D04D3">
        <w:rPr>
          <w:szCs w:val="24"/>
        </w:rPr>
        <w:t>weak regulated sales in part due to energy</w:t>
      </w:r>
      <w:r w:rsidR="006D04D3">
        <w:rPr>
          <w:szCs w:val="24"/>
        </w:rPr>
        <w:t xml:space="preserve"> </w:t>
      </w:r>
      <w:r w:rsidR="006D04D3" w:rsidRPr="006D04D3">
        <w:rPr>
          <w:szCs w:val="24"/>
        </w:rPr>
        <w:t>efficiency and the impact of elections on regulation particularly in Florida and</w:t>
      </w:r>
      <w:r w:rsidR="006D04D3">
        <w:rPr>
          <w:szCs w:val="24"/>
        </w:rPr>
        <w:t xml:space="preserve"> </w:t>
      </w:r>
      <w:r w:rsidR="006D04D3" w:rsidRPr="006D04D3">
        <w:rPr>
          <w:szCs w:val="24"/>
        </w:rPr>
        <w:t>Massachusetts.</w:t>
      </w:r>
      <w:r w:rsidR="006D04D3">
        <w:rPr>
          <w:szCs w:val="24"/>
        </w:rPr>
        <w:t>”</w:t>
      </w:r>
      <w:r w:rsidR="000400EF">
        <w:rPr>
          <w:rStyle w:val="FootnoteReference"/>
          <w:szCs w:val="24"/>
        </w:rPr>
        <w:footnoteReference w:id="46"/>
      </w:r>
      <w:r w:rsidR="0021705D">
        <w:rPr>
          <w:szCs w:val="24"/>
        </w:rPr>
        <w:t xml:space="preserve">  </w:t>
      </w:r>
    </w:p>
    <w:p w:rsidR="00A4255C" w:rsidRDefault="00A4255C" w:rsidP="00CC236A">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Pr>
          <w:b/>
          <w:szCs w:val="24"/>
        </w:rPr>
        <w:t>Have you compared the share of coal-fired generation within the PacifiCorp generation fleet to the typical share for the industry and for</w:t>
      </w:r>
      <w:r w:rsidRPr="00384017">
        <w:rPr>
          <w:b/>
          <w:szCs w:val="24"/>
        </w:rPr>
        <w:t xml:space="preserve"> the </w:t>
      </w:r>
      <w:r>
        <w:rPr>
          <w:b/>
          <w:szCs w:val="24"/>
        </w:rPr>
        <w:t>P</w:t>
      </w:r>
      <w:r w:rsidRPr="00384017">
        <w:rPr>
          <w:b/>
          <w:szCs w:val="24"/>
        </w:rPr>
        <w:t xml:space="preserve">roxy </w:t>
      </w:r>
      <w:r>
        <w:rPr>
          <w:b/>
          <w:szCs w:val="24"/>
        </w:rPr>
        <w:t>G</w:t>
      </w:r>
      <w:r w:rsidRPr="00384017">
        <w:rPr>
          <w:b/>
          <w:szCs w:val="24"/>
        </w:rPr>
        <w:t xml:space="preserve">roup companies? </w:t>
      </w:r>
    </w:p>
    <w:p w:rsidR="00A4255C" w:rsidRDefault="00A4255C" w:rsidP="0051265E">
      <w:pPr>
        <w:pStyle w:val="QAAnswer"/>
        <w:tabs>
          <w:tab w:val="num" w:pos="720"/>
        </w:tabs>
        <w:spacing w:after="0" w:line="480" w:lineRule="auto"/>
        <w:ind w:left="720" w:hanging="720"/>
        <w:jc w:val="left"/>
      </w:pPr>
      <w:r w:rsidRPr="00384017">
        <w:rPr>
          <w:szCs w:val="24"/>
        </w:rPr>
        <w:t>A.</w:t>
      </w:r>
      <w:r w:rsidRPr="00384017">
        <w:rPr>
          <w:szCs w:val="24"/>
        </w:rPr>
        <w:tab/>
      </w:r>
      <w:r>
        <w:t>Yes</w:t>
      </w:r>
      <w:r w:rsidR="00F52448">
        <w:t xml:space="preserve">. </w:t>
      </w:r>
      <w:r w:rsidR="00CC236A">
        <w:t xml:space="preserve"> Exhibit </w:t>
      </w:r>
      <w:r w:rsidR="0061235F">
        <w:t xml:space="preserve">No. </w:t>
      </w:r>
      <w:r>
        <w:t>KGS</w:t>
      </w:r>
      <w:r w:rsidR="00C47EA1">
        <w:t xml:space="preserve">-25 </w:t>
      </w:r>
      <w:r>
        <w:t xml:space="preserve">presents this comparison.  </w:t>
      </w:r>
      <w:r w:rsidR="005A39E9">
        <w:t xml:space="preserve">This exhibit demonstrates that PacifiCorp has more </w:t>
      </w:r>
      <w:r w:rsidR="00EF435D">
        <w:t>coal-fired generation</w:t>
      </w:r>
      <w:r w:rsidR="005A39E9">
        <w:t xml:space="preserve"> than the average </w:t>
      </w:r>
      <w:r w:rsidR="00C47EA1">
        <w:t xml:space="preserve">Rebuttal </w:t>
      </w:r>
      <w:r w:rsidR="005A39E9">
        <w:t xml:space="preserve">Proxy Group company or the average company in the industry.  </w:t>
      </w:r>
      <w:r w:rsidR="00825624" w:rsidRPr="00825624">
        <w:t xml:space="preserve"> </w:t>
      </w:r>
      <w:r w:rsidR="00825624">
        <w:t>As I illustrate in Table 3 below, this is true when measured both on a capacity</w:t>
      </w:r>
      <w:r w:rsidR="006A1247">
        <w:t xml:space="preserve"> </w:t>
      </w:r>
      <w:r w:rsidR="00825624">
        <w:t>basis and on an energy</w:t>
      </w:r>
      <w:r w:rsidR="006A1247">
        <w:t xml:space="preserve"> </w:t>
      </w:r>
      <w:r w:rsidR="00825624">
        <w:t xml:space="preserve">basis.  </w:t>
      </w:r>
      <w:r w:rsidR="000C300D">
        <w:t xml:space="preserve"> </w:t>
      </w:r>
    </w:p>
    <w:p w:rsidR="00C47EA1" w:rsidRPr="0052039F" w:rsidRDefault="00C47EA1" w:rsidP="0061235F">
      <w:pPr>
        <w:suppressLineNumbers/>
        <w:tabs>
          <w:tab w:val="left" w:pos="720"/>
          <w:tab w:val="left" w:pos="1440"/>
        </w:tabs>
        <w:ind w:left="1440" w:right="288" w:hanging="1440"/>
        <w:jc w:val="center"/>
        <w:rPr>
          <w:b/>
          <w:szCs w:val="24"/>
        </w:rPr>
      </w:pPr>
      <w:r w:rsidRPr="0052039F">
        <w:rPr>
          <w:b/>
          <w:szCs w:val="24"/>
        </w:rPr>
        <w:t xml:space="preserve">Table </w:t>
      </w:r>
      <w:r>
        <w:rPr>
          <w:b/>
          <w:szCs w:val="24"/>
        </w:rPr>
        <w:t>3</w:t>
      </w:r>
    </w:p>
    <w:p w:rsidR="00C47EA1" w:rsidRDefault="00C47EA1" w:rsidP="00B63E63">
      <w:pPr>
        <w:suppressLineNumbers/>
        <w:ind w:right="288"/>
        <w:jc w:val="center"/>
        <w:rPr>
          <w:b/>
          <w:szCs w:val="24"/>
        </w:rPr>
      </w:pPr>
      <w:r>
        <w:rPr>
          <w:b/>
          <w:szCs w:val="24"/>
        </w:rPr>
        <w:t>Comparison of Coal-fired Generation Capacity and Energy Production</w:t>
      </w:r>
    </w:p>
    <w:p w:rsidR="00C47EA1" w:rsidRDefault="00C47EA1" w:rsidP="0061235F">
      <w:pPr>
        <w:suppressLineNumbers/>
        <w:tabs>
          <w:tab w:val="left" w:pos="720"/>
          <w:tab w:val="left" w:pos="1440"/>
        </w:tabs>
        <w:ind w:left="1440" w:right="288" w:hanging="1440"/>
        <w:jc w:val="center"/>
        <w:rPr>
          <w:b/>
          <w:szCs w:val="24"/>
        </w:rPr>
      </w:pPr>
    </w:p>
    <w:tbl>
      <w:tblPr>
        <w:tblStyle w:val="TableGrid"/>
        <w:tblW w:w="0" w:type="auto"/>
        <w:jc w:val="center"/>
        <w:tblInd w:w="1098" w:type="dxa"/>
        <w:tblLook w:val="04A0" w:firstRow="1" w:lastRow="0" w:firstColumn="1" w:lastColumn="0" w:noHBand="0" w:noVBand="1"/>
      </w:tblPr>
      <w:tblGrid>
        <w:gridCol w:w="2209"/>
        <w:gridCol w:w="2051"/>
        <w:gridCol w:w="2129"/>
      </w:tblGrid>
      <w:tr w:rsidR="00C47EA1" w:rsidTr="00B63E63">
        <w:trPr>
          <w:jc w:val="center"/>
        </w:trPr>
        <w:tc>
          <w:tcPr>
            <w:tcW w:w="2209" w:type="dxa"/>
          </w:tcPr>
          <w:p w:rsidR="00C47EA1" w:rsidRDefault="00C47EA1" w:rsidP="0061235F">
            <w:pPr>
              <w:tabs>
                <w:tab w:val="left" w:pos="720"/>
                <w:tab w:val="left" w:pos="1440"/>
              </w:tabs>
              <w:ind w:right="288"/>
              <w:jc w:val="center"/>
              <w:rPr>
                <w:b/>
                <w:szCs w:val="24"/>
              </w:rPr>
            </w:pPr>
          </w:p>
        </w:tc>
        <w:tc>
          <w:tcPr>
            <w:tcW w:w="2051" w:type="dxa"/>
          </w:tcPr>
          <w:p w:rsidR="00C47EA1" w:rsidRDefault="00C47EA1" w:rsidP="0061235F">
            <w:pPr>
              <w:tabs>
                <w:tab w:val="left" w:pos="720"/>
                <w:tab w:val="left" w:pos="1440"/>
              </w:tabs>
              <w:ind w:right="288"/>
              <w:jc w:val="center"/>
              <w:rPr>
                <w:b/>
                <w:szCs w:val="24"/>
              </w:rPr>
            </w:pPr>
            <w:r>
              <w:rPr>
                <w:b/>
                <w:szCs w:val="24"/>
              </w:rPr>
              <w:t>Percent Coal Based on Operating Capacity (MW)</w:t>
            </w:r>
          </w:p>
        </w:tc>
        <w:tc>
          <w:tcPr>
            <w:tcW w:w="2129" w:type="dxa"/>
          </w:tcPr>
          <w:p w:rsidR="00C47EA1" w:rsidRDefault="00C47EA1" w:rsidP="0061235F">
            <w:pPr>
              <w:tabs>
                <w:tab w:val="left" w:pos="720"/>
                <w:tab w:val="left" w:pos="1440"/>
              </w:tabs>
              <w:ind w:right="288"/>
              <w:jc w:val="center"/>
              <w:rPr>
                <w:b/>
                <w:szCs w:val="24"/>
              </w:rPr>
            </w:pPr>
            <w:r>
              <w:rPr>
                <w:b/>
                <w:szCs w:val="24"/>
              </w:rPr>
              <w:t xml:space="preserve">Percent Coal </w:t>
            </w:r>
            <w:r>
              <w:rPr>
                <w:b/>
                <w:bCs/>
                <w:szCs w:val="24"/>
              </w:rPr>
              <w:t>Net Generation (MWh)</w:t>
            </w:r>
          </w:p>
        </w:tc>
      </w:tr>
      <w:tr w:rsidR="00C47EA1" w:rsidTr="00B63E63">
        <w:trPr>
          <w:jc w:val="center"/>
        </w:trPr>
        <w:tc>
          <w:tcPr>
            <w:tcW w:w="2209" w:type="dxa"/>
          </w:tcPr>
          <w:p w:rsidR="00C47EA1" w:rsidRDefault="00C47EA1" w:rsidP="0061235F">
            <w:pPr>
              <w:tabs>
                <w:tab w:val="left" w:pos="720"/>
                <w:tab w:val="left" w:pos="1440"/>
              </w:tabs>
              <w:ind w:right="288"/>
              <w:jc w:val="center"/>
              <w:rPr>
                <w:b/>
                <w:szCs w:val="24"/>
              </w:rPr>
            </w:pPr>
            <w:r>
              <w:rPr>
                <w:b/>
                <w:szCs w:val="24"/>
              </w:rPr>
              <w:t>PacifiCorp</w:t>
            </w:r>
          </w:p>
        </w:tc>
        <w:tc>
          <w:tcPr>
            <w:tcW w:w="2051" w:type="dxa"/>
            <w:vAlign w:val="bottom"/>
          </w:tcPr>
          <w:p w:rsidR="00C47EA1" w:rsidRDefault="00C47EA1" w:rsidP="0061235F">
            <w:pPr>
              <w:jc w:val="center"/>
              <w:rPr>
                <w:rFonts w:eastAsiaTheme="minorHAnsi"/>
                <w:szCs w:val="24"/>
              </w:rPr>
            </w:pPr>
            <w:r>
              <w:rPr>
                <w:szCs w:val="24"/>
              </w:rPr>
              <w:t>60%</w:t>
            </w:r>
          </w:p>
        </w:tc>
        <w:tc>
          <w:tcPr>
            <w:tcW w:w="2129" w:type="dxa"/>
            <w:vAlign w:val="bottom"/>
          </w:tcPr>
          <w:p w:rsidR="00C47EA1" w:rsidRDefault="00C47EA1" w:rsidP="0061235F">
            <w:pPr>
              <w:jc w:val="center"/>
              <w:rPr>
                <w:rFonts w:eastAsiaTheme="minorHAnsi"/>
                <w:szCs w:val="24"/>
              </w:rPr>
            </w:pPr>
            <w:r>
              <w:rPr>
                <w:szCs w:val="24"/>
              </w:rPr>
              <w:t>76%</w:t>
            </w:r>
          </w:p>
        </w:tc>
      </w:tr>
      <w:tr w:rsidR="00C47EA1" w:rsidTr="00B63E63">
        <w:trPr>
          <w:jc w:val="center"/>
        </w:trPr>
        <w:tc>
          <w:tcPr>
            <w:tcW w:w="2209" w:type="dxa"/>
          </w:tcPr>
          <w:p w:rsidR="00C47EA1" w:rsidRDefault="00C47EA1" w:rsidP="0061235F">
            <w:pPr>
              <w:tabs>
                <w:tab w:val="left" w:pos="720"/>
                <w:tab w:val="left" w:pos="1440"/>
              </w:tabs>
              <w:ind w:right="288"/>
              <w:jc w:val="center"/>
              <w:rPr>
                <w:b/>
                <w:szCs w:val="24"/>
              </w:rPr>
            </w:pPr>
            <w:r>
              <w:rPr>
                <w:b/>
                <w:szCs w:val="24"/>
              </w:rPr>
              <w:t>Rebuttal Proxy Group</w:t>
            </w:r>
          </w:p>
        </w:tc>
        <w:tc>
          <w:tcPr>
            <w:tcW w:w="2051" w:type="dxa"/>
            <w:vAlign w:val="bottom"/>
          </w:tcPr>
          <w:p w:rsidR="00C47EA1" w:rsidRDefault="00C03AD7" w:rsidP="0061235F">
            <w:pPr>
              <w:jc w:val="center"/>
              <w:rPr>
                <w:rFonts w:eastAsiaTheme="minorHAnsi"/>
                <w:szCs w:val="24"/>
              </w:rPr>
            </w:pPr>
            <w:r>
              <w:rPr>
                <w:szCs w:val="24"/>
              </w:rPr>
              <w:t>36</w:t>
            </w:r>
            <w:r w:rsidR="00C47EA1">
              <w:rPr>
                <w:szCs w:val="24"/>
              </w:rPr>
              <w:t>%</w:t>
            </w:r>
          </w:p>
        </w:tc>
        <w:tc>
          <w:tcPr>
            <w:tcW w:w="2129" w:type="dxa"/>
            <w:vAlign w:val="bottom"/>
          </w:tcPr>
          <w:p w:rsidR="00C47EA1" w:rsidRDefault="00C03AD7" w:rsidP="0061235F">
            <w:pPr>
              <w:jc w:val="center"/>
              <w:rPr>
                <w:rFonts w:eastAsiaTheme="minorHAnsi"/>
                <w:szCs w:val="24"/>
              </w:rPr>
            </w:pPr>
            <w:r>
              <w:rPr>
                <w:szCs w:val="24"/>
              </w:rPr>
              <w:t>40</w:t>
            </w:r>
            <w:r w:rsidR="00C47EA1">
              <w:rPr>
                <w:szCs w:val="24"/>
              </w:rPr>
              <w:t>%</w:t>
            </w:r>
          </w:p>
        </w:tc>
      </w:tr>
      <w:tr w:rsidR="00C47EA1" w:rsidTr="00B63E63">
        <w:trPr>
          <w:jc w:val="center"/>
        </w:trPr>
        <w:tc>
          <w:tcPr>
            <w:tcW w:w="2209" w:type="dxa"/>
          </w:tcPr>
          <w:p w:rsidR="00C47EA1" w:rsidRDefault="00C47EA1" w:rsidP="0061235F">
            <w:pPr>
              <w:tabs>
                <w:tab w:val="left" w:pos="720"/>
                <w:tab w:val="left" w:pos="1440"/>
              </w:tabs>
              <w:ind w:right="288"/>
              <w:jc w:val="center"/>
              <w:rPr>
                <w:b/>
                <w:szCs w:val="24"/>
              </w:rPr>
            </w:pPr>
            <w:r>
              <w:rPr>
                <w:b/>
                <w:szCs w:val="24"/>
              </w:rPr>
              <w:t>Industry</w:t>
            </w:r>
          </w:p>
        </w:tc>
        <w:tc>
          <w:tcPr>
            <w:tcW w:w="2051" w:type="dxa"/>
            <w:vAlign w:val="bottom"/>
          </w:tcPr>
          <w:p w:rsidR="00C47EA1" w:rsidRDefault="00C47EA1" w:rsidP="0061235F">
            <w:pPr>
              <w:jc w:val="center"/>
              <w:rPr>
                <w:rFonts w:eastAsiaTheme="minorHAnsi"/>
                <w:szCs w:val="24"/>
              </w:rPr>
            </w:pPr>
            <w:r>
              <w:rPr>
                <w:szCs w:val="24"/>
              </w:rPr>
              <w:t>28%</w:t>
            </w:r>
          </w:p>
        </w:tc>
        <w:tc>
          <w:tcPr>
            <w:tcW w:w="2129" w:type="dxa"/>
            <w:vAlign w:val="bottom"/>
          </w:tcPr>
          <w:p w:rsidR="00C47EA1" w:rsidRDefault="00C47EA1" w:rsidP="0061235F">
            <w:pPr>
              <w:jc w:val="center"/>
              <w:rPr>
                <w:rFonts w:eastAsiaTheme="minorHAnsi"/>
                <w:szCs w:val="24"/>
              </w:rPr>
            </w:pPr>
            <w:r>
              <w:rPr>
                <w:szCs w:val="24"/>
              </w:rPr>
              <w:t>39%</w:t>
            </w:r>
          </w:p>
        </w:tc>
      </w:tr>
      <w:tr w:rsidR="00C47EA1" w:rsidTr="00B63E63">
        <w:trPr>
          <w:jc w:val="center"/>
        </w:trPr>
        <w:tc>
          <w:tcPr>
            <w:tcW w:w="6389" w:type="dxa"/>
            <w:gridSpan w:val="3"/>
          </w:tcPr>
          <w:p w:rsidR="00C47EA1" w:rsidRDefault="00C47EA1" w:rsidP="0061235F">
            <w:pPr>
              <w:jc w:val="left"/>
              <w:rPr>
                <w:szCs w:val="24"/>
              </w:rPr>
            </w:pPr>
            <w:r>
              <w:rPr>
                <w:szCs w:val="24"/>
              </w:rPr>
              <w:t>Source: SNL Energy.</w:t>
            </w:r>
          </w:p>
        </w:tc>
      </w:tr>
    </w:tbl>
    <w:p w:rsidR="00825624" w:rsidRPr="00A668F5" w:rsidRDefault="00825624" w:rsidP="0061235F">
      <w:pPr>
        <w:pStyle w:val="QAQuestion"/>
        <w:suppressLineNumbers/>
        <w:tabs>
          <w:tab w:val="num" w:pos="720"/>
        </w:tabs>
        <w:spacing w:after="0" w:line="240" w:lineRule="auto"/>
        <w:ind w:left="720" w:hanging="720"/>
        <w:jc w:val="left"/>
        <w:rPr>
          <w:szCs w:val="24"/>
        </w:rPr>
      </w:pPr>
    </w:p>
    <w:p w:rsidR="00EB35AC" w:rsidRPr="00384017" w:rsidRDefault="007F5EDF" w:rsidP="0051265E">
      <w:pPr>
        <w:pStyle w:val="QAQuestion"/>
        <w:tabs>
          <w:tab w:val="num" w:pos="720"/>
        </w:tabs>
        <w:spacing w:after="0" w:line="480" w:lineRule="auto"/>
        <w:ind w:left="720" w:hanging="720"/>
        <w:jc w:val="left"/>
        <w:rPr>
          <w:b/>
          <w:szCs w:val="24"/>
        </w:rPr>
      </w:pPr>
      <w:r w:rsidRPr="00384017">
        <w:rPr>
          <w:b/>
          <w:szCs w:val="24"/>
        </w:rPr>
        <w:t>Q.</w:t>
      </w:r>
      <w:r w:rsidRPr="00384017">
        <w:rPr>
          <w:b/>
          <w:szCs w:val="24"/>
        </w:rPr>
        <w:tab/>
      </w:r>
      <w:r w:rsidR="006D04D3">
        <w:rPr>
          <w:b/>
          <w:szCs w:val="24"/>
        </w:rPr>
        <w:t>Please summarize your evaluation of the relative risks of</w:t>
      </w:r>
      <w:r w:rsidRPr="00384017">
        <w:rPr>
          <w:b/>
          <w:szCs w:val="24"/>
        </w:rPr>
        <w:t xml:space="preserve"> proxy group companies </w:t>
      </w:r>
      <w:r w:rsidR="006D04D3">
        <w:rPr>
          <w:b/>
          <w:szCs w:val="24"/>
        </w:rPr>
        <w:t xml:space="preserve">as compared </w:t>
      </w:r>
      <w:r w:rsidRPr="00384017">
        <w:rPr>
          <w:b/>
          <w:szCs w:val="24"/>
        </w:rPr>
        <w:t xml:space="preserve">to </w:t>
      </w:r>
      <w:r w:rsidR="00A809CA" w:rsidRPr="00384017">
        <w:rPr>
          <w:b/>
          <w:szCs w:val="24"/>
        </w:rPr>
        <w:t>Pacific Power</w:t>
      </w:r>
      <w:r w:rsidR="006D04D3">
        <w:rPr>
          <w:b/>
          <w:szCs w:val="24"/>
        </w:rPr>
        <w:t>.</w:t>
      </w:r>
      <w:r w:rsidRPr="00384017">
        <w:rPr>
          <w:b/>
          <w:szCs w:val="24"/>
        </w:rPr>
        <w:t xml:space="preserve"> </w:t>
      </w:r>
    </w:p>
    <w:p w:rsidR="00866390" w:rsidRPr="00384017" w:rsidRDefault="007F5EDF" w:rsidP="00CC236A">
      <w:pPr>
        <w:pStyle w:val="QAAnswer"/>
        <w:tabs>
          <w:tab w:val="num" w:pos="720"/>
        </w:tabs>
        <w:spacing w:after="0" w:line="480" w:lineRule="auto"/>
        <w:ind w:left="720" w:hanging="720"/>
        <w:jc w:val="left"/>
        <w:rPr>
          <w:szCs w:val="24"/>
        </w:rPr>
      </w:pPr>
      <w:r w:rsidRPr="00384017">
        <w:rPr>
          <w:szCs w:val="24"/>
        </w:rPr>
        <w:t>A.</w:t>
      </w:r>
      <w:r w:rsidRPr="00384017">
        <w:rPr>
          <w:szCs w:val="24"/>
        </w:rPr>
        <w:tab/>
      </w:r>
      <w:r w:rsidR="006D04D3">
        <w:rPr>
          <w:szCs w:val="24"/>
        </w:rPr>
        <w:t>As I found in my direct testimony</w:t>
      </w:r>
      <w:r w:rsidR="004A0AC3" w:rsidRPr="00384017">
        <w:rPr>
          <w:szCs w:val="24"/>
        </w:rPr>
        <w:t>, t</w:t>
      </w:r>
      <w:r w:rsidRPr="00384017">
        <w:rPr>
          <w:szCs w:val="24"/>
        </w:rPr>
        <w:t xml:space="preserve">hey are generally comparable in that they share the business risks that are typical of public utilities, as described </w:t>
      </w:r>
      <w:r w:rsidR="005A39E9">
        <w:rPr>
          <w:szCs w:val="24"/>
        </w:rPr>
        <w:t>in my direct testimony</w:t>
      </w:r>
      <w:r w:rsidRPr="00384017">
        <w:rPr>
          <w:szCs w:val="24"/>
        </w:rPr>
        <w:t xml:space="preserve">.  </w:t>
      </w:r>
      <w:r w:rsidR="00866390" w:rsidRPr="00384017">
        <w:rPr>
          <w:szCs w:val="24"/>
        </w:rPr>
        <w:t xml:space="preserve">In this regard, </w:t>
      </w:r>
      <w:r w:rsidR="00A809CA" w:rsidRPr="00384017">
        <w:rPr>
          <w:szCs w:val="24"/>
        </w:rPr>
        <w:t>Pacific Power</w:t>
      </w:r>
      <w:r w:rsidR="00866390" w:rsidRPr="00384017">
        <w:rPr>
          <w:szCs w:val="24"/>
        </w:rPr>
        <w:t xml:space="preserve"> is comparable to the Proxy Group and to the industry more broadly. </w:t>
      </w:r>
      <w:r w:rsidR="005666AC" w:rsidRPr="00384017">
        <w:rPr>
          <w:szCs w:val="24"/>
        </w:rPr>
        <w:t xml:space="preserve"> Furthermore, key financial metrics for the Company fall reasonably within the range of those observed for the proxy group companies.</w:t>
      </w:r>
    </w:p>
    <w:p w:rsidR="00866390" w:rsidRDefault="00A809CA" w:rsidP="00CC236A">
      <w:pPr>
        <w:pStyle w:val="QAAnswer"/>
        <w:tabs>
          <w:tab w:val="num" w:pos="720"/>
        </w:tabs>
        <w:spacing w:after="0" w:line="480" w:lineRule="auto"/>
        <w:ind w:left="720" w:hanging="720"/>
        <w:jc w:val="left"/>
        <w:rPr>
          <w:szCs w:val="24"/>
        </w:rPr>
      </w:pPr>
      <w:r w:rsidRPr="00384017">
        <w:rPr>
          <w:szCs w:val="24"/>
        </w:rPr>
        <w:tab/>
      </w:r>
      <w:r w:rsidR="00866390" w:rsidRPr="00384017">
        <w:rPr>
          <w:szCs w:val="24"/>
        </w:rPr>
        <w:tab/>
      </w:r>
      <w:r w:rsidR="0093473D">
        <w:rPr>
          <w:szCs w:val="24"/>
        </w:rPr>
        <w:t xml:space="preserve">Against this, two important risks </w:t>
      </w:r>
      <w:r w:rsidR="00646371">
        <w:rPr>
          <w:szCs w:val="24"/>
        </w:rPr>
        <w:t>stand out as</w:t>
      </w:r>
      <w:r w:rsidR="0093473D">
        <w:rPr>
          <w:szCs w:val="24"/>
        </w:rPr>
        <w:t xml:space="preserve"> affect</w:t>
      </w:r>
      <w:r w:rsidR="00646371">
        <w:rPr>
          <w:szCs w:val="24"/>
        </w:rPr>
        <w:t>ing</w:t>
      </w:r>
      <w:r w:rsidR="0093473D">
        <w:rPr>
          <w:szCs w:val="24"/>
        </w:rPr>
        <w:t xml:space="preserve"> negatively investor perceptions of PacifiCorp</w:t>
      </w:r>
      <w:r w:rsidR="00D63902">
        <w:rPr>
          <w:szCs w:val="24"/>
        </w:rPr>
        <w:t>.  These are:</w:t>
      </w:r>
      <w:r w:rsidR="0093473D">
        <w:rPr>
          <w:szCs w:val="24"/>
        </w:rPr>
        <w:t xml:space="preserve"> the 111(d) risk I describe above and regulatory risk, particularly in Washington.  As I mentioned </w:t>
      </w:r>
      <w:r w:rsidR="0021705D">
        <w:rPr>
          <w:szCs w:val="24"/>
        </w:rPr>
        <w:t>i</w:t>
      </w:r>
      <w:r w:rsidR="0093473D">
        <w:rPr>
          <w:szCs w:val="24"/>
        </w:rPr>
        <w:t xml:space="preserve">n </w:t>
      </w:r>
      <w:r w:rsidR="0021705D">
        <w:rPr>
          <w:szCs w:val="24"/>
        </w:rPr>
        <w:t xml:space="preserve">my </w:t>
      </w:r>
      <w:r w:rsidR="0093473D">
        <w:rPr>
          <w:szCs w:val="24"/>
        </w:rPr>
        <w:t>direct</w:t>
      </w:r>
      <w:r w:rsidR="0021705D">
        <w:rPr>
          <w:szCs w:val="24"/>
        </w:rPr>
        <w:t xml:space="preserve"> testimony</w:t>
      </w:r>
      <w:r w:rsidR="0093473D">
        <w:rPr>
          <w:szCs w:val="24"/>
        </w:rPr>
        <w:t xml:space="preserve">, </w:t>
      </w:r>
      <w:r w:rsidR="009608E6" w:rsidRPr="00384017">
        <w:rPr>
          <w:szCs w:val="24"/>
        </w:rPr>
        <w:t>Pacifi</w:t>
      </w:r>
      <w:r w:rsidRPr="00384017">
        <w:rPr>
          <w:szCs w:val="24"/>
        </w:rPr>
        <w:t>c Power</w:t>
      </w:r>
      <w:r w:rsidR="009608E6" w:rsidRPr="00384017">
        <w:rPr>
          <w:szCs w:val="24"/>
        </w:rPr>
        <w:t xml:space="preserve"> faces </w:t>
      </w:r>
      <w:r w:rsidR="00866390" w:rsidRPr="00384017">
        <w:rPr>
          <w:szCs w:val="24"/>
        </w:rPr>
        <w:t xml:space="preserve">certain </w:t>
      </w:r>
      <w:r w:rsidR="009608E6" w:rsidRPr="00384017">
        <w:rPr>
          <w:szCs w:val="24"/>
        </w:rPr>
        <w:t>challenges in Washington</w:t>
      </w:r>
      <w:r w:rsidR="00866390" w:rsidRPr="00384017">
        <w:rPr>
          <w:szCs w:val="24"/>
        </w:rPr>
        <w:t xml:space="preserve"> following the decision in </w:t>
      </w:r>
      <w:r w:rsidR="00F04387" w:rsidRPr="00384017">
        <w:rPr>
          <w:szCs w:val="24"/>
        </w:rPr>
        <w:t xml:space="preserve">its </w:t>
      </w:r>
      <w:r w:rsidR="00A91F50" w:rsidRPr="00384017">
        <w:rPr>
          <w:szCs w:val="24"/>
        </w:rPr>
        <w:t>2013 Washington</w:t>
      </w:r>
      <w:r w:rsidR="00F04387" w:rsidRPr="00384017">
        <w:rPr>
          <w:szCs w:val="24"/>
        </w:rPr>
        <w:t xml:space="preserve"> rate case, </w:t>
      </w:r>
      <w:r w:rsidR="00866390" w:rsidRPr="00384017">
        <w:rPr>
          <w:szCs w:val="24"/>
        </w:rPr>
        <w:t>Docket UE</w:t>
      </w:r>
      <w:r w:rsidR="00F04387" w:rsidRPr="00384017">
        <w:rPr>
          <w:szCs w:val="24"/>
        </w:rPr>
        <w:t>-</w:t>
      </w:r>
      <w:r w:rsidR="00866390" w:rsidRPr="00384017">
        <w:rPr>
          <w:szCs w:val="24"/>
        </w:rPr>
        <w:t>130043</w:t>
      </w:r>
      <w:r w:rsidR="0093473D">
        <w:rPr>
          <w:szCs w:val="24"/>
        </w:rPr>
        <w:t>, the outcome of which is currently undergoing judicial review</w:t>
      </w:r>
      <w:r w:rsidR="00866390" w:rsidRPr="00384017">
        <w:rPr>
          <w:szCs w:val="24"/>
        </w:rPr>
        <w:t xml:space="preserve">.  </w:t>
      </w:r>
      <w:r w:rsidR="00A54692">
        <w:rPr>
          <w:szCs w:val="24"/>
        </w:rPr>
        <w:t xml:space="preserve">In his rebuttal testimony, Mr. Williams cites to recent </w:t>
      </w:r>
      <w:r w:rsidR="00752BF7">
        <w:rPr>
          <w:szCs w:val="24"/>
        </w:rPr>
        <w:t xml:space="preserve">rating </w:t>
      </w:r>
      <w:r w:rsidR="00A54692">
        <w:rPr>
          <w:szCs w:val="24"/>
        </w:rPr>
        <w:t>agency comments</w:t>
      </w:r>
      <w:r w:rsidR="00752BF7">
        <w:rPr>
          <w:szCs w:val="24"/>
        </w:rPr>
        <w:t xml:space="preserve"> </w:t>
      </w:r>
      <w:r w:rsidR="00EF435D">
        <w:rPr>
          <w:szCs w:val="24"/>
        </w:rPr>
        <w:t>expressing</w:t>
      </w:r>
      <w:r w:rsidR="00752BF7">
        <w:rPr>
          <w:szCs w:val="24"/>
        </w:rPr>
        <w:t xml:space="preserve"> concern</w:t>
      </w:r>
      <w:r w:rsidR="00EF435D">
        <w:rPr>
          <w:szCs w:val="24"/>
        </w:rPr>
        <w:t>s</w:t>
      </w:r>
      <w:r w:rsidR="00752BF7">
        <w:rPr>
          <w:szCs w:val="24"/>
        </w:rPr>
        <w:t xml:space="preserve"> about the Company’s regulatory support in Washington</w:t>
      </w:r>
      <w:r w:rsidR="00A54692">
        <w:rPr>
          <w:szCs w:val="24"/>
        </w:rPr>
        <w:t xml:space="preserve">. </w:t>
      </w:r>
    </w:p>
    <w:p w:rsidR="00EB35AC" w:rsidRPr="00384017" w:rsidRDefault="003105A0" w:rsidP="00CC236A">
      <w:pPr>
        <w:pStyle w:val="Heading1"/>
        <w:spacing w:after="0" w:line="480" w:lineRule="auto"/>
        <w:ind w:left="0"/>
      </w:pPr>
      <w:bookmarkStart w:id="40" w:name="_Toc403726964"/>
      <w:r>
        <w:t xml:space="preserve">IX. </w:t>
      </w:r>
      <w:r w:rsidR="000A74D5">
        <w:t xml:space="preserve">  </w:t>
      </w:r>
      <w:r w:rsidR="00763326">
        <w:t>Financial Integrity Analysis</w:t>
      </w:r>
      <w:bookmarkEnd w:id="40"/>
    </w:p>
    <w:p w:rsidR="00EB35AC" w:rsidRPr="00384017" w:rsidRDefault="007F5EDF" w:rsidP="00CC236A">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Please </w:t>
      </w:r>
      <w:r w:rsidR="00763326">
        <w:rPr>
          <w:b/>
          <w:szCs w:val="24"/>
        </w:rPr>
        <w:t>describe</w:t>
      </w:r>
      <w:r w:rsidRPr="00384017">
        <w:rPr>
          <w:b/>
          <w:szCs w:val="24"/>
        </w:rPr>
        <w:t xml:space="preserve"> </w:t>
      </w:r>
      <w:r w:rsidR="00763326">
        <w:rPr>
          <w:b/>
          <w:szCs w:val="24"/>
        </w:rPr>
        <w:t xml:space="preserve">the financial integrity analysis performed by Messrs. Parcell, Hill and Gorman. </w:t>
      </w:r>
    </w:p>
    <w:p w:rsidR="008B78FF" w:rsidRDefault="007F5EDF" w:rsidP="00CC236A">
      <w:pPr>
        <w:pStyle w:val="QAAnswer"/>
        <w:tabs>
          <w:tab w:val="num" w:pos="720"/>
        </w:tabs>
        <w:spacing w:after="0" w:line="480" w:lineRule="auto"/>
        <w:ind w:left="720" w:hanging="720"/>
        <w:jc w:val="left"/>
        <w:rPr>
          <w:szCs w:val="24"/>
        </w:rPr>
      </w:pPr>
      <w:r w:rsidRPr="00384017">
        <w:rPr>
          <w:szCs w:val="24"/>
        </w:rPr>
        <w:t xml:space="preserve">A. </w:t>
      </w:r>
      <w:r w:rsidRPr="00384017">
        <w:rPr>
          <w:szCs w:val="24"/>
        </w:rPr>
        <w:tab/>
      </w:r>
      <w:r w:rsidR="008B24C9">
        <w:rPr>
          <w:szCs w:val="24"/>
        </w:rPr>
        <w:t>These witnesses attempt</w:t>
      </w:r>
      <w:r w:rsidR="00763326">
        <w:rPr>
          <w:szCs w:val="24"/>
        </w:rPr>
        <w:t xml:space="preserve"> to analyze the effects of </w:t>
      </w:r>
      <w:r w:rsidR="008B24C9">
        <w:rPr>
          <w:szCs w:val="24"/>
        </w:rPr>
        <w:t>their</w:t>
      </w:r>
      <w:r w:rsidR="00763326">
        <w:rPr>
          <w:szCs w:val="24"/>
        </w:rPr>
        <w:t xml:space="preserve"> recommendations on the Company’s financial integrity.  These witnesses </w:t>
      </w:r>
      <w:r w:rsidR="0003504F">
        <w:rPr>
          <w:szCs w:val="24"/>
        </w:rPr>
        <w:t>purport</w:t>
      </w:r>
      <w:r w:rsidR="00763326">
        <w:rPr>
          <w:szCs w:val="24"/>
        </w:rPr>
        <w:t xml:space="preserve"> to demonstrate that their recommended </w:t>
      </w:r>
      <w:r w:rsidR="0003504F">
        <w:rPr>
          <w:szCs w:val="24"/>
        </w:rPr>
        <w:t>49.1 percent equity ratio coupled with return</w:t>
      </w:r>
      <w:r w:rsidR="008B24C9">
        <w:rPr>
          <w:szCs w:val="24"/>
        </w:rPr>
        <w:t>s</w:t>
      </w:r>
      <w:r w:rsidR="0003504F">
        <w:rPr>
          <w:szCs w:val="24"/>
        </w:rPr>
        <w:t xml:space="preserve"> on equity of 8.9 percent (Mr. Hill), 9.0 percent (Mr. Parcell) or 9.3 percent (Mr. Gorman) will not be </w:t>
      </w:r>
      <w:r w:rsidR="000C300D">
        <w:rPr>
          <w:szCs w:val="24"/>
        </w:rPr>
        <w:t xml:space="preserve">harmful </w:t>
      </w:r>
      <w:r w:rsidR="0003504F">
        <w:rPr>
          <w:szCs w:val="24"/>
        </w:rPr>
        <w:t>to the Company’s financial health</w:t>
      </w:r>
      <w:r w:rsidRPr="00384017">
        <w:rPr>
          <w:szCs w:val="24"/>
        </w:rPr>
        <w:t xml:space="preserve">.  </w:t>
      </w:r>
    </w:p>
    <w:p w:rsidR="00D63902" w:rsidRDefault="00D63902" w:rsidP="00CC236A">
      <w:pPr>
        <w:pStyle w:val="QAQuestion"/>
        <w:tabs>
          <w:tab w:val="num" w:pos="720"/>
        </w:tabs>
        <w:spacing w:after="0" w:line="480" w:lineRule="auto"/>
        <w:ind w:left="720" w:hanging="720"/>
        <w:jc w:val="left"/>
        <w:rPr>
          <w:b/>
          <w:szCs w:val="24"/>
        </w:rPr>
      </w:pPr>
      <w:r>
        <w:rPr>
          <w:b/>
          <w:szCs w:val="24"/>
        </w:rPr>
        <w:t xml:space="preserve">Q. </w:t>
      </w:r>
      <w:r>
        <w:rPr>
          <w:b/>
          <w:szCs w:val="24"/>
        </w:rPr>
        <w:tab/>
        <w:t xml:space="preserve">Please address Mr. Gorman’s analysis of the Company’s credit metrics using his recommended return of 9.0 percent.  </w:t>
      </w:r>
    </w:p>
    <w:p w:rsidR="00D63902" w:rsidRPr="00CC236A" w:rsidRDefault="00D63902" w:rsidP="00CC236A">
      <w:pPr>
        <w:pStyle w:val="QAAnswer"/>
        <w:tabs>
          <w:tab w:val="num" w:pos="720"/>
        </w:tabs>
        <w:spacing w:after="0" w:line="480" w:lineRule="auto"/>
        <w:ind w:left="720" w:hanging="720"/>
        <w:jc w:val="left"/>
        <w:rPr>
          <w:szCs w:val="24"/>
        </w:rPr>
      </w:pPr>
      <w:r>
        <w:rPr>
          <w:szCs w:val="24"/>
        </w:rPr>
        <w:t>A.</w:t>
      </w:r>
      <w:r>
        <w:rPr>
          <w:szCs w:val="24"/>
        </w:rPr>
        <w:tab/>
        <w:t xml:space="preserve">Mr. Gorman’s forecast credit metrics do not make sense in light of the </w:t>
      </w:r>
      <w:r w:rsidR="001A53FB">
        <w:rPr>
          <w:szCs w:val="24"/>
        </w:rPr>
        <w:t>PacifiCorp</w:t>
      </w:r>
      <w:r>
        <w:rPr>
          <w:szCs w:val="24"/>
        </w:rPr>
        <w:t xml:space="preserve">’s current financial ratios.  </w:t>
      </w:r>
      <w:r w:rsidR="001A53FB">
        <w:rPr>
          <w:szCs w:val="24"/>
        </w:rPr>
        <w:t>T</w:t>
      </w:r>
      <w:r>
        <w:rPr>
          <w:szCs w:val="24"/>
        </w:rPr>
        <w:t xml:space="preserve">he </w:t>
      </w:r>
      <w:r w:rsidR="001A53FB">
        <w:rPr>
          <w:szCs w:val="24"/>
        </w:rPr>
        <w:t xml:space="preserve">Company’s </w:t>
      </w:r>
      <w:r>
        <w:rPr>
          <w:szCs w:val="24"/>
        </w:rPr>
        <w:t xml:space="preserve">FFO/Debt ratio is currently </w:t>
      </w:r>
      <w:r w:rsidR="001A53FB">
        <w:rPr>
          <w:szCs w:val="24"/>
        </w:rPr>
        <w:t>20.49</w:t>
      </w:r>
      <w:r>
        <w:rPr>
          <w:szCs w:val="24"/>
        </w:rPr>
        <w:t>x</w:t>
      </w:r>
      <w:r w:rsidR="001A53FB">
        <w:rPr>
          <w:szCs w:val="24"/>
        </w:rPr>
        <w:t>, as of year-end 2013</w:t>
      </w:r>
      <w:r>
        <w:rPr>
          <w:szCs w:val="24"/>
        </w:rPr>
        <w:t xml:space="preserve">.  Mr. Gorman’s suggestion that dropping the ROE by </w:t>
      </w:r>
      <w:r w:rsidR="001A53FB">
        <w:rPr>
          <w:szCs w:val="24"/>
        </w:rPr>
        <w:t>2</w:t>
      </w:r>
      <w:r>
        <w:rPr>
          <w:szCs w:val="24"/>
        </w:rPr>
        <w:t>0 basis points from the currently allowed level of 9.5 percent to 9.</w:t>
      </w:r>
      <w:r w:rsidR="001A53FB">
        <w:rPr>
          <w:szCs w:val="24"/>
        </w:rPr>
        <w:t>3</w:t>
      </w:r>
      <w:r>
        <w:rPr>
          <w:szCs w:val="24"/>
        </w:rPr>
        <w:t xml:space="preserve"> percent would improve its ratios is simply not credible.  Mr. Gorman </w:t>
      </w:r>
      <w:r w:rsidR="00EA5DEA">
        <w:rPr>
          <w:szCs w:val="24"/>
        </w:rPr>
        <w:t>appears</w:t>
      </w:r>
      <w:r>
        <w:rPr>
          <w:szCs w:val="24"/>
        </w:rPr>
        <w:t xml:space="preserve"> only able to infer such ratios by ignoring </w:t>
      </w:r>
      <w:r w:rsidR="00EA5DEA">
        <w:rPr>
          <w:szCs w:val="24"/>
        </w:rPr>
        <w:t>part</w:t>
      </w:r>
      <w:r>
        <w:rPr>
          <w:szCs w:val="24"/>
        </w:rPr>
        <w:t xml:space="preserve"> of the debt imputed by investors</w:t>
      </w:r>
      <w:r w:rsidR="00752BF7">
        <w:rPr>
          <w:szCs w:val="24"/>
        </w:rPr>
        <w:t>, a point discussed in more detail by Mr. Williams</w:t>
      </w:r>
      <w:r>
        <w:rPr>
          <w:szCs w:val="24"/>
        </w:rPr>
        <w:t>.  D</w:t>
      </w:r>
      <w:r w:rsidR="008B14C6">
        <w:rPr>
          <w:szCs w:val="24"/>
        </w:rPr>
        <w:t>ropping the ROE to the level</w:t>
      </w:r>
      <w:r>
        <w:rPr>
          <w:szCs w:val="24"/>
        </w:rPr>
        <w:t xml:space="preserve"> proposed by Mr. Gorman </w:t>
      </w:r>
      <w:r w:rsidR="00EA5DEA">
        <w:rPr>
          <w:szCs w:val="24"/>
        </w:rPr>
        <w:t>c</w:t>
      </w:r>
      <w:r>
        <w:rPr>
          <w:szCs w:val="24"/>
        </w:rPr>
        <w:t xml:space="preserve">ould </w:t>
      </w:r>
      <w:r w:rsidR="00EA5DEA">
        <w:rPr>
          <w:szCs w:val="24"/>
        </w:rPr>
        <w:t xml:space="preserve">not raise the </w:t>
      </w:r>
      <w:r>
        <w:rPr>
          <w:szCs w:val="24"/>
        </w:rPr>
        <w:t>Company</w:t>
      </w:r>
      <w:r w:rsidR="00EA5DEA">
        <w:rPr>
          <w:szCs w:val="24"/>
        </w:rPr>
        <w:t xml:space="preserve">’s credit metrics, as he </w:t>
      </w:r>
      <w:r w:rsidR="008B14C6">
        <w:rPr>
          <w:szCs w:val="24"/>
        </w:rPr>
        <w:t>claims</w:t>
      </w:r>
      <w:r w:rsidR="00EA5DEA">
        <w:rPr>
          <w:szCs w:val="24"/>
        </w:rPr>
        <w:t>.</w:t>
      </w:r>
      <w:r>
        <w:rPr>
          <w:szCs w:val="24"/>
        </w:rPr>
        <w:t xml:space="preserve"> </w:t>
      </w:r>
    </w:p>
    <w:p w:rsidR="00D63902" w:rsidRDefault="00D63902" w:rsidP="0061235F">
      <w:pPr>
        <w:pStyle w:val="QAQuestion"/>
        <w:widowControl w:val="0"/>
        <w:tabs>
          <w:tab w:val="num" w:pos="720"/>
        </w:tabs>
        <w:spacing w:after="0" w:line="480" w:lineRule="auto"/>
        <w:ind w:left="720" w:hanging="720"/>
        <w:jc w:val="left"/>
        <w:rPr>
          <w:b/>
          <w:szCs w:val="24"/>
        </w:rPr>
      </w:pPr>
      <w:r>
        <w:rPr>
          <w:b/>
          <w:szCs w:val="24"/>
        </w:rPr>
        <w:t xml:space="preserve">Q. </w:t>
      </w:r>
      <w:r>
        <w:rPr>
          <w:b/>
          <w:szCs w:val="24"/>
        </w:rPr>
        <w:tab/>
      </w:r>
      <w:r w:rsidR="00EA5DEA">
        <w:rPr>
          <w:b/>
          <w:szCs w:val="24"/>
        </w:rPr>
        <w:t xml:space="preserve">You note that Mr. Gorman excludes certain obligations that investors treat as debt.  Is this appropriate? </w:t>
      </w:r>
    </w:p>
    <w:p w:rsidR="00D63902" w:rsidRDefault="00D63902" w:rsidP="0061235F">
      <w:pPr>
        <w:pStyle w:val="QAAnswer"/>
        <w:widowControl w:val="0"/>
        <w:tabs>
          <w:tab w:val="num" w:pos="720"/>
        </w:tabs>
        <w:spacing w:after="0" w:line="480" w:lineRule="auto"/>
        <w:ind w:left="720" w:hanging="720"/>
        <w:jc w:val="left"/>
        <w:rPr>
          <w:szCs w:val="24"/>
        </w:rPr>
      </w:pPr>
      <w:r w:rsidRPr="00A9093D">
        <w:rPr>
          <w:szCs w:val="24"/>
        </w:rPr>
        <w:t xml:space="preserve">A. </w:t>
      </w:r>
      <w:r w:rsidRPr="00A9093D">
        <w:rPr>
          <w:szCs w:val="24"/>
        </w:rPr>
        <w:tab/>
      </w:r>
      <w:r>
        <w:rPr>
          <w:szCs w:val="24"/>
        </w:rPr>
        <w:t>No</w:t>
      </w:r>
      <w:r w:rsidRPr="00A9093D">
        <w:rPr>
          <w:szCs w:val="24"/>
        </w:rPr>
        <w:t>.</w:t>
      </w:r>
      <w:r>
        <w:rPr>
          <w:szCs w:val="24"/>
        </w:rPr>
        <w:t xml:space="preserve">  It is not appropriate to exclude obligations that investors take into account when making an assessment of utility risk and financial strength.  Doing so results in a biased analysis that does not reflect the true financial position of the Company.</w:t>
      </w:r>
    </w:p>
    <w:p w:rsidR="0021705D" w:rsidRDefault="0021705D" w:rsidP="00CC236A">
      <w:pPr>
        <w:pStyle w:val="QAQuestion"/>
        <w:tabs>
          <w:tab w:val="num" w:pos="720"/>
        </w:tabs>
        <w:spacing w:after="0" w:line="480" w:lineRule="auto"/>
        <w:ind w:left="720" w:hanging="720"/>
        <w:jc w:val="left"/>
        <w:rPr>
          <w:b/>
          <w:szCs w:val="24"/>
        </w:rPr>
      </w:pPr>
      <w:r>
        <w:rPr>
          <w:b/>
          <w:szCs w:val="24"/>
        </w:rPr>
        <w:t xml:space="preserve">Q. </w:t>
      </w:r>
      <w:r>
        <w:rPr>
          <w:b/>
          <w:szCs w:val="24"/>
        </w:rPr>
        <w:tab/>
      </w:r>
      <w:r w:rsidR="00EA5DEA">
        <w:rPr>
          <w:b/>
          <w:szCs w:val="24"/>
        </w:rPr>
        <w:t xml:space="preserve">Does Mr. Gorman’s purported rationale for excluding them – </w:t>
      </w:r>
      <w:r w:rsidR="00EA5DEA" w:rsidRPr="00EA5DEA">
        <w:rPr>
          <w:b/>
          <w:i/>
          <w:szCs w:val="24"/>
        </w:rPr>
        <w:t>i.e.</w:t>
      </w:r>
      <w:r w:rsidR="00EA5DEA">
        <w:rPr>
          <w:b/>
          <w:szCs w:val="24"/>
        </w:rPr>
        <w:t xml:space="preserve">, that these obligations are controllable by management or not related to the cost of service – have any merit?  </w:t>
      </w:r>
    </w:p>
    <w:p w:rsidR="0021705D" w:rsidRDefault="0021705D" w:rsidP="00CC236A">
      <w:pPr>
        <w:pStyle w:val="QAAnswer"/>
        <w:tabs>
          <w:tab w:val="num" w:pos="720"/>
        </w:tabs>
        <w:spacing w:after="0" w:line="480" w:lineRule="auto"/>
        <w:ind w:left="720" w:hanging="720"/>
        <w:jc w:val="left"/>
        <w:rPr>
          <w:szCs w:val="24"/>
        </w:rPr>
      </w:pPr>
      <w:r w:rsidRPr="00A9093D">
        <w:rPr>
          <w:szCs w:val="24"/>
        </w:rPr>
        <w:t xml:space="preserve">A. </w:t>
      </w:r>
      <w:r w:rsidRPr="00A9093D">
        <w:rPr>
          <w:szCs w:val="24"/>
        </w:rPr>
        <w:tab/>
      </w:r>
      <w:r>
        <w:rPr>
          <w:szCs w:val="24"/>
        </w:rPr>
        <w:t>No, it does not.  Whether these obligations are controllable by management does not affect whether they should be considered as part of the Company’s debt and taken into account when assessing financial integrity.  The fact that Mr. Gorman obtai</w:t>
      </w:r>
      <w:r w:rsidR="000A74D5">
        <w:rPr>
          <w:szCs w:val="24"/>
        </w:rPr>
        <w:t xml:space="preserve">ns the level of imputed debt – </w:t>
      </w:r>
      <w:r>
        <w:rPr>
          <w:szCs w:val="24"/>
        </w:rPr>
        <w:t xml:space="preserve">which he then ignores – from a source that investors routinely rely on confirms that they are viewed as debt by investors.  As such, it is illogical and inappropriate to exclude these obligations from the analysis of financial integrity.  Any assessment of whether a given ROE will allow the Company to maintain its credit and preserve its financial integrity, as required by the </w:t>
      </w:r>
      <w:r w:rsidRPr="008B14C6">
        <w:rPr>
          <w:i/>
          <w:szCs w:val="24"/>
        </w:rPr>
        <w:t>Hope</w:t>
      </w:r>
      <w:r>
        <w:rPr>
          <w:szCs w:val="24"/>
        </w:rPr>
        <w:t xml:space="preserve"> decision, must take into account all obligations that the Company faces.</w:t>
      </w:r>
    </w:p>
    <w:p w:rsidR="0021705D" w:rsidRDefault="00EA5DEA" w:rsidP="00CC236A">
      <w:pPr>
        <w:pStyle w:val="QAAnswer"/>
        <w:tabs>
          <w:tab w:val="num" w:pos="720"/>
        </w:tabs>
        <w:spacing w:after="0" w:line="480" w:lineRule="auto"/>
        <w:ind w:left="720" w:hanging="720"/>
        <w:jc w:val="left"/>
        <w:rPr>
          <w:szCs w:val="24"/>
        </w:rPr>
      </w:pPr>
      <w:r>
        <w:rPr>
          <w:szCs w:val="24"/>
        </w:rPr>
        <w:tab/>
      </w:r>
      <w:r w:rsidR="0021705D">
        <w:rPr>
          <w:szCs w:val="24"/>
        </w:rPr>
        <w:t xml:space="preserve">Moreover, Mr. Gorman errs in characterizing these obligations as unrelated to the cost of service and has provided no support for such a characterization.  </w:t>
      </w:r>
      <w:r w:rsidR="00D63902">
        <w:rPr>
          <w:szCs w:val="24"/>
        </w:rPr>
        <w:t>Pacific</w:t>
      </w:r>
      <w:r w:rsidR="0021705D">
        <w:rPr>
          <w:szCs w:val="24"/>
        </w:rPr>
        <w:t xml:space="preserve"> Power</w:t>
      </w:r>
      <w:r w:rsidR="00D63902">
        <w:rPr>
          <w:szCs w:val="24"/>
        </w:rPr>
        <w:t>’s operations in Washington exist</w:t>
      </w:r>
      <w:r w:rsidR="0021705D">
        <w:rPr>
          <w:szCs w:val="24"/>
        </w:rPr>
        <w:t xml:space="preserve"> to provide reliable electric service to </w:t>
      </w:r>
      <w:r w:rsidR="00D63902">
        <w:rPr>
          <w:szCs w:val="24"/>
        </w:rPr>
        <w:t xml:space="preserve">Washington </w:t>
      </w:r>
      <w:r w:rsidR="0021705D">
        <w:rPr>
          <w:szCs w:val="24"/>
        </w:rPr>
        <w:t xml:space="preserve">consumers at reasonable, cost-based rates.  The post-retirement obligations for </w:t>
      </w:r>
      <w:r w:rsidR="00D63902">
        <w:rPr>
          <w:szCs w:val="24"/>
        </w:rPr>
        <w:t xml:space="preserve">Pacific </w:t>
      </w:r>
      <w:r w:rsidR="0021705D">
        <w:rPr>
          <w:szCs w:val="24"/>
        </w:rPr>
        <w:t>Power employees derive from its duties to serve the public.  They are not unrelated to the cost of service, as alleged by Mr. Gorman.</w:t>
      </w:r>
    </w:p>
    <w:p w:rsidR="0061235F" w:rsidRPr="0061235F" w:rsidRDefault="0061235F" w:rsidP="0061235F">
      <w:pPr>
        <w:pStyle w:val="QAQCont"/>
        <w:suppressLineNumbers/>
      </w:pPr>
    </w:p>
    <w:p w:rsidR="0021705D" w:rsidRDefault="0021705D" w:rsidP="00CC236A">
      <w:pPr>
        <w:pStyle w:val="QAQuestion"/>
        <w:tabs>
          <w:tab w:val="num" w:pos="720"/>
        </w:tabs>
        <w:spacing w:after="0" w:line="480" w:lineRule="auto"/>
        <w:ind w:left="720" w:hanging="720"/>
        <w:jc w:val="left"/>
        <w:rPr>
          <w:b/>
          <w:szCs w:val="24"/>
        </w:rPr>
      </w:pPr>
      <w:r>
        <w:rPr>
          <w:b/>
          <w:szCs w:val="24"/>
        </w:rPr>
        <w:t xml:space="preserve">Q. </w:t>
      </w:r>
      <w:r>
        <w:rPr>
          <w:b/>
          <w:szCs w:val="24"/>
        </w:rPr>
        <w:tab/>
        <w:t>P</w:t>
      </w:r>
      <w:r w:rsidR="008B14C6">
        <w:rPr>
          <w:b/>
          <w:szCs w:val="24"/>
        </w:rPr>
        <w:t xml:space="preserve">lease address </w:t>
      </w:r>
      <w:r w:rsidR="00B30F11">
        <w:rPr>
          <w:b/>
          <w:szCs w:val="24"/>
        </w:rPr>
        <w:t xml:space="preserve">the </w:t>
      </w:r>
      <w:r w:rsidR="008B14C6">
        <w:rPr>
          <w:b/>
          <w:szCs w:val="24"/>
        </w:rPr>
        <w:t xml:space="preserve">analysis of the Company’s credit metrics </w:t>
      </w:r>
      <w:r w:rsidR="00B30F11">
        <w:rPr>
          <w:b/>
          <w:szCs w:val="24"/>
        </w:rPr>
        <w:t xml:space="preserve">made by Messrs. Parcell and Hill </w:t>
      </w:r>
      <w:r w:rsidR="008B14C6">
        <w:rPr>
          <w:b/>
          <w:szCs w:val="24"/>
        </w:rPr>
        <w:t xml:space="preserve">using </w:t>
      </w:r>
      <w:r w:rsidR="00B30F11">
        <w:rPr>
          <w:b/>
          <w:szCs w:val="24"/>
        </w:rPr>
        <w:t>their</w:t>
      </w:r>
      <w:r w:rsidR="008B14C6">
        <w:rPr>
          <w:b/>
          <w:szCs w:val="24"/>
        </w:rPr>
        <w:t xml:space="preserve"> recommended </w:t>
      </w:r>
      <w:r>
        <w:rPr>
          <w:b/>
          <w:szCs w:val="24"/>
        </w:rPr>
        <w:t>ROE</w:t>
      </w:r>
      <w:r w:rsidR="00B30F11">
        <w:rPr>
          <w:b/>
          <w:szCs w:val="24"/>
        </w:rPr>
        <w:t>s</w:t>
      </w:r>
      <w:r>
        <w:rPr>
          <w:b/>
          <w:szCs w:val="24"/>
        </w:rPr>
        <w:t xml:space="preserve"> </w:t>
      </w:r>
      <w:r w:rsidR="008B14C6">
        <w:rPr>
          <w:b/>
          <w:szCs w:val="24"/>
        </w:rPr>
        <w:t>of</w:t>
      </w:r>
      <w:r>
        <w:rPr>
          <w:b/>
          <w:szCs w:val="24"/>
        </w:rPr>
        <w:t xml:space="preserve"> 9.</w:t>
      </w:r>
      <w:r w:rsidR="008B14C6">
        <w:rPr>
          <w:b/>
          <w:szCs w:val="24"/>
        </w:rPr>
        <w:t>0</w:t>
      </w:r>
      <w:r>
        <w:rPr>
          <w:b/>
          <w:szCs w:val="24"/>
        </w:rPr>
        <w:t xml:space="preserve"> </w:t>
      </w:r>
      <w:r w:rsidR="008B14C6">
        <w:rPr>
          <w:b/>
          <w:szCs w:val="24"/>
        </w:rPr>
        <w:t>percent</w:t>
      </w:r>
      <w:r w:rsidR="00B30F11">
        <w:rPr>
          <w:b/>
          <w:szCs w:val="24"/>
        </w:rPr>
        <w:t xml:space="preserve"> and 8.9 percent respectively</w:t>
      </w:r>
      <w:r>
        <w:rPr>
          <w:b/>
          <w:szCs w:val="24"/>
        </w:rPr>
        <w:t>.</w:t>
      </w:r>
    </w:p>
    <w:p w:rsidR="00B30F11" w:rsidRDefault="0021705D" w:rsidP="00CC236A">
      <w:pPr>
        <w:pStyle w:val="QAAnswer"/>
        <w:tabs>
          <w:tab w:val="num" w:pos="720"/>
        </w:tabs>
        <w:spacing w:after="0" w:line="480" w:lineRule="auto"/>
        <w:ind w:left="720" w:hanging="720"/>
        <w:jc w:val="left"/>
        <w:rPr>
          <w:szCs w:val="24"/>
        </w:rPr>
      </w:pPr>
      <w:r>
        <w:rPr>
          <w:szCs w:val="24"/>
        </w:rPr>
        <w:t>A.</w:t>
      </w:r>
      <w:r>
        <w:rPr>
          <w:szCs w:val="24"/>
        </w:rPr>
        <w:tab/>
      </w:r>
      <w:r w:rsidR="00B30F11">
        <w:rPr>
          <w:szCs w:val="24"/>
        </w:rPr>
        <w:t>Each witness</w:t>
      </w:r>
      <w:r>
        <w:rPr>
          <w:szCs w:val="24"/>
        </w:rPr>
        <w:t xml:space="preserve"> relies on a single credit metric to evaluate the Company’s financial integrity under his recommended ROE: pre-tax interest coverage.  </w:t>
      </w:r>
      <w:r w:rsidR="00C57649">
        <w:rPr>
          <w:szCs w:val="24"/>
        </w:rPr>
        <w:t>Each performs</w:t>
      </w:r>
      <w:r w:rsidR="00C57649" w:rsidRPr="008B24C9">
        <w:rPr>
          <w:szCs w:val="24"/>
        </w:rPr>
        <w:t xml:space="preserve"> </w:t>
      </w:r>
      <w:r w:rsidR="00C57649">
        <w:rPr>
          <w:szCs w:val="24"/>
        </w:rPr>
        <w:t>an elementary</w:t>
      </w:r>
      <w:r w:rsidR="00C57649" w:rsidRPr="008B24C9">
        <w:rPr>
          <w:szCs w:val="24"/>
        </w:rPr>
        <w:t xml:space="preserve"> </w:t>
      </w:r>
      <w:r w:rsidR="00C57649">
        <w:rPr>
          <w:szCs w:val="24"/>
        </w:rPr>
        <w:t>calculation of this ratio</w:t>
      </w:r>
      <w:r w:rsidR="00C57649" w:rsidRPr="008B24C9">
        <w:rPr>
          <w:szCs w:val="24"/>
        </w:rPr>
        <w:t xml:space="preserve">. </w:t>
      </w:r>
      <w:r w:rsidR="00C57649">
        <w:rPr>
          <w:szCs w:val="24"/>
        </w:rPr>
        <w:t xml:space="preserve"> Mr. Parcell shows his in Exhibit </w:t>
      </w:r>
      <w:r w:rsidR="00E47186">
        <w:rPr>
          <w:szCs w:val="24"/>
        </w:rPr>
        <w:t>No. DCP-</w:t>
      </w:r>
      <w:r w:rsidR="00C57649">
        <w:rPr>
          <w:szCs w:val="24"/>
        </w:rPr>
        <w:t xml:space="preserve">15, while Mr. Hill offers his as Exhibit No. SGH-15. </w:t>
      </w:r>
      <w:r w:rsidR="00C57649" w:rsidRPr="008B24C9">
        <w:rPr>
          <w:szCs w:val="24"/>
        </w:rPr>
        <w:t xml:space="preserve"> </w:t>
      </w:r>
      <w:r>
        <w:rPr>
          <w:szCs w:val="24"/>
        </w:rPr>
        <w:t>Mr. Parcell acknowledges that this metric is no longer used by S</w:t>
      </w:r>
      <w:r w:rsidR="00752BF7">
        <w:rPr>
          <w:szCs w:val="24"/>
        </w:rPr>
        <w:t>&amp;P</w:t>
      </w:r>
      <w:r>
        <w:rPr>
          <w:szCs w:val="24"/>
        </w:rPr>
        <w:t xml:space="preserve"> for risk rankings</w:t>
      </w:r>
      <w:r w:rsidR="00B30F11">
        <w:rPr>
          <w:szCs w:val="24"/>
        </w:rPr>
        <w:t xml:space="preserve">, yet </w:t>
      </w:r>
      <w:r w:rsidR="00EC4D15">
        <w:rPr>
          <w:szCs w:val="24"/>
        </w:rPr>
        <w:t xml:space="preserve">he </w:t>
      </w:r>
      <w:r w:rsidR="00B30F11">
        <w:rPr>
          <w:szCs w:val="24"/>
        </w:rPr>
        <w:t>goes ahead and compares the resulting coverage ratio to the S</w:t>
      </w:r>
      <w:r w:rsidR="00752BF7">
        <w:rPr>
          <w:szCs w:val="24"/>
        </w:rPr>
        <w:t>&amp;P</w:t>
      </w:r>
      <w:r w:rsidR="00B30F11">
        <w:rPr>
          <w:szCs w:val="24"/>
        </w:rPr>
        <w:t xml:space="preserve"> benchmarks</w:t>
      </w:r>
      <w:r>
        <w:rPr>
          <w:szCs w:val="24"/>
        </w:rPr>
        <w:t xml:space="preserve">.  </w:t>
      </w:r>
    </w:p>
    <w:p w:rsidR="0021705D" w:rsidRDefault="00B30F11" w:rsidP="00CC236A">
      <w:pPr>
        <w:pStyle w:val="QAAnswer"/>
        <w:tabs>
          <w:tab w:val="num" w:pos="720"/>
        </w:tabs>
        <w:spacing w:after="0" w:line="480" w:lineRule="auto"/>
        <w:ind w:left="720" w:hanging="720"/>
        <w:jc w:val="left"/>
        <w:rPr>
          <w:szCs w:val="24"/>
        </w:rPr>
      </w:pPr>
      <w:r>
        <w:rPr>
          <w:szCs w:val="24"/>
        </w:rPr>
        <w:tab/>
      </w:r>
      <w:r w:rsidR="00F06E3E">
        <w:rPr>
          <w:szCs w:val="24"/>
        </w:rPr>
        <w:tab/>
      </w:r>
      <w:r>
        <w:rPr>
          <w:szCs w:val="24"/>
        </w:rPr>
        <w:t xml:space="preserve">Importantly, neither Mr. Parcell nor Mr. Hill has taken into account imputed debt, which is an important factor considered by investors when assessing financial strength and credit quality.  </w:t>
      </w:r>
      <w:r w:rsidR="00EF435D">
        <w:rPr>
          <w:szCs w:val="24"/>
        </w:rPr>
        <w:t xml:space="preserve">And, as pointed out by </w:t>
      </w:r>
      <w:r w:rsidR="009315DF">
        <w:rPr>
          <w:szCs w:val="24"/>
        </w:rPr>
        <w:t>Mr. Williams</w:t>
      </w:r>
      <w:r w:rsidR="00EF435D">
        <w:rPr>
          <w:szCs w:val="24"/>
        </w:rPr>
        <w:t xml:space="preserve">, </w:t>
      </w:r>
      <w:r w:rsidR="009315DF">
        <w:rPr>
          <w:szCs w:val="24"/>
        </w:rPr>
        <w:t xml:space="preserve">in their credit </w:t>
      </w:r>
      <w:r w:rsidR="008F1C73">
        <w:rPr>
          <w:szCs w:val="24"/>
        </w:rPr>
        <w:t xml:space="preserve">metrics </w:t>
      </w:r>
      <w:r w:rsidR="009315DF">
        <w:rPr>
          <w:szCs w:val="24"/>
        </w:rPr>
        <w:t xml:space="preserve">analysis, </w:t>
      </w:r>
      <w:r w:rsidR="00EF435D">
        <w:rPr>
          <w:szCs w:val="24"/>
        </w:rPr>
        <w:t xml:space="preserve">none of the parties take into consideration the impact of the </w:t>
      </w:r>
      <w:r w:rsidR="009315DF">
        <w:rPr>
          <w:szCs w:val="24"/>
        </w:rPr>
        <w:t xml:space="preserve">significant </w:t>
      </w:r>
      <w:r w:rsidR="00EF435D">
        <w:rPr>
          <w:szCs w:val="24"/>
        </w:rPr>
        <w:t xml:space="preserve">adjustments that they are proposing in this case or </w:t>
      </w:r>
      <w:r w:rsidR="00682CC0">
        <w:rPr>
          <w:szCs w:val="24"/>
        </w:rPr>
        <w:t xml:space="preserve">attrition, which I understand to be a real issue for the Company in Washington.  </w:t>
      </w:r>
      <w:r>
        <w:rPr>
          <w:szCs w:val="24"/>
        </w:rPr>
        <w:t>As a result, these witnesses present ratios that are biased and suggest higher credit metrics and a stronger financial position than actually applies to the Company.</w:t>
      </w:r>
    </w:p>
    <w:p w:rsidR="008A7308" w:rsidRDefault="0003504F" w:rsidP="0061235F">
      <w:pPr>
        <w:pStyle w:val="QAAnswer"/>
        <w:widowControl w:val="0"/>
        <w:tabs>
          <w:tab w:val="num" w:pos="720"/>
        </w:tabs>
        <w:spacing w:after="0" w:line="480" w:lineRule="auto"/>
        <w:ind w:left="720" w:hanging="720"/>
        <w:jc w:val="left"/>
        <w:rPr>
          <w:szCs w:val="24"/>
        </w:rPr>
      </w:pPr>
      <w:r w:rsidRPr="008B24C9">
        <w:rPr>
          <w:szCs w:val="24"/>
        </w:rPr>
        <w:tab/>
      </w:r>
      <w:r w:rsidR="00F06E3E">
        <w:rPr>
          <w:szCs w:val="24"/>
        </w:rPr>
        <w:tab/>
      </w:r>
      <w:r w:rsidR="008A7308">
        <w:rPr>
          <w:szCs w:val="24"/>
        </w:rPr>
        <w:t>Interestingly, Mr. Hill’s shows a pre-tax coverage ratio that corresponds to a BBB-ratings bracket on Mr. Parcell’s benchmark ratios.  Hence, Mr. Hill’s analysis suggests financials that correspond to a lower credit rating than the Company currently carries with S</w:t>
      </w:r>
      <w:r w:rsidR="00752BF7">
        <w:rPr>
          <w:szCs w:val="24"/>
        </w:rPr>
        <w:t>&amp;P</w:t>
      </w:r>
      <w:r w:rsidR="008A7308">
        <w:rPr>
          <w:szCs w:val="24"/>
        </w:rPr>
        <w:t xml:space="preserve">.  </w:t>
      </w:r>
      <w:r w:rsidR="008A7308">
        <w:t xml:space="preserve">If adopted, these witnesses recommendations would not yield the </w:t>
      </w:r>
      <w:r w:rsidR="008A7308" w:rsidRPr="00384017">
        <w:rPr>
          <w:szCs w:val="24"/>
        </w:rPr>
        <w:t>“credit-sustaining revenue”</w:t>
      </w:r>
      <w:r w:rsidR="008A7308" w:rsidRPr="008A7308">
        <w:rPr>
          <w:rStyle w:val="FootnoteReference"/>
          <w:szCs w:val="24"/>
        </w:rPr>
        <w:t xml:space="preserve"> </w:t>
      </w:r>
      <w:r w:rsidR="008A7308" w:rsidRPr="00384017">
        <w:rPr>
          <w:rStyle w:val="FootnoteReference"/>
          <w:szCs w:val="24"/>
        </w:rPr>
        <w:footnoteReference w:id="47"/>
      </w:r>
      <w:r w:rsidR="008A7308">
        <w:rPr>
          <w:szCs w:val="24"/>
        </w:rPr>
        <w:t xml:space="preserve"> that is necessary for the proper </w:t>
      </w:r>
      <w:r w:rsidR="0038384D">
        <w:rPr>
          <w:szCs w:val="24"/>
        </w:rPr>
        <w:t>discharge of the Company’s duties.</w:t>
      </w:r>
    </w:p>
    <w:p w:rsidR="00F56CEA" w:rsidRPr="00384017" w:rsidRDefault="003105A0" w:rsidP="0051265E">
      <w:pPr>
        <w:pStyle w:val="Heading1"/>
        <w:spacing w:after="0" w:line="480" w:lineRule="auto"/>
        <w:ind w:left="0"/>
      </w:pPr>
      <w:bookmarkStart w:id="41" w:name="_Toc403726965"/>
      <w:r>
        <w:t xml:space="preserve">X. </w:t>
      </w:r>
      <w:r w:rsidR="000A74D5">
        <w:t xml:space="preserve">  </w:t>
      </w:r>
      <w:r w:rsidR="00F56CEA">
        <w:t>Updated Cost of Equity Analysis</w:t>
      </w:r>
      <w:bookmarkEnd w:id="41"/>
      <w:r w:rsidR="00F56CEA">
        <w:t xml:space="preserve"> </w:t>
      </w:r>
    </w:p>
    <w:p w:rsidR="00B65BCB" w:rsidRPr="005E6531" w:rsidRDefault="00B65BCB" w:rsidP="0051265E">
      <w:pPr>
        <w:pStyle w:val="QAQuestion"/>
        <w:tabs>
          <w:tab w:val="num" w:pos="720"/>
        </w:tabs>
        <w:spacing w:after="0" w:line="480" w:lineRule="auto"/>
        <w:ind w:left="720" w:hanging="720"/>
        <w:jc w:val="left"/>
        <w:rPr>
          <w:b/>
          <w:szCs w:val="24"/>
        </w:rPr>
      </w:pPr>
      <w:r w:rsidRPr="005E6531">
        <w:rPr>
          <w:b/>
          <w:szCs w:val="24"/>
        </w:rPr>
        <w:t xml:space="preserve">Q. </w:t>
      </w:r>
      <w:r w:rsidRPr="005E6531">
        <w:rPr>
          <w:b/>
          <w:szCs w:val="24"/>
        </w:rPr>
        <w:tab/>
        <w:t>Please describe your approach to updating the cost-of-capital models and estimate.</w:t>
      </w:r>
    </w:p>
    <w:p w:rsidR="00B65BCB" w:rsidRDefault="00B65BCB" w:rsidP="00CC236A">
      <w:pPr>
        <w:pStyle w:val="QAAnswer"/>
        <w:tabs>
          <w:tab w:val="num" w:pos="720"/>
        </w:tabs>
        <w:spacing w:after="0" w:line="480" w:lineRule="auto"/>
        <w:ind w:left="720" w:hanging="720"/>
        <w:jc w:val="left"/>
        <w:rPr>
          <w:szCs w:val="24"/>
        </w:rPr>
      </w:pPr>
      <w:r>
        <w:rPr>
          <w:szCs w:val="24"/>
        </w:rPr>
        <w:t xml:space="preserve">A. </w:t>
      </w:r>
      <w:r>
        <w:rPr>
          <w:szCs w:val="24"/>
        </w:rPr>
        <w:tab/>
        <w:t xml:space="preserve">I applied the same criteria and same models that were used to develop my recommendation for the Company’s direct filing.  The update performed simply refreshes the analyses with data through early November of this year. </w:t>
      </w:r>
    </w:p>
    <w:p w:rsidR="00B65BCB" w:rsidRPr="008D5617" w:rsidRDefault="00B65BCB" w:rsidP="00CC236A">
      <w:pPr>
        <w:pStyle w:val="QAQuestion"/>
        <w:tabs>
          <w:tab w:val="num" w:pos="720"/>
        </w:tabs>
        <w:spacing w:after="0" w:line="480" w:lineRule="auto"/>
        <w:ind w:left="720" w:hanging="720"/>
        <w:jc w:val="left"/>
        <w:rPr>
          <w:b/>
          <w:szCs w:val="24"/>
        </w:rPr>
      </w:pPr>
      <w:r w:rsidRPr="008D5617">
        <w:rPr>
          <w:b/>
          <w:szCs w:val="24"/>
        </w:rPr>
        <w:t xml:space="preserve">Q. </w:t>
      </w:r>
      <w:r w:rsidRPr="008D5617">
        <w:rPr>
          <w:b/>
          <w:szCs w:val="24"/>
        </w:rPr>
        <w:tab/>
      </w:r>
      <w:r>
        <w:rPr>
          <w:b/>
          <w:szCs w:val="24"/>
        </w:rPr>
        <w:t xml:space="preserve">Did you update the </w:t>
      </w:r>
      <w:r w:rsidR="00F0602C">
        <w:rPr>
          <w:b/>
          <w:szCs w:val="24"/>
        </w:rPr>
        <w:t>p</w:t>
      </w:r>
      <w:r>
        <w:rPr>
          <w:b/>
          <w:szCs w:val="24"/>
        </w:rPr>
        <w:t xml:space="preserve">roxy </w:t>
      </w:r>
      <w:r w:rsidR="00F0602C">
        <w:rPr>
          <w:b/>
          <w:szCs w:val="24"/>
        </w:rPr>
        <w:t>g</w:t>
      </w:r>
      <w:r>
        <w:rPr>
          <w:b/>
          <w:szCs w:val="24"/>
        </w:rPr>
        <w:t>roup in connection with the preparation of this rebuttal testimony?</w:t>
      </w:r>
    </w:p>
    <w:p w:rsidR="00B65BCB" w:rsidRDefault="00B65BCB" w:rsidP="00CC236A">
      <w:pPr>
        <w:pStyle w:val="QAAnswer"/>
        <w:tabs>
          <w:tab w:val="num" w:pos="720"/>
        </w:tabs>
        <w:spacing w:after="0" w:line="480" w:lineRule="auto"/>
        <w:ind w:left="720" w:hanging="720"/>
        <w:jc w:val="left"/>
        <w:rPr>
          <w:szCs w:val="24"/>
        </w:rPr>
      </w:pPr>
      <w:r>
        <w:rPr>
          <w:szCs w:val="24"/>
        </w:rPr>
        <w:t xml:space="preserve">A. </w:t>
      </w:r>
      <w:r>
        <w:rPr>
          <w:szCs w:val="24"/>
        </w:rPr>
        <w:tab/>
        <w:t xml:space="preserve">Yes, it was necessary to update the </w:t>
      </w:r>
      <w:r w:rsidR="00F0602C">
        <w:rPr>
          <w:szCs w:val="24"/>
        </w:rPr>
        <w:t>p</w:t>
      </w:r>
      <w:r>
        <w:rPr>
          <w:szCs w:val="24"/>
        </w:rPr>
        <w:t xml:space="preserve">roxy </w:t>
      </w:r>
      <w:r w:rsidR="00F0602C">
        <w:rPr>
          <w:szCs w:val="24"/>
        </w:rPr>
        <w:t>g</w:t>
      </w:r>
      <w:r>
        <w:rPr>
          <w:szCs w:val="24"/>
        </w:rPr>
        <w:t xml:space="preserve">roup in order to assure that that all companies continue to pass the screens, and that consequently the models continue to yield robust results. </w:t>
      </w:r>
    </w:p>
    <w:p w:rsidR="00B65BCB" w:rsidRPr="008D5617" w:rsidRDefault="00B65BCB" w:rsidP="00CC236A">
      <w:pPr>
        <w:pStyle w:val="QAQuestion"/>
        <w:tabs>
          <w:tab w:val="num" w:pos="720"/>
        </w:tabs>
        <w:spacing w:after="0" w:line="480" w:lineRule="auto"/>
        <w:ind w:left="720" w:hanging="720"/>
        <w:jc w:val="left"/>
        <w:rPr>
          <w:b/>
          <w:szCs w:val="24"/>
        </w:rPr>
      </w:pPr>
      <w:r w:rsidRPr="008D5617">
        <w:rPr>
          <w:b/>
          <w:szCs w:val="24"/>
        </w:rPr>
        <w:t xml:space="preserve">Q. </w:t>
      </w:r>
      <w:r w:rsidRPr="008D5617">
        <w:rPr>
          <w:b/>
          <w:szCs w:val="24"/>
        </w:rPr>
        <w:tab/>
      </w:r>
      <w:r>
        <w:rPr>
          <w:b/>
          <w:szCs w:val="24"/>
        </w:rPr>
        <w:t>Which companies do you include in your Rebuttal Proxy Group?</w:t>
      </w:r>
    </w:p>
    <w:p w:rsidR="008816D8" w:rsidRDefault="008816D8" w:rsidP="0061235F">
      <w:pPr>
        <w:pStyle w:val="QAAnswer"/>
        <w:tabs>
          <w:tab w:val="num" w:pos="720"/>
        </w:tabs>
        <w:spacing w:after="0" w:line="480" w:lineRule="auto"/>
        <w:ind w:left="720" w:hanging="720"/>
        <w:jc w:val="left"/>
        <w:rPr>
          <w:szCs w:val="24"/>
        </w:rPr>
      </w:pPr>
      <w:r>
        <w:rPr>
          <w:szCs w:val="24"/>
        </w:rPr>
        <w:t xml:space="preserve">A. </w:t>
      </w:r>
      <w:r>
        <w:rPr>
          <w:szCs w:val="24"/>
        </w:rPr>
        <w:tab/>
      </w:r>
      <w:r w:rsidR="00493153" w:rsidRPr="00493153">
        <w:rPr>
          <w:szCs w:val="24"/>
        </w:rPr>
        <w:t>The Proxy Group is comprised of the following twenty-</w:t>
      </w:r>
      <w:r w:rsidR="006A540F">
        <w:rPr>
          <w:szCs w:val="24"/>
        </w:rPr>
        <w:t>six</w:t>
      </w:r>
      <w:r w:rsidR="006A540F" w:rsidRPr="00493153">
        <w:rPr>
          <w:szCs w:val="24"/>
        </w:rPr>
        <w:t xml:space="preserve"> </w:t>
      </w:r>
      <w:r w:rsidR="00493153" w:rsidRPr="00493153">
        <w:rPr>
          <w:szCs w:val="24"/>
        </w:rPr>
        <w:t xml:space="preserve">companies: 1) Alliant Energy Corp.;  2) Ameren Corp.;  3) American Electric Power Co., Inc.;  4) Avista Corp.; 5) Black Hills Corp.;  6) CenterPoint Energy, Inc.;  7) Consolidated Edison, Inc.;  8) Dominion Resources, Inc.;  9)  DTE Energy Company;  10) Edison International;  11) El Paso Electric Co.;  12) Empire District Electric Co.;  13) Great Plains Energy Inc.;   14) IDACORP, Inc.;  15) NextEra Energy Inc.; 16) Northeast Utilities; 17) NorthWestern Corp.; 18) Pinnacle West Capital Corp.; 19) Portland General Electric Company;  20) Public Service Enterprise Group Incorporated; 21) SCANA Corporation; 22) </w:t>
      </w:r>
      <w:r w:rsidR="006A540F">
        <w:rPr>
          <w:szCs w:val="24"/>
        </w:rPr>
        <w:t xml:space="preserve">Sempra Energy; </w:t>
      </w:r>
      <w:r w:rsidR="00493153" w:rsidRPr="00493153">
        <w:rPr>
          <w:szCs w:val="24"/>
        </w:rPr>
        <w:t xml:space="preserve">23) </w:t>
      </w:r>
      <w:r w:rsidR="006A540F" w:rsidRPr="00493153">
        <w:rPr>
          <w:szCs w:val="24"/>
        </w:rPr>
        <w:t xml:space="preserve">Southern Co.; </w:t>
      </w:r>
      <w:r w:rsidR="006A540F" w:rsidRPr="00FD2593">
        <w:rPr>
          <w:szCs w:val="24"/>
        </w:rPr>
        <w:t xml:space="preserve"> </w:t>
      </w:r>
      <w:r w:rsidR="006A540F" w:rsidRPr="00493153">
        <w:rPr>
          <w:szCs w:val="24"/>
        </w:rPr>
        <w:t xml:space="preserve">24) </w:t>
      </w:r>
      <w:r w:rsidR="006A540F" w:rsidRPr="00FD2593">
        <w:rPr>
          <w:szCs w:val="24"/>
        </w:rPr>
        <w:t>Vectren Corp.</w:t>
      </w:r>
      <w:r w:rsidR="006A540F">
        <w:rPr>
          <w:szCs w:val="24"/>
        </w:rPr>
        <w:t xml:space="preserve">; </w:t>
      </w:r>
      <w:r w:rsidR="006A540F" w:rsidRPr="00FE77C1">
        <w:rPr>
          <w:szCs w:val="24"/>
        </w:rPr>
        <w:t>25)</w:t>
      </w:r>
      <w:r w:rsidR="006A540F">
        <w:rPr>
          <w:szCs w:val="24"/>
        </w:rPr>
        <w:t xml:space="preserve"> </w:t>
      </w:r>
      <w:r w:rsidR="00493153" w:rsidRPr="00493153">
        <w:rPr>
          <w:szCs w:val="24"/>
        </w:rPr>
        <w:t xml:space="preserve">Westar Energy, Inc.; and </w:t>
      </w:r>
      <w:r w:rsidR="006A540F" w:rsidRPr="00FE77C1">
        <w:rPr>
          <w:szCs w:val="24"/>
        </w:rPr>
        <w:t xml:space="preserve">26) </w:t>
      </w:r>
      <w:r w:rsidR="00493153" w:rsidRPr="00493153">
        <w:rPr>
          <w:szCs w:val="24"/>
        </w:rPr>
        <w:t xml:space="preserve">Xcel Energy Inc.  </w:t>
      </w:r>
    </w:p>
    <w:p w:rsidR="00B65BCB" w:rsidRPr="008D5617" w:rsidRDefault="00B65BCB" w:rsidP="0061235F">
      <w:pPr>
        <w:pStyle w:val="QAQuestion"/>
        <w:tabs>
          <w:tab w:val="num" w:pos="720"/>
        </w:tabs>
        <w:spacing w:after="0" w:line="480" w:lineRule="auto"/>
        <w:ind w:left="720" w:hanging="720"/>
        <w:jc w:val="left"/>
        <w:rPr>
          <w:b/>
          <w:szCs w:val="24"/>
        </w:rPr>
      </w:pPr>
      <w:r w:rsidRPr="008D5617">
        <w:rPr>
          <w:b/>
          <w:szCs w:val="24"/>
        </w:rPr>
        <w:t xml:space="preserve">Q. </w:t>
      </w:r>
      <w:r w:rsidRPr="008D5617">
        <w:rPr>
          <w:b/>
          <w:szCs w:val="24"/>
        </w:rPr>
        <w:tab/>
      </w:r>
      <w:r>
        <w:rPr>
          <w:b/>
          <w:szCs w:val="24"/>
        </w:rPr>
        <w:t xml:space="preserve">Please identify the changes to your proxy group relative to the one used in your </w:t>
      </w:r>
      <w:r w:rsidR="008C0C2C">
        <w:rPr>
          <w:b/>
          <w:szCs w:val="24"/>
        </w:rPr>
        <w:t>d</w:t>
      </w:r>
      <w:r>
        <w:rPr>
          <w:b/>
          <w:szCs w:val="24"/>
        </w:rPr>
        <w:t xml:space="preserve">irect </w:t>
      </w:r>
      <w:r w:rsidR="008C0C2C">
        <w:rPr>
          <w:b/>
          <w:szCs w:val="24"/>
        </w:rPr>
        <w:t>t</w:t>
      </w:r>
      <w:r>
        <w:rPr>
          <w:b/>
          <w:szCs w:val="24"/>
        </w:rPr>
        <w:t>estimony.</w:t>
      </w:r>
    </w:p>
    <w:p w:rsidR="00B65BCB" w:rsidRDefault="00B65BCB" w:rsidP="0061235F">
      <w:pPr>
        <w:pStyle w:val="QAAnswer"/>
        <w:tabs>
          <w:tab w:val="num" w:pos="720"/>
        </w:tabs>
        <w:spacing w:after="0" w:line="480" w:lineRule="auto"/>
        <w:ind w:left="720" w:hanging="720"/>
        <w:jc w:val="left"/>
        <w:rPr>
          <w:szCs w:val="24"/>
        </w:rPr>
      </w:pPr>
      <w:r>
        <w:rPr>
          <w:szCs w:val="24"/>
        </w:rPr>
        <w:t xml:space="preserve">A. </w:t>
      </w:r>
      <w:r>
        <w:rPr>
          <w:szCs w:val="24"/>
        </w:rPr>
        <w:tab/>
      </w:r>
      <w:r w:rsidR="00493153" w:rsidRPr="00493153">
        <w:rPr>
          <w:szCs w:val="24"/>
        </w:rPr>
        <w:t xml:space="preserve">The screening analysis performed called for the addition of </w:t>
      </w:r>
      <w:r w:rsidR="00C03AD7">
        <w:rPr>
          <w:szCs w:val="24"/>
        </w:rPr>
        <w:t>seven</w:t>
      </w:r>
      <w:r w:rsidR="00C03AD7" w:rsidRPr="00493153">
        <w:rPr>
          <w:szCs w:val="24"/>
        </w:rPr>
        <w:t xml:space="preserve"> </w:t>
      </w:r>
      <w:r w:rsidR="00493153" w:rsidRPr="00493153">
        <w:rPr>
          <w:szCs w:val="24"/>
        </w:rPr>
        <w:t>companies to the proxy group and the elimination of five companies.  The rationale for addit</w:t>
      </w:r>
      <w:r w:rsidR="003105A0">
        <w:rPr>
          <w:szCs w:val="24"/>
        </w:rPr>
        <w:t>ion or elimination is set forth below</w:t>
      </w:r>
      <w:r w:rsidR="00493153" w:rsidRPr="00493153">
        <w:rPr>
          <w:szCs w:val="24"/>
        </w:rPr>
        <w:t xml:space="preserve">: </w:t>
      </w:r>
    </w:p>
    <w:p w:rsidR="008816D8" w:rsidRDefault="00CC236A" w:rsidP="0061235F">
      <w:pPr>
        <w:pStyle w:val="QAAnswer"/>
        <w:tabs>
          <w:tab w:val="num" w:pos="720"/>
        </w:tabs>
        <w:spacing w:after="0" w:line="480" w:lineRule="auto"/>
        <w:ind w:left="720" w:hanging="720"/>
        <w:jc w:val="left"/>
        <w:rPr>
          <w:szCs w:val="24"/>
        </w:rPr>
      </w:pPr>
      <w:r>
        <w:rPr>
          <w:szCs w:val="24"/>
        </w:rPr>
        <w:tab/>
      </w:r>
      <w:r w:rsidR="008816D8" w:rsidRPr="00FE5AA1">
        <w:rPr>
          <w:szCs w:val="24"/>
        </w:rPr>
        <w:t>Additions</w:t>
      </w:r>
      <w:r w:rsidR="003105A0">
        <w:rPr>
          <w:szCs w:val="24"/>
        </w:rPr>
        <w:t>:</w:t>
      </w:r>
    </w:p>
    <w:p w:rsidR="00493153" w:rsidRPr="00493153" w:rsidRDefault="00493153" w:rsidP="00F06E3E">
      <w:pPr>
        <w:pStyle w:val="ListParagraph"/>
        <w:numPr>
          <w:ilvl w:val="2"/>
          <w:numId w:val="20"/>
        </w:numPr>
        <w:tabs>
          <w:tab w:val="left" w:pos="720"/>
          <w:tab w:val="left" w:pos="1440"/>
        </w:tabs>
        <w:spacing w:after="0" w:line="480" w:lineRule="auto"/>
        <w:ind w:left="1080" w:right="288"/>
        <w:jc w:val="left"/>
        <w:rPr>
          <w:sz w:val="24"/>
          <w:szCs w:val="24"/>
        </w:rPr>
      </w:pPr>
      <w:r w:rsidRPr="00493153">
        <w:rPr>
          <w:sz w:val="24"/>
          <w:szCs w:val="24"/>
        </w:rPr>
        <w:t>I added Ameren Corp. because it now passes all screens, incl</w:t>
      </w:r>
      <w:r w:rsidR="003105A0">
        <w:rPr>
          <w:sz w:val="24"/>
          <w:szCs w:val="24"/>
        </w:rPr>
        <w:t>uding the positive five-</w:t>
      </w:r>
      <w:r w:rsidRPr="00493153">
        <w:rPr>
          <w:sz w:val="24"/>
          <w:szCs w:val="24"/>
        </w:rPr>
        <w:t>year growth forecast screen.</w:t>
      </w:r>
    </w:p>
    <w:p w:rsidR="00493153" w:rsidRPr="00493153" w:rsidRDefault="00493153" w:rsidP="00F06E3E">
      <w:pPr>
        <w:pStyle w:val="ListParagraph"/>
        <w:numPr>
          <w:ilvl w:val="2"/>
          <w:numId w:val="20"/>
        </w:numPr>
        <w:tabs>
          <w:tab w:val="left" w:pos="720"/>
          <w:tab w:val="left" w:pos="1440"/>
        </w:tabs>
        <w:spacing w:after="0" w:line="480" w:lineRule="auto"/>
        <w:ind w:left="1080" w:right="288"/>
        <w:jc w:val="left"/>
        <w:rPr>
          <w:sz w:val="24"/>
          <w:szCs w:val="24"/>
        </w:rPr>
      </w:pPr>
      <w:r w:rsidRPr="00493153">
        <w:rPr>
          <w:sz w:val="24"/>
          <w:szCs w:val="24"/>
        </w:rPr>
        <w:t>I added Edison International because it now passes all scree</w:t>
      </w:r>
      <w:r w:rsidR="003105A0">
        <w:rPr>
          <w:sz w:val="24"/>
          <w:szCs w:val="24"/>
        </w:rPr>
        <w:t>ns, including the positive five-</w:t>
      </w:r>
      <w:r w:rsidRPr="00493153">
        <w:rPr>
          <w:sz w:val="24"/>
          <w:szCs w:val="24"/>
        </w:rPr>
        <w:t>year growth forecast screen.</w:t>
      </w:r>
    </w:p>
    <w:p w:rsidR="00493153" w:rsidRPr="00493153" w:rsidRDefault="00493153" w:rsidP="00F06E3E">
      <w:pPr>
        <w:pStyle w:val="ListParagraph"/>
        <w:numPr>
          <w:ilvl w:val="2"/>
          <w:numId w:val="20"/>
        </w:numPr>
        <w:tabs>
          <w:tab w:val="left" w:pos="720"/>
          <w:tab w:val="left" w:pos="1440"/>
        </w:tabs>
        <w:spacing w:after="0" w:line="480" w:lineRule="auto"/>
        <w:ind w:left="1080" w:right="288"/>
        <w:jc w:val="left"/>
        <w:rPr>
          <w:sz w:val="24"/>
          <w:szCs w:val="24"/>
        </w:rPr>
      </w:pPr>
      <w:r w:rsidRPr="00493153">
        <w:rPr>
          <w:sz w:val="24"/>
          <w:szCs w:val="24"/>
        </w:rPr>
        <w:t>I added Empire District Electric Co. because it now passes all screens, including the non-negative dividend growth screen.</w:t>
      </w:r>
    </w:p>
    <w:p w:rsidR="006A540F" w:rsidRDefault="00493153" w:rsidP="00F06E3E">
      <w:pPr>
        <w:pStyle w:val="ListParagraph"/>
        <w:numPr>
          <w:ilvl w:val="2"/>
          <w:numId w:val="20"/>
        </w:numPr>
        <w:tabs>
          <w:tab w:val="left" w:pos="720"/>
          <w:tab w:val="left" w:pos="1440"/>
        </w:tabs>
        <w:spacing w:after="0" w:line="480" w:lineRule="auto"/>
        <w:ind w:left="1080" w:right="288"/>
        <w:jc w:val="left"/>
        <w:rPr>
          <w:sz w:val="24"/>
          <w:szCs w:val="24"/>
        </w:rPr>
      </w:pPr>
      <w:r w:rsidRPr="00493153">
        <w:rPr>
          <w:sz w:val="24"/>
          <w:szCs w:val="24"/>
        </w:rPr>
        <w:t>I added Public Service Enterprise Group Incorporated because it now passes all scree</w:t>
      </w:r>
      <w:r w:rsidR="003105A0">
        <w:rPr>
          <w:sz w:val="24"/>
          <w:szCs w:val="24"/>
        </w:rPr>
        <w:t>ns, including the positive five-</w:t>
      </w:r>
      <w:r w:rsidRPr="00493153">
        <w:rPr>
          <w:sz w:val="24"/>
          <w:szCs w:val="24"/>
        </w:rPr>
        <w:t>year growth forecast screen.</w:t>
      </w:r>
      <w:r w:rsidR="00FD2593">
        <w:rPr>
          <w:sz w:val="24"/>
          <w:szCs w:val="24"/>
        </w:rPr>
        <w:t xml:space="preserve">  </w:t>
      </w:r>
      <w:r w:rsidRPr="006A540F">
        <w:rPr>
          <w:sz w:val="24"/>
          <w:szCs w:val="24"/>
        </w:rPr>
        <w:t>I added Great Plains Energy Inc. because it now passes all screens, including the credit rating screen.</w:t>
      </w:r>
    </w:p>
    <w:p w:rsidR="006A540F" w:rsidRDefault="006A540F" w:rsidP="00F06E3E">
      <w:pPr>
        <w:pStyle w:val="ListParagraph"/>
        <w:numPr>
          <w:ilvl w:val="2"/>
          <w:numId w:val="20"/>
        </w:numPr>
        <w:tabs>
          <w:tab w:val="left" w:pos="720"/>
          <w:tab w:val="left" w:pos="1440"/>
        </w:tabs>
        <w:spacing w:after="0" w:line="480" w:lineRule="auto"/>
        <w:ind w:left="1080" w:right="288"/>
        <w:jc w:val="left"/>
        <w:rPr>
          <w:sz w:val="24"/>
          <w:szCs w:val="24"/>
        </w:rPr>
      </w:pPr>
      <w:r>
        <w:rPr>
          <w:sz w:val="24"/>
          <w:szCs w:val="24"/>
        </w:rPr>
        <w:t>I added Sempra Energy as it now passes the revenue from regulated operations screen.</w:t>
      </w:r>
    </w:p>
    <w:p w:rsidR="0061235F" w:rsidRPr="0061235F" w:rsidRDefault="006A540F" w:rsidP="00F06E3E">
      <w:pPr>
        <w:pStyle w:val="ListParagraph"/>
        <w:numPr>
          <w:ilvl w:val="2"/>
          <w:numId w:val="20"/>
        </w:numPr>
        <w:tabs>
          <w:tab w:val="left" w:pos="720"/>
          <w:tab w:val="left" w:pos="1440"/>
        </w:tabs>
        <w:spacing w:after="0" w:line="480" w:lineRule="auto"/>
        <w:ind w:left="1080" w:right="288"/>
        <w:jc w:val="left"/>
        <w:rPr>
          <w:szCs w:val="24"/>
          <w:u w:val="single"/>
        </w:rPr>
      </w:pPr>
      <w:r>
        <w:rPr>
          <w:sz w:val="24"/>
          <w:szCs w:val="24"/>
        </w:rPr>
        <w:t>I added Vectren Corp. as it now passes the revenue from regulated operations screen.</w:t>
      </w:r>
      <w:r w:rsidR="008816D8" w:rsidRPr="006A540F">
        <w:rPr>
          <w:szCs w:val="24"/>
        </w:rPr>
        <w:tab/>
      </w:r>
    </w:p>
    <w:p w:rsidR="0061235F" w:rsidRPr="0061235F" w:rsidRDefault="0061235F" w:rsidP="0061235F">
      <w:pPr>
        <w:suppressLineNumbers/>
        <w:tabs>
          <w:tab w:val="left" w:pos="720"/>
          <w:tab w:val="left" w:pos="1440"/>
        </w:tabs>
        <w:spacing w:line="480" w:lineRule="auto"/>
        <w:ind w:right="288"/>
        <w:rPr>
          <w:szCs w:val="24"/>
          <w:u w:val="single"/>
        </w:rPr>
      </w:pPr>
    </w:p>
    <w:p w:rsidR="008816D8" w:rsidRDefault="008816D8" w:rsidP="0061235F">
      <w:pPr>
        <w:tabs>
          <w:tab w:val="left" w:pos="720"/>
          <w:tab w:val="left" w:pos="1440"/>
        </w:tabs>
        <w:spacing w:line="480" w:lineRule="auto"/>
        <w:ind w:right="288"/>
        <w:rPr>
          <w:szCs w:val="24"/>
          <w:u w:val="single"/>
        </w:rPr>
      </w:pPr>
      <w:r w:rsidRPr="0061235F">
        <w:rPr>
          <w:szCs w:val="24"/>
        </w:rPr>
        <w:tab/>
      </w:r>
      <w:r w:rsidRPr="00FD2593">
        <w:rPr>
          <w:szCs w:val="24"/>
        </w:rPr>
        <w:t>Eliminations</w:t>
      </w:r>
      <w:r w:rsidR="003105A0">
        <w:rPr>
          <w:szCs w:val="24"/>
        </w:rPr>
        <w:t>:</w:t>
      </w:r>
    </w:p>
    <w:p w:rsidR="008816D8" w:rsidRDefault="008816D8" w:rsidP="0061235F">
      <w:pPr>
        <w:pStyle w:val="ListParagraph"/>
        <w:numPr>
          <w:ilvl w:val="2"/>
          <w:numId w:val="20"/>
        </w:numPr>
        <w:tabs>
          <w:tab w:val="left" w:pos="720"/>
          <w:tab w:val="left" w:pos="1440"/>
        </w:tabs>
        <w:spacing w:after="0" w:line="480" w:lineRule="auto"/>
        <w:ind w:left="1080" w:right="288"/>
        <w:jc w:val="left"/>
        <w:rPr>
          <w:sz w:val="24"/>
          <w:szCs w:val="24"/>
        </w:rPr>
      </w:pPr>
      <w:r>
        <w:rPr>
          <w:sz w:val="24"/>
          <w:szCs w:val="24"/>
        </w:rPr>
        <w:t>I eliminated Pepco Holdings Inc. because it does not pass the merger screen, due to its acquisition by Exelon Corporation.  In addition, Pepco Holdings no longer passes the sustainable growth screen.</w:t>
      </w:r>
    </w:p>
    <w:p w:rsidR="00493153" w:rsidRDefault="00493153" w:rsidP="00CC236A">
      <w:pPr>
        <w:pStyle w:val="ListParagraph"/>
        <w:numPr>
          <w:ilvl w:val="2"/>
          <w:numId w:val="20"/>
        </w:numPr>
        <w:spacing w:after="0" w:line="480" w:lineRule="auto"/>
        <w:ind w:left="1080" w:right="288"/>
        <w:jc w:val="left"/>
        <w:rPr>
          <w:sz w:val="24"/>
          <w:szCs w:val="24"/>
        </w:rPr>
      </w:pPr>
      <w:r>
        <w:rPr>
          <w:sz w:val="24"/>
          <w:szCs w:val="24"/>
        </w:rPr>
        <w:t>I eliminated Cleco Corp as it no longer passes the merger screen, as it is being acquired by an investor group.</w:t>
      </w:r>
    </w:p>
    <w:p w:rsidR="00493153" w:rsidRDefault="00493153" w:rsidP="00CC236A">
      <w:pPr>
        <w:pStyle w:val="ListParagraph"/>
        <w:numPr>
          <w:ilvl w:val="2"/>
          <w:numId w:val="20"/>
        </w:numPr>
        <w:spacing w:after="0" w:line="480" w:lineRule="auto"/>
        <w:ind w:left="1080" w:right="288"/>
        <w:jc w:val="left"/>
        <w:rPr>
          <w:sz w:val="24"/>
          <w:szCs w:val="24"/>
        </w:rPr>
      </w:pPr>
      <w:r>
        <w:rPr>
          <w:sz w:val="24"/>
          <w:szCs w:val="24"/>
        </w:rPr>
        <w:t>I eliminated OGE Energy Corp as it no longer passes the non-negative dividend growth screen.</w:t>
      </w:r>
    </w:p>
    <w:p w:rsidR="00493153" w:rsidRDefault="00493153" w:rsidP="00CC236A">
      <w:pPr>
        <w:pStyle w:val="ListParagraph"/>
        <w:numPr>
          <w:ilvl w:val="2"/>
          <w:numId w:val="20"/>
        </w:numPr>
        <w:spacing w:after="0" w:line="480" w:lineRule="auto"/>
        <w:ind w:left="1080" w:right="288"/>
        <w:jc w:val="left"/>
        <w:rPr>
          <w:sz w:val="24"/>
          <w:szCs w:val="24"/>
        </w:rPr>
      </w:pPr>
      <w:r>
        <w:rPr>
          <w:sz w:val="24"/>
          <w:szCs w:val="24"/>
        </w:rPr>
        <w:t>I eliminated Wisconsin Energy Corp. because it does not pass the merger screen, due to its acquisition of Integrys Energy Group.</w:t>
      </w:r>
    </w:p>
    <w:p w:rsidR="00493153" w:rsidRDefault="00493153" w:rsidP="00CC236A">
      <w:pPr>
        <w:pStyle w:val="ListParagraph"/>
        <w:numPr>
          <w:ilvl w:val="2"/>
          <w:numId w:val="20"/>
        </w:numPr>
        <w:spacing w:after="0" w:line="480" w:lineRule="auto"/>
        <w:ind w:left="1080" w:right="288"/>
        <w:jc w:val="left"/>
        <w:rPr>
          <w:sz w:val="24"/>
          <w:szCs w:val="24"/>
        </w:rPr>
      </w:pPr>
      <w:r>
        <w:rPr>
          <w:sz w:val="24"/>
          <w:szCs w:val="24"/>
        </w:rPr>
        <w:t>I eliminated Duke Energy Corp. because it does not pass the merger screen, due to assets sold to Dynergy.</w:t>
      </w:r>
    </w:p>
    <w:p w:rsidR="008C0C2C" w:rsidRDefault="008C0C2C" w:rsidP="008C0C2C">
      <w:pPr>
        <w:pStyle w:val="QAQuestion"/>
        <w:tabs>
          <w:tab w:val="num" w:pos="720"/>
        </w:tabs>
        <w:spacing w:after="0" w:line="480" w:lineRule="auto"/>
        <w:ind w:left="720" w:hanging="720"/>
        <w:jc w:val="left"/>
        <w:rPr>
          <w:b/>
          <w:szCs w:val="24"/>
        </w:rPr>
      </w:pPr>
      <w:r>
        <w:rPr>
          <w:b/>
          <w:szCs w:val="24"/>
        </w:rPr>
        <w:t>Q.</w:t>
      </w:r>
      <w:r>
        <w:rPr>
          <w:b/>
          <w:szCs w:val="24"/>
        </w:rPr>
        <w:tab/>
        <w:t xml:space="preserve">Have you prepared exhibits illustrating your updated calculations? </w:t>
      </w:r>
    </w:p>
    <w:p w:rsidR="008C0C2C" w:rsidRDefault="00CC236A" w:rsidP="008C0C2C">
      <w:pPr>
        <w:pStyle w:val="QAAnswer"/>
        <w:tabs>
          <w:tab w:val="num" w:pos="720"/>
        </w:tabs>
        <w:spacing w:after="0" w:line="480" w:lineRule="auto"/>
        <w:ind w:left="720" w:hanging="720"/>
        <w:jc w:val="left"/>
        <w:rPr>
          <w:szCs w:val="24"/>
        </w:rPr>
      </w:pPr>
      <w:r>
        <w:rPr>
          <w:szCs w:val="24"/>
        </w:rPr>
        <w:t xml:space="preserve">A. </w:t>
      </w:r>
      <w:r>
        <w:rPr>
          <w:szCs w:val="24"/>
        </w:rPr>
        <w:tab/>
        <w:t xml:space="preserve">Yes.  Exhibit Nos. </w:t>
      </w:r>
      <w:r w:rsidR="008C0C2C">
        <w:rPr>
          <w:szCs w:val="24"/>
        </w:rPr>
        <w:t>KGS-</w:t>
      </w:r>
      <w:r w:rsidR="006A540F">
        <w:rPr>
          <w:szCs w:val="24"/>
        </w:rPr>
        <w:t>26</w:t>
      </w:r>
      <w:r>
        <w:rPr>
          <w:szCs w:val="24"/>
        </w:rPr>
        <w:t xml:space="preserve"> through </w:t>
      </w:r>
      <w:r w:rsidR="008C0C2C">
        <w:rPr>
          <w:szCs w:val="24"/>
        </w:rPr>
        <w:t>KGS-</w:t>
      </w:r>
      <w:r w:rsidR="006A540F">
        <w:rPr>
          <w:szCs w:val="24"/>
        </w:rPr>
        <w:t>3</w:t>
      </w:r>
      <w:r w:rsidR="007C0561">
        <w:rPr>
          <w:szCs w:val="24"/>
        </w:rPr>
        <w:t>2, KGS-35, and KGS-36</w:t>
      </w:r>
      <w:r w:rsidR="008C0C2C">
        <w:rPr>
          <w:szCs w:val="24"/>
        </w:rPr>
        <w:t xml:space="preserve"> contain my updated analysis</w:t>
      </w:r>
      <w:r w:rsidR="00D45AAB">
        <w:rPr>
          <w:szCs w:val="24"/>
        </w:rPr>
        <w:t xml:space="preserve"> and application of the rate-of-return models to the Rebuttal </w:t>
      </w:r>
      <w:r>
        <w:rPr>
          <w:szCs w:val="24"/>
        </w:rPr>
        <w:t xml:space="preserve">Proxy Group.  Exhibit Nos. </w:t>
      </w:r>
      <w:r w:rsidR="007C0561">
        <w:rPr>
          <w:szCs w:val="24"/>
        </w:rPr>
        <w:t>KGS-33</w:t>
      </w:r>
      <w:r>
        <w:rPr>
          <w:szCs w:val="24"/>
        </w:rPr>
        <w:t xml:space="preserve"> and </w:t>
      </w:r>
      <w:r w:rsidR="007C0561">
        <w:rPr>
          <w:szCs w:val="24"/>
        </w:rPr>
        <w:t>KGS-34</w:t>
      </w:r>
      <w:r w:rsidR="00D45AAB">
        <w:rPr>
          <w:szCs w:val="24"/>
        </w:rPr>
        <w:t xml:space="preserve"> contain updated charts showing trends in dividend yields for utilities and the broader market, and yields on long-term treasury bonds, respectively. </w:t>
      </w:r>
    </w:p>
    <w:p w:rsidR="00B65BCB" w:rsidRPr="005E6531" w:rsidRDefault="00B65BCB" w:rsidP="005E6531">
      <w:pPr>
        <w:pStyle w:val="QAQuestion"/>
        <w:tabs>
          <w:tab w:val="num" w:pos="720"/>
        </w:tabs>
        <w:spacing w:after="0" w:line="480" w:lineRule="auto"/>
        <w:ind w:left="720" w:hanging="720"/>
        <w:jc w:val="left"/>
        <w:rPr>
          <w:b/>
          <w:szCs w:val="24"/>
        </w:rPr>
      </w:pPr>
      <w:r w:rsidRPr="005E6531">
        <w:rPr>
          <w:b/>
          <w:szCs w:val="24"/>
        </w:rPr>
        <w:t xml:space="preserve">Q. </w:t>
      </w:r>
      <w:r w:rsidRPr="005E6531">
        <w:rPr>
          <w:b/>
          <w:szCs w:val="24"/>
        </w:rPr>
        <w:tab/>
        <w:t xml:space="preserve">Please summarize your </w:t>
      </w:r>
      <w:r w:rsidR="008C0C2C">
        <w:rPr>
          <w:b/>
          <w:szCs w:val="24"/>
        </w:rPr>
        <w:t>updated recommendation</w:t>
      </w:r>
      <w:r w:rsidRPr="005E6531">
        <w:rPr>
          <w:b/>
          <w:szCs w:val="24"/>
        </w:rPr>
        <w:t>.</w:t>
      </w:r>
    </w:p>
    <w:p w:rsidR="00B30F11" w:rsidRPr="00B65BCB" w:rsidRDefault="00B65BCB" w:rsidP="005E6531">
      <w:pPr>
        <w:pStyle w:val="QAAnswer"/>
        <w:tabs>
          <w:tab w:val="num" w:pos="720"/>
        </w:tabs>
        <w:spacing w:after="0" w:line="480" w:lineRule="auto"/>
        <w:ind w:left="720" w:hanging="720"/>
        <w:jc w:val="left"/>
        <w:rPr>
          <w:szCs w:val="24"/>
        </w:rPr>
      </w:pPr>
      <w:r w:rsidRPr="00B65BCB">
        <w:rPr>
          <w:szCs w:val="24"/>
        </w:rPr>
        <w:t xml:space="preserve">A. </w:t>
      </w:r>
      <w:r w:rsidRPr="00B65BCB">
        <w:rPr>
          <w:szCs w:val="24"/>
        </w:rPr>
        <w:tab/>
        <w:t>My updated analysis indicates that a reasonable rate of return for the Company’s equity owners is 10.0 percent.  This rate of return reflects the opportunity cost of capital for investments of comparable risks.  It is reflective of current capital market conditions and consistent with the returns that have been authorized for comparable electric utilities.</w:t>
      </w:r>
    </w:p>
    <w:p w:rsidR="00EB35AC" w:rsidRPr="00384017" w:rsidRDefault="007F5EDF" w:rsidP="00384017">
      <w:pPr>
        <w:pStyle w:val="QAQuestion"/>
        <w:tabs>
          <w:tab w:val="num" w:pos="720"/>
        </w:tabs>
        <w:spacing w:after="0" w:line="480" w:lineRule="auto"/>
        <w:ind w:left="720" w:hanging="720"/>
        <w:jc w:val="left"/>
        <w:rPr>
          <w:b/>
          <w:szCs w:val="24"/>
        </w:rPr>
      </w:pPr>
      <w:r w:rsidRPr="00384017">
        <w:rPr>
          <w:b/>
          <w:szCs w:val="24"/>
        </w:rPr>
        <w:t>Q.</w:t>
      </w:r>
      <w:r w:rsidRPr="00384017">
        <w:rPr>
          <w:b/>
          <w:szCs w:val="24"/>
        </w:rPr>
        <w:tab/>
        <w:t xml:space="preserve">Does this conclude your </w:t>
      </w:r>
      <w:r w:rsidR="0079454C">
        <w:rPr>
          <w:b/>
          <w:szCs w:val="24"/>
        </w:rPr>
        <w:t>rebuttal</w:t>
      </w:r>
      <w:r w:rsidRPr="00384017">
        <w:rPr>
          <w:b/>
          <w:szCs w:val="24"/>
        </w:rPr>
        <w:t xml:space="preserve"> testimony?</w:t>
      </w:r>
    </w:p>
    <w:p w:rsidR="00EB35AC" w:rsidRPr="00384017" w:rsidRDefault="00C5005B" w:rsidP="00384017">
      <w:pPr>
        <w:pStyle w:val="QAAnswer"/>
        <w:tabs>
          <w:tab w:val="num" w:pos="720"/>
        </w:tabs>
        <w:spacing w:after="0" w:line="480" w:lineRule="auto"/>
        <w:ind w:left="720" w:hanging="720"/>
        <w:jc w:val="left"/>
        <w:rPr>
          <w:szCs w:val="24"/>
        </w:rPr>
      </w:pPr>
      <w:r>
        <w:rPr>
          <w:szCs w:val="24"/>
        </w:rPr>
        <w:t>A.</w:t>
      </w:r>
      <w:r w:rsidR="007F5EDF" w:rsidRPr="00384017">
        <w:rPr>
          <w:szCs w:val="24"/>
        </w:rPr>
        <w:tab/>
        <w:t>Yes.</w:t>
      </w:r>
    </w:p>
    <w:sectPr w:rsidR="00EB35AC" w:rsidRPr="00384017" w:rsidSect="007C1C30">
      <w:footerReference w:type="first" r:id="rId14"/>
      <w:pgSz w:w="12240" w:h="15840" w:code="1"/>
      <w:pgMar w:top="1440" w:right="1440" w:bottom="1440" w:left="1800" w:header="720" w:footer="720" w:gutter="0"/>
      <w:lnNumType w:countBy="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53" w:rsidRDefault="00981653">
      <w:r>
        <w:separator/>
      </w:r>
    </w:p>
  </w:endnote>
  <w:endnote w:type="continuationSeparator" w:id="0">
    <w:p w:rsidR="00981653" w:rsidRDefault="00981653">
      <w:r>
        <w:continuationSeparator/>
      </w:r>
    </w:p>
  </w:endnote>
  <w:endnote w:type="continuationNotice" w:id="1">
    <w:p w:rsidR="00981653" w:rsidRDefault="0098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5F4E72">
      <w:trPr>
        <w:trHeight w:hRule="exact" w:val="720"/>
        <w:jc w:val="center"/>
      </w:trPr>
      <w:tc>
        <w:tcPr>
          <w:tcW w:w="3931" w:type="dxa"/>
        </w:tcPr>
        <w:p w:rsidR="005F4E72" w:rsidRDefault="005F4E72">
          <w:pPr>
            <w:pStyle w:val="DrConLeft"/>
          </w:pPr>
        </w:p>
      </w:tc>
      <w:tc>
        <w:tcPr>
          <w:tcW w:w="1584" w:type="dxa"/>
        </w:tcPr>
        <w:p w:rsidR="005F4E72" w:rsidRDefault="005F4E72">
          <w:pPr>
            <w:pStyle w:val="Footer"/>
            <w:jc w:val="center"/>
            <w:rPr>
              <w:rStyle w:val="PageNumber"/>
              <w:sz w:val="40"/>
              <w:lang w:val="es-ES"/>
            </w:rPr>
          </w:pPr>
          <w:r>
            <w:rPr>
              <w:b/>
              <w:noProof/>
              <w:sz w:val="20"/>
            </w:rPr>
            <mc:AlternateContent>
              <mc:Choice Requires="wps">
                <w:drawing>
                  <wp:anchor distT="0" distB="0" distL="114300" distR="114300" simplePos="0" relativeHeight="251657728" behindDoc="1" locked="0" layoutInCell="0" allowOverlap="1" wp14:anchorId="502FC401" wp14:editId="537F29B6">
                    <wp:simplePos x="0" y="0"/>
                    <wp:positionH relativeFrom="margin">
                      <wp:posOffset>2528570</wp:posOffset>
                    </wp:positionH>
                    <wp:positionV relativeFrom="paragraph">
                      <wp:posOffset>50800</wp:posOffset>
                    </wp:positionV>
                    <wp:extent cx="777240" cy="228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22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E72" w:rsidRDefault="005F4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99.1pt;margin-top:4pt;width:61.2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UewIAAAUFAAAOAAAAZHJzL2Uyb0RvYy54bWysVNuO2yAQfa/Uf0C8Z32Rc7EVZ7WXpqqU&#10;tqtu+wEEcIyKgQKJk6767x1wks22L6uqeSCMZxjOnDnD/HrfSbTj1gmtapxdpRhxRTUTalPjb1+X&#10;oxlGzhPFiNSK1/jAHb5evH0z703Fc91qybhFkES5qjc1br03VZI42vKOuCttuAJno21HPJh2kzBL&#10;esjeySRP00nSa8uM1ZQ7B1/vBydexPxNw6n/3DSOeyRrDNh8XG1c12FNFnNSbSwxraBHGOQfUHRE&#10;KLj0nOqeeIK2VvyVqhPUaqcbf0V1l+imEZTHGqCaLP2jmseWGB5rAXKcOdPk/l9a+mn3YJFgNc4x&#10;UqSDFn0B0ojaSI6yQE9vXAVRj+bBhgKdWWn63SGl71qI4jfW6r7lhAGoGJ+8OBAMB0fRuv+oGWQn&#10;W68jU/vGdiEhcID2sSGHc0P43iMKH6fTaV5A2yi48nw2SWPDElKdDhvr/HuuOxQ2NbYAPSYnu5Xz&#10;AB5CTyERvJaCLYWU0bCb9Z20aEeCNuIv1AtH3GWYVCFY6XBscA9fACPcEXwBbez1U5kB3Nu8HC0n&#10;s+moWBbjUTlNZ6M0K2/LSVqUxf3yVwCYFVUrGONqJRQ/6S4rXtfX4wQMionKQ32Ny3E+jrW/QO9e&#10;V2QnPIyhFF2NZ2cmSBX6+k4xKJtUngg57JOX8CNlwMHpP7ISVRAaPwjI79d7yBLUsNbsAHqwGvoF&#10;rYW3Azattj8x6mEOa+x+bInlGMkPCjRVZkVQgI9GMZ7mYNhLz/rSQxSFVDX2GA3bOz8M+9ZYsWnh&#10;pixypPQN6LARUSPPqKCEYMCsxWKO70IY5ks7Rj2/XovfAAAA//8DAFBLAwQUAAYACAAAACEApNhX&#10;PN4AAAAIAQAADwAAAGRycy9kb3ducmV2LnhtbEyPwU7DMBBE70j8g7VI3KhNSKs0xKkoEkektnCg&#10;NydekqjxOsRuG/j6Lic4jmY086ZYTa4XJxxD50nD/UyBQKq97ajR8P72cpeBCNGQNb0n1PCNAVbl&#10;9VVhcuvPtMXTLjaCSyjkRkMb45BLGeoWnQkzPyCx9+lHZyLLsZF2NGcud71MlFpIZzrihdYM+Nxi&#10;fdgdnYb1Mlt/bVJ6/dlWe9x/VId5Miqtb2+mp0cQEaf4F4ZffEaHkpkqfyQbRK/hYZklHNWQ8SX2&#10;54lagKg0pKkCWRby/4HyAgAA//8DAFBLAQItABQABgAIAAAAIQC2gziS/gAAAOEBAAATAAAAAAAA&#10;AAAAAAAAAAAAAABbQ29udGVudF9UeXBlc10ueG1sUEsBAi0AFAAGAAgAAAAhADj9If/WAAAAlAEA&#10;AAsAAAAAAAAAAAAAAAAALwEAAF9yZWxzLy5yZWxzUEsBAi0AFAAGAAgAAAAhABfmv9R7AgAABQUA&#10;AA4AAAAAAAAAAAAAAAAALgIAAGRycy9lMm9Eb2MueG1sUEsBAi0AFAAGAAgAAAAhAKTYVzzeAAAA&#10;CAEAAA8AAAAAAAAAAAAAAAAA1QQAAGRycy9kb3ducmV2LnhtbFBLBQYAAAAABAAEAPMAAADgBQAA&#10;AAA=&#10;" o:allowincell="f" fillcolor="black" stroked="f">
                    <v:textbox>
                      <w:txbxContent>
                        <w:p w:rsidR="005F4E72" w:rsidRDefault="005F4E72"/>
                      </w:txbxContent>
                    </v:textbox>
                    <w10:wrap anchorx="margin"/>
                  </v:rect>
                </w:pict>
              </mc:Fallback>
            </mc:AlternateContent>
          </w:r>
          <w:r>
            <w:rPr>
              <w:rStyle w:val="PageNumber"/>
              <w:color w:val="FFFFFF"/>
              <w:sz w:val="40"/>
              <w:lang w:val="es-ES"/>
            </w:rPr>
            <w:t>n</w:t>
          </w:r>
          <w:r>
            <w:rPr>
              <w:rStyle w:val="PageNumber"/>
              <w:color w:val="FFFFFF"/>
              <w:lang w:val="es-ES"/>
            </w:rPr>
            <w:t>/</w:t>
          </w:r>
          <w:r>
            <w:rPr>
              <w:rStyle w:val="PageNumber"/>
              <w:color w:val="FFFFFF"/>
              <w:sz w:val="40"/>
              <w:lang w:val="es-ES"/>
            </w:rPr>
            <w:t>e</w:t>
          </w:r>
          <w:r>
            <w:rPr>
              <w:rStyle w:val="PageNumber"/>
              <w:color w:val="FFFFFF"/>
              <w:lang w:val="es-ES"/>
            </w:rPr>
            <w:t>/</w:t>
          </w:r>
          <w:r>
            <w:rPr>
              <w:rStyle w:val="PageNumber"/>
              <w:color w:val="FFFFFF"/>
              <w:sz w:val="40"/>
              <w:lang w:val="es-ES"/>
            </w:rPr>
            <w:t>r</w:t>
          </w:r>
          <w:r>
            <w:rPr>
              <w:rStyle w:val="PageNumber"/>
              <w:color w:val="FFFFFF"/>
              <w:lang w:val="es-ES"/>
            </w:rPr>
            <w:t>/</w:t>
          </w:r>
          <w:r>
            <w:rPr>
              <w:rStyle w:val="PageNumber"/>
              <w:color w:val="FFFFFF"/>
              <w:sz w:val="40"/>
              <w:lang w:val="es-ES"/>
            </w:rPr>
            <w:t>a</w:t>
          </w:r>
        </w:p>
        <w:p w:rsidR="005F4E72" w:rsidRDefault="005F4E72">
          <w:pPr>
            <w:pStyle w:val="Footer"/>
            <w:jc w:val="center"/>
          </w:pPr>
          <w:r>
            <w:rPr>
              <w:rStyle w:val="PageNumber"/>
              <w:i/>
              <w:sz w:val="14"/>
            </w:rPr>
            <w:fldChar w:fldCharType="begin"/>
          </w:r>
          <w:r>
            <w:rPr>
              <w:rStyle w:val="PageNumber"/>
              <w:i/>
              <w:sz w:val="14"/>
            </w:rPr>
            <w:instrText xml:space="preserve"> ADVANCE </w:instrText>
          </w:r>
          <w:r>
            <w:rPr>
              <w:rStyle w:val="PageNumber"/>
              <w:i/>
              <w:sz w:val="14"/>
            </w:rPr>
            <w:fldChar w:fldCharType="end"/>
          </w:r>
          <w:r>
            <w:rPr>
              <w:rStyle w:val="PageNumber"/>
              <w:i/>
              <w:sz w:val="14"/>
            </w:rPr>
            <w:fldChar w:fldCharType="begin"/>
          </w:r>
          <w:r>
            <w:rPr>
              <w:rStyle w:val="PageNumber"/>
              <w:i/>
              <w:sz w:val="14"/>
            </w:rPr>
            <w:instrText xml:space="preserve"> ADVANCE \u 4 </w:instrText>
          </w:r>
          <w:r>
            <w:rPr>
              <w:rStyle w:val="PageNumber"/>
              <w:i/>
              <w:sz w:val="14"/>
            </w:rPr>
            <w:fldChar w:fldCharType="end"/>
          </w:r>
          <w:r>
            <w:rPr>
              <w:rStyle w:val="PageNumber"/>
              <w:i/>
              <w:sz w:val="14"/>
            </w:rPr>
            <w:t>Consulting Economists</w:t>
          </w:r>
        </w:p>
      </w:tc>
      <w:tc>
        <w:tcPr>
          <w:tcW w:w="3931" w:type="dxa"/>
        </w:tcPr>
        <w:p w:rsidR="005F4E72" w:rsidRDefault="005F4E72">
          <w:pPr>
            <w:pStyle w:val="DrConRight"/>
          </w:pPr>
        </w:p>
      </w:tc>
    </w:tr>
  </w:tbl>
  <w:p w:rsidR="005F4E72" w:rsidRDefault="005F4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72" w:rsidRDefault="005F4E72" w:rsidP="003F737D">
    <w:pPr>
      <w:ind w:right="36"/>
      <w:jc w:val="right"/>
      <w:rPr>
        <w:noProof/>
      </w:rPr>
    </w:pPr>
    <w:r>
      <w:rPr>
        <w:noProof/>
      </w:rPr>
      <w:t>Rebuttal Testimony of Kurt G. Strunk</w:t>
    </w:r>
    <w:r>
      <w:rPr>
        <w:noProof/>
      </w:rPr>
      <w:tab/>
    </w:r>
    <w:r>
      <w:rPr>
        <w:noProof/>
      </w:rPr>
      <w:tab/>
    </w:r>
    <w:r>
      <w:rPr>
        <w:noProof/>
      </w:rPr>
      <w:tab/>
    </w:r>
    <w:r>
      <w:rPr>
        <w:noProof/>
      </w:rPr>
      <w:tab/>
      <w:t>Exhibit No. KGS-17T</w:t>
    </w:r>
  </w:p>
  <w:p w:rsidR="005F4E72" w:rsidRDefault="005F4E72" w:rsidP="0083586B">
    <w:pPr>
      <w:tabs>
        <w:tab w:val="right" w:pos="9000"/>
        <w:tab w:val="right" w:pos="9180"/>
      </w:tabs>
      <w:spacing w:line="288" w:lineRule="auto"/>
      <w:ind w:right="36"/>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0086C">
      <w:rPr>
        <w:noProof/>
      </w:rPr>
      <w:t>45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72" w:rsidRDefault="005F4E72" w:rsidP="007C1C30">
    <w:pPr>
      <w:tabs>
        <w:tab w:val="right" w:pos="8820"/>
      </w:tabs>
      <w:ind w:right="36"/>
      <w:rPr>
        <w:noProof/>
      </w:rPr>
    </w:pPr>
    <w:r>
      <w:rPr>
        <w:noProof/>
      </w:rPr>
      <w:t>Rebuttal Testimony of Kurt G. Strunk</w:t>
    </w:r>
    <w:r>
      <w:rPr>
        <w:noProof/>
      </w:rPr>
      <w:tab/>
      <w:t>Exhibit No. KGS-17T</w:t>
    </w:r>
  </w:p>
  <w:p w:rsidR="005F4E72" w:rsidRDefault="005F4E72" w:rsidP="007C1C30">
    <w:pPr>
      <w:tabs>
        <w:tab w:val="right" w:pos="9180"/>
      </w:tabs>
      <w:spacing w:line="288" w:lineRule="auto"/>
      <w:ind w:right="36"/>
      <w:jc w:val="right"/>
    </w:pPr>
    <w:r>
      <w:rPr>
        <w:noProof/>
      </w:rPr>
      <w:t xml:space="preserve">Page </w:t>
    </w:r>
    <w:r>
      <w:rPr>
        <w:noProof/>
      </w:rPr>
      <w:fldChar w:fldCharType="begin"/>
    </w:r>
    <w:r>
      <w:rPr>
        <w:noProof/>
      </w:rPr>
      <w:instrText xml:space="preserve"> PAGE   \* MERGEFORMAT </w:instrText>
    </w:r>
    <w:r>
      <w:rPr>
        <w:noProof/>
      </w:rPr>
      <w:fldChar w:fldCharType="separate"/>
    </w:r>
    <w:r w:rsidR="0090086C">
      <w:rPr>
        <w:noProof/>
      </w:rPr>
      <w:t>i</w:t>
    </w:r>
    <w:r>
      <w:rPr>
        <w:noProof/>
      </w:rPr>
      <w:fldChar w:fldCharType="end"/>
    </w:r>
  </w:p>
  <w:p w:rsidR="005F4E72" w:rsidRDefault="005F4E72">
    <w:pPr>
      <w:pStyle w:val="Footer"/>
      <w:rPr>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72" w:rsidRDefault="005F4E72" w:rsidP="0083586B">
    <w:pPr>
      <w:tabs>
        <w:tab w:val="right" w:pos="9000"/>
      </w:tabs>
      <w:rPr>
        <w:noProof/>
      </w:rPr>
    </w:pPr>
    <w:r>
      <w:rPr>
        <w:noProof/>
      </w:rPr>
      <w:t>Rebuttal Testimony of Kurt G. Strunk</w:t>
    </w:r>
    <w:r>
      <w:rPr>
        <w:noProof/>
      </w:rPr>
      <w:tab/>
      <w:t>Exhibit No. KGS-1T</w:t>
    </w:r>
  </w:p>
  <w:p w:rsidR="005F4E72" w:rsidRDefault="005F4E72" w:rsidP="0083586B">
    <w:pPr>
      <w:tabs>
        <w:tab w:val="right" w:pos="9000"/>
      </w:tabs>
      <w:spacing w:line="288" w:lineRule="auto"/>
      <w:jc w:val="right"/>
      <w:rPr>
        <w:lang w:val="pt-BR"/>
      </w:rPr>
    </w:pPr>
    <w:r>
      <w:rPr>
        <w:noProof/>
      </w:rPr>
      <w:t xml:space="preserve">Page </w:t>
    </w:r>
    <w:r>
      <w:rPr>
        <w:noProof/>
      </w:rPr>
      <w:fldChar w:fldCharType="begin"/>
    </w:r>
    <w:r>
      <w:rPr>
        <w:noProof/>
      </w:rPr>
      <w:instrText xml:space="preserve"> PAGE   \* MERGEFORMAT </w:instrText>
    </w:r>
    <w:r>
      <w:rPr>
        <w:noProof/>
      </w:rPr>
      <w:fldChar w:fldCharType="separate"/>
    </w:r>
    <w:r w:rsidR="0090086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53" w:rsidRDefault="00981653">
      <w:r>
        <w:separator/>
      </w:r>
    </w:p>
  </w:footnote>
  <w:footnote w:type="continuationSeparator" w:id="0">
    <w:p w:rsidR="00981653" w:rsidRDefault="00981653">
      <w:r>
        <w:continuationSeparator/>
      </w:r>
    </w:p>
    <w:p w:rsidR="00981653" w:rsidRDefault="00981653">
      <w:pPr>
        <w:pStyle w:val="FootnoteText"/>
      </w:pPr>
      <w:r>
        <w:t xml:space="preserve">(...continued) </w:t>
      </w:r>
    </w:p>
  </w:footnote>
  <w:footnote w:type="continuationNotice" w:id="1">
    <w:p w:rsidR="00981653" w:rsidRDefault="00981653">
      <w:pPr>
        <w:pStyle w:val="FootnoteText"/>
        <w:jc w:val="right"/>
      </w:pPr>
      <w:r>
        <w:t xml:space="preserve">(continued...) </w:t>
      </w:r>
    </w:p>
  </w:footnote>
  <w:footnote w:id="2">
    <w:p w:rsidR="005F4E72" w:rsidRDefault="005F4E72" w:rsidP="0095708E">
      <w:pPr>
        <w:pStyle w:val="FootnoteText"/>
        <w:spacing w:after="0"/>
        <w:ind w:left="187" w:hanging="187"/>
        <w:jc w:val="left"/>
      </w:pPr>
      <w:r>
        <w:rPr>
          <w:rStyle w:val="FootnoteReference"/>
        </w:rPr>
        <w:footnoteRef/>
      </w:r>
      <w:r>
        <w:t xml:space="preserve"> Responsive Testimony of Michael P. Gorman, Exhibit No. MPG-1T at 65:23-66:3.</w:t>
      </w:r>
    </w:p>
  </w:footnote>
  <w:footnote w:id="3">
    <w:p w:rsidR="005F4E72" w:rsidRDefault="005F4E72" w:rsidP="0095708E">
      <w:pPr>
        <w:pStyle w:val="FootnoteText"/>
        <w:spacing w:after="0"/>
        <w:ind w:left="187" w:hanging="187"/>
        <w:jc w:val="left"/>
      </w:pPr>
      <w:r>
        <w:rPr>
          <w:rStyle w:val="FootnoteReference"/>
        </w:rPr>
        <w:footnoteRef/>
      </w:r>
      <w:r>
        <w:t xml:space="preserve"> Testimony of David C. Parcell, Exhibit No. DCP-1T at 44:16-17.</w:t>
      </w:r>
    </w:p>
  </w:footnote>
  <w:footnote w:id="4">
    <w:p w:rsidR="005F4E72" w:rsidRDefault="005F4E72" w:rsidP="0095708E">
      <w:pPr>
        <w:pStyle w:val="FootnoteText"/>
        <w:spacing w:after="0"/>
        <w:ind w:left="187" w:hanging="187"/>
        <w:jc w:val="left"/>
      </w:pPr>
      <w:r>
        <w:rPr>
          <w:rStyle w:val="FootnoteReference"/>
        </w:rPr>
        <w:footnoteRef/>
      </w:r>
      <w:r>
        <w:t xml:space="preserve"> </w:t>
      </w:r>
      <w:r w:rsidRPr="000C0068">
        <w:rPr>
          <w:i/>
        </w:rPr>
        <w:t>Id</w:t>
      </w:r>
      <w:r>
        <w:t>. at 44:13-14.</w:t>
      </w:r>
    </w:p>
  </w:footnote>
  <w:footnote w:id="5">
    <w:p w:rsidR="005F4E72" w:rsidRDefault="005F4E72" w:rsidP="0095708E">
      <w:pPr>
        <w:pStyle w:val="FootnoteText"/>
        <w:spacing w:after="0"/>
        <w:ind w:left="187" w:hanging="187"/>
        <w:jc w:val="left"/>
      </w:pPr>
      <w:r>
        <w:rPr>
          <w:rStyle w:val="FootnoteReference"/>
        </w:rPr>
        <w:footnoteRef/>
      </w:r>
      <w:r>
        <w:t xml:space="preserve"> Testimony of Stephen G. Hill, Exhibit No. SGH-1CT at 75:11-15.</w:t>
      </w:r>
    </w:p>
  </w:footnote>
  <w:footnote w:id="6">
    <w:p w:rsidR="005F4E72" w:rsidRDefault="005F4E72" w:rsidP="00383995">
      <w:pPr>
        <w:pStyle w:val="FootnoteText"/>
        <w:spacing w:after="0"/>
        <w:ind w:left="0" w:firstLine="0"/>
        <w:jc w:val="left"/>
      </w:pPr>
      <w:r>
        <w:rPr>
          <w:rStyle w:val="FootnoteReference"/>
        </w:rPr>
        <w:footnoteRef/>
      </w:r>
      <w:r>
        <w:t xml:space="preserve"> RRA tracks rates for transmission-only entities that are regulated by the Public Utilities Commission of Texas.  </w:t>
      </w:r>
      <w:r>
        <w:rPr>
          <w:i/>
          <w:lang w:val="en"/>
        </w:rPr>
        <w:t>See</w:t>
      </w:r>
      <w:r w:rsidRPr="00DC7939">
        <w:rPr>
          <w:lang w:val="en"/>
        </w:rPr>
        <w:t xml:space="preserve"> </w:t>
      </w:r>
      <w:r>
        <w:rPr>
          <w:lang w:val="en"/>
        </w:rPr>
        <w:t xml:space="preserve">“Major Rate Case Decisions—Calendar 2013,” </w:t>
      </w:r>
      <w:r w:rsidRPr="007C1C30">
        <w:rPr>
          <w:i/>
          <w:lang w:val="en"/>
        </w:rPr>
        <w:t>RRA Regulatory Focus</w:t>
      </w:r>
      <w:r>
        <w:rPr>
          <w:lang w:val="en"/>
        </w:rPr>
        <w:t xml:space="preserve"> </w:t>
      </w:r>
      <w:r w:rsidRPr="00DC7939">
        <w:rPr>
          <w:lang w:val="en"/>
        </w:rPr>
        <w:t>(Jan. 1</w:t>
      </w:r>
      <w:r>
        <w:rPr>
          <w:lang w:val="en"/>
        </w:rPr>
        <w:t>5</w:t>
      </w:r>
      <w:r w:rsidRPr="00DC7939">
        <w:rPr>
          <w:lang w:val="en"/>
        </w:rPr>
        <w:t>, 2014).</w:t>
      </w:r>
    </w:p>
  </w:footnote>
  <w:footnote w:id="7">
    <w:p w:rsidR="005F4E72" w:rsidRPr="0053571D" w:rsidRDefault="005F4E72" w:rsidP="00383995">
      <w:pPr>
        <w:pStyle w:val="FootnoteText"/>
        <w:spacing w:after="0"/>
        <w:ind w:left="0" w:firstLine="0"/>
        <w:jc w:val="left"/>
      </w:pPr>
      <w:r>
        <w:rPr>
          <w:rStyle w:val="FootnoteReference"/>
        </w:rPr>
        <w:footnoteRef/>
      </w:r>
      <w:r>
        <w:t xml:space="preserve"> This average incorporates a 9.0 percent ROE for Maui Electric.  However, in Docket No. </w:t>
      </w:r>
      <w:r w:rsidRPr="0052039F">
        <w:t>2011-0092</w:t>
      </w:r>
      <w:r>
        <w:t xml:space="preserve">, the Hawaii Public Utilities Commission recognizes that the cost of capital is higher and awards 9.0 percent as a penalty.  </w:t>
      </w:r>
      <w:r w:rsidRPr="00666809">
        <w:rPr>
          <w:i/>
          <w:lang w:val="en"/>
        </w:rPr>
        <w:t>See</w:t>
      </w:r>
      <w:r w:rsidRPr="00666809">
        <w:rPr>
          <w:lang w:val="en"/>
        </w:rPr>
        <w:t xml:space="preserve"> “Final Report</w:t>
      </w:r>
      <w:r>
        <w:rPr>
          <w:lang w:val="en"/>
        </w:rPr>
        <w:t>—Maui Electric Company</w:t>
      </w:r>
      <w:r w:rsidRPr="00666809">
        <w:rPr>
          <w:lang w:val="en"/>
        </w:rPr>
        <w:t xml:space="preserve">,” </w:t>
      </w:r>
      <w:r w:rsidRPr="00666809">
        <w:rPr>
          <w:i/>
          <w:lang w:val="en"/>
        </w:rPr>
        <w:t>RRA Regulatory Focus</w:t>
      </w:r>
      <w:r w:rsidRPr="00666809">
        <w:rPr>
          <w:lang w:val="en"/>
        </w:rPr>
        <w:t xml:space="preserve"> at 2</w:t>
      </w:r>
      <w:r>
        <w:t xml:space="preserve"> (June 18, 2013).</w:t>
      </w:r>
    </w:p>
  </w:footnote>
  <w:footnote w:id="8">
    <w:p w:rsidR="005F4E72" w:rsidRDefault="005F4E72" w:rsidP="00383995">
      <w:pPr>
        <w:pStyle w:val="FootnoteText"/>
        <w:spacing w:after="0"/>
        <w:ind w:left="187" w:hanging="187"/>
        <w:jc w:val="left"/>
      </w:pPr>
      <w:r>
        <w:rPr>
          <w:rStyle w:val="FootnoteReference"/>
        </w:rPr>
        <w:footnoteRef/>
      </w:r>
      <w:r>
        <w:t xml:space="preserve"> </w:t>
      </w:r>
      <w:r>
        <w:rPr>
          <w:lang w:val="en"/>
        </w:rPr>
        <w:t xml:space="preserve">“Final Report—Sierra Pacific Power,” </w:t>
      </w:r>
      <w:r w:rsidRPr="0024021B">
        <w:rPr>
          <w:i/>
          <w:lang w:val="en"/>
        </w:rPr>
        <w:t>RRA Regulatory Focus</w:t>
      </w:r>
      <w:r>
        <w:rPr>
          <w:lang w:val="en"/>
        </w:rPr>
        <w:t xml:space="preserve"> at 2 </w:t>
      </w:r>
      <w:r w:rsidRPr="00DC7939">
        <w:rPr>
          <w:lang w:val="en"/>
        </w:rPr>
        <w:t>(</w:t>
      </w:r>
      <w:r>
        <w:rPr>
          <w:lang w:val="en"/>
        </w:rPr>
        <w:t>Mar</w:t>
      </w:r>
      <w:r w:rsidRPr="00DC7939">
        <w:rPr>
          <w:lang w:val="en"/>
        </w:rPr>
        <w:t>. 1</w:t>
      </w:r>
      <w:r>
        <w:rPr>
          <w:lang w:val="en"/>
        </w:rPr>
        <w:t>1</w:t>
      </w:r>
      <w:r w:rsidRPr="00DC7939">
        <w:rPr>
          <w:lang w:val="en"/>
        </w:rPr>
        <w:t>, 2014)</w:t>
      </w:r>
      <w:r>
        <w:rPr>
          <w:lang w:val="en"/>
        </w:rPr>
        <w:t>.</w:t>
      </w:r>
    </w:p>
  </w:footnote>
  <w:footnote w:id="9">
    <w:p w:rsidR="005F4E72" w:rsidRDefault="005F4E72" w:rsidP="00383995">
      <w:pPr>
        <w:pStyle w:val="FootnoteText"/>
        <w:spacing w:after="0"/>
        <w:ind w:left="0" w:firstLine="0"/>
      </w:pPr>
      <w:r>
        <w:rPr>
          <w:rStyle w:val="FootnoteReference"/>
        </w:rPr>
        <w:footnoteRef/>
      </w:r>
      <w:r>
        <w:t xml:space="preserve">  </w:t>
      </w:r>
      <w:r w:rsidRPr="007C1C30">
        <w:rPr>
          <w:i/>
        </w:rPr>
        <w:t>See</w:t>
      </w:r>
      <w:r>
        <w:t xml:space="preserve"> </w:t>
      </w:r>
      <w:r>
        <w:rPr>
          <w:i/>
          <w:iCs/>
        </w:rPr>
        <w:t>Coakley, Mass. Att</w:t>
      </w:r>
      <w:r w:rsidRPr="00D744A0">
        <w:rPr>
          <w:i/>
          <w:iCs/>
        </w:rPr>
        <w:t>y</w:t>
      </w:r>
      <w:r>
        <w:rPr>
          <w:i/>
          <w:iCs/>
        </w:rPr>
        <w:t>.</w:t>
      </w:r>
      <w:r w:rsidRPr="00D744A0">
        <w:rPr>
          <w:i/>
          <w:iCs/>
        </w:rPr>
        <w:t xml:space="preserve"> Gen. v. Bangor Hydro-Elec</w:t>
      </w:r>
      <w:r>
        <w:rPr>
          <w:i/>
          <w:iCs/>
        </w:rPr>
        <w:t>.</w:t>
      </w:r>
      <w:r w:rsidRPr="00D744A0">
        <w:rPr>
          <w:i/>
          <w:iCs/>
        </w:rPr>
        <w:t xml:space="preserve"> Co.</w:t>
      </w:r>
      <w:r>
        <w:t xml:space="preserve">, Opinion </w:t>
      </w:r>
      <w:r w:rsidRPr="00C06AAE">
        <w:t>No. 531</w:t>
      </w:r>
      <w:r>
        <w:t xml:space="preserve">, Docket No. EL11-66-001, </w:t>
      </w:r>
      <w:r w:rsidRPr="00C06AAE">
        <w:t>147 FERC ¶ 61,234</w:t>
      </w:r>
      <w:r>
        <w:t xml:space="preserve"> at 68 (June 19, 2014); </w:t>
      </w:r>
      <w:r>
        <w:rPr>
          <w:i/>
        </w:rPr>
        <w:t xml:space="preserve">see also </w:t>
      </w:r>
      <w:r>
        <w:rPr>
          <w:i/>
          <w:iCs/>
        </w:rPr>
        <w:t>Coakley, Mass. Att</w:t>
      </w:r>
      <w:r w:rsidRPr="00D744A0">
        <w:rPr>
          <w:i/>
          <w:iCs/>
        </w:rPr>
        <w:t>y</w:t>
      </w:r>
      <w:r>
        <w:rPr>
          <w:i/>
          <w:iCs/>
        </w:rPr>
        <w:t>.</w:t>
      </w:r>
      <w:r w:rsidRPr="00D744A0">
        <w:rPr>
          <w:i/>
          <w:iCs/>
        </w:rPr>
        <w:t xml:space="preserve"> Gen. v. Bangor Hydro-Elec</w:t>
      </w:r>
      <w:r>
        <w:rPr>
          <w:i/>
          <w:iCs/>
        </w:rPr>
        <w:t>.</w:t>
      </w:r>
      <w:r w:rsidRPr="00D744A0">
        <w:rPr>
          <w:i/>
          <w:iCs/>
        </w:rPr>
        <w:t xml:space="preserve"> Co.</w:t>
      </w:r>
      <w:r>
        <w:t xml:space="preserve">, Opinion </w:t>
      </w:r>
      <w:r w:rsidRPr="00C06AAE">
        <w:t>No. 531</w:t>
      </w:r>
      <w:r>
        <w:t xml:space="preserve">-A, Docket No. EL11-66-001, </w:t>
      </w:r>
      <w:r w:rsidRPr="00C06AAE">
        <w:t>14</w:t>
      </w:r>
      <w:r>
        <w:t>9</w:t>
      </w:r>
      <w:r w:rsidRPr="00C06AAE">
        <w:t xml:space="preserve"> FERC ¶ 61,</w:t>
      </w:r>
      <w:r>
        <w:t xml:space="preserve">032 at 6-7 (June 19, 2014). </w:t>
      </w:r>
    </w:p>
  </w:footnote>
  <w:footnote w:id="10">
    <w:p w:rsidR="005F4E72" w:rsidRDefault="005F4E72" w:rsidP="00383995">
      <w:pPr>
        <w:pStyle w:val="FootnoteText"/>
        <w:spacing w:after="0"/>
        <w:ind w:left="0" w:firstLine="0"/>
      </w:pPr>
      <w:r>
        <w:rPr>
          <w:rStyle w:val="FootnoteReference"/>
        </w:rPr>
        <w:footnoteRef/>
      </w:r>
      <w:r>
        <w:t xml:space="preserve"> Responsive Testimony of Michael P. Gorman, Exhibit No. MPG-1T at 4:1-4.</w:t>
      </w:r>
    </w:p>
  </w:footnote>
  <w:footnote w:id="11">
    <w:p w:rsidR="005F4E72" w:rsidRDefault="005F4E72" w:rsidP="00383995">
      <w:pPr>
        <w:pStyle w:val="FootnoteText"/>
        <w:jc w:val="left"/>
      </w:pPr>
      <w:r>
        <w:rPr>
          <w:rStyle w:val="FootnoteReference"/>
        </w:rPr>
        <w:footnoteRef/>
      </w:r>
      <w:r>
        <w:t xml:space="preserve"> </w:t>
      </w:r>
      <w:r w:rsidRPr="007C1C30">
        <w:rPr>
          <w:i/>
        </w:rPr>
        <w:t>See</w:t>
      </w:r>
      <w:r>
        <w:t xml:space="preserve"> Brealey, R., Myers, S., and Allen, F. </w:t>
      </w:r>
      <w:r>
        <w:rPr>
          <w:i/>
        </w:rPr>
        <w:t xml:space="preserve">Principles of Corporate Finance, </w:t>
      </w:r>
      <w:r w:rsidRPr="0033307B">
        <w:t>75, 161</w:t>
      </w:r>
      <w:r>
        <w:t>-</w:t>
      </w:r>
      <w:r w:rsidRPr="0033307B">
        <w:t>162</w:t>
      </w:r>
      <w:r w:rsidRPr="0033307B">
        <w:rPr>
          <w:i/>
        </w:rPr>
        <w:t xml:space="preserve"> </w:t>
      </w:r>
      <w:r w:rsidRPr="0033307B">
        <w:t xml:space="preserve">(11th </w:t>
      </w:r>
      <w:r>
        <w:t>e</w:t>
      </w:r>
      <w:r w:rsidRPr="0033307B">
        <w:t>d. 2014).</w:t>
      </w:r>
    </w:p>
  </w:footnote>
  <w:footnote w:id="12">
    <w:p w:rsidR="005F4E72" w:rsidRDefault="005F4E72" w:rsidP="00383995">
      <w:pPr>
        <w:pStyle w:val="FootnoteText"/>
        <w:spacing w:after="0"/>
        <w:ind w:left="187" w:hanging="187"/>
        <w:jc w:val="left"/>
      </w:pPr>
      <w:r>
        <w:rPr>
          <w:rStyle w:val="FootnoteReference"/>
        </w:rPr>
        <w:footnoteRef/>
      </w:r>
      <w:r>
        <w:t xml:space="preserve"> </w:t>
      </w:r>
      <w:r w:rsidRPr="005E6531">
        <w:rPr>
          <w:i/>
        </w:rPr>
        <w:t>See</w:t>
      </w:r>
      <w:r>
        <w:t xml:space="preserve"> “Three possible explanations have differing market implications,” </w:t>
      </w:r>
      <w:r w:rsidRPr="007C1C30">
        <w:rPr>
          <w:i/>
        </w:rPr>
        <w:t>Financial Times</w:t>
      </w:r>
      <w:r>
        <w:t xml:space="preserve"> (Nov. 3, 2014).</w:t>
      </w:r>
    </w:p>
  </w:footnote>
  <w:footnote w:id="13">
    <w:p w:rsidR="005F4E72" w:rsidRDefault="005F4E72" w:rsidP="00383995">
      <w:pPr>
        <w:pStyle w:val="FootnoteText"/>
        <w:spacing w:after="0"/>
        <w:ind w:left="187" w:hanging="187"/>
        <w:jc w:val="left"/>
      </w:pPr>
      <w:r>
        <w:rPr>
          <w:rStyle w:val="FootnoteReference"/>
        </w:rPr>
        <w:footnoteRef/>
      </w:r>
      <w:r>
        <w:t xml:space="preserve"> Goodman, Leonard Saul. </w:t>
      </w:r>
      <w:r>
        <w:rPr>
          <w:i/>
          <w:iCs/>
        </w:rPr>
        <w:t xml:space="preserve">The Process of Ratemaking, Volume </w:t>
      </w:r>
      <w:r w:rsidRPr="00EE341A">
        <w:rPr>
          <w:i/>
          <w:iCs/>
        </w:rPr>
        <w:t>I</w:t>
      </w:r>
      <w:r w:rsidRPr="007C1C30">
        <w:rPr>
          <w:iCs/>
        </w:rPr>
        <w:t xml:space="preserve">, </w:t>
      </w:r>
      <w:r w:rsidRPr="00EE341A">
        <w:t>651</w:t>
      </w:r>
      <w:r>
        <w:t xml:space="preserve">-52 (1998). </w:t>
      </w:r>
    </w:p>
  </w:footnote>
  <w:footnote w:id="14">
    <w:p w:rsidR="005F4E72" w:rsidRDefault="005F4E72" w:rsidP="00383995">
      <w:pPr>
        <w:pStyle w:val="FootnoteText"/>
        <w:spacing w:after="0"/>
        <w:ind w:left="187" w:hanging="187"/>
        <w:jc w:val="left"/>
      </w:pPr>
      <w:r>
        <w:rPr>
          <w:rStyle w:val="FootnoteReference"/>
        </w:rPr>
        <w:footnoteRef/>
      </w:r>
      <w:r>
        <w:t xml:space="preserve"> </w:t>
      </w:r>
      <w:r w:rsidRPr="001524BE">
        <w:rPr>
          <w:i/>
        </w:rPr>
        <w:t>Id.</w:t>
      </w:r>
      <w:r>
        <w:t xml:space="preserve"> at 655.</w:t>
      </w:r>
    </w:p>
  </w:footnote>
  <w:footnote w:id="15">
    <w:p w:rsidR="005F4E72" w:rsidRDefault="005F4E72" w:rsidP="00383995">
      <w:pPr>
        <w:pStyle w:val="FootnoteText"/>
        <w:spacing w:after="0"/>
        <w:ind w:left="187" w:hanging="187"/>
        <w:jc w:val="left"/>
      </w:pPr>
      <w:r>
        <w:rPr>
          <w:rStyle w:val="FootnoteReference"/>
        </w:rPr>
        <w:footnoteRef/>
      </w:r>
      <w:r>
        <w:t xml:space="preserve"> </w:t>
      </w:r>
      <w:r>
        <w:rPr>
          <w:i/>
          <w:noProof/>
        </w:rPr>
        <w:t xml:space="preserve">Wash. Utils. &amp; Transp. Comm’n v. PacifiCorp, </w:t>
      </w:r>
      <w:r>
        <w:rPr>
          <w:noProof/>
        </w:rPr>
        <w:t>Docket UE-130043, Order 05 ¶¶25-26 (Dec. 4, 2013).</w:t>
      </w:r>
    </w:p>
  </w:footnote>
  <w:footnote w:id="16">
    <w:p w:rsidR="005F4E72" w:rsidRDefault="005F4E72" w:rsidP="00383995">
      <w:pPr>
        <w:pStyle w:val="FootnoteText"/>
        <w:spacing w:after="0"/>
        <w:ind w:left="230" w:hanging="230"/>
        <w:jc w:val="left"/>
      </w:pPr>
      <w:r>
        <w:rPr>
          <w:rStyle w:val="FootnoteReference"/>
        </w:rPr>
        <w:footnoteRef/>
      </w:r>
      <w:r>
        <w:t xml:space="preserve"> Goodman, Leonard Saul, </w:t>
      </w:r>
      <w:r>
        <w:rPr>
          <w:i/>
          <w:iCs/>
        </w:rPr>
        <w:t>The Process of Ratemaking, Volume I</w:t>
      </w:r>
      <w:r>
        <w:t>, 603 (1998).</w:t>
      </w:r>
    </w:p>
  </w:footnote>
  <w:footnote w:id="17">
    <w:p w:rsidR="005F4E72" w:rsidRDefault="005F4E72" w:rsidP="00383995">
      <w:pPr>
        <w:pStyle w:val="FootnoteText"/>
        <w:spacing w:after="0"/>
        <w:ind w:left="0" w:firstLine="0"/>
        <w:jc w:val="left"/>
      </w:pPr>
      <w:r>
        <w:rPr>
          <w:rStyle w:val="FootnoteReference"/>
        </w:rPr>
        <w:footnoteRef/>
      </w:r>
      <w:r>
        <w:t xml:space="preserve"> </w:t>
      </w:r>
      <w:r w:rsidRPr="007C1C30">
        <w:rPr>
          <w:i/>
        </w:rPr>
        <w:t>See</w:t>
      </w:r>
      <w:r>
        <w:t xml:space="preserve"> </w:t>
      </w:r>
      <w:r w:rsidRPr="00826C7E">
        <w:t>18 CFR Part 101 - U</w:t>
      </w:r>
      <w:r>
        <w:t>niform</w:t>
      </w:r>
      <w:r w:rsidRPr="00826C7E">
        <w:t xml:space="preserve"> S</w:t>
      </w:r>
      <w:r>
        <w:t>ystem of Accounts Prescribed for Public Utilities and Licensees Subject</w:t>
      </w:r>
      <w:r w:rsidRPr="00826C7E">
        <w:t xml:space="preserve"> </w:t>
      </w:r>
      <w:r>
        <w:t xml:space="preserve">to the Provisions of the </w:t>
      </w:r>
      <w:r w:rsidRPr="00826C7E">
        <w:t>F</w:t>
      </w:r>
      <w:r>
        <w:t>ederal Power Act.</w:t>
      </w:r>
    </w:p>
  </w:footnote>
  <w:footnote w:id="18">
    <w:p w:rsidR="005F4E72" w:rsidRDefault="005F4E72" w:rsidP="00383995">
      <w:pPr>
        <w:pStyle w:val="FootnoteText"/>
        <w:spacing w:after="0"/>
        <w:ind w:left="0" w:firstLine="0"/>
        <w:jc w:val="left"/>
      </w:pPr>
      <w:r>
        <w:rPr>
          <w:rStyle w:val="FootnoteReference"/>
        </w:rPr>
        <w:footnoteRef/>
      </w:r>
      <w:r>
        <w:t xml:space="preserve"> </w:t>
      </w:r>
      <w:r>
        <w:rPr>
          <w:i/>
          <w:iCs/>
        </w:rPr>
        <w:t>Wash. Utils. &amp; Transp. Comm’n v. PacifiCorp</w:t>
      </w:r>
      <w:r>
        <w:t xml:space="preserve">, Docket UE-130043, </w:t>
      </w:r>
      <w:r>
        <w:fldChar w:fldCharType="begin"/>
      </w:r>
      <w:r>
        <w:instrText xml:space="preserve"> ADDIN BA \xc &lt;@rec&gt; \xl 27 \s KBKQKB000129 \l "</w:instrText>
      </w:r>
      <w:r>
        <w:rPr>
          <w:sz w:val="24"/>
        </w:rPr>
        <w:instrText>Gorman, TR. 226:21 – 227:19</w:instrText>
      </w:r>
      <w:r>
        <w:instrText xml:space="preserve">" </w:instrText>
      </w:r>
      <w:r>
        <w:fldChar w:fldCharType="end"/>
      </w:r>
      <w:r>
        <w:t>Gorman, TR. 226:21-227:19 (Aug. 26, 2013).</w:t>
      </w:r>
    </w:p>
  </w:footnote>
  <w:footnote w:id="19">
    <w:p w:rsidR="005F4E72" w:rsidRDefault="005F4E72" w:rsidP="00383995">
      <w:pPr>
        <w:pStyle w:val="FootnoteText"/>
        <w:spacing w:after="0"/>
        <w:ind w:left="0" w:firstLine="0"/>
        <w:jc w:val="left"/>
      </w:pPr>
      <w:r>
        <w:rPr>
          <w:rStyle w:val="FootnoteReference"/>
        </w:rPr>
        <w:footnoteRef/>
      </w:r>
      <w:r>
        <w:t xml:space="preserve"> </w:t>
      </w:r>
      <w:r>
        <w:fldChar w:fldCharType="begin"/>
      </w:r>
      <w:r>
        <w:instrText xml:space="preserve"> ADDIN BA \xc &lt;@$id&gt; \xl 3 \s ID </w:instrText>
      </w:r>
      <w:r>
        <w:fldChar w:fldCharType="end"/>
      </w:r>
      <w:r>
        <w:rPr>
          <w:i/>
        </w:rPr>
        <w:t>Id.</w:t>
      </w:r>
    </w:p>
  </w:footnote>
  <w:footnote w:id="20">
    <w:p w:rsidR="005F4E72" w:rsidRDefault="005F4E72" w:rsidP="00383995">
      <w:pPr>
        <w:pStyle w:val="FootnoteText"/>
        <w:spacing w:after="0"/>
        <w:ind w:left="0" w:firstLine="0"/>
        <w:jc w:val="left"/>
      </w:pPr>
      <w:r>
        <w:rPr>
          <w:rStyle w:val="FootnoteReference"/>
        </w:rPr>
        <w:footnoteRef/>
      </w:r>
      <w:r>
        <w:t xml:space="preserve"> </w:t>
      </w:r>
      <w:r>
        <w:fldChar w:fldCharType="begin"/>
      </w:r>
      <w:r>
        <w:instrText xml:space="preserve"> ADDIN BA \xc &lt;@$id&gt; \xl 3 \s ID </w:instrText>
      </w:r>
      <w:r>
        <w:fldChar w:fldCharType="end"/>
      </w:r>
      <w:r>
        <w:rPr>
          <w:i/>
        </w:rPr>
        <w:t>Id</w:t>
      </w:r>
      <w:r>
        <w:t>.</w:t>
      </w:r>
    </w:p>
  </w:footnote>
  <w:footnote w:id="21">
    <w:p w:rsidR="005F4E72" w:rsidRDefault="005F4E72" w:rsidP="00383995">
      <w:pPr>
        <w:pStyle w:val="FootnoteText"/>
        <w:spacing w:after="0"/>
        <w:ind w:left="0" w:firstLine="0"/>
        <w:jc w:val="left"/>
      </w:pPr>
      <w:r>
        <w:rPr>
          <w:rStyle w:val="FootnoteReference"/>
        </w:rPr>
        <w:footnoteRef/>
      </w:r>
      <w:r>
        <w:t xml:space="preserve"> Responsive Testimony of Michael P. Gorman, Exhibit No. MPG-1T at 18:6-8.</w:t>
      </w:r>
    </w:p>
  </w:footnote>
  <w:footnote w:id="22">
    <w:p w:rsidR="005F4E72" w:rsidRDefault="005F4E72" w:rsidP="00383995">
      <w:pPr>
        <w:pStyle w:val="FootnoteText"/>
        <w:spacing w:after="0"/>
        <w:ind w:left="0" w:firstLine="0"/>
        <w:jc w:val="left"/>
      </w:pPr>
      <w:r>
        <w:rPr>
          <w:rStyle w:val="FootnoteReference"/>
        </w:rPr>
        <w:footnoteRef/>
      </w:r>
      <w:r>
        <w:t xml:space="preserve"> </w:t>
      </w:r>
      <w:r w:rsidRPr="00AF3CD4">
        <w:t>The methodology for consideration of financial risk outlined in 2012 identified three financial benchmarks: funds from operations (FFO) to debt; debt to EBITDA; and debt to capital. In 2013, S&amp;P updated its criteria for rating corporate industrial companies and utilities. To assist in determining the relative ranking of the financial risk of companies, S&amp;P now only considers two core credit ratios: FFO to debt and debt to EBITDA.</w:t>
      </w:r>
      <w:r>
        <w:t xml:space="preserve">  </w:t>
      </w:r>
      <w:r>
        <w:rPr>
          <w:i/>
        </w:rPr>
        <w:t xml:space="preserve">See </w:t>
      </w:r>
      <w:r>
        <w:t>“</w:t>
      </w:r>
      <w:r>
        <w:rPr>
          <w:szCs w:val="24"/>
        </w:rPr>
        <w:t xml:space="preserve">Corporate Methodology,” </w:t>
      </w:r>
      <w:r>
        <w:rPr>
          <w:i/>
          <w:szCs w:val="24"/>
        </w:rPr>
        <w:t xml:space="preserve">Standard &amp; Poors Ratings Direct </w:t>
      </w:r>
      <w:r>
        <w:rPr>
          <w:szCs w:val="24"/>
        </w:rPr>
        <w:t xml:space="preserve">at 30 (Nov. 19, 2013); </w:t>
      </w:r>
      <w:r>
        <w:rPr>
          <w:i/>
          <w:szCs w:val="24"/>
        </w:rPr>
        <w:t xml:space="preserve">see also </w:t>
      </w:r>
      <w:r>
        <w:t>“</w:t>
      </w:r>
      <w:r>
        <w:rPr>
          <w:szCs w:val="24"/>
        </w:rPr>
        <w:t xml:space="preserve">Methodology: Business Risk/Financial Risk Matrix Expanded,” </w:t>
      </w:r>
      <w:r>
        <w:rPr>
          <w:i/>
          <w:szCs w:val="24"/>
        </w:rPr>
        <w:t xml:space="preserve">Standard &amp; Poors Ratings Direct </w:t>
      </w:r>
      <w:r>
        <w:rPr>
          <w:szCs w:val="24"/>
        </w:rPr>
        <w:t>at 3-4 (Sep. 18, 2012).</w:t>
      </w:r>
    </w:p>
  </w:footnote>
  <w:footnote w:id="23">
    <w:p w:rsidR="005F4E72" w:rsidRDefault="005F4E72" w:rsidP="0061235F">
      <w:pPr>
        <w:pStyle w:val="FootnoteText"/>
        <w:spacing w:after="0"/>
        <w:ind w:left="187" w:hanging="187"/>
        <w:jc w:val="left"/>
      </w:pPr>
      <w:r>
        <w:rPr>
          <w:rStyle w:val="FootnoteReference"/>
        </w:rPr>
        <w:footnoteRef/>
      </w:r>
      <w:r>
        <w:t xml:space="preserve"> Responsive Testimony of Michael P. Gorman, Exhibit No. MPG-1T at 65:1-3.</w:t>
      </w:r>
    </w:p>
  </w:footnote>
  <w:footnote w:id="24">
    <w:p w:rsidR="005F4E72" w:rsidRDefault="005F4E72" w:rsidP="0061235F">
      <w:pPr>
        <w:pStyle w:val="FootnoteText"/>
        <w:spacing w:after="0"/>
        <w:ind w:left="187" w:hanging="187"/>
        <w:jc w:val="left"/>
      </w:pPr>
      <w:r>
        <w:rPr>
          <w:rStyle w:val="FootnoteReference"/>
        </w:rPr>
        <w:footnoteRef/>
      </w:r>
      <w:r>
        <w:t xml:space="preserve"> </w:t>
      </w:r>
      <w:r w:rsidRPr="00AC5CBB">
        <w:t>In fact, reliance on industry return expectations is similar in nature</w:t>
      </w:r>
      <w:r>
        <w:t xml:space="preserve"> to reliance on a proxy group.</w:t>
      </w:r>
    </w:p>
  </w:footnote>
  <w:footnote w:id="25">
    <w:p w:rsidR="005F4E72" w:rsidRDefault="005F4E72" w:rsidP="0061235F">
      <w:pPr>
        <w:pStyle w:val="FootnoteText"/>
        <w:spacing w:after="0"/>
        <w:ind w:left="0" w:firstLine="0"/>
        <w:jc w:val="left"/>
      </w:pPr>
      <w:r>
        <w:rPr>
          <w:rStyle w:val="FootnoteReference"/>
        </w:rPr>
        <w:footnoteRef/>
      </w:r>
      <w:r>
        <w:t xml:space="preserve"> Testimony of David C. Parcell, Exhibit No. DCP-1T at 34:1-4. </w:t>
      </w:r>
    </w:p>
  </w:footnote>
  <w:footnote w:id="26">
    <w:p w:rsidR="005F4E72" w:rsidRPr="00461EA5" w:rsidRDefault="005F4E72" w:rsidP="0061235F">
      <w:pPr>
        <w:pStyle w:val="FootnoteText"/>
        <w:spacing w:after="0"/>
        <w:ind w:left="0" w:firstLine="0"/>
        <w:jc w:val="left"/>
      </w:pPr>
      <w:r>
        <w:rPr>
          <w:rStyle w:val="FootnoteReference"/>
        </w:rPr>
        <w:footnoteRef/>
      </w:r>
      <w:r>
        <w:t xml:space="preserve"> </w:t>
      </w:r>
      <w:r>
        <w:rPr>
          <w:i/>
        </w:rPr>
        <w:t>Wash. Utils. &amp; Transp. Comm’n v. Puget Sound Energy Inc.</w:t>
      </w:r>
      <w:r>
        <w:t>, Dockets UE-090704 and UG-090705, Order 11 ¶¶ 292-300 (Apr. 2, 2010).</w:t>
      </w:r>
    </w:p>
  </w:footnote>
  <w:footnote w:id="27">
    <w:p w:rsidR="005F4E72" w:rsidRDefault="005F4E72" w:rsidP="00F60F14">
      <w:pPr>
        <w:pStyle w:val="FootnoteText"/>
      </w:pPr>
      <w:r>
        <w:rPr>
          <w:rStyle w:val="FootnoteReference"/>
        </w:rPr>
        <w:footnoteRef/>
      </w:r>
      <w:r>
        <w:t xml:space="preserve"> </w:t>
      </w:r>
      <w:r w:rsidRPr="00156BC4">
        <w:rPr>
          <w:i/>
        </w:rPr>
        <w:t>See</w:t>
      </w:r>
      <w:r>
        <w:t xml:space="preserve"> Kolbe, A.L., Read, J.A. &amp; Hall, G.R.  </w:t>
      </w:r>
      <w:r>
        <w:rPr>
          <w:i/>
        </w:rPr>
        <w:t>The Cost of Capital</w:t>
      </w:r>
      <w:r>
        <w:rPr>
          <w:lang w:val="en"/>
        </w:rPr>
        <w:t>—</w:t>
      </w:r>
      <w:r>
        <w:rPr>
          <w:i/>
        </w:rPr>
        <w:t>Estimating the Rate of Return for Public Utilities</w:t>
      </w:r>
      <w:r>
        <w:t>,</w:t>
      </w:r>
      <w:r w:rsidRPr="00B75CBF">
        <w:t xml:space="preserve"> </w:t>
      </w:r>
      <w:r>
        <w:t>55-57 (1984).</w:t>
      </w:r>
    </w:p>
  </w:footnote>
  <w:footnote w:id="28">
    <w:p w:rsidR="005F4E72" w:rsidRDefault="005F4E72" w:rsidP="0061235F">
      <w:pPr>
        <w:pStyle w:val="FootnoteText"/>
        <w:spacing w:after="0"/>
        <w:ind w:left="187" w:hanging="187"/>
        <w:jc w:val="left"/>
      </w:pPr>
      <w:r>
        <w:rPr>
          <w:rStyle w:val="FootnoteReference"/>
        </w:rPr>
        <w:footnoteRef/>
      </w:r>
      <w:r>
        <w:t xml:space="preserve"> Responsive Testimony of Michael P. Gorman, Exhibit No. MPG-1T at 57:3-6.</w:t>
      </w:r>
    </w:p>
  </w:footnote>
  <w:footnote w:id="29">
    <w:p w:rsidR="005F4E72" w:rsidRPr="001E4F6C" w:rsidRDefault="005F4E72" w:rsidP="0061235F">
      <w:pPr>
        <w:pStyle w:val="FootnoteText"/>
        <w:spacing w:after="0"/>
        <w:ind w:left="187" w:hanging="187"/>
        <w:jc w:val="left"/>
      </w:pPr>
      <w:r>
        <w:rPr>
          <w:rStyle w:val="FootnoteReference"/>
        </w:rPr>
        <w:footnoteRef/>
      </w:r>
      <w:r>
        <w:t xml:space="preserve"> </w:t>
      </w:r>
      <w:r w:rsidRPr="009E1079">
        <w:rPr>
          <w:i/>
        </w:rPr>
        <w:t>Id.</w:t>
      </w:r>
      <w:r>
        <w:rPr>
          <w:i/>
        </w:rPr>
        <w:t xml:space="preserve"> </w:t>
      </w:r>
      <w:r>
        <w:t>at 57:13-16.</w:t>
      </w:r>
    </w:p>
  </w:footnote>
  <w:footnote w:id="30">
    <w:p w:rsidR="005F4E72" w:rsidRDefault="005F4E72" w:rsidP="0061235F">
      <w:pPr>
        <w:pStyle w:val="FootnoteText"/>
        <w:spacing w:after="0"/>
        <w:ind w:left="187" w:hanging="187"/>
        <w:jc w:val="left"/>
      </w:pPr>
      <w:r>
        <w:rPr>
          <w:rStyle w:val="FootnoteReference"/>
        </w:rPr>
        <w:footnoteRef/>
      </w:r>
      <w:r>
        <w:t xml:space="preserve"> Testimony of Stephen G. Hill, Exhibit No. SGH-1CT at 72:3-10.</w:t>
      </w:r>
    </w:p>
  </w:footnote>
  <w:footnote w:id="31">
    <w:p w:rsidR="005F4E72" w:rsidRPr="00CC236A" w:rsidRDefault="005F4E72" w:rsidP="00CC236A">
      <w:pPr>
        <w:pStyle w:val="FootnoteText"/>
        <w:spacing w:after="0"/>
        <w:ind w:left="187" w:hanging="187"/>
        <w:jc w:val="left"/>
      </w:pPr>
      <w:r w:rsidRPr="00CC236A">
        <w:rPr>
          <w:rStyle w:val="FootnoteReference"/>
        </w:rPr>
        <w:footnoteRef/>
      </w:r>
      <w:r w:rsidRPr="00CC236A">
        <w:t xml:space="preserve"> </w:t>
      </w:r>
      <w:r w:rsidRPr="00CC236A">
        <w:rPr>
          <w:i/>
        </w:rPr>
        <w:t>Wash. Utils. &amp; Transp. Comm’n v. PacifiCorp</w:t>
      </w:r>
      <w:r w:rsidRPr="00CC236A">
        <w:t>, Docket UE-100749, Order 06 ¶ 78 (Mar. 25, 2011).</w:t>
      </w:r>
    </w:p>
  </w:footnote>
  <w:footnote w:id="32">
    <w:p w:rsidR="005F4E72" w:rsidRDefault="005F4E72" w:rsidP="003914B4">
      <w:pPr>
        <w:pStyle w:val="FootnoteText"/>
        <w:spacing w:after="0"/>
        <w:ind w:left="0" w:firstLine="0"/>
        <w:jc w:val="left"/>
      </w:pPr>
      <w:r>
        <w:rPr>
          <w:rStyle w:val="FootnoteReference"/>
        </w:rPr>
        <w:footnoteRef/>
      </w:r>
      <w:r>
        <w:t xml:space="preserve"> </w:t>
      </w:r>
      <w:r w:rsidRPr="007C1C30">
        <w:rPr>
          <w:i/>
        </w:rPr>
        <w:t>See,</w:t>
      </w:r>
      <w:r w:rsidRPr="00DC7939">
        <w:rPr>
          <w:i/>
        </w:rPr>
        <w:t xml:space="preserve"> </w:t>
      </w:r>
      <w:r w:rsidRPr="007C1C30">
        <w:rPr>
          <w:i/>
        </w:rPr>
        <w:t>e.g</w:t>
      </w:r>
      <w:r w:rsidRPr="00DC7939">
        <w:rPr>
          <w:i/>
        </w:rPr>
        <w:t>.</w:t>
      </w:r>
      <w:r w:rsidRPr="00B75CBF">
        <w:t>,</w:t>
      </w:r>
      <w:r>
        <w:t xml:space="preserve"> </w:t>
      </w:r>
      <w:r w:rsidRPr="00F8517B">
        <w:t xml:space="preserve">“Four Common Errors in Applying the DCF Model in Utility Rate Cases,” </w:t>
      </w:r>
      <w:r w:rsidRPr="00FD4537">
        <w:t>NERA Working Paper</w:t>
      </w:r>
      <w:r w:rsidRPr="00F8517B">
        <w:t xml:space="preserve">, </w:t>
      </w:r>
      <w:r>
        <w:t>(</w:t>
      </w:r>
      <w:r w:rsidRPr="00F8517B">
        <w:t>Feb</w:t>
      </w:r>
      <w:r>
        <w:t>. 1,</w:t>
      </w:r>
      <w:r w:rsidRPr="00F8517B">
        <w:t xml:space="preserve"> 1992</w:t>
      </w:r>
      <w:r>
        <w:t>)</w:t>
      </w:r>
      <w:r w:rsidRPr="00F8517B">
        <w:t>.</w:t>
      </w:r>
      <w:r>
        <w:t xml:space="preserve"> </w:t>
      </w:r>
    </w:p>
  </w:footnote>
  <w:footnote w:id="33">
    <w:p w:rsidR="005F4E72" w:rsidRDefault="005F4E72" w:rsidP="003914B4">
      <w:pPr>
        <w:pStyle w:val="FootnoteText"/>
        <w:spacing w:after="0"/>
        <w:ind w:left="0" w:firstLine="0"/>
        <w:jc w:val="left"/>
      </w:pPr>
      <w:r>
        <w:rPr>
          <w:rStyle w:val="FootnoteReference"/>
        </w:rPr>
        <w:footnoteRef/>
      </w:r>
      <w:r>
        <w:t xml:space="preserve"> </w:t>
      </w:r>
      <w:r w:rsidRPr="001627F4">
        <w:rPr>
          <w:i/>
        </w:rPr>
        <w:t>See</w:t>
      </w:r>
      <w:r>
        <w:t xml:space="preserve"> </w:t>
      </w:r>
      <w:r w:rsidRPr="00C03AD7">
        <w:rPr>
          <w:i/>
        </w:rPr>
        <w:t>Southern Cal</w:t>
      </w:r>
      <w:r>
        <w:rPr>
          <w:i/>
        </w:rPr>
        <w:t>.</w:t>
      </w:r>
      <w:r w:rsidRPr="007C1C30">
        <w:rPr>
          <w:i/>
        </w:rPr>
        <w:t xml:space="preserve"> Edison Co</w:t>
      </w:r>
      <w:r>
        <w:rPr>
          <w:i/>
        </w:rPr>
        <w:t>.</w:t>
      </w:r>
      <w:r>
        <w:t>, Opinion No. 445, 92 FERC ¶ 61,070 at 17 (July 26, 2000).</w:t>
      </w:r>
    </w:p>
  </w:footnote>
  <w:footnote w:id="34">
    <w:p w:rsidR="005F4E72" w:rsidRDefault="005F4E72" w:rsidP="003914B4">
      <w:pPr>
        <w:pStyle w:val="FootnoteText"/>
        <w:spacing w:after="0"/>
        <w:ind w:left="0" w:firstLine="0"/>
        <w:jc w:val="left"/>
      </w:pPr>
      <w:r>
        <w:rPr>
          <w:rStyle w:val="FootnoteReference"/>
        </w:rPr>
        <w:footnoteRef/>
      </w:r>
      <w:r>
        <w:t xml:space="preserve"> Testimony of Stephen G. Hill, Exhibit No. SGH-1CT at 44:8-11.</w:t>
      </w:r>
    </w:p>
  </w:footnote>
  <w:footnote w:id="35">
    <w:p w:rsidR="005F4E72" w:rsidRDefault="005F4E72" w:rsidP="003914B4">
      <w:pPr>
        <w:pStyle w:val="FootnoteText"/>
        <w:spacing w:after="0"/>
        <w:ind w:left="0" w:firstLine="0"/>
        <w:jc w:val="left"/>
      </w:pPr>
      <w:r>
        <w:rPr>
          <w:rStyle w:val="FootnoteReference"/>
        </w:rPr>
        <w:footnoteRef/>
      </w:r>
      <w:r>
        <w:t xml:space="preserve"> </w:t>
      </w:r>
      <w:r w:rsidRPr="00471171">
        <w:rPr>
          <w:i/>
        </w:rPr>
        <w:t>See</w:t>
      </w:r>
      <w:r>
        <w:t xml:space="preserve"> </w:t>
      </w:r>
      <w:r w:rsidRPr="00471171">
        <w:rPr>
          <w:i/>
        </w:rPr>
        <w:t>SEC Fact Sheet on Global Analyst Research Settlements</w:t>
      </w:r>
      <w:r>
        <w:t xml:space="preserve">, available online at </w:t>
      </w:r>
      <w:hyperlink r:id="rId1" w:history="1">
        <w:r w:rsidRPr="00F855B4">
          <w:rPr>
            <w:rStyle w:val="Hyperlink"/>
          </w:rPr>
          <w:t>http://www.sec.gov/news/speech/factsheet.htm</w:t>
        </w:r>
      </w:hyperlink>
      <w:r>
        <w:t xml:space="preserve"> (accessed Nov. 12, 2014).</w:t>
      </w:r>
    </w:p>
  </w:footnote>
  <w:footnote w:id="36">
    <w:p w:rsidR="005F4E72" w:rsidRDefault="005F4E72" w:rsidP="003914B4">
      <w:pPr>
        <w:pStyle w:val="FootnoteText"/>
        <w:spacing w:after="0"/>
        <w:ind w:left="0" w:firstLine="0"/>
        <w:jc w:val="left"/>
      </w:pPr>
      <w:r>
        <w:rPr>
          <w:rStyle w:val="FootnoteReference"/>
        </w:rPr>
        <w:footnoteRef/>
      </w:r>
      <w:r>
        <w:t xml:space="preserve"> </w:t>
      </w:r>
      <w:r w:rsidRPr="007C1C30">
        <w:rPr>
          <w:i/>
        </w:rPr>
        <w:t>See, e.g.</w:t>
      </w:r>
      <w:r>
        <w:t>, “</w:t>
      </w:r>
      <w:r w:rsidRPr="007C1C30">
        <w:t>Measure for Measure: The Relation between Forecast Accuracy and Recommendation Profitability of Analysts</w:t>
      </w:r>
      <w:r>
        <w:t xml:space="preserve">,” </w:t>
      </w:r>
      <w:r w:rsidRPr="007C1C30">
        <w:rPr>
          <w:i/>
        </w:rPr>
        <w:t>Journal of Accounting Research</w:t>
      </w:r>
      <w:r>
        <w:t xml:space="preserve">, </w:t>
      </w:r>
      <w:r w:rsidRPr="00234C97">
        <w:t>Vol. 45</w:t>
      </w:r>
      <w:r>
        <w:t>,</w:t>
      </w:r>
      <w:r w:rsidRPr="00234C97">
        <w:t xml:space="preserve"> No. 3</w:t>
      </w:r>
      <w:r>
        <w:t xml:space="preserve"> at 604</w:t>
      </w:r>
      <w:r w:rsidRPr="00234C97">
        <w:t xml:space="preserve"> </w:t>
      </w:r>
      <w:r>
        <w:t>(</w:t>
      </w:r>
      <w:r w:rsidRPr="00234C97">
        <w:t>June 2007</w:t>
      </w:r>
      <w:r>
        <w:t>).</w:t>
      </w:r>
    </w:p>
  </w:footnote>
  <w:footnote w:id="37">
    <w:p w:rsidR="005F4E72" w:rsidRDefault="005F4E72" w:rsidP="003914B4">
      <w:pPr>
        <w:pStyle w:val="FootnoteText"/>
        <w:spacing w:after="0"/>
        <w:ind w:left="187" w:hanging="187"/>
        <w:jc w:val="left"/>
      </w:pPr>
      <w:r>
        <w:rPr>
          <w:rStyle w:val="FootnoteReference"/>
        </w:rPr>
        <w:footnoteRef/>
      </w:r>
      <w:r>
        <w:t xml:space="preserve"> Responsive Testimony of Michael P. Gorman, Exhibit No. MPG-1T at 25:3-4.</w:t>
      </w:r>
    </w:p>
  </w:footnote>
  <w:footnote w:id="38">
    <w:p w:rsidR="005F4E72" w:rsidRDefault="005F4E72" w:rsidP="003914B4">
      <w:pPr>
        <w:pStyle w:val="FootnoteText"/>
        <w:spacing w:after="0"/>
        <w:ind w:left="0" w:firstLine="0"/>
        <w:jc w:val="left"/>
      </w:pPr>
      <w:r>
        <w:rPr>
          <w:rStyle w:val="FootnoteReference"/>
        </w:rPr>
        <w:footnoteRef/>
      </w:r>
      <w:r>
        <w:t xml:space="preserve"> </w:t>
      </w:r>
      <w:r w:rsidRPr="00B51E9A">
        <w:rPr>
          <w:i/>
        </w:rPr>
        <w:t>Id</w:t>
      </w:r>
      <w:r>
        <w:rPr>
          <w:i/>
        </w:rPr>
        <w:t>.</w:t>
      </w:r>
      <w:r>
        <w:t xml:space="preserve"> at 55:18-23.</w:t>
      </w:r>
    </w:p>
  </w:footnote>
  <w:footnote w:id="39">
    <w:p w:rsidR="005F4E72" w:rsidRDefault="005F4E72" w:rsidP="003914B4">
      <w:pPr>
        <w:pStyle w:val="FootnoteText"/>
        <w:spacing w:after="0"/>
        <w:ind w:left="0" w:firstLine="0"/>
        <w:jc w:val="left"/>
      </w:pPr>
      <w:r>
        <w:rPr>
          <w:rStyle w:val="FootnoteReference"/>
        </w:rPr>
        <w:footnoteRef/>
      </w:r>
      <w:r>
        <w:t xml:space="preserve"> </w:t>
      </w:r>
      <w:r w:rsidRPr="0024021B">
        <w:rPr>
          <w:i/>
          <w:szCs w:val="24"/>
        </w:rPr>
        <w:t>See</w:t>
      </w:r>
      <w:r>
        <w:rPr>
          <w:szCs w:val="24"/>
        </w:rPr>
        <w:t xml:space="preserve"> </w:t>
      </w:r>
      <w:r>
        <w:t>Testimony of Stephen G. Hill, Exhibit No. SGH-1CT at 60:13-18</w:t>
      </w:r>
      <w:r>
        <w:rPr>
          <w:szCs w:val="24"/>
        </w:rPr>
        <w:t>.</w:t>
      </w:r>
    </w:p>
  </w:footnote>
  <w:footnote w:id="40">
    <w:p w:rsidR="005F4E72" w:rsidRPr="00B51E9A" w:rsidRDefault="005F4E72" w:rsidP="003914B4">
      <w:pPr>
        <w:pStyle w:val="FootnoteText"/>
        <w:spacing w:after="0"/>
        <w:ind w:left="187" w:hanging="187"/>
        <w:jc w:val="left"/>
        <w:rPr>
          <w:rStyle w:val="FootnoteTextChar"/>
        </w:rPr>
      </w:pPr>
      <w:r w:rsidRPr="00B51E9A">
        <w:rPr>
          <w:rStyle w:val="FootnoteReference"/>
        </w:rPr>
        <w:footnoteRef/>
      </w:r>
      <w:r w:rsidRPr="00B51E9A">
        <w:t xml:space="preserve"> </w:t>
      </w:r>
      <w:r w:rsidRPr="007C1C30">
        <w:rPr>
          <w:rStyle w:val="FootnoteTextChar"/>
          <w:i/>
        </w:rPr>
        <w:t>See, e.g.</w:t>
      </w:r>
      <w:r w:rsidRPr="00B51E9A">
        <w:rPr>
          <w:rStyle w:val="FootnoteTextChar"/>
        </w:rPr>
        <w:t xml:space="preserve">, </w:t>
      </w:r>
      <w:r w:rsidRPr="00BF3018">
        <w:t xml:space="preserve">Brealey, R., Myers, S., and Allen, F. </w:t>
      </w:r>
      <w:r w:rsidRPr="00BF3018">
        <w:rPr>
          <w:i/>
        </w:rPr>
        <w:t xml:space="preserve">Principles of Corporate Finance, </w:t>
      </w:r>
      <w:r>
        <w:t>162-163</w:t>
      </w:r>
      <w:r w:rsidRPr="00BF3018">
        <w:rPr>
          <w:i/>
        </w:rPr>
        <w:t xml:space="preserve"> </w:t>
      </w:r>
      <w:r w:rsidRPr="00BF3018">
        <w:t>(11th ed. 2014).</w:t>
      </w:r>
    </w:p>
  </w:footnote>
  <w:footnote w:id="41">
    <w:p w:rsidR="005F4E72" w:rsidRPr="00D570FE" w:rsidRDefault="005F4E72" w:rsidP="003914B4">
      <w:pPr>
        <w:pStyle w:val="FootnoteText"/>
        <w:spacing w:after="0"/>
        <w:ind w:left="187" w:hanging="187"/>
        <w:jc w:val="left"/>
      </w:pPr>
      <w:r>
        <w:rPr>
          <w:rStyle w:val="FootnoteReference"/>
        </w:rPr>
        <w:footnoteRef/>
      </w:r>
      <w:r>
        <w:t xml:space="preserve"> Morin, Roger A.  </w:t>
      </w:r>
      <w:r>
        <w:rPr>
          <w:i/>
        </w:rPr>
        <w:t>Regulatory Finance – Utilities’ Cost of Capital</w:t>
      </w:r>
      <w:r>
        <w:t>, 275 (1994).</w:t>
      </w:r>
    </w:p>
  </w:footnote>
  <w:footnote w:id="42">
    <w:p w:rsidR="005F4E72" w:rsidRDefault="005F4E72" w:rsidP="0061235F">
      <w:pPr>
        <w:pStyle w:val="FootnoteText"/>
        <w:spacing w:after="0"/>
        <w:ind w:left="0" w:firstLine="0"/>
        <w:jc w:val="left"/>
      </w:pPr>
      <w:r>
        <w:rPr>
          <w:rStyle w:val="FootnoteReference"/>
        </w:rPr>
        <w:footnoteRef/>
      </w:r>
      <w:r>
        <w:t xml:space="preserve"> </w:t>
      </w:r>
      <w:r w:rsidRPr="007C1C30">
        <w:rPr>
          <w:i/>
        </w:rPr>
        <w:t>See</w:t>
      </w:r>
      <w:r w:rsidRPr="00FD4537">
        <w:t>,</w:t>
      </w:r>
      <w:r w:rsidRPr="007C1C30">
        <w:rPr>
          <w:i/>
        </w:rPr>
        <w:t xml:space="preserve"> e.g.</w:t>
      </w:r>
      <w:r>
        <w:t xml:space="preserve">, </w:t>
      </w:r>
      <w:r>
        <w:rPr>
          <w:i/>
        </w:rPr>
        <w:t>Re Rate Regulation Initiative</w:t>
      </w:r>
      <w:r>
        <w:t xml:space="preserve">, Alberta Utilities Commission, Proceeding ID No. 566, NERA Report: “Total Factor Productivity Study for Use in AUC Proceeding 566 – Rate Regulation Initiative” (Dec. 30, 2010).  </w:t>
      </w:r>
      <w:r w:rsidRPr="007C1C30">
        <w:rPr>
          <w:i/>
        </w:rPr>
        <w:t>See also</w:t>
      </w:r>
      <w:r>
        <w:t xml:space="preserve"> </w:t>
      </w:r>
      <w:r>
        <w:rPr>
          <w:i/>
        </w:rPr>
        <w:t>Re Central Maine Power Co. Request for New Alternative Rate Plan</w:t>
      </w:r>
      <w:r>
        <w:t>, Testimony of Mark N. Lowry, Maine Public Service Commission, Docket No. 2007-215, (May 1, 2007).</w:t>
      </w:r>
    </w:p>
  </w:footnote>
  <w:footnote w:id="43">
    <w:p w:rsidR="005F4E72" w:rsidRDefault="005F4E72" w:rsidP="0061235F">
      <w:pPr>
        <w:pStyle w:val="FootnoteText"/>
        <w:spacing w:after="0"/>
        <w:ind w:left="0" w:firstLine="0"/>
        <w:jc w:val="left"/>
      </w:pPr>
      <w:r>
        <w:rPr>
          <w:rStyle w:val="FootnoteReference"/>
        </w:rPr>
        <w:footnoteRef/>
      </w:r>
      <w:r>
        <w:t xml:space="preserve"> </w:t>
      </w:r>
      <w:r>
        <w:rPr>
          <w:i/>
        </w:rPr>
        <w:t>Re Rate Regulation Initiative</w:t>
      </w:r>
      <w:r>
        <w:t>, Alberta Utilities Commission, Proceeding ID No. 566, NERA Report: “Total Factor Productivity Study for Use in AUC Proceeding 566 – Rate Regulation Initiative” at 19 (Dec. 30, 2010).</w:t>
      </w:r>
    </w:p>
  </w:footnote>
  <w:footnote w:id="44">
    <w:p w:rsidR="005F4E72" w:rsidRDefault="005F4E72" w:rsidP="00CC236A">
      <w:pPr>
        <w:pStyle w:val="FootnoteText"/>
        <w:spacing w:after="0"/>
        <w:ind w:left="0" w:firstLine="0"/>
        <w:jc w:val="left"/>
      </w:pPr>
      <w:r>
        <w:rPr>
          <w:rStyle w:val="FootnoteReference"/>
        </w:rPr>
        <w:footnoteRef/>
      </w:r>
      <w:r>
        <w:t xml:space="preserve"> “</w:t>
      </w:r>
      <w:r w:rsidRPr="007C1C30">
        <w:rPr>
          <w:szCs w:val="24"/>
        </w:rPr>
        <w:t>S&amp;P's First Take On The EPA's Proposed CO2 Rules For Power Generators</w:t>
      </w:r>
      <w:r>
        <w:rPr>
          <w:szCs w:val="24"/>
        </w:rPr>
        <w:t xml:space="preserve">,” </w:t>
      </w:r>
      <w:r>
        <w:rPr>
          <w:i/>
          <w:szCs w:val="24"/>
        </w:rPr>
        <w:t xml:space="preserve">Standard &amp; Poors Ratings Direct </w:t>
      </w:r>
      <w:r>
        <w:rPr>
          <w:szCs w:val="24"/>
        </w:rPr>
        <w:t>at 5 (June 3, 2014).</w:t>
      </w:r>
    </w:p>
  </w:footnote>
  <w:footnote w:id="45">
    <w:p w:rsidR="005F4E72" w:rsidRPr="000400EF" w:rsidRDefault="005F4E72" w:rsidP="00CC236A">
      <w:pPr>
        <w:pStyle w:val="FootnoteText"/>
        <w:spacing w:after="0"/>
        <w:ind w:left="0" w:firstLine="0"/>
        <w:jc w:val="left"/>
      </w:pPr>
      <w:r>
        <w:rPr>
          <w:rStyle w:val="FootnoteReference"/>
        </w:rPr>
        <w:footnoteRef/>
      </w:r>
      <w:r>
        <w:t xml:space="preserve"> “Energy Conference Review,” </w:t>
      </w:r>
      <w:r>
        <w:rPr>
          <w:i/>
        </w:rPr>
        <w:t xml:space="preserve">Barclays </w:t>
      </w:r>
      <w:r w:rsidRPr="000400EF">
        <w:rPr>
          <w:i/>
        </w:rPr>
        <w:t>Power &amp; Utilities</w:t>
      </w:r>
      <w:r>
        <w:t xml:space="preserve"> at 1 (Sept. 10, 2014) (emphasis added).</w:t>
      </w:r>
    </w:p>
  </w:footnote>
  <w:footnote w:id="46">
    <w:p w:rsidR="005F4E72" w:rsidRPr="000400EF" w:rsidRDefault="005F4E72" w:rsidP="00CC236A">
      <w:pPr>
        <w:pStyle w:val="FootnoteText"/>
        <w:spacing w:after="0"/>
        <w:ind w:left="187" w:hanging="187"/>
        <w:jc w:val="left"/>
      </w:pPr>
      <w:r>
        <w:rPr>
          <w:rStyle w:val="FootnoteReference"/>
        </w:rPr>
        <w:footnoteRef/>
      </w:r>
      <w:r>
        <w:t xml:space="preserve"> </w:t>
      </w:r>
      <w:r>
        <w:rPr>
          <w:i/>
        </w:rPr>
        <w:t>Id.</w:t>
      </w:r>
      <w:r>
        <w:t xml:space="preserve"> at 4 (emphasis added).</w:t>
      </w:r>
    </w:p>
  </w:footnote>
  <w:footnote w:id="47">
    <w:p w:rsidR="005F4E72" w:rsidRDefault="005F4E72" w:rsidP="00CC236A">
      <w:pPr>
        <w:pStyle w:val="FootnoteText"/>
        <w:spacing w:after="0"/>
        <w:ind w:left="187" w:hanging="187"/>
        <w:jc w:val="left"/>
      </w:pPr>
      <w:r>
        <w:rPr>
          <w:rStyle w:val="FootnoteReference"/>
        </w:rPr>
        <w:footnoteRef/>
      </w:r>
      <w:r>
        <w:t xml:space="preserve"> </w:t>
      </w:r>
      <w:r w:rsidRPr="001161B3">
        <w:rPr>
          <w:i/>
        </w:rPr>
        <w:t>See</w:t>
      </w:r>
      <w:r>
        <w:t xml:space="preserve"> Bonbright, J. </w:t>
      </w:r>
      <w:r w:rsidRPr="001161B3">
        <w:rPr>
          <w:rStyle w:val="st"/>
          <w:i/>
        </w:rPr>
        <w:t>Principles of Public Utility Rates</w:t>
      </w:r>
      <w:r>
        <w:rPr>
          <w:rStyle w:val="st"/>
        </w:rPr>
        <w:t>, 50 (1961).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3931"/>
      <w:gridCol w:w="1584"/>
      <w:gridCol w:w="3931"/>
    </w:tblGrid>
    <w:tr w:rsidR="005F4E72">
      <w:trPr>
        <w:trHeight w:hRule="exact" w:val="720"/>
        <w:jc w:val="center"/>
      </w:trPr>
      <w:tc>
        <w:tcPr>
          <w:tcW w:w="3931" w:type="dxa"/>
        </w:tcPr>
        <w:p w:rsidR="005F4E72" w:rsidRDefault="005F4E72">
          <w:pPr>
            <w:pStyle w:val="DrConLeft"/>
          </w:pPr>
          <w:r>
            <w:fldChar w:fldCharType="begin"/>
          </w:r>
          <w:r>
            <w:instrText xml:space="preserve"> DOCPROPERTY "zpsPrivilegedText1" </w:instrText>
          </w:r>
          <w:r>
            <w:fldChar w:fldCharType="separate"/>
          </w:r>
          <w:r w:rsidR="0030109B">
            <w:rPr>
              <w:b w:val="0"/>
              <w:bCs/>
            </w:rPr>
            <w:t>Error! Unknown document property name.</w:t>
          </w:r>
          <w:r>
            <w:fldChar w:fldCharType="end"/>
          </w:r>
        </w:p>
        <w:p w:rsidR="005F4E72" w:rsidRDefault="005F4E72">
          <w:pPr>
            <w:pStyle w:val="DrConLeft"/>
          </w:pPr>
          <w:r>
            <w:fldChar w:fldCharType="begin"/>
          </w:r>
          <w:r>
            <w:instrText xml:space="preserve"> DOCPROPERTY "zpsPrivilegedText2" </w:instrText>
          </w:r>
          <w:r>
            <w:fldChar w:fldCharType="separate"/>
          </w:r>
          <w:r w:rsidR="0030109B">
            <w:rPr>
              <w:b w:val="0"/>
              <w:bCs/>
            </w:rPr>
            <w:t>Error! Unknown document property name.</w:t>
          </w:r>
          <w:r>
            <w:fldChar w:fldCharType="end"/>
          </w:r>
        </w:p>
      </w:tc>
      <w:tc>
        <w:tcPr>
          <w:tcW w:w="1584" w:type="dxa"/>
        </w:tcPr>
        <w:p w:rsidR="005F4E72" w:rsidRDefault="005F4E72">
          <w:pPr>
            <w:pStyle w:val="Footer"/>
            <w:jc w:val="center"/>
          </w:pPr>
        </w:p>
        <w:p w:rsidR="005F4E72" w:rsidRDefault="005F4E72">
          <w:pPr>
            <w:pStyle w:val="Footer"/>
            <w:jc w:val="center"/>
          </w:pPr>
          <w:r>
            <w:t xml:space="preserve">- </w:t>
          </w:r>
          <w:r>
            <w:fldChar w:fldCharType="begin"/>
          </w:r>
          <w:r>
            <w:instrText xml:space="preserve"> PAGE </w:instrText>
          </w:r>
          <w:r>
            <w:fldChar w:fldCharType="separate"/>
          </w:r>
          <w:r>
            <w:rPr>
              <w:noProof/>
            </w:rPr>
            <w:t>36</w:t>
          </w:r>
          <w:r>
            <w:rPr>
              <w:noProof/>
            </w:rPr>
            <w:fldChar w:fldCharType="end"/>
          </w:r>
          <w:r>
            <w:t xml:space="preserve"> -</w:t>
          </w:r>
        </w:p>
      </w:tc>
      <w:tc>
        <w:tcPr>
          <w:tcW w:w="3931" w:type="dxa"/>
        </w:tcPr>
        <w:p w:rsidR="005F4E72" w:rsidRDefault="005F4E72">
          <w:pPr>
            <w:pStyle w:val="DrConRight"/>
          </w:pPr>
          <w:r>
            <w:fldChar w:fldCharType="begin"/>
          </w:r>
          <w:r>
            <w:instrText xml:space="preserve"> REF zDraft1 \* MERGEFORMAT </w:instrText>
          </w:r>
          <w:r>
            <w:fldChar w:fldCharType="separate"/>
          </w:r>
          <w:r w:rsidR="0030109B">
            <w:rPr>
              <w:b w:val="0"/>
              <w:bCs/>
            </w:rPr>
            <w:t>Error! Reference source not found.</w:t>
          </w:r>
          <w:r>
            <w:fldChar w:fldCharType="end"/>
          </w:r>
        </w:p>
        <w:p w:rsidR="005F4E72" w:rsidRDefault="005F4E72">
          <w:pPr>
            <w:pStyle w:val="DrConRight"/>
          </w:pPr>
          <w:r>
            <w:fldChar w:fldCharType="begin"/>
          </w:r>
          <w:r>
            <w:instrText xml:space="preserve"> REF zDraft2 \* MERGEFORMAT </w:instrText>
          </w:r>
          <w:r>
            <w:fldChar w:fldCharType="separate"/>
          </w:r>
          <w:r w:rsidR="0030109B">
            <w:rPr>
              <w:b w:val="0"/>
              <w:bCs/>
            </w:rPr>
            <w:t>Error! Reference source not found.</w:t>
          </w:r>
          <w:r>
            <w:fldChar w:fldCharType="end"/>
          </w:r>
        </w:p>
      </w:tc>
    </w:tr>
  </w:tbl>
  <w:p w:rsidR="005F4E72" w:rsidRDefault="005F4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6C" w:rsidRDefault="009008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72" w:rsidRDefault="005F4E72" w:rsidP="00DF7D3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05C85A8"/>
    <w:lvl w:ilvl="0">
      <w:start w:val="1"/>
      <w:numFmt w:val="upperRoman"/>
      <w:lvlText w:val="%1."/>
      <w:lvlJc w:val="left"/>
      <w:pPr>
        <w:tabs>
          <w:tab w:val="num" w:pos="0"/>
        </w:tabs>
        <w:ind w:left="0" w:firstLine="0"/>
      </w:pPr>
      <w:rPr>
        <w:rFonts w:hint="default"/>
        <w:sz w:val="24"/>
        <w:szCs w:val="24"/>
      </w:rPr>
    </w:lvl>
    <w:lvl w:ilvl="1">
      <w:start w:val="1"/>
      <w:numFmt w:val="upperLetter"/>
      <w:pStyle w:val="Heading2"/>
      <w:lvlText w:val="%2."/>
      <w:lvlJc w:val="left"/>
      <w:pPr>
        <w:tabs>
          <w:tab w:val="num" w:pos="0"/>
        </w:tabs>
        <w:ind w:left="0" w:firstLine="0"/>
      </w:pPr>
      <w:rPr>
        <w:rFonts w:hint="default"/>
        <w:sz w:val="24"/>
        <w:szCs w:val="24"/>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B06C5F"/>
    <w:multiLevelType w:val="multilevel"/>
    <w:tmpl w:val="0409001D"/>
    <w:name w:val="Appendices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9D6B28"/>
    <w:multiLevelType w:val="hybridMultilevel"/>
    <w:tmpl w:val="B1860B82"/>
    <w:lvl w:ilvl="0" w:tplc="FD9CE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281F41"/>
    <w:multiLevelType w:val="hybridMultilevel"/>
    <w:tmpl w:val="5D8673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F89332D"/>
    <w:multiLevelType w:val="hybridMultilevel"/>
    <w:tmpl w:val="F3D4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C1EF3DA">
      <w:start w:val="1"/>
      <w:numFmt w:val="bullet"/>
      <w:lvlText w:val=""/>
      <w:lvlJc w:val="left"/>
      <w:pPr>
        <w:ind w:left="2160" w:hanging="360"/>
      </w:pPr>
      <w:rPr>
        <w:rFonts w:ascii="Symbol" w:hAnsi="Symbol" w:hint="default"/>
        <w:sz w:val="20"/>
        <w:szCs w:val="2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107CB3"/>
    <w:multiLevelType w:val="hybridMultilevel"/>
    <w:tmpl w:val="74CE7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DAA4451"/>
    <w:multiLevelType w:val="hybridMultilevel"/>
    <w:tmpl w:val="0D56E32E"/>
    <w:lvl w:ilvl="0" w:tplc="389C479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C353BA"/>
    <w:multiLevelType w:val="hybridMultilevel"/>
    <w:tmpl w:val="BCCA3686"/>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36161E88"/>
    <w:multiLevelType w:val="multilevel"/>
    <w:tmpl w:val="CB2A8944"/>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9">
    <w:nsid w:val="393C633D"/>
    <w:multiLevelType w:val="singleLevel"/>
    <w:tmpl w:val="D4D20DD8"/>
    <w:lvl w:ilvl="0">
      <w:start w:val="1"/>
      <w:numFmt w:val="decimal"/>
      <w:lvlText w:val="%1."/>
      <w:legacy w:legacy="1" w:legacySpace="0" w:legacyIndent="360"/>
      <w:lvlJc w:val="left"/>
      <w:pPr>
        <w:ind w:left="720" w:hanging="360"/>
      </w:pPr>
    </w:lvl>
  </w:abstractNum>
  <w:abstractNum w:abstractNumId="10">
    <w:nsid w:val="48AB180A"/>
    <w:multiLevelType w:val="singleLevel"/>
    <w:tmpl w:val="F4FE560E"/>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49C129F8"/>
    <w:multiLevelType w:val="multilevel"/>
    <w:tmpl w:val="C674EBC0"/>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12">
    <w:nsid w:val="4C081D59"/>
    <w:multiLevelType w:val="hybridMultilevel"/>
    <w:tmpl w:val="271E2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26F3DFB"/>
    <w:multiLevelType w:val="hybridMultilevel"/>
    <w:tmpl w:val="FC90C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4637D5"/>
    <w:multiLevelType w:val="multilevel"/>
    <w:tmpl w:val="1CF8CBA0"/>
    <w:lvl w:ilvl="0">
      <w:start w:val="1"/>
      <w:numFmt w:val="decimal"/>
      <w:lvlText w:val="%1."/>
      <w:legacy w:legacy="1" w:legacySpace="0" w:legacyIndent="360"/>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9B41DF"/>
    <w:multiLevelType w:val="multilevel"/>
    <w:tmpl w:val="A13AA486"/>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6">
    <w:nsid w:val="68472F9A"/>
    <w:multiLevelType w:val="hybridMultilevel"/>
    <w:tmpl w:val="14CAD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5"/>
  </w:num>
  <w:num w:numId="5">
    <w:abstractNumId w:val="9"/>
  </w:num>
  <w:num w:numId="6">
    <w:abstractNumId w:val="14"/>
  </w:num>
  <w:num w:numId="7">
    <w:abstractNumId w:val="7"/>
  </w:num>
  <w:num w:numId="8">
    <w:abstractNumId w:val="12"/>
  </w:num>
  <w:num w:numId="9">
    <w:abstractNumId w:val="2"/>
  </w:num>
  <w:num w:numId="10">
    <w:abstractNumId w:val="3"/>
  </w:num>
  <w:num w:numId="11">
    <w:abstractNumId w:val="13"/>
  </w:num>
  <w:num w:numId="12">
    <w:abstractNumId w:val="0"/>
  </w:num>
  <w:num w:numId="13">
    <w:abstractNumId w:val="0"/>
  </w:num>
  <w:num w:numId="14">
    <w:abstractNumId w:val="0"/>
  </w:num>
  <w:num w:numId="15">
    <w:abstractNumId w:val="0"/>
  </w:num>
  <w:num w:numId="16">
    <w:abstractNumId w:val="11"/>
  </w:num>
  <w:num w:numId="17">
    <w:abstractNumId w:val="5"/>
  </w:num>
  <w:num w:numId="18">
    <w:abstractNumId w:val="16"/>
  </w:num>
  <w:num w:numId="19">
    <w:abstractNumId w:val="0"/>
    <w:lvlOverride w:ilvl="0">
      <w:startOverride w:val="1"/>
    </w:lvlOverride>
    <w:lvlOverride w:ilvl="1">
      <w:startOverride w:val="17"/>
    </w:lvlOverride>
  </w:num>
  <w:num w:numId="20">
    <w:abstractNumId w:val="4"/>
  </w:num>
  <w:num w:numId="21">
    <w:abstractNumId w:val="4"/>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AC"/>
    <w:rsid w:val="00000890"/>
    <w:rsid w:val="0000342C"/>
    <w:rsid w:val="00003A64"/>
    <w:rsid w:val="0002220B"/>
    <w:rsid w:val="00023426"/>
    <w:rsid w:val="00023BDB"/>
    <w:rsid w:val="00032B23"/>
    <w:rsid w:val="0003504F"/>
    <w:rsid w:val="00036F90"/>
    <w:rsid w:val="000400EF"/>
    <w:rsid w:val="00040551"/>
    <w:rsid w:val="00050A18"/>
    <w:rsid w:val="00052DF7"/>
    <w:rsid w:val="0006618F"/>
    <w:rsid w:val="00073B2A"/>
    <w:rsid w:val="00075809"/>
    <w:rsid w:val="00075989"/>
    <w:rsid w:val="000933D6"/>
    <w:rsid w:val="000A74D5"/>
    <w:rsid w:val="000B0780"/>
    <w:rsid w:val="000C0068"/>
    <w:rsid w:val="000C300D"/>
    <w:rsid w:val="000D28BD"/>
    <w:rsid w:val="000D437E"/>
    <w:rsid w:val="000E5A32"/>
    <w:rsid w:val="000E6CEC"/>
    <w:rsid w:val="000F1E4A"/>
    <w:rsid w:val="000F3A5D"/>
    <w:rsid w:val="000F4F1D"/>
    <w:rsid w:val="000F6451"/>
    <w:rsid w:val="00100414"/>
    <w:rsid w:val="00103C2D"/>
    <w:rsid w:val="0010449C"/>
    <w:rsid w:val="00114901"/>
    <w:rsid w:val="0011543F"/>
    <w:rsid w:val="001161B3"/>
    <w:rsid w:val="00117FF5"/>
    <w:rsid w:val="00131967"/>
    <w:rsid w:val="00133DEF"/>
    <w:rsid w:val="00134C29"/>
    <w:rsid w:val="00137B57"/>
    <w:rsid w:val="00137EFC"/>
    <w:rsid w:val="00142386"/>
    <w:rsid w:val="001513B4"/>
    <w:rsid w:val="001524BE"/>
    <w:rsid w:val="00153AC3"/>
    <w:rsid w:val="00161E93"/>
    <w:rsid w:val="001652C7"/>
    <w:rsid w:val="00170BA4"/>
    <w:rsid w:val="00170E57"/>
    <w:rsid w:val="001740E9"/>
    <w:rsid w:val="0018045C"/>
    <w:rsid w:val="00183274"/>
    <w:rsid w:val="00185133"/>
    <w:rsid w:val="001903AB"/>
    <w:rsid w:val="001927FE"/>
    <w:rsid w:val="001971A8"/>
    <w:rsid w:val="001A475A"/>
    <w:rsid w:val="001A53FB"/>
    <w:rsid w:val="001A6EBC"/>
    <w:rsid w:val="001B7174"/>
    <w:rsid w:val="001C5084"/>
    <w:rsid w:val="001D06DD"/>
    <w:rsid w:val="001D3BAA"/>
    <w:rsid w:val="001D59A5"/>
    <w:rsid w:val="001E0FB2"/>
    <w:rsid w:val="001E4624"/>
    <w:rsid w:val="001E4A34"/>
    <w:rsid w:val="001E4F6C"/>
    <w:rsid w:val="002023C4"/>
    <w:rsid w:val="00206042"/>
    <w:rsid w:val="0021192E"/>
    <w:rsid w:val="00212CEF"/>
    <w:rsid w:val="00213A24"/>
    <w:rsid w:val="00214F45"/>
    <w:rsid w:val="0021705D"/>
    <w:rsid w:val="0022557B"/>
    <w:rsid w:val="002333B9"/>
    <w:rsid w:val="00234C97"/>
    <w:rsid w:val="002433EF"/>
    <w:rsid w:val="0025189C"/>
    <w:rsid w:val="00255BBE"/>
    <w:rsid w:val="00271898"/>
    <w:rsid w:val="00273BC3"/>
    <w:rsid w:val="00277D21"/>
    <w:rsid w:val="00293628"/>
    <w:rsid w:val="002968F5"/>
    <w:rsid w:val="0029743D"/>
    <w:rsid w:val="002A765D"/>
    <w:rsid w:val="002A7AB3"/>
    <w:rsid w:val="002B74F2"/>
    <w:rsid w:val="002C2DAF"/>
    <w:rsid w:val="002D5EA9"/>
    <w:rsid w:val="002E12BD"/>
    <w:rsid w:val="002F434B"/>
    <w:rsid w:val="002F539B"/>
    <w:rsid w:val="0030109B"/>
    <w:rsid w:val="00301A3B"/>
    <w:rsid w:val="00302D8D"/>
    <w:rsid w:val="003105A0"/>
    <w:rsid w:val="0032112C"/>
    <w:rsid w:val="0032227A"/>
    <w:rsid w:val="00322871"/>
    <w:rsid w:val="003241B7"/>
    <w:rsid w:val="003241BD"/>
    <w:rsid w:val="00330D61"/>
    <w:rsid w:val="00332C63"/>
    <w:rsid w:val="0033307B"/>
    <w:rsid w:val="00336B42"/>
    <w:rsid w:val="00342856"/>
    <w:rsid w:val="00344178"/>
    <w:rsid w:val="00344328"/>
    <w:rsid w:val="003447F8"/>
    <w:rsid w:val="003449B4"/>
    <w:rsid w:val="00352F32"/>
    <w:rsid w:val="00362AFA"/>
    <w:rsid w:val="00374875"/>
    <w:rsid w:val="00380776"/>
    <w:rsid w:val="003809B0"/>
    <w:rsid w:val="0038384D"/>
    <w:rsid w:val="00383995"/>
    <w:rsid w:val="00384017"/>
    <w:rsid w:val="003914B4"/>
    <w:rsid w:val="0039223E"/>
    <w:rsid w:val="003A1052"/>
    <w:rsid w:val="003A300A"/>
    <w:rsid w:val="003A6BB2"/>
    <w:rsid w:val="003C6E5B"/>
    <w:rsid w:val="003D7990"/>
    <w:rsid w:val="003D7C77"/>
    <w:rsid w:val="003E17F7"/>
    <w:rsid w:val="003E2125"/>
    <w:rsid w:val="003F15C3"/>
    <w:rsid w:val="003F737D"/>
    <w:rsid w:val="00401DEB"/>
    <w:rsid w:val="00402477"/>
    <w:rsid w:val="00413F04"/>
    <w:rsid w:val="004159FB"/>
    <w:rsid w:val="00417836"/>
    <w:rsid w:val="00422279"/>
    <w:rsid w:val="00425B6F"/>
    <w:rsid w:val="00437860"/>
    <w:rsid w:val="0044027A"/>
    <w:rsid w:val="004410E7"/>
    <w:rsid w:val="004460AE"/>
    <w:rsid w:val="00461578"/>
    <w:rsid w:val="00464B2A"/>
    <w:rsid w:val="004664D3"/>
    <w:rsid w:val="0046743A"/>
    <w:rsid w:val="00470C4C"/>
    <w:rsid w:val="00471171"/>
    <w:rsid w:val="00477891"/>
    <w:rsid w:val="004808A8"/>
    <w:rsid w:val="004815CB"/>
    <w:rsid w:val="00482134"/>
    <w:rsid w:val="004833FE"/>
    <w:rsid w:val="0048767E"/>
    <w:rsid w:val="00493153"/>
    <w:rsid w:val="004A0AC3"/>
    <w:rsid w:val="004A283E"/>
    <w:rsid w:val="004C0628"/>
    <w:rsid w:val="004C4B50"/>
    <w:rsid w:val="004D29D8"/>
    <w:rsid w:val="004D7A7E"/>
    <w:rsid w:val="004E4D64"/>
    <w:rsid w:val="004F2FD4"/>
    <w:rsid w:val="005005A9"/>
    <w:rsid w:val="00500F03"/>
    <w:rsid w:val="00504D70"/>
    <w:rsid w:val="0051265E"/>
    <w:rsid w:val="00515489"/>
    <w:rsid w:val="0052368D"/>
    <w:rsid w:val="0052450F"/>
    <w:rsid w:val="0053571D"/>
    <w:rsid w:val="005441E4"/>
    <w:rsid w:val="00544F06"/>
    <w:rsid w:val="005503F9"/>
    <w:rsid w:val="0055227C"/>
    <w:rsid w:val="00553615"/>
    <w:rsid w:val="00556902"/>
    <w:rsid w:val="00565A21"/>
    <w:rsid w:val="005666AC"/>
    <w:rsid w:val="00575C66"/>
    <w:rsid w:val="00576AE6"/>
    <w:rsid w:val="00580FA4"/>
    <w:rsid w:val="00590094"/>
    <w:rsid w:val="005900CE"/>
    <w:rsid w:val="00591F76"/>
    <w:rsid w:val="00592126"/>
    <w:rsid w:val="00597961"/>
    <w:rsid w:val="005A39E9"/>
    <w:rsid w:val="005B772F"/>
    <w:rsid w:val="005C0C48"/>
    <w:rsid w:val="005D7313"/>
    <w:rsid w:val="005E239C"/>
    <w:rsid w:val="005E2DD7"/>
    <w:rsid w:val="005E5528"/>
    <w:rsid w:val="005E6531"/>
    <w:rsid w:val="005E6EE2"/>
    <w:rsid w:val="005F4E72"/>
    <w:rsid w:val="005F7908"/>
    <w:rsid w:val="00601484"/>
    <w:rsid w:val="006058AA"/>
    <w:rsid w:val="00605BF2"/>
    <w:rsid w:val="0061235F"/>
    <w:rsid w:val="00617AC1"/>
    <w:rsid w:val="006417B4"/>
    <w:rsid w:val="00644B40"/>
    <w:rsid w:val="00644EEE"/>
    <w:rsid w:val="00646371"/>
    <w:rsid w:val="00656F2B"/>
    <w:rsid w:val="0066440B"/>
    <w:rsid w:val="00666356"/>
    <w:rsid w:val="00666809"/>
    <w:rsid w:val="00666AAC"/>
    <w:rsid w:val="006674A1"/>
    <w:rsid w:val="00670089"/>
    <w:rsid w:val="00670896"/>
    <w:rsid w:val="00671552"/>
    <w:rsid w:val="006720CC"/>
    <w:rsid w:val="00676922"/>
    <w:rsid w:val="0067706B"/>
    <w:rsid w:val="006778EC"/>
    <w:rsid w:val="0068160B"/>
    <w:rsid w:val="00682CC0"/>
    <w:rsid w:val="00685D51"/>
    <w:rsid w:val="006918E3"/>
    <w:rsid w:val="00693DF9"/>
    <w:rsid w:val="006971CD"/>
    <w:rsid w:val="006A1247"/>
    <w:rsid w:val="006A48AA"/>
    <w:rsid w:val="006A540F"/>
    <w:rsid w:val="006B3CC9"/>
    <w:rsid w:val="006B7EF9"/>
    <w:rsid w:val="006D04D3"/>
    <w:rsid w:val="006D0C51"/>
    <w:rsid w:val="006D4F83"/>
    <w:rsid w:val="006D7C1B"/>
    <w:rsid w:val="006E05F4"/>
    <w:rsid w:val="006E0C2F"/>
    <w:rsid w:val="006F44CA"/>
    <w:rsid w:val="006F712E"/>
    <w:rsid w:val="00700A7A"/>
    <w:rsid w:val="00701C29"/>
    <w:rsid w:val="00705E72"/>
    <w:rsid w:val="00707626"/>
    <w:rsid w:val="00717103"/>
    <w:rsid w:val="00717B47"/>
    <w:rsid w:val="007239A9"/>
    <w:rsid w:val="00724231"/>
    <w:rsid w:val="007243D2"/>
    <w:rsid w:val="007346DC"/>
    <w:rsid w:val="007359B9"/>
    <w:rsid w:val="00752BF7"/>
    <w:rsid w:val="0075353A"/>
    <w:rsid w:val="00761B0B"/>
    <w:rsid w:val="00761E23"/>
    <w:rsid w:val="00763326"/>
    <w:rsid w:val="00763F63"/>
    <w:rsid w:val="007845D2"/>
    <w:rsid w:val="00791CD5"/>
    <w:rsid w:val="0079454C"/>
    <w:rsid w:val="007967DB"/>
    <w:rsid w:val="0079684B"/>
    <w:rsid w:val="007A1E97"/>
    <w:rsid w:val="007B721B"/>
    <w:rsid w:val="007B74CA"/>
    <w:rsid w:val="007C0561"/>
    <w:rsid w:val="007C1C30"/>
    <w:rsid w:val="007D421A"/>
    <w:rsid w:val="007E258E"/>
    <w:rsid w:val="007E4233"/>
    <w:rsid w:val="007F516E"/>
    <w:rsid w:val="007F5EDF"/>
    <w:rsid w:val="00807A5B"/>
    <w:rsid w:val="008129EC"/>
    <w:rsid w:val="00813DBB"/>
    <w:rsid w:val="00814366"/>
    <w:rsid w:val="00814457"/>
    <w:rsid w:val="008169E8"/>
    <w:rsid w:val="00816A29"/>
    <w:rsid w:val="00825624"/>
    <w:rsid w:val="00826C7E"/>
    <w:rsid w:val="0083586B"/>
    <w:rsid w:val="0083774C"/>
    <w:rsid w:val="00840732"/>
    <w:rsid w:val="0084336F"/>
    <w:rsid w:val="00847480"/>
    <w:rsid w:val="00864BEC"/>
    <w:rsid w:val="00864F34"/>
    <w:rsid w:val="008654B6"/>
    <w:rsid w:val="00865946"/>
    <w:rsid w:val="00866390"/>
    <w:rsid w:val="008702C9"/>
    <w:rsid w:val="00874378"/>
    <w:rsid w:val="00875553"/>
    <w:rsid w:val="00877781"/>
    <w:rsid w:val="00877852"/>
    <w:rsid w:val="00880501"/>
    <w:rsid w:val="008816D8"/>
    <w:rsid w:val="0088626D"/>
    <w:rsid w:val="00894BD3"/>
    <w:rsid w:val="008977CD"/>
    <w:rsid w:val="008A47E2"/>
    <w:rsid w:val="008A7308"/>
    <w:rsid w:val="008A751A"/>
    <w:rsid w:val="008B14C6"/>
    <w:rsid w:val="008B24C9"/>
    <w:rsid w:val="008B78FF"/>
    <w:rsid w:val="008B7F62"/>
    <w:rsid w:val="008C0C2C"/>
    <w:rsid w:val="008C2350"/>
    <w:rsid w:val="008C5A8B"/>
    <w:rsid w:val="008E22C3"/>
    <w:rsid w:val="008F06E4"/>
    <w:rsid w:val="008F1C73"/>
    <w:rsid w:val="008F694B"/>
    <w:rsid w:val="0090086C"/>
    <w:rsid w:val="009042F6"/>
    <w:rsid w:val="00907275"/>
    <w:rsid w:val="009078B1"/>
    <w:rsid w:val="00907D50"/>
    <w:rsid w:val="00910F6F"/>
    <w:rsid w:val="0091366B"/>
    <w:rsid w:val="00921C01"/>
    <w:rsid w:val="009315DF"/>
    <w:rsid w:val="0093473D"/>
    <w:rsid w:val="009362E2"/>
    <w:rsid w:val="00943DBD"/>
    <w:rsid w:val="0095708E"/>
    <w:rsid w:val="009608E6"/>
    <w:rsid w:val="00964B91"/>
    <w:rsid w:val="00975575"/>
    <w:rsid w:val="00981653"/>
    <w:rsid w:val="009826C3"/>
    <w:rsid w:val="00993C06"/>
    <w:rsid w:val="0099627F"/>
    <w:rsid w:val="009D02AE"/>
    <w:rsid w:val="009D3399"/>
    <w:rsid w:val="009E1079"/>
    <w:rsid w:val="009E41F1"/>
    <w:rsid w:val="009E43E5"/>
    <w:rsid w:val="009F6060"/>
    <w:rsid w:val="009F62B6"/>
    <w:rsid w:val="00A00209"/>
    <w:rsid w:val="00A00CA3"/>
    <w:rsid w:val="00A011CB"/>
    <w:rsid w:val="00A06B77"/>
    <w:rsid w:val="00A116F5"/>
    <w:rsid w:val="00A13C03"/>
    <w:rsid w:val="00A158FC"/>
    <w:rsid w:val="00A255BA"/>
    <w:rsid w:val="00A33698"/>
    <w:rsid w:val="00A33B85"/>
    <w:rsid w:val="00A35C4F"/>
    <w:rsid w:val="00A36755"/>
    <w:rsid w:val="00A36CB6"/>
    <w:rsid w:val="00A4255C"/>
    <w:rsid w:val="00A4341A"/>
    <w:rsid w:val="00A4342E"/>
    <w:rsid w:val="00A467C6"/>
    <w:rsid w:val="00A53318"/>
    <w:rsid w:val="00A53520"/>
    <w:rsid w:val="00A54692"/>
    <w:rsid w:val="00A56AF6"/>
    <w:rsid w:val="00A668F5"/>
    <w:rsid w:val="00A72249"/>
    <w:rsid w:val="00A770B9"/>
    <w:rsid w:val="00A77154"/>
    <w:rsid w:val="00A774E0"/>
    <w:rsid w:val="00A809CA"/>
    <w:rsid w:val="00A824CD"/>
    <w:rsid w:val="00A91F50"/>
    <w:rsid w:val="00A9499B"/>
    <w:rsid w:val="00A957E8"/>
    <w:rsid w:val="00AB75B4"/>
    <w:rsid w:val="00AC5CBB"/>
    <w:rsid w:val="00AD33B0"/>
    <w:rsid w:val="00AF2C3A"/>
    <w:rsid w:val="00AF3CD4"/>
    <w:rsid w:val="00AF4FB4"/>
    <w:rsid w:val="00B07FBB"/>
    <w:rsid w:val="00B17D7C"/>
    <w:rsid w:val="00B205E9"/>
    <w:rsid w:val="00B20977"/>
    <w:rsid w:val="00B21996"/>
    <w:rsid w:val="00B23103"/>
    <w:rsid w:val="00B231A9"/>
    <w:rsid w:val="00B26BEA"/>
    <w:rsid w:val="00B30F11"/>
    <w:rsid w:val="00B4478A"/>
    <w:rsid w:val="00B44D18"/>
    <w:rsid w:val="00B51140"/>
    <w:rsid w:val="00B51E9A"/>
    <w:rsid w:val="00B54324"/>
    <w:rsid w:val="00B56FBE"/>
    <w:rsid w:val="00B63E63"/>
    <w:rsid w:val="00B65BCB"/>
    <w:rsid w:val="00B745D4"/>
    <w:rsid w:val="00B751D6"/>
    <w:rsid w:val="00B75CBF"/>
    <w:rsid w:val="00BA1432"/>
    <w:rsid w:val="00BA6CED"/>
    <w:rsid w:val="00BB0128"/>
    <w:rsid w:val="00BB2BEA"/>
    <w:rsid w:val="00BB52B3"/>
    <w:rsid w:val="00BC5B9A"/>
    <w:rsid w:val="00BD59E0"/>
    <w:rsid w:val="00BE462D"/>
    <w:rsid w:val="00BF3018"/>
    <w:rsid w:val="00BF5D05"/>
    <w:rsid w:val="00BF6DB5"/>
    <w:rsid w:val="00C000A8"/>
    <w:rsid w:val="00C03AD7"/>
    <w:rsid w:val="00C11441"/>
    <w:rsid w:val="00C137D2"/>
    <w:rsid w:val="00C23E53"/>
    <w:rsid w:val="00C24F72"/>
    <w:rsid w:val="00C256DE"/>
    <w:rsid w:val="00C30D8A"/>
    <w:rsid w:val="00C40BF9"/>
    <w:rsid w:val="00C430FB"/>
    <w:rsid w:val="00C4714F"/>
    <w:rsid w:val="00C47311"/>
    <w:rsid w:val="00C47EA1"/>
    <w:rsid w:val="00C5005B"/>
    <w:rsid w:val="00C500E9"/>
    <w:rsid w:val="00C56003"/>
    <w:rsid w:val="00C56223"/>
    <w:rsid w:val="00C57649"/>
    <w:rsid w:val="00C609C8"/>
    <w:rsid w:val="00C61CA2"/>
    <w:rsid w:val="00C62BF2"/>
    <w:rsid w:val="00C74777"/>
    <w:rsid w:val="00C749F6"/>
    <w:rsid w:val="00C77099"/>
    <w:rsid w:val="00C80151"/>
    <w:rsid w:val="00C85546"/>
    <w:rsid w:val="00C9497D"/>
    <w:rsid w:val="00C949DF"/>
    <w:rsid w:val="00C97D2D"/>
    <w:rsid w:val="00CA28DB"/>
    <w:rsid w:val="00CA43EE"/>
    <w:rsid w:val="00CC1705"/>
    <w:rsid w:val="00CC236A"/>
    <w:rsid w:val="00CC2A41"/>
    <w:rsid w:val="00CC4491"/>
    <w:rsid w:val="00CC6812"/>
    <w:rsid w:val="00CD58CC"/>
    <w:rsid w:val="00CE084C"/>
    <w:rsid w:val="00CE65A0"/>
    <w:rsid w:val="00CF68D8"/>
    <w:rsid w:val="00CF6F5F"/>
    <w:rsid w:val="00D36D3E"/>
    <w:rsid w:val="00D45AAB"/>
    <w:rsid w:val="00D51B52"/>
    <w:rsid w:val="00D5317B"/>
    <w:rsid w:val="00D570FE"/>
    <w:rsid w:val="00D627BD"/>
    <w:rsid w:val="00D63902"/>
    <w:rsid w:val="00D71594"/>
    <w:rsid w:val="00D738BC"/>
    <w:rsid w:val="00D744A0"/>
    <w:rsid w:val="00D767B8"/>
    <w:rsid w:val="00D77126"/>
    <w:rsid w:val="00D8752A"/>
    <w:rsid w:val="00D92334"/>
    <w:rsid w:val="00D926AA"/>
    <w:rsid w:val="00DA095F"/>
    <w:rsid w:val="00DA35E8"/>
    <w:rsid w:val="00DA5F43"/>
    <w:rsid w:val="00DA761F"/>
    <w:rsid w:val="00DB6F43"/>
    <w:rsid w:val="00DC5996"/>
    <w:rsid w:val="00DC7939"/>
    <w:rsid w:val="00DD05C8"/>
    <w:rsid w:val="00DD0A63"/>
    <w:rsid w:val="00DD6D9B"/>
    <w:rsid w:val="00DE4800"/>
    <w:rsid w:val="00DE7E6B"/>
    <w:rsid w:val="00DF2FAB"/>
    <w:rsid w:val="00DF4F12"/>
    <w:rsid w:val="00DF50DA"/>
    <w:rsid w:val="00DF7D39"/>
    <w:rsid w:val="00E05576"/>
    <w:rsid w:val="00E0587F"/>
    <w:rsid w:val="00E2405B"/>
    <w:rsid w:val="00E32373"/>
    <w:rsid w:val="00E359CA"/>
    <w:rsid w:val="00E373A7"/>
    <w:rsid w:val="00E47186"/>
    <w:rsid w:val="00E52161"/>
    <w:rsid w:val="00E523C9"/>
    <w:rsid w:val="00E63783"/>
    <w:rsid w:val="00E6786A"/>
    <w:rsid w:val="00E75126"/>
    <w:rsid w:val="00E76595"/>
    <w:rsid w:val="00E773B3"/>
    <w:rsid w:val="00E774C2"/>
    <w:rsid w:val="00E83625"/>
    <w:rsid w:val="00E84A8C"/>
    <w:rsid w:val="00E85452"/>
    <w:rsid w:val="00E941A5"/>
    <w:rsid w:val="00E94C29"/>
    <w:rsid w:val="00E96C70"/>
    <w:rsid w:val="00EA3B4B"/>
    <w:rsid w:val="00EA3B54"/>
    <w:rsid w:val="00EA50F3"/>
    <w:rsid w:val="00EA5DEA"/>
    <w:rsid w:val="00EB1588"/>
    <w:rsid w:val="00EB183A"/>
    <w:rsid w:val="00EB35AC"/>
    <w:rsid w:val="00EB5B68"/>
    <w:rsid w:val="00EC4D15"/>
    <w:rsid w:val="00ED0708"/>
    <w:rsid w:val="00EE035C"/>
    <w:rsid w:val="00EE341A"/>
    <w:rsid w:val="00EF435D"/>
    <w:rsid w:val="00EF4380"/>
    <w:rsid w:val="00EF4D43"/>
    <w:rsid w:val="00F0333A"/>
    <w:rsid w:val="00F04387"/>
    <w:rsid w:val="00F0602C"/>
    <w:rsid w:val="00F067A5"/>
    <w:rsid w:val="00F06E3E"/>
    <w:rsid w:val="00F1060B"/>
    <w:rsid w:val="00F10C0F"/>
    <w:rsid w:val="00F15CA2"/>
    <w:rsid w:val="00F272B6"/>
    <w:rsid w:val="00F3005B"/>
    <w:rsid w:val="00F404F9"/>
    <w:rsid w:val="00F41C9F"/>
    <w:rsid w:val="00F42ACF"/>
    <w:rsid w:val="00F44990"/>
    <w:rsid w:val="00F468A2"/>
    <w:rsid w:val="00F4747A"/>
    <w:rsid w:val="00F52448"/>
    <w:rsid w:val="00F56CEA"/>
    <w:rsid w:val="00F57AA5"/>
    <w:rsid w:val="00F60F14"/>
    <w:rsid w:val="00F63253"/>
    <w:rsid w:val="00F70A13"/>
    <w:rsid w:val="00F814E1"/>
    <w:rsid w:val="00F84536"/>
    <w:rsid w:val="00F84AE7"/>
    <w:rsid w:val="00F8517B"/>
    <w:rsid w:val="00F85821"/>
    <w:rsid w:val="00F9119B"/>
    <w:rsid w:val="00FA0206"/>
    <w:rsid w:val="00FA1AA0"/>
    <w:rsid w:val="00FC19AB"/>
    <w:rsid w:val="00FD2593"/>
    <w:rsid w:val="00FD4537"/>
    <w:rsid w:val="00FE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uiPriority="4"/>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Heading"/>
    <w:next w:val="BodyText"/>
    <w:qFormat/>
    <w:rsid w:val="0095708E"/>
    <w:pPr>
      <w:suppressAutoHyphens/>
      <w:spacing w:before="0" w:after="160"/>
      <w:ind w:left="72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TBG Style,fn,Footnote Text 2,Footnote text,FOOTNOTE,Footnote Text Char1,Footnote Text Char Char1,ft Char Char,Footnote Text Char3 Char Char,Footnote Text Char2 Char Char Char,Footnote Text Char Char2 Char Char Char,ft Char,f"/>
    <w:basedOn w:val="Normal"/>
    <w:link w:val="FootnoteTextChar"/>
    <w:qFormat/>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link w:val="QuoteIndentedChar"/>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link w:val="QAQuestionChar"/>
    <w:pPr>
      <w:ind w:left="360" w:hanging="360"/>
    </w:pPr>
  </w:style>
  <w:style w:type="paragraph" w:customStyle="1" w:styleId="QAAnswer">
    <w:name w:val="Q&amp;AAnswer"/>
    <w:basedOn w:val="QAQuestion"/>
    <w:next w:val="QAQCont"/>
    <w:link w:val="QAAnswerChar"/>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aliases w:val="o,Style 6"/>
    <w:uiPriority w:val="4"/>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TBG Style Char,fn Char,Footnote Text 2 Char,Footnote text Char,FOOTNOTE Char,Footnote Text Char1 Char,Footnote Text Char Char1 Char,ft Char Char Char,Footnote Text Char3 Char Char Char,ft Char Char1,f Char"/>
    <w:link w:val="FootnoteText"/>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after="0" w:line="276" w:lineRule="auto"/>
      <w:ind w:left="0"/>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 w:type="character" w:customStyle="1" w:styleId="QAQuestionChar">
    <w:name w:val="Q&amp;AQuestion Char"/>
    <w:basedOn w:val="DefaultParagraphFont"/>
    <w:link w:val="QAQuestion"/>
    <w:locked/>
    <w:rsid w:val="00A255BA"/>
    <w:rPr>
      <w:sz w:val="24"/>
    </w:rPr>
  </w:style>
  <w:style w:type="paragraph" w:styleId="ListParagraph">
    <w:name w:val="List Paragraph"/>
    <w:basedOn w:val="Normal"/>
    <w:uiPriority w:val="34"/>
    <w:qFormat/>
    <w:rsid w:val="00A255BA"/>
    <w:pPr>
      <w:spacing w:after="200" w:line="276" w:lineRule="auto"/>
      <w:ind w:left="720" w:firstLine="720"/>
      <w:contextualSpacing/>
    </w:pPr>
    <w:rPr>
      <w:sz w:val="22"/>
      <w:szCs w:val="22"/>
    </w:rPr>
  </w:style>
  <w:style w:type="character" w:customStyle="1" w:styleId="QAAnswerChar">
    <w:name w:val="Q&amp;AAnswer Char"/>
    <w:basedOn w:val="QAQuestionChar"/>
    <w:link w:val="QAAnswer"/>
    <w:rsid w:val="003E2125"/>
    <w:rPr>
      <w:sz w:val="24"/>
    </w:rPr>
  </w:style>
  <w:style w:type="paragraph" w:customStyle="1" w:styleId="Style31">
    <w:name w:val="Style 31"/>
    <w:basedOn w:val="BodyText"/>
    <w:next w:val="Normal"/>
    <w:rsid w:val="003E2125"/>
    <w:pPr>
      <w:ind w:left="360" w:hanging="360"/>
    </w:pPr>
    <w:rPr>
      <w:szCs w:val="24"/>
    </w:rPr>
  </w:style>
  <w:style w:type="character" w:customStyle="1" w:styleId="QuoteIndentedChar">
    <w:name w:val="Quote Indented Char"/>
    <w:basedOn w:val="DefaultParagraphFont"/>
    <w:link w:val="QuoteIndented"/>
    <w:rsid w:val="003E2125"/>
    <w:rPr>
      <w:sz w:val="24"/>
    </w:rPr>
  </w:style>
  <w:style w:type="numbering" w:customStyle="1" w:styleId="HeadingsList">
    <w:name w:val="Headings List"/>
    <w:uiPriority w:val="99"/>
    <w:rsid w:val="00AF3CD4"/>
    <w:pPr>
      <w:numPr>
        <w:numId w:val="16"/>
      </w:numPr>
    </w:pPr>
  </w:style>
  <w:style w:type="table" w:customStyle="1" w:styleId="NERATable">
    <w:name w:val="NERA Table"/>
    <w:basedOn w:val="TableNormal"/>
    <w:uiPriority w:val="99"/>
    <w:rsid w:val="00AF3CD4"/>
    <w:pPr>
      <w:spacing w:after="200" w:line="276" w:lineRule="auto"/>
    </w:pPr>
    <w:rPr>
      <w:rFonts w:asciiTheme="minorHAnsi" w:eastAsia="MS Mincho" w:hAnsiTheme="minorHAnsi" w:cstheme="minorBidi"/>
      <w:sz w:val="22"/>
      <w:szCs w:val="22"/>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uiPriority="4"/>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Heading"/>
    <w:next w:val="BodyText"/>
    <w:qFormat/>
    <w:rsid w:val="0095708E"/>
    <w:pPr>
      <w:suppressAutoHyphens/>
      <w:spacing w:before="0" w:after="160"/>
      <w:ind w:left="720" w:firstLine="0"/>
      <w:jc w:val="center"/>
      <w:outlineLvl w:val="0"/>
    </w:pPr>
    <w:rPr>
      <w:caps/>
      <w:szCs w:val="24"/>
    </w:rPr>
  </w:style>
  <w:style w:type="paragraph" w:styleId="Heading2">
    <w:name w:val="heading 2"/>
    <w:basedOn w:val="Heading"/>
    <w:next w:val="BodyText"/>
    <w:link w:val="Heading2Char"/>
    <w:qFormat/>
    <w:pPr>
      <w:numPr>
        <w:ilvl w:val="1"/>
        <w:numId w:val="3"/>
      </w:numPr>
      <w:suppressAutoHyphens/>
      <w:outlineLvl w:val="1"/>
    </w:pPr>
    <w:rPr>
      <w:sz w:val="26"/>
    </w:rPr>
  </w:style>
  <w:style w:type="paragraph" w:styleId="Heading3">
    <w:name w:val="heading 3"/>
    <w:basedOn w:val="Heading"/>
    <w:next w:val="BodyText"/>
    <w:qFormat/>
    <w:pPr>
      <w:numPr>
        <w:ilvl w:val="2"/>
        <w:numId w:val="3"/>
      </w:numPr>
      <w:suppressAutoHyphens/>
      <w:outlineLvl w:val="2"/>
    </w:pPr>
  </w:style>
  <w:style w:type="paragraph" w:styleId="Heading4">
    <w:name w:val="heading 4"/>
    <w:basedOn w:val="Heading"/>
    <w:next w:val="BodyText"/>
    <w:qFormat/>
    <w:pPr>
      <w:numPr>
        <w:ilvl w:val="3"/>
        <w:numId w:val="3"/>
      </w:numPr>
      <w:suppressAutoHyphens/>
      <w:outlineLvl w:val="3"/>
    </w:pPr>
  </w:style>
  <w:style w:type="paragraph" w:styleId="Heading5">
    <w:name w:val="heading 5"/>
    <w:basedOn w:val="Heading"/>
    <w:next w:val="BodyText"/>
    <w:qFormat/>
    <w:pPr>
      <w:numPr>
        <w:ilvl w:val="4"/>
        <w:numId w:val="3"/>
      </w:numPr>
      <w:suppressAutoHyphens/>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pacing w:before="120" w:after="280"/>
      <w:ind w:left="360" w:hanging="360"/>
    </w:pPr>
    <w:rPr>
      <w:b/>
      <w:sz w:val="24"/>
    </w:rPr>
  </w:style>
  <w:style w:type="paragraph" w:styleId="BodyText">
    <w:name w:val="Body Text"/>
    <w:basedOn w:val="Normal"/>
    <w:pPr>
      <w:spacing w:after="140" w:line="360" w:lineRule="auto"/>
      <w:ind w:firstLine="720"/>
    </w:pPr>
  </w:style>
  <w:style w:type="paragraph" w:styleId="List">
    <w:name w:val="List"/>
    <w:basedOn w:val="Normal"/>
    <w:pPr>
      <w:spacing w:after="280"/>
      <w:ind w:left="720" w:hanging="360"/>
      <w:jc w:val="left"/>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styleId="Header">
    <w:name w:val="header"/>
    <w:basedOn w:val="Normal"/>
    <w:pPr>
      <w:tabs>
        <w:tab w:val="right" w:pos="9216"/>
        <w:tab w:val="right" w:pos="9360"/>
      </w:tabs>
    </w:pPr>
  </w:style>
  <w:style w:type="character" w:styleId="PageNumber">
    <w:name w:val="page number"/>
    <w:basedOn w:val="DefaultParagraphFont"/>
  </w:style>
  <w:style w:type="paragraph" w:customStyle="1" w:styleId="Heading0">
    <w:name w:val="Heading 0"/>
    <w:basedOn w:val="Heading1"/>
    <w:next w:val="BodyText"/>
    <w:pPr>
      <w:outlineLvl w:val="9"/>
    </w:pPr>
  </w:style>
  <w:style w:type="paragraph" w:styleId="Footer">
    <w:name w:val="footer"/>
    <w:basedOn w:val="Normal"/>
    <w:pPr>
      <w:tabs>
        <w:tab w:val="center" w:pos="4608"/>
        <w:tab w:val="right" w:pos="9216"/>
      </w:tabs>
    </w:pPr>
  </w:style>
  <w:style w:type="paragraph" w:customStyle="1" w:styleId="58x">
    <w:name w:val="5/8x"/>
    <w:rPr>
      <w:sz w:val="23"/>
    </w:rPr>
  </w:style>
  <w:style w:type="paragraph" w:styleId="Title">
    <w:name w:val="Title"/>
    <w:basedOn w:val="Heading"/>
    <w:qFormat/>
    <w:pPr>
      <w:suppressAutoHyphens/>
      <w:ind w:left="0" w:firstLine="0"/>
      <w:jc w:val="center"/>
    </w:pPr>
    <w:rPr>
      <w:caps/>
      <w:sz w:val="32"/>
    </w:rPr>
  </w:style>
  <w:style w:type="paragraph" w:styleId="Subtitle">
    <w:name w:val="Subtitle"/>
    <w:basedOn w:val="Title"/>
    <w:qFormat/>
    <w:rPr>
      <w:caps w:val="0"/>
      <w:sz w:val="28"/>
    </w:rPr>
  </w:style>
  <w:style w:type="character" w:styleId="LineNumber">
    <w:name w:val="line number"/>
    <w:basedOn w:val="DefaultParagraphFont"/>
  </w:style>
  <w:style w:type="character" w:customStyle="1" w:styleId="TableFont">
    <w:name w:val="Table Font"/>
    <w:rPr>
      <w:sz w:val="20"/>
    </w:rPr>
  </w:style>
  <w:style w:type="paragraph" w:styleId="FootnoteText">
    <w:name w:val="footnote text"/>
    <w:aliases w:val="ALTS FOOTNOTE,TBG Style,fn,Footnote Text 2,Footnote text,FOOTNOTE,Footnote Text Char1,Footnote Text Char Char1,ft Char Char,Footnote Text Char3 Char Char,Footnote Text Char2 Char Char Char,Footnote Text Char Char2 Char Char Char,ft Char,f"/>
    <w:basedOn w:val="Normal"/>
    <w:link w:val="FootnoteTextChar"/>
    <w:qFormat/>
    <w:pPr>
      <w:spacing w:after="120"/>
      <w:ind w:left="180" w:hanging="180"/>
    </w:pPr>
    <w:rPr>
      <w:sz w:val="20"/>
    </w:rPr>
  </w:style>
  <w:style w:type="paragraph" w:customStyle="1" w:styleId="ListAlpha">
    <w:name w:val="List Alpha"/>
    <w:basedOn w:val="List"/>
  </w:style>
  <w:style w:type="paragraph" w:styleId="ListBullet">
    <w:name w:val="List Bullet"/>
    <w:basedOn w:val="List"/>
    <w:pPr>
      <w:numPr>
        <w:numId w:val="1"/>
      </w:numPr>
      <w:jc w:val="both"/>
    </w:pPr>
  </w:style>
  <w:style w:type="paragraph" w:customStyle="1" w:styleId="ListIndented">
    <w:name w:val="List Indented"/>
    <w:basedOn w:val="List"/>
  </w:style>
  <w:style w:type="paragraph" w:styleId="ListNumber">
    <w:name w:val="List Number"/>
    <w:basedOn w:val="List"/>
  </w:style>
  <w:style w:type="paragraph" w:customStyle="1" w:styleId="ListReference">
    <w:name w:val="List Reference"/>
    <w:basedOn w:val="List"/>
    <w:pPr>
      <w:ind w:hanging="720"/>
    </w:pPr>
  </w:style>
  <w:style w:type="paragraph" w:customStyle="1" w:styleId="QuoteIndented">
    <w:name w:val="Quote Indented"/>
    <w:basedOn w:val="Normal"/>
    <w:next w:val="BodyText"/>
    <w:link w:val="QuoteIndentedChar"/>
    <w:pPr>
      <w:spacing w:after="280"/>
      <w:ind w:left="720" w:right="720"/>
    </w:pPr>
  </w:style>
  <w:style w:type="paragraph" w:styleId="Caption">
    <w:name w:val="caption"/>
    <w:basedOn w:val="Normal"/>
    <w:next w:val="Normal"/>
    <w:qFormat/>
    <w:pPr>
      <w:spacing w:before="120" w:after="120"/>
      <w:ind w:left="720" w:hanging="720"/>
      <w:jc w:val="left"/>
    </w:pPr>
    <w:rPr>
      <w:b/>
    </w:r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character" w:customStyle="1" w:styleId="Question">
    <w:name w:val="Question"/>
    <w:rPr>
      <w:b/>
      <w:bdr w:val="none" w:sz="0" w:space="0" w:color="auto"/>
      <w:shd w:val="solid" w:color="00FF00" w:fill="auto"/>
    </w:rPr>
  </w:style>
  <w:style w:type="paragraph" w:customStyle="1" w:styleId="ListDash">
    <w:name w:val="List Dash"/>
    <w:basedOn w:val="List"/>
    <w:pPr>
      <w:ind w:left="1080"/>
    </w:pPr>
  </w:style>
  <w:style w:type="paragraph" w:customStyle="1" w:styleId="DrConLeft">
    <w:name w:val="DrConLeft"/>
    <w:basedOn w:val="Normal"/>
    <w:pPr>
      <w:keepLines/>
      <w:jc w:val="left"/>
    </w:pPr>
    <w:rPr>
      <w:b/>
      <w:smallCaps/>
    </w:rPr>
  </w:style>
  <w:style w:type="paragraph" w:customStyle="1" w:styleId="FrameNotes">
    <w:name w:val="Frame Notes"/>
    <w:basedOn w:val="Normal"/>
    <w:pPr>
      <w:ind w:left="720" w:hanging="720"/>
    </w:pPr>
    <w:rPr>
      <w:sz w:val="20"/>
    </w:rPr>
  </w:style>
  <w:style w:type="paragraph" w:customStyle="1" w:styleId="QAQCont">
    <w:name w:val="Q&amp;AQCont"/>
    <w:basedOn w:val="QAQuestion"/>
    <w:pPr>
      <w:ind w:firstLine="0"/>
    </w:pPr>
  </w:style>
  <w:style w:type="paragraph" w:customStyle="1" w:styleId="QAQuestion">
    <w:name w:val="Q&amp;AQuestion"/>
    <w:basedOn w:val="BodyText"/>
    <w:next w:val="QAQCont"/>
    <w:link w:val="QAQuestionChar"/>
    <w:pPr>
      <w:ind w:left="360" w:hanging="360"/>
    </w:pPr>
  </w:style>
  <w:style w:type="paragraph" w:customStyle="1" w:styleId="QAAnswer">
    <w:name w:val="Q&amp;AAnswer"/>
    <w:basedOn w:val="QAQuestion"/>
    <w:next w:val="QAQCont"/>
    <w:link w:val="QAAnswerChar"/>
  </w:style>
  <w:style w:type="paragraph" w:customStyle="1" w:styleId="DrConRight">
    <w:name w:val="DrConRight"/>
    <w:basedOn w:val="DrConLeft"/>
    <w:pPr>
      <w:jc w:val="right"/>
    </w:pPr>
  </w:style>
  <w:style w:type="paragraph" w:styleId="TOC1">
    <w:name w:val="toc 1"/>
    <w:basedOn w:val="TOCBase"/>
    <w:next w:val="Normal"/>
    <w:uiPriority w:val="39"/>
    <w:pPr>
      <w:tabs>
        <w:tab w:val="clear" w:pos="576"/>
        <w:tab w:val="clear" w:pos="9216"/>
      </w:tabs>
      <w:spacing w:before="120" w:after="120"/>
      <w:ind w:left="0" w:right="0" w:firstLine="0"/>
    </w:pPr>
    <w:rPr>
      <w:bCs/>
      <w:caps/>
      <w:noProof w:val="0"/>
      <w:szCs w:val="24"/>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NormalIndent">
    <w:name w:val="Normal Indent"/>
    <w:basedOn w:val="Normal"/>
    <w:pPr>
      <w:ind w:left="720"/>
    </w:pPr>
  </w:style>
  <w:style w:type="paragraph" w:customStyle="1" w:styleId="Equation">
    <w:name w:val="Equation"/>
    <w:basedOn w:val="Normal"/>
    <w:next w:val="BodyText"/>
    <w:pPr>
      <w:tabs>
        <w:tab w:val="right" w:pos="9216"/>
      </w:tabs>
      <w:spacing w:after="280"/>
      <w:ind w:left="360"/>
    </w:pPr>
    <w:rPr>
      <w:b/>
    </w:rPr>
  </w:style>
  <w:style w:type="paragraph" w:styleId="MacroText">
    <w:name w:val="macro"/>
    <w:semiHidden/>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styleId="CommentReference">
    <w:name w:val="annotation reference"/>
    <w:semiHidden/>
    <w:rPr>
      <w:sz w:val="16"/>
    </w:rPr>
  </w:style>
  <w:style w:type="paragraph" w:styleId="ListContinue5">
    <w:name w:val="List Continue 5"/>
    <w:basedOn w:val="Normal"/>
    <w:pPr>
      <w:spacing w:after="120"/>
      <w:ind w:left="1800"/>
    </w:pPr>
  </w:style>
  <w:style w:type="paragraph" w:styleId="TOC5">
    <w:name w:val="toc 5"/>
    <w:basedOn w:val="TOC1"/>
    <w:next w:val="Normal"/>
    <w:semiHidden/>
    <w:pPr>
      <w:spacing w:before="0" w:after="0"/>
      <w:ind w:left="960"/>
    </w:pPr>
    <w:rPr>
      <w:bCs w:val="0"/>
      <w:caps w:val="0"/>
      <w:szCs w:val="21"/>
    </w:rPr>
  </w:style>
  <w:style w:type="paragraph" w:styleId="TOC2">
    <w:name w:val="toc 2"/>
    <w:basedOn w:val="TOCBase"/>
    <w:next w:val="Normal"/>
    <w:uiPriority w:val="39"/>
    <w:pPr>
      <w:tabs>
        <w:tab w:val="clear" w:pos="576"/>
        <w:tab w:val="clear" w:pos="9216"/>
      </w:tabs>
      <w:ind w:left="240" w:right="0" w:firstLine="0"/>
    </w:pPr>
    <w:rPr>
      <w:noProof w:val="0"/>
      <w:szCs w:val="24"/>
    </w:rPr>
  </w:style>
  <w:style w:type="paragraph" w:styleId="TOC3">
    <w:name w:val="toc 3"/>
    <w:basedOn w:val="TOC2"/>
    <w:next w:val="Normal"/>
    <w:uiPriority w:val="39"/>
    <w:pPr>
      <w:ind w:left="480"/>
    </w:pPr>
    <w:rPr>
      <w:i/>
      <w:iCs/>
    </w:rPr>
  </w:style>
  <w:style w:type="paragraph" w:styleId="TOC4">
    <w:name w:val="toc 4"/>
    <w:basedOn w:val="TOC1"/>
    <w:next w:val="Normal"/>
    <w:semiHidden/>
    <w:pPr>
      <w:spacing w:before="0" w:after="0"/>
      <w:ind w:left="720"/>
    </w:pPr>
    <w:rPr>
      <w:bCs w:val="0"/>
      <w:caps w:val="0"/>
      <w:szCs w:val="21"/>
    </w:rPr>
  </w:style>
  <w:style w:type="paragraph" w:styleId="TOC6">
    <w:name w:val="toc 6"/>
    <w:basedOn w:val="TOC1"/>
    <w:next w:val="Normal"/>
    <w:semiHidden/>
    <w:pPr>
      <w:spacing w:before="0" w:after="0"/>
      <w:ind w:left="1200"/>
    </w:pPr>
    <w:rPr>
      <w:bCs w:val="0"/>
      <w:caps w:val="0"/>
      <w:szCs w:val="21"/>
    </w:rPr>
  </w:style>
  <w:style w:type="paragraph" w:styleId="ListContinue">
    <w:name w:val="List Continue"/>
    <w:basedOn w:val="List"/>
    <w:pPr>
      <w:ind w:firstLine="0"/>
    </w:pPr>
  </w:style>
  <w:style w:type="paragraph" w:customStyle="1" w:styleId="QAACont">
    <w:name w:val="Q&amp;AACont"/>
    <w:basedOn w:val="QAAnswer"/>
    <w:pPr>
      <w:ind w:firstLine="0"/>
    </w:pPr>
  </w:style>
  <w:style w:type="paragraph" w:customStyle="1" w:styleId="ListBulletPara">
    <w:name w:val="List BulletPara"/>
    <w:basedOn w:val="BodyText"/>
    <w:pPr>
      <w:ind w:left="720" w:hanging="360"/>
    </w:pPr>
  </w:style>
  <w:style w:type="paragraph" w:customStyle="1" w:styleId="co2">
    <w:name w:val="co2"/>
  </w:style>
  <w:style w:type="paragraph" w:customStyle="1" w:styleId="NumberedParagraph">
    <w:name w:val="Numbered Paragraph"/>
    <w:basedOn w:val="BodyText"/>
    <w:next w:val="BodyText"/>
    <w:pPr>
      <w:spacing w:after="280" w:line="240" w:lineRule="auto"/>
      <w:ind w:firstLine="0"/>
    </w:pPr>
  </w:style>
  <w:style w:type="character" w:styleId="FootnoteReference">
    <w:name w:val="footnote reference"/>
    <w:aliases w:val="o,Style 6"/>
    <w:uiPriority w:val="4"/>
    <w:rPr>
      <w:vertAlign w:val="superscript"/>
    </w:rPr>
  </w:style>
  <w:style w:type="paragraph" w:customStyle="1" w:styleId="zHeaderCoverWindowR">
    <w:name w:val="zHeaderCoverWindowR"/>
    <w:pPr>
      <w:tabs>
        <w:tab w:val="right" w:pos="9072"/>
        <w:tab w:val="right" w:pos="9216"/>
        <w:tab w:val="right" w:pos="9360"/>
      </w:tabs>
      <w:jc w:val="both"/>
    </w:pPr>
    <w:rPr>
      <w:sz w:val="24"/>
    </w:rPr>
  </w:style>
  <w:style w:type="paragraph" w:customStyle="1" w:styleId="ListMultilevel">
    <w:name w:val="List Multilevel"/>
    <w:basedOn w:val="List"/>
    <w:pPr>
      <w:numPr>
        <w:numId w:val="4"/>
      </w:numPr>
    </w:pPr>
  </w:style>
  <w:style w:type="paragraph" w:styleId="TableofFigures">
    <w:name w:val="table of figures"/>
    <w:basedOn w:val="Normal"/>
    <w:next w:val="Normal"/>
    <w:semiHidden/>
    <w:pPr>
      <w:tabs>
        <w:tab w:val="right" w:leader="dot" w:pos="9216"/>
      </w:tabs>
      <w:ind w:left="461" w:right="720" w:hanging="461"/>
      <w:jc w:val="left"/>
    </w:p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paragraph" w:customStyle="1" w:styleId="TOC0">
    <w:name w:val="TOC 0"/>
    <w:basedOn w:val="Heading"/>
    <w:next w:val="BodyText"/>
    <w:pPr>
      <w:spacing w:before="240" w:after="300"/>
      <w:jc w:val="center"/>
    </w:pPr>
    <w:rPr>
      <w:smallCaps/>
      <w:sz w:val="36"/>
    </w:rPr>
  </w:style>
  <w:style w:type="paragraph" w:customStyle="1" w:styleId="ListOutline">
    <w:name w:val="List Outline"/>
    <w:basedOn w:val="List"/>
    <w:pPr>
      <w:numPr>
        <w:numId w:val="2"/>
      </w:numPr>
    </w:pPr>
  </w:style>
  <w:style w:type="character" w:customStyle="1" w:styleId="EquationCaption">
    <w:name w:val="_Equation Caption"/>
  </w:style>
  <w:style w:type="character" w:customStyle="1" w:styleId="Doublequote">
    <w:name w:val="Double quote"/>
    <w:basedOn w:val="DefaultParagraphFont"/>
  </w:style>
  <w:style w:type="character" w:styleId="Hyperlink">
    <w:name w:val="Hyperlink"/>
    <w:uiPriority w:val="99"/>
    <w:rPr>
      <w:color w:val="0000FF"/>
      <w:u w:val="single"/>
    </w:rPr>
  </w:style>
  <w:style w:type="character" w:styleId="Strong">
    <w:name w:val="Strong"/>
    <w:qFormat/>
    <w:rPr>
      <w:b/>
      <w:bCs/>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TitleCBA">
    <w:name w:val="*Title CBA"/>
    <w:aliases w:val="TCBA"/>
    <w:basedOn w:val="Normal"/>
    <w:pPr>
      <w:keepNext/>
      <w:spacing w:after="240"/>
      <w:jc w:val="center"/>
    </w:pPr>
    <w:rPr>
      <w:b/>
      <w:bCs/>
      <w:caps/>
      <w:szCs w:val="24"/>
    </w:rPr>
  </w:style>
  <w:style w:type="paragraph" w:customStyle="1" w:styleId="TitleLBA">
    <w:name w:val="*Title LBA"/>
    <w:aliases w:val="TLBA"/>
    <w:basedOn w:val="Normal"/>
    <w:pPr>
      <w:keepNext/>
      <w:spacing w:after="240"/>
      <w:jc w:val="left"/>
    </w:pPr>
    <w:rPr>
      <w:rFonts w:ascii="Times New Roman Bold" w:hAnsi="Times New Roman Bold"/>
      <w:b/>
      <w:caps/>
      <w:szCs w:val="24"/>
    </w:rPr>
  </w:style>
  <w:style w:type="paragraph" w:customStyle="1" w:styleId="ColorfulList-Accent11">
    <w:name w:val="Colorful List - Accent 11"/>
    <w:basedOn w:val="Normal"/>
    <w:uiPriority w:val="34"/>
    <w:qFormat/>
    <w:pPr>
      <w:spacing w:after="200" w:line="276" w:lineRule="auto"/>
      <w:ind w:left="720"/>
      <w:contextualSpacing/>
      <w:jc w:val="left"/>
    </w:pPr>
    <w:rPr>
      <w:rFonts w:ascii="Calibri" w:eastAsia="Calibri" w:hAnsi="Calibri"/>
      <w:sz w:val="22"/>
      <w:szCs w:val="22"/>
    </w:rPr>
  </w:style>
  <w:style w:type="character" w:customStyle="1" w:styleId="FootnoteTextChar">
    <w:name w:val="Footnote Text Char"/>
    <w:aliases w:val="ALTS FOOTNOTE Char,TBG Style Char,fn Char,Footnote Text 2 Char,Footnote text Char,FOOTNOTE Char,Footnote Text Char1 Char,Footnote Text Char Char1 Char,ft Char Char Char,Footnote Text Char3 Char Char Char,ft Char Char1,f Char"/>
    <w:link w:val="FootnoteText"/>
  </w:style>
  <w:style w:type="paragraph" w:customStyle="1" w:styleId="ColorfulGrid-Accent11">
    <w:name w:val="Colorful Grid - Accent 11"/>
    <w:basedOn w:val="Normal"/>
    <w:next w:val="Normal"/>
    <w:link w:val="ColorfulGrid-Accent1Char"/>
    <w:uiPriority w:val="29"/>
    <w:qFormat/>
    <w:rPr>
      <w:i/>
      <w:iCs/>
      <w:color w:val="000000"/>
    </w:rPr>
  </w:style>
  <w:style w:type="character" w:customStyle="1" w:styleId="ColorfulGrid-Accent1Char">
    <w:name w:val="Colorful Grid - Accent 1 Char"/>
    <w:link w:val="ColorfulGrid-Accent11"/>
    <w:uiPriority w:val="29"/>
    <w:rPr>
      <w:i/>
      <w:iCs/>
      <w:color w:val="000000"/>
      <w:sz w:val="24"/>
    </w:rPr>
  </w:style>
  <w:style w:type="character" w:customStyle="1" w:styleId="Heading2Char">
    <w:name w:val="Heading 2 Char"/>
    <w:link w:val="Heading2"/>
    <w:rPr>
      <w:b/>
      <w:sz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rPr>
      <w:b/>
      <w:bCs/>
    </w:rPr>
  </w:style>
  <w:style w:type="paragraph" w:styleId="Revision">
    <w:name w:val="Revision"/>
    <w:hidden/>
    <w:uiPriority w:val="99"/>
    <w:semiHidden/>
    <w:rPr>
      <w:sz w:val="24"/>
    </w:rPr>
  </w:style>
  <w:style w:type="paragraph" w:styleId="TOCHeading">
    <w:name w:val="TOC Heading"/>
    <w:basedOn w:val="Heading1"/>
    <w:next w:val="Normal"/>
    <w:uiPriority w:val="39"/>
    <w:unhideWhenUsed/>
    <w:qFormat/>
    <w:pPr>
      <w:suppressAutoHyphens w:val="0"/>
      <w:spacing w:before="480" w:after="0" w:line="276" w:lineRule="auto"/>
      <w:ind w:left="0"/>
      <w:outlineLvl w:val="9"/>
    </w:pPr>
    <w:rPr>
      <w:rFonts w:asciiTheme="majorHAnsi" w:eastAsiaTheme="majorEastAsia" w:hAnsiTheme="majorHAnsi" w:cstheme="majorBidi"/>
      <w:bCs/>
      <w:caps w:val="0"/>
      <w:color w:val="365F91" w:themeColor="accent1" w:themeShade="BF"/>
      <w:szCs w:val="28"/>
      <w:lang w:eastAsia="ja-JP"/>
    </w:rPr>
  </w:style>
  <w:style w:type="character" w:customStyle="1" w:styleId="st">
    <w:name w:val="st"/>
    <w:basedOn w:val="DefaultParagraphFont"/>
    <w:rsid w:val="001161B3"/>
  </w:style>
  <w:style w:type="character" w:customStyle="1" w:styleId="QuestionChar">
    <w:name w:val="Question Char"/>
    <w:basedOn w:val="DefaultParagraphFont"/>
    <w:rsid w:val="008E22C3"/>
    <w:rPr>
      <w:b/>
      <w:bCs/>
      <w:sz w:val="24"/>
      <w:szCs w:val="24"/>
      <w:lang w:val="en-US" w:eastAsia="en-US"/>
    </w:rPr>
  </w:style>
  <w:style w:type="character" w:customStyle="1" w:styleId="QAQuestionChar">
    <w:name w:val="Q&amp;AQuestion Char"/>
    <w:basedOn w:val="DefaultParagraphFont"/>
    <w:link w:val="QAQuestion"/>
    <w:locked/>
    <w:rsid w:val="00A255BA"/>
    <w:rPr>
      <w:sz w:val="24"/>
    </w:rPr>
  </w:style>
  <w:style w:type="paragraph" w:styleId="ListParagraph">
    <w:name w:val="List Paragraph"/>
    <w:basedOn w:val="Normal"/>
    <w:uiPriority w:val="34"/>
    <w:qFormat/>
    <w:rsid w:val="00A255BA"/>
    <w:pPr>
      <w:spacing w:after="200" w:line="276" w:lineRule="auto"/>
      <w:ind w:left="720" w:firstLine="720"/>
      <w:contextualSpacing/>
    </w:pPr>
    <w:rPr>
      <w:sz w:val="22"/>
      <w:szCs w:val="22"/>
    </w:rPr>
  </w:style>
  <w:style w:type="character" w:customStyle="1" w:styleId="QAAnswerChar">
    <w:name w:val="Q&amp;AAnswer Char"/>
    <w:basedOn w:val="QAQuestionChar"/>
    <w:link w:val="QAAnswer"/>
    <w:rsid w:val="003E2125"/>
    <w:rPr>
      <w:sz w:val="24"/>
    </w:rPr>
  </w:style>
  <w:style w:type="paragraph" w:customStyle="1" w:styleId="Style31">
    <w:name w:val="Style 31"/>
    <w:basedOn w:val="BodyText"/>
    <w:next w:val="Normal"/>
    <w:rsid w:val="003E2125"/>
    <w:pPr>
      <w:ind w:left="360" w:hanging="360"/>
    </w:pPr>
    <w:rPr>
      <w:szCs w:val="24"/>
    </w:rPr>
  </w:style>
  <w:style w:type="character" w:customStyle="1" w:styleId="QuoteIndentedChar">
    <w:name w:val="Quote Indented Char"/>
    <w:basedOn w:val="DefaultParagraphFont"/>
    <w:link w:val="QuoteIndented"/>
    <w:rsid w:val="003E2125"/>
    <w:rPr>
      <w:sz w:val="24"/>
    </w:rPr>
  </w:style>
  <w:style w:type="numbering" w:customStyle="1" w:styleId="HeadingsList">
    <w:name w:val="Headings List"/>
    <w:uiPriority w:val="99"/>
    <w:rsid w:val="00AF3CD4"/>
    <w:pPr>
      <w:numPr>
        <w:numId w:val="16"/>
      </w:numPr>
    </w:pPr>
  </w:style>
  <w:style w:type="table" w:customStyle="1" w:styleId="NERATable">
    <w:name w:val="NERA Table"/>
    <w:basedOn w:val="TableNormal"/>
    <w:uiPriority w:val="99"/>
    <w:rsid w:val="00AF3CD4"/>
    <w:pPr>
      <w:spacing w:after="200" w:line="276" w:lineRule="auto"/>
    </w:pPr>
    <w:rPr>
      <w:rFonts w:asciiTheme="minorHAnsi" w:eastAsia="MS Mincho" w:hAnsiTheme="minorHAnsi" w:cstheme="minorBidi"/>
      <w:sz w:val="22"/>
      <w:szCs w:val="22"/>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4640">
      <w:bodyDiv w:val="1"/>
      <w:marLeft w:val="0"/>
      <w:marRight w:val="0"/>
      <w:marTop w:val="0"/>
      <w:marBottom w:val="0"/>
      <w:divBdr>
        <w:top w:val="none" w:sz="0" w:space="0" w:color="auto"/>
        <w:left w:val="none" w:sz="0" w:space="0" w:color="auto"/>
        <w:bottom w:val="none" w:sz="0" w:space="0" w:color="auto"/>
        <w:right w:val="none" w:sz="0" w:space="0" w:color="auto"/>
      </w:divBdr>
    </w:div>
    <w:div w:id="322468791">
      <w:bodyDiv w:val="1"/>
      <w:marLeft w:val="0"/>
      <w:marRight w:val="0"/>
      <w:marTop w:val="0"/>
      <w:marBottom w:val="0"/>
      <w:divBdr>
        <w:top w:val="none" w:sz="0" w:space="0" w:color="auto"/>
        <w:left w:val="none" w:sz="0" w:space="0" w:color="auto"/>
        <w:bottom w:val="none" w:sz="0" w:space="0" w:color="auto"/>
        <w:right w:val="none" w:sz="0" w:space="0" w:color="auto"/>
      </w:divBdr>
    </w:div>
    <w:div w:id="378826650">
      <w:bodyDiv w:val="1"/>
      <w:marLeft w:val="0"/>
      <w:marRight w:val="0"/>
      <w:marTop w:val="0"/>
      <w:marBottom w:val="0"/>
      <w:divBdr>
        <w:top w:val="none" w:sz="0" w:space="0" w:color="auto"/>
        <w:left w:val="none" w:sz="0" w:space="0" w:color="auto"/>
        <w:bottom w:val="none" w:sz="0" w:space="0" w:color="auto"/>
        <w:right w:val="none" w:sz="0" w:space="0" w:color="auto"/>
      </w:divBdr>
      <w:divsChild>
        <w:div w:id="924263043">
          <w:marLeft w:val="0"/>
          <w:marRight w:val="0"/>
          <w:marTop w:val="0"/>
          <w:marBottom w:val="0"/>
          <w:divBdr>
            <w:top w:val="none" w:sz="0" w:space="0" w:color="auto"/>
            <w:left w:val="none" w:sz="0" w:space="0" w:color="auto"/>
            <w:bottom w:val="none" w:sz="0" w:space="0" w:color="auto"/>
            <w:right w:val="none" w:sz="0" w:space="0" w:color="auto"/>
          </w:divBdr>
          <w:divsChild>
            <w:div w:id="2080398821">
              <w:marLeft w:val="0"/>
              <w:marRight w:val="0"/>
              <w:marTop w:val="0"/>
              <w:marBottom w:val="0"/>
              <w:divBdr>
                <w:top w:val="none" w:sz="0" w:space="0" w:color="auto"/>
                <w:left w:val="none" w:sz="0" w:space="0" w:color="auto"/>
                <w:bottom w:val="none" w:sz="0" w:space="0" w:color="auto"/>
                <w:right w:val="none" w:sz="0" w:space="0" w:color="auto"/>
              </w:divBdr>
              <w:divsChild>
                <w:div w:id="1160466294">
                  <w:marLeft w:val="0"/>
                  <w:marRight w:val="0"/>
                  <w:marTop w:val="0"/>
                  <w:marBottom w:val="0"/>
                  <w:divBdr>
                    <w:top w:val="none" w:sz="0" w:space="0" w:color="auto"/>
                    <w:left w:val="none" w:sz="0" w:space="0" w:color="auto"/>
                    <w:bottom w:val="none" w:sz="0" w:space="0" w:color="auto"/>
                    <w:right w:val="none" w:sz="0" w:space="0" w:color="auto"/>
                  </w:divBdr>
                  <w:divsChild>
                    <w:div w:id="1331635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5104729">
          <w:marLeft w:val="0"/>
          <w:marRight w:val="0"/>
          <w:marTop w:val="0"/>
          <w:marBottom w:val="0"/>
          <w:divBdr>
            <w:top w:val="none" w:sz="0" w:space="0" w:color="auto"/>
            <w:left w:val="none" w:sz="0" w:space="0" w:color="auto"/>
            <w:bottom w:val="none" w:sz="0" w:space="0" w:color="auto"/>
            <w:right w:val="none" w:sz="0" w:space="0" w:color="auto"/>
          </w:divBdr>
          <w:divsChild>
            <w:div w:id="280035420">
              <w:marLeft w:val="0"/>
              <w:marRight w:val="0"/>
              <w:marTop w:val="0"/>
              <w:marBottom w:val="0"/>
              <w:divBdr>
                <w:top w:val="none" w:sz="0" w:space="0" w:color="auto"/>
                <w:left w:val="none" w:sz="0" w:space="0" w:color="auto"/>
                <w:bottom w:val="none" w:sz="0" w:space="0" w:color="auto"/>
                <w:right w:val="none" w:sz="0" w:space="0" w:color="auto"/>
              </w:divBdr>
              <w:divsChild>
                <w:div w:id="2072002752">
                  <w:marLeft w:val="0"/>
                  <w:marRight w:val="0"/>
                  <w:marTop w:val="0"/>
                  <w:marBottom w:val="0"/>
                  <w:divBdr>
                    <w:top w:val="none" w:sz="0" w:space="0" w:color="auto"/>
                    <w:left w:val="none" w:sz="0" w:space="0" w:color="auto"/>
                    <w:bottom w:val="none" w:sz="0" w:space="0" w:color="auto"/>
                    <w:right w:val="none" w:sz="0" w:space="0" w:color="auto"/>
                  </w:divBdr>
                </w:div>
              </w:divsChild>
            </w:div>
            <w:div w:id="1958104053">
              <w:marLeft w:val="0"/>
              <w:marRight w:val="0"/>
              <w:marTop w:val="0"/>
              <w:marBottom w:val="0"/>
              <w:divBdr>
                <w:top w:val="none" w:sz="0" w:space="0" w:color="auto"/>
                <w:left w:val="none" w:sz="0" w:space="0" w:color="auto"/>
                <w:bottom w:val="none" w:sz="0" w:space="0" w:color="auto"/>
                <w:right w:val="none" w:sz="0" w:space="0" w:color="auto"/>
              </w:divBdr>
              <w:divsChild>
                <w:div w:id="928539978">
                  <w:marLeft w:val="0"/>
                  <w:marRight w:val="0"/>
                  <w:marTop w:val="0"/>
                  <w:marBottom w:val="0"/>
                  <w:divBdr>
                    <w:top w:val="none" w:sz="0" w:space="0" w:color="auto"/>
                    <w:left w:val="none" w:sz="0" w:space="0" w:color="auto"/>
                    <w:bottom w:val="none" w:sz="0" w:space="0" w:color="auto"/>
                    <w:right w:val="none" w:sz="0" w:space="0" w:color="auto"/>
                  </w:divBdr>
                </w:div>
              </w:divsChild>
            </w:div>
            <w:div w:id="419957649">
              <w:marLeft w:val="0"/>
              <w:marRight w:val="0"/>
              <w:marTop w:val="0"/>
              <w:marBottom w:val="0"/>
              <w:divBdr>
                <w:top w:val="none" w:sz="0" w:space="0" w:color="auto"/>
                <w:left w:val="none" w:sz="0" w:space="0" w:color="auto"/>
                <w:bottom w:val="none" w:sz="0" w:space="0" w:color="auto"/>
                <w:right w:val="none" w:sz="0" w:space="0" w:color="auto"/>
              </w:divBdr>
              <w:divsChild>
                <w:div w:id="39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6160">
          <w:marLeft w:val="0"/>
          <w:marRight w:val="0"/>
          <w:marTop w:val="0"/>
          <w:marBottom w:val="0"/>
          <w:divBdr>
            <w:top w:val="none" w:sz="0" w:space="0" w:color="auto"/>
            <w:left w:val="none" w:sz="0" w:space="0" w:color="auto"/>
            <w:bottom w:val="none" w:sz="0" w:space="0" w:color="auto"/>
            <w:right w:val="none" w:sz="0" w:space="0" w:color="auto"/>
          </w:divBdr>
        </w:div>
      </w:divsChild>
    </w:div>
    <w:div w:id="506211600">
      <w:bodyDiv w:val="1"/>
      <w:marLeft w:val="0"/>
      <w:marRight w:val="0"/>
      <w:marTop w:val="0"/>
      <w:marBottom w:val="0"/>
      <w:divBdr>
        <w:top w:val="none" w:sz="0" w:space="0" w:color="auto"/>
        <w:left w:val="none" w:sz="0" w:space="0" w:color="auto"/>
        <w:bottom w:val="none" w:sz="0" w:space="0" w:color="auto"/>
        <w:right w:val="none" w:sz="0" w:space="0" w:color="auto"/>
      </w:divBdr>
    </w:div>
    <w:div w:id="634068849">
      <w:bodyDiv w:val="1"/>
      <w:marLeft w:val="0"/>
      <w:marRight w:val="0"/>
      <w:marTop w:val="0"/>
      <w:marBottom w:val="0"/>
      <w:divBdr>
        <w:top w:val="none" w:sz="0" w:space="0" w:color="auto"/>
        <w:left w:val="none" w:sz="0" w:space="0" w:color="auto"/>
        <w:bottom w:val="none" w:sz="0" w:space="0" w:color="auto"/>
        <w:right w:val="none" w:sz="0" w:space="0" w:color="auto"/>
      </w:divBdr>
    </w:div>
    <w:div w:id="727611507">
      <w:bodyDiv w:val="1"/>
      <w:marLeft w:val="0"/>
      <w:marRight w:val="0"/>
      <w:marTop w:val="0"/>
      <w:marBottom w:val="0"/>
      <w:divBdr>
        <w:top w:val="none" w:sz="0" w:space="0" w:color="auto"/>
        <w:left w:val="none" w:sz="0" w:space="0" w:color="auto"/>
        <w:bottom w:val="none" w:sz="0" w:space="0" w:color="auto"/>
        <w:right w:val="none" w:sz="0" w:space="0" w:color="auto"/>
      </w:divBdr>
    </w:div>
    <w:div w:id="950167590">
      <w:bodyDiv w:val="1"/>
      <w:marLeft w:val="0"/>
      <w:marRight w:val="0"/>
      <w:marTop w:val="0"/>
      <w:marBottom w:val="0"/>
      <w:divBdr>
        <w:top w:val="none" w:sz="0" w:space="0" w:color="auto"/>
        <w:left w:val="none" w:sz="0" w:space="0" w:color="auto"/>
        <w:bottom w:val="none" w:sz="0" w:space="0" w:color="auto"/>
        <w:right w:val="none" w:sz="0" w:space="0" w:color="auto"/>
      </w:divBdr>
    </w:div>
    <w:div w:id="976642039">
      <w:bodyDiv w:val="1"/>
      <w:marLeft w:val="0"/>
      <w:marRight w:val="0"/>
      <w:marTop w:val="0"/>
      <w:marBottom w:val="0"/>
      <w:divBdr>
        <w:top w:val="none" w:sz="0" w:space="0" w:color="auto"/>
        <w:left w:val="none" w:sz="0" w:space="0" w:color="auto"/>
        <w:bottom w:val="none" w:sz="0" w:space="0" w:color="auto"/>
        <w:right w:val="none" w:sz="0" w:space="0" w:color="auto"/>
      </w:divBdr>
    </w:div>
    <w:div w:id="1169908539">
      <w:bodyDiv w:val="1"/>
      <w:marLeft w:val="0"/>
      <w:marRight w:val="0"/>
      <w:marTop w:val="0"/>
      <w:marBottom w:val="0"/>
      <w:divBdr>
        <w:top w:val="none" w:sz="0" w:space="0" w:color="auto"/>
        <w:left w:val="none" w:sz="0" w:space="0" w:color="auto"/>
        <w:bottom w:val="none" w:sz="0" w:space="0" w:color="auto"/>
        <w:right w:val="none" w:sz="0" w:space="0" w:color="auto"/>
      </w:divBdr>
    </w:div>
    <w:div w:id="1344740972">
      <w:bodyDiv w:val="1"/>
      <w:marLeft w:val="0"/>
      <w:marRight w:val="0"/>
      <w:marTop w:val="0"/>
      <w:marBottom w:val="0"/>
      <w:divBdr>
        <w:top w:val="none" w:sz="0" w:space="0" w:color="auto"/>
        <w:left w:val="none" w:sz="0" w:space="0" w:color="auto"/>
        <w:bottom w:val="none" w:sz="0" w:space="0" w:color="auto"/>
        <w:right w:val="none" w:sz="0" w:space="0" w:color="auto"/>
      </w:divBdr>
    </w:div>
    <w:div w:id="1346983866">
      <w:bodyDiv w:val="1"/>
      <w:marLeft w:val="0"/>
      <w:marRight w:val="0"/>
      <w:marTop w:val="0"/>
      <w:marBottom w:val="0"/>
      <w:divBdr>
        <w:top w:val="none" w:sz="0" w:space="0" w:color="auto"/>
        <w:left w:val="none" w:sz="0" w:space="0" w:color="auto"/>
        <w:bottom w:val="none" w:sz="0" w:space="0" w:color="auto"/>
        <w:right w:val="none" w:sz="0" w:space="0" w:color="auto"/>
      </w:divBdr>
    </w:div>
    <w:div w:id="1385905498">
      <w:bodyDiv w:val="1"/>
      <w:marLeft w:val="0"/>
      <w:marRight w:val="0"/>
      <w:marTop w:val="0"/>
      <w:marBottom w:val="0"/>
      <w:divBdr>
        <w:top w:val="none" w:sz="0" w:space="0" w:color="auto"/>
        <w:left w:val="none" w:sz="0" w:space="0" w:color="auto"/>
        <w:bottom w:val="none" w:sz="0" w:space="0" w:color="auto"/>
        <w:right w:val="none" w:sz="0" w:space="0" w:color="auto"/>
      </w:divBdr>
    </w:div>
    <w:div w:id="1670520749">
      <w:bodyDiv w:val="1"/>
      <w:marLeft w:val="0"/>
      <w:marRight w:val="0"/>
      <w:marTop w:val="0"/>
      <w:marBottom w:val="0"/>
      <w:divBdr>
        <w:top w:val="none" w:sz="0" w:space="0" w:color="auto"/>
        <w:left w:val="none" w:sz="0" w:space="0" w:color="auto"/>
        <w:bottom w:val="none" w:sz="0" w:space="0" w:color="auto"/>
        <w:right w:val="none" w:sz="0" w:space="0" w:color="auto"/>
      </w:divBdr>
    </w:div>
    <w:div w:id="1684669504">
      <w:bodyDiv w:val="1"/>
      <w:marLeft w:val="0"/>
      <w:marRight w:val="0"/>
      <w:marTop w:val="0"/>
      <w:marBottom w:val="0"/>
      <w:divBdr>
        <w:top w:val="none" w:sz="0" w:space="0" w:color="auto"/>
        <w:left w:val="none" w:sz="0" w:space="0" w:color="auto"/>
        <w:bottom w:val="none" w:sz="0" w:space="0" w:color="auto"/>
        <w:right w:val="none" w:sz="0" w:space="0" w:color="auto"/>
      </w:divBdr>
    </w:div>
    <w:div w:id="1689061782">
      <w:bodyDiv w:val="1"/>
      <w:marLeft w:val="0"/>
      <w:marRight w:val="0"/>
      <w:marTop w:val="0"/>
      <w:marBottom w:val="0"/>
      <w:divBdr>
        <w:top w:val="none" w:sz="0" w:space="0" w:color="auto"/>
        <w:left w:val="none" w:sz="0" w:space="0" w:color="auto"/>
        <w:bottom w:val="none" w:sz="0" w:space="0" w:color="auto"/>
        <w:right w:val="none" w:sz="0" w:space="0" w:color="auto"/>
      </w:divBdr>
    </w:div>
    <w:div w:id="1736584363">
      <w:bodyDiv w:val="1"/>
      <w:marLeft w:val="0"/>
      <w:marRight w:val="0"/>
      <w:marTop w:val="0"/>
      <w:marBottom w:val="0"/>
      <w:divBdr>
        <w:top w:val="none" w:sz="0" w:space="0" w:color="auto"/>
        <w:left w:val="none" w:sz="0" w:space="0" w:color="auto"/>
        <w:bottom w:val="none" w:sz="0" w:space="0" w:color="auto"/>
        <w:right w:val="none" w:sz="0" w:space="0" w:color="auto"/>
      </w:divBdr>
    </w:div>
    <w:div w:id="1765954159">
      <w:bodyDiv w:val="1"/>
      <w:marLeft w:val="0"/>
      <w:marRight w:val="0"/>
      <w:marTop w:val="0"/>
      <w:marBottom w:val="0"/>
      <w:divBdr>
        <w:top w:val="none" w:sz="0" w:space="0" w:color="auto"/>
        <w:left w:val="none" w:sz="0" w:space="0" w:color="auto"/>
        <w:bottom w:val="none" w:sz="0" w:space="0" w:color="auto"/>
        <w:right w:val="none" w:sz="0" w:space="0" w:color="auto"/>
      </w:divBdr>
    </w:div>
    <w:div w:id="1905725650">
      <w:bodyDiv w:val="1"/>
      <w:marLeft w:val="0"/>
      <w:marRight w:val="0"/>
      <w:marTop w:val="0"/>
      <w:marBottom w:val="0"/>
      <w:divBdr>
        <w:top w:val="none" w:sz="0" w:space="0" w:color="auto"/>
        <w:left w:val="none" w:sz="0" w:space="0" w:color="auto"/>
        <w:bottom w:val="none" w:sz="0" w:space="0" w:color="auto"/>
        <w:right w:val="none" w:sz="0" w:space="0" w:color="auto"/>
      </w:divBdr>
    </w:div>
    <w:div w:id="1929732775">
      <w:bodyDiv w:val="1"/>
      <w:marLeft w:val="0"/>
      <w:marRight w:val="0"/>
      <w:marTop w:val="0"/>
      <w:marBottom w:val="0"/>
      <w:divBdr>
        <w:top w:val="none" w:sz="0" w:space="0" w:color="auto"/>
        <w:left w:val="none" w:sz="0" w:space="0" w:color="auto"/>
        <w:bottom w:val="none" w:sz="0" w:space="0" w:color="auto"/>
        <w:right w:val="none" w:sz="0" w:space="0" w:color="auto"/>
      </w:divBdr>
    </w:div>
    <w:div w:id="2032493850">
      <w:bodyDiv w:val="1"/>
      <w:marLeft w:val="0"/>
      <w:marRight w:val="0"/>
      <w:marTop w:val="0"/>
      <w:marBottom w:val="0"/>
      <w:divBdr>
        <w:top w:val="none" w:sz="0" w:space="0" w:color="auto"/>
        <w:left w:val="none" w:sz="0" w:space="0" w:color="auto"/>
        <w:bottom w:val="none" w:sz="0" w:space="0" w:color="auto"/>
        <w:right w:val="none" w:sz="0" w:space="0" w:color="auto"/>
      </w:divBdr>
    </w:div>
    <w:div w:id="21219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sec.gov/news/speech/factshe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A4C4B-75A6-4B2D-92D7-5D4D53B377AB}"/>
</file>

<file path=customXml/itemProps2.xml><?xml version="1.0" encoding="utf-8"?>
<ds:datastoreItem xmlns:ds="http://schemas.openxmlformats.org/officeDocument/2006/customXml" ds:itemID="{5572FDEC-389D-47AE-8303-4928DD01D331}"/>
</file>

<file path=customXml/itemProps3.xml><?xml version="1.0" encoding="utf-8"?>
<ds:datastoreItem xmlns:ds="http://schemas.openxmlformats.org/officeDocument/2006/customXml" ds:itemID="{C9DDD50B-0168-4D64-B01E-7D8812E9EC07}"/>
</file>

<file path=customXml/itemProps4.xml><?xml version="1.0" encoding="utf-8"?>
<ds:datastoreItem xmlns:ds="http://schemas.openxmlformats.org/officeDocument/2006/customXml" ds:itemID="{DAFC32EA-C149-4461-B16C-59C2762555B1}"/>
</file>

<file path=docProps/app.xml><?xml version="1.0" encoding="utf-8"?>
<Properties xmlns="http://schemas.openxmlformats.org/officeDocument/2006/extended-properties" xmlns:vt="http://schemas.openxmlformats.org/officeDocument/2006/docPropsVTypes">
  <Template>Normal.dotm</Template>
  <TotalTime>0</TotalTime>
  <Pages>47</Pages>
  <Words>11017</Words>
  <Characters>61406</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72279</CharactersWithSpaces>
  <SharedDoc>false</SharedDoc>
  <HLinks>
    <vt:vector size="84" baseType="variant">
      <vt:variant>
        <vt:i4>1376314</vt:i4>
      </vt:variant>
      <vt:variant>
        <vt:i4>80</vt:i4>
      </vt:variant>
      <vt:variant>
        <vt:i4>0</vt:i4>
      </vt:variant>
      <vt:variant>
        <vt:i4>5</vt:i4>
      </vt:variant>
      <vt:variant>
        <vt:lpwstr/>
      </vt:variant>
      <vt:variant>
        <vt:lpwstr>_Toc355788484</vt:lpwstr>
      </vt:variant>
      <vt:variant>
        <vt:i4>1376314</vt:i4>
      </vt:variant>
      <vt:variant>
        <vt:i4>74</vt:i4>
      </vt:variant>
      <vt:variant>
        <vt:i4>0</vt:i4>
      </vt:variant>
      <vt:variant>
        <vt:i4>5</vt:i4>
      </vt:variant>
      <vt:variant>
        <vt:lpwstr/>
      </vt:variant>
      <vt:variant>
        <vt:lpwstr>_Toc355788483</vt:lpwstr>
      </vt:variant>
      <vt:variant>
        <vt:i4>1376314</vt:i4>
      </vt:variant>
      <vt:variant>
        <vt:i4>68</vt:i4>
      </vt:variant>
      <vt:variant>
        <vt:i4>0</vt:i4>
      </vt:variant>
      <vt:variant>
        <vt:i4>5</vt:i4>
      </vt:variant>
      <vt:variant>
        <vt:lpwstr/>
      </vt:variant>
      <vt:variant>
        <vt:lpwstr>_Toc355788482</vt:lpwstr>
      </vt:variant>
      <vt:variant>
        <vt:i4>1376314</vt:i4>
      </vt:variant>
      <vt:variant>
        <vt:i4>62</vt:i4>
      </vt:variant>
      <vt:variant>
        <vt:i4>0</vt:i4>
      </vt:variant>
      <vt:variant>
        <vt:i4>5</vt:i4>
      </vt:variant>
      <vt:variant>
        <vt:lpwstr/>
      </vt:variant>
      <vt:variant>
        <vt:lpwstr>_Toc355788481</vt:lpwstr>
      </vt:variant>
      <vt:variant>
        <vt:i4>1376314</vt:i4>
      </vt:variant>
      <vt:variant>
        <vt:i4>56</vt:i4>
      </vt:variant>
      <vt:variant>
        <vt:i4>0</vt:i4>
      </vt:variant>
      <vt:variant>
        <vt:i4>5</vt:i4>
      </vt:variant>
      <vt:variant>
        <vt:lpwstr/>
      </vt:variant>
      <vt:variant>
        <vt:lpwstr>_Toc355788480</vt:lpwstr>
      </vt:variant>
      <vt:variant>
        <vt:i4>1703994</vt:i4>
      </vt:variant>
      <vt:variant>
        <vt:i4>50</vt:i4>
      </vt:variant>
      <vt:variant>
        <vt:i4>0</vt:i4>
      </vt:variant>
      <vt:variant>
        <vt:i4>5</vt:i4>
      </vt:variant>
      <vt:variant>
        <vt:lpwstr/>
      </vt:variant>
      <vt:variant>
        <vt:lpwstr>_Toc355788479</vt:lpwstr>
      </vt:variant>
      <vt:variant>
        <vt:i4>1703994</vt:i4>
      </vt:variant>
      <vt:variant>
        <vt:i4>44</vt:i4>
      </vt:variant>
      <vt:variant>
        <vt:i4>0</vt:i4>
      </vt:variant>
      <vt:variant>
        <vt:i4>5</vt:i4>
      </vt:variant>
      <vt:variant>
        <vt:lpwstr/>
      </vt:variant>
      <vt:variant>
        <vt:lpwstr>_Toc355788478</vt:lpwstr>
      </vt:variant>
      <vt:variant>
        <vt:i4>1703994</vt:i4>
      </vt:variant>
      <vt:variant>
        <vt:i4>38</vt:i4>
      </vt:variant>
      <vt:variant>
        <vt:i4>0</vt:i4>
      </vt:variant>
      <vt:variant>
        <vt:i4>5</vt:i4>
      </vt:variant>
      <vt:variant>
        <vt:lpwstr/>
      </vt:variant>
      <vt:variant>
        <vt:lpwstr>_Toc355788477</vt:lpwstr>
      </vt:variant>
      <vt:variant>
        <vt:i4>1703994</vt:i4>
      </vt:variant>
      <vt:variant>
        <vt:i4>32</vt:i4>
      </vt:variant>
      <vt:variant>
        <vt:i4>0</vt:i4>
      </vt:variant>
      <vt:variant>
        <vt:i4>5</vt:i4>
      </vt:variant>
      <vt:variant>
        <vt:lpwstr/>
      </vt:variant>
      <vt:variant>
        <vt:lpwstr>_Toc355788476</vt:lpwstr>
      </vt:variant>
      <vt:variant>
        <vt:i4>1703994</vt:i4>
      </vt:variant>
      <vt:variant>
        <vt:i4>26</vt:i4>
      </vt:variant>
      <vt:variant>
        <vt:i4>0</vt:i4>
      </vt:variant>
      <vt:variant>
        <vt:i4>5</vt:i4>
      </vt:variant>
      <vt:variant>
        <vt:lpwstr/>
      </vt:variant>
      <vt:variant>
        <vt:lpwstr>_Toc355788475</vt:lpwstr>
      </vt:variant>
      <vt:variant>
        <vt:i4>1703994</vt:i4>
      </vt:variant>
      <vt:variant>
        <vt:i4>20</vt:i4>
      </vt:variant>
      <vt:variant>
        <vt:i4>0</vt:i4>
      </vt:variant>
      <vt:variant>
        <vt:i4>5</vt:i4>
      </vt:variant>
      <vt:variant>
        <vt:lpwstr/>
      </vt:variant>
      <vt:variant>
        <vt:lpwstr>_Toc355788474</vt:lpwstr>
      </vt:variant>
      <vt:variant>
        <vt:i4>1703994</vt:i4>
      </vt:variant>
      <vt:variant>
        <vt:i4>14</vt:i4>
      </vt:variant>
      <vt:variant>
        <vt:i4>0</vt:i4>
      </vt:variant>
      <vt:variant>
        <vt:i4>5</vt:i4>
      </vt:variant>
      <vt:variant>
        <vt:lpwstr/>
      </vt:variant>
      <vt:variant>
        <vt:lpwstr>_Toc355788473</vt:lpwstr>
      </vt:variant>
      <vt:variant>
        <vt:i4>1703994</vt:i4>
      </vt:variant>
      <vt:variant>
        <vt:i4>8</vt:i4>
      </vt:variant>
      <vt:variant>
        <vt:i4>0</vt:i4>
      </vt:variant>
      <vt:variant>
        <vt:i4>5</vt:i4>
      </vt:variant>
      <vt:variant>
        <vt:lpwstr/>
      </vt:variant>
      <vt:variant>
        <vt:lpwstr>_Toc355788472</vt:lpwstr>
      </vt:variant>
      <vt:variant>
        <vt:i4>1703994</vt:i4>
      </vt:variant>
      <vt:variant>
        <vt:i4>2</vt:i4>
      </vt:variant>
      <vt:variant>
        <vt:i4>0</vt:i4>
      </vt:variant>
      <vt:variant>
        <vt:i4>5</vt:i4>
      </vt:variant>
      <vt:variant>
        <vt:lpwstr/>
      </vt:variant>
      <vt:variant>
        <vt:lpwstr>_Toc355788471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2014-11-14T19:33:00Z</dcterms:created>
  <dcterms:modified xsi:type="dcterms:W3CDTF">2014-11-14T20:22:00Z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