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E3BAC" w14:textId="77777777" w:rsidR="00EF7D9A" w:rsidRPr="00E40CB1" w:rsidRDefault="00EF7D9A" w:rsidP="00612316">
      <w:pPr>
        <w:pStyle w:val="Header"/>
        <w:tabs>
          <w:tab w:val="clear" w:pos="4320"/>
          <w:tab w:val="clear" w:pos="8640"/>
        </w:tabs>
        <w:contextualSpacing/>
        <w:jc w:val="center"/>
        <w:rPr>
          <w:rFonts w:ascii="Times New Roman" w:hAnsi="Times New Roman" w:cs="Times New Roman"/>
          <w:sz w:val="24"/>
          <w:szCs w:val="24"/>
        </w:rPr>
      </w:pPr>
      <w:bookmarkStart w:id="0" w:name="_GoBack"/>
      <w:bookmarkEnd w:id="0"/>
      <w:r w:rsidRPr="00E40CB1">
        <w:rPr>
          <w:rFonts w:ascii="Times New Roman" w:hAnsi="Times New Roman" w:cs="Times New Roman"/>
          <w:sz w:val="24"/>
          <w:szCs w:val="24"/>
        </w:rPr>
        <w:t>BEFORE THE WASHINGTON UTILITIES AND TRANSPORTATION COMMISSION</w:t>
      </w:r>
    </w:p>
    <w:p w14:paraId="46E43397" w14:textId="77777777" w:rsidR="00EF7D9A" w:rsidRPr="00E40CB1" w:rsidRDefault="00EF7D9A" w:rsidP="00612316">
      <w:pPr>
        <w:pStyle w:val="Header"/>
        <w:contextualSpacing/>
        <w:rPr>
          <w:rFonts w:ascii="Times New Roman" w:hAnsi="Times New Roman" w:cs="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56"/>
        <w:gridCol w:w="4624"/>
      </w:tblGrid>
      <w:tr w:rsidR="00EF7D9A" w:rsidRPr="00E40CB1" w14:paraId="40F9A92E" w14:textId="77777777" w:rsidTr="00937BCD">
        <w:tc>
          <w:tcPr>
            <w:tcW w:w="4556" w:type="dxa"/>
            <w:tcBorders>
              <w:bottom w:val="single" w:sz="4" w:space="0" w:color="auto"/>
              <w:right w:val="single" w:sz="4" w:space="0" w:color="auto"/>
            </w:tcBorders>
          </w:tcPr>
          <w:p w14:paraId="3B9BF64E" w14:textId="77777777" w:rsidR="00EF7D9A" w:rsidRPr="00E40CB1" w:rsidRDefault="00EF7D9A" w:rsidP="00612316">
            <w:pPr>
              <w:spacing w:before="0" w:beforeAutospacing="0" w:after="0" w:afterAutospacing="0" w:line="240" w:lineRule="auto"/>
              <w:contextualSpacing/>
              <w:rPr>
                <w:rFonts w:cs="Times New Roman"/>
                <w:szCs w:val="24"/>
              </w:rPr>
            </w:pPr>
            <w:r w:rsidRPr="00E40CB1">
              <w:rPr>
                <w:rFonts w:cs="Times New Roman"/>
                <w:szCs w:val="24"/>
              </w:rPr>
              <w:t>SHUTTLE EXPRESS, INC.,</w:t>
            </w:r>
          </w:p>
          <w:p w14:paraId="6944EEFE" w14:textId="77777777" w:rsidR="00937BCD" w:rsidRPr="00E40CB1" w:rsidRDefault="00937BCD" w:rsidP="00612316">
            <w:pPr>
              <w:spacing w:before="0" w:beforeAutospacing="0" w:after="0" w:afterAutospacing="0" w:line="240" w:lineRule="auto"/>
              <w:contextualSpacing/>
              <w:rPr>
                <w:rFonts w:cs="Times New Roman"/>
                <w:szCs w:val="24"/>
              </w:rPr>
            </w:pPr>
          </w:p>
          <w:p w14:paraId="14916C41" w14:textId="77777777" w:rsidR="00EF7D9A" w:rsidRPr="00E40CB1" w:rsidRDefault="00EF7D9A" w:rsidP="00612316">
            <w:pPr>
              <w:spacing w:before="0" w:beforeAutospacing="0" w:after="0" w:afterAutospacing="0" w:line="240" w:lineRule="auto"/>
              <w:ind w:left="735"/>
              <w:contextualSpacing/>
              <w:rPr>
                <w:rFonts w:cs="Times New Roman"/>
                <w:szCs w:val="24"/>
              </w:rPr>
            </w:pPr>
            <w:r w:rsidRPr="00E40CB1">
              <w:rPr>
                <w:rFonts w:cs="Times New Roman"/>
                <w:szCs w:val="24"/>
              </w:rPr>
              <w:t>Petitioner and Complainant,</w:t>
            </w:r>
          </w:p>
          <w:p w14:paraId="29F2B542" w14:textId="77777777" w:rsidR="00EF7D9A" w:rsidRPr="00E40CB1" w:rsidRDefault="00EF7D9A" w:rsidP="00612316">
            <w:pPr>
              <w:spacing w:before="0" w:beforeAutospacing="0" w:after="0" w:afterAutospacing="0" w:line="240" w:lineRule="auto"/>
              <w:ind w:left="1496"/>
              <w:contextualSpacing/>
              <w:rPr>
                <w:rFonts w:cs="Times New Roman"/>
                <w:szCs w:val="24"/>
              </w:rPr>
            </w:pPr>
          </w:p>
          <w:p w14:paraId="5F206EEE" w14:textId="77777777" w:rsidR="00EF7D9A" w:rsidRPr="00E40CB1" w:rsidRDefault="00EF7D9A" w:rsidP="00612316">
            <w:pPr>
              <w:spacing w:before="0" w:beforeAutospacing="0" w:after="0" w:afterAutospacing="0" w:line="240" w:lineRule="auto"/>
              <w:ind w:left="56"/>
              <w:contextualSpacing/>
              <w:rPr>
                <w:rFonts w:cs="Times New Roman"/>
                <w:szCs w:val="24"/>
              </w:rPr>
            </w:pPr>
            <w:r w:rsidRPr="00E40CB1">
              <w:rPr>
                <w:rFonts w:cs="Times New Roman"/>
                <w:szCs w:val="24"/>
              </w:rPr>
              <w:t>v.</w:t>
            </w:r>
          </w:p>
          <w:p w14:paraId="7A4C8503" w14:textId="77777777" w:rsidR="00EF7D9A" w:rsidRPr="00E40CB1" w:rsidRDefault="00EF7D9A" w:rsidP="00612316">
            <w:pPr>
              <w:spacing w:before="0" w:beforeAutospacing="0" w:after="0" w:afterAutospacing="0" w:line="240" w:lineRule="auto"/>
              <w:ind w:left="686"/>
              <w:contextualSpacing/>
              <w:rPr>
                <w:rFonts w:cs="Times New Roman"/>
                <w:szCs w:val="24"/>
              </w:rPr>
            </w:pPr>
          </w:p>
          <w:p w14:paraId="6497BB26" w14:textId="77777777" w:rsidR="00EF7D9A" w:rsidRPr="00E40CB1" w:rsidRDefault="00EF7D9A" w:rsidP="00612316">
            <w:pPr>
              <w:spacing w:before="0" w:beforeAutospacing="0" w:after="0" w:afterAutospacing="0" w:line="240" w:lineRule="auto"/>
              <w:ind w:left="56"/>
              <w:contextualSpacing/>
              <w:rPr>
                <w:rFonts w:cs="Times New Roman"/>
                <w:szCs w:val="24"/>
              </w:rPr>
            </w:pPr>
            <w:r w:rsidRPr="00E40CB1">
              <w:rPr>
                <w:rFonts w:cs="Times New Roman"/>
                <w:szCs w:val="24"/>
              </w:rPr>
              <w:t>SPEEDISHUTTLE WASHINGTON, LLC,</w:t>
            </w:r>
          </w:p>
          <w:p w14:paraId="2BF392C6" w14:textId="77777777" w:rsidR="00937BCD" w:rsidRPr="00E40CB1" w:rsidRDefault="00937BCD" w:rsidP="00612316">
            <w:pPr>
              <w:spacing w:before="0" w:beforeAutospacing="0" w:after="0" w:afterAutospacing="0" w:line="240" w:lineRule="auto"/>
              <w:ind w:left="56"/>
              <w:contextualSpacing/>
              <w:rPr>
                <w:rFonts w:cs="Times New Roman"/>
                <w:szCs w:val="24"/>
              </w:rPr>
            </w:pPr>
          </w:p>
          <w:p w14:paraId="3A5273F9" w14:textId="77777777" w:rsidR="00EF7D9A" w:rsidRPr="00E40CB1" w:rsidRDefault="00EF7D9A" w:rsidP="00612316">
            <w:pPr>
              <w:spacing w:before="0" w:beforeAutospacing="0" w:after="0" w:afterAutospacing="0" w:line="240" w:lineRule="auto"/>
              <w:contextualSpacing/>
              <w:rPr>
                <w:rFonts w:cs="Times New Roman"/>
                <w:szCs w:val="24"/>
              </w:rPr>
            </w:pPr>
            <w:r w:rsidRPr="00E40CB1">
              <w:rPr>
                <w:rFonts w:cs="Times New Roman"/>
                <w:szCs w:val="24"/>
              </w:rPr>
              <w:tab/>
              <w:t>Respondent.</w:t>
            </w:r>
          </w:p>
          <w:p w14:paraId="0837DA39" w14:textId="77777777" w:rsidR="00EF7D9A" w:rsidRPr="00E40CB1" w:rsidRDefault="00EF7D9A" w:rsidP="00612316">
            <w:pPr>
              <w:spacing w:before="0" w:beforeAutospacing="0" w:after="0" w:afterAutospacing="0" w:line="240" w:lineRule="auto"/>
              <w:contextualSpacing/>
              <w:rPr>
                <w:rFonts w:cs="Times New Roman"/>
                <w:szCs w:val="24"/>
              </w:rPr>
            </w:pPr>
          </w:p>
        </w:tc>
        <w:tc>
          <w:tcPr>
            <w:tcW w:w="4624" w:type="dxa"/>
            <w:tcBorders>
              <w:left w:val="single" w:sz="4" w:space="0" w:color="auto"/>
            </w:tcBorders>
          </w:tcPr>
          <w:p w14:paraId="61BB6A1D" w14:textId="77777777" w:rsidR="00EF7D9A" w:rsidRPr="00E40CB1" w:rsidRDefault="00EF7D9A" w:rsidP="00612316">
            <w:pPr>
              <w:spacing w:before="0" w:beforeAutospacing="0" w:after="0" w:afterAutospacing="0" w:line="240" w:lineRule="auto"/>
              <w:contextualSpacing/>
              <w:rPr>
                <w:rFonts w:cs="Times New Roman"/>
                <w:szCs w:val="24"/>
              </w:rPr>
            </w:pPr>
            <w:r w:rsidRPr="00E40CB1">
              <w:rPr>
                <w:rFonts w:cs="Times New Roman"/>
                <w:szCs w:val="24"/>
              </w:rPr>
              <w:t>DOCKET NOS.</w:t>
            </w:r>
          </w:p>
          <w:p w14:paraId="6DE2B738" w14:textId="77777777" w:rsidR="00EF7D9A" w:rsidRPr="00E40CB1" w:rsidRDefault="00EF7D9A" w:rsidP="00612316">
            <w:pPr>
              <w:spacing w:before="0" w:beforeAutospacing="0" w:after="0" w:afterAutospacing="0" w:line="240" w:lineRule="auto"/>
              <w:contextualSpacing/>
              <w:rPr>
                <w:rFonts w:cs="Times New Roman"/>
                <w:szCs w:val="24"/>
              </w:rPr>
            </w:pPr>
            <w:r w:rsidRPr="00E40CB1">
              <w:rPr>
                <w:rFonts w:cs="Times New Roman"/>
                <w:szCs w:val="24"/>
              </w:rPr>
              <w:t>TC-143691, TC-160516 &amp; TC-161257</w:t>
            </w:r>
          </w:p>
          <w:p w14:paraId="2D9BD3A2" w14:textId="77777777" w:rsidR="00F125E4" w:rsidRPr="00E40CB1" w:rsidRDefault="00F125E4" w:rsidP="00612316">
            <w:pPr>
              <w:spacing w:before="0" w:beforeAutospacing="0" w:after="0" w:afterAutospacing="0" w:line="240" w:lineRule="auto"/>
              <w:contextualSpacing/>
              <w:rPr>
                <w:rFonts w:cs="Times New Roman"/>
                <w:szCs w:val="24"/>
              </w:rPr>
            </w:pPr>
          </w:p>
          <w:p w14:paraId="4E12C418" w14:textId="77777777" w:rsidR="00EF7D9A" w:rsidRPr="00E40CB1" w:rsidRDefault="00F125E4" w:rsidP="00612316">
            <w:pPr>
              <w:spacing w:before="0" w:beforeAutospacing="0" w:after="0" w:afterAutospacing="0" w:line="240" w:lineRule="auto"/>
              <w:contextualSpacing/>
              <w:rPr>
                <w:szCs w:val="24"/>
              </w:rPr>
            </w:pPr>
            <w:r w:rsidRPr="00E40CB1">
              <w:rPr>
                <w:szCs w:val="24"/>
              </w:rPr>
              <w:t xml:space="preserve">PETITIONER’S </w:t>
            </w:r>
            <w:r w:rsidR="00EF7D9A" w:rsidRPr="00E40CB1">
              <w:rPr>
                <w:szCs w:val="24"/>
              </w:rPr>
              <w:t xml:space="preserve">RESPONSE TO </w:t>
            </w:r>
            <w:r w:rsidRPr="00E40CB1">
              <w:rPr>
                <w:szCs w:val="24"/>
              </w:rPr>
              <w:t xml:space="preserve">SPEEDISHUTTLE’S </w:t>
            </w:r>
            <w:r w:rsidR="00EF7D9A" w:rsidRPr="00E40CB1">
              <w:rPr>
                <w:szCs w:val="24"/>
              </w:rPr>
              <w:t xml:space="preserve">OBJECTIONS TO, AND MOTION IN LIMINE AS TO PORTIONS </w:t>
            </w:r>
            <w:r w:rsidRPr="00E40CB1">
              <w:rPr>
                <w:szCs w:val="24"/>
              </w:rPr>
              <w:t>OF PRE-FILED REBUTTAL TESTIMONY</w:t>
            </w:r>
          </w:p>
        </w:tc>
      </w:tr>
    </w:tbl>
    <w:p w14:paraId="44DC2918" w14:textId="77777777" w:rsidR="00EF7D9A" w:rsidRPr="00E40CB1" w:rsidRDefault="00EF7D9A" w:rsidP="00612316">
      <w:pPr>
        <w:pStyle w:val="Heading3"/>
        <w:numPr>
          <w:ilvl w:val="0"/>
          <w:numId w:val="0"/>
        </w:numPr>
        <w:contextualSpacing/>
        <w:rPr>
          <w:szCs w:val="24"/>
        </w:rPr>
      </w:pPr>
    </w:p>
    <w:p w14:paraId="4D216053" w14:textId="77777777" w:rsidR="00F125E4" w:rsidRDefault="00F125E4" w:rsidP="00612316">
      <w:pPr>
        <w:pStyle w:val="ListParagraph"/>
        <w:numPr>
          <w:ilvl w:val="0"/>
          <w:numId w:val="10"/>
        </w:numPr>
        <w:jc w:val="center"/>
        <w:rPr>
          <w:b/>
          <w:u w:val="single"/>
        </w:rPr>
      </w:pPr>
      <w:r w:rsidRPr="00487698">
        <w:rPr>
          <w:b/>
          <w:u w:val="single"/>
        </w:rPr>
        <w:t>INTRODUCTION</w:t>
      </w:r>
    </w:p>
    <w:p w14:paraId="14792B7E" w14:textId="77777777" w:rsidR="00487698" w:rsidRPr="00487698" w:rsidRDefault="00487698" w:rsidP="00612316">
      <w:pPr>
        <w:pStyle w:val="ListParagraph"/>
        <w:ind w:left="1080"/>
        <w:rPr>
          <w:b/>
          <w:u w:val="single"/>
        </w:rPr>
      </w:pPr>
    </w:p>
    <w:p w14:paraId="0786445D" w14:textId="77777777" w:rsidR="00F125E4" w:rsidRPr="00E40CB1" w:rsidRDefault="00F125E4" w:rsidP="00612316">
      <w:pPr>
        <w:pStyle w:val="ListParagraph"/>
        <w:numPr>
          <w:ilvl w:val="0"/>
          <w:numId w:val="6"/>
        </w:numPr>
        <w:spacing w:line="480" w:lineRule="auto"/>
        <w:ind w:left="360" w:hanging="720"/>
      </w:pPr>
      <w:r w:rsidRPr="00E40CB1">
        <w:t xml:space="preserve">Shuttle Express, </w:t>
      </w:r>
      <w:r w:rsidRPr="00913DA1">
        <w:t xml:space="preserve">Inc. </w:t>
      </w:r>
      <w:r w:rsidR="00E11525" w:rsidRPr="00913DA1">
        <w:t>(“S</w:t>
      </w:r>
      <w:r w:rsidR="00FC67AC" w:rsidRPr="00913DA1">
        <w:t>huttle Express</w:t>
      </w:r>
      <w:r w:rsidR="00E11525" w:rsidRPr="00913DA1">
        <w:t xml:space="preserve">”) </w:t>
      </w:r>
      <w:r w:rsidRPr="00913DA1">
        <w:t>files</w:t>
      </w:r>
      <w:r w:rsidRPr="00E40CB1">
        <w:t xml:space="preserve"> this answer in opposition to the </w:t>
      </w:r>
      <w:r w:rsidR="00E40CB1" w:rsidRPr="00E40CB1">
        <w:t xml:space="preserve">most recent motion in limine of </w:t>
      </w:r>
      <w:r w:rsidRPr="00E40CB1">
        <w:t>Speedis</w:t>
      </w:r>
      <w:r w:rsidR="00E11525" w:rsidRPr="00E40CB1">
        <w:t xml:space="preserve">huttle of Washington, </w:t>
      </w:r>
      <w:r w:rsidR="00E11525" w:rsidRPr="00913DA1">
        <w:t>LLC (“S</w:t>
      </w:r>
      <w:r w:rsidR="00FC67AC" w:rsidRPr="00913DA1">
        <w:t>peediShuttle</w:t>
      </w:r>
      <w:r w:rsidR="00E11525" w:rsidRPr="00913DA1">
        <w:t>”).</w:t>
      </w:r>
      <w:r w:rsidR="00E40CB1" w:rsidRPr="00913DA1">
        <w:rPr>
          <w:rStyle w:val="FootnoteReference"/>
          <w:szCs w:val="24"/>
        </w:rPr>
        <w:footnoteReference w:id="1"/>
      </w:r>
      <w:r w:rsidR="00E11525" w:rsidRPr="00913DA1">
        <w:t xml:space="preserve">  Yet</w:t>
      </w:r>
      <w:r w:rsidR="00E11525" w:rsidRPr="00E40CB1">
        <w:t xml:space="preserve"> again, S</w:t>
      </w:r>
      <w:r w:rsidR="00FC67AC">
        <w:t>peediShuttle</w:t>
      </w:r>
      <w:r w:rsidR="00E11525" w:rsidRPr="00E40CB1">
        <w:t xml:space="preserve"> invites the Commission to make a decision that is not based </w:t>
      </w:r>
      <w:r w:rsidR="006B36EF">
        <w:t>up</w:t>
      </w:r>
      <w:r w:rsidR="00E11525" w:rsidRPr="00E40CB1">
        <w:t xml:space="preserve">on—but instead </w:t>
      </w:r>
      <w:r w:rsidR="006B36EF">
        <w:t>up</w:t>
      </w:r>
      <w:r w:rsidR="004E0D1F">
        <w:t>on the exclusion of</w:t>
      </w:r>
      <w:r w:rsidR="00E11525" w:rsidRPr="00E40CB1">
        <w:t>—valuable evidence that not only exists but has been offered.</w:t>
      </w:r>
    </w:p>
    <w:p w14:paraId="2A759C72" w14:textId="77777777" w:rsidR="00E11525" w:rsidRPr="00E40CB1" w:rsidRDefault="00E11525" w:rsidP="00612316">
      <w:pPr>
        <w:pStyle w:val="ListParagraph"/>
        <w:numPr>
          <w:ilvl w:val="0"/>
          <w:numId w:val="6"/>
        </w:numPr>
        <w:spacing w:line="480" w:lineRule="auto"/>
        <w:ind w:left="360" w:hanging="720"/>
      </w:pPr>
      <w:r w:rsidRPr="00E40CB1">
        <w:t>The undisputed evidence is that the Commission is presently faced with two airport shuttle share ride operators that are now bot</w:t>
      </w:r>
      <w:r w:rsidR="00E40CB1" w:rsidRPr="00E40CB1">
        <w:t>h losing money.  And c</w:t>
      </w:r>
      <w:r w:rsidRPr="00E40CB1">
        <w:t>ontrary to the intent and findings of Order 04, they are both serving exactly the sam</w:t>
      </w:r>
      <w:r w:rsidR="00E40CB1" w:rsidRPr="00E40CB1">
        <w:t>e demographic of passenger.  Further,</w:t>
      </w:r>
      <w:r w:rsidRPr="00E40CB1">
        <w:t xml:space="preserve"> they are doing so in a </w:t>
      </w:r>
      <w:r w:rsidR="004E0D1F">
        <w:t>market for a service that for some time has been</w:t>
      </w:r>
      <w:r w:rsidRPr="00E40CB1">
        <w:t xml:space="preserve"> declining for both carriers.  As a consequence of these and numerous</w:t>
      </w:r>
      <w:r w:rsidR="00E40CB1" w:rsidRPr="00E40CB1">
        <w:t xml:space="preserve"> other</w:t>
      </w:r>
      <w:r w:rsidRPr="00E40CB1">
        <w:t xml:space="preserve"> factors, neither carrier has the scope and scale of economies to serve </w:t>
      </w:r>
      <w:r w:rsidR="00E40CB1" w:rsidRPr="00E40CB1">
        <w:t xml:space="preserve">all of </w:t>
      </w:r>
      <w:r w:rsidRPr="00E40CB1">
        <w:t xml:space="preserve">King County indefinitely.  Thus, by inadvertently creating competition in a market that is a “natural monopoly” the Commission has </w:t>
      </w:r>
      <w:r w:rsidR="00607206" w:rsidRPr="00E40CB1">
        <w:t>set in motio</w:t>
      </w:r>
      <w:r w:rsidR="00E40CB1" w:rsidRPr="00E40CB1">
        <w:t>n market forces that could</w:t>
      </w:r>
      <w:r w:rsidR="00607206" w:rsidRPr="00E40CB1">
        <w:t xml:space="preserve"> bankrupt one or both companies.  Or it will see the elimination of </w:t>
      </w:r>
      <w:r w:rsidR="00607206" w:rsidRPr="00E40CB1">
        <w:lastRenderedPageBreak/>
        <w:t>share ride service for the residents and business people in suburban and rural King County.  Only tourists and conventioneers will still be served, primarily to the piers and hotels in Bellevue in Seattle</w:t>
      </w:r>
      <w:r w:rsidRPr="00E40CB1">
        <w:t>.</w:t>
      </w:r>
    </w:p>
    <w:p w14:paraId="7CFF9747" w14:textId="77777777" w:rsidR="00B82A9D" w:rsidRPr="00E40CB1" w:rsidRDefault="00607206" w:rsidP="00612316">
      <w:pPr>
        <w:pStyle w:val="ListParagraph"/>
        <w:numPr>
          <w:ilvl w:val="0"/>
          <w:numId w:val="6"/>
        </w:numPr>
        <w:spacing w:line="480" w:lineRule="auto"/>
        <w:ind w:left="360" w:hanging="630"/>
      </w:pPr>
      <w:r w:rsidRPr="00E40CB1">
        <w:t>What law or Commission order precludes the Commission from considering the evidence of this bleak future</w:t>
      </w:r>
      <w:r w:rsidR="00CD533D" w:rsidRPr="00E40CB1">
        <w:t xml:space="preserve"> for an important transportation option currently available to all residents of King County</w:t>
      </w:r>
      <w:r w:rsidR="004E0D1F">
        <w:t>,</w:t>
      </w:r>
      <w:r w:rsidR="00CD533D" w:rsidRPr="00E40CB1">
        <w:t xml:space="preserve"> </w:t>
      </w:r>
      <w:r w:rsidR="004E0D1F">
        <w:t xml:space="preserve">and valued by many of them, </w:t>
      </w:r>
      <w:r w:rsidR="00CD533D" w:rsidRPr="00E40CB1">
        <w:t>if the Commission</w:t>
      </w:r>
      <w:r w:rsidRPr="00E40CB1">
        <w:t xml:space="preserve"> fails to take corrective action?  Fortunately, none.  Indeed, the </w:t>
      </w:r>
      <w:r w:rsidRPr="00E40CB1">
        <w:rPr>
          <w:u w:val="single"/>
        </w:rPr>
        <w:t>primary</w:t>
      </w:r>
      <w:r w:rsidRPr="00E40CB1">
        <w:t xml:space="preserve"> charge the legislature has given to the Commission—in every case and at all times—is to “[r]egulate in the </w:t>
      </w:r>
      <w:r w:rsidR="00CD533D" w:rsidRPr="00E40CB1">
        <w:rPr>
          <w:u w:val="single"/>
        </w:rPr>
        <w:t>public interest</w:t>
      </w:r>
      <w:r w:rsidR="00CD533D" w:rsidRPr="00E40CB1">
        <w:t>, as provided by the public service laws,</w:t>
      </w:r>
      <w:r w:rsidRPr="00E40CB1">
        <w:t xml:space="preserve"> all persons engaging in the transportation of persons within this state for compensation.”  RCW 80.01.040(2)(emphasis added).  The Commission not only can, but must, carefully consider whether its eventual actions or inactions in these dock</w:t>
      </w:r>
      <w:r w:rsidR="00E40CB1" w:rsidRPr="00E40CB1">
        <w:t>ets will serve or harm the long-</w:t>
      </w:r>
      <w:r w:rsidRPr="00E40CB1">
        <w:t>term public interest</w:t>
      </w:r>
      <w:r w:rsidR="004E0D1F">
        <w:t xml:space="preserve"> by eliminating or severely curtailing a valuable public service</w:t>
      </w:r>
      <w:r w:rsidRPr="00E40CB1">
        <w:t>.</w:t>
      </w:r>
    </w:p>
    <w:p w14:paraId="745B8523" w14:textId="77777777" w:rsidR="00607206" w:rsidRPr="00E40CB1" w:rsidRDefault="00607206" w:rsidP="004B6039">
      <w:pPr>
        <w:pStyle w:val="ListParagraph"/>
        <w:numPr>
          <w:ilvl w:val="0"/>
          <w:numId w:val="6"/>
        </w:numPr>
        <w:spacing w:line="480" w:lineRule="auto"/>
        <w:ind w:left="360" w:hanging="720"/>
      </w:pPr>
      <w:r w:rsidRPr="00E40CB1">
        <w:t xml:space="preserve">In addition to consideration of the public interest, the Commission has expressly described the issues much more broadly in numerous orders that </w:t>
      </w:r>
      <w:r w:rsidR="008B0F69" w:rsidRPr="00E40CB1">
        <w:t>hav</w:t>
      </w:r>
      <w:r w:rsidR="005F15A6">
        <w:t>e never been revoked or modified</w:t>
      </w:r>
      <w:r w:rsidR="008B0F69" w:rsidRPr="00E40CB1">
        <w:t xml:space="preserve">. Moreover, the testimony of Mr. Roemer is incredibly broad (if conclusory and vague) and all of the </w:t>
      </w:r>
      <w:r w:rsidR="00FC67AC">
        <w:t>Shuttle Express</w:t>
      </w:r>
      <w:r w:rsidR="00FC67AC" w:rsidRPr="00E40CB1">
        <w:t xml:space="preserve"> </w:t>
      </w:r>
      <w:r w:rsidR="008B0F69" w:rsidRPr="00E40CB1">
        <w:t xml:space="preserve">rebuttal testimony responds </w:t>
      </w:r>
      <w:r w:rsidR="00FC67AC">
        <w:t xml:space="preserve">to </w:t>
      </w:r>
      <w:r w:rsidR="008B0F69" w:rsidRPr="00E40CB1">
        <w:t>the specifics,</w:t>
      </w:r>
      <w:r w:rsidR="00AA41A8">
        <w:t xml:space="preserve"> inferences,</w:t>
      </w:r>
      <w:r w:rsidR="008B0F69" w:rsidRPr="00E40CB1">
        <w:t xml:space="preserve"> implications, and innuendos of Mr. Roemer.</w:t>
      </w:r>
    </w:p>
    <w:p w14:paraId="760F83C7" w14:textId="77777777" w:rsidR="002E0263" w:rsidRDefault="008B0F69" w:rsidP="004B6039">
      <w:pPr>
        <w:pStyle w:val="ListParagraph"/>
        <w:numPr>
          <w:ilvl w:val="0"/>
          <w:numId w:val="10"/>
        </w:numPr>
        <w:spacing w:line="480" w:lineRule="auto"/>
        <w:jc w:val="center"/>
        <w:rPr>
          <w:b/>
          <w:u w:val="single"/>
        </w:rPr>
      </w:pPr>
      <w:r w:rsidRPr="00487698">
        <w:rPr>
          <w:b/>
          <w:u w:val="single"/>
        </w:rPr>
        <w:t>DISCUSS</w:t>
      </w:r>
      <w:r w:rsidR="002E0263" w:rsidRPr="00487698">
        <w:rPr>
          <w:b/>
          <w:u w:val="single"/>
        </w:rPr>
        <w:t>ION</w:t>
      </w:r>
    </w:p>
    <w:p w14:paraId="4C3F5111" w14:textId="77777777" w:rsidR="00763F1B" w:rsidRPr="006B36EF" w:rsidRDefault="006B36EF" w:rsidP="006B36EF">
      <w:pPr>
        <w:pStyle w:val="ListParagraph"/>
        <w:numPr>
          <w:ilvl w:val="0"/>
          <w:numId w:val="16"/>
        </w:numPr>
        <w:rPr>
          <w:b/>
          <w:u w:val="single"/>
        </w:rPr>
      </w:pPr>
      <w:r w:rsidRPr="006B36EF">
        <w:rPr>
          <w:b/>
          <w:u w:val="single"/>
        </w:rPr>
        <w:t>The testimony Speedishuttle seeks to strike is directly relevant to the key statutes upon which the Shuttle Express Petition and complaint are based</w:t>
      </w:r>
      <w:r>
        <w:rPr>
          <w:b/>
        </w:rPr>
        <w:t>.</w:t>
      </w:r>
    </w:p>
    <w:p w14:paraId="3415E90B" w14:textId="77777777" w:rsidR="006B36EF" w:rsidRPr="00763F1B" w:rsidRDefault="006B36EF" w:rsidP="006B36EF">
      <w:pPr>
        <w:pStyle w:val="ListParagraph"/>
        <w:ind w:left="1080"/>
        <w:rPr>
          <w:b/>
          <w:u w:val="single"/>
        </w:rPr>
      </w:pPr>
    </w:p>
    <w:p w14:paraId="479A2C1A" w14:textId="77777777" w:rsidR="00D46497" w:rsidRPr="00E40CB1" w:rsidRDefault="00CD533D" w:rsidP="004B6039">
      <w:pPr>
        <w:pStyle w:val="ListParagraph"/>
        <w:numPr>
          <w:ilvl w:val="0"/>
          <w:numId w:val="6"/>
        </w:numPr>
        <w:spacing w:line="480" w:lineRule="auto"/>
        <w:ind w:left="360" w:hanging="720"/>
        <w:rPr>
          <w:b/>
          <w:u w:val="single"/>
        </w:rPr>
      </w:pPr>
      <w:r w:rsidRPr="00E40CB1">
        <w:t xml:space="preserve">Starting from the premise of regulating in the public interest in accordance with the public service laws, the Commission here should focus primarily on two laws.  First is the rehearing statute, RCW 81.04.200, which allows rehearing for “changed conditions … a result </w:t>
      </w:r>
      <w:r w:rsidRPr="00E40CB1">
        <w:lastRenderedPageBreak/>
        <w:t>injuriously affecting the petitioner which was not considered or anticipated … that the effect of [the prior] order has been such as was not contemplated … or for any good and sufficient cause.</w:t>
      </w:r>
      <w:r w:rsidR="00E85927">
        <w:t>”</w:t>
      </w:r>
      <w:r w:rsidRPr="00E40CB1">
        <w:t xml:space="preserve">   Th</w:t>
      </w:r>
      <w:r w:rsidR="00D46497" w:rsidRPr="00E40CB1">
        <w:t>e Commission wisely ordered a rehearing in Order 06</w:t>
      </w:r>
      <w:r w:rsidR="00961662" w:rsidRPr="00E40CB1">
        <w:rPr>
          <w:rStyle w:val="FootnoteReference"/>
        </w:rPr>
        <w:footnoteReference w:id="2"/>
      </w:r>
      <w:r w:rsidR="00D46497" w:rsidRPr="00E40CB1">
        <w:t xml:space="preserve"> and re-affirmed that in several subsequent orders.</w:t>
      </w:r>
      <w:r w:rsidR="00E40CB1">
        <w:rPr>
          <w:rStyle w:val="FootnoteReference"/>
        </w:rPr>
        <w:footnoteReference w:id="3"/>
      </w:r>
      <w:r w:rsidR="00D46497" w:rsidRPr="00E40CB1">
        <w:t xml:space="preserve">  The Commission clearly did not “anticipate” in Orders 02 and 04 that it would have two carriers competing across the board to the point</w:t>
      </w:r>
      <w:r w:rsidR="00E40CB1" w:rsidRPr="00E40CB1">
        <w:t xml:space="preserve"> that both might fail or be financially unable to</w:t>
      </w:r>
      <w:r w:rsidR="00D46497" w:rsidRPr="00E40CB1">
        <w:t xml:space="preserve"> continue offering</w:t>
      </w:r>
      <w:r w:rsidR="00E40CB1" w:rsidRPr="00E40CB1">
        <w:t xml:space="preserve"> a</w:t>
      </w:r>
      <w:r w:rsidR="00D46497" w:rsidRPr="00E40CB1">
        <w:t xml:space="preserve"> viable share ride service to King County as a whole.  On the contrary, the Commission had anticipated that SS would grow the overall </w:t>
      </w:r>
      <w:r w:rsidR="005F15A6">
        <w:t xml:space="preserve">service by primarily serving a perceived </w:t>
      </w:r>
      <w:r w:rsidR="00D46497" w:rsidRPr="00E40CB1">
        <w:t xml:space="preserve">unserved demographic.  That has not happened. </w:t>
      </w:r>
    </w:p>
    <w:p w14:paraId="4D438773" w14:textId="77777777" w:rsidR="00E40CB1" w:rsidRPr="005A7740" w:rsidRDefault="00E40CB1" w:rsidP="004B6039">
      <w:pPr>
        <w:pStyle w:val="ListParagraph"/>
        <w:numPr>
          <w:ilvl w:val="0"/>
          <w:numId w:val="6"/>
        </w:numPr>
        <w:spacing w:line="480" w:lineRule="auto"/>
        <w:ind w:left="360" w:hanging="720"/>
      </w:pPr>
      <w:r>
        <w:t>T</w:t>
      </w:r>
      <w:r w:rsidR="00D46497" w:rsidRPr="00E40CB1">
        <w:t xml:space="preserve">he second salient public service law is the complaint statute, RCW 81.04.110, which </w:t>
      </w:r>
      <w:r w:rsidR="00BC731F" w:rsidRPr="00E40CB1">
        <w:t xml:space="preserve">allows a public service company to challenge the “rates and practices” of a competitor which may be considered “unreasonable, unremunerative, discriminatory, illegal, unfair or intending or tending to oppress the complainant, to stifle competition, or to create or encourage the creation of monopoly….”  </w:t>
      </w:r>
      <w:r w:rsidR="00BC731F" w:rsidRPr="00E40CB1">
        <w:rPr>
          <w:rFonts w:cs="Times New Roman"/>
          <w:szCs w:val="24"/>
        </w:rPr>
        <w:t xml:space="preserve">The </w:t>
      </w:r>
      <w:r w:rsidR="00D43B10" w:rsidRPr="00E40CB1">
        <w:rPr>
          <w:rFonts w:cs="Times New Roman"/>
          <w:szCs w:val="24"/>
        </w:rPr>
        <w:t>Commission soundly denied Respondent’s</w:t>
      </w:r>
      <w:r w:rsidR="00BC731F" w:rsidRPr="00E40CB1">
        <w:rPr>
          <w:rFonts w:cs="Times New Roman"/>
          <w:szCs w:val="24"/>
        </w:rPr>
        <w:t xml:space="preserve"> earlier</w:t>
      </w:r>
      <w:r w:rsidR="00D43B10" w:rsidRPr="00E40CB1">
        <w:rPr>
          <w:rFonts w:cs="Times New Roman"/>
          <w:szCs w:val="24"/>
        </w:rPr>
        <w:t xml:space="preserve"> motion to dismiss the Complaint</w:t>
      </w:r>
      <w:r w:rsidR="00BC731F" w:rsidRPr="00E40CB1">
        <w:rPr>
          <w:rFonts w:cs="Times New Roman"/>
          <w:szCs w:val="24"/>
        </w:rPr>
        <w:t xml:space="preserve"> and has, more than once, </w:t>
      </w:r>
      <w:r w:rsidR="00D43B10" w:rsidRPr="00E40CB1">
        <w:rPr>
          <w:rFonts w:cs="Times New Roman"/>
          <w:szCs w:val="24"/>
        </w:rPr>
        <w:t>expressly addressed and acknowledged the broad scope of the Complaint</w:t>
      </w:r>
      <w:r>
        <w:rPr>
          <w:rFonts w:cs="Times New Roman"/>
          <w:szCs w:val="24"/>
        </w:rPr>
        <w:t>.</w:t>
      </w:r>
    </w:p>
    <w:p w14:paraId="32B021AB" w14:textId="77777777" w:rsidR="006B36EF" w:rsidRPr="006B36EF" w:rsidRDefault="006B36EF" w:rsidP="00AA41A8">
      <w:pPr>
        <w:pStyle w:val="ListParagraph"/>
        <w:keepNext/>
        <w:numPr>
          <w:ilvl w:val="0"/>
          <w:numId w:val="16"/>
        </w:numPr>
        <w:rPr>
          <w:b/>
          <w:u w:val="single"/>
        </w:rPr>
      </w:pPr>
      <w:r w:rsidRPr="006B36EF">
        <w:rPr>
          <w:b/>
          <w:u w:val="single"/>
        </w:rPr>
        <w:t xml:space="preserve">The testimony Speedishuttle </w:t>
      </w:r>
      <w:r w:rsidR="00760CF2">
        <w:rPr>
          <w:b/>
          <w:u w:val="single"/>
        </w:rPr>
        <w:t xml:space="preserve">seeks to strike </w:t>
      </w:r>
      <w:r>
        <w:rPr>
          <w:b/>
          <w:u w:val="single"/>
        </w:rPr>
        <w:t>falls well within the permissible scope or implication s of the commission’s prior orders</w:t>
      </w:r>
      <w:r>
        <w:rPr>
          <w:b/>
        </w:rPr>
        <w:t>.</w:t>
      </w:r>
    </w:p>
    <w:p w14:paraId="2A085D43" w14:textId="77777777" w:rsidR="005A7740" w:rsidRPr="00E40CB1" w:rsidRDefault="005A7740" w:rsidP="00AA41A8">
      <w:pPr>
        <w:pStyle w:val="ListParagraph"/>
        <w:keepNext/>
        <w:ind w:left="1080"/>
      </w:pPr>
    </w:p>
    <w:p w14:paraId="1DEE9966" w14:textId="77777777" w:rsidR="006B36EF" w:rsidRDefault="00E40CB1" w:rsidP="004B6039">
      <w:pPr>
        <w:pStyle w:val="ListParagraph"/>
        <w:numPr>
          <w:ilvl w:val="0"/>
          <w:numId w:val="6"/>
        </w:numPr>
        <w:spacing w:line="480" w:lineRule="auto"/>
        <w:ind w:left="360" w:hanging="720"/>
      </w:pPr>
      <w:r w:rsidRPr="00E40CB1">
        <w:t>T</w:t>
      </w:r>
      <w:r w:rsidR="00961662">
        <w:t xml:space="preserve">o support its arguments that the sustainability of two competing identical offerings should be stricken, </w:t>
      </w:r>
      <w:r w:rsidR="00FC67AC">
        <w:t xml:space="preserve">SpeediShuttle </w:t>
      </w:r>
      <w:r w:rsidR="00961662">
        <w:t xml:space="preserve">selectively cites </w:t>
      </w:r>
      <w:r w:rsidRPr="00E40CB1">
        <w:t>Order 16</w:t>
      </w:r>
      <w:r w:rsidR="00961662">
        <w:t xml:space="preserve"> and ignores the bigger picture.  </w:t>
      </w:r>
      <w:r w:rsidR="004A2FFC">
        <w:t xml:space="preserve">The </w:t>
      </w:r>
      <w:r w:rsidR="004A2FFC">
        <w:lastRenderedPageBreak/>
        <w:t xml:space="preserve">order </w:t>
      </w:r>
      <w:r w:rsidRPr="00E40CB1">
        <w:t xml:space="preserve">stated:  “Shuttle Express’s witness testimony and evidence attempts </w:t>
      </w:r>
      <w:r w:rsidRPr="005A4ECE">
        <w:t>to reopen and argue the issue of market sustainability, which was rejected in Order 04.</w:t>
      </w:r>
      <w:r w:rsidR="004A2FFC" w:rsidRPr="005A4ECE">
        <w:rPr>
          <w:rStyle w:val="FootnoteReference"/>
        </w:rPr>
        <w:footnoteReference w:id="4"/>
      </w:r>
      <w:r w:rsidRPr="005A4ECE">
        <w:t xml:space="preserve"> </w:t>
      </w:r>
      <w:r w:rsidR="004A2FFC" w:rsidRPr="005A4ECE">
        <w:t xml:space="preserve"> </w:t>
      </w:r>
      <w:r w:rsidRPr="005A4ECE">
        <w:t xml:space="preserve">We agree, in part, and exclude portions of Mr. Kajanoff’s testimony related to market sustainability.”  </w:t>
      </w:r>
      <w:r w:rsidR="004A2FFC" w:rsidRPr="005A4ECE">
        <w:t>But, more importan</w:t>
      </w:r>
      <w:r w:rsidR="005F15A6">
        <w:t>t</w:t>
      </w:r>
      <w:r w:rsidR="004A2FFC" w:rsidRPr="005A4ECE">
        <w:t>ly</w:t>
      </w:r>
      <w:r w:rsidRPr="005A4ECE">
        <w:t xml:space="preserve">—and </w:t>
      </w:r>
      <w:r w:rsidR="004A2FFC" w:rsidRPr="005A4ECE">
        <w:t>unquestionably correctly</w:t>
      </w:r>
      <w:r w:rsidR="005F15A6">
        <w:t>—O</w:t>
      </w:r>
      <w:r w:rsidR="00AA41A8">
        <w:t>rder 16</w:t>
      </w:r>
      <w:r w:rsidR="004A2FFC" w:rsidRPr="005A4ECE">
        <w:t xml:space="preserve"> goes on to find that, “[l]</w:t>
      </w:r>
      <w:r w:rsidRPr="005A4ECE">
        <w:t>ike portions of Mr. Kajanoff’s testimony,</w:t>
      </w:r>
      <w:r w:rsidR="004A2FFC" w:rsidRPr="005A4ECE">
        <w:rPr>
          <w:rStyle w:val="FootnoteReference"/>
        </w:rPr>
        <w:footnoteReference w:id="5"/>
      </w:r>
      <w:r w:rsidRPr="005A4ECE">
        <w:t xml:space="preserve"> Mr. Wood’s testimony focuses </w:t>
      </w:r>
      <w:r w:rsidRPr="006B36EF">
        <w:rPr>
          <w:u w:val="single"/>
        </w:rPr>
        <w:t>on the sustainability of the market when two providers offer the same service</w:t>
      </w:r>
      <w:r w:rsidRPr="005A4ECE">
        <w:t xml:space="preserve">, not when two providers offer different service. </w:t>
      </w:r>
      <w:r w:rsidRPr="006B36EF">
        <w:rPr>
          <w:u w:val="single"/>
        </w:rPr>
        <w:t>Accordingly, we will allow Mr. Wood’s testimony</w:t>
      </w:r>
      <w:r w:rsidR="005A4ECE">
        <w:t>….</w:t>
      </w:r>
      <w:r w:rsidRPr="005A4ECE">
        <w:t xml:space="preserve">”  </w:t>
      </w:r>
    </w:p>
    <w:p w14:paraId="6159D7F7" w14:textId="77777777" w:rsidR="00E40CB1" w:rsidRPr="00E40CB1" w:rsidRDefault="005A4ECE" w:rsidP="004B6039">
      <w:pPr>
        <w:pStyle w:val="ListParagraph"/>
        <w:numPr>
          <w:ilvl w:val="0"/>
          <w:numId w:val="6"/>
        </w:numPr>
        <w:spacing w:line="480" w:lineRule="auto"/>
        <w:ind w:left="360" w:hanging="720"/>
      </w:pPr>
      <w:r>
        <w:t xml:space="preserve">Thus Order 16 expressly stated that “sustainability” </w:t>
      </w:r>
      <w:r w:rsidR="006B36EF">
        <w:t xml:space="preserve">of two carriers offering the same service </w:t>
      </w:r>
      <w:r w:rsidRPr="00AA41A8">
        <w:rPr>
          <w:u w:val="single"/>
        </w:rPr>
        <w:t>is</w:t>
      </w:r>
      <w:r>
        <w:t xml:space="preserve"> relevant and a proper issue for testimony.  </w:t>
      </w:r>
      <w:r w:rsidR="00760CF2">
        <w:t xml:space="preserve">And the whole thrust of the Shuttle Express rebuttal and case in chief is that the two carriers are in fact offering the same service and competing directly for the same passengers.  </w:t>
      </w:r>
      <w:r>
        <w:t>Order 16 was not challenged by either party and has not been modified by the Commission.</w:t>
      </w:r>
    </w:p>
    <w:p w14:paraId="4EBF19D6" w14:textId="77777777" w:rsidR="005A4ECE" w:rsidRPr="005A4ECE" w:rsidRDefault="00FC67AC" w:rsidP="00612316">
      <w:pPr>
        <w:pStyle w:val="ListParagraph"/>
        <w:numPr>
          <w:ilvl w:val="0"/>
          <w:numId w:val="6"/>
        </w:numPr>
        <w:spacing w:line="480" w:lineRule="auto"/>
        <w:ind w:left="360" w:hanging="720"/>
        <w:rPr>
          <w:rFonts w:cs="Times New Roman"/>
          <w:szCs w:val="24"/>
        </w:rPr>
      </w:pPr>
      <w:r>
        <w:t xml:space="preserve">SpeediShuttle </w:t>
      </w:r>
      <w:r w:rsidR="005A4ECE">
        <w:t>also relies on</w:t>
      </w:r>
      <w:r w:rsidR="00E40CB1" w:rsidRPr="00E40CB1">
        <w:t xml:space="preserve"> Order 17,</w:t>
      </w:r>
      <w:r w:rsidR="005A4ECE">
        <w:t xml:space="preserve"> which added the issue of</w:t>
      </w:r>
      <w:r w:rsidR="00E40CB1" w:rsidRPr="00E40CB1">
        <w:t xml:space="preserve"> “satisfaction</w:t>
      </w:r>
      <w:r w:rsidR="005A4ECE">
        <w:t xml:space="preserve"> of the </w:t>
      </w:r>
      <w:r w:rsidR="00AA41A8">
        <w:t>C</w:t>
      </w:r>
      <w:r w:rsidR="005A4ECE">
        <w:t>ommission</w:t>
      </w:r>
      <w:r w:rsidR="00E40CB1" w:rsidRPr="00E40CB1">
        <w:t>”</w:t>
      </w:r>
      <w:r w:rsidR="005A4ECE">
        <w:t xml:space="preserve"> into the case.</w:t>
      </w:r>
      <w:r w:rsidR="00E40CB1" w:rsidRPr="00E40CB1">
        <w:t xml:space="preserve">  </w:t>
      </w:r>
      <w:r w:rsidR="005A4ECE">
        <w:t>Certain language in this order is puzzling.  In particular:</w:t>
      </w:r>
    </w:p>
    <w:p w14:paraId="144F114B" w14:textId="77777777" w:rsidR="005A4ECE" w:rsidRPr="005A4ECE" w:rsidRDefault="00306CFC" w:rsidP="00612316">
      <w:pPr>
        <w:pStyle w:val="ListParagraph"/>
        <w:ind w:left="1080"/>
        <w:rPr>
          <w:rFonts w:cs="Times New Roman"/>
          <w:szCs w:val="24"/>
        </w:rPr>
      </w:pPr>
      <w:r>
        <w:br/>
      </w:r>
      <w:r w:rsidR="00E40CB1" w:rsidRPr="00E40CB1">
        <w:t xml:space="preserve">We decline Shuttle Express’s invitation </w:t>
      </w:r>
      <w:r w:rsidR="00E40CB1" w:rsidRPr="005F15A6">
        <w:t xml:space="preserve">to broaden the scope of the issues to include the market sustainability of two carriers serving the same territory. Shuttle Express fails to establish any connection between the market’s ability to sustain two auto transportation providers and whether Shuttle Express will provide service to the Commission’s satisfaction. We also deny Shuttle Express’s request that we revisit our prior rulings and allow Shuttle Express to pursue its data requests seeking Speedishuttle’s financial and ridership data. We continue to find that Shuttle Express is not </w:t>
      </w:r>
      <w:r w:rsidRPr="005F15A6">
        <w:t>entitled to such information.</w:t>
      </w:r>
    </w:p>
    <w:p w14:paraId="385728F6" w14:textId="77777777" w:rsidR="00E40CB1" w:rsidRPr="00E40CB1" w:rsidRDefault="00306CFC" w:rsidP="00612316">
      <w:pPr>
        <w:pStyle w:val="ListParagraph"/>
        <w:numPr>
          <w:ilvl w:val="0"/>
          <w:numId w:val="6"/>
        </w:numPr>
        <w:spacing w:line="480" w:lineRule="auto"/>
        <w:ind w:left="360" w:hanging="720"/>
        <w:rPr>
          <w:rFonts w:cs="Times New Roman"/>
          <w:szCs w:val="24"/>
        </w:rPr>
      </w:pPr>
      <w:r>
        <w:lastRenderedPageBreak/>
        <w:t xml:space="preserve">Read literally and out of context Order 17 could be read to take sustainability out of the case.  But to do that, one would have to assume that the administrative law judge intended to modify her express holding in Order 16 that sustainability </w:t>
      </w:r>
      <w:r w:rsidRPr="00760CF2">
        <w:rPr>
          <w:b/>
          <w:i/>
          <w:u w:val="single"/>
        </w:rPr>
        <w:t>is</w:t>
      </w:r>
      <w:r>
        <w:t xml:space="preserve"> a proper issue even though Order 17 never mentions Order 16 at all.  Worse, </w:t>
      </w:r>
      <w:r w:rsidR="005F15A6">
        <w:t>that interpretation of Order 17</w:t>
      </w:r>
      <w:r>
        <w:t xml:space="preserve"> would require an assumption that the </w:t>
      </w:r>
      <w:r w:rsidR="00452503">
        <w:t xml:space="preserve">administrative </w:t>
      </w:r>
      <w:r>
        <w:t xml:space="preserve">judge implicitly intended to narrow the broad issues established by the full Commission in Orders 08 and 09, plus several other prior orders of the </w:t>
      </w:r>
      <w:r w:rsidR="00452503">
        <w:t xml:space="preserve">judge.  </w:t>
      </w:r>
      <w:r w:rsidR="00E40CB1" w:rsidRPr="00E40CB1">
        <w:t> </w:t>
      </w:r>
    </w:p>
    <w:p w14:paraId="02CB407C" w14:textId="77777777" w:rsidR="00D43B10" w:rsidRPr="00E40CB1" w:rsidRDefault="00452503" w:rsidP="00612316">
      <w:pPr>
        <w:pStyle w:val="ListParagraph"/>
        <w:numPr>
          <w:ilvl w:val="0"/>
          <w:numId w:val="6"/>
        </w:numPr>
        <w:spacing w:line="480" w:lineRule="auto"/>
        <w:ind w:left="360" w:hanging="720"/>
        <w:rPr>
          <w:rFonts w:cs="Times New Roman"/>
          <w:szCs w:val="24"/>
        </w:rPr>
      </w:pPr>
      <w:r>
        <w:rPr>
          <w:rFonts w:cs="Times New Roman"/>
          <w:szCs w:val="24"/>
        </w:rPr>
        <w:t>Review of Order 14—another ALJ order—can help put Order 17 in proper context based on the prior Commission orders</w:t>
      </w:r>
      <w:r w:rsidR="00D43B10" w:rsidRPr="00E40CB1">
        <w:rPr>
          <w:rFonts w:cs="Times New Roman"/>
          <w:szCs w:val="24"/>
        </w:rPr>
        <w:t xml:space="preserve">:  </w:t>
      </w:r>
    </w:p>
    <w:p w14:paraId="4A7583BA" w14:textId="77777777" w:rsidR="00D43B10" w:rsidRPr="00E40CB1" w:rsidRDefault="00D43B10" w:rsidP="00612316">
      <w:pPr>
        <w:spacing w:after="160" w:line="240" w:lineRule="auto"/>
        <w:ind w:left="1440" w:right="720"/>
        <w:contextualSpacing/>
        <w:rPr>
          <w:rFonts w:cs="Times New Roman"/>
          <w:szCs w:val="24"/>
        </w:rPr>
      </w:pPr>
      <w:r w:rsidRPr="00E40CB1">
        <w:rPr>
          <w:rFonts w:cs="Times New Roman"/>
          <w:szCs w:val="24"/>
        </w:rPr>
        <w:t>Speedishuttle relies on our decision in Order 08, arguing that because the Commission held it would not permit Shuttle Express to “relitigate the BAP,” we summarily dismissed all of the allegations in the complaint other than whether Speedishuttle provides service below cost. Speedishuttle completely ignores, however, that we provided the following guidance in the very next paragraph:  [internal quotation omitted.]</w:t>
      </w:r>
    </w:p>
    <w:p w14:paraId="194B56A2" w14:textId="77777777" w:rsidR="00D43B10" w:rsidRDefault="00D43B10" w:rsidP="00612316">
      <w:pPr>
        <w:spacing w:after="160" w:line="240" w:lineRule="auto"/>
        <w:ind w:left="1440" w:right="720"/>
        <w:contextualSpacing/>
        <w:rPr>
          <w:rFonts w:cs="Times New Roman"/>
          <w:szCs w:val="24"/>
        </w:rPr>
      </w:pPr>
      <w:r w:rsidRPr="00E40CB1">
        <w:rPr>
          <w:rFonts w:cs="Times New Roman"/>
          <w:szCs w:val="24"/>
        </w:rPr>
        <w:t xml:space="preserve">Thus, </w:t>
      </w:r>
      <w:r w:rsidRPr="00E40CB1">
        <w:rPr>
          <w:rFonts w:cs="Times New Roman"/>
          <w:szCs w:val="24"/>
          <w:u w:val="single"/>
        </w:rPr>
        <w:t>the Commission acknowledged in Order 08 that Shuttle Express’s complaint includes allegations related to the service Speedishuttle currently provides</w:t>
      </w:r>
      <w:r w:rsidRPr="00E40CB1">
        <w:rPr>
          <w:rFonts w:cs="Times New Roman"/>
          <w:szCs w:val="24"/>
        </w:rPr>
        <w:t>, and in no way limited the issues solely to whether Speedishuttle is providing service at fares below cost.  [Note 4: “Moreover … [a]s As Shuttle Express notes in its Answer</w:t>
      </w:r>
      <w:r w:rsidRPr="00E40CB1">
        <w:rPr>
          <w:rFonts w:cs="Times New Roman"/>
          <w:szCs w:val="24"/>
          <w:u w:val="single"/>
        </w:rPr>
        <w:t>, each of the Commission’s previous orders and rulings accepts a broader range of issues than only below-cost pricing</w:t>
      </w:r>
      <w:r w:rsidRPr="00E40CB1">
        <w:rPr>
          <w:rFonts w:cs="Times New Roman"/>
          <w:szCs w:val="24"/>
        </w:rPr>
        <w:t>.</w:t>
      </w:r>
      <w:r w:rsidR="005F15A6">
        <w:rPr>
          <w:rFonts w:cs="Times New Roman"/>
          <w:szCs w:val="24"/>
        </w:rPr>
        <w:t>”</w:t>
      </w:r>
      <w:r w:rsidRPr="00E40CB1">
        <w:rPr>
          <w:rFonts w:cs="Times New Roman"/>
          <w:szCs w:val="24"/>
        </w:rPr>
        <w:t xml:space="preserve">  Accordingly, Speedishuttle’s Motion fails to address the complaint as a whole.</w:t>
      </w:r>
    </w:p>
    <w:p w14:paraId="7A474A15" w14:textId="77777777" w:rsidR="00FB34D0" w:rsidRPr="00E40CB1" w:rsidRDefault="00FB34D0" w:rsidP="00612316">
      <w:pPr>
        <w:spacing w:after="160" w:line="240" w:lineRule="auto"/>
        <w:ind w:left="1440" w:right="720"/>
        <w:contextualSpacing/>
        <w:rPr>
          <w:rFonts w:cs="Times New Roman"/>
          <w:szCs w:val="24"/>
        </w:rPr>
      </w:pPr>
    </w:p>
    <w:p w14:paraId="1BF2018A" w14:textId="77777777" w:rsidR="00760CF2" w:rsidRDefault="00D43B10" w:rsidP="0056380D">
      <w:pPr>
        <w:spacing w:after="160"/>
        <w:ind w:left="360"/>
        <w:contextualSpacing/>
        <w:rPr>
          <w:rFonts w:cs="Times New Roman"/>
          <w:szCs w:val="24"/>
        </w:rPr>
      </w:pPr>
      <w:r w:rsidRPr="00E40CB1">
        <w:rPr>
          <w:rFonts w:cs="Times New Roman"/>
          <w:szCs w:val="24"/>
        </w:rPr>
        <w:t>Order 14 at 3</w:t>
      </w:r>
      <w:r w:rsidR="00452503">
        <w:rPr>
          <w:rFonts w:cs="Times New Roman"/>
          <w:szCs w:val="24"/>
        </w:rPr>
        <w:t xml:space="preserve"> </w:t>
      </w:r>
      <w:r w:rsidRPr="00E40CB1">
        <w:rPr>
          <w:rFonts w:cs="Times New Roman"/>
          <w:szCs w:val="24"/>
        </w:rPr>
        <w:t xml:space="preserve">(emphasis added).  Speedishuttle </w:t>
      </w:r>
      <w:r w:rsidR="00BC731F" w:rsidRPr="00E40CB1">
        <w:rPr>
          <w:rFonts w:cs="Times New Roman"/>
          <w:szCs w:val="24"/>
        </w:rPr>
        <w:t xml:space="preserve">again </w:t>
      </w:r>
      <w:r w:rsidRPr="00E40CB1">
        <w:rPr>
          <w:rFonts w:cs="Times New Roman"/>
          <w:szCs w:val="24"/>
        </w:rPr>
        <w:t xml:space="preserve">makes the same overarching mistake in interpretation of the Commission’s prior orders as it did </w:t>
      </w:r>
      <w:r w:rsidR="00BC731F" w:rsidRPr="00E40CB1">
        <w:rPr>
          <w:rFonts w:cs="Times New Roman"/>
          <w:szCs w:val="24"/>
        </w:rPr>
        <w:t>its prior motion in limine, which was largely denied</w:t>
      </w:r>
      <w:r w:rsidR="00E40CB1" w:rsidRPr="00E40CB1">
        <w:rPr>
          <w:rFonts w:cs="Times New Roman"/>
          <w:szCs w:val="24"/>
        </w:rPr>
        <w:t xml:space="preserve"> </w:t>
      </w:r>
      <w:r w:rsidR="005F15A6">
        <w:rPr>
          <w:rFonts w:cs="Times New Roman"/>
          <w:szCs w:val="24"/>
        </w:rPr>
        <w:t xml:space="preserve">by </w:t>
      </w:r>
      <w:r w:rsidR="00E40CB1" w:rsidRPr="00E40CB1">
        <w:rPr>
          <w:rFonts w:cs="Times New Roman"/>
          <w:szCs w:val="24"/>
        </w:rPr>
        <w:t>Order 16.</w:t>
      </w:r>
      <w:r w:rsidR="00452503">
        <w:rPr>
          <w:rFonts w:cs="Times New Roman"/>
          <w:szCs w:val="24"/>
        </w:rPr>
        <w:t xml:space="preserve">  While Order 17 clearly declined to </w:t>
      </w:r>
      <w:r w:rsidR="00452503" w:rsidRPr="005F15A6">
        <w:rPr>
          <w:rFonts w:cs="Times New Roman"/>
          <w:szCs w:val="24"/>
          <w:u w:val="single"/>
        </w:rPr>
        <w:t>expand</w:t>
      </w:r>
      <w:r w:rsidR="00452503">
        <w:rPr>
          <w:rFonts w:cs="Times New Roman"/>
          <w:szCs w:val="24"/>
        </w:rPr>
        <w:t xml:space="preserve"> the issues as previously delineated, it likewise </w:t>
      </w:r>
      <w:r w:rsidR="00452503" w:rsidRPr="005F15A6">
        <w:rPr>
          <w:rFonts w:cs="Times New Roman"/>
          <w:szCs w:val="24"/>
          <w:u w:val="single"/>
        </w:rPr>
        <w:t>did not contract</w:t>
      </w:r>
      <w:r w:rsidR="00452503">
        <w:rPr>
          <w:rFonts w:cs="Times New Roman"/>
          <w:szCs w:val="24"/>
        </w:rPr>
        <w:t xml:space="preserve"> issues compare to prior </w:t>
      </w:r>
      <w:r w:rsidR="00760CF2">
        <w:rPr>
          <w:rFonts w:cs="Times New Roman"/>
          <w:szCs w:val="24"/>
        </w:rPr>
        <w:t>orders.</w:t>
      </w:r>
    </w:p>
    <w:p w14:paraId="2E31D2FE" w14:textId="77777777" w:rsidR="00D43B10" w:rsidRPr="00E40CB1" w:rsidRDefault="00452503" w:rsidP="00AA41A8">
      <w:pPr>
        <w:pStyle w:val="ListParagraph"/>
        <w:numPr>
          <w:ilvl w:val="0"/>
          <w:numId w:val="6"/>
        </w:numPr>
        <w:spacing w:line="480" w:lineRule="auto"/>
        <w:ind w:left="360" w:hanging="720"/>
        <w:rPr>
          <w:rFonts w:cs="Times New Roman"/>
          <w:szCs w:val="24"/>
        </w:rPr>
      </w:pPr>
      <w:r w:rsidRPr="00577928">
        <w:rPr>
          <w:rFonts w:cs="Times New Roman"/>
          <w:szCs w:val="24"/>
        </w:rPr>
        <w:lastRenderedPageBreak/>
        <w:t>The language of</w:t>
      </w:r>
      <w:r>
        <w:rPr>
          <w:rFonts w:cs="Times New Roman"/>
          <w:szCs w:val="24"/>
        </w:rPr>
        <w:t xml:space="preserve"> Order 17 can only be understood to relate to the issue of “satisfaction” and whether addition of “satisfaction” to the case would or would not allow for an expansion of the scope of discovery.</w:t>
      </w:r>
      <w:r w:rsidR="005F15A6">
        <w:rPr>
          <w:rFonts w:cs="Times New Roman"/>
          <w:szCs w:val="24"/>
        </w:rPr>
        <w:t xml:space="preserve">  To interpret the Order more broadly would be inconsistent with a number of the judge’s and the Commission’s prior orders.</w:t>
      </w:r>
    </w:p>
    <w:p w14:paraId="4878152B" w14:textId="77777777" w:rsidR="00760CF2" w:rsidRPr="006B36EF" w:rsidRDefault="00760CF2" w:rsidP="00760CF2">
      <w:pPr>
        <w:pStyle w:val="ListParagraph"/>
        <w:numPr>
          <w:ilvl w:val="0"/>
          <w:numId w:val="16"/>
        </w:numPr>
        <w:rPr>
          <w:b/>
          <w:u w:val="single"/>
        </w:rPr>
      </w:pPr>
      <w:r>
        <w:rPr>
          <w:b/>
          <w:u w:val="single"/>
        </w:rPr>
        <w:t>All of t</w:t>
      </w:r>
      <w:r w:rsidRPr="006B36EF">
        <w:rPr>
          <w:b/>
          <w:u w:val="single"/>
        </w:rPr>
        <w:t>he testimony Speedishuttle</w:t>
      </w:r>
      <w:r>
        <w:rPr>
          <w:b/>
          <w:u w:val="single"/>
        </w:rPr>
        <w:t xml:space="preserve"> seeks to strike directly rebuts Mr. Roemer’s response testimony</w:t>
      </w:r>
      <w:r>
        <w:rPr>
          <w:b/>
        </w:rPr>
        <w:t>.</w:t>
      </w:r>
    </w:p>
    <w:p w14:paraId="41D0E39E" w14:textId="77777777" w:rsidR="00487698" w:rsidRPr="005A7740" w:rsidRDefault="00487698" w:rsidP="00760CF2">
      <w:pPr>
        <w:pStyle w:val="ListParagraph"/>
        <w:keepNext/>
        <w:spacing w:line="360" w:lineRule="auto"/>
        <w:ind w:left="1080"/>
        <w:rPr>
          <w:b/>
        </w:rPr>
      </w:pPr>
    </w:p>
    <w:p w14:paraId="05B90BCE" w14:textId="77777777" w:rsidR="00635576" w:rsidRDefault="005F15A6" w:rsidP="00612316">
      <w:pPr>
        <w:pStyle w:val="ListParagraph"/>
        <w:numPr>
          <w:ilvl w:val="0"/>
          <w:numId w:val="6"/>
        </w:numPr>
        <w:spacing w:line="480" w:lineRule="auto"/>
        <w:ind w:left="360" w:hanging="720"/>
      </w:pPr>
      <w:r>
        <w:t xml:space="preserve">Finally, all of the rebuttal testimony proffered by </w:t>
      </w:r>
      <w:r w:rsidR="00FE559C">
        <w:t xml:space="preserve">Shuttle Express </w:t>
      </w:r>
      <w:r>
        <w:t xml:space="preserve">responds directly to the statements, conclusions, and inferences of Mr. Roemer’s responsive testimony.  Even a casual reader of his testimony can see that it is very broad in its scope and discusses numerous issues that his own counsel now asserts are irrelevant or excluded.  But </w:t>
      </w:r>
      <w:r w:rsidR="00FE559C">
        <w:t xml:space="preserve">SpeediShuttle </w:t>
      </w:r>
      <w:r>
        <w:t xml:space="preserve">cannot have it both ways.  If Mr. Roemer can testify on an issue, then </w:t>
      </w:r>
      <w:r w:rsidR="00FE559C">
        <w:t xml:space="preserve">Shuttle Express </w:t>
      </w:r>
      <w:r>
        <w:t>is permitted to file rebuttal on the issue.</w:t>
      </w:r>
      <w:r w:rsidR="00635576">
        <w:t xml:space="preserve">  </w:t>
      </w:r>
    </w:p>
    <w:p w14:paraId="2706846D" w14:textId="77777777" w:rsidR="002F1AE5" w:rsidRDefault="00FE559C" w:rsidP="004D28A3">
      <w:pPr>
        <w:pStyle w:val="ListParagraph"/>
        <w:numPr>
          <w:ilvl w:val="0"/>
          <w:numId w:val="6"/>
        </w:numPr>
        <w:spacing w:line="480" w:lineRule="auto"/>
        <w:ind w:left="360" w:hanging="720"/>
      </w:pPr>
      <w:r>
        <w:t xml:space="preserve">Shuttle Express </w:t>
      </w:r>
      <w:r w:rsidR="00635576">
        <w:t>will not attempt to cover every issue line-by-line.</w:t>
      </w:r>
      <w:r w:rsidR="00760CF2">
        <w:rPr>
          <w:rStyle w:val="FootnoteReference"/>
        </w:rPr>
        <w:footnoteReference w:id="6"/>
      </w:r>
      <w:r w:rsidR="00635576">
        <w:t xml:space="preserve">  Moreover, the Commission need not waste its time comparing Mr. Roemer’s testimony line-by-line with </w:t>
      </w:r>
      <w:r>
        <w:t xml:space="preserve">Shuttle Express’s </w:t>
      </w:r>
      <w:r w:rsidR="00635576">
        <w:t xml:space="preserve">testimony, line-by-line.  That would not only be tedious, but is ultimately a fruitless endeavor.  </w:t>
      </w:r>
      <w:r w:rsidR="000631C1">
        <w:t>The correct outcome on this motion can only be achieved by stepping back and reviewing and understanding the themes of the competing testimony,</w:t>
      </w:r>
      <w:r w:rsidR="00760CF2">
        <w:t xml:space="preserve"> as</w:t>
      </w:r>
      <w:r w:rsidR="000631C1">
        <w:t xml:space="preserve"> a macro view.  A painstaking examination of every tree will miss the forest.</w:t>
      </w:r>
      <w:r w:rsidR="004D28A3">
        <w:t xml:space="preserve"> </w:t>
      </w:r>
    </w:p>
    <w:p w14:paraId="36A58F7E" w14:textId="77777777" w:rsidR="00760CF2" w:rsidRDefault="004D28A3" w:rsidP="004D28A3">
      <w:pPr>
        <w:pStyle w:val="ListParagraph"/>
        <w:numPr>
          <w:ilvl w:val="0"/>
          <w:numId w:val="6"/>
        </w:numPr>
        <w:spacing w:line="480" w:lineRule="auto"/>
        <w:ind w:left="360" w:hanging="720"/>
      </w:pPr>
      <w:r w:rsidRPr="00E40CB1">
        <w:t>S</w:t>
      </w:r>
      <w:r w:rsidR="00FB34D0">
        <w:t>peediShuttle</w:t>
      </w:r>
      <w:r>
        <w:t xml:space="preserve"> bases a significant part of its argument on the assertion that the “testimony is not rebuttal.”  This argument is incorrect and can only be supported if one ignores the “forests” and tries to directly tie a specific “tree” in one forest to another “tree” in the other </w:t>
      </w:r>
      <w:r>
        <w:lastRenderedPageBreak/>
        <w:t xml:space="preserve">forest.  Such a myopic view is not proper and will not only keep important evidence out of the case, to the benefit of </w:t>
      </w:r>
      <w:r w:rsidR="00FB34D0">
        <w:t xml:space="preserve">SpeediShuttle </w:t>
      </w:r>
      <w:r>
        <w:t xml:space="preserve">and the detriment of </w:t>
      </w:r>
      <w:r w:rsidR="00FB34D0">
        <w:t xml:space="preserve">Shuttle Express </w:t>
      </w:r>
      <w:r>
        <w:t xml:space="preserve">and the public interest.  </w:t>
      </w:r>
    </w:p>
    <w:p w14:paraId="087EAF4A" w14:textId="77777777" w:rsidR="004D28A3" w:rsidRDefault="004D28A3" w:rsidP="004D28A3">
      <w:pPr>
        <w:pStyle w:val="ListParagraph"/>
        <w:numPr>
          <w:ilvl w:val="0"/>
          <w:numId w:val="6"/>
        </w:numPr>
        <w:spacing w:line="480" w:lineRule="auto"/>
        <w:ind w:left="360" w:hanging="720"/>
      </w:pPr>
      <w:r>
        <w:t xml:space="preserve">In support of its arguments about what supposedly is “rebuttal” </w:t>
      </w:r>
      <w:r w:rsidR="00FB34D0">
        <w:t xml:space="preserve">SpeediShuttle </w:t>
      </w:r>
      <w:r>
        <w:t xml:space="preserve">cites only a single case that addressed a completely different issue.  </w:t>
      </w:r>
      <w:r w:rsidRPr="00641CC2">
        <w:rPr>
          <w:i/>
        </w:rPr>
        <w:t>See In the Matter of the Petition of Verizon Northwest, Inc.,</w:t>
      </w:r>
      <w:r w:rsidRPr="00641CC2">
        <w:t xml:space="preserve"> Ninth Supplemental Order, Docket No. UT-</w:t>
      </w:r>
      <w:r>
        <w:t>0</w:t>
      </w:r>
      <w:r w:rsidRPr="00641CC2">
        <w:t>11439</w:t>
      </w:r>
      <w:r>
        <w:rPr>
          <w:rStyle w:val="FootnoteReference"/>
        </w:rPr>
        <w:footnoteReference w:id="7"/>
      </w:r>
      <w:r w:rsidRPr="00641CC2">
        <w:t xml:space="preserve"> (Nov. 1, 2002)</w:t>
      </w:r>
      <w:r>
        <w:t>(“</w:t>
      </w:r>
      <w:r w:rsidRPr="00641CC2">
        <w:rPr>
          <w:i/>
        </w:rPr>
        <w:t>Verizon</w:t>
      </w:r>
      <w:r>
        <w:t>”)</w:t>
      </w:r>
      <w:r w:rsidRPr="00641CC2">
        <w:t>.</w:t>
      </w:r>
      <w:r>
        <w:t xml:space="preserve">  But the </w:t>
      </w:r>
      <w:r w:rsidRPr="00765F78">
        <w:rPr>
          <w:i/>
        </w:rPr>
        <w:t>Verizon</w:t>
      </w:r>
      <w:r>
        <w:t xml:space="preserve"> case struck Staff reply testimony because it addressed Verizon</w:t>
      </w:r>
      <w:r w:rsidR="00AA41A8">
        <w:t>’s</w:t>
      </w:r>
      <w:r w:rsidR="00760CF2">
        <w:t xml:space="preserve"> case</w:t>
      </w:r>
      <w:r>
        <w:t>, when an explicit order that allowed for the Staff reply expressly limited that particular reply round to a discussion of Qwest’s case, not Verizon’s.  It had nothing to do with whether or not the reply was or was not responsive to Verizon, and therefore is not material to the instant motion.</w:t>
      </w:r>
    </w:p>
    <w:p w14:paraId="40D24829" w14:textId="77777777" w:rsidR="004D28A3" w:rsidRDefault="004D28A3" w:rsidP="004D28A3">
      <w:pPr>
        <w:pStyle w:val="ListParagraph"/>
        <w:numPr>
          <w:ilvl w:val="0"/>
          <w:numId w:val="6"/>
        </w:numPr>
        <w:spacing w:line="480" w:lineRule="auto"/>
        <w:ind w:left="360" w:hanging="720"/>
      </w:pPr>
      <w:r>
        <w:t xml:space="preserve">Even in criminal jury cases, courts in this state are allowed great latitude to admit rebuttal or surrebuttal testimony that raises new facts.  </w:t>
      </w:r>
      <w:r w:rsidRPr="00765F78">
        <w:rPr>
          <w:i/>
        </w:rPr>
        <w:t>See, e.g., State v. White,</w:t>
      </w:r>
      <w:r w:rsidRPr="00765F78">
        <w:t xml:space="preserve"> 74 Wash. 2d 386, 394–95, 444 P.2d 661, 667 (1968)</w:t>
      </w:r>
      <w:r>
        <w:t xml:space="preserve">.  This is true even when the rebuttal overlaps with the direct testimony.  </w:t>
      </w:r>
      <w:r w:rsidRPr="00765F78">
        <w:rPr>
          <w:i/>
        </w:rPr>
        <w:t>See, id.</w:t>
      </w:r>
      <w:r>
        <w:t xml:space="preserve">  As the court noted in </w:t>
      </w:r>
      <w:r w:rsidRPr="00765F78">
        <w:rPr>
          <w:i/>
        </w:rPr>
        <w:t>State v. DuPont</w:t>
      </w:r>
      <w:r w:rsidRPr="00765F78">
        <w:t>, 14 Wash. App. 22, 24, 538 P.2d 823, 825 (1975)</w:t>
      </w:r>
      <w:r>
        <w:t>:  “</w:t>
      </w:r>
      <w:r w:rsidRPr="00765F78">
        <w:t>Testimony which contradicts substantive testimony of opponent's witness is a proper impeachment tool.</w:t>
      </w:r>
      <w:r>
        <w:t xml:space="preserve">  [Citation omitted]. </w:t>
      </w:r>
      <w:r w:rsidRPr="00765F78">
        <w:t xml:space="preserve"> Impea</w:t>
      </w:r>
      <w:r>
        <w:t xml:space="preserve">chment is proper on surrebuttal….”  </w:t>
      </w:r>
    </w:p>
    <w:p w14:paraId="5E271EA4" w14:textId="77777777" w:rsidR="004D28A3" w:rsidRDefault="004D28A3" w:rsidP="004D28A3">
      <w:pPr>
        <w:pStyle w:val="ListParagraph"/>
        <w:numPr>
          <w:ilvl w:val="0"/>
          <w:numId w:val="6"/>
        </w:numPr>
        <w:spacing w:line="480" w:lineRule="auto"/>
        <w:ind w:left="360" w:hanging="720"/>
      </w:pPr>
      <w:r>
        <w:t xml:space="preserve">The testimony of Mr. Roemer may only be an inch deep, but it is a mile wide.  Fairness and due process dictates that </w:t>
      </w:r>
      <w:r w:rsidR="00FB34D0">
        <w:t xml:space="preserve">Shuttle Express </w:t>
      </w:r>
      <w:r>
        <w:t xml:space="preserve">be permitted to rebut </w:t>
      </w:r>
      <w:r w:rsidR="00FB34D0">
        <w:t xml:space="preserve">his </w:t>
      </w:r>
      <w:r>
        <w:t xml:space="preserve">conclusory assertions, innuendos, and false statements with the kind of probative facts that </w:t>
      </w:r>
      <w:r w:rsidR="00FB34D0">
        <w:t xml:space="preserve">Shuttle Express </w:t>
      </w:r>
      <w:r>
        <w:t>offers:</w:t>
      </w:r>
    </w:p>
    <w:p w14:paraId="1DCF59F0" w14:textId="77777777" w:rsidR="004D28A3" w:rsidRDefault="004D28A3" w:rsidP="004D28A3">
      <w:pPr>
        <w:pStyle w:val="ListParagraph"/>
        <w:ind w:left="1170" w:right="720"/>
      </w:pPr>
      <w:r>
        <w:t xml:space="preserve">It would be a curious rule of evidence which allowed one party to bring up a subject, drop it at a point where it might appear advantageous to him, and then bar the other party from all further inquiries about it. Rules of evidence are designed to aid in establishing the truth. </w:t>
      </w:r>
      <w:r w:rsidRPr="00190C7A">
        <w:rPr>
          <w:u w:val="single"/>
        </w:rPr>
        <w:t xml:space="preserve">To close the door after receiving </w:t>
      </w:r>
      <w:r w:rsidRPr="00190C7A">
        <w:rPr>
          <w:u w:val="single"/>
        </w:rPr>
        <w:lastRenderedPageBreak/>
        <w:t>only a part of the evidence not only leaves the matter suspended in air at a point markedly advantageous to the party who opened the door, but might well limit the proof to half-truths</w:t>
      </w:r>
      <w:r>
        <w:t>. Thus, it is a sound general rule that, when a party opens up a subject of inquiry on direct or cross-examination, he contemplates that the rules will permit cross-examination or redirect examination, as the case may be, within the scope of the examination in which the subject matter was first introduced.</w:t>
      </w:r>
    </w:p>
    <w:p w14:paraId="36BA164B" w14:textId="77777777" w:rsidR="004D28A3" w:rsidRDefault="004D28A3" w:rsidP="004D28A3">
      <w:pPr>
        <w:pStyle w:val="ListParagraph"/>
        <w:ind w:left="360" w:hanging="720"/>
      </w:pPr>
    </w:p>
    <w:p w14:paraId="1BF60760" w14:textId="77777777" w:rsidR="004D28A3" w:rsidRDefault="004D28A3" w:rsidP="004D28A3">
      <w:pPr>
        <w:pStyle w:val="ListParagraph"/>
        <w:spacing w:line="480" w:lineRule="auto"/>
        <w:ind w:left="360"/>
      </w:pPr>
      <w:r w:rsidRPr="00E874B1">
        <w:rPr>
          <w:i/>
        </w:rPr>
        <w:t>State v. Gefeller,</w:t>
      </w:r>
      <w:r>
        <w:t xml:space="preserve"> 76 Wash. 2d 449, 455, 458 P.2d 17, 20 (1969)</w:t>
      </w:r>
      <w:r w:rsidR="00190C7A">
        <w:t xml:space="preserve"> (emphasis added)</w:t>
      </w:r>
      <w:r>
        <w:t xml:space="preserve">.  Were this a criminal trial in front of a jury, the tribunal might need to balance the need </w:t>
      </w:r>
      <w:r w:rsidR="0071001F">
        <w:t xml:space="preserve">to </w:t>
      </w:r>
      <w:r>
        <w:t>“establish the truth” against undue prejudice to the defendant.  But in a case before an expert body, exclusion of evidence merely to “enhance efficiency at the hearing” merely risks interjecting error into the proceeding</w:t>
      </w:r>
      <w:r w:rsidR="00190C7A">
        <w:t>, not to mention reaching a result that fails to protect the public interest</w:t>
      </w:r>
      <w:r>
        <w:t>.</w:t>
      </w:r>
      <w:r w:rsidR="00AA41A8">
        <w:t xml:space="preserve">  The Commission should err on the side of inclusion, not exclusion.</w:t>
      </w:r>
    </w:p>
    <w:p w14:paraId="4885B655" w14:textId="77777777" w:rsidR="004D28A3" w:rsidRPr="00B100F6" w:rsidRDefault="004D28A3" w:rsidP="004D28A3">
      <w:pPr>
        <w:pStyle w:val="ListParagraph"/>
        <w:numPr>
          <w:ilvl w:val="0"/>
          <w:numId w:val="6"/>
        </w:numPr>
        <w:spacing w:line="480" w:lineRule="auto"/>
        <w:ind w:left="360" w:hanging="720"/>
      </w:pPr>
      <w:r>
        <w:t xml:space="preserve">Regardless of exactly where the Commission draws the line, it is clear that all of the testimony </w:t>
      </w:r>
      <w:r w:rsidR="0071001F">
        <w:t xml:space="preserve">SpeediShuttle </w:t>
      </w:r>
      <w:r>
        <w:t xml:space="preserve">seeks to strike is not only relevant—in the sense that it is within the scope of the issues as established in prior orders—it is also directly or indirectly responsive to Mr. Roemer’s March </w:t>
      </w:r>
      <w:r w:rsidR="0071001F">
        <w:t xml:space="preserve">17 </w:t>
      </w:r>
      <w:r>
        <w:t xml:space="preserve">testimony.  </w:t>
      </w:r>
      <w:bookmarkStart w:id="1" w:name="_Hlk481402071"/>
      <w:r>
        <w:t>Belo</w:t>
      </w:r>
      <w:bookmarkEnd w:id="1"/>
      <w:r>
        <w:t>w are summary tables that tie the Shuttle Express rebuttal testimony to the Roemer response testimony at a high level, with examples.</w:t>
      </w:r>
      <w:r>
        <w:rPr>
          <w:rStyle w:val="FootnoteReference"/>
        </w:rPr>
        <w:footnoteReference w:id="8"/>
      </w:r>
      <w:r>
        <w:t xml:space="preserve">  The examples should not be view as the totality of what the rebuttal responds to.  The Commission should look at the totality of Mr. Roemer’s testimony, including any inferences that could be argued from it on post-hearing brief.  In so doing, it should be clear that all of the Shuttle Express testimony is relevant not just to the case, but also </w:t>
      </w:r>
      <w:r w:rsidR="0071001F">
        <w:t xml:space="preserve">to </w:t>
      </w:r>
      <w:r>
        <w:t>SpeediShuttle’s proffered testimony.</w:t>
      </w:r>
      <w:r w:rsidRPr="004D28A3">
        <w:rPr>
          <w:b/>
          <w:u w:val="single"/>
        </w:rPr>
        <w:t xml:space="preserve"> </w:t>
      </w:r>
    </w:p>
    <w:p w14:paraId="30097FED" w14:textId="77777777" w:rsidR="002F1AE5" w:rsidRDefault="004D28A3" w:rsidP="00AA41A8">
      <w:pPr>
        <w:pStyle w:val="ListParagraph"/>
        <w:keepNext/>
        <w:numPr>
          <w:ilvl w:val="0"/>
          <w:numId w:val="14"/>
        </w:numPr>
        <w:ind w:hanging="720"/>
        <w:rPr>
          <w:b/>
        </w:rPr>
      </w:pPr>
      <w:r>
        <w:rPr>
          <w:b/>
        </w:rPr>
        <w:lastRenderedPageBreak/>
        <w:t>Paul Kajanoff</w:t>
      </w:r>
    </w:p>
    <w:p w14:paraId="777D6B21" w14:textId="77777777" w:rsidR="002F1AE5" w:rsidRPr="002F1AE5" w:rsidRDefault="002F1AE5" w:rsidP="00AA41A8">
      <w:pPr>
        <w:pStyle w:val="ListParagraph"/>
        <w:keepNext/>
        <w:ind w:left="1800"/>
        <w:rPr>
          <w:b/>
        </w:rPr>
      </w:pPr>
    </w:p>
    <w:p w14:paraId="2183CE7F" w14:textId="77777777" w:rsidR="00487698" w:rsidRDefault="00487698" w:rsidP="00AA41A8">
      <w:pPr>
        <w:pStyle w:val="ListParagraph"/>
        <w:keepNext/>
        <w:numPr>
          <w:ilvl w:val="0"/>
          <w:numId w:val="6"/>
        </w:numPr>
        <w:ind w:left="360" w:hanging="720"/>
      </w:pPr>
    </w:p>
    <w:p w14:paraId="58959B34" w14:textId="77777777" w:rsidR="00487698" w:rsidRPr="00487698" w:rsidRDefault="00487698" w:rsidP="00612316">
      <w:pPr>
        <w:pStyle w:val="ListParagraph"/>
      </w:pPr>
    </w:p>
    <w:tbl>
      <w:tblPr>
        <w:tblStyle w:val="TableGrid1"/>
        <w:tblW w:w="9558" w:type="dxa"/>
        <w:tblInd w:w="-108" w:type="dxa"/>
        <w:shd w:val="clear" w:color="auto" w:fill="FFFFFF" w:themeFill="background1"/>
        <w:tblLook w:val="04A0" w:firstRow="1" w:lastRow="0" w:firstColumn="1" w:lastColumn="0" w:noHBand="0" w:noVBand="1"/>
      </w:tblPr>
      <w:tblGrid>
        <w:gridCol w:w="3116"/>
        <w:gridCol w:w="6442"/>
      </w:tblGrid>
      <w:tr w:rsidR="00DC4C2D" w:rsidRPr="00E40CB1" w14:paraId="466A8E78" w14:textId="77777777" w:rsidTr="00AA41A8">
        <w:trPr>
          <w:cantSplit/>
        </w:trPr>
        <w:tc>
          <w:tcPr>
            <w:tcW w:w="3073" w:type="dxa"/>
            <w:shd w:val="clear" w:color="auto" w:fill="FFFFFF" w:themeFill="background1"/>
          </w:tcPr>
          <w:p w14:paraId="7E6FF526" w14:textId="77777777" w:rsidR="00DC4C2D" w:rsidRDefault="00DC4C2D" w:rsidP="00612316">
            <w:pPr>
              <w:pStyle w:val="ListParagraph"/>
              <w:ind w:left="72"/>
              <w:rPr>
                <w:b/>
              </w:rPr>
            </w:pPr>
            <w:r>
              <w:rPr>
                <w:b/>
              </w:rPr>
              <w:t xml:space="preserve">SpeediShuttle objections </w:t>
            </w:r>
            <w:r w:rsidR="005A7740">
              <w:rPr>
                <w:b/>
              </w:rPr>
              <w:t xml:space="preserve">to testimony on the basis of </w:t>
            </w:r>
            <w:r w:rsidRPr="004D28A3">
              <w:rPr>
                <w:b/>
                <w:u w:val="single"/>
              </w:rPr>
              <w:t>sustainability</w:t>
            </w:r>
          </w:p>
          <w:p w14:paraId="281CBC26" w14:textId="77777777" w:rsidR="00DC4C2D" w:rsidRPr="00DC4C2D" w:rsidRDefault="00DC4C2D" w:rsidP="00612316">
            <w:pPr>
              <w:pStyle w:val="ListParagraph"/>
              <w:ind w:left="72"/>
            </w:pPr>
          </w:p>
          <w:p w14:paraId="716AD5B1" w14:textId="77777777" w:rsidR="00DC4C2D" w:rsidRDefault="00DC4C2D" w:rsidP="00612316">
            <w:pPr>
              <w:pStyle w:val="ListParagraph"/>
              <w:ind w:left="72"/>
              <w:rPr>
                <w:b/>
              </w:rPr>
            </w:pPr>
            <w:r w:rsidRPr="00E40CB1">
              <w:t>2: 15-18</w:t>
            </w:r>
          </w:p>
          <w:p w14:paraId="2A94E9FA" w14:textId="77777777" w:rsidR="00DC4C2D" w:rsidRDefault="00DC4C2D" w:rsidP="00612316">
            <w:pPr>
              <w:pStyle w:val="ListParagraph"/>
              <w:ind w:left="72"/>
              <w:rPr>
                <w:b/>
              </w:rPr>
            </w:pPr>
            <w:r w:rsidRPr="00E40CB1">
              <w:t>3: 1-2</w:t>
            </w:r>
          </w:p>
          <w:p w14:paraId="2DE0ED45" w14:textId="77777777" w:rsidR="00DC4C2D" w:rsidRDefault="00DC4C2D" w:rsidP="00612316">
            <w:pPr>
              <w:pStyle w:val="ListParagraph"/>
              <w:ind w:left="72"/>
              <w:rPr>
                <w:b/>
              </w:rPr>
            </w:pPr>
            <w:r w:rsidRPr="00E40CB1">
              <w:t>3: 3-7</w:t>
            </w:r>
          </w:p>
          <w:p w14:paraId="28FB348D" w14:textId="77777777" w:rsidR="00DC4C2D" w:rsidRDefault="00DC4C2D" w:rsidP="00612316">
            <w:pPr>
              <w:pStyle w:val="ListParagraph"/>
              <w:ind w:left="72"/>
            </w:pPr>
            <w:r w:rsidRPr="00E40CB1">
              <w:t>3: 10 – 5: 8</w:t>
            </w:r>
          </w:p>
          <w:p w14:paraId="481BDFD0" w14:textId="77777777" w:rsidR="00DC4C2D" w:rsidRDefault="00DC4C2D" w:rsidP="00612316">
            <w:pPr>
              <w:pStyle w:val="ListParagraph"/>
              <w:ind w:left="72"/>
            </w:pPr>
            <w:r w:rsidRPr="00E40CB1">
              <w:t>5: 15-16</w:t>
            </w:r>
          </w:p>
          <w:p w14:paraId="7065F930" w14:textId="77777777" w:rsidR="00DC4C2D" w:rsidRDefault="00DC4C2D" w:rsidP="00612316">
            <w:pPr>
              <w:pStyle w:val="ListParagraph"/>
              <w:ind w:left="72"/>
            </w:pPr>
            <w:r w:rsidRPr="00E40CB1">
              <w:t>8: 11 – 9: 4</w:t>
            </w:r>
          </w:p>
          <w:p w14:paraId="1315A359" w14:textId="77777777" w:rsidR="00DC4C2D" w:rsidRPr="00487698" w:rsidRDefault="00DC4C2D" w:rsidP="00612316">
            <w:pPr>
              <w:pStyle w:val="ListParagraph"/>
              <w:ind w:left="72"/>
            </w:pPr>
            <w:r w:rsidRPr="00487698">
              <w:t>9: 5-15</w:t>
            </w:r>
          </w:p>
          <w:p w14:paraId="40283904" w14:textId="77777777" w:rsidR="00DC4C2D" w:rsidRDefault="00DC4C2D" w:rsidP="00612316">
            <w:pPr>
              <w:pStyle w:val="ListParagraph"/>
              <w:ind w:left="72"/>
            </w:pPr>
            <w:r w:rsidRPr="00E40CB1">
              <w:t>10: 8 - 13: 9</w:t>
            </w:r>
          </w:p>
          <w:p w14:paraId="62202452" w14:textId="77777777" w:rsidR="00DC4C2D" w:rsidRDefault="00DC4C2D" w:rsidP="00612316">
            <w:pPr>
              <w:pStyle w:val="ListParagraph"/>
              <w:ind w:left="72"/>
            </w:pPr>
            <w:r w:rsidRPr="00E40CB1">
              <w:t>14: 8 – 15: 7</w:t>
            </w:r>
          </w:p>
          <w:p w14:paraId="061E3DC7" w14:textId="77777777" w:rsidR="00DC4C2D" w:rsidRDefault="00DC4C2D" w:rsidP="00612316">
            <w:pPr>
              <w:pStyle w:val="ListParagraph"/>
              <w:ind w:left="72"/>
            </w:pPr>
            <w:r w:rsidRPr="00E40CB1">
              <w:t>18: 11-22</w:t>
            </w:r>
          </w:p>
          <w:p w14:paraId="5134A28E" w14:textId="77777777" w:rsidR="00DC4C2D" w:rsidRPr="008500E8" w:rsidRDefault="00DC4C2D" w:rsidP="00612316">
            <w:pPr>
              <w:pStyle w:val="ListParagraph"/>
              <w:ind w:left="72"/>
            </w:pPr>
          </w:p>
          <w:p w14:paraId="6B4D0251" w14:textId="77777777" w:rsidR="00DC4C2D" w:rsidRPr="00E40CB1" w:rsidRDefault="00DC4C2D" w:rsidP="00612316">
            <w:pPr>
              <w:pStyle w:val="ListParagraph"/>
              <w:ind w:left="72"/>
              <w:rPr>
                <w:b/>
              </w:rPr>
            </w:pPr>
          </w:p>
        </w:tc>
        <w:tc>
          <w:tcPr>
            <w:tcW w:w="6485" w:type="dxa"/>
            <w:shd w:val="clear" w:color="auto" w:fill="FFFFFF" w:themeFill="background1"/>
          </w:tcPr>
          <w:p w14:paraId="045ECA60" w14:textId="77777777" w:rsidR="00F2146B" w:rsidRDefault="00F2146B" w:rsidP="00612316">
            <w:pPr>
              <w:autoSpaceDE w:val="0"/>
              <w:autoSpaceDN w:val="0"/>
              <w:adjustRightInd w:val="0"/>
              <w:spacing w:before="0" w:beforeAutospacing="0" w:after="0" w:afterAutospacing="0" w:line="240" w:lineRule="auto"/>
              <w:contextualSpacing/>
              <w:rPr>
                <w:b/>
              </w:rPr>
            </w:pPr>
            <w:r>
              <w:rPr>
                <w:b/>
              </w:rPr>
              <w:t>SpeediShuttle (Second Revised) Testimony of H. Jack Roemer</w:t>
            </w:r>
          </w:p>
          <w:p w14:paraId="43867C8C" w14:textId="77777777" w:rsidR="003218F9" w:rsidRDefault="003218F9" w:rsidP="00612316">
            <w:pPr>
              <w:autoSpaceDE w:val="0"/>
              <w:autoSpaceDN w:val="0"/>
              <w:adjustRightInd w:val="0"/>
              <w:spacing w:before="0" w:beforeAutospacing="0" w:after="0" w:afterAutospacing="0" w:line="240" w:lineRule="auto"/>
              <w:contextualSpacing/>
            </w:pPr>
          </w:p>
          <w:p w14:paraId="1964DF21" w14:textId="77777777" w:rsidR="00DC4C2D" w:rsidRDefault="00DC4C2D" w:rsidP="00612316">
            <w:pPr>
              <w:autoSpaceDE w:val="0"/>
              <w:autoSpaceDN w:val="0"/>
              <w:adjustRightInd w:val="0"/>
              <w:spacing w:before="0" w:beforeAutospacing="0" w:after="0" w:afterAutospacing="0" w:line="240" w:lineRule="auto"/>
              <w:contextualSpacing/>
              <w:rPr>
                <w:szCs w:val="24"/>
              </w:rPr>
            </w:pPr>
            <w:r w:rsidRPr="00C02505">
              <w:t>4:1-3</w:t>
            </w:r>
            <w:r>
              <w:t>, “</w:t>
            </w:r>
            <w:r>
              <w:rPr>
                <w:szCs w:val="24"/>
              </w:rPr>
              <w:t>Yes, I have a number of opinions which relate to Shuttle Express’ complaint against</w:t>
            </w:r>
            <w:r w:rsidR="00E85927">
              <w:rPr>
                <w:szCs w:val="24"/>
              </w:rPr>
              <w:t xml:space="preserve"> </w:t>
            </w:r>
            <w:r>
              <w:rPr>
                <w:szCs w:val="24"/>
              </w:rPr>
              <w:t xml:space="preserve">Speedishuttle as well as Shuttle Express’ claims about the </w:t>
            </w:r>
            <w:r w:rsidRPr="004D28A3">
              <w:rPr>
                <w:szCs w:val="24"/>
                <w:u w:val="single"/>
              </w:rPr>
              <w:t>sustainability of service</w:t>
            </w:r>
            <w:r>
              <w:rPr>
                <w:szCs w:val="24"/>
              </w:rPr>
              <w:t xml:space="preserve"> which I intend to offer.”</w:t>
            </w:r>
          </w:p>
          <w:p w14:paraId="4DD0A76A" w14:textId="77777777" w:rsidR="00DC4C2D" w:rsidRDefault="00DC4C2D" w:rsidP="00612316">
            <w:pPr>
              <w:pStyle w:val="ListParagraph"/>
              <w:ind w:left="72"/>
              <w:rPr>
                <w:szCs w:val="24"/>
              </w:rPr>
            </w:pPr>
          </w:p>
          <w:p w14:paraId="58B370B6" w14:textId="77777777" w:rsidR="00DC4C2D" w:rsidRDefault="00DC4C2D" w:rsidP="00612316">
            <w:pPr>
              <w:pStyle w:val="ListParagraph"/>
              <w:ind w:left="72"/>
              <w:rPr>
                <w:szCs w:val="24"/>
              </w:rPr>
            </w:pPr>
            <w:r>
              <w:rPr>
                <w:szCs w:val="24"/>
              </w:rPr>
              <w:t>44:4-45:13</w:t>
            </w:r>
            <w:r w:rsidR="00D51034">
              <w:rPr>
                <w:szCs w:val="24"/>
              </w:rPr>
              <w:t xml:space="preserve">, </w:t>
            </w:r>
            <w:r>
              <w:rPr>
                <w:szCs w:val="24"/>
              </w:rPr>
              <w:t>“‘</w:t>
            </w:r>
            <w:r w:rsidRPr="00C02505">
              <w:rPr>
                <w:szCs w:val="24"/>
              </w:rPr>
              <w:t>Do you have any comments on Mr. Wood’s testimony that “the final result could</w:t>
            </w:r>
            <w:r w:rsidR="00E85927">
              <w:rPr>
                <w:szCs w:val="24"/>
              </w:rPr>
              <w:t xml:space="preserve"> </w:t>
            </w:r>
            <w:r w:rsidRPr="00C02505">
              <w:rPr>
                <w:szCs w:val="24"/>
              </w:rPr>
              <w:t xml:space="preserve">be the financial weakening of both providers to the point that </w:t>
            </w:r>
            <w:r w:rsidRPr="004D28A3">
              <w:rPr>
                <w:szCs w:val="24"/>
                <w:u w:val="single"/>
              </w:rPr>
              <w:t>neither can sustain its operations</w:t>
            </w:r>
            <w:r>
              <w:rPr>
                <w:szCs w:val="24"/>
              </w:rPr>
              <w:t xml:space="preserve"> and must exit the market’?”</w:t>
            </w:r>
          </w:p>
          <w:p w14:paraId="76F7E2D6" w14:textId="77777777" w:rsidR="00DC4C2D" w:rsidRDefault="00DC4C2D" w:rsidP="00612316">
            <w:pPr>
              <w:pStyle w:val="ListParagraph"/>
              <w:ind w:left="72"/>
              <w:rPr>
                <w:szCs w:val="24"/>
              </w:rPr>
            </w:pPr>
          </w:p>
          <w:p w14:paraId="1EC61B17" w14:textId="77777777" w:rsidR="00DC4C2D" w:rsidRDefault="00DC4C2D" w:rsidP="00612316">
            <w:pPr>
              <w:autoSpaceDE w:val="0"/>
              <w:autoSpaceDN w:val="0"/>
              <w:adjustRightInd w:val="0"/>
              <w:spacing w:before="0" w:beforeAutospacing="0" w:after="0" w:afterAutospacing="0" w:line="240" w:lineRule="auto"/>
              <w:contextualSpacing/>
              <w:rPr>
                <w:bCs/>
                <w:szCs w:val="24"/>
              </w:rPr>
            </w:pPr>
            <w:r>
              <w:rPr>
                <w:szCs w:val="24"/>
              </w:rPr>
              <w:t>45:14-48:8, “</w:t>
            </w:r>
            <w:r w:rsidRPr="00C02505">
              <w:rPr>
                <w:bCs/>
                <w:szCs w:val="24"/>
              </w:rPr>
              <w:t xml:space="preserve">Is this argument on </w:t>
            </w:r>
            <w:r w:rsidRPr="004D28A3">
              <w:rPr>
                <w:bCs/>
                <w:szCs w:val="24"/>
                <w:u w:val="single"/>
              </w:rPr>
              <w:t>sustainability a new</w:t>
            </w:r>
            <w:r w:rsidRPr="00C02505">
              <w:rPr>
                <w:bCs/>
                <w:szCs w:val="24"/>
              </w:rPr>
              <w:t xml:space="preserve"> issue raised to the Commission for the</w:t>
            </w:r>
            <w:r>
              <w:rPr>
                <w:bCs/>
                <w:szCs w:val="24"/>
              </w:rPr>
              <w:t xml:space="preserve"> </w:t>
            </w:r>
            <w:r w:rsidRPr="00C02505">
              <w:rPr>
                <w:bCs/>
                <w:szCs w:val="24"/>
              </w:rPr>
              <w:t>first time in this rehearing?</w:t>
            </w:r>
            <w:r>
              <w:rPr>
                <w:bCs/>
                <w:szCs w:val="24"/>
              </w:rPr>
              <w:t>”</w:t>
            </w:r>
          </w:p>
          <w:p w14:paraId="3109F1D6" w14:textId="77777777" w:rsidR="00DC4C2D" w:rsidRDefault="00DC4C2D" w:rsidP="00612316">
            <w:pPr>
              <w:autoSpaceDE w:val="0"/>
              <w:autoSpaceDN w:val="0"/>
              <w:adjustRightInd w:val="0"/>
              <w:spacing w:before="0" w:beforeAutospacing="0" w:after="0" w:afterAutospacing="0" w:line="240" w:lineRule="auto"/>
              <w:contextualSpacing/>
              <w:rPr>
                <w:szCs w:val="24"/>
              </w:rPr>
            </w:pPr>
            <w:r>
              <w:rPr>
                <w:bCs/>
                <w:szCs w:val="24"/>
              </w:rPr>
              <w:t>“</w:t>
            </w:r>
            <w:r>
              <w:rPr>
                <w:szCs w:val="24"/>
              </w:rPr>
              <w:t>If Mr. Wood is suggesting that the Commission must carve up the market based upon unique market niches</w:t>
            </w:r>
            <w:r w:rsidR="00D51034">
              <w:rPr>
                <w:szCs w:val="24"/>
              </w:rPr>
              <w:t>…</w:t>
            </w:r>
            <w:r>
              <w:rPr>
                <w:szCs w:val="24"/>
              </w:rPr>
              <w:t>”</w:t>
            </w:r>
          </w:p>
          <w:p w14:paraId="658F6639" w14:textId="77777777" w:rsidR="001E60E1" w:rsidRDefault="001E60E1" w:rsidP="00612316">
            <w:pPr>
              <w:autoSpaceDE w:val="0"/>
              <w:autoSpaceDN w:val="0"/>
              <w:adjustRightInd w:val="0"/>
              <w:spacing w:before="0" w:beforeAutospacing="0" w:after="0" w:afterAutospacing="0" w:line="240" w:lineRule="auto"/>
              <w:contextualSpacing/>
              <w:rPr>
                <w:szCs w:val="24"/>
              </w:rPr>
            </w:pPr>
          </w:p>
          <w:p w14:paraId="49517D7C" w14:textId="77777777" w:rsidR="00361E99" w:rsidRDefault="00361E99" w:rsidP="00361E99">
            <w:pPr>
              <w:autoSpaceDE w:val="0"/>
              <w:autoSpaceDN w:val="0"/>
              <w:adjustRightInd w:val="0"/>
              <w:spacing w:before="0" w:beforeAutospacing="0" w:after="0" w:afterAutospacing="0" w:line="240" w:lineRule="auto"/>
              <w:rPr>
                <w:szCs w:val="24"/>
              </w:rPr>
            </w:pPr>
            <w:r>
              <w:rPr>
                <w:szCs w:val="24"/>
              </w:rPr>
              <w:t>48:4-7, “Shuttle Express has failed to answer how these new providers, or other factors, could have impacted their passenger counts and therefore, even any accelerating decline in Shuttle Express’ passenger counts cannot be attributed to Speedishuttle…”</w:t>
            </w:r>
            <w:r w:rsidR="00352F7B">
              <w:rPr>
                <w:rStyle w:val="FootnoteReference"/>
                <w:szCs w:val="24"/>
              </w:rPr>
              <w:footnoteReference w:id="9"/>
            </w:r>
          </w:p>
          <w:p w14:paraId="1EF53CD6" w14:textId="77777777" w:rsidR="00361E99" w:rsidRDefault="00361E99" w:rsidP="00612316">
            <w:pPr>
              <w:autoSpaceDE w:val="0"/>
              <w:autoSpaceDN w:val="0"/>
              <w:adjustRightInd w:val="0"/>
              <w:spacing w:before="0" w:beforeAutospacing="0" w:after="0" w:afterAutospacing="0" w:line="240" w:lineRule="auto"/>
              <w:contextualSpacing/>
              <w:rPr>
                <w:szCs w:val="24"/>
              </w:rPr>
            </w:pPr>
          </w:p>
          <w:p w14:paraId="412B95F0" w14:textId="77777777" w:rsidR="001E60E1" w:rsidRPr="001E60E1" w:rsidRDefault="001E60E1" w:rsidP="001E60E1">
            <w:pPr>
              <w:autoSpaceDE w:val="0"/>
              <w:autoSpaceDN w:val="0"/>
              <w:adjustRightInd w:val="0"/>
              <w:spacing w:before="0" w:beforeAutospacing="0" w:after="0" w:afterAutospacing="0" w:line="240" w:lineRule="auto"/>
              <w:rPr>
                <w:szCs w:val="24"/>
              </w:rPr>
            </w:pPr>
            <w:r>
              <w:rPr>
                <w:szCs w:val="24"/>
              </w:rPr>
              <w:t xml:space="preserve">49:16-18, “They focus on us losing money, but don’t really </w:t>
            </w:r>
            <w:r w:rsidRPr="001E60E1">
              <w:rPr>
                <w:szCs w:val="24"/>
              </w:rPr>
              <w:t>explain it.</w:t>
            </w:r>
            <w:r>
              <w:rPr>
                <w:szCs w:val="24"/>
              </w:rPr>
              <w:t xml:space="preserve"> </w:t>
            </w:r>
            <w:r w:rsidRPr="001E60E1">
              <w:rPr>
                <w:bCs/>
                <w:szCs w:val="24"/>
              </w:rPr>
              <w:t>Q. Assuming they simply compared your total cost to your total revenue, would that</w:t>
            </w:r>
            <w:r>
              <w:rPr>
                <w:bCs/>
                <w:szCs w:val="24"/>
              </w:rPr>
              <w:t xml:space="preserve"> </w:t>
            </w:r>
            <w:r w:rsidRPr="001E60E1">
              <w:rPr>
                <w:bCs/>
                <w:szCs w:val="24"/>
              </w:rPr>
              <w:t>be a fair way of evaluating whether your fares were oppressive to Shuttle Express?”</w:t>
            </w:r>
            <w:r w:rsidR="00DE3BBD">
              <w:rPr>
                <w:rStyle w:val="FootnoteReference"/>
                <w:bCs/>
                <w:szCs w:val="24"/>
              </w:rPr>
              <w:footnoteReference w:id="10"/>
            </w:r>
          </w:p>
          <w:p w14:paraId="3F5BF8F4" w14:textId="77777777" w:rsidR="00DC4C2D" w:rsidRPr="00C02505" w:rsidRDefault="00DC4C2D" w:rsidP="00612316">
            <w:pPr>
              <w:pStyle w:val="ListParagraph"/>
              <w:ind w:left="72"/>
            </w:pPr>
          </w:p>
        </w:tc>
      </w:tr>
      <w:tr w:rsidR="00DC4C2D" w:rsidRPr="00E40CB1" w14:paraId="52B469B6" w14:textId="77777777" w:rsidTr="00AA41A8">
        <w:trPr>
          <w:cantSplit/>
        </w:trPr>
        <w:tc>
          <w:tcPr>
            <w:tcW w:w="3073" w:type="dxa"/>
            <w:shd w:val="clear" w:color="auto" w:fill="FFFFFF" w:themeFill="background1"/>
          </w:tcPr>
          <w:p w14:paraId="00E865AB" w14:textId="77777777" w:rsidR="00DC4C2D" w:rsidRPr="00BD337C" w:rsidRDefault="00DC4C2D" w:rsidP="00612316">
            <w:pPr>
              <w:pStyle w:val="ListParagraph"/>
              <w:ind w:left="72"/>
              <w:rPr>
                <w:b/>
              </w:rPr>
            </w:pPr>
            <w:r>
              <w:rPr>
                <w:b/>
              </w:rPr>
              <w:lastRenderedPageBreak/>
              <w:t>SpeediShuttle objections regarding relevance/not rebuttal</w:t>
            </w:r>
            <w:r w:rsidR="004D28A3">
              <w:rPr>
                <w:b/>
              </w:rPr>
              <w:t>—re public interest</w:t>
            </w:r>
            <w:r w:rsidR="006F0BB9">
              <w:rPr>
                <w:b/>
              </w:rPr>
              <w:t>, failure to serve outside urban cores,</w:t>
            </w:r>
            <w:r w:rsidR="004D28A3">
              <w:rPr>
                <w:b/>
              </w:rPr>
              <w:t xml:space="preserve"> and multi-lingual passengers</w:t>
            </w:r>
          </w:p>
          <w:p w14:paraId="6E90FCF4" w14:textId="77777777" w:rsidR="00DC4C2D" w:rsidRDefault="00DC4C2D" w:rsidP="00612316">
            <w:pPr>
              <w:pStyle w:val="ListParagraph"/>
              <w:ind w:left="72"/>
            </w:pPr>
          </w:p>
          <w:p w14:paraId="4B450072" w14:textId="77777777" w:rsidR="00DC4C2D" w:rsidRDefault="00DC4C2D" w:rsidP="00612316">
            <w:pPr>
              <w:pStyle w:val="ListParagraph"/>
              <w:ind w:left="72"/>
              <w:rPr>
                <w:b/>
              </w:rPr>
            </w:pPr>
            <w:r w:rsidRPr="00E40CB1">
              <w:t>6: 13 – 7: 10</w:t>
            </w:r>
            <w:r w:rsidR="00DE3BBD">
              <w:rPr>
                <w:rStyle w:val="FootnoteReference"/>
              </w:rPr>
              <w:footnoteReference w:id="11"/>
            </w:r>
            <w:r>
              <w:t xml:space="preserve"> </w:t>
            </w:r>
          </w:p>
          <w:p w14:paraId="720791FD" w14:textId="77777777" w:rsidR="00DC4C2D" w:rsidRDefault="00DC4C2D" w:rsidP="00612316">
            <w:pPr>
              <w:pStyle w:val="ListParagraph"/>
              <w:ind w:left="72"/>
            </w:pPr>
            <w:r w:rsidRPr="00E40CB1">
              <w:t>8: 11 – 9: 4</w:t>
            </w:r>
            <w:r>
              <w:t xml:space="preserve"> </w:t>
            </w:r>
          </w:p>
          <w:p w14:paraId="27788222" w14:textId="77777777" w:rsidR="00DC4C2D" w:rsidRDefault="00DC4C2D" w:rsidP="00612316">
            <w:pPr>
              <w:pStyle w:val="ListParagraph"/>
              <w:ind w:left="72"/>
              <w:rPr>
                <w:b/>
              </w:rPr>
            </w:pPr>
          </w:p>
        </w:tc>
        <w:tc>
          <w:tcPr>
            <w:tcW w:w="6485" w:type="dxa"/>
            <w:shd w:val="clear" w:color="auto" w:fill="FFFFFF" w:themeFill="background1"/>
          </w:tcPr>
          <w:p w14:paraId="5525297E" w14:textId="77777777" w:rsidR="00F2146B" w:rsidRDefault="00F2146B" w:rsidP="00612316">
            <w:pPr>
              <w:autoSpaceDE w:val="0"/>
              <w:autoSpaceDN w:val="0"/>
              <w:adjustRightInd w:val="0"/>
              <w:spacing w:before="0" w:beforeAutospacing="0" w:after="0" w:afterAutospacing="0" w:line="240" w:lineRule="auto"/>
              <w:contextualSpacing/>
            </w:pPr>
            <w:r>
              <w:rPr>
                <w:b/>
              </w:rPr>
              <w:t>SpeediShuttle (Second Revised) Testimony of H. Jack Roemer</w:t>
            </w:r>
          </w:p>
          <w:p w14:paraId="0DB5AA22" w14:textId="77777777" w:rsidR="006F0BB9" w:rsidRDefault="006F0BB9" w:rsidP="00612316">
            <w:pPr>
              <w:spacing w:before="0" w:beforeAutospacing="0" w:after="0" w:afterAutospacing="0" w:line="240" w:lineRule="auto"/>
              <w:contextualSpacing/>
              <w:rPr>
                <w:szCs w:val="24"/>
              </w:rPr>
            </w:pPr>
          </w:p>
          <w:p w14:paraId="0D4C8849" w14:textId="77777777" w:rsidR="00DC4C2D" w:rsidRPr="00396811" w:rsidRDefault="00DC4C2D" w:rsidP="00612316">
            <w:pPr>
              <w:spacing w:before="0" w:beforeAutospacing="0" w:after="0" w:afterAutospacing="0" w:line="240" w:lineRule="auto"/>
              <w:contextualSpacing/>
              <w:rPr>
                <w:szCs w:val="24"/>
              </w:rPr>
            </w:pPr>
            <w:r>
              <w:rPr>
                <w:szCs w:val="24"/>
              </w:rPr>
              <w:t>20:13 – 28:19 Multilingual Services, “</w:t>
            </w:r>
            <w:r w:rsidRPr="00396811">
              <w:rPr>
                <w:szCs w:val="24"/>
              </w:rPr>
              <w:t>Q. Did Speedishuttle follow through on what it represented it would do with respect</w:t>
            </w:r>
          </w:p>
          <w:p w14:paraId="4C151942" w14:textId="77777777" w:rsidR="00DC4C2D" w:rsidRPr="00396811" w:rsidRDefault="00DC4C2D" w:rsidP="00612316">
            <w:pPr>
              <w:spacing w:before="0" w:beforeAutospacing="0" w:after="0" w:afterAutospacing="0" w:line="240" w:lineRule="auto"/>
              <w:contextualSpacing/>
              <w:rPr>
                <w:szCs w:val="24"/>
              </w:rPr>
            </w:pPr>
            <w:r w:rsidRPr="00396811">
              <w:rPr>
                <w:szCs w:val="24"/>
              </w:rPr>
              <w:t>to multi-lingual services?</w:t>
            </w:r>
          </w:p>
          <w:p w14:paraId="6076D06B" w14:textId="77777777" w:rsidR="00DC4C2D" w:rsidRDefault="00DC4C2D" w:rsidP="00612316">
            <w:pPr>
              <w:spacing w:before="0" w:beforeAutospacing="0" w:after="0" w:afterAutospacing="0" w:line="240" w:lineRule="auto"/>
              <w:contextualSpacing/>
              <w:rPr>
                <w:szCs w:val="24"/>
              </w:rPr>
            </w:pPr>
            <w:r w:rsidRPr="00396811">
              <w:rPr>
                <w:szCs w:val="24"/>
              </w:rPr>
              <w:t>A. We did and are providing precisely what we said we would.</w:t>
            </w:r>
            <w:r>
              <w:rPr>
                <w:szCs w:val="24"/>
              </w:rPr>
              <w:t>”</w:t>
            </w:r>
          </w:p>
          <w:p w14:paraId="492671BC" w14:textId="77777777" w:rsidR="006F0BB9" w:rsidRDefault="006F0BB9" w:rsidP="006F0BB9">
            <w:pPr>
              <w:autoSpaceDE w:val="0"/>
              <w:autoSpaceDN w:val="0"/>
              <w:adjustRightInd w:val="0"/>
              <w:spacing w:before="0" w:beforeAutospacing="0" w:after="0" w:afterAutospacing="0" w:line="240" w:lineRule="auto"/>
              <w:contextualSpacing/>
            </w:pPr>
          </w:p>
          <w:p w14:paraId="62E62378" w14:textId="77777777" w:rsidR="006F0BB9" w:rsidRDefault="006F0BB9" w:rsidP="006F0BB9">
            <w:pPr>
              <w:autoSpaceDE w:val="0"/>
              <w:autoSpaceDN w:val="0"/>
              <w:adjustRightInd w:val="0"/>
              <w:spacing w:before="0" w:beforeAutospacing="0" w:after="0" w:afterAutospacing="0" w:line="240" w:lineRule="auto"/>
              <w:contextualSpacing/>
            </w:pPr>
            <w:r>
              <w:t>45:19-46:7, Q.</w:t>
            </w:r>
            <w:r>
              <w:tab/>
              <w:t>Is Speedishuttle doing anything to avoid serving segments of the market, as suggested by Mr. Wood (Exhibit No. ___(DJW-1T), page 30) and Mr.</w:t>
            </w:r>
            <w:r w:rsidR="00BA5F7B">
              <w:t xml:space="preserve"> Kajanoff?  A.  Absolutely not.</w:t>
            </w:r>
          </w:p>
          <w:p w14:paraId="31EB9B32" w14:textId="77777777" w:rsidR="00BA5F7B" w:rsidRDefault="00BA5F7B" w:rsidP="006F0BB9">
            <w:pPr>
              <w:autoSpaceDE w:val="0"/>
              <w:autoSpaceDN w:val="0"/>
              <w:adjustRightInd w:val="0"/>
              <w:spacing w:before="0" w:beforeAutospacing="0" w:after="0" w:afterAutospacing="0" w:line="240" w:lineRule="auto"/>
              <w:contextualSpacing/>
            </w:pPr>
          </w:p>
          <w:p w14:paraId="36AD9685" w14:textId="77777777" w:rsidR="006F0BB9" w:rsidRDefault="006F0BB9" w:rsidP="00AA41A8">
            <w:pPr>
              <w:autoSpaceDE w:val="0"/>
              <w:autoSpaceDN w:val="0"/>
              <w:adjustRightInd w:val="0"/>
              <w:spacing w:before="0" w:beforeAutospacing="0" w:after="0" w:afterAutospacing="0" w:line="240" w:lineRule="auto"/>
              <w:contextualSpacing/>
              <w:rPr>
                <w:szCs w:val="24"/>
              </w:rPr>
            </w:pPr>
            <w:r>
              <w:t>46:8-46:24, Features of SpeediShuttle, “</w:t>
            </w:r>
            <w:r>
              <w:rPr>
                <w:szCs w:val="24"/>
              </w:rPr>
              <w:t>Thus, I believe Mr. Wood’s conclusion is directly contrary to the</w:t>
            </w:r>
            <w:r w:rsidR="00E85927">
              <w:rPr>
                <w:szCs w:val="24"/>
              </w:rPr>
              <w:t xml:space="preserve"> </w:t>
            </w:r>
            <w:r>
              <w:rPr>
                <w:szCs w:val="24"/>
              </w:rPr>
              <w:t>public interest.”</w:t>
            </w:r>
          </w:p>
          <w:p w14:paraId="3C743F7D" w14:textId="77777777" w:rsidR="00DC4C2D" w:rsidRPr="00396811" w:rsidRDefault="00DC4C2D" w:rsidP="00612316">
            <w:pPr>
              <w:pStyle w:val="ListParagraph"/>
              <w:ind w:left="72"/>
            </w:pPr>
          </w:p>
        </w:tc>
      </w:tr>
      <w:tr w:rsidR="00DC4C2D" w:rsidRPr="00E40CB1" w14:paraId="29ED2EB2" w14:textId="77777777" w:rsidTr="00AA41A8">
        <w:trPr>
          <w:cantSplit/>
        </w:trPr>
        <w:tc>
          <w:tcPr>
            <w:tcW w:w="3073" w:type="dxa"/>
            <w:shd w:val="clear" w:color="auto" w:fill="FFFFFF" w:themeFill="background1"/>
          </w:tcPr>
          <w:p w14:paraId="6E485A02" w14:textId="77777777" w:rsidR="00DC4C2D" w:rsidRDefault="00DC4C2D" w:rsidP="00612316">
            <w:pPr>
              <w:pStyle w:val="ListParagraph"/>
              <w:ind w:left="72"/>
              <w:rPr>
                <w:b/>
              </w:rPr>
            </w:pPr>
            <w:r>
              <w:rPr>
                <w:b/>
              </w:rPr>
              <w:lastRenderedPageBreak/>
              <w:t xml:space="preserve">Objections regarding financial </w:t>
            </w:r>
            <w:r w:rsidR="004D28A3">
              <w:rPr>
                <w:b/>
              </w:rPr>
              <w:t>analysis/sustainability/fares</w:t>
            </w:r>
          </w:p>
          <w:p w14:paraId="68B1F855" w14:textId="77777777" w:rsidR="00DC4C2D" w:rsidRDefault="00DC4C2D" w:rsidP="00612316">
            <w:pPr>
              <w:pStyle w:val="ListParagraph"/>
              <w:ind w:left="72"/>
              <w:rPr>
                <w:b/>
              </w:rPr>
            </w:pPr>
          </w:p>
          <w:p w14:paraId="0E90CD97" w14:textId="77777777" w:rsidR="00DC4C2D" w:rsidRDefault="00DC4C2D" w:rsidP="00612316">
            <w:pPr>
              <w:pStyle w:val="ListParagraph"/>
              <w:ind w:left="72"/>
              <w:rPr>
                <w:b/>
              </w:rPr>
            </w:pPr>
            <w:r w:rsidRPr="00E40CB1">
              <w:t>14: 8 – 15: 7</w:t>
            </w:r>
            <w:r w:rsidR="006F0BB9">
              <w:rPr>
                <w:rStyle w:val="FootnoteReference"/>
              </w:rPr>
              <w:footnoteReference w:id="12"/>
            </w:r>
          </w:p>
          <w:p w14:paraId="0305FE4D" w14:textId="77777777" w:rsidR="00DC4C2D" w:rsidRDefault="00DC4C2D" w:rsidP="00612316">
            <w:pPr>
              <w:pStyle w:val="ListParagraph"/>
              <w:ind w:left="72"/>
              <w:rPr>
                <w:b/>
              </w:rPr>
            </w:pPr>
            <w:r w:rsidRPr="00E40CB1">
              <w:t>15: 8 – 16: 2</w:t>
            </w:r>
          </w:p>
          <w:p w14:paraId="17F978BD" w14:textId="77777777" w:rsidR="00DC4C2D" w:rsidRDefault="00DC4C2D">
            <w:pPr>
              <w:pStyle w:val="ListParagraph"/>
              <w:ind w:left="72"/>
              <w:rPr>
                <w:b/>
              </w:rPr>
            </w:pPr>
          </w:p>
        </w:tc>
        <w:tc>
          <w:tcPr>
            <w:tcW w:w="6485" w:type="dxa"/>
            <w:shd w:val="clear" w:color="auto" w:fill="FFFFFF" w:themeFill="background1"/>
          </w:tcPr>
          <w:p w14:paraId="589996F2" w14:textId="77777777" w:rsidR="003218F9" w:rsidRDefault="003218F9" w:rsidP="003218F9">
            <w:pPr>
              <w:autoSpaceDE w:val="0"/>
              <w:autoSpaceDN w:val="0"/>
              <w:adjustRightInd w:val="0"/>
              <w:spacing w:before="0" w:beforeAutospacing="0" w:after="0" w:afterAutospacing="0" w:line="240" w:lineRule="auto"/>
              <w:contextualSpacing/>
              <w:rPr>
                <w:b/>
              </w:rPr>
            </w:pPr>
            <w:r>
              <w:rPr>
                <w:b/>
              </w:rPr>
              <w:t>SpeediShuttle (Second Revised) Testimony of H. Jack Roemer</w:t>
            </w:r>
          </w:p>
          <w:p w14:paraId="174099CF" w14:textId="77777777" w:rsidR="00FB34D0" w:rsidRDefault="00FB34D0" w:rsidP="00612316">
            <w:pPr>
              <w:pStyle w:val="ListParagraph"/>
              <w:ind w:left="72"/>
            </w:pPr>
          </w:p>
          <w:p w14:paraId="24595026" w14:textId="77777777" w:rsidR="00FB34D0" w:rsidRDefault="00FB34D0" w:rsidP="00FB34D0">
            <w:pPr>
              <w:pStyle w:val="ListParagraph"/>
              <w:ind w:left="72"/>
            </w:pPr>
            <w:r>
              <w:t>50:23 – 51:4</w:t>
            </w:r>
            <w:r w:rsidR="00F666C6">
              <w:t>,</w:t>
            </w:r>
            <w:r>
              <w:t xml:space="preserve"> Did the demand for Speedishuttle service require that you acquire additional vehicles beyond the initially proposed five?</w:t>
            </w:r>
          </w:p>
          <w:p w14:paraId="11649341" w14:textId="77777777" w:rsidR="00FB34D0" w:rsidRDefault="00FB34D0" w:rsidP="00FB34D0">
            <w:pPr>
              <w:pStyle w:val="ListParagraph"/>
              <w:ind w:left="72"/>
            </w:pPr>
            <w:r>
              <w:t>A. By the time we commenced operations at SeaTac it was soon apparent to us more vehicles would be required.</w:t>
            </w:r>
          </w:p>
          <w:p w14:paraId="5A71E919" w14:textId="77777777" w:rsidR="00FB34D0" w:rsidRDefault="00FB34D0" w:rsidP="00FB34D0">
            <w:pPr>
              <w:pStyle w:val="ListParagraph"/>
              <w:ind w:left="72"/>
            </w:pPr>
            <w:r>
              <w:t>Q. Did that increase the total startup costs to Speedishuttle?</w:t>
            </w:r>
          </w:p>
          <w:p w14:paraId="5F083EAB" w14:textId="77777777" w:rsidR="00FB34D0" w:rsidRDefault="00FB34D0" w:rsidP="00FB34D0">
            <w:pPr>
              <w:pStyle w:val="ListParagraph"/>
              <w:ind w:left="72"/>
            </w:pPr>
            <w:r>
              <w:t>A. Yes, it did.</w:t>
            </w:r>
          </w:p>
          <w:p w14:paraId="5A59171D" w14:textId="77777777" w:rsidR="00FB34D0" w:rsidRDefault="00FB34D0" w:rsidP="00612316">
            <w:pPr>
              <w:pStyle w:val="ListParagraph"/>
              <w:ind w:left="72"/>
            </w:pPr>
          </w:p>
          <w:p w14:paraId="26D88A14" w14:textId="77777777" w:rsidR="00DC4C2D" w:rsidRDefault="00F666C6" w:rsidP="00F666C6">
            <w:pPr>
              <w:pStyle w:val="ListParagraph"/>
              <w:ind w:left="72"/>
            </w:pPr>
            <w:r>
              <w:t>52</w:t>
            </w:r>
            <w:r w:rsidR="00DC4C2D">
              <w:t>:</w:t>
            </w:r>
            <w:r>
              <w:t>3</w:t>
            </w:r>
            <w:r w:rsidR="00DC4C2D">
              <w:t xml:space="preserve"> – 52:</w:t>
            </w:r>
            <w:r>
              <w:t>7</w:t>
            </w:r>
            <w:r w:rsidR="00DC4C2D">
              <w:t>, “</w:t>
            </w:r>
            <w:r>
              <w:t xml:space="preserve">Q.  If you can’t raise prices, how do you become profitable?  A.  This is an issue of economies of scale.  In this industry, we have a certain number of vehicles capable of making a certain number of trips per day.  The goal is to have enough customers to fill those vans to the reasonable capacity as much of the time as possible.”  </w:t>
            </w:r>
          </w:p>
          <w:p w14:paraId="5C35F33C" w14:textId="77777777" w:rsidR="00DC4C2D" w:rsidRDefault="00DC4C2D" w:rsidP="00612316">
            <w:pPr>
              <w:pStyle w:val="ListParagraph"/>
              <w:ind w:left="72"/>
            </w:pPr>
          </w:p>
          <w:p w14:paraId="1CC13A10" w14:textId="77777777" w:rsidR="00DC4C2D" w:rsidRDefault="00DC4C2D" w:rsidP="00612316">
            <w:pPr>
              <w:pStyle w:val="ListParagraph"/>
              <w:ind w:left="72"/>
            </w:pPr>
            <w:r>
              <w:t>52:8 – 52:9 “If we lose customers, or during slow seasons, we might not want to operate at full capacity in order to trim expenses.”</w:t>
            </w:r>
          </w:p>
          <w:p w14:paraId="3BDD358E" w14:textId="77777777" w:rsidR="00DC4C2D" w:rsidRDefault="00DC4C2D" w:rsidP="00612316">
            <w:pPr>
              <w:pStyle w:val="ListParagraph"/>
              <w:ind w:left="72"/>
            </w:pPr>
          </w:p>
          <w:p w14:paraId="305C55D7" w14:textId="77777777" w:rsidR="00DC4C2D" w:rsidRDefault="00DC4C2D" w:rsidP="00612316">
            <w:pPr>
              <w:pStyle w:val="ListParagraph"/>
              <w:ind w:left="72"/>
            </w:pPr>
            <w:r>
              <w:t>52:10 – 52:12, “Has Speedishuttle increased its revenues to the point it can make a profit when</w:t>
            </w:r>
            <w:r w:rsidR="0071001F">
              <w:t xml:space="preserve"> </w:t>
            </w:r>
            <w:r>
              <w:t>comparing revenues to variable costs?</w:t>
            </w:r>
            <w:r w:rsidR="00F666C6">
              <w:t xml:space="preserve">  </w:t>
            </w:r>
            <w:r>
              <w:t>A. We have come very close.”</w:t>
            </w:r>
          </w:p>
          <w:p w14:paraId="6155D6FF" w14:textId="77777777" w:rsidR="00DC4C2D" w:rsidRDefault="00DC4C2D" w:rsidP="00612316">
            <w:pPr>
              <w:pStyle w:val="ListParagraph"/>
              <w:tabs>
                <w:tab w:val="left" w:pos="1695"/>
              </w:tabs>
              <w:ind w:left="72"/>
            </w:pPr>
          </w:p>
          <w:p w14:paraId="3525CFD3" w14:textId="77777777" w:rsidR="001E60E1" w:rsidRDefault="001E60E1" w:rsidP="00612316">
            <w:pPr>
              <w:pStyle w:val="ListParagraph"/>
              <w:tabs>
                <w:tab w:val="left" w:pos="1695"/>
              </w:tabs>
              <w:ind w:left="72"/>
            </w:pPr>
            <w:r>
              <w:t>54:1-55:18, “SpeediShuttle Financial Statement”</w:t>
            </w:r>
            <w:r w:rsidR="00116C72">
              <w:t xml:space="preserve"> section of testimony.</w:t>
            </w:r>
          </w:p>
          <w:p w14:paraId="06A2ADAB" w14:textId="77777777" w:rsidR="00DC4C2D" w:rsidRPr="00396811" w:rsidRDefault="00DC4C2D" w:rsidP="00612316">
            <w:pPr>
              <w:pStyle w:val="ListParagraph"/>
              <w:ind w:left="72"/>
            </w:pPr>
          </w:p>
        </w:tc>
      </w:tr>
      <w:tr w:rsidR="00DC4C2D" w:rsidRPr="00E40CB1" w14:paraId="181BF265" w14:textId="77777777" w:rsidTr="00AA41A8">
        <w:trPr>
          <w:cantSplit/>
        </w:trPr>
        <w:tc>
          <w:tcPr>
            <w:tcW w:w="3073" w:type="dxa"/>
            <w:shd w:val="clear" w:color="auto" w:fill="FFFFFF" w:themeFill="background1"/>
          </w:tcPr>
          <w:p w14:paraId="0B2537A3" w14:textId="77777777" w:rsidR="00DC4C2D" w:rsidRDefault="00DC4C2D" w:rsidP="00612316">
            <w:pPr>
              <w:pStyle w:val="ListParagraph"/>
              <w:ind w:left="72"/>
              <w:rPr>
                <w:b/>
              </w:rPr>
            </w:pPr>
            <w:r>
              <w:rPr>
                <w:b/>
              </w:rPr>
              <w:lastRenderedPageBreak/>
              <w:t>Objections regarding</w:t>
            </w:r>
            <w:r w:rsidR="00E87458">
              <w:rPr>
                <w:b/>
              </w:rPr>
              <w:t xml:space="preserve"> </w:t>
            </w:r>
          </w:p>
          <w:p w14:paraId="2DD41AF1" w14:textId="77777777" w:rsidR="00DC4C2D" w:rsidRDefault="00DC4C2D" w:rsidP="00612316">
            <w:pPr>
              <w:pStyle w:val="ListParagraph"/>
              <w:ind w:left="72"/>
              <w:rPr>
                <w:b/>
              </w:rPr>
            </w:pPr>
            <w:r>
              <w:rPr>
                <w:b/>
              </w:rPr>
              <w:t>Cream skimming</w:t>
            </w:r>
          </w:p>
          <w:p w14:paraId="3D1A6844" w14:textId="77777777" w:rsidR="00DC4C2D" w:rsidRPr="002F1AE5" w:rsidRDefault="00DC4C2D" w:rsidP="00612316">
            <w:pPr>
              <w:pStyle w:val="ListParagraph"/>
              <w:ind w:left="72"/>
            </w:pPr>
          </w:p>
          <w:p w14:paraId="391ED4F1" w14:textId="77777777" w:rsidR="00DC4C2D" w:rsidRDefault="00DC4C2D" w:rsidP="00612316">
            <w:pPr>
              <w:pStyle w:val="ListParagraph"/>
              <w:ind w:left="72"/>
            </w:pPr>
            <w:r w:rsidRPr="00E40CB1">
              <w:t>8: 11 – 9: 4</w:t>
            </w:r>
          </w:p>
          <w:p w14:paraId="6EDBEC07" w14:textId="77777777" w:rsidR="00DC4C2D" w:rsidRPr="00487698" w:rsidRDefault="00DC4C2D" w:rsidP="00612316">
            <w:pPr>
              <w:pStyle w:val="ListParagraph"/>
              <w:ind w:left="72"/>
            </w:pPr>
            <w:r w:rsidRPr="00487698">
              <w:t>9: 5-15</w:t>
            </w:r>
          </w:p>
          <w:p w14:paraId="05FAB784" w14:textId="77777777" w:rsidR="00DC4C2D" w:rsidRPr="002F1AE5" w:rsidRDefault="00DC4C2D" w:rsidP="00612316">
            <w:pPr>
              <w:pStyle w:val="ListParagraph"/>
              <w:ind w:left="72"/>
            </w:pPr>
          </w:p>
          <w:p w14:paraId="7E5EF6E0" w14:textId="77777777" w:rsidR="00E87458" w:rsidRDefault="00E87458" w:rsidP="00E87458">
            <w:pPr>
              <w:pStyle w:val="ListParagraph"/>
              <w:ind w:left="72"/>
              <w:rPr>
                <w:b/>
              </w:rPr>
            </w:pPr>
            <w:r w:rsidRPr="00E40CB1">
              <w:t>16: 15 – 18: 10</w:t>
            </w:r>
          </w:p>
          <w:p w14:paraId="1C31EADC" w14:textId="77777777" w:rsidR="00DC4C2D" w:rsidRDefault="00DC4C2D" w:rsidP="00612316">
            <w:pPr>
              <w:pStyle w:val="ListParagraph"/>
              <w:ind w:left="72"/>
              <w:rPr>
                <w:b/>
              </w:rPr>
            </w:pPr>
          </w:p>
        </w:tc>
        <w:tc>
          <w:tcPr>
            <w:tcW w:w="6485" w:type="dxa"/>
            <w:shd w:val="clear" w:color="auto" w:fill="FFFFFF" w:themeFill="background1"/>
          </w:tcPr>
          <w:p w14:paraId="420BBA96" w14:textId="77777777" w:rsidR="003218F9" w:rsidRDefault="003218F9" w:rsidP="003218F9">
            <w:pPr>
              <w:autoSpaceDE w:val="0"/>
              <w:autoSpaceDN w:val="0"/>
              <w:adjustRightInd w:val="0"/>
              <w:spacing w:before="0" w:beforeAutospacing="0" w:after="0" w:afterAutospacing="0" w:line="240" w:lineRule="auto"/>
              <w:contextualSpacing/>
              <w:rPr>
                <w:b/>
              </w:rPr>
            </w:pPr>
            <w:r>
              <w:rPr>
                <w:b/>
              </w:rPr>
              <w:t>SpeediShuttle (Second Revised) Testimony of H. Jack Roemer</w:t>
            </w:r>
          </w:p>
          <w:p w14:paraId="5701DCF7" w14:textId="77777777" w:rsidR="003218F9" w:rsidRDefault="003218F9" w:rsidP="00612316">
            <w:pPr>
              <w:pStyle w:val="ListParagraph"/>
              <w:ind w:left="72"/>
            </w:pPr>
          </w:p>
          <w:p w14:paraId="7D86CCB7" w14:textId="77777777" w:rsidR="00DC4C2D" w:rsidRDefault="00DC4C2D" w:rsidP="00612316">
            <w:pPr>
              <w:pStyle w:val="ListParagraph"/>
              <w:ind w:left="72"/>
            </w:pPr>
            <w:r>
              <w:t>45:21 – 46:7, “If Mr. Wood (or Mr. Kajanoff)</w:t>
            </w:r>
            <w:r w:rsidR="0071001F">
              <w:t xml:space="preserve"> </w:t>
            </w:r>
            <w:r>
              <w:t>think we are actively attempting to avoid serving a market segment, rather than pointing</w:t>
            </w:r>
            <w:r w:rsidR="0071001F">
              <w:t xml:space="preserve"> </w:t>
            </w:r>
            <w:r>
              <w:t>to hypothetical ways a provider might do that and then basing conclusions on</w:t>
            </w:r>
            <w:r w:rsidR="0071001F">
              <w:t xml:space="preserve"> </w:t>
            </w:r>
            <w:r>
              <w:t>hypotheticals without foundation, Mr. Wood could have done a simple analysis of our</w:t>
            </w:r>
            <w:r w:rsidR="0071001F">
              <w:t xml:space="preserve"> </w:t>
            </w:r>
            <w:r>
              <w:t xml:space="preserve">fares.  Take North Bend for example </w:t>
            </w:r>
            <w:r w:rsidR="00AA41A8">
              <w:t xml:space="preserve">. . . . </w:t>
            </w:r>
            <w:r>
              <w:t xml:space="preserve"> I suppose by Mr. Kajanoff’s logic, Shuttle</w:t>
            </w:r>
            <w:r w:rsidR="0071001F">
              <w:t xml:space="preserve"> </w:t>
            </w:r>
            <w:r>
              <w:t>Express, in addition to not actually serving all of North Bend, must actually be trying to</w:t>
            </w:r>
            <w:r w:rsidR="0071001F">
              <w:t xml:space="preserve"> </w:t>
            </w:r>
            <w:r>
              <w:t>avoid serving it by pricing even higher than Speedishuttle.”</w:t>
            </w:r>
          </w:p>
          <w:p w14:paraId="37687248" w14:textId="77777777" w:rsidR="00DC4C2D" w:rsidRDefault="00DC4C2D" w:rsidP="00612316">
            <w:pPr>
              <w:pStyle w:val="ListParagraph"/>
              <w:ind w:left="72"/>
            </w:pPr>
          </w:p>
          <w:p w14:paraId="3CF4F9EA" w14:textId="77777777" w:rsidR="00DC4C2D" w:rsidRDefault="00DC4C2D" w:rsidP="00612316">
            <w:pPr>
              <w:pStyle w:val="ListParagraph"/>
              <w:ind w:left="72"/>
            </w:pPr>
            <w:r>
              <w:t>52:8 – 9, “If we lose customers, or during slow seasons, we might not want to operate at full</w:t>
            </w:r>
            <w:r w:rsidR="001E60E1">
              <w:t xml:space="preserve"> </w:t>
            </w:r>
            <w:r>
              <w:t>capacity in order to trim expenses.</w:t>
            </w:r>
          </w:p>
          <w:p w14:paraId="1D2463F8" w14:textId="77777777" w:rsidR="00DC4C2D" w:rsidRPr="002F1AE5" w:rsidRDefault="00DC4C2D" w:rsidP="00612316">
            <w:pPr>
              <w:pStyle w:val="ListParagraph"/>
              <w:ind w:left="72"/>
            </w:pPr>
          </w:p>
        </w:tc>
      </w:tr>
    </w:tbl>
    <w:p w14:paraId="032EC33E" w14:textId="77777777" w:rsidR="00EF7D9A" w:rsidRPr="00F666C6" w:rsidRDefault="00EF7D9A" w:rsidP="00612316">
      <w:pPr>
        <w:pStyle w:val="ListParagraph"/>
        <w:rPr>
          <w:b/>
        </w:rPr>
      </w:pPr>
    </w:p>
    <w:p w14:paraId="3404DDFE" w14:textId="77777777" w:rsidR="00EF7D9A" w:rsidRPr="00F666C6" w:rsidRDefault="00EF7D9A" w:rsidP="00116C72">
      <w:pPr>
        <w:pStyle w:val="ListParagraph"/>
        <w:keepNext/>
        <w:numPr>
          <w:ilvl w:val="0"/>
          <w:numId w:val="14"/>
        </w:numPr>
        <w:ind w:hanging="720"/>
        <w:rPr>
          <w:b/>
        </w:rPr>
      </w:pPr>
      <w:r w:rsidRPr="00F666C6">
        <w:rPr>
          <w:b/>
        </w:rPr>
        <w:t>Don J. Wood</w:t>
      </w:r>
    </w:p>
    <w:p w14:paraId="39C52328" w14:textId="77777777" w:rsidR="00DC4C2D" w:rsidRDefault="00DC4C2D" w:rsidP="00116C72">
      <w:pPr>
        <w:pStyle w:val="ListParagraph"/>
        <w:keepNext/>
        <w:numPr>
          <w:ilvl w:val="0"/>
          <w:numId w:val="6"/>
        </w:numPr>
        <w:spacing w:line="480" w:lineRule="auto"/>
        <w:ind w:left="360" w:hanging="720"/>
      </w:pPr>
    </w:p>
    <w:tbl>
      <w:tblPr>
        <w:tblStyle w:val="TableGrid"/>
        <w:tblW w:w="9445" w:type="dxa"/>
        <w:tblLook w:val="04A0" w:firstRow="1" w:lastRow="0" w:firstColumn="1" w:lastColumn="0" w:noHBand="0" w:noVBand="1"/>
      </w:tblPr>
      <w:tblGrid>
        <w:gridCol w:w="3055"/>
        <w:gridCol w:w="6390"/>
      </w:tblGrid>
      <w:tr w:rsidR="00DC4C2D" w14:paraId="1E0BF175" w14:textId="77777777" w:rsidTr="00AA41A8">
        <w:trPr>
          <w:cantSplit/>
        </w:trPr>
        <w:tc>
          <w:tcPr>
            <w:tcW w:w="3055" w:type="dxa"/>
          </w:tcPr>
          <w:p w14:paraId="5AE283C1" w14:textId="77777777" w:rsidR="00DC4C2D" w:rsidRDefault="00AE5D9E" w:rsidP="00612316">
            <w:pPr>
              <w:pStyle w:val="ListParagraph"/>
            </w:pPr>
            <w:r w:rsidRPr="00AE5D9E">
              <w:rPr>
                <w:b/>
              </w:rPr>
              <w:t>SpeediShuttle o</w:t>
            </w:r>
            <w:r w:rsidR="00DC4C2D" w:rsidRPr="00AE5D9E">
              <w:rPr>
                <w:b/>
              </w:rPr>
              <w:t xml:space="preserve">bjections </w:t>
            </w:r>
            <w:r w:rsidRPr="00AE5D9E">
              <w:rPr>
                <w:b/>
              </w:rPr>
              <w:t>regarding testimony it claims is not rebuttal or responsive.</w:t>
            </w:r>
          </w:p>
          <w:p w14:paraId="3EE5753B" w14:textId="77777777" w:rsidR="00E87458" w:rsidRDefault="00AE5D9E" w:rsidP="00B100F6">
            <w:pPr>
              <w:pStyle w:val="ListParagraph"/>
            </w:pPr>
            <w:r>
              <w:t>2:17 – 14:9</w:t>
            </w:r>
            <w:r w:rsidR="002E1B59" w:rsidDel="002E1B59">
              <w:t xml:space="preserve"> </w:t>
            </w:r>
          </w:p>
          <w:p w14:paraId="03CF246A" w14:textId="77777777" w:rsidR="00D67E49" w:rsidRPr="00AE5D9E" w:rsidRDefault="00D67E49" w:rsidP="00B100F6">
            <w:pPr>
              <w:pStyle w:val="ListParagraph"/>
            </w:pPr>
          </w:p>
        </w:tc>
        <w:tc>
          <w:tcPr>
            <w:tcW w:w="6390" w:type="dxa"/>
          </w:tcPr>
          <w:p w14:paraId="3CB4B107" w14:textId="77777777" w:rsidR="003218F9" w:rsidRDefault="003218F9" w:rsidP="003218F9">
            <w:pPr>
              <w:autoSpaceDE w:val="0"/>
              <w:autoSpaceDN w:val="0"/>
              <w:adjustRightInd w:val="0"/>
              <w:spacing w:before="0" w:beforeAutospacing="0" w:after="0" w:afterAutospacing="0" w:line="240" w:lineRule="auto"/>
              <w:contextualSpacing/>
              <w:rPr>
                <w:b/>
              </w:rPr>
            </w:pPr>
            <w:r>
              <w:rPr>
                <w:b/>
              </w:rPr>
              <w:t>SpeediShuttle (Second Revised) Testimony of H. Jack Roemer</w:t>
            </w:r>
          </w:p>
          <w:p w14:paraId="7AF82E0F" w14:textId="77777777" w:rsidR="00D51034" w:rsidRPr="001303E5" w:rsidRDefault="00D51034" w:rsidP="00FB34D0">
            <w:pPr>
              <w:autoSpaceDE w:val="0"/>
              <w:autoSpaceDN w:val="0"/>
              <w:adjustRightInd w:val="0"/>
              <w:spacing w:before="0" w:beforeAutospacing="0" w:after="0" w:afterAutospacing="0" w:line="240" w:lineRule="auto"/>
              <w:contextualSpacing/>
            </w:pPr>
          </w:p>
        </w:tc>
      </w:tr>
      <w:tr w:rsidR="002E1B59" w14:paraId="5680E577" w14:textId="77777777" w:rsidTr="00AA41A8">
        <w:trPr>
          <w:cantSplit/>
        </w:trPr>
        <w:tc>
          <w:tcPr>
            <w:tcW w:w="3055" w:type="dxa"/>
          </w:tcPr>
          <w:p w14:paraId="4B3AE0A8" w14:textId="77777777" w:rsidR="002E1B59" w:rsidRDefault="002E1B59" w:rsidP="002E1B59">
            <w:pPr>
              <w:pStyle w:val="ListParagraph"/>
            </w:pPr>
            <w:r w:rsidRPr="00AE5D9E">
              <w:rPr>
                <w:u w:val="single"/>
              </w:rPr>
              <w:t>Availability of shared ride service</w:t>
            </w:r>
            <w:r>
              <w:rPr>
                <w:u w:val="single"/>
              </w:rPr>
              <w:t xml:space="preserve"> and economies of scale</w:t>
            </w:r>
            <w:r>
              <w:t>, Wood at 3:1 – 5:13</w:t>
            </w:r>
          </w:p>
          <w:p w14:paraId="2CC96DFD" w14:textId="77777777" w:rsidR="002E1B59" w:rsidRDefault="002E1B59" w:rsidP="00612316">
            <w:pPr>
              <w:pStyle w:val="ListParagraph"/>
              <w:rPr>
                <w:b/>
              </w:rPr>
            </w:pPr>
          </w:p>
          <w:p w14:paraId="468D5E66" w14:textId="77777777" w:rsidR="002E1B59" w:rsidRDefault="002E1B59" w:rsidP="00612316">
            <w:pPr>
              <w:pStyle w:val="ListParagraph"/>
              <w:rPr>
                <w:b/>
              </w:rPr>
            </w:pPr>
          </w:p>
          <w:p w14:paraId="386B4094" w14:textId="77777777" w:rsidR="002E1B59" w:rsidRPr="00AE5D9E" w:rsidRDefault="002E1B59" w:rsidP="00612316">
            <w:pPr>
              <w:pStyle w:val="ListParagraph"/>
              <w:rPr>
                <w:b/>
              </w:rPr>
            </w:pPr>
          </w:p>
        </w:tc>
        <w:tc>
          <w:tcPr>
            <w:tcW w:w="6390" w:type="dxa"/>
          </w:tcPr>
          <w:p w14:paraId="05993939" w14:textId="77777777" w:rsidR="00F666C6" w:rsidRDefault="00F666C6" w:rsidP="00F666C6">
            <w:pPr>
              <w:autoSpaceDE w:val="0"/>
              <w:autoSpaceDN w:val="0"/>
              <w:adjustRightInd w:val="0"/>
              <w:spacing w:before="0" w:beforeAutospacing="0" w:after="0" w:afterAutospacing="0" w:line="240" w:lineRule="auto"/>
              <w:contextualSpacing/>
              <w:rPr>
                <w:szCs w:val="24"/>
              </w:rPr>
            </w:pPr>
            <w:r>
              <w:t>46:8-46:24, Features of SpeediShuttle, “</w:t>
            </w:r>
            <w:r>
              <w:rPr>
                <w:szCs w:val="24"/>
              </w:rPr>
              <w:t>Thus, I believe Mr. Wood’s conclusion is directly contrary to the</w:t>
            </w:r>
          </w:p>
          <w:p w14:paraId="6234EFCF" w14:textId="77777777" w:rsidR="00F666C6" w:rsidRPr="00F666C6" w:rsidRDefault="00F666C6" w:rsidP="00F666C6">
            <w:pPr>
              <w:pStyle w:val="ListParagraph"/>
              <w:ind w:left="72"/>
              <w:rPr>
                <w:szCs w:val="24"/>
              </w:rPr>
            </w:pPr>
            <w:r>
              <w:rPr>
                <w:szCs w:val="24"/>
              </w:rPr>
              <w:t>public interest.”</w:t>
            </w:r>
          </w:p>
          <w:p w14:paraId="23E0C991" w14:textId="77777777" w:rsidR="00F666C6" w:rsidRDefault="00F666C6" w:rsidP="00FB34D0">
            <w:pPr>
              <w:pStyle w:val="ListParagraph"/>
            </w:pPr>
          </w:p>
          <w:p w14:paraId="01A192B3" w14:textId="77777777" w:rsidR="002E1B59" w:rsidRDefault="00AA41A8" w:rsidP="00FB34D0">
            <w:pPr>
              <w:pStyle w:val="ListParagraph"/>
            </w:pPr>
            <w:r>
              <w:t>Roemer at 52:4</w:t>
            </w:r>
            <w:r w:rsidR="002E1B59">
              <w:t>, “This is an issue of economies of scale.</w:t>
            </w:r>
            <w:r>
              <w:t>”</w:t>
            </w:r>
          </w:p>
          <w:p w14:paraId="2E859A65" w14:textId="77777777" w:rsidR="008C1ECF" w:rsidRDefault="008C1ECF" w:rsidP="00FB34D0">
            <w:pPr>
              <w:pStyle w:val="ListParagraph"/>
            </w:pPr>
          </w:p>
        </w:tc>
      </w:tr>
      <w:tr w:rsidR="002E1B59" w14:paraId="4D193458" w14:textId="77777777" w:rsidTr="00AA41A8">
        <w:trPr>
          <w:cantSplit/>
        </w:trPr>
        <w:tc>
          <w:tcPr>
            <w:tcW w:w="3055" w:type="dxa"/>
          </w:tcPr>
          <w:p w14:paraId="29EFE43B" w14:textId="77777777" w:rsidR="002E1B59" w:rsidRPr="00FB34D0" w:rsidRDefault="002E1B59" w:rsidP="002E1B59">
            <w:pPr>
              <w:pStyle w:val="ListParagraph"/>
            </w:pPr>
            <w:r w:rsidRPr="00CF07FA">
              <w:rPr>
                <w:u w:val="single"/>
              </w:rPr>
              <w:t>Meets the needs of an unserved market segment or…expand the size of the total market</w:t>
            </w:r>
            <w:r>
              <w:t>, Wood at 5:14 – 8:2</w:t>
            </w:r>
          </w:p>
        </w:tc>
        <w:tc>
          <w:tcPr>
            <w:tcW w:w="6390" w:type="dxa"/>
          </w:tcPr>
          <w:p w14:paraId="73136D11" w14:textId="77777777" w:rsidR="002E1B59" w:rsidRDefault="002E1B59" w:rsidP="002E1B59">
            <w:pPr>
              <w:pStyle w:val="ListParagraph"/>
            </w:pPr>
            <w:r>
              <w:t>Roemer at 26:7 – 26:10</w:t>
            </w:r>
          </w:p>
          <w:p w14:paraId="4B4C29E0" w14:textId="77777777" w:rsidR="002E1B59" w:rsidRDefault="002E1B59" w:rsidP="002E1B59">
            <w:pPr>
              <w:pStyle w:val="ListParagraph"/>
            </w:pPr>
            <w:r>
              <w:t>“First, I would like to note that I do not see what difference it makes whether a demographic was already served. Our application was predicated on service feature differentiation and Shuttle Express’ failure to serve to the satisfaction of the Commission based on its need for third parties to “rescue” its passengers.”</w:t>
            </w:r>
          </w:p>
          <w:p w14:paraId="43EF443A" w14:textId="77777777" w:rsidR="002E1B59" w:rsidRDefault="002E1B59" w:rsidP="002E1B59">
            <w:pPr>
              <w:pStyle w:val="ListParagraph"/>
            </w:pPr>
          </w:p>
        </w:tc>
      </w:tr>
      <w:tr w:rsidR="002E1B59" w14:paraId="62D65B77" w14:textId="77777777" w:rsidTr="00AA41A8">
        <w:trPr>
          <w:cantSplit/>
        </w:trPr>
        <w:tc>
          <w:tcPr>
            <w:tcW w:w="3055" w:type="dxa"/>
          </w:tcPr>
          <w:p w14:paraId="5AF9F48D" w14:textId="77777777" w:rsidR="002E1B59" w:rsidRPr="00FB34D0" w:rsidRDefault="002E1B59" w:rsidP="002E1B59">
            <w:pPr>
              <w:pStyle w:val="ListParagraph"/>
            </w:pPr>
            <w:r>
              <w:rPr>
                <w:u w:val="single"/>
              </w:rPr>
              <w:lastRenderedPageBreak/>
              <w:t xml:space="preserve">Geographic characteristics of market, </w:t>
            </w:r>
            <w:r>
              <w:t>Wood at 8:4 – 9:9</w:t>
            </w:r>
          </w:p>
        </w:tc>
        <w:tc>
          <w:tcPr>
            <w:tcW w:w="6390" w:type="dxa"/>
          </w:tcPr>
          <w:p w14:paraId="4227A43B" w14:textId="77777777" w:rsidR="002E1B59" w:rsidRDefault="002E1B59" w:rsidP="002E1B59">
            <w:pPr>
              <w:pStyle w:val="ListParagraph"/>
            </w:pPr>
            <w:r>
              <w:t>Roemer at 44:14 – 17, “Can you think of any other markets that have two shared ride door-to-door</w:t>
            </w:r>
          </w:p>
          <w:p w14:paraId="05D45191" w14:textId="77777777" w:rsidR="002E1B59" w:rsidRDefault="002E1B59" w:rsidP="002E1B59">
            <w:pPr>
              <w:pStyle w:val="ListParagraph"/>
            </w:pPr>
            <w:r>
              <w:t>service providers operating in the same territory?</w:t>
            </w:r>
          </w:p>
          <w:p w14:paraId="3D49CAE4" w14:textId="77777777" w:rsidR="002E1B59" w:rsidRDefault="002E1B59" w:rsidP="002E1B59">
            <w:pPr>
              <w:pStyle w:val="ListParagraph"/>
            </w:pPr>
            <w:r>
              <w:t>A. To put it simply, I cannot think of a single large market that has only one door-to-door</w:t>
            </w:r>
          </w:p>
          <w:p w14:paraId="52F974E7" w14:textId="77777777" w:rsidR="002E1B59" w:rsidRDefault="002E1B59" w:rsidP="00FB34D0">
            <w:pPr>
              <w:pStyle w:val="ListParagraph"/>
            </w:pPr>
            <w:r>
              <w:t>shared ride transportation company.</w:t>
            </w:r>
            <w:r w:rsidR="00651F2F">
              <w:t>”</w:t>
            </w:r>
            <w:r w:rsidR="00651F2F">
              <w:rPr>
                <w:rStyle w:val="FootnoteReference"/>
              </w:rPr>
              <w:footnoteReference w:id="13"/>
            </w:r>
          </w:p>
          <w:p w14:paraId="6549FF5C" w14:textId="77777777" w:rsidR="002E1B59" w:rsidRDefault="002E1B59" w:rsidP="00FB34D0">
            <w:pPr>
              <w:pStyle w:val="ListParagraph"/>
            </w:pPr>
          </w:p>
        </w:tc>
      </w:tr>
      <w:tr w:rsidR="002E1B59" w14:paraId="6095C080" w14:textId="77777777" w:rsidTr="00AA41A8">
        <w:trPr>
          <w:cantSplit/>
        </w:trPr>
        <w:tc>
          <w:tcPr>
            <w:tcW w:w="3055" w:type="dxa"/>
          </w:tcPr>
          <w:p w14:paraId="547FC569" w14:textId="77777777" w:rsidR="008C1ECF" w:rsidRPr="00FB34D0" w:rsidRDefault="002E1B59" w:rsidP="00FB34D0">
            <w:pPr>
              <w:pStyle w:val="ListParagraph"/>
            </w:pPr>
            <w:r>
              <w:rPr>
                <w:u w:val="single"/>
              </w:rPr>
              <w:t>Constrain</w:t>
            </w:r>
            <w:r w:rsidR="008C1ECF">
              <w:rPr>
                <w:u w:val="single"/>
              </w:rPr>
              <w:t>t</w:t>
            </w:r>
            <w:r>
              <w:rPr>
                <w:u w:val="single"/>
              </w:rPr>
              <w:t xml:space="preserve"> on prices from o</w:t>
            </w:r>
            <w:r w:rsidRPr="0076265C">
              <w:rPr>
                <w:u w:val="single"/>
              </w:rPr>
              <w:t>ther kinds of transportation providers</w:t>
            </w:r>
            <w:r>
              <w:t>, Wood at 9:10 – 16</w:t>
            </w:r>
          </w:p>
        </w:tc>
        <w:tc>
          <w:tcPr>
            <w:tcW w:w="6390" w:type="dxa"/>
          </w:tcPr>
          <w:p w14:paraId="44C53D89" w14:textId="77777777" w:rsidR="002E1B59" w:rsidRDefault="002E1B59" w:rsidP="00FB34D0">
            <w:pPr>
              <w:pStyle w:val="ListParagraph"/>
            </w:pPr>
            <w:r>
              <w:t>Roemer at 51:23 – 52:2, “But, again, we are in the highly competitive airport transportation industry and there are numerous options available to riders outside of auto transportation. If we raise prices too high, we lose passengers to another service.  So we have to be careful to set prices at a competitive rate.”</w:t>
            </w:r>
          </w:p>
          <w:p w14:paraId="5DD69C4A" w14:textId="77777777" w:rsidR="00D67E49" w:rsidRDefault="00D67E49" w:rsidP="00FB34D0">
            <w:pPr>
              <w:pStyle w:val="ListParagraph"/>
            </w:pPr>
          </w:p>
          <w:p w14:paraId="0D36B5D4" w14:textId="77777777" w:rsidR="00D67E49" w:rsidRDefault="00D67E49" w:rsidP="00FB34D0">
            <w:pPr>
              <w:pStyle w:val="ListParagraph"/>
            </w:pPr>
          </w:p>
          <w:p w14:paraId="06EA2B8F" w14:textId="77777777" w:rsidR="00D67E49" w:rsidRDefault="00D67E49" w:rsidP="00FB34D0">
            <w:pPr>
              <w:pStyle w:val="ListParagraph"/>
            </w:pPr>
          </w:p>
        </w:tc>
      </w:tr>
      <w:tr w:rsidR="008C1ECF" w14:paraId="5D583CC0" w14:textId="77777777" w:rsidTr="00AA41A8">
        <w:trPr>
          <w:cantSplit/>
        </w:trPr>
        <w:tc>
          <w:tcPr>
            <w:tcW w:w="3055" w:type="dxa"/>
          </w:tcPr>
          <w:p w14:paraId="6C06C723" w14:textId="77777777" w:rsidR="008C1ECF" w:rsidRDefault="008C1ECF" w:rsidP="00612316">
            <w:pPr>
              <w:pStyle w:val="ListParagraph"/>
            </w:pPr>
            <w:r>
              <w:rPr>
                <w:u w:val="single"/>
              </w:rPr>
              <w:t xml:space="preserve">Business model of Shuttle Express and proposed and actual business model of SpeediShuttle, </w:t>
            </w:r>
            <w:r>
              <w:t>Wood at 9:18 – 11:14</w:t>
            </w:r>
          </w:p>
          <w:p w14:paraId="5B128558" w14:textId="77777777" w:rsidR="00D67E49" w:rsidRPr="00FB34D0" w:rsidRDefault="00D67E49" w:rsidP="00612316">
            <w:pPr>
              <w:pStyle w:val="ListParagraph"/>
            </w:pPr>
          </w:p>
        </w:tc>
        <w:tc>
          <w:tcPr>
            <w:tcW w:w="6390" w:type="dxa"/>
          </w:tcPr>
          <w:p w14:paraId="70927614" w14:textId="77777777" w:rsidR="008C1ECF" w:rsidRDefault="008C1ECF" w:rsidP="008C1ECF">
            <w:pPr>
              <w:pStyle w:val="ListParagraph"/>
            </w:pPr>
            <w:r>
              <w:t xml:space="preserve">Roemer at 6:14 – 10:11, </w:t>
            </w:r>
            <w:r w:rsidR="00116C72">
              <w:t>“</w:t>
            </w:r>
            <w:r>
              <w:t>SpeediShuttle’s Business Model</w:t>
            </w:r>
            <w:r w:rsidR="00116C72">
              <w:t>” section.</w:t>
            </w:r>
          </w:p>
          <w:p w14:paraId="3DC8D9CC" w14:textId="77777777" w:rsidR="008C1ECF" w:rsidRPr="00F55854" w:rsidRDefault="008C1ECF" w:rsidP="00612316">
            <w:pPr>
              <w:pStyle w:val="ListParagraph"/>
              <w:rPr>
                <w:u w:val="single"/>
              </w:rPr>
            </w:pPr>
          </w:p>
        </w:tc>
      </w:tr>
      <w:tr w:rsidR="008C1ECF" w14:paraId="46816092" w14:textId="77777777" w:rsidTr="00AA41A8">
        <w:trPr>
          <w:cantSplit/>
        </w:trPr>
        <w:tc>
          <w:tcPr>
            <w:tcW w:w="3055" w:type="dxa"/>
          </w:tcPr>
          <w:p w14:paraId="1D1F8332" w14:textId="77777777" w:rsidR="008C1ECF" w:rsidRDefault="008C1ECF" w:rsidP="008C1ECF">
            <w:pPr>
              <w:pStyle w:val="ListParagraph"/>
            </w:pPr>
            <w:r>
              <w:rPr>
                <w:u w:val="single"/>
              </w:rPr>
              <w:t>Parties agree market for share ride services has continued to decrease</w:t>
            </w:r>
            <w:r w:rsidRPr="001303E5">
              <w:rPr>
                <w:u w:val="single"/>
              </w:rPr>
              <w:t>, SpeediShuttle is higher cost provider, service offered by SpeediShuttle differs from description relied upon by Commission, market occupied by two shared ride providers both losing money.</w:t>
            </w:r>
            <w:r>
              <w:t xml:space="preserve"> Wood at 11:15 – 12:16</w:t>
            </w:r>
          </w:p>
          <w:p w14:paraId="5CF8C8CA" w14:textId="77777777" w:rsidR="008C1ECF" w:rsidRDefault="008C1ECF" w:rsidP="00612316">
            <w:pPr>
              <w:pStyle w:val="ListParagraph"/>
              <w:rPr>
                <w:b/>
              </w:rPr>
            </w:pPr>
          </w:p>
        </w:tc>
        <w:tc>
          <w:tcPr>
            <w:tcW w:w="6390" w:type="dxa"/>
          </w:tcPr>
          <w:p w14:paraId="4F3BCCFE" w14:textId="77777777" w:rsidR="008C1ECF" w:rsidRDefault="008C1ECF" w:rsidP="008C1ECF">
            <w:pPr>
              <w:pStyle w:val="ListParagraph"/>
            </w:pPr>
            <w:r>
              <w:t>Roemer at 39:5 “Market Analytics”;</w:t>
            </w:r>
          </w:p>
          <w:p w14:paraId="4433FD6C" w14:textId="77777777" w:rsidR="008C1ECF" w:rsidRDefault="008C1ECF" w:rsidP="008C1ECF">
            <w:pPr>
              <w:pStyle w:val="ListParagraph"/>
            </w:pPr>
            <w:r>
              <w:t>at 8:7 – 15, “service enhancement features”;</w:t>
            </w:r>
          </w:p>
          <w:p w14:paraId="198DE736" w14:textId="77777777" w:rsidR="008C1ECF" w:rsidRDefault="008C1ECF" w:rsidP="008C1ECF">
            <w:pPr>
              <w:pStyle w:val="ListParagraph"/>
            </w:pPr>
            <w:r>
              <w:t>at 48:17-18, “Mr. Roemer, did Speedishuttle lose money in its first year of operation?</w:t>
            </w:r>
          </w:p>
          <w:p w14:paraId="73EBC753" w14:textId="77777777" w:rsidR="008C1ECF" w:rsidRDefault="008C1ECF" w:rsidP="008C1ECF">
            <w:pPr>
              <w:pStyle w:val="ListParagraph"/>
            </w:pPr>
            <w:r>
              <w:t>A. Absolutely, we did.”</w:t>
            </w:r>
          </w:p>
          <w:p w14:paraId="374AAAA6" w14:textId="77777777" w:rsidR="008C1ECF" w:rsidRPr="00F55854" w:rsidRDefault="008C1ECF" w:rsidP="00612316">
            <w:pPr>
              <w:pStyle w:val="ListParagraph"/>
              <w:rPr>
                <w:u w:val="single"/>
              </w:rPr>
            </w:pPr>
          </w:p>
        </w:tc>
      </w:tr>
      <w:tr w:rsidR="00D67E49" w14:paraId="5BD34B94" w14:textId="77777777" w:rsidTr="00AA41A8">
        <w:trPr>
          <w:cantSplit/>
        </w:trPr>
        <w:tc>
          <w:tcPr>
            <w:tcW w:w="3055" w:type="dxa"/>
          </w:tcPr>
          <w:p w14:paraId="6C6298B4" w14:textId="77777777" w:rsidR="00D67E49" w:rsidRPr="00FB34D0" w:rsidRDefault="00D67E49" w:rsidP="008C1ECF">
            <w:pPr>
              <w:pStyle w:val="ListParagraph"/>
            </w:pPr>
            <w:r>
              <w:rPr>
                <w:u w:val="single"/>
              </w:rPr>
              <w:lastRenderedPageBreak/>
              <w:t xml:space="preserve">Pricing of SpeediShuttle’s Service, sustainability, </w:t>
            </w:r>
            <w:r>
              <w:t>Wood at 12:18 – 13:21</w:t>
            </w:r>
          </w:p>
        </w:tc>
        <w:tc>
          <w:tcPr>
            <w:tcW w:w="6390" w:type="dxa"/>
          </w:tcPr>
          <w:p w14:paraId="1D891F2A" w14:textId="77777777" w:rsidR="00D67E49" w:rsidRDefault="005F313F" w:rsidP="00D67E49">
            <w:pPr>
              <w:pStyle w:val="ListParagraph"/>
            </w:pPr>
            <w:r>
              <w:t>Roemer</w:t>
            </w:r>
            <w:r w:rsidR="00577928">
              <w:t xml:space="preserve"> at 48:16-52:16 (</w:t>
            </w:r>
            <w:r w:rsidR="00577928" w:rsidRPr="00577928">
              <w:rPr>
                <w:i/>
              </w:rPr>
              <w:t>e.g.,</w:t>
            </w:r>
            <w:r w:rsidR="00577928">
              <w:t xml:space="preserve"> “[b]</w:t>
            </w:r>
            <w:r w:rsidR="00D67E49">
              <w:t>ut, again, we are in the highly competitive airport transportation industry and there are numerous options available to riders outside of auto transportation. If we raise prices too high, we lose passengers to another service.  So we have to be careful to set prices at a competitive rate</w:t>
            </w:r>
            <w:r w:rsidR="00577928">
              <w:t>. Roemer at 51:23 – 52:2</w:t>
            </w:r>
            <w:r w:rsidR="00D67E49">
              <w:t>.”</w:t>
            </w:r>
            <w:r w:rsidR="00651F2F">
              <w:rPr>
                <w:rStyle w:val="FootnoteReference"/>
              </w:rPr>
              <w:footnoteReference w:id="14"/>
            </w:r>
          </w:p>
          <w:p w14:paraId="50EAD3FC" w14:textId="77777777" w:rsidR="00D67E49" w:rsidRDefault="00D67E49" w:rsidP="008C1ECF">
            <w:pPr>
              <w:pStyle w:val="ListParagraph"/>
            </w:pPr>
          </w:p>
        </w:tc>
      </w:tr>
      <w:tr w:rsidR="008C1ECF" w14:paraId="1A83BBF3" w14:textId="77777777" w:rsidTr="00AA41A8">
        <w:trPr>
          <w:cantSplit/>
        </w:trPr>
        <w:tc>
          <w:tcPr>
            <w:tcW w:w="3055" w:type="dxa"/>
          </w:tcPr>
          <w:p w14:paraId="54074F38" w14:textId="77777777" w:rsidR="008C1ECF" w:rsidRPr="00FB34D0" w:rsidRDefault="008C1ECF" w:rsidP="00612316">
            <w:pPr>
              <w:pStyle w:val="ListParagraph"/>
            </w:pPr>
            <w:r w:rsidRPr="004B4412">
              <w:rPr>
                <w:u w:val="single"/>
              </w:rPr>
              <w:t>Context of share ride market</w:t>
            </w:r>
            <w:r>
              <w:t>, Wood at 14:2 - 9</w:t>
            </w:r>
          </w:p>
        </w:tc>
        <w:tc>
          <w:tcPr>
            <w:tcW w:w="6390" w:type="dxa"/>
          </w:tcPr>
          <w:p w14:paraId="37770B1C" w14:textId="77777777" w:rsidR="008C1ECF" w:rsidRDefault="008C1ECF" w:rsidP="008C1ECF">
            <w:pPr>
              <w:autoSpaceDE w:val="0"/>
              <w:autoSpaceDN w:val="0"/>
              <w:adjustRightInd w:val="0"/>
              <w:spacing w:before="0" w:beforeAutospacing="0" w:after="0" w:afterAutospacing="0" w:line="240" w:lineRule="auto"/>
              <w:contextualSpacing/>
              <w:rPr>
                <w:rFonts w:cs="Times New Roman"/>
                <w:szCs w:val="24"/>
              </w:rPr>
            </w:pPr>
            <w:r>
              <w:t>Roemer at 43:10-14, “</w:t>
            </w:r>
            <w:r>
              <w:rPr>
                <w:rFonts w:cs="Times New Roman"/>
                <w:szCs w:val="24"/>
              </w:rPr>
              <w:t>Shuttle Express’</w:t>
            </w:r>
            <w:r w:rsidR="00D67E49">
              <w:rPr>
                <w:rFonts w:cs="Times New Roman"/>
                <w:szCs w:val="24"/>
              </w:rPr>
              <w:t xml:space="preserve"> </w:t>
            </w:r>
            <w:r>
              <w:rPr>
                <w:rFonts w:cs="Times New Roman"/>
                <w:szCs w:val="24"/>
              </w:rPr>
              <w:t>customers could already choose to ride with someone else. Speedishuttle simply proposed to provide one more choice, and never pretended that it would serve only this non-English speaking, tech savvy-tourists-from Japan, China or Korea-niche manufactured by Shuttle Express in order to make a retroactive straw-man argument.”</w:t>
            </w:r>
          </w:p>
          <w:p w14:paraId="6CF1FCFF" w14:textId="77777777" w:rsidR="008C1ECF" w:rsidRPr="00F55854" w:rsidRDefault="008C1ECF" w:rsidP="00612316">
            <w:pPr>
              <w:pStyle w:val="ListParagraph"/>
              <w:rPr>
                <w:u w:val="single"/>
              </w:rPr>
            </w:pPr>
          </w:p>
        </w:tc>
      </w:tr>
      <w:tr w:rsidR="00DC4C2D" w14:paraId="35069909" w14:textId="77777777" w:rsidTr="00AA41A8">
        <w:trPr>
          <w:cantSplit/>
        </w:trPr>
        <w:tc>
          <w:tcPr>
            <w:tcW w:w="3055" w:type="dxa"/>
          </w:tcPr>
          <w:p w14:paraId="4ACE0FC0" w14:textId="77777777" w:rsidR="004B4412" w:rsidRPr="00AE5D9E" w:rsidRDefault="004B4412" w:rsidP="00612316">
            <w:pPr>
              <w:pStyle w:val="ListParagraph"/>
              <w:rPr>
                <w:b/>
              </w:rPr>
            </w:pPr>
            <w:r>
              <w:rPr>
                <w:b/>
              </w:rPr>
              <w:t>SpeediShuttle objections on basis of sustainability, overall market trends, and whether costs can be recovered</w:t>
            </w:r>
          </w:p>
        </w:tc>
        <w:tc>
          <w:tcPr>
            <w:tcW w:w="6390" w:type="dxa"/>
          </w:tcPr>
          <w:p w14:paraId="5E3F149C" w14:textId="77777777" w:rsidR="00F55854" w:rsidRDefault="003218F9" w:rsidP="00AA41A8">
            <w:pPr>
              <w:autoSpaceDE w:val="0"/>
              <w:autoSpaceDN w:val="0"/>
              <w:adjustRightInd w:val="0"/>
              <w:spacing w:before="0" w:beforeAutospacing="0" w:after="0" w:afterAutospacing="0" w:line="240" w:lineRule="auto"/>
              <w:contextualSpacing/>
            </w:pPr>
            <w:r>
              <w:rPr>
                <w:b/>
              </w:rPr>
              <w:t>SpeediShuttle (Second Revised) Testimony of H. Jack Roemer</w:t>
            </w:r>
          </w:p>
        </w:tc>
      </w:tr>
      <w:tr w:rsidR="00D67E49" w14:paraId="71036996" w14:textId="77777777" w:rsidTr="00AA41A8">
        <w:trPr>
          <w:cantSplit/>
        </w:trPr>
        <w:tc>
          <w:tcPr>
            <w:tcW w:w="3055" w:type="dxa"/>
          </w:tcPr>
          <w:p w14:paraId="5929CB7B" w14:textId="77777777" w:rsidR="00D67E49" w:rsidRDefault="00057580" w:rsidP="00D67E49">
            <w:pPr>
              <w:pStyle w:val="ListParagraph"/>
            </w:pPr>
            <w:r>
              <w:rPr>
                <w:u w:val="single"/>
              </w:rPr>
              <w:t>With current market reality of two providers unable to recover costs, Commission cannot simply maintain the status quo</w:t>
            </w:r>
            <w:r w:rsidR="00D67E49">
              <w:t>, Wood at 17:5 – 17:15</w:t>
            </w:r>
          </w:p>
          <w:p w14:paraId="33700606" w14:textId="77777777" w:rsidR="00D67E49" w:rsidRDefault="00D67E49" w:rsidP="00612316">
            <w:pPr>
              <w:pStyle w:val="ListParagraph"/>
              <w:rPr>
                <w:b/>
              </w:rPr>
            </w:pPr>
          </w:p>
        </w:tc>
        <w:tc>
          <w:tcPr>
            <w:tcW w:w="6390" w:type="dxa"/>
          </w:tcPr>
          <w:p w14:paraId="6BA3F3F0" w14:textId="77777777" w:rsidR="00D67E49" w:rsidRDefault="00057580" w:rsidP="00057580">
            <w:pPr>
              <w:pStyle w:val="ListParagraph"/>
            </w:pPr>
            <w:r>
              <w:t>Young at 3:18, “</w:t>
            </w:r>
            <w:r w:rsidR="00D67E49">
              <w:t>The Commission should maintain the status quo.</w:t>
            </w:r>
            <w:r>
              <w:t>”</w:t>
            </w:r>
            <w:r w:rsidR="0071001F">
              <w:rPr>
                <w:rStyle w:val="FootnoteReference"/>
              </w:rPr>
              <w:footnoteReference w:id="15"/>
            </w:r>
          </w:p>
          <w:p w14:paraId="16B9CD3D" w14:textId="77777777" w:rsidR="00057580" w:rsidRPr="00F55854" w:rsidRDefault="00057580" w:rsidP="00612316">
            <w:pPr>
              <w:pStyle w:val="ListParagraph"/>
              <w:rPr>
                <w:u w:val="single"/>
              </w:rPr>
            </w:pPr>
          </w:p>
        </w:tc>
      </w:tr>
      <w:tr w:rsidR="00057580" w14:paraId="474B88BA" w14:textId="77777777" w:rsidTr="00AA41A8">
        <w:trPr>
          <w:cantSplit/>
        </w:trPr>
        <w:tc>
          <w:tcPr>
            <w:tcW w:w="3055" w:type="dxa"/>
          </w:tcPr>
          <w:p w14:paraId="2AF683D3" w14:textId="77777777" w:rsidR="00057580" w:rsidRPr="00FB34D0" w:rsidRDefault="00057580" w:rsidP="00D67E49">
            <w:pPr>
              <w:pStyle w:val="ListParagraph"/>
            </w:pPr>
            <w:r w:rsidRPr="0071001F">
              <w:rPr>
                <w:u w:val="single"/>
              </w:rPr>
              <w:t xml:space="preserve">Serve public interest to have both companies continue losing money until one </w:t>
            </w:r>
            <w:r w:rsidRPr="00FB34D0">
              <w:t>exits?</w:t>
            </w:r>
            <w:r>
              <w:t>, Wood at 30:11 – 32:5</w:t>
            </w:r>
          </w:p>
        </w:tc>
        <w:tc>
          <w:tcPr>
            <w:tcW w:w="6390" w:type="dxa"/>
          </w:tcPr>
          <w:p w14:paraId="4E2BF185" w14:textId="77777777" w:rsidR="006F47A4" w:rsidRDefault="006F47A4" w:rsidP="006F47A4">
            <w:pPr>
              <w:pStyle w:val="ListParagraph"/>
            </w:pPr>
            <w:r>
              <w:t>Roemer at 46:23-24, “Thus, I believe Mr. Wood’s conclusion is directly contrary to the</w:t>
            </w:r>
          </w:p>
          <w:p w14:paraId="06DD5A2E" w14:textId="77777777" w:rsidR="006F47A4" w:rsidRDefault="006F47A4" w:rsidP="006F47A4">
            <w:pPr>
              <w:pStyle w:val="ListParagraph"/>
            </w:pPr>
            <w:r>
              <w:t>public interest.”</w:t>
            </w:r>
          </w:p>
          <w:p w14:paraId="74D94889" w14:textId="77777777" w:rsidR="006F47A4" w:rsidRDefault="006F47A4" w:rsidP="00057580">
            <w:pPr>
              <w:pStyle w:val="ListParagraph"/>
            </w:pPr>
          </w:p>
          <w:p w14:paraId="4EC0A7F4" w14:textId="77777777" w:rsidR="00057580" w:rsidRDefault="00057580" w:rsidP="00057580">
            <w:pPr>
              <w:pStyle w:val="ListParagraph"/>
            </w:pPr>
            <w:r>
              <w:t>Roemer at 48:8 – 10,</w:t>
            </w:r>
          </w:p>
          <w:p w14:paraId="4FF822F7" w14:textId="77777777" w:rsidR="00057580" w:rsidRDefault="00057580" w:rsidP="00057580">
            <w:pPr>
              <w:pStyle w:val="ListParagraph"/>
            </w:pPr>
            <w:r>
              <w:t>“So if we used average variable cost, what does it take for Speedishuttle to be profitable on its first trip?</w:t>
            </w:r>
          </w:p>
          <w:p w14:paraId="7D624A13" w14:textId="77777777" w:rsidR="00057580" w:rsidRDefault="00057580" w:rsidP="00057580">
            <w:pPr>
              <w:pStyle w:val="ListParagraph"/>
            </w:pPr>
            <w:r>
              <w:t>A. Enough passengers at our tariffed fares to exceed the cost of providing that trip.</w:t>
            </w:r>
          </w:p>
          <w:p w14:paraId="3EC0ADC5" w14:textId="77777777" w:rsidR="00057580" w:rsidRDefault="00057580" w:rsidP="00057580">
            <w:pPr>
              <w:pStyle w:val="ListParagraph"/>
            </w:pPr>
          </w:p>
          <w:p w14:paraId="00D72394" w14:textId="77777777" w:rsidR="00057580" w:rsidRDefault="00057580" w:rsidP="00057580">
            <w:pPr>
              <w:pStyle w:val="ListParagraph"/>
            </w:pPr>
            <w:r>
              <w:t>Roemer at 52:8 – 52:9, “If we lose customers, or during slow seasons, we might not want to operate at full</w:t>
            </w:r>
          </w:p>
          <w:p w14:paraId="587CA368" w14:textId="77777777" w:rsidR="006F47A4" w:rsidRDefault="00057580" w:rsidP="00057580">
            <w:pPr>
              <w:pStyle w:val="ListParagraph"/>
            </w:pPr>
            <w:r>
              <w:t>capacity in order to trim expenses.”</w:t>
            </w:r>
          </w:p>
          <w:p w14:paraId="4095A0ED" w14:textId="77777777" w:rsidR="00057580" w:rsidRDefault="00057580" w:rsidP="006F47A4">
            <w:pPr>
              <w:pStyle w:val="ListParagraph"/>
            </w:pPr>
          </w:p>
        </w:tc>
      </w:tr>
    </w:tbl>
    <w:p w14:paraId="37C91F3D" w14:textId="77777777" w:rsidR="00DC4C2D" w:rsidRPr="00DC4C2D" w:rsidRDefault="00DC4C2D" w:rsidP="00612316">
      <w:pPr>
        <w:pStyle w:val="ListParagraph"/>
      </w:pPr>
    </w:p>
    <w:p w14:paraId="39C02E91" w14:textId="77777777" w:rsidR="00EF7D9A" w:rsidRPr="00E40CB1" w:rsidRDefault="00EF7D9A" w:rsidP="00612316">
      <w:pPr>
        <w:pStyle w:val="ListParagraph"/>
      </w:pPr>
    </w:p>
    <w:p w14:paraId="1CC74E7D" w14:textId="77777777" w:rsidR="00903776" w:rsidRPr="00577928" w:rsidRDefault="00903776" w:rsidP="00612316">
      <w:pPr>
        <w:pStyle w:val="ListParagraph"/>
        <w:rPr>
          <w:b/>
        </w:rPr>
      </w:pPr>
    </w:p>
    <w:p w14:paraId="251AD4C6" w14:textId="77777777" w:rsidR="00903776" w:rsidRPr="00577928" w:rsidRDefault="00903776" w:rsidP="00FB34D0">
      <w:pPr>
        <w:pStyle w:val="ListParagraph"/>
        <w:keepNext/>
        <w:numPr>
          <w:ilvl w:val="0"/>
          <w:numId w:val="14"/>
        </w:numPr>
        <w:ind w:hanging="720"/>
        <w:rPr>
          <w:b/>
        </w:rPr>
      </w:pPr>
      <w:r w:rsidRPr="00577928">
        <w:rPr>
          <w:b/>
        </w:rPr>
        <w:t>Wesley A. Marks</w:t>
      </w:r>
    </w:p>
    <w:p w14:paraId="11616EB9" w14:textId="77777777" w:rsidR="00B100F6" w:rsidRPr="00B100F6" w:rsidRDefault="00B100F6" w:rsidP="00FB34D0">
      <w:pPr>
        <w:pStyle w:val="ListParagraph"/>
        <w:keepNext/>
        <w:numPr>
          <w:ilvl w:val="0"/>
          <w:numId w:val="6"/>
        </w:numPr>
        <w:spacing w:line="480" w:lineRule="auto"/>
        <w:ind w:left="360" w:hanging="720"/>
      </w:pPr>
    </w:p>
    <w:tbl>
      <w:tblPr>
        <w:tblStyle w:val="TableGrid"/>
        <w:tblW w:w="9450" w:type="dxa"/>
        <w:tblLook w:val="04A0" w:firstRow="1" w:lastRow="0" w:firstColumn="1" w:lastColumn="0" w:noHBand="0" w:noVBand="1"/>
      </w:tblPr>
      <w:tblGrid>
        <w:gridCol w:w="2965"/>
        <w:gridCol w:w="6485"/>
      </w:tblGrid>
      <w:tr w:rsidR="006D0D91" w:rsidRPr="00E40CB1" w14:paraId="0EB13507" w14:textId="77777777" w:rsidTr="00AA41A8">
        <w:tc>
          <w:tcPr>
            <w:tcW w:w="2965" w:type="dxa"/>
          </w:tcPr>
          <w:p w14:paraId="61E16AEC" w14:textId="77777777" w:rsidR="006D0D91" w:rsidRDefault="006D0D91" w:rsidP="00612316">
            <w:pPr>
              <w:spacing w:before="0" w:beforeAutospacing="0" w:after="0" w:afterAutospacing="0" w:line="240" w:lineRule="auto"/>
              <w:ind w:left="72" w:hanging="29"/>
              <w:contextualSpacing/>
              <w:rPr>
                <w:rFonts w:ascii="Times New Roman Bold" w:hAnsi="Times New Roman Bold"/>
                <w:b/>
              </w:rPr>
            </w:pPr>
            <w:r>
              <w:rPr>
                <w:rFonts w:ascii="Times New Roman Bold" w:hAnsi="Times New Roman Bold"/>
                <w:b/>
              </w:rPr>
              <w:t xml:space="preserve">SpeediShuttle objection on the basis of </w:t>
            </w:r>
            <w:r w:rsidRPr="00E40CB1">
              <w:rPr>
                <w:rFonts w:ascii="Times New Roman Bold" w:hAnsi="Times New Roman Bold"/>
                <w:b/>
              </w:rPr>
              <w:t>sustainability</w:t>
            </w:r>
          </w:p>
          <w:p w14:paraId="1FCFD706" w14:textId="77777777" w:rsidR="006D0D91" w:rsidRPr="006D0D91" w:rsidRDefault="006D0D91" w:rsidP="00612316">
            <w:pPr>
              <w:spacing w:before="0" w:beforeAutospacing="0" w:after="0" w:afterAutospacing="0" w:line="240" w:lineRule="auto"/>
              <w:ind w:left="72" w:hanging="29"/>
              <w:contextualSpacing/>
              <w:rPr>
                <w:rFonts w:ascii="Times New Roman Bold" w:hAnsi="Times New Roman Bold"/>
              </w:rPr>
            </w:pPr>
            <w:r w:rsidRPr="00E40CB1">
              <w:t>24: 1—25: 19</w:t>
            </w:r>
          </w:p>
          <w:p w14:paraId="0378BB41" w14:textId="77777777" w:rsidR="006D0D91" w:rsidRPr="006D0D91" w:rsidRDefault="006D0D91" w:rsidP="00612316">
            <w:pPr>
              <w:spacing w:before="0" w:beforeAutospacing="0" w:after="0" w:afterAutospacing="0" w:line="240" w:lineRule="auto"/>
              <w:ind w:left="72" w:hanging="29"/>
              <w:contextualSpacing/>
              <w:rPr>
                <w:rFonts w:ascii="Times New Roman Bold" w:hAnsi="Times New Roman Bold"/>
                <w:szCs w:val="24"/>
              </w:rPr>
            </w:pPr>
          </w:p>
          <w:p w14:paraId="49B45752" w14:textId="77777777" w:rsidR="006D0D91" w:rsidRPr="006D0D91" w:rsidRDefault="00373CAA" w:rsidP="00612316">
            <w:pPr>
              <w:pStyle w:val="ListParagraph"/>
            </w:pPr>
            <w:r w:rsidRPr="006D0D91">
              <w:rPr>
                <w:u w:val="single"/>
              </w:rPr>
              <w:t>By splitting an already decreasing market, each operator must bear additional costs to s</w:t>
            </w:r>
            <w:r>
              <w:rPr>
                <w:u w:val="single"/>
              </w:rPr>
              <w:t>upport the service they provide</w:t>
            </w:r>
          </w:p>
          <w:p w14:paraId="2686D329" w14:textId="77777777" w:rsidR="006D0D91" w:rsidRPr="00E40CB1" w:rsidRDefault="006D0D91" w:rsidP="00612316">
            <w:pPr>
              <w:pStyle w:val="ListParagraph"/>
            </w:pPr>
          </w:p>
        </w:tc>
        <w:tc>
          <w:tcPr>
            <w:tcW w:w="6485" w:type="dxa"/>
          </w:tcPr>
          <w:p w14:paraId="1D5F94BA" w14:textId="77777777" w:rsidR="003218F9" w:rsidRDefault="003218F9" w:rsidP="003218F9">
            <w:pPr>
              <w:autoSpaceDE w:val="0"/>
              <w:autoSpaceDN w:val="0"/>
              <w:adjustRightInd w:val="0"/>
              <w:spacing w:before="0" w:beforeAutospacing="0" w:after="0" w:afterAutospacing="0" w:line="240" w:lineRule="auto"/>
              <w:contextualSpacing/>
              <w:rPr>
                <w:b/>
              </w:rPr>
            </w:pPr>
            <w:r>
              <w:rPr>
                <w:b/>
              </w:rPr>
              <w:t>SpeediShuttle (Second Revised) Testimony of H. Jack Roemer</w:t>
            </w:r>
          </w:p>
          <w:p w14:paraId="76D96C53" w14:textId="77777777" w:rsidR="003218F9" w:rsidRDefault="003218F9" w:rsidP="00612316">
            <w:pPr>
              <w:spacing w:before="0" w:beforeAutospacing="0" w:after="0" w:afterAutospacing="0" w:line="240" w:lineRule="auto"/>
              <w:contextualSpacing/>
            </w:pPr>
          </w:p>
          <w:p w14:paraId="0E1D944E" w14:textId="77777777" w:rsidR="006D0D91" w:rsidRDefault="00AA41A8" w:rsidP="00612316">
            <w:pPr>
              <w:spacing w:before="0" w:beforeAutospacing="0" w:after="0" w:afterAutospacing="0" w:line="240" w:lineRule="auto"/>
              <w:contextualSpacing/>
            </w:pPr>
            <w:r>
              <w:t>Roemer at 52:4</w:t>
            </w:r>
            <w:r w:rsidR="006D0D91">
              <w:t xml:space="preserve">, “This is </w:t>
            </w:r>
            <w:r>
              <w:t>an issue of economies of scale.”</w:t>
            </w:r>
          </w:p>
          <w:p w14:paraId="1FCF3A65" w14:textId="77777777" w:rsidR="006D0D91" w:rsidRDefault="006D0D91" w:rsidP="00612316">
            <w:pPr>
              <w:spacing w:before="0" w:beforeAutospacing="0" w:after="0" w:afterAutospacing="0" w:line="240" w:lineRule="auto"/>
              <w:contextualSpacing/>
            </w:pPr>
          </w:p>
          <w:p w14:paraId="6C000829" w14:textId="77777777" w:rsidR="006D0D91" w:rsidRDefault="006D0D91" w:rsidP="00612316">
            <w:pPr>
              <w:spacing w:before="0" w:beforeAutospacing="0" w:after="0" w:afterAutospacing="0" w:line="240" w:lineRule="auto"/>
              <w:contextualSpacing/>
            </w:pPr>
            <w:r>
              <w:t>Roemer at 44:8 – 12, “Yes, by his “doomsday scenario” here, Mr. Wood apparently does not fully grasp the</w:t>
            </w:r>
          </w:p>
          <w:p w14:paraId="5845F412" w14:textId="77777777" w:rsidR="006D0D91" w:rsidRPr="006D0D91" w:rsidRDefault="006D0D91" w:rsidP="00612316">
            <w:pPr>
              <w:spacing w:before="0" w:beforeAutospacing="0" w:after="0" w:afterAutospacing="0" w:line="240" w:lineRule="auto"/>
              <w:contextualSpacing/>
            </w:pPr>
            <w:r>
              <w:t>economies of scale. While it might be true that if you lose passengers and do not adapt you may fail, before that would ever occur, a well-run business would try to adapt and innovate. A simple reduction of fleet size could avoid the kind of losses that result in a total failure in this industry.</w:t>
            </w:r>
          </w:p>
        </w:tc>
      </w:tr>
    </w:tbl>
    <w:p w14:paraId="3F4C02E4" w14:textId="77777777" w:rsidR="00FB07B0" w:rsidRPr="00E40CB1" w:rsidRDefault="00FB07B0" w:rsidP="00612316">
      <w:pPr>
        <w:spacing w:before="0" w:beforeAutospacing="0" w:after="0" w:afterAutospacing="0"/>
        <w:contextualSpacing/>
      </w:pPr>
    </w:p>
    <w:p w14:paraId="6217CB41" w14:textId="77777777" w:rsidR="002E0263" w:rsidRPr="00E40CB1" w:rsidRDefault="00A13C0E" w:rsidP="00612316">
      <w:pPr>
        <w:spacing w:before="0" w:beforeAutospacing="0" w:after="0" w:afterAutospacing="0"/>
        <w:contextualSpacing/>
        <w:jc w:val="center"/>
        <w:rPr>
          <w:b/>
          <w:u w:val="single"/>
        </w:rPr>
      </w:pPr>
      <w:r>
        <w:rPr>
          <w:b/>
          <w:u w:val="single"/>
        </w:rPr>
        <w:t>CONCLUS</w:t>
      </w:r>
      <w:r w:rsidR="002E0263" w:rsidRPr="00E40CB1">
        <w:rPr>
          <w:b/>
          <w:u w:val="single"/>
        </w:rPr>
        <w:t>ION</w:t>
      </w:r>
    </w:p>
    <w:p w14:paraId="45DD6211" w14:textId="77777777" w:rsidR="00F2146B" w:rsidRPr="005F313F" w:rsidRDefault="00A13C0E" w:rsidP="005F313F">
      <w:pPr>
        <w:pStyle w:val="ListParagraph"/>
        <w:numPr>
          <w:ilvl w:val="0"/>
          <w:numId w:val="6"/>
        </w:numPr>
        <w:spacing w:line="480" w:lineRule="auto"/>
        <w:ind w:left="360" w:hanging="720"/>
        <w:rPr>
          <w:rFonts w:cs="Times New Roman"/>
          <w:szCs w:val="24"/>
        </w:rPr>
      </w:pPr>
      <w:r w:rsidRPr="00E40CB1">
        <w:rPr>
          <w:rFonts w:cs="Times New Roman"/>
          <w:szCs w:val="24"/>
        </w:rPr>
        <w:t>As the Commission acknowledged in Order 14, the Complaint has never been narrowed.  Respondent should not be allowed, in the guise of yet another</w:t>
      </w:r>
      <w:r>
        <w:rPr>
          <w:rFonts w:cs="Times New Roman"/>
          <w:szCs w:val="24"/>
        </w:rPr>
        <w:t>,</w:t>
      </w:r>
      <w:r w:rsidRPr="00E40CB1">
        <w:rPr>
          <w:rFonts w:cs="Times New Roman"/>
          <w:szCs w:val="24"/>
        </w:rPr>
        <w:t xml:space="preserve"> last-minute</w:t>
      </w:r>
      <w:r>
        <w:rPr>
          <w:rFonts w:cs="Times New Roman"/>
          <w:szCs w:val="24"/>
        </w:rPr>
        <w:t>,</w:t>
      </w:r>
      <w:r w:rsidRPr="00E40CB1">
        <w:rPr>
          <w:rFonts w:cs="Times New Roman"/>
          <w:szCs w:val="24"/>
        </w:rPr>
        <w:t xml:space="preserve"> motion in limine, to re-litigate Commission Orders 06, 08, 09, 14</w:t>
      </w:r>
      <w:r w:rsidR="004E0D1F">
        <w:rPr>
          <w:rFonts w:cs="Times New Roman"/>
          <w:szCs w:val="24"/>
        </w:rPr>
        <w:t>,</w:t>
      </w:r>
      <w:r w:rsidRPr="00E40CB1">
        <w:rPr>
          <w:rFonts w:cs="Times New Roman"/>
          <w:szCs w:val="24"/>
        </w:rPr>
        <w:t xml:space="preserve"> and 16.</w:t>
      </w:r>
      <w:r w:rsidR="00487698">
        <w:rPr>
          <w:rFonts w:cs="Times New Roman"/>
          <w:szCs w:val="24"/>
        </w:rPr>
        <w:t xml:space="preserve"> </w:t>
      </w:r>
      <w:r w:rsidRPr="00E40CB1">
        <w:rPr>
          <w:rFonts w:cs="Times New Roman"/>
          <w:szCs w:val="24"/>
        </w:rPr>
        <w:t xml:space="preserve"> The arguments in the </w:t>
      </w:r>
      <w:r w:rsidR="004E0D1F">
        <w:rPr>
          <w:rFonts w:cs="Times New Roman"/>
          <w:szCs w:val="24"/>
        </w:rPr>
        <w:t>m</w:t>
      </w:r>
      <w:r w:rsidRPr="00E40CB1">
        <w:rPr>
          <w:rFonts w:cs="Times New Roman"/>
          <w:szCs w:val="24"/>
        </w:rPr>
        <w:t xml:space="preserve">otion </w:t>
      </w:r>
      <w:r w:rsidR="004E0D1F">
        <w:rPr>
          <w:rFonts w:cs="Times New Roman"/>
          <w:szCs w:val="24"/>
        </w:rPr>
        <w:t xml:space="preserve">regarding relevance </w:t>
      </w:r>
      <w:r w:rsidRPr="00E40CB1">
        <w:rPr>
          <w:rFonts w:cs="Times New Roman"/>
          <w:szCs w:val="24"/>
        </w:rPr>
        <w:t xml:space="preserve">are best reserved for post-hearing briefing after all the evidence is in.  </w:t>
      </w:r>
      <w:r w:rsidR="000631C1">
        <w:rPr>
          <w:rFonts w:cs="Times New Roman"/>
          <w:szCs w:val="24"/>
        </w:rPr>
        <w:t xml:space="preserve">Moreover, exclusion of </w:t>
      </w:r>
      <w:r w:rsidR="00487698">
        <w:rPr>
          <w:rFonts w:cs="Times New Roman"/>
          <w:szCs w:val="24"/>
        </w:rPr>
        <w:t xml:space="preserve">Shuttle Express </w:t>
      </w:r>
      <w:r w:rsidR="000631C1">
        <w:rPr>
          <w:rFonts w:cs="Times New Roman"/>
          <w:szCs w:val="24"/>
        </w:rPr>
        <w:t xml:space="preserve">testimony that rebuts </w:t>
      </w:r>
      <w:r w:rsidR="00487698">
        <w:rPr>
          <w:rFonts w:cs="Times New Roman"/>
          <w:szCs w:val="24"/>
        </w:rPr>
        <w:t xml:space="preserve">Speedishuttle’s </w:t>
      </w:r>
      <w:r w:rsidR="000631C1">
        <w:rPr>
          <w:rFonts w:cs="Times New Roman"/>
          <w:szCs w:val="24"/>
        </w:rPr>
        <w:t xml:space="preserve">testimony would be contrary to the </w:t>
      </w:r>
      <w:r w:rsidR="00577928">
        <w:rPr>
          <w:rFonts w:cs="Times New Roman"/>
          <w:szCs w:val="24"/>
        </w:rPr>
        <w:t xml:space="preserve">public service laws, the APA, </w:t>
      </w:r>
      <w:r w:rsidR="000631C1">
        <w:rPr>
          <w:rFonts w:cs="Times New Roman"/>
          <w:szCs w:val="24"/>
        </w:rPr>
        <w:t>and</w:t>
      </w:r>
      <w:r w:rsidR="00D11432">
        <w:rPr>
          <w:rFonts w:cs="Times New Roman"/>
          <w:szCs w:val="24"/>
        </w:rPr>
        <w:t xml:space="preserve"> principles of</w:t>
      </w:r>
      <w:r w:rsidR="000631C1">
        <w:rPr>
          <w:rFonts w:cs="Times New Roman"/>
          <w:szCs w:val="24"/>
        </w:rPr>
        <w:t xml:space="preserve"> due process.</w:t>
      </w:r>
      <w:r w:rsidR="00577928">
        <w:rPr>
          <w:rFonts w:cs="Times New Roman"/>
          <w:szCs w:val="24"/>
        </w:rPr>
        <w:t xml:space="preserve">  Worse, by excluding extensive testimony addressing the public interest issues that were directly raised, denied</w:t>
      </w:r>
      <w:r w:rsidR="00AA41A8">
        <w:rPr>
          <w:rFonts w:cs="Times New Roman"/>
          <w:szCs w:val="24"/>
        </w:rPr>
        <w:t>,</w:t>
      </w:r>
      <w:r w:rsidR="00577928">
        <w:rPr>
          <w:rFonts w:cs="Times New Roman"/>
          <w:szCs w:val="24"/>
        </w:rPr>
        <w:t xml:space="preserve"> or shrugged off by Mr. Roemer, the Commission would be committing reversible error.</w:t>
      </w:r>
    </w:p>
    <w:p w14:paraId="5907FDC4" w14:textId="77777777" w:rsidR="00F2146B" w:rsidRDefault="00F2146B" w:rsidP="00AA41A8">
      <w:pPr>
        <w:keepNext/>
        <w:keepLines/>
        <w:spacing w:before="0" w:beforeAutospacing="0" w:after="0" w:afterAutospacing="0" w:line="240" w:lineRule="auto"/>
        <w:ind w:left="5040"/>
        <w:contextualSpacing/>
      </w:pPr>
      <w:r>
        <w:lastRenderedPageBreak/>
        <w:t>Respectfully submitted,</w:t>
      </w:r>
    </w:p>
    <w:p w14:paraId="229F2F02" w14:textId="77777777" w:rsidR="00F2146B" w:rsidRDefault="00F2146B" w:rsidP="00AA41A8">
      <w:pPr>
        <w:keepNext/>
        <w:keepLines/>
        <w:spacing w:before="0" w:beforeAutospacing="0" w:after="0" w:afterAutospacing="0" w:line="240" w:lineRule="auto"/>
        <w:ind w:left="5040"/>
        <w:contextualSpacing/>
        <w:rPr>
          <w:noProof/>
        </w:rPr>
      </w:pPr>
    </w:p>
    <w:p w14:paraId="4FDB1B4B" w14:textId="77777777" w:rsidR="00F2146B" w:rsidRPr="00D726C8" w:rsidRDefault="00F2146B" w:rsidP="00AA41A8">
      <w:pPr>
        <w:keepNext/>
        <w:keepLines/>
        <w:tabs>
          <w:tab w:val="left" w:pos="5850"/>
        </w:tabs>
        <w:spacing w:before="0" w:beforeAutospacing="0" w:after="0" w:afterAutospacing="0" w:line="240" w:lineRule="auto"/>
        <w:ind w:left="5040"/>
        <w:contextualSpacing/>
        <w:rPr>
          <w:noProof/>
          <w:u w:val="single"/>
        </w:rPr>
      </w:pPr>
      <w:r>
        <w:rPr>
          <w:noProof/>
          <w:u w:val="single"/>
        </w:rPr>
        <w:tab/>
      </w:r>
      <w:r w:rsidRPr="00D726C8">
        <w:rPr>
          <w:noProof/>
          <w:u w:val="single"/>
        </w:rPr>
        <w:t>/s/</w:t>
      </w:r>
      <w:r w:rsidRPr="00D726C8">
        <w:rPr>
          <w:noProof/>
          <w:u w:val="single"/>
        </w:rPr>
        <w:tab/>
      </w:r>
      <w:r>
        <w:rPr>
          <w:noProof/>
          <w:u w:val="single"/>
        </w:rPr>
        <w:tab/>
      </w:r>
      <w:r>
        <w:rPr>
          <w:noProof/>
          <w:u w:val="single"/>
        </w:rPr>
        <w:tab/>
      </w:r>
      <w:r>
        <w:rPr>
          <w:noProof/>
          <w:u w:val="single"/>
        </w:rPr>
        <w:tab/>
      </w:r>
    </w:p>
    <w:p w14:paraId="23B2F599" w14:textId="77777777" w:rsidR="00F2146B" w:rsidRDefault="00F2146B" w:rsidP="00AA41A8">
      <w:pPr>
        <w:keepNext/>
        <w:keepLines/>
        <w:spacing w:before="0" w:beforeAutospacing="0" w:after="0" w:afterAutospacing="0" w:line="240" w:lineRule="auto"/>
        <w:ind w:left="5040"/>
        <w:contextualSpacing/>
      </w:pPr>
      <w:r>
        <w:t>Brooks E. Harlow, WSBA # 11843</w:t>
      </w:r>
    </w:p>
    <w:p w14:paraId="2384B0E5" w14:textId="77777777" w:rsidR="00F2146B" w:rsidRDefault="00F2146B" w:rsidP="00AA41A8">
      <w:pPr>
        <w:keepNext/>
        <w:keepLines/>
        <w:spacing w:before="0" w:beforeAutospacing="0" w:after="0" w:afterAutospacing="0" w:line="240" w:lineRule="auto"/>
        <w:ind w:left="5040"/>
        <w:contextualSpacing/>
      </w:pPr>
      <w:r>
        <w:t>Lukas, LaFuria, Gutierrez &amp; Sachs, LLP</w:t>
      </w:r>
    </w:p>
    <w:p w14:paraId="34831184" w14:textId="77777777" w:rsidR="00F2146B" w:rsidRDefault="00F2146B" w:rsidP="00AA41A8">
      <w:pPr>
        <w:keepNext/>
        <w:keepLines/>
        <w:spacing w:before="0" w:beforeAutospacing="0" w:after="0" w:afterAutospacing="0" w:line="240" w:lineRule="auto"/>
        <w:ind w:left="5040"/>
        <w:contextualSpacing/>
      </w:pPr>
      <w:r>
        <w:t>8300 Greensboro Drive, Suite 1200</w:t>
      </w:r>
    </w:p>
    <w:p w14:paraId="2343C401" w14:textId="77777777" w:rsidR="00F2146B" w:rsidRDefault="00F2146B" w:rsidP="00AA41A8">
      <w:pPr>
        <w:keepNext/>
        <w:keepLines/>
        <w:spacing w:before="0" w:beforeAutospacing="0" w:after="0" w:afterAutospacing="0" w:line="240" w:lineRule="auto"/>
        <w:ind w:left="5040"/>
        <w:contextualSpacing/>
      </w:pPr>
      <w:r>
        <w:t>Tysons, VA  22102</w:t>
      </w:r>
    </w:p>
    <w:p w14:paraId="79C3260A" w14:textId="77777777" w:rsidR="00F2146B" w:rsidRDefault="00F2146B" w:rsidP="00AA41A8">
      <w:pPr>
        <w:keepNext/>
        <w:keepLines/>
        <w:spacing w:before="0" w:beforeAutospacing="0" w:after="0" w:afterAutospacing="0" w:line="240" w:lineRule="auto"/>
        <w:ind w:left="5040"/>
        <w:contextualSpacing/>
      </w:pPr>
      <w:r>
        <w:t>Direct: (703) 584-8680</w:t>
      </w:r>
    </w:p>
    <w:p w14:paraId="4E973901" w14:textId="77777777" w:rsidR="00F2146B" w:rsidRDefault="00F2146B" w:rsidP="00AA41A8">
      <w:pPr>
        <w:keepNext/>
        <w:keepLines/>
        <w:spacing w:before="0" w:beforeAutospacing="0" w:after="0" w:afterAutospacing="0" w:line="240" w:lineRule="auto"/>
        <w:ind w:left="5040"/>
        <w:contextualSpacing/>
      </w:pPr>
      <w:r>
        <w:t>Cell: (206) 650-8206</w:t>
      </w:r>
    </w:p>
    <w:p w14:paraId="1A72C072" w14:textId="77777777" w:rsidR="00F2146B" w:rsidRDefault="00F2146B" w:rsidP="00AA41A8">
      <w:pPr>
        <w:keepNext/>
        <w:keepLines/>
        <w:spacing w:before="0" w:beforeAutospacing="0" w:after="0" w:afterAutospacing="0" w:line="240" w:lineRule="auto"/>
        <w:ind w:left="5040"/>
        <w:contextualSpacing/>
      </w:pPr>
      <w:r>
        <w:t>bharlow@fcclaw.com</w:t>
      </w:r>
    </w:p>
    <w:p w14:paraId="3F4D8A2A" w14:textId="77777777" w:rsidR="00F2146B" w:rsidRDefault="00F2146B" w:rsidP="00AA41A8">
      <w:pPr>
        <w:keepNext/>
        <w:keepLines/>
        <w:spacing w:before="0" w:beforeAutospacing="0" w:after="0" w:afterAutospacing="0" w:line="240" w:lineRule="auto"/>
        <w:ind w:left="5040"/>
        <w:contextualSpacing/>
      </w:pPr>
    </w:p>
    <w:p w14:paraId="1CBA424E" w14:textId="77777777" w:rsidR="00F2146B" w:rsidRPr="008F38A6" w:rsidRDefault="00F2146B" w:rsidP="00AA41A8">
      <w:pPr>
        <w:keepNext/>
        <w:keepLines/>
        <w:spacing w:before="0" w:beforeAutospacing="0" w:after="0" w:afterAutospacing="0" w:line="240" w:lineRule="auto"/>
        <w:ind w:left="5040"/>
        <w:contextualSpacing/>
        <w:rPr>
          <w:i/>
        </w:rPr>
      </w:pPr>
      <w:r>
        <w:rPr>
          <w:i/>
        </w:rPr>
        <w:t>Counsel for Shuttle Express, Inc.</w:t>
      </w:r>
    </w:p>
    <w:p w14:paraId="308E6408" w14:textId="77777777" w:rsidR="00F2146B" w:rsidRDefault="00F2146B" w:rsidP="00AA41A8">
      <w:pPr>
        <w:keepNext/>
        <w:keepLines/>
        <w:spacing w:before="0" w:beforeAutospacing="0" w:after="0" w:afterAutospacing="0" w:line="240" w:lineRule="auto"/>
        <w:ind w:left="5040"/>
        <w:contextualSpacing/>
      </w:pPr>
    </w:p>
    <w:p w14:paraId="61A05B80" w14:textId="77777777" w:rsidR="00F2146B" w:rsidRPr="00E40CB1" w:rsidRDefault="00F2146B" w:rsidP="00AA41A8">
      <w:pPr>
        <w:keepNext/>
        <w:keepLines/>
        <w:spacing w:before="0" w:beforeAutospacing="0" w:after="0" w:afterAutospacing="0" w:line="240" w:lineRule="auto"/>
        <w:contextualSpacing/>
      </w:pPr>
      <w:r>
        <w:t>Dated: May 4, 2017</w:t>
      </w:r>
    </w:p>
    <w:sectPr w:rsidR="00F2146B" w:rsidRPr="00E40CB1" w:rsidSect="0056380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96576" w14:textId="77777777" w:rsidR="00CE521D" w:rsidRDefault="00CE521D" w:rsidP="00D43B10">
      <w:pPr>
        <w:spacing w:before="0" w:after="0" w:line="240" w:lineRule="auto"/>
      </w:pPr>
      <w:r>
        <w:separator/>
      </w:r>
    </w:p>
  </w:endnote>
  <w:endnote w:type="continuationSeparator" w:id="0">
    <w:p w14:paraId="7FA66310" w14:textId="77777777" w:rsidR="00CE521D" w:rsidRDefault="00CE521D" w:rsidP="00D43B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62016" w14:textId="77777777" w:rsidR="00761BB4" w:rsidRDefault="00761B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BCE92" w14:textId="77777777" w:rsidR="004F2962" w:rsidRDefault="004F2962" w:rsidP="0056380D">
    <w:pPr>
      <w:pStyle w:val="Footer"/>
      <w:spacing w:before="100" w:after="100"/>
      <w:jc w:val="center"/>
    </w:pPr>
    <w:r>
      <w:fldChar w:fldCharType="begin"/>
    </w:r>
    <w:r>
      <w:instrText xml:space="preserve"> PAGE   \* MERGEFORMAT </w:instrText>
    </w:r>
    <w:r>
      <w:fldChar w:fldCharType="separate"/>
    </w:r>
    <w:r w:rsidR="003326D1">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D7B93" w14:textId="77777777" w:rsidR="00761BB4" w:rsidRDefault="00761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6993" w14:textId="77777777" w:rsidR="00CE521D" w:rsidRDefault="00CE521D" w:rsidP="00D43B10">
      <w:pPr>
        <w:spacing w:before="0" w:after="0" w:line="240" w:lineRule="auto"/>
      </w:pPr>
      <w:r>
        <w:separator/>
      </w:r>
    </w:p>
  </w:footnote>
  <w:footnote w:type="continuationSeparator" w:id="0">
    <w:p w14:paraId="2EB12EEE" w14:textId="77777777" w:rsidR="00CE521D" w:rsidRDefault="00CE521D" w:rsidP="00D43B10">
      <w:pPr>
        <w:spacing w:before="0" w:after="0" w:line="240" w:lineRule="auto"/>
      </w:pPr>
      <w:r>
        <w:continuationSeparator/>
      </w:r>
    </w:p>
  </w:footnote>
  <w:footnote w:id="1">
    <w:p w14:paraId="5E62241F" w14:textId="77777777" w:rsidR="00E40CB1" w:rsidRPr="00190C7A" w:rsidRDefault="00E40CB1" w:rsidP="00E40CB1">
      <w:pPr>
        <w:pStyle w:val="FootnoteText"/>
        <w:rPr>
          <w:rFonts w:ascii="Times New Roman" w:hAnsi="Times New Roman" w:cs="Times New Roman"/>
        </w:rPr>
      </w:pPr>
      <w:r w:rsidRPr="00190C7A">
        <w:rPr>
          <w:rStyle w:val="FootnoteReference"/>
          <w:rFonts w:ascii="Times New Roman" w:hAnsi="Times New Roman" w:cs="Times New Roman"/>
        </w:rPr>
        <w:footnoteRef/>
      </w:r>
      <w:r w:rsidRPr="00190C7A">
        <w:rPr>
          <w:rStyle w:val="FootnoteReference"/>
          <w:rFonts w:ascii="Times New Roman" w:hAnsi="Times New Roman" w:cs="Times New Roman"/>
        </w:rPr>
        <w:footnoteRef/>
      </w:r>
      <w:r w:rsidRPr="00190C7A">
        <w:rPr>
          <w:rFonts w:ascii="Times New Roman" w:hAnsi="Times New Roman" w:cs="Times New Roman"/>
        </w:rPr>
        <w:t xml:space="preserve"> Factually, this answer is based generally on the record in the case and prior filings, primarily the pre-filed direct and rebuttal testimonies of S</w:t>
      </w:r>
      <w:r w:rsidR="00FC67AC" w:rsidRPr="00190C7A">
        <w:rPr>
          <w:rFonts w:ascii="Times New Roman" w:hAnsi="Times New Roman" w:cs="Times New Roman"/>
        </w:rPr>
        <w:t>huttle Express</w:t>
      </w:r>
      <w:r w:rsidRPr="00190C7A">
        <w:rPr>
          <w:rFonts w:ascii="Times New Roman" w:hAnsi="Times New Roman" w:cs="Times New Roman"/>
        </w:rPr>
        <w:t>.  The legal arguments in S</w:t>
      </w:r>
      <w:r w:rsidR="00FC67AC" w:rsidRPr="00190C7A">
        <w:rPr>
          <w:rFonts w:ascii="Times New Roman" w:hAnsi="Times New Roman" w:cs="Times New Roman"/>
        </w:rPr>
        <w:t>huttle Express</w:t>
      </w:r>
      <w:r w:rsidRPr="00190C7A">
        <w:rPr>
          <w:rFonts w:ascii="Times New Roman" w:hAnsi="Times New Roman" w:cs="Times New Roman"/>
        </w:rPr>
        <w:t xml:space="preserve">’s answer to the prior </w:t>
      </w:r>
      <w:r w:rsidR="00FC67AC" w:rsidRPr="00190C7A">
        <w:rPr>
          <w:rFonts w:ascii="Times New Roman" w:hAnsi="Times New Roman" w:cs="Times New Roman"/>
        </w:rPr>
        <w:t xml:space="preserve">SpeediShuttle </w:t>
      </w:r>
      <w:r w:rsidRPr="00190C7A">
        <w:rPr>
          <w:rFonts w:ascii="Times New Roman" w:hAnsi="Times New Roman" w:cs="Times New Roman"/>
        </w:rPr>
        <w:t xml:space="preserve">motion in limine are also relevant.  Thus, they are partially repeated here.  In addition, to avoid inadvertent waiver and undue repetition, the prior answer is also incorporated by this reference.  </w:t>
      </w:r>
    </w:p>
  </w:footnote>
  <w:footnote w:id="2">
    <w:p w14:paraId="761093EC" w14:textId="77777777" w:rsidR="00961662" w:rsidRPr="00190C7A" w:rsidRDefault="00961662" w:rsidP="00961662">
      <w:pPr>
        <w:pStyle w:val="FootnoteText"/>
        <w:rPr>
          <w:rFonts w:ascii="Times New Roman" w:hAnsi="Times New Roman" w:cs="Times New Roman"/>
        </w:rPr>
      </w:pPr>
      <w:r w:rsidRPr="00190C7A">
        <w:rPr>
          <w:rStyle w:val="FootnoteReference"/>
          <w:rFonts w:ascii="Times New Roman" w:hAnsi="Times New Roman" w:cs="Times New Roman"/>
        </w:rPr>
        <w:footnoteRef/>
      </w:r>
      <w:r w:rsidRPr="00190C7A">
        <w:rPr>
          <w:rFonts w:ascii="Times New Roman" w:hAnsi="Times New Roman" w:cs="Times New Roman"/>
        </w:rPr>
        <w:t xml:space="preserve"> For simplicity’s sake, </w:t>
      </w:r>
      <w:r w:rsidR="00FC67AC" w:rsidRPr="00190C7A">
        <w:rPr>
          <w:rFonts w:ascii="Times New Roman" w:hAnsi="Times New Roman" w:cs="Times New Roman"/>
        </w:rPr>
        <w:t xml:space="preserve">all </w:t>
      </w:r>
      <w:r w:rsidRPr="00190C7A">
        <w:rPr>
          <w:rFonts w:ascii="Times New Roman" w:hAnsi="Times New Roman" w:cs="Times New Roman"/>
        </w:rPr>
        <w:t>order citations herein are to the order numbers in Docket TC-143691.</w:t>
      </w:r>
    </w:p>
  </w:footnote>
  <w:footnote w:id="3">
    <w:p w14:paraId="7507BCB1" w14:textId="77777777" w:rsidR="00E40CB1" w:rsidRPr="00190C7A" w:rsidRDefault="00E40CB1">
      <w:pPr>
        <w:pStyle w:val="FootnoteText"/>
        <w:rPr>
          <w:rFonts w:ascii="Times New Roman" w:hAnsi="Times New Roman" w:cs="Times New Roman"/>
        </w:rPr>
      </w:pPr>
      <w:r w:rsidRPr="00190C7A">
        <w:rPr>
          <w:rStyle w:val="FootnoteReference"/>
          <w:rFonts w:ascii="Times New Roman" w:hAnsi="Times New Roman" w:cs="Times New Roman"/>
        </w:rPr>
        <w:footnoteRef/>
      </w:r>
      <w:r w:rsidRPr="00190C7A">
        <w:rPr>
          <w:rFonts w:ascii="Times New Roman" w:hAnsi="Times New Roman" w:cs="Times New Roman"/>
        </w:rPr>
        <w:t xml:space="preserve"> As Order 06 noted:  “Shuttle Express alleges …  the effect of Order 04 has caused it to suffer financially…. Shuttle Express [alleges] that Shuttle Express is aggrieved by the effect of Order 04.”  And Order 08 notes:  “Shuttle Express alleges that Speedishuttle is not targeting the customers the Commission authorized that company to serve and is providing the same service Shuttle Express has the exclusive right to provide, resulting in injury to Shuttle Express. These allegations provide sufficient </w:t>
      </w:r>
      <w:r w:rsidR="00961662" w:rsidRPr="00190C7A">
        <w:rPr>
          <w:rFonts w:ascii="Times New Roman" w:hAnsi="Times New Roman" w:cs="Times New Roman"/>
        </w:rPr>
        <w:t>‘</w:t>
      </w:r>
      <w:r w:rsidRPr="00190C7A">
        <w:rPr>
          <w:rFonts w:ascii="Times New Roman" w:hAnsi="Times New Roman" w:cs="Times New Roman"/>
        </w:rPr>
        <w:t>ground</w:t>
      </w:r>
      <w:r w:rsidR="00961662" w:rsidRPr="00190C7A">
        <w:rPr>
          <w:rFonts w:ascii="Times New Roman" w:hAnsi="Times New Roman" w:cs="Times New Roman"/>
        </w:rPr>
        <w:t>s and reasons’</w:t>
      </w:r>
      <w:r w:rsidRPr="00190C7A">
        <w:rPr>
          <w:rFonts w:ascii="Times New Roman" w:hAnsi="Times New Roman" w:cs="Times New Roman"/>
        </w:rPr>
        <w:t xml:space="preserve"> to exercise discretion to grant the Petition for Rehearing.”</w:t>
      </w:r>
      <w:r w:rsidR="00961662" w:rsidRPr="00190C7A">
        <w:rPr>
          <w:rFonts w:ascii="Times New Roman" w:hAnsi="Times New Roman" w:cs="Times New Roman"/>
        </w:rPr>
        <w:t xml:space="preserve">  Thus</w:t>
      </w:r>
      <w:r w:rsidR="00AA41A8">
        <w:rPr>
          <w:rFonts w:ascii="Times New Roman" w:hAnsi="Times New Roman" w:cs="Times New Roman"/>
        </w:rPr>
        <w:t>,</w:t>
      </w:r>
      <w:r w:rsidR="00961662" w:rsidRPr="00190C7A">
        <w:rPr>
          <w:rFonts w:ascii="Times New Roman" w:hAnsi="Times New Roman" w:cs="Times New Roman"/>
        </w:rPr>
        <w:t xml:space="preserve"> under Orders 06 and 08, which are still law of the case, evidence of financial harm to Shuttle Express and evidence that that harm was caused by Speedishuttle’s entry are more than relevant.  That evidence is inherent to </w:t>
      </w:r>
      <w:r w:rsidR="00FC67AC" w:rsidRPr="00190C7A">
        <w:rPr>
          <w:rFonts w:ascii="Times New Roman" w:hAnsi="Times New Roman" w:cs="Times New Roman"/>
        </w:rPr>
        <w:t xml:space="preserve">Shuttle Express’s </w:t>
      </w:r>
      <w:r w:rsidR="00961662" w:rsidRPr="00190C7A">
        <w:rPr>
          <w:rFonts w:ascii="Times New Roman" w:hAnsi="Times New Roman" w:cs="Times New Roman"/>
        </w:rPr>
        <w:t>burden of proof on the rehearing law.</w:t>
      </w:r>
    </w:p>
  </w:footnote>
  <w:footnote w:id="4">
    <w:p w14:paraId="44DECB29" w14:textId="77777777" w:rsidR="004A2FFC" w:rsidRPr="00190C7A" w:rsidRDefault="004A2FFC">
      <w:pPr>
        <w:pStyle w:val="FootnoteText"/>
        <w:rPr>
          <w:rFonts w:ascii="Times New Roman" w:hAnsi="Times New Roman" w:cs="Times New Roman"/>
        </w:rPr>
      </w:pPr>
      <w:r w:rsidRPr="00190C7A">
        <w:rPr>
          <w:rStyle w:val="FootnoteReference"/>
          <w:rFonts w:ascii="Times New Roman" w:hAnsi="Times New Roman" w:cs="Times New Roman"/>
        </w:rPr>
        <w:footnoteRef/>
      </w:r>
      <w:r w:rsidRPr="00190C7A">
        <w:rPr>
          <w:rFonts w:ascii="Times New Roman" w:hAnsi="Times New Roman" w:cs="Times New Roman"/>
        </w:rPr>
        <w:t xml:space="preserve"> The statement that the issue of “market sustainability … was rejected in Order 04” is certainly puzzling.  The issue was only mentioned in the context of summarizing Capital Aeroporter’s arguments and then it was never directly discussed anywhere else in the order.</w:t>
      </w:r>
    </w:p>
  </w:footnote>
  <w:footnote w:id="5">
    <w:p w14:paraId="3224BD49" w14:textId="77777777" w:rsidR="004A2FFC" w:rsidRPr="00190C7A" w:rsidRDefault="004A2FFC">
      <w:pPr>
        <w:pStyle w:val="FootnoteText"/>
        <w:rPr>
          <w:rFonts w:ascii="Times New Roman" w:hAnsi="Times New Roman" w:cs="Times New Roman"/>
        </w:rPr>
      </w:pPr>
      <w:r w:rsidRPr="00190C7A">
        <w:rPr>
          <w:rStyle w:val="FootnoteReference"/>
          <w:rFonts w:ascii="Times New Roman" w:hAnsi="Times New Roman" w:cs="Times New Roman"/>
        </w:rPr>
        <w:footnoteRef/>
      </w:r>
      <w:r w:rsidRPr="00190C7A">
        <w:rPr>
          <w:rFonts w:ascii="Times New Roman" w:hAnsi="Times New Roman" w:cs="Times New Roman"/>
        </w:rPr>
        <w:t xml:space="preserve"> </w:t>
      </w:r>
      <w:r w:rsidRPr="00190C7A">
        <w:rPr>
          <w:rFonts w:ascii="Times New Roman" w:hAnsi="Times New Roman" w:cs="Times New Roman"/>
          <w:u w:val="single"/>
        </w:rPr>
        <w:t>All</w:t>
      </w:r>
      <w:r w:rsidRPr="00190C7A">
        <w:rPr>
          <w:rFonts w:ascii="Times New Roman" w:hAnsi="Times New Roman" w:cs="Times New Roman"/>
        </w:rPr>
        <w:t xml:space="preserve"> of Mr. Kajanoff’s testimony was submitted in the context of </w:t>
      </w:r>
      <w:r w:rsidR="00FC67AC" w:rsidRPr="00190C7A">
        <w:rPr>
          <w:rFonts w:ascii="Times New Roman" w:hAnsi="Times New Roman" w:cs="Times New Roman"/>
        </w:rPr>
        <w:t xml:space="preserve">Shuttle Express’s </w:t>
      </w:r>
      <w:r w:rsidRPr="00190C7A">
        <w:rPr>
          <w:rFonts w:ascii="Times New Roman" w:hAnsi="Times New Roman" w:cs="Times New Roman"/>
        </w:rPr>
        <w:t xml:space="preserve">case, which is premised on the fact that </w:t>
      </w:r>
      <w:r w:rsidR="00FC67AC" w:rsidRPr="00190C7A">
        <w:rPr>
          <w:rFonts w:ascii="Times New Roman" w:hAnsi="Times New Roman" w:cs="Times New Roman"/>
        </w:rPr>
        <w:t xml:space="preserve">SpeediShuttle </w:t>
      </w:r>
      <w:r w:rsidRPr="00190C7A">
        <w:rPr>
          <w:rFonts w:ascii="Times New Roman" w:hAnsi="Times New Roman" w:cs="Times New Roman"/>
        </w:rPr>
        <w:t xml:space="preserve">is providing the same service as </w:t>
      </w:r>
      <w:r w:rsidR="00FC67AC" w:rsidRPr="00190C7A">
        <w:rPr>
          <w:rFonts w:ascii="Times New Roman" w:hAnsi="Times New Roman" w:cs="Times New Roman"/>
        </w:rPr>
        <w:t>Shuttle Express</w:t>
      </w:r>
      <w:r w:rsidRPr="00190C7A">
        <w:rPr>
          <w:rFonts w:ascii="Times New Roman" w:hAnsi="Times New Roman" w:cs="Times New Roman"/>
        </w:rPr>
        <w:t>.  Thus, all of Mr. Kajanoff’s testimony on sustainability should have been allowed to go to the</w:t>
      </w:r>
      <w:r w:rsidR="005A4ECE" w:rsidRPr="00190C7A">
        <w:rPr>
          <w:rFonts w:ascii="Times New Roman" w:hAnsi="Times New Roman" w:cs="Times New Roman"/>
        </w:rPr>
        <w:t xml:space="preserve"> same issue that Order 16 found Mr. Wood’s testimony properly addressed.  </w:t>
      </w:r>
      <w:r w:rsidR="00FC67AC" w:rsidRPr="00190C7A">
        <w:rPr>
          <w:rFonts w:ascii="Times New Roman" w:hAnsi="Times New Roman" w:cs="Times New Roman"/>
        </w:rPr>
        <w:t xml:space="preserve">Shuttle Express </w:t>
      </w:r>
      <w:r w:rsidR="005A4ECE" w:rsidRPr="00190C7A">
        <w:rPr>
          <w:rFonts w:ascii="Times New Roman" w:hAnsi="Times New Roman" w:cs="Times New Roman"/>
        </w:rPr>
        <w:t>did not seek administrative review, but has re-offered some of the stricken testimony to directly rebut Mr. Roemer’s testimony, as is discussed in more detail below.</w:t>
      </w:r>
    </w:p>
  </w:footnote>
  <w:footnote w:id="6">
    <w:p w14:paraId="467E67BF" w14:textId="77777777" w:rsidR="00760CF2" w:rsidRPr="00190C7A" w:rsidRDefault="00760CF2">
      <w:pPr>
        <w:pStyle w:val="FootnoteText"/>
        <w:rPr>
          <w:rFonts w:ascii="Times New Roman" w:hAnsi="Times New Roman" w:cs="Times New Roman"/>
        </w:rPr>
      </w:pPr>
      <w:r w:rsidRPr="00190C7A">
        <w:rPr>
          <w:rStyle w:val="FootnoteReference"/>
          <w:rFonts w:ascii="Times New Roman" w:hAnsi="Times New Roman" w:cs="Times New Roman"/>
        </w:rPr>
        <w:footnoteRef/>
      </w:r>
      <w:r w:rsidRPr="00190C7A">
        <w:rPr>
          <w:rFonts w:ascii="Times New Roman" w:hAnsi="Times New Roman" w:cs="Times New Roman"/>
        </w:rPr>
        <w:t xml:space="preserve"> SpeediShuttle took almost three weeks after getting the testimony</w:t>
      </w:r>
      <w:r w:rsidR="00AA41A8">
        <w:rPr>
          <w:rFonts w:ascii="Times New Roman" w:hAnsi="Times New Roman" w:cs="Times New Roman"/>
        </w:rPr>
        <w:t xml:space="preserve"> </w:t>
      </w:r>
      <w:r w:rsidR="00AA41A8" w:rsidRPr="00190C7A">
        <w:rPr>
          <w:rFonts w:ascii="Times New Roman" w:hAnsi="Times New Roman" w:cs="Times New Roman"/>
        </w:rPr>
        <w:t>to file its last-minute motion</w:t>
      </w:r>
      <w:r w:rsidRPr="00190C7A">
        <w:rPr>
          <w:rFonts w:ascii="Times New Roman" w:hAnsi="Times New Roman" w:cs="Times New Roman"/>
        </w:rPr>
        <w:t xml:space="preserve">, which Shuttle Express has only six days to answer, all while trying to prepare for hearing, make the required filings in this case, and prepare filings due in several other unrelated cases.  </w:t>
      </w:r>
    </w:p>
  </w:footnote>
  <w:footnote w:id="7">
    <w:p w14:paraId="7A5ED623" w14:textId="77777777" w:rsidR="004D28A3" w:rsidRPr="00190C7A" w:rsidRDefault="004D28A3" w:rsidP="004D28A3">
      <w:pPr>
        <w:pStyle w:val="FootnoteText"/>
        <w:rPr>
          <w:rFonts w:ascii="Times New Roman" w:hAnsi="Times New Roman" w:cs="Times New Roman"/>
        </w:rPr>
      </w:pPr>
      <w:r w:rsidRPr="00190C7A">
        <w:rPr>
          <w:rStyle w:val="FootnoteReference"/>
          <w:rFonts w:ascii="Times New Roman" w:hAnsi="Times New Roman" w:cs="Times New Roman"/>
        </w:rPr>
        <w:footnoteRef/>
      </w:r>
      <w:r w:rsidRPr="00190C7A">
        <w:rPr>
          <w:rFonts w:ascii="Times New Roman" w:hAnsi="Times New Roman" w:cs="Times New Roman"/>
        </w:rPr>
        <w:t xml:space="preserve"> </w:t>
      </w:r>
      <w:r w:rsidR="003218F9" w:rsidRPr="00AA41A8">
        <w:rPr>
          <w:rFonts w:ascii="Times New Roman" w:hAnsi="Times New Roman" w:cs="Times New Roman"/>
        </w:rPr>
        <w:t>SpeediShuttle</w:t>
      </w:r>
      <w:r w:rsidRPr="00190C7A">
        <w:rPr>
          <w:rFonts w:ascii="Times New Roman" w:hAnsi="Times New Roman" w:cs="Times New Roman"/>
        </w:rPr>
        <w:t xml:space="preserve"> mis-cited the case as “UT-11439.”  The </w:t>
      </w:r>
      <w:r w:rsidRPr="00190C7A">
        <w:rPr>
          <w:rFonts w:ascii="Times New Roman" w:hAnsi="Times New Roman" w:cs="Times New Roman"/>
          <w:u w:val="single"/>
        </w:rPr>
        <w:t>correct</w:t>
      </w:r>
      <w:r w:rsidRPr="00190C7A">
        <w:rPr>
          <w:rFonts w:ascii="Times New Roman" w:hAnsi="Times New Roman" w:cs="Times New Roman"/>
        </w:rPr>
        <w:t xml:space="preserve"> case number is actually “UT-011439.”</w:t>
      </w:r>
    </w:p>
  </w:footnote>
  <w:footnote w:id="8">
    <w:p w14:paraId="2349EF0F" w14:textId="77777777" w:rsidR="004D28A3" w:rsidRPr="00190C7A" w:rsidRDefault="004D28A3">
      <w:pPr>
        <w:pStyle w:val="FootnoteText"/>
        <w:rPr>
          <w:rFonts w:ascii="Times New Roman" w:hAnsi="Times New Roman" w:cs="Times New Roman"/>
        </w:rPr>
      </w:pPr>
      <w:r w:rsidRPr="00190C7A">
        <w:rPr>
          <w:rStyle w:val="FootnoteReference"/>
          <w:rFonts w:ascii="Times New Roman" w:hAnsi="Times New Roman" w:cs="Times New Roman"/>
        </w:rPr>
        <w:footnoteRef/>
      </w:r>
      <w:r w:rsidRPr="00190C7A">
        <w:rPr>
          <w:rFonts w:ascii="Times New Roman" w:hAnsi="Times New Roman" w:cs="Times New Roman"/>
        </w:rPr>
        <w:t xml:space="preserve"> For ease of comprehension, </w:t>
      </w:r>
      <w:r w:rsidR="003218F9">
        <w:rPr>
          <w:rFonts w:ascii="Times New Roman" w:hAnsi="Times New Roman" w:cs="Times New Roman"/>
        </w:rPr>
        <w:t>Shuttle Express</w:t>
      </w:r>
      <w:r w:rsidR="003218F9" w:rsidRPr="00190C7A">
        <w:rPr>
          <w:rFonts w:ascii="Times New Roman" w:hAnsi="Times New Roman" w:cs="Times New Roman"/>
        </w:rPr>
        <w:t xml:space="preserve"> </w:t>
      </w:r>
      <w:r w:rsidRPr="00190C7A">
        <w:rPr>
          <w:rFonts w:ascii="Times New Roman" w:hAnsi="Times New Roman" w:cs="Times New Roman"/>
        </w:rPr>
        <w:t>has done its best to group the passages sought to be stricken by topic, rather than randomly or in page order.</w:t>
      </w:r>
    </w:p>
  </w:footnote>
  <w:footnote w:id="9">
    <w:p w14:paraId="6664CD1E" w14:textId="77777777" w:rsidR="00352F7B" w:rsidRPr="00AA41A8" w:rsidRDefault="00352F7B">
      <w:pPr>
        <w:pStyle w:val="FootnoteText"/>
        <w:rPr>
          <w:rFonts w:ascii="Times New Roman" w:hAnsi="Times New Roman" w:cs="Times New Roman"/>
        </w:rPr>
      </w:pPr>
      <w:r w:rsidRPr="00AA41A8">
        <w:rPr>
          <w:rStyle w:val="FootnoteReference"/>
          <w:rFonts w:ascii="Times New Roman" w:hAnsi="Times New Roman" w:cs="Times New Roman"/>
        </w:rPr>
        <w:footnoteRef/>
      </w:r>
      <w:r w:rsidRPr="00AA41A8">
        <w:rPr>
          <w:rFonts w:ascii="Times New Roman" w:hAnsi="Times New Roman" w:cs="Times New Roman"/>
        </w:rPr>
        <w:t xml:space="preserve"> Much of the testimony on both sides regarding causation—</w:t>
      </w:r>
      <w:r w:rsidRPr="00AA41A8">
        <w:rPr>
          <w:rFonts w:ascii="Times New Roman" w:hAnsi="Times New Roman" w:cs="Times New Roman"/>
          <w:i/>
        </w:rPr>
        <w:t>i.e</w:t>
      </w:r>
      <w:r w:rsidRPr="00AA41A8">
        <w:rPr>
          <w:rFonts w:ascii="Times New Roman" w:hAnsi="Times New Roman" w:cs="Times New Roman"/>
        </w:rPr>
        <w:t xml:space="preserve">., that the entry of Speedishuttle caused some or all of the decline in passengers suffered by Shuttle Express—also relates directly to the sustainability of two competing carriers.  If the carriers were not offering the </w:t>
      </w:r>
      <w:r w:rsidRPr="00AA41A8">
        <w:rPr>
          <w:rFonts w:ascii="Times New Roman" w:hAnsi="Times New Roman" w:cs="Times New Roman"/>
          <w:u w:val="single"/>
        </w:rPr>
        <w:t>same service</w:t>
      </w:r>
      <w:r w:rsidRPr="00AA41A8">
        <w:rPr>
          <w:rFonts w:ascii="Times New Roman" w:hAnsi="Times New Roman" w:cs="Times New Roman"/>
        </w:rPr>
        <w:t>, then the new entrant would not affect the sustainability of the incumbent; nor would</w:t>
      </w:r>
      <w:r w:rsidR="00AA41A8">
        <w:rPr>
          <w:rFonts w:ascii="Times New Roman" w:hAnsi="Times New Roman" w:cs="Times New Roman"/>
        </w:rPr>
        <w:t xml:space="preserve"> it</w:t>
      </w:r>
      <w:r w:rsidRPr="00AA41A8">
        <w:rPr>
          <w:rFonts w:ascii="Times New Roman" w:hAnsi="Times New Roman" w:cs="Times New Roman"/>
        </w:rPr>
        <w:t xml:space="preserve"> cause any change in the passenger counts of the incumbent.</w:t>
      </w:r>
    </w:p>
  </w:footnote>
  <w:footnote w:id="10">
    <w:p w14:paraId="441DDA5B" w14:textId="77777777" w:rsidR="00DE3BBD" w:rsidRDefault="00DE3BBD">
      <w:pPr>
        <w:pStyle w:val="FootnoteText"/>
      </w:pPr>
      <w:r w:rsidRPr="00AA41A8">
        <w:rPr>
          <w:rStyle w:val="FootnoteReference"/>
          <w:rFonts w:ascii="Times New Roman" w:hAnsi="Times New Roman" w:cs="Times New Roman"/>
        </w:rPr>
        <w:footnoteRef/>
      </w:r>
      <w:r w:rsidRPr="00AA41A8">
        <w:rPr>
          <w:rFonts w:ascii="Times New Roman" w:hAnsi="Times New Roman" w:cs="Times New Roman"/>
        </w:rPr>
        <w:t xml:space="preserve"> Like causation, much of the testimony on both sides regarding whether the rates, charges, and practices of Speedishuttle are “oppressive” (not to mention “unfair” or “unreasonable”) also intertwines inextricably with the sustainability issue.   The Commission is much more likely to find that Speedishuttle</w:t>
      </w:r>
      <w:r w:rsidR="00AA41A8">
        <w:rPr>
          <w:rFonts w:ascii="Times New Roman" w:hAnsi="Times New Roman" w:cs="Times New Roman"/>
        </w:rPr>
        <w:t>’</w:t>
      </w:r>
      <w:r w:rsidRPr="00AA41A8">
        <w:rPr>
          <w:rFonts w:ascii="Times New Roman" w:hAnsi="Times New Roman" w:cs="Times New Roman"/>
        </w:rPr>
        <w:t xml:space="preserve">s acts and omissions are “oppressive” to Shuttle Express if Shuttle Express’ services have been rendered unsustainable by those acts and omissions.  </w:t>
      </w:r>
      <w:r w:rsidRPr="00AA41A8">
        <w:rPr>
          <w:rFonts w:ascii="Times New Roman" w:hAnsi="Times New Roman" w:cs="Times New Roman"/>
          <w:i/>
        </w:rPr>
        <w:t>See, e.g</w:t>
      </w:r>
      <w:r w:rsidRPr="00AA41A8">
        <w:rPr>
          <w:rFonts w:ascii="Times New Roman" w:hAnsi="Times New Roman" w:cs="Times New Roman"/>
        </w:rPr>
        <w:t>., RCW 81.04.110.</w:t>
      </w:r>
      <w:r w:rsidR="00651F2F" w:rsidRPr="00AA41A8">
        <w:rPr>
          <w:rFonts w:ascii="Times New Roman" w:hAnsi="Times New Roman" w:cs="Times New Roman"/>
        </w:rPr>
        <w:t xml:space="preserve">  Mr. Wood explains the connection between the two issues at some length in his rebuttal.  DJW-3T.</w:t>
      </w:r>
      <w:r w:rsidR="00651F2F">
        <w:t xml:space="preserve">  </w:t>
      </w:r>
    </w:p>
  </w:footnote>
  <w:footnote w:id="11">
    <w:p w14:paraId="484EA276" w14:textId="77777777" w:rsidR="00DE3BBD" w:rsidRPr="00AA41A8" w:rsidRDefault="00DE3BBD">
      <w:pPr>
        <w:pStyle w:val="FootnoteText"/>
        <w:rPr>
          <w:rFonts w:ascii="Times New Roman" w:hAnsi="Times New Roman" w:cs="Times New Roman"/>
        </w:rPr>
      </w:pPr>
      <w:r w:rsidRPr="00AA41A8">
        <w:rPr>
          <w:rStyle w:val="FootnoteReference"/>
          <w:rFonts w:ascii="Times New Roman" w:hAnsi="Times New Roman" w:cs="Times New Roman"/>
        </w:rPr>
        <w:footnoteRef/>
      </w:r>
      <w:r w:rsidRPr="00AA41A8">
        <w:rPr>
          <w:rFonts w:ascii="Times New Roman" w:hAnsi="Times New Roman" w:cs="Times New Roman"/>
        </w:rPr>
        <w:t xml:space="preserve"> In addition to addressing the supposed service distinctions discussed at length by Mr. Roemer, Mr. Kajanoff ties those distinctions to the public interest here.  So did Mr. Roemer, in HJR-1T at 46, ll. 12-24 (Wood testimony regarding service distinctions, “directly contrary to the public interest.”).</w:t>
      </w:r>
    </w:p>
  </w:footnote>
  <w:footnote w:id="12">
    <w:p w14:paraId="0BBB54B3" w14:textId="77777777" w:rsidR="006F0BB9" w:rsidRDefault="006F0BB9">
      <w:pPr>
        <w:pStyle w:val="FootnoteText"/>
      </w:pPr>
      <w:r w:rsidRPr="00AA41A8">
        <w:rPr>
          <w:rStyle w:val="FootnoteReference"/>
          <w:rFonts w:ascii="Times New Roman" w:hAnsi="Times New Roman" w:cs="Times New Roman"/>
        </w:rPr>
        <w:footnoteRef/>
      </w:r>
      <w:r w:rsidRPr="00AA41A8">
        <w:rPr>
          <w:rFonts w:ascii="Times New Roman" w:hAnsi="Times New Roman" w:cs="Times New Roman"/>
        </w:rPr>
        <w:t xml:space="preserve"> This testimony also covers in part and ties directly to the issue of whether Speedishuttle is continuing to operate at a loss, as well as whether it is likely to continue to operate at a loss</w:t>
      </w:r>
      <w:r w:rsidR="00F666C6" w:rsidRPr="00AA41A8">
        <w:rPr>
          <w:rFonts w:ascii="Times New Roman" w:hAnsi="Times New Roman" w:cs="Times New Roman"/>
        </w:rPr>
        <w:t>.  It directly rebuts Mr. Roemer’s lengthy but flawed cost analysis and his inference of sustainability with “economies of scale</w:t>
      </w:r>
      <w:r w:rsidRPr="00AA41A8">
        <w:rPr>
          <w:rFonts w:ascii="Times New Roman" w:hAnsi="Times New Roman" w:cs="Times New Roman"/>
        </w:rPr>
        <w:t>.</w:t>
      </w:r>
      <w:r w:rsidR="00F666C6" w:rsidRPr="00AA41A8">
        <w:rPr>
          <w:rFonts w:ascii="Times New Roman" w:hAnsi="Times New Roman" w:cs="Times New Roman"/>
        </w:rPr>
        <w:t>”</w:t>
      </w:r>
      <w:r w:rsidRPr="00AA41A8">
        <w:rPr>
          <w:rFonts w:ascii="Times New Roman" w:hAnsi="Times New Roman" w:cs="Times New Roman"/>
        </w:rPr>
        <w:t xml:space="preserve">  A</w:t>
      </w:r>
      <w:r w:rsidR="00F666C6" w:rsidRPr="00AA41A8">
        <w:rPr>
          <w:rFonts w:ascii="Times New Roman" w:hAnsi="Times New Roman" w:cs="Times New Roman"/>
        </w:rPr>
        <w:t>nd a</w:t>
      </w:r>
      <w:r w:rsidRPr="00AA41A8">
        <w:rPr>
          <w:rFonts w:ascii="Times New Roman" w:hAnsi="Times New Roman" w:cs="Times New Roman"/>
        </w:rPr>
        <w:t xml:space="preserve">gain, it falls squarely within </w:t>
      </w:r>
      <w:r w:rsidR="00F666C6" w:rsidRPr="00AA41A8">
        <w:rPr>
          <w:rFonts w:ascii="Times New Roman" w:hAnsi="Times New Roman" w:cs="Times New Roman"/>
        </w:rPr>
        <w:t xml:space="preserve">most of the factors listed in </w:t>
      </w:r>
      <w:r w:rsidRPr="00AA41A8">
        <w:rPr>
          <w:rFonts w:ascii="Times New Roman" w:hAnsi="Times New Roman" w:cs="Times New Roman"/>
        </w:rPr>
        <w:t>RCW 8</w:t>
      </w:r>
      <w:r w:rsidR="00F666C6" w:rsidRPr="00AA41A8">
        <w:rPr>
          <w:rFonts w:ascii="Times New Roman" w:hAnsi="Times New Roman" w:cs="Times New Roman"/>
        </w:rPr>
        <w:t>1.04.</w:t>
      </w:r>
      <w:r w:rsidRPr="00AA41A8">
        <w:rPr>
          <w:rFonts w:ascii="Times New Roman" w:hAnsi="Times New Roman" w:cs="Times New Roman"/>
        </w:rPr>
        <w:t>110.</w:t>
      </w:r>
      <w:r>
        <w:t xml:space="preserve">  </w:t>
      </w:r>
    </w:p>
  </w:footnote>
  <w:footnote w:id="13">
    <w:p w14:paraId="2CAD039C" w14:textId="77777777" w:rsidR="00651F2F" w:rsidRPr="00AA41A8" w:rsidRDefault="00651F2F">
      <w:pPr>
        <w:pStyle w:val="FootnoteText"/>
        <w:rPr>
          <w:rFonts w:ascii="Times New Roman" w:hAnsi="Times New Roman" w:cs="Times New Roman"/>
        </w:rPr>
      </w:pPr>
      <w:r w:rsidRPr="00AA41A8">
        <w:rPr>
          <w:rStyle w:val="FootnoteReference"/>
          <w:rFonts w:ascii="Times New Roman" w:hAnsi="Times New Roman" w:cs="Times New Roman"/>
        </w:rPr>
        <w:footnoteRef/>
      </w:r>
      <w:r w:rsidRPr="00AA41A8">
        <w:rPr>
          <w:rFonts w:ascii="Times New Roman" w:hAnsi="Times New Roman" w:cs="Times New Roman"/>
        </w:rPr>
        <w:t xml:space="preserve"> Moreover, Mr. Roemer repeatedly compares their King County service to their Hawaii share ride service, both in terms of their “business model” and in terms of sustainability of two carriers offering the same service in the same geographic market.  For example, “Additionally, it was proposed that Speedishuttle Seattle offer a similar service as that offered by Speedishuttle Hawaii, which serves over one million passengers per year.”  A word search for “Hawaii” in his testimony results in 28 hits.  </w:t>
      </w:r>
    </w:p>
  </w:footnote>
  <w:footnote w:id="14">
    <w:p w14:paraId="04705470" w14:textId="77777777" w:rsidR="00651F2F" w:rsidRPr="00AA41A8" w:rsidRDefault="00651F2F">
      <w:pPr>
        <w:pStyle w:val="FootnoteText"/>
        <w:rPr>
          <w:rFonts w:ascii="Times New Roman" w:hAnsi="Times New Roman" w:cs="Times New Roman"/>
        </w:rPr>
      </w:pPr>
      <w:r w:rsidRPr="00AA41A8">
        <w:rPr>
          <w:rStyle w:val="FootnoteReference"/>
          <w:rFonts w:ascii="Times New Roman" w:hAnsi="Times New Roman" w:cs="Times New Roman"/>
        </w:rPr>
        <w:footnoteRef/>
      </w:r>
      <w:r w:rsidRPr="00AA41A8">
        <w:rPr>
          <w:rFonts w:ascii="Times New Roman" w:hAnsi="Times New Roman" w:cs="Times New Roman"/>
        </w:rPr>
        <w:t xml:space="preserve"> </w:t>
      </w:r>
      <w:r w:rsidRPr="00AA41A8">
        <w:rPr>
          <w:rFonts w:ascii="Times New Roman" w:hAnsi="Times New Roman" w:cs="Times New Roman"/>
          <w:i/>
        </w:rPr>
        <w:t>See also,</w:t>
      </w:r>
      <w:r w:rsidRPr="00AA41A8">
        <w:rPr>
          <w:rFonts w:ascii="Times New Roman" w:hAnsi="Times New Roman" w:cs="Times New Roman"/>
        </w:rPr>
        <w:t xml:space="preserve"> Note 10, </w:t>
      </w:r>
      <w:r w:rsidRPr="00AA41A8">
        <w:rPr>
          <w:rFonts w:ascii="Times New Roman" w:hAnsi="Times New Roman" w:cs="Times New Roman"/>
          <w:i/>
        </w:rPr>
        <w:t xml:space="preserve">supra, </w:t>
      </w:r>
      <w:r w:rsidRPr="00AA41A8">
        <w:rPr>
          <w:rFonts w:ascii="Times New Roman" w:hAnsi="Times New Roman" w:cs="Times New Roman"/>
        </w:rPr>
        <w:t>regarding the relationship between pricing and sustainability testimony.</w:t>
      </w:r>
    </w:p>
  </w:footnote>
  <w:footnote w:id="15">
    <w:p w14:paraId="6463FB37" w14:textId="77777777" w:rsidR="0071001F" w:rsidRPr="00190C7A" w:rsidRDefault="0071001F">
      <w:pPr>
        <w:pStyle w:val="FootnoteText"/>
        <w:rPr>
          <w:rFonts w:ascii="Times New Roman" w:hAnsi="Times New Roman" w:cs="Times New Roman"/>
        </w:rPr>
      </w:pPr>
      <w:r w:rsidRPr="00190C7A">
        <w:rPr>
          <w:rStyle w:val="FootnoteReference"/>
          <w:rFonts w:ascii="Times New Roman" w:hAnsi="Times New Roman" w:cs="Times New Roman"/>
        </w:rPr>
        <w:footnoteRef/>
      </w:r>
      <w:r w:rsidRPr="00190C7A">
        <w:rPr>
          <w:rFonts w:ascii="Times New Roman" w:hAnsi="Times New Roman" w:cs="Times New Roman"/>
        </w:rPr>
        <w:t xml:space="preserve"> SpeediShuttle has objected here to the inclusion of responsive and rebuttal testimony of Don Wood for Shuttle Express to the Staff testimony of Michael Young,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D917E" w14:textId="77777777" w:rsidR="00761BB4" w:rsidRDefault="00761B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53FCD" w14:textId="77777777" w:rsidR="00761BB4" w:rsidRDefault="00761B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A3FF2" w14:textId="77777777" w:rsidR="00761BB4" w:rsidRDefault="00761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25A54"/>
    <w:multiLevelType w:val="hybridMultilevel"/>
    <w:tmpl w:val="E93E91FA"/>
    <w:lvl w:ilvl="0" w:tplc="D5B4D2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660AE"/>
    <w:multiLevelType w:val="hybridMultilevel"/>
    <w:tmpl w:val="F1420832"/>
    <w:lvl w:ilvl="0" w:tplc="326A6B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94750"/>
    <w:multiLevelType w:val="hybridMultilevel"/>
    <w:tmpl w:val="628E69E2"/>
    <w:lvl w:ilvl="0" w:tplc="D8BA19B4">
      <w:start w:val="1"/>
      <w:numFmt w:val="upperLetter"/>
      <w:lvlText w:val="%1."/>
      <w:lvlJc w:val="left"/>
      <w:pPr>
        <w:ind w:left="1540" w:hanging="360"/>
      </w:pPr>
      <w:rPr>
        <w:rFonts w:hint="default"/>
        <w:b/>
        <w:u w:val="thick"/>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71E37CD"/>
    <w:multiLevelType w:val="hybridMultilevel"/>
    <w:tmpl w:val="CB38BA14"/>
    <w:lvl w:ilvl="0" w:tplc="9AB81D4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2457B"/>
    <w:multiLevelType w:val="hybridMultilevel"/>
    <w:tmpl w:val="3B0C98C8"/>
    <w:lvl w:ilvl="0" w:tplc="9580F9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87785E"/>
    <w:multiLevelType w:val="hybridMultilevel"/>
    <w:tmpl w:val="DA6048B8"/>
    <w:lvl w:ilvl="0" w:tplc="87B244DA">
      <w:start w:val="1"/>
      <w:numFmt w:val="decimal"/>
      <w:lvlText w:val="%1"/>
      <w:lvlJc w:val="left"/>
      <w:pPr>
        <w:ind w:left="-360" w:firstLine="14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DB35B8"/>
    <w:multiLevelType w:val="hybridMultilevel"/>
    <w:tmpl w:val="A672EE24"/>
    <w:lvl w:ilvl="0" w:tplc="9AB81D4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90BC5"/>
    <w:multiLevelType w:val="hybridMultilevel"/>
    <w:tmpl w:val="A102428C"/>
    <w:lvl w:ilvl="0" w:tplc="898A0C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EB603B"/>
    <w:multiLevelType w:val="hybridMultilevel"/>
    <w:tmpl w:val="E7880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C2E57"/>
    <w:multiLevelType w:val="hybridMultilevel"/>
    <w:tmpl w:val="90F80EBC"/>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CF31F2"/>
    <w:multiLevelType w:val="multilevel"/>
    <w:tmpl w:val="A9DE44A2"/>
    <w:lvl w:ilvl="0">
      <w:start w:val="1"/>
      <w:numFmt w:val="upperRoman"/>
      <w:pStyle w:val="Heading1"/>
      <w:suff w:val="nothing"/>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4"/>
      <w:numFmt w:val="upperLetter"/>
      <w:pStyle w:val="Heading2"/>
      <w:suff w:val="nothing"/>
      <w:lvlText w:val="%2.  "/>
      <w:lvlJc w:val="left"/>
      <w:pPr>
        <w:ind w:left="1080" w:hanging="720"/>
      </w:pPr>
      <w:rPr>
        <w:rFonts w:ascii="Times New Roman" w:hAnsi="Times New Roman" w:cs="Times New Roman" w:hint="default"/>
        <w:b/>
        <w:i w:val="0"/>
        <w:caps w:val="0"/>
        <w:strike w:val="0"/>
        <w:dstrike w:val="0"/>
        <w:outline w:val="0"/>
        <w:shadow w:val="0"/>
        <w:emboss w:val="0"/>
        <w:imprint w:val="0"/>
        <w:vanish w:val="0"/>
        <w:color w:val="000000"/>
        <w:sz w:val="24"/>
        <w:u w:val="none"/>
        <w:effect w:val="none"/>
        <w:vertAlign w:val="baseline"/>
      </w:rPr>
    </w:lvl>
    <w:lvl w:ilvl="2">
      <w:start w:val="1"/>
      <w:numFmt w:val="decimal"/>
      <w:lvlRestart w:val="0"/>
      <w:pStyle w:val="Heading3"/>
      <w:lvlText w:val="%3"/>
      <w:lvlJc w:val="left"/>
      <w:pPr>
        <w:tabs>
          <w:tab w:val="num" w:pos="0"/>
        </w:tabs>
        <w:ind w:left="0" w:hanging="720"/>
      </w:pPr>
      <w:rPr>
        <w:rFonts w:ascii="Times New Roman" w:hAnsi="Times New Roman" w:cs="Times New Roman" w:hint="default"/>
        <w:b w:val="0"/>
        <w:i/>
        <w:caps w:val="0"/>
        <w:strike w:val="0"/>
        <w:dstrike w:val="0"/>
        <w:outline w:val="0"/>
        <w:shadow w:val="0"/>
        <w:emboss w:val="0"/>
        <w:imprint w:val="0"/>
        <w:vanish w:val="0"/>
        <w:color w:val="000000"/>
        <w:sz w:val="22"/>
        <w:u w:val="none"/>
        <w:effect w:val="none"/>
        <w:vertAlign w:val="baseline"/>
      </w:rPr>
    </w:lvl>
    <w:lvl w:ilvl="3">
      <w:start w:val="1"/>
      <w:numFmt w:val="none"/>
      <w:pStyle w:val="Heading4"/>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4">
      <w:start w:val="1"/>
      <w:numFmt w:val="none"/>
      <w:pStyle w:val="Heading5"/>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5">
      <w:start w:val="1"/>
      <w:numFmt w:val="none"/>
      <w:pStyle w:val="Heading6"/>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6">
      <w:start w:val="1"/>
      <w:numFmt w:val="none"/>
      <w:pStyle w:val="Heading7"/>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7">
      <w:start w:val="1"/>
      <w:numFmt w:val="none"/>
      <w:pStyle w:val="Heading8"/>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8">
      <w:start w:val="1"/>
      <w:numFmt w:val="none"/>
      <w:pStyle w:val="Heading9"/>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abstractNum>
  <w:abstractNum w:abstractNumId="12" w15:restartNumberingAfterBreak="0">
    <w:nsid w:val="7C5F0A30"/>
    <w:multiLevelType w:val="hybridMultilevel"/>
    <w:tmpl w:val="7A56ABBA"/>
    <w:lvl w:ilvl="0" w:tplc="95705D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1"/>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10"/>
  </w:num>
  <w:num w:numId="10">
    <w:abstractNumId w:val="0"/>
  </w:num>
  <w:num w:numId="11">
    <w:abstractNumId w:val="11"/>
  </w:num>
  <w:num w:numId="12">
    <w:abstractNumId w:val="9"/>
  </w:num>
  <w:num w:numId="13">
    <w:abstractNumId w:val="12"/>
  </w:num>
  <w:num w:numId="14">
    <w:abstractNumId w:val="8"/>
  </w:num>
  <w:num w:numId="15">
    <w:abstractNumId w:val="5"/>
  </w:num>
  <w:num w:numId="16">
    <w:abstractNumId w:val="4"/>
  </w:num>
  <w:num w:numId="17">
    <w:abstractNumId w:val="11"/>
  </w:num>
  <w:num w:numId="18">
    <w:abstractNumId w:val="11"/>
  </w:num>
  <w:num w:numId="19">
    <w:abstractNumId w:val="11"/>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80"/>
    <w:rsid w:val="00057580"/>
    <w:rsid w:val="000631C1"/>
    <w:rsid w:val="00071E14"/>
    <w:rsid w:val="00085D8A"/>
    <w:rsid w:val="000B095E"/>
    <w:rsid w:val="000B4199"/>
    <w:rsid w:val="00116C72"/>
    <w:rsid w:val="001303E5"/>
    <w:rsid w:val="00172B80"/>
    <w:rsid w:val="00183231"/>
    <w:rsid w:val="00190C7A"/>
    <w:rsid w:val="001E60E1"/>
    <w:rsid w:val="002D78DE"/>
    <w:rsid w:val="002E0263"/>
    <w:rsid w:val="002E1B59"/>
    <w:rsid w:val="002F1AE5"/>
    <w:rsid w:val="002F2854"/>
    <w:rsid w:val="00306CFC"/>
    <w:rsid w:val="003218F9"/>
    <w:rsid w:val="00331E1A"/>
    <w:rsid w:val="003326D1"/>
    <w:rsid w:val="00352F7B"/>
    <w:rsid w:val="00361E99"/>
    <w:rsid w:val="00373CAA"/>
    <w:rsid w:val="00396811"/>
    <w:rsid w:val="00452503"/>
    <w:rsid w:val="00487698"/>
    <w:rsid w:val="004A2FFC"/>
    <w:rsid w:val="004B4412"/>
    <w:rsid w:val="004B6039"/>
    <w:rsid w:val="004D28A3"/>
    <w:rsid w:val="004D5BF7"/>
    <w:rsid w:val="004E0D1F"/>
    <w:rsid w:val="004F2962"/>
    <w:rsid w:val="004F5DFA"/>
    <w:rsid w:val="0056380D"/>
    <w:rsid w:val="00577928"/>
    <w:rsid w:val="005A4ECE"/>
    <w:rsid w:val="005A7740"/>
    <w:rsid w:val="005F15A6"/>
    <w:rsid w:val="005F313F"/>
    <w:rsid w:val="00607206"/>
    <w:rsid w:val="00612316"/>
    <w:rsid w:val="00635576"/>
    <w:rsid w:val="00651F2F"/>
    <w:rsid w:val="00657D42"/>
    <w:rsid w:val="006B36EF"/>
    <w:rsid w:val="006D0D91"/>
    <w:rsid w:val="006F0BB9"/>
    <w:rsid w:val="006F47A4"/>
    <w:rsid w:val="0071001F"/>
    <w:rsid w:val="00723E13"/>
    <w:rsid w:val="00752778"/>
    <w:rsid w:val="00760CF2"/>
    <w:rsid w:val="00761BB4"/>
    <w:rsid w:val="0076265C"/>
    <w:rsid w:val="007636F0"/>
    <w:rsid w:val="00763F1B"/>
    <w:rsid w:val="007D3778"/>
    <w:rsid w:val="00801FB7"/>
    <w:rsid w:val="00841799"/>
    <w:rsid w:val="008500E8"/>
    <w:rsid w:val="00860755"/>
    <w:rsid w:val="008742E6"/>
    <w:rsid w:val="008B0F69"/>
    <w:rsid w:val="008B734E"/>
    <w:rsid w:val="008C1ECF"/>
    <w:rsid w:val="008E1E21"/>
    <w:rsid w:val="00903776"/>
    <w:rsid w:val="00913DA1"/>
    <w:rsid w:val="00937BCD"/>
    <w:rsid w:val="00961662"/>
    <w:rsid w:val="00A13C0E"/>
    <w:rsid w:val="00A22C80"/>
    <w:rsid w:val="00A901A4"/>
    <w:rsid w:val="00AA41A8"/>
    <w:rsid w:val="00AE5D9E"/>
    <w:rsid w:val="00B100F6"/>
    <w:rsid w:val="00B21514"/>
    <w:rsid w:val="00B632BA"/>
    <w:rsid w:val="00B82A9D"/>
    <w:rsid w:val="00BA5F7B"/>
    <w:rsid w:val="00BB5347"/>
    <w:rsid w:val="00BC731F"/>
    <w:rsid w:val="00BD337C"/>
    <w:rsid w:val="00BF3EF2"/>
    <w:rsid w:val="00C02505"/>
    <w:rsid w:val="00CC65F5"/>
    <w:rsid w:val="00CD533D"/>
    <w:rsid w:val="00CE521D"/>
    <w:rsid w:val="00CF07FA"/>
    <w:rsid w:val="00D11432"/>
    <w:rsid w:val="00D43B10"/>
    <w:rsid w:val="00D46497"/>
    <w:rsid w:val="00D51034"/>
    <w:rsid w:val="00D5218D"/>
    <w:rsid w:val="00D67E49"/>
    <w:rsid w:val="00DC4C2D"/>
    <w:rsid w:val="00DE3BBD"/>
    <w:rsid w:val="00E11525"/>
    <w:rsid w:val="00E32D87"/>
    <w:rsid w:val="00E40CB1"/>
    <w:rsid w:val="00E650EB"/>
    <w:rsid w:val="00E765DA"/>
    <w:rsid w:val="00E85927"/>
    <w:rsid w:val="00E87458"/>
    <w:rsid w:val="00EC0F78"/>
    <w:rsid w:val="00EF522D"/>
    <w:rsid w:val="00EF7D9A"/>
    <w:rsid w:val="00F125E4"/>
    <w:rsid w:val="00F2146B"/>
    <w:rsid w:val="00F55854"/>
    <w:rsid w:val="00F666C6"/>
    <w:rsid w:val="00FB07B0"/>
    <w:rsid w:val="00FB34D0"/>
    <w:rsid w:val="00FC67AC"/>
    <w:rsid w:val="00FE0AFF"/>
    <w:rsid w:val="00FE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7E8F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0EB"/>
    <w:pPr>
      <w:spacing w:before="100" w:beforeAutospacing="1" w:after="100" w:afterAutospacing="1" w:line="480" w:lineRule="auto"/>
    </w:pPr>
    <w:rPr>
      <w:rFonts w:ascii="Times New Roman" w:hAnsi="Times New Roman"/>
      <w:sz w:val="24"/>
    </w:rPr>
  </w:style>
  <w:style w:type="paragraph" w:styleId="Heading1">
    <w:name w:val="heading 1"/>
    <w:basedOn w:val="Normal"/>
    <w:next w:val="Heading3"/>
    <w:link w:val="Heading1Char"/>
    <w:uiPriority w:val="9"/>
    <w:qFormat/>
    <w:rsid w:val="00A22C80"/>
    <w:pPr>
      <w:keepNext/>
      <w:numPr>
        <w:numId w:val="11"/>
      </w:numPr>
      <w:spacing w:before="0" w:beforeAutospacing="0" w:after="240" w:afterAutospacing="0" w:line="240" w:lineRule="auto"/>
      <w:jc w:val="center"/>
      <w:outlineLvl w:val="0"/>
    </w:pPr>
    <w:rPr>
      <w:rFonts w:cs="Times New Roman"/>
      <w:bCs/>
      <w:caps/>
      <w:szCs w:val="32"/>
    </w:rPr>
  </w:style>
  <w:style w:type="paragraph" w:styleId="Heading2">
    <w:name w:val="heading 2"/>
    <w:basedOn w:val="Normal"/>
    <w:next w:val="ListParagraph"/>
    <w:link w:val="Heading2Char"/>
    <w:qFormat/>
    <w:rsid w:val="00A22C80"/>
    <w:pPr>
      <w:keepNext/>
      <w:numPr>
        <w:ilvl w:val="1"/>
        <w:numId w:val="11"/>
      </w:numPr>
      <w:spacing w:before="0" w:beforeAutospacing="0" w:after="240" w:afterAutospacing="0" w:line="240" w:lineRule="auto"/>
      <w:outlineLvl w:val="1"/>
    </w:pPr>
    <w:rPr>
      <w:rFonts w:cs="Times New Roman"/>
      <w:b/>
      <w:bCs/>
      <w:iCs/>
      <w:szCs w:val="28"/>
      <w:u w:val="single"/>
    </w:rPr>
  </w:style>
  <w:style w:type="paragraph" w:styleId="Heading3">
    <w:name w:val="heading 3"/>
    <w:basedOn w:val="Normal"/>
    <w:link w:val="Heading3Char"/>
    <w:qFormat/>
    <w:rsid w:val="00A22C80"/>
    <w:pPr>
      <w:numPr>
        <w:ilvl w:val="2"/>
        <w:numId w:val="11"/>
      </w:numPr>
      <w:spacing w:before="0" w:beforeAutospacing="0" w:after="120" w:afterAutospacing="0"/>
      <w:outlineLvl w:val="2"/>
    </w:pPr>
    <w:rPr>
      <w:rFonts w:cs="Times New Roman"/>
      <w:bCs/>
      <w:szCs w:val="26"/>
    </w:rPr>
  </w:style>
  <w:style w:type="paragraph" w:styleId="Heading4">
    <w:name w:val="heading 4"/>
    <w:basedOn w:val="Normal"/>
    <w:next w:val="BodyText2"/>
    <w:link w:val="Heading4Char"/>
    <w:unhideWhenUsed/>
    <w:qFormat/>
    <w:rsid w:val="00A22C80"/>
    <w:pPr>
      <w:keepNext/>
      <w:numPr>
        <w:ilvl w:val="3"/>
        <w:numId w:val="11"/>
      </w:numPr>
      <w:spacing w:before="240" w:beforeAutospacing="0" w:after="60" w:afterAutospacing="0" w:line="240" w:lineRule="auto"/>
      <w:outlineLvl w:val="3"/>
    </w:pPr>
    <w:rPr>
      <w:rFonts w:ascii="Calibri" w:hAnsi="Calibri"/>
      <w:b/>
      <w:bCs/>
      <w:sz w:val="28"/>
      <w:szCs w:val="28"/>
    </w:rPr>
  </w:style>
  <w:style w:type="paragraph" w:styleId="Heading5">
    <w:name w:val="heading 5"/>
    <w:basedOn w:val="Normal"/>
    <w:next w:val="BodyText2"/>
    <w:link w:val="Heading5Char"/>
    <w:unhideWhenUsed/>
    <w:qFormat/>
    <w:rsid w:val="00A22C80"/>
    <w:pPr>
      <w:numPr>
        <w:ilvl w:val="4"/>
        <w:numId w:val="11"/>
      </w:numPr>
      <w:spacing w:before="240" w:beforeAutospacing="0" w:after="60" w:afterAutospacing="0" w:line="240" w:lineRule="auto"/>
      <w:outlineLvl w:val="4"/>
    </w:pPr>
    <w:rPr>
      <w:rFonts w:ascii="Calibri" w:hAnsi="Calibri"/>
      <w:b/>
      <w:bCs/>
      <w:i/>
      <w:iCs/>
      <w:sz w:val="26"/>
      <w:szCs w:val="26"/>
    </w:rPr>
  </w:style>
  <w:style w:type="paragraph" w:styleId="Heading6">
    <w:name w:val="heading 6"/>
    <w:basedOn w:val="Normal"/>
    <w:next w:val="BodyText2"/>
    <w:link w:val="Heading6Char"/>
    <w:unhideWhenUsed/>
    <w:qFormat/>
    <w:rsid w:val="00A22C80"/>
    <w:pPr>
      <w:numPr>
        <w:ilvl w:val="5"/>
        <w:numId w:val="11"/>
      </w:numPr>
      <w:spacing w:before="240" w:beforeAutospacing="0" w:after="60" w:afterAutospacing="0" w:line="240" w:lineRule="auto"/>
      <w:outlineLvl w:val="5"/>
    </w:pPr>
    <w:rPr>
      <w:rFonts w:ascii="Calibri" w:hAnsi="Calibri"/>
      <w:b/>
      <w:bCs/>
      <w:sz w:val="22"/>
    </w:rPr>
  </w:style>
  <w:style w:type="paragraph" w:styleId="Heading7">
    <w:name w:val="heading 7"/>
    <w:basedOn w:val="Normal"/>
    <w:next w:val="BodyText2"/>
    <w:link w:val="Heading7Char"/>
    <w:unhideWhenUsed/>
    <w:qFormat/>
    <w:rsid w:val="00A22C80"/>
    <w:pPr>
      <w:numPr>
        <w:ilvl w:val="6"/>
        <w:numId w:val="11"/>
      </w:numPr>
      <w:spacing w:before="240" w:beforeAutospacing="0" w:after="60" w:afterAutospacing="0" w:line="240" w:lineRule="auto"/>
      <w:outlineLvl w:val="6"/>
    </w:pPr>
    <w:rPr>
      <w:rFonts w:ascii="Calibri" w:hAnsi="Calibri"/>
      <w:sz w:val="22"/>
    </w:rPr>
  </w:style>
  <w:style w:type="paragraph" w:styleId="Heading8">
    <w:name w:val="heading 8"/>
    <w:basedOn w:val="Normal"/>
    <w:next w:val="BodyText2"/>
    <w:link w:val="Heading8Char"/>
    <w:unhideWhenUsed/>
    <w:qFormat/>
    <w:rsid w:val="00A22C80"/>
    <w:pPr>
      <w:numPr>
        <w:ilvl w:val="7"/>
        <w:numId w:val="11"/>
      </w:numPr>
      <w:spacing w:before="240" w:beforeAutospacing="0" w:after="60" w:afterAutospacing="0" w:line="240" w:lineRule="auto"/>
      <w:outlineLvl w:val="7"/>
    </w:pPr>
    <w:rPr>
      <w:rFonts w:ascii="Calibri" w:hAnsi="Calibri"/>
      <w:i/>
      <w:iCs/>
      <w:sz w:val="22"/>
    </w:rPr>
  </w:style>
  <w:style w:type="paragraph" w:styleId="Heading9">
    <w:name w:val="heading 9"/>
    <w:basedOn w:val="Normal"/>
    <w:next w:val="BodyText2"/>
    <w:link w:val="Heading9Char"/>
    <w:unhideWhenUsed/>
    <w:qFormat/>
    <w:rsid w:val="00A22C80"/>
    <w:pPr>
      <w:numPr>
        <w:ilvl w:val="8"/>
        <w:numId w:val="11"/>
      </w:numPr>
      <w:spacing w:before="240" w:beforeAutospacing="0" w:after="60" w:afterAutospacing="0" w:line="240" w:lineRule="auto"/>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5277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52778"/>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rsid w:val="00A2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22C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C80"/>
    <w:pPr>
      <w:spacing w:before="0" w:beforeAutospacing="0" w:after="0" w:afterAutospacing="0" w:line="240" w:lineRule="auto"/>
      <w:contextualSpacing/>
    </w:pPr>
  </w:style>
  <w:style w:type="character" w:customStyle="1" w:styleId="Heading1Char">
    <w:name w:val="Heading 1 Char"/>
    <w:basedOn w:val="DefaultParagraphFont"/>
    <w:link w:val="Heading1"/>
    <w:uiPriority w:val="9"/>
    <w:rsid w:val="00A22C80"/>
    <w:rPr>
      <w:rFonts w:ascii="Times New Roman" w:hAnsi="Times New Roman" w:cs="Times New Roman"/>
      <w:bCs/>
      <w:caps/>
      <w:sz w:val="24"/>
      <w:szCs w:val="32"/>
    </w:rPr>
  </w:style>
  <w:style w:type="character" w:customStyle="1" w:styleId="Heading2Char">
    <w:name w:val="Heading 2 Char"/>
    <w:basedOn w:val="DefaultParagraphFont"/>
    <w:link w:val="Heading2"/>
    <w:rsid w:val="00A22C80"/>
    <w:rPr>
      <w:rFonts w:ascii="Times New Roman" w:hAnsi="Times New Roman" w:cs="Times New Roman"/>
      <w:b/>
      <w:bCs/>
      <w:iCs/>
      <w:sz w:val="24"/>
      <w:szCs w:val="28"/>
      <w:u w:val="single"/>
    </w:rPr>
  </w:style>
  <w:style w:type="character" w:customStyle="1" w:styleId="Heading3Char">
    <w:name w:val="Heading 3 Char"/>
    <w:basedOn w:val="DefaultParagraphFont"/>
    <w:link w:val="Heading3"/>
    <w:rsid w:val="00A22C80"/>
    <w:rPr>
      <w:rFonts w:ascii="Times New Roman" w:hAnsi="Times New Roman" w:cs="Times New Roman"/>
      <w:bCs/>
      <w:sz w:val="24"/>
      <w:szCs w:val="26"/>
    </w:rPr>
  </w:style>
  <w:style w:type="character" w:customStyle="1" w:styleId="Heading4Char">
    <w:name w:val="Heading 4 Char"/>
    <w:basedOn w:val="DefaultParagraphFont"/>
    <w:link w:val="Heading4"/>
    <w:rsid w:val="00A22C80"/>
    <w:rPr>
      <w:rFonts w:ascii="Calibri" w:hAnsi="Calibri"/>
      <w:b/>
      <w:bCs/>
      <w:sz w:val="28"/>
      <w:szCs w:val="28"/>
    </w:rPr>
  </w:style>
  <w:style w:type="character" w:customStyle="1" w:styleId="Heading5Char">
    <w:name w:val="Heading 5 Char"/>
    <w:basedOn w:val="DefaultParagraphFont"/>
    <w:link w:val="Heading5"/>
    <w:rsid w:val="00A22C80"/>
    <w:rPr>
      <w:rFonts w:ascii="Calibri" w:hAnsi="Calibri"/>
      <w:b/>
      <w:bCs/>
      <w:i/>
      <w:iCs/>
      <w:sz w:val="26"/>
      <w:szCs w:val="26"/>
    </w:rPr>
  </w:style>
  <w:style w:type="character" w:customStyle="1" w:styleId="Heading6Char">
    <w:name w:val="Heading 6 Char"/>
    <w:basedOn w:val="DefaultParagraphFont"/>
    <w:link w:val="Heading6"/>
    <w:rsid w:val="00A22C80"/>
    <w:rPr>
      <w:rFonts w:ascii="Calibri" w:hAnsi="Calibri"/>
      <w:b/>
      <w:bCs/>
    </w:rPr>
  </w:style>
  <w:style w:type="character" w:customStyle="1" w:styleId="Heading7Char">
    <w:name w:val="Heading 7 Char"/>
    <w:basedOn w:val="DefaultParagraphFont"/>
    <w:link w:val="Heading7"/>
    <w:rsid w:val="00A22C80"/>
    <w:rPr>
      <w:rFonts w:ascii="Calibri" w:hAnsi="Calibri"/>
    </w:rPr>
  </w:style>
  <w:style w:type="character" w:customStyle="1" w:styleId="Heading8Char">
    <w:name w:val="Heading 8 Char"/>
    <w:basedOn w:val="DefaultParagraphFont"/>
    <w:link w:val="Heading8"/>
    <w:rsid w:val="00A22C80"/>
    <w:rPr>
      <w:rFonts w:ascii="Calibri" w:hAnsi="Calibri"/>
      <w:i/>
      <w:iCs/>
    </w:rPr>
  </w:style>
  <w:style w:type="character" w:customStyle="1" w:styleId="Heading9Char">
    <w:name w:val="Heading 9 Char"/>
    <w:basedOn w:val="DefaultParagraphFont"/>
    <w:link w:val="Heading9"/>
    <w:rsid w:val="00A22C80"/>
    <w:rPr>
      <w:rFonts w:ascii="Arial" w:hAnsi="Arial" w:cs="Arial"/>
    </w:rPr>
  </w:style>
  <w:style w:type="paragraph" w:styleId="BodyText2">
    <w:name w:val="Body Text 2"/>
    <w:basedOn w:val="Normal"/>
    <w:link w:val="BodyText2Char"/>
    <w:uiPriority w:val="99"/>
    <w:semiHidden/>
    <w:unhideWhenUsed/>
    <w:rsid w:val="00A22C80"/>
    <w:pPr>
      <w:spacing w:after="120"/>
    </w:pPr>
  </w:style>
  <w:style w:type="character" w:customStyle="1" w:styleId="BodyText2Char">
    <w:name w:val="Body Text 2 Char"/>
    <w:basedOn w:val="DefaultParagraphFont"/>
    <w:link w:val="BodyText2"/>
    <w:uiPriority w:val="99"/>
    <w:semiHidden/>
    <w:rsid w:val="00A22C80"/>
    <w:rPr>
      <w:rFonts w:ascii="Times New Roman" w:hAnsi="Times New Roman"/>
      <w:sz w:val="24"/>
    </w:rPr>
  </w:style>
  <w:style w:type="paragraph" w:styleId="Header">
    <w:name w:val="header"/>
    <w:basedOn w:val="Normal"/>
    <w:link w:val="HeaderChar"/>
    <w:rsid w:val="00EF7D9A"/>
    <w:pPr>
      <w:tabs>
        <w:tab w:val="center" w:pos="4320"/>
        <w:tab w:val="right" w:pos="8640"/>
      </w:tabs>
      <w:spacing w:before="0" w:beforeAutospacing="0" w:after="0" w:afterAutospacing="0" w:line="240" w:lineRule="auto"/>
    </w:pPr>
    <w:rPr>
      <w:rFonts w:asciiTheme="minorHAnsi" w:hAnsiTheme="minorHAnsi"/>
      <w:sz w:val="22"/>
    </w:rPr>
  </w:style>
  <w:style w:type="character" w:customStyle="1" w:styleId="HeaderChar">
    <w:name w:val="Header Char"/>
    <w:basedOn w:val="DefaultParagraphFont"/>
    <w:link w:val="Header"/>
    <w:rsid w:val="00EF7D9A"/>
  </w:style>
  <w:style w:type="numbering" w:styleId="111111">
    <w:name w:val="Outline List 2"/>
    <w:basedOn w:val="NoList"/>
    <w:semiHidden/>
    <w:rsid w:val="00EF7D9A"/>
    <w:pPr>
      <w:numPr>
        <w:numId w:val="3"/>
      </w:numPr>
    </w:pPr>
  </w:style>
  <w:style w:type="paragraph" w:styleId="BodyText">
    <w:name w:val="Body Text"/>
    <w:basedOn w:val="Normal"/>
    <w:link w:val="BodyTextChar"/>
    <w:uiPriority w:val="99"/>
    <w:semiHidden/>
    <w:unhideWhenUsed/>
    <w:rsid w:val="00F125E4"/>
    <w:pPr>
      <w:spacing w:after="120"/>
    </w:pPr>
  </w:style>
  <w:style w:type="character" w:customStyle="1" w:styleId="BodyTextChar">
    <w:name w:val="Body Text Char"/>
    <w:basedOn w:val="DefaultParagraphFont"/>
    <w:link w:val="BodyText"/>
    <w:uiPriority w:val="99"/>
    <w:semiHidden/>
    <w:rsid w:val="00F125E4"/>
    <w:rPr>
      <w:rFonts w:ascii="Times New Roman" w:hAnsi="Times New Roman"/>
      <w:sz w:val="24"/>
    </w:rPr>
  </w:style>
  <w:style w:type="paragraph" w:styleId="FootnoteText">
    <w:name w:val="footnote text"/>
    <w:basedOn w:val="Normal"/>
    <w:link w:val="FootnoteTextChar"/>
    <w:uiPriority w:val="99"/>
    <w:unhideWhenUsed/>
    <w:rsid w:val="00D43B10"/>
    <w:pPr>
      <w:widowControl w:val="0"/>
      <w:spacing w:before="0" w:beforeAutospacing="0" w:after="0" w:afterAutospacing="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D43B10"/>
    <w:rPr>
      <w:sz w:val="20"/>
      <w:szCs w:val="20"/>
    </w:rPr>
  </w:style>
  <w:style w:type="character" w:styleId="FootnoteReference">
    <w:name w:val="footnote reference"/>
    <w:basedOn w:val="DefaultParagraphFont"/>
    <w:uiPriority w:val="99"/>
    <w:semiHidden/>
    <w:unhideWhenUsed/>
    <w:rsid w:val="00D43B10"/>
    <w:rPr>
      <w:vertAlign w:val="superscript"/>
    </w:rPr>
  </w:style>
  <w:style w:type="paragraph" w:styleId="BalloonText">
    <w:name w:val="Balloon Text"/>
    <w:basedOn w:val="Normal"/>
    <w:link w:val="BalloonTextChar"/>
    <w:uiPriority w:val="99"/>
    <w:semiHidden/>
    <w:unhideWhenUsed/>
    <w:rsid w:val="00FC67A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7AC"/>
    <w:rPr>
      <w:rFonts w:ascii="Segoe UI" w:hAnsi="Segoe UI" w:cs="Segoe UI"/>
      <w:sz w:val="18"/>
      <w:szCs w:val="18"/>
    </w:rPr>
  </w:style>
  <w:style w:type="paragraph" w:styleId="Footer">
    <w:name w:val="footer"/>
    <w:basedOn w:val="Normal"/>
    <w:link w:val="FooterChar"/>
    <w:uiPriority w:val="99"/>
    <w:unhideWhenUsed/>
    <w:rsid w:val="004F296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2962"/>
    <w:rPr>
      <w:rFonts w:ascii="Times New Roman" w:hAnsi="Times New Roman"/>
      <w:sz w:val="24"/>
    </w:rPr>
  </w:style>
  <w:style w:type="character" w:styleId="CommentReference">
    <w:name w:val="annotation reference"/>
    <w:basedOn w:val="DefaultParagraphFont"/>
    <w:uiPriority w:val="99"/>
    <w:semiHidden/>
    <w:unhideWhenUsed/>
    <w:rsid w:val="00E85927"/>
    <w:rPr>
      <w:sz w:val="16"/>
      <w:szCs w:val="16"/>
    </w:rPr>
  </w:style>
  <w:style w:type="paragraph" w:styleId="CommentText">
    <w:name w:val="annotation text"/>
    <w:basedOn w:val="Normal"/>
    <w:link w:val="CommentTextChar"/>
    <w:uiPriority w:val="99"/>
    <w:semiHidden/>
    <w:unhideWhenUsed/>
    <w:rsid w:val="00E85927"/>
    <w:pPr>
      <w:spacing w:line="240" w:lineRule="auto"/>
    </w:pPr>
    <w:rPr>
      <w:sz w:val="20"/>
      <w:szCs w:val="20"/>
    </w:rPr>
  </w:style>
  <w:style w:type="character" w:customStyle="1" w:styleId="CommentTextChar">
    <w:name w:val="Comment Text Char"/>
    <w:basedOn w:val="DefaultParagraphFont"/>
    <w:link w:val="CommentText"/>
    <w:uiPriority w:val="99"/>
    <w:semiHidden/>
    <w:rsid w:val="00E859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5927"/>
    <w:rPr>
      <w:b/>
      <w:bCs/>
    </w:rPr>
  </w:style>
  <w:style w:type="character" w:customStyle="1" w:styleId="CommentSubjectChar">
    <w:name w:val="Comment Subject Char"/>
    <w:basedOn w:val="CommentTextChar"/>
    <w:link w:val="CommentSubject"/>
    <w:uiPriority w:val="99"/>
    <w:semiHidden/>
    <w:rsid w:val="00E8592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77359">
      <w:bodyDiv w:val="1"/>
      <w:marLeft w:val="0"/>
      <w:marRight w:val="0"/>
      <w:marTop w:val="0"/>
      <w:marBottom w:val="0"/>
      <w:divBdr>
        <w:top w:val="none" w:sz="0" w:space="0" w:color="auto"/>
        <w:left w:val="none" w:sz="0" w:space="0" w:color="auto"/>
        <w:bottom w:val="none" w:sz="0" w:space="0" w:color="auto"/>
        <w:right w:val="none" w:sz="0" w:space="0" w:color="auto"/>
      </w:divBdr>
    </w:div>
    <w:div w:id="747458798">
      <w:bodyDiv w:val="1"/>
      <w:marLeft w:val="0"/>
      <w:marRight w:val="0"/>
      <w:marTop w:val="0"/>
      <w:marBottom w:val="0"/>
      <w:divBdr>
        <w:top w:val="none" w:sz="0" w:space="0" w:color="auto"/>
        <w:left w:val="none" w:sz="0" w:space="0" w:color="auto"/>
        <w:bottom w:val="none" w:sz="0" w:space="0" w:color="auto"/>
        <w:right w:val="none" w:sz="0" w:space="0" w:color="auto"/>
      </w:divBdr>
    </w:div>
    <w:div w:id="13315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2017-05-04T07:00:00+00:00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3F9C896-29F3-4353-AA26-CB01D85CB614}">
  <ds:schemaRefs>
    <ds:schemaRef ds:uri="http://schemas.microsoft.com/sharepoint/v3/contenttype/forms"/>
  </ds:schemaRefs>
</ds:datastoreItem>
</file>

<file path=customXml/itemProps2.xml><?xml version="1.0" encoding="utf-8"?>
<ds:datastoreItem xmlns:ds="http://schemas.openxmlformats.org/officeDocument/2006/customXml" ds:itemID="{ADBF8DC8-00BF-44C9-A6CC-F9DE600175BE}"/>
</file>

<file path=customXml/itemProps3.xml><?xml version="1.0" encoding="utf-8"?>
<ds:datastoreItem xmlns:ds="http://schemas.openxmlformats.org/officeDocument/2006/customXml" ds:itemID="{CDFCDD15-BD22-4F30-846C-DF96A3CFE67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a7bd91e-004b-490a-8704-e368d63d59a0"/>
    <ds:schemaRef ds:uri="http://www.w3.org/XML/1998/namespace"/>
    <ds:schemaRef ds:uri="http://purl.org/dc/dcmitype/"/>
  </ds:schemaRefs>
</ds:datastoreItem>
</file>

<file path=customXml/itemProps4.xml><?xml version="1.0" encoding="utf-8"?>
<ds:datastoreItem xmlns:ds="http://schemas.openxmlformats.org/officeDocument/2006/customXml" ds:itemID="{A6FD864B-C7F8-4E22-AE59-FCCF1ABF5275}">
  <ds:schemaRefs>
    <ds:schemaRef ds:uri="http://schemas.openxmlformats.org/officeDocument/2006/bibliography"/>
  </ds:schemaRefs>
</ds:datastoreItem>
</file>

<file path=customXml/itemProps5.xml><?xml version="1.0" encoding="utf-8"?>
<ds:datastoreItem xmlns:ds="http://schemas.openxmlformats.org/officeDocument/2006/customXml" ds:itemID="{423EC957-9C0E-4DD3-B761-0BD3D611819A}"/>
</file>

<file path=docProps/app.xml><?xml version="1.0" encoding="utf-8"?>
<Properties xmlns="http://schemas.openxmlformats.org/officeDocument/2006/extended-properties" xmlns:vt="http://schemas.openxmlformats.org/officeDocument/2006/docPropsVTypes">
  <Template>Normal</Template>
  <TotalTime>0</TotalTime>
  <Pages>16</Pages>
  <Words>3635</Words>
  <Characters>20723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2017-05-05T19:10:00Z</dcterms:created>
  <dcterms:modified xsi:type="dcterms:W3CDTF">2017-05-05T19:10:00Z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