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A8" w:rsidRDefault="003F30A8" w:rsidP="002A48CD">
      <w:pPr>
        <w:jc w:val="center"/>
        <w:rPr>
          <w:b/>
        </w:rPr>
      </w:pPr>
    </w:p>
    <w:p w:rsidR="002A48CD" w:rsidRPr="00ED7ECC" w:rsidRDefault="002A48CD" w:rsidP="002A48CD">
      <w:pPr>
        <w:jc w:val="center"/>
        <w:rPr>
          <w:b/>
        </w:rPr>
      </w:pPr>
      <w:smartTag w:uri="urn:schemas-microsoft-com:office:smarttags" w:element="State">
        <w:smartTag w:uri="urn:schemas-microsoft-com:office:smarttags" w:element="place">
          <w:r>
            <w:rPr>
              <w:b/>
            </w:rPr>
            <w:t>WASHINGTON</w:t>
          </w:r>
        </w:smartTag>
      </w:smartTag>
      <w:r>
        <w:rPr>
          <w:b/>
        </w:rPr>
        <w:t xml:space="preserve"> UTILITIES AND TRANSPORTATION COMMISSION</w:t>
      </w:r>
    </w:p>
    <w:p w:rsidR="002A48CD" w:rsidRPr="00ED7ECC" w:rsidRDefault="002A48CD" w:rsidP="002A48CD"/>
    <w:p w:rsidR="002A48CD" w:rsidRPr="00ED7ECC" w:rsidRDefault="002A48CD" w:rsidP="002A48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80"/>
        <w:gridCol w:w="4668"/>
      </w:tblGrid>
      <w:tr w:rsidR="002A48CD" w:rsidRPr="00ED7ECC" w:rsidTr="00393AF1">
        <w:tc>
          <w:tcPr>
            <w:tcW w:w="4428" w:type="dxa"/>
          </w:tcPr>
          <w:p w:rsidR="002A48CD" w:rsidRPr="00922D00" w:rsidRDefault="00322ABC" w:rsidP="00322ABC">
            <w:r w:rsidRPr="00322ABC">
              <w:t xml:space="preserve">AT&amp;T Mobility’s </w:t>
            </w:r>
            <w:r w:rsidR="002A48CD" w:rsidRPr="00922D00">
              <w:t>Request for Permanent Waiver or in the Alternate a Temporary Waiver of WAC 480-123-070(6) Regarding Eligible Telecommunications Carrier Requirements</w:t>
            </w:r>
          </w:p>
        </w:tc>
        <w:tc>
          <w:tcPr>
            <w:tcW w:w="480" w:type="dxa"/>
          </w:tcPr>
          <w:p w:rsidR="002A48CD" w:rsidRPr="00922D00" w:rsidRDefault="002A48CD" w:rsidP="00267362">
            <w:r w:rsidRPr="00922D00">
              <w:t>)</w:t>
            </w:r>
          </w:p>
          <w:p w:rsidR="002A48CD" w:rsidRPr="00922D00" w:rsidRDefault="002A48CD" w:rsidP="00267362">
            <w:r w:rsidRPr="00922D00">
              <w:t>)</w:t>
            </w:r>
          </w:p>
          <w:p w:rsidR="002A48CD" w:rsidRPr="00922D00" w:rsidRDefault="002A48CD" w:rsidP="00267362">
            <w:r w:rsidRPr="00922D00">
              <w:t>)</w:t>
            </w:r>
          </w:p>
          <w:p w:rsidR="002A48CD" w:rsidRPr="00922D00" w:rsidRDefault="002A48CD" w:rsidP="00267362">
            <w:r w:rsidRPr="00922D00">
              <w:t>)</w:t>
            </w:r>
          </w:p>
          <w:p w:rsidR="002A48CD" w:rsidRPr="00922D00" w:rsidRDefault="007C34EE" w:rsidP="00267362">
            <w:r>
              <w:t>)</w:t>
            </w:r>
          </w:p>
        </w:tc>
        <w:tc>
          <w:tcPr>
            <w:tcW w:w="4668" w:type="dxa"/>
          </w:tcPr>
          <w:p w:rsidR="002A48CD" w:rsidRPr="00922D00" w:rsidRDefault="002A48CD" w:rsidP="00393AF1">
            <w:pPr>
              <w:spacing w:after="240"/>
            </w:pPr>
            <w:r w:rsidRPr="00922D00">
              <w:t>Docket No. UT-063060</w:t>
            </w:r>
          </w:p>
          <w:p w:rsidR="002A48CD" w:rsidRPr="00922D00" w:rsidRDefault="002A48CD" w:rsidP="00267362">
            <w:r w:rsidRPr="00922D00">
              <w:t>Petition</w:t>
            </w:r>
          </w:p>
          <w:p w:rsidR="002A48CD" w:rsidRPr="00922D00" w:rsidRDefault="002A48CD" w:rsidP="00267362"/>
          <w:p w:rsidR="002A48CD" w:rsidRPr="00922D00" w:rsidRDefault="002A48CD" w:rsidP="00267362"/>
          <w:p w:rsidR="002A48CD" w:rsidRPr="00922D00" w:rsidRDefault="002A48CD" w:rsidP="00267362"/>
        </w:tc>
      </w:tr>
    </w:tbl>
    <w:p w:rsidR="002A48CD" w:rsidRDefault="002A48CD" w:rsidP="002A48CD"/>
    <w:p w:rsidR="001D10FC" w:rsidRDefault="001D10FC" w:rsidP="002A48CD"/>
    <w:p w:rsidR="002A48CD" w:rsidRPr="002A48CD" w:rsidRDefault="002A48CD" w:rsidP="002A48CD">
      <w:pPr>
        <w:jc w:val="center"/>
        <w:rPr>
          <w:b/>
          <w:u w:val="single"/>
        </w:rPr>
      </w:pPr>
      <w:r>
        <w:rPr>
          <w:b/>
          <w:u w:val="single"/>
        </w:rPr>
        <w:t xml:space="preserve">REQUEST FOR </w:t>
      </w:r>
      <w:r w:rsidR="003D00CD">
        <w:rPr>
          <w:b/>
          <w:u w:val="single"/>
        </w:rPr>
        <w:t>P</w:t>
      </w:r>
      <w:r w:rsidR="00343F94">
        <w:rPr>
          <w:b/>
          <w:u w:val="single"/>
        </w:rPr>
        <w:t>ERMAN</w:t>
      </w:r>
      <w:r w:rsidR="00343F94">
        <w:rPr>
          <w:b/>
          <w:u w:val="single"/>
        </w:rPr>
        <w:tab/>
        <w:t xml:space="preserve">ENT </w:t>
      </w:r>
      <w:r w:rsidR="008A6023">
        <w:rPr>
          <w:b/>
          <w:u w:val="single"/>
        </w:rPr>
        <w:t xml:space="preserve">WAIVER </w:t>
      </w:r>
      <w:r w:rsidR="00343F94">
        <w:rPr>
          <w:b/>
          <w:u w:val="single"/>
        </w:rPr>
        <w:t xml:space="preserve">FOR SIXTEEN (16) CELL SITES </w:t>
      </w:r>
      <w:r w:rsidR="003D00CD">
        <w:rPr>
          <w:b/>
          <w:u w:val="single"/>
        </w:rPr>
        <w:t xml:space="preserve">OR IN THE ALTERNATE EXTENSION </w:t>
      </w:r>
      <w:r w:rsidR="00343F94">
        <w:rPr>
          <w:b/>
          <w:u w:val="single"/>
        </w:rPr>
        <w:t xml:space="preserve">FOR </w:t>
      </w:r>
      <w:r w:rsidR="00AC7C94">
        <w:rPr>
          <w:b/>
          <w:u w:val="single"/>
        </w:rPr>
        <w:t>COMPLIANCE WITH WAC 480-123-070(6) AND WAC 480-123-030(1</w:t>
      </w:r>
      <w:proofErr w:type="gramStart"/>
      <w:r w:rsidR="00AC7C94">
        <w:rPr>
          <w:b/>
          <w:u w:val="single"/>
        </w:rPr>
        <w:t>)(</w:t>
      </w:r>
      <w:proofErr w:type="gramEnd"/>
      <w:r w:rsidR="00AC7C94">
        <w:rPr>
          <w:b/>
          <w:u w:val="single"/>
        </w:rPr>
        <w:t>g)</w:t>
      </w:r>
      <w:r w:rsidR="008A6023">
        <w:rPr>
          <w:b/>
          <w:u w:val="single"/>
        </w:rPr>
        <w:t xml:space="preserve"> </w:t>
      </w:r>
    </w:p>
    <w:p w:rsidR="002A48CD" w:rsidRDefault="002A48CD" w:rsidP="002A48CD"/>
    <w:p w:rsidR="00B668B4" w:rsidRDefault="002A48CD" w:rsidP="00475D6C">
      <w:pPr>
        <w:spacing w:line="480" w:lineRule="auto"/>
        <w:ind w:firstLine="720"/>
      </w:pPr>
      <w:r>
        <w:t>New Cingular Wireless PCS, LLC</w:t>
      </w:r>
      <w:r w:rsidR="000709FE">
        <w:rPr>
          <w:rStyle w:val="FootnoteReference"/>
        </w:rPr>
        <w:footnoteReference w:id="1"/>
      </w:r>
      <w:r w:rsidR="006767AE">
        <w:t xml:space="preserve"> </w:t>
      </w:r>
      <w:r>
        <w:t>and</w:t>
      </w:r>
      <w:r w:rsidR="006767AE">
        <w:t xml:space="preserve"> AT&amp;T Mobility Wireless Operations Holdings, Inc.</w:t>
      </w:r>
      <w:r w:rsidR="006767AE">
        <w:rPr>
          <w:rStyle w:val="FootnoteReference"/>
        </w:rPr>
        <w:footnoteReference w:id="2"/>
      </w:r>
      <w:r w:rsidR="006767AE">
        <w:t xml:space="preserve"> </w:t>
      </w:r>
      <w:r>
        <w:t xml:space="preserve"> (collectively “AT&amp;T Mobility”)</w:t>
      </w:r>
      <w:r w:rsidR="00B668B4">
        <w:t xml:space="preserve"> </w:t>
      </w:r>
      <w:r w:rsidR="00AC7C94">
        <w:t xml:space="preserve">request </w:t>
      </w:r>
      <w:r w:rsidR="003D00CD">
        <w:t xml:space="preserve">a </w:t>
      </w:r>
      <w:r w:rsidR="00343F94">
        <w:t xml:space="preserve">permanent </w:t>
      </w:r>
      <w:r w:rsidR="003D00CD">
        <w:t xml:space="preserve">waiver </w:t>
      </w:r>
      <w:r w:rsidR="00343F94">
        <w:t xml:space="preserve">for sixteen (16) cells sites </w:t>
      </w:r>
      <w:r w:rsidR="003D00CD">
        <w:t xml:space="preserve">or in the alternate a </w:t>
      </w:r>
      <w:r w:rsidR="008A6023">
        <w:t xml:space="preserve">one (1) </w:t>
      </w:r>
      <w:r w:rsidR="003D00CD">
        <w:t xml:space="preserve">year extension from the requirement to install four hours of backup power at </w:t>
      </w:r>
      <w:r w:rsidR="00343F94">
        <w:t xml:space="preserve">these </w:t>
      </w:r>
      <w:r w:rsidR="008A6023">
        <w:t>sixteen (</w:t>
      </w:r>
      <w:r w:rsidR="003D00CD">
        <w:t>16</w:t>
      </w:r>
      <w:r w:rsidR="008A6023">
        <w:t>)</w:t>
      </w:r>
      <w:r w:rsidR="003D00CD">
        <w:t xml:space="preserve"> cell sites in accordance with WAC 480-123-070(6) and WAC 480-123-030(1</w:t>
      </w:r>
      <w:proofErr w:type="gramStart"/>
      <w:r w:rsidR="003D00CD">
        <w:t>)(</w:t>
      </w:r>
      <w:proofErr w:type="gramEnd"/>
      <w:r w:rsidR="003D00CD">
        <w:t xml:space="preserve">g).  </w:t>
      </w:r>
      <w:r w:rsidR="00AC7C94">
        <w:t xml:space="preserve">  </w:t>
      </w:r>
      <w:r w:rsidR="00B668B4">
        <w:t xml:space="preserve">  </w:t>
      </w:r>
    </w:p>
    <w:p w:rsidR="00B668B4" w:rsidRPr="00B668B4" w:rsidRDefault="00B668B4" w:rsidP="00B668B4">
      <w:pPr>
        <w:numPr>
          <w:ilvl w:val="0"/>
          <w:numId w:val="3"/>
        </w:numPr>
        <w:spacing w:line="480" w:lineRule="auto"/>
        <w:rPr>
          <w:b/>
          <w:u w:val="single"/>
        </w:rPr>
      </w:pPr>
      <w:r w:rsidRPr="00B668B4">
        <w:rPr>
          <w:b/>
          <w:u w:val="single"/>
        </w:rPr>
        <w:t xml:space="preserve">Background: </w:t>
      </w:r>
    </w:p>
    <w:p w:rsidR="003F30A8" w:rsidRDefault="00B668B4" w:rsidP="003F30A8">
      <w:pPr>
        <w:numPr>
          <w:ilvl w:val="0"/>
          <w:numId w:val="4"/>
        </w:numPr>
        <w:spacing w:line="480" w:lineRule="auto"/>
      </w:pPr>
      <w:r>
        <w:t xml:space="preserve">AT&amp;T Mobility </w:t>
      </w:r>
      <w:r w:rsidR="00666389">
        <w:t>w</w:t>
      </w:r>
      <w:r>
        <w:t xml:space="preserve">as designated by </w:t>
      </w:r>
      <w:r w:rsidR="00F53D17">
        <w:t xml:space="preserve">the Washington Utilities and Transportation Commission (“Commission”) </w:t>
      </w:r>
      <w:r>
        <w:t xml:space="preserve">as an </w:t>
      </w:r>
      <w:r w:rsidR="003D00CD">
        <w:t>eligible telecommunications carrier (“</w:t>
      </w:r>
      <w:r w:rsidR="003F30A8">
        <w:t>ETC</w:t>
      </w:r>
      <w:r w:rsidR="003D00CD">
        <w:t>”)</w:t>
      </w:r>
      <w:r w:rsidR="003F30A8">
        <w:t xml:space="preserve"> </w:t>
      </w:r>
      <w:r>
        <w:t xml:space="preserve">in certain areas </w:t>
      </w:r>
      <w:r w:rsidR="003F30A8">
        <w:t xml:space="preserve">in Washington State.  As such AT&amp;T Mobility is </w:t>
      </w:r>
      <w:r>
        <w:t>subject to</w:t>
      </w:r>
      <w:r w:rsidR="003F30A8">
        <w:t xml:space="preserve"> the Commission’s rules </w:t>
      </w:r>
      <w:r w:rsidR="00F53D17">
        <w:t xml:space="preserve">governing </w:t>
      </w:r>
      <w:r w:rsidR="00721CEC">
        <w:t xml:space="preserve"> </w:t>
      </w:r>
      <w:r w:rsidR="003F30A8">
        <w:t>ETCs, including</w:t>
      </w:r>
      <w:r>
        <w:t xml:space="preserve"> </w:t>
      </w:r>
      <w:r w:rsidR="003F30A8">
        <w:t xml:space="preserve">the requirement in </w:t>
      </w:r>
      <w:r>
        <w:t>WAC 480-123-0</w:t>
      </w:r>
      <w:r w:rsidR="003F30A8">
        <w:t>30(1)(g)</w:t>
      </w:r>
      <w:r w:rsidR="00721CEC">
        <w:rPr>
          <w:rStyle w:val="FootnoteReference"/>
        </w:rPr>
        <w:footnoteReference w:id="3"/>
      </w:r>
      <w:r w:rsidR="003F30A8">
        <w:t xml:space="preserve"> and WAC 480-123-070(6)</w:t>
      </w:r>
      <w:r w:rsidR="00721CEC">
        <w:rPr>
          <w:rStyle w:val="FootnoteReference"/>
        </w:rPr>
        <w:footnoteReference w:id="4"/>
      </w:r>
      <w:r w:rsidR="003F30A8">
        <w:t xml:space="preserve"> that </w:t>
      </w:r>
      <w:r w:rsidR="00721CEC">
        <w:t xml:space="preserve">a wireless </w:t>
      </w:r>
      <w:r w:rsidR="003F30A8">
        <w:t xml:space="preserve">ETC have </w:t>
      </w:r>
      <w:r w:rsidR="00721CEC">
        <w:t xml:space="preserve">“at least four hours of back up battery power at each cell site.”  </w:t>
      </w:r>
      <w:r w:rsidR="00721CEC">
        <w:rPr>
          <w:highlight w:val="green"/>
        </w:rPr>
        <w:t xml:space="preserve"> </w:t>
      </w:r>
    </w:p>
    <w:p w:rsidR="003F30A8" w:rsidRDefault="00A443E5" w:rsidP="003F30A8">
      <w:pPr>
        <w:numPr>
          <w:ilvl w:val="0"/>
          <w:numId w:val="4"/>
        </w:numPr>
        <w:spacing w:line="480" w:lineRule="auto"/>
      </w:pPr>
      <w:r>
        <w:lastRenderedPageBreak/>
        <w:t xml:space="preserve">On July 31, 2006, AT&amp;T Mobility </w:t>
      </w:r>
      <w:r w:rsidR="002A48CD">
        <w:t xml:space="preserve">submitted a </w:t>
      </w:r>
      <w:r w:rsidR="00F53D17">
        <w:t>p</w:t>
      </w:r>
      <w:r w:rsidR="002A48CD">
        <w:t xml:space="preserve">etition to the Commission requesting a permanent waiver of WAC 480-123-070(6) </w:t>
      </w:r>
      <w:r>
        <w:t xml:space="preserve">and </w:t>
      </w:r>
      <w:r w:rsidR="002A48CD">
        <w:t>WAC 480-123-030(1</w:t>
      </w:r>
      <w:proofErr w:type="gramStart"/>
      <w:r w:rsidR="002A48CD">
        <w:t>)(</w:t>
      </w:r>
      <w:proofErr w:type="gramEnd"/>
      <w:r w:rsidR="002A48CD">
        <w:t>g)</w:t>
      </w:r>
      <w:r w:rsidR="00F53D17">
        <w:t xml:space="preserve"> or, in</w:t>
      </w:r>
      <w:r>
        <w:t xml:space="preserve"> the alternative</w:t>
      </w:r>
      <w:r w:rsidR="00F53D17">
        <w:t xml:space="preserve">, </w:t>
      </w:r>
      <w:r>
        <w:t xml:space="preserve">partial exemption </w:t>
      </w:r>
      <w:r w:rsidR="00721CEC">
        <w:t>of these rules</w:t>
      </w:r>
      <w:r w:rsidR="00240D65">
        <w:t xml:space="preserve">.  </w:t>
      </w:r>
      <w:r w:rsidR="00721CEC">
        <w:t xml:space="preserve">  </w:t>
      </w:r>
      <w:r>
        <w:t xml:space="preserve">  </w:t>
      </w:r>
    </w:p>
    <w:p w:rsidR="00CA0CBF" w:rsidRDefault="00A443E5" w:rsidP="00FF2F93">
      <w:pPr>
        <w:numPr>
          <w:ilvl w:val="0"/>
          <w:numId w:val="4"/>
        </w:numPr>
        <w:spacing w:line="480" w:lineRule="auto"/>
      </w:pPr>
      <w:r>
        <w:t>On February 15, 2007, the Commission denied AT&amp;T Mobility’s request for a permanent exemption from WAC 480-123-070(6)</w:t>
      </w:r>
      <w:r w:rsidR="00666389">
        <w:t>;</w:t>
      </w:r>
      <w:r>
        <w:rPr>
          <w:rStyle w:val="FootnoteReference"/>
        </w:rPr>
        <w:footnoteReference w:id="5"/>
      </w:r>
      <w:r w:rsidR="00666389">
        <w:t xml:space="preserve"> however, t</w:t>
      </w:r>
      <w:r>
        <w:t>he Commission</w:t>
      </w:r>
      <w:r w:rsidR="00666389">
        <w:t xml:space="preserve"> </w:t>
      </w:r>
      <w:r>
        <w:t>granted AT&amp;T Mobility’s request for a partial waive</w:t>
      </w:r>
      <w:r w:rsidR="003F30A8">
        <w:t xml:space="preserve">r </w:t>
      </w:r>
      <w:r w:rsidR="003D00CD">
        <w:t xml:space="preserve">and required that </w:t>
      </w:r>
      <w:r w:rsidR="00322ABC">
        <w:t xml:space="preserve">AT&amp;T Mobility </w:t>
      </w:r>
      <w:r w:rsidR="003D00CD">
        <w:t xml:space="preserve">within two years of the date of the Order provide </w:t>
      </w:r>
      <w:r>
        <w:t xml:space="preserve">four hours of back-up at all Priority 1 and -98db cell sites using reliable </w:t>
      </w:r>
      <w:r w:rsidR="00CD17D1">
        <w:t xml:space="preserve">alternative </w:t>
      </w:r>
      <w:r>
        <w:t>power sources (battery, fixed generator or fuel cells).</w:t>
      </w:r>
      <w:r w:rsidR="00F004BB">
        <w:rPr>
          <w:rStyle w:val="FootnoteReference"/>
        </w:rPr>
        <w:footnoteReference w:id="6"/>
      </w:r>
      <w:r>
        <w:t xml:space="preserve">  </w:t>
      </w:r>
      <w:r w:rsidR="001D10FC">
        <w:t>(</w:t>
      </w:r>
      <w:r w:rsidR="001D10FC" w:rsidRPr="001D10FC">
        <w:rPr>
          <w:i/>
        </w:rPr>
        <w:t>Phase I</w:t>
      </w:r>
      <w:r w:rsidR="001D10FC">
        <w:t>)</w:t>
      </w:r>
    </w:p>
    <w:p w:rsidR="003F1F59" w:rsidRDefault="00666389" w:rsidP="003F30A8">
      <w:pPr>
        <w:numPr>
          <w:ilvl w:val="0"/>
          <w:numId w:val="4"/>
        </w:numPr>
        <w:spacing w:line="480" w:lineRule="auto"/>
      </w:pPr>
      <w:r>
        <w:t xml:space="preserve">On March 6, 2009, AT&amp;T Mobility filed a Compliance Report and Request for Limited Extension of Partial Exemption demonstrating that </w:t>
      </w:r>
      <w:r w:rsidR="00FF2F93">
        <w:t xml:space="preserve">it had installed four hours of backup power using reliable alternate power sources at hundreds of cell sites </w:t>
      </w:r>
      <w:r w:rsidR="008A6023">
        <w:t xml:space="preserve">for </w:t>
      </w:r>
      <w:r w:rsidR="008A6023" w:rsidRPr="00240D65">
        <w:rPr>
          <w:i/>
        </w:rPr>
        <w:t>Phase I</w:t>
      </w:r>
      <w:r w:rsidR="008A6023">
        <w:t xml:space="preserve">; </w:t>
      </w:r>
      <w:r w:rsidR="00FF2F93">
        <w:t xml:space="preserve">however, there were three cell sites that </w:t>
      </w:r>
      <w:r w:rsidR="003F1F59">
        <w:t>AT&amp;T Mobility encountered difficulties installing the batteries required to meet the</w:t>
      </w:r>
      <w:r w:rsidR="008A6023">
        <w:t xml:space="preserve"> four </w:t>
      </w:r>
      <w:r w:rsidR="003F1F59">
        <w:t xml:space="preserve">hour backup power requirement and requested an extension of one year to bring these three cell sites </w:t>
      </w:r>
      <w:r w:rsidR="00240D65">
        <w:t xml:space="preserve">into compliance with the </w:t>
      </w:r>
      <w:r w:rsidR="008A6023">
        <w:t>four h</w:t>
      </w:r>
      <w:r w:rsidR="003F1F59">
        <w:t>our backup power requirement.</w:t>
      </w:r>
      <w:r w:rsidR="00F004BB">
        <w:rPr>
          <w:rStyle w:val="FootnoteReference"/>
        </w:rPr>
        <w:footnoteReference w:id="7"/>
      </w:r>
      <w:r w:rsidR="00FF2F93">
        <w:t xml:space="preserve">  The Commission granted AT&amp;T Mobility’s request on </w:t>
      </w:r>
      <w:r w:rsidR="00322ABC">
        <w:t xml:space="preserve">September 10, 2009.  </w:t>
      </w:r>
      <w:r w:rsidR="00FF2F93">
        <w:t xml:space="preserve">  </w:t>
      </w:r>
      <w:r w:rsidR="00F004BB">
        <w:t xml:space="preserve">  </w:t>
      </w:r>
    </w:p>
    <w:p w:rsidR="00CD31F5" w:rsidRDefault="00FF2F93" w:rsidP="00213BD9">
      <w:pPr>
        <w:numPr>
          <w:ilvl w:val="0"/>
          <w:numId w:val="4"/>
        </w:numPr>
        <w:spacing w:line="480" w:lineRule="auto"/>
      </w:pPr>
      <w:r w:rsidRPr="00240D65">
        <w:t>On August 3, 2009, AT</w:t>
      </w:r>
      <w:r w:rsidR="003F1F59" w:rsidRPr="00240D65">
        <w:t>&amp;</w:t>
      </w:r>
      <w:r w:rsidR="003F1F59">
        <w:t xml:space="preserve">T Mobility </w:t>
      </w:r>
      <w:r w:rsidR="00213BD9">
        <w:t xml:space="preserve">filed a Request for Clarification or in the Alternate an Extension to bring </w:t>
      </w:r>
      <w:r w:rsidR="00240D65">
        <w:t xml:space="preserve">the </w:t>
      </w:r>
      <w:r w:rsidR="00213BD9">
        <w:t>remaining cell sites within its ETC designated area into compliance with the requirements set forth in W</w:t>
      </w:r>
      <w:r w:rsidR="003F1F59">
        <w:t>AC 480-123(1)(g) and WAC 480-123-070(6)</w:t>
      </w:r>
      <w:r w:rsidR="00213BD9">
        <w:t xml:space="preserve">.  In an </w:t>
      </w:r>
      <w:r w:rsidR="00213BD9">
        <w:lastRenderedPageBreak/>
        <w:t xml:space="preserve">order issued on </w:t>
      </w:r>
      <w:r w:rsidR="00322ABC">
        <w:t xml:space="preserve">October 8, 2009, </w:t>
      </w:r>
      <w:r w:rsidR="00213BD9">
        <w:t xml:space="preserve">the Commission required that by July 1, 2012, AT&amp;T Mobility augment all of its cell sites </w:t>
      </w:r>
      <w:r w:rsidR="00240D65">
        <w:t xml:space="preserve">in its ETC designated area </w:t>
      </w:r>
      <w:r w:rsidR="00213BD9">
        <w:t xml:space="preserve">with four hours of alternate backup power.  </w:t>
      </w:r>
      <w:r w:rsidR="001D10FC">
        <w:t>(</w:t>
      </w:r>
      <w:r w:rsidR="001D10FC" w:rsidRPr="001D10FC">
        <w:rPr>
          <w:i/>
        </w:rPr>
        <w:t>Phase II</w:t>
      </w:r>
      <w:r w:rsidR="001D10FC">
        <w:t>)</w:t>
      </w:r>
    </w:p>
    <w:p w:rsidR="00213BD9" w:rsidRPr="001D10FC" w:rsidRDefault="00213BD9" w:rsidP="00213BD9">
      <w:pPr>
        <w:numPr>
          <w:ilvl w:val="0"/>
          <w:numId w:val="4"/>
        </w:numPr>
        <w:spacing w:line="480" w:lineRule="auto"/>
      </w:pPr>
      <w:r>
        <w:t xml:space="preserve">AT&amp;T Mobility has worked diligently to augment hundreds of its cell sites to four hours </w:t>
      </w:r>
      <w:r w:rsidR="00C24EF9">
        <w:t xml:space="preserve">of reliable backup power.  This requirement has </w:t>
      </w:r>
      <w:r w:rsidR="001D10FC">
        <w:t xml:space="preserve">consumed </w:t>
      </w:r>
      <w:r w:rsidR="00C24EF9">
        <w:t>millions of dollars</w:t>
      </w:r>
      <w:r w:rsidR="001D10FC">
        <w:t xml:space="preserve"> in federal high cost support.  </w:t>
      </w:r>
    </w:p>
    <w:p w:rsidR="001D10FC" w:rsidRPr="001D10FC" w:rsidRDefault="001D10FC" w:rsidP="001D10FC">
      <w:pPr>
        <w:numPr>
          <w:ilvl w:val="0"/>
          <w:numId w:val="3"/>
        </w:numPr>
        <w:spacing w:line="480" w:lineRule="auto"/>
        <w:rPr>
          <w:b/>
        </w:rPr>
      </w:pPr>
      <w:r w:rsidRPr="001D10FC">
        <w:rPr>
          <w:b/>
        </w:rPr>
        <w:t>DISCUSSION</w:t>
      </w:r>
    </w:p>
    <w:p w:rsidR="001D10FC" w:rsidRDefault="00305C59" w:rsidP="00CD31F5">
      <w:pPr>
        <w:numPr>
          <w:ilvl w:val="0"/>
          <w:numId w:val="4"/>
        </w:numPr>
        <w:spacing w:line="480" w:lineRule="auto"/>
        <w:jc w:val="both"/>
      </w:pPr>
      <w:r>
        <w:t xml:space="preserve">Installing backup power at the </w:t>
      </w:r>
      <w:r w:rsidRPr="00240D65">
        <w:rPr>
          <w:i/>
        </w:rPr>
        <w:t>Phase II</w:t>
      </w:r>
      <w:r>
        <w:t xml:space="preserve"> cell sites has proven to be much more difficult and, therefore, costly than </w:t>
      </w:r>
      <w:r w:rsidRPr="00240D65">
        <w:rPr>
          <w:i/>
        </w:rPr>
        <w:t>Phase I</w:t>
      </w:r>
      <w:r>
        <w:t>.  Out of the hundreds of cell sites that have been upgraded to four</w:t>
      </w:r>
      <w:r w:rsidR="00240D65">
        <w:t xml:space="preserve"> </w:t>
      </w:r>
      <w:r>
        <w:t xml:space="preserve">hours of reliable backup power, there </w:t>
      </w:r>
      <w:r w:rsidR="001D10FC">
        <w:t xml:space="preserve">are </w:t>
      </w:r>
      <w:r w:rsidR="00240D65">
        <w:t>sixteen (</w:t>
      </w:r>
      <w:r w:rsidR="001D10FC">
        <w:t>16</w:t>
      </w:r>
      <w:r w:rsidR="00240D65">
        <w:t>)</w:t>
      </w:r>
      <w:r w:rsidR="001D10FC">
        <w:t xml:space="preserve"> cell sites</w:t>
      </w:r>
      <w:r>
        <w:t xml:space="preserve"> that AT&amp;T Mobility requests a </w:t>
      </w:r>
      <w:r w:rsidR="00C70812">
        <w:t xml:space="preserve">permanent </w:t>
      </w:r>
      <w:r>
        <w:t>waiver or in the alternate a one-year extension, until July 1, 2013, to comply with the f</w:t>
      </w:r>
      <w:r w:rsidR="001D10FC">
        <w:t xml:space="preserve">our </w:t>
      </w:r>
      <w:r w:rsidR="00322ABC">
        <w:t xml:space="preserve">hour </w:t>
      </w:r>
      <w:r w:rsidR="001D10FC">
        <w:t xml:space="preserve">backup power requirement.  </w:t>
      </w:r>
    </w:p>
    <w:p w:rsidR="00660925" w:rsidRDefault="00305C59" w:rsidP="00CD31F5">
      <w:pPr>
        <w:numPr>
          <w:ilvl w:val="0"/>
          <w:numId w:val="4"/>
        </w:numPr>
        <w:spacing w:line="480" w:lineRule="auto"/>
        <w:jc w:val="both"/>
      </w:pPr>
      <w:r>
        <w:t xml:space="preserve">The remaining </w:t>
      </w:r>
      <w:r w:rsidR="00240D65">
        <w:t xml:space="preserve">sixteen </w:t>
      </w:r>
      <w:r>
        <w:t xml:space="preserve">cell sites have proven to be more difficult to obtain permits and/or necessary lease amendments and/or are more expensive to upgrade to four hours of backup power.  </w:t>
      </w:r>
      <w:r w:rsidR="00616C15" w:rsidRPr="00660925">
        <w:rPr>
          <w:b/>
          <w:u w:val="single"/>
        </w:rPr>
        <w:t>Confidential Attachment A</w:t>
      </w:r>
      <w:r w:rsidR="00616C15">
        <w:t xml:space="preserve"> provides the following information for each of the </w:t>
      </w:r>
      <w:r w:rsidR="00240D65">
        <w:t xml:space="preserve">sixteen </w:t>
      </w:r>
      <w:r w:rsidR="00616C15">
        <w:t>cell sites</w:t>
      </w:r>
      <w:r w:rsidR="00B47A50">
        <w:t xml:space="preserve"> covered by this request</w:t>
      </w:r>
      <w:r w:rsidR="00616C15">
        <w:t xml:space="preserve">: 1) the </w:t>
      </w:r>
      <w:r w:rsidR="00B47A50">
        <w:t xml:space="preserve">site identification, </w:t>
      </w:r>
      <w:r w:rsidR="00616C15">
        <w:t>name and location; 2) estimated cost to install four</w:t>
      </w:r>
      <w:r w:rsidR="00FF23EF">
        <w:t xml:space="preserve"> </w:t>
      </w:r>
      <w:r w:rsidR="00616C15">
        <w:t xml:space="preserve">hours of backup power; and, 3) the </w:t>
      </w:r>
      <w:r w:rsidR="00660925">
        <w:t xml:space="preserve">reason for the long time to upgrade.  </w:t>
      </w:r>
      <w:r w:rsidR="00616C15">
        <w:t xml:space="preserve"> </w:t>
      </w:r>
    </w:p>
    <w:p w:rsidR="00240D65" w:rsidRDefault="00705047" w:rsidP="00CD31F5">
      <w:pPr>
        <w:numPr>
          <w:ilvl w:val="0"/>
          <w:numId w:val="4"/>
        </w:numPr>
        <w:spacing w:line="480" w:lineRule="auto"/>
        <w:jc w:val="both"/>
      </w:pPr>
      <w:r>
        <w:t xml:space="preserve">Further, installing </w:t>
      </w:r>
      <w:r w:rsidR="008A6023">
        <w:t xml:space="preserve">four </w:t>
      </w:r>
      <w:r>
        <w:t>hours of backup power at the</w:t>
      </w:r>
      <w:r w:rsidR="008A6023">
        <w:t xml:space="preserve"> </w:t>
      </w:r>
      <w:r w:rsidR="00240D65">
        <w:t xml:space="preserve">sixteen </w:t>
      </w:r>
      <w:r w:rsidR="00B47A50">
        <w:t>covered by this request cel</w:t>
      </w:r>
      <w:r w:rsidR="008A6023">
        <w:t xml:space="preserve">l sites </w:t>
      </w:r>
      <w:r>
        <w:t>is simply not necessary.  First, there is one hundred percent (100%) coverage overlap from adjacent cell site(s) that have already been augmented with four hour</w:t>
      </w:r>
      <w:r w:rsidR="00322ABC">
        <w:t>s</w:t>
      </w:r>
      <w:r>
        <w:t xml:space="preserve"> of reliable backup power.  </w:t>
      </w:r>
      <w:r w:rsidRPr="00B47A50">
        <w:rPr>
          <w:b/>
          <w:u w:val="single"/>
        </w:rPr>
        <w:t>Confidential Exhibit B</w:t>
      </w:r>
      <w:r>
        <w:rPr>
          <w:b/>
        </w:rPr>
        <w:t xml:space="preserve"> </w:t>
      </w:r>
      <w:r w:rsidR="00992428">
        <w:t xml:space="preserve">demonstrates that at </w:t>
      </w:r>
      <w:r>
        <w:t>-9</w:t>
      </w:r>
      <w:r w:rsidR="00B47A50">
        <w:t>5</w:t>
      </w:r>
      <w:r>
        <w:t xml:space="preserve">db outdoor coverage </w:t>
      </w:r>
      <w:r w:rsidR="00992428">
        <w:t xml:space="preserve">the </w:t>
      </w:r>
      <w:r w:rsidR="00240D65">
        <w:t xml:space="preserve">sixteen </w:t>
      </w:r>
      <w:r>
        <w:t xml:space="preserve">cell sites </w:t>
      </w:r>
      <w:r w:rsidR="00992428">
        <w:t xml:space="preserve">do not provide additional coverage and, thus, are </w:t>
      </w:r>
      <w:r w:rsidR="00240D65">
        <w:t>purely capacity sites</w:t>
      </w:r>
      <w:r w:rsidR="00992428">
        <w:t xml:space="preserve">.  This means that even if these sixteen cell sites do not have four hours of backup power and </w:t>
      </w:r>
      <w:r w:rsidR="00C70812">
        <w:t>a power outage occurs consumers</w:t>
      </w:r>
      <w:r w:rsidR="00992428">
        <w:t xml:space="preserve"> will be able to utilize adjacent cell sites to make and/or receive a call.  </w:t>
      </w:r>
      <w:r w:rsidR="00240D65">
        <w:t xml:space="preserve"> </w:t>
      </w:r>
    </w:p>
    <w:p w:rsidR="001D10FC" w:rsidRDefault="00AB1DE6" w:rsidP="00CD31F5">
      <w:pPr>
        <w:numPr>
          <w:ilvl w:val="0"/>
          <w:numId w:val="4"/>
        </w:numPr>
        <w:spacing w:line="480" w:lineRule="auto"/>
        <w:jc w:val="both"/>
      </w:pPr>
      <w:r>
        <w:t xml:space="preserve">In addition, AT&amp;T Mobility takes seriously any major outage caused by loss of commercial power or otherwise.  AT&amp;T Mobility has a comprehensive emergency response plan in place.  Further, AT&amp;T Mobility also has a number of portable generators which are currently placed at strategic locations throughout the state.  </w:t>
      </w:r>
      <w:r w:rsidRPr="00AB1DE6">
        <w:rPr>
          <w:b/>
          <w:u w:val="single"/>
        </w:rPr>
        <w:t>Confidential Exhibit C</w:t>
      </w:r>
      <w:r>
        <w:t xml:space="preserve"> provides the locations in which portable generators are currently placed for fast deployment to cell sites</w:t>
      </w:r>
      <w:r w:rsidR="008C3072">
        <w:t xml:space="preserve">.  AT&amp;T Mobility also has several </w:t>
      </w:r>
      <w:r>
        <w:t xml:space="preserve">Cells on Wheels (COWs) which are portable cell sites that can be used on a temporary basis.  This continuity plan provides AT&amp;T with the flexibility to respond appropriately to emergency outage situations.   </w:t>
      </w:r>
      <w:r w:rsidR="00705047">
        <w:t xml:space="preserve">  </w:t>
      </w:r>
    </w:p>
    <w:p w:rsidR="003547FF" w:rsidRDefault="00E91B8F" w:rsidP="002409F7">
      <w:pPr>
        <w:numPr>
          <w:ilvl w:val="0"/>
          <w:numId w:val="4"/>
        </w:numPr>
        <w:spacing w:line="480" w:lineRule="auto"/>
        <w:jc w:val="both"/>
      </w:pPr>
      <w:r>
        <w:t xml:space="preserve">AT&amp;T Mobility is </w:t>
      </w:r>
      <w:r w:rsidR="00491FF0">
        <w:t xml:space="preserve">also providing in </w:t>
      </w:r>
      <w:r w:rsidR="00491FF0" w:rsidRPr="002409F7">
        <w:rPr>
          <w:b/>
          <w:u w:val="single"/>
        </w:rPr>
        <w:t xml:space="preserve">Confidential Exhibit </w:t>
      </w:r>
      <w:r w:rsidR="008C3072" w:rsidRPr="002409F7">
        <w:rPr>
          <w:b/>
          <w:u w:val="single"/>
        </w:rPr>
        <w:t>D</w:t>
      </w:r>
      <w:r w:rsidR="00491FF0">
        <w:t xml:space="preserve"> </w:t>
      </w:r>
      <w:r w:rsidR="00F56CDB">
        <w:t xml:space="preserve">details </w:t>
      </w:r>
      <w:r w:rsidR="008C3072">
        <w:t xml:space="preserve">on its Phase II implementation of the four hour backup power requirements.  Specifically, the exhibit provides the </w:t>
      </w:r>
      <w:r w:rsidR="00491FF0">
        <w:t xml:space="preserve">number of cell sites per year that </w:t>
      </w:r>
      <w:r w:rsidR="008C3072">
        <w:t xml:space="preserve">have been upgraded to four hours of backup power along with costs associated with these upgrades.  </w:t>
      </w:r>
    </w:p>
    <w:p w:rsidR="008C3072" w:rsidRPr="008C3072" w:rsidRDefault="00544611" w:rsidP="008C3072">
      <w:pPr>
        <w:numPr>
          <w:ilvl w:val="0"/>
          <w:numId w:val="3"/>
        </w:numPr>
        <w:spacing w:line="480" w:lineRule="auto"/>
        <w:jc w:val="both"/>
        <w:rPr>
          <w:b/>
        </w:rPr>
      </w:pPr>
      <w:r>
        <w:rPr>
          <w:b/>
        </w:rPr>
        <w:t>CHANGES TO HIGH COST SUPPORT</w:t>
      </w:r>
    </w:p>
    <w:p w:rsidR="000107BB" w:rsidRDefault="00544611" w:rsidP="000107BB">
      <w:pPr>
        <w:numPr>
          <w:ilvl w:val="0"/>
          <w:numId w:val="4"/>
        </w:numPr>
        <w:spacing w:line="480" w:lineRule="auto"/>
        <w:jc w:val="both"/>
      </w:pPr>
      <w:r>
        <w:t xml:space="preserve">The Federal Communications Commission (“FCC”) recently issued the </w:t>
      </w:r>
      <w:r w:rsidRPr="00322ABC">
        <w:rPr>
          <w:i/>
        </w:rPr>
        <w:t xml:space="preserve">ICC/USF </w:t>
      </w:r>
      <w:r w:rsidR="000107BB" w:rsidRPr="00322ABC">
        <w:rPr>
          <w:i/>
        </w:rPr>
        <w:t>Reform Order</w:t>
      </w:r>
      <w:r w:rsidR="00322ABC">
        <w:rPr>
          <w:rStyle w:val="FootnoteReference"/>
          <w:i/>
        </w:rPr>
        <w:footnoteReference w:id="8"/>
      </w:r>
      <w:r>
        <w:t xml:space="preserve"> which adopts wide-spread </w:t>
      </w:r>
      <w:r w:rsidR="008A6023">
        <w:t xml:space="preserve">changes and reforms </w:t>
      </w:r>
      <w:r>
        <w:t xml:space="preserve">the federal universal service high-cost support fund.  This order has two immediate impacts on AT&amp;T Mobility’s ETC designation in Washington.  First, the </w:t>
      </w:r>
      <w:r w:rsidR="00992428">
        <w:t>o</w:t>
      </w:r>
      <w:r>
        <w:t xml:space="preserve">rder combined with general unpredictability in the amount of support received by CETCs means that AT&amp;T Mobility anticipates receiving approximately </w:t>
      </w:r>
      <w:r w:rsidRPr="00544611">
        <w:rPr>
          <w:b/>
        </w:rPr>
        <w:t>$4 million</w:t>
      </w:r>
      <w:r>
        <w:t xml:space="preserve"> less in federal high cost support in 2012</w:t>
      </w:r>
      <w:r w:rsidR="00FF23EF">
        <w:t xml:space="preserve">, which results in </w:t>
      </w:r>
      <w:r>
        <w:t xml:space="preserve">less ETC support in which to fund the battery backup project.  </w:t>
      </w:r>
    </w:p>
    <w:p w:rsidR="00F53D17" w:rsidRDefault="00544611" w:rsidP="00F53D17">
      <w:pPr>
        <w:numPr>
          <w:ilvl w:val="0"/>
          <w:numId w:val="4"/>
        </w:numPr>
        <w:spacing w:line="480" w:lineRule="auto"/>
        <w:jc w:val="both"/>
      </w:pPr>
      <w:r>
        <w:t xml:space="preserve">Second, </w:t>
      </w:r>
      <w:r w:rsidR="000107BB">
        <w:t>t</w:t>
      </w:r>
      <w:r w:rsidR="000107BB" w:rsidRPr="00F53D17">
        <w:t xml:space="preserve">he </w:t>
      </w:r>
      <w:r w:rsidR="000107BB" w:rsidRPr="00F53D17">
        <w:rPr>
          <w:i/>
        </w:rPr>
        <w:t>USF/ICC Reform Order</w:t>
      </w:r>
      <w:r w:rsidR="000107BB" w:rsidRPr="00F53D17">
        <w:t xml:space="preserve"> provides that if states adopt additional regulations connected with USF, that state must also adopt a mechanism to support such standards without burdening the FUSF.</w:t>
      </w:r>
      <w:r w:rsidR="000107BB" w:rsidRPr="00F53D17">
        <w:rPr>
          <w:vertAlign w:val="superscript"/>
        </w:rPr>
        <w:footnoteReference w:id="9"/>
      </w:r>
      <w:r w:rsidR="00D81F7E" w:rsidRPr="00F53D17">
        <w:rPr>
          <w:vertAlign w:val="superscript"/>
        </w:rPr>
        <w:t xml:space="preserve"> </w:t>
      </w:r>
      <w:r w:rsidR="00D81F7E" w:rsidRPr="00F53D17">
        <w:t xml:space="preserve"> The Washington requirement </w:t>
      </w:r>
      <w:r w:rsidR="00F53D17">
        <w:t xml:space="preserve">to provide four hours of backup power at each and every cell site is not </w:t>
      </w:r>
      <w:r w:rsidR="00D81F7E" w:rsidRPr="00F53D17">
        <w:t xml:space="preserve">a federal requirement of being an ETC.  </w:t>
      </w:r>
      <w:r w:rsidR="00F53D17">
        <w:t>In 2005, the FCC adopted requirements governing federal ETC designations and encouraged the states to adopt similar requirements which included a requirement for ETCs to demonstrate its ability to remain functional in an emergency, but did not specify a specific amount of backup power for each cell site within an ETC’s designated area.</w:t>
      </w:r>
      <w:r w:rsidR="00F24299" w:rsidRPr="00F53D17">
        <w:rPr>
          <w:vertAlign w:val="superscript"/>
        </w:rPr>
        <w:footnoteReference w:id="10"/>
      </w:r>
      <w:r w:rsidR="00D81F7E" w:rsidRPr="00F53D17">
        <w:rPr>
          <w:vertAlign w:val="superscript"/>
        </w:rPr>
        <w:t xml:space="preserve">  </w:t>
      </w:r>
      <w:r w:rsidR="00F53D17">
        <w:t xml:space="preserve">In the </w:t>
      </w:r>
      <w:r w:rsidR="00F53D17" w:rsidRPr="00F53D17">
        <w:rPr>
          <w:i/>
        </w:rPr>
        <w:t>ICC/USF Order</w:t>
      </w:r>
      <w:r w:rsidR="00F53D17">
        <w:t>, the FCC extended the requirement to report on “the ability to function in emergency situations” to all ETCs, including those designated by states; however, the FCC again did not specify a specific amount of backup power that must be available at each and every cell site.</w:t>
      </w:r>
      <w:r w:rsidR="00F53D17">
        <w:rPr>
          <w:rStyle w:val="FootnoteReference"/>
        </w:rPr>
        <w:footnoteReference w:id="11"/>
      </w:r>
      <w:r w:rsidR="00F53D17">
        <w:t xml:space="preserve"> </w:t>
      </w:r>
    </w:p>
    <w:p w:rsidR="008C3072" w:rsidRDefault="00D81F7E" w:rsidP="006A4996">
      <w:pPr>
        <w:numPr>
          <w:ilvl w:val="0"/>
          <w:numId w:val="4"/>
        </w:numPr>
        <w:spacing w:line="480" w:lineRule="auto"/>
        <w:jc w:val="both"/>
      </w:pPr>
      <w:r w:rsidRPr="00F24299">
        <w:rPr>
          <w:color w:val="000000"/>
        </w:rPr>
        <w:t>Although</w:t>
      </w:r>
      <w:r w:rsidRPr="006A4996">
        <w:rPr>
          <w:color w:val="000000"/>
        </w:rPr>
        <w:t xml:space="preserve"> AT&amp;T Mobility understands that a rulemaking is required to change the Washington ETC designation rules, AT&amp;T Mobility believes that </w:t>
      </w:r>
      <w:r w:rsidR="00F53D17">
        <w:rPr>
          <w:color w:val="000000"/>
        </w:rPr>
        <w:t>its request f</w:t>
      </w:r>
      <w:r w:rsidRPr="006A4996">
        <w:rPr>
          <w:color w:val="000000"/>
        </w:rPr>
        <w:t xml:space="preserve">or these </w:t>
      </w:r>
      <w:r w:rsidR="00F24299">
        <w:rPr>
          <w:color w:val="000000"/>
        </w:rPr>
        <w:t xml:space="preserve">sixteen </w:t>
      </w:r>
      <w:r w:rsidRPr="006A4996">
        <w:rPr>
          <w:color w:val="000000"/>
        </w:rPr>
        <w:t xml:space="preserve">cell sites will be a step in the right direction.    </w:t>
      </w:r>
    </w:p>
    <w:p w:rsidR="00F24299" w:rsidRDefault="00F24299" w:rsidP="000924F0">
      <w:pPr>
        <w:ind w:left="720"/>
        <w:rPr>
          <w:b/>
          <w:u w:val="single"/>
        </w:rPr>
      </w:pPr>
    </w:p>
    <w:p w:rsidR="00F24299" w:rsidRDefault="00F24299" w:rsidP="000924F0">
      <w:pPr>
        <w:ind w:left="720"/>
        <w:rPr>
          <w:b/>
          <w:u w:val="single"/>
        </w:rPr>
      </w:pPr>
    </w:p>
    <w:p w:rsidR="00CA0CBF" w:rsidRPr="000924F0" w:rsidRDefault="000924F0" w:rsidP="000924F0">
      <w:pPr>
        <w:ind w:left="720"/>
        <w:rPr>
          <w:b/>
          <w:u w:val="single"/>
        </w:rPr>
      </w:pPr>
      <w:r w:rsidRPr="000924F0">
        <w:rPr>
          <w:b/>
          <w:u w:val="single"/>
        </w:rPr>
        <w:t>IV</w:t>
      </w:r>
      <w:proofErr w:type="gramStart"/>
      <w:r w:rsidRPr="000924F0">
        <w:rPr>
          <w:b/>
          <w:u w:val="single"/>
        </w:rPr>
        <w:t>.  CONCLUSION</w:t>
      </w:r>
      <w:proofErr w:type="gramEnd"/>
    </w:p>
    <w:p w:rsidR="00204D5A" w:rsidRDefault="00204D5A" w:rsidP="00204D5A"/>
    <w:p w:rsidR="00353F21" w:rsidRDefault="00475D6C" w:rsidP="00353F21">
      <w:pPr>
        <w:spacing w:line="480" w:lineRule="auto"/>
        <w:ind w:firstLine="720"/>
      </w:pPr>
      <w:r>
        <w:t xml:space="preserve">AT&amp;T Mobility </w:t>
      </w:r>
      <w:r w:rsidR="00353F21">
        <w:t xml:space="preserve">requests </w:t>
      </w:r>
      <w:r w:rsidR="006A4996">
        <w:t xml:space="preserve">a </w:t>
      </w:r>
      <w:r w:rsidR="00C70812">
        <w:t xml:space="preserve">permanent </w:t>
      </w:r>
      <w:r w:rsidR="006A4996">
        <w:t xml:space="preserve">waiver </w:t>
      </w:r>
      <w:r w:rsidR="00C70812">
        <w:t xml:space="preserve">for sixteen (16) cell sites </w:t>
      </w:r>
      <w:r w:rsidR="006A4996">
        <w:t xml:space="preserve">or in the alternate a one-year extension of time to install permanent backup power at </w:t>
      </w:r>
      <w:r w:rsidR="00F24299">
        <w:t xml:space="preserve">sixteen </w:t>
      </w:r>
      <w:r w:rsidR="00992428">
        <w:t xml:space="preserve">(16) </w:t>
      </w:r>
      <w:r w:rsidR="006A4996">
        <w:t xml:space="preserve">cell sites within its ETC designated area.  </w:t>
      </w:r>
      <w:r w:rsidR="00353F21">
        <w:t xml:space="preserve">   </w:t>
      </w:r>
    </w:p>
    <w:p w:rsidR="00353F21" w:rsidRDefault="00353F21" w:rsidP="00C4345D">
      <w:pPr>
        <w:spacing w:line="480" w:lineRule="auto"/>
        <w:jc w:val="both"/>
      </w:pPr>
    </w:p>
    <w:p w:rsidR="00A443E5" w:rsidRDefault="00C4345D" w:rsidP="00C4345D">
      <w:pPr>
        <w:spacing w:line="480" w:lineRule="auto"/>
        <w:jc w:val="both"/>
      </w:pPr>
      <w:proofErr w:type="gramStart"/>
      <w:r>
        <w:t xml:space="preserve">Respectfully submitted on </w:t>
      </w:r>
      <w:r w:rsidR="006767AE">
        <w:t xml:space="preserve">April </w:t>
      </w:r>
      <w:r w:rsidR="00343F94">
        <w:t>12,</w:t>
      </w:r>
      <w:r>
        <w:t xml:space="preserve"> 20</w:t>
      </w:r>
      <w:r w:rsidR="006A4996">
        <w:t>12</w:t>
      </w:r>
      <w:r w:rsidR="00192C1C">
        <w:t>.</w:t>
      </w:r>
      <w:proofErr w:type="gramEnd"/>
    </w:p>
    <w:p w:rsidR="006767AE" w:rsidRDefault="006767AE" w:rsidP="00C4345D">
      <w:pPr>
        <w:spacing w:line="480" w:lineRule="auto"/>
        <w:jc w:val="both"/>
      </w:pPr>
    </w:p>
    <w:p w:rsidR="00C4345D" w:rsidRDefault="00C4345D" w:rsidP="00C4345D">
      <w:pPr>
        <w:ind w:left="4320"/>
        <w:jc w:val="both"/>
      </w:pPr>
      <w:proofErr w:type="gramStart"/>
      <w:r w:rsidRPr="006767AE">
        <w:t>New Cingular Wireless PCS, LLC and</w:t>
      </w:r>
      <w:r w:rsidR="006767AE" w:rsidRPr="006767AE">
        <w:t xml:space="preserve"> AT&amp;T Mobility Operations Holdings, Inc.</w:t>
      </w:r>
      <w:proofErr w:type="gramEnd"/>
      <w:r w:rsidR="006767AE" w:rsidRPr="006767AE">
        <w:t xml:space="preserve"> </w:t>
      </w:r>
      <w:r>
        <w:t xml:space="preserve"> </w:t>
      </w:r>
    </w:p>
    <w:p w:rsidR="00C4345D" w:rsidRDefault="00C4345D" w:rsidP="00C4345D">
      <w:pPr>
        <w:ind w:left="4320"/>
        <w:jc w:val="both"/>
      </w:pPr>
    </w:p>
    <w:p w:rsidR="00C4345D" w:rsidRDefault="00C4345D" w:rsidP="00C4345D">
      <w:pPr>
        <w:ind w:left="4320"/>
        <w:jc w:val="both"/>
      </w:pPr>
    </w:p>
    <w:p w:rsidR="00C4345D" w:rsidRDefault="00C4345D" w:rsidP="00C4345D">
      <w:pPr>
        <w:ind w:left="4320"/>
        <w:jc w:val="both"/>
      </w:pPr>
      <w:r>
        <w:rPr>
          <w:u w:val="single"/>
        </w:rPr>
        <w:tab/>
      </w:r>
      <w:r>
        <w:rPr>
          <w:u w:val="single"/>
        </w:rPr>
        <w:tab/>
      </w:r>
      <w:r>
        <w:rPr>
          <w:u w:val="single"/>
        </w:rPr>
        <w:tab/>
      </w:r>
      <w:r>
        <w:rPr>
          <w:u w:val="single"/>
        </w:rPr>
        <w:tab/>
      </w:r>
      <w:r>
        <w:rPr>
          <w:u w:val="single"/>
        </w:rPr>
        <w:tab/>
      </w:r>
      <w:r>
        <w:rPr>
          <w:u w:val="single"/>
        </w:rPr>
        <w:tab/>
      </w:r>
    </w:p>
    <w:p w:rsidR="00C4345D" w:rsidRDefault="00C4345D" w:rsidP="00C4345D">
      <w:pPr>
        <w:ind w:left="4320"/>
        <w:jc w:val="both"/>
      </w:pPr>
      <w:r>
        <w:t>Cynthia J. Manheim, WSBA # 26524</w:t>
      </w:r>
    </w:p>
    <w:p w:rsidR="00C4345D" w:rsidRDefault="00C4345D" w:rsidP="00C4345D">
      <w:pPr>
        <w:ind w:left="4320"/>
        <w:jc w:val="both"/>
      </w:pPr>
      <w:smartTag w:uri="urn:schemas-microsoft-com:office:smarttags" w:element="address">
        <w:smartTag w:uri="urn:schemas-microsoft-com:office:smarttags" w:element="Street">
          <w:r>
            <w:t>P.O. Box</w:t>
          </w:r>
        </w:smartTag>
        <w:r>
          <w:t xml:space="preserve"> 97061</w:t>
        </w:r>
      </w:smartTag>
    </w:p>
    <w:p w:rsidR="00C4345D" w:rsidRDefault="00C4345D" w:rsidP="00C4345D">
      <w:pPr>
        <w:ind w:left="4320"/>
        <w:jc w:val="both"/>
      </w:pPr>
      <w:smartTag w:uri="urn:schemas-microsoft-com:office:smarttags" w:element="place">
        <w:smartTag w:uri="urn:schemas-microsoft-com:office:smarttags" w:element="City">
          <w:r>
            <w:t>Redmond</w:t>
          </w:r>
        </w:smartTag>
        <w:r>
          <w:t xml:space="preserve">, </w:t>
        </w:r>
        <w:smartTag w:uri="urn:schemas-microsoft-com:office:smarttags" w:element="State">
          <w:r>
            <w:t>WA</w:t>
          </w:r>
        </w:smartTag>
        <w:r>
          <w:t xml:space="preserve">  </w:t>
        </w:r>
        <w:smartTag w:uri="urn:schemas-microsoft-com:office:smarttags" w:element="PostalCode">
          <w:r>
            <w:t>98073-9761</w:t>
          </w:r>
        </w:smartTag>
      </w:smartTag>
    </w:p>
    <w:p w:rsidR="00C4345D" w:rsidRDefault="00C4345D" w:rsidP="00C4345D">
      <w:pPr>
        <w:ind w:left="4320"/>
        <w:jc w:val="both"/>
      </w:pPr>
      <w:r>
        <w:t>(425) 580-8112</w:t>
      </w:r>
    </w:p>
    <w:p w:rsidR="00C4345D" w:rsidRPr="00C4345D" w:rsidRDefault="00C4345D" w:rsidP="00C4345D">
      <w:pPr>
        <w:ind w:left="4320"/>
        <w:jc w:val="both"/>
      </w:pPr>
    </w:p>
    <w:p w:rsidR="004A525F" w:rsidRDefault="004A525F" w:rsidP="00C4345D">
      <w:pPr>
        <w:spacing w:line="480" w:lineRule="auto"/>
        <w:jc w:val="both"/>
        <w:sectPr w:rsidR="004A525F" w:rsidSect="002A48CD">
          <w:footerReference w:type="even" r:id="rId8"/>
          <w:footerReference w:type="default" r:id="rId9"/>
          <w:pgSz w:w="12240" w:h="15840"/>
          <w:pgMar w:top="1440" w:right="1440" w:bottom="1440" w:left="1440" w:header="720" w:footer="720" w:gutter="0"/>
          <w:cols w:space="720"/>
          <w:docGrid w:linePitch="360"/>
        </w:sectPr>
      </w:pPr>
    </w:p>
    <w:p w:rsidR="004A525F" w:rsidRPr="006A4996" w:rsidRDefault="00542069" w:rsidP="004A525F">
      <w:pPr>
        <w:spacing w:line="480" w:lineRule="auto"/>
        <w:jc w:val="center"/>
        <w:rPr>
          <w:b/>
          <w:sz w:val="28"/>
          <w:szCs w:val="28"/>
          <w:u w:val="single"/>
        </w:rPr>
      </w:pPr>
      <w:r>
        <w:rPr>
          <w:b/>
          <w:sz w:val="28"/>
          <w:szCs w:val="28"/>
          <w:u w:val="single"/>
        </w:rPr>
        <w:t xml:space="preserve"> </w:t>
      </w:r>
    </w:p>
    <w:p w:rsidR="004A525F" w:rsidRPr="006A4996" w:rsidRDefault="006A4996" w:rsidP="004A525F">
      <w:pPr>
        <w:spacing w:line="480" w:lineRule="auto"/>
        <w:jc w:val="center"/>
        <w:rPr>
          <w:b/>
          <w:sz w:val="28"/>
          <w:szCs w:val="28"/>
          <w:u w:val="single"/>
        </w:rPr>
      </w:pPr>
      <w:r>
        <w:rPr>
          <w:b/>
          <w:sz w:val="28"/>
          <w:szCs w:val="28"/>
          <w:u w:val="single"/>
        </w:rPr>
        <w:t xml:space="preserve">Exhibit </w:t>
      </w:r>
      <w:proofErr w:type="gramStart"/>
      <w:r w:rsidR="0013762F">
        <w:rPr>
          <w:b/>
          <w:sz w:val="28"/>
          <w:szCs w:val="28"/>
          <w:u w:val="single"/>
        </w:rPr>
        <w:t>A</w:t>
      </w:r>
      <w:proofErr w:type="gramEnd"/>
      <w:r w:rsidR="004A525F" w:rsidRPr="006A4996">
        <w:rPr>
          <w:b/>
          <w:sz w:val="28"/>
          <w:szCs w:val="28"/>
          <w:u w:val="single"/>
        </w:rPr>
        <w:t xml:space="preserve"> – Cost Estimates </w:t>
      </w:r>
    </w:p>
    <w:tbl>
      <w:tblPr>
        <w:tblpPr w:leftFromText="180" w:rightFromText="180" w:vertAnchor="text" w:horzAnchor="margin" w:tblpXSpec="center" w:tblpY="364"/>
        <w:tblW w:w="8225" w:type="dxa"/>
        <w:tblLook w:val="04A0"/>
      </w:tblPr>
      <w:tblGrid>
        <w:gridCol w:w="1280"/>
        <w:gridCol w:w="2158"/>
        <w:gridCol w:w="2250"/>
        <w:gridCol w:w="2537"/>
      </w:tblGrid>
      <w:tr w:rsidR="0006245C" w:rsidTr="0006245C">
        <w:trPr>
          <w:trHeight w:val="900"/>
        </w:trPr>
        <w:tc>
          <w:tcPr>
            <w:tcW w:w="1280" w:type="dxa"/>
            <w:tcBorders>
              <w:top w:val="single" w:sz="4" w:space="0" w:color="auto"/>
              <w:left w:val="single" w:sz="4" w:space="0" w:color="auto"/>
              <w:bottom w:val="single" w:sz="4" w:space="0" w:color="auto"/>
              <w:right w:val="single" w:sz="4" w:space="0" w:color="auto"/>
            </w:tcBorders>
            <w:vAlign w:val="bottom"/>
            <w:hideMark/>
          </w:tcPr>
          <w:p w:rsidR="0006245C" w:rsidRDefault="007E7319" w:rsidP="007E7319">
            <w:pPr>
              <w:jc w:val="center"/>
              <w:rPr>
                <w:rFonts w:cs="Calibri"/>
                <w:b/>
                <w:bCs/>
                <w:color w:val="000000"/>
                <w:sz w:val="22"/>
                <w:szCs w:val="22"/>
              </w:rPr>
            </w:pPr>
            <w:r>
              <w:rPr>
                <w:rFonts w:cs="Calibri"/>
                <w:b/>
                <w:bCs/>
                <w:color w:val="000000"/>
              </w:rPr>
              <w:t>Site ID</w:t>
            </w:r>
          </w:p>
        </w:tc>
        <w:tc>
          <w:tcPr>
            <w:tcW w:w="2158" w:type="dxa"/>
            <w:tcBorders>
              <w:top w:val="single" w:sz="4" w:space="0" w:color="auto"/>
              <w:left w:val="nil"/>
              <w:bottom w:val="single" w:sz="4" w:space="0" w:color="auto"/>
              <w:right w:val="single" w:sz="4" w:space="0" w:color="auto"/>
            </w:tcBorders>
            <w:vAlign w:val="bottom"/>
            <w:hideMark/>
          </w:tcPr>
          <w:p w:rsidR="0006245C" w:rsidRDefault="007E7319" w:rsidP="007E7319">
            <w:pPr>
              <w:jc w:val="center"/>
              <w:rPr>
                <w:rFonts w:cs="Calibri"/>
                <w:b/>
                <w:bCs/>
                <w:color w:val="000000"/>
                <w:sz w:val="22"/>
                <w:szCs w:val="22"/>
              </w:rPr>
            </w:pPr>
            <w:r>
              <w:rPr>
                <w:rFonts w:cs="Calibri"/>
                <w:b/>
                <w:bCs/>
                <w:color w:val="000000"/>
              </w:rPr>
              <w:t>Site Name</w:t>
            </w:r>
          </w:p>
        </w:tc>
        <w:tc>
          <w:tcPr>
            <w:tcW w:w="2250" w:type="dxa"/>
            <w:tcBorders>
              <w:top w:val="single" w:sz="4" w:space="0" w:color="auto"/>
              <w:left w:val="nil"/>
              <w:bottom w:val="single" w:sz="4" w:space="0" w:color="auto"/>
              <w:right w:val="single" w:sz="4" w:space="0" w:color="auto"/>
            </w:tcBorders>
            <w:vAlign w:val="bottom"/>
            <w:hideMark/>
          </w:tcPr>
          <w:p w:rsidR="0006245C" w:rsidRDefault="0006245C" w:rsidP="0006245C">
            <w:pPr>
              <w:jc w:val="center"/>
              <w:rPr>
                <w:rFonts w:cs="Calibri"/>
                <w:b/>
                <w:bCs/>
                <w:color w:val="000000"/>
                <w:sz w:val="22"/>
                <w:szCs w:val="22"/>
              </w:rPr>
            </w:pPr>
            <w:r>
              <w:rPr>
                <w:rFonts w:cs="Calibri"/>
                <w:b/>
                <w:bCs/>
                <w:color w:val="000000"/>
              </w:rPr>
              <w:t xml:space="preserve"> Estimated Cost to Complete </w:t>
            </w:r>
          </w:p>
        </w:tc>
        <w:tc>
          <w:tcPr>
            <w:tcW w:w="2537" w:type="dxa"/>
            <w:tcBorders>
              <w:top w:val="single" w:sz="4" w:space="0" w:color="auto"/>
              <w:left w:val="nil"/>
              <w:bottom w:val="single" w:sz="4" w:space="0" w:color="auto"/>
              <w:right w:val="single" w:sz="4" w:space="0" w:color="auto"/>
            </w:tcBorders>
            <w:vAlign w:val="bottom"/>
            <w:hideMark/>
          </w:tcPr>
          <w:p w:rsidR="0006245C" w:rsidRDefault="0006245C" w:rsidP="007E7319">
            <w:pPr>
              <w:jc w:val="center"/>
              <w:rPr>
                <w:rFonts w:cs="Calibri"/>
                <w:b/>
                <w:bCs/>
                <w:color w:val="000000"/>
                <w:sz w:val="22"/>
                <w:szCs w:val="22"/>
              </w:rPr>
            </w:pPr>
            <w:r>
              <w:rPr>
                <w:rFonts w:cs="Calibri"/>
                <w:b/>
                <w:bCs/>
                <w:color w:val="000000"/>
              </w:rPr>
              <w:t xml:space="preserve">Long </w:t>
            </w:r>
            <w:r w:rsidR="007E7319">
              <w:rPr>
                <w:rFonts w:cs="Calibri"/>
                <w:b/>
                <w:bCs/>
                <w:color w:val="000000"/>
              </w:rPr>
              <w:t>L</w:t>
            </w:r>
            <w:r>
              <w:rPr>
                <w:rFonts w:cs="Calibri"/>
                <w:b/>
                <w:bCs/>
                <w:color w:val="000000"/>
              </w:rPr>
              <w:t>ead</w:t>
            </w:r>
            <w:r w:rsidR="007E7319">
              <w:rPr>
                <w:rFonts w:cs="Calibri"/>
                <w:b/>
                <w:bCs/>
                <w:color w:val="000000"/>
              </w:rPr>
              <w:t xml:space="preserve"> Time I</w:t>
            </w:r>
            <w:r>
              <w:rPr>
                <w:rFonts w:cs="Calibri"/>
                <w:b/>
                <w:bCs/>
                <w:color w:val="000000"/>
              </w:rPr>
              <w:t>tem</w:t>
            </w:r>
          </w:p>
        </w:tc>
      </w:tr>
      <w:tr w:rsidR="00201686" w:rsidTr="00B23A12">
        <w:trPr>
          <w:trHeight w:val="300"/>
        </w:trPr>
        <w:tc>
          <w:tcPr>
            <w:tcW w:w="1280" w:type="dxa"/>
            <w:tcBorders>
              <w:top w:val="single" w:sz="4" w:space="0" w:color="auto"/>
              <w:left w:val="single" w:sz="4" w:space="0" w:color="auto"/>
              <w:bottom w:val="single" w:sz="4" w:space="0" w:color="auto"/>
              <w:right w:val="single" w:sz="4" w:space="0" w:color="auto"/>
            </w:tcBorders>
            <w:vAlign w:val="bottom"/>
            <w:hideMark/>
          </w:tcPr>
          <w:p w:rsidR="00201686" w:rsidRPr="00992428" w:rsidRDefault="00201686" w:rsidP="00F7796D">
            <w:pPr>
              <w:rPr>
                <w:rFonts w:cs="Calibri"/>
                <w:color w:val="000000"/>
                <w:sz w:val="22"/>
                <w:szCs w:val="22"/>
              </w:rPr>
            </w:pPr>
            <w:r>
              <w:rPr>
                <w:rFonts w:cs="Calibri"/>
                <w:color w:val="000000"/>
                <w:sz w:val="22"/>
                <w:szCs w:val="22"/>
              </w:rPr>
              <w:t>Redacted</w:t>
            </w:r>
          </w:p>
        </w:tc>
        <w:tc>
          <w:tcPr>
            <w:tcW w:w="2158" w:type="dxa"/>
            <w:tcBorders>
              <w:top w:val="nil"/>
              <w:left w:val="nil"/>
              <w:bottom w:val="single" w:sz="4" w:space="0" w:color="auto"/>
              <w:right w:val="single" w:sz="4" w:space="0" w:color="auto"/>
            </w:tcBorders>
            <w:hideMark/>
          </w:tcPr>
          <w:p w:rsidR="00201686" w:rsidRDefault="00201686">
            <w:r w:rsidRPr="00827C5F">
              <w:rPr>
                <w:rFonts w:cs="Calibri"/>
                <w:color w:val="000000"/>
                <w:sz w:val="22"/>
                <w:szCs w:val="22"/>
              </w:rPr>
              <w:t>Redacted</w:t>
            </w:r>
          </w:p>
        </w:tc>
        <w:tc>
          <w:tcPr>
            <w:tcW w:w="2250" w:type="dxa"/>
            <w:tcBorders>
              <w:top w:val="nil"/>
              <w:left w:val="nil"/>
              <w:bottom w:val="single" w:sz="4" w:space="0" w:color="auto"/>
              <w:right w:val="single" w:sz="4" w:space="0" w:color="auto"/>
            </w:tcBorders>
            <w:noWrap/>
            <w:hideMark/>
          </w:tcPr>
          <w:p w:rsidR="00201686" w:rsidRDefault="00201686">
            <w:r w:rsidRPr="00641BA0">
              <w:rPr>
                <w:rFonts w:cs="Calibri"/>
                <w:color w:val="000000"/>
                <w:sz w:val="22"/>
                <w:szCs w:val="22"/>
              </w:rPr>
              <w:t>Redacted</w:t>
            </w:r>
          </w:p>
        </w:tc>
        <w:tc>
          <w:tcPr>
            <w:tcW w:w="2537" w:type="dxa"/>
            <w:tcBorders>
              <w:top w:val="nil"/>
              <w:left w:val="nil"/>
              <w:bottom w:val="single" w:sz="4" w:space="0" w:color="auto"/>
              <w:right w:val="single" w:sz="4" w:space="0" w:color="auto"/>
            </w:tcBorders>
            <w:hideMark/>
          </w:tcPr>
          <w:p w:rsidR="00201686" w:rsidRDefault="00201686">
            <w:r w:rsidRPr="003A4EC5">
              <w:rPr>
                <w:rFonts w:cs="Calibri"/>
                <w:color w:val="000000"/>
                <w:sz w:val="22"/>
                <w:szCs w:val="22"/>
              </w:rPr>
              <w:t>Redacted</w:t>
            </w:r>
          </w:p>
        </w:tc>
      </w:tr>
      <w:tr w:rsidR="00201686" w:rsidTr="00B23A12">
        <w:trPr>
          <w:trHeight w:val="300"/>
        </w:trPr>
        <w:tc>
          <w:tcPr>
            <w:tcW w:w="1280" w:type="dxa"/>
            <w:tcBorders>
              <w:top w:val="single" w:sz="4" w:space="0" w:color="auto"/>
              <w:left w:val="single" w:sz="4" w:space="0" w:color="auto"/>
              <w:bottom w:val="single" w:sz="4" w:space="0" w:color="auto"/>
              <w:right w:val="single" w:sz="4" w:space="0" w:color="auto"/>
            </w:tcBorders>
            <w:hideMark/>
          </w:tcPr>
          <w:p w:rsidR="00201686" w:rsidRDefault="00201686">
            <w:r w:rsidRPr="00DA1434">
              <w:rPr>
                <w:rFonts w:cs="Calibri"/>
                <w:color w:val="000000"/>
                <w:sz w:val="22"/>
                <w:szCs w:val="22"/>
              </w:rPr>
              <w:t>Redacted</w:t>
            </w:r>
          </w:p>
        </w:tc>
        <w:tc>
          <w:tcPr>
            <w:tcW w:w="2158" w:type="dxa"/>
            <w:tcBorders>
              <w:top w:val="nil"/>
              <w:left w:val="nil"/>
              <w:bottom w:val="single" w:sz="4" w:space="0" w:color="auto"/>
              <w:right w:val="single" w:sz="4" w:space="0" w:color="auto"/>
            </w:tcBorders>
            <w:hideMark/>
          </w:tcPr>
          <w:p w:rsidR="00201686" w:rsidRDefault="00201686">
            <w:r w:rsidRPr="00827C5F">
              <w:rPr>
                <w:rFonts w:cs="Calibri"/>
                <w:color w:val="000000"/>
                <w:sz w:val="22"/>
                <w:szCs w:val="22"/>
              </w:rPr>
              <w:t>Redacted</w:t>
            </w:r>
          </w:p>
        </w:tc>
        <w:tc>
          <w:tcPr>
            <w:tcW w:w="2250" w:type="dxa"/>
            <w:tcBorders>
              <w:top w:val="nil"/>
              <w:left w:val="nil"/>
              <w:bottom w:val="single" w:sz="4" w:space="0" w:color="auto"/>
              <w:right w:val="single" w:sz="4" w:space="0" w:color="auto"/>
            </w:tcBorders>
            <w:noWrap/>
            <w:hideMark/>
          </w:tcPr>
          <w:p w:rsidR="00201686" w:rsidRDefault="00201686">
            <w:r w:rsidRPr="00641BA0">
              <w:rPr>
                <w:rFonts w:cs="Calibri"/>
                <w:color w:val="000000"/>
                <w:sz w:val="22"/>
                <w:szCs w:val="22"/>
              </w:rPr>
              <w:t>Redacted</w:t>
            </w:r>
          </w:p>
        </w:tc>
        <w:tc>
          <w:tcPr>
            <w:tcW w:w="2537" w:type="dxa"/>
            <w:tcBorders>
              <w:top w:val="nil"/>
              <w:left w:val="nil"/>
              <w:bottom w:val="single" w:sz="4" w:space="0" w:color="auto"/>
              <w:right w:val="single" w:sz="4" w:space="0" w:color="auto"/>
            </w:tcBorders>
            <w:hideMark/>
          </w:tcPr>
          <w:p w:rsidR="00201686" w:rsidRDefault="00201686">
            <w:r w:rsidRPr="003A4EC5">
              <w:rPr>
                <w:rFonts w:cs="Calibri"/>
                <w:color w:val="000000"/>
                <w:sz w:val="22"/>
                <w:szCs w:val="22"/>
              </w:rPr>
              <w:t>Redacted</w:t>
            </w:r>
          </w:p>
        </w:tc>
      </w:tr>
      <w:tr w:rsidR="00201686" w:rsidTr="00B23A12">
        <w:trPr>
          <w:trHeight w:val="300"/>
        </w:trPr>
        <w:tc>
          <w:tcPr>
            <w:tcW w:w="1280" w:type="dxa"/>
            <w:tcBorders>
              <w:top w:val="single" w:sz="4" w:space="0" w:color="auto"/>
              <w:left w:val="single" w:sz="4" w:space="0" w:color="auto"/>
              <w:bottom w:val="single" w:sz="4" w:space="0" w:color="auto"/>
              <w:right w:val="single" w:sz="4" w:space="0" w:color="auto"/>
            </w:tcBorders>
            <w:hideMark/>
          </w:tcPr>
          <w:p w:rsidR="00201686" w:rsidRDefault="00201686">
            <w:r w:rsidRPr="00DA1434">
              <w:rPr>
                <w:rFonts w:cs="Calibri"/>
                <w:color w:val="000000"/>
                <w:sz w:val="22"/>
                <w:szCs w:val="22"/>
              </w:rPr>
              <w:t>Redacted</w:t>
            </w:r>
          </w:p>
        </w:tc>
        <w:tc>
          <w:tcPr>
            <w:tcW w:w="2158" w:type="dxa"/>
            <w:tcBorders>
              <w:top w:val="nil"/>
              <w:left w:val="nil"/>
              <w:bottom w:val="single" w:sz="4" w:space="0" w:color="auto"/>
              <w:right w:val="single" w:sz="4" w:space="0" w:color="auto"/>
            </w:tcBorders>
            <w:hideMark/>
          </w:tcPr>
          <w:p w:rsidR="00201686" w:rsidRDefault="00201686">
            <w:r w:rsidRPr="00827C5F">
              <w:rPr>
                <w:rFonts w:cs="Calibri"/>
                <w:color w:val="000000"/>
                <w:sz w:val="22"/>
                <w:szCs w:val="22"/>
              </w:rPr>
              <w:t>Redacted</w:t>
            </w:r>
          </w:p>
        </w:tc>
        <w:tc>
          <w:tcPr>
            <w:tcW w:w="2250" w:type="dxa"/>
            <w:tcBorders>
              <w:top w:val="nil"/>
              <w:left w:val="nil"/>
              <w:bottom w:val="single" w:sz="4" w:space="0" w:color="auto"/>
              <w:right w:val="single" w:sz="4" w:space="0" w:color="auto"/>
            </w:tcBorders>
            <w:noWrap/>
            <w:hideMark/>
          </w:tcPr>
          <w:p w:rsidR="00201686" w:rsidRDefault="00201686">
            <w:r w:rsidRPr="00641BA0">
              <w:rPr>
                <w:rFonts w:cs="Calibri"/>
                <w:color w:val="000000"/>
                <w:sz w:val="22"/>
                <w:szCs w:val="22"/>
              </w:rPr>
              <w:t>Redacted</w:t>
            </w:r>
          </w:p>
        </w:tc>
        <w:tc>
          <w:tcPr>
            <w:tcW w:w="2537" w:type="dxa"/>
            <w:tcBorders>
              <w:top w:val="nil"/>
              <w:left w:val="nil"/>
              <w:bottom w:val="single" w:sz="4" w:space="0" w:color="auto"/>
              <w:right w:val="single" w:sz="4" w:space="0" w:color="auto"/>
            </w:tcBorders>
            <w:hideMark/>
          </w:tcPr>
          <w:p w:rsidR="00201686" w:rsidRDefault="00201686">
            <w:r w:rsidRPr="003A4EC5">
              <w:rPr>
                <w:rFonts w:cs="Calibri"/>
                <w:color w:val="000000"/>
                <w:sz w:val="22"/>
                <w:szCs w:val="22"/>
              </w:rPr>
              <w:t>Redacted</w:t>
            </w:r>
          </w:p>
        </w:tc>
      </w:tr>
      <w:tr w:rsidR="00201686" w:rsidTr="00B23A12">
        <w:trPr>
          <w:trHeight w:val="300"/>
        </w:trPr>
        <w:tc>
          <w:tcPr>
            <w:tcW w:w="1280" w:type="dxa"/>
            <w:tcBorders>
              <w:top w:val="single" w:sz="4" w:space="0" w:color="auto"/>
              <w:left w:val="single" w:sz="4" w:space="0" w:color="auto"/>
              <w:bottom w:val="single" w:sz="4" w:space="0" w:color="auto"/>
              <w:right w:val="single" w:sz="4" w:space="0" w:color="auto"/>
            </w:tcBorders>
            <w:hideMark/>
          </w:tcPr>
          <w:p w:rsidR="00201686" w:rsidRDefault="00201686">
            <w:r w:rsidRPr="00DA1434">
              <w:rPr>
                <w:rFonts w:cs="Calibri"/>
                <w:color w:val="000000"/>
                <w:sz w:val="22"/>
                <w:szCs w:val="22"/>
              </w:rPr>
              <w:t>Redacted</w:t>
            </w:r>
          </w:p>
        </w:tc>
        <w:tc>
          <w:tcPr>
            <w:tcW w:w="2158" w:type="dxa"/>
            <w:tcBorders>
              <w:top w:val="nil"/>
              <w:left w:val="nil"/>
              <w:bottom w:val="single" w:sz="4" w:space="0" w:color="auto"/>
              <w:right w:val="single" w:sz="4" w:space="0" w:color="auto"/>
            </w:tcBorders>
            <w:hideMark/>
          </w:tcPr>
          <w:p w:rsidR="00201686" w:rsidRDefault="00201686">
            <w:r w:rsidRPr="00827C5F">
              <w:rPr>
                <w:rFonts w:cs="Calibri"/>
                <w:color w:val="000000"/>
                <w:sz w:val="22"/>
                <w:szCs w:val="22"/>
              </w:rPr>
              <w:t>Redacted</w:t>
            </w:r>
          </w:p>
        </w:tc>
        <w:tc>
          <w:tcPr>
            <w:tcW w:w="2250" w:type="dxa"/>
            <w:tcBorders>
              <w:top w:val="nil"/>
              <w:left w:val="nil"/>
              <w:bottom w:val="single" w:sz="4" w:space="0" w:color="auto"/>
              <w:right w:val="single" w:sz="4" w:space="0" w:color="auto"/>
            </w:tcBorders>
            <w:noWrap/>
            <w:hideMark/>
          </w:tcPr>
          <w:p w:rsidR="00201686" w:rsidRDefault="00201686">
            <w:r w:rsidRPr="00641BA0">
              <w:rPr>
                <w:rFonts w:cs="Calibri"/>
                <w:color w:val="000000"/>
                <w:sz w:val="22"/>
                <w:szCs w:val="22"/>
              </w:rPr>
              <w:t>Redacted</w:t>
            </w:r>
          </w:p>
        </w:tc>
        <w:tc>
          <w:tcPr>
            <w:tcW w:w="2537" w:type="dxa"/>
            <w:tcBorders>
              <w:top w:val="nil"/>
              <w:left w:val="nil"/>
              <w:bottom w:val="single" w:sz="4" w:space="0" w:color="auto"/>
              <w:right w:val="single" w:sz="4" w:space="0" w:color="auto"/>
            </w:tcBorders>
            <w:hideMark/>
          </w:tcPr>
          <w:p w:rsidR="00201686" w:rsidRDefault="00201686">
            <w:r w:rsidRPr="003A4EC5">
              <w:rPr>
                <w:rFonts w:cs="Calibri"/>
                <w:color w:val="000000"/>
                <w:sz w:val="22"/>
                <w:szCs w:val="22"/>
              </w:rPr>
              <w:t>Redacted</w:t>
            </w:r>
          </w:p>
        </w:tc>
      </w:tr>
      <w:tr w:rsidR="00201686" w:rsidTr="00B23A12">
        <w:trPr>
          <w:trHeight w:val="300"/>
        </w:trPr>
        <w:tc>
          <w:tcPr>
            <w:tcW w:w="1280" w:type="dxa"/>
            <w:tcBorders>
              <w:top w:val="single" w:sz="4" w:space="0" w:color="auto"/>
              <w:left w:val="single" w:sz="4" w:space="0" w:color="auto"/>
              <w:bottom w:val="single" w:sz="4" w:space="0" w:color="auto"/>
              <w:right w:val="single" w:sz="4" w:space="0" w:color="auto"/>
            </w:tcBorders>
            <w:hideMark/>
          </w:tcPr>
          <w:p w:rsidR="00201686" w:rsidRDefault="00201686">
            <w:r w:rsidRPr="00DA1434">
              <w:rPr>
                <w:rFonts w:cs="Calibri"/>
                <w:color w:val="000000"/>
                <w:sz w:val="22"/>
                <w:szCs w:val="22"/>
              </w:rPr>
              <w:t>Redacted</w:t>
            </w:r>
          </w:p>
        </w:tc>
        <w:tc>
          <w:tcPr>
            <w:tcW w:w="2158" w:type="dxa"/>
            <w:tcBorders>
              <w:top w:val="nil"/>
              <w:left w:val="nil"/>
              <w:bottom w:val="single" w:sz="4" w:space="0" w:color="auto"/>
              <w:right w:val="single" w:sz="4" w:space="0" w:color="auto"/>
            </w:tcBorders>
            <w:hideMark/>
          </w:tcPr>
          <w:p w:rsidR="00201686" w:rsidRDefault="00201686">
            <w:r w:rsidRPr="00827C5F">
              <w:rPr>
                <w:rFonts w:cs="Calibri"/>
                <w:color w:val="000000"/>
                <w:sz w:val="22"/>
                <w:szCs w:val="22"/>
              </w:rPr>
              <w:t>Redacted</w:t>
            </w:r>
          </w:p>
        </w:tc>
        <w:tc>
          <w:tcPr>
            <w:tcW w:w="2250" w:type="dxa"/>
            <w:tcBorders>
              <w:top w:val="nil"/>
              <w:left w:val="nil"/>
              <w:bottom w:val="single" w:sz="4" w:space="0" w:color="auto"/>
              <w:right w:val="single" w:sz="4" w:space="0" w:color="auto"/>
            </w:tcBorders>
            <w:noWrap/>
            <w:hideMark/>
          </w:tcPr>
          <w:p w:rsidR="00201686" w:rsidRDefault="00201686">
            <w:r w:rsidRPr="00641BA0">
              <w:rPr>
                <w:rFonts w:cs="Calibri"/>
                <w:color w:val="000000"/>
                <w:sz w:val="22"/>
                <w:szCs w:val="22"/>
              </w:rPr>
              <w:t>Redacted</w:t>
            </w:r>
          </w:p>
        </w:tc>
        <w:tc>
          <w:tcPr>
            <w:tcW w:w="2537" w:type="dxa"/>
            <w:tcBorders>
              <w:top w:val="nil"/>
              <w:left w:val="nil"/>
              <w:bottom w:val="single" w:sz="4" w:space="0" w:color="auto"/>
              <w:right w:val="single" w:sz="4" w:space="0" w:color="auto"/>
            </w:tcBorders>
            <w:hideMark/>
          </w:tcPr>
          <w:p w:rsidR="00201686" w:rsidRDefault="00201686">
            <w:r w:rsidRPr="003A4EC5">
              <w:rPr>
                <w:rFonts w:cs="Calibri"/>
                <w:color w:val="000000"/>
                <w:sz w:val="22"/>
                <w:szCs w:val="22"/>
              </w:rPr>
              <w:t>Redacted</w:t>
            </w:r>
          </w:p>
        </w:tc>
      </w:tr>
      <w:tr w:rsidR="00201686" w:rsidTr="00B23A12">
        <w:trPr>
          <w:trHeight w:val="300"/>
        </w:trPr>
        <w:tc>
          <w:tcPr>
            <w:tcW w:w="1280" w:type="dxa"/>
            <w:tcBorders>
              <w:top w:val="single" w:sz="4" w:space="0" w:color="auto"/>
              <w:left w:val="single" w:sz="4" w:space="0" w:color="auto"/>
              <w:bottom w:val="single" w:sz="4" w:space="0" w:color="auto"/>
              <w:right w:val="single" w:sz="4" w:space="0" w:color="auto"/>
            </w:tcBorders>
            <w:hideMark/>
          </w:tcPr>
          <w:p w:rsidR="00201686" w:rsidRDefault="00201686">
            <w:r w:rsidRPr="00DA1434">
              <w:rPr>
                <w:rFonts w:cs="Calibri"/>
                <w:color w:val="000000"/>
                <w:sz w:val="22"/>
                <w:szCs w:val="22"/>
              </w:rPr>
              <w:t>Redacted</w:t>
            </w:r>
          </w:p>
        </w:tc>
        <w:tc>
          <w:tcPr>
            <w:tcW w:w="2158" w:type="dxa"/>
            <w:tcBorders>
              <w:top w:val="nil"/>
              <w:left w:val="nil"/>
              <w:bottom w:val="single" w:sz="4" w:space="0" w:color="auto"/>
              <w:right w:val="single" w:sz="4" w:space="0" w:color="auto"/>
            </w:tcBorders>
            <w:hideMark/>
          </w:tcPr>
          <w:p w:rsidR="00201686" w:rsidRDefault="00201686">
            <w:r w:rsidRPr="00827C5F">
              <w:rPr>
                <w:rFonts w:cs="Calibri"/>
                <w:color w:val="000000"/>
                <w:sz w:val="22"/>
                <w:szCs w:val="22"/>
              </w:rPr>
              <w:t>Redacted</w:t>
            </w:r>
          </w:p>
        </w:tc>
        <w:tc>
          <w:tcPr>
            <w:tcW w:w="2250" w:type="dxa"/>
            <w:tcBorders>
              <w:top w:val="nil"/>
              <w:left w:val="nil"/>
              <w:bottom w:val="single" w:sz="4" w:space="0" w:color="auto"/>
              <w:right w:val="single" w:sz="4" w:space="0" w:color="auto"/>
            </w:tcBorders>
            <w:noWrap/>
            <w:hideMark/>
          </w:tcPr>
          <w:p w:rsidR="00201686" w:rsidRDefault="00201686">
            <w:r w:rsidRPr="00641BA0">
              <w:rPr>
                <w:rFonts w:cs="Calibri"/>
                <w:color w:val="000000"/>
                <w:sz w:val="22"/>
                <w:szCs w:val="22"/>
              </w:rPr>
              <w:t>Redacted</w:t>
            </w:r>
          </w:p>
        </w:tc>
        <w:tc>
          <w:tcPr>
            <w:tcW w:w="2537" w:type="dxa"/>
            <w:tcBorders>
              <w:top w:val="nil"/>
              <w:left w:val="nil"/>
              <w:bottom w:val="single" w:sz="4" w:space="0" w:color="auto"/>
              <w:right w:val="single" w:sz="4" w:space="0" w:color="auto"/>
            </w:tcBorders>
            <w:hideMark/>
          </w:tcPr>
          <w:p w:rsidR="00201686" w:rsidRDefault="00201686">
            <w:r w:rsidRPr="003A4EC5">
              <w:rPr>
                <w:rFonts w:cs="Calibri"/>
                <w:color w:val="000000"/>
                <w:sz w:val="22"/>
                <w:szCs w:val="22"/>
              </w:rPr>
              <w:t>Redacted</w:t>
            </w:r>
          </w:p>
        </w:tc>
      </w:tr>
      <w:tr w:rsidR="00201686" w:rsidTr="00B23A12">
        <w:trPr>
          <w:trHeight w:val="300"/>
        </w:trPr>
        <w:tc>
          <w:tcPr>
            <w:tcW w:w="1280" w:type="dxa"/>
            <w:tcBorders>
              <w:top w:val="single" w:sz="4" w:space="0" w:color="auto"/>
              <w:left w:val="single" w:sz="4" w:space="0" w:color="auto"/>
              <w:bottom w:val="single" w:sz="4" w:space="0" w:color="auto"/>
              <w:right w:val="single" w:sz="4" w:space="0" w:color="auto"/>
            </w:tcBorders>
            <w:hideMark/>
          </w:tcPr>
          <w:p w:rsidR="00201686" w:rsidRDefault="00201686">
            <w:r w:rsidRPr="00DA1434">
              <w:rPr>
                <w:rFonts w:cs="Calibri"/>
                <w:color w:val="000000"/>
                <w:sz w:val="22"/>
                <w:szCs w:val="22"/>
              </w:rPr>
              <w:t>Redacted</w:t>
            </w:r>
          </w:p>
        </w:tc>
        <w:tc>
          <w:tcPr>
            <w:tcW w:w="2158" w:type="dxa"/>
            <w:tcBorders>
              <w:top w:val="nil"/>
              <w:left w:val="nil"/>
              <w:bottom w:val="single" w:sz="4" w:space="0" w:color="auto"/>
              <w:right w:val="single" w:sz="4" w:space="0" w:color="auto"/>
            </w:tcBorders>
            <w:hideMark/>
          </w:tcPr>
          <w:p w:rsidR="00201686" w:rsidRDefault="00201686">
            <w:r w:rsidRPr="00827C5F">
              <w:rPr>
                <w:rFonts w:cs="Calibri"/>
                <w:color w:val="000000"/>
                <w:sz w:val="22"/>
                <w:szCs w:val="22"/>
              </w:rPr>
              <w:t>Redacted</w:t>
            </w:r>
          </w:p>
        </w:tc>
        <w:tc>
          <w:tcPr>
            <w:tcW w:w="2250" w:type="dxa"/>
            <w:tcBorders>
              <w:top w:val="nil"/>
              <w:left w:val="nil"/>
              <w:bottom w:val="single" w:sz="4" w:space="0" w:color="auto"/>
              <w:right w:val="single" w:sz="4" w:space="0" w:color="auto"/>
            </w:tcBorders>
            <w:noWrap/>
            <w:hideMark/>
          </w:tcPr>
          <w:p w:rsidR="00201686" w:rsidRDefault="00201686">
            <w:r w:rsidRPr="00641BA0">
              <w:rPr>
                <w:rFonts w:cs="Calibri"/>
                <w:color w:val="000000"/>
                <w:sz w:val="22"/>
                <w:szCs w:val="22"/>
              </w:rPr>
              <w:t>Redacted</w:t>
            </w:r>
          </w:p>
        </w:tc>
        <w:tc>
          <w:tcPr>
            <w:tcW w:w="2537" w:type="dxa"/>
            <w:tcBorders>
              <w:top w:val="nil"/>
              <w:left w:val="nil"/>
              <w:bottom w:val="single" w:sz="4" w:space="0" w:color="auto"/>
              <w:right w:val="single" w:sz="4" w:space="0" w:color="auto"/>
            </w:tcBorders>
            <w:hideMark/>
          </w:tcPr>
          <w:p w:rsidR="00201686" w:rsidRDefault="00201686">
            <w:r w:rsidRPr="003A4EC5">
              <w:rPr>
                <w:rFonts w:cs="Calibri"/>
                <w:color w:val="000000"/>
                <w:sz w:val="22"/>
                <w:szCs w:val="22"/>
              </w:rPr>
              <w:t>Redacted</w:t>
            </w:r>
          </w:p>
        </w:tc>
      </w:tr>
      <w:tr w:rsidR="00201686" w:rsidTr="00B23A12">
        <w:trPr>
          <w:trHeight w:val="300"/>
        </w:trPr>
        <w:tc>
          <w:tcPr>
            <w:tcW w:w="1280" w:type="dxa"/>
            <w:tcBorders>
              <w:top w:val="single" w:sz="4" w:space="0" w:color="auto"/>
              <w:left w:val="single" w:sz="4" w:space="0" w:color="auto"/>
              <w:bottom w:val="single" w:sz="4" w:space="0" w:color="auto"/>
              <w:right w:val="single" w:sz="4" w:space="0" w:color="auto"/>
            </w:tcBorders>
            <w:hideMark/>
          </w:tcPr>
          <w:p w:rsidR="00201686" w:rsidRDefault="00201686">
            <w:r w:rsidRPr="00DA1434">
              <w:rPr>
                <w:rFonts w:cs="Calibri"/>
                <w:color w:val="000000"/>
                <w:sz w:val="22"/>
                <w:szCs w:val="22"/>
              </w:rPr>
              <w:t>Redacted</w:t>
            </w:r>
          </w:p>
        </w:tc>
        <w:tc>
          <w:tcPr>
            <w:tcW w:w="2158" w:type="dxa"/>
            <w:tcBorders>
              <w:top w:val="nil"/>
              <w:left w:val="nil"/>
              <w:bottom w:val="single" w:sz="4" w:space="0" w:color="auto"/>
              <w:right w:val="single" w:sz="4" w:space="0" w:color="auto"/>
            </w:tcBorders>
            <w:hideMark/>
          </w:tcPr>
          <w:p w:rsidR="00201686" w:rsidRDefault="00201686">
            <w:r w:rsidRPr="00827C5F">
              <w:rPr>
                <w:rFonts w:cs="Calibri"/>
                <w:color w:val="000000"/>
                <w:sz w:val="22"/>
                <w:szCs w:val="22"/>
              </w:rPr>
              <w:t>Redacted</w:t>
            </w:r>
          </w:p>
        </w:tc>
        <w:tc>
          <w:tcPr>
            <w:tcW w:w="2250" w:type="dxa"/>
            <w:tcBorders>
              <w:top w:val="nil"/>
              <w:left w:val="nil"/>
              <w:bottom w:val="single" w:sz="4" w:space="0" w:color="auto"/>
              <w:right w:val="single" w:sz="4" w:space="0" w:color="auto"/>
            </w:tcBorders>
            <w:noWrap/>
            <w:hideMark/>
          </w:tcPr>
          <w:p w:rsidR="00201686" w:rsidRDefault="00201686">
            <w:r w:rsidRPr="00641BA0">
              <w:rPr>
                <w:rFonts w:cs="Calibri"/>
                <w:color w:val="000000"/>
                <w:sz w:val="22"/>
                <w:szCs w:val="22"/>
              </w:rPr>
              <w:t>Redacted</w:t>
            </w:r>
          </w:p>
        </w:tc>
        <w:tc>
          <w:tcPr>
            <w:tcW w:w="2537" w:type="dxa"/>
            <w:tcBorders>
              <w:top w:val="nil"/>
              <w:left w:val="nil"/>
              <w:bottom w:val="single" w:sz="4" w:space="0" w:color="auto"/>
              <w:right w:val="single" w:sz="4" w:space="0" w:color="auto"/>
            </w:tcBorders>
            <w:hideMark/>
          </w:tcPr>
          <w:p w:rsidR="00201686" w:rsidRDefault="00201686">
            <w:r w:rsidRPr="003A4EC5">
              <w:rPr>
                <w:rFonts w:cs="Calibri"/>
                <w:color w:val="000000"/>
                <w:sz w:val="22"/>
                <w:szCs w:val="22"/>
              </w:rPr>
              <w:t>Redacted</w:t>
            </w:r>
          </w:p>
        </w:tc>
      </w:tr>
      <w:tr w:rsidR="00201686" w:rsidTr="00B23A12">
        <w:trPr>
          <w:trHeight w:val="300"/>
        </w:trPr>
        <w:tc>
          <w:tcPr>
            <w:tcW w:w="1280" w:type="dxa"/>
            <w:tcBorders>
              <w:top w:val="single" w:sz="4" w:space="0" w:color="auto"/>
              <w:left w:val="single" w:sz="4" w:space="0" w:color="auto"/>
              <w:bottom w:val="single" w:sz="4" w:space="0" w:color="auto"/>
              <w:right w:val="single" w:sz="4" w:space="0" w:color="auto"/>
            </w:tcBorders>
            <w:hideMark/>
          </w:tcPr>
          <w:p w:rsidR="00201686" w:rsidRDefault="00201686">
            <w:r w:rsidRPr="00DA1434">
              <w:rPr>
                <w:rFonts w:cs="Calibri"/>
                <w:color w:val="000000"/>
                <w:sz w:val="22"/>
                <w:szCs w:val="22"/>
              </w:rPr>
              <w:t>Redacted</w:t>
            </w:r>
          </w:p>
        </w:tc>
        <w:tc>
          <w:tcPr>
            <w:tcW w:w="2158" w:type="dxa"/>
            <w:tcBorders>
              <w:top w:val="nil"/>
              <w:left w:val="nil"/>
              <w:bottom w:val="single" w:sz="4" w:space="0" w:color="auto"/>
              <w:right w:val="single" w:sz="4" w:space="0" w:color="auto"/>
            </w:tcBorders>
            <w:hideMark/>
          </w:tcPr>
          <w:p w:rsidR="00201686" w:rsidRDefault="00201686">
            <w:r w:rsidRPr="00827C5F">
              <w:rPr>
                <w:rFonts w:cs="Calibri"/>
                <w:color w:val="000000"/>
                <w:sz w:val="22"/>
                <w:szCs w:val="22"/>
              </w:rPr>
              <w:t>Redacted</w:t>
            </w:r>
          </w:p>
        </w:tc>
        <w:tc>
          <w:tcPr>
            <w:tcW w:w="2250" w:type="dxa"/>
            <w:tcBorders>
              <w:top w:val="nil"/>
              <w:left w:val="nil"/>
              <w:bottom w:val="single" w:sz="4" w:space="0" w:color="auto"/>
              <w:right w:val="single" w:sz="4" w:space="0" w:color="auto"/>
            </w:tcBorders>
            <w:noWrap/>
            <w:hideMark/>
          </w:tcPr>
          <w:p w:rsidR="00201686" w:rsidRDefault="00201686">
            <w:r w:rsidRPr="00641BA0">
              <w:rPr>
                <w:rFonts w:cs="Calibri"/>
                <w:color w:val="000000"/>
                <w:sz w:val="22"/>
                <w:szCs w:val="22"/>
              </w:rPr>
              <w:t>Redacted</w:t>
            </w:r>
          </w:p>
        </w:tc>
        <w:tc>
          <w:tcPr>
            <w:tcW w:w="2537" w:type="dxa"/>
            <w:tcBorders>
              <w:top w:val="nil"/>
              <w:left w:val="nil"/>
              <w:bottom w:val="single" w:sz="4" w:space="0" w:color="auto"/>
              <w:right w:val="single" w:sz="4" w:space="0" w:color="auto"/>
            </w:tcBorders>
            <w:hideMark/>
          </w:tcPr>
          <w:p w:rsidR="00201686" w:rsidRDefault="00201686">
            <w:r w:rsidRPr="003A4EC5">
              <w:rPr>
                <w:rFonts w:cs="Calibri"/>
                <w:color w:val="000000"/>
                <w:sz w:val="22"/>
                <w:szCs w:val="22"/>
              </w:rPr>
              <w:t>Redacted</w:t>
            </w:r>
          </w:p>
        </w:tc>
      </w:tr>
      <w:tr w:rsidR="00201686" w:rsidTr="00B23A12">
        <w:trPr>
          <w:trHeight w:val="300"/>
        </w:trPr>
        <w:tc>
          <w:tcPr>
            <w:tcW w:w="1280" w:type="dxa"/>
            <w:tcBorders>
              <w:top w:val="single" w:sz="4" w:space="0" w:color="auto"/>
              <w:left w:val="single" w:sz="4" w:space="0" w:color="auto"/>
              <w:bottom w:val="single" w:sz="4" w:space="0" w:color="auto"/>
              <w:right w:val="single" w:sz="4" w:space="0" w:color="auto"/>
            </w:tcBorders>
            <w:hideMark/>
          </w:tcPr>
          <w:p w:rsidR="00201686" w:rsidRDefault="00201686">
            <w:r w:rsidRPr="00DA1434">
              <w:rPr>
                <w:rFonts w:cs="Calibri"/>
                <w:color w:val="000000"/>
                <w:sz w:val="22"/>
                <w:szCs w:val="22"/>
              </w:rPr>
              <w:t>Redacted</w:t>
            </w:r>
          </w:p>
        </w:tc>
        <w:tc>
          <w:tcPr>
            <w:tcW w:w="2158" w:type="dxa"/>
            <w:tcBorders>
              <w:top w:val="nil"/>
              <w:left w:val="nil"/>
              <w:bottom w:val="single" w:sz="4" w:space="0" w:color="auto"/>
              <w:right w:val="single" w:sz="4" w:space="0" w:color="auto"/>
            </w:tcBorders>
            <w:hideMark/>
          </w:tcPr>
          <w:p w:rsidR="00201686" w:rsidRDefault="00201686">
            <w:r w:rsidRPr="00827C5F">
              <w:rPr>
                <w:rFonts w:cs="Calibri"/>
                <w:color w:val="000000"/>
                <w:sz w:val="22"/>
                <w:szCs w:val="22"/>
              </w:rPr>
              <w:t>Redacted</w:t>
            </w:r>
          </w:p>
        </w:tc>
        <w:tc>
          <w:tcPr>
            <w:tcW w:w="2250" w:type="dxa"/>
            <w:tcBorders>
              <w:top w:val="nil"/>
              <w:left w:val="nil"/>
              <w:bottom w:val="single" w:sz="4" w:space="0" w:color="auto"/>
              <w:right w:val="single" w:sz="4" w:space="0" w:color="auto"/>
            </w:tcBorders>
            <w:noWrap/>
            <w:hideMark/>
          </w:tcPr>
          <w:p w:rsidR="00201686" w:rsidRDefault="00201686">
            <w:r w:rsidRPr="00641BA0">
              <w:rPr>
                <w:rFonts w:cs="Calibri"/>
                <w:color w:val="000000"/>
                <w:sz w:val="22"/>
                <w:szCs w:val="22"/>
              </w:rPr>
              <w:t>Redacted</w:t>
            </w:r>
          </w:p>
        </w:tc>
        <w:tc>
          <w:tcPr>
            <w:tcW w:w="2537" w:type="dxa"/>
            <w:tcBorders>
              <w:top w:val="nil"/>
              <w:left w:val="nil"/>
              <w:bottom w:val="single" w:sz="4" w:space="0" w:color="auto"/>
              <w:right w:val="single" w:sz="4" w:space="0" w:color="auto"/>
            </w:tcBorders>
            <w:hideMark/>
          </w:tcPr>
          <w:p w:rsidR="00201686" w:rsidRDefault="00201686">
            <w:r w:rsidRPr="003A4EC5">
              <w:rPr>
                <w:rFonts w:cs="Calibri"/>
                <w:color w:val="000000"/>
                <w:sz w:val="22"/>
                <w:szCs w:val="22"/>
              </w:rPr>
              <w:t>Redacted</w:t>
            </w:r>
          </w:p>
        </w:tc>
      </w:tr>
      <w:tr w:rsidR="00201686" w:rsidTr="00B23A12">
        <w:trPr>
          <w:trHeight w:val="300"/>
        </w:trPr>
        <w:tc>
          <w:tcPr>
            <w:tcW w:w="1280" w:type="dxa"/>
            <w:tcBorders>
              <w:top w:val="single" w:sz="4" w:space="0" w:color="auto"/>
              <w:left w:val="single" w:sz="4" w:space="0" w:color="auto"/>
              <w:bottom w:val="single" w:sz="4" w:space="0" w:color="auto"/>
              <w:right w:val="single" w:sz="4" w:space="0" w:color="auto"/>
            </w:tcBorders>
            <w:hideMark/>
          </w:tcPr>
          <w:p w:rsidR="00201686" w:rsidRDefault="00201686">
            <w:r w:rsidRPr="00DA1434">
              <w:rPr>
                <w:rFonts w:cs="Calibri"/>
                <w:color w:val="000000"/>
                <w:sz w:val="22"/>
                <w:szCs w:val="22"/>
              </w:rPr>
              <w:t>Redacted</w:t>
            </w:r>
          </w:p>
        </w:tc>
        <w:tc>
          <w:tcPr>
            <w:tcW w:w="2158" w:type="dxa"/>
            <w:tcBorders>
              <w:top w:val="nil"/>
              <w:left w:val="nil"/>
              <w:bottom w:val="single" w:sz="4" w:space="0" w:color="auto"/>
              <w:right w:val="single" w:sz="4" w:space="0" w:color="auto"/>
            </w:tcBorders>
            <w:hideMark/>
          </w:tcPr>
          <w:p w:rsidR="00201686" w:rsidRDefault="00201686">
            <w:r w:rsidRPr="00827C5F">
              <w:rPr>
                <w:rFonts w:cs="Calibri"/>
                <w:color w:val="000000"/>
                <w:sz w:val="22"/>
                <w:szCs w:val="22"/>
              </w:rPr>
              <w:t>Redacted</w:t>
            </w:r>
          </w:p>
        </w:tc>
        <w:tc>
          <w:tcPr>
            <w:tcW w:w="2250" w:type="dxa"/>
            <w:tcBorders>
              <w:top w:val="nil"/>
              <w:left w:val="nil"/>
              <w:bottom w:val="single" w:sz="4" w:space="0" w:color="auto"/>
              <w:right w:val="single" w:sz="4" w:space="0" w:color="auto"/>
            </w:tcBorders>
            <w:noWrap/>
            <w:hideMark/>
          </w:tcPr>
          <w:p w:rsidR="00201686" w:rsidRDefault="00201686">
            <w:r w:rsidRPr="00641BA0">
              <w:rPr>
                <w:rFonts w:cs="Calibri"/>
                <w:color w:val="000000"/>
                <w:sz w:val="22"/>
                <w:szCs w:val="22"/>
              </w:rPr>
              <w:t>Redacted</w:t>
            </w:r>
          </w:p>
        </w:tc>
        <w:tc>
          <w:tcPr>
            <w:tcW w:w="2537" w:type="dxa"/>
            <w:tcBorders>
              <w:top w:val="nil"/>
              <w:left w:val="nil"/>
              <w:bottom w:val="single" w:sz="4" w:space="0" w:color="auto"/>
              <w:right w:val="single" w:sz="4" w:space="0" w:color="auto"/>
            </w:tcBorders>
            <w:hideMark/>
          </w:tcPr>
          <w:p w:rsidR="00201686" w:rsidRDefault="00201686">
            <w:r w:rsidRPr="003A4EC5">
              <w:rPr>
                <w:rFonts w:cs="Calibri"/>
                <w:color w:val="000000"/>
                <w:sz w:val="22"/>
                <w:szCs w:val="22"/>
              </w:rPr>
              <w:t>Redacted</w:t>
            </w:r>
          </w:p>
        </w:tc>
      </w:tr>
      <w:tr w:rsidR="00201686" w:rsidTr="00B23A12">
        <w:trPr>
          <w:trHeight w:val="300"/>
        </w:trPr>
        <w:tc>
          <w:tcPr>
            <w:tcW w:w="1280" w:type="dxa"/>
            <w:tcBorders>
              <w:top w:val="single" w:sz="4" w:space="0" w:color="auto"/>
              <w:left w:val="single" w:sz="4" w:space="0" w:color="auto"/>
              <w:bottom w:val="single" w:sz="4" w:space="0" w:color="auto"/>
              <w:right w:val="single" w:sz="4" w:space="0" w:color="auto"/>
            </w:tcBorders>
            <w:hideMark/>
          </w:tcPr>
          <w:p w:rsidR="00201686" w:rsidRDefault="00201686">
            <w:r w:rsidRPr="00DA1434">
              <w:rPr>
                <w:rFonts w:cs="Calibri"/>
                <w:color w:val="000000"/>
                <w:sz w:val="22"/>
                <w:szCs w:val="22"/>
              </w:rPr>
              <w:t>Redacted</w:t>
            </w:r>
          </w:p>
        </w:tc>
        <w:tc>
          <w:tcPr>
            <w:tcW w:w="2158" w:type="dxa"/>
            <w:tcBorders>
              <w:top w:val="nil"/>
              <w:left w:val="nil"/>
              <w:bottom w:val="single" w:sz="4" w:space="0" w:color="auto"/>
              <w:right w:val="single" w:sz="4" w:space="0" w:color="auto"/>
            </w:tcBorders>
            <w:hideMark/>
          </w:tcPr>
          <w:p w:rsidR="00201686" w:rsidRDefault="00201686">
            <w:r w:rsidRPr="00827C5F">
              <w:rPr>
                <w:rFonts w:cs="Calibri"/>
                <w:color w:val="000000"/>
                <w:sz w:val="22"/>
                <w:szCs w:val="22"/>
              </w:rPr>
              <w:t>Redacted</w:t>
            </w:r>
          </w:p>
        </w:tc>
        <w:tc>
          <w:tcPr>
            <w:tcW w:w="2250" w:type="dxa"/>
            <w:tcBorders>
              <w:top w:val="nil"/>
              <w:left w:val="nil"/>
              <w:bottom w:val="single" w:sz="4" w:space="0" w:color="auto"/>
              <w:right w:val="single" w:sz="4" w:space="0" w:color="auto"/>
            </w:tcBorders>
            <w:noWrap/>
            <w:hideMark/>
          </w:tcPr>
          <w:p w:rsidR="00201686" w:rsidRDefault="00201686">
            <w:r w:rsidRPr="00641BA0">
              <w:rPr>
                <w:rFonts w:cs="Calibri"/>
                <w:color w:val="000000"/>
                <w:sz w:val="22"/>
                <w:szCs w:val="22"/>
              </w:rPr>
              <w:t>Redacted</w:t>
            </w:r>
          </w:p>
        </w:tc>
        <w:tc>
          <w:tcPr>
            <w:tcW w:w="2537" w:type="dxa"/>
            <w:tcBorders>
              <w:top w:val="nil"/>
              <w:left w:val="nil"/>
              <w:bottom w:val="single" w:sz="4" w:space="0" w:color="auto"/>
              <w:right w:val="single" w:sz="4" w:space="0" w:color="auto"/>
            </w:tcBorders>
            <w:hideMark/>
          </w:tcPr>
          <w:p w:rsidR="00201686" w:rsidRDefault="00201686">
            <w:r w:rsidRPr="003A4EC5">
              <w:rPr>
                <w:rFonts w:cs="Calibri"/>
                <w:color w:val="000000"/>
                <w:sz w:val="22"/>
                <w:szCs w:val="22"/>
              </w:rPr>
              <w:t>Redacted</w:t>
            </w:r>
          </w:p>
        </w:tc>
      </w:tr>
      <w:tr w:rsidR="00201686" w:rsidTr="00B23A12">
        <w:trPr>
          <w:trHeight w:val="300"/>
        </w:trPr>
        <w:tc>
          <w:tcPr>
            <w:tcW w:w="1280" w:type="dxa"/>
            <w:tcBorders>
              <w:top w:val="single" w:sz="4" w:space="0" w:color="auto"/>
              <w:left w:val="single" w:sz="4" w:space="0" w:color="auto"/>
              <w:bottom w:val="single" w:sz="4" w:space="0" w:color="auto"/>
              <w:right w:val="single" w:sz="4" w:space="0" w:color="auto"/>
            </w:tcBorders>
            <w:hideMark/>
          </w:tcPr>
          <w:p w:rsidR="00201686" w:rsidRDefault="00201686">
            <w:r w:rsidRPr="00DA1434">
              <w:rPr>
                <w:rFonts w:cs="Calibri"/>
                <w:color w:val="000000"/>
                <w:sz w:val="22"/>
                <w:szCs w:val="22"/>
              </w:rPr>
              <w:t>Redacted</w:t>
            </w:r>
          </w:p>
        </w:tc>
        <w:tc>
          <w:tcPr>
            <w:tcW w:w="2158" w:type="dxa"/>
            <w:tcBorders>
              <w:top w:val="nil"/>
              <w:left w:val="nil"/>
              <w:bottom w:val="single" w:sz="4" w:space="0" w:color="auto"/>
              <w:right w:val="single" w:sz="4" w:space="0" w:color="auto"/>
            </w:tcBorders>
            <w:hideMark/>
          </w:tcPr>
          <w:p w:rsidR="00201686" w:rsidRDefault="00201686">
            <w:r w:rsidRPr="00827C5F">
              <w:rPr>
                <w:rFonts w:cs="Calibri"/>
                <w:color w:val="000000"/>
                <w:sz w:val="22"/>
                <w:szCs w:val="22"/>
              </w:rPr>
              <w:t>Redacted</w:t>
            </w:r>
          </w:p>
        </w:tc>
        <w:tc>
          <w:tcPr>
            <w:tcW w:w="2250" w:type="dxa"/>
            <w:tcBorders>
              <w:top w:val="nil"/>
              <w:left w:val="nil"/>
              <w:bottom w:val="single" w:sz="4" w:space="0" w:color="auto"/>
              <w:right w:val="single" w:sz="4" w:space="0" w:color="auto"/>
            </w:tcBorders>
            <w:noWrap/>
            <w:hideMark/>
          </w:tcPr>
          <w:p w:rsidR="00201686" w:rsidRDefault="00201686">
            <w:r w:rsidRPr="00641BA0">
              <w:rPr>
                <w:rFonts w:cs="Calibri"/>
                <w:color w:val="000000"/>
                <w:sz w:val="22"/>
                <w:szCs w:val="22"/>
              </w:rPr>
              <w:t>Redacted</w:t>
            </w:r>
          </w:p>
        </w:tc>
        <w:tc>
          <w:tcPr>
            <w:tcW w:w="2537" w:type="dxa"/>
            <w:tcBorders>
              <w:top w:val="nil"/>
              <w:left w:val="nil"/>
              <w:bottom w:val="single" w:sz="4" w:space="0" w:color="auto"/>
              <w:right w:val="single" w:sz="4" w:space="0" w:color="auto"/>
            </w:tcBorders>
            <w:hideMark/>
          </w:tcPr>
          <w:p w:rsidR="00201686" w:rsidRDefault="00201686">
            <w:r w:rsidRPr="003A4EC5">
              <w:rPr>
                <w:rFonts w:cs="Calibri"/>
                <w:color w:val="000000"/>
                <w:sz w:val="22"/>
                <w:szCs w:val="22"/>
              </w:rPr>
              <w:t>Redacted</w:t>
            </w:r>
          </w:p>
        </w:tc>
      </w:tr>
      <w:tr w:rsidR="00201686" w:rsidTr="00B23A12">
        <w:trPr>
          <w:trHeight w:val="300"/>
        </w:trPr>
        <w:tc>
          <w:tcPr>
            <w:tcW w:w="1280" w:type="dxa"/>
            <w:tcBorders>
              <w:top w:val="single" w:sz="4" w:space="0" w:color="auto"/>
              <w:left w:val="single" w:sz="4" w:space="0" w:color="auto"/>
              <w:bottom w:val="single" w:sz="4" w:space="0" w:color="auto"/>
              <w:right w:val="single" w:sz="4" w:space="0" w:color="auto"/>
            </w:tcBorders>
            <w:hideMark/>
          </w:tcPr>
          <w:p w:rsidR="00201686" w:rsidRDefault="00201686">
            <w:r w:rsidRPr="00DA1434">
              <w:rPr>
                <w:rFonts w:cs="Calibri"/>
                <w:color w:val="000000"/>
                <w:sz w:val="22"/>
                <w:szCs w:val="22"/>
              </w:rPr>
              <w:t>Redacted</w:t>
            </w:r>
          </w:p>
        </w:tc>
        <w:tc>
          <w:tcPr>
            <w:tcW w:w="2158" w:type="dxa"/>
            <w:tcBorders>
              <w:top w:val="nil"/>
              <w:left w:val="nil"/>
              <w:bottom w:val="single" w:sz="4" w:space="0" w:color="auto"/>
              <w:right w:val="single" w:sz="4" w:space="0" w:color="auto"/>
            </w:tcBorders>
            <w:hideMark/>
          </w:tcPr>
          <w:p w:rsidR="00201686" w:rsidRDefault="00201686">
            <w:r w:rsidRPr="00827C5F">
              <w:rPr>
                <w:rFonts w:cs="Calibri"/>
                <w:color w:val="000000"/>
                <w:sz w:val="22"/>
                <w:szCs w:val="22"/>
              </w:rPr>
              <w:t>Redacted</w:t>
            </w:r>
          </w:p>
        </w:tc>
        <w:tc>
          <w:tcPr>
            <w:tcW w:w="2250" w:type="dxa"/>
            <w:tcBorders>
              <w:top w:val="nil"/>
              <w:left w:val="nil"/>
              <w:bottom w:val="single" w:sz="4" w:space="0" w:color="auto"/>
              <w:right w:val="single" w:sz="4" w:space="0" w:color="auto"/>
            </w:tcBorders>
            <w:noWrap/>
            <w:hideMark/>
          </w:tcPr>
          <w:p w:rsidR="00201686" w:rsidRDefault="00201686">
            <w:r w:rsidRPr="00641BA0">
              <w:rPr>
                <w:rFonts w:cs="Calibri"/>
                <w:color w:val="000000"/>
                <w:sz w:val="22"/>
                <w:szCs w:val="22"/>
              </w:rPr>
              <w:t>Redacted</w:t>
            </w:r>
          </w:p>
        </w:tc>
        <w:tc>
          <w:tcPr>
            <w:tcW w:w="2537" w:type="dxa"/>
            <w:tcBorders>
              <w:top w:val="nil"/>
              <w:left w:val="nil"/>
              <w:bottom w:val="single" w:sz="4" w:space="0" w:color="auto"/>
              <w:right w:val="single" w:sz="4" w:space="0" w:color="auto"/>
            </w:tcBorders>
            <w:hideMark/>
          </w:tcPr>
          <w:p w:rsidR="00201686" w:rsidRDefault="00201686">
            <w:r w:rsidRPr="003A4EC5">
              <w:rPr>
                <w:rFonts w:cs="Calibri"/>
                <w:color w:val="000000"/>
                <w:sz w:val="22"/>
                <w:szCs w:val="22"/>
              </w:rPr>
              <w:t>Redacted</w:t>
            </w:r>
          </w:p>
        </w:tc>
      </w:tr>
      <w:tr w:rsidR="00201686" w:rsidTr="00B23A12">
        <w:trPr>
          <w:trHeight w:val="300"/>
        </w:trPr>
        <w:tc>
          <w:tcPr>
            <w:tcW w:w="1280" w:type="dxa"/>
            <w:tcBorders>
              <w:top w:val="single" w:sz="4" w:space="0" w:color="auto"/>
              <w:left w:val="single" w:sz="4" w:space="0" w:color="auto"/>
              <w:bottom w:val="single" w:sz="4" w:space="0" w:color="auto"/>
              <w:right w:val="single" w:sz="4" w:space="0" w:color="auto"/>
            </w:tcBorders>
            <w:hideMark/>
          </w:tcPr>
          <w:p w:rsidR="00201686" w:rsidRDefault="00201686">
            <w:r w:rsidRPr="00DA1434">
              <w:rPr>
                <w:rFonts w:cs="Calibri"/>
                <w:color w:val="000000"/>
                <w:sz w:val="22"/>
                <w:szCs w:val="22"/>
              </w:rPr>
              <w:t>Redacted</w:t>
            </w:r>
          </w:p>
        </w:tc>
        <w:tc>
          <w:tcPr>
            <w:tcW w:w="2158" w:type="dxa"/>
            <w:tcBorders>
              <w:top w:val="nil"/>
              <w:left w:val="nil"/>
              <w:bottom w:val="single" w:sz="4" w:space="0" w:color="auto"/>
              <w:right w:val="single" w:sz="4" w:space="0" w:color="auto"/>
            </w:tcBorders>
            <w:hideMark/>
          </w:tcPr>
          <w:p w:rsidR="00201686" w:rsidRDefault="00201686">
            <w:r w:rsidRPr="00827C5F">
              <w:rPr>
                <w:rFonts w:cs="Calibri"/>
                <w:color w:val="000000"/>
                <w:sz w:val="22"/>
                <w:szCs w:val="22"/>
              </w:rPr>
              <w:t>Redacted</w:t>
            </w:r>
          </w:p>
        </w:tc>
        <w:tc>
          <w:tcPr>
            <w:tcW w:w="2250" w:type="dxa"/>
            <w:tcBorders>
              <w:top w:val="nil"/>
              <w:left w:val="nil"/>
              <w:bottom w:val="single" w:sz="4" w:space="0" w:color="auto"/>
              <w:right w:val="single" w:sz="4" w:space="0" w:color="auto"/>
            </w:tcBorders>
            <w:noWrap/>
            <w:hideMark/>
          </w:tcPr>
          <w:p w:rsidR="00201686" w:rsidRDefault="00201686">
            <w:r w:rsidRPr="00641BA0">
              <w:rPr>
                <w:rFonts w:cs="Calibri"/>
                <w:color w:val="000000"/>
                <w:sz w:val="22"/>
                <w:szCs w:val="22"/>
              </w:rPr>
              <w:t>Redacted</w:t>
            </w:r>
          </w:p>
        </w:tc>
        <w:tc>
          <w:tcPr>
            <w:tcW w:w="2537" w:type="dxa"/>
            <w:tcBorders>
              <w:top w:val="nil"/>
              <w:left w:val="nil"/>
              <w:bottom w:val="single" w:sz="4" w:space="0" w:color="auto"/>
              <w:right w:val="single" w:sz="4" w:space="0" w:color="auto"/>
            </w:tcBorders>
            <w:hideMark/>
          </w:tcPr>
          <w:p w:rsidR="00201686" w:rsidRDefault="00201686">
            <w:r w:rsidRPr="003A4EC5">
              <w:rPr>
                <w:rFonts w:cs="Calibri"/>
                <w:color w:val="000000"/>
                <w:sz w:val="22"/>
                <w:szCs w:val="22"/>
              </w:rPr>
              <w:t>Redacted</w:t>
            </w:r>
          </w:p>
        </w:tc>
      </w:tr>
      <w:tr w:rsidR="00201686" w:rsidTr="00B23A12">
        <w:trPr>
          <w:trHeight w:val="300"/>
        </w:trPr>
        <w:tc>
          <w:tcPr>
            <w:tcW w:w="1280" w:type="dxa"/>
            <w:tcBorders>
              <w:top w:val="single" w:sz="4" w:space="0" w:color="auto"/>
              <w:left w:val="single" w:sz="4" w:space="0" w:color="auto"/>
              <w:bottom w:val="single" w:sz="4" w:space="0" w:color="auto"/>
              <w:right w:val="single" w:sz="4" w:space="0" w:color="auto"/>
            </w:tcBorders>
            <w:hideMark/>
          </w:tcPr>
          <w:p w:rsidR="00201686" w:rsidRDefault="00201686">
            <w:r w:rsidRPr="00DA1434">
              <w:rPr>
                <w:rFonts w:cs="Calibri"/>
                <w:color w:val="000000"/>
                <w:sz w:val="22"/>
                <w:szCs w:val="22"/>
              </w:rPr>
              <w:t>Redacted</w:t>
            </w:r>
          </w:p>
        </w:tc>
        <w:tc>
          <w:tcPr>
            <w:tcW w:w="2158" w:type="dxa"/>
            <w:tcBorders>
              <w:top w:val="nil"/>
              <w:left w:val="nil"/>
              <w:bottom w:val="single" w:sz="4" w:space="0" w:color="auto"/>
              <w:right w:val="single" w:sz="4" w:space="0" w:color="auto"/>
            </w:tcBorders>
            <w:hideMark/>
          </w:tcPr>
          <w:p w:rsidR="00201686" w:rsidRDefault="00201686">
            <w:r w:rsidRPr="00827C5F">
              <w:rPr>
                <w:rFonts w:cs="Calibri"/>
                <w:color w:val="000000"/>
                <w:sz w:val="22"/>
                <w:szCs w:val="22"/>
              </w:rPr>
              <w:t>Redacted</w:t>
            </w:r>
          </w:p>
        </w:tc>
        <w:tc>
          <w:tcPr>
            <w:tcW w:w="2250" w:type="dxa"/>
            <w:tcBorders>
              <w:top w:val="nil"/>
              <w:left w:val="nil"/>
              <w:bottom w:val="single" w:sz="4" w:space="0" w:color="auto"/>
              <w:right w:val="single" w:sz="4" w:space="0" w:color="auto"/>
            </w:tcBorders>
            <w:noWrap/>
            <w:hideMark/>
          </w:tcPr>
          <w:p w:rsidR="00201686" w:rsidRDefault="00201686">
            <w:r w:rsidRPr="00641BA0">
              <w:rPr>
                <w:rFonts w:cs="Calibri"/>
                <w:color w:val="000000"/>
                <w:sz w:val="22"/>
                <w:szCs w:val="22"/>
              </w:rPr>
              <w:t>Redacted</w:t>
            </w:r>
          </w:p>
        </w:tc>
        <w:tc>
          <w:tcPr>
            <w:tcW w:w="2537" w:type="dxa"/>
            <w:tcBorders>
              <w:top w:val="nil"/>
              <w:left w:val="nil"/>
              <w:bottom w:val="single" w:sz="4" w:space="0" w:color="auto"/>
              <w:right w:val="single" w:sz="4" w:space="0" w:color="auto"/>
            </w:tcBorders>
            <w:hideMark/>
          </w:tcPr>
          <w:p w:rsidR="00201686" w:rsidRDefault="00201686">
            <w:r w:rsidRPr="003A4EC5">
              <w:rPr>
                <w:rFonts w:cs="Calibri"/>
                <w:color w:val="000000"/>
                <w:sz w:val="22"/>
                <w:szCs w:val="22"/>
              </w:rPr>
              <w:t>Redacted</w:t>
            </w:r>
          </w:p>
        </w:tc>
      </w:tr>
      <w:tr w:rsidR="0006245C" w:rsidRPr="00C95C0A" w:rsidTr="0006245C">
        <w:trPr>
          <w:trHeight w:val="300"/>
        </w:trPr>
        <w:tc>
          <w:tcPr>
            <w:tcW w:w="1280" w:type="dxa"/>
            <w:tcBorders>
              <w:top w:val="single" w:sz="4" w:space="0" w:color="auto"/>
              <w:left w:val="single" w:sz="4" w:space="0" w:color="auto"/>
              <w:bottom w:val="single" w:sz="4" w:space="0" w:color="auto"/>
              <w:right w:val="single" w:sz="4" w:space="0" w:color="auto"/>
            </w:tcBorders>
            <w:vAlign w:val="bottom"/>
            <w:hideMark/>
          </w:tcPr>
          <w:p w:rsidR="0006245C" w:rsidRPr="00C95C0A" w:rsidRDefault="00C95C0A" w:rsidP="0006245C">
            <w:pPr>
              <w:jc w:val="center"/>
              <w:rPr>
                <w:rFonts w:cs="Calibri"/>
                <w:b/>
                <w:color w:val="000000"/>
              </w:rPr>
            </w:pPr>
            <w:r w:rsidRPr="00C95C0A">
              <w:rPr>
                <w:rFonts w:cs="Calibri"/>
                <w:b/>
                <w:color w:val="000000"/>
              </w:rPr>
              <w:t>TOTAL</w:t>
            </w:r>
          </w:p>
        </w:tc>
        <w:tc>
          <w:tcPr>
            <w:tcW w:w="2158" w:type="dxa"/>
            <w:tcBorders>
              <w:top w:val="nil"/>
              <w:left w:val="nil"/>
              <w:bottom w:val="single" w:sz="4" w:space="0" w:color="auto"/>
              <w:right w:val="single" w:sz="4" w:space="0" w:color="auto"/>
            </w:tcBorders>
            <w:vAlign w:val="bottom"/>
            <w:hideMark/>
          </w:tcPr>
          <w:p w:rsidR="0006245C" w:rsidRPr="00C95C0A" w:rsidRDefault="0006245C" w:rsidP="0006245C">
            <w:pPr>
              <w:jc w:val="center"/>
              <w:rPr>
                <w:rFonts w:cs="Calibri"/>
                <w:color w:val="000000"/>
              </w:rPr>
            </w:pPr>
          </w:p>
        </w:tc>
        <w:tc>
          <w:tcPr>
            <w:tcW w:w="2250" w:type="dxa"/>
            <w:tcBorders>
              <w:top w:val="nil"/>
              <w:left w:val="nil"/>
              <w:bottom w:val="single" w:sz="4" w:space="0" w:color="auto"/>
              <w:right w:val="single" w:sz="4" w:space="0" w:color="auto"/>
            </w:tcBorders>
            <w:noWrap/>
            <w:vAlign w:val="bottom"/>
            <w:hideMark/>
          </w:tcPr>
          <w:p w:rsidR="0006245C" w:rsidRPr="00992428" w:rsidRDefault="00C95C0A" w:rsidP="00C95C0A">
            <w:pPr>
              <w:rPr>
                <w:rFonts w:cs="Calibri"/>
                <w:b/>
                <w:color w:val="000000"/>
                <w:sz w:val="22"/>
                <w:szCs w:val="22"/>
              </w:rPr>
            </w:pPr>
            <w:r w:rsidRPr="00992428">
              <w:rPr>
                <w:rFonts w:cs="Calibri"/>
                <w:b/>
                <w:color w:val="000000"/>
                <w:sz w:val="22"/>
                <w:szCs w:val="22"/>
              </w:rPr>
              <w:t>$</w:t>
            </w:r>
            <w:r w:rsidR="00201686">
              <w:rPr>
                <w:rFonts w:cs="Calibri"/>
                <w:color w:val="000000"/>
                <w:sz w:val="22"/>
                <w:szCs w:val="22"/>
              </w:rPr>
              <w:t xml:space="preserve"> Redacted</w:t>
            </w:r>
          </w:p>
        </w:tc>
        <w:tc>
          <w:tcPr>
            <w:tcW w:w="2537" w:type="dxa"/>
            <w:tcBorders>
              <w:top w:val="nil"/>
              <w:left w:val="nil"/>
              <w:bottom w:val="single" w:sz="4" w:space="0" w:color="auto"/>
              <w:right w:val="single" w:sz="4" w:space="0" w:color="auto"/>
            </w:tcBorders>
            <w:vAlign w:val="bottom"/>
            <w:hideMark/>
          </w:tcPr>
          <w:p w:rsidR="0006245C" w:rsidRPr="00992428" w:rsidRDefault="0006245C" w:rsidP="0006245C">
            <w:pPr>
              <w:rPr>
                <w:rFonts w:cs="Calibri"/>
                <w:color w:val="000000"/>
                <w:sz w:val="22"/>
                <w:szCs w:val="22"/>
              </w:rPr>
            </w:pPr>
          </w:p>
        </w:tc>
      </w:tr>
    </w:tbl>
    <w:p w:rsidR="008A6023" w:rsidRDefault="008A6023" w:rsidP="00C4345D">
      <w:pPr>
        <w:spacing w:line="480" w:lineRule="auto"/>
        <w:jc w:val="both"/>
      </w:pPr>
    </w:p>
    <w:p w:rsidR="0006245C" w:rsidRDefault="0006245C" w:rsidP="00C4345D">
      <w:pPr>
        <w:spacing w:line="480" w:lineRule="auto"/>
        <w:jc w:val="both"/>
        <w:sectPr w:rsidR="0006245C" w:rsidSect="002A48CD">
          <w:pgSz w:w="12240" w:h="15840"/>
          <w:pgMar w:top="1440" w:right="1440" w:bottom="1440" w:left="1440" w:header="720" w:footer="720" w:gutter="0"/>
          <w:cols w:space="720"/>
          <w:docGrid w:linePitch="360"/>
        </w:sectPr>
      </w:pPr>
    </w:p>
    <w:p w:rsidR="004A525F" w:rsidRPr="006A4996" w:rsidRDefault="00542069" w:rsidP="004A525F">
      <w:pPr>
        <w:spacing w:line="480" w:lineRule="auto"/>
        <w:jc w:val="center"/>
        <w:rPr>
          <w:b/>
          <w:sz w:val="28"/>
          <w:szCs w:val="28"/>
          <w:u w:val="single"/>
        </w:rPr>
      </w:pPr>
      <w:r>
        <w:rPr>
          <w:b/>
          <w:sz w:val="28"/>
          <w:szCs w:val="28"/>
          <w:u w:val="single"/>
        </w:rPr>
        <w:t xml:space="preserve"> </w:t>
      </w:r>
    </w:p>
    <w:p w:rsidR="004A525F" w:rsidRDefault="004A525F" w:rsidP="004A525F">
      <w:pPr>
        <w:spacing w:line="480" w:lineRule="auto"/>
        <w:jc w:val="center"/>
        <w:rPr>
          <w:b/>
          <w:sz w:val="28"/>
          <w:szCs w:val="28"/>
          <w:u w:val="single"/>
        </w:rPr>
      </w:pPr>
      <w:r w:rsidRPr="006A4996">
        <w:rPr>
          <w:b/>
          <w:sz w:val="28"/>
          <w:szCs w:val="28"/>
          <w:u w:val="single"/>
        </w:rPr>
        <w:t xml:space="preserve">Exhibit </w:t>
      </w:r>
      <w:r w:rsidR="006A4996">
        <w:rPr>
          <w:b/>
          <w:sz w:val="28"/>
          <w:szCs w:val="28"/>
          <w:u w:val="single"/>
        </w:rPr>
        <w:t>B</w:t>
      </w:r>
      <w:r w:rsidR="006A4996" w:rsidRPr="006A4996">
        <w:rPr>
          <w:b/>
          <w:sz w:val="28"/>
          <w:szCs w:val="28"/>
          <w:u w:val="single"/>
        </w:rPr>
        <w:t xml:space="preserve"> </w:t>
      </w:r>
      <w:proofErr w:type="gramStart"/>
      <w:r w:rsidRPr="006A4996">
        <w:rPr>
          <w:b/>
          <w:sz w:val="28"/>
          <w:szCs w:val="28"/>
          <w:u w:val="single"/>
        </w:rPr>
        <w:t xml:space="preserve">–  </w:t>
      </w:r>
      <w:r w:rsidR="0006245C">
        <w:rPr>
          <w:b/>
          <w:sz w:val="28"/>
          <w:szCs w:val="28"/>
          <w:u w:val="single"/>
        </w:rPr>
        <w:t>Overlap</w:t>
      </w:r>
      <w:proofErr w:type="gramEnd"/>
      <w:r w:rsidR="0006245C">
        <w:rPr>
          <w:b/>
          <w:sz w:val="28"/>
          <w:szCs w:val="28"/>
          <w:u w:val="single"/>
        </w:rPr>
        <w:t xml:space="preserve"> Coverage Maps</w:t>
      </w:r>
      <w:r w:rsidRPr="006A4996">
        <w:rPr>
          <w:b/>
          <w:sz w:val="28"/>
          <w:szCs w:val="28"/>
          <w:u w:val="single"/>
        </w:rPr>
        <w:t xml:space="preserve"> </w:t>
      </w:r>
    </w:p>
    <w:p w:rsidR="00DC7752" w:rsidRDefault="00DC7752" w:rsidP="00DC7752">
      <w:pPr>
        <w:spacing w:line="480" w:lineRule="auto"/>
        <w:rPr>
          <w:b/>
          <w:sz w:val="28"/>
          <w:szCs w:val="28"/>
        </w:rPr>
      </w:pPr>
    </w:p>
    <w:p w:rsidR="00DC7752" w:rsidRDefault="007956D6" w:rsidP="007956D6">
      <w:pPr>
        <w:ind w:firstLine="720"/>
      </w:pPr>
      <w:r w:rsidRPr="007956D6">
        <w:t>Each of the following pages contain</w:t>
      </w:r>
      <w:r w:rsidR="004B13F3">
        <w:t>s</w:t>
      </w:r>
      <w:r w:rsidRPr="007956D6">
        <w:t xml:space="preserve"> </w:t>
      </w:r>
      <w:r w:rsidR="004B13F3">
        <w:t>two c</w:t>
      </w:r>
      <w:r w:rsidRPr="007956D6">
        <w:t>overage map</w:t>
      </w:r>
      <w:r w:rsidR="004B13F3">
        <w:t>s</w:t>
      </w:r>
      <w:r w:rsidRPr="007956D6">
        <w:t xml:space="preserve"> for one </w:t>
      </w:r>
      <w:r w:rsidR="004B13F3">
        <w:t xml:space="preserve">or more </w:t>
      </w:r>
      <w:r w:rsidRPr="007956D6">
        <w:t xml:space="preserve">of the sixteen (16) </w:t>
      </w:r>
      <w:r w:rsidR="004B13F3">
        <w:t xml:space="preserve">cell </w:t>
      </w:r>
      <w:r w:rsidRPr="007956D6">
        <w:t xml:space="preserve">sites </w:t>
      </w:r>
      <w:r>
        <w:t xml:space="preserve">covered by this request.  The first map on each page depicts the coverage in the area of the cell site with the specific cell site on air.  The second map on each page depicts the coverage in the area with the specific cell site at issue turned off.  Blue is the best signal/coverage level.  </w:t>
      </w:r>
      <w:r w:rsidR="004B13F3">
        <w:t xml:space="preserve">These maps demonstrate that the coverage does not change when the site at issue is not on air.  The specific site identification which corresponds to the table listed in Exhibit A is contained in the white legend on each map; the maps are presented in the following order:    </w:t>
      </w:r>
    </w:p>
    <w:p w:rsidR="004B13F3" w:rsidRDefault="00201686" w:rsidP="004B13F3">
      <w:pPr>
        <w:numPr>
          <w:ilvl w:val="0"/>
          <w:numId w:val="9"/>
        </w:numPr>
      </w:pPr>
      <w:r>
        <w:t>REDACTED</w:t>
      </w:r>
    </w:p>
    <w:p w:rsidR="004B13F3" w:rsidRDefault="00C1049F" w:rsidP="004B13F3">
      <w:pPr>
        <w:numPr>
          <w:ilvl w:val="0"/>
          <w:numId w:val="9"/>
        </w:numPr>
      </w:pPr>
      <w:r>
        <w:t>REDACTED</w:t>
      </w:r>
    </w:p>
    <w:p w:rsidR="00C1049F" w:rsidRDefault="00C1049F" w:rsidP="004B13F3">
      <w:pPr>
        <w:numPr>
          <w:ilvl w:val="0"/>
          <w:numId w:val="9"/>
        </w:numPr>
      </w:pPr>
      <w:r>
        <w:t>REDACTED</w:t>
      </w:r>
    </w:p>
    <w:p w:rsidR="00C1049F" w:rsidRDefault="00C1049F" w:rsidP="004B13F3">
      <w:pPr>
        <w:numPr>
          <w:ilvl w:val="0"/>
          <w:numId w:val="9"/>
        </w:numPr>
      </w:pPr>
      <w:r>
        <w:t>REDACTED</w:t>
      </w:r>
    </w:p>
    <w:p w:rsidR="00C1049F" w:rsidRDefault="00C1049F" w:rsidP="004B13F3">
      <w:pPr>
        <w:numPr>
          <w:ilvl w:val="0"/>
          <w:numId w:val="9"/>
        </w:numPr>
      </w:pPr>
      <w:r>
        <w:t>REDACTED</w:t>
      </w:r>
    </w:p>
    <w:p w:rsidR="00C1049F" w:rsidRDefault="00C1049F" w:rsidP="004B13F3">
      <w:pPr>
        <w:numPr>
          <w:ilvl w:val="0"/>
          <w:numId w:val="9"/>
        </w:numPr>
      </w:pPr>
      <w:r>
        <w:t>REDACTED</w:t>
      </w:r>
    </w:p>
    <w:p w:rsidR="00C1049F" w:rsidRDefault="00C1049F" w:rsidP="004B13F3">
      <w:pPr>
        <w:numPr>
          <w:ilvl w:val="0"/>
          <w:numId w:val="9"/>
        </w:numPr>
      </w:pPr>
      <w:r>
        <w:t>REDACTED</w:t>
      </w:r>
    </w:p>
    <w:p w:rsidR="00C1049F" w:rsidRDefault="00C1049F" w:rsidP="004B13F3">
      <w:pPr>
        <w:numPr>
          <w:ilvl w:val="0"/>
          <w:numId w:val="9"/>
        </w:numPr>
      </w:pPr>
      <w:r>
        <w:t>REDACTED</w:t>
      </w:r>
    </w:p>
    <w:p w:rsidR="00C1049F" w:rsidRDefault="00C1049F" w:rsidP="004B13F3">
      <w:pPr>
        <w:numPr>
          <w:ilvl w:val="0"/>
          <w:numId w:val="9"/>
        </w:numPr>
      </w:pPr>
      <w:r>
        <w:t>REDACTED</w:t>
      </w:r>
    </w:p>
    <w:p w:rsidR="00C1049F" w:rsidRDefault="00C1049F" w:rsidP="004B13F3">
      <w:pPr>
        <w:numPr>
          <w:ilvl w:val="0"/>
          <w:numId w:val="9"/>
        </w:numPr>
      </w:pPr>
      <w:r>
        <w:t>REDACTED</w:t>
      </w:r>
    </w:p>
    <w:p w:rsidR="00C1049F" w:rsidRDefault="00C1049F" w:rsidP="004B13F3">
      <w:pPr>
        <w:numPr>
          <w:ilvl w:val="0"/>
          <w:numId w:val="9"/>
        </w:numPr>
      </w:pPr>
      <w:r>
        <w:t>REDACTED</w:t>
      </w:r>
    </w:p>
    <w:p w:rsidR="00C1049F" w:rsidRDefault="00C1049F" w:rsidP="004B13F3">
      <w:pPr>
        <w:numPr>
          <w:ilvl w:val="0"/>
          <w:numId w:val="9"/>
        </w:numPr>
      </w:pPr>
      <w:r>
        <w:t xml:space="preserve">REDACTED </w:t>
      </w:r>
    </w:p>
    <w:p w:rsidR="00DC7752" w:rsidRDefault="00DC7752" w:rsidP="004A525F">
      <w:pPr>
        <w:spacing w:line="480" w:lineRule="auto"/>
        <w:jc w:val="center"/>
        <w:rPr>
          <w:b/>
          <w:sz w:val="28"/>
          <w:szCs w:val="28"/>
          <w:u w:val="single"/>
        </w:rPr>
      </w:pPr>
    </w:p>
    <w:p w:rsidR="00DC7752" w:rsidRDefault="00DC7752" w:rsidP="004A525F">
      <w:pPr>
        <w:spacing w:line="480" w:lineRule="auto"/>
        <w:jc w:val="center"/>
        <w:rPr>
          <w:b/>
          <w:sz w:val="28"/>
          <w:szCs w:val="28"/>
          <w:u w:val="single"/>
        </w:rPr>
      </w:pPr>
    </w:p>
    <w:p w:rsidR="00C4345D" w:rsidRDefault="00C4345D" w:rsidP="00C4345D">
      <w:pPr>
        <w:spacing w:line="480" w:lineRule="auto"/>
        <w:jc w:val="both"/>
      </w:pPr>
    </w:p>
    <w:p w:rsidR="00C1049F" w:rsidRDefault="00A54F71" w:rsidP="00C4345D">
      <w:pPr>
        <w:spacing w:line="480" w:lineRule="auto"/>
        <w:jc w:val="both"/>
        <w:rPr>
          <w:noProof/>
        </w:rPr>
      </w:pPr>
      <w:r>
        <w:rPr>
          <w:noProof/>
        </w:rPr>
        <w:pict>
          <v:shapetype id="_x0000_t32" coordsize="21600,21600" o:spt="32" o:oned="t" path="m,l21600,21600e" filled="f">
            <v:path arrowok="t" fillok="f" o:connecttype="none"/>
            <o:lock v:ext="edit" shapetype="t"/>
          </v:shapetype>
          <v:shape id="_x0000_s1035" type="#_x0000_t32" style="position:absolute;left:0;text-align:left;margin-left:243pt;margin-top:477.15pt;width:55.5pt;height:18.6pt;flip:x y;z-index:251656704" o:connectortype="straight" strokecolor="#c0504d" strokeweight="10pt">
            <v:stroke endarrow="block"/>
            <v:shadow color="#868686"/>
          </v:shape>
        </w:pict>
      </w:r>
      <w:r>
        <w:rPr>
          <w:noProof/>
        </w:rPr>
        <w:pict>
          <v:shape id="_x0000_s1061" type="#_x0000_t32" style="position:absolute;left:0;text-align:left;margin-left:117pt;margin-top:432.75pt;width:42.75pt;height:39pt;z-index:251658752" o:connectortype="straight" strokecolor="#c0504d" strokeweight="10pt">
            <v:stroke endarrow="block"/>
            <v:shadow color="#868686"/>
          </v:shape>
        </w:pict>
      </w:r>
      <w:r>
        <w:rPr>
          <w:noProof/>
        </w:rPr>
        <w:pict>
          <v:shape id="_x0000_s1036" type="#_x0000_t32" style="position:absolute;left:0;text-align:left;margin-left:137.95pt;margin-top:389.25pt;width:34.55pt;height:48pt;z-index:251657728" o:connectortype="straight" strokecolor="#c0504d" strokeweight="10pt">
            <v:stroke endarrow="block"/>
            <v:shadow color="#868686"/>
          </v:shape>
        </w:pict>
      </w:r>
    </w:p>
    <w:p w:rsidR="00E74D2D" w:rsidRDefault="00C1049F" w:rsidP="00C1049F">
      <w:pPr>
        <w:spacing w:line="480" w:lineRule="auto"/>
        <w:jc w:val="center"/>
        <w:rPr>
          <w:noProof/>
        </w:rPr>
      </w:pPr>
      <w:r>
        <w:rPr>
          <w:noProof/>
        </w:rPr>
        <w:br w:type="page"/>
        <w:t>MAPS REDACTED</w:t>
      </w:r>
    </w:p>
    <w:p w:rsidR="00C1049F" w:rsidRDefault="00C1049F" w:rsidP="00C1049F">
      <w:pPr>
        <w:spacing w:line="480" w:lineRule="auto"/>
        <w:jc w:val="center"/>
        <w:rPr>
          <w:noProof/>
        </w:rPr>
      </w:pPr>
      <w:r>
        <w:rPr>
          <w:noProof/>
        </w:rPr>
        <w:br w:type="page"/>
      </w:r>
      <w:r>
        <w:rPr>
          <w:noProof/>
        </w:rPr>
        <w:tab/>
        <w:t>MAPS REDACTED</w:t>
      </w:r>
    </w:p>
    <w:p w:rsidR="00E74D2D" w:rsidRDefault="00E74D2D" w:rsidP="00C4345D">
      <w:pPr>
        <w:spacing w:line="480" w:lineRule="auto"/>
        <w:jc w:val="both"/>
        <w:rPr>
          <w:noProof/>
        </w:rPr>
      </w:pPr>
    </w:p>
    <w:p w:rsidR="00C1049F" w:rsidRDefault="00C1049F" w:rsidP="00C4345D">
      <w:pPr>
        <w:spacing w:line="480" w:lineRule="auto"/>
        <w:jc w:val="both"/>
        <w:rPr>
          <w:noProof/>
          <w:highlight w:val="yellow"/>
        </w:rPr>
      </w:pPr>
    </w:p>
    <w:p w:rsidR="00E74D2D" w:rsidRDefault="00C1049F" w:rsidP="00C1049F">
      <w:pPr>
        <w:spacing w:line="480" w:lineRule="auto"/>
        <w:jc w:val="center"/>
        <w:rPr>
          <w:noProof/>
        </w:rPr>
      </w:pPr>
      <w:r>
        <w:rPr>
          <w:noProof/>
          <w:highlight w:val="yellow"/>
        </w:rPr>
        <w:br w:type="page"/>
      </w:r>
      <w:r>
        <w:rPr>
          <w:noProof/>
        </w:rPr>
        <w:t>MAPS REDACTED</w:t>
      </w:r>
    </w:p>
    <w:p w:rsidR="00E74D2D" w:rsidRDefault="00E74D2D" w:rsidP="00C4345D">
      <w:pPr>
        <w:spacing w:line="480" w:lineRule="auto"/>
        <w:jc w:val="both"/>
        <w:rPr>
          <w:noProof/>
        </w:rPr>
      </w:pPr>
    </w:p>
    <w:p w:rsidR="00C1049F" w:rsidRDefault="00C1049F" w:rsidP="00C4345D">
      <w:pPr>
        <w:spacing w:line="480" w:lineRule="auto"/>
        <w:jc w:val="both"/>
        <w:rPr>
          <w:noProof/>
        </w:rPr>
      </w:pPr>
    </w:p>
    <w:p w:rsidR="00E74D2D" w:rsidRDefault="00C1049F" w:rsidP="00C1049F">
      <w:pPr>
        <w:spacing w:line="480" w:lineRule="auto"/>
        <w:jc w:val="center"/>
        <w:rPr>
          <w:noProof/>
        </w:rPr>
      </w:pPr>
      <w:r>
        <w:rPr>
          <w:noProof/>
        </w:rPr>
        <w:br w:type="page"/>
        <w:t>MAPS REDACTED</w:t>
      </w:r>
    </w:p>
    <w:p w:rsidR="00E74D2D" w:rsidRDefault="00E74D2D" w:rsidP="00C4345D">
      <w:pPr>
        <w:spacing w:line="480" w:lineRule="auto"/>
        <w:jc w:val="both"/>
        <w:rPr>
          <w:noProof/>
        </w:rPr>
      </w:pPr>
    </w:p>
    <w:p w:rsidR="00C1049F" w:rsidRDefault="00C1049F" w:rsidP="00C4345D">
      <w:pPr>
        <w:spacing w:line="480" w:lineRule="auto"/>
        <w:jc w:val="both"/>
        <w:rPr>
          <w:noProof/>
        </w:rPr>
      </w:pPr>
    </w:p>
    <w:p w:rsidR="00E74D2D" w:rsidRDefault="00C1049F" w:rsidP="00C1049F">
      <w:pPr>
        <w:spacing w:line="480" w:lineRule="auto"/>
        <w:jc w:val="center"/>
        <w:rPr>
          <w:noProof/>
        </w:rPr>
      </w:pPr>
      <w:r>
        <w:rPr>
          <w:noProof/>
        </w:rPr>
        <w:br w:type="page"/>
        <w:t>MAPS REDACTED</w:t>
      </w:r>
    </w:p>
    <w:p w:rsidR="00E74D2D" w:rsidRDefault="00E74D2D" w:rsidP="00C4345D">
      <w:pPr>
        <w:spacing w:line="480" w:lineRule="auto"/>
        <w:jc w:val="both"/>
        <w:rPr>
          <w:noProof/>
        </w:rPr>
      </w:pPr>
    </w:p>
    <w:p w:rsidR="00BB1068" w:rsidRDefault="00C1049F" w:rsidP="00C1049F">
      <w:pPr>
        <w:jc w:val="center"/>
      </w:pPr>
      <w:r>
        <w:br w:type="page"/>
        <w:t>MAPS REDACTED</w:t>
      </w:r>
    </w:p>
    <w:p w:rsidR="00C1049F" w:rsidRDefault="00C1049F" w:rsidP="003618D0">
      <w:pPr>
        <w:ind w:firstLine="720"/>
        <w:rPr>
          <w:noProof/>
        </w:rPr>
      </w:pPr>
    </w:p>
    <w:p w:rsidR="00E74D2D" w:rsidRDefault="00C1049F" w:rsidP="00C1049F">
      <w:pPr>
        <w:ind w:firstLine="720"/>
        <w:jc w:val="center"/>
        <w:rPr>
          <w:noProof/>
        </w:rPr>
      </w:pPr>
      <w:r>
        <w:rPr>
          <w:noProof/>
        </w:rPr>
        <w:br w:type="page"/>
        <w:t>MAPS REDACTED</w:t>
      </w:r>
    </w:p>
    <w:p w:rsidR="00E74D2D" w:rsidRDefault="00C1049F" w:rsidP="00C1049F">
      <w:pPr>
        <w:spacing w:line="480" w:lineRule="auto"/>
        <w:jc w:val="center"/>
        <w:rPr>
          <w:noProof/>
        </w:rPr>
      </w:pPr>
      <w:r>
        <w:rPr>
          <w:noProof/>
        </w:rPr>
        <w:br w:type="page"/>
        <w:t>MAPS REDACTED</w:t>
      </w:r>
    </w:p>
    <w:p w:rsidR="00E74D2D" w:rsidRDefault="00C1049F" w:rsidP="00C1049F">
      <w:pPr>
        <w:spacing w:line="480" w:lineRule="auto"/>
        <w:jc w:val="center"/>
        <w:rPr>
          <w:noProof/>
        </w:rPr>
      </w:pPr>
      <w:r>
        <w:rPr>
          <w:noProof/>
        </w:rPr>
        <w:br w:type="page"/>
        <w:t>MAPS REDACTED</w:t>
      </w:r>
    </w:p>
    <w:p w:rsidR="007956D6" w:rsidRDefault="007956D6" w:rsidP="00C4345D">
      <w:pPr>
        <w:spacing w:line="480" w:lineRule="auto"/>
        <w:jc w:val="both"/>
        <w:rPr>
          <w:noProof/>
        </w:rPr>
      </w:pPr>
    </w:p>
    <w:p w:rsidR="00E74D2D" w:rsidRDefault="00E74D2D" w:rsidP="00C4345D">
      <w:pPr>
        <w:spacing w:line="480" w:lineRule="auto"/>
        <w:jc w:val="both"/>
        <w:rPr>
          <w:noProof/>
        </w:rPr>
      </w:pPr>
    </w:p>
    <w:p w:rsidR="00701BD9" w:rsidRDefault="00C1049F" w:rsidP="00C1049F">
      <w:pPr>
        <w:spacing w:line="480" w:lineRule="auto"/>
        <w:jc w:val="center"/>
        <w:rPr>
          <w:noProof/>
        </w:rPr>
      </w:pPr>
      <w:r>
        <w:rPr>
          <w:noProof/>
        </w:rPr>
        <w:br w:type="page"/>
        <w:t>MAPS REDACTED</w:t>
      </w:r>
    </w:p>
    <w:p w:rsidR="00701BD9" w:rsidRDefault="00701BD9" w:rsidP="00701BD9"/>
    <w:p w:rsidR="00E74D2D" w:rsidRPr="00701BD9" w:rsidRDefault="00C1049F" w:rsidP="00C1049F">
      <w:pPr>
        <w:tabs>
          <w:tab w:val="left" w:pos="900"/>
        </w:tabs>
        <w:jc w:val="center"/>
      </w:pPr>
      <w:r>
        <w:br w:type="page"/>
        <w:t>MAPS REDACTED</w:t>
      </w:r>
    </w:p>
    <w:p w:rsidR="00DA7A09" w:rsidRDefault="00C1049F" w:rsidP="00C1049F">
      <w:pPr>
        <w:spacing w:line="480" w:lineRule="auto"/>
        <w:jc w:val="center"/>
      </w:pPr>
      <w:r>
        <w:rPr>
          <w:noProof/>
        </w:rPr>
        <w:br w:type="page"/>
        <w:t>MAPS REDACTED</w:t>
      </w:r>
      <w:r w:rsidR="007E7319">
        <w:br w:type="page"/>
      </w:r>
    </w:p>
    <w:p w:rsidR="006A4996" w:rsidRPr="006A4996" w:rsidRDefault="00542069" w:rsidP="00DA7A09">
      <w:pPr>
        <w:spacing w:line="480" w:lineRule="auto"/>
        <w:jc w:val="center"/>
        <w:rPr>
          <w:b/>
          <w:sz w:val="28"/>
          <w:szCs w:val="28"/>
          <w:u w:val="single"/>
        </w:rPr>
      </w:pPr>
      <w:r>
        <w:rPr>
          <w:b/>
          <w:sz w:val="28"/>
          <w:szCs w:val="28"/>
          <w:u w:val="single"/>
        </w:rPr>
        <w:t xml:space="preserve"> </w:t>
      </w:r>
    </w:p>
    <w:p w:rsidR="006A4996" w:rsidRPr="006A4996" w:rsidRDefault="006A4996" w:rsidP="00DA7A09">
      <w:pPr>
        <w:spacing w:line="480" w:lineRule="auto"/>
        <w:jc w:val="center"/>
        <w:rPr>
          <w:b/>
          <w:sz w:val="28"/>
          <w:szCs w:val="28"/>
          <w:u w:val="single"/>
        </w:rPr>
      </w:pPr>
      <w:r w:rsidRPr="006A4996">
        <w:rPr>
          <w:b/>
          <w:sz w:val="28"/>
          <w:szCs w:val="28"/>
          <w:u w:val="single"/>
        </w:rPr>
        <w:t xml:space="preserve">Exhibit </w:t>
      </w:r>
      <w:r>
        <w:rPr>
          <w:b/>
          <w:sz w:val="28"/>
          <w:szCs w:val="28"/>
          <w:u w:val="single"/>
        </w:rPr>
        <w:t>C</w:t>
      </w:r>
      <w:r w:rsidRPr="006A4996">
        <w:rPr>
          <w:b/>
          <w:sz w:val="28"/>
          <w:szCs w:val="28"/>
          <w:u w:val="single"/>
        </w:rPr>
        <w:t xml:space="preserve"> –   </w:t>
      </w:r>
      <w:r w:rsidR="0006245C">
        <w:rPr>
          <w:b/>
          <w:sz w:val="28"/>
          <w:szCs w:val="28"/>
          <w:u w:val="single"/>
        </w:rPr>
        <w:t>Portable Generator Storage Locations</w:t>
      </w:r>
    </w:p>
    <w:p w:rsidR="00E72CF6" w:rsidRPr="00E72CF6" w:rsidRDefault="00E72CF6">
      <w:pPr>
        <w:rPr>
          <w:b/>
        </w:rPr>
      </w:pPr>
      <w:r w:rsidRPr="00E72CF6">
        <w:rPr>
          <w:b/>
        </w:rPr>
        <w:t>Eastern Washington</w:t>
      </w:r>
    </w:p>
    <w:p w:rsidR="00733357" w:rsidRDefault="00733357">
      <w:pPr>
        <w:rPr>
          <w:b/>
        </w:rPr>
      </w:pPr>
    </w:p>
    <w:tbl>
      <w:tblPr>
        <w:tblpPr w:leftFromText="180" w:rightFromText="180" w:vertAnchor="page" w:horzAnchor="margin" w:tblpY="3631"/>
        <w:tblW w:w="8028" w:type="dxa"/>
        <w:tblLook w:val="04A0"/>
      </w:tblPr>
      <w:tblGrid>
        <w:gridCol w:w="1896"/>
        <w:gridCol w:w="1644"/>
        <w:gridCol w:w="1496"/>
        <w:gridCol w:w="1496"/>
        <w:gridCol w:w="1496"/>
      </w:tblGrid>
      <w:tr w:rsidR="00C1049F" w:rsidRPr="00733357" w:rsidTr="00C1049F">
        <w:trPr>
          <w:trHeight w:val="344"/>
        </w:trPr>
        <w:tc>
          <w:tcPr>
            <w:tcW w:w="1896" w:type="dxa"/>
            <w:tcBorders>
              <w:top w:val="single" w:sz="4" w:space="0" w:color="auto"/>
              <w:left w:val="single" w:sz="4" w:space="0" w:color="auto"/>
              <w:bottom w:val="single" w:sz="4" w:space="0" w:color="auto"/>
              <w:right w:val="single" w:sz="4" w:space="0" w:color="auto"/>
            </w:tcBorders>
            <w:shd w:val="clear" w:color="auto" w:fill="CCFFCC"/>
            <w:vAlign w:val="bottom"/>
            <w:hideMark/>
          </w:tcPr>
          <w:p w:rsidR="00C1049F" w:rsidRPr="00733357" w:rsidRDefault="00C1049F" w:rsidP="00733357">
            <w:pPr>
              <w:rPr>
                <w:rFonts w:cs="Calibri"/>
                <w:color w:val="000000"/>
                <w:sz w:val="22"/>
                <w:szCs w:val="22"/>
              </w:rPr>
            </w:pPr>
            <w:r>
              <w:rPr>
                <w:rFonts w:cs="Calibri"/>
                <w:color w:val="000000"/>
              </w:rPr>
              <w:t>REDACTED</w:t>
            </w:r>
          </w:p>
        </w:tc>
        <w:tc>
          <w:tcPr>
            <w:tcW w:w="1644" w:type="dxa"/>
            <w:tcBorders>
              <w:top w:val="single" w:sz="4" w:space="0" w:color="auto"/>
              <w:left w:val="nil"/>
              <w:bottom w:val="single" w:sz="4" w:space="0" w:color="auto"/>
              <w:right w:val="single" w:sz="4" w:space="0" w:color="auto"/>
            </w:tcBorders>
            <w:shd w:val="clear" w:color="auto" w:fill="CCFFCC"/>
            <w:hideMark/>
          </w:tcPr>
          <w:p w:rsidR="00C1049F" w:rsidRDefault="00C1049F">
            <w:r w:rsidRPr="00A76563">
              <w:rPr>
                <w:rFonts w:cs="Calibri"/>
                <w:color w:val="000000"/>
              </w:rPr>
              <w:t>REDACTED</w:t>
            </w:r>
          </w:p>
        </w:tc>
        <w:tc>
          <w:tcPr>
            <w:tcW w:w="1496" w:type="dxa"/>
            <w:tcBorders>
              <w:top w:val="single" w:sz="4" w:space="0" w:color="auto"/>
              <w:left w:val="nil"/>
              <w:bottom w:val="single" w:sz="4" w:space="0" w:color="auto"/>
              <w:right w:val="single" w:sz="4" w:space="0" w:color="auto"/>
            </w:tcBorders>
            <w:shd w:val="clear" w:color="auto" w:fill="CCFFCC"/>
            <w:hideMark/>
          </w:tcPr>
          <w:p w:rsidR="00C1049F" w:rsidRDefault="00C1049F">
            <w:r w:rsidRPr="00A76563">
              <w:rPr>
                <w:rFonts w:cs="Calibri"/>
                <w:color w:val="000000"/>
              </w:rPr>
              <w:t>REDACTED</w:t>
            </w:r>
          </w:p>
        </w:tc>
        <w:tc>
          <w:tcPr>
            <w:tcW w:w="1496" w:type="dxa"/>
            <w:tcBorders>
              <w:top w:val="single" w:sz="4" w:space="0" w:color="auto"/>
              <w:left w:val="nil"/>
              <w:bottom w:val="single" w:sz="4" w:space="0" w:color="auto"/>
              <w:right w:val="single" w:sz="4" w:space="0" w:color="auto"/>
            </w:tcBorders>
            <w:shd w:val="clear" w:color="auto" w:fill="CCFFCC"/>
            <w:hideMark/>
          </w:tcPr>
          <w:p w:rsidR="00C1049F" w:rsidRDefault="00C1049F">
            <w:r w:rsidRPr="00A76563">
              <w:rPr>
                <w:rFonts w:cs="Calibri"/>
                <w:color w:val="000000"/>
              </w:rPr>
              <w:t>REDACTED</w:t>
            </w:r>
          </w:p>
        </w:tc>
        <w:tc>
          <w:tcPr>
            <w:tcW w:w="1496" w:type="dxa"/>
            <w:tcBorders>
              <w:top w:val="single" w:sz="4" w:space="0" w:color="auto"/>
              <w:left w:val="nil"/>
              <w:bottom w:val="single" w:sz="4" w:space="0" w:color="auto"/>
              <w:right w:val="single" w:sz="4" w:space="0" w:color="auto"/>
            </w:tcBorders>
            <w:shd w:val="clear" w:color="auto" w:fill="CCFFCC"/>
            <w:hideMark/>
          </w:tcPr>
          <w:p w:rsidR="00C1049F" w:rsidRDefault="00C1049F">
            <w:r w:rsidRPr="00A76563">
              <w:rPr>
                <w:rFonts w:cs="Calibri"/>
                <w:color w:val="000000"/>
              </w:rPr>
              <w:t>REDACTED</w:t>
            </w:r>
          </w:p>
        </w:tc>
      </w:tr>
      <w:tr w:rsidR="00C1049F" w:rsidRPr="00733357" w:rsidTr="00C1049F">
        <w:trPr>
          <w:trHeight w:val="344"/>
        </w:trPr>
        <w:tc>
          <w:tcPr>
            <w:tcW w:w="1896" w:type="dxa"/>
            <w:tcBorders>
              <w:top w:val="nil"/>
              <w:left w:val="single" w:sz="4" w:space="0" w:color="auto"/>
              <w:bottom w:val="single" w:sz="4" w:space="0" w:color="auto"/>
              <w:right w:val="single" w:sz="4" w:space="0" w:color="auto"/>
            </w:tcBorders>
            <w:shd w:val="clear" w:color="auto" w:fill="CCFFCC"/>
            <w:hideMark/>
          </w:tcPr>
          <w:p w:rsidR="00C1049F" w:rsidRDefault="00C1049F">
            <w:r w:rsidRPr="00E74135">
              <w:rPr>
                <w:rFonts w:cs="Calibri"/>
                <w:color w:val="000000"/>
              </w:rPr>
              <w:t>REDACTED</w:t>
            </w:r>
          </w:p>
        </w:tc>
        <w:tc>
          <w:tcPr>
            <w:tcW w:w="1644" w:type="dxa"/>
            <w:tcBorders>
              <w:top w:val="nil"/>
              <w:left w:val="nil"/>
              <w:bottom w:val="single" w:sz="4" w:space="0" w:color="auto"/>
              <w:right w:val="single" w:sz="4" w:space="0" w:color="auto"/>
            </w:tcBorders>
            <w:shd w:val="clear" w:color="auto" w:fill="CCFFCC"/>
            <w:hideMark/>
          </w:tcPr>
          <w:p w:rsidR="00C1049F" w:rsidRDefault="00C1049F">
            <w:r w:rsidRPr="00E74135">
              <w:rPr>
                <w:rFonts w:cs="Calibri"/>
                <w:color w:val="000000"/>
              </w:rPr>
              <w:t>REDACTED</w:t>
            </w:r>
          </w:p>
        </w:tc>
        <w:tc>
          <w:tcPr>
            <w:tcW w:w="1496" w:type="dxa"/>
            <w:tcBorders>
              <w:top w:val="nil"/>
              <w:left w:val="nil"/>
              <w:bottom w:val="single" w:sz="4" w:space="0" w:color="auto"/>
              <w:right w:val="single" w:sz="4" w:space="0" w:color="auto"/>
            </w:tcBorders>
            <w:shd w:val="clear" w:color="auto" w:fill="CCFFCC"/>
            <w:hideMark/>
          </w:tcPr>
          <w:p w:rsidR="00C1049F" w:rsidRDefault="00C1049F">
            <w:r w:rsidRPr="00E74135">
              <w:rPr>
                <w:rFonts w:cs="Calibri"/>
                <w:color w:val="000000"/>
              </w:rPr>
              <w:t>REDACTED</w:t>
            </w:r>
          </w:p>
        </w:tc>
        <w:tc>
          <w:tcPr>
            <w:tcW w:w="1496" w:type="dxa"/>
            <w:tcBorders>
              <w:top w:val="nil"/>
              <w:left w:val="nil"/>
              <w:bottom w:val="single" w:sz="4" w:space="0" w:color="auto"/>
              <w:right w:val="single" w:sz="4" w:space="0" w:color="auto"/>
            </w:tcBorders>
            <w:shd w:val="clear" w:color="auto" w:fill="CCFFCC"/>
            <w:hideMark/>
          </w:tcPr>
          <w:p w:rsidR="00C1049F" w:rsidRDefault="00C1049F">
            <w:r w:rsidRPr="00E74135">
              <w:rPr>
                <w:rFonts w:cs="Calibri"/>
                <w:color w:val="000000"/>
              </w:rPr>
              <w:t>REDACTED</w:t>
            </w:r>
          </w:p>
        </w:tc>
        <w:tc>
          <w:tcPr>
            <w:tcW w:w="1496" w:type="dxa"/>
            <w:tcBorders>
              <w:top w:val="nil"/>
              <w:left w:val="nil"/>
              <w:bottom w:val="single" w:sz="4" w:space="0" w:color="auto"/>
              <w:right w:val="single" w:sz="4" w:space="0" w:color="auto"/>
            </w:tcBorders>
            <w:shd w:val="clear" w:color="auto" w:fill="CCFFCC"/>
            <w:hideMark/>
          </w:tcPr>
          <w:p w:rsidR="00C1049F" w:rsidRDefault="00C1049F">
            <w:r w:rsidRPr="00E74135">
              <w:rPr>
                <w:rFonts w:cs="Calibri"/>
                <w:color w:val="000000"/>
              </w:rPr>
              <w:t>REDACTED</w:t>
            </w:r>
          </w:p>
        </w:tc>
      </w:tr>
      <w:tr w:rsidR="00C1049F" w:rsidRPr="00733357" w:rsidTr="00C1049F">
        <w:trPr>
          <w:trHeight w:val="344"/>
        </w:trPr>
        <w:tc>
          <w:tcPr>
            <w:tcW w:w="1896" w:type="dxa"/>
            <w:tcBorders>
              <w:top w:val="nil"/>
              <w:left w:val="single" w:sz="4" w:space="0" w:color="auto"/>
              <w:bottom w:val="single" w:sz="4" w:space="0" w:color="auto"/>
              <w:right w:val="single" w:sz="4" w:space="0" w:color="auto"/>
            </w:tcBorders>
            <w:shd w:val="clear" w:color="auto" w:fill="CCFFCC"/>
            <w:hideMark/>
          </w:tcPr>
          <w:p w:rsidR="00C1049F" w:rsidRDefault="00C1049F">
            <w:r w:rsidRPr="00E74135">
              <w:rPr>
                <w:rFonts w:cs="Calibri"/>
                <w:color w:val="000000"/>
              </w:rPr>
              <w:t>REDACTED</w:t>
            </w:r>
          </w:p>
        </w:tc>
        <w:tc>
          <w:tcPr>
            <w:tcW w:w="1644" w:type="dxa"/>
            <w:tcBorders>
              <w:top w:val="nil"/>
              <w:left w:val="nil"/>
              <w:bottom w:val="single" w:sz="4" w:space="0" w:color="auto"/>
              <w:right w:val="single" w:sz="4" w:space="0" w:color="auto"/>
            </w:tcBorders>
            <w:shd w:val="clear" w:color="auto" w:fill="CCFFCC"/>
            <w:hideMark/>
          </w:tcPr>
          <w:p w:rsidR="00C1049F" w:rsidRDefault="00C1049F">
            <w:r w:rsidRPr="00E74135">
              <w:rPr>
                <w:rFonts w:cs="Calibri"/>
                <w:color w:val="000000"/>
              </w:rPr>
              <w:t>REDACTED</w:t>
            </w:r>
          </w:p>
        </w:tc>
        <w:tc>
          <w:tcPr>
            <w:tcW w:w="1496" w:type="dxa"/>
            <w:tcBorders>
              <w:top w:val="nil"/>
              <w:left w:val="nil"/>
              <w:bottom w:val="single" w:sz="4" w:space="0" w:color="auto"/>
              <w:right w:val="single" w:sz="4" w:space="0" w:color="auto"/>
            </w:tcBorders>
            <w:shd w:val="clear" w:color="auto" w:fill="CCFFCC"/>
            <w:hideMark/>
          </w:tcPr>
          <w:p w:rsidR="00C1049F" w:rsidRDefault="00C1049F">
            <w:r w:rsidRPr="00E74135">
              <w:rPr>
                <w:rFonts w:cs="Calibri"/>
                <w:color w:val="000000"/>
              </w:rPr>
              <w:t>REDACTED</w:t>
            </w:r>
          </w:p>
        </w:tc>
        <w:tc>
          <w:tcPr>
            <w:tcW w:w="1496" w:type="dxa"/>
            <w:tcBorders>
              <w:top w:val="nil"/>
              <w:left w:val="nil"/>
              <w:bottom w:val="single" w:sz="4" w:space="0" w:color="auto"/>
              <w:right w:val="single" w:sz="4" w:space="0" w:color="auto"/>
            </w:tcBorders>
            <w:shd w:val="clear" w:color="auto" w:fill="CCFFCC"/>
            <w:hideMark/>
          </w:tcPr>
          <w:p w:rsidR="00C1049F" w:rsidRDefault="00C1049F">
            <w:r w:rsidRPr="00E74135">
              <w:rPr>
                <w:rFonts w:cs="Calibri"/>
                <w:color w:val="000000"/>
              </w:rPr>
              <w:t>REDACTED</w:t>
            </w:r>
          </w:p>
        </w:tc>
        <w:tc>
          <w:tcPr>
            <w:tcW w:w="1496" w:type="dxa"/>
            <w:tcBorders>
              <w:top w:val="nil"/>
              <w:left w:val="nil"/>
              <w:bottom w:val="single" w:sz="4" w:space="0" w:color="auto"/>
              <w:right w:val="single" w:sz="4" w:space="0" w:color="auto"/>
            </w:tcBorders>
            <w:shd w:val="clear" w:color="auto" w:fill="CCFFCC"/>
            <w:hideMark/>
          </w:tcPr>
          <w:p w:rsidR="00C1049F" w:rsidRDefault="00C1049F">
            <w:r w:rsidRPr="00E74135">
              <w:rPr>
                <w:rFonts w:cs="Calibri"/>
                <w:color w:val="000000"/>
              </w:rPr>
              <w:t>REDACTED</w:t>
            </w:r>
          </w:p>
        </w:tc>
      </w:tr>
      <w:tr w:rsidR="00C1049F" w:rsidRPr="00733357" w:rsidTr="00C1049F">
        <w:trPr>
          <w:trHeight w:val="344"/>
        </w:trPr>
        <w:tc>
          <w:tcPr>
            <w:tcW w:w="1896" w:type="dxa"/>
            <w:tcBorders>
              <w:top w:val="nil"/>
              <w:left w:val="single" w:sz="4" w:space="0" w:color="auto"/>
              <w:bottom w:val="single" w:sz="4" w:space="0" w:color="auto"/>
              <w:right w:val="single" w:sz="4" w:space="0" w:color="auto"/>
            </w:tcBorders>
            <w:shd w:val="clear" w:color="auto" w:fill="CCFFCC"/>
            <w:hideMark/>
          </w:tcPr>
          <w:p w:rsidR="00C1049F" w:rsidRDefault="00C1049F">
            <w:r w:rsidRPr="00E74135">
              <w:rPr>
                <w:rFonts w:cs="Calibri"/>
                <w:color w:val="000000"/>
              </w:rPr>
              <w:t>REDACTED</w:t>
            </w:r>
          </w:p>
        </w:tc>
        <w:tc>
          <w:tcPr>
            <w:tcW w:w="1644" w:type="dxa"/>
            <w:tcBorders>
              <w:top w:val="nil"/>
              <w:left w:val="nil"/>
              <w:bottom w:val="single" w:sz="4" w:space="0" w:color="auto"/>
              <w:right w:val="single" w:sz="4" w:space="0" w:color="auto"/>
            </w:tcBorders>
            <w:shd w:val="clear" w:color="auto" w:fill="CCFFCC"/>
            <w:hideMark/>
          </w:tcPr>
          <w:p w:rsidR="00C1049F" w:rsidRDefault="00C1049F">
            <w:r w:rsidRPr="00E74135">
              <w:rPr>
                <w:rFonts w:cs="Calibri"/>
                <w:color w:val="000000"/>
              </w:rPr>
              <w:t>REDACTED</w:t>
            </w:r>
          </w:p>
        </w:tc>
        <w:tc>
          <w:tcPr>
            <w:tcW w:w="1496" w:type="dxa"/>
            <w:tcBorders>
              <w:top w:val="nil"/>
              <w:left w:val="nil"/>
              <w:bottom w:val="single" w:sz="4" w:space="0" w:color="auto"/>
              <w:right w:val="single" w:sz="4" w:space="0" w:color="auto"/>
            </w:tcBorders>
            <w:shd w:val="clear" w:color="auto" w:fill="CCFFCC"/>
            <w:hideMark/>
          </w:tcPr>
          <w:p w:rsidR="00C1049F" w:rsidRDefault="00C1049F">
            <w:r w:rsidRPr="00E74135">
              <w:rPr>
                <w:rFonts w:cs="Calibri"/>
                <w:color w:val="000000"/>
              </w:rPr>
              <w:t>REDACTED</w:t>
            </w:r>
          </w:p>
        </w:tc>
        <w:tc>
          <w:tcPr>
            <w:tcW w:w="1496" w:type="dxa"/>
            <w:tcBorders>
              <w:top w:val="nil"/>
              <w:left w:val="nil"/>
              <w:bottom w:val="single" w:sz="4" w:space="0" w:color="auto"/>
              <w:right w:val="single" w:sz="4" w:space="0" w:color="auto"/>
            </w:tcBorders>
            <w:shd w:val="clear" w:color="auto" w:fill="CCFFCC"/>
            <w:hideMark/>
          </w:tcPr>
          <w:p w:rsidR="00C1049F" w:rsidRDefault="00C1049F">
            <w:r w:rsidRPr="00E74135">
              <w:rPr>
                <w:rFonts w:cs="Calibri"/>
                <w:color w:val="000000"/>
              </w:rPr>
              <w:t>REDACTED</w:t>
            </w:r>
          </w:p>
        </w:tc>
        <w:tc>
          <w:tcPr>
            <w:tcW w:w="1496" w:type="dxa"/>
            <w:tcBorders>
              <w:top w:val="nil"/>
              <w:left w:val="nil"/>
              <w:bottom w:val="single" w:sz="4" w:space="0" w:color="auto"/>
              <w:right w:val="single" w:sz="4" w:space="0" w:color="auto"/>
            </w:tcBorders>
            <w:shd w:val="clear" w:color="auto" w:fill="CCFFCC"/>
            <w:hideMark/>
          </w:tcPr>
          <w:p w:rsidR="00C1049F" w:rsidRDefault="00C1049F">
            <w:r w:rsidRPr="00E74135">
              <w:rPr>
                <w:rFonts w:cs="Calibri"/>
                <w:color w:val="000000"/>
              </w:rPr>
              <w:t>REDACTED</w:t>
            </w:r>
          </w:p>
        </w:tc>
      </w:tr>
      <w:tr w:rsidR="00C1049F" w:rsidRPr="00733357" w:rsidTr="00C1049F">
        <w:trPr>
          <w:trHeight w:val="344"/>
        </w:trPr>
        <w:tc>
          <w:tcPr>
            <w:tcW w:w="1896" w:type="dxa"/>
            <w:tcBorders>
              <w:top w:val="nil"/>
              <w:left w:val="single" w:sz="4" w:space="0" w:color="auto"/>
              <w:bottom w:val="single" w:sz="4" w:space="0" w:color="auto"/>
              <w:right w:val="single" w:sz="4" w:space="0" w:color="auto"/>
            </w:tcBorders>
            <w:shd w:val="clear" w:color="auto" w:fill="CCFFCC"/>
            <w:hideMark/>
          </w:tcPr>
          <w:p w:rsidR="00C1049F" w:rsidRDefault="00C1049F">
            <w:r w:rsidRPr="00E74135">
              <w:rPr>
                <w:rFonts w:cs="Calibri"/>
                <w:color w:val="000000"/>
              </w:rPr>
              <w:t>REDACTED</w:t>
            </w:r>
          </w:p>
        </w:tc>
        <w:tc>
          <w:tcPr>
            <w:tcW w:w="1644" w:type="dxa"/>
            <w:tcBorders>
              <w:top w:val="nil"/>
              <w:left w:val="nil"/>
              <w:bottom w:val="single" w:sz="4" w:space="0" w:color="auto"/>
              <w:right w:val="single" w:sz="4" w:space="0" w:color="auto"/>
            </w:tcBorders>
            <w:shd w:val="clear" w:color="auto" w:fill="CCFFCC"/>
            <w:hideMark/>
          </w:tcPr>
          <w:p w:rsidR="00C1049F" w:rsidRDefault="00C1049F">
            <w:r w:rsidRPr="00E74135">
              <w:rPr>
                <w:rFonts w:cs="Calibri"/>
                <w:color w:val="000000"/>
              </w:rPr>
              <w:t>REDACTED</w:t>
            </w:r>
          </w:p>
        </w:tc>
        <w:tc>
          <w:tcPr>
            <w:tcW w:w="1496" w:type="dxa"/>
            <w:tcBorders>
              <w:top w:val="nil"/>
              <w:left w:val="nil"/>
              <w:bottom w:val="single" w:sz="4" w:space="0" w:color="auto"/>
              <w:right w:val="single" w:sz="4" w:space="0" w:color="auto"/>
            </w:tcBorders>
            <w:shd w:val="clear" w:color="auto" w:fill="CCFFCC"/>
            <w:hideMark/>
          </w:tcPr>
          <w:p w:rsidR="00C1049F" w:rsidRDefault="00C1049F">
            <w:r w:rsidRPr="00E74135">
              <w:rPr>
                <w:rFonts w:cs="Calibri"/>
                <w:color w:val="000000"/>
              </w:rPr>
              <w:t>REDACTED</w:t>
            </w:r>
          </w:p>
        </w:tc>
        <w:tc>
          <w:tcPr>
            <w:tcW w:w="1496" w:type="dxa"/>
            <w:tcBorders>
              <w:top w:val="nil"/>
              <w:left w:val="nil"/>
              <w:bottom w:val="single" w:sz="4" w:space="0" w:color="auto"/>
              <w:right w:val="single" w:sz="4" w:space="0" w:color="auto"/>
            </w:tcBorders>
            <w:shd w:val="clear" w:color="auto" w:fill="CCFFCC"/>
            <w:hideMark/>
          </w:tcPr>
          <w:p w:rsidR="00C1049F" w:rsidRDefault="00C1049F">
            <w:r w:rsidRPr="00E74135">
              <w:rPr>
                <w:rFonts w:cs="Calibri"/>
                <w:color w:val="000000"/>
              </w:rPr>
              <w:t>REDACTED</w:t>
            </w:r>
          </w:p>
        </w:tc>
        <w:tc>
          <w:tcPr>
            <w:tcW w:w="1496" w:type="dxa"/>
            <w:tcBorders>
              <w:top w:val="nil"/>
              <w:left w:val="nil"/>
              <w:bottom w:val="single" w:sz="4" w:space="0" w:color="auto"/>
              <w:right w:val="single" w:sz="4" w:space="0" w:color="auto"/>
            </w:tcBorders>
            <w:shd w:val="clear" w:color="auto" w:fill="CCFFCC"/>
            <w:hideMark/>
          </w:tcPr>
          <w:p w:rsidR="00C1049F" w:rsidRDefault="00C1049F">
            <w:r w:rsidRPr="00E74135">
              <w:rPr>
                <w:rFonts w:cs="Calibri"/>
                <w:color w:val="000000"/>
              </w:rPr>
              <w:t>REDACTED</w:t>
            </w:r>
          </w:p>
        </w:tc>
      </w:tr>
      <w:tr w:rsidR="00C1049F" w:rsidRPr="00733357" w:rsidTr="00C1049F">
        <w:trPr>
          <w:trHeight w:val="344"/>
        </w:trPr>
        <w:tc>
          <w:tcPr>
            <w:tcW w:w="1896" w:type="dxa"/>
            <w:tcBorders>
              <w:top w:val="nil"/>
              <w:left w:val="single" w:sz="4" w:space="0" w:color="auto"/>
              <w:bottom w:val="single" w:sz="4" w:space="0" w:color="auto"/>
              <w:right w:val="single" w:sz="4" w:space="0" w:color="auto"/>
            </w:tcBorders>
            <w:shd w:val="clear" w:color="auto" w:fill="CCFFCC"/>
            <w:hideMark/>
          </w:tcPr>
          <w:p w:rsidR="00C1049F" w:rsidRDefault="00C1049F">
            <w:r w:rsidRPr="00E74135">
              <w:rPr>
                <w:rFonts w:cs="Calibri"/>
                <w:color w:val="000000"/>
              </w:rPr>
              <w:t>REDACTED</w:t>
            </w:r>
          </w:p>
        </w:tc>
        <w:tc>
          <w:tcPr>
            <w:tcW w:w="1644" w:type="dxa"/>
            <w:tcBorders>
              <w:top w:val="nil"/>
              <w:left w:val="nil"/>
              <w:bottom w:val="single" w:sz="4" w:space="0" w:color="auto"/>
              <w:right w:val="single" w:sz="4" w:space="0" w:color="auto"/>
            </w:tcBorders>
            <w:shd w:val="clear" w:color="auto" w:fill="CCFFCC"/>
            <w:hideMark/>
          </w:tcPr>
          <w:p w:rsidR="00C1049F" w:rsidRDefault="00C1049F">
            <w:r w:rsidRPr="00E74135">
              <w:rPr>
                <w:rFonts w:cs="Calibri"/>
                <w:color w:val="000000"/>
              </w:rPr>
              <w:t>REDACTED</w:t>
            </w:r>
          </w:p>
        </w:tc>
        <w:tc>
          <w:tcPr>
            <w:tcW w:w="1496" w:type="dxa"/>
            <w:tcBorders>
              <w:top w:val="nil"/>
              <w:left w:val="nil"/>
              <w:bottom w:val="single" w:sz="4" w:space="0" w:color="auto"/>
              <w:right w:val="single" w:sz="4" w:space="0" w:color="auto"/>
            </w:tcBorders>
            <w:shd w:val="clear" w:color="auto" w:fill="CCFFCC"/>
            <w:hideMark/>
          </w:tcPr>
          <w:p w:rsidR="00C1049F" w:rsidRDefault="00C1049F">
            <w:r w:rsidRPr="00E74135">
              <w:rPr>
                <w:rFonts w:cs="Calibri"/>
                <w:color w:val="000000"/>
              </w:rPr>
              <w:t>REDACTED</w:t>
            </w:r>
          </w:p>
        </w:tc>
        <w:tc>
          <w:tcPr>
            <w:tcW w:w="1496" w:type="dxa"/>
            <w:tcBorders>
              <w:top w:val="nil"/>
              <w:left w:val="nil"/>
              <w:bottom w:val="single" w:sz="4" w:space="0" w:color="auto"/>
              <w:right w:val="single" w:sz="4" w:space="0" w:color="auto"/>
            </w:tcBorders>
            <w:shd w:val="clear" w:color="auto" w:fill="CCFFCC"/>
            <w:hideMark/>
          </w:tcPr>
          <w:p w:rsidR="00C1049F" w:rsidRDefault="00C1049F">
            <w:r w:rsidRPr="00E74135">
              <w:rPr>
                <w:rFonts w:cs="Calibri"/>
                <w:color w:val="000000"/>
              </w:rPr>
              <w:t>REDACTED</w:t>
            </w:r>
          </w:p>
        </w:tc>
        <w:tc>
          <w:tcPr>
            <w:tcW w:w="1496" w:type="dxa"/>
            <w:tcBorders>
              <w:top w:val="nil"/>
              <w:left w:val="nil"/>
              <w:bottom w:val="single" w:sz="4" w:space="0" w:color="auto"/>
              <w:right w:val="single" w:sz="4" w:space="0" w:color="auto"/>
            </w:tcBorders>
            <w:shd w:val="clear" w:color="auto" w:fill="CCFFCC"/>
            <w:hideMark/>
          </w:tcPr>
          <w:p w:rsidR="00C1049F" w:rsidRDefault="00C1049F">
            <w:r w:rsidRPr="00E74135">
              <w:rPr>
                <w:rFonts w:cs="Calibri"/>
                <w:color w:val="000000"/>
              </w:rPr>
              <w:t>REDACTED</w:t>
            </w:r>
          </w:p>
        </w:tc>
      </w:tr>
      <w:tr w:rsidR="00C1049F" w:rsidTr="00C1049F">
        <w:trPr>
          <w:trHeight w:val="344"/>
        </w:trPr>
        <w:tc>
          <w:tcPr>
            <w:tcW w:w="1896" w:type="dxa"/>
            <w:tcBorders>
              <w:top w:val="nil"/>
              <w:left w:val="single" w:sz="4" w:space="0" w:color="auto"/>
              <w:bottom w:val="single" w:sz="4" w:space="0" w:color="auto"/>
              <w:right w:val="single" w:sz="4" w:space="0" w:color="auto"/>
            </w:tcBorders>
            <w:shd w:val="clear" w:color="auto" w:fill="CCFFCC"/>
            <w:hideMark/>
          </w:tcPr>
          <w:p w:rsidR="00C1049F" w:rsidRDefault="00C1049F">
            <w:r w:rsidRPr="00E74135">
              <w:rPr>
                <w:rFonts w:cs="Calibri"/>
                <w:color w:val="000000"/>
              </w:rPr>
              <w:t>REDACTED</w:t>
            </w:r>
          </w:p>
        </w:tc>
        <w:tc>
          <w:tcPr>
            <w:tcW w:w="1644" w:type="dxa"/>
            <w:tcBorders>
              <w:top w:val="nil"/>
              <w:left w:val="nil"/>
              <w:bottom w:val="single" w:sz="4" w:space="0" w:color="auto"/>
              <w:right w:val="single" w:sz="4" w:space="0" w:color="auto"/>
            </w:tcBorders>
            <w:shd w:val="clear" w:color="auto" w:fill="CCFFCC"/>
            <w:hideMark/>
          </w:tcPr>
          <w:p w:rsidR="00C1049F" w:rsidRDefault="00C1049F">
            <w:r w:rsidRPr="00E74135">
              <w:rPr>
                <w:rFonts w:cs="Calibri"/>
                <w:color w:val="000000"/>
              </w:rPr>
              <w:t>REDACTED</w:t>
            </w:r>
          </w:p>
        </w:tc>
        <w:tc>
          <w:tcPr>
            <w:tcW w:w="1496" w:type="dxa"/>
            <w:tcBorders>
              <w:top w:val="nil"/>
              <w:left w:val="nil"/>
              <w:bottom w:val="single" w:sz="4" w:space="0" w:color="auto"/>
              <w:right w:val="single" w:sz="4" w:space="0" w:color="auto"/>
            </w:tcBorders>
            <w:shd w:val="clear" w:color="auto" w:fill="CCFFCC"/>
            <w:hideMark/>
          </w:tcPr>
          <w:p w:rsidR="00C1049F" w:rsidRDefault="00C1049F">
            <w:r w:rsidRPr="00E74135">
              <w:rPr>
                <w:rFonts w:cs="Calibri"/>
                <w:color w:val="000000"/>
              </w:rPr>
              <w:t>REDACTED</w:t>
            </w:r>
          </w:p>
        </w:tc>
        <w:tc>
          <w:tcPr>
            <w:tcW w:w="1496" w:type="dxa"/>
            <w:tcBorders>
              <w:top w:val="nil"/>
              <w:left w:val="nil"/>
              <w:bottom w:val="single" w:sz="4" w:space="0" w:color="auto"/>
              <w:right w:val="single" w:sz="4" w:space="0" w:color="auto"/>
            </w:tcBorders>
            <w:shd w:val="clear" w:color="auto" w:fill="CCFFCC"/>
            <w:hideMark/>
          </w:tcPr>
          <w:p w:rsidR="00C1049F" w:rsidRDefault="00C1049F">
            <w:r w:rsidRPr="00E74135">
              <w:rPr>
                <w:rFonts w:cs="Calibri"/>
                <w:color w:val="000000"/>
              </w:rPr>
              <w:t>REDACTED</w:t>
            </w:r>
          </w:p>
        </w:tc>
        <w:tc>
          <w:tcPr>
            <w:tcW w:w="1496" w:type="dxa"/>
            <w:tcBorders>
              <w:top w:val="nil"/>
              <w:left w:val="nil"/>
              <w:bottom w:val="single" w:sz="4" w:space="0" w:color="auto"/>
              <w:right w:val="single" w:sz="4" w:space="0" w:color="auto"/>
            </w:tcBorders>
            <w:shd w:val="clear" w:color="auto" w:fill="CCFFCC"/>
            <w:hideMark/>
          </w:tcPr>
          <w:p w:rsidR="00C1049F" w:rsidRDefault="00C1049F">
            <w:r w:rsidRPr="00E74135">
              <w:rPr>
                <w:rFonts w:cs="Calibri"/>
                <w:color w:val="000000"/>
              </w:rPr>
              <w:t>REDACTED</w:t>
            </w:r>
          </w:p>
        </w:tc>
      </w:tr>
    </w:tbl>
    <w:p w:rsidR="00733357" w:rsidRDefault="00733357">
      <w:pPr>
        <w:rPr>
          <w:b/>
        </w:rPr>
      </w:pPr>
    </w:p>
    <w:p w:rsidR="00733357" w:rsidRDefault="00733357">
      <w:pPr>
        <w:rPr>
          <w:b/>
        </w:rPr>
      </w:pPr>
    </w:p>
    <w:p w:rsidR="00733357" w:rsidRDefault="00733357">
      <w:pPr>
        <w:rPr>
          <w:b/>
        </w:rPr>
      </w:pPr>
    </w:p>
    <w:p w:rsidR="00733357" w:rsidRDefault="00733357">
      <w:pPr>
        <w:rPr>
          <w:b/>
        </w:rPr>
      </w:pPr>
    </w:p>
    <w:p w:rsidR="00733357" w:rsidRDefault="00733357">
      <w:pPr>
        <w:rPr>
          <w:b/>
        </w:rPr>
      </w:pPr>
    </w:p>
    <w:p w:rsidR="00733357" w:rsidRDefault="00733357">
      <w:pPr>
        <w:rPr>
          <w:b/>
        </w:rPr>
      </w:pPr>
    </w:p>
    <w:p w:rsidR="00733357" w:rsidRDefault="00733357">
      <w:pPr>
        <w:rPr>
          <w:b/>
        </w:rPr>
      </w:pPr>
    </w:p>
    <w:p w:rsidR="00733357" w:rsidRDefault="00733357">
      <w:pPr>
        <w:rPr>
          <w:b/>
        </w:rPr>
      </w:pPr>
    </w:p>
    <w:p w:rsidR="00733357" w:rsidRDefault="00733357">
      <w:pPr>
        <w:rPr>
          <w:b/>
        </w:rPr>
      </w:pPr>
    </w:p>
    <w:p w:rsidR="00733357" w:rsidRDefault="00733357">
      <w:pPr>
        <w:rPr>
          <w:b/>
        </w:rPr>
      </w:pPr>
    </w:p>
    <w:p w:rsidR="00733357" w:rsidRDefault="00733357">
      <w:pPr>
        <w:rPr>
          <w:b/>
        </w:rPr>
      </w:pPr>
    </w:p>
    <w:p w:rsidR="00733357" w:rsidRDefault="00733357">
      <w:pPr>
        <w:rPr>
          <w:b/>
        </w:rPr>
      </w:pPr>
    </w:p>
    <w:p w:rsidR="00733357" w:rsidRDefault="00733357">
      <w:pPr>
        <w:rPr>
          <w:b/>
        </w:rPr>
      </w:pPr>
      <w:r>
        <w:rPr>
          <w:b/>
        </w:rPr>
        <w:t>Western Washington</w:t>
      </w:r>
    </w:p>
    <w:p w:rsidR="00733357" w:rsidRDefault="00733357">
      <w:pPr>
        <w:rPr>
          <w:b/>
        </w:rPr>
      </w:pPr>
    </w:p>
    <w:tbl>
      <w:tblPr>
        <w:tblW w:w="8100" w:type="dxa"/>
        <w:tblInd w:w="18" w:type="dxa"/>
        <w:tblLayout w:type="fixed"/>
        <w:tblLook w:val="04A0"/>
      </w:tblPr>
      <w:tblGrid>
        <w:gridCol w:w="1890"/>
        <w:gridCol w:w="1620"/>
        <w:gridCol w:w="1530"/>
        <w:gridCol w:w="1530"/>
        <w:gridCol w:w="1530"/>
      </w:tblGrid>
      <w:tr w:rsidR="00C1049F" w:rsidTr="00C1049F">
        <w:trPr>
          <w:trHeight w:val="342"/>
        </w:trPr>
        <w:tc>
          <w:tcPr>
            <w:tcW w:w="1890" w:type="dxa"/>
            <w:tcBorders>
              <w:top w:val="single" w:sz="4" w:space="0" w:color="auto"/>
              <w:left w:val="single" w:sz="4" w:space="0" w:color="auto"/>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620" w:type="dxa"/>
            <w:tcBorders>
              <w:top w:val="single" w:sz="4" w:space="0" w:color="auto"/>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530" w:type="dxa"/>
            <w:tcBorders>
              <w:top w:val="single" w:sz="4" w:space="0" w:color="auto"/>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530" w:type="dxa"/>
            <w:tcBorders>
              <w:top w:val="single" w:sz="4" w:space="0" w:color="auto"/>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530" w:type="dxa"/>
            <w:tcBorders>
              <w:top w:val="single" w:sz="4" w:space="0" w:color="auto"/>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r>
      <w:tr w:rsidR="00C1049F" w:rsidTr="00C1049F">
        <w:trPr>
          <w:trHeight w:val="342"/>
        </w:trPr>
        <w:tc>
          <w:tcPr>
            <w:tcW w:w="1890" w:type="dxa"/>
            <w:tcBorders>
              <w:top w:val="nil"/>
              <w:left w:val="single" w:sz="4" w:space="0" w:color="auto"/>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62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53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53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53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r>
      <w:tr w:rsidR="00C1049F" w:rsidTr="00C1049F">
        <w:trPr>
          <w:trHeight w:val="342"/>
        </w:trPr>
        <w:tc>
          <w:tcPr>
            <w:tcW w:w="1890" w:type="dxa"/>
            <w:tcBorders>
              <w:top w:val="nil"/>
              <w:left w:val="single" w:sz="4" w:space="0" w:color="auto"/>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62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53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53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53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r>
      <w:tr w:rsidR="00C1049F" w:rsidTr="00C1049F">
        <w:trPr>
          <w:trHeight w:val="342"/>
        </w:trPr>
        <w:tc>
          <w:tcPr>
            <w:tcW w:w="1890" w:type="dxa"/>
            <w:tcBorders>
              <w:top w:val="nil"/>
              <w:left w:val="single" w:sz="4" w:space="0" w:color="auto"/>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62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53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53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53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r>
      <w:tr w:rsidR="00C1049F" w:rsidTr="00C1049F">
        <w:trPr>
          <w:trHeight w:val="342"/>
        </w:trPr>
        <w:tc>
          <w:tcPr>
            <w:tcW w:w="1890" w:type="dxa"/>
            <w:tcBorders>
              <w:top w:val="nil"/>
              <w:left w:val="single" w:sz="4" w:space="0" w:color="auto"/>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62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53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53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53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r>
      <w:tr w:rsidR="00C1049F" w:rsidTr="00C1049F">
        <w:trPr>
          <w:trHeight w:val="342"/>
        </w:trPr>
        <w:tc>
          <w:tcPr>
            <w:tcW w:w="1890" w:type="dxa"/>
            <w:tcBorders>
              <w:top w:val="nil"/>
              <w:left w:val="single" w:sz="4" w:space="0" w:color="auto"/>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62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53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53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53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r>
      <w:tr w:rsidR="00C1049F" w:rsidTr="00C1049F">
        <w:trPr>
          <w:trHeight w:val="342"/>
        </w:trPr>
        <w:tc>
          <w:tcPr>
            <w:tcW w:w="1890" w:type="dxa"/>
            <w:tcBorders>
              <w:top w:val="nil"/>
              <w:left w:val="single" w:sz="4" w:space="0" w:color="auto"/>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62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53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53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53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r>
      <w:tr w:rsidR="00C1049F" w:rsidTr="00C1049F">
        <w:trPr>
          <w:trHeight w:val="342"/>
        </w:trPr>
        <w:tc>
          <w:tcPr>
            <w:tcW w:w="1890" w:type="dxa"/>
            <w:tcBorders>
              <w:top w:val="nil"/>
              <w:left w:val="single" w:sz="4" w:space="0" w:color="auto"/>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62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53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53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53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r>
      <w:tr w:rsidR="00C1049F" w:rsidTr="00C1049F">
        <w:trPr>
          <w:trHeight w:val="342"/>
        </w:trPr>
        <w:tc>
          <w:tcPr>
            <w:tcW w:w="1890" w:type="dxa"/>
            <w:tcBorders>
              <w:top w:val="nil"/>
              <w:left w:val="single" w:sz="4" w:space="0" w:color="auto"/>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62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53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53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53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r>
      <w:tr w:rsidR="00C1049F" w:rsidTr="00C1049F">
        <w:trPr>
          <w:trHeight w:val="342"/>
        </w:trPr>
        <w:tc>
          <w:tcPr>
            <w:tcW w:w="1890" w:type="dxa"/>
            <w:tcBorders>
              <w:top w:val="nil"/>
              <w:left w:val="single" w:sz="4" w:space="0" w:color="auto"/>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62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53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53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53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r>
      <w:tr w:rsidR="00C1049F" w:rsidTr="00C1049F">
        <w:trPr>
          <w:trHeight w:val="342"/>
        </w:trPr>
        <w:tc>
          <w:tcPr>
            <w:tcW w:w="1890" w:type="dxa"/>
            <w:tcBorders>
              <w:top w:val="nil"/>
              <w:left w:val="single" w:sz="4" w:space="0" w:color="auto"/>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62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53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53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c>
          <w:tcPr>
            <w:tcW w:w="1530" w:type="dxa"/>
            <w:tcBorders>
              <w:top w:val="nil"/>
              <w:left w:val="nil"/>
              <w:bottom w:val="single" w:sz="4" w:space="0" w:color="auto"/>
              <w:right w:val="single" w:sz="4" w:space="0" w:color="auto"/>
            </w:tcBorders>
            <w:shd w:val="clear" w:color="auto" w:fill="CCFFCC"/>
            <w:hideMark/>
          </w:tcPr>
          <w:p w:rsidR="00C1049F" w:rsidRDefault="00C1049F">
            <w:r w:rsidRPr="006E7BC3">
              <w:rPr>
                <w:rFonts w:cs="Calibri"/>
                <w:color w:val="000000"/>
              </w:rPr>
              <w:t>REDACTED</w:t>
            </w:r>
          </w:p>
        </w:tc>
      </w:tr>
    </w:tbl>
    <w:p w:rsidR="00733357" w:rsidRDefault="00733357">
      <w:pPr>
        <w:rPr>
          <w:b/>
        </w:rPr>
      </w:pPr>
    </w:p>
    <w:p w:rsidR="00C95C0A" w:rsidRPr="006A4996" w:rsidRDefault="00C95C0A" w:rsidP="00C95C0A">
      <w:pPr>
        <w:spacing w:line="480" w:lineRule="auto"/>
        <w:jc w:val="center"/>
        <w:rPr>
          <w:b/>
          <w:sz w:val="28"/>
          <w:szCs w:val="28"/>
          <w:u w:val="single"/>
        </w:rPr>
      </w:pPr>
      <w:r>
        <w:rPr>
          <w:b/>
        </w:rPr>
        <w:br w:type="page"/>
      </w:r>
      <w:r w:rsidR="00542069">
        <w:rPr>
          <w:b/>
          <w:sz w:val="28"/>
          <w:szCs w:val="28"/>
          <w:u w:val="single"/>
        </w:rPr>
        <w:t xml:space="preserve"> </w:t>
      </w:r>
    </w:p>
    <w:p w:rsidR="00C95C0A" w:rsidRPr="006A4996" w:rsidRDefault="00C95C0A" w:rsidP="00C95C0A">
      <w:pPr>
        <w:spacing w:line="480" w:lineRule="auto"/>
        <w:jc w:val="center"/>
        <w:rPr>
          <w:b/>
          <w:sz w:val="28"/>
          <w:szCs w:val="28"/>
          <w:u w:val="single"/>
        </w:rPr>
      </w:pPr>
      <w:r>
        <w:rPr>
          <w:b/>
          <w:sz w:val="28"/>
          <w:szCs w:val="28"/>
          <w:u w:val="single"/>
        </w:rPr>
        <w:t>Exhibit D</w:t>
      </w:r>
      <w:r w:rsidRPr="006A4996">
        <w:rPr>
          <w:b/>
          <w:sz w:val="28"/>
          <w:szCs w:val="28"/>
          <w:u w:val="single"/>
        </w:rPr>
        <w:t xml:space="preserve"> – Cost </w:t>
      </w:r>
      <w:r>
        <w:rPr>
          <w:b/>
          <w:sz w:val="28"/>
          <w:szCs w:val="28"/>
          <w:u w:val="single"/>
        </w:rPr>
        <w:t xml:space="preserve">Phase II Implementation </w:t>
      </w:r>
      <w:r w:rsidRPr="006A4996">
        <w:rPr>
          <w:b/>
          <w:sz w:val="28"/>
          <w:szCs w:val="28"/>
          <w:u w:val="single"/>
        </w:rPr>
        <w:t xml:space="preserve"> </w:t>
      </w:r>
    </w:p>
    <w:p w:rsidR="00C95C0A" w:rsidRDefault="00C95C0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2160"/>
        <w:gridCol w:w="1980"/>
      </w:tblGrid>
      <w:tr w:rsidR="00C95C0A" w:rsidRPr="00934F08" w:rsidTr="00343F94">
        <w:tc>
          <w:tcPr>
            <w:tcW w:w="4338" w:type="dxa"/>
          </w:tcPr>
          <w:p w:rsidR="00C95C0A" w:rsidRPr="00934F08" w:rsidRDefault="00C95C0A">
            <w:pPr>
              <w:rPr>
                <w:b/>
              </w:rPr>
            </w:pPr>
            <w:r w:rsidRPr="00934F08">
              <w:rPr>
                <w:b/>
              </w:rPr>
              <w:t>Year</w:t>
            </w:r>
          </w:p>
        </w:tc>
        <w:tc>
          <w:tcPr>
            <w:tcW w:w="2160" w:type="dxa"/>
          </w:tcPr>
          <w:p w:rsidR="00C95C0A" w:rsidRPr="00934F08" w:rsidRDefault="00C95C0A" w:rsidP="00C95C0A">
            <w:pPr>
              <w:rPr>
                <w:b/>
              </w:rPr>
            </w:pPr>
            <w:r w:rsidRPr="00934F08">
              <w:rPr>
                <w:b/>
              </w:rPr>
              <w:t xml:space="preserve">Number Cell Sites Added 4 Hours Backup Power </w:t>
            </w:r>
          </w:p>
        </w:tc>
        <w:tc>
          <w:tcPr>
            <w:tcW w:w="1980" w:type="dxa"/>
          </w:tcPr>
          <w:p w:rsidR="00C95C0A" w:rsidRPr="00934F08" w:rsidRDefault="00C95C0A">
            <w:pPr>
              <w:rPr>
                <w:b/>
              </w:rPr>
            </w:pPr>
            <w:r w:rsidRPr="00934F08">
              <w:rPr>
                <w:b/>
              </w:rPr>
              <w:t>ETC Support Utilized</w:t>
            </w:r>
          </w:p>
        </w:tc>
      </w:tr>
      <w:tr w:rsidR="00C1049F" w:rsidRPr="00343F94" w:rsidTr="00343F94">
        <w:tc>
          <w:tcPr>
            <w:tcW w:w="4338" w:type="dxa"/>
          </w:tcPr>
          <w:p w:rsidR="00C1049F" w:rsidRPr="00343F94" w:rsidRDefault="00C1049F">
            <w:r w:rsidRPr="00343F94">
              <w:t>2010</w:t>
            </w:r>
          </w:p>
        </w:tc>
        <w:tc>
          <w:tcPr>
            <w:tcW w:w="2160" w:type="dxa"/>
          </w:tcPr>
          <w:p w:rsidR="00C1049F" w:rsidRDefault="00C1049F">
            <w:r w:rsidRPr="0047759A">
              <w:rPr>
                <w:rFonts w:cs="Calibri"/>
                <w:color w:val="000000"/>
              </w:rPr>
              <w:t>REDACTED</w:t>
            </w:r>
          </w:p>
        </w:tc>
        <w:tc>
          <w:tcPr>
            <w:tcW w:w="1980" w:type="dxa"/>
          </w:tcPr>
          <w:p w:rsidR="00C1049F" w:rsidRDefault="00C1049F">
            <w:r w:rsidRPr="0047759A">
              <w:rPr>
                <w:rFonts w:cs="Calibri"/>
                <w:color w:val="000000"/>
              </w:rPr>
              <w:t>REDACTED</w:t>
            </w:r>
          </w:p>
        </w:tc>
      </w:tr>
      <w:tr w:rsidR="00C1049F" w:rsidRPr="00343F94" w:rsidTr="00343F94">
        <w:tc>
          <w:tcPr>
            <w:tcW w:w="4338" w:type="dxa"/>
          </w:tcPr>
          <w:p w:rsidR="00C1049F" w:rsidRPr="00343F94" w:rsidRDefault="00C1049F">
            <w:r w:rsidRPr="00343F94">
              <w:t>2011</w:t>
            </w:r>
            <w:r w:rsidRPr="00343F94">
              <w:rPr>
                <w:rStyle w:val="FootnoteReference"/>
              </w:rPr>
              <w:footnoteReference w:id="12"/>
            </w:r>
          </w:p>
        </w:tc>
        <w:tc>
          <w:tcPr>
            <w:tcW w:w="2160" w:type="dxa"/>
          </w:tcPr>
          <w:p w:rsidR="00C1049F" w:rsidRDefault="00C1049F">
            <w:r w:rsidRPr="0047759A">
              <w:rPr>
                <w:rFonts w:cs="Calibri"/>
                <w:color w:val="000000"/>
              </w:rPr>
              <w:t>REDACTED</w:t>
            </w:r>
          </w:p>
        </w:tc>
        <w:tc>
          <w:tcPr>
            <w:tcW w:w="1980" w:type="dxa"/>
          </w:tcPr>
          <w:p w:rsidR="00C1049F" w:rsidRDefault="00C1049F">
            <w:r w:rsidRPr="0047759A">
              <w:rPr>
                <w:rFonts w:cs="Calibri"/>
                <w:color w:val="000000"/>
              </w:rPr>
              <w:t>REDACTED</w:t>
            </w:r>
          </w:p>
        </w:tc>
      </w:tr>
      <w:tr w:rsidR="00C1049F" w:rsidRPr="00343F94" w:rsidTr="00343F94">
        <w:tc>
          <w:tcPr>
            <w:tcW w:w="4338" w:type="dxa"/>
          </w:tcPr>
          <w:p w:rsidR="00C1049F" w:rsidRPr="00343F94" w:rsidRDefault="00C1049F" w:rsidP="00343F94">
            <w:r w:rsidRPr="00343F94">
              <w:t>2012 (Estimated in Sept. 2011 filing)</w:t>
            </w:r>
          </w:p>
        </w:tc>
        <w:tc>
          <w:tcPr>
            <w:tcW w:w="2160" w:type="dxa"/>
          </w:tcPr>
          <w:p w:rsidR="00C1049F" w:rsidRDefault="00C1049F">
            <w:r w:rsidRPr="0047759A">
              <w:rPr>
                <w:rFonts w:cs="Calibri"/>
                <w:color w:val="000000"/>
              </w:rPr>
              <w:t>REDACTED</w:t>
            </w:r>
          </w:p>
        </w:tc>
        <w:tc>
          <w:tcPr>
            <w:tcW w:w="1980" w:type="dxa"/>
          </w:tcPr>
          <w:p w:rsidR="00C1049F" w:rsidRDefault="00C1049F">
            <w:r w:rsidRPr="0047759A">
              <w:rPr>
                <w:rFonts w:cs="Calibri"/>
                <w:color w:val="000000"/>
              </w:rPr>
              <w:t>REDACTED</w:t>
            </w:r>
          </w:p>
        </w:tc>
      </w:tr>
      <w:tr w:rsidR="00C1049F" w:rsidRPr="00343F94" w:rsidTr="00343F94">
        <w:tc>
          <w:tcPr>
            <w:tcW w:w="4338" w:type="dxa"/>
          </w:tcPr>
          <w:p w:rsidR="00C1049F" w:rsidRPr="00343F94" w:rsidRDefault="00C1049F" w:rsidP="00343F94">
            <w:r w:rsidRPr="00343F94">
              <w:t xml:space="preserve">2012 – Current estimate if instant request is not granted. </w:t>
            </w:r>
          </w:p>
        </w:tc>
        <w:tc>
          <w:tcPr>
            <w:tcW w:w="2160" w:type="dxa"/>
          </w:tcPr>
          <w:p w:rsidR="00C1049F" w:rsidRDefault="00C1049F">
            <w:r w:rsidRPr="0047759A">
              <w:rPr>
                <w:rFonts w:cs="Calibri"/>
                <w:color w:val="000000"/>
              </w:rPr>
              <w:t>REDACTED</w:t>
            </w:r>
          </w:p>
        </w:tc>
        <w:tc>
          <w:tcPr>
            <w:tcW w:w="1980" w:type="dxa"/>
          </w:tcPr>
          <w:p w:rsidR="00C1049F" w:rsidRDefault="00C1049F">
            <w:r w:rsidRPr="0047759A">
              <w:rPr>
                <w:rFonts w:cs="Calibri"/>
                <w:color w:val="000000"/>
              </w:rPr>
              <w:t>REDACTED</w:t>
            </w:r>
          </w:p>
        </w:tc>
      </w:tr>
      <w:tr w:rsidR="00C1049F" w:rsidRPr="00343F94" w:rsidTr="00343F94">
        <w:tc>
          <w:tcPr>
            <w:tcW w:w="4338" w:type="dxa"/>
          </w:tcPr>
          <w:p w:rsidR="00C1049F" w:rsidRPr="00343F94" w:rsidRDefault="00C1049F" w:rsidP="00343F94">
            <w:r w:rsidRPr="00343F94">
              <w:t xml:space="preserve">2012 – (If instant request is granted) </w:t>
            </w:r>
          </w:p>
        </w:tc>
        <w:tc>
          <w:tcPr>
            <w:tcW w:w="2160" w:type="dxa"/>
          </w:tcPr>
          <w:p w:rsidR="00C1049F" w:rsidRDefault="00C1049F">
            <w:r w:rsidRPr="0047759A">
              <w:rPr>
                <w:rFonts w:cs="Calibri"/>
                <w:color w:val="000000"/>
              </w:rPr>
              <w:t>REDACTED</w:t>
            </w:r>
          </w:p>
        </w:tc>
        <w:tc>
          <w:tcPr>
            <w:tcW w:w="1980" w:type="dxa"/>
          </w:tcPr>
          <w:p w:rsidR="00C1049F" w:rsidRDefault="00C1049F">
            <w:r w:rsidRPr="0047759A">
              <w:rPr>
                <w:rFonts w:cs="Calibri"/>
                <w:color w:val="000000"/>
              </w:rPr>
              <w:t>REDACTED</w:t>
            </w:r>
          </w:p>
        </w:tc>
      </w:tr>
    </w:tbl>
    <w:p w:rsidR="00C95C0A" w:rsidRPr="0006245C" w:rsidRDefault="00C95C0A">
      <w:pPr>
        <w:rPr>
          <w:b/>
        </w:rPr>
      </w:pPr>
    </w:p>
    <w:sectPr w:rsidR="00C95C0A" w:rsidRPr="0006245C" w:rsidSect="002A48C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A12" w:rsidRDefault="00B23A12">
      <w:r>
        <w:separator/>
      </w:r>
    </w:p>
  </w:endnote>
  <w:endnote w:type="continuationSeparator" w:id="0">
    <w:p w:rsidR="00B23A12" w:rsidRDefault="00B23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A50" w:rsidRDefault="00A54F71" w:rsidP="007F7B74">
    <w:pPr>
      <w:pStyle w:val="Footer"/>
      <w:framePr w:wrap="around" w:vAnchor="text" w:hAnchor="margin" w:xAlign="right" w:y="1"/>
      <w:rPr>
        <w:rStyle w:val="PageNumber"/>
      </w:rPr>
    </w:pPr>
    <w:r>
      <w:rPr>
        <w:rStyle w:val="PageNumber"/>
      </w:rPr>
      <w:fldChar w:fldCharType="begin"/>
    </w:r>
    <w:r w:rsidR="00B47A50">
      <w:rPr>
        <w:rStyle w:val="PageNumber"/>
      </w:rPr>
      <w:instrText xml:space="preserve">PAGE  </w:instrText>
    </w:r>
    <w:r>
      <w:rPr>
        <w:rStyle w:val="PageNumber"/>
      </w:rPr>
      <w:fldChar w:fldCharType="end"/>
    </w:r>
  </w:p>
  <w:p w:rsidR="00B47A50" w:rsidRDefault="00B47A50" w:rsidP="000924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A50" w:rsidRDefault="00A54F71" w:rsidP="007F7B74">
    <w:pPr>
      <w:pStyle w:val="Footer"/>
      <w:framePr w:wrap="around" w:vAnchor="text" w:hAnchor="margin" w:xAlign="right" w:y="1"/>
      <w:rPr>
        <w:rStyle w:val="PageNumber"/>
      </w:rPr>
    </w:pPr>
    <w:r>
      <w:rPr>
        <w:rStyle w:val="PageNumber"/>
      </w:rPr>
      <w:fldChar w:fldCharType="begin"/>
    </w:r>
    <w:r w:rsidR="00B47A50">
      <w:rPr>
        <w:rStyle w:val="PageNumber"/>
      </w:rPr>
      <w:instrText xml:space="preserve">PAGE  </w:instrText>
    </w:r>
    <w:r>
      <w:rPr>
        <w:rStyle w:val="PageNumber"/>
      </w:rPr>
      <w:fldChar w:fldCharType="separate"/>
    </w:r>
    <w:r w:rsidR="00542069">
      <w:rPr>
        <w:rStyle w:val="PageNumber"/>
        <w:noProof/>
      </w:rPr>
      <w:t>20</w:t>
    </w:r>
    <w:r>
      <w:rPr>
        <w:rStyle w:val="PageNumber"/>
      </w:rPr>
      <w:fldChar w:fldCharType="end"/>
    </w:r>
  </w:p>
  <w:p w:rsidR="00B47A50" w:rsidRDefault="00B47A50" w:rsidP="00343F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A12" w:rsidRDefault="00B23A12">
      <w:r>
        <w:separator/>
      </w:r>
    </w:p>
  </w:footnote>
  <w:footnote w:type="continuationSeparator" w:id="0">
    <w:p w:rsidR="00B23A12" w:rsidRDefault="00B23A12">
      <w:r>
        <w:continuationSeparator/>
      </w:r>
    </w:p>
  </w:footnote>
  <w:footnote w:id="1">
    <w:p w:rsidR="00B47A50" w:rsidRDefault="00B47A50">
      <w:pPr>
        <w:pStyle w:val="FootnoteText"/>
      </w:pPr>
      <w:r>
        <w:rPr>
          <w:rStyle w:val="FootnoteReference"/>
        </w:rPr>
        <w:footnoteRef/>
      </w:r>
      <w:r>
        <w:t xml:space="preserve"> Bellingham Cellular Partnership and Bremerton Cellular Telephone Company merged into New Cingular Wireless PCS, LLC. </w:t>
      </w:r>
    </w:p>
    <w:p w:rsidR="00B47A50" w:rsidRDefault="00B47A50">
      <w:pPr>
        <w:pStyle w:val="FootnoteText"/>
      </w:pPr>
    </w:p>
  </w:footnote>
  <w:footnote w:id="2">
    <w:p w:rsidR="00B47A50" w:rsidRDefault="00B47A50">
      <w:pPr>
        <w:pStyle w:val="FootnoteText"/>
      </w:pPr>
      <w:r>
        <w:rPr>
          <w:rStyle w:val="FootnoteReference"/>
        </w:rPr>
        <w:footnoteRef/>
      </w:r>
      <w:r>
        <w:t xml:space="preserve"> Hood River Cellular Telephone Company</w:t>
      </w:r>
      <w:r w:rsidRPr="006767AE">
        <w:t xml:space="preserve"> </w:t>
      </w:r>
      <w:r>
        <w:t>Olympia Cellular Telephone Company merged into AT&amp;T Mobility Wireless Operations Holdings, Inc.</w:t>
      </w:r>
    </w:p>
    <w:p w:rsidR="00B47A50" w:rsidRDefault="00B47A50">
      <w:pPr>
        <w:pStyle w:val="FootnoteText"/>
      </w:pPr>
    </w:p>
  </w:footnote>
  <w:footnote w:id="3">
    <w:p w:rsidR="00B47A50" w:rsidRDefault="00B47A50">
      <w:pPr>
        <w:pStyle w:val="FootnoteText"/>
      </w:pPr>
      <w:r w:rsidRPr="000F17E4">
        <w:rPr>
          <w:rStyle w:val="FootnoteReference"/>
        </w:rPr>
        <w:footnoteRef/>
      </w:r>
      <w:r w:rsidRPr="000F17E4">
        <w:t xml:space="preserve"> WAC 480-123-030(1</w:t>
      </w:r>
      <w:r>
        <w:t>)(g) provides, in relevant part,</w:t>
      </w:r>
      <w:r w:rsidRPr="000F17E4">
        <w:t xml:space="preserve">  “…for a wireless carrier, information that demonstrates it has at least four hours of back up battery power at each cell site”.</w:t>
      </w:r>
    </w:p>
    <w:p w:rsidR="00B47A50" w:rsidRPr="000F17E4" w:rsidRDefault="00B47A50">
      <w:pPr>
        <w:pStyle w:val="FootnoteText"/>
      </w:pPr>
    </w:p>
  </w:footnote>
  <w:footnote w:id="4">
    <w:p w:rsidR="00B47A50" w:rsidRPr="000F17E4" w:rsidRDefault="00B47A50" w:rsidP="00721CEC">
      <w:pPr>
        <w:jc w:val="both"/>
        <w:rPr>
          <w:sz w:val="20"/>
          <w:szCs w:val="20"/>
        </w:rPr>
      </w:pPr>
      <w:r w:rsidRPr="000F17E4">
        <w:rPr>
          <w:rStyle w:val="FootnoteReference"/>
          <w:sz w:val="20"/>
          <w:szCs w:val="20"/>
        </w:rPr>
        <w:footnoteRef/>
      </w:r>
      <w:r w:rsidRPr="000F17E4">
        <w:rPr>
          <w:sz w:val="20"/>
          <w:szCs w:val="20"/>
        </w:rPr>
        <w:t xml:space="preserve"> WAC 480-123-070(6) provides that an ETC must, “[c]</w:t>
      </w:r>
      <w:proofErr w:type="spellStart"/>
      <w:r w:rsidRPr="000F17E4">
        <w:rPr>
          <w:sz w:val="20"/>
          <w:szCs w:val="20"/>
        </w:rPr>
        <w:t>ertify</w:t>
      </w:r>
      <w:proofErr w:type="spellEnd"/>
      <w:r w:rsidRPr="000F17E4">
        <w:rPr>
          <w:sz w:val="20"/>
          <w:szCs w:val="20"/>
        </w:rPr>
        <w:t xml:space="preserve"> that it had the ability to function in emergency situations based on continued adherence to the standards found in WAC 480-123-030 (1</w:t>
      </w:r>
      <w:proofErr w:type="gramStart"/>
      <w:r w:rsidRPr="000F17E4">
        <w:rPr>
          <w:sz w:val="20"/>
          <w:szCs w:val="20"/>
        </w:rPr>
        <w:t>)(</w:t>
      </w:r>
      <w:proofErr w:type="gramEnd"/>
      <w:r w:rsidRPr="000F17E4">
        <w:rPr>
          <w:sz w:val="20"/>
          <w:szCs w:val="20"/>
        </w:rPr>
        <w:t>g).”</w:t>
      </w:r>
    </w:p>
    <w:p w:rsidR="00B47A50" w:rsidRDefault="00B47A50">
      <w:pPr>
        <w:pStyle w:val="FootnoteText"/>
      </w:pPr>
    </w:p>
  </w:footnote>
  <w:footnote w:id="5">
    <w:p w:rsidR="00B47A50" w:rsidRDefault="00B47A50">
      <w:pPr>
        <w:pStyle w:val="FootnoteText"/>
      </w:pPr>
      <w:r>
        <w:rPr>
          <w:rStyle w:val="FootnoteReference"/>
        </w:rPr>
        <w:footnoteRef/>
      </w:r>
      <w:r>
        <w:t xml:space="preserve"> </w:t>
      </w:r>
      <w:proofErr w:type="gramStart"/>
      <w:r>
        <w:t>Partial Exemption Order, Ordering Paragraph 1.</w:t>
      </w:r>
      <w:proofErr w:type="gramEnd"/>
    </w:p>
    <w:p w:rsidR="00B47A50" w:rsidRDefault="00B47A50">
      <w:pPr>
        <w:pStyle w:val="FootnoteText"/>
      </w:pPr>
    </w:p>
  </w:footnote>
  <w:footnote w:id="6">
    <w:p w:rsidR="00B47A50" w:rsidRDefault="00B47A50">
      <w:pPr>
        <w:pStyle w:val="FootnoteText"/>
      </w:pPr>
      <w:r>
        <w:rPr>
          <w:rStyle w:val="FootnoteReference"/>
        </w:rPr>
        <w:footnoteRef/>
      </w:r>
      <w:r>
        <w:t xml:space="preserve"> </w:t>
      </w:r>
      <w:proofErr w:type="gramStart"/>
      <w:r>
        <w:t>Partial Exemption Order, Ordering Paragraph 2.</w:t>
      </w:r>
      <w:proofErr w:type="gramEnd"/>
    </w:p>
    <w:p w:rsidR="00B47A50" w:rsidRDefault="00B47A50">
      <w:pPr>
        <w:pStyle w:val="FootnoteText"/>
      </w:pPr>
    </w:p>
  </w:footnote>
  <w:footnote w:id="7">
    <w:p w:rsidR="00B47A50" w:rsidRDefault="00B47A50">
      <w:pPr>
        <w:pStyle w:val="FootnoteText"/>
      </w:pPr>
      <w:r>
        <w:rPr>
          <w:rStyle w:val="FootnoteReference"/>
        </w:rPr>
        <w:footnoteRef/>
      </w:r>
      <w:r>
        <w:t xml:space="preserve"> All AT&amp;T Mobility cell sites within the ETC designated area built in AT&amp;T Mobility’s ETC designated area </w:t>
      </w:r>
      <w:r>
        <w:rPr>
          <w:i/>
        </w:rPr>
        <w:t>a</w:t>
      </w:r>
      <w:r w:rsidRPr="00F004BB">
        <w:rPr>
          <w:i/>
        </w:rPr>
        <w:t>fter</w:t>
      </w:r>
      <w:r>
        <w:t xml:space="preserve"> the effective date of WAC 480-123-070(6) and WAC 480-123-030(1)(g), July 29, 2006, have been engineered for 4-hours of backup power. </w:t>
      </w:r>
    </w:p>
    <w:p w:rsidR="00B47A50" w:rsidRDefault="00B47A50">
      <w:pPr>
        <w:pStyle w:val="FootnoteText"/>
      </w:pPr>
    </w:p>
  </w:footnote>
  <w:footnote w:id="8">
    <w:p w:rsidR="00B47A50" w:rsidRPr="00FF23EF" w:rsidRDefault="00B47A50" w:rsidP="00FF23EF">
      <w:pPr>
        <w:autoSpaceDE w:val="0"/>
        <w:autoSpaceDN w:val="0"/>
        <w:adjustRightInd w:val="0"/>
      </w:pPr>
      <w:r>
        <w:rPr>
          <w:rStyle w:val="FootnoteReference"/>
        </w:rPr>
        <w:footnoteRef/>
      </w:r>
      <w:r>
        <w:t xml:space="preserve"> </w:t>
      </w:r>
      <w:r w:rsidRPr="00FF23EF">
        <w:rPr>
          <w:iCs/>
          <w:color w:val="010101"/>
          <w:sz w:val="20"/>
          <w:szCs w:val="20"/>
        </w:rPr>
        <w:t>See In the Matter of 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 -- Mobility Fund</w:t>
      </w:r>
      <w:r w:rsidRPr="00FF23EF">
        <w:rPr>
          <w:color w:val="010101"/>
          <w:sz w:val="20"/>
          <w:szCs w:val="20"/>
        </w:rPr>
        <w:t>, WC Docket No. 10-90, GN</w:t>
      </w:r>
      <w:r>
        <w:rPr>
          <w:color w:val="010101"/>
          <w:sz w:val="20"/>
          <w:szCs w:val="20"/>
        </w:rPr>
        <w:t xml:space="preserve"> </w:t>
      </w:r>
      <w:r w:rsidRPr="00FF23EF">
        <w:rPr>
          <w:color w:val="010101"/>
          <w:sz w:val="20"/>
          <w:szCs w:val="20"/>
        </w:rPr>
        <w:t>Docket No. 09-51, WC Docket No. 07-135, WC Docket No. 05-337, CC Docket No. 01-92, CC Docket No. 96-45,</w:t>
      </w:r>
      <w:r>
        <w:rPr>
          <w:color w:val="010101"/>
          <w:sz w:val="20"/>
          <w:szCs w:val="20"/>
        </w:rPr>
        <w:t xml:space="preserve"> </w:t>
      </w:r>
      <w:r w:rsidRPr="00FF23EF">
        <w:rPr>
          <w:color w:val="010101"/>
          <w:sz w:val="20"/>
          <w:szCs w:val="20"/>
        </w:rPr>
        <w:t>WC Docket No. 03-109, WT Docket No. 10-208, FCC 11-161</w:t>
      </w:r>
      <w:r>
        <w:rPr>
          <w:color w:val="010101"/>
          <w:sz w:val="20"/>
          <w:szCs w:val="20"/>
        </w:rPr>
        <w:t xml:space="preserve">, </w:t>
      </w:r>
      <w:r w:rsidRPr="00FF23EF">
        <w:rPr>
          <w:color w:val="010101"/>
          <w:sz w:val="20"/>
          <w:szCs w:val="20"/>
          <w:u w:val="single"/>
        </w:rPr>
        <w:t>Report and Order and Further Notice of Proposed Rulemaking</w:t>
      </w:r>
      <w:r>
        <w:rPr>
          <w:color w:val="010101"/>
          <w:sz w:val="20"/>
          <w:szCs w:val="20"/>
        </w:rPr>
        <w:t xml:space="preserve"> (rel. Nov. 18, 2011)(“</w:t>
      </w:r>
      <w:r w:rsidRPr="00FF23EF">
        <w:rPr>
          <w:i/>
          <w:color w:val="010101"/>
          <w:sz w:val="20"/>
          <w:szCs w:val="20"/>
        </w:rPr>
        <w:t>ICC/USF Reform Order</w:t>
      </w:r>
      <w:r>
        <w:rPr>
          <w:color w:val="010101"/>
          <w:sz w:val="20"/>
          <w:szCs w:val="20"/>
        </w:rPr>
        <w:t>”).</w:t>
      </w:r>
    </w:p>
  </w:footnote>
  <w:footnote w:id="9">
    <w:p w:rsidR="00B47A50" w:rsidRDefault="00B47A50" w:rsidP="000107BB">
      <w:pPr>
        <w:rPr>
          <w:color w:val="000000"/>
        </w:rPr>
      </w:pPr>
      <w:r>
        <w:rPr>
          <w:rStyle w:val="FootnoteReference"/>
        </w:rPr>
        <w:footnoteRef/>
      </w:r>
      <w:r>
        <w:t xml:space="preserve"> </w:t>
      </w:r>
      <w:r w:rsidRPr="00A21E3A">
        <w:rPr>
          <w:sz w:val="20"/>
          <w:szCs w:val="20"/>
        </w:rPr>
        <w:t>See Para. 574 (“</w:t>
      </w:r>
      <w:r w:rsidRPr="00A21E3A">
        <w:rPr>
          <w:color w:val="000000"/>
          <w:sz w:val="20"/>
          <w:szCs w:val="20"/>
        </w:rPr>
        <w:t xml:space="preserve">We clarify that the specific reporting and certification requirements adopted below are a floor rather than a ceiling for the states.  In section 254(f), Congress expressly permitted states to take action to preserve and advance universal service, so long as not inconsistent with the Commission’s universal service rules.  The statute permits states to adopt additional regulations to preserve and advance universal service </w:t>
      </w:r>
      <w:r w:rsidRPr="00FF23EF">
        <w:rPr>
          <w:b/>
          <w:color w:val="000000"/>
          <w:sz w:val="20"/>
          <w:szCs w:val="20"/>
        </w:rPr>
        <w:t>so long as they also adopt state mechanisms to support those additional substantive requirements.</w:t>
      </w:r>
      <w:r>
        <w:rPr>
          <w:color w:val="000000"/>
          <w:sz w:val="20"/>
          <w:szCs w:val="20"/>
        </w:rPr>
        <w:t>”)(Emphasis added.)</w:t>
      </w:r>
      <w:r w:rsidRPr="00A21E3A">
        <w:rPr>
          <w:color w:val="000000"/>
        </w:rPr>
        <w:t xml:space="preserve"> </w:t>
      </w:r>
    </w:p>
    <w:p w:rsidR="00B47A50" w:rsidRDefault="00B47A50" w:rsidP="000107BB">
      <w:pPr>
        <w:rPr>
          <w:color w:val="000000"/>
        </w:rPr>
      </w:pPr>
    </w:p>
    <w:p w:rsidR="00B47A50" w:rsidRPr="00A21E3A" w:rsidRDefault="00B47A50" w:rsidP="00F24299">
      <w:pPr>
        <w:pStyle w:val="FootnoteText"/>
      </w:pPr>
      <w:r>
        <w:rPr>
          <w:color w:val="000000"/>
        </w:rPr>
        <w:t>See also n. 948 (“</w:t>
      </w:r>
      <w:r>
        <w:rPr>
          <w:i/>
          <w:color w:val="000000"/>
        </w:rPr>
        <w:t>See</w:t>
      </w:r>
      <w:r>
        <w:rPr>
          <w:color w:val="000000"/>
        </w:rPr>
        <w:t xml:space="preserve"> 47 U.S.C. § 254(f) (“A state may adopt regulations not inconsistent with the Commission’s rules to preserve and advance universal service.  * * * A state may adopt regulations to provide for additional definitions and standards to preserve and advance universal service within that State only to the extent that such regulations adopt additional specific, predictable, and sufficient mechanisms to support such definitions or standards that do not rely on or burden Federal universal service support mechanisms.”).</w:t>
      </w:r>
    </w:p>
    <w:p w:rsidR="00B47A50" w:rsidRDefault="00B47A50" w:rsidP="000107BB">
      <w:pPr>
        <w:pStyle w:val="FootnoteText"/>
      </w:pPr>
    </w:p>
  </w:footnote>
  <w:footnote w:id="10">
    <w:p w:rsidR="00B47A50" w:rsidRDefault="00B47A50">
      <w:pPr>
        <w:pStyle w:val="FootnoteText"/>
      </w:pPr>
      <w:r>
        <w:rPr>
          <w:rStyle w:val="FootnoteReference"/>
        </w:rPr>
        <w:footnoteRef/>
      </w:r>
      <w:r>
        <w:t xml:space="preserve"> See Federal-State Joint Board on Universal Service, CC Docket No. 96-45, Report and Order, (rel. March 17, 2005), </w:t>
      </w:r>
      <w:proofErr w:type="spellStart"/>
      <w:r>
        <w:t>para</w:t>
      </w:r>
      <w:proofErr w:type="spellEnd"/>
      <w:r>
        <w:t xml:space="preserve">. 1 (“[W]e encourage states that exercise jurisdiction over ETC designations pursuant to section 214(e)(2) of the Act, to adopt these requirements when deciding whether a common carrier should be designated an ETC.”)  These rules requires ETC’s designated by the FCC to “demonstrate its ability to remain functional in an emergency” but do not require ETC’s to have a specific amount of backup power at each and every cell site within its ETC designated area.   </w:t>
      </w:r>
    </w:p>
    <w:p w:rsidR="00B47A50" w:rsidRDefault="00B47A50">
      <w:pPr>
        <w:pStyle w:val="FootnoteText"/>
      </w:pPr>
    </w:p>
  </w:footnote>
  <w:footnote w:id="11">
    <w:p w:rsidR="00B47A50" w:rsidRDefault="00B47A50">
      <w:pPr>
        <w:pStyle w:val="FootnoteText"/>
      </w:pPr>
      <w:r>
        <w:rPr>
          <w:rStyle w:val="FootnoteReference"/>
        </w:rPr>
        <w:footnoteRef/>
      </w:r>
      <w:r>
        <w:rPr>
          <w:i/>
        </w:rPr>
        <w:t>ICC/USF Reform Order,</w:t>
      </w:r>
      <w:r>
        <w:t xml:space="preserve"> </w:t>
      </w:r>
      <w:proofErr w:type="spellStart"/>
      <w:r>
        <w:t>para</w:t>
      </w:r>
      <w:proofErr w:type="spellEnd"/>
      <w:r>
        <w:t xml:space="preserve">. 580.  </w:t>
      </w:r>
    </w:p>
  </w:footnote>
  <w:footnote w:id="12">
    <w:p w:rsidR="00C1049F" w:rsidRDefault="00C1049F" w:rsidP="00C1049F">
      <w:pPr>
        <w:pStyle w:val="FootnoteText"/>
      </w:pPr>
      <w:r>
        <w:rPr>
          <w:rStyle w:val="FootnoteReference"/>
        </w:rPr>
        <w:footnoteRef/>
      </w:r>
      <w:r>
        <w:t xml:space="preserve"> In its September 9, 2011 ETC Certification filing with the Commission, AT&amp;T Mobility estimated that it would complete backup power augmentation on **REDACTED** sites in 2011.  In fact, AT&amp;T Mobility was able to complete the backup power augmentation on **REDACTED** more sites that expected for a total of </w:t>
      </w:r>
      <w:r w:rsidR="00E9071E">
        <w:t>**REDACTED**</w:t>
      </w:r>
      <w:r>
        <w:t xml:space="preserve"> in 2011.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3597"/>
    <w:multiLevelType w:val="hybridMultilevel"/>
    <w:tmpl w:val="F4167348"/>
    <w:lvl w:ilvl="0" w:tplc="6A2A665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123DA5"/>
    <w:multiLevelType w:val="hybridMultilevel"/>
    <w:tmpl w:val="29EA61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F1A7A11"/>
    <w:multiLevelType w:val="hybridMultilevel"/>
    <w:tmpl w:val="7D2431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24B3B7D"/>
    <w:multiLevelType w:val="hybridMultilevel"/>
    <w:tmpl w:val="C7E89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C03BE0"/>
    <w:multiLevelType w:val="hybridMultilevel"/>
    <w:tmpl w:val="C4C8CEB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C856BF"/>
    <w:multiLevelType w:val="hybridMultilevel"/>
    <w:tmpl w:val="2A045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F8714EC"/>
    <w:multiLevelType w:val="hybridMultilevel"/>
    <w:tmpl w:val="1032B2EC"/>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03F2C93"/>
    <w:multiLevelType w:val="hybridMultilevel"/>
    <w:tmpl w:val="91FCD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B83C80"/>
    <w:multiLevelType w:val="hybridMultilevel"/>
    <w:tmpl w:val="67441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6"/>
  </w:num>
  <w:num w:numId="5">
    <w:abstractNumId w:val="1"/>
  </w:num>
  <w:num w:numId="6">
    <w:abstractNumId w:val="8"/>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2A48CD"/>
    <w:rsid w:val="000107BB"/>
    <w:rsid w:val="0006245C"/>
    <w:rsid w:val="000709FE"/>
    <w:rsid w:val="00081C44"/>
    <w:rsid w:val="000924F0"/>
    <w:rsid w:val="00095698"/>
    <w:rsid w:val="000A7AB3"/>
    <w:rsid w:val="000B2817"/>
    <w:rsid w:val="000F17E4"/>
    <w:rsid w:val="0012094D"/>
    <w:rsid w:val="0013762F"/>
    <w:rsid w:val="00192C1C"/>
    <w:rsid w:val="001D10FC"/>
    <w:rsid w:val="00201686"/>
    <w:rsid w:val="00204D5A"/>
    <w:rsid w:val="00210201"/>
    <w:rsid w:val="00213BD9"/>
    <w:rsid w:val="002320ED"/>
    <w:rsid w:val="002409F7"/>
    <w:rsid w:val="00240D65"/>
    <w:rsid w:val="00267362"/>
    <w:rsid w:val="00276754"/>
    <w:rsid w:val="002A0B22"/>
    <w:rsid w:val="002A48CD"/>
    <w:rsid w:val="00305A8E"/>
    <w:rsid w:val="00305C59"/>
    <w:rsid w:val="00313BAD"/>
    <w:rsid w:val="00322ABC"/>
    <w:rsid w:val="003401FD"/>
    <w:rsid w:val="00343F94"/>
    <w:rsid w:val="00347B3C"/>
    <w:rsid w:val="00353F21"/>
    <w:rsid w:val="003547FF"/>
    <w:rsid w:val="00360D1D"/>
    <w:rsid w:val="003618D0"/>
    <w:rsid w:val="00381E55"/>
    <w:rsid w:val="00393AF1"/>
    <w:rsid w:val="003B52A4"/>
    <w:rsid w:val="003B7430"/>
    <w:rsid w:val="003D00CD"/>
    <w:rsid w:val="003F1F59"/>
    <w:rsid w:val="003F30A8"/>
    <w:rsid w:val="003F45A0"/>
    <w:rsid w:val="00401E24"/>
    <w:rsid w:val="004309D2"/>
    <w:rsid w:val="00471193"/>
    <w:rsid w:val="00475D6C"/>
    <w:rsid w:val="00491FF0"/>
    <w:rsid w:val="00496B58"/>
    <w:rsid w:val="004A525F"/>
    <w:rsid w:val="004B13F3"/>
    <w:rsid w:val="004E3754"/>
    <w:rsid w:val="00500E42"/>
    <w:rsid w:val="00542069"/>
    <w:rsid w:val="00544611"/>
    <w:rsid w:val="005814CF"/>
    <w:rsid w:val="00616C15"/>
    <w:rsid w:val="00646B3F"/>
    <w:rsid w:val="00660925"/>
    <w:rsid w:val="00666389"/>
    <w:rsid w:val="006767AE"/>
    <w:rsid w:val="00692EAF"/>
    <w:rsid w:val="006974DA"/>
    <w:rsid w:val="006A4996"/>
    <w:rsid w:val="006C47FC"/>
    <w:rsid w:val="006C75A4"/>
    <w:rsid w:val="006D3BD3"/>
    <w:rsid w:val="00701BD9"/>
    <w:rsid w:val="00705047"/>
    <w:rsid w:val="00716DA4"/>
    <w:rsid w:val="007214B6"/>
    <w:rsid w:val="00721CEC"/>
    <w:rsid w:val="00733357"/>
    <w:rsid w:val="0074066D"/>
    <w:rsid w:val="007956D6"/>
    <w:rsid w:val="007C34EE"/>
    <w:rsid w:val="007E7319"/>
    <w:rsid w:val="007F7B74"/>
    <w:rsid w:val="008124E0"/>
    <w:rsid w:val="0081687C"/>
    <w:rsid w:val="00852EB9"/>
    <w:rsid w:val="008A6023"/>
    <w:rsid w:val="008C3072"/>
    <w:rsid w:val="008C777E"/>
    <w:rsid w:val="008F6D18"/>
    <w:rsid w:val="00922D00"/>
    <w:rsid w:val="00934F08"/>
    <w:rsid w:val="00984A42"/>
    <w:rsid w:val="00992428"/>
    <w:rsid w:val="00997B11"/>
    <w:rsid w:val="009B6E1F"/>
    <w:rsid w:val="009C0B1C"/>
    <w:rsid w:val="00A36A07"/>
    <w:rsid w:val="00A41466"/>
    <w:rsid w:val="00A443E5"/>
    <w:rsid w:val="00A54F71"/>
    <w:rsid w:val="00A85C35"/>
    <w:rsid w:val="00A92A2E"/>
    <w:rsid w:val="00A96593"/>
    <w:rsid w:val="00AB0EF8"/>
    <w:rsid w:val="00AB1DE6"/>
    <w:rsid w:val="00AB5B77"/>
    <w:rsid w:val="00AC731E"/>
    <w:rsid w:val="00AC7C94"/>
    <w:rsid w:val="00AD18A8"/>
    <w:rsid w:val="00B23A12"/>
    <w:rsid w:val="00B31557"/>
    <w:rsid w:val="00B3389B"/>
    <w:rsid w:val="00B47A50"/>
    <w:rsid w:val="00B668B4"/>
    <w:rsid w:val="00B749CB"/>
    <w:rsid w:val="00B839AA"/>
    <w:rsid w:val="00BB1068"/>
    <w:rsid w:val="00BE4EDB"/>
    <w:rsid w:val="00BF3A0B"/>
    <w:rsid w:val="00C1049F"/>
    <w:rsid w:val="00C24EF9"/>
    <w:rsid w:val="00C4345D"/>
    <w:rsid w:val="00C4370A"/>
    <w:rsid w:val="00C64574"/>
    <w:rsid w:val="00C70812"/>
    <w:rsid w:val="00C95C0A"/>
    <w:rsid w:val="00CA0CBF"/>
    <w:rsid w:val="00CD17D1"/>
    <w:rsid w:val="00CD31F5"/>
    <w:rsid w:val="00CE7396"/>
    <w:rsid w:val="00D07B21"/>
    <w:rsid w:val="00D27BF7"/>
    <w:rsid w:val="00D43298"/>
    <w:rsid w:val="00D47181"/>
    <w:rsid w:val="00D55E73"/>
    <w:rsid w:val="00D75B31"/>
    <w:rsid w:val="00D81F7E"/>
    <w:rsid w:val="00DA7A09"/>
    <w:rsid w:val="00DC7752"/>
    <w:rsid w:val="00DE2961"/>
    <w:rsid w:val="00DF4EBB"/>
    <w:rsid w:val="00E26203"/>
    <w:rsid w:val="00E60A33"/>
    <w:rsid w:val="00E72CF6"/>
    <w:rsid w:val="00E74D2D"/>
    <w:rsid w:val="00E76F88"/>
    <w:rsid w:val="00E9071E"/>
    <w:rsid w:val="00E91B8F"/>
    <w:rsid w:val="00EE5D45"/>
    <w:rsid w:val="00EE69A2"/>
    <w:rsid w:val="00F004BB"/>
    <w:rsid w:val="00F24299"/>
    <w:rsid w:val="00F53D17"/>
    <w:rsid w:val="00F56CDB"/>
    <w:rsid w:val="00F7796D"/>
    <w:rsid w:val="00F81826"/>
    <w:rsid w:val="00FC5183"/>
    <w:rsid w:val="00FF23EF"/>
    <w:rsid w:val="00FF2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62"/>
    <o:shapelayout v:ext="edit">
      <o:idmap v:ext="edit" data="1"/>
      <o:rules v:ext="edit">
        <o:r id="V:Rule4" type="connector" idref="#_x0000_s1036"/>
        <o:r id="V:Rule5" type="connector" idref="#_x0000_s1061"/>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8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2A4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semiHidden/>
    <w:rsid w:val="00A443E5"/>
    <w:rPr>
      <w:sz w:val="20"/>
      <w:szCs w:val="20"/>
    </w:rPr>
  </w:style>
  <w:style w:type="character" w:styleId="FootnoteReference">
    <w:name w:val="footnote reference"/>
    <w:aliases w:val="Style 12,(NECG) Footnote Reference,Style 13,Appel note de bas de p,Style 124,fr,o,Style 3,FR,Style 17,Footnote Reference/,Style 6"/>
    <w:semiHidden/>
    <w:rsid w:val="00A443E5"/>
    <w:rPr>
      <w:vertAlign w:val="superscript"/>
    </w:rPr>
  </w:style>
  <w:style w:type="paragraph" w:styleId="Footer">
    <w:name w:val="footer"/>
    <w:basedOn w:val="Normal"/>
    <w:rsid w:val="000924F0"/>
    <w:pPr>
      <w:tabs>
        <w:tab w:val="center" w:pos="4320"/>
        <w:tab w:val="right" w:pos="8640"/>
      </w:tabs>
    </w:pPr>
  </w:style>
  <w:style w:type="character" w:styleId="PageNumber">
    <w:name w:val="page number"/>
    <w:basedOn w:val="DefaultParagraphFont"/>
    <w:rsid w:val="000924F0"/>
  </w:style>
  <w:style w:type="paragraph" w:styleId="BalloonText">
    <w:name w:val="Balloon Text"/>
    <w:basedOn w:val="Normal"/>
    <w:semiHidden/>
    <w:rsid w:val="00CD17D1"/>
    <w:rPr>
      <w:rFonts w:ascii="Tahoma" w:hAnsi="Tahoma" w:cs="Tahoma"/>
      <w:sz w:val="16"/>
      <w:szCs w:val="16"/>
    </w:rPr>
  </w:style>
  <w:style w:type="character" w:customStyle="1" w:styleId="FootnoteTextChar">
    <w:name w:val="Footnote Text Char"/>
    <w:aliases w:val="ALTS FOOTNOTE Char Char1,fn Char Char1,Footnote Text Char2 Char Char1,Footnote Text Char3 Char1 Char Char1,Footnote Text Char2 Char1 Char1 Char Char1,Footnote Text Char3 Char1 Char Char Char Char1,fn Char3,fn Char1 Char1,f Char1"/>
    <w:link w:val="FootnoteText"/>
    <w:semiHidden/>
    <w:locked/>
    <w:rsid w:val="00491FF0"/>
    <w:rPr>
      <w:lang w:val="en-US" w:eastAsia="en-US" w:bidi="ar-SA"/>
    </w:rPr>
  </w:style>
  <w:style w:type="paragraph" w:styleId="ListParagraph">
    <w:name w:val="List Paragraph"/>
    <w:basedOn w:val="Normal"/>
    <w:uiPriority w:val="34"/>
    <w:qFormat/>
    <w:rsid w:val="001D10FC"/>
    <w:pPr>
      <w:ind w:left="720"/>
    </w:pPr>
    <w:rPr>
      <w:rFonts w:ascii="Calibri" w:eastAsia="Calibri" w:hAnsi="Calibri"/>
      <w:sz w:val="22"/>
      <w:szCs w:val="22"/>
    </w:rPr>
  </w:style>
  <w:style w:type="character" w:customStyle="1" w:styleId="FootnoteTextChar1">
    <w:name w:val="Footnote Text Char1"/>
    <w:aliases w:val="ALTS FOOTNOTE Char Char,fn Char Char,Footnote Text Char2 Char Char,Footnote Text Char3 Char1 Char Char,Footnote Text Char2 Char1 Char1 Char Char,Footnote Text Char3 Char1 Char Char Char Char,fn Char2,fn Char1 Char,f Char"/>
    <w:semiHidden/>
    <w:locked/>
    <w:rsid w:val="000107BB"/>
    <w:rPr>
      <w:rFonts w:ascii="Times New Roman" w:eastAsia="MS Mincho" w:hAnsi="Times New Roman" w:cs="Times New Roman"/>
      <w:sz w:val="20"/>
      <w:szCs w:val="20"/>
    </w:rPr>
  </w:style>
  <w:style w:type="paragraph" w:styleId="Header">
    <w:name w:val="header"/>
    <w:basedOn w:val="Normal"/>
    <w:link w:val="HeaderChar"/>
    <w:rsid w:val="00BB1068"/>
    <w:pPr>
      <w:tabs>
        <w:tab w:val="center" w:pos="4680"/>
        <w:tab w:val="right" w:pos="9360"/>
      </w:tabs>
    </w:pPr>
  </w:style>
  <w:style w:type="character" w:customStyle="1" w:styleId="HeaderChar">
    <w:name w:val="Header Char"/>
    <w:link w:val="Header"/>
    <w:rsid w:val="00BB1068"/>
    <w:rPr>
      <w:sz w:val="24"/>
      <w:szCs w:val="24"/>
    </w:rPr>
  </w:style>
  <w:style w:type="paragraph" w:styleId="Caption">
    <w:name w:val="caption"/>
    <w:basedOn w:val="Normal"/>
    <w:next w:val="Normal"/>
    <w:unhideWhenUsed/>
    <w:qFormat/>
    <w:rsid w:val="00A41466"/>
    <w:rPr>
      <w:b/>
      <w:bCs/>
      <w:sz w:val="20"/>
      <w:szCs w:val="20"/>
    </w:rPr>
  </w:style>
</w:styles>
</file>

<file path=word/webSettings.xml><?xml version="1.0" encoding="utf-8"?>
<w:webSettings xmlns:r="http://schemas.openxmlformats.org/officeDocument/2006/relationships" xmlns:w="http://schemas.openxmlformats.org/wordprocessingml/2006/main">
  <w:divs>
    <w:div w:id="269318513">
      <w:bodyDiv w:val="1"/>
      <w:marLeft w:val="0"/>
      <w:marRight w:val="0"/>
      <w:marTop w:val="0"/>
      <w:marBottom w:val="0"/>
      <w:divBdr>
        <w:top w:val="none" w:sz="0" w:space="0" w:color="auto"/>
        <w:left w:val="none" w:sz="0" w:space="0" w:color="auto"/>
        <w:bottom w:val="none" w:sz="0" w:space="0" w:color="auto"/>
        <w:right w:val="none" w:sz="0" w:space="0" w:color="auto"/>
      </w:divBdr>
    </w:div>
    <w:div w:id="385495955">
      <w:bodyDiv w:val="1"/>
      <w:marLeft w:val="0"/>
      <w:marRight w:val="0"/>
      <w:marTop w:val="0"/>
      <w:marBottom w:val="0"/>
      <w:divBdr>
        <w:top w:val="none" w:sz="0" w:space="0" w:color="auto"/>
        <w:left w:val="none" w:sz="0" w:space="0" w:color="auto"/>
        <w:bottom w:val="none" w:sz="0" w:space="0" w:color="auto"/>
        <w:right w:val="none" w:sz="0" w:space="0" w:color="auto"/>
      </w:divBdr>
    </w:div>
    <w:div w:id="661085147">
      <w:bodyDiv w:val="1"/>
      <w:marLeft w:val="0"/>
      <w:marRight w:val="0"/>
      <w:marTop w:val="0"/>
      <w:marBottom w:val="0"/>
      <w:divBdr>
        <w:top w:val="none" w:sz="0" w:space="0" w:color="auto"/>
        <w:left w:val="none" w:sz="0" w:space="0" w:color="auto"/>
        <w:bottom w:val="none" w:sz="0" w:space="0" w:color="auto"/>
        <w:right w:val="none" w:sz="0" w:space="0" w:color="auto"/>
      </w:divBdr>
    </w:div>
    <w:div w:id="920986196">
      <w:bodyDiv w:val="1"/>
      <w:marLeft w:val="0"/>
      <w:marRight w:val="0"/>
      <w:marTop w:val="0"/>
      <w:marBottom w:val="0"/>
      <w:divBdr>
        <w:top w:val="none" w:sz="0" w:space="0" w:color="auto"/>
        <w:left w:val="none" w:sz="0" w:space="0" w:color="auto"/>
        <w:bottom w:val="none" w:sz="0" w:space="0" w:color="auto"/>
        <w:right w:val="none" w:sz="0" w:space="0" w:color="auto"/>
      </w:divBdr>
    </w:div>
    <w:div w:id="964236057">
      <w:bodyDiv w:val="1"/>
      <w:marLeft w:val="0"/>
      <w:marRight w:val="0"/>
      <w:marTop w:val="0"/>
      <w:marBottom w:val="0"/>
      <w:divBdr>
        <w:top w:val="none" w:sz="0" w:space="0" w:color="auto"/>
        <w:left w:val="none" w:sz="0" w:space="0" w:color="auto"/>
        <w:bottom w:val="none" w:sz="0" w:space="0" w:color="auto"/>
        <w:right w:val="none" w:sz="0" w:space="0" w:color="auto"/>
      </w:divBdr>
    </w:div>
    <w:div w:id="1051001651">
      <w:bodyDiv w:val="1"/>
      <w:marLeft w:val="0"/>
      <w:marRight w:val="0"/>
      <w:marTop w:val="0"/>
      <w:marBottom w:val="0"/>
      <w:divBdr>
        <w:top w:val="none" w:sz="0" w:space="0" w:color="auto"/>
        <w:left w:val="none" w:sz="0" w:space="0" w:color="auto"/>
        <w:bottom w:val="none" w:sz="0" w:space="0" w:color="auto"/>
        <w:right w:val="none" w:sz="0" w:space="0" w:color="auto"/>
      </w:divBdr>
    </w:div>
    <w:div w:id="160441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170</IndustryCode>
    <CaseStatus xmlns="dc463f71-b30c-4ab2-9473-d307f9d35888">Closed</CaseStatus>
    <OpenedDate xmlns="dc463f71-b30c-4ab2-9473-d307f9d35888">2006-08-02T07:00:00+00:00</OpenedDate>
    <Date1 xmlns="dc463f71-b30c-4ab2-9473-d307f9d35888">2012-04-13T07:00:00+00:00</Date1>
    <IsDocumentOrder xmlns="dc463f71-b30c-4ab2-9473-d307f9d35888" xsi:nil="true"/>
    <IsHighlyConfidential xmlns="dc463f71-b30c-4ab2-9473-d307f9d35888">false</IsHighlyConfidential>
    <CaseCompanyNames xmlns="dc463f71-b30c-4ab2-9473-d307f9d35888">Cingular Wireless (ETC)</CaseCompanyNames>
    <DocketNumber xmlns="dc463f71-b30c-4ab2-9473-d307f9d35888">063060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DC87580C27C674B80D4AB223F89A88C" ma:contentTypeVersion="128" ma:contentTypeDescription="" ma:contentTypeScope="" ma:versionID="73d54581768a766908662721fdff28f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F32F95-D3C5-486C-A447-DDB54BBC97B9}"/>
</file>

<file path=customXml/itemProps2.xml><?xml version="1.0" encoding="utf-8"?>
<ds:datastoreItem xmlns:ds="http://schemas.openxmlformats.org/officeDocument/2006/customXml" ds:itemID="{55F69479-4C32-4871-B08C-FFEAA05E7D54}"/>
</file>

<file path=customXml/itemProps3.xml><?xml version="1.0" encoding="utf-8"?>
<ds:datastoreItem xmlns:ds="http://schemas.openxmlformats.org/officeDocument/2006/customXml" ds:itemID="{5BBEDE4A-BC20-4812-A9EA-DA08826D83BD}"/>
</file>

<file path=customXml/itemProps4.xml><?xml version="1.0" encoding="utf-8"?>
<ds:datastoreItem xmlns:ds="http://schemas.openxmlformats.org/officeDocument/2006/customXml" ds:itemID="{35575152-BA55-4E5E-8030-6F122557D3B3}"/>
</file>

<file path=customXml/itemProps5.xml><?xml version="1.0" encoding="utf-8"?>
<ds:datastoreItem xmlns:ds="http://schemas.openxmlformats.org/officeDocument/2006/customXml" ds:itemID="{12C7E72A-EC0F-4FA4-A5FA-8C2FE45BA3D1}"/>
</file>

<file path=docProps/app.xml><?xml version="1.0" encoding="utf-8"?>
<Properties xmlns="http://schemas.openxmlformats.org/officeDocument/2006/extended-properties" xmlns:vt="http://schemas.openxmlformats.org/officeDocument/2006/docPropsVTypes">
  <Template>Normal.dotm</Template>
  <TotalTime>1</TotalTime>
  <Pages>22</Pages>
  <Words>1666</Words>
  <Characters>9371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WASHINGTON UTILITIES AND TRANSPORTATION COMMISSION</vt:lpstr>
    </vt:vector>
  </TitlesOfParts>
  <Company>Cingular Wireless</Company>
  <LinksUpToDate>false</LinksUpToDate>
  <CharactersWithSpaces>11015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UTILITIES AND TRANSPORTATION COMMISSION</dc:title>
  <dc:subject/>
  <dc:creator>cmanheim</dc:creator>
  <cp:keywords/>
  <cp:lastModifiedBy>David Collier</cp:lastModifiedBy>
  <cp:revision>4</cp:revision>
  <cp:lastPrinted>2012-04-11T23:30:00Z</cp:lastPrinted>
  <dcterms:created xsi:type="dcterms:W3CDTF">2012-04-12T21:14:00Z</dcterms:created>
  <dcterms:modified xsi:type="dcterms:W3CDTF">2012-04-12T22:08:00Z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0x0101006E56B4D1795A2E4DB2F0B01679ED314A002DC87580C27C674B80D4AB223F89A88C</vt:lpwstr>
  </property>
  <property fmtid="{D5CDD505-2E9C-101B-9397-08002B2CF9AE}" pid="3" name="_docset_NoMedatataSyncRequired">
    <vt:lpwstr>False</vt:lpwstr>
  </property>
</Properties>
</file>