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29" w:rsidRPr="00C11895" w:rsidRDefault="00C11895" w:rsidP="00261234">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sidR="00261234">
        <w:rPr>
          <w:sz w:val="20"/>
        </w:rPr>
        <w:br/>
      </w:r>
      <w:r>
        <w:rPr>
          <w:sz w:val="20"/>
        </w:rPr>
        <w:t xml:space="preserve">TEL (503) 241-7242     ●     FAX (503) 241-8160     ●     </w:t>
      </w:r>
      <w:r w:rsidR="001B72BA">
        <w:rPr>
          <w:sz w:val="20"/>
        </w:rPr>
        <w:t>mjd</w:t>
      </w:r>
      <w:r w:rsidR="00261234" w:rsidRPr="00261234">
        <w:rPr>
          <w:sz w:val="20"/>
        </w:rPr>
        <w:t>@dvclaw.com</w:t>
      </w:r>
      <w:r w:rsidR="00261234">
        <w:rPr>
          <w:sz w:val="20"/>
        </w:rPr>
        <w:br/>
      </w:r>
      <w:r>
        <w:rPr>
          <w:sz w:val="20"/>
        </w:rPr>
        <w:t>Suite 400</w:t>
      </w:r>
      <w:r w:rsidR="00261234">
        <w:rPr>
          <w:sz w:val="20"/>
        </w:rPr>
        <w:br/>
      </w:r>
      <w:r>
        <w:rPr>
          <w:sz w:val="20"/>
        </w:rPr>
        <w:t>333 SW Taylor</w:t>
      </w:r>
      <w:r w:rsidR="00261234">
        <w:rPr>
          <w:sz w:val="20"/>
        </w:rPr>
        <w:br/>
      </w:r>
      <w:r>
        <w:rPr>
          <w:sz w:val="20"/>
        </w:rPr>
        <w:t>Portland, OR 97204</w:t>
      </w:r>
    </w:p>
    <w:p w:rsidR="006A0E8E" w:rsidRDefault="005D617A" w:rsidP="006A0E8E">
      <w:pPr>
        <w:spacing w:after="0"/>
        <w:jc w:val="center"/>
      </w:pPr>
      <w:r>
        <w:t>March</w:t>
      </w:r>
      <w:r w:rsidR="006D6B75">
        <w:t xml:space="preserve"> </w:t>
      </w:r>
      <w:r w:rsidR="00CC0EA6">
        <w:t>27</w:t>
      </w:r>
      <w:r w:rsidR="001332BE">
        <w:t>, 2015</w:t>
      </w:r>
    </w:p>
    <w:p w:rsidR="006A0E8E" w:rsidRDefault="006A0E8E" w:rsidP="006A0E8E">
      <w:pPr>
        <w:pStyle w:val="Heading1"/>
      </w:pPr>
    </w:p>
    <w:p w:rsidR="007C3362" w:rsidRDefault="007C3362" w:rsidP="007C3362">
      <w:pPr>
        <w:rPr>
          <w:b/>
          <w:i/>
        </w:rPr>
      </w:pPr>
    </w:p>
    <w:p w:rsidR="007C3362" w:rsidRPr="006E0396" w:rsidRDefault="007C3362" w:rsidP="007C3362">
      <w:pPr>
        <w:rPr>
          <w:b/>
          <w:i/>
        </w:rPr>
      </w:pPr>
      <w:r>
        <w:rPr>
          <w:b/>
          <w:i/>
        </w:rPr>
        <w:t xml:space="preserve">Via Electronic Mail and </w:t>
      </w:r>
      <w:r w:rsidR="006D6B75">
        <w:rPr>
          <w:b/>
          <w:i/>
        </w:rPr>
        <w:t>U.S. Mail</w:t>
      </w:r>
    </w:p>
    <w:p w:rsidR="007C3362" w:rsidRDefault="007C3362" w:rsidP="007C3362">
      <w:pPr>
        <w:spacing w:after="0"/>
      </w:pPr>
      <w:r>
        <w:t>Chairman Dave Danner</w:t>
      </w:r>
    </w:p>
    <w:p w:rsidR="007C3362" w:rsidRDefault="007C3362" w:rsidP="007C3362">
      <w:pPr>
        <w:spacing w:after="0"/>
      </w:pPr>
      <w:r>
        <w:t xml:space="preserve">Commissioner </w:t>
      </w:r>
      <w:r w:rsidR="006D6B75">
        <w:t xml:space="preserve">Philip Jones </w:t>
      </w:r>
    </w:p>
    <w:p w:rsidR="007C3362" w:rsidRDefault="00C460F9" w:rsidP="007C3362">
      <w:pPr>
        <w:spacing w:after="0"/>
      </w:pPr>
      <w:r>
        <w:t xml:space="preserve">Commissioner </w:t>
      </w:r>
      <w:r w:rsidR="006D6B75">
        <w:t>Ann Rendahl</w:t>
      </w:r>
    </w:p>
    <w:p w:rsidR="007C3362" w:rsidRDefault="007C3362" w:rsidP="007C3362">
      <w:pPr>
        <w:spacing w:after="0"/>
        <w:rPr>
          <w:rFonts w:eastAsia="Calibri"/>
        </w:rPr>
      </w:pPr>
      <w:r>
        <w:rPr>
          <w:rFonts w:eastAsia="Calibri"/>
        </w:rPr>
        <w:t>Washington Utilities and Transportation Commission</w:t>
      </w:r>
    </w:p>
    <w:p w:rsidR="007C3362" w:rsidRDefault="007C3362" w:rsidP="007C3362">
      <w:pPr>
        <w:spacing w:after="0"/>
        <w:rPr>
          <w:rFonts w:eastAsia="Calibri"/>
        </w:rPr>
      </w:pPr>
      <w:r>
        <w:rPr>
          <w:rFonts w:eastAsia="Calibri"/>
        </w:rPr>
        <w:t>PO Box 47250</w:t>
      </w:r>
    </w:p>
    <w:p w:rsidR="007C3362" w:rsidRDefault="007C3362" w:rsidP="007C3362">
      <w:pPr>
        <w:spacing w:after="0"/>
        <w:rPr>
          <w:rFonts w:eastAsia="Calibri"/>
        </w:rPr>
      </w:pPr>
      <w:r>
        <w:rPr>
          <w:rFonts w:eastAsia="Calibri"/>
        </w:rPr>
        <w:t>1300 S. Evergreen Park Drive, SW</w:t>
      </w:r>
    </w:p>
    <w:p w:rsidR="007C3362" w:rsidRDefault="007C3362" w:rsidP="007C3362">
      <w:pPr>
        <w:spacing w:after="0"/>
        <w:rPr>
          <w:rFonts w:eastAsia="Calibri"/>
        </w:rPr>
      </w:pPr>
      <w:r>
        <w:rPr>
          <w:rFonts w:eastAsia="Calibri"/>
        </w:rPr>
        <w:t>Olympia, WA  98504-7250</w:t>
      </w:r>
    </w:p>
    <w:p w:rsidR="007C3362" w:rsidRDefault="007C3362" w:rsidP="007C3362">
      <w:pPr>
        <w:spacing w:after="0"/>
        <w:ind w:firstLine="720"/>
      </w:pPr>
    </w:p>
    <w:p w:rsidR="007C3362" w:rsidRDefault="007C3362" w:rsidP="001B72BA">
      <w:pPr>
        <w:spacing w:after="0"/>
        <w:ind w:firstLine="720"/>
      </w:pPr>
      <w:r w:rsidRPr="00984AE7">
        <w:t xml:space="preserve">Re: </w:t>
      </w:r>
      <w:r w:rsidRPr="00984AE7">
        <w:tab/>
      </w:r>
      <w:r>
        <w:t xml:space="preserve">Washington Utilities and Transportation Commission v. Puget Sound Energy, </w:t>
      </w:r>
      <w:r w:rsidR="001B72BA">
        <w:tab/>
      </w:r>
      <w:r w:rsidR="001B72BA">
        <w:tab/>
      </w:r>
      <w:r w:rsidR="001B72BA">
        <w:tab/>
      </w:r>
      <w:r w:rsidR="004F7573">
        <w:t>Dockets</w:t>
      </w:r>
      <w:r>
        <w:t xml:space="preserve"> UE-130617</w:t>
      </w:r>
      <w:r w:rsidR="001B72BA">
        <w:t xml:space="preserve">, </w:t>
      </w:r>
      <w:r w:rsidR="001B72BA" w:rsidRPr="001B72BA">
        <w:rPr>
          <w:i/>
        </w:rPr>
        <w:t>et al.</w:t>
      </w:r>
    </w:p>
    <w:p w:rsidR="007C3362" w:rsidRDefault="007C3362" w:rsidP="007C3362">
      <w:pPr>
        <w:spacing w:after="0"/>
        <w:ind w:left="720" w:firstLine="720"/>
        <w:rPr>
          <w:b/>
          <w:bCs/>
        </w:rPr>
      </w:pPr>
    </w:p>
    <w:p w:rsidR="007C3362" w:rsidRDefault="007C3362" w:rsidP="007C3362">
      <w:pPr>
        <w:tabs>
          <w:tab w:val="left" w:pos="540"/>
          <w:tab w:val="left" w:pos="810"/>
        </w:tabs>
        <w:spacing w:after="0"/>
        <w:rPr>
          <w:bCs/>
        </w:rPr>
      </w:pPr>
      <w:r>
        <w:rPr>
          <w:bCs/>
        </w:rPr>
        <w:t>Dear Commissioners:</w:t>
      </w:r>
    </w:p>
    <w:p w:rsidR="007C3362" w:rsidRDefault="007C3362" w:rsidP="007C3362">
      <w:pPr>
        <w:tabs>
          <w:tab w:val="left" w:pos="540"/>
          <w:tab w:val="left" w:pos="810"/>
        </w:tabs>
        <w:spacing w:after="0"/>
        <w:rPr>
          <w:bCs/>
        </w:rPr>
      </w:pPr>
    </w:p>
    <w:p w:rsidR="00257264" w:rsidRDefault="007C3362" w:rsidP="007C3362">
      <w:pPr>
        <w:spacing w:after="0"/>
        <w:rPr>
          <w:bCs/>
        </w:rPr>
      </w:pPr>
      <w:r>
        <w:rPr>
          <w:bCs/>
        </w:rPr>
        <w:tab/>
      </w:r>
      <w:r>
        <w:rPr>
          <w:bCs/>
        </w:rPr>
        <w:tab/>
        <w:t>The Industrial Customers of N</w:t>
      </w:r>
      <w:r w:rsidR="006D6B75">
        <w:rPr>
          <w:bCs/>
        </w:rPr>
        <w:t xml:space="preserve">orthwest Utilities (“ICNU”) </w:t>
      </w:r>
      <w:r w:rsidR="006D6B75" w:rsidRPr="00C60282">
        <w:rPr>
          <w:bCs/>
        </w:rPr>
        <w:t>submit</w:t>
      </w:r>
      <w:r w:rsidRPr="00C60282">
        <w:rPr>
          <w:bCs/>
        </w:rPr>
        <w:t xml:space="preserve">s this letter in </w:t>
      </w:r>
      <w:r w:rsidR="004F7573" w:rsidRPr="00C60282">
        <w:rPr>
          <w:bCs/>
        </w:rPr>
        <w:t>opposition</w:t>
      </w:r>
      <w:r w:rsidRPr="00C60282">
        <w:rPr>
          <w:bCs/>
        </w:rPr>
        <w:t xml:space="preserve"> </w:t>
      </w:r>
      <w:r w:rsidR="00E01EA5" w:rsidRPr="00C60282">
        <w:rPr>
          <w:bCs/>
        </w:rPr>
        <w:t xml:space="preserve">to </w:t>
      </w:r>
      <w:r w:rsidR="001B72BA" w:rsidRPr="00C60282">
        <w:rPr>
          <w:bCs/>
        </w:rPr>
        <w:t xml:space="preserve">the settlement agreement concerning proposed changes to </w:t>
      </w:r>
      <w:r w:rsidRPr="00C60282">
        <w:rPr>
          <w:bCs/>
        </w:rPr>
        <w:t>Puget Sound Energy’s (“PSE”</w:t>
      </w:r>
      <w:r w:rsidR="00E66F69" w:rsidRPr="00C60282">
        <w:rPr>
          <w:bCs/>
        </w:rPr>
        <w:t xml:space="preserve"> or the “Company”</w:t>
      </w:r>
      <w:r w:rsidRPr="00C60282">
        <w:rPr>
          <w:bCs/>
        </w:rPr>
        <w:t xml:space="preserve">) </w:t>
      </w:r>
      <w:r w:rsidR="001B72BA" w:rsidRPr="00C60282">
        <w:rPr>
          <w:bCs/>
        </w:rPr>
        <w:t>P</w:t>
      </w:r>
      <w:r w:rsidR="00257264" w:rsidRPr="00C60282">
        <w:rPr>
          <w:bCs/>
        </w:rPr>
        <w:t>ower Cost Adjustment (“PCA”) mechanism, filed by PSE, Commission Staff, and Public Counsel (“</w:t>
      </w:r>
      <w:r w:rsidR="00116331">
        <w:rPr>
          <w:bCs/>
        </w:rPr>
        <w:t>Settling</w:t>
      </w:r>
      <w:r w:rsidR="00257264" w:rsidRPr="00C60282">
        <w:rPr>
          <w:bCs/>
        </w:rPr>
        <w:t xml:space="preserve"> Parties”)</w:t>
      </w:r>
      <w:r w:rsidR="006D6B75" w:rsidRPr="00C60282">
        <w:rPr>
          <w:bCs/>
        </w:rPr>
        <w:t xml:space="preserve"> on </w:t>
      </w:r>
      <w:r w:rsidR="005D617A">
        <w:rPr>
          <w:bCs/>
        </w:rPr>
        <w:t xml:space="preserve">March </w:t>
      </w:r>
      <w:r w:rsidR="00842881">
        <w:rPr>
          <w:bCs/>
        </w:rPr>
        <w:t>2</w:t>
      </w:r>
      <w:r w:rsidR="00CC0EA6">
        <w:rPr>
          <w:bCs/>
        </w:rPr>
        <w:t>7</w:t>
      </w:r>
      <w:r w:rsidR="006D6B75" w:rsidRPr="00C60282">
        <w:rPr>
          <w:bCs/>
        </w:rPr>
        <w:t>, 2015</w:t>
      </w:r>
      <w:r w:rsidR="00257264" w:rsidRPr="00C60282">
        <w:rPr>
          <w:bCs/>
        </w:rPr>
        <w:t>.</w:t>
      </w:r>
      <w:r w:rsidR="00257264">
        <w:rPr>
          <w:bCs/>
        </w:rPr>
        <w:t xml:space="preserve">  </w:t>
      </w:r>
      <w:r w:rsidR="004F7573">
        <w:rPr>
          <w:bCs/>
        </w:rPr>
        <w:t xml:space="preserve">Pursuant to Order 06, ¶¶ 43-44 in these proceedings, ICNU participated in the PCA Review Collaborative (the “Collaborative”), along with the </w:t>
      </w:r>
      <w:r w:rsidR="00116331">
        <w:rPr>
          <w:bCs/>
        </w:rPr>
        <w:t>Settling</w:t>
      </w:r>
      <w:r w:rsidR="004F7573">
        <w:rPr>
          <w:bCs/>
        </w:rPr>
        <w:t xml:space="preserve"> Parties.  </w:t>
      </w:r>
      <w:r w:rsidR="00E66F69">
        <w:rPr>
          <w:bCs/>
        </w:rPr>
        <w:t xml:space="preserve">Based on this Collaborative participation, </w:t>
      </w:r>
      <w:r w:rsidR="004F7573">
        <w:rPr>
          <w:bCs/>
        </w:rPr>
        <w:t>ICNU believe</w:t>
      </w:r>
      <w:r w:rsidR="00E66F69">
        <w:rPr>
          <w:bCs/>
        </w:rPr>
        <w:t>s that</w:t>
      </w:r>
      <w:r w:rsidR="004F7573">
        <w:rPr>
          <w:bCs/>
        </w:rPr>
        <w:t xml:space="preserve"> the </w:t>
      </w:r>
      <w:r w:rsidR="00E66F69">
        <w:rPr>
          <w:bCs/>
        </w:rPr>
        <w:t xml:space="preserve">proposed changes to the PCA are unnecessary and potentially harmful to ratepayers, and should be rejected by the </w:t>
      </w:r>
      <w:r w:rsidR="00A0791C">
        <w:t>Washington Utilities and Transportation Commission (“WUTC” or “Commission”)</w:t>
      </w:r>
      <w:r w:rsidR="00E66F69">
        <w:rPr>
          <w:bCs/>
        </w:rPr>
        <w:t>.</w:t>
      </w:r>
    </w:p>
    <w:p w:rsidR="00E66F69" w:rsidRDefault="00E66F69" w:rsidP="007C3362">
      <w:pPr>
        <w:spacing w:after="0"/>
        <w:rPr>
          <w:bCs/>
        </w:rPr>
      </w:pPr>
    </w:p>
    <w:p w:rsidR="006D6B75" w:rsidRDefault="00E66F69" w:rsidP="007C3362">
      <w:pPr>
        <w:spacing w:after="0"/>
        <w:rPr>
          <w:bCs/>
        </w:rPr>
      </w:pPr>
      <w:r>
        <w:rPr>
          <w:bCs/>
        </w:rPr>
        <w:tab/>
      </w:r>
      <w:r>
        <w:rPr>
          <w:bCs/>
        </w:rPr>
        <w:tab/>
        <w:t>T</w:t>
      </w:r>
      <w:r w:rsidR="00116331">
        <w:rPr>
          <w:bCs/>
        </w:rPr>
        <w:t>he Settling</w:t>
      </w:r>
      <w:r w:rsidR="00A0791C">
        <w:rPr>
          <w:bCs/>
        </w:rPr>
        <w:t xml:space="preserve"> P</w:t>
      </w:r>
      <w:r>
        <w:rPr>
          <w:bCs/>
        </w:rPr>
        <w:t xml:space="preserve">arties are proposing PCA changes which </w:t>
      </w:r>
      <w:r w:rsidR="00A0791C">
        <w:rPr>
          <w:bCs/>
        </w:rPr>
        <w:t xml:space="preserve">will have very significant effects on PSE’s deadbands and sharing bands, safeguards the Commission deems “critically important elements” to any power cost recovery mechanism designed to “protect ratepayers.”  </w:t>
      </w:r>
      <w:r w:rsidR="00A0791C" w:rsidRPr="00D763EB">
        <w:rPr>
          <w:bCs/>
          <w:u w:val="single"/>
        </w:rPr>
        <w:t>WUTC v. PacifiCorp</w:t>
      </w:r>
      <w:r w:rsidR="00A0791C">
        <w:rPr>
          <w:bCs/>
        </w:rPr>
        <w:t>, Docket UE-130043, Order 05 at ¶ 170 (Dec. 4, 2013).</w:t>
      </w:r>
      <w:r w:rsidR="006D6B75">
        <w:rPr>
          <w:bCs/>
        </w:rPr>
        <w:t xml:space="preserve">  For example, the settlement will reduce PSE’s deadband to $17 million, making customers susceptible to additional surcharges in the first sharing band.  Customer exposure is compounded by the</w:t>
      </w:r>
      <w:r w:rsidR="00116331">
        <w:rPr>
          <w:bCs/>
        </w:rPr>
        <w:t xml:space="preserve"> fact that the Settling</w:t>
      </w:r>
      <w:r w:rsidR="006D6B75">
        <w:rPr>
          <w:bCs/>
        </w:rPr>
        <w:t xml:space="preserve"> Parties have agreed to reduce the surcharge threshold</w:t>
      </w:r>
      <w:r w:rsidR="00240566">
        <w:rPr>
          <w:bCs/>
        </w:rPr>
        <w:t>, or trigger,</w:t>
      </w:r>
      <w:r w:rsidR="006D6B75">
        <w:rPr>
          <w:bCs/>
        </w:rPr>
        <w:t xml:space="preserve"> to just $20 million.  </w:t>
      </w:r>
      <w:r w:rsidR="00A0791C">
        <w:rPr>
          <w:bCs/>
        </w:rPr>
        <w:t xml:space="preserve">  </w:t>
      </w:r>
    </w:p>
    <w:p w:rsidR="006D6B75" w:rsidRDefault="006D6B75" w:rsidP="007C3362">
      <w:pPr>
        <w:spacing w:after="0"/>
        <w:rPr>
          <w:bCs/>
        </w:rPr>
      </w:pPr>
    </w:p>
    <w:p w:rsidR="00E66F69" w:rsidRPr="00C60282" w:rsidRDefault="006D6B75" w:rsidP="007C3362">
      <w:pPr>
        <w:spacing w:after="0"/>
        <w:rPr>
          <w:bCs/>
        </w:rPr>
      </w:pPr>
      <w:r>
        <w:rPr>
          <w:bCs/>
        </w:rPr>
        <w:lastRenderedPageBreak/>
        <w:tab/>
      </w:r>
      <w:r>
        <w:rPr>
          <w:bCs/>
        </w:rPr>
        <w:tab/>
      </w:r>
      <w:r w:rsidR="00A0791C">
        <w:rPr>
          <w:bCs/>
        </w:rPr>
        <w:t xml:space="preserve">Moreover, the proposed settlement would also shift </w:t>
      </w:r>
      <w:r w:rsidR="00815C8F">
        <w:rPr>
          <w:bCs/>
        </w:rPr>
        <w:t xml:space="preserve">a considerable portion of </w:t>
      </w:r>
      <w:r w:rsidR="00C60282">
        <w:rPr>
          <w:bCs/>
        </w:rPr>
        <w:t>production</w:t>
      </w:r>
      <w:r w:rsidR="00815C8F">
        <w:rPr>
          <w:bCs/>
        </w:rPr>
        <w:t xml:space="preserve"> </w:t>
      </w:r>
      <w:r w:rsidR="00C342B8">
        <w:rPr>
          <w:bCs/>
        </w:rPr>
        <w:t xml:space="preserve">costs </w:t>
      </w:r>
      <w:r w:rsidR="00815C8F">
        <w:rPr>
          <w:bCs/>
        </w:rPr>
        <w:t>into the Company’s decouplin</w:t>
      </w:r>
      <w:r w:rsidR="00A422A2">
        <w:rPr>
          <w:bCs/>
        </w:rPr>
        <w:t xml:space="preserve">g mechanism in future rate </w:t>
      </w:r>
      <w:r w:rsidR="00815C8F">
        <w:rPr>
          <w:bCs/>
        </w:rPr>
        <w:t>cases.  By its very terms, this represents a major change to PSE’s entire rate structure affecting all customers subject to the Company’s decoupling mechanism</w:t>
      </w:r>
      <w:r w:rsidR="00240566">
        <w:rPr>
          <w:bCs/>
        </w:rPr>
        <w:t xml:space="preserve">.  </w:t>
      </w:r>
      <w:r w:rsidR="00240566" w:rsidRPr="00C60282">
        <w:rPr>
          <w:bCs/>
        </w:rPr>
        <w:t>Such significant changes should only be considered in the context of a general rate case.  If this settlement is approved it will significantly change the scope of the decoupling mechanism.  If such changes are permitted to the decoupling mechanism, ICNU once again requests that Schedule 40 electric customers be exempt from the decoupling mechanism.</w:t>
      </w:r>
    </w:p>
    <w:p w:rsidR="00257264" w:rsidRPr="00C60282" w:rsidRDefault="00257264" w:rsidP="007C3362">
      <w:pPr>
        <w:spacing w:after="0"/>
        <w:rPr>
          <w:bCs/>
        </w:rPr>
      </w:pPr>
    </w:p>
    <w:p w:rsidR="007C3362" w:rsidRDefault="0057525A" w:rsidP="007C3362">
      <w:pPr>
        <w:spacing w:after="0"/>
        <w:rPr>
          <w:bCs/>
        </w:rPr>
      </w:pPr>
      <w:r w:rsidRPr="00C60282">
        <w:rPr>
          <w:bCs/>
        </w:rPr>
        <w:tab/>
      </w:r>
      <w:r w:rsidRPr="00C60282">
        <w:rPr>
          <w:bCs/>
        </w:rPr>
        <w:tab/>
      </w:r>
      <w:r w:rsidR="00240566" w:rsidRPr="00C60282">
        <w:rPr>
          <w:bCs/>
        </w:rPr>
        <w:t>Thank you for your consideration of ICNU’s concerns and opposition to the proposed settlement.  ICNU believes this settlement will only serve to shift more risk and costs from PSE to ratepayers</w:t>
      </w:r>
      <w:r w:rsidR="006F58E6" w:rsidRPr="00C60282">
        <w:rPr>
          <w:bCs/>
        </w:rPr>
        <w:t>.</w:t>
      </w:r>
      <w:r w:rsidR="0048733A">
        <w:rPr>
          <w:bCs/>
        </w:rPr>
        <w:t xml:space="preserve"> </w:t>
      </w:r>
      <w:r w:rsidR="00D763EB">
        <w:rPr>
          <w:bCs/>
        </w:rPr>
        <w:t xml:space="preserve">  </w:t>
      </w:r>
    </w:p>
    <w:p w:rsidR="007C3362" w:rsidRDefault="007C3362" w:rsidP="007C3362">
      <w:pPr>
        <w:spacing w:after="0"/>
        <w:rPr>
          <w:bCs/>
        </w:rPr>
      </w:pPr>
    </w:p>
    <w:p w:rsidR="007C3362" w:rsidRDefault="007C3362" w:rsidP="007C3362">
      <w:pPr>
        <w:spacing w:after="0"/>
        <w:rPr>
          <w:bCs/>
        </w:rPr>
      </w:pPr>
      <w:r>
        <w:rPr>
          <w:bCs/>
        </w:rPr>
        <w:tab/>
      </w:r>
      <w:r>
        <w:rPr>
          <w:bCs/>
        </w:rPr>
        <w:tab/>
      </w:r>
      <w:r>
        <w:rPr>
          <w:bCs/>
        </w:rPr>
        <w:tab/>
      </w:r>
      <w:r>
        <w:rPr>
          <w:bCs/>
        </w:rPr>
        <w:tab/>
      </w:r>
    </w:p>
    <w:p w:rsidR="007C3362" w:rsidRDefault="007C3362" w:rsidP="007C3362">
      <w:pPr>
        <w:spacing w:after="0"/>
        <w:rPr>
          <w:bCs/>
        </w:rPr>
      </w:pPr>
      <w:r>
        <w:rPr>
          <w:bCs/>
        </w:rPr>
        <w:tab/>
      </w:r>
      <w:r>
        <w:rPr>
          <w:bCs/>
        </w:rPr>
        <w:tab/>
      </w:r>
      <w:r>
        <w:rPr>
          <w:bCs/>
        </w:rPr>
        <w:tab/>
      </w:r>
      <w:r>
        <w:rPr>
          <w:bCs/>
        </w:rPr>
        <w:tab/>
      </w:r>
      <w:r>
        <w:rPr>
          <w:bCs/>
        </w:rPr>
        <w:tab/>
        <w:t>Sincerely yours,</w:t>
      </w:r>
    </w:p>
    <w:p w:rsidR="007C3362" w:rsidRDefault="007C3362" w:rsidP="007C3362">
      <w:pPr>
        <w:spacing w:after="0"/>
        <w:rPr>
          <w:bCs/>
        </w:rPr>
      </w:pPr>
    </w:p>
    <w:p w:rsidR="007C3362" w:rsidRDefault="007C3362" w:rsidP="007C3362">
      <w:pPr>
        <w:spacing w:after="0"/>
        <w:rPr>
          <w:bCs/>
        </w:rPr>
      </w:pPr>
    </w:p>
    <w:p w:rsidR="007C3362" w:rsidRPr="00B265DA" w:rsidRDefault="00B265DA" w:rsidP="007C3362">
      <w:pPr>
        <w:spacing w:after="0"/>
        <w:rPr>
          <w:bCs/>
          <w:i/>
          <w:u w:val="single"/>
        </w:rPr>
      </w:pPr>
      <w:r>
        <w:rPr>
          <w:bCs/>
        </w:rPr>
        <w:tab/>
      </w:r>
      <w:r>
        <w:rPr>
          <w:bCs/>
        </w:rPr>
        <w:tab/>
      </w:r>
      <w:r>
        <w:rPr>
          <w:bCs/>
        </w:rPr>
        <w:tab/>
      </w:r>
      <w:r>
        <w:rPr>
          <w:bCs/>
        </w:rPr>
        <w:tab/>
      </w:r>
      <w:r>
        <w:rPr>
          <w:bCs/>
        </w:rPr>
        <w:tab/>
      </w:r>
      <w:r w:rsidRPr="00B265DA">
        <w:rPr>
          <w:bCs/>
          <w:i/>
          <w:u w:val="single"/>
        </w:rPr>
        <w:t xml:space="preserve">/s/ </w:t>
      </w:r>
      <w:r w:rsidR="00086935">
        <w:rPr>
          <w:bCs/>
          <w:i/>
          <w:u w:val="single"/>
        </w:rPr>
        <w:t>Jesse C. Cowell</w:t>
      </w:r>
    </w:p>
    <w:p w:rsidR="007C3362" w:rsidRDefault="007C3362" w:rsidP="007C3362">
      <w:pPr>
        <w:spacing w:after="0"/>
        <w:rPr>
          <w:bCs/>
        </w:rPr>
      </w:pPr>
      <w:r>
        <w:rPr>
          <w:bCs/>
        </w:rPr>
        <w:tab/>
      </w:r>
      <w:r>
        <w:rPr>
          <w:bCs/>
        </w:rPr>
        <w:tab/>
      </w:r>
      <w:r>
        <w:rPr>
          <w:bCs/>
        </w:rPr>
        <w:tab/>
      </w:r>
      <w:r>
        <w:rPr>
          <w:bCs/>
        </w:rPr>
        <w:tab/>
      </w:r>
      <w:r>
        <w:rPr>
          <w:bCs/>
        </w:rPr>
        <w:tab/>
      </w:r>
      <w:r w:rsidR="00086935">
        <w:rPr>
          <w:bCs/>
        </w:rPr>
        <w:t>Jesse C. Cowell</w:t>
      </w:r>
      <w:bookmarkStart w:id="0" w:name="_GoBack"/>
      <w:bookmarkEnd w:id="0"/>
    </w:p>
    <w:p w:rsidR="007C3362" w:rsidRDefault="007C3362" w:rsidP="007C3362">
      <w:pPr>
        <w:spacing w:after="0"/>
        <w:rPr>
          <w:bCs/>
        </w:rPr>
      </w:pPr>
    </w:p>
    <w:p w:rsidR="007C3362" w:rsidRDefault="007C3362" w:rsidP="007C3362">
      <w:pPr>
        <w:spacing w:after="0"/>
        <w:rPr>
          <w:bCs/>
        </w:rPr>
      </w:pPr>
    </w:p>
    <w:p w:rsidR="007C3362" w:rsidRDefault="007C3362" w:rsidP="007C3362">
      <w:pPr>
        <w:spacing w:after="0"/>
        <w:rPr>
          <w:bCs/>
        </w:rPr>
      </w:pPr>
      <w:r>
        <w:rPr>
          <w:bCs/>
        </w:rPr>
        <w:t>cc:</w:t>
      </w:r>
      <w:r>
        <w:rPr>
          <w:bCs/>
        </w:rPr>
        <w:tab/>
      </w:r>
      <w:r w:rsidR="00A422A2">
        <w:rPr>
          <w:bCs/>
        </w:rPr>
        <w:t>Sheree Strom Carson</w:t>
      </w:r>
    </w:p>
    <w:p w:rsidR="007C3362" w:rsidRDefault="007C3362" w:rsidP="00A422A2">
      <w:pPr>
        <w:spacing w:after="0"/>
        <w:rPr>
          <w:bCs/>
        </w:rPr>
      </w:pPr>
      <w:r>
        <w:rPr>
          <w:bCs/>
        </w:rPr>
        <w:tab/>
      </w:r>
      <w:r w:rsidR="00A422A2">
        <w:rPr>
          <w:bCs/>
        </w:rPr>
        <w:t>Sally Brown</w:t>
      </w:r>
      <w:r>
        <w:rPr>
          <w:bCs/>
        </w:rPr>
        <w:t xml:space="preserve"> </w:t>
      </w:r>
    </w:p>
    <w:p w:rsidR="007C3362" w:rsidRPr="00897738" w:rsidRDefault="007C3362" w:rsidP="007C3362">
      <w:pPr>
        <w:spacing w:after="0"/>
        <w:rPr>
          <w:rFonts w:ascii="Verdana" w:hAnsi="Verdana"/>
          <w:sz w:val="20"/>
          <w:szCs w:val="20"/>
        </w:rPr>
      </w:pPr>
      <w:r>
        <w:rPr>
          <w:bCs/>
        </w:rPr>
        <w:tab/>
        <w:t xml:space="preserve">Simon ffitch </w:t>
      </w:r>
    </w:p>
    <w:p w:rsidR="006A0E8E" w:rsidRDefault="006A0E8E" w:rsidP="006A0E8E">
      <w:pPr>
        <w:spacing w:after="0"/>
      </w:pPr>
    </w:p>
    <w:sectPr w:rsidR="006A0E8E" w:rsidSect="008354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75" w:rsidRDefault="006D6B75" w:rsidP="008354F9">
      <w:pPr>
        <w:spacing w:after="0"/>
      </w:pPr>
      <w:r>
        <w:separator/>
      </w:r>
    </w:p>
  </w:endnote>
  <w:endnote w:type="continuationSeparator" w:id="0">
    <w:p w:rsidR="006D6B75" w:rsidRDefault="006D6B75" w:rsidP="008354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A6" w:rsidRDefault="00CC0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A6" w:rsidRDefault="00CC0E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A6" w:rsidRDefault="00CC0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75" w:rsidRDefault="006D6B75" w:rsidP="008354F9">
      <w:pPr>
        <w:spacing w:after="0"/>
      </w:pPr>
      <w:r>
        <w:separator/>
      </w:r>
    </w:p>
  </w:footnote>
  <w:footnote w:type="continuationSeparator" w:id="0">
    <w:p w:rsidR="006D6B75" w:rsidRDefault="006D6B75" w:rsidP="008354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A6" w:rsidRDefault="00CC0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75" w:rsidRDefault="006D6B75" w:rsidP="007C3362">
    <w:pPr>
      <w:pStyle w:val="Header"/>
    </w:pPr>
    <w:r>
      <w:t>Commissioners Danner, Jones, and Rendahl</w:t>
    </w:r>
  </w:p>
  <w:p w:rsidR="006D6B75" w:rsidRDefault="005D617A" w:rsidP="007C3362">
    <w:pPr>
      <w:pStyle w:val="Header"/>
    </w:pPr>
    <w:r>
      <w:t xml:space="preserve">March </w:t>
    </w:r>
    <w:r w:rsidR="00CC0EA6">
      <w:t>27</w:t>
    </w:r>
    <w:r w:rsidR="006D6B75">
      <w:t>, 2015</w:t>
    </w:r>
  </w:p>
  <w:p w:rsidR="006D6B75" w:rsidRDefault="006D6B75" w:rsidP="007C3362">
    <w:pPr>
      <w:pStyle w:val="Header"/>
    </w:pPr>
    <w:r>
      <w:t xml:space="preserve">Page </w:t>
    </w:r>
    <w:r w:rsidR="0032498C">
      <w:fldChar w:fldCharType="begin"/>
    </w:r>
    <w:r w:rsidR="00842881">
      <w:instrText xml:space="preserve"> PAGE   \* MERGEFORMAT </w:instrText>
    </w:r>
    <w:r w:rsidR="0032498C">
      <w:fldChar w:fldCharType="separate"/>
    </w:r>
    <w:r w:rsidR="00086935">
      <w:rPr>
        <w:noProof/>
      </w:rPr>
      <w:t>2</w:t>
    </w:r>
    <w:r w:rsidR="0032498C">
      <w:rPr>
        <w:noProof/>
      </w:rPr>
      <w:fldChar w:fldCharType="end"/>
    </w:r>
  </w:p>
  <w:p w:rsidR="006D6B75" w:rsidRDefault="006D6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A6" w:rsidRDefault="00CC0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0E8E"/>
    <w:rsid w:val="00021A53"/>
    <w:rsid w:val="00040163"/>
    <w:rsid w:val="00043B81"/>
    <w:rsid w:val="000573F5"/>
    <w:rsid w:val="00060432"/>
    <w:rsid w:val="00063B75"/>
    <w:rsid w:val="000771D8"/>
    <w:rsid w:val="00086935"/>
    <w:rsid w:val="00087CA4"/>
    <w:rsid w:val="000C564F"/>
    <w:rsid w:val="000D0CEF"/>
    <w:rsid w:val="000E579C"/>
    <w:rsid w:val="000E6187"/>
    <w:rsid w:val="000F4B03"/>
    <w:rsid w:val="000F5552"/>
    <w:rsid w:val="00116331"/>
    <w:rsid w:val="001332BE"/>
    <w:rsid w:val="00135751"/>
    <w:rsid w:val="001777EF"/>
    <w:rsid w:val="001B11AE"/>
    <w:rsid w:val="001B2719"/>
    <w:rsid w:val="001B53D2"/>
    <w:rsid w:val="001B72BA"/>
    <w:rsid w:val="001E18AE"/>
    <w:rsid w:val="001F46A1"/>
    <w:rsid w:val="00211DA9"/>
    <w:rsid w:val="00231125"/>
    <w:rsid w:val="00231A6E"/>
    <w:rsid w:val="00232B09"/>
    <w:rsid w:val="00240566"/>
    <w:rsid w:val="00243452"/>
    <w:rsid w:val="0025261B"/>
    <w:rsid w:val="002564A2"/>
    <w:rsid w:val="00257264"/>
    <w:rsid w:val="00261234"/>
    <w:rsid w:val="002774AB"/>
    <w:rsid w:val="00285770"/>
    <w:rsid w:val="002D0C55"/>
    <w:rsid w:val="002F6486"/>
    <w:rsid w:val="00306080"/>
    <w:rsid w:val="00307425"/>
    <w:rsid w:val="0032498C"/>
    <w:rsid w:val="003552E3"/>
    <w:rsid w:val="003808EC"/>
    <w:rsid w:val="00386FB7"/>
    <w:rsid w:val="003A0391"/>
    <w:rsid w:val="003A3007"/>
    <w:rsid w:val="003A6065"/>
    <w:rsid w:val="003B5746"/>
    <w:rsid w:val="00406EEF"/>
    <w:rsid w:val="004424F1"/>
    <w:rsid w:val="004644D4"/>
    <w:rsid w:val="00477C8F"/>
    <w:rsid w:val="00481113"/>
    <w:rsid w:val="0048733A"/>
    <w:rsid w:val="00493C2E"/>
    <w:rsid w:val="004C1083"/>
    <w:rsid w:val="004C68BB"/>
    <w:rsid w:val="004D1CCA"/>
    <w:rsid w:val="004F3AB5"/>
    <w:rsid w:val="004F6161"/>
    <w:rsid w:val="004F7573"/>
    <w:rsid w:val="00500094"/>
    <w:rsid w:val="00510BA0"/>
    <w:rsid w:val="00511A47"/>
    <w:rsid w:val="00511C26"/>
    <w:rsid w:val="0051200B"/>
    <w:rsid w:val="00523144"/>
    <w:rsid w:val="00545664"/>
    <w:rsid w:val="00553ECD"/>
    <w:rsid w:val="00556B7E"/>
    <w:rsid w:val="0057525A"/>
    <w:rsid w:val="00581D69"/>
    <w:rsid w:val="00594DEE"/>
    <w:rsid w:val="005956A0"/>
    <w:rsid w:val="005B5C7A"/>
    <w:rsid w:val="005D418E"/>
    <w:rsid w:val="005D617A"/>
    <w:rsid w:val="005E6692"/>
    <w:rsid w:val="005F4AF9"/>
    <w:rsid w:val="006142C4"/>
    <w:rsid w:val="0061466C"/>
    <w:rsid w:val="00623E90"/>
    <w:rsid w:val="00666C20"/>
    <w:rsid w:val="0066796D"/>
    <w:rsid w:val="00675702"/>
    <w:rsid w:val="006A0E8E"/>
    <w:rsid w:val="006A4934"/>
    <w:rsid w:val="006B53ED"/>
    <w:rsid w:val="006B56CA"/>
    <w:rsid w:val="006D67A5"/>
    <w:rsid w:val="006D6B75"/>
    <w:rsid w:val="006E543C"/>
    <w:rsid w:val="006E76D5"/>
    <w:rsid w:val="006F58E6"/>
    <w:rsid w:val="00750A33"/>
    <w:rsid w:val="0075754C"/>
    <w:rsid w:val="00757DA9"/>
    <w:rsid w:val="00763BE2"/>
    <w:rsid w:val="00786BE7"/>
    <w:rsid w:val="007910C3"/>
    <w:rsid w:val="007A524A"/>
    <w:rsid w:val="007B2200"/>
    <w:rsid w:val="007C3362"/>
    <w:rsid w:val="007E26AF"/>
    <w:rsid w:val="007E61F3"/>
    <w:rsid w:val="007E7F11"/>
    <w:rsid w:val="00815C8F"/>
    <w:rsid w:val="00826C97"/>
    <w:rsid w:val="00834892"/>
    <w:rsid w:val="008354F9"/>
    <w:rsid w:val="00842881"/>
    <w:rsid w:val="00863158"/>
    <w:rsid w:val="00890264"/>
    <w:rsid w:val="00893CFF"/>
    <w:rsid w:val="00896784"/>
    <w:rsid w:val="008A509F"/>
    <w:rsid w:val="008F6745"/>
    <w:rsid w:val="009260DF"/>
    <w:rsid w:val="00946AEE"/>
    <w:rsid w:val="00955A40"/>
    <w:rsid w:val="00961A7C"/>
    <w:rsid w:val="00972FC0"/>
    <w:rsid w:val="0097600E"/>
    <w:rsid w:val="0099143F"/>
    <w:rsid w:val="00995019"/>
    <w:rsid w:val="00995041"/>
    <w:rsid w:val="009966F6"/>
    <w:rsid w:val="00A06596"/>
    <w:rsid w:val="00A0791C"/>
    <w:rsid w:val="00A11B39"/>
    <w:rsid w:val="00A247D8"/>
    <w:rsid w:val="00A41119"/>
    <w:rsid w:val="00A422A2"/>
    <w:rsid w:val="00A574DE"/>
    <w:rsid w:val="00A73DC8"/>
    <w:rsid w:val="00A84157"/>
    <w:rsid w:val="00A94654"/>
    <w:rsid w:val="00AB485C"/>
    <w:rsid w:val="00B21517"/>
    <w:rsid w:val="00B24168"/>
    <w:rsid w:val="00B265DA"/>
    <w:rsid w:val="00B416D0"/>
    <w:rsid w:val="00B632AB"/>
    <w:rsid w:val="00B74FED"/>
    <w:rsid w:val="00B86FFD"/>
    <w:rsid w:val="00B93276"/>
    <w:rsid w:val="00BA42CD"/>
    <w:rsid w:val="00BC05D7"/>
    <w:rsid w:val="00BD208F"/>
    <w:rsid w:val="00BE59D3"/>
    <w:rsid w:val="00C11895"/>
    <w:rsid w:val="00C2711E"/>
    <w:rsid w:val="00C342B8"/>
    <w:rsid w:val="00C411E4"/>
    <w:rsid w:val="00C460F9"/>
    <w:rsid w:val="00C50982"/>
    <w:rsid w:val="00C60282"/>
    <w:rsid w:val="00C67966"/>
    <w:rsid w:val="00C7029D"/>
    <w:rsid w:val="00CA3A28"/>
    <w:rsid w:val="00CC0EA6"/>
    <w:rsid w:val="00CC0EE9"/>
    <w:rsid w:val="00CD4E8F"/>
    <w:rsid w:val="00D03D1C"/>
    <w:rsid w:val="00D164AC"/>
    <w:rsid w:val="00D261AC"/>
    <w:rsid w:val="00D54057"/>
    <w:rsid w:val="00D63E59"/>
    <w:rsid w:val="00D763EB"/>
    <w:rsid w:val="00D81F5F"/>
    <w:rsid w:val="00D87E1F"/>
    <w:rsid w:val="00DD09C4"/>
    <w:rsid w:val="00DD1F5E"/>
    <w:rsid w:val="00DF2BA3"/>
    <w:rsid w:val="00E01EA5"/>
    <w:rsid w:val="00E048CF"/>
    <w:rsid w:val="00E06A7F"/>
    <w:rsid w:val="00E15482"/>
    <w:rsid w:val="00E16B65"/>
    <w:rsid w:val="00E2768F"/>
    <w:rsid w:val="00E31A03"/>
    <w:rsid w:val="00E34401"/>
    <w:rsid w:val="00E41B37"/>
    <w:rsid w:val="00E57B72"/>
    <w:rsid w:val="00E66F69"/>
    <w:rsid w:val="00E76DAF"/>
    <w:rsid w:val="00F02C29"/>
    <w:rsid w:val="00F050C1"/>
    <w:rsid w:val="00F8015E"/>
    <w:rsid w:val="00FA0457"/>
    <w:rsid w:val="00FA5E2C"/>
    <w:rsid w:val="00FA6755"/>
    <w:rsid w:val="00FC5CAC"/>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6DEC5-936D-41C1-A1E6-4A711F9693D0}"/>
</file>

<file path=customXml/itemProps2.xml><?xml version="1.0" encoding="utf-8"?>
<ds:datastoreItem xmlns:ds="http://schemas.openxmlformats.org/officeDocument/2006/customXml" ds:itemID="{45DEE8AE-2003-4D02-A77D-927924020C75}"/>
</file>

<file path=customXml/itemProps3.xml><?xml version="1.0" encoding="utf-8"?>
<ds:datastoreItem xmlns:ds="http://schemas.openxmlformats.org/officeDocument/2006/customXml" ds:itemID="{3E93A44A-BC78-4EB6-B9FC-5FBEC3C0C35A}"/>
</file>

<file path=customXml/itemProps4.xml><?xml version="1.0" encoding="utf-8"?>
<ds:datastoreItem xmlns:ds="http://schemas.openxmlformats.org/officeDocument/2006/customXml" ds:itemID="{43235DF9-518B-4E1B-82D8-B986E56ED645}"/>
</file>

<file path=customXml/itemProps5.xml><?xml version="1.0" encoding="utf-8"?>
<ds:datastoreItem xmlns:ds="http://schemas.openxmlformats.org/officeDocument/2006/customXml" ds:itemID="{1A896CF4-7399-4A5C-A2D7-E336AC8B90F5}"/>
</file>

<file path=docProps/app.xml><?xml version="1.0" encoding="utf-8"?>
<Properties xmlns="http://schemas.openxmlformats.org/officeDocument/2006/extended-properties" xmlns:vt="http://schemas.openxmlformats.org/officeDocument/2006/docPropsVTypes">
  <Template>Normal</Template>
  <TotalTime>150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Hannah A. Adams</cp:lastModifiedBy>
  <cp:revision>14</cp:revision>
  <cp:lastPrinted>2015-02-24T21:09:00Z</cp:lastPrinted>
  <dcterms:created xsi:type="dcterms:W3CDTF">2015-02-24T18:40:00Z</dcterms:created>
  <dcterms:modified xsi:type="dcterms:W3CDTF">2015-03-27T23:11:00Z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