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5C9" w:rsidRDefault="00A715C9" w:rsidP="00A715C9">
      <w:pPr>
        <w:pStyle w:val="Question"/>
        <w:jc w:val="center"/>
      </w:pPr>
      <w:bookmarkStart w:id="0" w:name="_GoBack"/>
      <w:bookmarkEnd w:id="0"/>
      <w:r>
        <w:t>TABLE OF CONTENTS</w:t>
      </w:r>
    </w:p>
    <w:sdt>
      <w:sdtPr>
        <w:id w:val="1051886626"/>
        <w:docPartObj>
          <w:docPartGallery w:val="Table of Contents"/>
          <w:docPartUnique/>
        </w:docPartObj>
      </w:sdtPr>
      <w:sdtEndPr>
        <w:rPr>
          <w:b/>
          <w:bCs/>
          <w:noProof/>
        </w:rPr>
      </w:sdtEndPr>
      <w:sdtContent>
        <w:p w:rsidR="00391113" w:rsidRDefault="00C01DF4">
          <w:pPr>
            <w:pStyle w:val="TOC1"/>
            <w:tabs>
              <w:tab w:val="right" w:leader="dot" w:pos="899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03712967" w:history="1">
            <w:r w:rsidR="00391113" w:rsidRPr="00125CED">
              <w:rPr>
                <w:rStyle w:val="Hyperlink"/>
                <w:noProof/>
              </w:rPr>
              <w:t>PURPOSE OF TESTIMONY</w:t>
            </w:r>
            <w:r w:rsidR="00391113">
              <w:rPr>
                <w:noProof/>
                <w:webHidden/>
              </w:rPr>
              <w:tab/>
            </w:r>
            <w:r w:rsidR="00391113">
              <w:rPr>
                <w:noProof/>
                <w:webHidden/>
              </w:rPr>
              <w:fldChar w:fldCharType="begin"/>
            </w:r>
            <w:r w:rsidR="00391113">
              <w:rPr>
                <w:noProof/>
                <w:webHidden/>
              </w:rPr>
              <w:instrText xml:space="preserve"> PAGEREF _Toc403712967 \h </w:instrText>
            </w:r>
            <w:r w:rsidR="00391113">
              <w:rPr>
                <w:noProof/>
                <w:webHidden/>
              </w:rPr>
            </w:r>
            <w:r w:rsidR="00391113">
              <w:rPr>
                <w:noProof/>
                <w:webHidden/>
              </w:rPr>
              <w:fldChar w:fldCharType="separate"/>
            </w:r>
            <w:r w:rsidR="008E5964">
              <w:rPr>
                <w:noProof/>
                <w:webHidden/>
              </w:rPr>
              <w:t>1</w:t>
            </w:r>
            <w:r w:rsidR="00391113">
              <w:rPr>
                <w:noProof/>
                <w:webHidden/>
              </w:rPr>
              <w:fldChar w:fldCharType="end"/>
            </w:r>
          </w:hyperlink>
        </w:p>
        <w:p w:rsidR="00391113" w:rsidRDefault="00BC77D7">
          <w:pPr>
            <w:pStyle w:val="TOC1"/>
            <w:tabs>
              <w:tab w:val="right" w:leader="dot" w:pos="8990"/>
            </w:tabs>
            <w:rPr>
              <w:rFonts w:asciiTheme="minorHAnsi" w:eastAsiaTheme="minorEastAsia" w:hAnsiTheme="minorHAnsi" w:cstheme="minorBidi"/>
              <w:noProof/>
              <w:sz w:val="22"/>
              <w:szCs w:val="22"/>
            </w:rPr>
          </w:pPr>
          <w:hyperlink w:anchor="_Toc403712968" w:history="1">
            <w:r w:rsidR="00391113" w:rsidRPr="00125CED">
              <w:rPr>
                <w:rStyle w:val="Hyperlink"/>
                <w:noProof/>
              </w:rPr>
              <w:t>POLICY OVERVIEW</w:t>
            </w:r>
            <w:r w:rsidR="00391113">
              <w:rPr>
                <w:noProof/>
                <w:webHidden/>
              </w:rPr>
              <w:tab/>
            </w:r>
            <w:r w:rsidR="00391113">
              <w:rPr>
                <w:noProof/>
                <w:webHidden/>
              </w:rPr>
              <w:fldChar w:fldCharType="begin"/>
            </w:r>
            <w:r w:rsidR="00391113">
              <w:rPr>
                <w:noProof/>
                <w:webHidden/>
              </w:rPr>
              <w:instrText xml:space="preserve"> PAGEREF _Toc403712968 \h </w:instrText>
            </w:r>
            <w:r w:rsidR="00391113">
              <w:rPr>
                <w:noProof/>
                <w:webHidden/>
              </w:rPr>
            </w:r>
            <w:r w:rsidR="00391113">
              <w:rPr>
                <w:noProof/>
                <w:webHidden/>
              </w:rPr>
              <w:fldChar w:fldCharType="separate"/>
            </w:r>
            <w:r w:rsidR="008E5964">
              <w:rPr>
                <w:noProof/>
                <w:webHidden/>
              </w:rPr>
              <w:t>2</w:t>
            </w:r>
            <w:r w:rsidR="00391113">
              <w:rPr>
                <w:noProof/>
                <w:webHidden/>
              </w:rPr>
              <w:fldChar w:fldCharType="end"/>
            </w:r>
          </w:hyperlink>
        </w:p>
        <w:p w:rsidR="00391113" w:rsidRDefault="00BC77D7">
          <w:pPr>
            <w:pStyle w:val="TOC1"/>
            <w:tabs>
              <w:tab w:val="right" w:leader="dot" w:pos="8990"/>
            </w:tabs>
            <w:rPr>
              <w:rFonts w:asciiTheme="minorHAnsi" w:eastAsiaTheme="minorEastAsia" w:hAnsiTheme="minorHAnsi" w:cstheme="minorBidi"/>
              <w:noProof/>
              <w:sz w:val="22"/>
              <w:szCs w:val="22"/>
            </w:rPr>
          </w:pPr>
          <w:hyperlink w:anchor="_Toc403712969" w:history="1">
            <w:r w:rsidR="00391113" w:rsidRPr="00125CED">
              <w:rPr>
                <w:rStyle w:val="Hyperlink"/>
                <w:noProof/>
              </w:rPr>
              <w:t>PRO FORMA CAPITAL ADDITIONS</w:t>
            </w:r>
            <w:r w:rsidR="00391113">
              <w:rPr>
                <w:noProof/>
                <w:webHidden/>
              </w:rPr>
              <w:tab/>
            </w:r>
            <w:r w:rsidR="00391113">
              <w:rPr>
                <w:noProof/>
                <w:webHidden/>
              </w:rPr>
              <w:fldChar w:fldCharType="begin"/>
            </w:r>
            <w:r w:rsidR="00391113">
              <w:rPr>
                <w:noProof/>
                <w:webHidden/>
              </w:rPr>
              <w:instrText xml:space="preserve"> PAGEREF _Toc403712969 \h </w:instrText>
            </w:r>
            <w:r w:rsidR="00391113">
              <w:rPr>
                <w:noProof/>
                <w:webHidden/>
              </w:rPr>
            </w:r>
            <w:r w:rsidR="00391113">
              <w:rPr>
                <w:noProof/>
                <w:webHidden/>
              </w:rPr>
              <w:fldChar w:fldCharType="separate"/>
            </w:r>
            <w:r w:rsidR="008E5964">
              <w:rPr>
                <w:noProof/>
                <w:webHidden/>
              </w:rPr>
              <w:t>9</w:t>
            </w:r>
            <w:r w:rsidR="00391113">
              <w:rPr>
                <w:noProof/>
                <w:webHidden/>
              </w:rPr>
              <w:fldChar w:fldCharType="end"/>
            </w:r>
          </w:hyperlink>
        </w:p>
        <w:p w:rsidR="00391113" w:rsidRDefault="00BC77D7">
          <w:pPr>
            <w:pStyle w:val="TOC1"/>
            <w:tabs>
              <w:tab w:val="right" w:leader="dot" w:pos="8990"/>
            </w:tabs>
            <w:rPr>
              <w:rFonts w:asciiTheme="minorHAnsi" w:eastAsiaTheme="minorEastAsia" w:hAnsiTheme="minorHAnsi" w:cstheme="minorBidi"/>
              <w:noProof/>
              <w:sz w:val="22"/>
              <w:szCs w:val="22"/>
            </w:rPr>
          </w:pPr>
          <w:hyperlink w:anchor="_Toc403712970" w:history="1">
            <w:r w:rsidR="00391113" w:rsidRPr="00125CED">
              <w:rPr>
                <w:rStyle w:val="Hyperlink"/>
                <w:noProof/>
              </w:rPr>
              <w:t>END-OF-PERIOD RATE BASE BALANCES</w:t>
            </w:r>
            <w:r w:rsidR="00391113">
              <w:rPr>
                <w:noProof/>
                <w:webHidden/>
              </w:rPr>
              <w:tab/>
            </w:r>
            <w:r w:rsidR="00391113">
              <w:rPr>
                <w:noProof/>
                <w:webHidden/>
              </w:rPr>
              <w:fldChar w:fldCharType="begin"/>
            </w:r>
            <w:r w:rsidR="00391113">
              <w:rPr>
                <w:noProof/>
                <w:webHidden/>
              </w:rPr>
              <w:instrText xml:space="preserve"> PAGEREF _Toc403712970 \h </w:instrText>
            </w:r>
            <w:r w:rsidR="00391113">
              <w:rPr>
                <w:noProof/>
                <w:webHidden/>
              </w:rPr>
            </w:r>
            <w:r w:rsidR="00391113">
              <w:rPr>
                <w:noProof/>
                <w:webHidden/>
              </w:rPr>
              <w:fldChar w:fldCharType="separate"/>
            </w:r>
            <w:r w:rsidR="008E5964">
              <w:rPr>
                <w:noProof/>
                <w:webHidden/>
              </w:rPr>
              <w:t>10</w:t>
            </w:r>
            <w:r w:rsidR="00391113">
              <w:rPr>
                <w:noProof/>
                <w:webHidden/>
              </w:rPr>
              <w:fldChar w:fldCharType="end"/>
            </w:r>
          </w:hyperlink>
        </w:p>
        <w:p w:rsidR="00391113" w:rsidRDefault="00BC77D7">
          <w:pPr>
            <w:pStyle w:val="TOC1"/>
            <w:tabs>
              <w:tab w:val="right" w:leader="dot" w:pos="8990"/>
            </w:tabs>
            <w:rPr>
              <w:rFonts w:asciiTheme="minorHAnsi" w:eastAsiaTheme="minorEastAsia" w:hAnsiTheme="minorHAnsi" w:cstheme="minorBidi"/>
              <w:noProof/>
              <w:sz w:val="22"/>
              <w:szCs w:val="22"/>
            </w:rPr>
          </w:pPr>
          <w:hyperlink w:anchor="_Toc403712971" w:history="1">
            <w:r w:rsidR="00391113" w:rsidRPr="00125CED">
              <w:rPr>
                <w:rStyle w:val="Hyperlink"/>
                <w:noProof/>
              </w:rPr>
              <w:t>IHS GLOBAL INSIGHT INDICES</w:t>
            </w:r>
            <w:r w:rsidR="00391113">
              <w:rPr>
                <w:noProof/>
                <w:webHidden/>
              </w:rPr>
              <w:tab/>
            </w:r>
            <w:r w:rsidR="00391113">
              <w:rPr>
                <w:noProof/>
                <w:webHidden/>
              </w:rPr>
              <w:fldChar w:fldCharType="begin"/>
            </w:r>
            <w:r w:rsidR="00391113">
              <w:rPr>
                <w:noProof/>
                <w:webHidden/>
              </w:rPr>
              <w:instrText xml:space="preserve"> PAGEREF _Toc403712971 \h </w:instrText>
            </w:r>
            <w:r w:rsidR="00391113">
              <w:rPr>
                <w:noProof/>
                <w:webHidden/>
              </w:rPr>
            </w:r>
            <w:r w:rsidR="00391113">
              <w:rPr>
                <w:noProof/>
                <w:webHidden/>
              </w:rPr>
              <w:fldChar w:fldCharType="separate"/>
            </w:r>
            <w:r w:rsidR="008E5964">
              <w:rPr>
                <w:noProof/>
                <w:webHidden/>
              </w:rPr>
              <w:t>11</w:t>
            </w:r>
            <w:r w:rsidR="00391113">
              <w:rPr>
                <w:noProof/>
                <w:webHidden/>
              </w:rPr>
              <w:fldChar w:fldCharType="end"/>
            </w:r>
          </w:hyperlink>
        </w:p>
        <w:p w:rsidR="00391113" w:rsidRDefault="00BC77D7">
          <w:pPr>
            <w:pStyle w:val="TOC1"/>
            <w:tabs>
              <w:tab w:val="right" w:leader="dot" w:pos="8990"/>
            </w:tabs>
            <w:rPr>
              <w:rFonts w:asciiTheme="minorHAnsi" w:eastAsiaTheme="minorEastAsia" w:hAnsiTheme="minorHAnsi" w:cstheme="minorBidi"/>
              <w:noProof/>
              <w:sz w:val="22"/>
              <w:szCs w:val="22"/>
            </w:rPr>
          </w:pPr>
          <w:hyperlink w:anchor="_Toc403712972" w:history="1">
            <w:r w:rsidR="00391113" w:rsidRPr="00125CED">
              <w:rPr>
                <w:rStyle w:val="Hyperlink"/>
                <w:noProof/>
              </w:rPr>
              <w:t>DEFERRED ACCOUNTING REQUESTS</w:t>
            </w:r>
            <w:r w:rsidR="00391113">
              <w:rPr>
                <w:noProof/>
                <w:webHidden/>
              </w:rPr>
              <w:tab/>
            </w:r>
            <w:r w:rsidR="00391113">
              <w:rPr>
                <w:noProof/>
                <w:webHidden/>
              </w:rPr>
              <w:fldChar w:fldCharType="begin"/>
            </w:r>
            <w:r w:rsidR="00391113">
              <w:rPr>
                <w:noProof/>
                <w:webHidden/>
              </w:rPr>
              <w:instrText xml:space="preserve"> PAGEREF _Toc403712972 \h </w:instrText>
            </w:r>
            <w:r w:rsidR="00391113">
              <w:rPr>
                <w:noProof/>
                <w:webHidden/>
              </w:rPr>
            </w:r>
            <w:r w:rsidR="00391113">
              <w:rPr>
                <w:noProof/>
                <w:webHidden/>
              </w:rPr>
              <w:fldChar w:fldCharType="separate"/>
            </w:r>
            <w:r w:rsidR="008E5964">
              <w:rPr>
                <w:noProof/>
                <w:webHidden/>
              </w:rPr>
              <w:t>13</w:t>
            </w:r>
            <w:r w:rsidR="00391113">
              <w:rPr>
                <w:noProof/>
                <w:webHidden/>
              </w:rPr>
              <w:fldChar w:fldCharType="end"/>
            </w:r>
          </w:hyperlink>
        </w:p>
        <w:p w:rsidR="00391113" w:rsidRDefault="00BC77D7">
          <w:pPr>
            <w:pStyle w:val="TOC1"/>
            <w:tabs>
              <w:tab w:val="right" w:leader="dot" w:pos="8990"/>
            </w:tabs>
            <w:rPr>
              <w:rFonts w:asciiTheme="minorHAnsi" w:eastAsiaTheme="minorEastAsia" w:hAnsiTheme="minorHAnsi" w:cstheme="minorBidi"/>
              <w:noProof/>
              <w:sz w:val="22"/>
              <w:szCs w:val="22"/>
            </w:rPr>
          </w:pPr>
          <w:hyperlink w:anchor="_Toc403712973" w:history="1">
            <w:r w:rsidR="00391113" w:rsidRPr="00125CED">
              <w:rPr>
                <w:rStyle w:val="Hyperlink"/>
                <w:noProof/>
              </w:rPr>
              <w:t>CONCLUSION</w:t>
            </w:r>
            <w:r w:rsidR="00391113">
              <w:rPr>
                <w:noProof/>
                <w:webHidden/>
              </w:rPr>
              <w:tab/>
            </w:r>
            <w:r w:rsidR="00391113">
              <w:rPr>
                <w:noProof/>
                <w:webHidden/>
              </w:rPr>
              <w:fldChar w:fldCharType="begin"/>
            </w:r>
            <w:r w:rsidR="00391113">
              <w:rPr>
                <w:noProof/>
                <w:webHidden/>
              </w:rPr>
              <w:instrText xml:space="preserve"> PAGEREF _Toc403712973 \h </w:instrText>
            </w:r>
            <w:r w:rsidR="00391113">
              <w:rPr>
                <w:noProof/>
                <w:webHidden/>
              </w:rPr>
            </w:r>
            <w:r w:rsidR="00391113">
              <w:rPr>
                <w:noProof/>
                <w:webHidden/>
              </w:rPr>
              <w:fldChar w:fldCharType="separate"/>
            </w:r>
            <w:r w:rsidR="008E5964">
              <w:rPr>
                <w:noProof/>
                <w:webHidden/>
              </w:rPr>
              <w:t>14</w:t>
            </w:r>
            <w:r w:rsidR="00391113">
              <w:rPr>
                <w:noProof/>
                <w:webHidden/>
              </w:rPr>
              <w:fldChar w:fldCharType="end"/>
            </w:r>
          </w:hyperlink>
        </w:p>
        <w:p w:rsidR="00C01DF4" w:rsidRDefault="00C01DF4">
          <w:pPr>
            <w:rPr>
              <w:b/>
              <w:bCs/>
              <w:noProof/>
            </w:rPr>
          </w:pPr>
          <w:r>
            <w:rPr>
              <w:b/>
              <w:bCs/>
              <w:noProof/>
            </w:rPr>
            <w:fldChar w:fldCharType="end"/>
          </w:r>
        </w:p>
        <w:p w:rsidR="00C01DF4" w:rsidRDefault="00BC77D7"/>
      </w:sdtContent>
    </w:sdt>
    <w:p w:rsidR="00A715C9" w:rsidRDefault="008E085A" w:rsidP="00A715C9">
      <w:pPr>
        <w:pStyle w:val="Question"/>
        <w:jc w:val="center"/>
      </w:pPr>
      <w:r>
        <w:t>ATTACHED EXHIBIT</w:t>
      </w:r>
      <w:r w:rsidR="00C01DF4">
        <w:t>S</w:t>
      </w:r>
    </w:p>
    <w:p w:rsidR="00A715C9" w:rsidRPr="00A715C9" w:rsidRDefault="00A715C9" w:rsidP="00165E82">
      <w:pPr>
        <w:pStyle w:val="Question"/>
        <w:tabs>
          <w:tab w:val="left" w:pos="2160"/>
        </w:tabs>
        <w:spacing w:line="240" w:lineRule="auto"/>
        <w:ind w:left="0" w:firstLine="0"/>
        <w:jc w:val="left"/>
        <w:rPr>
          <w:b w:val="0"/>
        </w:rPr>
      </w:pPr>
      <w:r w:rsidRPr="00A715C9">
        <w:rPr>
          <w:b w:val="0"/>
        </w:rPr>
        <w:t>Exhibit No.</w:t>
      </w:r>
      <w:r w:rsidR="00981A63">
        <w:rPr>
          <w:b w:val="0"/>
        </w:rPr>
        <w:t xml:space="preserve"> </w:t>
      </w:r>
      <w:r w:rsidRPr="00A715C9">
        <w:rPr>
          <w:b w:val="0"/>
        </w:rPr>
        <w:t>RBD-</w:t>
      </w:r>
      <w:r w:rsidR="00B409F0">
        <w:rPr>
          <w:b w:val="0"/>
        </w:rPr>
        <w:t>4</w:t>
      </w:r>
      <w:r w:rsidR="00D5473A">
        <w:rPr>
          <w:b w:val="0"/>
        </w:rPr>
        <w:t>—P</w:t>
      </w:r>
      <w:r w:rsidR="004C1440" w:rsidRPr="004C1440">
        <w:rPr>
          <w:b w:val="0"/>
        </w:rPr>
        <w:t>acific Coast Action Plan on Clima</w:t>
      </w:r>
      <w:r w:rsidR="00C01DF4">
        <w:rPr>
          <w:b w:val="0"/>
        </w:rPr>
        <w:t>te and Energy (Oct. 28, 2013)</w:t>
      </w:r>
    </w:p>
    <w:p w:rsidR="00A715C9" w:rsidRPr="00C01DF4" w:rsidRDefault="005F7B0C" w:rsidP="00165E82">
      <w:pPr>
        <w:pStyle w:val="Question"/>
        <w:spacing w:line="240" w:lineRule="auto"/>
        <w:jc w:val="left"/>
        <w:rPr>
          <w:b w:val="0"/>
        </w:rPr>
      </w:pPr>
      <w:r>
        <w:rPr>
          <w:b w:val="0"/>
        </w:rPr>
        <w:t xml:space="preserve">Confidential </w:t>
      </w:r>
      <w:r w:rsidR="00C01DF4" w:rsidRPr="00C01DF4">
        <w:rPr>
          <w:b w:val="0"/>
        </w:rPr>
        <w:t>Exhibit No. RBD-5</w:t>
      </w:r>
      <w:r>
        <w:rPr>
          <w:b w:val="0"/>
        </w:rPr>
        <w:t>C</w:t>
      </w:r>
      <w:r w:rsidR="00D5473A">
        <w:rPr>
          <w:b w:val="0"/>
        </w:rPr>
        <w:t>—I</w:t>
      </w:r>
      <w:r w:rsidR="00C01DF4" w:rsidRPr="00C01DF4">
        <w:rPr>
          <w:b w:val="0"/>
        </w:rPr>
        <w:t>HS Global Insight—“The Power Planner”</w:t>
      </w:r>
    </w:p>
    <w:p w:rsidR="00A715C9" w:rsidRPr="00C01DF4" w:rsidRDefault="00A715C9" w:rsidP="005F7B0C">
      <w:pPr>
        <w:pStyle w:val="Question"/>
        <w:jc w:val="center"/>
        <w:rPr>
          <w:b w:val="0"/>
        </w:rPr>
      </w:pPr>
    </w:p>
    <w:p w:rsidR="00A715C9" w:rsidRPr="00C01DF4" w:rsidRDefault="00A715C9" w:rsidP="00D30E52">
      <w:pPr>
        <w:pStyle w:val="Question"/>
        <w:jc w:val="left"/>
        <w:rPr>
          <w:b w:val="0"/>
        </w:rPr>
      </w:pPr>
    </w:p>
    <w:p w:rsidR="00A715C9" w:rsidRDefault="00A715C9" w:rsidP="00D30E52">
      <w:pPr>
        <w:pStyle w:val="Question"/>
        <w:jc w:val="left"/>
      </w:pPr>
    </w:p>
    <w:p w:rsidR="00A715C9" w:rsidRDefault="00A715C9" w:rsidP="00D30E52">
      <w:pPr>
        <w:pStyle w:val="Question"/>
        <w:jc w:val="left"/>
        <w:sectPr w:rsidR="00A715C9" w:rsidSect="0019074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0"/>
          <w:pgNumType w:fmt="lowerRoman" w:start="1"/>
          <w:cols w:space="720"/>
          <w:docGrid w:linePitch="360"/>
        </w:sectPr>
      </w:pPr>
    </w:p>
    <w:p w:rsidR="00143AE5" w:rsidRPr="00BF20EE" w:rsidRDefault="00143AE5" w:rsidP="00D30E52">
      <w:pPr>
        <w:pStyle w:val="Question"/>
        <w:jc w:val="left"/>
      </w:pPr>
      <w:r w:rsidRPr="00BF20EE">
        <w:lastRenderedPageBreak/>
        <w:t>Q.</w:t>
      </w:r>
      <w:r w:rsidRPr="00BF20EE">
        <w:tab/>
      </w:r>
      <w:r w:rsidR="008114D7">
        <w:t xml:space="preserve">Are you the same R. Bryce Dalley </w:t>
      </w:r>
      <w:r w:rsidR="00C84079">
        <w:t>who</w:t>
      </w:r>
      <w:r w:rsidR="008114D7">
        <w:t xml:space="preserve"> previously submitted direct testimony </w:t>
      </w:r>
      <w:r w:rsidR="000A6311">
        <w:t xml:space="preserve">in this case </w:t>
      </w:r>
      <w:r w:rsidR="008114D7">
        <w:t xml:space="preserve">on behalf of </w:t>
      </w:r>
      <w:r w:rsidR="00A22AEC">
        <w:t xml:space="preserve">Pacific Power &amp; Light Company </w:t>
      </w:r>
      <w:r w:rsidRPr="00BF20EE">
        <w:t>(</w:t>
      </w:r>
      <w:r w:rsidR="00D824FA">
        <w:t>Pacifi</w:t>
      </w:r>
      <w:r w:rsidR="002551FE">
        <w:t>c Power</w:t>
      </w:r>
      <w:r w:rsidR="00D824FA">
        <w:t xml:space="preserve"> or</w:t>
      </w:r>
      <w:r w:rsidR="00A22AEC">
        <w:t xml:space="preserve"> </w:t>
      </w:r>
      <w:r w:rsidR="002551FE">
        <w:t>Com</w:t>
      </w:r>
      <w:r w:rsidR="008114D7">
        <w:t>pany), a division of PacifiCorp?</w:t>
      </w:r>
    </w:p>
    <w:p w:rsidR="00143AE5" w:rsidRPr="00BF20EE" w:rsidRDefault="00143AE5" w:rsidP="00D30E52">
      <w:pPr>
        <w:pStyle w:val="Answer"/>
        <w:jc w:val="left"/>
      </w:pPr>
      <w:r w:rsidRPr="00BF20EE">
        <w:t>A.</w:t>
      </w:r>
      <w:r w:rsidRPr="00BF20EE">
        <w:tab/>
      </w:r>
      <w:r w:rsidR="008114D7">
        <w:t>Yes</w:t>
      </w:r>
      <w:r w:rsidRPr="00BF20EE">
        <w:t>.</w:t>
      </w:r>
    </w:p>
    <w:p w:rsidR="00F21BD7" w:rsidRPr="00391113" w:rsidRDefault="002551FE" w:rsidP="00391113">
      <w:pPr>
        <w:pStyle w:val="Heading1"/>
      </w:pPr>
      <w:bookmarkStart w:id="1" w:name="_Toc386469973"/>
      <w:bookmarkStart w:id="2" w:name="_Toc403712967"/>
      <w:r w:rsidRPr="00391113">
        <w:t>PURPOSE OF TESTIMONY</w:t>
      </w:r>
      <w:bookmarkEnd w:id="1"/>
      <w:bookmarkEnd w:id="2"/>
    </w:p>
    <w:p w:rsidR="00143AE5" w:rsidRPr="00BF20EE" w:rsidRDefault="00143AE5" w:rsidP="005347AF">
      <w:pPr>
        <w:pStyle w:val="Question"/>
        <w:widowControl w:val="0"/>
        <w:jc w:val="left"/>
      </w:pPr>
      <w:r w:rsidRPr="00BF20EE">
        <w:t>Q.</w:t>
      </w:r>
      <w:r w:rsidRPr="00BF20EE">
        <w:tab/>
        <w:t>What</w:t>
      </w:r>
      <w:r w:rsidR="00A22AEC">
        <w:t xml:space="preserve"> </w:t>
      </w:r>
      <w:r w:rsidRPr="00BF20EE">
        <w:t>is</w:t>
      </w:r>
      <w:r w:rsidR="00A22AEC">
        <w:t xml:space="preserve"> </w:t>
      </w:r>
      <w:r w:rsidRPr="00BF20EE">
        <w:t>the</w:t>
      </w:r>
      <w:r w:rsidR="00A22AEC">
        <w:t xml:space="preserve"> </w:t>
      </w:r>
      <w:r w:rsidRPr="00BF20EE">
        <w:t>purpose</w:t>
      </w:r>
      <w:r w:rsidR="00A22AEC">
        <w:t xml:space="preserve"> </w:t>
      </w:r>
      <w:r w:rsidRPr="00BF20EE">
        <w:t>of</w:t>
      </w:r>
      <w:r w:rsidR="00A22AEC">
        <w:t xml:space="preserve"> </w:t>
      </w:r>
      <w:r w:rsidRPr="00BF20EE">
        <w:t>your</w:t>
      </w:r>
      <w:r w:rsidR="008114D7">
        <w:t xml:space="preserve"> rebuttal</w:t>
      </w:r>
      <w:r w:rsidR="00A22AEC">
        <w:t xml:space="preserve"> </w:t>
      </w:r>
      <w:r w:rsidRPr="00BF20EE">
        <w:t>testimony</w:t>
      </w:r>
      <w:r w:rsidR="00A22AEC">
        <w:t xml:space="preserve"> </w:t>
      </w:r>
      <w:r w:rsidRPr="00BF20EE">
        <w:t>in</w:t>
      </w:r>
      <w:r w:rsidR="00A22AEC">
        <w:t xml:space="preserve"> </w:t>
      </w:r>
      <w:r w:rsidR="00EC3F55">
        <w:t>this</w:t>
      </w:r>
      <w:r w:rsidR="00A22AEC">
        <w:t xml:space="preserve"> </w:t>
      </w:r>
      <w:r w:rsidR="00EC3F55">
        <w:t>case</w:t>
      </w:r>
      <w:r w:rsidRPr="00BF20EE">
        <w:t>?</w:t>
      </w:r>
    </w:p>
    <w:p w:rsidR="00410A71" w:rsidRDefault="00143AE5" w:rsidP="00410A71">
      <w:pPr>
        <w:pStyle w:val="Answer"/>
        <w:widowControl w:val="0"/>
        <w:jc w:val="left"/>
      </w:pPr>
      <w:r w:rsidRPr="00BF20EE">
        <w:t>A.</w:t>
      </w:r>
      <w:r w:rsidRPr="00BF20EE">
        <w:tab/>
      </w:r>
      <w:r w:rsidR="00A715C9">
        <w:t xml:space="preserve">My </w:t>
      </w:r>
      <w:r w:rsidR="00C84079">
        <w:t xml:space="preserve">rebuttal </w:t>
      </w:r>
      <w:r w:rsidR="00A715C9">
        <w:t xml:space="preserve">testimony </w:t>
      </w:r>
      <w:r w:rsidR="00C84079">
        <w:t xml:space="preserve">responds to the regulatory policy issues raised in the testimonies of Staff of the Washington Utilities and Transportation Commission (Commission), </w:t>
      </w:r>
      <w:r w:rsidR="00692116">
        <w:t xml:space="preserve">the </w:t>
      </w:r>
      <w:r w:rsidR="00C84079">
        <w:t>Public Counsel</w:t>
      </w:r>
      <w:r w:rsidR="00692116">
        <w:t xml:space="preserve"> Division of the Attorney General’s Office (Public Counsel)</w:t>
      </w:r>
      <w:r w:rsidR="00C84079">
        <w:t xml:space="preserve">, and Boise White Paper, </w:t>
      </w:r>
      <w:r w:rsidR="00DD2C16">
        <w:t>LLC</w:t>
      </w:r>
      <w:r w:rsidR="00C84079">
        <w:t xml:space="preserve"> (Boise).  I also discuss current trends in the electric industry as a whole that require a supportive regulatory environment for investor-owned utilities like Pacific Power.</w:t>
      </w:r>
    </w:p>
    <w:p w:rsidR="005F6CD4" w:rsidRDefault="005F6CD4" w:rsidP="00410A71">
      <w:pPr>
        <w:pStyle w:val="Answer"/>
        <w:widowControl w:val="0"/>
        <w:jc w:val="left"/>
        <w:rPr>
          <w:b/>
        </w:rPr>
      </w:pPr>
      <w:r w:rsidRPr="005F6CD4">
        <w:rPr>
          <w:b/>
        </w:rPr>
        <w:t>Q.</w:t>
      </w:r>
      <w:r w:rsidRPr="005F6CD4">
        <w:rPr>
          <w:b/>
        </w:rPr>
        <w:tab/>
      </w:r>
      <w:r w:rsidR="008F4BBC">
        <w:rPr>
          <w:b/>
        </w:rPr>
        <w:t>Has the Company’s recommended reve</w:t>
      </w:r>
      <w:r w:rsidR="00391113">
        <w:rPr>
          <w:b/>
        </w:rPr>
        <w:t>nue requirement increase changed</w:t>
      </w:r>
      <w:r w:rsidR="008F4BBC">
        <w:rPr>
          <w:b/>
        </w:rPr>
        <w:t xml:space="preserve"> in its rebuttal filing?</w:t>
      </w:r>
    </w:p>
    <w:p w:rsidR="008F4BBC" w:rsidRPr="008F4BBC" w:rsidRDefault="008F4BBC" w:rsidP="00D64822">
      <w:pPr>
        <w:pStyle w:val="Answer"/>
        <w:jc w:val="left"/>
      </w:pPr>
      <w:r w:rsidRPr="008F4BBC">
        <w:t>A.</w:t>
      </w:r>
      <w:r w:rsidRPr="008F4BBC">
        <w:tab/>
        <w:t xml:space="preserve">Yes.  </w:t>
      </w:r>
      <w:r>
        <w:t>As discussed in the rebuttal testimony of Ms. Natasha C. Siores, an overall base price increase of $31.9 million is required to produce the 10.0 percent return on equity (ROE) requested in this case.  This is an increase from the $27.2 million requested in the initial filing and is driven</w:t>
      </w:r>
      <w:r w:rsidR="00D64822">
        <w:t xml:space="preserve"> primarily by</w:t>
      </w:r>
      <w:r>
        <w:t xml:space="preserve"> the Company’s net power cost</w:t>
      </w:r>
      <w:r w:rsidR="00D64822">
        <w:t xml:space="preserve"> update</w:t>
      </w:r>
      <w:r>
        <w:t xml:space="preserve">, which </w:t>
      </w:r>
      <w:r w:rsidR="00D64822">
        <w:t>is</w:t>
      </w:r>
      <w:r>
        <w:t xml:space="preserve"> addressed in the rebuttal testimonies of Mr. Gregory N. Duvall and Ms. Cindy A. Crane.  As noted by Mr. Duvall, because this update is occurring in rebuttal testimony, the Company does not object to parties addressing the Company’s net power cost update in supplemental pre-filed testimony or in testimony at the </w:t>
      </w:r>
      <w:r>
        <w:lastRenderedPageBreak/>
        <w:t>hearing, pro</w:t>
      </w:r>
      <w:r w:rsidR="00D64822">
        <w:t xml:space="preserve">vided the Company is given the opportunity </w:t>
      </w:r>
      <w:r>
        <w:t xml:space="preserve">to respond </w:t>
      </w:r>
      <w:r w:rsidR="00D64822">
        <w:t>through written or oral testimony</w:t>
      </w:r>
      <w:r>
        <w:t>.</w:t>
      </w:r>
    </w:p>
    <w:p w:rsidR="00B409F0" w:rsidRPr="0019074B" w:rsidRDefault="00B409F0" w:rsidP="0019074B">
      <w:pPr>
        <w:pStyle w:val="Heading1"/>
      </w:pPr>
      <w:bookmarkStart w:id="3" w:name="_Toc403712968"/>
      <w:bookmarkStart w:id="4" w:name="_Toc386469982"/>
      <w:r w:rsidRPr="0019074B">
        <w:t>POLICY OVERVIEW</w:t>
      </w:r>
      <w:bookmarkEnd w:id="3"/>
    </w:p>
    <w:p w:rsidR="00B409F0" w:rsidRPr="00B409F0" w:rsidRDefault="00B409F0" w:rsidP="00B409F0">
      <w:pPr>
        <w:tabs>
          <w:tab w:val="left" w:pos="720"/>
        </w:tabs>
        <w:spacing w:line="480" w:lineRule="auto"/>
        <w:ind w:left="720" w:hanging="720"/>
        <w:jc w:val="left"/>
        <w:rPr>
          <w:szCs w:val="20"/>
        </w:rPr>
      </w:pPr>
      <w:r w:rsidRPr="00B409F0">
        <w:rPr>
          <w:b/>
          <w:szCs w:val="20"/>
        </w:rPr>
        <w:t>Q.</w:t>
      </w:r>
      <w:r w:rsidRPr="00B409F0">
        <w:rPr>
          <w:b/>
          <w:szCs w:val="20"/>
        </w:rPr>
        <w:tab/>
        <w:t xml:space="preserve">Please address </w:t>
      </w:r>
      <w:r w:rsidR="00C84079">
        <w:rPr>
          <w:b/>
          <w:szCs w:val="20"/>
        </w:rPr>
        <w:t>the current critical policy issues facing the Company.</w:t>
      </w:r>
    </w:p>
    <w:p w:rsidR="004C1440" w:rsidRDefault="00B409F0" w:rsidP="00B409F0">
      <w:pPr>
        <w:tabs>
          <w:tab w:val="left" w:pos="720"/>
        </w:tabs>
        <w:spacing w:line="480" w:lineRule="auto"/>
        <w:ind w:left="720" w:hanging="720"/>
        <w:jc w:val="left"/>
        <w:rPr>
          <w:szCs w:val="20"/>
        </w:rPr>
      </w:pPr>
      <w:r w:rsidRPr="00B409F0">
        <w:rPr>
          <w:szCs w:val="20"/>
        </w:rPr>
        <w:t>A.</w:t>
      </w:r>
      <w:r w:rsidRPr="00B409F0">
        <w:rPr>
          <w:szCs w:val="20"/>
        </w:rPr>
        <w:tab/>
        <w:t xml:space="preserve">Along with the electric industry as a whole, the Company is in the midst of a period of significant transformation.  In response to environmental concerns, Washington, like many states, has adopted new laws fast-tracking the development of renewable resources and distributed generation to produce carbon-free electricity, </w:t>
      </w:r>
      <w:r w:rsidR="00C84079">
        <w:rPr>
          <w:szCs w:val="20"/>
        </w:rPr>
        <w:t>reduce the carbon intensity of the</w:t>
      </w:r>
      <w:r w:rsidRPr="00B409F0">
        <w:rPr>
          <w:szCs w:val="20"/>
        </w:rPr>
        <w:t xml:space="preserve"> electric grid</w:t>
      </w:r>
      <w:r w:rsidR="00C84079">
        <w:rPr>
          <w:szCs w:val="20"/>
        </w:rPr>
        <w:t>,</w:t>
      </w:r>
      <w:r w:rsidRPr="00B409F0">
        <w:rPr>
          <w:szCs w:val="20"/>
        </w:rPr>
        <w:t xml:space="preserve"> and replace coal-fired generation.</w:t>
      </w:r>
    </w:p>
    <w:p w:rsidR="00B409F0" w:rsidRPr="00B409F0" w:rsidRDefault="004C1440" w:rsidP="00B409F0">
      <w:pPr>
        <w:tabs>
          <w:tab w:val="left" w:pos="720"/>
        </w:tabs>
        <w:spacing w:line="480" w:lineRule="auto"/>
        <w:ind w:left="720" w:hanging="720"/>
        <w:jc w:val="left"/>
        <w:rPr>
          <w:szCs w:val="20"/>
        </w:rPr>
      </w:pPr>
      <w:r>
        <w:rPr>
          <w:szCs w:val="20"/>
        </w:rPr>
        <w:tab/>
      </w:r>
      <w:r>
        <w:rPr>
          <w:szCs w:val="20"/>
        </w:rPr>
        <w:tab/>
      </w:r>
      <w:r w:rsidR="00B409F0" w:rsidRPr="00B409F0">
        <w:rPr>
          <w:szCs w:val="20"/>
        </w:rPr>
        <w:t>These policy changes have created</w:t>
      </w:r>
      <w:r w:rsidR="00C84079">
        <w:rPr>
          <w:szCs w:val="20"/>
        </w:rPr>
        <w:t>—</w:t>
      </w:r>
      <w:r w:rsidR="00B409F0" w:rsidRPr="00B409F0">
        <w:rPr>
          <w:szCs w:val="20"/>
        </w:rPr>
        <w:t>and will continue to create</w:t>
      </w:r>
      <w:r w:rsidR="00C84079">
        <w:rPr>
          <w:szCs w:val="20"/>
        </w:rPr>
        <w:t>—</w:t>
      </w:r>
      <w:r w:rsidR="00B409F0" w:rsidRPr="00B409F0">
        <w:rPr>
          <w:szCs w:val="20"/>
        </w:rPr>
        <w:t xml:space="preserve">challenges for the Company.  Similar energy policy initiatives are being promoted by federal agencies, notably the U.S. Environmental Protection Agency </w:t>
      </w:r>
      <w:r w:rsidR="00C84079">
        <w:rPr>
          <w:szCs w:val="20"/>
        </w:rPr>
        <w:t xml:space="preserve">(EPA) </w:t>
      </w:r>
      <w:r w:rsidR="00B409F0" w:rsidRPr="00B409F0">
        <w:rPr>
          <w:szCs w:val="20"/>
        </w:rPr>
        <w:t xml:space="preserve">through its proposed </w:t>
      </w:r>
      <w:r w:rsidR="00C84079">
        <w:rPr>
          <w:szCs w:val="20"/>
        </w:rPr>
        <w:t>r</w:t>
      </w:r>
      <w:r w:rsidR="00B409F0" w:rsidRPr="00B409F0">
        <w:rPr>
          <w:szCs w:val="20"/>
        </w:rPr>
        <w:t>ule</w:t>
      </w:r>
      <w:r w:rsidR="00C84079">
        <w:rPr>
          <w:szCs w:val="20"/>
        </w:rPr>
        <w:t>s under Sections</w:t>
      </w:r>
      <w:r w:rsidR="00B409F0" w:rsidRPr="00B409F0">
        <w:rPr>
          <w:szCs w:val="20"/>
        </w:rPr>
        <w:t xml:space="preserve"> </w:t>
      </w:r>
      <w:r w:rsidR="00C84079">
        <w:rPr>
          <w:szCs w:val="20"/>
        </w:rPr>
        <w:t xml:space="preserve">111(b) and </w:t>
      </w:r>
      <w:r w:rsidR="00B409F0" w:rsidRPr="00B409F0">
        <w:rPr>
          <w:szCs w:val="20"/>
        </w:rPr>
        <w:t>111(d)</w:t>
      </w:r>
      <w:r w:rsidR="00C84079">
        <w:rPr>
          <w:szCs w:val="20"/>
        </w:rPr>
        <w:t xml:space="preserve"> of the Clean Air Act</w:t>
      </w:r>
      <w:r w:rsidR="00B409F0" w:rsidRPr="00B409F0">
        <w:rPr>
          <w:szCs w:val="20"/>
        </w:rPr>
        <w:t>.  To allow the Company to adapt to the changing electric industry landscape, the Company needs supportive regulatory treatment from the Commission.</w:t>
      </w:r>
    </w:p>
    <w:p w:rsidR="00B409F0" w:rsidRPr="00B409F0" w:rsidRDefault="00B409F0" w:rsidP="00B409F0">
      <w:pPr>
        <w:tabs>
          <w:tab w:val="left" w:pos="720"/>
        </w:tabs>
        <w:spacing w:line="480" w:lineRule="auto"/>
        <w:ind w:left="720" w:hanging="720"/>
        <w:jc w:val="left"/>
        <w:rPr>
          <w:szCs w:val="20"/>
        </w:rPr>
      </w:pPr>
      <w:r w:rsidRPr="00B409F0">
        <w:rPr>
          <w:b/>
          <w:szCs w:val="20"/>
        </w:rPr>
        <w:t>Q.</w:t>
      </w:r>
      <w:r w:rsidRPr="00B409F0">
        <w:rPr>
          <w:b/>
          <w:szCs w:val="20"/>
        </w:rPr>
        <w:tab/>
        <w:t>What specific Washington laws and policies have contributed to the challenges faced by the Company?</w:t>
      </w:r>
    </w:p>
    <w:p w:rsidR="00B409F0" w:rsidRPr="00B409F0" w:rsidRDefault="00B409F0" w:rsidP="00B409F0">
      <w:pPr>
        <w:tabs>
          <w:tab w:val="left" w:pos="720"/>
        </w:tabs>
        <w:spacing w:line="480" w:lineRule="auto"/>
        <w:ind w:left="720" w:hanging="720"/>
        <w:jc w:val="left"/>
      </w:pPr>
      <w:r w:rsidRPr="00B409F0">
        <w:rPr>
          <w:szCs w:val="20"/>
        </w:rPr>
        <w:t>A.</w:t>
      </w:r>
      <w:r w:rsidRPr="00B409F0">
        <w:rPr>
          <w:szCs w:val="20"/>
        </w:rPr>
        <w:tab/>
      </w:r>
      <w:r w:rsidRPr="00B409F0">
        <w:t xml:space="preserve">Over the last decade, the state of Washington has steadily moved toward </w:t>
      </w:r>
      <w:r w:rsidR="007A2D76">
        <w:t xml:space="preserve">requiring </w:t>
      </w:r>
      <w:r w:rsidRPr="00B409F0">
        <w:t xml:space="preserve">more </w:t>
      </w:r>
      <w:r w:rsidR="00DD2C16">
        <w:t>renewable and les</w:t>
      </w:r>
      <w:r w:rsidR="000D7DD4">
        <w:t>s carbon-</w:t>
      </w:r>
      <w:r w:rsidR="00DD2C16">
        <w:t>intense</w:t>
      </w:r>
      <w:r w:rsidR="00DD2C16" w:rsidRPr="00B409F0">
        <w:t xml:space="preserve"> </w:t>
      </w:r>
      <w:r w:rsidRPr="00B409F0">
        <w:t>energy supplies.  In this process, Washington has often taken a regional approach, working in collaboration with Oregon, California</w:t>
      </w:r>
      <w:r w:rsidR="00981A63">
        <w:t>,</w:t>
      </w:r>
      <w:r w:rsidRPr="00B409F0">
        <w:t xml:space="preserve"> and other st</w:t>
      </w:r>
      <w:r w:rsidR="007A2D76">
        <w:t>ates in the w</w:t>
      </w:r>
      <w:r w:rsidRPr="00B409F0">
        <w:t>est.</w:t>
      </w:r>
    </w:p>
    <w:p w:rsidR="00B409F0" w:rsidRPr="00B409F0" w:rsidRDefault="00B409F0" w:rsidP="00B409F0">
      <w:pPr>
        <w:tabs>
          <w:tab w:val="left" w:pos="720"/>
        </w:tabs>
        <w:spacing w:line="480" w:lineRule="auto"/>
        <w:ind w:left="720" w:hanging="720"/>
        <w:jc w:val="left"/>
        <w:rPr>
          <w:szCs w:val="20"/>
        </w:rPr>
      </w:pPr>
      <w:r w:rsidRPr="00B409F0">
        <w:tab/>
      </w:r>
      <w:r w:rsidRPr="00B409F0">
        <w:tab/>
        <w:t xml:space="preserve">In 2006, </w:t>
      </w:r>
      <w:r w:rsidRPr="00B409F0">
        <w:rPr>
          <w:szCs w:val="20"/>
        </w:rPr>
        <w:t>Washington’s E</w:t>
      </w:r>
      <w:r w:rsidR="004C1440">
        <w:rPr>
          <w:szCs w:val="20"/>
        </w:rPr>
        <w:t>nergy Independence Act</w:t>
      </w:r>
      <w:r w:rsidRPr="00B409F0">
        <w:rPr>
          <w:szCs w:val="20"/>
        </w:rPr>
        <w:t xml:space="preserve"> </w:t>
      </w:r>
      <w:r w:rsidR="004C1440">
        <w:rPr>
          <w:szCs w:val="20"/>
        </w:rPr>
        <w:t xml:space="preserve">(EIA) </w:t>
      </w:r>
      <w:r w:rsidRPr="00B409F0">
        <w:rPr>
          <w:szCs w:val="20"/>
        </w:rPr>
        <w:t>was enacted by voter initiative.</w:t>
      </w:r>
      <w:r w:rsidRPr="00B409F0">
        <w:t xml:space="preserve"> </w:t>
      </w:r>
      <w:r w:rsidR="004C1440">
        <w:t xml:space="preserve"> </w:t>
      </w:r>
      <w:r w:rsidRPr="00B409F0">
        <w:t>The EIA i</w:t>
      </w:r>
      <w:r w:rsidR="004C1440">
        <w:t>nclude</w:t>
      </w:r>
      <w:r w:rsidRPr="00B409F0">
        <w:t xml:space="preserve">s a renewable portfolio standard, requiring Washington </w:t>
      </w:r>
      <w:r w:rsidR="004C1440">
        <w:lastRenderedPageBreak/>
        <w:t xml:space="preserve">electrical utilities to supply retail </w:t>
      </w:r>
      <w:r w:rsidRPr="00B409F0">
        <w:t>customers with increasing percentages of electricity from renewable resources, such as wind or solar generating facilities.  The EIA is intended to encourage the development of renewable energy facilities in both Washington and the Pacific Northwest region.</w:t>
      </w:r>
      <w:r w:rsidRPr="00B409F0">
        <w:rPr>
          <w:szCs w:val="20"/>
          <w:vertAlign w:val="superscript"/>
        </w:rPr>
        <w:footnoteReference w:id="1"/>
      </w:r>
      <w:r w:rsidRPr="00B409F0">
        <w:t xml:space="preserve">  </w:t>
      </w:r>
      <w:r w:rsidRPr="00B409F0">
        <w:rPr>
          <w:szCs w:val="20"/>
        </w:rPr>
        <w:t>To that end, the legislature amended the EIA in 2012 to specifically allow utilities to use resources outside of Washington to satisfy the EIA’s requirements.</w:t>
      </w:r>
      <w:r w:rsidRPr="00B409F0">
        <w:rPr>
          <w:szCs w:val="20"/>
          <w:vertAlign w:val="superscript"/>
        </w:rPr>
        <w:footnoteReference w:id="2"/>
      </w:r>
    </w:p>
    <w:p w:rsidR="00B409F0" w:rsidRPr="00B409F0" w:rsidRDefault="00B409F0" w:rsidP="00B409F0">
      <w:pPr>
        <w:tabs>
          <w:tab w:val="left" w:pos="720"/>
        </w:tabs>
        <w:spacing w:line="480" w:lineRule="auto"/>
        <w:ind w:left="720" w:hanging="720"/>
        <w:jc w:val="left"/>
      </w:pPr>
      <w:r w:rsidRPr="00B409F0">
        <w:rPr>
          <w:szCs w:val="20"/>
        </w:rPr>
        <w:tab/>
      </w:r>
      <w:r w:rsidRPr="00B409F0">
        <w:rPr>
          <w:szCs w:val="20"/>
        </w:rPr>
        <w:tab/>
        <w:t>In 2007, the legislature enacted W</w:t>
      </w:r>
      <w:r w:rsidRPr="00B409F0">
        <w:t xml:space="preserve">ashington’s </w:t>
      </w:r>
      <w:r w:rsidRPr="00B409F0">
        <w:rPr>
          <w:rFonts w:cs="Arial"/>
        </w:rPr>
        <w:t>Greenhouse Gas Emissions Performance Standard (EPS).</w:t>
      </w:r>
      <w:r w:rsidRPr="00B409F0">
        <w:rPr>
          <w:rFonts w:cs="Arial"/>
          <w:vertAlign w:val="superscript"/>
        </w:rPr>
        <w:footnoteReference w:id="3"/>
      </w:r>
      <w:r w:rsidRPr="00B409F0">
        <w:rPr>
          <w:rFonts w:cs="Arial"/>
        </w:rPr>
        <w:t xml:space="preserve">  </w:t>
      </w:r>
      <w:r w:rsidRPr="00B409F0">
        <w:t xml:space="preserve">The EPS caps greenhouse gas (GHG) emissions for new electrical generation resources </w:t>
      </w:r>
      <w:r w:rsidRPr="00B409F0">
        <w:rPr>
          <w:szCs w:val="20"/>
        </w:rPr>
        <w:t>and encourages utilities to increase the use of “renewable energy sources.”</w:t>
      </w:r>
      <w:r w:rsidRPr="00B409F0">
        <w:rPr>
          <w:szCs w:val="20"/>
          <w:vertAlign w:val="superscript"/>
        </w:rPr>
        <w:footnoteReference w:id="4"/>
      </w:r>
      <w:r w:rsidRPr="00B409F0">
        <w:rPr>
          <w:szCs w:val="20"/>
        </w:rPr>
        <w:t xml:space="preserve">  </w:t>
      </w:r>
      <w:r w:rsidRPr="00B409F0">
        <w:t xml:space="preserve">The legislature specifically found that “Washington has been a leader in actions to slow the increase of greenhouse gases emissions, such as . . . </w:t>
      </w:r>
      <w:r w:rsidRPr="00B409F0">
        <w:rPr>
          <w:rFonts w:cs="Arial"/>
          <w:szCs w:val="20"/>
        </w:rPr>
        <w:t>increasing renewable energy sources by electric utilities,” and the EPS is intended to further reduce greenhouse gas emissions used to generate electricity used to serve Washington customers.</w:t>
      </w:r>
      <w:r w:rsidRPr="00B409F0">
        <w:rPr>
          <w:szCs w:val="20"/>
          <w:vertAlign w:val="superscript"/>
        </w:rPr>
        <w:footnoteReference w:id="5"/>
      </w:r>
    </w:p>
    <w:p w:rsidR="00B409F0" w:rsidRPr="00B409F0" w:rsidRDefault="00B409F0" w:rsidP="00B409F0">
      <w:pPr>
        <w:tabs>
          <w:tab w:val="left" w:pos="720"/>
        </w:tabs>
        <w:spacing w:line="480" w:lineRule="auto"/>
        <w:ind w:left="720" w:hanging="720"/>
        <w:jc w:val="left"/>
        <w:rPr>
          <w:szCs w:val="20"/>
        </w:rPr>
      </w:pPr>
      <w:r w:rsidRPr="00B409F0">
        <w:rPr>
          <w:szCs w:val="20"/>
        </w:rPr>
        <w:tab/>
      </w:r>
      <w:r w:rsidRPr="00B409F0">
        <w:rPr>
          <w:szCs w:val="20"/>
        </w:rPr>
        <w:tab/>
        <w:t xml:space="preserve">In 2008, Washington enacted </w:t>
      </w:r>
      <w:r w:rsidRPr="00B409F0">
        <w:t>the Climate Action and Green Jobs bill, which requires the state to reduce its GHG emissions by 70</w:t>
      </w:r>
      <w:r w:rsidR="004C1440">
        <w:t xml:space="preserve"> percent of expected levels (50 </w:t>
      </w:r>
      <w:r w:rsidRPr="00B409F0">
        <w:t>percent below 1990 levels) by 2050</w:t>
      </w:r>
      <w:r w:rsidRPr="00B409F0">
        <w:rPr>
          <w:szCs w:val="20"/>
        </w:rPr>
        <w:t>, and promotes “renewable energy development and generation.”</w:t>
      </w:r>
      <w:r w:rsidRPr="00B409F0">
        <w:rPr>
          <w:vertAlign w:val="superscript"/>
        </w:rPr>
        <w:footnoteReference w:id="6"/>
      </w:r>
    </w:p>
    <w:p w:rsidR="00B409F0" w:rsidRPr="00B409F0" w:rsidRDefault="00B409F0" w:rsidP="00B409F0">
      <w:pPr>
        <w:tabs>
          <w:tab w:val="left" w:pos="720"/>
        </w:tabs>
        <w:spacing w:line="480" w:lineRule="auto"/>
        <w:ind w:left="720" w:hanging="720"/>
        <w:jc w:val="left"/>
        <w:rPr>
          <w:szCs w:val="20"/>
        </w:rPr>
      </w:pPr>
      <w:r w:rsidRPr="00B409F0">
        <w:lastRenderedPageBreak/>
        <w:tab/>
      </w:r>
      <w:r w:rsidRPr="00B409F0">
        <w:tab/>
        <w:t>In 2010, the legislature directed Washington’s State Energy Office to prepare a state energy strategy, finding that “the nation and the world have started the transition to a clean energy economy, with significant improvements in energy efficiency and investments in new clean and renewable energy resources and technologies.”</w:t>
      </w:r>
      <w:r w:rsidRPr="00B409F0">
        <w:rPr>
          <w:vertAlign w:val="superscript"/>
        </w:rPr>
        <w:footnoteReference w:id="7"/>
      </w:r>
      <w:r w:rsidRPr="00B409F0">
        <w:t xml:space="preserve">  The legislature also declared “that it is the continuing purpose of state government . . . to promote energy self-sufficiency through the use of indigenous and renewable energy sources, consistent with the promo</w:t>
      </w:r>
      <w:r w:rsidR="004C1440">
        <w:t>tion of reliable energy sources[</w:t>
      </w:r>
      <w:r w:rsidRPr="00B409F0">
        <w:t>.</w:t>
      </w:r>
      <w:r w:rsidR="004C1440">
        <w:t>]</w:t>
      </w:r>
      <w:r w:rsidRPr="00B409F0">
        <w:t>”</w:t>
      </w:r>
      <w:r w:rsidRPr="00B409F0">
        <w:rPr>
          <w:vertAlign w:val="superscript"/>
        </w:rPr>
        <w:footnoteReference w:id="8"/>
      </w:r>
      <w:r w:rsidRPr="00B409F0">
        <w:t xml:space="preserve">  One of the key principles underlying the Washington State Energy Strategy adopted under this directive in 2012 is for Washington to “[b]uild on the advantage provided by the state</w:t>
      </w:r>
      <w:r w:rsidR="004C1440">
        <w:t>’</w:t>
      </w:r>
      <w:r w:rsidRPr="00B409F0">
        <w:t>s clean regional electrical grid by expanding and integrating additional carbon-free and carbon-neutral generation.”</w:t>
      </w:r>
      <w:r w:rsidRPr="00B409F0">
        <w:rPr>
          <w:vertAlign w:val="superscript"/>
        </w:rPr>
        <w:footnoteReference w:id="9"/>
      </w:r>
    </w:p>
    <w:p w:rsidR="00B409F0" w:rsidRPr="00B409F0" w:rsidRDefault="00B409F0" w:rsidP="00B409F0">
      <w:pPr>
        <w:tabs>
          <w:tab w:val="left" w:pos="720"/>
        </w:tabs>
        <w:spacing w:line="480" w:lineRule="auto"/>
        <w:ind w:left="720" w:hanging="720"/>
        <w:jc w:val="left"/>
      </w:pPr>
      <w:r w:rsidRPr="00B409F0">
        <w:tab/>
      </w:r>
      <w:r w:rsidRPr="00B409F0">
        <w:tab/>
        <w:t>In 2013, Washington pas</w:t>
      </w:r>
      <w:r w:rsidR="00C40F1B">
        <w:t>sed a second Climate Action b</w:t>
      </w:r>
      <w:r w:rsidRPr="00B409F0">
        <w:t>ill, designed to provide additional resources to assist Washington in meeting the GHG targets set in Washin</w:t>
      </w:r>
      <w:r w:rsidR="00C40F1B">
        <w:t>gton’s original Climate Action b</w:t>
      </w:r>
      <w:r w:rsidRPr="00B409F0">
        <w:t>ill.</w:t>
      </w:r>
      <w:r w:rsidRPr="00B409F0">
        <w:rPr>
          <w:vertAlign w:val="superscript"/>
        </w:rPr>
        <w:footnoteReference w:id="10"/>
      </w:r>
    </w:p>
    <w:p w:rsidR="00B409F0" w:rsidRPr="00B409F0" w:rsidRDefault="00B409F0" w:rsidP="00B409F0">
      <w:pPr>
        <w:tabs>
          <w:tab w:val="left" w:pos="720"/>
        </w:tabs>
        <w:spacing w:line="480" w:lineRule="auto"/>
        <w:ind w:left="720" w:hanging="720"/>
        <w:jc w:val="left"/>
      </w:pPr>
      <w:r w:rsidRPr="00B409F0">
        <w:tab/>
      </w:r>
      <w:r w:rsidRPr="00B409F0">
        <w:tab/>
        <w:t xml:space="preserve">In April 2014, Governor Jay Inslee issued an Executive Order specifically recognizing </w:t>
      </w:r>
      <w:r w:rsidR="00DD2C16">
        <w:t>that</w:t>
      </w:r>
      <w:r w:rsidR="00DD2C16" w:rsidRPr="00B409F0">
        <w:t xml:space="preserve"> </w:t>
      </w:r>
      <w:r w:rsidRPr="00B409F0">
        <w:t>Washington joined California</w:t>
      </w:r>
      <w:r w:rsidR="004C1440">
        <w:t xml:space="preserve"> and Oregon in</w:t>
      </w:r>
      <w:r w:rsidRPr="00B409F0">
        <w:t xml:space="preserve"> “calling for additional West Coast actions on climate leadership, clean transportation, and clean energy and infrastructure.”</w:t>
      </w:r>
      <w:r w:rsidRPr="00B409F0">
        <w:rPr>
          <w:vertAlign w:val="superscript"/>
        </w:rPr>
        <w:footnoteReference w:id="11"/>
      </w:r>
    </w:p>
    <w:p w:rsidR="00B409F0" w:rsidRDefault="00B409F0" w:rsidP="00B409F0">
      <w:pPr>
        <w:tabs>
          <w:tab w:val="left" w:pos="720"/>
        </w:tabs>
        <w:spacing w:line="480" w:lineRule="auto"/>
        <w:ind w:left="720" w:hanging="720"/>
        <w:jc w:val="left"/>
      </w:pPr>
      <w:r w:rsidRPr="00B409F0">
        <w:tab/>
      </w:r>
      <w:r w:rsidRPr="00B409F0">
        <w:tab/>
        <w:t xml:space="preserve">This Executive Order followed the issuance of the Pacific Coast Action Plan on Climate and Energy, which was signed by representatives of Washington, </w:t>
      </w:r>
      <w:r w:rsidR="004C1440" w:rsidRPr="00B409F0">
        <w:t>British Columbia</w:t>
      </w:r>
      <w:r w:rsidR="004C1440">
        <w:t>,</w:t>
      </w:r>
      <w:r w:rsidRPr="00B409F0">
        <w:t xml:space="preserve"> California</w:t>
      </w:r>
      <w:r w:rsidR="004C1440">
        <w:t xml:space="preserve">, and </w:t>
      </w:r>
      <w:r w:rsidR="004C1440" w:rsidRPr="00B409F0">
        <w:t>Oregon</w:t>
      </w:r>
      <w:r w:rsidRPr="00B409F0">
        <w:t xml:space="preserve">.  The Pacific Coast Action Plan acknowledges that </w:t>
      </w:r>
      <w:r w:rsidRPr="00B409F0">
        <w:lastRenderedPageBreak/>
        <w:t>the signatories have “reduced greenhouse gas emissions by adopting regulatory, policy, and market-based measures that shift energy generation to clean and renewable sources.”</w:t>
      </w:r>
      <w:r w:rsidRPr="00B409F0">
        <w:rPr>
          <w:vertAlign w:val="superscript"/>
        </w:rPr>
        <w:footnoteReference w:id="12"/>
      </w:r>
      <w:r w:rsidRPr="00B409F0">
        <w:t xml:space="preserve">  Further, the signatories agreed that “meaningful coordination and linkage between states and provinces . . . to reduce greenhouse gas emissions can improve the effectiveness of these actions, [and] increase their overall positive impact</w:t>
      </w:r>
      <w:r w:rsidR="004C1440">
        <w:t>[.]</w:t>
      </w:r>
      <w:r w:rsidRPr="00B409F0">
        <w:t>”</w:t>
      </w:r>
      <w:r w:rsidRPr="00B409F0">
        <w:rPr>
          <w:vertAlign w:val="superscript"/>
        </w:rPr>
        <w:footnoteReference w:id="13"/>
      </w:r>
      <w:r w:rsidRPr="00B409F0">
        <w:t xml:space="preserve">  Thus</w:t>
      </w:r>
      <w:r w:rsidR="00CE6E97">
        <w:t>,</w:t>
      </w:r>
      <w:r w:rsidRPr="00B409F0">
        <w:t xml:space="preserve"> “where possible, California, British Columbia, Oregon and Washington will link programs for consistency and predictability and to expand opportunities to grow the region</w:t>
      </w:r>
      <w:r w:rsidR="00FA7C9B">
        <w:t>’</w:t>
      </w:r>
      <w:r w:rsidRPr="00B409F0">
        <w:t>s low-carbon economy.”</w:t>
      </w:r>
      <w:r w:rsidRPr="00B409F0">
        <w:rPr>
          <w:vertAlign w:val="superscript"/>
        </w:rPr>
        <w:footnoteReference w:id="14"/>
      </w:r>
    </w:p>
    <w:p w:rsidR="006707F3" w:rsidRPr="00413D74" w:rsidRDefault="006707F3" w:rsidP="004F390D">
      <w:pPr>
        <w:keepNext/>
        <w:tabs>
          <w:tab w:val="left" w:pos="720"/>
        </w:tabs>
        <w:spacing w:line="480" w:lineRule="auto"/>
        <w:ind w:left="720" w:hanging="720"/>
        <w:jc w:val="left"/>
        <w:rPr>
          <w:b/>
        </w:rPr>
      </w:pPr>
      <w:r w:rsidRPr="00413D74">
        <w:rPr>
          <w:b/>
        </w:rPr>
        <w:t>Q.</w:t>
      </w:r>
      <w:r w:rsidRPr="00413D74">
        <w:rPr>
          <w:b/>
        </w:rPr>
        <w:tab/>
        <w:t xml:space="preserve">Are there policy developments at the national level that are </w:t>
      </w:r>
      <w:r w:rsidR="00413D74" w:rsidRPr="00413D74">
        <w:rPr>
          <w:b/>
        </w:rPr>
        <w:t xml:space="preserve">also </w:t>
      </w:r>
      <w:r w:rsidRPr="00413D74">
        <w:rPr>
          <w:b/>
        </w:rPr>
        <w:t xml:space="preserve">driving </w:t>
      </w:r>
      <w:r w:rsidR="00413D74" w:rsidRPr="00413D74">
        <w:rPr>
          <w:b/>
        </w:rPr>
        <w:t xml:space="preserve">major </w:t>
      </w:r>
      <w:r w:rsidRPr="00413D74">
        <w:rPr>
          <w:b/>
        </w:rPr>
        <w:t>change</w:t>
      </w:r>
      <w:r w:rsidR="00413D74" w:rsidRPr="00413D74">
        <w:rPr>
          <w:b/>
        </w:rPr>
        <w:t>s</w:t>
      </w:r>
      <w:r w:rsidRPr="00413D74">
        <w:rPr>
          <w:b/>
        </w:rPr>
        <w:t xml:space="preserve"> in the electric industry? </w:t>
      </w:r>
    </w:p>
    <w:p w:rsidR="006707F3" w:rsidRDefault="006707F3" w:rsidP="00B409F0">
      <w:pPr>
        <w:tabs>
          <w:tab w:val="left" w:pos="720"/>
        </w:tabs>
        <w:spacing w:line="480" w:lineRule="auto"/>
        <w:ind w:left="720" w:hanging="720"/>
        <w:jc w:val="left"/>
      </w:pPr>
      <w:r>
        <w:t>A.</w:t>
      </w:r>
      <w:r>
        <w:tab/>
        <w:t xml:space="preserve">Yes.  During the pendency of this case, the </w:t>
      </w:r>
      <w:r w:rsidR="007A2D76">
        <w:t>EPA</w:t>
      </w:r>
      <w:r>
        <w:t xml:space="preserve"> released its</w:t>
      </w:r>
      <w:r w:rsidR="00413D74">
        <w:t xml:space="preserve"> </w:t>
      </w:r>
      <w:r>
        <w:t>Clean Power Plan Proposal to regulate GHG emissions from existing generation</w:t>
      </w:r>
      <w:r w:rsidR="00413D74">
        <w:t xml:space="preserve"> </w:t>
      </w:r>
      <w:r>
        <w:t>plant</w:t>
      </w:r>
      <w:r w:rsidR="00413D74">
        <w:t>s</w:t>
      </w:r>
      <w:r>
        <w:t xml:space="preserve"> under Sectio</w:t>
      </w:r>
      <w:r w:rsidR="00413D74">
        <w:t xml:space="preserve">n 111(d) of the Clean Air Act.  The EPA is currently scheduled to issue its final rule </w:t>
      </w:r>
      <w:r w:rsidR="00DD2C16">
        <w:t xml:space="preserve">in </w:t>
      </w:r>
      <w:r w:rsidR="00413D74">
        <w:t xml:space="preserve">June 2015.  In his testimony, Mr. Kurt </w:t>
      </w:r>
      <w:r w:rsidR="00DD2C16">
        <w:t xml:space="preserve">G. </w:t>
      </w:r>
      <w:r w:rsidR="00413D74">
        <w:t xml:space="preserve">Strunk addresses utility investor risk associated with the draft rules under Section 111(d).  </w:t>
      </w:r>
    </w:p>
    <w:p w:rsidR="006F6F6A" w:rsidRPr="00B409F0" w:rsidRDefault="006F6F6A" w:rsidP="00692116">
      <w:pPr>
        <w:tabs>
          <w:tab w:val="left" w:pos="720"/>
        </w:tabs>
        <w:spacing w:line="480" w:lineRule="auto"/>
        <w:ind w:left="720" w:hanging="720"/>
        <w:jc w:val="left"/>
        <w:rPr>
          <w:b/>
          <w:szCs w:val="20"/>
        </w:rPr>
      </w:pPr>
      <w:r w:rsidRPr="00B409F0">
        <w:rPr>
          <w:b/>
          <w:szCs w:val="20"/>
        </w:rPr>
        <w:t>Q.</w:t>
      </w:r>
      <w:r w:rsidRPr="00B409F0">
        <w:rPr>
          <w:b/>
          <w:szCs w:val="20"/>
        </w:rPr>
        <w:tab/>
        <w:t xml:space="preserve">Please explain how these policy issues </w:t>
      </w:r>
      <w:r>
        <w:rPr>
          <w:b/>
          <w:szCs w:val="20"/>
        </w:rPr>
        <w:t>are relevant to the Company’s proposals in this case.</w:t>
      </w:r>
    </w:p>
    <w:p w:rsidR="006F6F6A" w:rsidRDefault="006F6F6A" w:rsidP="006F6F6A">
      <w:pPr>
        <w:tabs>
          <w:tab w:val="left" w:pos="720"/>
        </w:tabs>
        <w:spacing w:line="480" w:lineRule="auto"/>
        <w:ind w:left="720" w:hanging="720"/>
        <w:jc w:val="left"/>
        <w:rPr>
          <w:szCs w:val="20"/>
        </w:rPr>
      </w:pPr>
      <w:r w:rsidRPr="00B409F0">
        <w:rPr>
          <w:szCs w:val="20"/>
        </w:rPr>
        <w:t>A.</w:t>
      </w:r>
      <w:r w:rsidRPr="00B409F0">
        <w:rPr>
          <w:szCs w:val="20"/>
        </w:rPr>
        <w:tab/>
      </w:r>
      <w:r>
        <w:rPr>
          <w:szCs w:val="20"/>
        </w:rPr>
        <w:t>T</w:t>
      </w:r>
      <w:r w:rsidRPr="00B409F0">
        <w:rPr>
          <w:szCs w:val="20"/>
        </w:rPr>
        <w:t xml:space="preserve">he Company made several proposals </w:t>
      </w:r>
      <w:r>
        <w:rPr>
          <w:szCs w:val="20"/>
        </w:rPr>
        <w:t xml:space="preserve">in its initial filing </w:t>
      </w:r>
      <w:r w:rsidRPr="00B409F0">
        <w:rPr>
          <w:szCs w:val="20"/>
        </w:rPr>
        <w:t xml:space="preserve">intended to </w:t>
      </w:r>
      <w:r>
        <w:rPr>
          <w:szCs w:val="20"/>
        </w:rPr>
        <w:t>address</w:t>
      </w:r>
      <w:r w:rsidRPr="00B409F0">
        <w:rPr>
          <w:szCs w:val="20"/>
        </w:rPr>
        <w:t xml:space="preserve"> the market transformation that is occurring while protecting the Company from the adverse impacts that are a result of changing state laws and policies</w:t>
      </w:r>
      <w:r>
        <w:rPr>
          <w:szCs w:val="20"/>
        </w:rPr>
        <w:t>.</w:t>
      </w:r>
    </w:p>
    <w:p w:rsidR="006F6F6A" w:rsidRDefault="006F6F6A" w:rsidP="006F6F6A">
      <w:pPr>
        <w:tabs>
          <w:tab w:val="left" w:pos="720"/>
        </w:tabs>
        <w:spacing w:line="480" w:lineRule="auto"/>
        <w:ind w:left="720" w:hanging="720"/>
        <w:jc w:val="left"/>
        <w:rPr>
          <w:szCs w:val="20"/>
        </w:rPr>
      </w:pPr>
      <w:r>
        <w:rPr>
          <w:szCs w:val="20"/>
        </w:rPr>
        <w:tab/>
      </w:r>
      <w:r>
        <w:rPr>
          <w:szCs w:val="20"/>
        </w:rPr>
        <w:tab/>
      </w:r>
      <w:r w:rsidRPr="00B409F0">
        <w:rPr>
          <w:szCs w:val="20"/>
        </w:rPr>
        <w:t xml:space="preserve">First, the Company renewed its request for a change to the </w:t>
      </w:r>
      <w:r>
        <w:rPr>
          <w:szCs w:val="20"/>
        </w:rPr>
        <w:t>West Control Area inter-jurisdictional allocation methodology (</w:t>
      </w:r>
      <w:r w:rsidRPr="00B409F0">
        <w:rPr>
          <w:szCs w:val="20"/>
        </w:rPr>
        <w:t>WCA</w:t>
      </w:r>
      <w:r>
        <w:rPr>
          <w:szCs w:val="20"/>
        </w:rPr>
        <w:t>)</w:t>
      </w:r>
      <w:r w:rsidRPr="00B409F0">
        <w:rPr>
          <w:szCs w:val="20"/>
        </w:rPr>
        <w:t xml:space="preserve"> to allow recovery of </w:t>
      </w:r>
      <w:r>
        <w:rPr>
          <w:szCs w:val="20"/>
        </w:rPr>
        <w:t xml:space="preserve">the costs associated with power purchase agreements (PPAs) with </w:t>
      </w:r>
      <w:r w:rsidRPr="00B409F0">
        <w:rPr>
          <w:szCs w:val="20"/>
        </w:rPr>
        <w:t xml:space="preserve">all </w:t>
      </w:r>
      <w:r>
        <w:rPr>
          <w:szCs w:val="20"/>
        </w:rPr>
        <w:t>qualifying facilities (</w:t>
      </w:r>
      <w:r w:rsidRPr="00B409F0">
        <w:rPr>
          <w:szCs w:val="20"/>
        </w:rPr>
        <w:t>QFs</w:t>
      </w:r>
      <w:r>
        <w:rPr>
          <w:szCs w:val="20"/>
        </w:rPr>
        <w:t>)</w:t>
      </w:r>
      <w:r w:rsidRPr="00B409F0">
        <w:rPr>
          <w:szCs w:val="20"/>
        </w:rPr>
        <w:t xml:space="preserve"> in the west control area, all of</w:t>
      </w:r>
      <w:r>
        <w:rPr>
          <w:szCs w:val="20"/>
        </w:rPr>
        <w:t xml:space="preserve"> which are renewable resources.  This proposal is discussed in more detail in the direct and rebuttal testimonies of Mr. Duvall.</w:t>
      </w:r>
      <w:r w:rsidR="007E2982">
        <w:rPr>
          <w:szCs w:val="20"/>
        </w:rPr>
        <w:t xml:space="preserve">  The Company also presented two alternatives for reflecting the costs of west control area </w:t>
      </w:r>
      <w:r w:rsidR="006219D5">
        <w:rPr>
          <w:szCs w:val="20"/>
        </w:rPr>
        <w:t>QF</w:t>
      </w:r>
      <w:r w:rsidR="008F2249">
        <w:rPr>
          <w:szCs w:val="20"/>
        </w:rPr>
        <w:t xml:space="preserve"> </w:t>
      </w:r>
      <w:r w:rsidR="007E2982">
        <w:rPr>
          <w:szCs w:val="20"/>
        </w:rPr>
        <w:t>PPAs in retail rates as discussed further in Mr. Duvall’s testimonies.</w:t>
      </w:r>
    </w:p>
    <w:p w:rsidR="006F6F6A" w:rsidRDefault="006F6F6A" w:rsidP="006F6F6A">
      <w:pPr>
        <w:tabs>
          <w:tab w:val="left" w:pos="720"/>
        </w:tabs>
        <w:spacing w:line="480" w:lineRule="auto"/>
        <w:ind w:left="720" w:hanging="720"/>
        <w:jc w:val="left"/>
        <w:rPr>
          <w:szCs w:val="20"/>
        </w:rPr>
      </w:pPr>
      <w:r>
        <w:rPr>
          <w:szCs w:val="20"/>
        </w:rPr>
        <w:tab/>
      </w:r>
      <w:r>
        <w:rPr>
          <w:szCs w:val="20"/>
        </w:rPr>
        <w:tab/>
        <w:t>Second, the Company proposed use of its actual capital structure for ratemaking purposes to ensure financial strength and ready access to low-cost financing, which in turn supports further investments in utility infrastructure to maintain safe, reliable, and cost-effective service and to facilitate compliance with existing and emerging environmental policies.  The Company also presented an alternative weighted average cost of capital that more accurately reflects the impact of a hypothetical equity component on cost of equity and cost of debt.  The Company</w:t>
      </w:r>
      <w:r w:rsidR="006219D5">
        <w:rPr>
          <w:szCs w:val="20"/>
        </w:rPr>
        <w:t>’s</w:t>
      </w:r>
      <w:r>
        <w:rPr>
          <w:szCs w:val="20"/>
        </w:rPr>
        <w:t xml:space="preserve"> capital structure and cost</w:t>
      </w:r>
      <w:r w:rsidR="006219D5">
        <w:rPr>
          <w:szCs w:val="20"/>
        </w:rPr>
        <w:t>s</w:t>
      </w:r>
      <w:r>
        <w:rPr>
          <w:szCs w:val="20"/>
        </w:rPr>
        <w:t xml:space="preserve"> of </w:t>
      </w:r>
      <w:r w:rsidR="006219D5">
        <w:rPr>
          <w:szCs w:val="20"/>
        </w:rPr>
        <w:t xml:space="preserve">debt and </w:t>
      </w:r>
      <w:r>
        <w:rPr>
          <w:szCs w:val="20"/>
        </w:rPr>
        <w:t>equity are more thoroughly addressed in the direct and rebuttal testimonies of Mr. Strunk and Mr. Bruce N. Williams.</w:t>
      </w:r>
    </w:p>
    <w:p w:rsidR="006F6F6A" w:rsidRDefault="006F6F6A" w:rsidP="006F6F6A">
      <w:pPr>
        <w:tabs>
          <w:tab w:val="left" w:pos="720"/>
        </w:tabs>
        <w:spacing w:line="480" w:lineRule="auto"/>
        <w:ind w:left="720" w:hanging="720"/>
        <w:jc w:val="left"/>
        <w:rPr>
          <w:szCs w:val="20"/>
        </w:rPr>
      </w:pPr>
      <w:r>
        <w:rPr>
          <w:szCs w:val="20"/>
        </w:rPr>
        <w:tab/>
      </w:r>
      <w:r>
        <w:rPr>
          <w:szCs w:val="20"/>
        </w:rPr>
        <w:tab/>
        <w:t xml:space="preserve">Third, </w:t>
      </w:r>
      <w:r w:rsidRPr="00B409F0">
        <w:rPr>
          <w:szCs w:val="20"/>
        </w:rPr>
        <w:t xml:space="preserve">the Company proposed </w:t>
      </w:r>
      <w:r w:rsidR="00C40F1B">
        <w:rPr>
          <w:szCs w:val="20"/>
        </w:rPr>
        <w:t>a</w:t>
      </w:r>
      <w:r w:rsidRPr="00B409F0">
        <w:rPr>
          <w:szCs w:val="20"/>
        </w:rPr>
        <w:t xml:space="preserve"> </w:t>
      </w:r>
      <w:r>
        <w:rPr>
          <w:szCs w:val="20"/>
        </w:rPr>
        <w:t>renewable resource tracking mechanism (</w:t>
      </w:r>
      <w:r w:rsidRPr="00B409F0">
        <w:rPr>
          <w:szCs w:val="20"/>
        </w:rPr>
        <w:t>RRTM</w:t>
      </w:r>
      <w:r>
        <w:rPr>
          <w:szCs w:val="20"/>
        </w:rPr>
        <w:t>)</w:t>
      </w:r>
      <w:r w:rsidRPr="00B409F0">
        <w:rPr>
          <w:szCs w:val="20"/>
        </w:rPr>
        <w:t xml:space="preserve"> to mitigate the risks inherent in the Company’s growing portfolio of </w:t>
      </w:r>
      <w:r>
        <w:rPr>
          <w:szCs w:val="20"/>
        </w:rPr>
        <w:t>renewable</w:t>
      </w:r>
      <w:r w:rsidRPr="00B409F0">
        <w:rPr>
          <w:szCs w:val="20"/>
        </w:rPr>
        <w:t xml:space="preserve"> resources and ensure that both the Company and customers are protected from the volatility inherent in </w:t>
      </w:r>
      <w:r>
        <w:rPr>
          <w:szCs w:val="20"/>
        </w:rPr>
        <w:t>renewable generation.  This proposal is discussed in the direct and rebuttal testimonies of Mr. Duvall.</w:t>
      </w:r>
    </w:p>
    <w:p w:rsidR="007C5DA4" w:rsidRDefault="007C5DA4" w:rsidP="007C5DA4">
      <w:pPr>
        <w:tabs>
          <w:tab w:val="left" w:pos="720"/>
        </w:tabs>
        <w:spacing w:line="480" w:lineRule="auto"/>
        <w:ind w:left="720" w:hanging="720"/>
        <w:jc w:val="left"/>
        <w:rPr>
          <w:szCs w:val="20"/>
        </w:rPr>
      </w:pPr>
      <w:r>
        <w:rPr>
          <w:szCs w:val="20"/>
        </w:rPr>
        <w:tab/>
      </w:r>
      <w:r>
        <w:rPr>
          <w:szCs w:val="20"/>
        </w:rPr>
        <w:tab/>
        <w:t xml:space="preserve">Fourth, the Company proposed an increase in its </w:t>
      </w:r>
      <w:r w:rsidR="00B65F16">
        <w:rPr>
          <w:szCs w:val="20"/>
        </w:rPr>
        <w:t xml:space="preserve">residential </w:t>
      </w:r>
      <w:r w:rsidR="006219D5">
        <w:rPr>
          <w:szCs w:val="20"/>
        </w:rPr>
        <w:t>b</w:t>
      </w:r>
      <w:r>
        <w:rPr>
          <w:szCs w:val="20"/>
        </w:rPr>
        <w:t xml:space="preserve">asic charge to better reflect the fixed costs incurred to provide service, consistent with principles of cost causation.  The cost-based </w:t>
      </w:r>
      <w:r w:rsidR="006219D5">
        <w:rPr>
          <w:szCs w:val="20"/>
        </w:rPr>
        <w:t>b</w:t>
      </w:r>
      <w:r>
        <w:rPr>
          <w:szCs w:val="20"/>
        </w:rPr>
        <w:t>asic charge better positions the Company to respond to the challenges resulting from</w:t>
      </w:r>
      <w:r w:rsidR="0070790E">
        <w:rPr>
          <w:szCs w:val="20"/>
        </w:rPr>
        <w:t xml:space="preserve"> declining residential use and </w:t>
      </w:r>
      <w:r>
        <w:rPr>
          <w:szCs w:val="20"/>
        </w:rPr>
        <w:t xml:space="preserve">increasing distributed generation by mitigating cost-shifting and supporting the Company’s ability to reasonably recover </w:t>
      </w:r>
      <w:r w:rsidR="0070790E">
        <w:rPr>
          <w:szCs w:val="20"/>
        </w:rPr>
        <w:t xml:space="preserve">more of </w:t>
      </w:r>
      <w:r>
        <w:rPr>
          <w:szCs w:val="20"/>
        </w:rPr>
        <w:t xml:space="preserve">its fixed costs.  </w:t>
      </w:r>
      <w:r w:rsidR="004D69D4">
        <w:rPr>
          <w:szCs w:val="20"/>
        </w:rPr>
        <w:t xml:space="preserve">Similarly, the Company also supports the continued use of its current two-tier </w:t>
      </w:r>
      <w:r w:rsidR="00B65F16">
        <w:rPr>
          <w:szCs w:val="20"/>
        </w:rPr>
        <w:t xml:space="preserve">energy </w:t>
      </w:r>
      <w:r w:rsidR="004D69D4">
        <w:rPr>
          <w:szCs w:val="20"/>
        </w:rPr>
        <w:t>rate structure, as opposed to Staff’s three-tier</w:t>
      </w:r>
      <w:r w:rsidR="00B65F16">
        <w:rPr>
          <w:szCs w:val="20"/>
        </w:rPr>
        <w:t xml:space="preserve"> energy</w:t>
      </w:r>
      <w:r w:rsidR="004D69D4">
        <w:rPr>
          <w:szCs w:val="20"/>
        </w:rPr>
        <w:t xml:space="preserve"> rate</w:t>
      </w:r>
      <w:r w:rsidR="006A3A7E">
        <w:rPr>
          <w:szCs w:val="20"/>
        </w:rPr>
        <w:t>s</w:t>
      </w:r>
      <w:r w:rsidR="004D69D4">
        <w:rPr>
          <w:szCs w:val="20"/>
        </w:rPr>
        <w:t xml:space="preserve">, as an additional way to mitigate unwarranted cost shifting.  </w:t>
      </w:r>
      <w:r w:rsidR="0070790E">
        <w:rPr>
          <w:szCs w:val="20"/>
        </w:rPr>
        <w:t xml:space="preserve">In addition, moving </w:t>
      </w:r>
      <w:r w:rsidR="0070790E">
        <w:t xml:space="preserve">revenue recovery into a third tier </w:t>
      </w:r>
      <w:r w:rsidR="00775A4D">
        <w:t>would</w:t>
      </w:r>
      <w:r w:rsidR="0070790E">
        <w:t xml:space="preserve"> </w:t>
      </w:r>
      <w:r w:rsidR="00775A4D">
        <w:t>put the Company’s recovery of fixed costs at risk and dependent upon weather conditions.</w:t>
      </w:r>
      <w:r w:rsidR="0070790E">
        <w:t xml:space="preserve">  </w:t>
      </w:r>
      <w:r>
        <w:rPr>
          <w:szCs w:val="20"/>
        </w:rPr>
        <w:t>Th</w:t>
      </w:r>
      <w:r w:rsidR="004D69D4">
        <w:rPr>
          <w:szCs w:val="20"/>
        </w:rPr>
        <w:t>e Company’s</w:t>
      </w:r>
      <w:r w:rsidR="00870A61">
        <w:rPr>
          <w:szCs w:val="20"/>
        </w:rPr>
        <w:t xml:space="preserve"> proposed</w:t>
      </w:r>
      <w:r w:rsidR="004D69D4">
        <w:rPr>
          <w:szCs w:val="20"/>
        </w:rPr>
        <w:t xml:space="preserve"> rate design </w:t>
      </w:r>
      <w:r>
        <w:rPr>
          <w:szCs w:val="20"/>
        </w:rPr>
        <w:t xml:space="preserve">is discussed in the direct and rebuttal testimonies of </w:t>
      </w:r>
      <w:r w:rsidR="00775A4D">
        <w:rPr>
          <w:szCs w:val="20"/>
        </w:rPr>
        <w:t xml:space="preserve">Ms. </w:t>
      </w:r>
      <w:r>
        <w:rPr>
          <w:szCs w:val="20"/>
        </w:rPr>
        <w:t>Joelle R. Steward.</w:t>
      </w:r>
      <w:r w:rsidR="00213584">
        <w:rPr>
          <w:szCs w:val="20"/>
        </w:rPr>
        <w:t xml:space="preserve">  </w:t>
      </w:r>
    </w:p>
    <w:p w:rsidR="007E2982" w:rsidRDefault="004D69D4" w:rsidP="006F6F6A">
      <w:pPr>
        <w:tabs>
          <w:tab w:val="left" w:pos="720"/>
        </w:tabs>
        <w:spacing w:line="480" w:lineRule="auto"/>
        <w:ind w:left="720" w:hanging="720"/>
        <w:jc w:val="left"/>
        <w:rPr>
          <w:szCs w:val="20"/>
        </w:rPr>
      </w:pPr>
      <w:r>
        <w:rPr>
          <w:szCs w:val="20"/>
        </w:rPr>
        <w:tab/>
      </w:r>
      <w:r>
        <w:rPr>
          <w:szCs w:val="20"/>
        </w:rPr>
        <w:tab/>
      </w:r>
      <w:r w:rsidR="006F6F6A">
        <w:rPr>
          <w:szCs w:val="20"/>
        </w:rPr>
        <w:t>Finally, to better position the Company to respond to changing circumstances in a timely and efficient manner, the Company also proposed several modifications to the historical test period convention to address chronic under-recovery and regulatory lag.  These modifications build upon the foundation laid by the Commission in the Company’s 2013 general rate case, Do</w:t>
      </w:r>
      <w:r w:rsidR="007E2982">
        <w:rPr>
          <w:szCs w:val="20"/>
        </w:rPr>
        <w:t>cket UE-130043 (2013 Rate Case), and include:</w:t>
      </w:r>
    </w:p>
    <w:p w:rsidR="007E2982" w:rsidRDefault="00C40F1B" w:rsidP="007A2D76">
      <w:pPr>
        <w:pStyle w:val="ListParagraph"/>
        <w:numPr>
          <w:ilvl w:val="0"/>
          <w:numId w:val="21"/>
        </w:numPr>
        <w:spacing w:after="240"/>
        <w:ind w:left="1800"/>
        <w:contextualSpacing w:val="0"/>
        <w:jc w:val="left"/>
        <w:rPr>
          <w:szCs w:val="20"/>
        </w:rPr>
      </w:pPr>
      <w:r>
        <w:rPr>
          <w:szCs w:val="20"/>
        </w:rPr>
        <w:t>Reflectin</w:t>
      </w:r>
      <w:r w:rsidR="007E2982">
        <w:rPr>
          <w:szCs w:val="20"/>
        </w:rPr>
        <w:t>g in retail rates significant capital additions that will be in service and used and useful for Washington customers before the beginning of the rate</w:t>
      </w:r>
      <w:r w:rsidR="00DD2C16">
        <w:rPr>
          <w:szCs w:val="20"/>
        </w:rPr>
        <w:t>-</w:t>
      </w:r>
      <w:r w:rsidR="007E2982">
        <w:rPr>
          <w:szCs w:val="20"/>
        </w:rPr>
        <w:t>effective period;</w:t>
      </w:r>
    </w:p>
    <w:p w:rsidR="007E2982" w:rsidRPr="00900579" w:rsidRDefault="007E2982" w:rsidP="007A2D76">
      <w:pPr>
        <w:pStyle w:val="ListParagraph"/>
        <w:numPr>
          <w:ilvl w:val="0"/>
          <w:numId w:val="21"/>
        </w:numPr>
        <w:spacing w:after="240"/>
        <w:ind w:left="1800"/>
        <w:contextualSpacing w:val="0"/>
        <w:jc w:val="left"/>
        <w:rPr>
          <w:szCs w:val="20"/>
        </w:rPr>
      </w:pPr>
      <w:r w:rsidRPr="00900579">
        <w:rPr>
          <w:szCs w:val="20"/>
        </w:rPr>
        <w:t>Reflecting rate base balances at end-of-period levels rather than using the average-of-monthly-averages approach;</w:t>
      </w:r>
      <w:r w:rsidR="00900579" w:rsidRPr="00900579">
        <w:rPr>
          <w:szCs w:val="20"/>
        </w:rPr>
        <w:t xml:space="preserve"> and</w:t>
      </w:r>
    </w:p>
    <w:p w:rsidR="007E2982" w:rsidRDefault="007E2982" w:rsidP="007A2D76">
      <w:pPr>
        <w:pStyle w:val="ListParagraph"/>
        <w:numPr>
          <w:ilvl w:val="0"/>
          <w:numId w:val="21"/>
        </w:numPr>
        <w:spacing w:after="240"/>
        <w:ind w:left="1800"/>
        <w:contextualSpacing w:val="0"/>
        <w:jc w:val="left"/>
        <w:rPr>
          <w:szCs w:val="20"/>
        </w:rPr>
      </w:pPr>
      <w:r>
        <w:rPr>
          <w:szCs w:val="20"/>
        </w:rPr>
        <w:t>Using IHS Global Insight indices to escalate non-labor operations and maintenance (O&amp;M) and administrative and general (A&amp;G) expenses.</w:t>
      </w:r>
    </w:p>
    <w:p w:rsidR="006F6F6A" w:rsidRDefault="007E2982" w:rsidP="006F6F6A">
      <w:pPr>
        <w:tabs>
          <w:tab w:val="left" w:pos="720"/>
        </w:tabs>
        <w:spacing w:line="480" w:lineRule="auto"/>
        <w:ind w:left="720" w:hanging="720"/>
        <w:jc w:val="left"/>
        <w:rPr>
          <w:szCs w:val="20"/>
        </w:rPr>
      </w:pPr>
      <w:r>
        <w:rPr>
          <w:szCs w:val="20"/>
        </w:rPr>
        <w:tab/>
      </w:r>
      <w:r w:rsidR="006F6F6A">
        <w:rPr>
          <w:szCs w:val="20"/>
        </w:rPr>
        <w:t>I address the</w:t>
      </w:r>
      <w:r>
        <w:rPr>
          <w:szCs w:val="20"/>
        </w:rPr>
        <w:t>se</w:t>
      </w:r>
      <w:r w:rsidR="006F6F6A">
        <w:rPr>
          <w:szCs w:val="20"/>
        </w:rPr>
        <w:t xml:space="preserve"> proposed modifications</w:t>
      </w:r>
      <w:r>
        <w:rPr>
          <w:szCs w:val="20"/>
        </w:rPr>
        <w:t>, as well as the Company’s proposed amortization of certain deferred accounting requests,</w:t>
      </w:r>
      <w:r w:rsidR="006F6F6A">
        <w:rPr>
          <w:szCs w:val="20"/>
        </w:rPr>
        <w:t xml:space="preserve"> in more detail below.</w:t>
      </w:r>
    </w:p>
    <w:p w:rsidR="002777D1" w:rsidRDefault="002777D1" w:rsidP="006F6F6A">
      <w:pPr>
        <w:tabs>
          <w:tab w:val="left" w:pos="720"/>
        </w:tabs>
        <w:spacing w:line="480" w:lineRule="auto"/>
        <w:ind w:left="720" w:hanging="720"/>
        <w:jc w:val="left"/>
        <w:rPr>
          <w:szCs w:val="20"/>
        </w:rPr>
      </w:pPr>
      <w:r>
        <w:rPr>
          <w:b/>
          <w:szCs w:val="20"/>
        </w:rPr>
        <w:t>Q.</w:t>
      </w:r>
      <w:r>
        <w:rPr>
          <w:b/>
          <w:szCs w:val="20"/>
        </w:rPr>
        <w:tab/>
      </w:r>
      <w:r w:rsidR="00C40F1B">
        <w:rPr>
          <w:b/>
          <w:szCs w:val="20"/>
        </w:rPr>
        <w:t>Have you</w:t>
      </w:r>
      <w:r>
        <w:rPr>
          <w:b/>
          <w:szCs w:val="20"/>
        </w:rPr>
        <w:t xml:space="preserve"> update</w:t>
      </w:r>
      <w:r w:rsidR="00C40F1B">
        <w:rPr>
          <w:b/>
          <w:szCs w:val="20"/>
        </w:rPr>
        <w:t>d</w:t>
      </w:r>
      <w:r>
        <w:rPr>
          <w:b/>
          <w:szCs w:val="20"/>
        </w:rPr>
        <w:t xml:space="preserve"> th</w:t>
      </w:r>
      <w:r w:rsidR="00902988">
        <w:rPr>
          <w:b/>
          <w:szCs w:val="20"/>
        </w:rPr>
        <w:t xml:space="preserve">e table provided in your direct testimony demonstrating the Company’s chronic under-earning in Washington from 2006 through 2012 to </w:t>
      </w:r>
      <w:r>
        <w:rPr>
          <w:b/>
          <w:szCs w:val="20"/>
        </w:rPr>
        <w:t>include the Company’s 2013 earnings?</w:t>
      </w:r>
    </w:p>
    <w:p w:rsidR="002777D1" w:rsidRDefault="002777D1" w:rsidP="006F6F6A">
      <w:pPr>
        <w:tabs>
          <w:tab w:val="left" w:pos="720"/>
        </w:tabs>
        <w:spacing w:line="480" w:lineRule="auto"/>
        <w:ind w:left="720" w:hanging="720"/>
        <w:jc w:val="left"/>
        <w:rPr>
          <w:szCs w:val="20"/>
        </w:rPr>
      </w:pPr>
      <w:r>
        <w:rPr>
          <w:szCs w:val="20"/>
        </w:rPr>
        <w:t>A.</w:t>
      </w:r>
      <w:r>
        <w:rPr>
          <w:szCs w:val="20"/>
        </w:rPr>
        <w:tab/>
        <w:t xml:space="preserve">Yes.  </w:t>
      </w:r>
      <w:r w:rsidR="00B8719A">
        <w:rPr>
          <w:szCs w:val="20"/>
        </w:rPr>
        <w:t xml:space="preserve">The results for 2013 have been added to the </w:t>
      </w:r>
      <w:r w:rsidR="00902988">
        <w:rPr>
          <w:szCs w:val="20"/>
        </w:rPr>
        <w:t>T</w:t>
      </w:r>
      <w:r w:rsidR="00B8719A">
        <w:rPr>
          <w:szCs w:val="20"/>
        </w:rPr>
        <w:t>able</w:t>
      </w:r>
      <w:r w:rsidR="00902988">
        <w:rPr>
          <w:szCs w:val="20"/>
        </w:rPr>
        <w:t xml:space="preserve"> 1 below</w:t>
      </w:r>
      <w:r w:rsidR="00B8719A">
        <w:rPr>
          <w:szCs w:val="20"/>
        </w:rPr>
        <w:t>:</w:t>
      </w:r>
      <w:r w:rsidR="00B8719A">
        <w:rPr>
          <w:rStyle w:val="FootnoteReference"/>
          <w:szCs w:val="20"/>
        </w:rPr>
        <w:footnoteReference w:id="15"/>
      </w:r>
    </w:p>
    <w:p w:rsidR="00902988" w:rsidRPr="00902988" w:rsidRDefault="00902988" w:rsidP="00902988">
      <w:pPr>
        <w:suppressLineNumbers/>
        <w:tabs>
          <w:tab w:val="left" w:pos="720"/>
        </w:tabs>
        <w:ind w:left="720" w:hanging="720"/>
        <w:jc w:val="center"/>
        <w:rPr>
          <w:b/>
          <w:szCs w:val="20"/>
        </w:rPr>
      </w:pPr>
      <w:r w:rsidRPr="00902988">
        <w:rPr>
          <w:b/>
          <w:szCs w:val="20"/>
        </w:rPr>
        <w:t>TABLE 1</w:t>
      </w:r>
    </w:p>
    <w:p w:rsidR="002777D1" w:rsidRDefault="00B8719A" w:rsidP="004F390D">
      <w:pPr>
        <w:suppressLineNumbers/>
        <w:tabs>
          <w:tab w:val="left" w:pos="720"/>
        </w:tabs>
        <w:spacing w:line="480" w:lineRule="auto"/>
        <w:ind w:left="720" w:hanging="720"/>
        <w:jc w:val="center"/>
        <w:rPr>
          <w:szCs w:val="20"/>
        </w:rPr>
      </w:pPr>
      <w:r w:rsidRPr="00B8719A">
        <w:rPr>
          <w:noProof/>
        </w:rPr>
        <w:drawing>
          <wp:inline distT="0" distB="0" distL="0" distR="0" wp14:anchorId="2DC6B47A" wp14:editId="3B066FD5">
            <wp:extent cx="5438775" cy="1336040"/>
            <wp:effectExtent l="0" t="0" r="9525"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775" cy="1336040"/>
                    </a:xfrm>
                    <a:prstGeom prst="rect">
                      <a:avLst/>
                    </a:prstGeom>
                    <a:noFill/>
                    <a:ln>
                      <a:noFill/>
                    </a:ln>
                  </pic:spPr>
                </pic:pic>
              </a:graphicData>
            </a:graphic>
          </wp:inline>
        </w:drawing>
      </w:r>
    </w:p>
    <w:p w:rsidR="00533174" w:rsidRPr="002777D1" w:rsidRDefault="00D724EE" w:rsidP="006F6F6A">
      <w:pPr>
        <w:tabs>
          <w:tab w:val="left" w:pos="720"/>
        </w:tabs>
        <w:spacing w:line="480" w:lineRule="auto"/>
        <w:ind w:left="720" w:hanging="720"/>
        <w:jc w:val="left"/>
        <w:rPr>
          <w:szCs w:val="20"/>
        </w:rPr>
      </w:pPr>
      <w:r>
        <w:rPr>
          <w:szCs w:val="20"/>
        </w:rPr>
        <w:tab/>
      </w:r>
      <w:r w:rsidR="002777D1">
        <w:rPr>
          <w:szCs w:val="20"/>
        </w:rPr>
        <w:t>This table shows the Company’s earnings</w:t>
      </w:r>
      <w:r w:rsidR="00933ADB">
        <w:rPr>
          <w:szCs w:val="20"/>
        </w:rPr>
        <w:t xml:space="preserve"> continue to </w:t>
      </w:r>
      <w:r w:rsidR="004F390D">
        <w:rPr>
          <w:szCs w:val="20"/>
        </w:rPr>
        <w:t xml:space="preserve">be at levels </w:t>
      </w:r>
      <w:r w:rsidR="00933ADB">
        <w:rPr>
          <w:szCs w:val="20"/>
        </w:rPr>
        <w:t>well below the Com</w:t>
      </w:r>
      <w:r w:rsidR="00C40F1B">
        <w:rPr>
          <w:szCs w:val="20"/>
        </w:rPr>
        <w:t>pany</w:t>
      </w:r>
      <w:r w:rsidR="00933ADB">
        <w:rPr>
          <w:szCs w:val="20"/>
        </w:rPr>
        <w:t xml:space="preserve">’s authorized </w:t>
      </w:r>
      <w:r w:rsidR="004F390D">
        <w:rPr>
          <w:szCs w:val="20"/>
        </w:rPr>
        <w:t>ROE</w:t>
      </w:r>
      <w:r w:rsidR="00933ADB">
        <w:rPr>
          <w:szCs w:val="20"/>
        </w:rPr>
        <w:t xml:space="preserve">.  </w:t>
      </w:r>
      <w:r w:rsidR="006219D5">
        <w:rPr>
          <w:szCs w:val="20"/>
        </w:rPr>
        <w:t xml:space="preserve">In 2012, </w:t>
      </w:r>
      <w:r w:rsidR="00533174">
        <w:rPr>
          <w:szCs w:val="20"/>
        </w:rPr>
        <w:t xml:space="preserve">the Commission adopted </w:t>
      </w:r>
      <w:r w:rsidR="006219D5">
        <w:rPr>
          <w:szCs w:val="20"/>
        </w:rPr>
        <w:t xml:space="preserve">supportive </w:t>
      </w:r>
      <w:r w:rsidR="00533174">
        <w:rPr>
          <w:szCs w:val="20"/>
        </w:rPr>
        <w:t xml:space="preserve">ratemaking treatment </w:t>
      </w:r>
      <w:r w:rsidR="006219D5">
        <w:rPr>
          <w:szCs w:val="20"/>
        </w:rPr>
        <w:t xml:space="preserve">for Puget Sound Energy </w:t>
      </w:r>
      <w:r w:rsidR="00942E9B">
        <w:rPr>
          <w:szCs w:val="20"/>
        </w:rPr>
        <w:t xml:space="preserve">(PSE) </w:t>
      </w:r>
      <w:r w:rsidR="006219D5">
        <w:rPr>
          <w:szCs w:val="20"/>
        </w:rPr>
        <w:t xml:space="preserve">expressly </w:t>
      </w:r>
      <w:r w:rsidR="00533174">
        <w:rPr>
          <w:szCs w:val="20"/>
        </w:rPr>
        <w:t xml:space="preserve">to address </w:t>
      </w:r>
      <w:r w:rsidR="006219D5">
        <w:rPr>
          <w:szCs w:val="20"/>
        </w:rPr>
        <w:t xml:space="preserve">its </w:t>
      </w:r>
      <w:r w:rsidR="00533174">
        <w:rPr>
          <w:szCs w:val="20"/>
        </w:rPr>
        <w:t>under-earning.</w:t>
      </w:r>
      <w:r w:rsidR="00533174">
        <w:rPr>
          <w:rStyle w:val="FootnoteReference"/>
        </w:rPr>
        <w:footnoteReference w:id="16"/>
      </w:r>
      <w:r w:rsidR="00533174">
        <w:t xml:space="preserve">  </w:t>
      </w:r>
      <w:r w:rsidR="00942E9B">
        <w:t>The Company’s</w:t>
      </w:r>
      <w:r w:rsidR="006219D5">
        <w:t xml:space="preserve"> </w:t>
      </w:r>
      <w:r w:rsidR="00942E9B">
        <w:t xml:space="preserve">historical </w:t>
      </w:r>
      <w:r w:rsidR="006219D5">
        <w:t xml:space="preserve">earnings </w:t>
      </w:r>
      <w:r w:rsidR="00942E9B">
        <w:t>in Washington fall well below PSE’s, demonstrating Pacific Power’s need for similar support from the Commission.</w:t>
      </w:r>
      <w:r w:rsidR="00942E9B">
        <w:rPr>
          <w:rStyle w:val="FootnoteReference"/>
        </w:rPr>
        <w:footnoteReference w:id="17"/>
      </w:r>
      <w:r w:rsidR="00942E9B">
        <w:t xml:space="preserve">  </w:t>
      </w:r>
      <w:r w:rsidR="005C2B69">
        <w:t xml:space="preserve">As the business environment for electric utilities becomes more challenging in Washington, the </w:t>
      </w:r>
      <w:r w:rsidR="0011612E">
        <w:t xml:space="preserve">Company’s recommendations in this case </w:t>
      </w:r>
      <w:r w:rsidR="005C2B69">
        <w:t xml:space="preserve">are necessary to prevent further earnings deterioration. </w:t>
      </w:r>
    </w:p>
    <w:p w:rsidR="007E2982" w:rsidRPr="00391113" w:rsidRDefault="007E2982" w:rsidP="00391113">
      <w:pPr>
        <w:pStyle w:val="Heading1"/>
      </w:pPr>
      <w:bookmarkStart w:id="6" w:name="_Toc403712969"/>
      <w:r w:rsidRPr="00391113">
        <w:t>PRO FORMA CAPITAL ADDITIONS</w:t>
      </w:r>
      <w:bookmarkEnd w:id="6"/>
    </w:p>
    <w:p w:rsidR="00D06784" w:rsidRDefault="00D06784" w:rsidP="00D06784">
      <w:pPr>
        <w:tabs>
          <w:tab w:val="left" w:pos="720"/>
        </w:tabs>
        <w:spacing w:line="480" w:lineRule="auto"/>
        <w:ind w:left="720" w:hanging="720"/>
        <w:jc w:val="left"/>
        <w:rPr>
          <w:b/>
          <w:szCs w:val="20"/>
        </w:rPr>
      </w:pPr>
      <w:r>
        <w:rPr>
          <w:b/>
          <w:szCs w:val="20"/>
        </w:rPr>
        <w:t>Q.</w:t>
      </w:r>
      <w:r>
        <w:rPr>
          <w:b/>
          <w:szCs w:val="20"/>
        </w:rPr>
        <w:tab/>
        <w:t>What did the Company propose regarding pro forma capital additions in its initial filing?</w:t>
      </w:r>
    </w:p>
    <w:p w:rsidR="00D06784" w:rsidRDefault="00D06784" w:rsidP="00D06784">
      <w:pPr>
        <w:tabs>
          <w:tab w:val="left" w:pos="720"/>
        </w:tabs>
        <w:spacing w:line="480" w:lineRule="auto"/>
        <w:ind w:left="720" w:hanging="720"/>
        <w:jc w:val="left"/>
        <w:rPr>
          <w:szCs w:val="20"/>
        </w:rPr>
      </w:pPr>
      <w:r>
        <w:rPr>
          <w:szCs w:val="20"/>
        </w:rPr>
        <w:t>A.</w:t>
      </w:r>
      <w:r>
        <w:rPr>
          <w:szCs w:val="20"/>
        </w:rPr>
        <w:tab/>
      </w:r>
      <w:r w:rsidR="00C40F1B">
        <w:rPr>
          <w:szCs w:val="20"/>
        </w:rPr>
        <w:t xml:space="preserve">The Company proposed including </w:t>
      </w:r>
      <w:r>
        <w:rPr>
          <w:szCs w:val="20"/>
        </w:rPr>
        <w:t>capital additions above $250,000 on a Washington-allocated basis that would be in service and used and useful before the beginning of the rate</w:t>
      </w:r>
      <w:r w:rsidR="00DD2C16">
        <w:rPr>
          <w:szCs w:val="20"/>
        </w:rPr>
        <w:t>-</w:t>
      </w:r>
      <w:r>
        <w:rPr>
          <w:szCs w:val="20"/>
        </w:rPr>
        <w:t>effective period.  These capital additions were discussed in the direc</w:t>
      </w:r>
      <w:r w:rsidR="00137D58">
        <w:rPr>
          <w:szCs w:val="20"/>
        </w:rPr>
        <w:t xml:space="preserve">t testimonies of Ms. </w:t>
      </w:r>
      <w:r>
        <w:rPr>
          <w:szCs w:val="20"/>
        </w:rPr>
        <w:t>Siores, Mr. Richard A. Vail, Mr. Mark R. Tallman, and Mr. Dana M. Ralston.</w:t>
      </w:r>
    </w:p>
    <w:p w:rsidR="00D06784" w:rsidRPr="00D06784" w:rsidRDefault="00D06784" w:rsidP="00D06784">
      <w:pPr>
        <w:tabs>
          <w:tab w:val="left" w:pos="720"/>
        </w:tabs>
        <w:spacing w:line="480" w:lineRule="auto"/>
        <w:ind w:left="720" w:hanging="720"/>
        <w:jc w:val="left"/>
        <w:rPr>
          <w:b/>
          <w:szCs w:val="20"/>
        </w:rPr>
      </w:pPr>
      <w:r w:rsidRPr="00D06784">
        <w:rPr>
          <w:b/>
          <w:szCs w:val="20"/>
        </w:rPr>
        <w:t>Q.</w:t>
      </w:r>
      <w:r w:rsidRPr="00D06784">
        <w:rPr>
          <w:b/>
          <w:szCs w:val="20"/>
        </w:rPr>
        <w:tab/>
        <w:t>Did Staff, Public Counsel, and Boise support the Company’s pro forma capital additions?</w:t>
      </w:r>
    </w:p>
    <w:p w:rsidR="00CF019E" w:rsidRDefault="00D06784" w:rsidP="00D06784">
      <w:pPr>
        <w:tabs>
          <w:tab w:val="left" w:pos="720"/>
        </w:tabs>
        <w:spacing w:line="480" w:lineRule="auto"/>
        <w:ind w:left="720" w:hanging="720"/>
        <w:jc w:val="left"/>
        <w:rPr>
          <w:szCs w:val="20"/>
        </w:rPr>
      </w:pPr>
      <w:r>
        <w:rPr>
          <w:szCs w:val="20"/>
        </w:rPr>
        <w:t>A.</w:t>
      </w:r>
      <w:r>
        <w:rPr>
          <w:szCs w:val="20"/>
        </w:rPr>
        <w:tab/>
        <w:t xml:space="preserve">Staff supports the Company’s proposed pro forma additions, but proposes limiting the adjustment to reflect only </w:t>
      </w:r>
      <w:r w:rsidR="00484A89">
        <w:rPr>
          <w:szCs w:val="20"/>
        </w:rPr>
        <w:t>actual plant</w:t>
      </w:r>
      <w:r>
        <w:rPr>
          <w:szCs w:val="20"/>
        </w:rPr>
        <w:t xml:space="preserve"> in service </w:t>
      </w:r>
      <w:r w:rsidR="00484A89">
        <w:rPr>
          <w:szCs w:val="20"/>
        </w:rPr>
        <w:t xml:space="preserve">through </w:t>
      </w:r>
      <w:r>
        <w:rPr>
          <w:szCs w:val="20"/>
        </w:rPr>
        <w:t xml:space="preserve">November 14, 2014, which is the date of </w:t>
      </w:r>
      <w:r w:rsidR="00484A89">
        <w:rPr>
          <w:szCs w:val="20"/>
        </w:rPr>
        <w:t xml:space="preserve">the Company’s </w:t>
      </w:r>
      <w:r>
        <w:rPr>
          <w:szCs w:val="20"/>
        </w:rPr>
        <w:t>rebuttal testimony.</w:t>
      </w:r>
      <w:r w:rsidR="00CF019E">
        <w:rPr>
          <w:rStyle w:val="FootnoteReference"/>
          <w:szCs w:val="20"/>
        </w:rPr>
        <w:footnoteReference w:id="18"/>
      </w:r>
      <w:r w:rsidR="00902988">
        <w:rPr>
          <w:szCs w:val="20"/>
        </w:rPr>
        <w:t xml:space="preserve">  </w:t>
      </w:r>
      <w:r>
        <w:rPr>
          <w:szCs w:val="20"/>
        </w:rPr>
        <w:t xml:space="preserve">Public Counsel </w:t>
      </w:r>
      <w:r w:rsidR="00484A89">
        <w:rPr>
          <w:szCs w:val="20"/>
        </w:rPr>
        <w:t xml:space="preserve">supports including pro forma capital additions to address regulatory lag, but proposes </w:t>
      </w:r>
      <w:r w:rsidR="00FF4D16">
        <w:rPr>
          <w:szCs w:val="20"/>
        </w:rPr>
        <w:t>t</w:t>
      </w:r>
      <w:r w:rsidR="00484A89">
        <w:rPr>
          <w:szCs w:val="20"/>
        </w:rPr>
        <w:t xml:space="preserve">he adjustment </w:t>
      </w:r>
      <w:r w:rsidR="00FF4D16">
        <w:rPr>
          <w:szCs w:val="20"/>
        </w:rPr>
        <w:t xml:space="preserve">“should be limited </w:t>
      </w:r>
      <w:r w:rsidR="00484A89">
        <w:rPr>
          <w:szCs w:val="20"/>
        </w:rPr>
        <w:t>only</w:t>
      </w:r>
      <w:r w:rsidR="00FF4D16">
        <w:rPr>
          <w:szCs w:val="20"/>
        </w:rPr>
        <w:t xml:space="preserve"> to</w:t>
      </w:r>
      <w:r w:rsidR="00484A89">
        <w:rPr>
          <w:szCs w:val="20"/>
        </w:rPr>
        <w:t xml:space="preserve"> the known and measurable amounts for projects th</w:t>
      </w:r>
      <w:r w:rsidR="00CF019E">
        <w:rPr>
          <w:szCs w:val="20"/>
        </w:rPr>
        <w:t>a</w:t>
      </w:r>
      <w:r w:rsidR="00484A89">
        <w:rPr>
          <w:szCs w:val="20"/>
        </w:rPr>
        <w:t>t have actually been placed into service and are used and useful in providing service to customers.”</w:t>
      </w:r>
      <w:r w:rsidR="00484A89">
        <w:rPr>
          <w:rStyle w:val="FootnoteReference"/>
          <w:szCs w:val="20"/>
        </w:rPr>
        <w:footnoteReference w:id="19"/>
      </w:r>
      <w:r w:rsidR="00484A89">
        <w:rPr>
          <w:szCs w:val="20"/>
        </w:rPr>
        <w:t xml:space="preserve">  Public Counsel proposes an adjustment to the Company’s pro forma capital additions that is based upon plant in service </w:t>
      </w:r>
      <w:r w:rsidR="00C40F1B">
        <w:rPr>
          <w:szCs w:val="20"/>
        </w:rPr>
        <w:t xml:space="preserve">balances </w:t>
      </w:r>
      <w:r w:rsidR="00484A89">
        <w:rPr>
          <w:szCs w:val="20"/>
        </w:rPr>
        <w:t xml:space="preserve">as of August 31, 2014, </w:t>
      </w:r>
      <w:r w:rsidR="00CF019E">
        <w:rPr>
          <w:szCs w:val="20"/>
        </w:rPr>
        <w:t>consistent with actual plant addition data provided in discovery</w:t>
      </w:r>
      <w:r w:rsidR="00484A89">
        <w:rPr>
          <w:szCs w:val="20"/>
        </w:rPr>
        <w:t>.</w:t>
      </w:r>
      <w:r w:rsidR="00CF019E">
        <w:rPr>
          <w:rStyle w:val="FootnoteReference"/>
          <w:szCs w:val="20"/>
        </w:rPr>
        <w:footnoteReference w:id="20"/>
      </w:r>
      <w:r w:rsidR="00902988">
        <w:rPr>
          <w:szCs w:val="20"/>
        </w:rPr>
        <w:t xml:space="preserve">  </w:t>
      </w:r>
      <w:r w:rsidR="00CF019E">
        <w:rPr>
          <w:szCs w:val="20"/>
        </w:rPr>
        <w:tab/>
        <w:t>Boise does not support the Company’s proposal and rejects all of the proposed pro forma capital additions except the Merwin fish collector.</w:t>
      </w:r>
      <w:r w:rsidR="00CF019E">
        <w:rPr>
          <w:rStyle w:val="FootnoteReference"/>
          <w:szCs w:val="20"/>
        </w:rPr>
        <w:footnoteReference w:id="21"/>
      </w:r>
    </w:p>
    <w:p w:rsidR="00CF019E" w:rsidRPr="00CF019E" w:rsidRDefault="00CF019E" w:rsidP="00D06784">
      <w:pPr>
        <w:tabs>
          <w:tab w:val="left" w:pos="720"/>
        </w:tabs>
        <w:spacing w:line="480" w:lineRule="auto"/>
        <w:ind w:left="720" w:hanging="720"/>
        <w:jc w:val="left"/>
        <w:rPr>
          <w:b/>
          <w:szCs w:val="20"/>
        </w:rPr>
      </w:pPr>
      <w:r w:rsidRPr="00CF019E">
        <w:rPr>
          <w:b/>
          <w:szCs w:val="20"/>
        </w:rPr>
        <w:t>Q.</w:t>
      </w:r>
      <w:r w:rsidRPr="00CF019E">
        <w:rPr>
          <w:b/>
          <w:szCs w:val="20"/>
        </w:rPr>
        <w:tab/>
        <w:t xml:space="preserve">What is the Company’s position regarding pro forma capital additions in </w:t>
      </w:r>
      <w:r>
        <w:rPr>
          <w:b/>
          <w:szCs w:val="20"/>
        </w:rPr>
        <w:t>its</w:t>
      </w:r>
      <w:r w:rsidRPr="00CF019E">
        <w:rPr>
          <w:b/>
          <w:szCs w:val="20"/>
        </w:rPr>
        <w:t xml:space="preserve"> rebuttal filing?</w:t>
      </w:r>
    </w:p>
    <w:p w:rsidR="00CF019E" w:rsidRDefault="00CF019E" w:rsidP="00D06784">
      <w:pPr>
        <w:tabs>
          <w:tab w:val="left" w:pos="720"/>
        </w:tabs>
        <w:spacing w:line="480" w:lineRule="auto"/>
        <w:ind w:left="720" w:hanging="720"/>
        <w:jc w:val="left"/>
        <w:rPr>
          <w:szCs w:val="20"/>
        </w:rPr>
      </w:pPr>
      <w:r>
        <w:rPr>
          <w:szCs w:val="20"/>
        </w:rPr>
        <w:t>A.</w:t>
      </w:r>
      <w:r>
        <w:rPr>
          <w:szCs w:val="20"/>
        </w:rPr>
        <w:tab/>
      </w:r>
      <w:r w:rsidR="00341EC0">
        <w:rPr>
          <w:szCs w:val="20"/>
        </w:rPr>
        <w:t xml:space="preserve">The Company appreciates Staff’s and Public Counsel’s recognition that pro forma capital additions are a reasonable means of </w:t>
      </w:r>
      <w:r w:rsidR="00900579">
        <w:rPr>
          <w:szCs w:val="20"/>
        </w:rPr>
        <w:t xml:space="preserve">addressing under-recovery and </w:t>
      </w:r>
      <w:r w:rsidR="00341EC0">
        <w:rPr>
          <w:szCs w:val="20"/>
        </w:rPr>
        <w:t xml:space="preserve">mitigating regulatory lag.  </w:t>
      </w:r>
      <w:r>
        <w:rPr>
          <w:szCs w:val="20"/>
        </w:rPr>
        <w:t xml:space="preserve">To respond to Staff’s and Public Counsel’s recommendations that only the known and measurable amounts for projects that have actually been placed in service be included in rates, the Company proposes </w:t>
      </w:r>
      <w:r w:rsidR="00900579">
        <w:rPr>
          <w:szCs w:val="20"/>
        </w:rPr>
        <w:t xml:space="preserve">in this case </w:t>
      </w:r>
      <w:r>
        <w:rPr>
          <w:szCs w:val="20"/>
        </w:rPr>
        <w:t>to limit its adjustment for pro forma capital additions</w:t>
      </w:r>
      <w:r w:rsidR="00341EC0">
        <w:rPr>
          <w:szCs w:val="20"/>
        </w:rPr>
        <w:t xml:space="preserve"> to the amounts actually placed in service by the date of the Company’s compliance filing.  Consistent with this standard, the Company proposes to remove projects that are not placed in service by that date.  This proposed update is similar to the net power cost update that the Company has made in its compliance filings in prior general rate cases.</w:t>
      </w:r>
    </w:p>
    <w:p w:rsidR="00341EC0" w:rsidRPr="00D06784" w:rsidRDefault="00341EC0" w:rsidP="00D06784">
      <w:pPr>
        <w:tabs>
          <w:tab w:val="left" w:pos="720"/>
        </w:tabs>
        <w:spacing w:line="480" w:lineRule="auto"/>
        <w:ind w:left="720" w:hanging="720"/>
        <w:jc w:val="left"/>
        <w:rPr>
          <w:szCs w:val="20"/>
        </w:rPr>
      </w:pPr>
      <w:r>
        <w:rPr>
          <w:szCs w:val="20"/>
        </w:rPr>
        <w:tab/>
      </w:r>
      <w:r>
        <w:rPr>
          <w:szCs w:val="20"/>
        </w:rPr>
        <w:tab/>
        <w:t xml:space="preserve">Unlike Boise’s recommended </w:t>
      </w:r>
      <w:r w:rsidR="00900579">
        <w:rPr>
          <w:szCs w:val="20"/>
        </w:rPr>
        <w:t xml:space="preserve">(and arguably punitive) </w:t>
      </w:r>
      <w:r>
        <w:rPr>
          <w:szCs w:val="20"/>
        </w:rPr>
        <w:t>approach to pro forma capital additions, the Company’s proposal recognizes that including the costs of capital projects that are in service and used and useful for customers before the beginning of the rate</w:t>
      </w:r>
      <w:r w:rsidR="00DD2C16">
        <w:rPr>
          <w:szCs w:val="20"/>
        </w:rPr>
        <w:t>-</w:t>
      </w:r>
      <w:r>
        <w:rPr>
          <w:szCs w:val="20"/>
        </w:rPr>
        <w:t xml:space="preserve">effective period: (1) appropriately </w:t>
      </w:r>
      <w:r w:rsidR="00900579">
        <w:rPr>
          <w:szCs w:val="20"/>
        </w:rPr>
        <w:t>reflects the cost to serve customers</w:t>
      </w:r>
      <w:r>
        <w:rPr>
          <w:szCs w:val="20"/>
        </w:rPr>
        <w:t xml:space="preserve">; (2) mitigates regulatory lag; and (3) </w:t>
      </w:r>
      <w:r w:rsidR="00900579">
        <w:rPr>
          <w:szCs w:val="20"/>
        </w:rPr>
        <w:t>encourages prudent investment in necessary infrastructure.</w:t>
      </w:r>
    </w:p>
    <w:p w:rsidR="007E2982" w:rsidRPr="0019074B" w:rsidRDefault="007E2982" w:rsidP="0019074B">
      <w:pPr>
        <w:pStyle w:val="Heading1"/>
      </w:pPr>
      <w:bookmarkStart w:id="7" w:name="_Toc403712970"/>
      <w:r w:rsidRPr="0019074B">
        <w:t>END-OF-PERIOD RATE BASE BALANCES</w:t>
      </w:r>
      <w:bookmarkEnd w:id="7"/>
    </w:p>
    <w:p w:rsidR="00D06784" w:rsidRDefault="00900579" w:rsidP="003938D3">
      <w:pPr>
        <w:tabs>
          <w:tab w:val="left" w:pos="720"/>
        </w:tabs>
        <w:spacing w:line="480" w:lineRule="auto"/>
        <w:ind w:left="720" w:hanging="720"/>
        <w:jc w:val="left"/>
        <w:rPr>
          <w:b/>
          <w:szCs w:val="20"/>
        </w:rPr>
      </w:pPr>
      <w:r>
        <w:rPr>
          <w:b/>
          <w:szCs w:val="20"/>
        </w:rPr>
        <w:t>Q.</w:t>
      </w:r>
      <w:r>
        <w:rPr>
          <w:b/>
          <w:szCs w:val="20"/>
        </w:rPr>
        <w:tab/>
        <w:t>Did the Company propose using end-of-period rate base balances in its initial filing as a means of mitigating regulatory lag?</w:t>
      </w:r>
    </w:p>
    <w:p w:rsidR="00900579" w:rsidRDefault="00900579" w:rsidP="003938D3">
      <w:pPr>
        <w:tabs>
          <w:tab w:val="left" w:pos="720"/>
        </w:tabs>
        <w:spacing w:line="480" w:lineRule="auto"/>
        <w:ind w:left="720" w:hanging="720"/>
        <w:jc w:val="left"/>
        <w:rPr>
          <w:szCs w:val="20"/>
        </w:rPr>
      </w:pPr>
      <w:r w:rsidRPr="00900579">
        <w:rPr>
          <w:szCs w:val="20"/>
        </w:rPr>
        <w:t>A.</w:t>
      </w:r>
      <w:r w:rsidRPr="00900579">
        <w:rPr>
          <w:szCs w:val="20"/>
        </w:rPr>
        <w:tab/>
        <w:t xml:space="preserve">Yes.  </w:t>
      </w:r>
      <w:r>
        <w:rPr>
          <w:szCs w:val="20"/>
        </w:rPr>
        <w:t xml:space="preserve">Consistent with the Company’s 2013 Rate Case, the Company reflected rate base balances at end-of-period levels.  </w:t>
      </w:r>
    </w:p>
    <w:p w:rsidR="003938D3" w:rsidRPr="003938D3" w:rsidRDefault="003938D3" w:rsidP="003938D3">
      <w:pPr>
        <w:tabs>
          <w:tab w:val="left" w:pos="720"/>
        </w:tabs>
        <w:spacing w:line="480" w:lineRule="auto"/>
        <w:ind w:left="720" w:hanging="720"/>
        <w:jc w:val="left"/>
        <w:rPr>
          <w:b/>
          <w:szCs w:val="20"/>
        </w:rPr>
      </w:pPr>
      <w:r w:rsidRPr="003938D3">
        <w:rPr>
          <w:b/>
          <w:szCs w:val="20"/>
        </w:rPr>
        <w:t>Q.</w:t>
      </w:r>
      <w:r w:rsidRPr="003938D3">
        <w:rPr>
          <w:b/>
          <w:szCs w:val="20"/>
        </w:rPr>
        <w:tab/>
        <w:t>How did the parties respond to the Company’s proposals?</w:t>
      </w:r>
    </w:p>
    <w:p w:rsidR="003938D3" w:rsidRDefault="003938D3" w:rsidP="003938D3">
      <w:pPr>
        <w:tabs>
          <w:tab w:val="left" w:pos="720"/>
        </w:tabs>
        <w:spacing w:line="480" w:lineRule="auto"/>
        <w:ind w:left="720" w:hanging="720"/>
        <w:jc w:val="left"/>
        <w:rPr>
          <w:szCs w:val="20"/>
        </w:rPr>
      </w:pPr>
      <w:r>
        <w:rPr>
          <w:szCs w:val="20"/>
        </w:rPr>
        <w:t>A.</w:t>
      </w:r>
      <w:r>
        <w:rPr>
          <w:szCs w:val="20"/>
        </w:rPr>
        <w:tab/>
        <w:t>Staff and Public Counsel do not contest the use of end-of-period rate base balances in this case.  Boise rejects the Company’s proposal, arguing that the approval of end-of-period rate base balances in the Company’s 2013 Rate Case “has done little to assuage the frequency of the Company’s rate filings.”</w:t>
      </w:r>
      <w:r w:rsidR="005C2B69">
        <w:rPr>
          <w:rStyle w:val="FootnoteReference"/>
          <w:szCs w:val="20"/>
        </w:rPr>
        <w:footnoteReference w:id="22"/>
      </w:r>
      <w:r>
        <w:rPr>
          <w:szCs w:val="20"/>
        </w:rPr>
        <w:t xml:space="preserve">  Boise recommends using average</w:t>
      </w:r>
      <w:r w:rsidR="00C40F1B">
        <w:rPr>
          <w:szCs w:val="20"/>
        </w:rPr>
        <w:t>-</w:t>
      </w:r>
      <w:r>
        <w:rPr>
          <w:szCs w:val="20"/>
        </w:rPr>
        <w:t>of</w:t>
      </w:r>
      <w:r w:rsidR="00C40F1B">
        <w:rPr>
          <w:szCs w:val="20"/>
        </w:rPr>
        <w:t>-monthly-</w:t>
      </w:r>
      <w:r>
        <w:rPr>
          <w:szCs w:val="20"/>
        </w:rPr>
        <w:t>averages rate base balances, which would reduce revenue requirement by approximately $1.8 million.</w:t>
      </w:r>
    </w:p>
    <w:p w:rsidR="003938D3" w:rsidRPr="003938D3" w:rsidRDefault="003938D3" w:rsidP="008F2883">
      <w:pPr>
        <w:tabs>
          <w:tab w:val="left" w:pos="720"/>
        </w:tabs>
        <w:spacing w:line="480" w:lineRule="auto"/>
        <w:ind w:left="720" w:hanging="720"/>
        <w:jc w:val="left"/>
        <w:rPr>
          <w:b/>
          <w:szCs w:val="20"/>
        </w:rPr>
      </w:pPr>
      <w:r w:rsidRPr="003938D3">
        <w:rPr>
          <w:b/>
          <w:szCs w:val="20"/>
        </w:rPr>
        <w:t>Q.</w:t>
      </w:r>
      <w:r w:rsidRPr="003938D3">
        <w:rPr>
          <w:b/>
          <w:szCs w:val="20"/>
        </w:rPr>
        <w:tab/>
        <w:t>What is your response to Boise’s recommendation?</w:t>
      </w:r>
    </w:p>
    <w:p w:rsidR="003938D3" w:rsidRPr="00900579" w:rsidRDefault="00642AC8" w:rsidP="008F2883">
      <w:pPr>
        <w:tabs>
          <w:tab w:val="left" w:pos="720"/>
        </w:tabs>
        <w:spacing w:line="480" w:lineRule="auto"/>
        <w:ind w:left="720" w:hanging="720"/>
        <w:jc w:val="left"/>
        <w:rPr>
          <w:szCs w:val="20"/>
        </w:rPr>
      </w:pPr>
      <w:r>
        <w:rPr>
          <w:szCs w:val="20"/>
        </w:rPr>
        <w:t>A.</w:t>
      </w:r>
      <w:r>
        <w:rPr>
          <w:szCs w:val="20"/>
        </w:rPr>
        <w:tab/>
        <w:t>Boise’s recommendation does not recognize the fact that the Company is currently investing in its system to provide safe, reliable, and cost-effective service.  Because the Company’s rate base continues to grow, reflecting rate base using end-of-period balances more accurately reflects the cost to serve customers in the rate</w:t>
      </w:r>
      <w:r w:rsidR="00DD2C16">
        <w:rPr>
          <w:szCs w:val="20"/>
        </w:rPr>
        <w:t>-</w:t>
      </w:r>
      <w:r>
        <w:rPr>
          <w:szCs w:val="20"/>
        </w:rPr>
        <w:t>effective period.  In addition, the Commission’s willingness to use end-of-period rate base balances is an encouraging step that supports future investment</w:t>
      </w:r>
      <w:r w:rsidR="008F2883">
        <w:rPr>
          <w:szCs w:val="20"/>
        </w:rPr>
        <w:t>s, including those that may be required to achieve state and federal</w:t>
      </w:r>
      <w:r>
        <w:rPr>
          <w:szCs w:val="20"/>
        </w:rPr>
        <w:t xml:space="preserve"> energy </w:t>
      </w:r>
      <w:r w:rsidR="008F2883">
        <w:rPr>
          <w:szCs w:val="20"/>
        </w:rPr>
        <w:t>and environmental goals</w:t>
      </w:r>
      <w:r>
        <w:rPr>
          <w:szCs w:val="20"/>
        </w:rPr>
        <w:t>.</w:t>
      </w:r>
    </w:p>
    <w:p w:rsidR="007E2982" w:rsidRPr="00391113" w:rsidRDefault="007E2982" w:rsidP="00391113">
      <w:pPr>
        <w:pStyle w:val="Heading1"/>
      </w:pPr>
      <w:bookmarkStart w:id="8" w:name="_Toc403712971"/>
      <w:r w:rsidRPr="00391113">
        <w:t>IHS GLOBAL INSIGHT INDICES</w:t>
      </w:r>
      <w:bookmarkEnd w:id="8"/>
    </w:p>
    <w:p w:rsidR="00D06784" w:rsidRDefault="00692116" w:rsidP="00692116">
      <w:pPr>
        <w:tabs>
          <w:tab w:val="left" w:pos="720"/>
        </w:tabs>
        <w:spacing w:line="480" w:lineRule="auto"/>
        <w:ind w:left="720" w:hanging="720"/>
        <w:jc w:val="left"/>
        <w:rPr>
          <w:b/>
          <w:szCs w:val="20"/>
        </w:rPr>
      </w:pPr>
      <w:r>
        <w:rPr>
          <w:b/>
          <w:szCs w:val="20"/>
        </w:rPr>
        <w:t>Q.</w:t>
      </w:r>
      <w:r>
        <w:rPr>
          <w:b/>
          <w:szCs w:val="20"/>
        </w:rPr>
        <w:tab/>
        <w:t>Please describe the Company’s proposed pro forma adjustment using IHS Global Insight indices.</w:t>
      </w:r>
    </w:p>
    <w:p w:rsidR="00692116" w:rsidRDefault="00692116" w:rsidP="00692116">
      <w:pPr>
        <w:tabs>
          <w:tab w:val="left" w:pos="720"/>
        </w:tabs>
        <w:spacing w:line="480" w:lineRule="auto"/>
        <w:ind w:left="720" w:hanging="720"/>
        <w:jc w:val="left"/>
        <w:rPr>
          <w:szCs w:val="20"/>
        </w:rPr>
      </w:pPr>
      <w:r w:rsidRPr="00692116">
        <w:rPr>
          <w:szCs w:val="20"/>
        </w:rPr>
        <w:t>A.</w:t>
      </w:r>
      <w:r w:rsidRPr="00692116">
        <w:rPr>
          <w:szCs w:val="20"/>
        </w:rPr>
        <w:tab/>
      </w:r>
      <w:r>
        <w:rPr>
          <w:szCs w:val="20"/>
        </w:rPr>
        <w:t>As discussed in my direct testimony and the testimony of Ms. Siores, the Company proposes to escalate non-labor O&amp;M and A&amp;G accounts using independent third-party escalation indices developed specifically for electric utilities</w:t>
      </w:r>
      <w:r w:rsidR="00274420">
        <w:rPr>
          <w:szCs w:val="20"/>
        </w:rPr>
        <w:t xml:space="preserve">. </w:t>
      </w:r>
    </w:p>
    <w:p w:rsidR="00274420" w:rsidRPr="00274420" w:rsidRDefault="00274420" w:rsidP="00C40F1B">
      <w:pPr>
        <w:keepNext/>
        <w:tabs>
          <w:tab w:val="left" w:pos="720"/>
        </w:tabs>
        <w:spacing w:line="480" w:lineRule="auto"/>
        <w:ind w:left="720" w:hanging="720"/>
        <w:jc w:val="left"/>
        <w:rPr>
          <w:b/>
          <w:szCs w:val="20"/>
        </w:rPr>
      </w:pPr>
      <w:r w:rsidRPr="00274420">
        <w:rPr>
          <w:b/>
          <w:szCs w:val="20"/>
        </w:rPr>
        <w:t>Q.</w:t>
      </w:r>
      <w:r w:rsidRPr="00274420">
        <w:rPr>
          <w:b/>
          <w:szCs w:val="20"/>
        </w:rPr>
        <w:tab/>
        <w:t>How did the parties’ respond to the Company’s proposal?</w:t>
      </w:r>
    </w:p>
    <w:p w:rsidR="00274420" w:rsidRDefault="00274420" w:rsidP="00274420">
      <w:pPr>
        <w:tabs>
          <w:tab w:val="left" w:pos="720"/>
        </w:tabs>
        <w:spacing w:line="480" w:lineRule="auto"/>
        <w:ind w:left="720" w:hanging="720"/>
        <w:jc w:val="left"/>
      </w:pPr>
      <w:r>
        <w:rPr>
          <w:szCs w:val="20"/>
        </w:rPr>
        <w:t>A.</w:t>
      </w:r>
      <w:r>
        <w:rPr>
          <w:szCs w:val="20"/>
        </w:rPr>
        <w:tab/>
      </w:r>
      <w:r w:rsidR="00F069EF">
        <w:rPr>
          <w:szCs w:val="20"/>
        </w:rPr>
        <w:t>Staff, Public Counsel, and Boise recommend rejecting</w:t>
      </w:r>
      <w:r>
        <w:rPr>
          <w:szCs w:val="20"/>
        </w:rPr>
        <w:t xml:space="preserve"> the Company’s proposal.  Staff </w:t>
      </w:r>
      <w:r w:rsidR="00F069EF">
        <w:rPr>
          <w:szCs w:val="20"/>
        </w:rPr>
        <w:t>argues that</w:t>
      </w:r>
      <w:r w:rsidR="007A2D76">
        <w:rPr>
          <w:szCs w:val="20"/>
        </w:rPr>
        <w:t xml:space="preserve"> use of the IHS Global Insight i</w:t>
      </w:r>
      <w:r w:rsidR="00F069EF">
        <w:rPr>
          <w:szCs w:val="20"/>
        </w:rPr>
        <w:t xml:space="preserve">ndices effectively create “a </w:t>
      </w:r>
      <w:r w:rsidR="00F069EF">
        <w:t>budgeted, future test year for ratemaking purposes” and are “</w:t>
      </w:r>
      <w:r w:rsidR="00027DFF">
        <w:t xml:space="preserve">overstated and </w:t>
      </w:r>
      <w:r w:rsidR="00F069EF">
        <w:t>unreliable.”</w:t>
      </w:r>
      <w:r w:rsidR="00F069EF">
        <w:rPr>
          <w:rStyle w:val="FootnoteReference"/>
        </w:rPr>
        <w:footnoteReference w:id="23"/>
      </w:r>
      <w:r w:rsidR="00F069EF">
        <w:t xml:space="preserve">  Public Counsel argues that the use of the </w:t>
      </w:r>
      <w:r w:rsidR="007B4CD6">
        <w:t>IHS</w:t>
      </w:r>
      <w:r w:rsidR="00F069EF">
        <w:t xml:space="preserve"> Global Insight </w:t>
      </w:r>
      <w:r w:rsidR="007A2D76">
        <w:t>i</w:t>
      </w:r>
      <w:r w:rsidR="00F069EF">
        <w:t xml:space="preserve">ndices to escalate non-labor O&amp;M and A&amp;G expenses is inconsistent with </w:t>
      </w:r>
      <w:r w:rsidR="006A1851">
        <w:t>use of a</w:t>
      </w:r>
      <w:r w:rsidR="00F069EF">
        <w:t xml:space="preserve"> historical test period</w:t>
      </w:r>
      <w:r w:rsidR="006A1851">
        <w:t>.</w:t>
      </w:r>
      <w:r w:rsidR="006A1851">
        <w:rPr>
          <w:rStyle w:val="FootnoteReference"/>
        </w:rPr>
        <w:footnoteReference w:id="24"/>
      </w:r>
      <w:r w:rsidR="006A1851">
        <w:t xml:space="preserve">  Boise states that the Company’s proposed adjustment is not known and measurable.</w:t>
      </w:r>
      <w:r w:rsidR="006A1851">
        <w:rPr>
          <w:rStyle w:val="FootnoteReference"/>
        </w:rPr>
        <w:footnoteReference w:id="25"/>
      </w:r>
    </w:p>
    <w:p w:rsidR="006A1851" w:rsidRDefault="006A1851" w:rsidP="00274420">
      <w:pPr>
        <w:tabs>
          <w:tab w:val="left" w:pos="720"/>
        </w:tabs>
        <w:spacing w:line="480" w:lineRule="auto"/>
        <w:ind w:left="720" w:hanging="720"/>
        <w:jc w:val="left"/>
        <w:rPr>
          <w:b/>
        </w:rPr>
      </w:pPr>
      <w:r w:rsidRPr="006A1851">
        <w:rPr>
          <w:b/>
        </w:rPr>
        <w:t>Q.</w:t>
      </w:r>
      <w:r w:rsidRPr="006A1851">
        <w:rPr>
          <w:b/>
        </w:rPr>
        <w:tab/>
      </w:r>
      <w:r w:rsidR="00AF1713">
        <w:rPr>
          <w:b/>
        </w:rPr>
        <w:t>Are the parties’ criticisms of the Company’s proposal well founded?</w:t>
      </w:r>
    </w:p>
    <w:p w:rsidR="00AF1713" w:rsidRDefault="00AF1713" w:rsidP="00274420">
      <w:pPr>
        <w:tabs>
          <w:tab w:val="left" w:pos="720"/>
        </w:tabs>
        <w:spacing w:line="480" w:lineRule="auto"/>
        <w:ind w:left="720" w:hanging="720"/>
        <w:jc w:val="left"/>
      </w:pPr>
      <w:r w:rsidRPr="00AF1713">
        <w:t>A.</w:t>
      </w:r>
      <w:r w:rsidRPr="00AF1713">
        <w:tab/>
      </w:r>
      <w:r w:rsidR="00BD218B">
        <w:t>No, but the parties’ positions are not surprising b</w:t>
      </w:r>
      <w:r>
        <w:t xml:space="preserve">ased on Commission precedent.  </w:t>
      </w:r>
      <w:r w:rsidR="00BD218B">
        <w:t>The</w:t>
      </w:r>
      <w:r>
        <w:t xml:space="preserve"> Company is asking the Commission to tak</w:t>
      </w:r>
      <w:r w:rsidR="00BD218B">
        <w:t>e incremental steps to provide the Company a more reasonable opportunity to recover its costs.  It is undisputed that the Company has not recovered the full cost of serving its Washington customers since at least 2006.  To address this chronic under-recovery and better position the Company to face the changing environmental landscape, the Company proposes easily auditable, discrete adjustments to the historical test period convention to more accurately reflect the costs anticipated during the rate</w:t>
      </w:r>
      <w:r w:rsidR="00DD2C16">
        <w:t>-</w:t>
      </w:r>
      <w:r w:rsidR="00BD218B">
        <w:t>effective period.  The IHS Global Insight adjustment is one of these discrete adjustments.</w:t>
      </w:r>
    </w:p>
    <w:p w:rsidR="00BD218B" w:rsidRPr="007B4CD6" w:rsidRDefault="00BD218B" w:rsidP="00274420">
      <w:pPr>
        <w:tabs>
          <w:tab w:val="left" w:pos="720"/>
        </w:tabs>
        <w:spacing w:line="480" w:lineRule="auto"/>
        <w:ind w:left="720" w:hanging="720"/>
        <w:jc w:val="left"/>
        <w:rPr>
          <w:b/>
        </w:rPr>
      </w:pPr>
      <w:r w:rsidRPr="007B4CD6">
        <w:rPr>
          <w:b/>
        </w:rPr>
        <w:t>Q.</w:t>
      </w:r>
      <w:r w:rsidRPr="007B4CD6">
        <w:rPr>
          <w:b/>
        </w:rPr>
        <w:tab/>
        <w:t>Staff asserts that the I</w:t>
      </w:r>
      <w:r w:rsidR="007B4CD6" w:rsidRPr="007B4CD6">
        <w:rPr>
          <w:b/>
        </w:rPr>
        <w:t>H</w:t>
      </w:r>
      <w:r w:rsidRPr="007B4CD6">
        <w:rPr>
          <w:b/>
        </w:rPr>
        <w:t xml:space="preserve">S Global Insight </w:t>
      </w:r>
      <w:r w:rsidR="007A2D76">
        <w:rPr>
          <w:b/>
        </w:rPr>
        <w:t>i</w:t>
      </w:r>
      <w:r w:rsidRPr="007B4CD6">
        <w:rPr>
          <w:b/>
        </w:rPr>
        <w:t>ndices are not reliable and overstated.  Is there any merit to Staff’s criticism?</w:t>
      </w:r>
    </w:p>
    <w:p w:rsidR="00BD218B" w:rsidRDefault="00BD218B">
      <w:pPr>
        <w:tabs>
          <w:tab w:val="left" w:pos="720"/>
        </w:tabs>
        <w:spacing w:line="480" w:lineRule="auto"/>
        <w:ind w:left="720" w:hanging="720"/>
        <w:jc w:val="left"/>
      </w:pPr>
      <w:r>
        <w:t>A.</w:t>
      </w:r>
      <w:r>
        <w:tab/>
        <w:t>No.  IHS Global Insight is a</w:t>
      </w:r>
      <w:r w:rsidR="00B6222A" w:rsidRPr="006F331E">
        <w:t xml:space="preserve"> national economic forecasting consulting company</w:t>
      </w:r>
      <w:r w:rsidR="00B6222A">
        <w:t xml:space="preserve"> that </w:t>
      </w:r>
      <w:r w:rsidR="00B65F16">
        <w:t xml:space="preserve">is </w:t>
      </w:r>
      <w:r w:rsidR="00F52146">
        <w:t xml:space="preserve">widely used to develop economic forecasts.  </w:t>
      </w:r>
      <w:r w:rsidR="008F2249">
        <w:t>T</w:t>
      </w:r>
      <w:r w:rsidR="00F52146" w:rsidRPr="006F331E">
        <w:t xml:space="preserve">he State of Washington’s Economic and Revenue Forecast Council relies on </w:t>
      </w:r>
      <w:r w:rsidR="00F52146">
        <w:t xml:space="preserve">IHS </w:t>
      </w:r>
      <w:r w:rsidR="00F52146" w:rsidRPr="006F331E">
        <w:t xml:space="preserve">Global Insight data </w:t>
      </w:r>
      <w:r w:rsidR="00F52146">
        <w:t xml:space="preserve">to develop </w:t>
      </w:r>
      <w:r w:rsidR="00F52146" w:rsidRPr="006F331E">
        <w:t>economic forecasts for the state.</w:t>
      </w:r>
      <w:r w:rsidR="00F52146">
        <w:rPr>
          <w:rStyle w:val="FootnoteReference"/>
        </w:rPr>
        <w:footnoteReference w:id="26"/>
      </w:r>
      <w:r w:rsidR="00F52146">
        <w:t xml:space="preserve">  </w:t>
      </w:r>
      <w:r w:rsidR="008F2249">
        <w:t>For</w:t>
      </w:r>
      <w:r w:rsidR="00F52146">
        <w:t xml:space="preserve"> the utili</w:t>
      </w:r>
      <w:r w:rsidR="00C01DF4">
        <w:t>ty industry, IHS Global Insight</w:t>
      </w:r>
      <w:r w:rsidR="00F52146">
        <w:t xml:space="preserve"> </w:t>
      </w:r>
      <w:r>
        <w:t>provides industry-specific escalation indices</w:t>
      </w:r>
      <w:r w:rsidR="00F52146">
        <w:t xml:space="preserve">, </w:t>
      </w:r>
      <w:r>
        <w:t>developed at the F</w:t>
      </w:r>
      <w:r w:rsidR="00C40F1B">
        <w:t>ederal Energy Regulatory Commission</w:t>
      </w:r>
      <w:r>
        <w:t xml:space="preserve"> account functional level. </w:t>
      </w:r>
      <w:r w:rsidR="00F52146">
        <w:t xml:space="preserve"> </w:t>
      </w:r>
      <w:r w:rsidR="006F331E">
        <w:t xml:space="preserve">A description of the model used by </w:t>
      </w:r>
      <w:r w:rsidR="00DD2C16">
        <w:t xml:space="preserve">IHS </w:t>
      </w:r>
      <w:r w:rsidR="006F331E">
        <w:t xml:space="preserve">Global Insight to develop its O&amp;M and A&amp;G indices is attached as </w:t>
      </w:r>
      <w:r w:rsidR="005F7B0C">
        <w:t xml:space="preserve">Confidential </w:t>
      </w:r>
      <w:r w:rsidR="006F331E">
        <w:t>Exhibit</w:t>
      </w:r>
      <w:r w:rsidR="00DD2C16">
        <w:t xml:space="preserve"> No.</w:t>
      </w:r>
      <w:r w:rsidR="006F331E">
        <w:t xml:space="preserve"> RBD-</w:t>
      </w:r>
      <w:r w:rsidR="00C01DF4">
        <w:t>5</w:t>
      </w:r>
      <w:r w:rsidR="0019074B">
        <w:t>C</w:t>
      </w:r>
      <w:r w:rsidR="00C01DF4">
        <w:t xml:space="preserve">. </w:t>
      </w:r>
      <w:r w:rsidR="006F331E">
        <w:t xml:space="preserve"> </w:t>
      </w:r>
      <w:r w:rsidR="00C01DF4">
        <w:t>IHS Global Insight</w:t>
      </w:r>
      <w:r w:rsidR="00F52146">
        <w:t xml:space="preserve"> is widely used </w:t>
      </w:r>
      <w:r w:rsidR="00064724">
        <w:t xml:space="preserve">and </w:t>
      </w:r>
      <w:r w:rsidR="00F52146">
        <w:t>reliable</w:t>
      </w:r>
      <w:r w:rsidR="000D7DD4">
        <w:t>, winning accolades for its accuracy.</w:t>
      </w:r>
      <w:r w:rsidR="000D7DD4">
        <w:rPr>
          <w:rStyle w:val="FootnoteReference"/>
        </w:rPr>
        <w:footnoteReference w:id="27"/>
      </w:r>
    </w:p>
    <w:p w:rsidR="006F331E" w:rsidRPr="006F331E" w:rsidRDefault="007B4CD6" w:rsidP="006F331E">
      <w:pPr>
        <w:tabs>
          <w:tab w:val="left" w:pos="720"/>
        </w:tabs>
        <w:spacing w:line="480" w:lineRule="auto"/>
        <w:ind w:left="720" w:hanging="720"/>
        <w:jc w:val="left"/>
      </w:pPr>
      <w:r>
        <w:tab/>
      </w:r>
      <w:r>
        <w:tab/>
      </w:r>
      <w:r w:rsidR="00992AA3">
        <w:t>Staff r</w:t>
      </w:r>
      <w:r w:rsidR="006F331E">
        <w:t>elies on the Company’s response</w:t>
      </w:r>
      <w:r w:rsidR="00992AA3">
        <w:t xml:space="preserve"> to </w:t>
      </w:r>
      <w:r w:rsidR="006F331E">
        <w:t xml:space="preserve">a </w:t>
      </w:r>
      <w:r w:rsidR="00992AA3">
        <w:t>data request to assert that the indices are unreliable.</w:t>
      </w:r>
      <w:r w:rsidR="006F331E">
        <w:rPr>
          <w:rStyle w:val="FootnoteReference"/>
        </w:rPr>
        <w:footnoteReference w:id="28"/>
      </w:r>
      <w:r w:rsidR="00992AA3">
        <w:t xml:space="preserve">  Staff, however, misinterprets the Company’s response.  IHS Global Insight calculates the indices each quarter and provides an update for each year.  Consistent with other economic indices, the key comparison is the year-to-year change.  Staff mistakenly focuses on which year is used as the base year and not the year-to-year change, which is the basis of the adjustment.</w:t>
      </w:r>
    </w:p>
    <w:p w:rsidR="007E2982" w:rsidRPr="00391113" w:rsidRDefault="00D06784" w:rsidP="00391113">
      <w:pPr>
        <w:pStyle w:val="Heading1"/>
      </w:pPr>
      <w:bookmarkStart w:id="9" w:name="_Toc403712972"/>
      <w:r w:rsidRPr="00391113">
        <w:t>DEFERRED ACCOUNTING REQUESTS</w:t>
      </w:r>
      <w:bookmarkEnd w:id="9"/>
    </w:p>
    <w:p w:rsidR="00D06784" w:rsidRPr="007E2982" w:rsidRDefault="00592C2B" w:rsidP="00592C2B">
      <w:pPr>
        <w:tabs>
          <w:tab w:val="left" w:pos="720"/>
        </w:tabs>
        <w:spacing w:line="480" w:lineRule="auto"/>
        <w:ind w:left="720" w:hanging="720"/>
        <w:rPr>
          <w:b/>
          <w:szCs w:val="20"/>
        </w:rPr>
      </w:pPr>
      <w:r>
        <w:rPr>
          <w:b/>
          <w:szCs w:val="20"/>
        </w:rPr>
        <w:t>Q.</w:t>
      </w:r>
      <w:r>
        <w:rPr>
          <w:b/>
          <w:szCs w:val="20"/>
        </w:rPr>
        <w:tab/>
        <w:t>Please describe the Company’s deferred accounting requests.</w:t>
      </w:r>
    </w:p>
    <w:p w:rsidR="00D43788" w:rsidRDefault="00592C2B" w:rsidP="00592C2B">
      <w:pPr>
        <w:tabs>
          <w:tab w:val="left" w:pos="720"/>
        </w:tabs>
        <w:spacing w:line="480" w:lineRule="auto"/>
        <w:ind w:left="720" w:hanging="720"/>
        <w:jc w:val="left"/>
        <w:rPr>
          <w:szCs w:val="20"/>
        </w:rPr>
      </w:pPr>
      <w:r>
        <w:rPr>
          <w:szCs w:val="20"/>
        </w:rPr>
        <w:t>A.</w:t>
      </w:r>
      <w:r>
        <w:rPr>
          <w:szCs w:val="20"/>
        </w:rPr>
        <w:tab/>
        <w:t>As discussed in the Company’s initial filing, as part of this case the Company is requesting amortization of several deferred accounting requests through a separate tariff rider, Schedule 92—Deferral Adjustments.  These deferred accounting requests related to</w:t>
      </w:r>
      <w:r w:rsidR="00C40F1B">
        <w:rPr>
          <w:szCs w:val="20"/>
        </w:rPr>
        <w:t>:</w:t>
      </w:r>
      <w:r>
        <w:rPr>
          <w:szCs w:val="20"/>
        </w:rPr>
        <w:t xml:space="preserve"> (1) an extended outage at Unit 4 of the Colstrip generating plant; (2) depreciation expense; (3) low hydro conditions; and </w:t>
      </w:r>
      <w:r w:rsidR="00D43788">
        <w:rPr>
          <w:szCs w:val="20"/>
        </w:rPr>
        <w:t>(4) the Merwin fish collector.</w:t>
      </w:r>
    </w:p>
    <w:p w:rsidR="00592C2B" w:rsidRPr="00592C2B" w:rsidRDefault="00592C2B" w:rsidP="00C40F1B">
      <w:pPr>
        <w:keepNext/>
        <w:tabs>
          <w:tab w:val="left" w:pos="720"/>
        </w:tabs>
        <w:spacing w:line="480" w:lineRule="auto"/>
        <w:ind w:left="720" w:hanging="720"/>
        <w:jc w:val="left"/>
        <w:rPr>
          <w:b/>
          <w:szCs w:val="20"/>
        </w:rPr>
      </w:pPr>
      <w:r w:rsidRPr="00592C2B">
        <w:rPr>
          <w:b/>
          <w:szCs w:val="20"/>
        </w:rPr>
        <w:t>Q.</w:t>
      </w:r>
      <w:r w:rsidRPr="00592C2B">
        <w:rPr>
          <w:b/>
          <w:szCs w:val="20"/>
        </w:rPr>
        <w:tab/>
      </w:r>
      <w:r w:rsidR="00D43788">
        <w:rPr>
          <w:b/>
          <w:szCs w:val="20"/>
        </w:rPr>
        <w:t>Why is the Company seeking amortization of these deferred accounting requests?</w:t>
      </w:r>
    </w:p>
    <w:p w:rsidR="00592C2B" w:rsidRDefault="00D43788" w:rsidP="00592C2B">
      <w:pPr>
        <w:tabs>
          <w:tab w:val="left" w:pos="720"/>
        </w:tabs>
        <w:spacing w:line="480" w:lineRule="auto"/>
        <w:ind w:left="720" w:hanging="720"/>
        <w:jc w:val="left"/>
        <w:rPr>
          <w:szCs w:val="20"/>
        </w:rPr>
      </w:pPr>
      <w:r>
        <w:rPr>
          <w:szCs w:val="20"/>
        </w:rPr>
        <w:t>A.</w:t>
      </w:r>
      <w:r>
        <w:rPr>
          <w:szCs w:val="20"/>
        </w:rPr>
        <w:tab/>
        <w:t>Except the depreciation deferral, which results in a rate reduction for customers, each of these deferrals reflect actual costs prudently incurred by the Company in the course of providing safe, reliable, and cost-effective service to its Washington customers.  These costs are not currently reflected in customer rates and will not be reflected in customer rates without amortization of the deferred amounts.  As demonstrated in Table 1 above, the Company’s earnings have been well below authorized levels.  Allowing the Company to recover the full costs of unexpected events (like an extended outage or low hydro conditions) or the revenue requirement associated with a new environmental improvement investment required by federal agencies is fair and equitable for the Company and its customers.  The Company’s specific deferred accounting requests, and its response to the parties’ positions on these requests, are discussed in more detail in the rebuttal testimonies o</w:t>
      </w:r>
      <w:r w:rsidR="00775A4D">
        <w:rPr>
          <w:szCs w:val="20"/>
        </w:rPr>
        <w:t>f Mr. Duvall, Ms. </w:t>
      </w:r>
      <w:r>
        <w:rPr>
          <w:szCs w:val="20"/>
        </w:rPr>
        <w:t>Siores</w:t>
      </w:r>
      <w:r w:rsidR="00C40F1B">
        <w:rPr>
          <w:szCs w:val="20"/>
        </w:rPr>
        <w:t>, and Mr. </w:t>
      </w:r>
      <w:r w:rsidR="00775A4D">
        <w:rPr>
          <w:szCs w:val="20"/>
        </w:rPr>
        <w:t>Ralston</w:t>
      </w:r>
      <w:r>
        <w:rPr>
          <w:szCs w:val="20"/>
        </w:rPr>
        <w:t>.</w:t>
      </w:r>
    </w:p>
    <w:p w:rsidR="00C01DF4" w:rsidRPr="00391113" w:rsidRDefault="00C01DF4" w:rsidP="00391113">
      <w:pPr>
        <w:pStyle w:val="Heading1"/>
      </w:pPr>
      <w:bookmarkStart w:id="10" w:name="_Toc403712973"/>
      <w:r w:rsidRPr="00391113">
        <w:t>CONCLUSION</w:t>
      </w:r>
      <w:bookmarkEnd w:id="10"/>
    </w:p>
    <w:bookmarkEnd w:id="4"/>
    <w:p w:rsidR="00C01DF4" w:rsidRDefault="004839E1" w:rsidP="00FA4598">
      <w:pPr>
        <w:pStyle w:val="Answer"/>
        <w:keepNext/>
        <w:widowControl w:val="0"/>
        <w:jc w:val="left"/>
        <w:rPr>
          <w:b/>
        </w:rPr>
      </w:pPr>
      <w:r w:rsidRPr="002B505A">
        <w:rPr>
          <w:b/>
        </w:rPr>
        <w:t>Q.</w:t>
      </w:r>
      <w:r w:rsidRPr="002B505A">
        <w:rPr>
          <w:b/>
        </w:rPr>
        <w:tab/>
      </w:r>
      <w:r w:rsidR="00C01DF4">
        <w:rPr>
          <w:b/>
        </w:rPr>
        <w:t>What is your recommendation to the Commission?</w:t>
      </w:r>
    </w:p>
    <w:p w:rsidR="00C01DF4" w:rsidRPr="00C01DF4" w:rsidRDefault="00C01DF4" w:rsidP="002D5374">
      <w:pPr>
        <w:tabs>
          <w:tab w:val="left" w:pos="720"/>
        </w:tabs>
        <w:spacing w:line="480" w:lineRule="auto"/>
        <w:ind w:left="720" w:hanging="720"/>
        <w:jc w:val="left"/>
      </w:pPr>
      <w:r w:rsidRPr="00C01DF4">
        <w:t>A.</w:t>
      </w:r>
      <w:r w:rsidRPr="00C01DF4">
        <w:tab/>
      </w:r>
      <w:r>
        <w:t>The Company respectfully requests that the Commission approve the Company’s requested revenue requirement in</w:t>
      </w:r>
      <w:r w:rsidR="002D5374">
        <w:t>crease, as well as the amortization of its deferred accounting requests, in order to create the supportive regulatory environment that is necessary to face the challenges presented by a period of significant industry transformation.  This supportive regulatory environment will better position the Company to effectively and efficiently respond to the rapidly evolving energy and environmental laws and policies.</w:t>
      </w:r>
    </w:p>
    <w:p w:rsidR="004839E1" w:rsidRPr="002B505A" w:rsidRDefault="00C01DF4" w:rsidP="00FA4598">
      <w:pPr>
        <w:pStyle w:val="Answer"/>
        <w:keepNext/>
        <w:widowControl w:val="0"/>
        <w:jc w:val="left"/>
        <w:rPr>
          <w:b/>
        </w:rPr>
      </w:pPr>
      <w:r>
        <w:rPr>
          <w:b/>
        </w:rPr>
        <w:t>Q.</w:t>
      </w:r>
      <w:r>
        <w:rPr>
          <w:b/>
        </w:rPr>
        <w:tab/>
      </w:r>
      <w:r w:rsidR="004839E1" w:rsidRPr="002B505A">
        <w:rPr>
          <w:b/>
        </w:rPr>
        <w:t xml:space="preserve">Does this conclude your </w:t>
      </w:r>
      <w:r w:rsidR="006707F3">
        <w:rPr>
          <w:b/>
        </w:rPr>
        <w:t>rebuttal</w:t>
      </w:r>
      <w:r w:rsidR="004361E5">
        <w:rPr>
          <w:b/>
        </w:rPr>
        <w:t xml:space="preserve"> </w:t>
      </w:r>
      <w:r w:rsidR="004839E1" w:rsidRPr="002B505A">
        <w:rPr>
          <w:b/>
        </w:rPr>
        <w:t>testimony?</w:t>
      </w:r>
    </w:p>
    <w:p w:rsidR="005B757D" w:rsidRPr="00410A71" w:rsidRDefault="004839E1" w:rsidP="00FA4598">
      <w:pPr>
        <w:pStyle w:val="Answer"/>
        <w:widowControl w:val="0"/>
        <w:jc w:val="left"/>
      </w:pPr>
      <w:r>
        <w:t>A.</w:t>
      </w:r>
      <w:r>
        <w:tab/>
        <w:t>Yes.</w:t>
      </w:r>
    </w:p>
    <w:sectPr w:rsidR="005B757D" w:rsidRPr="00410A71" w:rsidSect="00E11AA5">
      <w:pgSz w:w="12240" w:h="15840" w:code="1"/>
      <w:pgMar w:top="1440" w:right="1440" w:bottom="1440" w:left="180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D88" w:rsidRDefault="00EB7D88">
      <w:r>
        <w:separator/>
      </w:r>
    </w:p>
  </w:endnote>
  <w:endnote w:type="continuationSeparator" w:id="0">
    <w:p w:rsidR="00EB7D88" w:rsidRDefault="00EB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13D" w:rsidRDefault="009411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5F" w:rsidRDefault="008114D7" w:rsidP="008E085A">
    <w:pPr>
      <w:pStyle w:val="Footer"/>
      <w:tabs>
        <w:tab w:val="clear" w:pos="8640"/>
        <w:tab w:val="right" w:pos="9000"/>
      </w:tabs>
    </w:pPr>
    <w:r>
      <w:t>Rebuttal</w:t>
    </w:r>
    <w:r w:rsidR="00F97F5F">
      <w:t xml:space="preserve"> Testimony of R. Bryce Dalley</w:t>
    </w:r>
    <w:r w:rsidR="00F97F5F">
      <w:tab/>
    </w:r>
    <w:r w:rsidR="00F97F5F">
      <w:tab/>
      <w:t>Exhibit No.</w:t>
    </w:r>
    <w:r>
      <w:t xml:space="preserve"> </w:t>
    </w:r>
    <w:r w:rsidR="00F97F5F" w:rsidRPr="007B3542">
      <w:t>RBD-</w:t>
    </w:r>
    <w:r>
      <w:t>3</w:t>
    </w:r>
    <w:r w:rsidR="00F97F5F" w:rsidRPr="007B3542">
      <w:t>T</w:t>
    </w:r>
  </w:p>
  <w:p w:rsidR="00F97F5F" w:rsidRPr="007B3542" w:rsidRDefault="00F97F5F" w:rsidP="007B3542">
    <w:pPr>
      <w:pStyle w:val="Footer"/>
      <w:jc w:val="right"/>
    </w:pPr>
    <w:r>
      <w:t xml:space="preserve">Page </w:t>
    </w:r>
    <w:r>
      <w:fldChar w:fldCharType="begin"/>
    </w:r>
    <w:r>
      <w:instrText xml:space="preserve"> PAGE   \* MERGEFORMAT </w:instrText>
    </w:r>
    <w:r>
      <w:fldChar w:fldCharType="separate"/>
    </w:r>
    <w:r w:rsidR="00BC77D7">
      <w:rPr>
        <w:noProof/>
      </w:rPr>
      <w:t>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13D" w:rsidRDefault="009411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D88" w:rsidRDefault="00EB7D88">
      <w:r>
        <w:separator/>
      </w:r>
    </w:p>
  </w:footnote>
  <w:footnote w:type="continuationSeparator" w:id="0">
    <w:p w:rsidR="00EB7D88" w:rsidRDefault="00EB7D88">
      <w:r>
        <w:continuationSeparator/>
      </w:r>
    </w:p>
  </w:footnote>
  <w:footnote w:id="1">
    <w:p w:rsidR="00B409F0" w:rsidRPr="000D7DD4" w:rsidRDefault="00B409F0" w:rsidP="000D7DD4">
      <w:pPr>
        <w:pStyle w:val="FootnoteText"/>
        <w:jc w:val="left"/>
      </w:pPr>
      <w:r w:rsidRPr="000D7DD4">
        <w:rPr>
          <w:rStyle w:val="FootnoteReference"/>
        </w:rPr>
        <w:footnoteRef/>
      </w:r>
      <w:r w:rsidRPr="000D7DD4">
        <w:t xml:space="preserve"> RCW 19.285.020 (EIA provides that Washington should increase the use of “</w:t>
      </w:r>
      <w:r w:rsidR="00235996" w:rsidRPr="000D7DD4">
        <w:t>renewable energy facilities”).</w:t>
      </w:r>
    </w:p>
  </w:footnote>
  <w:footnote w:id="2">
    <w:p w:rsidR="00A72BAE" w:rsidRPr="008B6153" w:rsidRDefault="00B409F0" w:rsidP="000D7DD4">
      <w:pPr>
        <w:pStyle w:val="FootnoteText"/>
        <w:jc w:val="left"/>
      </w:pPr>
      <w:r w:rsidRPr="000D7DD4">
        <w:rPr>
          <w:rStyle w:val="FootnoteReference"/>
        </w:rPr>
        <w:footnoteRef/>
      </w:r>
      <w:r w:rsidRPr="000D7DD4">
        <w:t xml:space="preserve"> Laws of 201</w:t>
      </w:r>
      <w:r w:rsidR="00A72BAE" w:rsidRPr="000D7DD4">
        <w:t>3</w:t>
      </w:r>
      <w:r w:rsidRPr="000D7DD4">
        <w:t xml:space="preserve">, ch. </w:t>
      </w:r>
      <w:r w:rsidR="00A72BAE" w:rsidRPr="000D7DD4">
        <w:t>61</w:t>
      </w:r>
      <w:r w:rsidRPr="000D7DD4">
        <w:t xml:space="preserve"> (amending </w:t>
      </w:r>
      <w:r w:rsidR="00A72BAE" w:rsidRPr="000D7DD4">
        <w:t xml:space="preserve">the definition of “eligible renewable resource” in </w:t>
      </w:r>
      <w:r w:rsidRPr="000D7DD4">
        <w:t>RCW 19.285.030, effective Ju</w:t>
      </w:r>
      <w:r w:rsidR="00A72BAE" w:rsidRPr="000D7DD4">
        <w:t xml:space="preserve">ly 28, </w:t>
      </w:r>
      <w:r w:rsidRPr="000D7DD4">
        <w:t>20</w:t>
      </w:r>
      <w:r w:rsidR="00A72BAE" w:rsidRPr="000D7DD4">
        <w:t>13</w:t>
      </w:r>
      <w:r w:rsidRPr="000D7DD4">
        <w:t xml:space="preserve">).  Now, </w:t>
      </w:r>
      <w:r w:rsidRPr="008B6153">
        <w:fldChar w:fldCharType="begin"/>
      </w:r>
      <w:r w:rsidRPr="008B6153">
        <w:instrText xml:space="preserve"> ADDIN BA \xc &lt;@st&gt; \xl 18 \s KBKQKB000053 \l "RCW 19.285.030(11)" </w:instrText>
      </w:r>
      <w:r w:rsidRPr="008B6153">
        <w:fldChar w:fldCharType="end"/>
      </w:r>
      <w:r w:rsidRPr="000D7DD4">
        <w:t>RCW 19.285.030(12)(a) and (</w:t>
      </w:r>
      <w:r w:rsidR="00A72BAE" w:rsidRPr="000D7DD4">
        <w:t>e</w:t>
      </w:r>
      <w:r w:rsidRPr="000D7DD4">
        <w:t xml:space="preserve">) define “eligible renewable resource” to include </w:t>
      </w:r>
      <w:r w:rsidR="00A72BAE" w:rsidRPr="000D7DD4">
        <w:t xml:space="preserve">facilities located </w:t>
      </w:r>
      <w:r w:rsidRPr="000D7DD4">
        <w:t xml:space="preserve">in the Pacific Northwest </w:t>
      </w:r>
      <w:r w:rsidR="00B12099" w:rsidRPr="000D7DD4">
        <w:t>as well as</w:t>
      </w:r>
      <w:r w:rsidR="00A72BAE" w:rsidRPr="000D7DD4">
        <w:t xml:space="preserve"> facilities in other states</w:t>
      </w:r>
      <w:r w:rsidR="00B12099" w:rsidRPr="000D7DD4">
        <w:t xml:space="preserve"> where the </w:t>
      </w:r>
      <w:r w:rsidRPr="000D7DD4">
        <w:t>qualifying utility has a renewable resource and serves retail custome</w:t>
      </w:r>
      <w:r w:rsidRPr="008B6153">
        <w:t>rs.</w:t>
      </w:r>
    </w:p>
  </w:footnote>
  <w:footnote w:id="3">
    <w:p w:rsidR="00B409F0" w:rsidRPr="000D7DD4" w:rsidRDefault="00B409F0" w:rsidP="000D7DD4">
      <w:pPr>
        <w:pStyle w:val="FootnoteText"/>
        <w:jc w:val="left"/>
      </w:pPr>
      <w:r w:rsidRPr="000D7DD4">
        <w:rPr>
          <w:rStyle w:val="FootnoteReference"/>
        </w:rPr>
        <w:footnoteRef/>
      </w:r>
      <w:r w:rsidRPr="000D7DD4">
        <w:t xml:space="preserve"> </w:t>
      </w:r>
      <w:r w:rsidR="004C1440" w:rsidRPr="000D7DD4">
        <w:rPr>
          <w:i/>
        </w:rPr>
        <w:t xml:space="preserve">See </w:t>
      </w:r>
      <w:r w:rsidRPr="000D7DD4">
        <w:t xml:space="preserve">RCW 80.80. </w:t>
      </w:r>
    </w:p>
  </w:footnote>
  <w:footnote w:id="4">
    <w:p w:rsidR="00B409F0" w:rsidRPr="000D7DD4" w:rsidRDefault="00B409F0" w:rsidP="008B6153">
      <w:pPr>
        <w:pStyle w:val="FootnoteText"/>
        <w:jc w:val="left"/>
      </w:pPr>
      <w:r w:rsidRPr="000D7DD4">
        <w:rPr>
          <w:rStyle w:val="FootnoteReference"/>
        </w:rPr>
        <w:footnoteRef/>
      </w:r>
      <w:r w:rsidRPr="000D7DD4">
        <w:t xml:space="preserve"> RCW 80.80.005(1)(d)</w:t>
      </w:r>
      <w:r w:rsidR="00B12099" w:rsidRPr="000D7DD4">
        <w:t>.</w:t>
      </w:r>
    </w:p>
  </w:footnote>
  <w:footnote w:id="5">
    <w:p w:rsidR="00B409F0" w:rsidRPr="00C40F1B" w:rsidRDefault="00B409F0" w:rsidP="008B6153">
      <w:pPr>
        <w:pStyle w:val="FootnoteText"/>
        <w:jc w:val="left"/>
      </w:pPr>
      <w:r w:rsidRPr="000D7DD4">
        <w:rPr>
          <w:rStyle w:val="FootnoteReference"/>
        </w:rPr>
        <w:footnoteRef/>
      </w:r>
      <w:r w:rsidRPr="000D7DD4">
        <w:t xml:space="preserve"> </w:t>
      </w:r>
      <w:r w:rsidR="00C40F1B">
        <w:rPr>
          <w:i/>
        </w:rPr>
        <w:t>Id.</w:t>
      </w:r>
    </w:p>
  </w:footnote>
  <w:footnote w:id="6">
    <w:p w:rsidR="00B409F0" w:rsidRPr="008B6153" w:rsidRDefault="00B409F0" w:rsidP="008B6153">
      <w:pPr>
        <w:pStyle w:val="FootnoteText"/>
        <w:jc w:val="left"/>
        <w:rPr>
          <w:b/>
        </w:rPr>
      </w:pPr>
      <w:r w:rsidRPr="000D7DD4">
        <w:rPr>
          <w:rStyle w:val="FootnoteReference"/>
        </w:rPr>
        <w:footnoteRef/>
      </w:r>
      <w:r w:rsidRPr="000D7DD4">
        <w:t xml:space="preserve"> RCW 70.235.005(1).</w:t>
      </w:r>
    </w:p>
  </w:footnote>
  <w:footnote w:id="7">
    <w:p w:rsidR="00B409F0" w:rsidRPr="000D7DD4" w:rsidRDefault="00B409F0" w:rsidP="008B6153">
      <w:pPr>
        <w:pStyle w:val="FootnoteText"/>
        <w:jc w:val="left"/>
      </w:pPr>
      <w:r w:rsidRPr="000D7DD4">
        <w:rPr>
          <w:rStyle w:val="FootnoteReference"/>
        </w:rPr>
        <w:footnoteRef/>
      </w:r>
      <w:r w:rsidRPr="000D7DD4">
        <w:t xml:space="preserve"> RCW 43.21F.010(2).</w:t>
      </w:r>
    </w:p>
  </w:footnote>
  <w:footnote w:id="8">
    <w:p w:rsidR="00B409F0" w:rsidRPr="008B6153" w:rsidRDefault="00B409F0" w:rsidP="008B6153">
      <w:pPr>
        <w:pStyle w:val="FootnoteText"/>
        <w:jc w:val="left"/>
      </w:pPr>
      <w:r w:rsidRPr="000D7DD4">
        <w:rPr>
          <w:rStyle w:val="FootnoteReference"/>
        </w:rPr>
        <w:footnoteRef/>
      </w:r>
      <w:r w:rsidRPr="000D7DD4">
        <w:t xml:space="preserve"> RCW 43.21F.010(</w:t>
      </w:r>
      <w:r w:rsidR="00A869DD" w:rsidRPr="000D7DD4">
        <w:t>3</w:t>
      </w:r>
      <w:r w:rsidRPr="000D7DD4">
        <w:t>).</w:t>
      </w:r>
    </w:p>
  </w:footnote>
  <w:footnote w:id="9">
    <w:p w:rsidR="00B409F0" w:rsidRPr="000D7DD4" w:rsidRDefault="00B409F0" w:rsidP="008B6153">
      <w:pPr>
        <w:pStyle w:val="FootnoteText"/>
        <w:jc w:val="left"/>
      </w:pPr>
      <w:r w:rsidRPr="000D7DD4">
        <w:rPr>
          <w:rStyle w:val="FootnoteReference"/>
        </w:rPr>
        <w:footnoteRef/>
      </w:r>
      <w:r w:rsidRPr="000D7DD4">
        <w:t xml:space="preserve"> RCW 43.21F.088(1)(g).</w:t>
      </w:r>
    </w:p>
  </w:footnote>
  <w:footnote w:id="10">
    <w:p w:rsidR="00B409F0" w:rsidRPr="000D7DD4" w:rsidRDefault="00B409F0" w:rsidP="000D7DD4">
      <w:pPr>
        <w:pStyle w:val="FootnoteText"/>
        <w:jc w:val="left"/>
      </w:pPr>
      <w:r w:rsidRPr="000D7DD4">
        <w:rPr>
          <w:rStyle w:val="FootnoteReference"/>
        </w:rPr>
        <w:footnoteRef/>
      </w:r>
      <w:r w:rsidRPr="000D7DD4">
        <w:t xml:space="preserve"> Laws of 2013, ch. 6.</w:t>
      </w:r>
    </w:p>
  </w:footnote>
  <w:footnote w:id="11">
    <w:p w:rsidR="00B409F0" w:rsidRPr="008B6153" w:rsidRDefault="00B409F0" w:rsidP="000D7DD4">
      <w:pPr>
        <w:pStyle w:val="FootnoteText"/>
        <w:jc w:val="left"/>
        <w:rPr>
          <w:b/>
        </w:rPr>
      </w:pPr>
      <w:r w:rsidRPr="000D7DD4">
        <w:rPr>
          <w:rStyle w:val="FootnoteReference"/>
          <w:b/>
        </w:rPr>
        <w:footnoteRef/>
      </w:r>
      <w:r w:rsidRPr="000D7DD4">
        <w:rPr>
          <w:b/>
        </w:rPr>
        <w:t xml:space="preserve"> </w:t>
      </w:r>
      <w:r w:rsidRPr="000D7DD4">
        <w:t>Executive Order 14-04 at 2 (Apr. 29, 2014).</w:t>
      </w:r>
      <w:r w:rsidRPr="000D7DD4">
        <w:rPr>
          <w:b/>
        </w:rPr>
        <w:t xml:space="preserve">  </w:t>
      </w:r>
    </w:p>
  </w:footnote>
  <w:footnote w:id="12">
    <w:p w:rsidR="00B409F0" w:rsidRPr="008B6153" w:rsidRDefault="00B409F0" w:rsidP="000D7DD4">
      <w:pPr>
        <w:pStyle w:val="FootnoteText"/>
        <w:jc w:val="left"/>
      </w:pPr>
      <w:r w:rsidRPr="000D7DD4">
        <w:rPr>
          <w:rStyle w:val="FootnoteReference"/>
        </w:rPr>
        <w:footnoteRef/>
      </w:r>
      <w:r w:rsidRPr="000D7DD4">
        <w:t xml:space="preserve"> Pacific Coast Action Plan on Climate and Energy at 1 (Oct. 28, 2013). </w:t>
      </w:r>
      <w:r w:rsidR="004C1440" w:rsidRPr="000D7DD4">
        <w:t xml:space="preserve"> A copy of this plan is attached as Exhibit No. RBD-4.</w:t>
      </w:r>
    </w:p>
  </w:footnote>
  <w:footnote w:id="13">
    <w:p w:rsidR="00B409F0" w:rsidRPr="008B6153" w:rsidRDefault="00B409F0" w:rsidP="000D7DD4">
      <w:pPr>
        <w:pStyle w:val="FootnoteText"/>
        <w:jc w:val="left"/>
      </w:pPr>
      <w:r w:rsidRPr="000D7DD4">
        <w:rPr>
          <w:rStyle w:val="FootnoteReference"/>
        </w:rPr>
        <w:footnoteRef/>
      </w:r>
      <w:r w:rsidRPr="000D7DD4">
        <w:t xml:space="preserve"> </w:t>
      </w:r>
      <w:r w:rsidR="002D0556" w:rsidRPr="000D7DD4">
        <w:rPr>
          <w:i/>
        </w:rPr>
        <w:t>Id</w:t>
      </w:r>
      <w:r w:rsidRPr="000D7DD4">
        <w:t>.</w:t>
      </w:r>
    </w:p>
  </w:footnote>
  <w:footnote w:id="14">
    <w:p w:rsidR="00B409F0" w:rsidRPr="008B6153" w:rsidRDefault="00B409F0" w:rsidP="008B6153">
      <w:pPr>
        <w:pStyle w:val="FootnoteText"/>
        <w:jc w:val="left"/>
        <w:rPr>
          <w:b/>
        </w:rPr>
      </w:pPr>
      <w:r w:rsidRPr="000D7DD4">
        <w:rPr>
          <w:rStyle w:val="FootnoteReference"/>
        </w:rPr>
        <w:footnoteRef/>
      </w:r>
      <w:r w:rsidRPr="000D7DD4">
        <w:t xml:space="preserve"> </w:t>
      </w:r>
      <w:r w:rsidR="002D0556" w:rsidRPr="000D7DD4">
        <w:rPr>
          <w:i/>
        </w:rPr>
        <w:t>Id</w:t>
      </w:r>
      <w:r w:rsidRPr="000D7DD4">
        <w:t>.</w:t>
      </w:r>
    </w:p>
  </w:footnote>
  <w:footnote w:id="15">
    <w:p w:rsidR="00B8719A" w:rsidRPr="008B6153" w:rsidRDefault="00B8719A" w:rsidP="008B6153">
      <w:pPr>
        <w:pStyle w:val="FootnoteText"/>
        <w:jc w:val="left"/>
        <w:rPr>
          <w:b/>
        </w:rPr>
      </w:pPr>
      <w:r w:rsidRPr="000D7DD4">
        <w:rPr>
          <w:rStyle w:val="FootnoteReference"/>
        </w:rPr>
        <w:footnoteRef/>
      </w:r>
      <w:r w:rsidRPr="000D7DD4">
        <w:t xml:space="preserve"> The Company’s </w:t>
      </w:r>
      <w:r w:rsidR="00902988">
        <w:t>C</w:t>
      </w:r>
      <w:r w:rsidRPr="000D7DD4">
        <w:t xml:space="preserve">ommission basis report for the period ending December 31, 2013, was filed April 29, 2014, and is available at the following link: </w:t>
      </w:r>
      <w:hyperlink r:id="rId1" w:history="1">
        <w:r w:rsidR="00902988" w:rsidRPr="00203C16">
          <w:rPr>
            <w:rStyle w:val="Hyperlink"/>
            <w:u w:color="000000" w:themeColor="text1"/>
          </w:rPr>
          <w:t>http://www.utc.wa.gov/_layouts/CasesPublicWebsite/GetDocument.ashx?docID=4&amp;year=2014&amp;docketNumber=140739</w:t>
        </w:r>
      </w:hyperlink>
      <w:r w:rsidR="00CA7C6C" w:rsidRPr="000D7DD4">
        <w:rPr>
          <w:color w:val="0D0D0D" w:themeColor="text1" w:themeTint="F2"/>
          <w:u w:val="single" w:color="000000" w:themeColor="text1"/>
        </w:rPr>
        <w:t>.</w:t>
      </w:r>
      <w:r w:rsidR="00CA7C6C" w:rsidRPr="000D7DD4">
        <w:rPr>
          <w:color w:val="0D0D0D" w:themeColor="text1" w:themeTint="F2"/>
        </w:rPr>
        <w:t xml:space="preserve">  </w:t>
      </w:r>
      <w:r w:rsidR="00CA7C6C" w:rsidRPr="000D7DD4">
        <w:t xml:space="preserve">The Company’s 2013 restated ROE and pro forma ROE reflect net power cost levels that are approximately $15 million less (on a </w:t>
      </w:r>
      <w:r w:rsidR="00CA7C6C" w:rsidRPr="008B6153">
        <w:t xml:space="preserve">Washington-allocated basis) than the amount requested in the Company’s rebuttal filing in this </w:t>
      </w:r>
      <w:r w:rsidR="00902988">
        <w:t>case</w:t>
      </w:r>
      <w:r w:rsidR="00CA7C6C" w:rsidRPr="008B6153">
        <w:t xml:space="preserve">  This variance in </w:t>
      </w:r>
      <w:r w:rsidR="00C40F1B">
        <w:t>net power costs</w:t>
      </w:r>
      <w:r w:rsidR="00CA7C6C" w:rsidRPr="008B6153">
        <w:t xml:space="preserve"> represents over 200 basis points on equity.</w:t>
      </w:r>
    </w:p>
  </w:footnote>
  <w:footnote w:id="16">
    <w:p w:rsidR="00533174" w:rsidRPr="008B6153" w:rsidRDefault="00533174" w:rsidP="008B6153">
      <w:pPr>
        <w:pStyle w:val="FootnoteText"/>
        <w:jc w:val="left"/>
      </w:pPr>
      <w:r w:rsidRPr="000D7DD4">
        <w:rPr>
          <w:rStyle w:val="FootnoteReference"/>
        </w:rPr>
        <w:footnoteRef/>
      </w:r>
      <w:r w:rsidRPr="000D7DD4">
        <w:t xml:space="preserve"> </w:t>
      </w:r>
      <w:r w:rsidR="00942E9B" w:rsidRPr="000D7DD4">
        <w:rPr>
          <w:i/>
        </w:rPr>
        <w:t>Wash. Utils. &amp; Transp. Comm’n</w:t>
      </w:r>
      <w:r w:rsidRPr="008B6153">
        <w:fldChar w:fldCharType="begin"/>
      </w:r>
      <w:r w:rsidRPr="008B6153">
        <w:instrText xml:space="preserve"> ADDIN BA \xc &lt;@$cs&gt; \xl 44 \s KBKQKB000015 \xhfl Rep </w:instrText>
      </w:r>
      <w:r w:rsidRPr="008B6153">
        <w:fldChar w:fldCharType="end"/>
      </w:r>
      <w:r w:rsidRPr="000D7DD4">
        <w:rPr>
          <w:i/>
        </w:rPr>
        <w:t xml:space="preserve"> v. Puget Sound Energy</w:t>
      </w:r>
      <w:r w:rsidR="00DE4144">
        <w:t>, Docket</w:t>
      </w:r>
      <w:r w:rsidR="00DD2C16" w:rsidRPr="000D7DD4">
        <w:t xml:space="preserve"> </w:t>
      </w:r>
      <w:r w:rsidRPr="008B6153">
        <w:t xml:space="preserve">UE-111048 et al., </w:t>
      </w:r>
      <w:r w:rsidRPr="008B6153">
        <w:fldChar w:fldCharType="begin"/>
      </w:r>
      <w:r w:rsidRPr="008B6153">
        <w:instrText xml:space="preserve"> ADDIN BA \xc &lt;@reg&gt; \xl 28 \s KBKQKB000041 \l "Order 08 ¶ 491 (May 7, 2012)" </w:instrText>
      </w:r>
      <w:r w:rsidRPr="008B6153">
        <w:fldChar w:fldCharType="end"/>
      </w:r>
      <w:bookmarkStart w:id="5" w:name="_BA_Cite_205"/>
      <w:r w:rsidRPr="000D7DD4">
        <w:t>Order 08 ¶ 491 (May 7, 2012)</w:t>
      </w:r>
      <w:bookmarkEnd w:id="5"/>
      <w:r w:rsidR="00223002" w:rsidRPr="008B6153">
        <w:t>.</w:t>
      </w:r>
    </w:p>
  </w:footnote>
  <w:footnote w:id="17">
    <w:p w:rsidR="00942E9B" w:rsidRPr="008B6153" w:rsidRDefault="00942E9B" w:rsidP="000D7DD4">
      <w:pPr>
        <w:pStyle w:val="FootnoteText"/>
        <w:jc w:val="left"/>
        <w:rPr>
          <w:b/>
        </w:rPr>
      </w:pPr>
      <w:r w:rsidRPr="000D7DD4">
        <w:rPr>
          <w:rStyle w:val="FootnoteReference"/>
        </w:rPr>
        <w:footnoteRef/>
      </w:r>
      <w:r w:rsidRPr="000D7DD4">
        <w:t xml:space="preserve"> According to testimony filed by PSE</w:t>
      </w:r>
      <w:r w:rsidR="00DE4144">
        <w:t xml:space="preserve"> on November 5, 2014, in Docket</w:t>
      </w:r>
      <w:r w:rsidR="00DD2C16" w:rsidRPr="000D7DD4">
        <w:t xml:space="preserve"> </w:t>
      </w:r>
      <w:r w:rsidRPr="000D7DD4">
        <w:t>UE-121697, from 2007</w:t>
      </w:r>
      <w:r w:rsidRPr="008B6153">
        <w:t xml:space="preserve"> through 2013 PSE’s </w:t>
      </w:r>
      <w:r w:rsidR="004C5BF0" w:rsidRPr="008B6153">
        <w:t>authorized</w:t>
      </w:r>
      <w:r w:rsidRPr="008B6153">
        <w:t xml:space="preserve"> ROE has exceeded its normalized ROE by an average of 2.76 percent.  </w:t>
      </w:r>
      <w:r w:rsidRPr="008B6153">
        <w:rPr>
          <w:i/>
        </w:rPr>
        <w:t xml:space="preserve">See </w:t>
      </w:r>
      <w:r w:rsidR="001F55C9" w:rsidRPr="008B6153">
        <w:rPr>
          <w:i/>
        </w:rPr>
        <w:t>Wash. Utils. &amp; Transp. Comm’n v. Puget Sound Energy, Inc.</w:t>
      </w:r>
      <w:r w:rsidR="001F55C9" w:rsidRPr="008B6153">
        <w:t xml:space="preserve">, Docket UE-121697, </w:t>
      </w:r>
      <w:r w:rsidR="0048200A" w:rsidRPr="008B6153">
        <w:t xml:space="preserve">Testimony of Daniel A. Doyle, </w:t>
      </w:r>
      <w:r w:rsidRPr="008B6153">
        <w:t>Exh</w:t>
      </w:r>
      <w:r w:rsidR="0048200A" w:rsidRPr="008B6153">
        <w:t>ibit</w:t>
      </w:r>
      <w:r w:rsidR="007A2D76">
        <w:t xml:space="preserve"> No. </w:t>
      </w:r>
      <w:r w:rsidRPr="008B6153">
        <w:t>DAD-4T</w:t>
      </w:r>
      <w:r w:rsidR="004C5BF0" w:rsidRPr="008B6153">
        <w:t xml:space="preserve"> at</w:t>
      </w:r>
      <w:r w:rsidRPr="008B6153">
        <w:t xml:space="preserve"> 17-18</w:t>
      </w:r>
      <w:r w:rsidR="001F55C9" w:rsidRPr="008B6153">
        <w:t xml:space="preserve"> (Nov. 5, 2014)</w:t>
      </w:r>
      <w:r w:rsidRPr="008B6153">
        <w:t xml:space="preserve">.  </w:t>
      </w:r>
      <w:r w:rsidR="00902988">
        <w:t>As shown in Table 1, i</w:t>
      </w:r>
      <w:r w:rsidR="007A2D76">
        <w:t xml:space="preserve">n Washington, </w:t>
      </w:r>
      <w:r w:rsidRPr="008B6153">
        <w:t>Pacific Power’s</w:t>
      </w:r>
      <w:r w:rsidR="00CA7C6C" w:rsidRPr="008B6153">
        <w:t xml:space="preserve"> average authorized ROE has exceeded its average </w:t>
      </w:r>
      <w:r w:rsidRPr="008B6153">
        <w:t xml:space="preserve">per books ROE </w:t>
      </w:r>
      <w:r w:rsidR="00CA7C6C" w:rsidRPr="008B6153">
        <w:t xml:space="preserve">by </w:t>
      </w:r>
      <w:r w:rsidR="004C5BF0" w:rsidRPr="008B6153">
        <w:t>5.85</w:t>
      </w:r>
      <w:r w:rsidRPr="008B6153">
        <w:t xml:space="preserve"> percent</w:t>
      </w:r>
      <w:r w:rsidR="00CA7C6C" w:rsidRPr="008B6153">
        <w:t>, exceeded its average restated ROE by 4.30 percent, and exceeded its average pro forma ROE by 4.04 percent.</w:t>
      </w:r>
      <w:r w:rsidRPr="008B6153">
        <w:rPr>
          <w:b/>
        </w:rPr>
        <w:t xml:space="preserve"> </w:t>
      </w:r>
    </w:p>
  </w:footnote>
  <w:footnote w:id="18">
    <w:p w:rsidR="00CF019E" w:rsidRPr="000D7DD4" w:rsidRDefault="00CF019E" w:rsidP="000D7DD4">
      <w:pPr>
        <w:pStyle w:val="FootnoteText"/>
        <w:jc w:val="left"/>
      </w:pPr>
      <w:r w:rsidRPr="000D7DD4">
        <w:rPr>
          <w:rStyle w:val="FootnoteReference"/>
        </w:rPr>
        <w:footnoteRef/>
      </w:r>
      <w:r w:rsidRPr="000D7DD4">
        <w:t xml:space="preserve"> Testimony of Betty A. Erdahl, Exhibit No. BAE-1T at 4.</w:t>
      </w:r>
    </w:p>
  </w:footnote>
  <w:footnote w:id="19">
    <w:p w:rsidR="00CF019E" w:rsidRPr="000D7DD4" w:rsidRDefault="00484A89" w:rsidP="000D7DD4">
      <w:pPr>
        <w:pStyle w:val="FootnoteText"/>
        <w:jc w:val="left"/>
      </w:pPr>
      <w:r w:rsidRPr="000D7DD4">
        <w:rPr>
          <w:rStyle w:val="FootnoteReference"/>
        </w:rPr>
        <w:footnoteRef/>
      </w:r>
      <w:r w:rsidRPr="000D7DD4">
        <w:t xml:space="preserve"> Revised Testimony of Donna R. Ramas, Exhibit No. DMR-1T at 15-</w:t>
      </w:r>
      <w:r w:rsidR="00CF019E" w:rsidRPr="000D7DD4">
        <w:t>16.</w:t>
      </w:r>
    </w:p>
  </w:footnote>
  <w:footnote w:id="20">
    <w:p w:rsidR="00CF019E" w:rsidRPr="008B6153" w:rsidRDefault="00CF019E" w:rsidP="000D7DD4">
      <w:pPr>
        <w:pStyle w:val="FootnoteText"/>
        <w:jc w:val="left"/>
      </w:pPr>
      <w:r w:rsidRPr="000D7DD4">
        <w:rPr>
          <w:rStyle w:val="FootnoteReference"/>
        </w:rPr>
        <w:footnoteRef/>
      </w:r>
      <w:r w:rsidRPr="000D7DD4">
        <w:t xml:space="preserve"> </w:t>
      </w:r>
      <w:r w:rsidRPr="000D7DD4">
        <w:rPr>
          <w:i/>
        </w:rPr>
        <w:t>Id</w:t>
      </w:r>
      <w:r w:rsidRPr="000D7DD4">
        <w:t xml:space="preserve">. at </w:t>
      </w:r>
      <w:r w:rsidR="00FF4D16" w:rsidRPr="008B6153">
        <w:t>13-</w:t>
      </w:r>
      <w:r w:rsidRPr="008B6153">
        <w:t>14, 16-17.</w:t>
      </w:r>
    </w:p>
  </w:footnote>
  <w:footnote w:id="21">
    <w:p w:rsidR="00CF019E" w:rsidRPr="000D7DD4" w:rsidRDefault="00CF019E" w:rsidP="000D7DD4">
      <w:pPr>
        <w:pStyle w:val="FootnoteText"/>
        <w:jc w:val="left"/>
      </w:pPr>
      <w:r w:rsidRPr="000D7DD4">
        <w:rPr>
          <w:rStyle w:val="FootnoteReference"/>
        </w:rPr>
        <w:footnoteRef/>
      </w:r>
      <w:r w:rsidRPr="000D7DD4">
        <w:t xml:space="preserve"> Responsive Testimony of Bradley G. Mullins, Exhibit No. BGM-1T at 7.</w:t>
      </w:r>
    </w:p>
  </w:footnote>
  <w:footnote w:id="22">
    <w:p w:rsidR="005C2B69" w:rsidRPr="008B6153" w:rsidRDefault="005C2B69" w:rsidP="008B6153">
      <w:pPr>
        <w:pStyle w:val="FootnoteText"/>
        <w:jc w:val="left"/>
        <w:rPr>
          <w:b/>
        </w:rPr>
      </w:pPr>
      <w:r w:rsidRPr="007A2D76">
        <w:rPr>
          <w:rStyle w:val="FootnoteReference"/>
        </w:rPr>
        <w:footnoteRef/>
      </w:r>
      <w:r w:rsidR="00027DFF" w:rsidRPr="007A2D76">
        <w:t xml:space="preserve"> R</w:t>
      </w:r>
      <w:r w:rsidR="00027DFF" w:rsidRPr="000D7DD4">
        <w:t xml:space="preserve">esponsive Testimony of Bradley G. Mullins, Exhibit No. BGM-1T </w:t>
      </w:r>
      <w:r w:rsidR="006707F3" w:rsidRPr="008B6153">
        <w:t>at 17.</w:t>
      </w:r>
      <w:r w:rsidR="006707F3" w:rsidRPr="008B6153">
        <w:rPr>
          <w:b/>
        </w:rPr>
        <w:t xml:space="preserve"> </w:t>
      </w:r>
    </w:p>
  </w:footnote>
  <w:footnote w:id="23">
    <w:p w:rsidR="00F069EF" w:rsidRPr="008B6153" w:rsidRDefault="00F069EF" w:rsidP="008B6153">
      <w:pPr>
        <w:pStyle w:val="FootnoteText"/>
        <w:jc w:val="left"/>
      </w:pPr>
      <w:r w:rsidRPr="000D7DD4">
        <w:rPr>
          <w:rStyle w:val="FootnoteReference"/>
        </w:rPr>
        <w:footnoteRef/>
      </w:r>
      <w:r w:rsidRPr="000D7DD4">
        <w:t xml:space="preserve"> Testimony of Jason L. Ball, Exhibit </w:t>
      </w:r>
      <w:r w:rsidR="00DD2C16" w:rsidRPr="000D7DD4">
        <w:t xml:space="preserve">No. </w:t>
      </w:r>
      <w:r w:rsidRPr="000D7DD4">
        <w:t>JLB-1T at 15</w:t>
      </w:r>
      <w:r w:rsidR="00027DFF" w:rsidRPr="008B6153">
        <w:t>-16</w:t>
      </w:r>
      <w:r w:rsidRPr="008B6153">
        <w:t>.</w:t>
      </w:r>
    </w:p>
  </w:footnote>
  <w:footnote w:id="24">
    <w:p w:rsidR="006A1851" w:rsidRPr="008B6153" w:rsidRDefault="006A1851" w:rsidP="008B6153">
      <w:pPr>
        <w:pStyle w:val="FootnoteText"/>
        <w:jc w:val="left"/>
        <w:rPr>
          <w:b/>
        </w:rPr>
      </w:pPr>
      <w:r w:rsidRPr="000D7DD4">
        <w:rPr>
          <w:rStyle w:val="FootnoteReference"/>
        </w:rPr>
        <w:footnoteRef/>
      </w:r>
      <w:r w:rsidRPr="000D7DD4">
        <w:rPr>
          <w:b/>
        </w:rPr>
        <w:t xml:space="preserve"> </w:t>
      </w:r>
      <w:r w:rsidR="000C7917" w:rsidRPr="000D7DD4">
        <w:t>Revised Testimony of Donna R. Ramas, Exhibit No. DMR-1T at 30-31</w:t>
      </w:r>
      <w:r w:rsidRPr="008B6153">
        <w:t>.</w:t>
      </w:r>
    </w:p>
  </w:footnote>
  <w:footnote w:id="25">
    <w:p w:rsidR="006A1851" w:rsidRPr="000D7DD4" w:rsidRDefault="006A1851" w:rsidP="008B6153">
      <w:pPr>
        <w:pStyle w:val="FootnoteText"/>
        <w:jc w:val="left"/>
      </w:pPr>
      <w:r w:rsidRPr="000D7DD4">
        <w:rPr>
          <w:rStyle w:val="FootnoteReference"/>
        </w:rPr>
        <w:footnoteRef/>
      </w:r>
      <w:r w:rsidR="00125AFD" w:rsidRPr="000D7DD4">
        <w:t xml:space="preserve"> Responsive Testimony of Bradley G. Mullins, Exhibit No. BGM-1T at 18.</w:t>
      </w:r>
    </w:p>
  </w:footnote>
  <w:footnote w:id="26">
    <w:p w:rsidR="00F52146" w:rsidRPr="000D7DD4" w:rsidRDefault="00F52146" w:rsidP="008B6153">
      <w:pPr>
        <w:pStyle w:val="FootnoteText"/>
        <w:jc w:val="left"/>
        <w:rPr>
          <w:b/>
        </w:rPr>
      </w:pPr>
      <w:r w:rsidRPr="000D7DD4">
        <w:rPr>
          <w:rStyle w:val="FootnoteReference"/>
        </w:rPr>
        <w:footnoteRef/>
      </w:r>
      <w:r w:rsidRPr="000D7DD4">
        <w:t xml:space="preserve"> </w:t>
      </w:r>
      <w:r w:rsidR="004F390D" w:rsidRPr="000D7DD4">
        <w:rPr>
          <w:i/>
        </w:rPr>
        <w:t xml:space="preserve">See </w:t>
      </w:r>
      <w:hyperlink r:id="rId2" w:history="1">
        <w:r w:rsidRPr="000D7DD4">
          <w:rPr>
            <w:rStyle w:val="Hyperlink"/>
            <w:color w:val="000000" w:themeColor="text1"/>
          </w:rPr>
          <w:t>http://www.erfc.wa.gov/forecast/documents/rev20140219_color.pdf</w:t>
        </w:r>
      </w:hyperlink>
      <w:r w:rsidR="004F390D" w:rsidRPr="000D7DD4">
        <w:t>.</w:t>
      </w:r>
    </w:p>
  </w:footnote>
  <w:footnote w:id="27">
    <w:p w:rsidR="000D7DD4" w:rsidRPr="000D7DD4" w:rsidRDefault="000D7DD4" w:rsidP="008B6153">
      <w:pPr>
        <w:pStyle w:val="FootnoteText"/>
        <w:jc w:val="left"/>
      </w:pPr>
      <w:r w:rsidRPr="000D7DD4">
        <w:rPr>
          <w:rStyle w:val="FootnoteReference"/>
        </w:rPr>
        <w:footnoteRef/>
      </w:r>
      <w:r w:rsidRPr="000D7DD4">
        <w:t xml:space="preserve"> </w:t>
      </w:r>
      <w:r w:rsidRPr="000D7DD4">
        <w:rPr>
          <w:i/>
        </w:rPr>
        <w:t xml:space="preserve">See </w:t>
      </w:r>
      <w:hyperlink r:id="rId3" w:history="1">
        <w:r w:rsidRPr="008B6153">
          <w:rPr>
            <w:rStyle w:val="Hyperlink"/>
          </w:rPr>
          <w:t>http://www.ihs.com/products/global-insight/accuracy-accolades.aspx</w:t>
        </w:r>
      </w:hyperlink>
      <w:r w:rsidRPr="008B6153">
        <w:t>.</w:t>
      </w:r>
    </w:p>
  </w:footnote>
  <w:footnote w:id="28">
    <w:p w:rsidR="006F331E" w:rsidRPr="00635406" w:rsidRDefault="006F331E" w:rsidP="008B6153">
      <w:pPr>
        <w:pStyle w:val="FootnoteText"/>
        <w:jc w:val="left"/>
      </w:pPr>
      <w:r w:rsidRPr="000D7DD4">
        <w:rPr>
          <w:rStyle w:val="FootnoteReference"/>
        </w:rPr>
        <w:footnoteRef/>
      </w:r>
      <w:r w:rsidRPr="000D7DD4">
        <w:t xml:space="preserve"> </w:t>
      </w:r>
      <w:r w:rsidR="000C7917" w:rsidRPr="000D7DD4">
        <w:t>Testimony of Jason L. Ball, Exhibit JLB-1T at</w:t>
      </w:r>
      <w:r w:rsidR="00EA7FE4" w:rsidRPr="000D7DD4">
        <w:t xml:space="preserve"> </w:t>
      </w:r>
      <w:r w:rsidR="000C7917" w:rsidRPr="008B6153">
        <w:t>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13D" w:rsidRDefault="009411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13D" w:rsidRDefault="009411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13D" w:rsidRDefault="009411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D205D6"/>
    <w:lvl w:ilvl="0">
      <w:start w:val="1"/>
      <w:numFmt w:val="decimal"/>
      <w:lvlText w:val="%1."/>
      <w:lvlJc w:val="left"/>
      <w:pPr>
        <w:tabs>
          <w:tab w:val="num" w:pos="1800"/>
        </w:tabs>
        <w:ind w:left="1800" w:hanging="360"/>
      </w:pPr>
    </w:lvl>
  </w:abstractNum>
  <w:abstractNum w:abstractNumId="1">
    <w:nsid w:val="FFFFFF7D"/>
    <w:multiLevelType w:val="singleLevel"/>
    <w:tmpl w:val="35A2E582"/>
    <w:lvl w:ilvl="0">
      <w:start w:val="1"/>
      <w:numFmt w:val="decimal"/>
      <w:lvlText w:val="%1."/>
      <w:lvlJc w:val="left"/>
      <w:pPr>
        <w:tabs>
          <w:tab w:val="num" w:pos="1440"/>
        </w:tabs>
        <w:ind w:left="1440" w:hanging="360"/>
      </w:pPr>
    </w:lvl>
  </w:abstractNum>
  <w:abstractNum w:abstractNumId="2">
    <w:nsid w:val="FFFFFF7E"/>
    <w:multiLevelType w:val="singleLevel"/>
    <w:tmpl w:val="B922F278"/>
    <w:lvl w:ilvl="0">
      <w:start w:val="1"/>
      <w:numFmt w:val="decimal"/>
      <w:lvlText w:val="%1."/>
      <w:lvlJc w:val="left"/>
      <w:pPr>
        <w:tabs>
          <w:tab w:val="num" w:pos="1080"/>
        </w:tabs>
        <w:ind w:left="1080" w:hanging="360"/>
      </w:pPr>
    </w:lvl>
  </w:abstractNum>
  <w:abstractNum w:abstractNumId="3">
    <w:nsid w:val="FFFFFF7F"/>
    <w:multiLevelType w:val="singleLevel"/>
    <w:tmpl w:val="889405F4"/>
    <w:lvl w:ilvl="0">
      <w:start w:val="1"/>
      <w:numFmt w:val="decimal"/>
      <w:lvlText w:val="%1."/>
      <w:lvlJc w:val="left"/>
      <w:pPr>
        <w:tabs>
          <w:tab w:val="num" w:pos="720"/>
        </w:tabs>
        <w:ind w:left="720" w:hanging="360"/>
      </w:pPr>
    </w:lvl>
  </w:abstractNum>
  <w:abstractNum w:abstractNumId="4">
    <w:nsid w:val="FFFFFF80"/>
    <w:multiLevelType w:val="singleLevel"/>
    <w:tmpl w:val="32CC1A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3A69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62092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4F0ED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80AE412"/>
    <w:lvl w:ilvl="0">
      <w:start w:val="1"/>
      <w:numFmt w:val="decimal"/>
      <w:lvlText w:val="%1."/>
      <w:lvlJc w:val="left"/>
      <w:pPr>
        <w:tabs>
          <w:tab w:val="num" w:pos="360"/>
        </w:tabs>
        <w:ind w:left="360" w:hanging="360"/>
      </w:pPr>
    </w:lvl>
  </w:abstractNum>
  <w:abstractNum w:abstractNumId="9">
    <w:nsid w:val="FFFFFF89"/>
    <w:multiLevelType w:val="singleLevel"/>
    <w:tmpl w:val="5AD2AEA0"/>
    <w:lvl w:ilvl="0">
      <w:start w:val="1"/>
      <w:numFmt w:val="bullet"/>
      <w:lvlText w:val=""/>
      <w:lvlJc w:val="left"/>
      <w:pPr>
        <w:tabs>
          <w:tab w:val="num" w:pos="360"/>
        </w:tabs>
        <w:ind w:left="360" w:hanging="360"/>
      </w:pPr>
      <w:rPr>
        <w:rFonts w:ascii="Symbol" w:hAnsi="Symbol" w:hint="default"/>
      </w:rPr>
    </w:lvl>
  </w:abstractNum>
  <w:abstractNum w:abstractNumId="10">
    <w:nsid w:val="071F4F6B"/>
    <w:multiLevelType w:val="hybridMultilevel"/>
    <w:tmpl w:val="26D4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286D02"/>
    <w:multiLevelType w:val="hybridMultilevel"/>
    <w:tmpl w:val="8E64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042EB2"/>
    <w:multiLevelType w:val="hybridMultilevel"/>
    <w:tmpl w:val="5544A714"/>
    <w:lvl w:ilvl="0" w:tplc="2756748E">
      <w:start w:val="1"/>
      <w:numFmt w:val="decimal"/>
      <w:pStyle w:val="WAP1"/>
      <w:lvlText w:val="%1"/>
      <w:lvlJc w:val="left"/>
      <w:pPr>
        <w:tabs>
          <w:tab w:val="num" w:pos="360"/>
        </w:tabs>
        <w:ind w:left="720" w:hanging="720"/>
      </w:pPr>
      <w:rPr>
        <w:rFonts w:ascii="Times New Roman" w:hAnsi="Times New Roman" w:hint="default"/>
        <w:b w:val="0"/>
        <w:i/>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nsid w:val="13153F48"/>
    <w:multiLevelType w:val="hybridMultilevel"/>
    <w:tmpl w:val="CB7A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875B3B"/>
    <w:multiLevelType w:val="hybridMultilevel"/>
    <w:tmpl w:val="FAEE0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0C6720"/>
    <w:multiLevelType w:val="hybridMultilevel"/>
    <w:tmpl w:val="FA36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D5406B"/>
    <w:multiLevelType w:val="multilevel"/>
    <w:tmpl w:val="9AC4D5DC"/>
    <w:lvl w:ilvl="0">
      <w:start w:val="1"/>
      <w:numFmt w:val="bullet"/>
      <w:lvlText w:val=""/>
      <w:lvlJc w:val="left"/>
      <w:pPr>
        <w:tabs>
          <w:tab w:val="num" w:pos="1440"/>
        </w:tabs>
        <w:ind w:left="1440" w:hanging="360"/>
      </w:pPr>
      <w:rPr>
        <w:rFonts w:ascii="Symbol" w:hAnsi="Symbol" w:cs="Symbol" w:hint="default"/>
        <w:sz w:val="24"/>
        <w:szCs w:val="24"/>
      </w:rPr>
    </w:lvl>
    <w:lvl w:ilvl="1">
      <w:start w:val="1"/>
      <w:numFmt w:val="bullet"/>
      <w:lvlText w:val="o"/>
      <w:lvlJc w:val="left"/>
      <w:pPr>
        <w:tabs>
          <w:tab w:val="num" w:pos="2160"/>
        </w:tabs>
        <w:ind w:left="2160" w:hanging="360"/>
      </w:pPr>
      <w:rPr>
        <w:rFonts w:ascii="Courier New" w:hAnsi="Courier New" w:cs="Courier New" w:hint="default"/>
        <w:color w:val="auto"/>
        <w:sz w:val="24"/>
        <w:szCs w:val="24"/>
      </w:rPr>
    </w:lvl>
    <w:lvl w:ilvl="2">
      <w:start w:val="1"/>
      <w:numFmt w:val="bullet"/>
      <w:lvlText w:val=""/>
      <w:lvlJc w:val="left"/>
      <w:pPr>
        <w:tabs>
          <w:tab w:val="num" w:pos="-540"/>
        </w:tabs>
        <w:ind w:left="-540" w:hanging="360"/>
      </w:pPr>
      <w:rPr>
        <w:rFonts w:ascii="Wingdings" w:hAnsi="Wingdings" w:cs="Wingdings" w:hint="default"/>
      </w:rPr>
    </w:lvl>
    <w:lvl w:ilvl="3">
      <w:start w:val="1"/>
      <w:numFmt w:val="bullet"/>
      <w:lvlText w:val=""/>
      <w:lvlJc w:val="left"/>
      <w:pPr>
        <w:tabs>
          <w:tab w:val="num" w:pos="180"/>
        </w:tabs>
        <w:ind w:left="180" w:hanging="360"/>
      </w:pPr>
      <w:rPr>
        <w:rFonts w:ascii="Symbol" w:hAnsi="Symbol" w:cs="Symbol" w:hint="default"/>
      </w:rPr>
    </w:lvl>
    <w:lvl w:ilvl="4">
      <w:start w:val="1"/>
      <w:numFmt w:val="bullet"/>
      <w:lvlText w:val="o"/>
      <w:lvlJc w:val="left"/>
      <w:pPr>
        <w:tabs>
          <w:tab w:val="num" w:pos="900"/>
        </w:tabs>
        <w:ind w:left="900" w:hanging="360"/>
      </w:pPr>
      <w:rPr>
        <w:rFonts w:ascii="Courier New" w:hAnsi="Courier New" w:cs="Courier New" w:hint="default"/>
      </w:rPr>
    </w:lvl>
    <w:lvl w:ilvl="5">
      <w:start w:val="1"/>
      <w:numFmt w:val="bullet"/>
      <w:lvlText w:val=""/>
      <w:lvlJc w:val="left"/>
      <w:pPr>
        <w:tabs>
          <w:tab w:val="num" w:pos="1620"/>
        </w:tabs>
        <w:ind w:left="1620" w:hanging="360"/>
      </w:pPr>
      <w:rPr>
        <w:rFonts w:ascii="Wingdings" w:hAnsi="Wingdings" w:cs="Wingdings" w:hint="default"/>
      </w:rPr>
    </w:lvl>
    <w:lvl w:ilvl="6">
      <w:start w:val="1"/>
      <w:numFmt w:val="bullet"/>
      <w:lvlText w:val=""/>
      <w:lvlJc w:val="left"/>
      <w:pPr>
        <w:tabs>
          <w:tab w:val="num" w:pos="2340"/>
        </w:tabs>
        <w:ind w:left="2340" w:hanging="360"/>
      </w:pPr>
      <w:rPr>
        <w:rFonts w:ascii="Symbol" w:hAnsi="Symbol" w:cs="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cs="Wingdings" w:hint="default"/>
      </w:rPr>
    </w:lvl>
  </w:abstractNum>
  <w:abstractNum w:abstractNumId="17">
    <w:nsid w:val="4A9867CA"/>
    <w:multiLevelType w:val="hybridMultilevel"/>
    <w:tmpl w:val="0CB0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9D1F28"/>
    <w:multiLevelType w:val="hybridMultilevel"/>
    <w:tmpl w:val="0F76892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cs="Wingdings" w:hint="default"/>
      </w:rPr>
    </w:lvl>
    <w:lvl w:ilvl="3" w:tplc="04090001" w:tentative="1">
      <w:start w:val="1"/>
      <w:numFmt w:val="bullet"/>
      <w:lvlText w:val=""/>
      <w:lvlJc w:val="left"/>
      <w:pPr>
        <w:tabs>
          <w:tab w:val="num" w:pos="1080"/>
        </w:tabs>
        <w:ind w:left="1080" w:hanging="360"/>
      </w:pPr>
      <w:rPr>
        <w:rFonts w:ascii="Symbol" w:hAnsi="Symbol" w:cs="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cs="Wingdings" w:hint="default"/>
      </w:rPr>
    </w:lvl>
    <w:lvl w:ilvl="6" w:tplc="04090001" w:tentative="1">
      <w:start w:val="1"/>
      <w:numFmt w:val="bullet"/>
      <w:lvlText w:val=""/>
      <w:lvlJc w:val="left"/>
      <w:pPr>
        <w:tabs>
          <w:tab w:val="num" w:pos="3240"/>
        </w:tabs>
        <w:ind w:left="3240" w:hanging="360"/>
      </w:pPr>
      <w:rPr>
        <w:rFonts w:ascii="Symbol" w:hAnsi="Symbol" w:cs="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cs="Wingdings" w:hint="default"/>
      </w:rPr>
    </w:lvl>
  </w:abstractNum>
  <w:abstractNum w:abstractNumId="19">
    <w:nsid w:val="5DE43D80"/>
    <w:multiLevelType w:val="hybridMultilevel"/>
    <w:tmpl w:val="06EAA79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7531D8F"/>
    <w:multiLevelType w:val="hybridMultilevel"/>
    <w:tmpl w:val="45FAE9B2"/>
    <w:lvl w:ilvl="0" w:tplc="04090001">
      <w:start w:val="1"/>
      <w:numFmt w:val="bullet"/>
      <w:lvlText w:val=""/>
      <w:lvlJc w:val="left"/>
      <w:pPr>
        <w:ind w:left="108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B663E51"/>
    <w:multiLevelType w:val="hybridMultilevel"/>
    <w:tmpl w:val="581240D2"/>
    <w:lvl w:ilvl="0" w:tplc="1B8622EE">
      <w:start w:val="1"/>
      <w:numFmt w:val="bullet"/>
      <w:pStyle w:val="AutoNumBodyCharCharCharChar"/>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8"/>
  </w:num>
  <w:num w:numId="3">
    <w:abstractNumId w:val="19"/>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5"/>
  </w:num>
  <w:num w:numId="16">
    <w:abstractNumId w:val="13"/>
  </w:num>
  <w:num w:numId="17">
    <w:abstractNumId w:val="17"/>
  </w:num>
  <w:num w:numId="18">
    <w:abstractNumId w:val="10"/>
  </w:num>
  <w:num w:numId="19">
    <w:abstractNumId w:val="14"/>
  </w:num>
  <w:num w:numId="20">
    <w:abstractNumId w:val="21"/>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ED"/>
    <w:rsid w:val="00000F08"/>
    <w:rsid w:val="00001311"/>
    <w:rsid w:val="00001380"/>
    <w:rsid w:val="00003FAC"/>
    <w:rsid w:val="000045C5"/>
    <w:rsid w:val="000051B8"/>
    <w:rsid w:val="00006CE5"/>
    <w:rsid w:val="00010042"/>
    <w:rsid w:val="00011270"/>
    <w:rsid w:val="000133C4"/>
    <w:rsid w:val="000137A9"/>
    <w:rsid w:val="00014C14"/>
    <w:rsid w:val="00016109"/>
    <w:rsid w:val="000167A1"/>
    <w:rsid w:val="00017D99"/>
    <w:rsid w:val="00020550"/>
    <w:rsid w:val="00020B67"/>
    <w:rsid w:val="0002138A"/>
    <w:rsid w:val="00021457"/>
    <w:rsid w:val="00024672"/>
    <w:rsid w:val="00026137"/>
    <w:rsid w:val="0002642B"/>
    <w:rsid w:val="0002692B"/>
    <w:rsid w:val="00026EE2"/>
    <w:rsid w:val="00026FA1"/>
    <w:rsid w:val="000275B7"/>
    <w:rsid w:val="00027DFF"/>
    <w:rsid w:val="0003006A"/>
    <w:rsid w:val="0003142F"/>
    <w:rsid w:val="000339D1"/>
    <w:rsid w:val="00034979"/>
    <w:rsid w:val="00044931"/>
    <w:rsid w:val="00052601"/>
    <w:rsid w:val="00052F07"/>
    <w:rsid w:val="00053E88"/>
    <w:rsid w:val="00056EC9"/>
    <w:rsid w:val="000576E2"/>
    <w:rsid w:val="000579A1"/>
    <w:rsid w:val="000604C1"/>
    <w:rsid w:val="00060F01"/>
    <w:rsid w:val="000612FD"/>
    <w:rsid w:val="00062303"/>
    <w:rsid w:val="00063D8B"/>
    <w:rsid w:val="000641A2"/>
    <w:rsid w:val="00064289"/>
    <w:rsid w:val="00064531"/>
    <w:rsid w:val="00064724"/>
    <w:rsid w:val="000647DF"/>
    <w:rsid w:val="00067C4E"/>
    <w:rsid w:val="0007097D"/>
    <w:rsid w:val="000734BE"/>
    <w:rsid w:val="00073FF0"/>
    <w:rsid w:val="00074DDD"/>
    <w:rsid w:val="00077537"/>
    <w:rsid w:val="00077EA3"/>
    <w:rsid w:val="000817CE"/>
    <w:rsid w:val="000831F1"/>
    <w:rsid w:val="00084F13"/>
    <w:rsid w:val="000858D3"/>
    <w:rsid w:val="0008721E"/>
    <w:rsid w:val="00087EAF"/>
    <w:rsid w:val="0009005F"/>
    <w:rsid w:val="0009140F"/>
    <w:rsid w:val="00091B09"/>
    <w:rsid w:val="00091EF7"/>
    <w:rsid w:val="00093B5B"/>
    <w:rsid w:val="00093C59"/>
    <w:rsid w:val="000951CD"/>
    <w:rsid w:val="000978BB"/>
    <w:rsid w:val="000A059F"/>
    <w:rsid w:val="000A49D1"/>
    <w:rsid w:val="000A4B4F"/>
    <w:rsid w:val="000A4BD9"/>
    <w:rsid w:val="000A5264"/>
    <w:rsid w:val="000A6311"/>
    <w:rsid w:val="000A6377"/>
    <w:rsid w:val="000A7191"/>
    <w:rsid w:val="000B0A23"/>
    <w:rsid w:val="000B1623"/>
    <w:rsid w:val="000B2679"/>
    <w:rsid w:val="000B5CDD"/>
    <w:rsid w:val="000B7A65"/>
    <w:rsid w:val="000C08C0"/>
    <w:rsid w:val="000C08CA"/>
    <w:rsid w:val="000C4959"/>
    <w:rsid w:val="000C597B"/>
    <w:rsid w:val="000C73A5"/>
    <w:rsid w:val="000C7917"/>
    <w:rsid w:val="000D058F"/>
    <w:rsid w:val="000D3C05"/>
    <w:rsid w:val="000D49B6"/>
    <w:rsid w:val="000D7282"/>
    <w:rsid w:val="000D733D"/>
    <w:rsid w:val="000D7DD4"/>
    <w:rsid w:val="000E4224"/>
    <w:rsid w:val="000E6DE0"/>
    <w:rsid w:val="000F0F56"/>
    <w:rsid w:val="000F1107"/>
    <w:rsid w:val="000F1156"/>
    <w:rsid w:val="000F59EA"/>
    <w:rsid w:val="001004B6"/>
    <w:rsid w:val="00104615"/>
    <w:rsid w:val="00105EBF"/>
    <w:rsid w:val="0010676F"/>
    <w:rsid w:val="00107C02"/>
    <w:rsid w:val="00111679"/>
    <w:rsid w:val="00115383"/>
    <w:rsid w:val="0011579F"/>
    <w:rsid w:val="0011612E"/>
    <w:rsid w:val="00116594"/>
    <w:rsid w:val="00116686"/>
    <w:rsid w:val="00116A61"/>
    <w:rsid w:val="00120AE8"/>
    <w:rsid w:val="00120F8A"/>
    <w:rsid w:val="001229D5"/>
    <w:rsid w:val="00123CC2"/>
    <w:rsid w:val="00124669"/>
    <w:rsid w:val="00125AFD"/>
    <w:rsid w:val="00125B0C"/>
    <w:rsid w:val="00126E87"/>
    <w:rsid w:val="00127A42"/>
    <w:rsid w:val="001301B0"/>
    <w:rsid w:val="0013033E"/>
    <w:rsid w:val="001316F2"/>
    <w:rsid w:val="00131D77"/>
    <w:rsid w:val="00133C14"/>
    <w:rsid w:val="001350A8"/>
    <w:rsid w:val="00135851"/>
    <w:rsid w:val="00137D58"/>
    <w:rsid w:val="00137ED4"/>
    <w:rsid w:val="00141071"/>
    <w:rsid w:val="00142195"/>
    <w:rsid w:val="00143AE5"/>
    <w:rsid w:val="00144108"/>
    <w:rsid w:val="00144D82"/>
    <w:rsid w:val="0015007D"/>
    <w:rsid w:val="001502E1"/>
    <w:rsid w:val="00152B79"/>
    <w:rsid w:val="001533E1"/>
    <w:rsid w:val="00153BB5"/>
    <w:rsid w:val="001604CE"/>
    <w:rsid w:val="0016090F"/>
    <w:rsid w:val="00160A98"/>
    <w:rsid w:val="0016195B"/>
    <w:rsid w:val="00161BB2"/>
    <w:rsid w:val="0016334B"/>
    <w:rsid w:val="00163918"/>
    <w:rsid w:val="00164FB3"/>
    <w:rsid w:val="001652DD"/>
    <w:rsid w:val="001653DD"/>
    <w:rsid w:val="00165E82"/>
    <w:rsid w:val="001701E5"/>
    <w:rsid w:val="001734C3"/>
    <w:rsid w:val="001759AC"/>
    <w:rsid w:val="001759CC"/>
    <w:rsid w:val="00176215"/>
    <w:rsid w:val="00176F45"/>
    <w:rsid w:val="00176F46"/>
    <w:rsid w:val="00181ADD"/>
    <w:rsid w:val="00183A00"/>
    <w:rsid w:val="001854A6"/>
    <w:rsid w:val="0019074B"/>
    <w:rsid w:val="001913B3"/>
    <w:rsid w:val="00193774"/>
    <w:rsid w:val="00194042"/>
    <w:rsid w:val="00194DD9"/>
    <w:rsid w:val="001A29AC"/>
    <w:rsid w:val="001A354F"/>
    <w:rsid w:val="001A3907"/>
    <w:rsid w:val="001A506B"/>
    <w:rsid w:val="001A5D0F"/>
    <w:rsid w:val="001B0484"/>
    <w:rsid w:val="001B1CB3"/>
    <w:rsid w:val="001B286B"/>
    <w:rsid w:val="001B5FFD"/>
    <w:rsid w:val="001B707E"/>
    <w:rsid w:val="001C4E25"/>
    <w:rsid w:val="001C5028"/>
    <w:rsid w:val="001C547E"/>
    <w:rsid w:val="001C73FA"/>
    <w:rsid w:val="001D06B6"/>
    <w:rsid w:val="001D45E2"/>
    <w:rsid w:val="001D5443"/>
    <w:rsid w:val="001E379A"/>
    <w:rsid w:val="001E37E1"/>
    <w:rsid w:val="001E5A2D"/>
    <w:rsid w:val="001E709B"/>
    <w:rsid w:val="001F0AB0"/>
    <w:rsid w:val="001F0DB7"/>
    <w:rsid w:val="001F55C9"/>
    <w:rsid w:val="002005A9"/>
    <w:rsid w:val="00200EB7"/>
    <w:rsid w:val="00202386"/>
    <w:rsid w:val="00203ABB"/>
    <w:rsid w:val="002054DD"/>
    <w:rsid w:val="00205C76"/>
    <w:rsid w:val="002079BD"/>
    <w:rsid w:val="00210050"/>
    <w:rsid w:val="002128A6"/>
    <w:rsid w:val="00213584"/>
    <w:rsid w:val="00213C12"/>
    <w:rsid w:val="00213FFC"/>
    <w:rsid w:val="00215FD3"/>
    <w:rsid w:val="00217819"/>
    <w:rsid w:val="00217926"/>
    <w:rsid w:val="00217A7B"/>
    <w:rsid w:val="002216C4"/>
    <w:rsid w:val="00222355"/>
    <w:rsid w:val="002225BA"/>
    <w:rsid w:val="00223002"/>
    <w:rsid w:val="00224D16"/>
    <w:rsid w:val="00230765"/>
    <w:rsid w:val="00230782"/>
    <w:rsid w:val="002307E4"/>
    <w:rsid w:val="00230B44"/>
    <w:rsid w:val="0023147E"/>
    <w:rsid w:val="0023233B"/>
    <w:rsid w:val="00232E26"/>
    <w:rsid w:val="00234B0D"/>
    <w:rsid w:val="00234E26"/>
    <w:rsid w:val="00235996"/>
    <w:rsid w:val="00235E1F"/>
    <w:rsid w:val="00236375"/>
    <w:rsid w:val="00237866"/>
    <w:rsid w:val="00237FBC"/>
    <w:rsid w:val="00242E2F"/>
    <w:rsid w:val="00243149"/>
    <w:rsid w:val="002434CF"/>
    <w:rsid w:val="00247121"/>
    <w:rsid w:val="00250D66"/>
    <w:rsid w:val="00251A3C"/>
    <w:rsid w:val="00253521"/>
    <w:rsid w:val="00253D21"/>
    <w:rsid w:val="002551FE"/>
    <w:rsid w:val="002557D9"/>
    <w:rsid w:val="00255D8C"/>
    <w:rsid w:val="00256405"/>
    <w:rsid w:val="002566EE"/>
    <w:rsid w:val="00256C4D"/>
    <w:rsid w:val="0026092C"/>
    <w:rsid w:val="00260BBA"/>
    <w:rsid w:val="00261A6D"/>
    <w:rsid w:val="002656B0"/>
    <w:rsid w:val="00265710"/>
    <w:rsid w:val="00265ABF"/>
    <w:rsid w:val="00265DEA"/>
    <w:rsid w:val="002723E4"/>
    <w:rsid w:val="002732BE"/>
    <w:rsid w:val="00274420"/>
    <w:rsid w:val="00274739"/>
    <w:rsid w:val="00274EAF"/>
    <w:rsid w:val="002755A6"/>
    <w:rsid w:val="00276792"/>
    <w:rsid w:val="002777D1"/>
    <w:rsid w:val="00280E0E"/>
    <w:rsid w:val="0028408C"/>
    <w:rsid w:val="00284C4A"/>
    <w:rsid w:val="00284D42"/>
    <w:rsid w:val="00285A58"/>
    <w:rsid w:val="00285F78"/>
    <w:rsid w:val="002865EA"/>
    <w:rsid w:val="00291CE6"/>
    <w:rsid w:val="002947F0"/>
    <w:rsid w:val="00294E60"/>
    <w:rsid w:val="00295B5F"/>
    <w:rsid w:val="002A1165"/>
    <w:rsid w:val="002A1E06"/>
    <w:rsid w:val="002A2104"/>
    <w:rsid w:val="002A371C"/>
    <w:rsid w:val="002A3BB1"/>
    <w:rsid w:val="002A4CD8"/>
    <w:rsid w:val="002A5222"/>
    <w:rsid w:val="002B1E51"/>
    <w:rsid w:val="002B2D84"/>
    <w:rsid w:val="002B499C"/>
    <w:rsid w:val="002B50A0"/>
    <w:rsid w:val="002B53CA"/>
    <w:rsid w:val="002B5650"/>
    <w:rsid w:val="002B79FC"/>
    <w:rsid w:val="002B7A77"/>
    <w:rsid w:val="002B7C82"/>
    <w:rsid w:val="002C2269"/>
    <w:rsid w:val="002C28E6"/>
    <w:rsid w:val="002C304C"/>
    <w:rsid w:val="002C46CE"/>
    <w:rsid w:val="002C4970"/>
    <w:rsid w:val="002C4EF6"/>
    <w:rsid w:val="002C53EC"/>
    <w:rsid w:val="002C7638"/>
    <w:rsid w:val="002D0556"/>
    <w:rsid w:val="002D3F4F"/>
    <w:rsid w:val="002D420E"/>
    <w:rsid w:val="002D5374"/>
    <w:rsid w:val="002E0911"/>
    <w:rsid w:val="002E0ED6"/>
    <w:rsid w:val="002E152F"/>
    <w:rsid w:val="002E3322"/>
    <w:rsid w:val="002E3D2C"/>
    <w:rsid w:val="002E3DB1"/>
    <w:rsid w:val="002E55FC"/>
    <w:rsid w:val="002E5966"/>
    <w:rsid w:val="002E5A27"/>
    <w:rsid w:val="002E7D3D"/>
    <w:rsid w:val="002F022A"/>
    <w:rsid w:val="002F1479"/>
    <w:rsid w:val="002F1FF5"/>
    <w:rsid w:val="002F305D"/>
    <w:rsid w:val="002F3A67"/>
    <w:rsid w:val="002F3DF0"/>
    <w:rsid w:val="002F4B1C"/>
    <w:rsid w:val="002F668B"/>
    <w:rsid w:val="00301393"/>
    <w:rsid w:val="00302A23"/>
    <w:rsid w:val="00304887"/>
    <w:rsid w:val="00305CCF"/>
    <w:rsid w:val="0030634F"/>
    <w:rsid w:val="00307B8B"/>
    <w:rsid w:val="00311692"/>
    <w:rsid w:val="00313BFD"/>
    <w:rsid w:val="00314277"/>
    <w:rsid w:val="00315543"/>
    <w:rsid w:val="003177A3"/>
    <w:rsid w:val="003219E5"/>
    <w:rsid w:val="003228A3"/>
    <w:rsid w:val="003231D0"/>
    <w:rsid w:val="003256E7"/>
    <w:rsid w:val="003258BF"/>
    <w:rsid w:val="00325D6B"/>
    <w:rsid w:val="003267CD"/>
    <w:rsid w:val="00326A03"/>
    <w:rsid w:val="003314FB"/>
    <w:rsid w:val="00334533"/>
    <w:rsid w:val="0033456E"/>
    <w:rsid w:val="00335BF8"/>
    <w:rsid w:val="00337AF5"/>
    <w:rsid w:val="00340AAA"/>
    <w:rsid w:val="00340CAA"/>
    <w:rsid w:val="003414F4"/>
    <w:rsid w:val="00341EC0"/>
    <w:rsid w:val="00342C9A"/>
    <w:rsid w:val="00343793"/>
    <w:rsid w:val="0034432B"/>
    <w:rsid w:val="00344AB9"/>
    <w:rsid w:val="00350162"/>
    <w:rsid w:val="00352074"/>
    <w:rsid w:val="00355B1F"/>
    <w:rsid w:val="003608FF"/>
    <w:rsid w:val="00360A87"/>
    <w:rsid w:val="003624D9"/>
    <w:rsid w:val="00363366"/>
    <w:rsid w:val="00363AC7"/>
    <w:rsid w:val="00363D50"/>
    <w:rsid w:val="003644A6"/>
    <w:rsid w:val="00367764"/>
    <w:rsid w:val="00373C60"/>
    <w:rsid w:val="00376287"/>
    <w:rsid w:val="00376FFA"/>
    <w:rsid w:val="0037737D"/>
    <w:rsid w:val="003779C9"/>
    <w:rsid w:val="00383F84"/>
    <w:rsid w:val="00386B2E"/>
    <w:rsid w:val="00387CBA"/>
    <w:rsid w:val="003903DF"/>
    <w:rsid w:val="00390699"/>
    <w:rsid w:val="00391113"/>
    <w:rsid w:val="003916B2"/>
    <w:rsid w:val="00391E6A"/>
    <w:rsid w:val="0039333F"/>
    <w:rsid w:val="00393526"/>
    <w:rsid w:val="003938D3"/>
    <w:rsid w:val="00394A03"/>
    <w:rsid w:val="00394F3B"/>
    <w:rsid w:val="003965CB"/>
    <w:rsid w:val="003971E5"/>
    <w:rsid w:val="003A006C"/>
    <w:rsid w:val="003A10C4"/>
    <w:rsid w:val="003A1B53"/>
    <w:rsid w:val="003A1D86"/>
    <w:rsid w:val="003A215A"/>
    <w:rsid w:val="003A27ED"/>
    <w:rsid w:val="003A3A99"/>
    <w:rsid w:val="003A61A6"/>
    <w:rsid w:val="003A67F6"/>
    <w:rsid w:val="003B0C80"/>
    <w:rsid w:val="003B133A"/>
    <w:rsid w:val="003B2249"/>
    <w:rsid w:val="003B253A"/>
    <w:rsid w:val="003B2B11"/>
    <w:rsid w:val="003B37C8"/>
    <w:rsid w:val="003B456E"/>
    <w:rsid w:val="003B49E3"/>
    <w:rsid w:val="003B558F"/>
    <w:rsid w:val="003B681D"/>
    <w:rsid w:val="003B7486"/>
    <w:rsid w:val="003C0B33"/>
    <w:rsid w:val="003C203D"/>
    <w:rsid w:val="003C2F98"/>
    <w:rsid w:val="003C2FB3"/>
    <w:rsid w:val="003C397E"/>
    <w:rsid w:val="003C415D"/>
    <w:rsid w:val="003C4B10"/>
    <w:rsid w:val="003C4B4B"/>
    <w:rsid w:val="003C530C"/>
    <w:rsid w:val="003C5A24"/>
    <w:rsid w:val="003D0827"/>
    <w:rsid w:val="003D17E5"/>
    <w:rsid w:val="003D334B"/>
    <w:rsid w:val="003D3608"/>
    <w:rsid w:val="003D3AF1"/>
    <w:rsid w:val="003E14B8"/>
    <w:rsid w:val="003E2005"/>
    <w:rsid w:val="003E259A"/>
    <w:rsid w:val="003E3A16"/>
    <w:rsid w:val="003E4535"/>
    <w:rsid w:val="003E4F6A"/>
    <w:rsid w:val="003F03D4"/>
    <w:rsid w:val="003F484E"/>
    <w:rsid w:val="003F5EF3"/>
    <w:rsid w:val="003F6192"/>
    <w:rsid w:val="004002A9"/>
    <w:rsid w:val="00400B2C"/>
    <w:rsid w:val="00401351"/>
    <w:rsid w:val="004057CE"/>
    <w:rsid w:val="00405B31"/>
    <w:rsid w:val="0040619F"/>
    <w:rsid w:val="004066BD"/>
    <w:rsid w:val="00410A71"/>
    <w:rsid w:val="004132EB"/>
    <w:rsid w:val="00413D74"/>
    <w:rsid w:val="004148B3"/>
    <w:rsid w:val="00416C1D"/>
    <w:rsid w:val="00417B5C"/>
    <w:rsid w:val="00417DDE"/>
    <w:rsid w:val="0042103E"/>
    <w:rsid w:val="004213C1"/>
    <w:rsid w:val="00421F2E"/>
    <w:rsid w:val="00422C1E"/>
    <w:rsid w:val="00423399"/>
    <w:rsid w:val="004267A5"/>
    <w:rsid w:val="00427402"/>
    <w:rsid w:val="0043013D"/>
    <w:rsid w:val="00430148"/>
    <w:rsid w:val="00431206"/>
    <w:rsid w:val="00433A9E"/>
    <w:rsid w:val="0043593A"/>
    <w:rsid w:val="004361E5"/>
    <w:rsid w:val="00437853"/>
    <w:rsid w:val="00442406"/>
    <w:rsid w:val="00443C88"/>
    <w:rsid w:val="0044464C"/>
    <w:rsid w:val="004475AA"/>
    <w:rsid w:val="00447AEF"/>
    <w:rsid w:val="00447D89"/>
    <w:rsid w:val="0045122B"/>
    <w:rsid w:val="0045149E"/>
    <w:rsid w:val="00452712"/>
    <w:rsid w:val="00453A85"/>
    <w:rsid w:val="00456BE6"/>
    <w:rsid w:val="00456FEF"/>
    <w:rsid w:val="00457228"/>
    <w:rsid w:val="0046281C"/>
    <w:rsid w:val="00464897"/>
    <w:rsid w:val="00465C1D"/>
    <w:rsid w:val="004669FF"/>
    <w:rsid w:val="004678CF"/>
    <w:rsid w:val="004709EA"/>
    <w:rsid w:val="00471086"/>
    <w:rsid w:val="0047125C"/>
    <w:rsid w:val="0047309C"/>
    <w:rsid w:val="00473FFC"/>
    <w:rsid w:val="0047417A"/>
    <w:rsid w:val="004757CC"/>
    <w:rsid w:val="0048153F"/>
    <w:rsid w:val="00481E04"/>
    <w:rsid w:val="0048200A"/>
    <w:rsid w:val="00482567"/>
    <w:rsid w:val="004839E1"/>
    <w:rsid w:val="00483F0B"/>
    <w:rsid w:val="004840CB"/>
    <w:rsid w:val="00484A89"/>
    <w:rsid w:val="00484EBA"/>
    <w:rsid w:val="0048578C"/>
    <w:rsid w:val="0048613A"/>
    <w:rsid w:val="004903AE"/>
    <w:rsid w:val="00491368"/>
    <w:rsid w:val="00491C17"/>
    <w:rsid w:val="00495C36"/>
    <w:rsid w:val="00495EBF"/>
    <w:rsid w:val="0049666E"/>
    <w:rsid w:val="00496954"/>
    <w:rsid w:val="004A058C"/>
    <w:rsid w:val="004A0DAE"/>
    <w:rsid w:val="004A3CB0"/>
    <w:rsid w:val="004A698D"/>
    <w:rsid w:val="004A6CE2"/>
    <w:rsid w:val="004A7243"/>
    <w:rsid w:val="004A7748"/>
    <w:rsid w:val="004A7858"/>
    <w:rsid w:val="004B39F3"/>
    <w:rsid w:val="004B5C0B"/>
    <w:rsid w:val="004B6199"/>
    <w:rsid w:val="004B69CE"/>
    <w:rsid w:val="004B6F88"/>
    <w:rsid w:val="004B78BE"/>
    <w:rsid w:val="004B7B16"/>
    <w:rsid w:val="004B7D52"/>
    <w:rsid w:val="004C1440"/>
    <w:rsid w:val="004C1B0A"/>
    <w:rsid w:val="004C29BF"/>
    <w:rsid w:val="004C51B2"/>
    <w:rsid w:val="004C5BF0"/>
    <w:rsid w:val="004C6534"/>
    <w:rsid w:val="004C6866"/>
    <w:rsid w:val="004C719D"/>
    <w:rsid w:val="004C7731"/>
    <w:rsid w:val="004D012E"/>
    <w:rsid w:val="004D3B8B"/>
    <w:rsid w:val="004D43E0"/>
    <w:rsid w:val="004D567A"/>
    <w:rsid w:val="004D60F2"/>
    <w:rsid w:val="004D69D4"/>
    <w:rsid w:val="004D70B8"/>
    <w:rsid w:val="004D747A"/>
    <w:rsid w:val="004D77EA"/>
    <w:rsid w:val="004E0857"/>
    <w:rsid w:val="004E2C77"/>
    <w:rsid w:val="004E370C"/>
    <w:rsid w:val="004E395C"/>
    <w:rsid w:val="004E5750"/>
    <w:rsid w:val="004E58B0"/>
    <w:rsid w:val="004E5B50"/>
    <w:rsid w:val="004F390D"/>
    <w:rsid w:val="004F4847"/>
    <w:rsid w:val="004F5149"/>
    <w:rsid w:val="004F5259"/>
    <w:rsid w:val="004F74A6"/>
    <w:rsid w:val="004F78BB"/>
    <w:rsid w:val="004F7B30"/>
    <w:rsid w:val="00500C92"/>
    <w:rsid w:val="00503D92"/>
    <w:rsid w:val="00504BCC"/>
    <w:rsid w:val="00506F66"/>
    <w:rsid w:val="005073D7"/>
    <w:rsid w:val="00510835"/>
    <w:rsid w:val="00510E31"/>
    <w:rsid w:val="00512531"/>
    <w:rsid w:val="00512FCB"/>
    <w:rsid w:val="00513614"/>
    <w:rsid w:val="00514B24"/>
    <w:rsid w:val="005246B9"/>
    <w:rsid w:val="0052484B"/>
    <w:rsid w:val="00525966"/>
    <w:rsid w:val="00526670"/>
    <w:rsid w:val="00527311"/>
    <w:rsid w:val="00527743"/>
    <w:rsid w:val="00527DAE"/>
    <w:rsid w:val="005308EA"/>
    <w:rsid w:val="00532885"/>
    <w:rsid w:val="00532974"/>
    <w:rsid w:val="00533174"/>
    <w:rsid w:val="00533548"/>
    <w:rsid w:val="00533E3D"/>
    <w:rsid w:val="005347AF"/>
    <w:rsid w:val="005359D3"/>
    <w:rsid w:val="005366FB"/>
    <w:rsid w:val="00536D87"/>
    <w:rsid w:val="00540294"/>
    <w:rsid w:val="00540FE6"/>
    <w:rsid w:val="00541C46"/>
    <w:rsid w:val="0054331E"/>
    <w:rsid w:val="00543D37"/>
    <w:rsid w:val="0055067B"/>
    <w:rsid w:val="005509A8"/>
    <w:rsid w:val="0055139D"/>
    <w:rsid w:val="0055169C"/>
    <w:rsid w:val="0055194E"/>
    <w:rsid w:val="0055320C"/>
    <w:rsid w:val="0055385B"/>
    <w:rsid w:val="005558A3"/>
    <w:rsid w:val="0055671E"/>
    <w:rsid w:val="0055698B"/>
    <w:rsid w:val="00556BEE"/>
    <w:rsid w:val="0055785E"/>
    <w:rsid w:val="005578EC"/>
    <w:rsid w:val="0056145D"/>
    <w:rsid w:val="00561F65"/>
    <w:rsid w:val="0056317C"/>
    <w:rsid w:val="005637E9"/>
    <w:rsid w:val="00563F9E"/>
    <w:rsid w:val="00564BD8"/>
    <w:rsid w:val="00565489"/>
    <w:rsid w:val="005664BB"/>
    <w:rsid w:val="00572776"/>
    <w:rsid w:val="0057662D"/>
    <w:rsid w:val="00577B04"/>
    <w:rsid w:val="00577DE9"/>
    <w:rsid w:val="00580520"/>
    <w:rsid w:val="005808C7"/>
    <w:rsid w:val="0058397E"/>
    <w:rsid w:val="005841B2"/>
    <w:rsid w:val="005844BC"/>
    <w:rsid w:val="00584769"/>
    <w:rsid w:val="0058744F"/>
    <w:rsid w:val="00592C2B"/>
    <w:rsid w:val="00592FD6"/>
    <w:rsid w:val="005932AA"/>
    <w:rsid w:val="0059377C"/>
    <w:rsid w:val="0059424E"/>
    <w:rsid w:val="005943B2"/>
    <w:rsid w:val="00594E9E"/>
    <w:rsid w:val="00597DA2"/>
    <w:rsid w:val="005A2288"/>
    <w:rsid w:val="005A246D"/>
    <w:rsid w:val="005A28D5"/>
    <w:rsid w:val="005A30BA"/>
    <w:rsid w:val="005A31DC"/>
    <w:rsid w:val="005A4CAF"/>
    <w:rsid w:val="005A55F0"/>
    <w:rsid w:val="005A7126"/>
    <w:rsid w:val="005A723B"/>
    <w:rsid w:val="005A735C"/>
    <w:rsid w:val="005A7F30"/>
    <w:rsid w:val="005B35C0"/>
    <w:rsid w:val="005B757D"/>
    <w:rsid w:val="005C02EF"/>
    <w:rsid w:val="005C2B69"/>
    <w:rsid w:val="005C394F"/>
    <w:rsid w:val="005C4463"/>
    <w:rsid w:val="005C597A"/>
    <w:rsid w:val="005C6B32"/>
    <w:rsid w:val="005C71E6"/>
    <w:rsid w:val="005D0960"/>
    <w:rsid w:val="005D2B0B"/>
    <w:rsid w:val="005D3759"/>
    <w:rsid w:val="005D39D0"/>
    <w:rsid w:val="005D747F"/>
    <w:rsid w:val="005D769E"/>
    <w:rsid w:val="005E0C1C"/>
    <w:rsid w:val="005E26B4"/>
    <w:rsid w:val="005E297C"/>
    <w:rsid w:val="005E2BA9"/>
    <w:rsid w:val="005E33DD"/>
    <w:rsid w:val="005E4259"/>
    <w:rsid w:val="005E4B68"/>
    <w:rsid w:val="005E5651"/>
    <w:rsid w:val="005E5B3A"/>
    <w:rsid w:val="005E6146"/>
    <w:rsid w:val="005F0920"/>
    <w:rsid w:val="005F0A75"/>
    <w:rsid w:val="005F0DB9"/>
    <w:rsid w:val="005F0EED"/>
    <w:rsid w:val="005F1D7D"/>
    <w:rsid w:val="005F434A"/>
    <w:rsid w:val="005F4B42"/>
    <w:rsid w:val="005F6CD4"/>
    <w:rsid w:val="005F7B0C"/>
    <w:rsid w:val="006032DF"/>
    <w:rsid w:val="00606FB1"/>
    <w:rsid w:val="006121D6"/>
    <w:rsid w:val="00616C58"/>
    <w:rsid w:val="00617B34"/>
    <w:rsid w:val="00620424"/>
    <w:rsid w:val="006219D5"/>
    <w:rsid w:val="00624B04"/>
    <w:rsid w:val="00625166"/>
    <w:rsid w:val="00625AA7"/>
    <w:rsid w:val="006314EA"/>
    <w:rsid w:val="00631808"/>
    <w:rsid w:val="006336F3"/>
    <w:rsid w:val="00635406"/>
    <w:rsid w:val="00636412"/>
    <w:rsid w:val="006365E9"/>
    <w:rsid w:val="00640CF1"/>
    <w:rsid w:val="00640E35"/>
    <w:rsid w:val="00641841"/>
    <w:rsid w:val="00641C04"/>
    <w:rsid w:val="006429E3"/>
    <w:rsid w:val="00642AC8"/>
    <w:rsid w:val="00643255"/>
    <w:rsid w:val="00647491"/>
    <w:rsid w:val="006478BB"/>
    <w:rsid w:val="00650017"/>
    <w:rsid w:val="006514FE"/>
    <w:rsid w:val="00654FA2"/>
    <w:rsid w:val="006553BE"/>
    <w:rsid w:val="00660C91"/>
    <w:rsid w:val="006632E8"/>
    <w:rsid w:val="006654BC"/>
    <w:rsid w:val="006678F2"/>
    <w:rsid w:val="00670506"/>
    <w:rsid w:val="006707F3"/>
    <w:rsid w:val="006732A9"/>
    <w:rsid w:val="00673621"/>
    <w:rsid w:val="00673684"/>
    <w:rsid w:val="00673AD8"/>
    <w:rsid w:val="006745B4"/>
    <w:rsid w:val="00674E05"/>
    <w:rsid w:val="00680AA6"/>
    <w:rsid w:val="00680F57"/>
    <w:rsid w:val="00683134"/>
    <w:rsid w:val="006844B6"/>
    <w:rsid w:val="006849F8"/>
    <w:rsid w:val="00686194"/>
    <w:rsid w:val="00687C84"/>
    <w:rsid w:val="00690BCC"/>
    <w:rsid w:val="00691917"/>
    <w:rsid w:val="00691A81"/>
    <w:rsid w:val="00692116"/>
    <w:rsid w:val="00692517"/>
    <w:rsid w:val="00692AF5"/>
    <w:rsid w:val="006936A9"/>
    <w:rsid w:val="00694ACB"/>
    <w:rsid w:val="006A0F03"/>
    <w:rsid w:val="006A1776"/>
    <w:rsid w:val="006A1851"/>
    <w:rsid w:val="006A1B5E"/>
    <w:rsid w:val="006A3A7E"/>
    <w:rsid w:val="006A4324"/>
    <w:rsid w:val="006A5F0C"/>
    <w:rsid w:val="006B0BE6"/>
    <w:rsid w:val="006B3996"/>
    <w:rsid w:val="006B7462"/>
    <w:rsid w:val="006B77BF"/>
    <w:rsid w:val="006C2575"/>
    <w:rsid w:val="006C2815"/>
    <w:rsid w:val="006C4429"/>
    <w:rsid w:val="006C6C52"/>
    <w:rsid w:val="006C6DB0"/>
    <w:rsid w:val="006C7C7B"/>
    <w:rsid w:val="006C7D9D"/>
    <w:rsid w:val="006D03ED"/>
    <w:rsid w:val="006D13B7"/>
    <w:rsid w:val="006D36E5"/>
    <w:rsid w:val="006D46B6"/>
    <w:rsid w:val="006D5E03"/>
    <w:rsid w:val="006D64F6"/>
    <w:rsid w:val="006D79B7"/>
    <w:rsid w:val="006D7D82"/>
    <w:rsid w:val="006E0F94"/>
    <w:rsid w:val="006E1072"/>
    <w:rsid w:val="006E11CE"/>
    <w:rsid w:val="006E11DF"/>
    <w:rsid w:val="006E2C62"/>
    <w:rsid w:val="006E3893"/>
    <w:rsid w:val="006E7CDB"/>
    <w:rsid w:val="006F14FB"/>
    <w:rsid w:val="006F1A90"/>
    <w:rsid w:val="006F331E"/>
    <w:rsid w:val="006F3BA2"/>
    <w:rsid w:val="006F45B1"/>
    <w:rsid w:val="006F6375"/>
    <w:rsid w:val="006F6F6A"/>
    <w:rsid w:val="00700542"/>
    <w:rsid w:val="0070176F"/>
    <w:rsid w:val="007018A5"/>
    <w:rsid w:val="00702C78"/>
    <w:rsid w:val="00703667"/>
    <w:rsid w:val="007055AC"/>
    <w:rsid w:val="007061A1"/>
    <w:rsid w:val="00706D42"/>
    <w:rsid w:val="0070790E"/>
    <w:rsid w:val="0071158C"/>
    <w:rsid w:val="00711D2F"/>
    <w:rsid w:val="007126D1"/>
    <w:rsid w:val="00712D5E"/>
    <w:rsid w:val="007138C1"/>
    <w:rsid w:val="00717955"/>
    <w:rsid w:val="007202C8"/>
    <w:rsid w:val="00732036"/>
    <w:rsid w:val="0073318E"/>
    <w:rsid w:val="00733862"/>
    <w:rsid w:val="00734AE9"/>
    <w:rsid w:val="0073713D"/>
    <w:rsid w:val="007400E2"/>
    <w:rsid w:val="007411C6"/>
    <w:rsid w:val="007450F9"/>
    <w:rsid w:val="007477E6"/>
    <w:rsid w:val="007502A6"/>
    <w:rsid w:val="00750948"/>
    <w:rsid w:val="007517BF"/>
    <w:rsid w:val="00751AC1"/>
    <w:rsid w:val="0075405B"/>
    <w:rsid w:val="00757988"/>
    <w:rsid w:val="00757B70"/>
    <w:rsid w:val="007600D1"/>
    <w:rsid w:val="00760FE7"/>
    <w:rsid w:val="007611FB"/>
    <w:rsid w:val="00761FAB"/>
    <w:rsid w:val="00762F27"/>
    <w:rsid w:val="00763769"/>
    <w:rsid w:val="00763E92"/>
    <w:rsid w:val="007650A7"/>
    <w:rsid w:val="00765784"/>
    <w:rsid w:val="00765AA4"/>
    <w:rsid w:val="00766B5A"/>
    <w:rsid w:val="00766E34"/>
    <w:rsid w:val="00766FDD"/>
    <w:rsid w:val="007679A0"/>
    <w:rsid w:val="00770000"/>
    <w:rsid w:val="007703C8"/>
    <w:rsid w:val="00770578"/>
    <w:rsid w:val="007708AB"/>
    <w:rsid w:val="00770DA4"/>
    <w:rsid w:val="00770DBF"/>
    <w:rsid w:val="00772415"/>
    <w:rsid w:val="007734A5"/>
    <w:rsid w:val="007749AC"/>
    <w:rsid w:val="00774EAC"/>
    <w:rsid w:val="00775A4D"/>
    <w:rsid w:val="00775BD0"/>
    <w:rsid w:val="00775D27"/>
    <w:rsid w:val="00775D6B"/>
    <w:rsid w:val="007771F3"/>
    <w:rsid w:val="00777CF3"/>
    <w:rsid w:val="007804ED"/>
    <w:rsid w:val="007820AC"/>
    <w:rsid w:val="00783DE9"/>
    <w:rsid w:val="0078449D"/>
    <w:rsid w:val="00785C32"/>
    <w:rsid w:val="00787C84"/>
    <w:rsid w:val="00793AA7"/>
    <w:rsid w:val="0079408F"/>
    <w:rsid w:val="00794C81"/>
    <w:rsid w:val="0079683B"/>
    <w:rsid w:val="007A085A"/>
    <w:rsid w:val="007A21DB"/>
    <w:rsid w:val="007A2D76"/>
    <w:rsid w:val="007A369B"/>
    <w:rsid w:val="007A6FF6"/>
    <w:rsid w:val="007A7136"/>
    <w:rsid w:val="007A72E4"/>
    <w:rsid w:val="007A756A"/>
    <w:rsid w:val="007A76E8"/>
    <w:rsid w:val="007A7CAC"/>
    <w:rsid w:val="007B046A"/>
    <w:rsid w:val="007B115C"/>
    <w:rsid w:val="007B3542"/>
    <w:rsid w:val="007B4CD6"/>
    <w:rsid w:val="007B5CF8"/>
    <w:rsid w:val="007B6416"/>
    <w:rsid w:val="007B7B37"/>
    <w:rsid w:val="007C0943"/>
    <w:rsid w:val="007C101E"/>
    <w:rsid w:val="007C1311"/>
    <w:rsid w:val="007C170A"/>
    <w:rsid w:val="007C1DBE"/>
    <w:rsid w:val="007C2E15"/>
    <w:rsid w:val="007C4ECC"/>
    <w:rsid w:val="007C5DA4"/>
    <w:rsid w:val="007C612F"/>
    <w:rsid w:val="007C62B3"/>
    <w:rsid w:val="007C7ECA"/>
    <w:rsid w:val="007C7FF0"/>
    <w:rsid w:val="007D210E"/>
    <w:rsid w:val="007D488C"/>
    <w:rsid w:val="007D5379"/>
    <w:rsid w:val="007E2982"/>
    <w:rsid w:val="007E4217"/>
    <w:rsid w:val="007E6D72"/>
    <w:rsid w:val="007E73CD"/>
    <w:rsid w:val="007F2A00"/>
    <w:rsid w:val="007F5103"/>
    <w:rsid w:val="007F5582"/>
    <w:rsid w:val="007F6181"/>
    <w:rsid w:val="007F6FEE"/>
    <w:rsid w:val="007F7980"/>
    <w:rsid w:val="007F7BAB"/>
    <w:rsid w:val="00800117"/>
    <w:rsid w:val="0080061E"/>
    <w:rsid w:val="00800C10"/>
    <w:rsid w:val="008020CB"/>
    <w:rsid w:val="00802237"/>
    <w:rsid w:val="00802508"/>
    <w:rsid w:val="00802775"/>
    <w:rsid w:val="00802FDA"/>
    <w:rsid w:val="00804216"/>
    <w:rsid w:val="00804632"/>
    <w:rsid w:val="00804B9A"/>
    <w:rsid w:val="00804C22"/>
    <w:rsid w:val="00804D22"/>
    <w:rsid w:val="00807631"/>
    <w:rsid w:val="008077B3"/>
    <w:rsid w:val="0081012C"/>
    <w:rsid w:val="00810B3F"/>
    <w:rsid w:val="008111E6"/>
    <w:rsid w:val="008114D7"/>
    <w:rsid w:val="0081339B"/>
    <w:rsid w:val="00813C83"/>
    <w:rsid w:val="00815C53"/>
    <w:rsid w:val="00817F63"/>
    <w:rsid w:val="0082029B"/>
    <w:rsid w:val="00820906"/>
    <w:rsid w:val="00821661"/>
    <w:rsid w:val="00821713"/>
    <w:rsid w:val="00823EDD"/>
    <w:rsid w:val="00831D77"/>
    <w:rsid w:val="00832E4D"/>
    <w:rsid w:val="00835215"/>
    <w:rsid w:val="00837DBA"/>
    <w:rsid w:val="00840FC4"/>
    <w:rsid w:val="00841928"/>
    <w:rsid w:val="0084452C"/>
    <w:rsid w:val="0084710E"/>
    <w:rsid w:val="00847649"/>
    <w:rsid w:val="00850F50"/>
    <w:rsid w:val="00852047"/>
    <w:rsid w:val="008532B9"/>
    <w:rsid w:val="00856031"/>
    <w:rsid w:val="00856A2B"/>
    <w:rsid w:val="0085757D"/>
    <w:rsid w:val="00860056"/>
    <w:rsid w:val="0086165B"/>
    <w:rsid w:val="00861936"/>
    <w:rsid w:val="00862C4D"/>
    <w:rsid w:val="008631E9"/>
    <w:rsid w:val="00863375"/>
    <w:rsid w:val="00863CBF"/>
    <w:rsid w:val="00863D08"/>
    <w:rsid w:val="00870A61"/>
    <w:rsid w:val="008725AE"/>
    <w:rsid w:val="008747E5"/>
    <w:rsid w:val="00874A52"/>
    <w:rsid w:val="00876BFD"/>
    <w:rsid w:val="00876E1B"/>
    <w:rsid w:val="00877092"/>
    <w:rsid w:val="00880788"/>
    <w:rsid w:val="00881E49"/>
    <w:rsid w:val="008832A4"/>
    <w:rsid w:val="0088428E"/>
    <w:rsid w:val="00885F3E"/>
    <w:rsid w:val="00892FB6"/>
    <w:rsid w:val="008930F0"/>
    <w:rsid w:val="008942A5"/>
    <w:rsid w:val="00894F15"/>
    <w:rsid w:val="00895C40"/>
    <w:rsid w:val="00896BFA"/>
    <w:rsid w:val="00897166"/>
    <w:rsid w:val="00897DDD"/>
    <w:rsid w:val="008A101F"/>
    <w:rsid w:val="008A2EE1"/>
    <w:rsid w:val="008A2F36"/>
    <w:rsid w:val="008A3161"/>
    <w:rsid w:val="008A344B"/>
    <w:rsid w:val="008A4ABF"/>
    <w:rsid w:val="008A5D17"/>
    <w:rsid w:val="008B0EA6"/>
    <w:rsid w:val="008B163B"/>
    <w:rsid w:val="008B2A52"/>
    <w:rsid w:val="008B2FB9"/>
    <w:rsid w:val="008B4FD1"/>
    <w:rsid w:val="008B5FF1"/>
    <w:rsid w:val="008B6153"/>
    <w:rsid w:val="008B7847"/>
    <w:rsid w:val="008C151F"/>
    <w:rsid w:val="008C259C"/>
    <w:rsid w:val="008C2BE2"/>
    <w:rsid w:val="008C3D02"/>
    <w:rsid w:val="008C4E45"/>
    <w:rsid w:val="008C73CD"/>
    <w:rsid w:val="008D00BA"/>
    <w:rsid w:val="008D0409"/>
    <w:rsid w:val="008D1DB2"/>
    <w:rsid w:val="008D520E"/>
    <w:rsid w:val="008D5A0F"/>
    <w:rsid w:val="008D6874"/>
    <w:rsid w:val="008D72B2"/>
    <w:rsid w:val="008D72ED"/>
    <w:rsid w:val="008E085A"/>
    <w:rsid w:val="008E3BAC"/>
    <w:rsid w:val="008E41EB"/>
    <w:rsid w:val="008E5512"/>
    <w:rsid w:val="008E55E5"/>
    <w:rsid w:val="008E5964"/>
    <w:rsid w:val="008E5EA0"/>
    <w:rsid w:val="008E72DC"/>
    <w:rsid w:val="008F031E"/>
    <w:rsid w:val="008F14E6"/>
    <w:rsid w:val="008F17D3"/>
    <w:rsid w:val="008F2249"/>
    <w:rsid w:val="008F2883"/>
    <w:rsid w:val="008F28BD"/>
    <w:rsid w:val="008F4183"/>
    <w:rsid w:val="008F4BBC"/>
    <w:rsid w:val="008F5DB6"/>
    <w:rsid w:val="008F6BC1"/>
    <w:rsid w:val="0090047B"/>
    <w:rsid w:val="00900579"/>
    <w:rsid w:val="00902988"/>
    <w:rsid w:val="00902F83"/>
    <w:rsid w:val="0090339E"/>
    <w:rsid w:val="009051CF"/>
    <w:rsid w:val="00905B24"/>
    <w:rsid w:val="00907491"/>
    <w:rsid w:val="00907607"/>
    <w:rsid w:val="00907E46"/>
    <w:rsid w:val="00911C10"/>
    <w:rsid w:val="009120EF"/>
    <w:rsid w:val="00912A14"/>
    <w:rsid w:val="00912B9F"/>
    <w:rsid w:val="00915190"/>
    <w:rsid w:val="00916400"/>
    <w:rsid w:val="00920952"/>
    <w:rsid w:val="0092139A"/>
    <w:rsid w:val="009233A8"/>
    <w:rsid w:val="00925E2B"/>
    <w:rsid w:val="00926798"/>
    <w:rsid w:val="009313DC"/>
    <w:rsid w:val="00932485"/>
    <w:rsid w:val="00932DAF"/>
    <w:rsid w:val="00933ADB"/>
    <w:rsid w:val="00935305"/>
    <w:rsid w:val="0093789A"/>
    <w:rsid w:val="00937B03"/>
    <w:rsid w:val="0094113D"/>
    <w:rsid w:val="00942E9B"/>
    <w:rsid w:val="00943B6D"/>
    <w:rsid w:val="00944C93"/>
    <w:rsid w:val="00944CF5"/>
    <w:rsid w:val="00945286"/>
    <w:rsid w:val="009475DC"/>
    <w:rsid w:val="00951B11"/>
    <w:rsid w:val="0095440D"/>
    <w:rsid w:val="0095486F"/>
    <w:rsid w:val="00955E1E"/>
    <w:rsid w:val="00956570"/>
    <w:rsid w:val="00960D44"/>
    <w:rsid w:val="00961CF4"/>
    <w:rsid w:val="009623C8"/>
    <w:rsid w:val="00962DF8"/>
    <w:rsid w:val="00967D90"/>
    <w:rsid w:val="00970CB5"/>
    <w:rsid w:val="00970DD8"/>
    <w:rsid w:val="00971E74"/>
    <w:rsid w:val="009724DD"/>
    <w:rsid w:val="00976AF0"/>
    <w:rsid w:val="00977026"/>
    <w:rsid w:val="009772D3"/>
    <w:rsid w:val="00977736"/>
    <w:rsid w:val="00981A63"/>
    <w:rsid w:val="009821FA"/>
    <w:rsid w:val="009844E5"/>
    <w:rsid w:val="00984662"/>
    <w:rsid w:val="009858AC"/>
    <w:rsid w:val="0098599D"/>
    <w:rsid w:val="00986136"/>
    <w:rsid w:val="009901BB"/>
    <w:rsid w:val="00991804"/>
    <w:rsid w:val="0099260A"/>
    <w:rsid w:val="00992AA3"/>
    <w:rsid w:val="00994706"/>
    <w:rsid w:val="009950C9"/>
    <w:rsid w:val="00995D74"/>
    <w:rsid w:val="009A03C0"/>
    <w:rsid w:val="009A045F"/>
    <w:rsid w:val="009A156C"/>
    <w:rsid w:val="009B03E6"/>
    <w:rsid w:val="009B1EBF"/>
    <w:rsid w:val="009B2B16"/>
    <w:rsid w:val="009B2D3A"/>
    <w:rsid w:val="009B47ED"/>
    <w:rsid w:val="009B4AB2"/>
    <w:rsid w:val="009B4DD6"/>
    <w:rsid w:val="009B60EC"/>
    <w:rsid w:val="009B7167"/>
    <w:rsid w:val="009C1C7E"/>
    <w:rsid w:val="009C4F0D"/>
    <w:rsid w:val="009C776C"/>
    <w:rsid w:val="009D0482"/>
    <w:rsid w:val="009D1226"/>
    <w:rsid w:val="009D3F2D"/>
    <w:rsid w:val="009D4141"/>
    <w:rsid w:val="009D42CE"/>
    <w:rsid w:val="009D4B6F"/>
    <w:rsid w:val="009D5718"/>
    <w:rsid w:val="009D57F2"/>
    <w:rsid w:val="009D67C2"/>
    <w:rsid w:val="009D7C9D"/>
    <w:rsid w:val="009E069D"/>
    <w:rsid w:val="009E1C9F"/>
    <w:rsid w:val="009E39AB"/>
    <w:rsid w:val="009E3C8A"/>
    <w:rsid w:val="009E4853"/>
    <w:rsid w:val="009E78A8"/>
    <w:rsid w:val="009F32CA"/>
    <w:rsid w:val="009F3DF3"/>
    <w:rsid w:val="009F476E"/>
    <w:rsid w:val="009F7887"/>
    <w:rsid w:val="00A01B62"/>
    <w:rsid w:val="00A0239C"/>
    <w:rsid w:val="00A027B7"/>
    <w:rsid w:val="00A02D32"/>
    <w:rsid w:val="00A03F2D"/>
    <w:rsid w:val="00A1175C"/>
    <w:rsid w:val="00A12CCA"/>
    <w:rsid w:val="00A1546B"/>
    <w:rsid w:val="00A20417"/>
    <w:rsid w:val="00A20D22"/>
    <w:rsid w:val="00A21D77"/>
    <w:rsid w:val="00A22758"/>
    <w:rsid w:val="00A22AEC"/>
    <w:rsid w:val="00A22C3C"/>
    <w:rsid w:val="00A237DD"/>
    <w:rsid w:val="00A23E53"/>
    <w:rsid w:val="00A251D9"/>
    <w:rsid w:val="00A26473"/>
    <w:rsid w:val="00A2653A"/>
    <w:rsid w:val="00A26F72"/>
    <w:rsid w:val="00A27F7A"/>
    <w:rsid w:val="00A30D03"/>
    <w:rsid w:val="00A31EA9"/>
    <w:rsid w:val="00A324A6"/>
    <w:rsid w:val="00A32DBA"/>
    <w:rsid w:val="00A35139"/>
    <w:rsid w:val="00A36676"/>
    <w:rsid w:val="00A37A56"/>
    <w:rsid w:val="00A40C1E"/>
    <w:rsid w:val="00A41674"/>
    <w:rsid w:val="00A421E4"/>
    <w:rsid w:val="00A4343D"/>
    <w:rsid w:val="00A459C8"/>
    <w:rsid w:val="00A46FCB"/>
    <w:rsid w:val="00A52A6D"/>
    <w:rsid w:val="00A53BCB"/>
    <w:rsid w:val="00A56C31"/>
    <w:rsid w:val="00A60994"/>
    <w:rsid w:val="00A61AEB"/>
    <w:rsid w:val="00A61CBD"/>
    <w:rsid w:val="00A61F3A"/>
    <w:rsid w:val="00A63062"/>
    <w:rsid w:val="00A63914"/>
    <w:rsid w:val="00A63D5E"/>
    <w:rsid w:val="00A664D8"/>
    <w:rsid w:val="00A66893"/>
    <w:rsid w:val="00A66A80"/>
    <w:rsid w:val="00A67403"/>
    <w:rsid w:val="00A707D5"/>
    <w:rsid w:val="00A714BD"/>
    <w:rsid w:val="00A715C9"/>
    <w:rsid w:val="00A716B4"/>
    <w:rsid w:val="00A72365"/>
    <w:rsid w:val="00A72BAE"/>
    <w:rsid w:val="00A732B5"/>
    <w:rsid w:val="00A74111"/>
    <w:rsid w:val="00A75BA7"/>
    <w:rsid w:val="00A760E5"/>
    <w:rsid w:val="00A7769E"/>
    <w:rsid w:val="00A81375"/>
    <w:rsid w:val="00A8297D"/>
    <w:rsid w:val="00A82C6F"/>
    <w:rsid w:val="00A8445B"/>
    <w:rsid w:val="00A869DD"/>
    <w:rsid w:val="00A86F4D"/>
    <w:rsid w:val="00A905DF"/>
    <w:rsid w:val="00A913F6"/>
    <w:rsid w:val="00A915C1"/>
    <w:rsid w:val="00A92753"/>
    <w:rsid w:val="00AA0007"/>
    <w:rsid w:val="00AA0288"/>
    <w:rsid w:val="00AA0A75"/>
    <w:rsid w:val="00AA0C7E"/>
    <w:rsid w:val="00AA2961"/>
    <w:rsid w:val="00AA2D38"/>
    <w:rsid w:val="00AA3669"/>
    <w:rsid w:val="00AA63A0"/>
    <w:rsid w:val="00AA6998"/>
    <w:rsid w:val="00AB2CA4"/>
    <w:rsid w:val="00AB31E7"/>
    <w:rsid w:val="00AB491C"/>
    <w:rsid w:val="00AB5550"/>
    <w:rsid w:val="00AB6D9E"/>
    <w:rsid w:val="00AC0172"/>
    <w:rsid w:val="00AC0C1F"/>
    <w:rsid w:val="00AC539F"/>
    <w:rsid w:val="00AC6AD2"/>
    <w:rsid w:val="00AD28DF"/>
    <w:rsid w:val="00AD318B"/>
    <w:rsid w:val="00AD4456"/>
    <w:rsid w:val="00AD5F6C"/>
    <w:rsid w:val="00AD60D4"/>
    <w:rsid w:val="00AD7783"/>
    <w:rsid w:val="00AD7F28"/>
    <w:rsid w:val="00AE0A50"/>
    <w:rsid w:val="00AE2EBC"/>
    <w:rsid w:val="00AE3C65"/>
    <w:rsid w:val="00AE445B"/>
    <w:rsid w:val="00AE7042"/>
    <w:rsid w:val="00AE731B"/>
    <w:rsid w:val="00AE73BA"/>
    <w:rsid w:val="00AF1713"/>
    <w:rsid w:val="00AF31BD"/>
    <w:rsid w:val="00AF506C"/>
    <w:rsid w:val="00AF6767"/>
    <w:rsid w:val="00AF7F61"/>
    <w:rsid w:val="00B02446"/>
    <w:rsid w:val="00B02B50"/>
    <w:rsid w:val="00B03466"/>
    <w:rsid w:val="00B03D17"/>
    <w:rsid w:val="00B0431B"/>
    <w:rsid w:val="00B044DD"/>
    <w:rsid w:val="00B106B8"/>
    <w:rsid w:val="00B1110D"/>
    <w:rsid w:val="00B11DBE"/>
    <w:rsid w:val="00B12099"/>
    <w:rsid w:val="00B130AF"/>
    <w:rsid w:val="00B14ED0"/>
    <w:rsid w:val="00B14FFC"/>
    <w:rsid w:val="00B16AC7"/>
    <w:rsid w:val="00B2422C"/>
    <w:rsid w:val="00B24680"/>
    <w:rsid w:val="00B24DB8"/>
    <w:rsid w:val="00B24EEF"/>
    <w:rsid w:val="00B256B7"/>
    <w:rsid w:val="00B3255D"/>
    <w:rsid w:val="00B32EBC"/>
    <w:rsid w:val="00B33A97"/>
    <w:rsid w:val="00B34D63"/>
    <w:rsid w:val="00B409F0"/>
    <w:rsid w:val="00B41287"/>
    <w:rsid w:val="00B42F38"/>
    <w:rsid w:val="00B436B7"/>
    <w:rsid w:val="00B445A4"/>
    <w:rsid w:val="00B44C71"/>
    <w:rsid w:val="00B44EFB"/>
    <w:rsid w:val="00B467AA"/>
    <w:rsid w:val="00B47656"/>
    <w:rsid w:val="00B47B11"/>
    <w:rsid w:val="00B5048A"/>
    <w:rsid w:val="00B50A35"/>
    <w:rsid w:val="00B5112C"/>
    <w:rsid w:val="00B51196"/>
    <w:rsid w:val="00B51987"/>
    <w:rsid w:val="00B51B40"/>
    <w:rsid w:val="00B526F0"/>
    <w:rsid w:val="00B52E58"/>
    <w:rsid w:val="00B53B35"/>
    <w:rsid w:val="00B53D05"/>
    <w:rsid w:val="00B543D0"/>
    <w:rsid w:val="00B57DEE"/>
    <w:rsid w:val="00B61584"/>
    <w:rsid w:val="00B6217B"/>
    <w:rsid w:val="00B6222A"/>
    <w:rsid w:val="00B63B78"/>
    <w:rsid w:val="00B63FCE"/>
    <w:rsid w:val="00B658C9"/>
    <w:rsid w:val="00B65F16"/>
    <w:rsid w:val="00B66088"/>
    <w:rsid w:val="00B67461"/>
    <w:rsid w:val="00B677FE"/>
    <w:rsid w:val="00B71040"/>
    <w:rsid w:val="00B71610"/>
    <w:rsid w:val="00B7360E"/>
    <w:rsid w:val="00B74219"/>
    <w:rsid w:val="00B778FD"/>
    <w:rsid w:val="00B808EE"/>
    <w:rsid w:val="00B82211"/>
    <w:rsid w:val="00B83FE5"/>
    <w:rsid w:val="00B8719A"/>
    <w:rsid w:val="00B91138"/>
    <w:rsid w:val="00B94A26"/>
    <w:rsid w:val="00B96B8B"/>
    <w:rsid w:val="00B974CF"/>
    <w:rsid w:val="00BA00DF"/>
    <w:rsid w:val="00BA01C3"/>
    <w:rsid w:val="00BA0A1B"/>
    <w:rsid w:val="00BA189C"/>
    <w:rsid w:val="00BA2BF0"/>
    <w:rsid w:val="00BA3EDA"/>
    <w:rsid w:val="00BA4B9B"/>
    <w:rsid w:val="00BA572B"/>
    <w:rsid w:val="00BA5EDE"/>
    <w:rsid w:val="00BA6931"/>
    <w:rsid w:val="00BA6CAF"/>
    <w:rsid w:val="00BB0E0B"/>
    <w:rsid w:val="00BB1360"/>
    <w:rsid w:val="00BB13C5"/>
    <w:rsid w:val="00BB1ADC"/>
    <w:rsid w:val="00BB22CE"/>
    <w:rsid w:val="00BB4772"/>
    <w:rsid w:val="00BB49A2"/>
    <w:rsid w:val="00BB4AB0"/>
    <w:rsid w:val="00BB557D"/>
    <w:rsid w:val="00BB60DE"/>
    <w:rsid w:val="00BB7183"/>
    <w:rsid w:val="00BC0EA2"/>
    <w:rsid w:val="00BC3866"/>
    <w:rsid w:val="00BC53EC"/>
    <w:rsid w:val="00BC6638"/>
    <w:rsid w:val="00BC77D7"/>
    <w:rsid w:val="00BD218B"/>
    <w:rsid w:val="00BD49BE"/>
    <w:rsid w:val="00BD5148"/>
    <w:rsid w:val="00BD6099"/>
    <w:rsid w:val="00BD655B"/>
    <w:rsid w:val="00BE0A63"/>
    <w:rsid w:val="00BE1D6C"/>
    <w:rsid w:val="00BE3BF6"/>
    <w:rsid w:val="00BE7F52"/>
    <w:rsid w:val="00BF20EE"/>
    <w:rsid w:val="00BF7DA2"/>
    <w:rsid w:val="00C00078"/>
    <w:rsid w:val="00C01D31"/>
    <w:rsid w:val="00C01DF4"/>
    <w:rsid w:val="00C03BF2"/>
    <w:rsid w:val="00C04239"/>
    <w:rsid w:val="00C06F43"/>
    <w:rsid w:val="00C11338"/>
    <w:rsid w:val="00C11806"/>
    <w:rsid w:val="00C11F1B"/>
    <w:rsid w:val="00C1268F"/>
    <w:rsid w:val="00C13E98"/>
    <w:rsid w:val="00C13FA0"/>
    <w:rsid w:val="00C212B3"/>
    <w:rsid w:val="00C2209D"/>
    <w:rsid w:val="00C2279B"/>
    <w:rsid w:val="00C24017"/>
    <w:rsid w:val="00C270DC"/>
    <w:rsid w:val="00C3080F"/>
    <w:rsid w:val="00C30A5E"/>
    <w:rsid w:val="00C31D22"/>
    <w:rsid w:val="00C402C6"/>
    <w:rsid w:val="00C40B29"/>
    <w:rsid w:val="00C40F1B"/>
    <w:rsid w:val="00C413C1"/>
    <w:rsid w:val="00C47713"/>
    <w:rsid w:val="00C50D82"/>
    <w:rsid w:val="00C51198"/>
    <w:rsid w:val="00C55511"/>
    <w:rsid w:val="00C56CCC"/>
    <w:rsid w:val="00C611A7"/>
    <w:rsid w:val="00C618F9"/>
    <w:rsid w:val="00C625E0"/>
    <w:rsid w:val="00C644EC"/>
    <w:rsid w:val="00C6499D"/>
    <w:rsid w:val="00C67CEF"/>
    <w:rsid w:val="00C701FC"/>
    <w:rsid w:val="00C72BA5"/>
    <w:rsid w:val="00C72D82"/>
    <w:rsid w:val="00C733B6"/>
    <w:rsid w:val="00C73A06"/>
    <w:rsid w:val="00C74C2F"/>
    <w:rsid w:val="00C74C72"/>
    <w:rsid w:val="00C77AAF"/>
    <w:rsid w:val="00C8088A"/>
    <w:rsid w:val="00C81222"/>
    <w:rsid w:val="00C82408"/>
    <w:rsid w:val="00C82BC4"/>
    <w:rsid w:val="00C835AF"/>
    <w:rsid w:val="00C84079"/>
    <w:rsid w:val="00C86737"/>
    <w:rsid w:val="00C86C40"/>
    <w:rsid w:val="00C87562"/>
    <w:rsid w:val="00C87983"/>
    <w:rsid w:val="00C91D65"/>
    <w:rsid w:val="00C92AD3"/>
    <w:rsid w:val="00C949DA"/>
    <w:rsid w:val="00C95224"/>
    <w:rsid w:val="00C97527"/>
    <w:rsid w:val="00CA4180"/>
    <w:rsid w:val="00CA5D9A"/>
    <w:rsid w:val="00CA6660"/>
    <w:rsid w:val="00CA68D7"/>
    <w:rsid w:val="00CA6E5C"/>
    <w:rsid w:val="00CA72CC"/>
    <w:rsid w:val="00CA7697"/>
    <w:rsid w:val="00CA7BF0"/>
    <w:rsid w:val="00CA7C6C"/>
    <w:rsid w:val="00CA7DDE"/>
    <w:rsid w:val="00CB0136"/>
    <w:rsid w:val="00CB0B63"/>
    <w:rsid w:val="00CB1A31"/>
    <w:rsid w:val="00CB205A"/>
    <w:rsid w:val="00CB3005"/>
    <w:rsid w:val="00CB3AD9"/>
    <w:rsid w:val="00CB3E3A"/>
    <w:rsid w:val="00CB7218"/>
    <w:rsid w:val="00CC17B2"/>
    <w:rsid w:val="00CC2293"/>
    <w:rsid w:val="00CC2E90"/>
    <w:rsid w:val="00CC43E4"/>
    <w:rsid w:val="00CC649D"/>
    <w:rsid w:val="00CC68B5"/>
    <w:rsid w:val="00CD0CBE"/>
    <w:rsid w:val="00CD0EB1"/>
    <w:rsid w:val="00CD106E"/>
    <w:rsid w:val="00CD3750"/>
    <w:rsid w:val="00CD465F"/>
    <w:rsid w:val="00CD643F"/>
    <w:rsid w:val="00CD6C4E"/>
    <w:rsid w:val="00CD7390"/>
    <w:rsid w:val="00CE05F2"/>
    <w:rsid w:val="00CE25D8"/>
    <w:rsid w:val="00CE67DE"/>
    <w:rsid w:val="00CE6E97"/>
    <w:rsid w:val="00CF019E"/>
    <w:rsid w:val="00CF0C9D"/>
    <w:rsid w:val="00CF15B9"/>
    <w:rsid w:val="00CF1C9D"/>
    <w:rsid w:val="00CF38F2"/>
    <w:rsid w:val="00CF5A45"/>
    <w:rsid w:val="00CF6FE8"/>
    <w:rsid w:val="00CF74A7"/>
    <w:rsid w:val="00D02961"/>
    <w:rsid w:val="00D02B6F"/>
    <w:rsid w:val="00D03729"/>
    <w:rsid w:val="00D03BB7"/>
    <w:rsid w:val="00D05A75"/>
    <w:rsid w:val="00D06784"/>
    <w:rsid w:val="00D07FE3"/>
    <w:rsid w:val="00D123E3"/>
    <w:rsid w:val="00D14107"/>
    <w:rsid w:val="00D14E95"/>
    <w:rsid w:val="00D16FE4"/>
    <w:rsid w:val="00D2064C"/>
    <w:rsid w:val="00D208EB"/>
    <w:rsid w:val="00D21B75"/>
    <w:rsid w:val="00D244CA"/>
    <w:rsid w:val="00D24A29"/>
    <w:rsid w:val="00D25832"/>
    <w:rsid w:val="00D27923"/>
    <w:rsid w:val="00D27E75"/>
    <w:rsid w:val="00D30E52"/>
    <w:rsid w:val="00D3310F"/>
    <w:rsid w:val="00D4018E"/>
    <w:rsid w:val="00D4104C"/>
    <w:rsid w:val="00D41D6C"/>
    <w:rsid w:val="00D42C78"/>
    <w:rsid w:val="00D43788"/>
    <w:rsid w:val="00D43D05"/>
    <w:rsid w:val="00D44127"/>
    <w:rsid w:val="00D448BA"/>
    <w:rsid w:val="00D451DA"/>
    <w:rsid w:val="00D45CEC"/>
    <w:rsid w:val="00D47B7A"/>
    <w:rsid w:val="00D504A9"/>
    <w:rsid w:val="00D51362"/>
    <w:rsid w:val="00D51CCC"/>
    <w:rsid w:val="00D5297E"/>
    <w:rsid w:val="00D5473A"/>
    <w:rsid w:val="00D5553D"/>
    <w:rsid w:val="00D557FC"/>
    <w:rsid w:val="00D56F00"/>
    <w:rsid w:val="00D574DA"/>
    <w:rsid w:val="00D62F87"/>
    <w:rsid w:val="00D63653"/>
    <w:rsid w:val="00D63EF9"/>
    <w:rsid w:val="00D6420A"/>
    <w:rsid w:val="00D64822"/>
    <w:rsid w:val="00D67D00"/>
    <w:rsid w:val="00D702CC"/>
    <w:rsid w:val="00D713CD"/>
    <w:rsid w:val="00D71638"/>
    <w:rsid w:val="00D71E76"/>
    <w:rsid w:val="00D72041"/>
    <w:rsid w:val="00D724EE"/>
    <w:rsid w:val="00D72953"/>
    <w:rsid w:val="00D7457C"/>
    <w:rsid w:val="00D752F3"/>
    <w:rsid w:val="00D778FA"/>
    <w:rsid w:val="00D8070E"/>
    <w:rsid w:val="00D824FA"/>
    <w:rsid w:val="00D82574"/>
    <w:rsid w:val="00D82925"/>
    <w:rsid w:val="00D83F6A"/>
    <w:rsid w:val="00D843FF"/>
    <w:rsid w:val="00D8463F"/>
    <w:rsid w:val="00D91DDF"/>
    <w:rsid w:val="00D92FAF"/>
    <w:rsid w:val="00D93DAA"/>
    <w:rsid w:val="00D9410B"/>
    <w:rsid w:val="00D96EEE"/>
    <w:rsid w:val="00D97BED"/>
    <w:rsid w:val="00DA2A37"/>
    <w:rsid w:val="00DA6741"/>
    <w:rsid w:val="00DA6907"/>
    <w:rsid w:val="00DA6FA6"/>
    <w:rsid w:val="00DA7691"/>
    <w:rsid w:val="00DB2048"/>
    <w:rsid w:val="00DB4315"/>
    <w:rsid w:val="00DB748B"/>
    <w:rsid w:val="00DC15C6"/>
    <w:rsid w:val="00DC73A6"/>
    <w:rsid w:val="00DD2C16"/>
    <w:rsid w:val="00DD57D3"/>
    <w:rsid w:val="00DD58EC"/>
    <w:rsid w:val="00DD6DA3"/>
    <w:rsid w:val="00DD700A"/>
    <w:rsid w:val="00DD7766"/>
    <w:rsid w:val="00DE07A3"/>
    <w:rsid w:val="00DE0FB4"/>
    <w:rsid w:val="00DE24ED"/>
    <w:rsid w:val="00DE36D3"/>
    <w:rsid w:val="00DE3E47"/>
    <w:rsid w:val="00DE4144"/>
    <w:rsid w:val="00DE4D45"/>
    <w:rsid w:val="00DE55E5"/>
    <w:rsid w:val="00DE563A"/>
    <w:rsid w:val="00DE6FE5"/>
    <w:rsid w:val="00DE7422"/>
    <w:rsid w:val="00DE787A"/>
    <w:rsid w:val="00DE7BBA"/>
    <w:rsid w:val="00DF02A6"/>
    <w:rsid w:val="00DF093D"/>
    <w:rsid w:val="00DF2E5A"/>
    <w:rsid w:val="00DF2E8E"/>
    <w:rsid w:val="00DF52ED"/>
    <w:rsid w:val="00DF597C"/>
    <w:rsid w:val="00DF6519"/>
    <w:rsid w:val="00DF6BA6"/>
    <w:rsid w:val="00E017F5"/>
    <w:rsid w:val="00E01876"/>
    <w:rsid w:val="00E02CDB"/>
    <w:rsid w:val="00E05661"/>
    <w:rsid w:val="00E058F2"/>
    <w:rsid w:val="00E0634B"/>
    <w:rsid w:val="00E079D7"/>
    <w:rsid w:val="00E11AA5"/>
    <w:rsid w:val="00E11F75"/>
    <w:rsid w:val="00E14669"/>
    <w:rsid w:val="00E14718"/>
    <w:rsid w:val="00E15D27"/>
    <w:rsid w:val="00E1702A"/>
    <w:rsid w:val="00E25ACF"/>
    <w:rsid w:val="00E25DDD"/>
    <w:rsid w:val="00E26CA7"/>
    <w:rsid w:val="00E277A1"/>
    <w:rsid w:val="00E306C6"/>
    <w:rsid w:val="00E31F37"/>
    <w:rsid w:val="00E33A2D"/>
    <w:rsid w:val="00E344FF"/>
    <w:rsid w:val="00E36237"/>
    <w:rsid w:val="00E3698C"/>
    <w:rsid w:val="00E40115"/>
    <w:rsid w:val="00E409FE"/>
    <w:rsid w:val="00E40CD6"/>
    <w:rsid w:val="00E42E61"/>
    <w:rsid w:val="00E438ED"/>
    <w:rsid w:val="00E45B3E"/>
    <w:rsid w:val="00E501E3"/>
    <w:rsid w:val="00E51479"/>
    <w:rsid w:val="00E52122"/>
    <w:rsid w:val="00E5295D"/>
    <w:rsid w:val="00E5384E"/>
    <w:rsid w:val="00E540C3"/>
    <w:rsid w:val="00E54E5D"/>
    <w:rsid w:val="00E60065"/>
    <w:rsid w:val="00E614C7"/>
    <w:rsid w:val="00E61CD0"/>
    <w:rsid w:val="00E61ED6"/>
    <w:rsid w:val="00E62A24"/>
    <w:rsid w:val="00E635C8"/>
    <w:rsid w:val="00E64497"/>
    <w:rsid w:val="00E66062"/>
    <w:rsid w:val="00E6770F"/>
    <w:rsid w:val="00E708D8"/>
    <w:rsid w:val="00E710F7"/>
    <w:rsid w:val="00E72225"/>
    <w:rsid w:val="00E730AB"/>
    <w:rsid w:val="00E73166"/>
    <w:rsid w:val="00E73A49"/>
    <w:rsid w:val="00E8036A"/>
    <w:rsid w:val="00E81627"/>
    <w:rsid w:val="00E81637"/>
    <w:rsid w:val="00E8228F"/>
    <w:rsid w:val="00E8297D"/>
    <w:rsid w:val="00E831FC"/>
    <w:rsid w:val="00E91F03"/>
    <w:rsid w:val="00E92086"/>
    <w:rsid w:val="00E94E64"/>
    <w:rsid w:val="00E952A0"/>
    <w:rsid w:val="00E9732D"/>
    <w:rsid w:val="00E976AF"/>
    <w:rsid w:val="00EA1465"/>
    <w:rsid w:val="00EA2E44"/>
    <w:rsid w:val="00EA2F9C"/>
    <w:rsid w:val="00EA3474"/>
    <w:rsid w:val="00EA4AD0"/>
    <w:rsid w:val="00EA65BC"/>
    <w:rsid w:val="00EA6E70"/>
    <w:rsid w:val="00EA748C"/>
    <w:rsid w:val="00EA7FE4"/>
    <w:rsid w:val="00EB01C9"/>
    <w:rsid w:val="00EB04B7"/>
    <w:rsid w:val="00EB5DC7"/>
    <w:rsid w:val="00EB6E27"/>
    <w:rsid w:val="00EB7D88"/>
    <w:rsid w:val="00EC13B0"/>
    <w:rsid w:val="00EC30A8"/>
    <w:rsid w:val="00EC3F55"/>
    <w:rsid w:val="00EC4808"/>
    <w:rsid w:val="00EC5F9B"/>
    <w:rsid w:val="00EC7685"/>
    <w:rsid w:val="00EC7D16"/>
    <w:rsid w:val="00ED0366"/>
    <w:rsid w:val="00ED3D08"/>
    <w:rsid w:val="00ED428D"/>
    <w:rsid w:val="00ED4B56"/>
    <w:rsid w:val="00ED4D4A"/>
    <w:rsid w:val="00ED6ACC"/>
    <w:rsid w:val="00ED6D70"/>
    <w:rsid w:val="00EE09A7"/>
    <w:rsid w:val="00EE108C"/>
    <w:rsid w:val="00EE1E66"/>
    <w:rsid w:val="00EE49CD"/>
    <w:rsid w:val="00EE5A99"/>
    <w:rsid w:val="00EE62B3"/>
    <w:rsid w:val="00EE7852"/>
    <w:rsid w:val="00EF0A02"/>
    <w:rsid w:val="00EF0E3D"/>
    <w:rsid w:val="00EF1289"/>
    <w:rsid w:val="00EF16B1"/>
    <w:rsid w:val="00EF1B55"/>
    <w:rsid w:val="00EF222D"/>
    <w:rsid w:val="00EF3DE7"/>
    <w:rsid w:val="00EF49E2"/>
    <w:rsid w:val="00EF6520"/>
    <w:rsid w:val="00EF72D0"/>
    <w:rsid w:val="00F002E6"/>
    <w:rsid w:val="00F004A3"/>
    <w:rsid w:val="00F0286D"/>
    <w:rsid w:val="00F03B32"/>
    <w:rsid w:val="00F04CA2"/>
    <w:rsid w:val="00F061BD"/>
    <w:rsid w:val="00F069EF"/>
    <w:rsid w:val="00F07420"/>
    <w:rsid w:val="00F11CF3"/>
    <w:rsid w:val="00F16EA2"/>
    <w:rsid w:val="00F17D66"/>
    <w:rsid w:val="00F2036E"/>
    <w:rsid w:val="00F20D28"/>
    <w:rsid w:val="00F2170E"/>
    <w:rsid w:val="00F21BD7"/>
    <w:rsid w:val="00F22D01"/>
    <w:rsid w:val="00F240CB"/>
    <w:rsid w:val="00F30876"/>
    <w:rsid w:val="00F31004"/>
    <w:rsid w:val="00F311C6"/>
    <w:rsid w:val="00F31CCD"/>
    <w:rsid w:val="00F3670B"/>
    <w:rsid w:val="00F367C2"/>
    <w:rsid w:val="00F3717E"/>
    <w:rsid w:val="00F3731B"/>
    <w:rsid w:val="00F37865"/>
    <w:rsid w:val="00F40183"/>
    <w:rsid w:val="00F41F48"/>
    <w:rsid w:val="00F42E9F"/>
    <w:rsid w:val="00F441A8"/>
    <w:rsid w:val="00F4543A"/>
    <w:rsid w:val="00F4615E"/>
    <w:rsid w:val="00F47466"/>
    <w:rsid w:val="00F5012F"/>
    <w:rsid w:val="00F5047E"/>
    <w:rsid w:val="00F509D2"/>
    <w:rsid w:val="00F52146"/>
    <w:rsid w:val="00F52169"/>
    <w:rsid w:val="00F5250C"/>
    <w:rsid w:val="00F53CAD"/>
    <w:rsid w:val="00F55948"/>
    <w:rsid w:val="00F61834"/>
    <w:rsid w:val="00F66819"/>
    <w:rsid w:val="00F6759B"/>
    <w:rsid w:val="00F70898"/>
    <w:rsid w:val="00F70BAD"/>
    <w:rsid w:val="00F71EA6"/>
    <w:rsid w:val="00F750FC"/>
    <w:rsid w:val="00F7520C"/>
    <w:rsid w:val="00F75756"/>
    <w:rsid w:val="00F75B16"/>
    <w:rsid w:val="00F75D09"/>
    <w:rsid w:val="00F76544"/>
    <w:rsid w:val="00F80C68"/>
    <w:rsid w:val="00F80F9F"/>
    <w:rsid w:val="00F8295B"/>
    <w:rsid w:val="00F83D1F"/>
    <w:rsid w:val="00F8509C"/>
    <w:rsid w:val="00F854B9"/>
    <w:rsid w:val="00F86209"/>
    <w:rsid w:val="00F86DA4"/>
    <w:rsid w:val="00F90199"/>
    <w:rsid w:val="00F915E2"/>
    <w:rsid w:val="00F92D1A"/>
    <w:rsid w:val="00F93455"/>
    <w:rsid w:val="00F934C9"/>
    <w:rsid w:val="00F935EA"/>
    <w:rsid w:val="00F93F21"/>
    <w:rsid w:val="00F94B81"/>
    <w:rsid w:val="00F955D1"/>
    <w:rsid w:val="00F9738A"/>
    <w:rsid w:val="00F97F5F"/>
    <w:rsid w:val="00FA04D7"/>
    <w:rsid w:val="00FA08DC"/>
    <w:rsid w:val="00FA0BB6"/>
    <w:rsid w:val="00FA0C65"/>
    <w:rsid w:val="00FA13E5"/>
    <w:rsid w:val="00FA192E"/>
    <w:rsid w:val="00FA2383"/>
    <w:rsid w:val="00FA2FA7"/>
    <w:rsid w:val="00FA313B"/>
    <w:rsid w:val="00FA4598"/>
    <w:rsid w:val="00FA661F"/>
    <w:rsid w:val="00FA76CB"/>
    <w:rsid w:val="00FA7C9B"/>
    <w:rsid w:val="00FB203E"/>
    <w:rsid w:val="00FB27FA"/>
    <w:rsid w:val="00FB2FCD"/>
    <w:rsid w:val="00FB71CA"/>
    <w:rsid w:val="00FC2632"/>
    <w:rsid w:val="00FC2733"/>
    <w:rsid w:val="00FC2D5B"/>
    <w:rsid w:val="00FC348B"/>
    <w:rsid w:val="00FC59ED"/>
    <w:rsid w:val="00FC68D8"/>
    <w:rsid w:val="00FD07CA"/>
    <w:rsid w:val="00FD38BC"/>
    <w:rsid w:val="00FD3EE9"/>
    <w:rsid w:val="00FD42EE"/>
    <w:rsid w:val="00FD69F1"/>
    <w:rsid w:val="00FD6BAD"/>
    <w:rsid w:val="00FD6BBF"/>
    <w:rsid w:val="00FD6EB5"/>
    <w:rsid w:val="00FE0246"/>
    <w:rsid w:val="00FE07B9"/>
    <w:rsid w:val="00FE0D5C"/>
    <w:rsid w:val="00FE1824"/>
    <w:rsid w:val="00FE1CED"/>
    <w:rsid w:val="00FE30D8"/>
    <w:rsid w:val="00FE5D9F"/>
    <w:rsid w:val="00FE6484"/>
    <w:rsid w:val="00FE69CC"/>
    <w:rsid w:val="00FE74E3"/>
    <w:rsid w:val="00FF023C"/>
    <w:rsid w:val="00FF1DC9"/>
    <w:rsid w:val="00FF4D0C"/>
    <w:rsid w:val="00FF4D16"/>
    <w:rsid w:val="00FF67A1"/>
    <w:rsid w:val="00FF747D"/>
    <w:rsid w:val="00FF7B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uiPriority="0" w:unhideWhenUsed="0"/>
    <w:lsdException w:name="header" w:unhideWhenUsed="0"/>
    <w:lsdException w:name="footer" w:unhideWhenUsed="0"/>
    <w:lsdException w:name="caption" w:uiPriority="35" w:qFormat="1"/>
    <w:lsdException w:name="footnote reference" w:uiPriority="0" w:unhideWhenUsed="0" w:qFormat="1"/>
    <w:lsdException w:name="annotation reference" w:unhideWhenUsed="0"/>
    <w:lsdException w:name="line number"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B50"/>
    <w:pPr>
      <w:jc w:val="both"/>
    </w:pPr>
    <w:rPr>
      <w:sz w:val="24"/>
      <w:szCs w:val="24"/>
    </w:rPr>
  </w:style>
  <w:style w:type="paragraph" w:styleId="Heading1">
    <w:name w:val="heading 1"/>
    <w:basedOn w:val="Normal"/>
    <w:next w:val="Normal"/>
    <w:link w:val="Heading1Char"/>
    <w:uiPriority w:val="99"/>
    <w:qFormat/>
    <w:rsid w:val="00F97F5F"/>
    <w:pPr>
      <w:spacing w:line="480" w:lineRule="auto"/>
      <w:jc w:val="center"/>
      <w:outlineLvl w:val="0"/>
    </w:pPr>
    <w:rPr>
      <w:rFonts w:ascii="Times New Roman Bold" w:hAnsi="Times New Roman Bold"/>
      <w:b/>
      <w:bCs/>
    </w:rPr>
  </w:style>
  <w:style w:type="paragraph" w:styleId="Heading2">
    <w:name w:val="heading 2"/>
    <w:basedOn w:val="Normal"/>
    <w:next w:val="Normal"/>
    <w:link w:val="Heading2Char"/>
    <w:uiPriority w:val="99"/>
    <w:qFormat/>
    <w:rsid w:val="00B02B50"/>
    <w:pPr>
      <w:keepNext/>
      <w:spacing w:line="480" w:lineRule="auto"/>
      <w:outlineLvl w:val="1"/>
    </w:pPr>
    <w:rPr>
      <w:b/>
      <w:bCs/>
    </w:rPr>
  </w:style>
  <w:style w:type="paragraph" w:styleId="Heading3">
    <w:name w:val="heading 3"/>
    <w:basedOn w:val="Heading2"/>
    <w:next w:val="Normal"/>
    <w:link w:val="Heading3Char"/>
    <w:uiPriority w:val="99"/>
    <w:qFormat/>
    <w:rsid w:val="00683134"/>
    <w:pPr>
      <w:outlineLvl w:val="2"/>
    </w:pPr>
    <w:rPr>
      <w:b w:val="0"/>
      <w:bCs w:val="0"/>
      <w:u w:val="single"/>
    </w:rPr>
  </w:style>
  <w:style w:type="paragraph" w:styleId="Heading6">
    <w:name w:val="heading 6"/>
    <w:basedOn w:val="Normal"/>
    <w:next w:val="Normal"/>
    <w:link w:val="Heading6Char"/>
    <w:uiPriority w:val="99"/>
    <w:qFormat/>
    <w:rsid w:val="0068313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97F5F"/>
    <w:rPr>
      <w:rFonts w:ascii="Times New Roman Bold" w:hAnsi="Times New Roman Bold"/>
      <w:b/>
      <w:bCs/>
      <w:sz w:val="24"/>
      <w:szCs w:val="24"/>
    </w:rPr>
  </w:style>
  <w:style w:type="character" w:customStyle="1" w:styleId="Heading2Char">
    <w:name w:val="Heading 2 Char"/>
    <w:basedOn w:val="DefaultParagraphFont"/>
    <w:link w:val="Heading2"/>
    <w:uiPriority w:val="99"/>
    <w:rsid w:val="00B02B50"/>
    <w:rPr>
      <w:b/>
      <w:bCs/>
      <w:sz w:val="24"/>
      <w:szCs w:val="24"/>
    </w:rPr>
  </w:style>
  <w:style w:type="character" w:customStyle="1" w:styleId="Heading3Char">
    <w:name w:val="Heading 3 Char"/>
    <w:basedOn w:val="DefaultParagraphFont"/>
    <w:link w:val="Heading3"/>
    <w:uiPriority w:val="9"/>
    <w:semiHidden/>
    <w:rsid w:val="004366D3"/>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sid w:val="004366D3"/>
    <w:rPr>
      <w:rFonts w:asciiTheme="minorHAnsi" w:eastAsiaTheme="minorEastAsia" w:hAnsiTheme="minorHAnsi" w:cstheme="minorBidi"/>
      <w:b/>
      <w:bCs/>
    </w:rPr>
  </w:style>
  <w:style w:type="character" w:styleId="LineNumber">
    <w:name w:val="line number"/>
    <w:basedOn w:val="DefaultParagraphFont"/>
    <w:uiPriority w:val="99"/>
    <w:rsid w:val="00706D42"/>
  </w:style>
  <w:style w:type="paragraph" w:customStyle="1" w:styleId="Question">
    <w:name w:val="Question"/>
    <w:basedOn w:val="Normal"/>
    <w:link w:val="QuestionChar"/>
    <w:rsid w:val="00683134"/>
    <w:pPr>
      <w:spacing w:line="480" w:lineRule="auto"/>
      <w:ind w:left="720" w:hanging="720"/>
    </w:pPr>
    <w:rPr>
      <w:b/>
      <w:bCs/>
    </w:rPr>
  </w:style>
  <w:style w:type="character" w:customStyle="1" w:styleId="QuestionChar">
    <w:name w:val="Question Char"/>
    <w:basedOn w:val="DefaultParagraphFont"/>
    <w:link w:val="Question"/>
    <w:rsid w:val="00D91DDF"/>
    <w:rPr>
      <w:b/>
      <w:bCs/>
      <w:sz w:val="24"/>
      <w:szCs w:val="24"/>
      <w:lang w:val="en-US" w:eastAsia="en-US"/>
    </w:rPr>
  </w:style>
  <w:style w:type="paragraph" w:customStyle="1" w:styleId="Answer">
    <w:name w:val="Answer"/>
    <w:basedOn w:val="Normal"/>
    <w:link w:val="AnswerChar1"/>
    <w:qFormat/>
    <w:rsid w:val="00683134"/>
    <w:pPr>
      <w:spacing w:line="480" w:lineRule="auto"/>
      <w:ind w:left="720" w:hanging="720"/>
    </w:pPr>
  </w:style>
  <w:style w:type="character" w:customStyle="1" w:styleId="AnswerChar1">
    <w:name w:val="Answer Char1"/>
    <w:basedOn w:val="DefaultParagraphFont"/>
    <w:link w:val="Answer"/>
    <w:rsid w:val="00841928"/>
    <w:rPr>
      <w:sz w:val="24"/>
      <w:szCs w:val="24"/>
      <w:lang w:val="en-US" w:eastAsia="en-US"/>
    </w:rPr>
  </w:style>
  <w:style w:type="character" w:styleId="PageNumber">
    <w:name w:val="page number"/>
    <w:basedOn w:val="DefaultParagraphFont"/>
    <w:uiPriority w:val="99"/>
    <w:rsid w:val="00802508"/>
  </w:style>
  <w:style w:type="paragraph" w:customStyle="1" w:styleId="Bullet">
    <w:name w:val="Bullet"/>
    <w:basedOn w:val="Answer"/>
    <w:rsid w:val="00770000"/>
    <w:pPr>
      <w:tabs>
        <w:tab w:val="num" w:pos="2160"/>
      </w:tabs>
      <w:ind w:left="2160" w:hanging="360"/>
    </w:pPr>
  </w:style>
  <w:style w:type="character" w:styleId="CommentReference">
    <w:name w:val="annotation reference"/>
    <w:basedOn w:val="DefaultParagraphFont"/>
    <w:uiPriority w:val="99"/>
    <w:semiHidden/>
    <w:rsid w:val="00683134"/>
    <w:rPr>
      <w:sz w:val="16"/>
      <w:szCs w:val="16"/>
    </w:rPr>
  </w:style>
  <w:style w:type="paragraph" w:styleId="CommentText">
    <w:name w:val="annotation text"/>
    <w:basedOn w:val="Normal"/>
    <w:link w:val="CommentTextChar"/>
    <w:semiHidden/>
    <w:rsid w:val="00683134"/>
    <w:rPr>
      <w:sz w:val="20"/>
      <w:szCs w:val="20"/>
    </w:rPr>
  </w:style>
  <w:style w:type="character" w:customStyle="1" w:styleId="CommentTextChar">
    <w:name w:val="Comment Text Char"/>
    <w:basedOn w:val="DefaultParagraphFont"/>
    <w:link w:val="CommentText"/>
    <w:uiPriority w:val="99"/>
    <w:semiHidden/>
    <w:rsid w:val="004366D3"/>
    <w:rPr>
      <w:sz w:val="20"/>
      <w:szCs w:val="20"/>
    </w:rPr>
  </w:style>
  <w:style w:type="paragraph" w:styleId="CommentSubject">
    <w:name w:val="annotation subject"/>
    <w:basedOn w:val="CommentText"/>
    <w:next w:val="CommentText"/>
    <w:link w:val="CommentSubjectChar"/>
    <w:uiPriority w:val="99"/>
    <w:semiHidden/>
    <w:rsid w:val="00683134"/>
    <w:rPr>
      <w:b/>
      <w:bCs/>
    </w:rPr>
  </w:style>
  <w:style w:type="character" w:customStyle="1" w:styleId="CommentSubjectChar">
    <w:name w:val="Comment Subject Char"/>
    <w:basedOn w:val="CommentTextChar"/>
    <w:link w:val="CommentSubject"/>
    <w:uiPriority w:val="99"/>
    <w:semiHidden/>
    <w:rsid w:val="004366D3"/>
    <w:rPr>
      <w:b/>
      <w:bCs/>
      <w:sz w:val="20"/>
      <w:szCs w:val="20"/>
    </w:rPr>
  </w:style>
  <w:style w:type="paragraph" w:styleId="Header">
    <w:name w:val="header"/>
    <w:basedOn w:val="Normal"/>
    <w:link w:val="HeaderChar"/>
    <w:uiPriority w:val="99"/>
    <w:rsid w:val="00683134"/>
    <w:pPr>
      <w:tabs>
        <w:tab w:val="center" w:pos="4320"/>
        <w:tab w:val="right" w:pos="8640"/>
      </w:tabs>
    </w:pPr>
  </w:style>
  <w:style w:type="character" w:customStyle="1" w:styleId="HeaderChar">
    <w:name w:val="Header Char"/>
    <w:basedOn w:val="DefaultParagraphFont"/>
    <w:link w:val="Header"/>
    <w:uiPriority w:val="99"/>
    <w:semiHidden/>
    <w:rsid w:val="004366D3"/>
    <w:rPr>
      <w:sz w:val="24"/>
      <w:szCs w:val="24"/>
    </w:rPr>
  </w:style>
  <w:style w:type="paragraph" w:styleId="Footer">
    <w:name w:val="footer"/>
    <w:basedOn w:val="Normal"/>
    <w:link w:val="FooterChar"/>
    <w:uiPriority w:val="99"/>
    <w:rsid w:val="00683134"/>
    <w:pPr>
      <w:tabs>
        <w:tab w:val="center" w:pos="4320"/>
        <w:tab w:val="right" w:pos="8640"/>
      </w:tabs>
    </w:pPr>
  </w:style>
  <w:style w:type="character" w:customStyle="1" w:styleId="FooterChar">
    <w:name w:val="Footer Char"/>
    <w:basedOn w:val="DefaultParagraphFont"/>
    <w:link w:val="Footer"/>
    <w:uiPriority w:val="99"/>
    <w:semiHidden/>
    <w:rsid w:val="004366D3"/>
    <w:rPr>
      <w:sz w:val="24"/>
      <w:szCs w:val="24"/>
    </w:rPr>
  </w:style>
  <w:style w:type="paragraph" w:styleId="BalloonText">
    <w:name w:val="Balloon Text"/>
    <w:basedOn w:val="Normal"/>
    <w:link w:val="BalloonTextChar"/>
    <w:uiPriority w:val="99"/>
    <w:semiHidden/>
    <w:rsid w:val="00217819"/>
    <w:rPr>
      <w:rFonts w:ascii="Tahoma" w:hAnsi="Tahoma" w:cs="Tahoma"/>
      <w:sz w:val="16"/>
      <w:szCs w:val="16"/>
    </w:rPr>
  </w:style>
  <w:style w:type="character" w:customStyle="1" w:styleId="BalloonTextChar">
    <w:name w:val="Balloon Text Char"/>
    <w:basedOn w:val="DefaultParagraphFont"/>
    <w:link w:val="BalloonText"/>
    <w:uiPriority w:val="99"/>
    <w:semiHidden/>
    <w:rsid w:val="004366D3"/>
    <w:rPr>
      <w:sz w:val="0"/>
      <w:szCs w:val="0"/>
    </w:rPr>
  </w:style>
  <w:style w:type="paragraph" w:styleId="Quote">
    <w:name w:val="Quote"/>
    <w:basedOn w:val="Normal"/>
    <w:link w:val="QuoteChar"/>
    <w:uiPriority w:val="29"/>
    <w:qFormat/>
    <w:rsid w:val="00EF0A02"/>
    <w:pPr>
      <w:spacing w:after="240"/>
      <w:ind w:left="1440"/>
    </w:pPr>
  </w:style>
  <w:style w:type="character" w:customStyle="1" w:styleId="QuoteChar">
    <w:name w:val="Quote Char"/>
    <w:basedOn w:val="DefaultParagraphFont"/>
    <w:link w:val="Quote"/>
    <w:uiPriority w:val="29"/>
    <w:rsid w:val="004366D3"/>
    <w:rPr>
      <w:i/>
      <w:iCs/>
      <w:color w:val="000000" w:themeColor="text1"/>
      <w:sz w:val="24"/>
      <w:szCs w:val="24"/>
    </w:rPr>
  </w:style>
  <w:style w:type="paragraph" w:customStyle="1" w:styleId="answer0">
    <w:name w:val="answer"/>
    <w:basedOn w:val="Normal"/>
    <w:link w:val="answerChar"/>
    <w:uiPriority w:val="99"/>
    <w:rsid w:val="003B49E3"/>
    <w:pPr>
      <w:spacing w:before="100" w:beforeAutospacing="1" w:after="100" w:afterAutospacing="1"/>
      <w:jc w:val="left"/>
    </w:pPr>
  </w:style>
  <w:style w:type="character" w:customStyle="1" w:styleId="answerChar">
    <w:name w:val="answer Char"/>
    <w:basedOn w:val="DefaultParagraphFont"/>
    <w:link w:val="answer0"/>
    <w:uiPriority w:val="99"/>
    <w:rsid w:val="003C203D"/>
    <w:rPr>
      <w:sz w:val="24"/>
      <w:szCs w:val="24"/>
      <w:lang w:val="en-US" w:eastAsia="en-US"/>
    </w:rPr>
  </w:style>
  <w:style w:type="paragraph" w:customStyle="1" w:styleId="CharChar">
    <w:name w:val="Char Char"/>
    <w:basedOn w:val="Normal"/>
    <w:uiPriority w:val="99"/>
    <w:rsid w:val="00001380"/>
    <w:pPr>
      <w:spacing w:after="160" w:line="240" w:lineRule="exact"/>
      <w:jc w:val="left"/>
    </w:pPr>
    <w:rPr>
      <w:rFonts w:ascii="Verdana" w:hAnsi="Verdana" w:cs="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rsid w:val="004A698D"/>
    <w:rPr>
      <w:sz w:val="20"/>
      <w:szCs w:val="2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link w:val="FootnoteText"/>
    <w:rsid w:val="004366D3"/>
    <w:rPr>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
    <w:basedOn w:val="DefaultParagraphFont"/>
    <w:qFormat/>
    <w:rsid w:val="004A698D"/>
    <w:rPr>
      <w:vertAlign w:val="superscript"/>
    </w:rPr>
  </w:style>
  <w:style w:type="character" w:customStyle="1" w:styleId="AnswerChar0">
    <w:name w:val="Answer Char"/>
    <w:basedOn w:val="DefaultParagraphFont"/>
    <w:rsid w:val="00712D5E"/>
    <w:rPr>
      <w:sz w:val="24"/>
      <w:szCs w:val="24"/>
      <w:lang w:val="en-US" w:eastAsia="en-US"/>
    </w:rPr>
  </w:style>
  <w:style w:type="paragraph" w:customStyle="1" w:styleId="Commitmenttable">
    <w:name w:val="Commitment table"/>
    <w:basedOn w:val="Normal"/>
    <w:uiPriority w:val="99"/>
    <w:rsid w:val="00D14E95"/>
    <w:pPr>
      <w:spacing w:before="60" w:after="60"/>
    </w:pPr>
    <w:rPr>
      <w:sz w:val="20"/>
      <w:szCs w:val="20"/>
    </w:rPr>
  </w:style>
  <w:style w:type="paragraph" w:customStyle="1" w:styleId="CommitmenttableIndent">
    <w:name w:val="Commitment table Indent"/>
    <w:basedOn w:val="Normal"/>
    <w:uiPriority w:val="99"/>
    <w:rsid w:val="00D14E95"/>
    <w:pPr>
      <w:spacing w:before="60" w:after="60"/>
      <w:ind w:left="720"/>
    </w:pPr>
    <w:rPr>
      <w:sz w:val="20"/>
      <w:szCs w:val="20"/>
    </w:rPr>
  </w:style>
  <w:style w:type="table" w:styleId="TableGrid">
    <w:name w:val="Table Grid"/>
    <w:basedOn w:val="TableNormal"/>
    <w:uiPriority w:val="99"/>
    <w:rsid w:val="00B044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uiPriority w:val="99"/>
    <w:rsid w:val="0070176F"/>
    <w:pPr>
      <w:spacing w:after="160" w:line="240" w:lineRule="exact"/>
      <w:jc w:val="left"/>
    </w:pPr>
    <w:rPr>
      <w:rFonts w:ascii="Verdana" w:hAnsi="Verdana" w:cs="Verdana"/>
      <w:sz w:val="20"/>
      <w:szCs w:val="20"/>
    </w:rPr>
  </w:style>
  <w:style w:type="paragraph" w:styleId="BodyText">
    <w:name w:val="Body Text"/>
    <w:basedOn w:val="Normal"/>
    <w:link w:val="BodyTextChar"/>
    <w:uiPriority w:val="99"/>
    <w:rsid w:val="00AF506C"/>
    <w:pPr>
      <w:spacing w:line="480" w:lineRule="auto"/>
      <w:ind w:firstLine="720"/>
      <w:jc w:val="left"/>
    </w:pPr>
  </w:style>
  <w:style w:type="character" w:customStyle="1" w:styleId="BodyTextChar">
    <w:name w:val="Body Text Char"/>
    <w:basedOn w:val="DefaultParagraphFont"/>
    <w:link w:val="BodyText"/>
    <w:uiPriority w:val="99"/>
    <w:semiHidden/>
    <w:rsid w:val="004366D3"/>
    <w:rPr>
      <w:sz w:val="24"/>
      <w:szCs w:val="24"/>
    </w:rPr>
  </w:style>
  <w:style w:type="paragraph" w:customStyle="1" w:styleId="CharChar2">
    <w:name w:val="Char Char2"/>
    <w:basedOn w:val="Normal"/>
    <w:uiPriority w:val="99"/>
    <w:rsid w:val="005246B9"/>
    <w:pPr>
      <w:spacing w:after="160" w:line="240" w:lineRule="exact"/>
      <w:jc w:val="left"/>
    </w:pPr>
    <w:rPr>
      <w:rFonts w:ascii="Verdana" w:hAnsi="Verdana" w:cs="Verdana"/>
      <w:sz w:val="20"/>
      <w:szCs w:val="20"/>
    </w:rPr>
  </w:style>
  <w:style w:type="paragraph" w:styleId="NormalWeb">
    <w:name w:val="Normal (Web)"/>
    <w:basedOn w:val="Normal"/>
    <w:uiPriority w:val="99"/>
    <w:semiHidden/>
    <w:rsid w:val="003779C9"/>
    <w:pPr>
      <w:spacing w:before="100" w:beforeAutospacing="1" w:after="100" w:afterAutospacing="1"/>
      <w:jc w:val="left"/>
    </w:pPr>
  </w:style>
  <w:style w:type="paragraph" w:customStyle="1" w:styleId="msolistparagraph0">
    <w:name w:val="msolistparagraph"/>
    <w:basedOn w:val="Normal"/>
    <w:uiPriority w:val="99"/>
    <w:rsid w:val="00877092"/>
    <w:pPr>
      <w:ind w:left="720"/>
      <w:jc w:val="left"/>
    </w:pPr>
    <w:rPr>
      <w:rFonts w:ascii="Calibri" w:hAnsi="Calibri" w:cs="Calibri"/>
      <w:sz w:val="22"/>
      <w:szCs w:val="22"/>
    </w:rPr>
  </w:style>
  <w:style w:type="paragraph" w:customStyle="1" w:styleId="StyleBodyTextIndentLeft0LinespacingDouble">
    <w:name w:val="Style Body Text Indent + Left:  0&quot; Line spacing:  Double"/>
    <w:basedOn w:val="BodyText2"/>
    <w:uiPriority w:val="99"/>
    <w:rsid w:val="00255D8C"/>
    <w:pPr>
      <w:spacing w:line="480" w:lineRule="auto"/>
      <w:ind w:left="0" w:firstLine="720"/>
      <w:jc w:val="left"/>
    </w:pPr>
  </w:style>
  <w:style w:type="paragraph" w:styleId="BodyText2">
    <w:name w:val="Body Text 2"/>
    <w:basedOn w:val="Normal"/>
    <w:link w:val="BodyText2Char"/>
    <w:uiPriority w:val="99"/>
    <w:rsid w:val="00255D8C"/>
    <w:pPr>
      <w:spacing w:after="120"/>
      <w:ind w:left="360"/>
    </w:pPr>
  </w:style>
  <w:style w:type="character" w:customStyle="1" w:styleId="BodyText2Char">
    <w:name w:val="Body Text 2 Char"/>
    <w:basedOn w:val="DefaultParagraphFont"/>
    <w:link w:val="BodyText2"/>
    <w:uiPriority w:val="99"/>
    <w:semiHidden/>
    <w:rsid w:val="004366D3"/>
    <w:rPr>
      <w:sz w:val="24"/>
      <w:szCs w:val="24"/>
    </w:rPr>
  </w:style>
  <w:style w:type="character" w:customStyle="1" w:styleId="QuestionChar1">
    <w:name w:val="Question Char1"/>
    <w:basedOn w:val="DefaultParagraphFont"/>
    <w:rsid w:val="00F83D1F"/>
    <w:rPr>
      <w:b/>
      <w:bCs/>
      <w:sz w:val="24"/>
      <w:szCs w:val="24"/>
      <w:lang w:val="en-US" w:eastAsia="en-US" w:bidi="ar-SA"/>
    </w:rPr>
  </w:style>
  <w:style w:type="paragraph" w:styleId="Revision">
    <w:name w:val="Revision"/>
    <w:hidden/>
    <w:uiPriority w:val="99"/>
    <w:semiHidden/>
    <w:rsid w:val="00D557FC"/>
    <w:rPr>
      <w:sz w:val="24"/>
      <w:szCs w:val="24"/>
    </w:rPr>
  </w:style>
  <w:style w:type="paragraph" w:styleId="ListParagraph">
    <w:name w:val="List Paragraph"/>
    <w:basedOn w:val="Normal"/>
    <w:link w:val="ListParagraphChar"/>
    <w:uiPriority w:val="34"/>
    <w:qFormat/>
    <w:rsid w:val="00077537"/>
    <w:pPr>
      <w:ind w:left="720"/>
      <w:contextualSpacing/>
    </w:pPr>
  </w:style>
  <w:style w:type="paragraph" w:styleId="TOCHeading">
    <w:name w:val="TOC Heading"/>
    <w:basedOn w:val="Heading1"/>
    <w:next w:val="Normal"/>
    <w:uiPriority w:val="39"/>
    <w:unhideWhenUsed/>
    <w:qFormat/>
    <w:rsid w:val="00E05661"/>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E05661"/>
    <w:pPr>
      <w:spacing w:after="100"/>
    </w:pPr>
  </w:style>
  <w:style w:type="paragraph" w:styleId="TOC2">
    <w:name w:val="toc 2"/>
    <w:basedOn w:val="Normal"/>
    <w:next w:val="Normal"/>
    <w:autoRedefine/>
    <w:uiPriority w:val="39"/>
    <w:unhideWhenUsed/>
    <w:rsid w:val="006A1776"/>
    <w:pPr>
      <w:suppressLineNumbers/>
      <w:tabs>
        <w:tab w:val="right" w:leader="dot" w:pos="8630"/>
      </w:tabs>
      <w:spacing w:after="100"/>
      <w:ind w:left="245"/>
    </w:pPr>
    <w:rPr>
      <w:noProof/>
    </w:rPr>
  </w:style>
  <w:style w:type="character" w:styleId="Hyperlink">
    <w:name w:val="Hyperlink"/>
    <w:basedOn w:val="DefaultParagraphFont"/>
    <w:uiPriority w:val="99"/>
    <w:unhideWhenUsed/>
    <w:rsid w:val="00E05661"/>
    <w:rPr>
      <w:color w:val="0000FF" w:themeColor="hyperlink"/>
      <w:u w:val="single"/>
    </w:rPr>
  </w:style>
  <w:style w:type="paragraph" w:customStyle="1" w:styleId="AutoNumBodyCharCharCharChar">
    <w:name w:val="AutoNum Body Char Char Char Char"/>
    <w:basedOn w:val="Normal"/>
    <w:link w:val="AutoNumBodyCharCharCharCharChar"/>
    <w:autoRedefine/>
    <w:qFormat/>
    <w:rsid w:val="005A4CAF"/>
    <w:pPr>
      <w:keepLines/>
      <w:widowControl w:val="0"/>
      <w:numPr>
        <w:numId w:val="20"/>
      </w:numPr>
      <w:spacing w:line="480" w:lineRule="auto"/>
      <w:ind w:left="1800"/>
      <w:jc w:val="left"/>
    </w:pPr>
    <w:rPr>
      <w:color w:val="000000"/>
    </w:rPr>
  </w:style>
  <w:style w:type="character" w:customStyle="1" w:styleId="AutoNumBodyCharCharCharCharChar">
    <w:name w:val="AutoNum Body Char Char Char Char Char"/>
    <w:basedOn w:val="DefaultParagraphFont"/>
    <w:link w:val="AutoNumBodyCharCharCharChar"/>
    <w:rsid w:val="005A4CAF"/>
    <w:rPr>
      <w:color w:val="000000"/>
      <w:sz w:val="24"/>
      <w:szCs w:val="24"/>
    </w:rPr>
  </w:style>
  <w:style w:type="paragraph" w:styleId="BodyTextIndent">
    <w:name w:val="Body Text Indent"/>
    <w:basedOn w:val="Normal"/>
    <w:link w:val="BodyTextIndentChar"/>
    <w:uiPriority w:val="99"/>
    <w:semiHidden/>
    <w:unhideWhenUsed/>
    <w:rsid w:val="00B409F0"/>
    <w:pPr>
      <w:spacing w:after="120"/>
      <w:ind w:left="360"/>
    </w:pPr>
  </w:style>
  <w:style w:type="character" w:customStyle="1" w:styleId="BodyTextIndentChar">
    <w:name w:val="Body Text Indent Char"/>
    <w:basedOn w:val="DefaultParagraphFont"/>
    <w:link w:val="BodyTextIndent"/>
    <w:uiPriority w:val="99"/>
    <w:semiHidden/>
    <w:rsid w:val="00B409F0"/>
    <w:rPr>
      <w:sz w:val="24"/>
      <w:szCs w:val="24"/>
    </w:rPr>
  </w:style>
  <w:style w:type="character" w:customStyle="1" w:styleId="ListParagraphChar">
    <w:name w:val="List Paragraph Char"/>
    <w:basedOn w:val="DefaultParagraphFont"/>
    <w:link w:val="ListParagraph"/>
    <w:uiPriority w:val="34"/>
    <w:rsid w:val="00533174"/>
    <w:rPr>
      <w:sz w:val="24"/>
      <w:szCs w:val="24"/>
    </w:rPr>
  </w:style>
  <w:style w:type="paragraph" w:customStyle="1" w:styleId="WAP1">
    <w:name w:val="WA P1"/>
    <w:basedOn w:val="ListParagraph"/>
    <w:link w:val="WAP1Char"/>
    <w:autoRedefine/>
    <w:qFormat/>
    <w:rsid w:val="00533174"/>
    <w:pPr>
      <w:numPr>
        <w:numId w:val="22"/>
      </w:numPr>
      <w:tabs>
        <w:tab w:val="clear" w:pos="360"/>
        <w:tab w:val="num" w:pos="720"/>
      </w:tabs>
      <w:spacing w:line="480" w:lineRule="exact"/>
      <w:ind w:left="0"/>
      <w:contextualSpacing w:val="0"/>
      <w:jc w:val="left"/>
    </w:pPr>
    <w:rPr>
      <w:rFonts w:eastAsia="Times"/>
    </w:rPr>
  </w:style>
  <w:style w:type="character" w:customStyle="1" w:styleId="WAP1Char">
    <w:name w:val="WA P1 Char"/>
    <w:basedOn w:val="ListParagraphChar"/>
    <w:link w:val="WAP1"/>
    <w:rsid w:val="00533174"/>
    <w:rPr>
      <w:rFonts w:eastAsia="Times"/>
      <w:sz w:val="24"/>
      <w:szCs w:val="24"/>
    </w:rPr>
  </w:style>
  <w:style w:type="character" w:styleId="FollowedHyperlink">
    <w:name w:val="FollowedHyperlink"/>
    <w:basedOn w:val="DefaultParagraphFont"/>
    <w:uiPriority w:val="99"/>
    <w:semiHidden/>
    <w:unhideWhenUsed/>
    <w:rsid w:val="00B871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uiPriority="0" w:unhideWhenUsed="0"/>
    <w:lsdException w:name="header" w:unhideWhenUsed="0"/>
    <w:lsdException w:name="footer" w:unhideWhenUsed="0"/>
    <w:lsdException w:name="caption" w:uiPriority="35" w:qFormat="1"/>
    <w:lsdException w:name="footnote reference" w:uiPriority="0" w:unhideWhenUsed="0" w:qFormat="1"/>
    <w:lsdException w:name="annotation reference" w:unhideWhenUsed="0"/>
    <w:lsdException w:name="line number"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B50"/>
    <w:pPr>
      <w:jc w:val="both"/>
    </w:pPr>
    <w:rPr>
      <w:sz w:val="24"/>
      <w:szCs w:val="24"/>
    </w:rPr>
  </w:style>
  <w:style w:type="paragraph" w:styleId="Heading1">
    <w:name w:val="heading 1"/>
    <w:basedOn w:val="Normal"/>
    <w:next w:val="Normal"/>
    <w:link w:val="Heading1Char"/>
    <w:uiPriority w:val="99"/>
    <w:qFormat/>
    <w:rsid w:val="00F97F5F"/>
    <w:pPr>
      <w:spacing w:line="480" w:lineRule="auto"/>
      <w:jc w:val="center"/>
      <w:outlineLvl w:val="0"/>
    </w:pPr>
    <w:rPr>
      <w:rFonts w:ascii="Times New Roman Bold" w:hAnsi="Times New Roman Bold"/>
      <w:b/>
      <w:bCs/>
    </w:rPr>
  </w:style>
  <w:style w:type="paragraph" w:styleId="Heading2">
    <w:name w:val="heading 2"/>
    <w:basedOn w:val="Normal"/>
    <w:next w:val="Normal"/>
    <w:link w:val="Heading2Char"/>
    <w:uiPriority w:val="99"/>
    <w:qFormat/>
    <w:rsid w:val="00B02B50"/>
    <w:pPr>
      <w:keepNext/>
      <w:spacing w:line="480" w:lineRule="auto"/>
      <w:outlineLvl w:val="1"/>
    </w:pPr>
    <w:rPr>
      <w:b/>
      <w:bCs/>
    </w:rPr>
  </w:style>
  <w:style w:type="paragraph" w:styleId="Heading3">
    <w:name w:val="heading 3"/>
    <w:basedOn w:val="Heading2"/>
    <w:next w:val="Normal"/>
    <w:link w:val="Heading3Char"/>
    <w:uiPriority w:val="99"/>
    <w:qFormat/>
    <w:rsid w:val="00683134"/>
    <w:pPr>
      <w:outlineLvl w:val="2"/>
    </w:pPr>
    <w:rPr>
      <w:b w:val="0"/>
      <w:bCs w:val="0"/>
      <w:u w:val="single"/>
    </w:rPr>
  </w:style>
  <w:style w:type="paragraph" w:styleId="Heading6">
    <w:name w:val="heading 6"/>
    <w:basedOn w:val="Normal"/>
    <w:next w:val="Normal"/>
    <w:link w:val="Heading6Char"/>
    <w:uiPriority w:val="99"/>
    <w:qFormat/>
    <w:rsid w:val="0068313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97F5F"/>
    <w:rPr>
      <w:rFonts w:ascii="Times New Roman Bold" w:hAnsi="Times New Roman Bold"/>
      <w:b/>
      <w:bCs/>
      <w:sz w:val="24"/>
      <w:szCs w:val="24"/>
    </w:rPr>
  </w:style>
  <w:style w:type="character" w:customStyle="1" w:styleId="Heading2Char">
    <w:name w:val="Heading 2 Char"/>
    <w:basedOn w:val="DefaultParagraphFont"/>
    <w:link w:val="Heading2"/>
    <w:uiPriority w:val="99"/>
    <w:rsid w:val="00B02B50"/>
    <w:rPr>
      <w:b/>
      <w:bCs/>
      <w:sz w:val="24"/>
      <w:szCs w:val="24"/>
    </w:rPr>
  </w:style>
  <w:style w:type="character" w:customStyle="1" w:styleId="Heading3Char">
    <w:name w:val="Heading 3 Char"/>
    <w:basedOn w:val="DefaultParagraphFont"/>
    <w:link w:val="Heading3"/>
    <w:uiPriority w:val="9"/>
    <w:semiHidden/>
    <w:rsid w:val="004366D3"/>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sid w:val="004366D3"/>
    <w:rPr>
      <w:rFonts w:asciiTheme="minorHAnsi" w:eastAsiaTheme="minorEastAsia" w:hAnsiTheme="minorHAnsi" w:cstheme="minorBidi"/>
      <w:b/>
      <w:bCs/>
    </w:rPr>
  </w:style>
  <w:style w:type="character" w:styleId="LineNumber">
    <w:name w:val="line number"/>
    <w:basedOn w:val="DefaultParagraphFont"/>
    <w:uiPriority w:val="99"/>
    <w:rsid w:val="00706D42"/>
  </w:style>
  <w:style w:type="paragraph" w:customStyle="1" w:styleId="Question">
    <w:name w:val="Question"/>
    <w:basedOn w:val="Normal"/>
    <w:link w:val="QuestionChar"/>
    <w:rsid w:val="00683134"/>
    <w:pPr>
      <w:spacing w:line="480" w:lineRule="auto"/>
      <w:ind w:left="720" w:hanging="720"/>
    </w:pPr>
    <w:rPr>
      <w:b/>
      <w:bCs/>
    </w:rPr>
  </w:style>
  <w:style w:type="character" w:customStyle="1" w:styleId="QuestionChar">
    <w:name w:val="Question Char"/>
    <w:basedOn w:val="DefaultParagraphFont"/>
    <w:link w:val="Question"/>
    <w:rsid w:val="00D91DDF"/>
    <w:rPr>
      <w:b/>
      <w:bCs/>
      <w:sz w:val="24"/>
      <w:szCs w:val="24"/>
      <w:lang w:val="en-US" w:eastAsia="en-US"/>
    </w:rPr>
  </w:style>
  <w:style w:type="paragraph" w:customStyle="1" w:styleId="Answer">
    <w:name w:val="Answer"/>
    <w:basedOn w:val="Normal"/>
    <w:link w:val="AnswerChar1"/>
    <w:qFormat/>
    <w:rsid w:val="00683134"/>
    <w:pPr>
      <w:spacing w:line="480" w:lineRule="auto"/>
      <w:ind w:left="720" w:hanging="720"/>
    </w:pPr>
  </w:style>
  <w:style w:type="character" w:customStyle="1" w:styleId="AnswerChar1">
    <w:name w:val="Answer Char1"/>
    <w:basedOn w:val="DefaultParagraphFont"/>
    <w:link w:val="Answer"/>
    <w:rsid w:val="00841928"/>
    <w:rPr>
      <w:sz w:val="24"/>
      <w:szCs w:val="24"/>
      <w:lang w:val="en-US" w:eastAsia="en-US"/>
    </w:rPr>
  </w:style>
  <w:style w:type="character" w:styleId="PageNumber">
    <w:name w:val="page number"/>
    <w:basedOn w:val="DefaultParagraphFont"/>
    <w:uiPriority w:val="99"/>
    <w:rsid w:val="00802508"/>
  </w:style>
  <w:style w:type="paragraph" w:customStyle="1" w:styleId="Bullet">
    <w:name w:val="Bullet"/>
    <w:basedOn w:val="Answer"/>
    <w:rsid w:val="00770000"/>
    <w:pPr>
      <w:tabs>
        <w:tab w:val="num" w:pos="2160"/>
      </w:tabs>
      <w:ind w:left="2160" w:hanging="360"/>
    </w:pPr>
  </w:style>
  <w:style w:type="character" w:styleId="CommentReference">
    <w:name w:val="annotation reference"/>
    <w:basedOn w:val="DefaultParagraphFont"/>
    <w:uiPriority w:val="99"/>
    <w:semiHidden/>
    <w:rsid w:val="00683134"/>
    <w:rPr>
      <w:sz w:val="16"/>
      <w:szCs w:val="16"/>
    </w:rPr>
  </w:style>
  <w:style w:type="paragraph" w:styleId="CommentText">
    <w:name w:val="annotation text"/>
    <w:basedOn w:val="Normal"/>
    <w:link w:val="CommentTextChar"/>
    <w:semiHidden/>
    <w:rsid w:val="00683134"/>
    <w:rPr>
      <w:sz w:val="20"/>
      <w:szCs w:val="20"/>
    </w:rPr>
  </w:style>
  <w:style w:type="character" w:customStyle="1" w:styleId="CommentTextChar">
    <w:name w:val="Comment Text Char"/>
    <w:basedOn w:val="DefaultParagraphFont"/>
    <w:link w:val="CommentText"/>
    <w:uiPriority w:val="99"/>
    <w:semiHidden/>
    <w:rsid w:val="004366D3"/>
    <w:rPr>
      <w:sz w:val="20"/>
      <w:szCs w:val="20"/>
    </w:rPr>
  </w:style>
  <w:style w:type="paragraph" w:styleId="CommentSubject">
    <w:name w:val="annotation subject"/>
    <w:basedOn w:val="CommentText"/>
    <w:next w:val="CommentText"/>
    <w:link w:val="CommentSubjectChar"/>
    <w:uiPriority w:val="99"/>
    <w:semiHidden/>
    <w:rsid w:val="00683134"/>
    <w:rPr>
      <w:b/>
      <w:bCs/>
    </w:rPr>
  </w:style>
  <w:style w:type="character" w:customStyle="1" w:styleId="CommentSubjectChar">
    <w:name w:val="Comment Subject Char"/>
    <w:basedOn w:val="CommentTextChar"/>
    <w:link w:val="CommentSubject"/>
    <w:uiPriority w:val="99"/>
    <w:semiHidden/>
    <w:rsid w:val="004366D3"/>
    <w:rPr>
      <w:b/>
      <w:bCs/>
      <w:sz w:val="20"/>
      <w:szCs w:val="20"/>
    </w:rPr>
  </w:style>
  <w:style w:type="paragraph" w:styleId="Header">
    <w:name w:val="header"/>
    <w:basedOn w:val="Normal"/>
    <w:link w:val="HeaderChar"/>
    <w:uiPriority w:val="99"/>
    <w:rsid w:val="00683134"/>
    <w:pPr>
      <w:tabs>
        <w:tab w:val="center" w:pos="4320"/>
        <w:tab w:val="right" w:pos="8640"/>
      </w:tabs>
    </w:pPr>
  </w:style>
  <w:style w:type="character" w:customStyle="1" w:styleId="HeaderChar">
    <w:name w:val="Header Char"/>
    <w:basedOn w:val="DefaultParagraphFont"/>
    <w:link w:val="Header"/>
    <w:uiPriority w:val="99"/>
    <w:semiHidden/>
    <w:rsid w:val="004366D3"/>
    <w:rPr>
      <w:sz w:val="24"/>
      <w:szCs w:val="24"/>
    </w:rPr>
  </w:style>
  <w:style w:type="paragraph" w:styleId="Footer">
    <w:name w:val="footer"/>
    <w:basedOn w:val="Normal"/>
    <w:link w:val="FooterChar"/>
    <w:uiPriority w:val="99"/>
    <w:rsid w:val="00683134"/>
    <w:pPr>
      <w:tabs>
        <w:tab w:val="center" w:pos="4320"/>
        <w:tab w:val="right" w:pos="8640"/>
      </w:tabs>
    </w:pPr>
  </w:style>
  <w:style w:type="character" w:customStyle="1" w:styleId="FooterChar">
    <w:name w:val="Footer Char"/>
    <w:basedOn w:val="DefaultParagraphFont"/>
    <w:link w:val="Footer"/>
    <w:uiPriority w:val="99"/>
    <w:semiHidden/>
    <w:rsid w:val="004366D3"/>
    <w:rPr>
      <w:sz w:val="24"/>
      <w:szCs w:val="24"/>
    </w:rPr>
  </w:style>
  <w:style w:type="paragraph" w:styleId="BalloonText">
    <w:name w:val="Balloon Text"/>
    <w:basedOn w:val="Normal"/>
    <w:link w:val="BalloonTextChar"/>
    <w:uiPriority w:val="99"/>
    <w:semiHidden/>
    <w:rsid w:val="00217819"/>
    <w:rPr>
      <w:rFonts w:ascii="Tahoma" w:hAnsi="Tahoma" w:cs="Tahoma"/>
      <w:sz w:val="16"/>
      <w:szCs w:val="16"/>
    </w:rPr>
  </w:style>
  <w:style w:type="character" w:customStyle="1" w:styleId="BalloonTextChar">
    <w:name w:val="Balloon Text Char"/>
    <w:basedOn w:val="DefaultParagraphFont"/>
    <w:link w:val="BalloonText"/>
    <w:uiPriority w:val="99"/>
    <w:semiHidden/>
    <w:rsid w:val="004366D3"/>
    <w:rPr>
      <w:sz w:val="0"/>
      <w:szCs w:val="0"/>
    </w:rPr>
  </w:style>
  <w:style w:type="paragraph" w:styleId="Quote">
    <w:name w:val="Quote"/>
    <w:basedOn w:val="Normal"/>
    <w:link w:val="QuoteChar"/>
    <w:uiPriority w:val="29"/>
    <w:qFormat/>
    <w:rsid w:val="00EF0A02"/>
    <w:pPr>
      <w:spacing w:after="240"/>
      <w:ind w:left="1440"/>
    </w:pPr>
  </w:style>
  <w:style w:type="character" w:customStyle="1" w:styleId="QuoteChar">
    <w:name w:val="Quote Char"/>
    <w:basedOn w:val="DefaultParagraphFont"/>
    <w:link w:val="Quote"/>
    <w:uiPriority w:val="29"/>
    <w:rsid w:val="004366D3"/>
    <w:rPr>
      <w:i/>
      <w:iCs/>
      <w:color w:val="000000" w:themeColor="text1"/>
      <w:sz w:val="24"/>
      <w:szCs w:val="24"/>
    </w:rPr>
  </w:style>
  <w:style w:type="paragraph" w:customStyle="1" w:styleId="answer0">
    <w:name w:val="answer"/>
    <w:basedOn w:val="Normal"/>
    <w:link w:val="answerChar"/>
    <w:uiPriority w:val="99"/>
    <w:rsid w:val="003B49E3"/>
    <w:pPr>
      <w:spacing w:before="100" w:beforeAutospacing="1" w:after="100" w:afterAutospacing="1"/>
      <w:jc w:val="left"/>
    </w:pPr>
  </w:style>
  <w:style w:type="character" w:customStyle="1" w:styleId="answerChar">
    <w:name w:val="answer Char"/>
    <w:basedOn w:val="DefaultParagraphFont"/>
    <w:link w:val="answer0"/>
    <w:uiPriority w:val="99"/>
    <w:rsid w:val="003C203D"/>
    <w:rPr>
      <w:sz w:val="24"/>
      <w:szCs w:val="24"/>
      <w:lang w:val="en-US" w:eastAsia="en-US"/>
    </w:rPr>
  </w:style>
  <w:style w:type="paragraph" w:customStyle="1" w:styleId="CharChar">
    <w:name w:val="Char Char"/>
    <w:basedOn w:val="Normal"/>
    <w:uiPriority w:val="99"/>
    <w:rsid w:val="00001380"/>
    <w:pPr>
      <w:spacing w:after="160" w:line="240" w:lineRule="exact"/>
      <w:jc w:val="left"/>
    </w:pPr>
    <w:rPr>
      <w:rFonts w:ascii="Verdana" w:hAnsi="Verdana" w:cs="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rsid w:val="004A698D"/>
    <w:rPr>
      <w:sz w:val="20"/>
      <w:szCs w:val="2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link w:val="FootnoteText"/>
    <w:rsid w:val="004366D3"/>
    <w:rPr>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
    <w:basedOn w:val="DefaultParagraphFont"/>
    <w:qFormat/>
    <w:rsid w:val="004A698D"/>
    <w:rPr>
      <w:vertAlign w:val="superscript"/>
    </w:rPr>
  </w:style>
  <w:style w:type="character" w:customStyle="1" w:styleId="AnswerChar0">
    <w:name w:val="Answer Char"/>
    <w:basedOn w:val="DefaultParagraphFont"/>
    <w:rsid w:val="00712D5E"/>
    <w:rPr>
      <w:sz w:val="24"/>
      <w:szCs w:val="24"/>
      <w:lang w:val="en-US" w:eastAsia="en-US"/>
    </w:rPr>
  </w:style>
  <w:style w:type="paragraph" w:customStyle="1" w:styleId="Commitmenttable">
    <w:name w:val="Commitment table"/>
    <w:basedOn w:val="Normal"/>
    <w:uiPriority w:val="99"/>
    <w:rsid w:val="00D14E95"/>
    <w:pPr>
      <w:spacing w:before="60" w:after="60"/>
    </w:pPr>
    <w:rPr>
      <w:sz w:val="20"/>
      <w:szCs w:val="20"/>
    </w:rPr>
  </w:style>
  <w:style w:type="paragraph" w:customStyle="1" w:styleId="CommitmenttableIndent">
    <w:name w:val="Commitment table Indent"/>
    <w:basedOn w:val="Normal"/>
    <w:uiPriority w:val="99"/>
    <w:rsid w:val="00D14E95"/>
    <w:pPr>
      <w:spacing w:before="60" w:after="60"/>
      <w:ind w:left="720"/>
    </w:pPr>
    <w:rPr>
      <w:sz w:val="20"/>
      <w:szCs w:val="20"/>
    </w:rPr>
  </w:style>
  <w:style w:type="table" w:styleId="TableGrid">
    <w:name w:val="Table Grid"/>
    <w:basedOn w:val="TableNormal"/>
    <w:uiPriority w:val="99"/>
    <w:rsid w:val="00B044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uiPriority w:val="99"/>
    <w:rsid w:val="0070176F"/>
    <w:pPr>
      <w:spacing w:after="160" w:line="240" w:lineRule="exact"/>
      <w:jc w:val="left"/>
    </w:pPr>
    <w:rPr>
      <w:rFonts w:ascii="Verdana" w:hAnsi="Verdana" w:cs="Verdana"/>
      <w:sz w:val="20"/>
      <w:szCs w:val="20"/>
    </w:rPr>
  </w:style>
  <w:style w:type="paragraph" w:styleId="BodyText">
    <w:name w:val="Body Text"/>
    <w:basedOn w:val="Normal"/>
    <w:link w:val="BodyTextChar"/>
    <w:uiPriority w:val="99"/>
    <w:rsid w:val="00AF506C"/>
    <w:pPr>
      <w:spacing w:line="480" w:lineRule="auto"/>
      <w:ind w:firstLine="720"/>
      <w:jc w:val="left"/>
    </w:pPr>
  </w:style>
  <w:style w:type="character" w:customStyle="1" w:styleId="BodyTextChar">
    <w:name w:val="Body Text Char"/>
    <w:basedOn w:val="DefaultParagraphFont"/>
    <w:link w:val="BodyText"/>
    <w:uiPriority w:val="99"/>
    <w:semiHidden/>
    <w:rsid w:val="004366D3"/>
    <w:rPr>
      <w:sz w:val="24"/>
      <w:szCs w:val="24"/>
    </w:rPr>
  </w:style>
  <w:style w:type="paragraph" w:customStyle="1" w:styleId="CharChar2">
    <w:name w:val="Char Char2"/>
    <w:basedOn w:val="Normal"/>
    <w:uiPriority w:val="99"/>
    <w:rsid w:val="005246B9"/>
    <w:pPr>
      <w:spacing w:after="160" w:line="240" w:lineRule="exact"/>
      <w:jc w:val="left"/>
    </w:pPr>
    <w:rPr>
      <w:rFonts w:ascii="Verdana" w:hAnsi="Verdana" w:cs="Verdana"/>
      <w:sz w:val="20"/>
      <w:szCs w:val="20"/>
    </w:rPr>
  </w:style>
  <w:style w:type="paragraph" w:styleId="NormalWeb">
    <w:name w:val="Normal (Web)"/>
    <w:basedOn w:val="Normal"/>
    <w:uiPriority w:val="99"/>
    <w:semiHidden/>
    <w:rsid w:val="003779C9"/>
    <w:pPr>
      <w:spacing w:before="100" w:beforeAutospacing="1" w:after="100" w:afterAutospacing="1"/>
      <w:jc w:val="left"/>
    </w:pPr>
  </w:style>
  <w:style w:type="paragraph" w:customStyle="1" w:styleId="msolistparagraph0">
    <w:name w:val="msolistparagraph"/>
    <w:basedOn w:val="Normal"/>
    <w:uiPriority w:val="99"/>
    <w:rsid w:val="00877092"/>
    <w:pPr>
      <w:ind w:left="720"/>
      <w:jc w:val="left"/>
    </w:pPr>
    <w:rPr>
      <w:rFonts w:ascii="Calibri" w:hAnsi="Calibri" w:cs="Calibri"/>
      <w:sz w:val="22"/>
      <w:szCs w:val="22"/>
    </w:rPr>
  </w:style>
  <w:style w:type="paragraph" w:customStyle="1" w:styleId="StyleBodyTextIndentLeft0LinespacingDouble">
    <w:name w:val="Style Body Text Indent + Left:  0&quot; Line spacing:  Double"/>
    <w:basedOn w:val="BodyText2"/>
    <w:uiPriority w:val="99"/>
    <w:rsid w:val="00255D8C"/>
    <w:pPr>
      <w:spacing w:line="480" w:lineRule="auto"/>
      <w:ind w:left="0" w:firstLine="720"/>
      <w:jc w:val="left"/>
    </w:pPr>
  </w:style>
  <w:style w:type="paragraph" w:styleId="BodyText2">
    <w:name w:val="Body Text 2"/>
    <w:basedOn w:val="Normal"/>
    <w:link w:val="BodyText2Char"/>
    <w:uiPriority w:val="99"/>
    <w:rsid w:val="00255D8C"/>
    <w:pPr>
      <w:spacing w:after="120"/>
      <w:ind w:left="360"/>
    </w:pPr>
  </w:style>
  <w:style w:type="character" w:customStyle="1" w:styleId="BodyText2Char">
    <w:name w:val="Body Text 2 Char"/>
    <w:basedOn w:val="DefaultParagraphFont"/>
    <w:link w:val="BodyText2"/>
    <w:uiPriority w:val="99"/>
    <w:semiHidden/>
    <w:rsid w:val="004366D3"/>
    <w:rPr>
      <w:sz w:val="24"/>
      <w:szCs w:val="24"/>
    </w:rPr>
  </w:style>
  <w:style w:type="character" w:customStyle="1" w:styleId="QuestionChar1">
    <w:name w:val="Question Char1"/>
    <w:basedOn w:val="DefaultParagraphFont"/>
    <w:rsid w:val="00F83D1F"/>
    <w:rPr>
      <w:b/>
      <w:bCs/>
      <w:sz w:val="24"/>
      <w:szCs w:val="24"/>
      <w:lang w:val="en-US" w:eastAsia="en-US" w:bidi="ar-SA"/>
    </w:rPr>
  </w:style>
  <w:style w:type="paragraph" w:styleId="Revision">
    <w:name w:val="Revision"/>
    <w:hidden/>
    <w:uiPriority w:val="99"/>
    <w:semiHidden/>
    <w:rsid w:val="00D557FC"/>
    <w:rPr>
      <w:sz w:val="24"/>
      <w:szCs w:val="24"/>
    </w:rPr>
  </w:style>
  <w:style w:type="paragraph" w:styleId="ListParagraph">
    <w:name w:val="List Paragraph"/>
    <w:basedOn w:val="Normal"/>
    <w:link w:val="ListParagraphChar"/>
    <w:uiPriority w:val="34"/>
    <w:qFormat/>
    <w:rsid w:val="00077537"/>
    <w:pPr>
      <w:ind w:left="720"/>
      <w:contextualSpacing/>
    </w:pPr>
  </w:style>
  <w:style w:type="paragraph" w:styleId="TOCHeading">
    <w:name w:val="TOC Heading"/>
    <w:basedOn w:val="Heading1"/>
    <w:next w:val="Normal"/>
    <w:uiPriority w:val="39"/>
    <w:unhideWhenUsed/>
    <w:qFormat/>
    <w:rsid w:val="00E05661"/>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E05661"/>
    <w:pPr>
      <w:spacing w:after="100"/>
    </w:pPr>
  </w:style>
  <w:style w:type="paragraph" w:styleId="TOC2">
    <w:name w:val="toc 2"/>
    <w:basedOn w:val="Normal"/>
    <w:next w:val="Normal"/>
    <w:autoRedefine/>
    <w:uiPriority w:val="39"/>
    <w:unhideWhenUsed/>
    <w:rsid w:val="006A1776"/>
    <w:pPr>
      <w:suppressLineNumbers/>
      <w:tabs>
        <w:tab w:val="right" w:leader="dot" w:pos="8630"/>
      </w:tabs>
      <w:spacing w:after="100"/>
      <w:ind w:left="245"/>
    </w:pPr>
    <w:rPr>
      <w:noProof/>
    </w:rPr>
  </w:style>
  <w:style w:type="character" w:styleId="Hyperlink">
    <w:name w:val="Hyperlink"/>
    <w:basedOn w:val="DefaultParagraphFont"/>
    <w:uiPriority w:val="99"/>
    <w:unhideWhenUsed/>
    <w:rsid w:val="00E05661"/>
    <w:rPr>
      <w:color w:val="0000FF" w:themeColor="hyperlink"/>
      <w:u w:val="single"/>
    </w:rPr>
  </w:style>
  <w:style w:type="paragraph" w:customStyle="1" w:styleId="AutoNumBodyCharCharCharChar">
    <w:name w:val="AutoNum Body Char Char Char Char"/>
    <w:basedOn w:val="Normal"/>
    <w:link w:val="AutoNumBodyCharCharCharCharChar"/>
    <w:autoRedefine/>
    <w:qFormat/>
    <w:rsid w:val="005A4CAF"/>
    <w:pPr>
      <w:keepLines/>
      <w:widowControl w:val="0"/>
      <w:numPr>
        <w:numId w:val="20"/>
      </w:numPr>
      <w:spacing w:line="480" w:lineRule="auto"/>
      <w:ind w:left="1800"/>
      <w:jc w:val="left"/>
    </w:pPr>
    <w:rPr>
      <w:color w:val="000000"/>
    </w:rPr>
  </w:style>
  <w:style w:type="character" w:customStyle="1" w:styleId="AutoNumBodyCharCharCharCharChar">
    <w:name w:val="AutoNum Body Char Char Char Char Char"/>
    <w:basedOn w:val="DefaultParagraphFont"/>
    <w:link w:val="AutoNumBodyCharCharCharChar"/>
    <w:rsid w:val="005A4CAF"/>
    <w:rPr>
      <w:color w:val="000000"/>
      <w:sz w:val="24"/>
      <w:szCs w:val="24"/>
    </w:rPr>
  </w:style>
  <w:style w:type="paragraph" w:styleId="BodyTextIndent">
    <w:name w:val="Body Text Indent"/>
    <w:basedOn w:val="Normal"/>
    <w:link w:val="BodyTextIndentChar"/>
    <w:uiPriority w:val="99"/>
    <w:semiHidden/>
    <w:unhideWhenUsed/>
    <w:rsid w:val="00B409F0"/>
    <w:pPr>
      <w:spacing w:after="120"/>
      <w:ind w:left="360"/>
    </w:pPr>
  </w:style>
  <w:style w:type="character" w:customStyle="1" w:styleId="BodyTextIndentChar">
    <w:name w:val="Body Text Indent Char"/>
    <w:basedOn w:val="DefaultParagraphFont"/>
    <w:link w:val="BodyTextIndent"/>
    <w:uiPriority w:val="99"/>
    <w:semiHidden/>
    <w:rsid w:val="00B409F0"/>
    <w:rPr>
      <w:sz w:val="24"/>
      <w:szCs w:val="24"/>
    </w:rPr>
  </w:style>
  <w:style w:type="character" w:customStyle="1" w:styleId="ListParagraphChar">
    <w:name w:val="List Paragraph Char"/>
    <w:basedOn w:val="DefaultParagraphFont"/>
    <w:link w:val="ListParagraph"/>
    <w:uiPriority w:val="34"/>
    <w:rsid w:val="00533174"/>
    <w:rPr>
      <w:sz w:val="24"/>
      <w:szCs w:val="24"/>
    </w:rPr>
  </w:style>
  <w:style w:type="paragraph" w:customStyle="1" w:styleId="WAP1">
    <w:name w:val="WA P1"/>
    <w:basedOn w:val="ListParagraph"/>
    <w:link w:val="WAP1Char"/>
    <w:autoRedefine/>
    <w:qFormat/>
    <w:rsid w:val="00533174"/>
    <w:pPr>
      <w:numPr>
        <w:numId w:val="22"/>
      </w:numPr>
      <w:tabs>
        <w:tab w:val="clear" w:pos="360"/>
        <w:tab w:val="num" w:pos="720"/>
      </w:tabs>
      <w:spacing w:line="480" w:lineRule="exact"/>
      <w:ind w:left="0"/>
      <w:contextualSpacing w:val="0"/>
      <w:jc w:val="left"/>
    </w:pPr>
    <w:rPr>
      <w:rFonts w:eastAsia="Times"/>
    </w:rPr>
  </w:style>
  <w:style w:type="character" w:customStyle="1" w:styleId="WAP1Char">
    <w:name w:val="WA P1 Char"/>
    <w:basedOn w:val="ListParagraphChar"/>
    <w:link w:val="WAP1"/>
    <w:rsid w:val="00533174"/>
    <w:rPr>
      <w:rFonts w:eastAsia="Times"/>
      <w:sz w:val="24"/>
      <w:szCs w:val="24"/>
    </w:rPr>
  </w:style>
  <w:style w:type="character" w:styleId="FollowedHyperlink">
    <w:name w:val="FollowedHyperlink"/>
    <w:basedOn w:val="DefaultParagraphFont"/>
    <w:uiPriority w:val="99"/>
    <w:semiHidden/>
    <w:unhideWhenUsed/>
    <w:rsid w:val="00B871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283482">
      <w:bodyDiv w:val="1"/>
      <w:marLeft w:val="0"/>
      <w:marRight w:val="0"/>
      <w:marTop w:val="0"/>
      <w:marBottom w:val="0"/>
      <w:divBdr>
        <w:top w:val="none" w:sz="0" w:space="0" w:color="auto"/>
        <w:left w:val="none" w:sz="0" w:space="0" w:color="auto"/>
        <w:bottom w:val="none" w:sz="0" w:space="0" w:color="auto"/>
        <w:right w:val="none" w:sz="0" w:space="0" w:color="auto"/>
      </w:divBdr>
    </w:div>
    <w:div w:id="1377703407">
      <w:bodyDiv w:val="1"/>
      <w:marLeft w:val="0"/>
      <w:marRight w:val="0"/>
      <w:marTop w:val="0"/>
      <w:marBottom w:val="0"/>
      <w:divBdr>
        <w:top w:val="none" w:sz="0" w:space="0" w:color="auto"/>
        <w:left w:val="none" w:sz="0" w:space="0" w:color="auto"/>
        <w:bottom w:val="none" w:sz="0" w:space="0" w:color="auto"/>
        <w:right w:val="none" w:sz="0" w:space="0" w:color="auto"/>
      </w:divBdr>
    </w:div>
    <w:div w:id="1514144330">
      <w:bodyDiv w:val="1"/>
      <w:marLeft w:val="0"/>
      <w:marRight w:val="0"/>
      <w:marTop w:val="0"/>
      <w:marBottom w:val="0"/>
      <w:divBdr>
        <w:top w:val="none" w:sz="0" w:space="0" w:color="auto"/>
        <w:left w:val="none" w:sz="0" w:space="0" w:color="auto"/>
        <w:bottom w:val="none" w:sz="0" w:space="0" w:color="auto"/>
        <w:right w:val="none" w:sz="0" w:space="0" w:color="auto"/>
      </w:divBdr>
    </w:div>
    <w:div w:id="2098548532">
      <w:marLeft w:val="0"/>
      <w:marRight w:val="0"/>
      <w:marTop w:val="0"/>
      <w:marBottom w:val="0"/>
      <w:divBdr>
        <w:top w:val="none" w:sz="0" w:space="0" w:color="auto"/>
        <w:left w:val="none" w:sz="0" w:space="0" w:color="auto"/>
        <w:bottom w:val="none" w:sz="0" w:space="0" w:color="auto"/>
        <w:right w:val="none" w:sz="0" w:space="0" w:color="auto"/>
      </w:divBdr>
    </w:div>
    <w:div w:id="2098548533">
      <w:marLeft w:val="0"/>
      <w:marRight w:val="0"/>
      <w:marTop w:val="0"/>
      <w:marBottom w:val="0"/>
      <w:divBdr>
        <w:top w:val="none" w:sz="0" w:space="0" w:color="auto"/>
        <w:left w:val="none" w:sz="0" w:space="0" w:color="auto"/>
        <w:bottom w:val="none" w:sz="0" w:space="0" w:color="auto"/>
        <w:right w:val="none" w:sz="0" w:space="0" w:color="auto"/>
      </w:divBdr>
      <w:divsChild>
        <w:div w:id="2098548531">
          <w:marLeft w:val="0"/>
          <w:marRight w:val="0"/>
          <w:marTop w:val="0"/>
          <w:marBottom w:val="0"/>
          <w:divBdr>
            <w:top w:val="none" w:sz="0" w:space="0" w:color="auto"/>
            <w:left w:val="none" w:sz="0" w:space="0" w:color="auto"/>
            <w:bottom w:val="none" w:sz="0" w:space="0" w:color="auto"/>
            <w:right w:val="none" w:sz="0" w:space="0" w:color="auto"/>
          </w:divBdr>
        </w:div>
      </w:divsChild>
    </w:div>
    <w:div w:id="2098548534">
      <w:marLeft w:val="0"/>
      <w:marRight w:val="0"/>
      <w:marTop w:val="0"/>
      <w:marBottom w:val="0"/>
      <w:divBdr>
        <w:top w:val="none" w:sz="0" w:space="0" w:color="auto"/>
        <w:left w:val="none" w:sz="0" w:space="0" w:color="auto"/>
        <w:bottom w:val="none" w:sz="0" w:space="0" w:color="auto"/>
        <w:right w:val="none" w:sz="0" w:space="0" w:color="auto"/>
      </w:divBdr>
    </w:div>
    <w:div w:id="2098548535">
      <w:marLeft w:val="0"/>
      <w:marRight w:val="0"/>
      <w:marTop w:val="0"/>
      <w:marBottom w:val="0"/>
      <w:divBdr>
        <w:top w:val="none" w:sz="0" w:space="0" w:color="auto"/>
        <w:left w:val="none" w:sz="0" w:space="0" w:color="auto"/>
        <w:bottom w:val="none" w:sz="0" w:space="0" w:color="auto"/>
        <w:right w:val="none" w:sz="0" w:space="0" w:color="auto"/>
      </w:divBdr>
      <w:divsChild>
        <w:div w:id="2098548530">
          <w:marLeft w:val="0"/>
          <w:marRight w:val="0"/>
          <w:marTop w:val="0"/>
          <w:marBottom w:val="0"/>
          <w:divBdr>
            <w:top w:val="none" w:sz="0" w:space="0" w:color="auto"/>
            <w:left w:val="none" w:sz="0" w:space="0" w:color="auto"/>
            <w:bottom w:val="none" w:sz="0" w:space="0" w:color="auto"/>
            <w:right w:val="none" w:sz="0" w:space="0" w:color="auto"/>
          </w:divBdr>
        </w:div>
      </w:divsChild>
    </w:div>
    <w:div w:id="2098548536">
      <w:marLeft w:val="0"/>
      <w:marRight w:val="0"/>
      <w:marTop w:val="0"/>
      <w:marBottom w:val="0"/>
      <w:divBdr>
        <w:top w:val="none" w:sz="0" w:space="0" w:color="auto"/>
        <w:left w:val="none" w:sz="0" w:space="0" w:color="auto"/>
        <w:bottom w:val="none" w:sz="0" w:space="0" w:color="auto"/>
        <w:right w:val="none" w:sz="0" w:space="0" w:color="auto"/>
      </w:divBdr>
    </w:div>
    <w:div w:id="2098548537">
      <w:marLeft w:val="0"/>
      <w:marRight w:val="0"/>
      <w:marTop w:val="0"/>
      <w:marBottom w:val="0"/>
      <w:divBdr>
        <w:top w:val="none" w:sz="0" w:space="0" w:color="auto"/>
        <w:left w:val="none" w:sz="0" w:space="0" w:color="auto"/>
        <w:bottom w:val="none" w:sz="0" w:space="0" w:color="auto"/>
        <w:right w:val="none" w:sz="0" w:space="0" w:color="auto"/>
      </w:divBdr>
    </w:div>
    <w:div w:id="2098548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_rels/footnotes.xml.rels><?xml version="1.0" encoding="UTF-8" standalone="yes"?>
<Relationships xmlns="http://schemas.openxmlformats.org/package/2006/relationships"><Relationship Id="rId3" Type="http://schemas.openxmlformats.org/officeDocument/2006/relationships/hyperlink" Target="http://www.ihs.com/products/global-insight/accuracy-accolades.aspx" TargetMode="External"/><Relationship Id="rId2" Type="http://schemas.openxmlformats.org/officeDocument/2006/relationships/hyperlink" Target="http://www.erfc.wa.gov/forecast/documents/rev20140219_color.pdf" TargetMode="External"/><Relationship Id="rId1" Type="http://schemas.openxmlformats.org/officeDocument/2006/relationships/hyperlink" Target="http://www.utc.wa.gov/_layouts/CasesPublicWebsite/GetDocument.ashx?docID=4&amp;year=2014&amp;docketNumber=1407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2014-11-14T08:00:00+00:00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27B486-ECE4-43CD-99EF-E085B1092CF8}"/>
</file>

<file path=customXml/itemProps2.xml><?xml version="1.0" encoding="utf-8"?>
<ds:datastoreItem xmlns:ds="http://schemas.openxmlformats.org/officeDocument/2006/customXml" ds:itemID="{9C81A877-DACF-4942-821B-DA5A22E34EE9}"/>
</file>

<file path=customXml/itemProps3.xml><?xml version="1.0" encoding="utf-8"?>
<ds:datastoreItem xmlns:ds="http://schemas.openxmlformats.org/officeDocument/2006/customXml" ds:itemID="{4BF77C99-1BA7-404A-875D-26B6338BEFAF}"/>
</file>

<file path=customXml/itemProps4.xml><?xml version="1.0" encoding="utf-8"?>
<ds:datastoreItem xmlns:ds="http://schemas.openxmlformats.org/officeDocument/2006/customXml" ds:itemID="{92E36C10-DA71-4FC7-B1B1-6B6F41E72151}"/>
</file>

<file path=docProps/app.xml><?xml version="1.0" encoding="utf-8"?>
<Properties xmlns="http://schemas.openxmlformats.org/officeDocument/2006/extended-properties" xmlns:vt="http://schemas.openxmlformats.org/officeDocument/2006/docPropsVTypes">
  <Template>Normal.dotm</Template>
  <TotalTime>0</TotalTime>
  <Pages>16</Pages>
  <Words>3232</Words>
  <Characters>18956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2014-11-14T15:22:00Z</dcterms:created>
  <dcterms:modified xsi:type="dcterms:W3CDTF">2014-11-14T20:15:00Z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0x0101006E56B4D1795A2E4DB2F0B01679ED314A00F7932BF0E43BA441AC308742D5F08A91</vt:lpwstr>
  </property>
  <property fmtid="{D5CDD505-2E9C-101B-9397-08002B2CF9AE}" pid="4" name="_docset_NoMedatataSyncRequired">
    <vt:lpwstr>False</vt:lpwstr>
  </property>
</Properties>
</file>