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4919E" w14:textId="77777777" w:rsidR="00F60622" w:rsidRPr="008751F6" w:rsidRDefault="00F60622">
      <w:pPr>
        <w:pStyle w:val="BodyText"/>
        <w:rPr>
          <w:b/>
          <w:bCs/>
        </w:rPr>
      </w:pPr>
      <w:bookmarkStart w:id="0" w:name="_GoBack"/>
      <w:bookmarkEnd w:id="0"/>
      <w:r w:rsidRPr="008751F6">
        <w:rPr>
          <w:b/>
          <w:bCs/>
        </w:rPr>
        <w:t>BEFORE THE WASHINGTON</w:t>
      </w:r>
    </w:p>
    <w:p w14:paraId="5954919F" w14:textId="77777777" w:rsidR="00F60622" w:rsidRPr="008751F6" w:rsidRDefault="00F60622">
      <w:pPr>
        <w:pStyle w:val="BodyText"/>
        <w:rPr>
          <w:b/>
          <w:bCs/>
        </w:rPr>
      </w:pPr>
      <w:r w:rsidRPr="008751F6">
        <w:rPr>
          <w:b/>
          <w:bCs/>
        </w:rPr>
        <w:t xml:space="preserve">UTILITIES AND TRANSPORTATION </w:t>
      </w:r>
      <w:r w:rsidR="006E0C0D" w:rsidRPr="008751F6">
        <w:rPr>
          <w:b/>
          <w:bCs/>
        </w:rPr>
        <w:t>COMMISSION</w:t>
      </w:r>
    </w:p>
    <w:p w14:paraId="595491A0" w14:textId="77777777" w:rsidR="00F60622" w:rsidRPr="008751F6" w:rsidRDefault="00F60622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80"/>
        <w:gridCol w:w="497"/>
        <w:gridCol w:w="4063"/>
      </w:tblGrid>
      <w:tr w:rsidR="00F60622" w:rsidRPr="008751F6" w14:paraId="595491B4" w14:textId="77777777" w:rsidTr="009E6EE3">
        <w:tc>
          <w:tcPr>
            <w:tcW w:w="4108" w:type="dxa"/>
          </w:tcPr>
          <w:p w14:paraId="595491A1" w14:textId="77777777" w:rsidR="00F60622" w:rsidRPr="008751F6" w:rsidRDefault="00F60622">
            <w:r w:rsidRPr="008751F6">
              <w:t xml:space="preserve">WASHINGTON UTILITIES AND TRANSPORTATION </w:t>
            </w:r>
            <w:r w:rsidR="006E0C0D" w:rsidRPr="008751F6">
              <w:t>COMMISSION</w:t>
            </w:r>
            <w:r w:rsidRPr="008751F6">
              <w:t>,</w:t>
            </w:r>
          </w:p>
          <w:p w14:paraId="595491A2" w14:textId="77777777" w:rsidR="00F60622" w:rsidRPr="008751F6" w:rsidRDefault="00F60622"/>
          <w:p w14:paraId="595491A3" w14:textId="77777777" w:rsidR="00F60622" w:rsidRPr="008751F6" w:rsidRDefault="00F60622" w:rsidP="009757C0">
            <w:pPr>
              <w:jc w:val="center"/>
            </w:pPr>
            <w:r w:rsidRPr="008751F6">
              <w:t>Complainant,</w:t>
            </w:r>
          </w:p>
          <w:p w14:paraId="595491A4" w14:textId="77777777" w:rsidR="00F60622" w:rsidRPr="008751F6" w:rsidRDefault="00F60622"/>
          <w:p w14:paraId="595491A5" w14:textId="77777777" w:rsidR="00F60622" w:rsidRPr="008751F6" w:rsidRDefault="00F60622" w:rsidP="009757C0">
            <w:pPr>
              <w:jc w:val="center"/>
            </w:pPr>
            <w:r w:rsidRPr="008751F6">
              <w:t>v.</w:t>
            </w:r>
          </w:p>
          <w:p w14:paraId="595491A6" w14:textId="77777777" w:rsidR="00F60622" w:rsidRPr="008751F6" w:rsidRDefault="00F60622"/>
          <w:p w14:paraId="595491A7" w14:textId="54534799" w:rsidR="009E6EE3" w:rsidRPr="008751F6" w:rsidRDefault="009F6918">
            <w:r>
              <w:t>OLYMPIC WATER AND SEWER, INC.</w:t>
            </w:r>
            <w:r w:rsidR="00F60622" w:rsidRPr="008751F6">
              <w:t>,</w:t>
            </w:r>
          </w:p>
          <w:p w14:paraId="595491A8" w14:textId="77777777" w:rsidR="00F60622" w:rsidRPr="008751F6" w:rsidRDefault="00F60622"/>
          <w:p w14:paraId="595491A9" w14:textId="77777777" w:rsidR="00F60622" w:rsidRDefault="00F60622" w:rsidP="009757C0">
            <w:pPr>
              <w:jc w:val="center"/>
            </w:pPr>
            <w:r w:rsidRPr="008751F6">
              <w:t>Respondent.</w:t>
            </w:r>
          </w:p>
          <w:p w14:paraId="595491AA" w14:textId="77777777" w:rsidR="00F60622" w:rsidRPr="008751F6" w:rsidRDefault="00F60622">
            <w:r w:rsidRPr="008751F6">
              <w:t>. . . . . . . . . . . . . . . . . . . . . . . . . . . . . . . .</w:t>
            </w:r>
          </w:p>
        </w:tc>
        <w:tc>
          <w:tcPr>
            <w:tcW w:w="500" w:type="dxa"/>
          </w:tcPr>
          <w:p w14:paraId="595491AB" w14:textId="77777777" w:rsidR="00AD7F53" w:rsidRDefault="008406B1">
            <w:pPr>
              <w:jc w:val="center"/>
            </w:pPr>
            <w:r w:rsidRPr="008751F6">
              <w:t>)</w:t>
            </w:r>
            <w:r w:rsidRPr="008751F6">
              <w:br/>
              <w:t>)</w:t>
            </w:r>
            <w:r w:rsidRPr="008751F6">
              <w:br/>
              <w:t>)</w:t>
            </w:r>
            <w:r w:rsidRPr="008751F6">
              <w:br/>
              <w:t>)</w:t>
            </w:r>
            <w:r w:rsidRPr="008751F6">
              <w:br/>
              <w:t>)</w:t>
            </w:r>
            <w:r w:rsidRPr="008751F6">
              <w:br/>
              <w:t>)</w:t>
            </w:r>
            <w:r w:rsidRPr="008751F6">
              <w:br/>
              <w:t>)</w:t>
            </w:r>
            <w:r w:rsidRPr="008751F6">
              <w:br/>
              <w:t>)</w:t>
            </w:r>
            <w:r w:rsidRPr="008751F6">
              <w:br/>
              <w:t>)</w:t>
            </w:r>
            <w:r w:rsidRPr="008751F6">
              <w:br/>
              <w:t>)</w:t>
            </w:r>
            <w:r w:rsidRPr="008751F6">
              <w:br/>
            </w:r>
            <w:r w:rsidR="00AD7F53" w:rsidRPr="008751F6">
              <w:t>)</w:t>
            </w:r>
          </w:p>
          <w:p w14:paraId="49E1C4BB" w14:textId="754504EF" w:rsidR="00FD22A2" w:rsidRPr="008751F6" w:rsidRDefault="00FD22A2">
            <w:pPr>
              <w:jc w:val="center"/>
            </w:pPr>
            <w:r>
              <w:t>)</w:t>
            </w:r>
          </w:p>
          <w:p w14:paraId="595491AC" w14:textId="12FEB608" w:rsidR="00F60622" w:rsidRPr="008751F6" w:rsidRDefault="00F60622">
            <w:pPr>
              <w:jc w:val="center"/>
            </w:pPr>
          </w:p>
        </w:tc>
        <w:tc>
          <w:tcPr>
            <w:tcW w:w="4100" w:type="dxa"/>
          </w:tcPr>
          <w:p w14:paraId="595491AD" w14:textId="01EE8C2D" w:rsidR="00F60622" w:rsidRPr="008751F6" w:rsidRDefault="008F7203">
            <w:r w:rsidRPr="008751F6">
              <w:t>DOCKET</w:t>
            </w:r>
            <w:r w:rsidR="00F60622" w:rsidRPr="008751F6">
              <w:t xml:space="preserve"> </w:t>
            </w:r>
            <w:r w:rsidR="00C525BA" w:rsidRPr="008751F6">
              <w:t>UW-</w:t>
            </w:r>
            <w:r w:rsidR="00CF0BE2" w:rsidRPr="008751F6">
              <w:t>1</w:t>
            </w:r>
            <w:r w:rsidR="009F6918">
              <w:t>10436</w:t>
            </w:r>
          </w:p>
          <w:p w14:paraId="595491AE" w14:textId="77777777" w:rsidR="00F60622" w:rsidRPr="008751F6" w:rsidRDefault="00F60622">
            <w:pPr>
              <w:ind w:left="720"/>
            </w:pPr>
          </w:p>
          <w:p w14:paraId="595491AF" w14:textId="7F7A613D" w:rsidR="00EA2E14" w:rsidRPr="008751F6" w:rsidRDefault="008F7203" w:rsidP="00EA2E14">
            <w:r w:rsidRPr="008751F6">
              <w:t>ORDER</w:t>
            </w:r>
            <w:r w:rsidR="00F60622" w:rsidRPr="008751F6">
              <w:t xml:space="preserve"> </w:t>
            </w:r>
            <w:r w:rsidR="00C525BA" w:rsidRPr="008751F6">
              <w:t>02</w:t>
            </w:r>
          </w:p>
          <w:p w14:paraId="595491B0" w14:textId="77777777" w:rsidR="00F60622" w:rsidRPr="008751F6" w:rsidRDefault="00F60622"/>
          <w:p w14:paraId="595491B1" w14:textId="77777777" w:rsidR="00F60622" w:rsidRPr="008751F6" w:rsidRDefault="00F60622">
            <w:pPr>
              <w:ind w:left="720"/>
            </w:pPr>
          </w:p>
          <w:p w14:paraId="595491B3" w14:textId="37845AC9" w:rsidR="00F60622" w:rsidRPr="008751F6" w:rsidRDefault="00F60622" w:rsidP="00CF0BE2">
            <w:r w:rsidRPr="008751F6">
              <w:t>ORDER DISMISSING COMPLAINT AND ORDER SUS</w:t>
            </w:r>
            <w:r w:rsidR="008406B1" w:rsidRPr="008751F6">
              <w:t xml:space="preserve">PENDING TARIFF </w:t>
            </w:r>
            <w:r w:rsidR="006E0C0D" w:rsidRPr="008751F6">
              <w:rPr>
                <w:noProof/>
              </w:rPr>
              <w:t>REVISION</w:t>
            </w:r>
            <w:r w:rsidR="008406B1" w:rsidRPr="008751F6">
              <w:t>; ALLOW</w:t>
            </w:r>
            <w:r w:rsidRPr="008751F6">
              <w:t xml:space="preserve">ING </w:t>
            </w:r>
            <w:r w:rsidR="00440732" w:rsidRPr="008751F6">
              <w:t>REVISED RATES TO BECOME EFFECTIVE</w:t>
            </w:r>
            <w:r w:rsidR="009F6918">
              <w:t>; ALLOWING DEFERRAL OF WELL NO. 17 DRILLING COST</w:t>
            </w:r>
          </w:p>
        </w:tc>
      </w:tr>
    </w:tbl>
    <w:p w14:paraId="595491B5" w14:textId="77777777" w:rsidR="00F60622" w:rsidRPr="008751F6" w:rsidRDefault="00F60622"/>
    <w:p w14:paraId="595491B6" w14:textId="77777777" w:rsidR="00F60622" w:rsidRPr="008751F6" w:rsidRDefault="00F60622" w:rsidP="0093055C">
      <w:pPr>
        <w:pStyle w:val="Heading2"/>
        <w:spacing w:line="320" w:lineRule="exact"/>
        <w:rPr>
          <w:b/>
          <w:bCs/>
          <w:u w:val="none"/>
        </w:rPr>
      </w:pPr>
      <w:r w:rsidRPr="008751F6">
        <w:rPr>
          <w:b/>
          <w:bCs/>
          <w:u w:val="none"/>
        </w:rPr>
        <w:t>BACKGROUND</w:t>
      </w:r>
    </w:p>
    <w:p w14:paraId="595491B7" w14:textId="77777777" w:rsidR="000A69B5" w:rsidRPr="008751F6" w:rsidRDefault="000A69B5" w:rsidP="0093055C">
      <w:pPr>
        <w:spacing w:line="320" w:lineRule="exact"/>
      </w:pPr>
    </w:p>
    <w:p w14:paraId="595491B8" w14:textId="18245694" w:rsidR="00F60622" w:rsidRPr="008751F6" w:rsidRDefault="00F60622" w:rsidP="00BA50F2">
      <w:pPr>
        <w:numPr>
          <w:ilvl w:val="0"/>
          <w:numId w:val="14"/>
        </w:numPr>
        <w:spacing w:line="288" w:lineRule="auto"/>
      </w:pPr>
      <w:r w:rsidRPr="008751F6">
        <w:t>On</w:t>
      </w:r>
      <w:r w:rsidR="00EA2E14" w:rsidRPr="008751F6">
        <w:t xml:space="preserve"> </w:t>
      </w:r>
      <w:r w:rsidR="009F6918">
        <w:t>March 7</w:t>
      </w:r>
      <w:r w:rsidR="00071E36" w:rsidRPr="008751F6">
        <w:t xml:space="preserve">, 2014, </w:t>
      </w:r>
      <w:r w:rsidR="009F6918">
        <w:t>Olympic Water and Sewer</w:t>
      </w:r>
      <w:r w:rsidR="00071E36" w:rsidRPr="008751F6">
        <w:t xml:space="preserve">, </w:t>
      </w:r>
      <w:r w:rsidR="009F6918">
        <w:t>Inc.</w:t>
      </w:r>
      <w:r w:rsidR="00071E36" w:rsidRPr="008751F6">
        <w:t xml:space="preserve"> (</w:t>
      </w:r>
      <w:r w:rsidR="009F6918">
        <w:t>Olympic</w:t>
      </w:r>
      <w:r w:rsidR="00071E36" w:rsidRPr="008751F6">
        <w:t xml:space="preserve"> or Company)</w:t>
      </w:r>
      <w:r w:rsidR="009D3789">
        <w:t>,</w:t>
      </w:r>
      <w:r w:rsidR="00071E36" w:rsidRPr="008751F6">
        <w:t xml:space="preserve"> filed with the Washington Utilities and Transportation Commission (Commission) </w:t>
      </w:r>
      <w:r w:rsidR="009F6918">
        <w:t>a proposed general rate increase that would</w:t>
      </w:r>
      <w:r w:rsidR="00071E36" w:rsidRPr="008751F6">
        <w:t xml:space="preserve"> generate $</w:t>
      </w:r>
      <w:r w:rsidR="009F6918">
        <w:t>52,124.80</w:t>
      </w:r>
      <w:r w:rsidR="00071E36" w:rsidRPr="008751F6">
        <w:t xml:space="preserve"> (</w:t>
      </w:r>
      <w:r w:rsidR="009F6918">
        <w:t>7.8</w:t>
      </w:r>
      <w:r w:rsidR="00071E36" w:rsidRPr="008751F6">
        <w:t xml:space="preserve"> percent) additional annual revenue.  </w:t>
      </w:r>
      <w:r w:rsidR="009F6918" w:rsidRPr="007A59D5">
        <w:rPr>
          <w:szCs w:val="32"/>
        </w:rPr>
        <w:t>Th</w:t>
      </w:r>
      <w:r w:rsidR="00AF36C3">
        <w:rPr>
          <w:szCs w:val="32"/>
        </w:rPr>
        <w:t>e</w:t>
      </w:r>
      <w:r w:rsidR="009F6918" w:rsidRPr="007A59D5">
        <w:rPr>
          <w:szCs w:val="32"/>
        </w:rPr>
        <w:t xml:space="preserve"> surcharge </w:t>
      </w:r>
      <w:r w:rsidR="00AF36C3">
        <w:rPr>
          <w:szCs w:val="32"/>
        </w:rPr>
        <w:t>was</w:t>
      </w:r>
      <w:r w:rsidR="009F6918" w:rsidRPr="007A59D5">
        <w:rPr>
          <w:szCs w:val="32"/>
        </w:rPr>
        <w:t xml:space="preserve"> </w:t>
      </w:r>
      <w:r w:rsidR="009F6918">
        <w:rPr>
          <w:szCs w:val="32"/>
        </w:rPr>
        <w:t xml:space="preserve">filed </w:t>
      </w:r>
      <w:r w:rsidR="009F6918" w:rsidRPr="007A59D5">
        <w:rPr>
          <w:szCs w:val="32"/>
        </w:rPr>
        <w:t xml:space="preserve">pursuant to UW-110436 Order </w:t>
      </w:r>
      <w:r w:rsidR="009F6918">
        <w:rPr>
          <w:szCs w:val="32"/>
        </w:rPr>
        <w:t xml:space="preserve">No. </w:t>
      </w:r>
      <w:r w:rsidR="009F6918" w:rsidRPr="007A59D5">
        <w:rPr>
          <w:szCs w:val="32"/>
        </w:rPr>
        <w:t>1 granting deferral of certain cost</w:t>
      </w:r>
      <w:r w:rsidR="009F6918">
        <w:rPr>
          <w:szCs w:val="32"/>
        </w:rPr>
        <w:t>s</w:t>
      </w:r>
      <w:r w:rsidR="009F6918" w:rsidRPr="007A59D5">
        <w:rPr>
          <w:szCs w:val="32"/>
        </w:rPr>
        <w:t xml:space="preserve"> associated with drilling Well </w:t>
      </w:r>
      <w:r w:rsidR="009F6918">
        <w:rPr>
          <w:szCs w:val="32"/>
        </w:rPr>
        <w:t xml:space="preserve">No. </w:t>
      </w:r>
      <w:r w:rsidR="009F6918" w:rsidRPr="007A59D5">
        <w:rPr>
          <w:szCs w:val="32"/>
        </w:rPr>
        <w:t>17</w:t>
      </w:r>
      <w:r w:rsidR="00AF36C3">
        <w:rPr>
          <w:szCs w:val="32"/>
        </w:rPr>
        <w:t>,</w:t>
      </w:r>
      <w:r w:rsidR="009F6918" w:rsidRPr="007A59D5">
        <w:rPr>
          <w:szCs w:val="32"/>
        </w:rPr>
        <w:t xml:space="preserve"> and the investigation and remediation of contamination discovered while drilling that well in April 2009. </w:t>
      </w:r>
      <w:r w:rsidR="00AF36C3">
        <w:rPr>
          <w:szCs w:val="32"/>
        </w:rPr>
        <w:t xml:space="preserve"> </w:t>
      </w:r>
      <w:r w:rsidR="009F6918" w:rsidRPr="007A59D5">
        <w:rPr>
          <w:szCs w:val="32"/>
        </w:rPr>
        <w:t xml:space="preserve">Olympic serves 1,608 mixed use customers near Port Ludlow in Jefferson County. </w:t>
      </w:r>
      <w:r w:rsidR="00AF36C3">
        <w:rPr>
          <w:szCs w:val="32"/>
        </w:rPr>
        <w:t xml:space="preserve"> </w:t>
      </w:r>
      <w:r w:rsidR="00793944">
        <w:rPr>
          <w:szCs w:val="32"/>
        </w:rPr>
        <w:t>The C</w:t>
      </w:r>
      <w:r w:rsidR="009F6918" w:rsidRPr="007A59D5">
        <w:rPr>
          <w:szCs w:val="32"/>
        </w:rPr>
        <w:t>ompany’s last rate change was effective May 22, 2008.</w:t>
      </w:r>
    </w:p>
    <w:p w14:paraId="595491B9" w14:textId="77777777" w:rsidR="00F60622" w:rsidRPr="008751F6" w:rsidRDefault="00F60622" w:rsidP="00BA50F2">
      <w:pPr>
        <w:pStyle w:val="Header"/>
        <w:tabs>
          <w:tab w:val="clear" w:pos="4320"/>
          <w:tab w:val="clear" w:pos="8640"/>
          <w:tab w:val="num" w:pos="0"/>
        </w:tabs>
        <w:spacing w:line="320" w:lineRule="exact"/>
      </w:pPr>
    </w:p>
    <w:p w14:paraId="034F6170" w14:textId="5A900110" w:rsidR="009F6918" w:rsidRPr="009F6918" w:rsidRDefault="0015647F" w:rsidP="009F6918">
      <w:pPr>
        <w:pStyle w:val="FindingsConclusions"/>
        <w:tabs>
          <w:tab w:val="num" w:pos="0"/>
        </w:tabs>
        <w:rPr>
          <w:lang w:bidi="en-US"/>
        </w:rPr>
      </w:pPr>
      <w:r>
        <w:rPr>
          <w:b/>
          <w:lang w:bidi="en-US"/>
        </w:rPr>
        <w:t xml:space="preserve">Procedural History.  </w:t>
      </w:r>
      <w:r w:rsidR="009F6918" w:rsidRPr="009F6918">
        <w:rPr>
          <w:lang w:bidi="en-US"/>
        </w:rPr>
        <w:t xml:space="preserve">On September 15, 2010, Olympic filed a </w:t>
      </w:r>
      <w:r w:rsidR="009F6918" w:rsidRPr="009F6918">
        <w:t xml:space="preserve">revision to its currently effective tariff </w:t>
      </w:r>
      <w:r w:rsidR="00AF36C3">
        <w:t xml:space="preserve">in </w:t>
      </w:r>
      <w:r w:rsidR="00AF36C3">
        <w:rPr>
          <w:color w:val="000000"/>
        </w:rPr>
        <w:t xml:space="preserve">Docket UW-101543 </w:t>
      </w:r>
      <w:r w:rsidR="00FE4370">
        <w:t>proposing a</w:t>
      </w:r>
      <w:r w:rsidR="00793944">
        <w:t xml:space="preserve"> rate increase that would</w:t>
      </w:r>
      <w:r w:rsidR="009F6918" w:rsidRPr="009F6918">
        <w:t xml:space="preserve"> generate </w:t>
      </w:r>
      <w:r w:rsidR="009F6918" w:rsidRPr="009F6918">
        <w:rPr>
          <w:lang w:bidi="en-US"/>
        </w:rPr>
        <w:t xml:space="preserve">$182,097 (25 percent) additional annual revenue. </w:t>
      </w:r>
      <w:r w:rsidR="00FE4370">
        <w:rPr>
          <w:lang w:bidi="en-US"/>
        </w:rPr>
        <w:t xml:space="preserve"> </w:t>
      </w:r>
      <w:r w:rsidR="00AF36C3">
        <w:rPr>
          <w:lang w:bidi="en-US"/>
        </w:rPr>
        <w:t>Commission staff (Staff)</w:t>
      </w:r>
      <w:r w:rsidR="009F6918" w:rsidRPr="009F6918">
        <w:rPr>
          <w:lang w:bidi="en-US"/>
        </w:rPr>
        <w:t xml:space="preserve"> </w:t>
      </w:r>
      <w:r w:rsidR="00AF36C3">
        <w:rPr>
          <w:lang w:bidi="en-US"/>
        </w:rPr>
        <w:t>reviewed</w:t>
      </w:r>
      <w:r w:rsidR="009F6918" w:rsidRPr="009F6918">
        <w:rPr>
          <w:lang w:bidi="en-US"/>
        </w:rPr>
        <w:t xml:space="preserve"> Olympic’s books, records</w:t>
      </w:r>
      <w:r w:rsidR="00AF36C3">
        <w:rPr>
          <w:lang w:bidi="en-US"/>
        </w:rPr>
        <w:t>,</w:t>
      </w:r>
      <w:r w:rsidR="009F6918" w:rsidRPr="009F6918">
        <w:rPr>
          <w:lang w:bidi="en-US"/>
        </w:rPr>
        <w:t xml:space="preserve"> and supporting documents</w:t>
      </w:r>
      <w:r w:rsidR="00176C2C">
        <w:rPr>
          <w:lang w:bidi="en-US"/>
        </w:rPr>
        <w:t>,</w:t>
      </w:r>
      <w:r w:rsidR="009F6918" w:rsidRPr="009F6918">
        <w:rPr>
          <w:lang w:bidi="en-US"/>
        </w:rPr>
        <w:t xml:space="preserve"> </w:t>
      </w:r>
      <w:r w:rsidR="00AF36C3">
        <w:rPr>
          <w:lang w:bidi="en-US"/>
        </w:rPr>
        <w:t>and found that</w:t>
      </w:r>
      <w:r w:rsidR="009F6918" w:rsidRPr="009F6918">
        <w:rPr>
          <w:lang w:bidi="en-US"/>
        </w:rPr>
        <w:t xml:space="preserve"> a large portion of the proposed rate increase resulted from the $32,794 </w:t>
      </w:r>
      <w:r w:rsidR="00FE4370">
        <w:rPr>
          <w:lang w:bidi="en-US"/>
        </w:rPr>
        <w:t xml:space="preserve">in </w:t>
      </w:r>
      <w:r w:rsidR="009F6918" w:rsidRPr="009F6918">
        <w:rPr>
          <w:lang w:bidi="en-US"/>
        </w:rPr>
        <w:t>construction costs and $18,500 in legal costs related to drilling Well No. 17</w:t>
      </w:r>
      <w:r w:rsidR="00FE4370">
        <w:rPr>
          <w:lang w:bidi="en-US"/>
        </w:rPr>
        <w:t>,</w:t>
      </w:r>
      <w:r w:rsidR="009F6918" w:rsidRPr="009F6918">
        <w:rPr>
          <w:lang w:bidi="en-US"/>
        </w:rPr>
        <w:t xml:space="preserve"> and the investigation of </w:t>
      </w:r>
      <w:r>
        <w:rPr>
          <w:lang w:bidi="en-US"/>
        </w:rPr>
        <w:t xml:space="preserve">the </w:t>
      </w:r>
      <w:r w:rsidR="009F6918" w:rsidRPr="009F6918">
        <w:rPr>
          <w:lang w:bidi="en-US"/>
        </w:rPr>
        <w:t>soil contamination</w:t>
      </w:r>
      <w:r>
        <w:rPr>
          <w:lang w:bidi="en-US"/>
        </w:rPr>
        <w:t xml:space="preserve"> discovered while drilling</w:t>
      </w:r>
      <w:r w:rsidR="009F6918" w:rsidRPr="009F6918">
        <w:rPr>
          <w:lang w:bidi="en-US"/>
        </w:rPr>
        <w:t>.</w:t>
      </w:r>
      <w:r w:rsidR="004060C0">
        <w:rPr>
          <w:lang w:bidi="en-US"/>
        </w:rPr>
        <w:t xml:space="preserve"> </w:t>
      </w:r>
      <w:r w:rsidR="009F6918" w:rsidRPr="009F6918">
        <w:rPr>
          <w:lang w:bidi="en-US"/>
        </w:rPr>
        <w:t xml:space="preserve"> Well No. 17 was </w:t>
      </w:r>
      <w:r w:rsidR="00FE4370">
        <w:rPr>
          <w:lang w:bidi="en-US"/>
        </w:rPr>
        <w:t xml:space="preserve">ultimately </w:t>
      </w:r>
      <w:r w:rsidR="00AF36C3">
        <w:rPr>
          <w:lang w:bidi="en-US"/>
        </w:rPr>
        <w:t xml:space="preserve">deemed </w:t>
      </w:r>
      <w:r w:rsidR="009F6918" w:rsidRPr="009F6918">
        <w:rPr>
          <w:lang w:bidi="en-US"/>
        </w:rPr>
        <w:t xml:space="preserve">unusable for production due to </w:t>
      </w:r>
      <w:r w:rsidR="00FE4370">
        <w:rPr>
          <w:lang w:bidi="en-US"/>
        </w:rPr>
        <w:t xml:space="preserve">the </w:t>
      </w:r>
      <w:r w:rsidR="009F6918" w:rsidRPr="009F6918">
        <w:rPr>
          <w:lang w:bidi="en-US"/>
        </w:rPr>
        <w:t xml:space="preserve">soil contamination discovered during the drilling process. </w:t>
      </w:r>
      <w:r w:rsidR="009F6918">
        <w:rPr>
          <w:lang w:bidi="en-US"/>
        </w:rPr>
        <w:br/>
      </w:r>
    </w:p>
    <w:p w14:paraId="6E6CEEBD" w14:textId="5E41702A" w:rsidR="009F6918" w:rsidRDefault="00AF36C3" w:rsidP="009F6918">
      <w:pPr>
        <w:pStyle w:val="FindingsConclusions"/>
        <w:rPr>
          <w:color w:val="000000"/>
        </w:rPr>
      </w:pPr>
      <w:r>
        <w:t>Staff removed</w:t>
      </w:r>
      <w:r w:rsidR="009F6918">
        <w:t xml:space="preserve"> </w:t>
      </w:r>
      <w:r>
        <w:t xml:space="preserve">the </w:t>
      </w:r>
      <w:r w:rsidR="009F6918">
        <w:t xml:space="preserve">investigation </w:t>
      </w:r>
      <w:r>
        <w:t xml:space="preserve">costs </w:t>
      </w:r>
      <w:r w:rsidR="009F6918">
        <w:t xml:space="preserve">from the </w:t>
      </w:r>
      <w:r>
        <w:t xml:space="preserve">2010 </w:t>
      </w:r>
      <w:r w:rsidR="009F6918">
        <w:t>rate case</w:t>
      </w:r>
      <w:r>
        <w:t xml:space="preserve"> because they were unknown and ongoing</w:t>
      </w:r>
      <w:r w:rsidR="006A5C85">
        <w:t xml:space="preserve"> at that time</w:t>
      </w:r>
      <w:r w:rsidR="009F6918">
        <w:t xml:space="preserve">. </w:t>
      </w:r>
      <w:r w:rsidR="00F559AF">
        <w:t xml:space="preserve"> </w:t>
      </w:r>
      <w:r w:rsidR="009F6918" w:rsidRPr="00B1586B">
        <w:t>The result of th</w:t>
      </w:r>
      <w:r w:rsidR="009F6918">
        <w:t xml:space="preserve">ese </w:t>
      </w:r>
      <w:r w:rsidR="009F6918" w:rsidRPr="00B1586B">
        <w:t>adjustment</w:t>
      </w:r>
      <w:r w:rsidR="009F6918">
        <w:t xml:space="preserve">s and other allocations showed that the </w:t>
      </w:r>
      <w:r w:rsidR="00833361">
        <w:t>C</w:t>
      </w:r>
      <w:r w:rsidR="009F6918">
        <w:t xml:space="preserve">ompany had </w:t>
      </w:r>
      <w:r w:rsidR="009F6918" w:rsidRPr="00B1586B">
        <w:t>no</w:t>
      </w:r>
      <w:r w:rsidR="009F6918">
        <w:t>t</w:t>
      </w:r>
      <w:r w:rsidR="009F6918" w:rsidRPr="00B1586B">
        <w:t xml:space="preserve"> </w:t>
      </w:r>
      <w:r w:rsidR="009F6918">
        <w:t xml:space="preserve">demonstrated its need for </w:t>
      </w:r>
      <w:r w:rsidR="009F6918" w:rsidRPr="00B1586B">
        <w:t>additional revenue.</w:t>
      </w:r>
      <w:r w:rsidR="009F6918">
        <w:t xml:space="preserve"> </w:t>
      </w:r>
      <w:r w:rsidR="00FE4370">
        <w:t xml:space="preserve"> </w:t>
      </w:r>
      <w:r w:rsidR="009F6918">
        <w:t xml:space="preserve">On March 9, 2011, the </w:t>
      </w:r>
      <w:r w:rsidR="00833361">
        <w:t>C</w:t>
      </w:r>
      <w:r w:rsidR="009F6918">
        <w:t>ompany requested</w:t>
      </w:r>
      <w:r w:rsidR="00833361">
        <w:t xml:space="preserve"> </w:t>
      </w:r>
      <w:r w:rsidR="009F6918">
        <w:t xml:space="preserve">that the </w:t>
      </w:r>
      <w:r w:rsidR="00833361">
        <w:t>C</w:t>
      </w:r>
      <w:r w:rsidR="009F6918">
        <w:t>ommission d</w:t>
      </w:r>
      <w:r w:rsidR="009F6918" w:rsidRPr="00A271A6">
        <w:rPr>
          <w:color w:val="000000"/>
        </w:rPr>
        <w:t xml:space="preserve">ismiss the Complaint and Order Suspending the Tariff Revision </w:t>
      </w:r>
      <w:r w:rsidR="009F6918">
        <w:rPr>
          <w:color w:val="000000"/>
        </w:rPr>
        <w:t xml:space="preserve">in Docket UW-101543 </w:t>
      </w:r>
      <w:r w:rsidR="009F6918">
        <w:t xml:space="preserve">and allow Olympic to </w:t>
      </w:r>
      <w:r w:rsidR="009F6918">
        <w:lastRenderedPageBreak/>
        <w:t xml:space="preserve">withdraw </w:t>
      </w:r>
      <w:r w:rsidR="00833361">
        <w:t>its</w:t>
      </w:r>
      <w:r w:rsidR="009F6918">
        <w:t xml:space="preserve"> tariff revision</w:t>
      </w:r>
      <w:r w:rsidR="009F6918">
        <w:rPr>
          <w:color w:val="000000"/>
        </w:rPr>
        <w:t xml:space="preserve">. </w:t>
      </w:r>
      <w:r w:rsidR="00FE4370">
        <w:rPr>
          <w:color w:val="000000"/>
        </w:rPr>
        <w:t xml:space="preserve"> </w:t>
      </w:r>
      <w:r w:rsidR="009F6918">
        <w:rPr>
          <w:color w:val="000000"/>
        </w:rPr>
        <w:t xml:space="preserve">The withdrawal letter filed by the </w:t>
      </w:r>
      <w:r w:rsidR="00833361">
        <w:rPr>
          <w:color w:val="000000"/>
        </w:rPr>
        <w:t>C</w:t>
      </w:r>
      <w:r w:rsidR="009F6918">
        <w:rPr>
          <w:color w:val="000000"/>
        </w:rPr>
        <w:t xml:space="preserve">ompany was conditioned upon the </w:t>
      </w:r>
      <w:r w:rsidR="00833361">
        <w:rPr>
          <w:color w:val="000000"/>
        </w:rPr>
        <w:t>C</w:t>
      </w:r>
      <w:r w:rsidR="009F6918">
        <w:rPr>
          <w:color w:val="000000"/>
        </w:rPr>
        <w:t>ommission approving the accounting petition</w:t>
      </w:r>
      <w:r w:rsidR="0098138E">
        <w:rPr>
          <w:color w:val="000000"/>
        </w:rPr>
        <w:t xml:space="preserve"> filed in this docket</w:t>
      </w:r>
      <w:r w:rsidR="009F6918">
        <w:rPr>
          <w:color w:val="000000"/>
        </w:rPr>
        <w:t xml:space="preserve">. </w:t>
      </w:r>
      <w:r w:rsidR="00FE4370">
        <w:rPr>
          <w:color w:val="000000"/>
        </w:rPr>
        <w:t xml:space="preserve"> </w:t>
      </w:r>
      <w:r w:rsidR="009F6918">
        <w:rPr>
          <w:color w:val="000000"/>
        </w:rPr>
        <w:t>The withdrawal was allowed and the r</w:t>
      </w:r>
      <w:r w:rsidR="009F6918">
        <w:t xml:space="preserve">ates for water service remained unchanged. </w:t>
      </w:r>
      <w:r w:rsidR="009F6918">
        <w:br/>
      </w:r>
    </w:p>
    <w:p w14:paraId="0D499DC5" w14:textId="60541698" w:rsidR="00833361" w:rsidRDefault="009F6918" w:rsidP="00833361">
      <w:pPr>
        <w:pStyle w:val="FindingsConclusions"/>
      </w:pPr>
      <w:r>
        <w:t xml:space="preserve">On March 7, 2011, Olympic filed a petition in </w:t>
      </w:r>
      <w:r w:rsidR="00EC0900">
        <w:t>this docket</w:t>
      </w:r>
      <w:r>
        <w:t xml:space="preserve"> requesting an accounting order authorizing deferred accounting treatment for cost</w:t>
      </w:r>
      <w:r w:rsidRPr="00B1586B">
        <w:t>s associated with drilling</w:t>
      </w:r>
      <w:r>
        <w:t xml:space="preserve"> Well No. 17</w:t>
      </w:r>
      <w:r w:rsidRPr="00B1586B">
        <w:t xml:space="preserve">, </w:t>
      </w:r>
      <w:r>
        <w:t>and the</w:t>
      </w:r>
      <w:r w:rsidR="00FE4370">
        <w:t xml:space="preserve"> resulting </w:t>
      </w:r>
      <w:r w:rsidRPr="00B1586B">
        <w:t xml:space="preserve">investigation and remediation of </w:t>
      </w:r>
      <w:r>
        <w:t xml:space="preserve">soil contamination. </w:t>
      </w:r>
      <w:r w:rsidR="00833361">
        <w:t xml:space="preserve"> </w:t>
      </w:r>
      <w:r>
        <w:t xml:space="preserve">Costs would include, but </w:t>
      </w:r>
      <w:r w:rsidR="00833361">
        <w:t>not be</w:t>
      </w:r>
      <w:r>
        <w:t xml:space="preserve"> limited to, actual well drilling, consulting, engineering, legal fees, testing</w:t>
      </w:r>
      <w:r w:rsidR="00833361">
        <w:t>,</w:t>
      </w:r>
      <w:r>
        <w:t xml:space="preserve"> and other costs associated with the </w:t>
      </w:r>
      <w:r w:rsidRPr="00B1586B">
        <w:t>investigation and remediation</w:t>
      </w:r>
      <w:r>
        <w:t xml:space="preserve">. </w:t>
      </w:r>
      <w:r w:rsidR="00833361">
        <w:t xml:space="preserve"> </w:t>
      </w:r>
      <w:r>
        <w:t xml:space="preserve">Deferred accounting treatment would preserve Olympic’s ability to seek recovery of those costs at a later time. </w:t>
      </w:r>
      <w:r w:rsidR="00833361">
        <w:br/>
      </w:r>
    </w:p>
    <w:p w14:paraId="1A0928A2" w14:textId="29282705" w:rsidR="000C5A3B" w:rsidRDefault="009F6918" w:rsidP="008611BE">
      <w:pPr>
        <w:pStyle w:val="FindingsConclusion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Staff concurred with the </w:t>
      </w:r>
      <w:r w:rsidR="00833361">
        <w:t>C</w:t>
      </w:r>
      <w:r>
        <w:t>ompany’s request for deferred accounting treatment</w:t>
      </w:r>
      <w:r w:rsidR="00833361">
        <w:t>, subject</w:t>
      </w:r>
      <w:r w:rsidR="00FE4370">
        <w:t xml:space="preserve"> to certain conditions</w:t>
      </w:r>
      <w:r>
        <w:t>.</w:t>
      </w:r>
      <w:r w:rsidR="006A5C85">
        <w:t xml:space="preserve"> </w:t>
      </w:r>
      <w:r w:rsidRPr="009F6918">
        <w:t xml:space="preserve"> </w:t>
      </w:r>
      <w:r w:rsidR="00EC0900">
        <w:t xml:space="preserve">The Company is now seeking cost recovery under Section 8(a) </w:t>
      </w:r>
      <w:r w:rsidR="00833361">
        <w:t>of Staff’s</w:t>
      </w:r>
      <w:r>
        <w:t xml:space="preserve"> conditions</w:t>
      </w:r>
      <w:r w:rsidR="00EC0900">
        <w:t>, which provides, “</w:t>
      </w:r>
      <w:r>
        <w:t xml:space="preserve">The </w:t>
      </w:r>
      <w:r w:rsidR="00EC0900">
        <w:t>C</w:t>
      </w:r>
      <w:r>
        <w:t>ompany may file tariff revisions to recover Well No. 17 drilling and soil contamination investigation costs w</w:t>
      </w:r>
      <w:r w:rsidRPr="008E5A4E">
        <w:t xml:space="preserve">hen the </w:t>
      </w:r>
      <w:r>
        <w:t xml:space="preserve">costs are known and measurable </w:t>
      </w:r>
      <w:r w:rsidRPr="008E5A4E">
        <w:t xml:space="preserve">and </w:t>
      </w:r>
      <w:r>
        <w:t>the responsibilities for costs have been finalized between any insurance provider or other third party</w:t>
      </w:r>
      <w:r w:rsidRPr="008E5A4E">
        <w:t>.</w:t>
      </w:r>
      <w:r w:rsidR="00EC0900">
        <w:t xml:space="preserve">”  </w:t>
      </w:r>
    </w:p>
    <w:p w14:paraId="173B7607" w14:textId="77777777" w:rsidR="009F6918" w:rsidRDefault="009F6918" w:rsidP="009F69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0E858AF" w14:textId="68C2C5BE" w:rsidR="000C5A3B" w:rsidRPr="00FE68FC" w:rsidRDefault="000C5A3B" w:rsidP="000C5A3B">
      <w:pPr>
        <w:pStyle w:val="FindingsConclusions"/>
      </w:pPr>
      <w:r w:rsidRPr="00FE68FC">
        <w:t xml:space="preserve">The </w:t>
      </w:r>
      <w:r w:rsidR="006A5C85">
        <w:t>C</w:t>
      </w:r>
      <w:r w:rsidRPr="00FE68FC">
        <w:t>ompany is not seeking funds for any remediation or future cost</w:t>
      </w:r>
      <w:r>
        <w:t>s</w:t>
      </w:r>
      <w:r w:rsidRPr="00FE68FC">
        <w:t xml:space="preserve"> not yet known or measurable. </w:t>
      </w:r>
      <w:r w:rsidR="006A5C85">
        <w:t xml:space="preserve"> </w:t>
      </w:r>
      <w:r>
        <w:rPr>
          <w:color w:val="000000"/>
        </w:rPr>
        <w:t>T</w:t>
      </w:r>
      <w:r w:rsidRPr="00FE68FC">
        <w:rPr>
          <w:color w:val="000000"/>
        </w:rPr>
        <w:t xml:space="preserve">he </w:t>
      </w:r>
      <w:r w:rsidR="002E279B">
        <w:rPr>
          <w:color w:val="000000"/>
        </w:rPr>
        <w:t>Company</w:t>
      </w:r>
      <w:r w:rsidRPr="00FE68FC">
        <w:rPr>
          <w:color w:val="000000"/>
        </w:rPr>
        <w:t xml:space="preserve"> </w:t>
      </w:r>
      <w:r w:rsidR="0015647F">
        <w:rPr>
          <w:color w:val="000000"/>
        </w:rPr>
        <w:t xml:space="preserve">is only </w:t>
      </w:r>
      <w:r w:rsidRPr="00FE68FC">
        <w:rPr>
          <w:color w:val="000000"/>
        </w:rPr>
        <w:t>seek</w:t>
      </w:r>
      <w:r w:rsidR="0015647F">
        <w:rPr>
          <w:color w:val="000000"/>
        </w:rPr>
        <w:t>ing</w:t>
      </w:r>
      <w:r w:rsidRPr="00FE68FC">
        <w:rPr>
          <w:color w:val="000000"/>
        </w:rPr>
        <w:t xml:space="preserve"> repayment of costs associated with drilling </w:t>
      </w:r>
      <w:r>
        <w:rPr>
          <w:color w:val="000000"/>
        </w:rPr>
        <w:t>Well</w:t>
      </w:r>
      <w:r w:rsidRPr="00FE68FC">
        <w:rPr>
          <w:color w:val="000000"/>
        </w:rPr>
        <w:t xml:space="preserve"> </w:t>
      </w:r>
      <w:r>
        <w:rPr>
          <w:color w:val="000000"/>
        </w:rPr>
        <w:t xml:space="preserve">No. </w:t>
      </w:r>
      <w:r w:rsidRPr="00FE68FC">
        <w:rPr>
          <w:color w:val="000000"/>
        </w:rPr>
        <w:t xml:space="preserve">17 and </w:t>
      </w:r>
      <w:r w:rsidR="00EC0900">
        <w:rPr>
          <w:color w:val="000000"/>
        </w:rPr>
        <w:t xml:space="preserve">the </w:t>
      </w:r>
      <w:r w:rsidRPr="00FE68FC">
        <w:rPr>
          <w:color w:val="000000"/>
        </w:rPr>
        <w:t xml:space="preserve">investigation and legal costs </w:t>
      </w:r>
      <w:r w:rsidR="0015647F">
        <w:rPr>
          <w:color w:val="000000"/>
        </w:rPr>
        <w:t xml:space="preserve">resulting from </w:t>
      </w:r>
      <w:r w:rsidRPr="00FE68FC">
        <w:rPr>
          <w:color w:val="000000"/>
        </w:rPr>
        <w:t>the discovery of soil contamination.</w:t>
      </w:r>
      <w:r>
        <w:rPr>
          <w:color w:val="000000"/>
        </w:rPr>
        <w:br/>
      </w:r>
    </w:p>
    <w:p w14:paraId="70713324" w14:textId="479970E5" w:rsidR="000C5A3B" w:rsidRDefault="000C5EE3" w:rsidP="00414A22">
      <w:pPr>
        <w:pStyle w:val="FindingsConclusions"/>
      </w:pPr>
      <w:r w:rsidRPr="000C5EE3">
        <w:rPr>
          <w:b/>
          <w:color w:val="000000"/>
        </w:rPr>
        <w:t xml:space="preserve">Discussion.  </w:t>
      </w:r>
      <w:r w:rsidR="000C5A3B">
        <w:t xml:space="preserve">Since April 10, 2014, the Company and </w:t>
      </w:r>
      <w:r>
        <w:t xml:space="preserve">its </w:t>
      </w:r>
      <w:r w:rsidR="000C5A3B">
        <w:t xml:space="preserve">customers have </w:t>
      </w:r>
      <w:r w:rsidR="006537EB">
        <w:t xml:space="preserve">met </w:t>
      </w:r>
      <w:r w:rsidR="000C5A3B">
        <w:t xml:space="preserve">several </w:t>
      </w:r>
      <w:r w:rsidR="006537EB">
        <w:t xml:space="preserve">times </w:t>
      </w:r>
      <w:r w:rsidR="000C5A3B">
        <w:t>to discuss the surcharge filing</w:t>
      </w:r>
      <w:r>
        <w:t>, and have reached a compromise on recovery cost</w:t>
      </w:r>
      <w:r w:rsidR="006537EB">
        <w:t>s</w:t>
      </w:r>
      <w:r w:rsidR="000C5A3B">
        <w:t>.</w:t>
      </w:r>
      <w:r w:rsidR="00A211D2">
        <w:rPr>
          <w:rStyle w:val="FootnoteReference"/>
        </w:rPr>
        <w:footnoteReference w:id="1"/>
      </w:r>
      <w:r w:rsidR="000C5A3B">
        <w:t xml:space="preserve">  The Company presented th</w:t>
      </w:r>
      <w:r>
        <w:t xml:space="preserve">e </w:t>
      </w:r>
      <w:r w:rsidR="000C5A3B">
        <w:t>compromise to the Port Ludlow Village Council</w:t>
      </w:r>
      <w:r w:rsidR="00A211D2">
        <w:t xml:space="preserve"> (PLVC)</w:t>
      </w:r>
      <w:r>
        <w:t>,</w:t>
      </w:r>
      <w:r w:rsidR="000C5A3B">
        <w:t xml:space="preserve"> and received a letter of support </w:t>
      </w:r>
      <w:r>
        <w:t>in return</w:t>
      </w:r>
      <w:r w:rsidR="000C5A3B">
        <w:t>.</w:t>
      </w:r>
      <w:r w:rsidR="00927310">
        <w:rPr>
          <w:rStyle w:val="FootnoteReference"/>
        </w:rPr>
        <w:footnoteReference w:id="2"/>
      </w:r>
      <w:r w:rsidR="000C5A3B">
        <w:t xml:space="preserve">  </w:t>
      </w:r>
      <w:r w:rsidR="000C5A3B">
        <w:br/>
      </w:r>
    </w:p>
    <w:p w14:paraId="5EA33948" w14:textId="24D0CFDD" w:rsidR="0098138E" w:rsidRDefault="000C5A3B" w:rsidP="00B8642E">
      <w:pPr>
        <w:pStyle w:val="FindingsConclusions"/>
      </w:pPr>
      <w:r w:rsidRPr="000C5EE3">
        <w:t>The compromise proposal is as follows: 1) the Well No. 17 drilling cost of $31,115 will be deferred for future capitalization and recovery associated with a future new water supply source for</w:t>
      </w:r>
      <w:r w:rsidR="0098138E" w:rsidRPr="000C5EE3">
        <w:t xml:space="preserve"> the North Aquifer service area; 2) the site investigation cost of $69,844 will be part of the revise</w:t>
      </w:r>
      <w:r w:rsidR="002C1FB7">
        <w:t>d</w:t>
      </w:r>
      <w:r w:rsidR="0098138E" w:rsidRPr="000C5EE3">
        <w:t xml:space="preserve"> surcharge recovery; 3) the legal costs totaling $47,475 will be split </w:t>
      </w:r>
      <w:r w:rsidR="002C1FB7">
        <w:t xml:space="preserve">as </w:t>
      </w:r>
      <w:r w:rsidR="0098138E" w:rsidRPr="000C5EE3">
        <w:t>$35,606 (75 percent) in the revised surcharge recovery</w:t>
      </w:r>
      <w:r w:rsidR="002C1FB7">
        <w:t>,</w:t>
      </w:r>
      <w:r w:rsidR="0098138E" w:rsidRPr="000C5EE3">
        <w:t xml:space="preserve"> and $11,869 (25 percent) </w:t>
      </w:r>
      <w:r w:rsidR="00F559AF">
        <w:t>will</w:t>
      </w:r>
      <w:r w:rsidR="0098138E" w:rsidRPr="000C5EE3">
        <w:t xml:space="preserve"> be deferred</w:t>
      </w:r>
      <w:r w:rsidR="00F559AF">
        <w:t>,</w:t>
      </w:r>
      <w:r w:rsidR="0098138E" w:rsidRPr="000C5EE3">
        <w:t xml:space="preserve"> </w:t>
      </w:r>
      <w:r w:rsidR="0098138E" w:rsidRPr="00927310">
        <w:t xml:space="preserve">and </w:t>
      </w:r>
      <w:r w:rsidR="00F559AF">
        <w:t xml:space="preserve">its </w:t>
      </w:r>
      <w:r w:rsidR="0098138E" w:rsidRPr="00927310">
        <w:t>recovery associated with a future new water supply source for the North Aquifer service area</w:t>
      </w:r>
      <w:r w:rsidR="0098138E" w:rsidRPr="000C5EE3">
        <w:t xml:space="preserve">; 4) the total amount to be deferred is $42,983 for future capitalization and recovery associated with a future new water supply source for the North </w:t>
      </w:r>
      <w:r w:rsidR="0098138E">
        <w:t>Aquifer service area.</w:t>
      </w:r>
      <w:r w:rsidR="0098138E">
        <w:br/>
      </w:r>
    </w:p>
    <w:p w14:paraId="3CEF1111" w14:textId="39C0643F" w:rsidR="000A1956" w:rsidRDefault="0098138E" w:rsidP="00B8642E">
      <w:pPr>
        <w:pStyle w:val="FindingsConclusions"/>
      </w:pPr>
      <w:r>
        <w:t xml:space="preserve">The surcharge is set to expire on October 31, 2017, or upon recovery of $117,514, whichever occurs first.  The total cost includes principal, plus interest charges and state excise taxes.  The surcharge may be paid (within 90 days of the effective date) in a one-time payment of $67.06 per customer to </w:t>
      </w:r>
      <w:r w:rsidR="006A5C85">
        <w:t>avoid</w:t>
      </w:r>
      <w:r>
        <w:t xml:space="preserve"> </w:t>
      </w:r>
      <w:r w:rsidR="006A5C85">
        <w:t>paying</w:t>
      </w:r>
      <w:r w:rsidR="002C1FB7">
        <w:t xml:space="preserve"> interest</w:t>
      </w:r>
      <w:r>
        <w:t>.</w:t>
      </w:r>
      <w:r w:rsidR="000A1956">
        <w:br/>
      </w:r>
    </w:p>
    <w:p w14:paraId="53129AFD" w14:textId="0B57FD5C" w:rsidR="000A1956" w:rsidRPr="005D0A9A" w:rsidRDefault="000A1956" w:rsidP="000A1956">
      <w:pPr>
        <w:pStyle w:val="FindingsConclusions"/>
      </w:pPr>
      <w:r w:rsidRPr="005D0A9A">
        <w:t xml:space="preserve">The table below </w:t>
      </w:r>
      <w:r>
        <w:t>illustrates</w:t>
      </w:r>
      <w:r w:rsidRPr="005D0A9A">
        <w:t xml:space="preserve"> the </w:t>
      </w:r>
      <w:r>
        <w:t>C</w:t>
      </w:r>
      <w:r w:rsidRPr="005D0A9A">
        <w:t>ompany’s summary of cost</w:t>
      </w:r>
      <w:r>
        <w:t xml:space="preserve"> recovery</w:t>
      </w:r>
      <w:r w:rsidRPr="005D0A9A">
        <w:t xml:space="preserve"> for </w:t>
      </w:r>
      <w:r>
        <w:t>W</w:t>
      </w:r>
      <w:r w:rsidRPr="005D0A9A">
        <w:t xml:space="preserve">ell No. 17. </w:t>
      </w:r>
    </w:p>
    <w:p w14:paraId="0BD0B23B" w14:textId="77777777" w:rsidR="000A1956" w:rsidRPr="00147DFE" w:rsidRDefault="000A1956" w:rsidP="000A195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  <w:rPr>
          <w:rFonts w:eastAsia="Calibri"/>
          <w:lang w:bidi="en-US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826"/>
        <w:gridCol w:w="1862"/>
        <w:gridCol w:w="2087"/>
        <w:gridCol w:w="1855"/>
      </w:tblGrid>
      <w:tr w:rsidR="000A1956" w:rsidRPr="00147DFE" w14:paraId="10C6EF28" w14:textId="77777777" w:rsidTr="00844046">
        <w:trPr>
          <w:jc w:val="center"/>
        </w:trPr>
        <w:tc>
          <w:tcPr>
            <w:tcW w:w="3055" w:type="dxa"/>
            <w:vAlign w:val="center"/>
          </w:tcPr>
          <w:p w14:paraId="60523E80" w14:textId="77777777" w:rsidR="000A1956" w:rsidRPr="00147DFE" w:rsidRDefault="000A1956" w:rsidP="00844046">
            <w:pPr>
              <w:jc w:val="center"/>
              <w:rPr>
                <w:b/>
                <w:lang w:bidi="en-US"/>
              </w:rPr>
            </w:pPr>
            <w:r w:rsidRPr="00147DFE">
              <w:rPr>
                <w:b/>
                <w:lang w:bidi="en-US"/>
              </w:rPr>
              <w:t>Well No. 17</w:t>
            </w:r>
          </w:p>
        </w:tc>
        <w:tc>
          <w:tcPr>
            <w:tcW w:w="1980" w:type="dxa"/>
            <w:vAlign w:val="center"/>
          </w:tcPr>
          <w:p w14:paraId="4E348FC3" w14:textId="77777777" w:rsidR="000A1956" w:rsidRPr="00147DFE" w:rsidRDefault="000A1956" w:rsidP="00844046">
            <w:pPr>
              <w:jc w:val="center"/>
              <w:rPr>
                <w:b/>
                <w:lang w:bidi="en-US"/>
              </w:rPr>
            </w:pPr>
            <w:r w:rsidRPr="00147DFE">
              <w:rPr>
                <w:b/>
                <w:lang w:bidi="en-US"/>
              </w:rPr>
              <w:t>Proposed Cost</w:t>
            </w:r>
          </w:p>
        </w:tc>
        <w:tc>
          <w:tcPr>
            <w:tcW w:w="2249" w:type="dxa"/>
            <w:vAlign w:val="center"/>
          </w:tcPr>
          <w:p w14:paraId="517C0ED2" w14:textId="77777777" w:rsidR="000A1956" w:rsidRPr="00147DFE" w:rsidRDefault="000A1956" w:rsidP="00844046">
            <w:pPr>
              <w:jc w:val="center"/>
              <w:rPr>
                <w:b/>
                <w:lang w:bidi="en-US"/>
              </w:rPr>
            </w:pPr>
            <w:r w:rsidRPr="00147DFE">
              <w:rPr>
                <w:b/>
                <w:lang w:bidi="en-US"/>
              </w:rPr>
              <w:t>Revised Cost</w:t>
            </w:r>
          </w:p>
        </w:tc>
        <w:tc>
          <w:tcPr>
            <w:tcW w:w="1981" w:type="dxa"/>
            <w:vAlign w:val="center"/>
          </w:tcPr>
          <w:p w14:paraId="1F51661B" w14:textId="77777777" w:rsidR="000A1956" w:rsidRPr="00147DFE" w:rsidRDefault="000A1956" w:rsidP="00844046">
            <w:pPr>
              <w:jc w:val="center"/>
              <w:rPr>
                <w:b/>
                <w:lang w:bidi="en-US"/>
              </w:rPr>
            </w:pPr>
            <w:r w:rsidRPr="00147DFE">
              <w:rPr>
                <w:b/>
                <w:lang w:bidi="en-US"/>
              </w:rPr>
              <w:t>Deferred Cost</w:t>
            </w:r>
          </w:p>
        </w:tc>
      </w:tr>
      <w:tr w:rsidR="000A1956" w:rsidRPr="00147DFE" w14:paraId="4955BF5F" w14:textId="77777777" w:rsidTr="00844046">
        <w:trPr>
          <w:jc w:val="center"/>
        </w:trPr>
        <w:tc>
          <w:tcPr>
            <w:tcW w:w="3055" w:type="dxa"/>
          </w:tcPr>
          <w:p w14:paraId="3AD180BD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Well Drilling</w:t>
            </w:r>
          </w:p>
        </w:tc>
        <w:tc>
          <w:tcPr>
            <w:tcW w:w="1980" w:type="dxa"/>
            <w:vAlign w:val="center"/>
          </w:tcPr>
          <w:p w14:paraId="124496C6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$ 31,115</w:t>
            </w:r>
          </w:p>
        </w:tc>
        <w:tc>
          <w:tcPr>
            <w:tcW w:w="2249" w:type="dxa"/>
            <w:vAlign w:val="center"/>
          </w:tcPr>
          <w:p w14:paraId="6C58E1AD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--</w:t>
            </w:r>
          </w:p>
        </w:tc>
        <w:tc>
          <w:tcPr>
            <w:tcW w:w="1981" w:type="dxa"/>
            <w:vAlign w:val="center"/>
          </w:tcPr>
          <w:p w14:paraId="28D68915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$ 31,115</w:t>
            </w:r>
          </w:p>
        </w:tc>
      </w:tr>
      <w:tr w:rsidR="000A1956" w:rsidRPr="00147DFE" w14:paraId="72B79C59" w14:textId="77777777" w:rsidTr="00844046">
        <w:trPr>
          <w:jc w:val="center"/>
        </w:trPr>
        <w:tc>
          <w:tcPr>
            <w:tcW w:w="3055" w:type="dxa"/>
          </w:tcPr>
          <w:p w14:paraId="799B8A0E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</w:p>
        </w:tc>
        <w:tc>
          <w:tcPr>
            <w:tcW w:w="1980" w:type="dxa"/>
            <w:vAlign w:val="center"/>
          </w:tcPr>
          <w:p w14:paraId="5F0C4687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</w:p>
        </w:tc>
        <w:tc>
          <w:tcPr>
            <w:tcW w:w="2249" w:type="dxa"/>
            <w:vAlign w:val="center"/>
          </w:tcPr>
          <w:p w14:paraId="74FA843A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</w:p>
        </w:tc>
        <w:tc>
          <w:tcPr>
            <w:tcW w:w="1981" w:type="dxa"/>
            <w:vAlign w:val="center"/>
          </w:tcPr>
          <w:p w14:paraId="49AFA772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</w:p>
        </w:tc>
      </w:tr>
      <w:tr w:rsidR="000A1956" w:rsidRPr="00147DFE" w14:paraId="319370F8" w14:textId="77777777" w:rsidTr="00844046">
        <w:trPr>
          <w:jc w:val="center"/>
        </w:trPr>
        <w:tc>
          <w:tcPr>
            <w:tcW w:w="3055" w:type="dxa"/>
          </w:tcPr>
          <w:p w14:paraId="08F5FDAB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Site Investigation</w:t>
            </w:r>
          </w:p>
        </w:tc>
        <w:tc>
          <w:tcPr>
            <w:tcW w:w="1980" w:type="dxa"/>
            <w:vAlign w:val="center"/>
          </w:tcPr>
          <w:p w14:paraId="60113BFF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$ 69,844</w:t>
            </w:r>
          </w:p>
        </w:tc>
        <w:tc>
          <w:tcPr>
            <w:tcW w:w="2249" w:type="dxa"/>
            <w:vAlign w:val="center"/>
          </w:tcPr>
          <w:p w14:paraId="10378C4B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$ 69,844</w:t>
            </w:r>
          </w:p>
        </w:tc>
        <w:tc>
          <w:tcPr>
            <w:tcW w:w="1981" w:type="dxa"/>
            <w:vAlign w:val="center"/>
          </w:tcPr>
          <w:p w14:paraId="3E0DC6E1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--</w:t>
            </w:r>
          </w:p>
        </w:tc>
      </w:tr>
      <w:tr w:rsidR="000A1956" w:rsidRPr="00147DFE" w14:paraId="3B74B16F" w14:textId="77777777" w:rsidTr="00844046">
        <w:trPr>
          <w:jc w:val="center"/>
        </w:trPr>
        <w:tc>
          <w:tcPr>
            <w:tcW w:w="3055" w:type="dxa"/>
          </w:tcPr>
          <w:p w14:paraId="00619BA9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Legal</w:t>
            </w:r>
          </w:p>
        </w:tc>
        <w:tc>
          <w:tcPr>
            <w:tcW w:w="1980" w:type="dxa"/>
            <w:vAlign w:val="center"/>
          </w:tcPr>
          <w:p w14:paraId="3B9D5366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$ 47,475</w:t>
            </w:r>
          </w:p>
        </w:tc>
        <w:tc>
          <w:tcPr>
            <w:tcW w:w="2249" w:type="dxa"/>
            <w:vAlign w:val="center"/>
          </w:tcPr>
          <w:p w14:paraId="1D9541F5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$35,606</w:t>
            </w:r>
          </w:p>
        </w:tc>
        <w:tc>
          <w:tcPr>
            <w:tcW w:w="1981" w:type="dxa"/>
            <w:vAlign w:val="center"/>
          </w:tcPr>
          <w:p w14:paraId="021003F6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$ 11,869</w:t>
            </w:r>
          </w:p>
        </w:tc>
      </w:tr>
      <w:tr w:rsidR="000A1956" w:rsidRPr="00147DFE" w14:paraId="28139A40" w14:textId="77777777" w:rsidTr="00844046">
        <w:trPr>
          <w:jc w:val="center"/>
        </w:trPr>
        <w:tc>
          <w:tcPr>
            <w:tcW w:w="3055" w:type="dxa"/>
          </w:tcPr>
          <w:p w14:paraId="06C7CA98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Notice &amp; Mailing</w:t>
            </w:r>
          </w:p>
        </w:tc>
        <w:tc>
          <w:tcPr>
            <w:tcW w:w="1980" w:type="dxa"/>
            <w:vAlign w:val="center"/>
          </w:tcPr>
          <w:p w14:paraId="39B3D67A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$     788</w:t>
            </w:r>
          </w:p>
        </w:tc>
        <w:tc>
          <w:tcPr>
            <w:tcW w:w="2249" w:type="dxa"/>
            <w:vAlign w:val="center"/>
          </w:tcPr>
          <w:p w14:paraId="4337D512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$     788</w:t>
            </w:r>
          </w:p>
        </w:tc>
        <w:tc>
          <w:tcPr>
            <w:tcW w:w="1981" w:type="dxa"/>
            <w:vAlign w:val="center"/>
          </w:tcPr>
          <w:p w14:paraId="4FF5E9B5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--</w:t>
            </w:r>
          </w:p>
        </w:tc>
      </w:tr>
      <w:tr w:rsidR="000A1956" w:rsidRPr="00147DFE" w14:paraId="5C223F26" w14:textId="77777777" w:rsidTr="00844046">
        <w:trPr>
          <w:jc w:val="center"/>
        </w:trPr>
        <w:tc>
          <w:tcPr>
            <w:tcW w:w="3055" w:type="dxa"/>
          </w:tcPr>
          <w:p w14:paraId="13114665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Utility Tax</w:t>
            </w:r>
          </w:p>
        </w:tc>
        <w:tc>
          <w:tcPr>
            <w:tcW w:w="1980" w:type="dxa"/>
            <w:vAlign w:val="center"/>
          </w:tcPr>
          <w:p w14:paraId="18C64C90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$ 4,543</w:t>
            </w:r>
          </w:p>
        </w:tc>
        <w:tc>
          <w:tcPr>
            <w:tcW w:w="2249" w:type="dxa"/>
            <w:vAlign w:val="center"/>
          </w:tcPr>
          <w:p w14:paraId="0A73E8D0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$  1,737</w:t>
            </w:r>
          </w:p>
        </w:tc>
        <w:tc>
          <w:tcPr>
            <w:tcW w:w="1981" w:type="dxa"/>
            <w:vAlign w:val="center"/>
          </w:tcPr>
          <w:p w14:paraId="1BB72564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--</w:t>
            </w:r>
          </w:p>
        </w:tc>
      </w:tr>
      <w:tr w:rsidR="000A1956" w:rsidRPr="00147DFE" w14:paraId="5CD774D3" w14:textId="77777777" w:rsidTr="00844046">
        <w:trPr>
          <w:jc w:val="center"/>
        </w:trPr>
        <w:tc>
          <w:tcPr>
            <w:tcW w:w="3055" w:type="dxa"/>
          </w:tcPr>
          <w:p w14:paraId="28DD7C22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Interest</w:t>
            </w:r>
          </w:p>
        </w:tc>
        <w:tc>
          <w:tcPr>
            <w:tcW w:w="1980" w:type="dxa"/>
            <w:vAlign w:val="center"/>
          </w:tcPr>
          <w:p w14:paraId="53EFEA55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$ 13,398</w:t>
            </w:r>
          </w:p>
        </w:tc>
        <w:tc>
          <w:tcPr>
            <w:tcW w:w="2249" w:type="dxa"/>
            <w:vAlign w:val="center"/>
          </w:tcPr>
          <w:p w14:paraId="35FDB1BF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$   9,534</w:t>
            </w:r>
          </w:p>
        </w:tc>
        <w:tc>
          <w:tcPr>
            <w:tcW w:w="1981" w:type="dxa"/>
            <w:vAlign w:val="center"/>
          </w:tcPr>
          <w:p w14:paraId="6098B152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--</w:t>
            </w:r>
          </w:p>
        </w:tc>
      </w:tr>
      <w:tr w:rsidR="000A1956" w:rsidRPr="00147DFE" w14:paraId="4C5218D1" w14:textId="77777777" w:rsidTr="00844046">
        <w:trPr>
          <w:jc w:val="center"/>
        </w:trPr>
        <w:tc>
          <w:tcPr>
            <w:tcW w:w="3055" w:type="dxa"/>
          </w:tcPr>
          <w:p w14:paraId="50A99AEB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</w:p>
        </w:tc>
        <w:tc>
          <w:tcPr>
            <w:tcW w:w="1980" w:type="dxa"/>
            <w:vAlign w:val="center"/>
          </w:tcPr>
          <w:p w14:paraId="15A9022A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</w:p>
        </w:tc>
        <w:tc>
          <w:tcPr>
            <w:tcW w:w="2249" w:type="dxa"/>
            <w:vAlign w:val="center"/>
          </w:tcPr>
          <w:p w14:paraId="0FC4C21A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</w:p>
        </w:tc>
        <w:tc>
          <w:tcPr>
            <w:tcW w:w="1981" w:type="dxa"/>
            <w:vAlign w:val="center"/>
          </w:tcPr>
          <w:p w14:paraId="0A5725CE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</w:p>
        </w:tc>
      </w:tr>
      <w:tr w:rsidR="000A1956" w:rsidRPr="00147DFE" w14:paraId="7ABFA815" w14:textId="77777777" w:rsidTr="00844046">
        <w:trPr>
          <w:jc w:val="center"/>
        </w:trPr>
        <w:tc>
          <w:tcPr>
            <w:tcW w:w="3055" w:type="dxa"/>
          </w:tcPr>
          <w:p w14:paraId="048EE09F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Total</w:t>
            </w:r>
          </w:p>
        </w:tc>
        <w:tc>
          <w:tcPr>
            <w:tcW w:w="1980" w:type="dxa"/>
            <w:vAlign w:val="center"/>
          </w:tcPr>
          <w:p w14:paraId="784BED4E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$ 165,059</w:t>
            </w:r>
          </w:p>
        </w:tc>
        <w:tc>
          <w:tcPr>
            <w:tcW w:w="2249" w:type="dxa"/>
            <w:vAlign w:val="center"/>
          </w:tcPr>
          <w:p w14:paraId="13DBB65C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$ 117,514</w:t>
            </w:r>
          </w:p>
        </w:tc>
        <w:tc>
          <w:tcPr>
            <w:tcW w:w="1981" w:type="dxa"/>
            <w:vAlign w:val="center"/>
          </w:tcPr>
          <w:p w14:paraId="6EEFA5FC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$ 42,983</w:t>
            </w:r>
          </w:p>
        </w:tc>
      </w:tr>
      <w:tr w:rsidR="000A1956" w:rsidRPr="00147DFE" w14:paraId="291F1E82" w14:textId="77777777" w:rsidTr="00844046">
        <w:trPr>
          <w:jc w:val="center"/>
        </w:trPr>
        <w:tc>
          <w:tcPr>
            <w:tcW w:w="3055" w:type="dxa"/>
          </w:tcPr>
          <w:p w14:paraId="25A0316E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</w:p>
        </w:tc>
        <w:tc>
          <w:tcPr>
            <w:tcW w:w="1980" w:type="dxa"/>
          </w:tcPr>
          <w:p w14:paraId="0D950FEC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</w:p>
        </w:tc>
        <w:tc>
          <w:tcPr>
            <w:tcW w:w="2249" w:type="dxa"/>
          </w:tcPr>
          <w:p w14:paraId="2A9084BC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</w:p>
        </w:tc>
        <w:tc>
          <w:tcPr>
            <w:tcW w:w="1981" w:type="dxa"/>
          </w:tcPr>
          <w:p w14:paraId="0540FC63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</w:p>
        </w:tc>
      </w:tr>
      <w:tr w:rsidR="000A1956" w:rsidRPr="00147DFE" w14:paraId="3F056A4C" w14:textId="77777777" w:rsidTr="00844046">
        <w:trPr>
          <w:jc w:val="center"/>
        </w:trPr>
        <w:tc>
          <w:tcPr>
            <w:tcW w:w="3055" w:type="dxa"/>
          </w:tcPr>
          <w:p w14:paraId="29E23213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Annual Surcharge Amount</w:t>
            </w:r>
          </w:p>
        </w:tc>
        <w:tc>
          <w:tcPr>
            <w:tcW w:w="1980" w:type="dxa"/>
          </w:tcPr>
          <w:p w14:paraId="65A7DC5D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$  52,124</w:t>
            </w:r>
          </w:p>
        </w:tc>
        <w:tc>
          <w:tcPr>
            <w:tcW w:w="2249" w:type="dxa"/>
          </w:tcPr>
          <w:p w14:paraId="73BDD757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$  37,110</w:t>
            </w:r>
          </w:p>
        </w:tc>
        <w:tc>
          <w:tcPr>
            <w:tcW w:w="1981" w:type="dxa"/>
          </w:tcPr>
          <w:p w14:paraId="54FB1299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  <w:r w:rsidRPr="00147DFE">
              <w:rPr>
                <w:lang w:bidi="en-US"/>
              </w:rPr>
              <w:t>--</w:t>
            </w:r>
          </w:p>
        </w:tc>
      </w:tr>
      <w:tr w:rsidR="000A1956" w:rsidRPr="00147DFE" w14:paraId="451A6AED" w14:textId="77777777" w:rsidTr="00844046">
        <w:trPr>
          <w:jc w:val="center"/>
        </w:trPr>
        <w:tc>
          <w:tcPr>
            <w:tcW w:w="3055" w:type="dxa"/>
          </w:tcPr>
          <w:p w14:paraId="4DCBC2F8" w14:textId="77777777" w:rsidR="000A1956" w:rsidRPr="00147DFE" w:rsidRDefault="000A1956" w:rsidP="00844046">
            <w:pPr>
              <w:jc w:val="center"/>
              <w:rPr>
                <w:b/>
                <w:lang w:bidi="en-US"/>
              </w:rPr>
            </w:pPr>
            <w:r w:rsidRPr="00147DFE">
              <w:rPr>
                <w:b/>
                <w:lang w:bidi="en-US"/>
              </w:rPr>
              <w:t>Monthly Surcharge Rate*</w:t>
            </w:r>
          </w:p>
        </w:tc>
        <w:tc>
          <w:tcPr>
            <w:tcW w:w="1980" w:type="dxa"/>
          </w:tcPr>
          <w:p w14:paraId="1D038A60" w14:textId="77777777" w:rsidR="000A1956" w:rsidRPr="00147DFE" w:rsidRDefault="000A1956" w:rsidP="00844046">
            <w:pPr>
              <w:jc w:val="center"/>
              <w:rPr>
                <w:b/>
                <w:lang w:bidi="en-US"/>
              </w:rPr>
            </w:pPr>
            <w:r w:rsidRPr="00147DFE">
              <w:rPr>
                <w:b/>
                <w:lang w:bidi="en-US"/>
              </w:rPr>
              <w:t>$2.70**</w:t>
            </w:r>
          </w:p>
        </w:tc>
        <w:tc>
          <w:tcPr>
            <w:tcW w:w="2249" w:type="dxa"/>
          </w:tcPr>
          <w:p w14:paraId="2BE03608" w14:textId="77777777" w:rsidR="000A1956" w:rsidRPr="00147DFE" w:rsidRDefault="000A1956" w:rsidP="00844046">
            <w:pPr>
              <w:jc w:val="center"/>
              <w:rPr>
                <w:b/>
                <w:lang w:bidi="en-US"/>
              </w:rPr>
            </w:pPr>
            <w:r w:rsidRPr="00147DFE">
              <w:rPr>
                <w:b/>
                <w:lang w:bidi="en-US"/>
              </w:rPr>
              <w:t>$1.92***</w:t>
            </w:r>
          </w:p>
        </w:tc>
        <w:tc>
          <w:tcPr>
            <w:tcW w:w="1981" w:type="dxa"/>
          </w:tcPr>
          <w:p w14:paraId="53858A60" w14:textId="77777777" w:rsidR="000A1956" w:rsidRPr="00147DFE" w:rsidRDefault="000A1956" w:rsidP="00844046">
            <w:pPr>
              <w:jc w:val="center"/>
              <w:rPr>
                <w:lang w:bidi="en-US"/>
              </w:rPr>
            </w:pPr>
          </w:p>
        </w:tc>
      </w:tr>
    </w:tbl>
    <w:p w14:paraId="2184EF13" w14:textId="77777777" w:rsidR="000A1956" w:rsidRPr="00147DFE" w:rsidRDefault="000A1956" w:rsidP="000A1956">
      <w:pPr>
        <w:rPr>
          <w:rFonts w:eastAsia="Calibri"/>
          <w:sz w:val="22"/>
          <w:szCs w:val="22"/>
          <w:lang w:bidi="en-US"/>
        </w:rPr>
      </w:pPr>
      <w:r w:rsidRPr="00147DFE">
        <w:rPr>
          <w:rFonts w:eastAsia="Calibri"/>
          <w:sz w:val="22"/>
          <w:szCs w:val="22"/>
          <w:lang w:bidi="en-US"/>
        </w:rPr>
        <w:t>* Annual Surcharge Amount ÷ 1,608 customers ÷12 months</w:t>
      </w:r>
    </w:p>
    <w:p w14:paraId="03D471BD" w14:textId="77777777" w:rsidR="000A1956" w:rsidRPr="00147DFE" w:rsidRDefault="000A1956" w:rsidP="000A1956">
      <w:pPr>
        <w:rPr>
          <w:rFonts w:eastAsia="Calibri"/>
          <w:sz w:val="22"/>
          <w:szCs w:val="22"/>
          <w:lang w:bidi="en-US"/>
        </w:rPr>
      </w:pPr>
      <w:r w:rsidRPr="00147DFE">
        <w:rPr>
          <w:rFonts w:eastAsia="Calibri"/>
          <w:sz w:val="22"/>
          <w:szCs w:val="22"/>
          <w:lang w:bidi="en-US"/>
        </w:rPr>
        <w:t>**Surcharge expires June 30, 2017, or upon recovery of $165,059, whichever occurs first.</w:t>
      </w:r>
    </w:p>
    <w:p w14:paraId="081C1E3B" w14:textId="24D2A22D" w:rsidR="000A1956" w:rsidRPr="00147DFE" w:rsidRDefault="000A1956" w:rsidP="000A1956">
      <w:pPr>
        <w:rPr>
          <w:rFonts w:eastAsia="Calibri"/>
          <w:sz w:val="22"/>
          <w:szCs w:val="22"/>
          <w:lang w:bidi="en-US"/>
        </w:rPr>
      </w:pPr>
      <w:r w:rsidRPr="00147DFE">
        <w:rPr>
          <w:rFonts w:eastAsia="Calibri"/>
          <w:sz w:val="22"/>
          <w:szCs w:val="22"/>
          <w:lang w:bidi="en-US"/>
        </w:rPr>
        <w:t>*** Surcharge expires October 31, 2017, or upon recovery of $117,514, whichever occurs first.</w:t>
      </w:r>
      <w:r>
        <w:rPr>
          <w:rFonts w:eastAsia="Calibri"/>
          <w:sz w:val="22"/>
          <w:szCs w:val="22"/>
          <w:lang w:bidi="en-US"/>
        </w:rPr>
        <w:br/>
      </w:r>
    </w:p>
    <w:p w14:paraId="2B88350E" w14:textId="2FD526CA" w:rsidR="000A1956" w:rsidRPr="000A1956" w:rsidRDefault="0094329A" w:rsidP="000A1956">
      <w:pPr>
        <w:pStyle w:val="FindingsConclusions"/>
      </w:pPr>
      <w:r w:rsidRPr="000A1956">
        <w:rPr>
          <w:color w:val="000000"/>
        </w:rPr>
        <w:t>At the Commission’s</w:t>
      </w:r>
      <w:r w:rsidR="00E163BB" w:rsidRPr="000A1956">
        <w:rPr>
          <w:color w:val="000000"/>
        </w:rPr>
        <w:t xml:space="preserve"> August 28, 2014, </w:t>
      </w:r>
      <w:r w:rsidRPr="000A1956">
        <w:rPr>
          <w:color w:val="000000"/>
        </w:rPr>
        <w:t xml:space="preserve">open meeting, </w:t>
      </w:r>
      <w:r w:rsidR="00E163BB" w:rsidRPr="000A1956">
        <w:rPr>
          <w:color w:val="000000"/>
        </w:rPr>
        <w:t xml:space="preserve">several issues were </w:t>
      </w:r>
      <w:r w:rsidR="000A1956">
        <w:rPr>
          <w:color w:val="000000"/>
        </w:rPr>
        <w:t xml:space="preserve">raised regarding liability for the costs of remediation under </w:t>
      </w:r>
      <w:r w:rsidR="00852A23">
        <w:rPr>
          <w:color w:val="000000"/>
        </w:rPr>
        <w:t xml:space="preserve">Title 70 </w:t>
      </w:r>
      <w:r w:rsidRPr="000A1956">
        <w:rPr>
          <w:color w:val="000000"/>
        </w:rPr>
        <w:t xml:space="preserve">RCW, the </w:t>
      </w:r>
      <w:r w:rsidR="00E163BB" w:rsidRPr="000A1956">
        <w:rPr>
          <w:color w:val="000000"/>
        </w:rPr>
        <w:t>Model Toxic Control Act (MTCA)</w:t>
      </w:r>
      <w:r w:rsidRPr="000A1956">
        <w:rPr>
          <w:color w:val="000000"/>
        </w:rPr>
        <w:t>,</w:t>
      </w:r>
      <w:r w:rsidR="00E163BB" w:rsidRPr="000A1956">
        <w:rPr>
          <w:color w:val="000000"/>
        </w:rPr>
        <w:t xml:space="preserve"> and </w:t>
      </w:r>
      <w:r w:rsidR="00852A23">
        <w:rPr>
          <w:color w:val="000000"/>
        </w:rPr>
        <w:t>ownership of</w:t>
      </w:r>
      <w:r w:rsidR="00E163BB" w:rsidRPr="000A1956">
        <w:rPr>
          <w:color w:val="000000"/>
        </w:rPr>
        <w:t xml:space="preserve"> the site </w:t>
      </w:r>
      <w:r w:rsidRPr="000A1956">
        <w:rPr>
          <w:color w:val="000000"/>
        </w:rPr>
        <w:t xml:space="preserve">located </w:t>
      </w:r>
      <w:r w:rsidR="00E163BB" w:rsidRPr="000A1956">
        <w:rPr>
          <w:color w:val="000000"/>
        </w:rPr>
        <w:t>781 Walker Way</w:t>
      </w:r>
      <w:r w:rsidRPr="000A1956">
        <w:rPr>
          <w:color w:val="000000"/>
        </w:rPr>
        <w:t xml:space="preserve"> in</w:t>
      </w:r>
      <w:r w:rsidR="00E163BB" w:rsidRPr="000A1956">
        <w:rPr>
          <w:color w:val="000000"/>
        </w:rPr>
        <w:t xml:space="preserve"> Port Ludlow, Washington</w:t>
      </w:r>
      <w:r w:rsidR="000A1956">
        <w:rPr>
          <w:color w:val="000000"/>
        </w:rPr>
        <w:t>, at critical junctures</w:t>
      </w:r>
      <w:r w:rsidR="00E163BB" w:rsidRPr="000A1956">
        <w:rPr>
          <w:color w:val="000000"/>
        </w:rPr>
        <w:t xml:space="preserve">. </w:t>
      </w:r>
      <w:r w:rsidR="000A1956">
        <w:rPr>
          <w:color w:val="000000"/>
        </w:rPr>
        <w:t xml:space="preserve"> </w:t>
      </w:r>
      <w:r w:rsidR="000A1956">
        <w:rPr>
          <w:color w:val="000000"/>
        </w:rPr>
        <w:br/>
      </w:r>
    </w:p>
    <w:p w14:paraId="38232A68" w14:textId="440A8699" w:rsidR="000A1956" w:rsidRDefault="00E163BB" w:rsidP="000A1956">
      <w:pPr>
        <w:pStyle w:val="FindingsConclusions"/>
      </w:pPr>
      <w:r>
        <w:t>RCW 70.105D.040(1)</w:t>
      </w:r>
      <w:r w:rsidR="009A4B56">
        <w:t>(a) provides that t</w:t>
      </w:r>
      <w:r>
        <w:t xml:space="preserve">he owner or operator of </w:t>
      </w:r>
      <w:r w:rsidR="009A4B56">
        <w:t>a</w:t>
      </w:r>
      <w:r>
        <w:t xml:space="preserve"> facility</w:t>
      </w:r>
      <w:r w:rsidR="009A4B56">
        <w:t xml:space="preserve"> is liable for hazardous waste cleanup at th</w:t>
      </w:r>
      <w:r w:rsidR="000A1956">
        <w:t>at</w:t>
      </w:r>
      <w:r w:rsidR="009A4B56">
        <w:t xml:space="preserve"> facility</w:t>
      </w:r>
      <w:r>
        <w:t xml:space="preserve">. </w:t>
      </w:r>
      <w:r w:rsidR="009A4B56">
        <w:t xml:space="preserve"> </w:t>
      </w:r>
      <w:r>
        <w:t>Staff</w:t>
      </w:r>
      <w:r w:rsidR="009A4B56">
        <w:t>’s position is that</w:t>
      </w:r>
      <w:r>
        <w:t xml:space="preserve"> Olympic </w:t>
      </w:r>
      <w:r w:rsidR="009A4B56">
        <w:t>is liable for the cleanup under this provision</w:t>
      </w:r>
      <w:r>
        <w:t>.</w:t>
      </w:r>
      <w:r w:rsidR="000A1956">
        <w:br/>
      </w:r>
    </w:p>
    <w:p w14:paraId="53BA4888" w14:textId="767844BC" w:rsidR="00852A23" w:rsidRDefault="009A4B56" w:rsidP="000A1956">
      <w:pPr>
        <w:pStyle w:val="FindingsConclusions"/>
      </w:pPr>
      <w:r>
        <w:t>RCW 70.105D.040(1)</w:t>
      </w:r>
      <w:r w:rsidR="00E163BB">
        <w:t xml:space="preserve">(b) </w:t>
      </w:r>
      <w:r>
        <w:t>provides that a</w:t>
      </w:r>
      <w:r w:rsidR="00E163BB">
        <w:t>ny person who owned or operated the facility at the time of disposal or release of the hazardous substances</w:t>
      </w:r>
      <w:r>
        <w:t xml:space="preserve"> is also liable</w:t>
      </w:r>
      <w:r w:rsidR="000A1956">
        <w:t xml:space="preserve"> for </w:t>
      </w:r>
      <w:r w:rsidR="00BA5D86">
        <w:t>cleanup</w:t>
      </w:r>
      <w:r w:rsidR="000A1956">
        <w:t xml:space="preserve"> costs</w:t>
      </w:r>
      <w:r w:rsidR="00E163BB">
        <w:t xml:space="preserve">. </w:t>
      </w:r>
      <w:r w:rsidR="00852A23">
        <w:t xml:space="preserve"> </w:t>
      </w:r>
      <w:r w:rsidR="00E163BB">
        <w:t>Staff</w:t>
      </w:r>
      <w:r w:rsidR="00BA5D86">
        <w:t>’s</w:t>
      </w:r>
      <w:r w:rsidR="00E163BB">
        <w:t xml:space="preserve"> </w:t>
      </w:r>
      <w:r>
        <w:t xml:space="preserve">position is that </w:t>
      </w:r>
      <w:r w:rsidR="00E163BB">
        <w:t>Pope Resources</w:t>
      </w:r>
      <w:r>
        <w:t xml:space="preserve"> is liable for the cleanup under this provision</w:t>
      </w:r>
      <w:r w:rsidR="00E163BB">
        <w:t>.</w:t>
      </w:r>
      <w:r w:rsidR="000A1956">
        <w:t xml:space="preserve">  </w:t>
      </w:r>
      <w:r w:rsidR="00852A23">
        <w:br/>
      </w:r>
    </w:p>
    <w:p w14:paraId="3085E809" w14:textId="7FBA7DCC" w:rsidR="000A1956" w:rsidRDefault="00E163BB" w:rsidP="000A1956">
      <w:pPr>
        <w:pStyle w:val="FindingsConclusions"/>
      </w:pPr>
      <w:r>
        <w:t xml:space="preserve">RCW 70.105D.040 (2) </w:t>
      </w:r>
      <w:r w:rsidR="009A4B56">
        <w:t>provides that, “e</w:t>
      </w:r>
      <w:r>
        <w:t>ach person who is liable under this section is strictly liable, jointly and severally, for all remedial action costs…</w:t>
      </w:r>
      <w:r w:rsidR="009A4B56">
        <w:t xml:space="preserve">”  The statute does not </w:t>
      </w:r>
      <w:r>
        <w:t>determine cost allocation or direct cost responsibility.</w:t>
      </w:r>
      <w:r w:rsidR="00852A23">
        <w:t xml:space="preserve">  In sum, both Olympic and Pope Resources are jointly and severally liable under the MTCA.</w:t>
      </w:r>
      <w:r w:rsidR="000A1956">
        <w:br/>
      </w:r>
    </w:p>
    <w:p w14:paraId="1F006E58" w14:textId="499F6167" w:rsidR="00E163BB" w:rsidRDefault="009A4B56" w:rsidP="000A1956">
      <w:pPr>
        <w:pStyle w:val="FindingsConclusions"/>
      </w:pPr>
      <w:r>
        <w:t>With respect to p</w:t>
      </w:r>
      <w:r w:rsidR="00E163BB">
        <w:t>roperty ownership at 781 Walker Way</w:t>
      </w:r>
      <w:r>
        <w:t xml:space="preserve">, </w:t>
      </w:r>
      <w:r w:rsidR="00E163BB">
        <w:t xml:space="preserve">Staff received a brief history from the Jefferson County Assessor’s office </w:t>
      </w:r>
      <w:r>
        <w:t>stating that</w:t>
      </w:r>
      <w:r w:rsidR="00E163BB">
        <w:t xml:space="preserve"> the parcel in question was purchased by Pope Resources in April 1968 from Pope and Talbot. </w:t>
      </w:r>
      <w:r>
        <w:t xml:space="preserve"> </w:t>
      </w:r>
      <w:r w:rsidR="00E163BB">
        <w:t xml:space="preserve">It was then transferred by </w:t>
      </w:r>
      <w:r w:rsidR="00852A23">
        <w:t>q</w:t>
      </w:r>
      <w:r w:rsidR="00E163BB">
        <w:t xml:space="preserve">uit </w:t>
      </w:r>
      <w:r w:rsidR="00852A23">
        <w:t>c</w:t>
      </w:r>
      <w:r w:rsidR="00E163BB">
        <w:t xml:space="preserve">laim </w:t>
      </w:r>
      <w:r w:rsidR="00852A23">
        <w:t>d</w:t>
      </w:r>
      <w:r w:rsidR="00E163BB">
        <w:t>eed in 1998 to Pope’s wholly owned subsid</w:t>
      </w:r>
      <w:r>
        <w:t>iar</w:t>
      </w:r>
      <w:r w:rsidR="00E163BB">
        <w:t xml:space="preserve">y, Olympic Water </w:t>
      </w:r>
      <w:r w:rsidR="000A1956">
        <w:t xml:space="preserve">and </w:t>
      </w:r>
      <w:r w:rsidR="00E163BB">
        <w:t>Sewer</w:t>
      </w:r>
      <w:r w:rsidR="000A1956">
        <w:t>,</w:t>
      </w:r>
      <w:r w:rsidR="00E163BB">
        <w:t xml:space="preserve"> Inc. </w:t>
      </w:r>
      <w:r w:rsidR="00191B48">
        <w:t xml:space="preserve"> </w:t>
      </w:r>
      <w:r w:rsidR="00E163BB">
        <w:t>Th</w:t>
      </w:r>
      <w:r w:rsidR="000A1956">
        <w:t xml:space="preserve">ese are the only ownership and </w:t>
      </w:r>
      <w:r w:rsidR="00E163BB">
        <w:t xml:space="preserve">sales </w:t>
      </w:r>
      <w:r w:rsidR="000A1956">
        <w:t xml:space="preserve">records </w:t>
      </w:r>
      <w:r w:rsidR="00E163BB">
        <w:t xml:space="preserve">for this parcel. </w:t>
      </w:r>
      <w:r w:rsidR="000A1956">
        <w:t xml:space="preserve">Therefore, </w:t>
      </w:r>
      <w:r w:rsidR="00E163BB">
        <w:t xml:space="preserve">Pope Resources </w:t>
      </w:r>
      <w:r w:rsidR="000A1956">
        <w:t>owned the parcel</w:t>
      </w:r>
      <w:r w:rsidR="00E163BB">
        <w:t xml:space="preserve"> in 1990 when USTs w</w:t>
      </w:r>
      <w:r w:rsidR="000A1956">
        <w:t xml:space="preserve">ere removed, and </w:t>
      </w:r>
      <w:r w:rsidR="00E163BB">
        <w:t>Olympic was the property owner in 2009 when Well No. 17 was drilled.</w:t>
      </w:r>
    </w:p>
    <w:p w14:paraId="6E95F175" w14:textId="77777777" w:rsidR="00E163BB" w:rsidRDefault="00E163BB" w:rsidP="0094329A">
      <w:pPr>
        <w:spacing w:line="276" w:lineRule="auto"/>
      </w:pPr>
    </w:p>
    <w:p w14:paraId="419EF0CB" w14:textId="37F89BF6" w:rsidR="00E163BB" w:rsidRDefault="00852A23" w:rsidP="00E163BB">
      <w:pPr>
        <w:pStyle w:val="FindingsConclusions"/>
      </w:pPr>
      <w:r>
        <w:t>S</w:t>
      </w:r>
      <w:r w:rsidR="00E163BB">
        <w:t>taff’s review d</w:t>
      </w:r>
      <w:r>
        <w:t>id</w:t>
      </w:r>
      <w:r w:rsidR="00E163BB">
        <w:t xml:space="preserve"> not consider the negotiated shared investigation cost and legal expenses to represent a new or modified buy/sell agreement from 2001. </w:t>
      </w:r>
      <w:r>
        <w:t xml:space="preserve"> </w:t>
      </w:r>
      <w:r w:rsidR="00E163BB">
        <w:t>Olympic is a separate corporation</w:t>
      </w:r>
      <w:r>
        <w:t>,</w:t>
      </w:r>
      <w:r w:rsidR="00E163BB">
        <w:t xml:space="preserve"> and its stock ownership does not automatically shift liabilities to the stock owner. </w:t>
      </w:r>
      <w:r w:rsidR="00BA5D86">
        <w:t xml:space="preserve"> </w:t>
      </w:r>
      <w:r w:rsidR="00E163BB">
        <w:t>Cost recovery for any company can be passed on to the customers through the price of the product.</w:t>
      </w:r>
    </w:p>
    <w:p w14:paraId="703B375D" w14:textId="77777777" w:rsidR="00E163BB" w:rsidRDefault="00E163BB" w:rsidP="0094329A">
      <w:pPr>
        <w:pStyle w:val="FindingsConclusions"/>
        <w:numPr>
          <w:ilvl w:val="0"/>
          <w:numId w:val="0"/>
        </w:numPr>
      </w:pPr>
    </w:p>
    <w:p w14:paraId="609E60B9" w14:textId="4D57752C" w:rsidR="00147DFE" w:rsidRDefault="00FC7158" w:rsidP="0098138E">
      <w:pPr>
        <w:pStyle w:val="FindingsConclusions"/>
      </w:pPr>
      <w:r>
        <w:rPr>
          <w:b/>
        </w:rPr>
        <w:t xml:space="preserve">Staff Recommendation.  </w:t>
      </w:r>
      <w:r>
        <w:t>Staff</w:t>
      </w:r>
      <w:r w:rsidR="00B8642E">
        <w:t xml:space="preserve"> has reviewed the </w:t>
      </w:r>
      <w:r w:rsidR="00346174">
        <w:t>C</w:t>
      </w:r>
      <w:r w:rsidR="00B8642E">
        <w:t>ompany’s filing to recover the cost of drilling Well No. 17, investigation costs after the contamination was discovered, legal costs for reviews and neg</w:t>
      </w:r>
      <w:r w:rsidR="006A5C85">
        <w:t>otiations, and the cost of the C</w:t>
      </w:r>
      <w:r w:rsidR="00B8642E">
        <w:t xml:space="preserve">ompany’s notice to customers. </w:t>
      </w:r>
      <w:r w:rsidR="00346174">
        <w:t xml:space="preserve"> </w:t>
      </w:r>
      <w:r w:rsidR="00B8642E">
        <w:t xml:space="preserve">Staff has also reviewed the compromise agreement between the </w:t>
      </w:r>
      <w:r w:rsidR="00346174">
        <w:t>C</w:t>
      </w:r>
      <w:r w:rsidR="00B8642E">
        <w:t xml:space="preserve">ompany and the Port Ludlow Village Council in support of the revised filing. </w:t>
      </w:r>
      <w:r w:rsidR="00346174">
        <w:t xml:space="preserve"> </w:t>
      </w:r>
      <w:r w:rsidR="00B8642E">
        <w:t>Staff recommends approving the compromise agreement that will reduce the Well No. 17 surcharge from $2.70 per month to $1.92 per month for a period of 38</w:t>
      </w:r>
      <w:r w:rsidR="00E163BB">
        <w:t>-</w:t>
      </w:r>
      <w:r w:rsidR="00B8642E">
        <w:t>months.</w:t>
      </w:r>
    </w:p>
    <w:p w14:paraId="699D9098" w14:textId="77777777" w:rsidR="00147DFE" w:rsidRDefault="00147DFE">
      <w:r>
        <w:br w:type="page"/>
      </w:r>
    </w:p>
    <w:p w14:paraId="595491C1" w14:textId="3F72813C" w:rsidR="00F60622" w:rsidRPr="008751F6" w:rsidRDefault="00F60622" w:rsidP="0039234D">
      <w:pPr>
        <w:jc w:val="center"/>
        <w:rPr>
          <w:b/>
          <w:bCs/>
        </w:rPr>
      </w:pPr>
      <w:r w:rsidRPr="008751F6">
        <w:rPr>
          <w:b/>
          <w:bCs/>
        </w:rPr>
        <w:t>FINDINGS AND CONCLUSIONS</w:t>
      </w:r>
    </w:p>
    <w:p w14:paraId="595491C2" w14:textId="77777777" w:rsidR="00F60622" w:rsidRPr="008751F6" w:rsidRDefault="00F60622" w:rsidP="0093055C">
      <w:pPr>
        <w:spacing w:line="320" w:lineRule="exact"/>
        <w:rPr>
          <w:b/>
          <w:bCs/>
        </w:rPr>
      </w:pPr>
    </w:p>
    <w:p w14:paraId="595491C3" w14:textId="604FE7E3" w:rsidR="00F60622" w:rsidRPr="008751F6" w:rsidRDefault="004060C0" w:rsidP="0093055C">
      <w:pPr>
        <w:numPr>
          <w:ilvl w:val="0"/>
          <w:numId w:val="14"/>
        </w:numPr>
        <w:spacing w:line="320" w:lineRule="exact"/>
        <w:ind w:left="700" w:hanging="1420"/>
      </w:pPr>
      <w:r>
        <w:t>(1)</w:t>
      </w:r>
      <w:r w:rsidR="00F60622" w:rsidRPr="008751F6">
        <w:tab/>
        <w:t xml:space="preserve">The Washington Utilities and Transportation </w:t>
      </w:r>
      <w:r w:rsidR="006E0C0D" w:rsidRPr="008751F6">
        <w:t>Commission</w:t>
      </w:r>
      <w:r w:rsidR="00F60622" w:rsidRPr="008751F6">
        <w:t xml:space="preserve"> is an agency of the </w:t>
      </w:r>
      <w:r w:rsidR="009E6EE3" w:rsidRPr="008751F6">
        <w:t>S</w:t>
      </w:r>
      <w:r w:rsidR="00F60622" w:rsidRPr="008751F6">
        <w:t xml:space="preserve">tate of Washington vested by statute with the authority to regulate </w:t>
      </w:r>
      <w:r w:rsidR="00404836" w:rsidRPr="008751F6">
        <w:t xml:space="preserve">the </w:t>
      </w:r>
      <w:r w:rsidR="00F60622" w:rsidRPr="008751F6">
        <w:t xml:space="preserve">rates, rules, regulations, practices, accounts, securities, transfers of </w:t>
      </w:r>
      <w:r w:rsidR="00786CEC" w:rsidRPr="008751F6">
        <w:t>property and affiliated interest</w:t>
      </w:r>
      <w:r w:rsidR="00DB4F8D" w:rsidRPr="008751F6">
        <w:t>s</w:t>
      </w:r>
      <w:r w:rsidR="00786CEC" w:rsidRPr="008751F6">
        <w:t xml:space="preserve"> of </w:t>
      </w:r>
      <w:r w:rsidR="00F60622" w:rsidRPr="008751F6">
        <w:t xml:space="preserve">public service companies, including </w:t>
      </w:r>
      <w:r w:rsidR="00C525BA" w:rsidRPr="008751F6">
        <w:t>water</w:t>
      </w:r>
      <w:r w:rsidR="00E848C4" w:rsidRPr="008751F6">
        <w:t xml:space="preserve"> companies</w:t>
      </w:r>
      <w:r w:rsidR="00F60622" w:rsidRPr="008751F6">
        <w:t xml:space="preserve">.  </w:t>
      </w:r>
    </w:p>
    <w:p w14:paraId="595491C4" w14:textId="77777777" w:rsidR="004A1262" w:rsidRPr="008751F6" w:rsidRDefault="004A1262" w:rsidP="0093055C">
      <w:pPr>
        <w:spacing w:line="320" w:lineRule="exact"/>
        <w:ind w:left="-720"/>
      </w:pPr>
    </w:p>
    <w:p w14:paraId="595491C5" w14:textId="6765AF78" w:rsidR="00F60622" w:rsidRPr="008751F6" w:rsidRDefault="004060C0" w:rsidP="0093055C">
      <w:pPr>
        <w:numPr>
          <w:ilvl w:val="0"/>
          <w:numId w:val="14"/>
        </w:numPr>
        <w:spacing w:line="320" w:lineRule="exact"/>
        <w:ind w:left="700" w:hanging="1420"/>
      </w:pPr>
      <w:r>
        <w:t>(2)</w:t>
      </w:r>
      <w:r w:rsidR="00F31515">
        <w:tab/>
      </w:r>
      <w:r w:rsidR="00B8642E">
        <w:t>Olympic</w:t>
      </w:r>
      <w:r w:rsidR="000D7020" w:rsidRPr="008751F6">
        <w:t xml:space="preserve"> </w:t>
      </w:r>
      <w:r w:rsidR="00F60622" w:rsidRPr="008751F6">
        <w:t xml:space="preserve">is </w:t>
      </w:r>
      <w:r w:rsidR="006E0C0D" w:rsidRPr="008751F6">
        <w:rPr>
          <w:noProof/>
        </w:rPr>
        <w:t>a water</w:t>
      </w:r>
      <w:r w:rsidR="00F60622" w:rsidRPr="008751F6">
        <w:t xml:space="preserve"> company and a public service company subject to </w:t>
      </w:r>
      <w:r w:rsidR="006E0C0D" w:rsidRPr="008751F6">
        <w:t>Commission</w:t>
      </w:r>
      <w:r w:rsidR="00F60622" w:rsidRPr="008751F6">
        <w:t xml:space="preserve"> jurisdiction.</w:t>
      </w:r>
    </w:p>
    <w:p w14:paraId="595491C6" w14:textId="77777777" w:rsidR="00F60622" w:rsidRPr="008751F6" w:rsidRDefault="00F60622" w:rsidP="00BA50F2">
      <w:pPr>
        <w:pStyle w:val="FindingsConclusions"/>
        <w:numPr>
          <w:ilvl w:val="0"/>
          <w:numId w:val="0"/>
        </w:numPr>
        <w:ind w:left="-720"/>
      </w:pPr>
    </w:p>
    <w:p w14:paraId="595491C7" w14:textId="0276B77A" w:rsidR="00F60622" w:rsidRPr="008751F6" w:rsidRDefault="004060C0" w:rsidP="0093055C">
      <w:pPr>
        <w:numPr>
          <w:ilvl w:val="0"/>
          <w:numId w:val="14"/>
        </w:numPr>
        <w:spacing w:line="320" w:lineRule="exact"/>
        <w:ind w:left="700" w:hanging="1420"/>
      </w:pPr>
      <w:r>
        <w:t>(3)</w:t>
      </w:r>
      <w:r w:rsidR="00F60622" w:rsidRPr="008751F6">
        <w:tab/>
        <w:t xml:space="preserve">This matter </w:t>
      </w:r>
      <w:r w:rsidR="00786CEC" w:rsidRPr="008751F6">
        <w:t>came</w:t>
      </w:r>
      <w:r w:rsidR="00F60622" w:rsidRPr="008751F6">
        <w:t xml:space="preserve"> before the </w:t>
      </w:r>
      <w:r w:rsidR="006E0C0D" w:rsidRPr="008751F6">
        <w:t>Commission</w:t>
      </w:r>
      <w:r w:rsidR="00F60622" w:rsidRPr="008751F6">
        <w:t xml:space="preserve"> at its regularl</w:t>
      </w:r>
      <w:r w:rsidR="00E750A2" w:rsidRPr="008751F6">
        <w:t xml:space="preserve">y scheduled </w:t>
      </w:r>
      <w:r w:rsidR="00F60622" w:rsidRPr="008751F6">
        <w:t>meeting on</w:t>
      </w:r>
      <w:r w:rsidR="00542EE3" w:rsidRPr="008751F6">
        <w:t xml:space="preserve"> </w:t>
      </w:r>
      <w:r w:rsidR="00F910DC">
        <w:t>September 11</w:t>
      </w:r>
      <w:r w:rsidR="00C525BA" w:rsidRPr="008751F6">
        <w:t>, 201</w:t>
      </w:r>
      <w:r w:rsidR="0011694D" w:rsidRPr="008751F6">
        <w:t>4</w:t>
      </w:r>
      <w:r w:rsidR="00ED2772" w:rsidRPr="008751F6">
        <w:t>.</w:t>
      </w:r>
    </w:p>
    <w:p w14:paraId="595491C8" w14:textId="77777777" w:rsidR="009E6EE3" w:rsidRPr="008751F6" w:rsidRDefault="009E6EE3" w:rsidP="0093055C">
      <w:pPr>
        <w:spacing w:line="320" w:lineRule="exact"/>
      </w:pPr>
    </w:p>
    <w:p w14:paraId="595491C9" w14:textId="5A4C8891" w:rsidR="00F60622" w:rsidRPr="008751F6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8751F6">
        <w:t>(4)</w:t>
      </w:r>
      <w:r w:rsidRPr="008751F6">
        <w:tab/>
        <w:t xml:space="preserve">The tariff </w:t>
      </w:r>
      <w:r w:rsidR="006E0C0D" w:rsidRPr="008751F6">
        <w:rPr>
          <w:noProof/>
        </w:rPr>
        <w:t>revision</w:t>
      </w:r>
      <w:r w:rsidRPr="008751F6">
        <w:t xml:space="preserve"> presently under </w:t>
      </w:r>
      <w:r w:rsidR="004F5A5B" w:rsidRPr="008751F6">
        <w:t xml:space="preserve">consideration </w:t>
      </w:r>
      <w:bookmarkStart w:id="1" w:name="Dropdown3"/>
      <w:r w:rsidR="006E0C0D" w:rsidRPr="008751F6">
        <w:rPr>
          <w:noProof/>
        </w:rPr>
        <w:t>is</w:t>
      </w:r>
      <w:bookmarkEnd w:id="1"/>
      <w:r w:rsidR="00214588" w:rsidRPr="008751F6">
        <w:t xml:space="preserve"> </w:t>
      </w:r>
      <w:r w:rsidRPr="008751F6">
        <w:t>fair, just</w:t>
      </w:r>
      <w:r w:rsidR="00CE3E93" w:rsidRPr="008751F6">
        <w:t>, reasonable</w:t>
      </w:r>
      <w:r w:rsidR="00D66650" w:rsidRPr="008751F6">
        <w:t>,</w:t>
      </w:r>
      <w:r w:rsidR="00CE3E93" w:rsidRPr="008751F6">
        <w:t xml:space="preserve"> and sufficient</w:t>
      </w:r>
      <w:r w:rsidR="00E848C4" w:rsidRPr="008751F6">
        <w:t xml:space="preserve"> because</w:t>
      </w:r>
      <w:r w:rsidR="004F5A5B" w:rsidRPr="008751F6">
        <w:t xml:space="preserve"> the Company has demonstrated the need for additional annual revenue</w:t>
      </w:r>
      <w:r w:rsidR="008A4ECC" w:rsidRPr="008751F6">
        <w:t>.</w:t>
      </w:r>
    </w:p>
    <w:p w14:paraId="595491CA" w14:textId="77777777" w:rsidR="00F60622" w:rsidRPr="008751F6" w:rsidRDefault="00F60622" w:rsidP="00BA50F2">
      <w:pPr>
        <w:pStyle w:val="FindingsConclusions"/>
        <w:numPr>
          <w:ilvl w:val="0"/>
          <w:numId w:val="0"/>
        </w:numPr>
        <w:ind w:left="-720"/>
      </w:pPr>
    </w:p>
    <w:p w14:paraId="595491CB" w14:textId="1F6977D9" w:rsidR="002D2B93" w:rsidRPr="008751F6" w:rsidRDefault="00F60622" w:rsidP="0011694D">
      <w:pPr>
        <w:numPr>
          <w:ilvl w:val="0"/>
          <w:numId w:val="14"/>
        </w:numPr>
        <w:spacing w:line="320" w:lineRule="exact"/>
        <w:ind w:left="700" w:hanging="1420"/>
      </w:pPr>
      <w:r w:rsidRPr="008751F6">
        <w:t>(5)</w:t>
      </w:r>
      <w:r w:rsidRPr="008751F6">
        <w:tab/>
        <w:t>After review</w:t>
      </w:r>
      <w:r w:rsidR="00E848C4" w:rsidRPr="008751F6">
        <w:t>ing</w:t>
      </w:r>
      <w:r w:rsidRPr="008751F6">
        <w:t xml:space="preserve"> the </w:t>
      </w:r>
      <w:r w:rsidR="002B7FDF">
        <w:t xml:space="preserve">revised </w:t>
      </w:r>
      <w:r w:rsidRPr="008751F6">
        <w:t xml:space="preserve">tariff </w:t>
      </w:r>
      <w:r w:rsidR="006E0C0D" w:rsidRPr="008751F6">
        <w:rPr>
          <w:noProof/>
        </w:rPr>
        <w:t>revision</w:t>
      </w:r>
      <w:r w:rsidR="00EA2E14" w:rsidRPr="008751F6">
        <w:t xml:space="preserve"> </w:t>
      </w:r>
      <w:r w:rsidR="00B8642E">
        <w:t>Olympic</w:t>
      </w:r>
      <w:r w:rsidR="00786CEC" w:rsidRPr="008751F6">
        <w:t xml:space="preserve"> </w:t>
      </w:r>
      <w:r w:rsidRPr="008751F6">
        <w:t xml:space="preserve">filed in Docket </w:t>
      </w:r>
      <w:r w:rsidR="00C525BA" w:rsidRPr="008751F6">
        <w:t>UW-</w:t>
      </w:r>
      <w:r w:rsidR="00CF0BE2" w:rsidRPr="008751F6">
        <w:t>1</w:t>
      </w:r>
      <w:r w:rsidR="00B8642E">
        <w:t xml:space="preserve">10436 </w:t>
      </w:r>
      <w:r w:rsidRPr="008751F6">
        <w:t xml:space="preserve">and giving due consideration, the </w:t>
      </w:r>
      <w:r w:rsidR="006E0C0D" w:rsidRPr="008751F6">
        <w:t>Commission</w:t>
      </w:r>
      <w:r w:rsidRPr="008751F6">
        <w:t xml:space="preserve"> finds it is consistent with the public interest </w:t>
      </w:r>
      <w:r w:rsidR="00E848C4" w:rsidRPr="008751F6">
        <w:t>to</w:t>
      </w:r>
      <w:r w:rsidR="00B8642E">
        <w:t xml:space="preserve">: </w:t>
      </w:r>
      <w:r w:rsidR="00E848C4" w:rsidRPr="008751F6">
        <w:t xml:space="preserve">dismiss </w:t>
      </w:r>
      <w:r w:rsidRPr="008751F6">
        <w:t xml:space="preserve">the Complaint and Order Suspending Tariff </w:t>
      </w:r>
      <w:r w:rsidR="006E0C0D" w:rsidRPr="008751F6">
        <w:rPr>
          <w:noProof/>
        </w:rPr>
        <w:t>Revision</w:t>
      </w:r>
      <w:r w:rsidR="00EA2E14" w:rsidRPr="008751F6">
        <w:t xml:space="preserve"> </w:t>
      </w:r>
      <w:r w:rsidRPr="008751F6">
        <w:t>in Docket</w:t>
      </w:r>
      <w:r w:rsidR="00642315" w:rsidRPr="008751F6">
        <w:t xml:space="preserve"> </w:t>
      </w:r>
      <w:r w:rsidR="00C525BA" w:rsidRPr="008751F6">
        <w:t>UW-</w:t>
      </w:r>
      <w:r w:rsidR="00CF0BE2" w:rsidRPr="008751F6">
        <w:t>1</w:t>
      </w:r>
      <w:r w:rsidR="00B8642E">
        <w:t>10436</w:t>
      </w:r>
      <w:r w:rsidRPr="008751F6">
        <w:t xml:space="preserve">, dated </w:t>
      </w:r>
      <w:r w:rsidR="00B8642E">
        <w:t>April 10</w:t>
      </w:r>
      <w:r w:rsidR="00C525BA" w:rsidRPr="008751F6">
        <w:t>, 201</w:t>
      </w:r>
      <w:r w:rsidR="0011694D" w:rsidRPr="008751F6">
        <w:t>4</w:t>
      </w:r>
      <w:r w:rsidR="00B8642E">
        <w:t>;</w:t>
      </w:r>
      <w:r w:rsidRPr="008751F6">
        <w:t xml:space="preserve"> </w:t>
      </w:r>
      <w:r w:rsidR="00E848C4" w:rsidRPr="008751F6">
        <w:t xml:space="preserve">allow </w:t>
      </w:r>
      <w:r w:rsidRPr="008751F6">
        <w:t xml:space="preserve">the </w:t>
      </w:r>
      <w:r w:rsidR="002B7FDF">
        <w:t xml:space="preserve">revised </w:t>
      </w:r>
      <w:r w:rsidR="00B8642E">
        <w:t>rates and tariff revisions</w:t>
      </w:r>
      <w:r w:rsidR="0011694D" w:rsidRPr="008751F6">
        <w:t xml:space="preserve">, filed on </w:t>
      </w:r>
      <w:r w:rsidR="00B8642E">
        <w:t>August 22</w:t>
      </w:r>
      <w:r w:rsidR="0039234D" w:rsidRPr="008751F6">
        <w:t>,</w:t>
      </w:r>
      <w:r w:rsidR="00802A71" w:rsidRPr="008751F6">
        <w:t xml:space="preserve"> 201</w:t>
      </w:r>
      <w:r w:rsidR="0011694D" w:rsidRPr="008751F6">
        <w:t>4</w:t>
      </w:r>
      <w:r w:rsidR="00802A71" w:rsidRPr="008751F6">
        <w:t>,</w:t>
      </w:r>
      <w:r w:rsidRPr="008751F6">
        <w:t xml:space="preserve"> </w:t>
      </w:r>
      <w:r w:rsidR="00E848C4" w:rsidRPr="008751F6">
        <w:t xml:space="preserve">to </w:t>
      </w:r>
      <w:r w:rsidRPr="008751F6">
        <w:t>become effective on</w:t>
      </w:r>
      <w:r w:rsidR="00542EE3" w:rsidRPr="008751F6">
        <w:t xml:space="preserve"> </w:t>
      </w:r>
      <w:r w:rsidR="00793944">
        <w:t>September</w:t>
      </w:r>
      <w:r w:rsidR="0011694D" w:rsidRPr="008751F6">
        <w:t xml:space="preserve"> 1</w:t>
      </w:r>
      <w:r w:rsidR="00F910DC">
        <w:t>5</w:t>
      </w:r>
      <w:r w:rsidR="006E0C0D" w:rsidRPr="008751F6">
        <w:t>, 201</w:t>
      </w:r>
      <w:r w:rsidR="0011694D" w:rsidRPr="008751F6">
        <w:t>4</w:t>
      </w:r>
      <w:r w:rsidR="00346174">
        <w:t>; and allow the deferral of Well No. 17 drilling cost to be included in the replacement source of supply for the North Aquifer Well System</w:t>
      </w:r>
      <w:r w:rsidR="004A36D5" w:rsidRPr="008751F6">
        <w:t>.</w:t>
      </w:r>
      <w:r w:rsidR="00091522" w:rsidRPr="008751F6">
        <w:t xml:space="preserve"> </w:t>
      </w:r>
    </w:p>
    <w:p w14:paraId="595491CC" w14:textId="77777777" w:rsidR="006E0C0D" w:rsidRPr="008751F6" w:rsidRDefault="006E0C0D" w:rsidP="00BA50F2">
      <w:pPr>
        <w:pStyle w:val="FindingsConclusions"/>
        <w:numPr>
          <w:ilvl w:val="0"/>
          <w:numId w:val="0"/>
        </w:numPr>
        <w:ind w:left="-720"/>
      </w:pPr>
    </w:p>
    <w:p w14:paraId="595491CD" w14:textId="363C322C" w:rsidR="00F60622" w:rsidRPr="008751F6" w:rsidRDefault="00B8642E" w:rsidP="0093055C">
      <w:pPr>
        <w:pStyle w:val="Heading2"/>
        <w:spacing w:line="320" w:lineRule="exact"/>
        <w:rPr>
          <w:b/>
          <w:bCs/>
          <w:u w:val="none"/>
        </w:rPr>
      </w:pPr>
      <w:r>
        <w:rPr>
          <w:b/>
          <w:bCs/>
          <w:u w:val="none"/>
        </w:rPr>
        <w:t>ORDE</w:t>
      </w:r>
      <w:r w:rsidR="00F60622" w:rsidRPr="008751F6">
        <w:rPr>
          <w:b/>
          <w:bCs/>
          <w:u w:val="none"/>
        </w:rPr>
        <w:t>R</w:t>
      </w:r>
    </w:p>
    <w:p w14:paraId="595491CE" w14:textId="77777777" w:rsidR="00F60622" w:rsidRPr="008751F6" w:rsidRDefault="00F60622" w:rsidP="0093055C">
      <w:pPr>
        <w:spacing w:line="320" w:lineRule="exact"/>
        <w:rPr>
          <w:b/>
          <w:bCs/>
        </w:rPr>
      </w:pPr>
    </w:p>
    <w:p w14:paraId="595491CF" w14:textId="77777777" w:rsidR="00F60622" w:rsidRPr="008751F6" w:rsidRDefault="00F60622" w:rsidP="0093055C">
      <w:pPr>
        <w:spacing w:line="320" w:lineRule="exact"/>
        <w:ind w:left="-720" w:firstLine="720"/>
        <w:rPr>
          <w:b/>
          <w:bCs/>
        </w:rPr>
      </w:pPr>
      <w:r w:rsidRPr="008751F6">
        <w:rPr>
          <w:b/>
          <w:bCs/>
        </w:rPr>
        <w:t xml:space="preserve">THE </w:t>
      </w:r>
      <w:r w:rsidR="006E0C0D" w:rsidRPr="008751F6">
        <w:rPr>
          <w:b/>
          <w:bCs/>
        </w:rPr>
        <w:t>COMMISSION</w:t>
      </w:r>
      <w:r w:rsidRPr="008751F6">
        <w:rPr>
          <w:b/>
          <w:bCs/>
        </w:rPr>
        <w:t xml:space="preserve"> ORDERS:</w:t>
      </w:r>
    </w:p>
    <w:p w14:paraId="595491D0" w14:textId="77777777" w:rsidR="00F60622" w:rsidRPr="008751F6" w:rsidRDefault="00F60622" w:rsidP="0093055C">
      <w:pPr>
        <w:spacing w:line="320" w:lineRule="exact"/>
      </w:pPr>
    </w:p>
    <w:p w14:paraId="595491D1" w14:textId="4DA1016B" w:rsidR="00F60622" w:rsidRPr="008751F6" w:rsidRDefault="00F60622" w:rsidP="00BA50F2">
      <w:pPr>
        <w:pStyle w:val="FindingsConclusions"/>
        <w:ind w:left="720" w:hanging="1440"/>
      </w:pPr>
      <w:r w:rsidRPr="008751F6">
        <w:t xml:space="preserve">(1) </w:t>
      </w:r>
      <w:r w:rsidRPr="008751F6">
        <w:tab/>
      </w:r>
      <w:r w:rsidR="00D66650" w:rsidRPr="008751F6">
        <w:t>Order 01, t</w:t>
      </w:r>
      <w:r w:rsidRPr="008751F6">
        <w:t>he Complaint and Order Suspendi</w:t>
      </w:r>
      <w:r w:rsidR="001E1468" w:rsidRPr="008751F6">
        <w:t xml:space="preserve">ng Tariff </w:t>
      </w:r>
      <w:r w:rsidR="006E0C0D" w:rsidRPr="008751F6">
        <w:rPr>
          <w:noProof/>
        </w:rPr>
        <w:t>Revision</w:t>
      </w:r>
      <w:r w:rsidR="00D66650" w:rsidRPr="008751F6">
        <w:rPr>
          <w:noProof/>
        </w:rPr>
        <w:t>,</w:t>
      </w:r>
      <w:r w:rsidR="001E1468" w:rsidRPr="008751F6">
        <w:t xml:space="preserve"> in Docket</w:t>
      </w:r>
      <w:r w:rsidR="00642315" w:rsidRPr="008751F6">
        <w:t xml:space="preserve"> </w:t>
      </w:r>
      <w:r w:rsidR="00156D5E">
        <w:t xml:space="preserve">     </w:t>
      </w:r>
      <w:r w:rsidR="00C525BA" w:rsidRPr="008751F6">
        <w:t>UW-</w:t>
      </w:r>
      <w:r w:rsidR="00CF0BE2" w:rsidRPr="008751F6">
        <w:t>1</w:t>
      </w:r>
      <w:r w:rsidR="00B8642E">
        <w:t>10436</w:t>
      </w:r>
      <w:r w:rsidRPr="008751F6">
        <w:t xml:space="preserve">, </w:t>
      </w:r>
      <w:r w:rsidR="005540E6" w:rsidRPr="008751F6">
        <w:t>entered on</w:t>
      </w:r>
      <w:r w:rsidRPr="008751F6">
        <w:t xml:space="preserve"> </w:t>
      </w:r>
      <w:r w:rsidR="00B8642E">
        <w:t>April 10</w:t>
      </w:r>
      <w:r w:rsidR="00C525BA" w:rsidRPr="008751F6">
        <w:rPr>
          <w:bCs/>
        </w:rPr>
        <w:t>, 201</w:t>
      </w:r>
      <w:r w:rsidR="0011694D" w:rsidRPr="008751F6">
        <w:rPr>
          <w:bCs/>
        </w:rPr>
        <w:t>4</w:t>
      </w:r>
      <w:r w:rsidRPr="008751F6">
        <w:t>, is dismissed.</w:t>
      </w:r>
    </w:p>
    <w:p w14:paraId="595491D2" w14:textId="77777777" w:rsidR="00F60622" w:rsidRPr="008751F6" w:rsidRDefault="00F60622" w:rsidP="00BA50F2">
      <w:pPr>
        <w:pStyle w:val="FindingsConclusions"/>
        <w:numPr>
          <w:ilvl w:val="0"/>
          <w:numId w:val="0"/>
        </w:numPr>
        <w:tabs>
          <w:tab w:val="left" w:pos="0"/>
        </w:tabs>
        <w:ind w:left="720" w:hanging="1440"/>
      </w:pPr>
    </w:p>
    <w:p w14:paraId="595491D3" w14:textId="5BE67CAE" w:rsidR="002D2B93" w:rsidRDefault="00F60622" w:rsidP="00BA50F2">
      <w:pPr>
        <w:numPr>
          <w:ilvl w:val="0"/>
          <w:numId w:val="14"/>
        </w:numPr>
        <w:tabs>
          <w:tab w:val="left" w:pos="0"/>
        </w:tabs>
        <w:spacing w:line="320" w:lineRule="exact"/>
        <w:ind w:left="720" w:hanging="1440"/>
      </w:pPr>
      <w:r w:rsidRPr="008751F6">
        <w:t xml:space="preserve">(2) </w:t>
      </w:r>
      <w:r w:rsidRPr="008751F6">
        <w:tab/>
        <w:t xml:space="preserve">The tariff </w:t>
      </w:r>
      <w:r w:rsidR="006E0C0D" w:rsidRPr="008751F6">
        <w:rPr>
          <w:noProof/>
        </w:rPr>
        <w:t>revision</w:t>
      </w:r>
      <w:r w:rsidRPr="008751F6">
        <w:t xml:space="preserve"> </w:t>
      </w:r>
      <w:r w:rsidR="00B8642E">
        <w:t xml:space="preserve">Olympic Water and Sewer, </w:t>
      </w:r>
      <w:r w:rsidR="00BA5D86">
        <w:t>Inc., f</w:t>
      </w:r>
      <w:r w:rsidR="00BA5D86" w:rsidRPr="008751F6">
        <w:t>iled</w:t>
      </w:r>
      <w:r w:rsidRPr="008751F6">
        <w:t xml:space="preserve"> in this docket on</w:t>
      </w:r>
      <w:r w:rsidR="0011694D" w:rsidRPr="008751F6">
        <w:t xml:space="preserve"> </w:t>
      </w:r>
      <w:r w:rsidR="00804D65">
        <w:t xml:space="preserve">   </w:t>
      </w:r>
      <w:r w:rsidR="00B8642E">
        <w:t>August 22</w:t>
      </w:r>
      <w:r w:rsidR="0039234D" w:rsidRPr="008751F6">
        <w:t>,</w:t>
      </w:r>
      <w:r w:rsidR="00802A71" w:rsidRPr="008751F6">
        <w:t xml:space="preserve"> 201</w:t>
      </w:r>
      <w:r w:rsidR="0011694D" w:rsidRPr="008751F6">
        <w:t>4</w:t>
      </w:r>
      <w:r w:rsidR="00802A71" w:rsidRPr="008751F6">
        <w:t>,</w:t>
      </w:r>
      <w:r w:rsidRPr="008751F6">
        <w:t xml:space="preserve"> shall become effective on</w:t>
      </w:r>
      <w:r w:rsidR="00B8642E">
        <w:t xml:space="preserve"> </w:t>
      </w:r>
      <w:r w:rsidR="00346174">
        <w:t>September</w:t>
      </w:r>
      <w:r w:rsidR="0011694D" w:rsidRPr="008751F6">
        <w:t xml:space="preserve"> 1</w:t>
      </w:r>
      <w:r w:rsidR="00F910DC">
        <w:t>5</w:t>
      </w:r>
      <w:r w:rsidR="00C525BA" w:rsidRPr="008751F6">
        <w:t>, 201</w:t>
      </w:r>
      <w:r w:rsidR="0011694D" w:rsidRPr="008751F6">
        <w:t>4</w:t>
      </w:r>
      <w:r w:rsidRPr="008751F6">
        <w:t>.</w:t>
      </w:r>
    </w:p>
    <w:p w14:paraId="40EFD41E" w14:textId="77777777" w:rsidR="00B8642E" w:rsidRDefault="00B8642E" w:rsidP="00B8642E">
      <w:pPr>
        <w:pStyle w:val="ListParagraph"/>
      </w:pPr>
    </w:p>
    <w:p w14:paraId="49018B60" w14:textId="7DBF2688" w:rsidR="00B70576" w:rsidRDefault="00B8642E" w:rsidP="00F323A0">
      <w:pPr>
        <w:numPr>
          <w:ilvl w:val="0"/>
          <w:numId w:val="14"/>
        </w:numPr>
        <w:tabs>
          <w:tab w:val="left" w:pos="0"/>
        </w:tabs>
        <w:spacing w:line="320" w:lineRule="exact"/>
        <w:ind w:left="720" w:hanging="1440"/>
      </w:pPr>
      <w:r>
        <w:t>(3)</w:t>
      </w:r>
      <w:r>
        <w:tab/>
        <w:t xml:space="preserve">The deferral of </w:t>
      </w:r>
      <w:r w:rsidR="00334757">
        <w:t xml:space="preserve">$42,983 in </w:t>
      </w:r>
      <w:r>
        <w:t>drilling cost</w:t>
      </w:r>
      <w:r w:rsidR="005B5175">
        <w:t xml:space="preserve">s </w:t>
      </w:r>
      <w:r w:rsidR="00334757">
        <w:t xml:space="preserve">for Well No. 17 – </w:t>
      </w:r>
      <w:r w:rsidR="005B5175">
        <w:t xml:space="preserve">comprised of </w:t>
      </w:r>
      <w:r w:rsidR="002520CA">
        <w:t>$31,115</w:t>
      </w:r>
      <w:r w:rsidR="00334757">
        <w:t xml:space="preserve"> in</w:t>
      </w:r>
      <w:r w:rsidR="005B5175">
        <w:t xml:space="preserve"> drilling costs </w:t>
      </w:r>
      <w:r w:rsidR="002520CA">
        <w:t>and $11,869</w:t>
      </w:r>
      <w:r w:rsidR="005B5175">
        <w:t xml:space="preserve"> in legal costs</w:t>
      </w:r>
      <w:r w:rsidR="00334757">
        <w:t xml:space="preserve"> –</w:t>
      </w:r>
      <w:r w:rsidR="002520CA">
        <w:t xml:space="preserve"> </w:t>
      </w:r>
      <w:r>
        <w:t>in replacement source of supply for the North Aquifer Well System is allowed.</w:t>
      </w:r>
      <w:r w:rsidR="002520CA">
        <w:t xml:space="preserve"> </w:t>
      </w:r>
      <w:r w:rsidR="004060C0">
        <w:t xml:space="preserve"> </w:t>
      </w:r>
      <w:r w:rsidR="002520CA">
        <w:t>The total deferred amount of $42,983 will not earn or accrue interest.</w:t>
      </w:r>
    </w:p>
    <w:p w14:paraId="108238F1" w14:textId="77777777" w:rsidR="00B70576" w:rsidRDefault="00B70576" w:rsidP="00B70576">
      <w:pPr>
        <w:tabs>
          <w:tab w:val="left" w:pos="0"/>
        </w:tabs>
        <w:spacing w:line="320" w:lineRule="exact"/>
      </w:pPr>
    </w:p>
    <w:p w14:paraId="595491D5" w14:textId="5CC5926D" w:rsidR="00F60622" w:rsidRPr="008751F6" w:rsidRDefault="00F60622" w:rsidP="00B70576">
      <w:pPr>
        <w:tabs>
          <w:tab w:val="left" w:pos="0"/>
        </w:tabs>
        <w:spacing w:line="320" w:lineRule="exact"/>
      </w:pPr>
      <w:r w:rsidRPr="008751F6">
        <w:t xml:space="preserve">DATED at Olympia, Washington, and effective </w:t>
      </w:r>
      <w:r w:rsidR="00E6318A">
        <w:t>September 11</w:t>
      </w:r>
      <w:r w:rsidR="00C525BA" w:rsidRPr="008751F6">
        <w:t>, 201</w:t>
      </w:r>
      <w:r w:rsidR="0011694D" w:rsidRPr="008751F6">
        <w:t>4</w:t>
      </w:r>
      <w:r w:rsidRPr="008751F6">
        <w:t>.</w:t>
      </w:r>
    </w:p>
    <w:p w14:paraId="595491D6" w14:textId="77777777" w:rsidR="00F60622" w:rsidRPr="008751F6" w:rsidRDefault="00F60622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595491D7" w14:textId="77777777" w:rsidR="00F60622" w:rsidRPr="008751F6" w:rsidRDefault="00F60622" w:rsidP="0093055C">
      <w:pPr>
        <w:spacing w:line="320" w:lineRule="exact"/>
        <w:jc w:val="center"/>
      </w:pPr>
      <w:r w:rsidRPr="008751F6">
        <w:t xml:space="preserve">WASHINGTON UTILITIES AND TRANSPORTATION </w:t>
      </w:r>
      <w:r w:rsidR="006E0C0D" w:rsidRPr="008751F6">
        <w:t>COMMISSION</w:t>
      </w:r>
    </w:p>
    <w:p w14:paraId="595491D8" w14:textId="77777777" w:rsidR="00F60622" w:rsidRPr="008751F6" w:rsidRDefault="00F60622" w:rsidP="0093055C">
      <w:pPr>
        <w:spacing w:line="320" w:lineRule="exact"/>
      </w:pPr>
    </w:p>
    <w:p w14:paraId="595491D9" w14:textId="77777777" w:rsidR="001E1468" w:rsidRPr="008751F6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595491DA" w14:textId="77777777" w:rsidR="001E1468" w:rsidRPr="008751F6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5F6B361B" w14:textId="77777777" w:rsidR="002759CB" w:rsidRDefault="001E1468" w:rsidP="002759CB">
      <w:pPr>
        <w:pStyle w:val="BodyText3"/>
        <w:rPr>
          <w:sz w:val="25"/>
          <w:szCs w:val="25"/>
        </w:rPr>
      </w:pPr>
      <w:r w:rsidRPr="008751F6">
        <w:rPr>
          <w:sz w:val="24"/>
          <w:szCs w:val="24"/>
        </w:rPr>
        <w:tab/>
      </w:r>
      <w:r w:rsidRPr="008751F6">
        <w:rPr>
          <w:sz w:val="24"/>
          <w:szCs w:val="24"/>
        </w:rPr>
        <w:tab/>
      </w:r>
      <w:r w:rsidRPr="008751F6">
        <w:rPr>
          <w:sz w:val="24"/>
          <w:szCs w:val="24"/>
        </w:rPr>
        <w:tab/>
      </w:r>
      <w:r w:rsidRPr="008751F6">
        <w:rPr>
          <w:sz w:val="24"/>
          <w:szCs w:val="24"/>
        </w:rPr>
        <w:tab/>
      </w:r>
      <w:r w:rsidRPr="008751F6">
        <w:rPr>
          <w:sz w:val="24"/>
          <w:szCs w:val="24"/>
        </w:rPr>
        <w:tab/>
      </w:r>
    </w:p>
    <w:p w14:paraId="79DFDC1F" w14:textId="34E5D29E" w:rsidR="002759CB" w:rsidRPr="00E6318A" w:rsidRDefault="002759CB" w:rsidP="00BD71AB">
      <w:pPr>
        <w:pStyle w:val="BodyText3"/>
        <w:ind w:left="2880" w:firstLine="720"/>
        <w:rPr>
          <w:sz w:val="24"/>
          <w:szCs w:val="24"/>
        </w:rPr>
      </w:pPr>
      <w:r w:rsidRPr="00E6318A">
        <w:rPr>
          <w:sz w:val="24"/>
          <w:szCs w:val="24"/>
        </w:rPr>
        <w:t>DAVID W. DANNER, Chairman</w:t>
      </w:r>
    </w:p>
    <w:p w14:paraId="1C0C894D" w14:textId="77777777" w:rsidR="002759CB" w:rsidRPr="00E6318A" w:rsidRDefault="002759CB" w:rsidP="002759CB">
      <w:pPr>
        <w:pStyle w:val="BodyText3"/>
        <w:rPr>
          <w:sz w:val="24"/>
          <w:szCs w:val="24"/>
        </w:rPr>
      </w:pPr>
    </w:p>
    <w:p w14:paraId="27FC0227" w14:textId="77777777" w:rsidR="002759CB" w:rsidRPr="00E6318A" w:rsidRDefault="002759CB" w:rsidP="002759CB">
      <w:pPr>
        <w:pStyle w:val="BodyText3"/>
        <w:rPr>
          <w:sz w:val="24"/>
          <w:szCs w:val="24"/>
        </w:rPr>
      </w:pPr>
    </w:p>
    <w:p w14:paraId="09EB47F8" w14:textId="77777777" w:rsidR="002759CB" w:rsidRPr="00E6318A" w:rsidRDefault="002759CB" w:rsidP="002759CB">
      <w:pPr>
        <w:pStyle w:val="BodyText3"/>
        <w:rPr>
          <w:sz w:val="24"/>
          <w:szCs w:val="24"/>
        </w:rPr>
      </w:pPr>
    </w:p>
    <w:p w14:paraId="2F251B7A" w14:textId="4496300F" w:rsidR="00E6318A" w:rsidRDefault="00E6318A" w:rsidP="00E6318A">
      <w:pPr>
        <w:spacing w:line="288" w:lineRule="auto"/>
      </w:pPr>
      <w:r w:rsidRPr="00E6318A">
        <w:tab/>
      </w:r>
      <w:r w:rsidRPr="00E6318A">
        <w:tab/>
      </w:r>
      <w:r w:rsidRPr="00E6318A">
        <w:tab/>
      </w:r>
      <w:r w:rsidRPr="00E6318A">
        <w:tab/>
      </w:r>
      <w:r w:rsidRPr="00E6318A">
        <w:tab/>
        <w:t>PHILIP B. JONES, Commissioner</w:t>
      </w:r>
    </w:p>
    <w:p w14:paraId="00E547E8" w14:textId="77777777" w:rsidR="00E6318A" w:rsidRDefault="00E6318A" w:rsidP="00E6318A">
      <w:pPr>
        <w:spacing w:line="288" w:lineRule="auto"/>
      </w:pPr>
    </w:p>
    <w:p w14:paraId="77044561" w14:textId="77777777" w:rsidR="00E6318A" w:rsidRDefault="00E6318A" w:rsidP="00E6318A">
      <w:pPr>
        <w:spacing w:line="288" w:lineRule="auto"/>
      </w:pPr>
    </w:p>
    <w:p w14:paraId="79E6909E" w14:textId="77777777" w:rsidR="00E6318A" w:rsidRDefault="00E6318A" w:rsidP="00E6318A">
      <w:pPr>
        <w:spacing w:line="288" w:lineRule="auto"/>
      </w:pPr>
    </w:p>
    <w:p w14:paraId="1D46EA46" w14:textId="77777777" w:rsidR="00E6318A" w:rsidRPr="00E6318A" w:rsidRDefault="00E6318A" w:rsidP="00E6318A">
      <w:pPr>
        <w:spacing w:line="288" w:lineRule="auto"/>
      </w:pPr>
    </w:p>
    <w:p w14:paraId="2234B89B" w14:textId="77777777" w:rsidR="002759CB" w:rsidRPr="000903EF" w:rsidRDefault="002759CB" w:rsidP="002759CB">
      <w:pPr>
        <w:pStyle w:val="BodyText3"/>
        <w:rPr>
          <w:sz w:val="25"/>
          <w:szCs w:val="25"/>
        </w:rPr>
      </w:pPr>
      <w:r w:rsidRPr="00E6318A">
        <w:rPr>
          <w:sz w:val="24"/>
          <w:szCs w:val="24"/>
        </w:rPr>
        <w:tab/>
      </w:r>
      <w:r w:rsidRPr="00E6318A">
        <w:rPr>
          <w:sz w:val="24"/>
          <w:szCs w:val="24"/>
        </w:rPr>
        <w:tab/>
      </w:r>
      <w:r w:rsidRPr="00E6318A">
        <w:rPr>
          <w:sz w:val="24"/>
          <w:szCs w:val="24"/>
        </w:rPr>
        <w:tab/>
      </w:r>
      <w:r w:rsidRPr="00E6318A">
        <w:rPr>
          <w:sz w:val="24"/>
          <w:szCs w:val="24"/>
        </w:rPr>
        <w:tab/>
      </w:r>
      <w:r w:rsidRPr="00E6318A">
        <w:rPr>
          <w:sz w:val="24"/>
          <w:szCs w:val="24"/>
        </w:rPr>
        <w:tab/>
        <w:t>JEFFREY D. GOLTZ, Commissioner</w:t>
      </w:r>
    </w:p>
    <w:p w14:paraId="595491E4" w14:textId="35B90AE0" w:rsidR="00366ADE" w:rsidRPr="008751F6" w:rsidRDefault="00366ADE" w:rsidP="002759CB">
      <w:pPr>
        <w:pStyle w:val="BodyText3"/>
      </w:pPr>
    </w:p>
    <w:sectPr w:rsidR="00366ADE" w:rsidRPr="008751F6">
      <w:headerReference w:type="default" r:id="rId11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8AD2F" w14:textId="77777777" w:rsidR="003B633A" w:rsidRDefault="003B633A">
      <w:r>
        <w:separator/>
      </w:r>
    </w:p>
  </w:endnote>
  <w:endnote w:type="continuationSeparator" w:id="0">
    <w:p w14:paraId="764C159E" w14:textId="77777777" w:rsidR="003B633A" w:rsidRDefault="003B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E89DB" w14:textId="77777777" w:rsidR="003B633A" w:rsidRDefault="003B633A">
      <w:r>
        <w:separator/>
      </w:r>
    </w:p>
  </w:footnote>
  <w:footnote w:type="continuationSeparator" w:id="0">
    <w:p w14:paraId="6E883C96" w14:textId="77777777" w:rsidR="003B633A" w:rsidRDefault="003B633A">
      <w:r>
        <w:continuationSeparator/>
      </w:r>
    </w:p>
  </w:footnote>
  <w:footnote w:id="1">
    <w:p w14:paraId="24FE3FA5" w14:textId="74490B5C" w:rsidR="00A211D2" w:rsidRDefault="00A211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11D2">
        <w:rPr>
          <w:rFonts w:ascii="Times New Roman" w:hAnsi="Times New Roman"/>
        </w:rPr>
        <w:t>A copy of the letter from</w:t>
      </w:r>
      <w:r>
        <w:rPr>
          <w:rFonts w:ascii="Times New Roman" w:hAnsi="Times New Roman"/>
        </w:rPr>
        <w:t xml:space="preserve"> the Company is attached to Staff’s </w:t>
      </w:r>
      <w:r w:rsidR="00F910DC">
        <w:rPr>
          <w:rFonts w:ascii="Times New Roman" w:hAnsi="Times New Roman"/>
        </w:rPr>
        <w:t xml:space="preserve">August 28, 2014, </w:t>
      </w:r>
      <w:r>
        <w:rPr>
          <w:rFonts w:ascii="Times New Roman" w:hAnsi="Times New Roman"/>
        </w:rPr>
        <w:t>memo filed in this docket.</w:t>
      </w:r>
      <w:r>
        <w:t xml:space="preserve"> </w:t>
      </w:r>
    </w:p>
  </w:footnote>
  <w:footnote w:id="2">
    <w:p w14:paraId="19FFA2B4" w14:textId="3145BF56" w:rsidR="00927310" w:rsidRPr="00927310" w:rsidRDefault="00927310">
      <w:pPr>
        <w:pStyle w:val="FootnoteText"/>
        <w:rPr>
          <w:rFonts w:ascii="Times New Roman" w:hAnsi="Times New Roman"/>
        </w:rPr>
      </w:pPr>
      <w:r w:rsidRPr="00927310">
        <w:rPr>
          <w:rStyle w:val="FootnoteReference"/>
          <w:rFonts w:ascii="Times New Roman" w:hAnsi="Times New Roman"/>
        </w:rPr>
        <w:footnoteRef/>
      </w:r>
      <w:r w:rsidRPr="00927310">
        <w:rPr>
          <w:rFonts w:ascii="Times New Roman" w:hAnsi="Times New Roman"/>
        </w:rPr>
        <w:t xml:space="preserve"> A copy of the letter </w:t>
      </w:r>
      <w:r w:rsidR="00A211D2">
        <w:rPr>
          <w:rFonts w:ascii="Times New Roman" w:hAnsi="Times New Roman"/>
        </w:rPr>
        <w:t xml:space="preserve">from the PLVC </w:t>
      </w:r>
      <w:r w:rsidRPr="00927310">
        <w:rPr>
          <w:rFonts w:ascii="Times New Roman" w:hAnsi="Times New Roman"/>
        </w:rPr>
        <w:t xml:space="preserve">is attached to Staff’s </w:t>
      </w:r>
      <w:r w:rsidR="00F910DC">
        <w:rPr>
          <w:rFonts w:ascii="Times New Roman" w:hAnsi="Times New Roman"/>
        </w:rPr>
        <w:t xml:space="preserve">August 28, 2014, </w:t>
      </w:r>
      <w:r w:rsidRPr="00927310">
        <w:rPr>
          <w:rFonts w:ascii="Times New Roman" w:hAnsi="Times New Roman"/>
        </w:rPr>
        <w:t>memo filed in this docket.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491E9" w14:textId="7E9DB808" w:rsidR="00AC2D03" w:rsidRPr="00A748CC" w:rsidRDefault="00AC2D03" w:rsidP="00412172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C525BA">
      <w:rPr>
        <w:b/>
        <w:sz w:val="20"/>
      </w:rPr>
      <w:t>UW-</w:t>
    </w:r>
    <w:r w:rsidR="00F31515">
      <w:rPr>
        <w:b/>
        <w:sz w:val="20"/>
      </w:rPr>
      <w:t>1</w:t>
    </w:r>
    <w:r w:rsidR="00B8642E">
      <w:rPr>
        <w:b/>
        <w:sz w:val="20"/>
      </w:rPr>
      <w:t>10436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9528FF"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595491EA" w14:textId="77777777" w:rsidR="00AC2D03" w:rsidRPr="0050337D" w:rsidRDefault="00AC2D03" w:rsidP="00412172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C525BA">
      <w:rPr>
        <w:b/>
        <w:sz w:val="20"/>
      </w:rPr>
      <w:t>02</w:t>
    </w:r>
  </w:p>
  <w:p w14:paraId="595491EB" w14:textId="77777777" w:rsidR="00AC2D03" w:rsidRPr="00322D92" w:rsidRDefault="00AC2D03">
    <w:pPr>
      <w:pStyle w:val="Header"/>
      <w:tabs>
        <w:tab w:val="left" w:pos="7000"/>
      </w:tabs>
      <w:rPr>
        <w:rStyle w:val="PageNumber"/>
        <w:sz w:val="20"/>
      </w:rPr>
    </w:pPr>
  </w:p>
  <w:p w14:paraId="595491EC" w14:textId="77777777" w:rsidR="00AC2D03" w:rsidRPr="00322D92" w:rsidRDefault="00AC2D03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8D3389"/>
    <w:multiLevelType w:val="hybridMultilevel"/>
    <w:tmpl w:val="D9E6CBEE"/>
    <w:lvl w:ilvl="0" w:tplc="272E71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20D46"/>
    <w:multiLevelType w:val="hybridMultilevel"/>
    <w:tmpl w:val="C40A5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B2761"/>
    <w:multiLevelType w:val="hybridMultilevel"/>
    <w:tmpl w:val="F924A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DFE526B"/>
    <w:multiLevelType w:val="hybridMultilevel"/>
    <w:tmpl w:val="F7D092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32F70F3"/>
    <w:multiLevelType w:val="hybridMultilevel"/>
    <w:tmpl w:val="ABB26EB8"/>
    <w:lvl w:ilvl="0" w:tplc="2C94A620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28A79DA"/>
    <w:multiLevelType w:val="multilevel"/>
    <w:tmpl w:val="2A5EDD5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8"/>
  </w:num>
  <w:num w:numId="5">
    <w:abstractNumId w:val="4"/>
  </w:num>
  <w:num w:numId="6">
    <w:abstractNumId w:val="14"/>
  </w:num>
  <w:num w:numId="7">
    <w:abstractNumId w:val="6"/>
  </w:num>
  <w:num w:numId="8">
    <w:abstractNumId w:val="17"/>
  </w:num>
  <w:num w:numId="9">
    <w:abstractNumId w:val="10"/>
  </w:num>
  <w:num w:numId="10">
    <w:abstractNumId w:val="15"/>
  </w:num>
  <w:num w:numId="11">
    <w:abstractNumId w:val="1"/>
  </w:num>
  <w:num w:numId="12">
    <w:abstractNumId w:val="2"/>
  </w:num>
  <w:num w:numId="13">
    <w:abstractNumId w:val="5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6"/>
  </w:num>
  <w:num w:numId="21">
    <w:abstractNumId w:val="3"/>
  </w:num>
  <w:num w:numId="22">
    <w:abstractNumId w:val="11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2F"/>
    <w:rsid w:val="00003250"/>
    <w:rsid w:val="00030A00"/>
    <w:rsid w:val="0006243D"/>
    <w:rsid w:val="00071E36"/>
    <w:rsid w:val="0007772D"/>
    <w:rsid w:val="000838C7"/>
    <w:rsid w:val="00091522"/>
    <w:rsid w:val="00094E36"/>
    <w:rsid w:val="000A1956"/>
    <w:rsid w:val="000A69B5"/>
    <w:rsid w:val="000C4D72"/>
    <w:rsid w:val="000C5A3B"/>
    <w:rsid w:val="000C5EE3"/>
    <w:rsid w:val="000D2C45"/>
    <w:rsid w:val="000D7020"/>
    <w:rsid w:val="000E1016"/>
    <w:rsid w:val="001017D8"/>
    <w:rsid w:val="0011694D"/>
    <w:rsid w:val="0013001E"/>
    <w:rsid w:val="00131FD3"/>
    <w:rsid w:val="00147DFE"/>
    <w:rsid w:val="0015647F"/>
    <w:rsid w:val="00156D5E"/>
    <w:rsid w:val="00163735"/>
    <w:rsid w:val="00176C2C"/>
    <w:rsid w:val="00177333"/>
    <w:rsid w:val="00191B48"/>
    <w:rsid w:val="001E1468"/>
    <w:rsid w:val="001F1FF8"/>
    <w:rsid w:val="00214588"/>
    <w:rsid w:val="002520CA"/>
    <w:rsid w:val="002759CB"/>
    <w:rsid w:val="002763FD"/>
    <w:rsid w:val="00295E36"/>
    <w:rsid w:val="002B7FDF"/>
    <w:rsid w:val="002C1FB7"/>
    <w:rsid w:val="002D2B93"/>
    <w:rsid w:val="002E160B"/>
    <w:rsid w:val="002E279B"/>
    <w:rsid w:val="002E5FC5"/>
    <w:rsid w:val="00314F62"/>
    <w:rsid w:val="00315BA0"/>
    <w:rsid w:val="00322D92"/>
    <w:rsid w:val="00334757"/>
    <w:rsid w:val="00336B9E"/>
    <w:rsid w:val="00346174"/>
    <w:rsid w:val="00366ADE"/>
    <w:rsid w:val="003715F6"/>
    <w:rsid w:val="0037295D"/>
    <w:rsid w:val="0038060D"/>
    <w:rsid w:val="003817D4"/>
    <w:rsid w:val="0039234D"/>
    <w:rsid w:val="003B633A"/>
    <w:rsid w:val="00404836"/>
    <w:rsid w:val="004060C0"/>
    <w:rsid w:val="00412172"/>
    <w:rsid w:val="00413F33"/>
    <w:rsid w:val="00440732"/>
    <w:rsid w:val="00450F6A"/>
    <w:rsid w:val="004A1262"/>
    <w:rsid w:val="004A36D5"/>
    <w:rsid w:val="004B0502"/>
    <w:rsid w:val="004C1F8C"/>
    <w:rsid w:val="004D521B"/>
    <w:rsid w:val="004F010D"/>
    <w:rsid w:val="004F07F4"/>
    <w:rsid w:val="004F5A5B"/>
    <w:rsid w:val="005116E8"/>
    <w:rsid w:val="00517ACA"/>
    <w:rsid w:val="00542EE3"/>
    <w:rsid w:val="00551521"/>
    <w:rsid w:val="005540E6"/>
    <w:rsid w:val="0055688D"/>
    <w:rsid w:val="00567761"/>
    <w:rsid w:val="00577483"/>
    <w:rsid w:val="00597908"/>
    <w:rsid w:val="005B3E1B"/>
    <w:rsid w:val="005B5175"/>
    <w:rsid w:val="005C3076"/>
    <w:rsid w:val="005C4D0E"/>
    <w:rsid w:val="005D47E8"/>
    <w:rsid w:val="005F0719"/>
    <w:rsid w:val="00601D0F"/>
    <w:rsid w:val="00642315"/>
    <w:rsid w:val="006537EB"/>
    <w:rsid w:val="006542C6"/>
    <w:rsid w:val="0065502F"/>
    <w:rsid w:val="00674CD7"/>
    <w:rsid w:val="006839E5"/>
    <w:rsid w:val="006A5C85"/>
    <w:rsid w:val="006B53E6"/>
    <w:rsid w:val="006D5E2C"/>
    <w:rsid w:val="006E0C0D"/>
    <w:rsid w:val="006F2D1B"/>
    <w:rsid w:val="006F4286"/>
    <w:rsid w:val="00713BD1"/>
    <w:rsid w:val="0072121D"/>
    <w:rsid w:val="00727946"/>
    <w:rsid w:val="0074290B"/>
    <w:rsid w:val="00786CEC"/>
    <w:rsid w:val="00793944"/>
    <w:rsid w:val="007A6441"/>
    <w:rsid w:val="007D0B8A"/>
    <w:rsid w:val="007D16F5"/>
    <w:rsid w:val="007D467A"/>
    <w:rsid w:val="007F6572"/>
    <w:rsid w:val="00802A71"/>
    <w:rsid w:val="00804D65"/>
    <w:rsid w:val="00814883"/>
    <w:rsid w:val="00825EB4"/>
    <w:rsid w:val="0082683F"/>
    <w:rsid w:val="00833361"/>
    <w:rsid w:val="008406B1"/>
    <w:rsid w:val="00846B18"/>
    <w:rsid w:val="00852A23"/>
    <w:rsid w:val="00852C8D"/>
    <w:rsid w:val="00856567"/>
    <w:rsid w:val="008751F6"/>
    <w:rsid w:val="0089437E"/>
    <w:rsid w:val="008A4DD1"/>
    <w:rsid w:val="008A4ECC"/>
    <w:rsid w:val="008B015E"/>
    <w:rsid w:val="008F7203"/>
    <w:rsid w:val="00903E43"/>
    <w:rsid w:val="00907BDD"/>
    <w:rsid w:val="00927310"/>
    <w:rsid w:val="0093055C"/>
    <w:rsid w:val="009406B6"/>
    <w:rsid w:val="0094329A"/>
    <w:rsid w:val="009528FF"/>
    <w:rsid w:val="00953732"/>
    <w:rsid w:val="00965F1F"/>
    <w:rsid w:val="009757C0"/>
    <w:rsid w:val="0098138E"/>
    <w:rsid w:val="009A4B56"/>
    <w:rsid w:val="009D3789"/>
    <w:rsid w:val="009D3A12"/>
    <w:rsid w:val="009E6EE3"/>
    <w:rsid w:val="009F6918"/>
    <w:rsid w:val="00A03D01"/>
    <w:rsid w:val="00A15FBC"/>
    <w:rsid w:val="00A211D2"/>
    <w:rsid w:val="00A2440E"/>
    <w:rsid w:val="00A63401"/>
    <w:rsid w:val="00AA3D6C"/>
    <w:rsid w:val="00AA7C79"/>
    <w:rsid w:val="00AC2D03"/>
    <w:rsid w:val="00AC6DCC"/>
    <w:rsid w:val="00AD7F53"/>
    <w:rsid w:val="00AF35E3"/>
    <w:rsid w:val="00AF36C3"/>
    <w:rsid w:val="00B004AB"/>
    <w:rsid w:val="00B06C08"/>
    <w:rsid w:val="00B27AF9"/>
    <w:rsid w:val="00B70576"/>
    <w:rsid w:val="00B8642E"/>
    <w:rsid w:val="00B872F7"/>
    <w:rsid w:val="00B94D05"/>
    <w:rsid w:val="00BA50F2"/>
    <w:rsid w:val="00BA5D86"/>
    <w:rsid w:val="00BB7DCE"/>
    <w:rsid w:val="00BD3862"/>
    <w:rsid w:val="00BD6CD5"/>
    <w:rsid w:val="00BD71AB"/>
    <w:rsid w:val="00C2365F"/>
    <w:rsid w:val="00C525BA"/>
    <w:rsid w:val="00C75A2F"/>
    <w:rsid w:val="00C86018"/>
    <w:rsid w:val="00CA4C0A"/>
    <w:rsid w:val="00CA5CA0"/>
    <w:rsid w:val="00CB56F5"/>
    <w:rsid w:val="00CE3E93"/>
    <w:rsid w:val="00CE6079"/>
    <w:rsid w:val="00CF0BE2"/>
    <w:rsid w:val="00D1193B"/>
    <w:rsid w:val="00D2375A"/>
    <w:rsid w:val="00D65C11"/>
    <w:rsid w:val="00D66650"/>
    <w:rsid w:val="00D73DEA"/>
    <w:rsid w:val="00D82390"/>
    <w:rsid w:val="00DA099C"/>
    <w:rsid w:val="00DB4F8D"/>
    <w:rsid w:val="00DC2C69"/>
    <w:rsid w:val="00DC425B"/>
    <w:rsid w:val="00E163BB"/>
    <w:rsid w:val="00E24B5D"/>
    <w:rsid w:val="00E477E8"/>
    <w:rsid w:val="00E6318A"/>
    <w:rsid w:val="00E750A2"/>
    <w:rsid w:val="00E848C4"/>
    <w:rsid w:val="00EA219F"/>
    <w:rsid w:val="00EA2E14"/>
    <w:rsid w:val="00EA4FA9"/>
    <w:rsid w:val="00EB2F67"/>
    <w:rsid w:val="00EB73E4"/>
    <w:rsid w:val="00EC0900"/>
    <w:rsid w:val="00EC3482"/>
    <w:rsid w:val="00ED2772"/>
    <w:rsid w:val="00EE1379"/>
    <w:rsid w:val="00EF4B92"/>
    <w:rsid w:val="00EF60B8"/>
    <w:rsid w:val="00F01EA5"/>
    <w:rsid w:val="00F241F0"/>
    <w:rsid w:val="00F31515"/>
    <w:rsid w:val="00F40801"/>
    <w:rsid w:val="00F447A2"/>
    <w:rsid w:val="00F559AF"/>
    <w:rsid w:val="00F60622"/>
    <w:rsid w:val="00F616CF"/>
    <w:rsid w:val="00F749C7"/>
    <w:rsid w:val="00F910DC"/>
    <w:rsid w:val="00FA01BB"/>
    <w:rsid w:val="00FC7158"/>
    <w:rsid w:val="00FD22A2"/>
    <w:rsid w:val="00FD3082"/>
    <w:rsid w:val="00FD477F"/>
    <w:rsid w:val="00FE4370"/>
    <w:rsid w:val="00FF0D79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4919E"/>
  <w15:docId w15:val="{01EAAA3D-C5DD-4FCE-91F3-7F9090E8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C5A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D0B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BA50F2"/>
    <w:pPr>
      <w:numPr>
        <w:numId w:val="14"/>
      </w:numPr>
      <w:tabs>
        <w:tab w:val="left" w:pos="0"/>
      </w:tabs>
      <w:spacing w:line="288" w:lineRule="auto"/>
    </w:pPr>
  </w:style>
  <w:style w:type="character" w:styleId="Hyperlink">
    <w:name w:val="Hyperlink"/>
    <w:rsid w:val="000D7020"/>
    <w:rPr>
      <w:color w:val="0000FF"/>
      <w:u w:val="none"/>
    </w:rPr>
  </w:style>
  <w:style w:type="character" w:styleId="FollowedHyperlink">
    <w:name w:val="FollowedHyperlink"/>
    <w:rsid w:val="00413F3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B2F6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44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7A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4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47A2"/>
    <w:rPr>
      <w:b/>
      <w:bCs/>
    </w:rPr>
  </w:style>
  <w:style w:type="paragraph" w:styleId="BodyText3">
    <w:name w:val="Body Text 3"/>
    <w:basedOn w:val="Normal"/>
    <w:link w:val="BodyText3Char"/>
    <w:rsid w:val="00DA09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099C"/>
    <w:rPr>
      <w:sz w:val="16"/>
      <w:szCs w:val="16"/>
    </w:rPr>
  </w:style>
  <w:style w:type="paragraph" w:styleId="NoSpacing">
    <w:name w:val="No Spacing"/>
    <w:uiPriority w:val="1"/>
    <w:qFormat/>
    <w:rsid w:val="009F6918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5A3B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5A3B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0C5A3B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A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98138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47DF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Dismissing%20Complaint%20and%20Order%20Suspending%20Tariff%20Revisions%20and%20Allowing%20Tariff%20Revisions%20(Electric,%20Gas%20and%20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2011-03-07T08:00:00+00:00</OpenedDate>
    <Date1 xmlns="dc463f71-b30c-4ab2-9473-d307f9d35888">2014-09-11T07:00:00+00:00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Olympic Water and Sewer, Inc.</CaseCompanyNames>
    <DocketNumber xmlns="dc463f71-b30c-4ab2-9473-d307f9d35888">110436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EC27B08A0F96489DD070D119B506F4" ma:contentTypeVersion="143" ma:contentTypeDescription="" ma:contentTypeScope="" ma:versionID="79730e6b1fc1b2e7f082a89e566de6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FABC9E9-0DEE-4BB1-B2DE-2BFB7CD8EDF0}"/>
</file>

<file path=customXml/itemProps2.xml><?xml version="1.0" encoding="utf-8"?>
<ds:datastoreItem xmlns:ds="http://schemas.openxmlformats.org/officeDocument/2006/customXml" ds:itemID="{268A65D9-ACF7-43A9-B565-D423A630E427}"/>
</file>

<file path=customXml/itemProps3.xml><?xml version="1.0" encoding="utf-8"?>
<ds:datastoreItem xmlns:ds="http://schemas.openxmlformats.org/officeDocument/2006/customXml" ds:itemID="{5CE1B4E5-4CB6-4568-A177-154F716B0BDE}"/>
</file>

<file path=customXml/itemProps4.xml><?xml version="1.0" encoding="utf-8"?>
<ds:datastoreItem xmlns:ds="http://schemas.openxmlformats.org/officeDocument/2006/customXml" ds:itemID="{6F4383E8-0B22-4058-AFDE-5D0726D48732}"/>
</file>

<file path=customXml/itemProps5.xml><?xml version="1.0" encoding="utf-8"?>
<ds:datastoreItem xmlns:ds="http://schemas.openxmlformats.org/officeDocument/2006/customXml" ds:itemID="{86378691-61AF-423A-8F75-7618475A7857}"/>
</file>

<file path=docProps/app.xml><?xml version="1.0" encoding="utf-8"?>
<Properties xmlns="http://schemas.openxmlformats.org/officeDocument/2006/extended-properties" xmlns:vt="http://schemas.openxmlformats.org/officeDocument/2006/docPropsVTypes">
  <Template>Dismissing Complaint and Order Suspending Tariff Revisions and Allowing Tariff Revisions (Electric, Gas and Water)</Template>
  <TotalTime>0</TotalTime>
  <Pages>6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UW-110436 Order 02 Dismiss Complaint and allow Revised Rates to go into Effect</vt:lpstr>
    </vt:vector>
  </TitlesOfParts>
  <Company>WUTC</Company>
  <LinksUpToDate>false</LinksUpToDate>
  <CharactersWithSpaces>10492</CharactersWithSpaces>
  <SharedDoc>false</SharedDoc>
  <HLinks>
    <vt:vector size="42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2424881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UW-110436 Order 02 Dismiss Complaint and allow Revised Rates to go into Effect</dc:title>
  <dc:creator>Jim Ward</dc:creator>
  <cp:lastModifiedBy>Kern, Cathy (UTC)</cp:lastModifiedBy>
  <cp:revision>2</cp:revision>
  <cp:lastPrinted>2014-09-04T14:33:00Z</cp:lastPrinted>
  <dcterms:created xsi:type="dcterms:W3CDTF">2014-09-10T23:57:00Z</dcterms:created>
  <dcterms:modified xsi:type="dcterms:W3CDTF">2014-09-10T23:57:00Z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0x0101006E56B4D1795A2E4DB2F0B01679ED314A00DFEC27B08A0F96489DD070D119B506F4</vt:lpwstr>
  </property>
  <property fmtid="{D5CDD505-2E9C-101B-9397-08002B2CF9AE}" pid="3" name="_docset_NoMedatataSyncRequired">
    <vt:lpwstr>False</vt:lpwstr>
  </property>
</Properties>
</file>