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91B17" w14:textId="77777777" w:rsidR="001A1046" w:rsidRPr="007C62D9" w:rsidRDefault="001A1046" w:rsidP="0073557B">
      <w:pPr>
        <w:tabs>
          <w:tab w:val="center" w:pos="4680"/>
        </w:tabs>
        <w:jc w:val="center"/>
      </w:pPr>
    </w:p>
    <w:p w14:paraId="100DA465" w14:textId="77777777" w:rsidR="0073557B" w:rsidRPr="007C62D9" w:rsidRDefault="0073557B" w:rsidP="0073557B">
      <w:pPr>
        <w:tabs>
          <w:tab w:val="center" w:pos="4680"/>
        </w:tabs>
        <w:spacing w:after="0" w:line="240" w:lineRule="auto"/>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14:paraId="76688331" w14:textId="77777777" w:rsidR="0073557B" w:rsidRPr="007C62D9" w:rsidRDefault="0073557B" w:rsidP="0073557B">
      <w:pPr>
        <w:spacing w:after="0" w:line="240" w:lineRule="auto"/>
        <w:jc w:val="both"/>
        <w:rPr>
          <w:b/>
        </w:rPr>
      </w:pPr>
    </w:p>
    <w:p w14:paraId="227DDA1A" w14:textId="77777777" w:rsidR="0073557B" w:rsidRPr="007C62D9" w:rsidRDefault="0073557B" w:rsidP="0073557B">
      <w:pPr>
        <w:spacing w:after="0" w:line="240" w:lineRule="auto"/>
        <w:jc w:val="both"/>
        <w:rPr>
          <w:b/>
        </w:rPr>
      </w:pPr>
    </w:p>
    <w:tbl>
      <w:tblPr>
        <w:tblW w:w="9468"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4428"/>
        <w:gridCol w:w="5040"/>
      </w:tblGrid>
      <w:tr w:rsidR="0073557B" w:rsidRPr="002F2BAD" w14:paraId="0A017A76" w14:textId="77777777" w:rsidTr="00B2020D">
        <w:tc>
          <w:tcPr>
            <w:tcW w:w="4428" w:type="dxa"/>
            <w:tcBorders>
              <w:top w:val="nil"/>
              <w:left w:val="nil"/>
              <w:bottom w:val="single" w:sz="4" w:space="0" w:color="auto"/>
              <w:right w:val="single" w:sz="4" w:space="0" w:color="auto"/>
            </w:tcBorders>
            <w:hideMark/>
          </w:tcPr>
          <w:p w14:paraId="5124CF1E" w14:textId="77777777" w:rsidR="0073557B" w:rsidRDefault="0073557B" w:rsidP="0073557B">
            <w:pPr>
              <w:spacing w:after="0" w:line="240" w:lineRule="auto"/>
              <w:rPr>
                <w:szCs w:val="20"/>
                <w:lang w:eastAsia="zh-CN"/>
              </w:rPr>
            </w:pPr>
            <w:bookmarkStart w:id="0" w:name="_zzmpFIXED_CaptionTable"/>
            <w:r>
              <w:rPr>
                <w:lang w:eastAsia="zh-CN"/>
              </w:rPr>
              <w:t>In the Matter of the Petition of</w:t>
            </w:r>
          </w:p>
          <w:p w14:paraId="0C2A8A2B" w14:textId="77777777" w:rsidR="0073557B" w:rsidRDefault="0073557B" w:rsidP="0073557B">
            <w:pPr>
              <w:spacing w:after="0" w:line="240" w:lineRule="auto"/>
              <w:rPr>
                <w:lang w:eastAsia="zh-CN"/>
              </w:rPr>
            </w:pPr>
            <w:r>
              <w:rPr>
                <w:lang w:eastAsia="zh-CN"/>
              </w:rPr>
              <w:t>PUGET SOUND ENERGY, INC.</w:t>
            </w:r>
          </w:p>
          <w:p w14:paraId="5703460C" w14:textId="77777777" w:rsidR="0073557B" w:rsidRDefault="0073557B" w:rsidP="0073557B">
            <w:pPr>
              <w:spacing w:after="0" w:line="240" w:lineRule="auto"/>
              <w:rPr>
                <w:lang w:eastAsia="zh-CN"/>
              </w:rPr>
            </w:pPr>
            <w:r>
              <w:rPr>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5040" w:type="dxa"/>
            <w:tcBorders>
              <w:top w:val="nil"/>
              <w:left w:val="single" w:sz="4" w:space="0" w:color="auto"/>
              <w:bottom w:val="nil"/>
              <w:right w:val="nil"/>
            </w:tcBorders>
          </w:tcPr>
          <w:p w14:paraId="33A31D91" w14:textId="77777777" w:rsidR="0073557B" w:rsidRDefault="0073557B" w:rsidP="0073557B">
            <w:pPr>
              <w:pStyle w:val="Caption"/>
              <w:widowControl/>
              <w:tabs>
                <w:tab w:val="left" w:pos="1238"/>
              </w:tabs>
              <w:spacing w:line="240" w:lineRule="auto"/>
              <w:ind w:left="259" w:right="115"/>
            </w:pPr>
            <w:r>
              <w:t>Docket No. UG-151663</w:t>
            </w:r>
          </w:p>
          <w:p w14:paraId="13B20A09" w14:textId="77777777" w:rsidR="0073557B" w:rsidRDefault="0073557B" w:rsidP="0073557B">
            <w:pPr>
              <w:pStyle w:val="DocumentTitle"/>
              <w:widowControl/>
              <w:spacing w:after="0" w:line="240" w:lineRule="auto"/>
              <w:ind w:right="432"/>
              <w:rPr>
                <w:lang w:eastAsia="zh-CN"/>
              </w:rPr>
            </w:pPr>
          </w:p>
          <w:p w14:paraId="6670A1F1" w14:textId="7FADA3D7" w:rsidR="0073557B" w:rsidRDefault="0073557B" w:rsidP="0073557B">
            <w:pPr>
              <w:pStyle w:val="DocumentTitle"/>
              <w:widowControl/>
              <w:spacing w:after="0" w:line="240" w:lineRule="auto"/>
              <w:ind w:right="432"/>
            </w:pPr>
            <w:r>
              <w:rPr>
                <w:lang w:eastAsia="zh-CN"/>
              </w:rPr>
              <w:t>COMMISSION STAFF RESPO</w:t>
            </w:r>
            <w:r w:rsidR="00570AF3">
              <w:rPr>
                <w:lang w:eastAsia="zh-CN"/>
              </w:rPr>
              <w:t xml:space="preserve">NSE TO PUGET SOUND ENERGY, INC.’S </w:t>
            </w:r>
            <w:r>
              <w:rPr>
                <w:lang w:eastAsia="zh-CN"/>
              </w:rPr>
              <w:t xml:space="preserve">MOTION TO STRIKE  </w:t>
            </w:r>
          </w:p>
        </w:tc>
        <w:bookmarkEnd w:id="0"/>
      </w:tr>
    </w:tbl>
    <w:p w14:paraId="75C3C786" w14:textId="77777777" w:rsidR="0073557B" w:rsidRPr="007C62D9" w:rsidRDefault="0073557B" w:rsidP="0073557B">
      <w:pPr>
        <w:spacing w:after="0" w:line="240" w:lineRule="auto"/>
        <w:rPr>
          <w:b/>
        </w:rPr>
      </w:pPr>
    </w:p>
    <w:p w14:paraId="0BC266B5" w14:textId="77777777" w:rsidR="0073557B" w:rsidRDefault="0073557B" w:rsidP="0073557B">
      <w:pPr>
        <w:spacing w:after="0" w:line="240" w:lineRule="auto"/>
        <w:rPr>
          <w:b/>
        </w:rPr>
      </w:pPr>
    </w:p>
    <w:p w14:paraId="76F956FB" w14:textId="7BFA142A" w:rsidR="00F52986" w:rsidRPr="0073557B" w:rsidRDefault="0073557B" w:rsidP="0073557B">
      <w:pPr>
        <w:spacing w:after="0" w:line="480" w:lineRule="auto"/>
        <w:jc w:val="center"/>
        <w:rPr>
          <w:b/>
        </w:rPr>
      </w:pPr>
      <w:r w:rsidRPr="0073557B">
        <w:rPr>
          <w:b/>
        </w:rPr>
        <w:t xml:space="preserve">I.  </w:t>
      </w:r>
      <w:r w:rsidR="00F52986" w:rsidRPr="0073557B">
        <w:rPr>
          <w:b/>
        </w:rPr>
        <w:t>Overview</w:t>
      </w:r>
    </w:p>
    <w:p w14:paraId="568AD9D0" w14:textId="256FEFEC" w:rsidR="00B46A51" w:rsidRPr="0073557B" w:rsidRDefault="00FC751C" w:rsidP="0073557B">
      <w:pPr>
        <w:pStyle w:val="ListParagraph"/>
        <w:numPr>
          <w:ilvl w:val="1"/>
          <w:numId w:val="1"/>
        </w:numPr>
        <w:spacing w:line="480" w:lineRule="auto"/>
        <w:rPr>
          <w:rFonts w:ascii="Times New Roman" w:hAnsi="Times New Roman"/>
        </w:rPr>
      </w:pPr>
      <w:r w:rsidRPr="0073557B">
        <w:rPr>
          <w:rFonts w:ascii="Times New Roman" w:hAnsi="Times New Roman"/>
        </w:rPr>
        <w:tab/>
        <w:t xml:space="preserve">Commission Staff </w:t>
      </w:r>
      <w:r w:rsidR="00B30ADC" w:rsidRPr="0073557B">
        <w:rPr>
          <w:rFonts w:ascii="Times New Roman" w:hAnsi="Times New Roman"/>
        </w:rPr>
        <w:t xml:space="preserve">(“Staff”) </w:t>
      </w:r>
      <w:r w:rsidRPr="0073557B">
        <w:rPr>
          <w:rFonts w:ascii="Times New Roman" w:hAnsi="Times New Roman"/>
        </w:rPr>
        <w:t xml:space="preserve">opposes Puget Sound Energy Inc.’s (“PSE” or “Company”) motion to strike portions of Staff’s brief. </w:t>
      </w:r>
      <w:r w:rsidR="0015212C" w:rsidRPr="0073557B">
        <w:rPr>
          <w:rFonts w:ascii="Times New Roman" w:hAnsi="Times New Roman"/>
        </w:rPr>
        <w:t>Among its more than six-page</w:t>
      </w:r>
      <w:r w:rsidR="00B30ADC" w:rsidRPr="0073557B">
        <w:rPr>
          <w:rFonts w:ascii="Times New Roman" w:hAnsi="Times New Roman"/>
        </w:rPr>
        <w:t>s-long</w:t>
      </w:r>
      <w:r w:rsidR="0015212C" w:rsidRPr="0073557B">
        <w:rPr>
          <w:rFonts w:ascii="Times New Roman" w:hAnsi="Times New Roman"/>
        </w:rPr>
        <w:t xml:space="preserve"> table</w:t>
      </w:r>
      <w:r w:rsidR="00744E8D" w:rsidRPr="0073557B">
        <w:rPr>
          <w:rFonts w:ascii="Times New Roman" w:hAnsi="Times New Roman"/>
        </w:rPr>
        <w:t xml:space="preserve"> of requests, </w:t>
      </w:r>
      <w:r w:rsidRPr="0073557B">
        <w:rPr>
          <w:rFonts w:ascii="Times New Roman" w:hAnsi="Times New Roman"/>
        </w:rPr>
        <w:t xml:space="preserve">PSE’s motion asks the Commission to strike Staff’s understanding of relevant facts, the lack of monopoly power in the LNG market, and several topic or concluding sentences with which PSE disagrees. PSE’s motion also appears to request that the Commission strike several sentences </w:t>
      </w:r>
      <w:r w:rsidR="00B46A51" w:rsidRPr="0073557B">
        <w:rPr>
          <w:rFonts w:ascii="Times New Roman" w:hAnsi="Times New Roman"/>
        </w:rPr>
        <w:t>due to</w:t>
      </w:r>
      <w:r w:rsidR="008469CB" w:rsidRPr="0073557B">
        <w:rPr>
          <w:rFonts w:ascii="Times New Roman" w:hAnsi="Times New Roman"/>
        </w:rPr>
        <w:t xml:space="preserve"> the Company’s</w:t>
      </w:r>
      <w:r w:rsidR="00B46A51" w:rsidRPr="0073557B">
        <w:rPr>
          <w:rFonts w:ascii="Times New Roman" w:hAnsi="Times New Roman"/>
        </w:rPr>
        <w:t xml:space="preserve"> perception that Staff omitted or use</w:t>
      </w:r>
      <w:r w:rsidR="005112E3" w:rsidRPr="0073557B">
        <w:rPr>
          <w:rFonts w:ascii="Times New Roman" w:hAnsi="Times New Roman"/>
        </w:rPr>
        <w:t>d</w:t>
      </w:r>
      <w:r w:rsidR="00B46A51" w:rsidRPr="0073557B">
        <w:rPr>
          <w:rFonts w:ascii="Times New Roman" w:hAnsi="Times New Roman"/>
        </w:rPr>
        <w:t xml:space="preserve"> an overly-general footnote citation</w:t>
      </w:r>
      <w:r w:rsidRPr="0073557B">
        <w:rPr>
          <w:rFonts w:ascii="Times New Roman" w:hAnsi="Times New Roman"/>
        </w:rPr>
        <w:t>.</w:t>
      </w:r>
    </w:p>
    <w:p w14:paraId="27D2D981" w14:textId="77777777" w:rsidR="00470263" w:rsidRPr="0073557B" w:rsidRDefault="00B57418" w:rsidP="0073557B">
      <w:pPr>
        <w:pStyle w:val="ListParagraph"/>
        <w:numPr>
          <w:ilvl w:val="1"/>
          <w:numId w:val="1"/>
        </w:numPr>
        <w:spacing w:line="480" w:lineRule="auto"/>
        <w:rPr>
          <w:rFonts w:ascii="Times New Roman" w:hAnsi="Times New Roman"/>
        </w:rPr>
      </w:pPr>
      <w:r w:rsidRPr="0073557B">
        <w:rPr>
          <w:rFonts w:ascii="Times New Roman" w:hAnsi="Times New Roman"/>
        </w:rPr>
        <w:tab/>
        <w:t xml:space="preserve">PSE’s </w:t>
      </w:r>
      <w:r w:rsidR="00470263" w:rsidRPr="0073557B">
        <w:rPr>
          <w:rFonts w:ascii="Times New Roman" w:hAnsi="Times New Roman"/>
        </w:rPr>
        <w:t xml:space="preserve">request that </w:t>
      </w:r>
      <w:r w:rsidR="00CD659A" w:rsidRPr="0073557B">
        <w:rPr>
          <w:rFonts w:ascii="Times New Roman" w:hAnsi="Times New Roman"/>
        </w:rPr>
        <w:t>the</w:t>
      </w:r>
      <w:r w:rsidRPr="0073557B">
        <w:rPr>
          <w:rFonts w:ascii="Times New Roman" w:hAnsi="Times New Roman"/>
        </w:rPr>
        <w:t xml:space="preserve"> presiding officer in this case </w:t>
      </w:r>
      <w:r w:rsidR="008469CB" w:rsidRPr="0073557B">
        <w:rPr>
          <w:rFonts w:ascii="Times New Roman" w:hAnsi="Times New Roman"/>
        </w:rPr>
        <w:t>perform</w:t>
      </w:r>
      <w:r w:rsidRPr="0073557B">
        <w:rPr>
          <w:rFonts w:ascii="Times New Roman" w:hAnsi="Times New Roman"/>
        </w:rPr>
        <w:t xml:space="preserve"> what is effectively a law review</w:t>
      </w:r>
      <w:r w:rsidR="005D24F4" w:rsidRPr="0073557B">
        <w:rPr>
          <w:rFonts w:ascii="Times New Roman" w:hAnsi="Times New Roman"/>
        </w:rPr>
        <w:t xml:space="preserve"> </w:t>
      </w:r>
      <w:r w:rsidR="00B30ADC" w:rsidRPr="0073557B">
        <w:rPr>
          <w:rFonts w:ascii="Times New Roman" w:hAnsi="Times New Roman"/>
        </w:rPr>
        <w:t>exercise</w:t>
      </w:r>
      <w:r w:rsidR="00470263" w:rsidRPr="0073557B">
        <w:rPr>
          <w:rFonts w:ascii="Times New Roman" w:hAnsi="Times New Roman"/>
        </w:rPr>
        <w:t xml:space="preserve"> </w:t>
      </w:r>
      <w:r w:rsidRPr="0073557B">
        <w:rPr>
          <w:rFonts w:ascii="Times New Roman" w:hAnsi="Times New Roman"/>
        </w:rPr>
        <w:t xml:space="preserve">is both unnecessary and wasteful. </w:t>
      </w:r>
      <w:r w:rsidR="000D3F7E" w:rsidRPr="0073557B">
        <w:rPr>
          <w:rFonts w:ascii="Times New Roman" w:hAnsi="Times New Roman"/>
        </w:rPr>
        <w:t xml:space="preserve">This </w:t>
      </w:r>
      <w:r w:rsidR="00CD659A" w:rsidRPr="0073557B">
        <w:rPr>
          <w:rFonts w:ascii="Times New Roman" w:hAnsi="Times New Roman"/>
        </w:rPr>
        <w:t xml:space="preserve">Commission </w:t>
      </w:r>
      <w:r w:rsidR="000D3F7E" w:rsidRPr="0073557B">
        <w:rPr>
          <w:rFonts w:ascii="Times New Roman" w:hAnsi="Times New Roman"/>
        </w:rPr>
        <w:t>should not</w:t>
      </w:r>
      <w:r w:rsidR="00CD659A" w:rsidRPr="0073557B">
        <w:rPr>
          <w:rFonts w:ascii="Times New Roman" w:hAnsi="Times New Roman"/>
        </w:rPr>
        <w:t xml:space="preserve"> expend its limited time and resources going </w:t>
      </w:r>
      <w:r w:rsidRPr="0073557B">
        <w:rPr>
          <w:rFonts w:ascii="Times New Roman" w:hAnsi="Times New Roman"/>
        </w:rPr>
        <w:t xml:space="preserve">through </w:t>
      </w:r>
      <w:r w:rsidR="00A324CF" w:rsidRPr="0073557B">
        <w:rPr>
          <w:rFonts w:ascii="Times New Roman" w:hAnsi="Times New Roman"/>
        </w:rPr>
        <w:t>six-plus</w:t>
      </w:r>
      <w:r w:rsidRPr="0073557B">
        <w:rPr>
          <w:rFonts w:ascii="Times New Roman" w:hAnsi="Times New Roman"/>
        </w:rPr>
        <w:t xml:space="preserve"> pages of sentence-by-sentence and paragraph-by-paragraph disputes with Staff’s arguments.</w:t>
      </w:r>
      <w:r w:rsidR="00792EED" w:rsidRPr="0073557B">
        <w:rPr>
          <w:rStyle w:val="FootnoteReference"/>
        </w:rPr>
        <w:footnoteReference w:id="1"/>
      </w:r>
      <w:r w:rsidRPr="0073557B">
        <w:rPr>
          <w:rFonts w:ascii="Times New Roman" w:hAnsi="Times New Roman"/>
        </w:rPr>
        <w:t xml:space="preserve"> The Commission has the </w:t>
      </w:r>
      <w:r w:rsidR="005D24F4" w:rsidRPr="0073557B">
        <w:rPr>
          <w:rFonts w:ascii="Times New Roman" w:hAnsi="Times New Roman"/>
        </w:rPr>
        <w:t>legal</w:t>
      </w:r>
      <w:r w:rsidRPr="0073557B">
        <w:rPr>
          <w:rFonts w:ascii="Times New Roman" w:hAnsi="Times New Roman"/>
        </w:rPr>
        <w:t xml:space="preserve"> authority and expertise to evaluate </w:t>
      </w:r>
      <w:r w:rsidR="0015212C" w:rsidRPr="0073557B">
        <w:rPr>
          <w:rFonts w:ascii="Times New Roman" w:hAnsi="Times New Roman"/>
        </w:rPr>
        <w:t xml:space="preserve">the </w:t>
      </w:r>
      <w:r w:rsidR="00B30ADC" w:rsidRPr="0073557B">
        <w:rPr>
          <w:rFonts w:ascii="Times New Roman" w:hAnsi="Times New Roman"/>
        </w:rPr>
        <w:t xml:space="preserve">overall </w:t>
      </w:r>
      <w:r w:rsidR="0015212C" w:rsidRPr="0073557B">
        <w:rPr>
          <w:rFonts w:ascii="Times New Roman" w:hAnsi="Times New Roman"/>
        </w:rPr>
        <w:t xml:space="preserve">credibility and relevance of </w:t>
      </w:r>
      <w:r w:rsidRPr="0073557B">
        <w:rPr>
          <w:rFonts w:ascii="Times New Roman" w:hAnsi="Times New Roman"/>
        </w:rPr>
        <w:t>evidence</w:t>
      </w:r>
      <w:r w:rsidR="00470263" w:rsidRPr="0073557B">
        <w:rPr>
          <w:rFonts w:ascii="Times New Roman" w:hAnsi="Times New Roman"/>
        </w:rPr>
        <w:t xml:space="preserve">. </w:t>
      </w:r>
    </w:p>
    <w:p w14:paraId="5EEEF4A4" w14:textId="77777777" w:rsidR="008D73AD" w:rsidRPr="0073557B" w:rsidRDefault="00470263" w:rsidP="0073557B">
      <w:pPr>
        <w:pStyle w:val="ListParagraph"/>
        <w:numPr>
          <w:ilvl w:val="1"/>
          <w:numId w:val="1"/>
        </w:numPr>
        <w:spacing w:line="480" w:lineRule="auto"/>
        <w:rPr>
          <w:rFonts w:ascii="Times New Roman" w:hAnsi="Times New Roman"/>
        </w:rPr>
      </w:pPr>
      <w:r w:rsidRPr="0073557B">
        <w:rPr>
          <w:rFonts w:ascii="Times New Roman" w:hAnsi="Times New Roman"/>
        </w:rPr>
        <w:tab/>
        <w:t xml:space="preserve">The evidence relied upon by Staff to craft its arguments is both relevant and material to the issue of jurisdiction. In fact, Staff’s brief is built upon the existing record in this case, and </w:t>
      </w:r>
      <w:r w:rsidRPr="0073557B">
        <w:rPr>
          <w:rFonts w:ascii="Times New Roman" w:hAnsi="Times New Roman"/>
        </w:rPr>
        <w:lastRenderedPageBreak/>
        <w:t xml:space="preserve">PSE’s responses to formal Discovery Requests. </w:t>
      </w:r>
      <w:r w:rsidR="00B57418" w:rsidRPr="0073557B">
        <w:rPr>
          <w:rFonts w:ascii="Times New Roman" w:hAnsi="Times New Roman"/>
        </w:rPr>
        <w:t>The Commission can</w:t>
      </w:r>
      <w:r w:rsidR="004C19E5" w:rsidRPr="0073557B">
        <w:rPr>
          <w:rFonts w:ascii="Times New Roman" w:hAnsi="Times New Roman"/>
        </w:rPr>
        <w:t xml:space="preserve"> and should</w:t>
      </w:r>
      <w:r w:rsidR="00B57418" w:rsidRPr="0073557B">
        <w:rPr>
          <w:rFonts w:ascii="Times New Roman" w:hAnsi="Times New Roman"/>
        </w:rPr>
        <w:t xml:space="preserve"> </w:t>
      </w:r>
      <w:r w:rsidRPr="0073557B">
        <w:rPr>
          <w:rFonts w:ascii="Times New Roman" w:hAnsi="Times New Roman"/>
        </w:rPr>
        <w:t xml:space="preserve">use </w:t>
      </w:r>
      <w:r w:rsidR="0064090E" w:rsidRPr="0073557B">
        <w:rPr>
          <w:rFonts w:ascii="Times New Roman" w:hAnsi="Times New Roman"/>
        </w:rPr>
        <w:t>its</w:t>
      </w:r>
      <w:r w:rsidRPr="0073557B">
        <w:rPr>
          <w:rFonts w:ascii="Times New Roman" w:hAnsi="Times New Roman"/>
        </w:rPr>
        <w:t xml:space="preserve"> discretion and j</w:t>
      </w:r>
      <w:r w:rsidR="0064090E" w:rsidRPr="0073557B">
        <w:rPr>
          <w:rFonts w:ascii="Times New Roman" w:hAnsi="Times New Roman"/>
        </w:rPr>
        <w:t>udgment to</w:t>
      </w:r>
      <w:r w:rsidR="00B30ADC" w:rsidRPr="0073557B">
        <w:rPr>
          <w:rFonts w:ascii="Times New Roman" w:hAnsi="Times New Roman"/>
        </w:rPr>
        <w:t xml:space="preserve"> decide the threshold jurisdictional questions in this case</w:t>
      </w:r>
      <w:r w:rsidR="00B57418" w:rsidRPr="0073557B">
        <w:rPr>
          <w:rFonts w:ascii="Times New Roman" w:hAnsi="Times New Roman"/>
        </w:rPr>
        <w:t>.</w:t>
      </w:r>
      <w:r w:rsidR="005D24F4" w:rsidRPr="0073557B">
        <w:rPr>
          <w:rFonts w:ascii="Times New Roman" w:hAnsi="Times New Roman"/>
        </w:rPr>
        <w:t xml:space="preserve"> </w:t>
      </w:r>
      <w:r w:rsidRPr="0073557B">
        <w:rPr>
          <w:rFonts w:ascii="Times New Roman" w:hAnsi="Times New Roman"/>
        </w:rPr>
        <w:t>By following PSE’s lead, the Commission woul</w:t>
      </w:r>
      <w:r w:rsidR="00266E53" w:rsidRPr="0073557B">
        <w:rPr>
          <w:rFonts w:ascii="Times New Roman" w:hAnsi="Times New Roman"/>
        </w:rPr>
        <w:t xml:space="preserve">d be constricted to whether it </w:t>
      </w:r>
      <w:r w:rsidRPr="0073557B">
        <w:rPr>
          <w:rFonts w:ascii="Times New Roman" w:hAnsi="Times New Roman"/>
          <w:i/>
        </w:rPr>
        <w:t>can</w:t>
      </w:r>
      <w:r w:rsidRPr="0073557B">
        <w:rPr>
          <w:rFonts w:ascii="Times New Roman" w:hAnsi="Times New Roman"/>
        </w:rPr>
        <w:t xml:space="preserve"> exercise jurisdiction over PSE’s marine fuel agreement with TOTE. </w:t>
      </w:r>
      <w:r w:rsidR="003C2022" w:rsidRPr="0073557B">
        <w:rPr>
          <w:rFonts w:ascii="Times New Roman" w:hAnsi="Times New Roman"/>
        </w:rPr>
        <w:t>There is no need to limit the Commission’s review</w:t>
      </w:r>
      <w:r w:rsidR="00266E53" w:rsidRPr="0073557B">
        <w:rPr>
          <w:rFonts w:ascii="Times New Roman" w:hAnsi="Times New Roman"/>
        </w:rPr>
        <w:t xml:space="preserve"> on this threshold issue</w:t>
      </w:r>
      <w:r w:rsidR="003C2022" w:rsidRPr="0073557B">
        <w:rPr>
          <w:rFonts w:ascii="Times New Roman" w:hAnsi="Times New Roman"/>
        </w:rPr>
        <w:t xml:space="preserve">. </w:t>
      </w:r>
      <w:r w:rsidR="008D73AD" w:rsidRPr="0073557B">
        <w:rPr>
          <w:rFonts w:ascii="Times New Roman" w:hAnsi="Times New Roman"/>
        </w:rPr>
        <w:t xml:space="preserve"> </w:t>
      </w:r>
    </w:p>
    <w:p w14:paraId="102C1C0F" w14:textId="5253EE79" w:rsidR="003C2022" w:rsidRPr="0073557B" w:rsidRDefault="008D73AD" w:rsidP="0073557B">
      <w:pPr>
        <w:pStyle w:val="ListParagraph"/>
        <w:numPr>
          <w:ilvl w:val="1"/>
          <w:numId w:val="1"/>
        </w:numPr>
        <w:spacing w:line="480" w:lineRule="auto"/>
        <w:rPr>
          <w:rFonts w:ascii="Times New Roman" w:hAnsi="Times New Roman"/>
        </w:rPr>
      </w:pPr>
      <w:r w:rsidRPr="0073557B">
        <w:rPr>
          <w:rFonts w:ascii="Times New Roman" w:hAnsi="Times New Roman"/>
        </w:rPr>
        <w:tab/>
      </w:r>
      <w:r w:rsidR="00470263" w:rsidRPr="0073557B">
        <w:rPr>
          <w:rFonts w:ascii="Times New Roman" w:hAnsi="Times New Roman"/>
        </w:rPr>
        <w:t xml:space="preserve">The real question is whether the Commission </w:t>
      </w:r>
      <w:r w:rsidR="00266E53" w:rsidRPr="0073557B">
        <w:rPr>
          <w:rFonts w:ascii="Times New Roman" w:hAnsi="Times New Roman"/>
          <w:i/>
        </w:rPr>
        <w:t>should</w:t>
      </w:r>
      <w:r w:rsidR="00470263" w:rsidRPr="0073557B">
        <w:rPr>
          <w:rFonts w:ascii="Times New Roman" w:hAnsi="Times New Roman"/>
        </w:rPr>
        <w:t xml:space="preserve"> assume jurisdiction over PSE’s agreement with TOTE. Whether the Commission </w:t>
      </w:r>
      <w:r w:rsidR="00470263" w:rsidRPr="0073557B">
        <w:rPr>
          <w:rFonts w:ascii="Times New Roman" w:hAnsi="Times New Roman"/>
          <w:i/>
        </w:rPr>
        <w:t>can or should</w:t>
      </w:r>
      <w:r w:rsidR="00470263" w:rsidRPr="0073557B">
        <w:rPr>
          <w:rFonts w:ascii="Times New Roman" w:hAnsi="Times New Roman"/>
        </w:rPr>
        <w:t xml:space="preserve"> exercise jurisdiction over PSE’s LNG service to TOTE </w:t>
      </w:r>
      <w:r w:rsidRPr="0073557B">
        <w:rPr>
          <w:rFonts w:ascii="Times New Roman" w:hAnsi="Times New Roman"/>
        </w:rPr>
        <w:t xml:space="preserve">is fundamentally the same question. </w:t>
      </w:r>
      <w:r w:rsidR="00E504C3" w:rsidRPr="0073557B">
        <w:rPr>
          <w:rFonts w:ascii="Times New Roman" w:hAnsi="Times New Roman"/>
        </w:rPr>
        <w:t xml:space="preserve">To reach its recommendation, </w:t>
      </w:r>
      <w:r w:rsidR="00470263" w:rsidRPr="0073557B">
        <w:rPr>
          <w:rFonts w:ascii="Times New Roman" w:hAnsi="Times New Roman"/>
        </w:rPr>
        <w:t xml:space="preserve">Staff </w:t>
      </w:r>
      <w:r w:rsidRPr="0073557B">
        <w:rPr>
          <w:rFonts w:ascii="Times New Roman" w:hAnsi="Times New Roman"/>
        </w:rPr>
        <w:t xml:space="preserve">approached the jurisdictional question by simply applying the facts as presented by PSE to the law. </w:t>
      </w:r>
      <w:r w:rsidR="004D43F7" w:rsidRPr="0073557B">
        <w:rPr>
          <w:rFonts w:ascii="Times New Roman" w:hAnsi="Times New Roman"/>
        </w:rPr>
        <w:t xml:space="preserve">PSE’s motion would remove such analysis, implying that </w:t>
      </w:r>
      <w:r w:rsidR="00470263" w:rsidRPr="0073557B">
        <w:rPr>
          <w:rFonts w:ascii="Times New Roman" w:hAnsi="Times New Roman"/>
        </w:rPr>
        <w:t xml:space="preserve">the Commission should </w:t>
      </w:r>
      <w:r w:rsidRPr="0073557B">
        <w:rPr>
          <w:rFonts w:ascii="Times New Roman" w:hAnsi="Times New Roman"/>
        </w:rPr>
        <w:t xml:space="preserve">only engage in a “law review” type </w:t>
      </w:r>
      <w:r w:rsidR="0044006C" w:rsidRPr="0073557B">
        <w:rPr>
          <w:rFonts w:ascii="Times New Roman" w:hAnsi="Times New Roman"/>
        </w:rPr>
        <w:t>study</w:t>
      </w:r>
      <w:r w:rsidRPr="0073557B">
        <w:rPr>
          <w:rFonts w:ascii="Times New Roman" w:hAnsi="Times New Roman"/>
        </w:rPr>
        <w:t xml:space="preserve"> of the </w:t>
      </w:r>
      <w:r w:rsidR="00307453" w:rsidRPr="0073557B">
        <w:rPr>
          <w:rFonts w:ascii="Times New Roman" w:hAnsi="Times New Roman"/>
        </w:rPr>
        <w:t>Commission’s general authority</w:t>
      </w:r>
      <w:r w:rsidR="004D43F7" w:rsidRPr="0073557B">
        <w:rPr>
          <w:rFonts w:ascii="Times New Roman" w:hAnsi="Times New Roman"/>
        </w:rPr>
        <w:t xml:space="preserve">. </w:t>
      </w:r>
      <w:r w:rsidRPr="0073557B">
        <w:rPr>
          <w:rFonts w:ascii="Times New Roman" w:hAnsi="Times New Roman"/>
        </w:rPr>
        <w:t>Th</w:t>
      </w:r>
      <w:r w:rsidR="00266E53" w:rsidRPr="0073557B">
        <w:rPr>
          <w:rFonts w:ascii="Times New Roman" w:hAnsi="Times New Roman"/>
        </w:rPr>
        <w:t xml:space="preserve">is </w:t>
      </w:r>
      <w:r w:rsidRPr="0073557B">
        <w:rPr>
          <w:rFonts w:ascii="Times New Roman" w:hAnsi="Times New Roman"/>
        </w:rPr>
        <w:t>narrow review preferred by PSE would shed little light on the core question</w:t>
      </w:r>
      <w:r w:rsidR="003C2022" w:rsidRPr="0073557B">
        <w:rPr>
          <w:rFonts w:ascii="Times New Roman" w:hAnsi="Times New Roman"/>
        </w:rPr>
        <w:t>s</w:t>
      </w:r>
      <w:r w:rsidRPr="0073557B">
        <w:rPr>
          <w:rFonts w:ascii="Times New Roman" w:hAnsi="Times New Roman"/>
        </w:rPr>
        <w:t xml:space="preserve"> </w:t>
      </w:r>
      <w:r w:rsidR="004D43F7" w:rsidRPr="0073557B">
        <w:rPr>
          <w:rFonts w:ascii="Times New Roman" w:hAnsi="Times New Roman"/>
        </w:rPr>
        <w:t xml:space="preserve">specifically </w:t>
      </w:r>
      <w:r w:rsidRPr="0073557B">
        <w:rPr>
          <w:rFonts w:ascii="Times New Roman" w:hAnsi="Times New Roman"/>
        </w:rPr>
        <w:t xml:space="preserve">raised in this case. </w:t>
      </w:r>
    </w:p>
    <w:p w14:paraId="073D352F" w14:textId="17C5A0AE" w:rsidR="00B57418" w:rsidRPr="0073557B" w:rsidRDefault="003C2022" w:rsidP="00596EC1">
      <w:pPr>
        <w:pStyle w:val="ListParagraph"/>
        <w:numPr>
          <w:ilvl w:val="1"/>
          <w:numId w:val="1"/>
        </w:numPr>
        <w:spacing w:line="480" w:lineRule="auto"/>
        <w:ind w:right="-180"/>
        <w:rPr>
          <w:rFonts w:ascii="Times New Roman" w:hAnsi="Times New Roman"/>
        </w:rPr>
      </w:pPr>
      <w:r w:rsidRPr="0073557B">
        <w:rPr>
          <w:rFonts w:ascii="Times New Roman" w:hAnsi="Times New Roman"/>
        </w:rPr>
        <w:tab/>
      </w:r>
      <w:r w:rsidR="0086233A" w:rsidRPr="0073557B">
        <w:rPr>
          <w:rFonts w:ascii="Times New Roman" w:hAnsi="Times New Roman"/>
        </w:rPr>
        <w:t xml:space="preserve">Any Commission decision is bounded by the facts and the law. To </w:t>
      </w:r>
      <w:r w:rsidR="004D43F7" w:rsidRPr="0073557B">
        <w:rPr>
          <w:rFonts w:ascii="Times New Roman" w:hAnsi="Times New Roman"/>
        </w:rPr>
        <w:t>ignore e</w:t>
      </w:r>
      <w:r w:rsidR="0086233A" w:rsidRPr="0073557B">
        <w:rPr>
          <w:rFonts w:ascii="Times New Roman" w:hAnsi="Times New Roman"/>
        </w:rPr>
        <w:t xml:space="preserve">ither </w:t>
      </w:r>
      <w:r w:rsidR="004D43F7" w:rsidRPr="0073557B">
        <w:rPr>
          <w:rFonts w:ascii="Times New Roman" w:hAnsi="Times New Roman"/>
        </w:rPr>
        <w:t xml:space="preserve">would </w:t>
      </w:r>
      <w:r w:rsidR="0086233A" w:rsidRPr="0073557B">
        <w:rPr>
          <w:rFonts w:ascii="Times New Roman" w:hAnsi="Times New Roman"/>
        </w:rPr>
        <w:t>subject the Commission to possible appeal. In this case, Staff used the applicable facts presented by PSE, and applied the laws it believes applicable to PSE’s filing. In the end, strik</w:t>
      </w:r>
      <w:r w:rsidR="005D24F4" w:rsidRPr="0073557B">
        <w:rPr>
          <w:rFonts w:ascii="Times New Roman" w:hAnsi="Times New Roman"/>
        </w:rPr>
        <w:t xml:space="preserve">ing portions of Staff’s brief is </w:t>
      </w:r>
      <w:r w:rsidR="004464C0" w:rsidRPr="0073557B">
        <w:rPr>
          <w:rFonts w:ascii="Times New Roman" w:hAnsi="Times New Roman"/>
        </w:rPr>
        <w:t>unhelpful</w:t>
      </w:r>
      <w:r w:rsidR="00744E8D" w:rsidRPr="0073557B">
        <w:rPr>
          <w:rFonts w:ascii="Times New Roman" w:hAnsi="Times New Roman"/>
        </w:rPr>
        <w:t>, a misuse of the presiding officer’s</w:t>
      </w:r>
      <w:r w:rsidR="00A324CF" w:rsidRPr="0073557B">
        <w:rPr>
          <w:rFonts w:ascii="Times New Roman" w:hAnsi="Times New Roman"/>
        </w:rPr>
        <w:t xml:space="preserve"> valuable</w:t>
      </w:r>
      <w:r w:rsidR="00744E8D" w:rsidRPr="0073557B">
        <w:rPr>
          <w:rFonts w:ascii="Times New Roman" w:hAnsi="Times New Roman"/>
        </w:rPr>
        <w:t xml:space="preserve"> time,</w:t>
      </w:r>
      <w:r w:rsidR="005D24F4" w:rsidRPr="0073557B">
        <w:rPr>
          <w:rFonts w:ascii="Times New Roman" w:hAnsi="Times New Roman"/>
        </w:rPr>
        <w:t xml:space="preserve"> and contrary to law. </w:t>
      </w:r>
      <w:r w:rsidR="0073557B" w:rsidRPr="0073557B">
        <w:rPr>
          <w:rFonts w:ascii="Times New Roman" w:hAnsi="Times New Roman"/>
        </w:rPr>
        <w:t xml:space="preserve">  </w:t>
      </w:r>
    </w:p>
    <w:p w14:paraId="15B81972" w14:textId="77777777" w:rsidR="0073557B" w:rsidRPr="0073557B" w:rsidRDefault="0073557B" w:rsidP="0073557B">
      <w:pPr>
        <w:keepNext/>
        <w:spacing w:after="0" w:line="480" w:lineRule="auto"/>
        <w:jc w:val="center"/>
        <w:rPr>
          <w:b/>
        </w:rPr>
      </w:pPr>
      <w:r w:rsidRPr="0073557B">
        <w:rPr>
          <w:b/>
        </w:rPr>
        <w:t>II.  ARGUMENT</w:t>
      </w:r>
    </w:p>
    <w:p w14:paraId="6D09D507" w14:textId="4951E7C6" w:rsidR="0073557B" w:rsidRPr="0073557B" w:rsidRDefault="0073557B" w:rsidP="0073557B">
      <w:pPr>
        <w:keepNext/>
        <w:spacing w:after="0" w:line="480" w:lineRule="auto"/>
        <w:rPr>
          <w:b/>
        </w:rPr>
      </w:pPr>
      <w:r w:rsidRPr="0073557B">
        <w:rPr>
          <w:b/>
        </w:rPr>
        <w:t>A.</w:t>
      </w:r>
      <w:r w:rsidRPr="0073557B">
        <w:rPr>
          <w:b/>
        </w:rPr>
        <w:tab/>
        <w:t xml:space="preserve">The Commission Holds Broad Authority </w:t>
      </w:r>
      <w:r w:rsidR="00211862">
        <w:rPr>
          <w:b/>
        </w:rPr>
        <w:t xml:space="preserve">To </w:t>
      </w:r>
      <w:r w:rsidRPr="0073557B">
        <w:rPr>
          <w:b/>
        </w:rPr>
        <w:t>Decide The Relevance of Evidence</w:t>
      </w:r>
    </w:p>
    <w:p w14:paraId="27680A74" w14:textId="12B28CC6" w:rsidR="006B1CC7" w:rsidRPr="0073557B" w:rsidRDefault="0073557B" w:rsidP="0073557B">
      <w:pPr>
        <w:pStyle w:val="ListParagraph"/>
        <w:numPr>
          <w:ilvl w:val="1"/>
          <w:numId w:val="1"/>
        </w:numPr>
        <w:spacing w:line="480" w:lineRule="auto"/>
        <w:rPr>
          <w:rFonts w:ascii="Times New Roman" w:hAnsi="Times New Roman"/>
        </w:rPr>
      </w:pPr>
      <w:r w:rsidRPr="0073557B">
        <w:rPr>
          <w:rFonts w:ascii="Times New Roman" w:hAnsi="Times New Roman"/>
        </w:rPr>
        <w:tab/>
      </w:r>
      <w:r w:rsidR="00F52986" w:rsidRPr="0073557B">
        <w:rPr>
          <w:rFonts w:ascii="Times New Roman" w:hAnsi="Times New Roman"/>
        </w:rPr>
        <w:t xml:space="preserve">The Commission has </w:t>
      </w:r>
      <w:r w:rsidR="005112E3" w:rsidRPr="0073557B">
        <w:rPr>
          <w:rFonts w:ascii="Times New Roman" w:hAnsi="Times New Roman"/>
        </w:rPr>
        <w:t xml:space="preserve">wide </w:t>
      </w:r>
      <w:r w:rsidR="00F52986" w:rsidRPr="0073557B">
        <w:rPr>
          <w:rFonts w:ascii="Times New Roman" w:hAnsi="Times New Roman"/>
        </w:rPr>
        <w:t>discretion in admitting evidence.</w:t>
      </w:r>
      <w:r w:rsidR="005112E3" w:rsidRPr="0073557B">
        <w:rPr>
          <w:rStyle w:val="FootnoteReference"/>
        </w:rPr>
        <w:footnoteReference w:id="2"/>
      </w:r>
      <w:r w:rsidR="00F52986" w:rsidRPr="0073557B">
        <w:rPr>
          <w:rFonts w:ascii="Times New Roman" w:hAnsi="Times New Roman"/>
        </w:rPr>
        <w:t xml:space="preserve"> The rules of evidence serve only as guidelines</w:t>
      </w:r>
      <w:r w:rsidR="00A17B08" w:rsidRPr="0073557B">
        <w:rPr>
          <w:rFonts w:ascii="Times New Roman" w:hAnsi="Times New Roman"/>
        </w:rPr>
        <w:t>,</w:t>
      </w:r>
      <w:r w:rsidR="00F52986" w:rsidRPr="0073557B">
        <w:rPr>
          <w:rFonts w:ascii="Times New Roman" w:hAnsi="Times New Roman"/>
        </w:rPr>
        <w:t xml:space="preserve"> and</w:t>
      </w:r>
      <w:r w:rsidR="005112E3" w:rsidRPr="0073557B">
        <w:rPr>
          <w:rFonts w:ascii="Times New Roman" w:hAnsi="Times New Roman"/>
        </w:rPr>
        <w:t xml:space="preserve"> the Commission often has authority to allow any relevant evidence.</w:t>
      </w:r>
      <w:r w:rsidR="005112E3" w:rsidRPr="0073557B">
        <w:rPr>
          <w:rStyle w:val="FootnoteReference"/>
        </w:rPr>
        <w:footnoteReference w:id="3"/>
      </w:r>
      <w:r w:rsidR="005112E3" w:rsidRPr="0073557B">
        <w:rPr>
          <w:rFonts w:ascii="Times New Roman" w:hAnsi="Times New Roman"/>
        </w:rPr>
        <w:t xml:space="preserve"> </w:t>
      </w:r>
      <w:r w:rsidR="00B57418" w:rsidRPr="0073557B">
        <w:rPr>
          <w:rFonts w:ascii="Times New Roman" w:hAnsi="Times New Roman"/>
        </w:rPr>
        <w:t>T</w:t>
      </w:r>
      <w:r w:rsidR="000D3F7E" w:rsidRPr="0073557B">
        <w:rPr>
          <w:rFonts w:ascii="Times New Roman" w:hAnsi="Times New Roman"/>
        </w:rPr>
        <w:t>h</w:t>
      </w:r>
      <w:r w:rsidR="006B1CC7" w:rsidRPr="0073557B">
        <w:rPr>
          <w:rFonts w:ascii="Times New Roman" w:hAnsi="Times New Roman"/>
        </w:rPr>
        <w:t>e</w:t>
      </w:r>
      <w:r w:rsidR="000D3F7E" w:rsidRPr="0073557B">
        <w:rPr>
          <w:rFonts w:ascii="Times New Roman" w:hAnsi="Times New Roman"/>
        </w:rPr>
        <w:t xml:space="preserve"> </w:t>
      </w:r>
      <w:r w:rsidR="000D3F7E" w:rsidRPr="0073557B">
        <w:rPr>
          <w:rFonts w:ascii="Times New Roman" w:hAnsi="Times New Roman"/>
        </w:rPr>
        <w:lastRenderedPageBreak/>
        <w:t>Commission also has</w:t>
      </w:r>
      <w:r w:rsidR="00A324CF" w:rsidRPr="0073557B">
        <w:rPr>
          <w:rFonts w:ascii="Times New Roman" w:hAnsi="Times New Roman"/>
        </w:rPr>
        <w:t xml:space="preserve"> the</w:t>
      </w:r>
      <w:r w:rsidR="000D3F7E" w:rsidRPr="0073557B">
        <w:rPr>
          <w:rFonts w:ascii="Times New Roman" w:hAnsi="Times New Roman"/>
        </w:rPr>
        <w:t xml:space="preserve"> specialized </w:t>
      </w:r>
      <w:r w:rsidR="00765779" w:rsidRPr="0073557B">
        <w:rPr>
          <w:rFonts w:ascii="Times New Roman" w:hAnsi="Times New Roman"/>
        </w:rPr>
        <w:t xml:space="preserve">expertise to </w:t>
      </w:r>
      <w:r w:rsidR="005112E3" w:rsidRPr="0073557B">
        <w:rPr>
          <w:rFonts w:ascii="Times New Roman" w:hAnsi="Times New Roman"/>
        </w:rPr>
        <w:t>read</w:t>
      </w:r>
      <w:r w:rsidR="00F52986" w:rsidRPr="0073557B">
        <w:rPr>
          <w:rFonts w:ascii="Times New Roman" w:hAnsi="Times New Roman"/>
        </w:rPr>
        <w:t>, revi</w:t>
      </w:r>
      <w:r w:rsidR="005112E3" w:rsidRPr="0073557B">
        <w:rPr>
          <w:rFonts w:ascii="Times New Roman" w:hAnsi="Times New Roman"/>
        </w:rPr>
        <w:t xml:space="preserve">ew, and verify </w:t>
      </w:r>
      <w:r w:rsidR="00CD659A" w:rsidRPr="0073557B">
        <w:rPr>
          <w:rFonts w:ascii="Times New Roman" w:hAnsi="Times New Roman"/>
        </w:rPr>
        <w:t>parties’ evidence in Title 80 and Title 81 proceedings</w:t>
      </w:r>
      <w:r w:rsidR="00F52986" w:rsidRPr="0073557B">
        <w:rPr>
          <w:rFonts w:ascii="Times New Roman" w:hAnsi="Times New Roman"/>
        </w:rPr>
        <w:t>.</w:t>
      </w:r>
      <w:r w:rsidR="00E20354" w:rsidRPr="0073557B">
        <w:rPr>
          <w:rStyle w:val="FootnoteReference"/>
        </w:rPr>
        <w:footnoteReference w:id="4"/>
      </w:r>
      <w:r w:rsidR="00F52986" w:rsidRPr="0073557B">
        <w:rPr>
          <w:rFonts w:ascii="Times New Roman" w:hAnsi="Times New Roman"/>
        </w:rPr>
        <w:t xml:space="preserve"> </w:t>
      </w:r>
      <w:r w:rsidR="006B1CC7" w:rsidRPr="0073557B">
        <w:rPr>
          <w:rFonts w:ascii="Times New Roman" w:hAnsi="Times New Roman"/>
        </w:rPr>
        <w:t>When in question, t</w:t>
      </w:r>
      <w:r w:rsidR="006B1CC7" w:rsidRPr="0073557B">
        <w:rPr>
          <w:rFonts w:ascii="Times New Roman" w:hAnsi="Times New Roman"/>
          <w:color w:val="000000"/>
        </w:rPr>
        <w:t>he presiding officer is empowered to exclude evidence that is irrelevant, repetitive, or inadmissible.</w:t>
      </w:r>
      <w:r w:rsidR="006B1CC7" w:rsidRPr="0073557B">
        <w:rPr>
          <w:rStyle w:val="FootnoteReference"/>
          <w:color w:val="000000"/>
        </w:rPr>
        <w:footnoteReference w:id="5"/>
      </w:r>
      <w:r w:rsidR="006B1CC7" w:rsidRPr="0073557B">
        <w:rPr>
          <w:rFonts w:ascii="Times New Roman" w:hAnsi="Times New Roman"/>
          <w:color w:val="000000"/>
        </w:rPr>
        <w:t xml:space="preserve">  </w:t>
      </w:r>
    </w:p>
    <w:p w14:paraId="5D65C5C7" w14:textId="3632768D" w:rsidR="005628A7" w:rsidRDefault="006B1CC7" w:rsidP="0073557B">
      <w:pPr>
        <w:pStyle w:val="ListParagraph"/>
        <w:numPr>
          <w:ilvl w:val="1"/>
          <w:numId w:val="1"/>
        </w:numPr>
        <w:spacing w:line="480" w:lineRule="auto"/>
        <w:rPr>
          <w:rFonts w:ascii="Times New Roman" w:hAnsi="Times New Roman"/>
        </w:rPr>
      </w:pPr>
      <w:r w:rsidRPr="0073557B">
        <w:rPr>
          <w:rFonts w:ascii="Times New Roman" w:hAnsi="Times New Roman"/>
          <w:color w:val="000000"/>
        </w:rPr>
        <w:tab/>
      </w:r>
      <w:r w:rsidR="005628A7" w:rsidRPr="0073557B">
        <w:rPr>
          <w:rFonts w:ascii="Times New Roman" w:hAnsi="Times New Roman"/>
          <w:color w:val="000000"/>
        </w:rPr>
        <w:t xml:space="preserve">Under the circumstances, </w:t>
      </w:r>
      <w:r w:rsidR="00A17B08" w:rsidRPr="0073557B">
        <w:rPr>
          <w:rFonts w:ascii="Times New Roman" w:hAnsi="Times New Roman"/>
        </w:rPr>
        <w:t>the Commission has no obligation to strike any</w:t>
      </w:r>
      <w:r w:rsidR="005628A7" w:rsidRPr="0073557B">
        <w:rPr>
          <w:rFonts w:ascii="Times New Roman" w:hAnsi="Times New Roman"/>
        </w:rPr>
        <w:t xml:space="preserve"> reference or argument contained in Staff brief. </w:t>
      </w:r>
      <w:r w:rsidR="00A17B08" w:rsidRPr="0073557B">
        <w:rPr>
          <w:rFonts w:ascii="Times New Roman" w:hAnsi="Times New Roman"/>
        </w:rPr>
        <w:t xml:space="preserve">PSE’s substantive arguments go to the relevance and credibility of </w:t>
      </w:r>
      <w:r w:rsidR="005628A7" w:rsidRPr="0073557B">
        <w:rPr>
          <w:rFonts w:ascii="Times New Roman" w:hAnsi="Times New Roman"/>
        </w:rPr>
        <w:t xml:space="preserve">the </w:t>
      </w:r>
      <w:r w:rsidR="00A17B08" w:rsidRPr="0073557B">
        <w:rPr>
          <w:rFonts w:ascii="Times New Roman" w:hAnsi="Times New Roman"/>
        </w:rPr>
        <w:t>information presented</w:t>
      </w:r>
      <w:r w:rsidR="005628A7" w:rsidRPr="0073557B">
        <w:rPr>
          <w:rFonts w:ascii="Times New Roman" w:hAnsi="Times New Roman"/>
        </w:rPr>
        <w:t xml:space="preserve"> by Staff. </w:t>
      </w:r>
      <w:r w:rsidR="00A17B08" w:rsidRPr="0073557B">
        <w:rPr>
          <w:rFonts w:ascii="Times New Roman" w:hAnsi="Times New Roman"/>
        </w:rPr>
        <w:t xml:space="preserve">Decisions as to both relevance and credibility are within the discretion of the presiding officer. </w:t>
      </w:r>
      <w:r w:rsidR="005628A7" w:rsidRPr="0073557B">
        <w:rPr>
          <w:rFonts w:ascii="Times New Roman" w:hAnsi="Times New Roman"/>
        </w:rPr>
        <w:t xml:space="preserve">More importantly, </w:t>
      </w:r>
      <w:r w:rsidR="00A17B08" w:rsidRPr="0073557B">
        <w:rPr>
          <w:rFonts w:ascii="Times New Roman" w:hAnsi="Times New Roman"/>
        </w:rPr>
        <w:t xml:space="preserve">even though the Commission has discretion to exclude irrelevant information, the evidence PSE disputes is </w:t>
      </w:r>
      <w:r w:rsidR="00F4531C" w:rsidRPr="0073557B">
        <w:rPr>
          <w:rFonts w:ascii="Times New Roman" w:hAnsi="Times New Roman"/>
        </w:rPr>
        <w:t xml:space="preserve">absolutely </w:t>
      </w:r>
      <w:r w:rsidR="00A17B08" w:rsidRPr="0073557B">
        <w:rPr>
          <w:rFonts w:ascii="Times New Roman" w:hAnsi="Times New Roman"/>
        </w:rPr>
        <w:t>relevant. In fact, the vast majority of PSE’s motion disputes information the Company itself presented in its filing</w:t>
      </w:r>
      <w:r w:rsidR="004C19E5" w:rsidRPr="0073557B">
        <w:rPr>
          <w:rFonts w:ascii="Times New Roman" w:hAnsi="Times New Roman"/>
        </w:rPr>
        <w:t xml:space="preserve">. The Company </w:t>
      </w:r>
      <w:r w:rsidR="00B30ADC" w:rsidRPr="0073557B">
        <w:rPr>
          <w:rFonts w:ascii="Times New Roman" w:hAnsi="Times New Roman"/>
        </w:rPr>
        <w:t>may disagree</w:t>
      </w:r>
      <w:r w:rsidR="00A17B08" w:rsidRPr="0073557B">
        <w:rPr>
          <w:rFonts w:ascii="Times New Roman" w:hAnsi="Times New Roman"/>
        </w:rPr>
        <w:t xml:space="preserve"> with Staff’s reading of that information, but PSE does not have the </w:t>
      </w:r>
      <w:r w:rsidR="004C19E5" w:rsidRPr="0073557B">
        <w:rPr>
          <w:rFonts w:ascii="Times New Roman" w:hAnsi="Times New Roman"/>
        </w:rPr>
        <w:t xml:space="preserve">general </w:t>
      </w:r>
      <w:r w:rsidR="00A17B08" w:rsidRPr="0073557B">
        <w:rPr>
          <w:rFonts w:ascii="Times New Roman" w:hAnsi="Times New Roman"/>
        </w:rPr>
        <w:t xml:space="preserve">right to strike argument or </w:t>
      </w:r>
      <w:r w:rsidR="00B30ADC" w:rsidRPr="0073557B">
        <w:rPr>
          <w:rFonts w:ascii="Times New Roman" w:hAnsi="Times New Roman"/>
        </w:rPr>
        <w:t xml:space="preserve">conclusions </w:t>
      </w:r>
      <w:r w:rsidR="00A17B08" w:rsidRPr="0073557B">
        <w:rPr>
          <w:rFonts w:ascii="Times New Roman" w:hAnsi="Times New Roman"/>
        </w:rPr>
        <w:t xml:space="preserve">with which it disagrees. </w:t>
      </w:r>
      <w:r w:rsidR="0073557B">
        <w:rPr>
          <w:rFonts w:ascii="Times New Roman" w:hAnsi="Times New Roman"/>
        </w:rPr>
        <w:t xml:space="preserve"> </w:t>
      </w:r>
    </w:p>
    <w:p w14:paraId="246141A1" w14:textId="20573182" w:rsidR="005628A7" w:rsidRPr="0073557B" w:rsidRDefault="005628A7" w:rsidP="0073557B">
      <w:pPr>
        <w:pStyle w:val="ListParagraph"/>
        <w:numPr>
          <w:ilvl w:val="1"/>
          <w:numId w:val="1"/>
        </w:numPr>
        <w:spacing w:line="480" w:lineRule="auto"/>
        <w:rPr>
          <w:rFonts w:ascii="Times New Roman" w:hAnsi="Times New Roman"/>
        </w:rPr>
      </w:pPr>
      <w:r w:rsidRPr="0073557B">
        <w:rPr>
          <w:rFonts w:ascii="Times New Roman" w:hAnsi="Times New Roman"/>
        </w:rPr>
        <w:tab/>
      </w:r>
      <w:r w:rsidR="00F4531C" w:rsidRPr="0073557B">
        <w:rPr>
          <w:rFonts w:ascii="Times New Roman" w:hAnsi="Times New Roman"/>
        </w:rPr>
        <w:t>T</w:t>
      </w:r>
      <w:r w:rsidRPr="0073557B">
        <w:rPr>
          <w:rFonts w:ascii="Times New Roman" w:hAnsi="Times New Roman"/>
        </w:rPr>
        <w:t xml:space="preserve">he standard for </w:t>
      </w:r>
      <w:r w:rsidR="00F4531C" w:rsidRPr="0073557B">
        <w:rPr>
          <w:rFonts w:ascii="Times New Roman" w:hAnsi="Times New Roman"/>
        </w:rPr>
        <w:t xml:space="preserve">reliance upon evidence before the Commission </w:t>
      </w:r>
      <w:r w:rsidRPr="0073557B">
        <w:rPr>
          <w:rFonts w:ascii="Times New Roman" w:hAnsi="Times New Roman"/>
        </w:rPr>
        <w:t xml:space="preserve">is whether a reasonably prudent person would </w:t>
      </w:r>
      <w:r w:rsidR="00F4531C" w:rsidRPr="0073557B">
        <w:rPr>
          <w:rFonts w:ascii="Times New Roman" w:hAnsi="Times New Roman"/>
        </w:rPr>
        <w:t>do so.</w:t>
      </w:r>
      <w:r w:rsidR="00F4531C" w:rsidRPr="0073557B">
        <w:rPr>
          <w:rStyle w:val="FootnoteReference"/>
        </w:rPr>
        <w:footnoteReference w:id="6"/>
      </w:r>
      <w:r w:rsidRPr="0073557B">
        <w:rPr>
          <w:rFonts w:ascii="Times New Roman" w:hAnsi="Times New Roman"/>
        </w:rPr>
        <w:t xml:space="preserve">  Here, the facts and background relied upon by Staff </w:t>
      </w:r>
      <w:r w:rsidR="00F4531C" w:rsidRPr="0073557B">
        <w:rPr>
          <w:rFonts w:ascii="Times New Roman" w:hAnsi="Times New Roman"/>
        </w:rPr>
        <w:t xml:space="preserve">to support its </w:t>
      </w:r>
      <w:r w:rsidR="00211862">
        <w:rPr>
          <w:rFonts w:ascii="Times New Roman" w:hAnsi="Times New Roman"/>
        </w:rPr>
        <w:t xml:space="preserve">filing </w:t>
      </w:r>
      <w:r w:rsidRPr="0073557B">
        <w:rPr>
          <w:rFonts w:ascii="Times New Roman" w:hAnsi="Times New Roman"/>
        </w:rPr>
        <w:t xml:space="preserve">are contained in the very documents that PSE included in its pre-filed testimony or </w:t>
      </w:r>
      <w:r w:rsidR="00F4531C" w:rsidRPr="0073557B">
        <w:rPr>
          <w:rFonts w:ascii="Times New Roman" w:hAnsi="Times New Roman"/>
        </w:rPr>
        <w:t xml:space="preserve">otherwise </w:t>
      </w:r>
      <w:r w:rsidRPr="0073557B">
        <w:rPr>
          <w:rFonts w:ascii="Times New Roman" w:hAnsi="Times New Roman"/>
        </w:rPr>
        <w:t xml:space="preserve">provided the parties pursuant to formal Discovery Requests. </w:t>
      </w:r>
      <w:r w:rsidR="00211862">
        <w:rPr>
          <w:rFonts w:ascii="Times New Roman" w:hAnsi="Times New Roman"/>
        </w:rPr>
        <w:t xml:space="preserve">In most circumstances, </w:t>
      </w:r>
      <w:r w:rsidR="00EA7709" w:rsidRPr="0073557B">
        <w:rPr>
          <w:rFonts w:ascii="Times New Roman" w:hAnsi="Times New Roman"/>
        </w:rPr>
        <w:t xml:space="preserve"> </w:t>
      </w:r>
      <w:r w:rsidR="00F4531C" w:rsidRPr="0073557B">
        <w:rPr>
          <w:rFonts w:ascii="Times New Roman" w:hAnsi="Times New Roman"/>
        </w:rPr>
        <w:t>d</w:t>
      </w:r>
      <w:r w:rsidRPr="0073557B">
        <w:rPr>
          <w:rFonts w:ascii="Times New Roman" w:hAnsi="Times New Roman"/>
        </w:rPr>
        <w:t xml:space="preserve">ocuments and exhibits </w:t>
      </w:r>
      <w:r w:rsidR="00EA7709" w:rsidRPr="0073557B">
        <w:rPr>
          <w:rFonts w:ascii="Times New Roman" w:hAnsi="Times New Roman"/>
        </w:rPr>
        <w:t xml:space="preserve">such as these </w:t>
      </w:r>
      <w:r w:rsidR="007028D6" w:rsidRPr="0073557B">
        <w:rPr>
          <w:rFonts w:ascii="Times New Roman" w:hAnsi="Times New Roman"/>
        </w:rPr>
        <w:t xml:space="preserve">are </w:t>
      </w:r>
      <w:r w:rsidR="00F4531C" w:rsidRPr="0073557B">
        <w:rPr>
          <w:rFonts w:ascii="Times New Roman" w:hAnsi="Times New Roman"/>
        </w:rPr>
        <w:t>used by the Commission to inform and support its decisions. Sta</w:t>
      </w:r>
      <w:r w:rsidRPr="0073557B">
        <w:rPr>
          <w:rFonts w:ascii="Times New Roman" w:hAnsi="Times New Roman"/>
        </w:rPr>
        <w:t xml:space="preserve">ff </w:t>
      </w:r>
      <w:r w:rsidR="004D43F7" w:rsidRPr="0073557B">
        <w:rPr>
          <w:rFonts w:ascii="Times New Roman" w:hAnsi="Times New Roman"/>
        </w:rPr>
        <w:t xml:space="preserve">simply asks </w:t>
      </w:r>
      <w:r w:rsidRPr="0073557B">
        <w:rPr>
          <w:rFonts w:ascii="Times New Roman" w:hAnsi="Times New Roman"/>
        </w:rPr>
        <w:t xml:space="preserve">the Commission to consider this </w:t>
      </w:r>
      <w:r w:rsidR="00F4531C" w:rsidRPr="0073557B">
        <w:rPr>
          <w:rFonts w:ascii="Times New Roman" w:hAnsi="Times New Roman"/>
        </w:rPr>
        <w:t xml:space="preserve">material </w:t>
      </w:r>
      <w:r w:rsidRPr="0073557B">
        <w:rPr>
          <w:rFonts w:ascii="Times New Roman" w:hAnsi="Times New Roman"/>
        </w:rPr>
        <w:t xml:space="preserve">in light </w:t>
      </w:r>
      <w:r w:rsidR="002340D1" w:rsidRPr="0073557B">
        <w:rPr>
          <w:rFonts w:ascii="Times New Roman" w:hAnsi="Times New Roman"/>
        </w:rPr>
        <w:t>of the</w:t>
      </w:r>
      <w:r w:rsidRPr="0073557B">
        <w:rPr>
          <w:rFonts w:ascii="Times New Roman" w:hAnsi="Times New Roman"/>
        </w:rPr>
        <w:t xml:space="preserve"> testimony filed</w:t>
      </w:r>
      <w:r w:rsidR="00F4531C" w:rsidRPr="0073557B">
        <w:rPr>
          <w:rFonts w:ascii="Times New Roman" w:hAnsi="Times New Roman"/>
        </w:rPr>
        <w:t xml:space="preserve"> and the applicable law</w:t>
      </w:r>
      <w:r w:rsidRPr="0073557B">
        <w:rPr>
          <w:rFonts w:ascii="Times New Roman" w:hAnsi="Times New Roman"/>
        </w:rPr>
        <w:t xml:space="preserve">.  </w:t>
      </w:r>
      <w:r w:rsidR="00F4531C" w:rsidRPr="0073557B">
        <w:rPr>
          <w:rFonts w:ascii="Times New Roman" w:hAnsi="Times New Roman"/>
        </w:rPr>
        <w:t>I</w:t>
      </w:r>
      <w:r w:rsidRPr="0073557B">
        <w:rPr>
          <w:rFonts w:ascii="Times New Roman" w:hAnsi="Times New Roman"/>
        </w:rPr>
        <w:t xml:space="preserve">t is entirely appropriate for the Commission to do so under any evidentiary standard.   </w:t>
      </w:r>
    </w:p>
    <w:p w14:paraId="4F2E7802" w14:textId="03E7CDBA" w:rsidR="00EA7709" w:rsidRDefault="003C5FEA" w:rsidP="00596EC1">
      <w:pPr>
        <w:pStyle w:val="ListParagraph"/>
        <w:keepNext/>
        <w:numPr>
          <w:ilvl w:val="0"/>
          <w:numId w:val="5"/>
        </w:numPr>
        <w:ind w:left="720" w:hanging="720"/>
        <w:rPr>
          <w:rFonts w:ascii="Times New Roman" w:hAnsi="Times New Roman"/>
          <w:b/>
        </w:rPr>
      </w:pPr>
      <w:r w:rsidRPr="0073557B">
        <w:rPr>
          <w:rFonts w:ascii="Times New Roman" w:hAnsi="Times New Roman"/>
          <w:b/>
        </w:rPr>
        <w:lastRenderedPageBreak/>
        <w:t xml:space="preserve">PSE’s </w:t>
      </w:r>
      <w:r w:rsidR="00EA7709" w:rsidRPr="0073557B">
        <w:rPr>
          <w:rFonts w:ascii="Times New Roman" w:hAnsi="Times New Roman"/>
          <w:b/>
        </w:rPr>
        <w:t>M</w:t>
      </w:r>
      <w:r w:rsidRPr="0073557B">
        <w:rPr>
          <w:rFonts w:ascii="Times New Roman" w:hAnsi="Times New Roman"/>
          <w:b/>
        </w:rPr>
        <w:t xml:space="preserve">otion </w:t>
      </w:r>
      <w:r w:rsidR="00EA7709" w:rsidRPr="0073557B">
        <w:rPr>
          <w:rFonts w:ascii="Times New Roman" w:hAnsi="Times New Roman"/>
          <w:b/>
        </w:rPr>
        <w:t>Misstates T</w:t>
      </w:r>
      <w:r w:rsidRPr="0073557B">
        <w:rPr>
          <w:rFonts w:ascii="Times New Roman" w:hAnsi="Times New Roman"/>
          <w:b/>
        </w:rPr>
        <w:t xml:space="preserve">he </w:t>
      </w:r>
      <w:r w:rsidR="00EA7709" w:rsidRPr="0073557B">
        <w:rPr>
          <w:rFonts w:ascii="Times New Roman" w:hAnsi="Times New Roman"/>
          <w:b/>
        </w:rPr>
        <w:t>Law; T</w:t>
      </w:r>
      <w:r w:rsidRPr="0073557B">
        <w:rPr>
          <w:rFonts w:ascii="Times New Roman" w:hAnsi="Times New Roman"/>
          <w:b/>
        </w:rPr>
        <w:t xml:space="preserve">he Commission </w:t>
      </w:r>
      <w:r w:rsidR="00EA7709" w:rsidRPr="0073557B">
        <w:rPr>
          <w:rFonts w:ascii="Times New Roman" w:hAnsi="Times New Roman"/>
          <w:b/>
        </w:rPr>
        <w:t>Owes N</w:t>
      </w:r>
      <w:r w:rsidRPr="0073557B">
        <w:rPr>
          <w:rFonts w:ascii="Times New Roman" w:hAnsi="Times New Roman"/>
          <w:b/>
        </w:rPr>
        <w:t xml:space="preserve">o </w:t>
      </w:r>
      <w:r w:rsidR="00EA7709" w:rsidRPr="0073557B">
        <w:rPr>
          <w:rFonts w:ascii="Times New Roman" w:hAnsi="Times New Roman"/>
          <w:b/>
        </w:rPr>
        <w:t>O</w:t>
      </w:r>
      <w:r w:rsidRPr="0073557B">
        <w:rPr>
          <w:rFonts w:ascii="Times New Roman" w:hAnsi="Times New Roman"/>
          <w:b/>
        </w:rPr>
        <w:t xml:space="preserve">bligation </w:t>
      </w:r>
      <w:r w:rsidR="00EA7709" w:rsidRPr="0073557B">
        <w:rPr>
          <w:rFonts w:ascii="Times New Roman" w:hAnsi="Times New Roman"/>
          <w:b/>
        </w:rPr>
        <w:t>To Strike Staff’s B</w:t>
      </w:r>
      <w:r w:rsidRPr="0073557B">
        <w:rPr>
          <w:rFonts w:ascii="Times New Roman" w:hAnsi="Times New Roman"/>
          <w:b/>
        </w:rPr>
        <w:t>rief.</w:t>
      </w:r>
    </w:p>
    <w:p w14:paraId="7520BC61" w14:textId="77777777" w:rsidR="0073557B" w:rsidRPr="0073557B" w:rsidRDefault="0073557B" w:rsidP="0073557B">
      <w:pPr>
        <w:spacing w:after="0" w:line="240" w:lineRule="auto"/>
        <w:rPr>
          <w:b/>
        </w:rPr>
      </w:pPr>
    </w:p>
    <w:p w14:paraId="44BEC96E" w14:textId="77777777" w:rsidR="00FC751C" w:rsidRPr="0073557B" w:rsidRDefault="00EA7709" w:rsidP="0073557B">
      <w:pPr>
        <w:pStyle w:val="ListParagraph"/>
        <w:numPr>
          <w:ilvl w:val="1"/>
          <w:numId w:val="1"/>
        </w:numPr>
        <w:spacing w:line="480" w:lineRule="auto"/>
        <w:rPr>
          <w:rFonts w:ascii="Times New Roman" w:hAnsi="Times New Roman"/>
        </w:rPr>
      </w:pPr>
      <w:r w:rsidRPr="0073557B">
        <w:rPr>
          <w:rFonts w:ascii="Times New Roman" w:hAnsi="Times New Roman"/>
        </w:rPr>
        <w:tab/>
      </w:r>
      <w:r w:rsidR="00B46A51" w:rsidRPr="0073557B">
        <w:rPr>
          <w:rFonts w:ascii="Times New Roman" w:hAnsi="Times New Roman"/>
        </w:rPr>
        <w:t xml:space="preserve">PSE’s motion to strike </w:t>
      </w:r>
      <w:r w:rsidR="00CD659A" w:rsidRPr="0073557B">
        <w:rPr>
          <w:rFonts w:ascii="Times New Roman" w:hAnsi="Times New Roman"/>
        </w:rPr>
        <w:t xml:space="preserve">throws several </w:t>
      </w:r>
      <w:r w:rsidR="00297951" w:rsidRPr="0073557B">
        <w:rPr>
          <w:rFonts w:ascii="Times New Roman" w:hAnsi="Times New Roman"/>
        </w:rPr>
        <w:t>legal theories at the Commission.</w:t>
      </w:r>
      <w:r w:rsidR="00B46A51" w:rsidRPr="0073557B">
        <w:rPr>
          <w:rFonts w:ascii="Times New Roman" w:hAnsi="Times New Roman"/>
        </w:rPr>
        <w:t xml:space="preserve"> PSE first cites the limited scope of the briefing in this case, then questions the credibility behind portions of Staff’s brief</w:t>
      </w:r>
      <w:r w:rsidRPr="0073557B">
        <w:rPr>
          <w:rFonts w:ascii="Times New Roman" w:hAnsi="Times New Roman"/>
        </w:rPr>
        <w:t xml:space="preserve">. It then </w:t>
      </w:r>
      <w:r w:rsidR="00B46A51" w:rsidRPr="0073557B">
        <w:rPr>
          <w:rFonts w:ascii="Times New Roman" w:hAnsi="Times New Roman"/>
        </w:rPr>
        <w:t xml:space="preserve">cites the Company’s own due process rights, and, lastly, discusses the Commission’s procedural rules in WAC 480-07-490 and WAC 480-07-395. </w:t>
      </w:r>
      <w:r w:rsidR="00CD659A" w:rsidRPr="0073557B">
        <w:rPr>
          <w:rFonts w:ascii="Times New Roman" w:hAnsi="Times New Roman"/>
        </w:rPr>
        <w:t>The Company concludes that</w:t>
      </w:r>
      <w:r w:rsidR="007028D6" w:rsidRPr="0073557B">
        <w:rPr>
          <w:rFonts w:ascii="Times New Roman" w:hAnsi="Times New Roman"/>
        </w:rPr>
        <w:t xml:space="preserve"> the law </w:t>
      </w:r>
      <w:r w:rsidR="004C19E5" w:rsidRPr="0073557B">
        <w:rPr>
          <w:rFonts w:ascii="Times New Roman" w:hAnsi="Times New Roman"/>
        </w:rPr>
        <w:t>requir</w:t>
      </w:r>
      <w:r w:rsidR="007028D6" w:rsidRPr="0073557B">
        <w:rPr>
          <w:rFonts w:ascii="Times New Roman" w:hAnsi="Times New Roman"/>
        </w:rPr>
        <w:t>es</w:t>
      </w:r>
      <w:r w:rsidR="00CD659A" w:rsidRPr="0073557B">
        <w:rPr>
          <w:rFonts w:ascii="Times New Roman" w:hAnsi="Times New Roman"/>
        </w:rPr>
        <w:t xml:space="preserve"> the Commission to strike portions of Staff’s brief. </w:t>
      </w:r>
      <w:r w:rsidR="00FC751C" w:rsidRPr="0073557B">
        <w:rPr>
          <w:rFonts w:ascii="Times New Roman" w:hAnsi="Times New Roman"/>
        </w:rPr>
        <w:t>PSE is wrong on all counts.</w:t>
      </w:r>
    </w:p>
    <w:p w14:paraId="66425F98" w14:textId="77777777" w:rsidR="00F70748" w:rsidRPr="0073557B" w:rsidRDefault="00FC751C" w:rsidP="0073557B">
      <w:pPr>
        <w:pStyle w:val="ListParagraph"/>
        <w:numPr>
          <w:ilvl w:val="1"/>
          <w:numId w:val="1"/>
        </w:numPr>
        <w:spacing w:line="480" w:lineRule="auto"/>
        <w:rPr>
          <w:rFonts w:ascii="Times New Roman" w:hAnsi="Times New Roman"/>
        </w:rPr>
      </w:pPr>
      <w:r w:rsidRPr="0073557B">
        <w:rPr>
          <w:rFonts w:ascii="Times New Roman" w:hAnsi="Times New Roman"/>
        </w:rPr>
        <w:tab/>
        <w:t>First, the applicable provision</w:t>
      </w:r>
      <w:r w:rsidR="00F52986" w:rsidRPr="0073557B">
        <w:rPr>
          <w:rFonts w:ascii="Times New Roman" w:hAnsi="Times New Roman"/>
        </w:rPr>
        <w:t xml:space="preserve">s of law are </w:t>
      </w:r>
      <w:r w:rsidR="00744E8D" w:rsidRPr="0073557B">
        <w:rPr>
          <w:rFonts w:ascii="Times New Roman" w:hAnsi="Times New Roman"/>
        </w:rPr>
        <w:t>found in the Administrative Procedure Act</w:t>
      </w:r>
      <w:r w:rsidR="00A17B08" w:rsidRPr="0073557B">
        <w:rPr>
          <w:rFonts w:ascii="Times New Roman" w:hAnsi="Times New Roman"/>
        </w:rPr>
        <w:t xml:space="preserve"> (“APA”)</w:t>
      </w:r>
      <w:r w:rsidR="00744E8D" w:rsidRPr="0073557B">
        <w:rPr>
          <w:rFonts w:ascii="Times New Roman" w:hAnsi="Times New Roman"/>
        </w:rPr>
        <w:t>.</w:t>
      </w:r>
      <w:r w:rsidR="00744E8D" w:rsidRPr="0073557B">
        <w:rPr>
          <w:rStyle w:val="FootnoteReference"/>
        </w:rPr>
        <w:footnoteReference w:id="7"/>
      </w:r>
      <w:r w:rsidR="00744E8D" w:rsidRPr="0073557B">
        <w:rPr>
          <w:rFonts w:ascii="Times New Roman" w:hAnsi="Times New Roman"/>
        </w:rPr>
        <w:t xml:space="preserve"> </w:t>
      </w:r>
      <w:r w:rsidR="00F52986" w:rsidRPr="0073557B">
        <w:rPr>
          <w:rFonts w:ascii="Times New Roman" w:hAnsi="Times New Roman"/>
        </w:rPr>
        <w:t xml:space="preserve">Under RCW 34.05.437(1), a presiding officer “shall give all parties full opportunity to submit and respond to pleadings, motions, objections, and offers of settlement.” </w:t>
      </w:r>
      <w:r w:rsidR="00297951" w:rsidRPr="0073557B">
        <w:rPr>
          <w:rFonts w:ascii="Times New Roman" w:hAnsi="Times New Roman"/>
        </w:rPr>
        <w:t xml:space="preserve">Thus, if the Commission does find Staff’s brief blurs into a pleading, the law only requires PSE an opportunity to reply. </w:t>
      </w:r>
      <w:r w:rsidR="00EF667C" w:rsidRPr="0073557B">
        <w:rPr>
          <w:rFonts w:ascii="Times New Roman" w:hAnsi="Times New Roman"/>
        </w:rPr>
        <w:t>The pleadings provision in the Administrative Procedure Act</w:t>
      </w:r>
      <w:r w:rsidR="00297951" w:rsidRPr="0073557B">
        <w:rPr>
          <w:rFonts w:ascii="Times New Roman" w:hAnsi="Times New Roman"/>
        </w:rPr>
        <w:t xml:space="preserve"> does not</w:t>
      </w:r>
      <w:r w:rsidR="008E71C2" w:rsidRPr="0073557B">
        <w:rPr>
          <w:rFonts w:ascii="Times New Roman" w:hAnsi="Times New Roman"/>
        </w:rPr>
        <w:t xml:space="preserve"> require the Commission to strike Staff’s brief</w:t>
      </w:r>
      <w:r w:rsidR="00297951" w:rsidRPr="0073557B">
        <w:rPr>
          <w:rFonts w:ascii="Times New Roman" w:hAnsi="Times New Roman"/>
        </w:rPr>
        <w:t xml:space="preserve">. </w:t>
      </w:r>
    </w:p>
    <w:p w14:paraId="1B5A33DF" w14:textId="1FE37418" w:rsidR="00297951" w:rsidRPr="0073557B" w:rsidRDefault="00F70748" w:rsidP="0073557B">
      <w:pPr>
        <w:pStyle w:val="ListParagraph"/>
        <w:numPr>
          <w:ilvl w:val="1"/>
          <w:numId w:val="1"/>
        </w:numPr>
        <w:spacing w:line="480" w:lineRule="auto"/>
        <w:rPr>
          <w:rFonts w:ascii="Times New Roman" w:hAnsi="Times New Roman"/>
        </w:rPr>
      </w:pPr>
      <w:r w:rsidRPr="0073557B">
        <w:rPr>
          <w:rFonts w:ascii="Times New Roman" w:hAnsi="Times New Roman"/>
        </w:rPr>
        <w:t xml:space="preserve"> </w:t>
      </w:r>
      <w:r w:rsidRPr="0073557B">
        <w:rPr>
          <w:rFonts w:ascii="Times New Roman" w:hAnsi="Times New Roman"/>
        </w:rPr>
        <w:tab/>
      </w:r>
      <w:r w:rsidR="0015212C" w:rsidRPr="0073557B">
        <w:rPr>
          <w:rFonts w:ascii="Times New Roman" w:hAnsi="Times New Roman"/>
        </w:rPr>
        <w:t>Second</w:t>
      </w:r>
      <w:r w:rsidR="00EA7709" w:rsidRPr="0073557B">
        <w:rPr>
          <w:rFonts w:ascii="Times New Roman" w:hAnsi="Times New Roman"/>
        </w:rPr>
        <w:t xml:space="preserve"> and as noted above</w:t>
      </w:r>
      <w:r w:rsidR="0015212C" w:rsidRPr="0073557B">
        <w:rPr>
          <w:rFonts w:ascii="Times New Roman" w:hAnsi="Times New Roman"/>
        </w:rPr>
        <w:t xml:space="preserve">, the Commission has </w:t>
      </w:r>
      <w:r w:rsidR="00C95403">
        <w:rPr>
          <w:rFonts w:ascii="Times New Roman" w:hAnsi="Times New Roman"/>
        </w:rPr>
        <w:t xml:space="preserve">the </w:t>
      </w:r>
      <w:r w:rsidR="0015212C" w:rsidRPr="0073557B">
        <w:rPr>
          <w:rFonts w:ascii="Times New Roman" w:hAnsi="Times New Roman"/>
        </w:rPr>
        <w:t xml:space="preserve">statutory authority and the specialized expertise to </w:t>
      </w:r>
      <w:r w:rsidRPr="0073557B">
        <w:rPr>
          <w:rFonts w:ascii="Times New Roman" w:hAnsi="Times New Roman"/>
        </w:rPr>
        <w:t xml:space="preserve">evaluate </w:t>
      </w:r>
      <w:r w:rsidR="0015212C" w:rsidRPr="0073557B">
        <w:rPr>
          <w:rFonts w:ascii="Times New Roman" w:hAnsi="Times New Roman"/>
        </w:rPr>
        <w:t xml:space="preserve">the </w:t>
      </w:r>
      <w:r w:rsidRPr="0073557B">
        <w:rPr>
          <w:rFonts w:ascii="Times New Roman" w:hAnsi="Times New Roman"/>
        </w:rPr>
        <w:t>credibility</w:t>
      </w:r>
      <w:r w:rsidR="0015212C" w:rsidRPr="0073557B">
        <w:rPr>
          <w:rFonts w:ascii="Times New Roman" w:hAnsi="Times New Roman"/>
        </w:rPr>
        <w:t xml:space="preserve"> of evidence</w:t>
      </w:r>
      <w:r w:rsidRPr="0073557B">
        <w:rPr>
          <w:rFonts w:ascii="Times New Roman" w:hAnsi="Times New Roman"/>
        </w:rPr>
        <w:t xml:space="preserve">. </w:t>
      </w:r>
      <w:r w:rsidR="0044006C" w:rsidRPr="0073557B">
        <w:rPr>
          <w:rFonts w:ascii="Times New Roman" w:hAnsi="Times New Roman"/>
        </w:rPr>
        <w:t>Without question, t</w:t>
      </w:r>
      <w:r w:rsidR="0015212C" w:rsidRPr="0073557B">
        <w:rPr>
          <w:rFonts w:ascii="Times New Roman" w:hAnsi="Times New Roman"/>
        </w:rPr>
        <w:t xml:space="preserve">he Commission </w:t>
      </w:r>
      <w:r w:rsidR="0044006C" w:rsidRPr="0073557B">
        <w:rPr>
          <w:rFonts w:ascii="Times New Roman" w:hAnsi="Times New Roman"/>
        </w:rPr>
        <w:t xml:space="preserve">can </w:t>
      </w:r>
      <w:r w:rsidR="0015212C" w:rsidRPr="0073557B">
        <w:rPr>
          <w:rFonts w:ascii="Times New Roman" w:hAnsi="Times New Roman"/>
        </w:rPr>
        <w:t xml:space="preserve">assess </w:t>
      </w:r>
      <w:r w:rsidR="0044006C" w:rsidRPr="0073557B">
        <w:rPr>
          <w:rFonts w:ascii="Times New Roman" w:hAnsi="Times New Roman"/>
        </w:rPr>
        <w:t xml:space="preserve">the evidence presented </w:t>
      </w:r>
      <w:r w:rsidR="0015212C" w:rsidRPr="0073557B">
        <w:rPr>
          <w:rFonts w:ascii="Times New Roman" w:hAnsi="Times New Roman"/>
        </w:rPr>
        <w:t>and determine the appropriate weight to afford that evidence.</w:t>
      </w:r>
    </w:p>
    <w:p w14:paraId="6E84A9D5" w14:textId="77777777" w:rsidR="00765779" w:rsidRDefault="00902985" w:rsidP="0073557B">
      <w:pPr>
        <w:pStyle w:val="ListParagraph"/>
        <w:numPr>
          <w:ilvl w:val="1"/>
          <w:numId w:val="1"/>
        </w:numPr>
        <w:spacing w:line="480" w:lineRule="auto"/>
        <w:rPr>
          <w:rFonts w:ascii="Times New Roman" w:hAnsi="Times New Roman"/>
        </w:rPr>
      </w:pPr>
      <w:r w:rsidRPr="0073557B">
        <w:rPr>
          <w:rFonts w:ascii="Times New Roman" w:hAnsi="Times New Roman"/>
        </w:rPr>
        <w:t xml:space="preserve"> </w:t>
      </w:r>
      <w:r w:rsidRPr="0073557B">
        <w:rPr>
          <w:rFonts w:ascii="Times New Roman" w:hAnsi="Times New Roman"/>
        </w:rPr>
        <w:tab/>
      </w:r>
      <w:r w:rsidR="003C5FEA" w:rsidRPr="0073557B">
        <w:rPr>
          <w:rFonts w:ascii="Times New Roman" w:hAnsi="Times New Roman"/>
        </w:rPr>
        <w:t xml:space="preserve">Further, </w:t>
      </w:r>
      <w:r w:rsidR="00297951" w:rsidRPr="0073557B">
        <w:rPr>
          <w:rFonts w:ascii="Times New Roman" w:hAnsi="Times New Roman"/>
        </w:rPr>
        <w:t xml:space="preserve">RCW 34.05.452(1) </w:t>
      </w:r>
      <w:r w:rsidR="00EF667C" w:rsidRPr="0073557B">
        <w:rPr>
          <w:rFonts w:ascii="Times New Roman" w:hAnsi="Times New Roman"/>
        </w:rPr>
        <w:t xml:space="preserve">states </w:t>
      </w:r>
      <w:r w:rsidR="00FC751C" w:rsidRPr="0073557B">
        <w:rPr>
          <w:rFonts w:ascii="Times New Roman" w:hAnsi="Times New Roman"/>
        </w:rPr>
        <w:t>the Commission “</w:t>
      </w:r>
      <w:r w:rsidR="00FC751C" w:rsidRPr="0073557B">
        <w:rPr>
          <w:rFonts w:ascii="Times New Roman" w:hAnsi="Times New Roman"/>
          <w:i/>
        </w:rPr>
        <w:t>shall</w:t>
      </w:r>
      <w:r w:rsidR="00FC751C" w:rsidRPr="0073557B">
        <w:rPr>
          <w:rFonts w:ascii="Times New Roman" w:hAnsi="Times New Roman"/>
        </w:rPr>
        <w:t xml:space="preserve"> exclude evidence that is excludable on constitutional or statutory grounds” but “</w:t>
      </w:r>
      <w:r w:rsidR="00FC751C" w:rsidRPr="0073557B">
        <w:rPr>
          <w:rFonts w:ascii="Times New Roman" w:hAnsi="Times New Roman"/>
          <w:i/>
        </w:rPr>
        <w:t>may</w:t>
      </w:r>
      <w:r w:rsidR="00FC751C" w:rsidRPr="0073557B">
        <w:rPr>
          <w:rFonts w:ascii="Times New Roman" w:hAnsi="Times New Roman"/>
        </w:rPr>
        <w:t xml:space="preserve"> exclude evidence that is irrelevant, immaterial </w:t>
      </w:r>
      <w:r w:rsidR="00765779" w:rsidRPr="0073557B">
        <w:rPr>
          <w:rFonts w:ascii="Times New Roman" w:hAnsi="Times New Roman"/>
        </w:rPr>
        <w:t>or unduly repetitious.” (Emphase</w:t>
      </w:r>
      <w:r w:rsidR="00FC751C" w:rsidRPr="0073557B">
        <w:rPr>
          <w:rFonts w:ascii="Times New Roman" w:hAnsi="Times New Roman"/>
        </w:rPr>
        <w:t>s added).</w:t>
      </w:r>
      <w:r w:rsidR="00FC751C" w:rsidRPr="0073557B">
        <w:rPr>
          <w:rStyle w:val="FootnoteReference"/>
        </w:rPr>
        <w:footnoteReference w:id="8"/>
      </w:r>
      <w:r w:rsidR="00FC751C" w:rsidRPr="0073557B">
        <w:rPr>
          <w:rFonts w:ascii="Times New Roman" w:hAnsi="Times New Roman"/>
        </w:rPr>
        <w:t xml:space="preserve">  </w:t>
      </w:r>
      <w:r w:rsidRPr="0073557B">
        <w:rPr>
          <w:rFonts w:ascii="Times New Roman" w:hAnsi="Times New Roman"/>
        </w:rPr>
        <w:t xml:space="preserve">Thus, </w:t>
      </w:r>
      <w:r w:rsidR="00765779" w:rsidRPr="0073557B">
        <w:rPr>
          <w:rFonts w:ascii="Times New Roman" w:hAnsi="Times New Roman"/>
        </w:rPr>
        <w:t xml:space="preserve">among its various theories, </w:t>
      </w:r>
      <w:r w:rsidRPr="0073557B">
        <w:rPr>
          <w:rFonts w:ascii="Times New Roman" w:hAnsi="Times New Roman"/>
        </w:rPr>
        <w:t xml:space="preserve">only the Company’s due process claim could require the Commission to exclude evidence in Staff’s </w:t>
      </w:r>
      <w:bookmarkStart w:id="1" w:name="_GoBack"/>
      <w:bookmarkEnd w:id="1"/>
      <w:r w:rsidRPr="0073557B">
        <w:rPr>
          <w:rFonts w:ascii="Times New Roman" w:hAnsi="Times New Roman"/>
        </w:rPr>
        <w:t xml:space="preserve">brief. </w:t>
      </w:r>
    </w:p>
    <w:p w14:paraId="25265FEF" w14:textId="7BF8CC29" w:rsidR="00211862" w:rsidRDefault="00765779" w:rsidP="00211862">
      <w:pPr>
        <w:pStyle w:val="ListParagraph"/>
        <w:numPr>
          <w:ilvl w:val="1"/>
          <w:numId w:val="1"/>
        </w:numPr>
        <w:spacing w:line="480" w:lineRule="auto"/>
        <w:rPr>
          <w:rFonts w:ascii="Times New Roman" w:hAnsi="Times New Roman"/>
        </w:rPr>
      </w:pPr>
      <w:r w:rsidRPr="00211862">
        <w:rPr>
          <w:rFonts w:ascii="Times New Roman" w:hAnsi="Times New Roman"/>
        </w:rPr>
        <w:lastRenderedPageBreak/>
        <w:tab/>
      </w:r>
      <w:r w:rsidR="00902985" w:rsidRPr="00211862">
        <w:rPr>
          <w:rFonts w:ascii="Times New Roman" w:hAnsi="Times New Roman"/>
        </w:rPr>
        <w:t>PSE’s due</w:t>
      </w:r>
      <w:r w:rsidRPr="00211862">
        <w:rPr>
          <w:rFonts w:ascii="Times New Roman" w:hAnsi="Times New Roman"/>
        </w:rPr>
        <w:t xml:space="preserve"> process claim, however, relies on the assertion that Staff’s brief contains “facts that are beyond the scope of the questions at issue or are not supported by evidence.”</w:t>
      </w:r>
      <w:r w:rsidR="00902985" w:rsidRPr="00211862">
        <w:rPr>
          <w:rFonts w:ascii="Times New Roman" w:hAnsi="Times New Roman"/>
        </w:rPr>
        <w:t xml:space="preserve"> </w:t>
      </w:r>
      <w:r w:rsidRPr="00211862">
        <w:rPr>
          <w:rFonts w:ascii="Times New Roman" w:hAnsi="Times New Roman"/>
        </w:rPr>
        <w:t>The</w:t>
      </w:r>
      <w:r w:rsidR="004464C0" w:rsidRPr="00211862">
        <w:rPr>
          <w:rFonts w:ascii="Times New Roman" w:hAnsi="Times New Roman"/>
        </w:rPr>
        <w:t>refore, the</w:t>
      </w:r>
      <w:r w:rsidRPr="00211862">
        <w:rPr>
          <w:rFonts w:ascii="Times New Roman" w:hAnsi="Times New Roman"/>
        </w:rPr>
        <w:t xml:space="preserve"> Company’s due process argument is based on disputes over 1) r</w:t>
      </w:r>
      <w:r w:rsidR="00902985" w:rsidRPr="00211862">
        <w:rPr>
          <w:rFonts w:ascii="Times New Roman" w:hAnsi="Times New Roman"/>
        </w:rPr>
        <w:t>elevance</w:t>
      </w:r>
      <w:r w:rsidRPr="00211862">
        <w:rPr>
          <w:rFonts w:ascii="Times New Roman" w:hAnsi="Times New Roman"/>
        </w:rPr>
        <w:t xml:space="preserve"> (“facts beyond the scope of the questions at issue”) and 2) credibility (“not supported by evidence”)</w:t>
      </w:r>
      <w:r w:rsidR="00902985" w:rsidRPr="00211862">
        <w:rPr>
          <w:rFonts w:ascii="Times New Roman" w:hAnsi="Times New Roman"/>
        </w:rPr>
        <w:t xml:space="preserve">. </w:t>
      </w:r>
      <w:r w:rsidR="0015212C" w:rsidRPr="00211862">
        <w:rPr>
          <w:rFonts w:ascii="Times New Roman" w:hAnsi="Times New Roman"/>
        </w:rPr>
        <w:t>As noted above, c</w:t>
      </w:r>
      <w:r w:rsidR="00F1413A" w:rsidRPr="00211862">
        <w:rPr>
          <w:rFonts w:ascii="Times New Roman" w:hAnsi="Times New Roman"/>
        </w:rPr>
        <w:t>redibility and</w:t>
      </w:r>
      <w:r w:rsidR="006678B0" w:rsidRPr="00211862">
        <w:rPr>
          <w:rFonts w:ascii="Times New Roman" w:hAnsi="Times New Roman"/>
        </w:rPr>
        <w:t xml:space="preserve"> relevance </w:t>
      </w:r>
      <w:r w:rsidR="00F1413A" w:rsidRPr="00211862">
        <w:rPr>
          <w:rFonts w:ascii="Times New Roman" w:hAnsi="Times New Roman"/>
        </w:rPr>
        <w:t>are not constitutional questions</w:t>
      </w:r>
      <w:r w:rsidR="005D24F4" w:rsidRPr="00211862">
        <w:rPr>
          <w:rFonts w:ascii="Times New Roman" w:hAnsi="Times New Roman"/>
        </w:rPr>
        <w:t xml:space="preserve"> in the administrative setting</w:t>
      </w:r>
      <w:r w:rsidR="00F1413A" w:rsidRPr="00211862">
        <w:rPr>
          <w:rFonts w:ascii="Times New Roman" w:hAnsi="Times New Roman"/>
        </w:rPr>
        <w:t>. Credibility goes to the weight afforded to the evidence</w:t>
      </w:r>
      <w:r w:rsidR="00C95403">
        <w:rPr>
          <w:rFonts w:ascii="Times New Roman" w:hAnsi="Times New Roman"/>
        </w:rPr>
        <w:t xml:space="preserve"> </w:t>
      </w:r>
      <w:r w:rsidR="00F1413A" w:rsidRPr="00211862">
        <w:rPr>
          <w:rFonts w:ascii="Times New Roman" w:hAnsi="Times New Roman"/>
        </w:rPr>
        <w:t xml:space="preserve">and relevance </w:t>
      </w:r>
      <w:r w:rsidR="006678B0" w:rsidRPr="00211862">
        <w:rPr>
          <w:rFonts w:ascii="Times New Roman" w:hAnsi="Times New Roman"/>
        </w:rPr>
        <w:t xml:space="preserve">is a </w:t>
      </w:r>
      <w:r w:rsidR="008E71C2" w:rsidRPr="00211862">
        <w:rPr>
          <w:rFonts w:ascii="Times New Roman" w:hAnsi="Times New Roman"/>
        </w:rPr>
        <w:t>question squarely within the presiding officer’s discretion under RCW 34.05.452(1)</w:t>
      </w:r>
      <w:r w:rsidR="006678B0" w:rsidRPr="00211862">
        <w:rPr>
          <w:rFonts w:ascii="Times New Roman" w:hAnsi="Times New Roman"/>
        </w:rPr>
        <w:t xml:space="preserve">. PSE’s due process claim is thus overstated and incorrect. </w:t>
      </w:r>
    </w:p>
    <w:p w14:paraId="6F5EC2AD" w14:textId="182011DC" w:rsidR="00297951" w:rsidRPr="00211862" w:rsidRDefault="000B3397" w:rsidP="000B3397">
      <w:pPr>
        <w:pStyle w:val="ListParagraph"/>
        <w:spacing w:line="480" w:lineRule="auto"/>
        <w:ind w:left="0"/>
        <w:jc w:val="center"/>
        <w:rPr>
          <w:rFonts w:ascii="Times New Roman" w:hAnsi="Times New Roman"/>
        </w:rPr>
      </w:pPr>
      <w:r>
        <w:rPr>
          <w:rFonts w:ascii="Times New Roman" w:hAnsi="Times New Roman"/>
          <w:b/>
        </w:rPr>
        <w:t xml:space="preserve">III.  </w:t>
      </w:r>
      <w:r w:rsidR="00EA7709" w:rsidRPr="00211862">
        <w:rPr>
          <w:rFonts w:ascii="Times New Roman" w:hAnsi="Times New Roman"/>
          <w:b/>
        </w:rPr>
        <w:t>THE INFORMATION IN STAFF’S BRIEF IS RELEVANT</w:t>
      </w:r>
    </w:p>
    <w:p w14:paraId="215F4AE1" w14:textId="603CAD14" w:rsidR="00FC751C" w:rsidRPr="0073557B" w:rsidRDefault="00FC751C" w:rsidP="00596EC1">
      <w:pPr>
        <w:pStyle w:val="ListParagraph"/>
        <w:numPr>
          <w:ilvl w:val="1"/>
          <w:numId w:val="1"/>
        </w:numPr>
        <w:spacing w:line="480" w:lineRule="auto"/>
        <w:ind w:right="-90"/>
        <w:rPr>
          <w:rFonts w:ascii="Times New Roman" w:hAnsi="Times New Roman"/>
        </w:rPr>
      </w:pPr>
      <w:r w:rsidRPr="0073557B">
        <w:rPr>
          <w:rFonts w:ascii="Times New Roman" w:hAnsi="Times New Roman"/>
        </w:rPr>
        <w:tab/>
      </w:r>
      <w:r w:rsidR="00A15856" w:rsidRPr="0073557B">
        <w:rPr>
          <w:rFonts w:ascii="Times New Roman" w:hAnsi="Times New Roman"/>
        </w:rPr>
        <w:t>Al</w:t>
      </w:r>
      <w:r w:rsidRPr="0073557B">
        <w:rPr>
          <w:rFonts w:ascii="Times New Roman" w:hAnsi="Times New Roman"/>
        </w:rPr>
        <w:t xml:space="preserve">though the applicable law </w:t>
      </w:r>
      <w:r w:rsidR="00A15856" w:rsidRPr="0073557B">
        <w:rPr>
          <w:rFonts w:ascii="Times New Roman" w:hAnsi="Times New Roman"/>
        </w:rPr>
        <w:t>gives the</w:t>
      </w:r>
      <w:r w:rsidRPr="0073557B">
        <w:rPr>
          <w:rFonts w:ascii="Times New Roman" w:hAnsi="Times New Roman"/>
        </w:rPr>
        <w:t xml:space="preserve"> Commission </w:t>
      </w:r>
      <w:r w:rsidR="00A15856" w:rsidRPr="0073557B">
        <w:rPr>
          <w:rFonts w:ascii="Times New Roman" w:hAnsi="Times New Roman"/>
        </w:rPr>
        <w:t xml:space="preserve">discretion </w:t>
      </w:r>
      <w:r w:rsidRPr="0073557B">
        <w:rPr>
          <w:rFonts w:ascii="Times New Roman" w:hAnsi="Times New Roman"/>
        </w:rPr>
        <w:t xml:space="preserve">to exclude irrelevant evidence, the evidence </w:t>
      </w:r>
      <w:r w:rsidR="00A15856" w:rsidRPr="0073557B">
        <w:rPr>
          <w:rFonts w:ascii="Times New Roman" w:hAnsi="Times New Roman"/>
        </w:rPr>
        <w:t>PSE challenges</w:t>
      </w:r>
      <w:r w:rsidRPr="0073557B">
        <w:rPr>
          <w:rFonts w:ascii="Times New Roman" w:hAnsi="Times New Roman"/>
        </w:rPr>
        <w:t xml:space="preserve"> is </w:t>
      </w:r>
      <w:r w:rsidR="007028D6" w:rsidRPr="0073557B">
        <w:rPr>
          <w:rFonts w:ascii="Times New Roman" w:hAnsi="Times New Roman"/>
        </w:rPr>
        <w:t xml:space="preserve">clearly </w:t>
      </w:r>
      <w:r w:rsidRPr="0073557B">
        <w:rPr>
          <w:rFonts w:ascii="Times New Roman" w:hAnsi="Times New Roman"/>
        </w:rPr>
        <w:t>relevant.</w:t>
      </w:r>
      <w:r w:rsidR="005D24F4" w:rsidRPr="0073557B">
        <w:rPr>
          <w:rFonts w:ascii="Times New Roman" w:hAnsi="Times New Roman"/>
        </w:rPr>
        <w:t xml:space="preserve"> </w:t>
      </w:r>
      <w:r w:rsidR="00EA7709" w:rsidRPr="0073557B">
        <w:rPr>
          <w:rFonts w:ascii="Times New Roman" w:hAnsi="Times New Roman"/>
        </w:rPr>
        <w:t xml:space="preserve">To Staff, the </w:t>
      </w:r>
      <w:r w:rsidRPr="0073557B">
        <w:rPr>
          <w:rFonts w:ascii="Times New Roman" w:hAnsi="Times New Roman"/>
        </w:rPr>
        <w:t xml:space="preserve">evidence </w:t>
      </w:r>
      <w:r w:rsidR="00EA7709" w:rsidRPr="0073557B">
        <w:rPr>
          <w:rFonts w:ascii="Times New Roman" w:hAnsi="Times New Roman"/>
        </w:rPr>
        <w:t xml:space="preserve">presented </w:t>
      </w:r>
      <w:r w:rsidRPr="0073557B">
        <w:rPr>
          <w:rFonts w:ascii="Times New Roman" w:hAnsi="Times New Roman"/>
        </w:rPr>
        <w:t xml:space="preserve">will actually aid the Commission in addressing </w:t>
      </w:r>
      <w:r w:rsidR="007028D6" w:rsidRPr="0073557B">
        <w:rPr>
          <w:rFonts w:ascii="Times New Roman" w:hAnsi="Times New Roman"/>
        </w:rPr>
        <w:t xml:space="preserve">the </w:t>
      </w:r>
      <w:r w:rsidRPr="0073557B">
        <w:rPr>
          <w:rFonts w:ascii="Times New Roman" w:hAnsi="Times New Roman"/>
        </w:rPr>
        <w:t>issues in this case.</w:t>
      </w:r>
      <w:r w:rsidR="00A324CF" w:rsidRPr="0073557B">
        <w:rPr>
          <w:rFonts w:ascii="Times New Roman" w:hAnsi="Times New Roman"/>
        </w:rPr>
        <w:t xml:space="preserve"> While PSE has challenged</w:t>
      </w:r>
      <w:r w:rsidR="008C3D25" w:rsidRPr="0073557B">
        <w:rPr>
          <w:rFonts w:ascii="Times New Roman" w:hAnsi="Times New Roman"/>
        </w:rPr>
        <w:t xml:space="preserve"> the weight of the</w:t>
      </w:r>
      <w:r w:rsidR="00A324CF" w:rsidRPr="0073557B">
        <w:rPr>
          <w:rFonts w:ascii="Times New Roman" w:hAnsi="Times New Roman"/>
        </w:rPr>
        <w:t xml:space="preserve"> evidence, Staff </w:t>
      </w:r>
      <w:r w:rsidR="008C3D25" w:rsidRPr="0073557B">
        <w:rPr>
          <w:rFonts w:ascii="Times New Roman" w:hAnsi="Times New Roman"/>
        </w:rPr>
        <w:t>sees no legal</w:t>
      </w:r>
      <w:r w:rsidR="00A324CF" w:rsidRPr="0073557B">
        <w:rPr>
          <w:rFonts w:ascii="Times New Roman" w:hAnsi="Times New Roman"/>
        </w:rPr>
        <w:t xml:space="preserve"> basis to challenge its </w:t>
      </w:r>
      <w:r w:rsidR="00596EC1">
        <w:rPr>
          <w:rFonts w:ascii="Times New Roman" w:hAnsi="Times New Roman"/>
        </w:rPr>
        <w:t>consideration by the Commission</w:t>
      </w:r>
      <w:r w:rsidR="00A324CF" w:rsidRPr="0073557B">
        <w:rPr>
          <w:rFonts w:ascii="Times New Roman" w:hAnsi="Times New Roman"/>
        </w:rPr>
        <w:t>.</w:t>
      </w:r>
    </w:p>
    <w:p w14:paraId="5FC86018" w14:textId="3DD92307" w:rsidR="00EA7709" w:rsidRPr="0073557B" w:rsidRDefault="00C95403" w:rsidP="0073557B">
      <w:pPr>
        <w:pStyle w:val="ListParagraph"/>
        <w:numPr>
          <w:ilvl w:val="1"/>
          <w:numId w:val="1"/>
        </w:numPr>
        <w:spacing w:line="480" w:lineRule="auto"/>
        <w:rPr>
          <w:rFonts w:ascii="Times New Roman" w:hAnsi="Times New Roman"/>
        </w:rPr>
      </w:pPr>
      <w:r>
        <w:rPr>
          <w:rFonts w:ascii="Times New Roman" w:hAnsi="Times New Roman"/>
        </w:rPr>
        <w:tab/>
      </w:r>
      <w:r w:rsidR="00EA7709" w:rsidRPr="0073557B">
        <w:rPr>
          <w:rFonts w:ascii="Times New Roman" w:hAnsi="Times New Roman"/>
        </w:rPr>
        <w:t>The standard for reliance upon evidence before the Commission is whether a reasonably prudent person would do so.</w:t>
      </w:r>
      <w:r w:rsidR="00EA7709" w:rsidRPr="0073557B">
        <w:rPr>
          <w:rStyle w:val="FootnoteReference"/>
        </w:rPr>
        <w:footnoteReference w:id="9"/>
      </w:r>
      <w:r w:rsidR="00EA7709" w:rsidRPr="0073557B">
        <w:rPr>
          <w:rFonts w:ascii="Times New Roman" w:hAnsi="Times New Roman"/>
        </w:rPr>
        <w:t xml:space="preserve">  Here, the facts and background relied upon by Staff to support its </w:t>
      </w:r>
      <w:r w:rsidR="0044006C" w:rsidRPr="0073557B">
        <w:rPr>
          <w:rFonts w:ascii="Times New Roman" w:hAnsi="Times New Roman"/>
        </w:rPr>
        <w:t>filing</w:t>
      </w:r>
      <w:r w:rsidR="00EA7709" w:rsidRPr="0073557B">
        <w:rPr>
          <w:rFonts w:ascii="Times New Roman" w:hAnsi="Times New Roman"/>
        </w:rPr>
        <w:t xml:space="preserve"> </w:t>
      </w:r>
      <w:r w:rsidR="004D43F7" w:rsidRPr="0073557B">
        <w:rPr>
          <w:rFonts w:ascii="Times New Roman" w:hAnsi="Times New Roman"/>
        </w:rPr>
        <w:t xml:space="preserve">were included by </w:t>
      </w:r>
      <w:r w:rsidR="00EA7709" w:rsidRPr="0073557B">
        <w:rPr>
          <w:rFonts w:ascii="Times New Roman" w:hAnsi="Times New Roman"/>
        </w:rPr>
        <w:t xml:space="preserve">PSE in its pre-filed testimony or </w:t>
      </w:r>
      <w:r w:rsidR="004D43F7" w:rsidRPr="0073557B">
        <w:rPr>
          <w:rFonts w:ascii="Times New Roman" w:hAnsi="Times New Roman"/>
        </w:rPr>
        <w:t>in responses t</w:t>
      </w:r>
      <w:r w:rsidR="00EA7709" w:rsidRPr="0073557B">
        <w:rPr>
          <w:rFonts w:ascii="Times New Roman" w:hAnsi="Times New Roman"/>
        </w:rPr>
        <w:t xml:space="preserve">o formal Discovery Requests. Staff is simply asking the Commission to consider this material in light </w:t>
      </w:r>
      <w:r w:rsidR="002340D1" w:rsidRPr="0073557B">
        <w:rPr>
          <w:rFonts w:ascii="Times New Roman" w:hAnsi="Times New Roman"/>
        </w:rPr>
        <w:t>of the</w:t>
      </w:r>
      <w:r w:rsidR="00EA7709" w:rsidRPr="0073557B">
        <w:rPr>
          <w:rFonts w:ascii="Times New Roman" w:hAnsi="Times New Roman"/>
        </w:rPr>
        <w:t xml:space="preserve"> testimony filed and the applicable law.  </w:t>
      </w:r>
    </w:p>
    <w:p w14:paraId="251B6810" w14:textId="4DF4E1E5" w:rsidR="00EA7709" w:rsidRPr="0073557B" w:rsidRDefault="001A1046" w:rsidP="001A1046">
      <w:pPr>
        <w:keepNext/>
        <w:spacing w:after="0" w:line="480" w:lineRule="auto"/>
        <w:ind w:left="-720"/>
        <w:jc w:val="center"/>
        <w:rPr>
          <w:b/>
        </w:rPr>
      </w:pPr>
      <w:r>
        <w:rPr>
          <w:b/>
        </w:rPr>
        <w:t>IV</w:t>
      </w:r>
      <w:r w:rsidR="00EA7709" w:rsidRPr="0073557B">
        <w:rPr>
          <w:b/>
        </w:rPr>
        <w:t xml:space="preserve">. </w:t>
      </w:r>
      <w:r w:rsidR="00E35028">
        <w:rPr>
          <w:b/>
        </w:rPr>
        <w:t xml:space="preserve"> </w:t>
      </w:r>
      <w:r w:rsidR="00EA7709" w:rsidRPr="0073557B">
        <w:rPr>
          <w:b/>
        </w:rPr>
        <w:t>CONCLUSION</w:t>
      </w:r>
    </w:p>
    <w:p w14:paraId="27740482" w14:textId="77777777" w:rsidR="007028D6" w:rsidRPr="0073557B" w:rsidRDefault="00EA7709" w:rsidP="0073557B">
      <w:pPr>
        <w:pStyle w:val="ListParagraph"/>
        <w:numPr>
          <w:ilvl w:val="1"/>
          <w:numId w:val="1"/>
        </w:numPr>
        <w:spacing w:line="480" w:lineRule="auto"/>
        <w:rPr>
          <w:rFonts w:ascii="Times New Roman" w:hAnsi="Times New Roman"/>
        </w:rPr>
      </w:pPr>
      <w:r w:rsidRPr="0073557B">
        <w:rPr>
          <w:rFonts w:ascii="Times New Roman" w:hAnsi="Times New Roman"/>
        </w:rPr>
        <w:tab/>
        <w:t xml:space="preserve">To make its decision, Staff encourages the Commission to carefully review PSE’s contract with TOTE, and make its own decision as to the meaning of the agreement’s plain and </w:t>
      </w:r>
      <w:r w:rsidRPr="0073557B">
        <w:rPr>
          <w:rFonts w:ascii="Times New Roman" w:hAnsi="Times New Roman"/>
        </w:rPr>
        <w:lastRenderedPageBreak/>
        <w:t>unambiguous words.</w:t>
      </w:r>
      <w:r w:rsidR="007D4E53" w:rsidRPr="0073557B">
        <w:rPr>
          <w:rStyle w:val="FootnoteReference"/>
        </w:rPr>
        <w:footnoteReference w:id="10"/>
      </w:r>
      <w:r w:rsidRPr="0073557B">
        <w:rPr>
          <w:rFonts w:ascii="Times New Roman" w:hAnsi="Times New Roman"/>
        </w:rPr>
        <w:t xml:space="preserve"> There is no need for the Commission to employ the parol evidence rule to add clarity to </w:t>
      </w:r>
      <w:r w:rsidR="007028D6" w:rsidRPr="0073557B">
        <w:rPr>
          <w:rFonts w:ascii="Times New Roman" w:hAnsi="Times New Roman"/>
        </w:rPr>
        <w:t xml:space="preserve">the </w:t>
      </w:r>
      <w:r w:rsidRPr="0073557B">
        <w:rPr>
          <w:rFonts w:ascii="Times New Roman" w:hAnsi="Times New Roman"/>
        </w:rPr>
        <w:t>plain meaning of the words used by PSE and TOTE.</w:t>
      </w:r>
      <w:r w:rsidRPr="0073557B">
        <w:rPr>
          <w:rStyle w:val="FootnoteReference"/>
        </w:rPr>
        <w:footnoteReference w:id="11"/>
      </w:r>
      <w:r w:rsidRPr="0073557B">
        <w:rPr>
          <w:rFonts w:ascii="Times New Roman" w:hAnsi="Times New Roman"/>
        </w:rPr>
        <w:t xml:space="preserve">  Staff accepted the agreement’s language as </w:t>
      </w:r>
      <w:r w:rsidR="004D43F7" w:rsidRPr="0073557B">
        <w:rPr>
          <w:rFonts w:ascii="Times New Roman" w:hAnsi="Times New Roman"/>
        </w:rPr>
        <w:t xml:space="preserve">a </w:t>
      </w:r>
      <w:r w:rsidRPr="0073557B">
        <w:rPr>
          <w:rFonts w:ascii="Times New Roman" w:hAnsi="Times New Roman"/>
        </w:rPr>
        <w:t>clear</w:t>
      </w:r>
      <w:r w:rsidR="004D43F7" w:rsidRPr="0073557B">
        <w:rPr>
          <w:rFonts w:ascii="Times New Roman" w:hAnsi="Times New Roman"/>
        </w:rPr>
        <w:t xml:space="preserve"> </w:t>
      </w:r>
      <w:r w:rsidRPr="0073557B">
        <w:rPr>
          <w:rFonts w:ascii="Times New Roman" w:hAnsi="Times New Roman"/>
        </w:rPr>
        <w:t>express</w:t>
      </w:r>
      <w:r w:rsidR="004D43F7" w:rsidRPr="0073557B">
        <w:rPr>
          <w:rFonts w:ascii="Times New Roman" w:hAnsi="Times New Roman"/>
        </w:rPr>
        <w:t xml:space="preserve">ion of </w:t>
      </w:r>
      <w:r w:rsidRPr="0073557B">
        <w:rPr>
          <w:rFonts w:ascii="Times New Roman" w:hAnsi="Times New Roman"/>
        </w:rPr>
        <w:t xml:space="preserve">the </w:t>
      </w:r>
      <w:r w:rsidR="004D43F7" w:rsidRPr="0073557B">
        <w:rPr>
          <w:rFonts w:ascii="Times New Roman" w:hAnsi="Times New Roman"/>
        </w:rPr>
        <w:t xml:space="preserve">parties’ </w:t>
      </w:r>
      <w:r w:rsidRPr="0073557B">
        <w:rPr>
          <w:rFonts w:ascii="Times New Roman" w:hAnsi="Times New Roman"/>
        </w:rPr>
        <w:t>intent.</w:t>
      </w:r>
      <w:r w:rsidRPr="0073557B">
        <w:rPr>
          <w:rStyle w:val="FootnoteReference"/>
        </w:rPr>
        <w:footnoteReference w:id="12"/>
      </w:r>
      <w:r w:rsidRPr="0073557B">
        <w:rPr>
          <w:rFonts w:ascii="Times New Roman" w:hAnsi="Times New Roman"/>
        </w:rPr>
        <w:t xml:space="preserve"> </w:t>
      </w:r>
    </w:p>
    <w:p w14:paraId="28DDA8C6" w14:textId="3D8D1F70" w:rsidR="007D4E53" w:rsidRPr="0073557B" w:rsidRDefault="007028D6" w:rsidP="0073557B">
      <w:pPr>
        <w:pStyle w:val="ListParagraph"/>
        <w:numPr>
          <w:ilvl w:val="1"/>
          <w:numId w:val="1"/>
        </w:numPr>
        <w:spacing w:line="480" w:lineRule="auto"/>
        <w:rPr>
          <w:rFonts w:ascii="Times New Roman" w:hAnsi="Times New Roman"/>
        </w:rPr>
      </w:pPr>
      <w:r w:rsidRPr="0073557B">
        <w:rPr>
          <w:rFonts w:ascii="Times New Roman" w:hAnsi="Times New Roman"/>
        </w:rPr>
        <w:tab/>
      </w:r>
      <w:r w:rsidR="00EA7709" w:rsidRPr="0073557B">
        <w:rPr>
          <w:rFonts w:ascii="Times New Roman" w:hAnsi="Times New Roman"/>
        </w:rPr>
        <w:t xml:space="preserve">Upon </w:t>
      </w:r>
      <w:r w:rsidRPr="0073557B">
        <w:rPr>
          <w:rFonts w:ascii="Times New Roman" w:hAnsi="Times New Roman"/>
        </w:rPr>
        <w:t xml:space="preserve">its </w:t>
      </w:r>
      <w:r w:rsidR="00EA7709" w:rsidRPr="0073557B">
        <w:rPr>
          <w:rFonts w:ascii="Times New Roman" w:hAnsi="Times New Roman"/>
        </w:rPr>
        <w:t xml:space="preserve">review, the Commission should </w:t>
      </w:r>
      <w:r w:rsidR="007D4E53" w:rsidRPr="0073557B">
        <w:rPr>
          <w:rFonts w:ascii="Times New Roman" w:hAnsi="Times New Roman"/>
        </w:rPr>
        <w:t xml:space="preserve">determine that </w:t>
      </w:r>
      <w:r w:rsidR="00FC751C" w:rsidRPr="0073557B">
        <w:rPr>
          <w:rFonts w:ascii="Times New Roman" w:hAnsi="Times New Roman"/>
        </w:rPr>
        <w:t xml:space="preserve">the evidence </w:t>
      </w:r>
      <w:r w:rsidR="007D4E53" w:rsidRPr="0073557B">
        <w:rPr>
          <w:rFonts w:ascii="Times New Roman" w:hAnsi="Times New Roman"/>
        </w:rPr>
        <w:t xml:space="preserve">relied upon </w:t>
      </w:r>
      <w:r w:rsidR="00A17B08" w:rsidRPr="0073557B">
        <w:rPr>
          <w:rFonts w:ascii="Times New Roman" w:hAnsi="Times New Roman"/>
        </w:rPr>
        <w:t xml:space="preserve">by Staff </w:t>
      </w:r>
      <w:r w:rsidR="00FC751C" w:rsidRPr="0073557B">
        <w:rPr>
          <w:rFonts w:ascii="Times New Roman" w:hAnsi="Times New Roman"/>
        </w:rPr>
        <w:t>is</w:t>
      </w:r>
      <w:r w:rsidR="007D4E53" w:rsidRPr="0073557B">
        <w:rPr>
          <w:rFonts w:ascii="Times New Roman" w:hAnsi="Times New Roman"/>
        </w:rPr>
        <w:t xml:space="preserve"> absolutely </w:t>
      </w:r>
      <w:r w:rsidR="00FC751C" w:rsidRPr="0073557B">
        <w:rPr>
          <w:rFonts w:ascii="Times New Roman" w:hAnsi="Times New Roman"/>
        </w:rPr>
        <w:t>relevant</w:t>
      </w:r>
      <w:r w:rsidR="007D4E53" w:rsidRPr="0073557B">
        <w:rPr>
          <w:rFonts w:ascii="Times New Roman" w:hAnsi="Times New Roman"/>
        </w:rPr>
        <w:t xml:space="preserve"> to the question of whether the Commission should exert its jurisdiction over PSE’s sales of LNG to TOTE. This is the context presented by this stage of the proceeding, </w:t>
      </w:r>
      <w:r w:rsidRPr="0073557B">
        <w:rPr>
          <w:rFonts w:ascii="Times New Roman" w:hAnsi="Times New Roman"/>
        </w:rPr>
        <w:t xml:space="preserve">and the context </w:t>
      </w:r>
      <w:r w:rsidR="007D4E53" w:rsidRPr="0073557B">
        <w:rPr>
          <w:rFonts w:ascii="Times New Roman" w:hAnsi="Times New Roman"/>
        </w:rPr>
        <w:t xml:space="preserve">in which the Commission </w:t>
      </w:r>
      <w:r w:rsidRPr="0073557B">
        <w:rPr>
          <w:rFonts w:ascii="Times New Roman" w:hAnsi="Times New Roman"/>
        </w:rPr>
        <w:t xml:space="preserve">should </w:t>
      </w:r>
      <w:r w:rsidR="007D4E53" w:rsidRPr="0073557B">
        <w:rPr>
          <w:rFonts w:ascii="Times New Roman" w:hAnsi="Times New Roman"/>
        </w:rPr>
        <w:t xml:space="preserve">consider the threshold issues presented by the parties. </w:t>
      </w:r>
    </w:p>
    <w:p w14:paraId="598BB158" w14:textId="1A3A162B" w:rsidR="00896EEB" w:rsidRPr="00596EC1" w:rsidRDefault="007D4E53" w:rsidP="00524147">
      <w:pPr>
        <w:pStyle w:val="ListParagraph"/>
        <w:numPr>
          <w:ilvl w:val="1"/>
          <w:numId w:val="1"/>
        </w:numPr>
        <w:spacing w:line="480" w:lineRule="auto"/>
        <w:rPr>
          <w:rFonts w:ascii="Times New Roman" w:hAnsi="Times New Roman"/>
        </w:rPr>
      </w:pPr>
      <w:r w:rsidRPr="00596EC1">
        <w:rPr>
          <w:rFonts w:ascii="Times New Roman" w:hAnsi="Times New Roman"/>
        </w:rPr>
        <w:tab/>
        <w:t xml:space="preserve">Said succinctly, the </w:t>
      </w:r>
      <w:r w:rsidR="00FC751C" w:rsidRPr="00596EC1">
        <w:rPr>
          <w:rFonts w:ascii="Times New Roman" w:hAnsi="Times New Roman"/>
        </w:rPr>
        <w:t xml:space="preserve">Commission should deny </w:t>
      </w:r>
      <w:r w:rsidR="00A324CF" w:rsidRPr="00596EC1">
        <w:rPr>
          <w:rFonts w:ascii="Times New Roman" w:hAnsi="Times New Roman"/>
        </w:rPr>
        <w:t>PSE’s</w:t>
      </w:r>
      <w:r w:rsidR="00FC751C" w:rsidRPr="00596EC1">
        <w:rPr>
          <w:rFonts w:ascii="Times New Roman" w:hAnsi="Times New Roman"/>
        </w:rPr>
        <w:t xml:space="preserve"> motion</w:t>
      </w:r>
      <w:r w:rsidRPr="00596EC1">
        <w:rPr>
          <w:rFonts w:ascii="Times New Roman" w:hAnsi="Times New Roman"/>
        </w:rPr>
        <w:t xml:space="preserve"> to strike </w:t>
      </w:r>
      <w:r w:rsidR="004D43F7" w:rsidRPr="00596EC1">
        <w:rPr>
          <w:rFonts w:ascii="Times New Roman" w:hAnsi="Times New Roman"/>
        </w:rPr>
        <w:t xml:space="preserve">the </w:t>
      </w:r>
      <w:r w:rsidRPr="00596EC1">
        <w:rPr>
          <w:rFonts w:ascii="Times New Roman" w:hAnsi="Times New Roman"/>
        </w:rPr>
        <w:t>parts of Staff’s brief</w:t>
      </w:r>
      <w:r w:rsidR="004D43F7" w:rsidRPr="00596EC1">
        <w:rPr>
          <w:rFonts w:ascii="Times New Roman" w:hAnsi="Times New Roman"/>
        </w:rPr>
        <w:t xml:space="preserve"> with which it disagrees</w:t>
      </w:r>
      <w:r w:rsidRPr="00596EC1">
        <w:rPr>
          <w:rFonts w:ascii="Times New Roman" w:hAnsi="Times New Roman"/>
        </w:rPr>
        <w:t>.</w:t>
      </w:r>
      <w:r w:rsidR="0086233A" w:rsidRPr="00596EC1">
        <w:rPr>
          <w:rFonts w:ascii="Times New Roman" w:hAnsi="Times New Roman"/>
        </w:rPr>
        <w:t xml:space="preserve"> </w:t>
      </w:r>
      <w:r w:rsidR="005E3FEC" w:rsidRPr="00596EC1">
        <w:rPr>
          <w:rFonts w:ascii="Times New Roman" w:hAnsi="Times New Roman"/>
        </w:rPr>
        <w:t>A</w:t>
      </w:r>
      <w:r w:rsidRPr="00596EC1">
        <w:rPr>
          <w:rFonts w:ascii="Times New Roman" w:hAnsi="Times New Roman"/>
        </w:rPr>
        <w:t>lternative</w:t>
      </w:r>
      <w:r w:rsidR="005E3FEC" w:rsidRPr="00596EC1">
        <w:rPr>
          <w:rFonts w:ascii="Times New Roman" w:hAnsi="Times New Roman"/>
        </w:rPr>
        <w:t>ly</w:t>
      </w:r>
      <w:r w:rsidRPr="00596EC1">
        <w:rPr>
          <w:rFonts w:ascii="Times New Roman" w:hAnsi="Times New Roman"/>
        </w:rPr>
        <w:t xml:space="preserve">, the Commission </w:t>
      </w:r>
      <w:r w:rsidR="005E3FEC" w:rsidRPr="00596EC1">
        <w:rPr>
          <w:rFonts w:ascii="Times New Roman" w:hAnsi="Times New Roman"/>
        </w:rPr>
        <w:t xml:space="preserve">could </w:t>
      </w:r>
      <w:r w:rsidRPr="00596EC1">
        <w:rPr>
          <w:rFonts w:ascii="Times New Roman" w:hAnsi="Times New Roman"/>
        </w:rPr>
        <w:t xml:space="preserve">hold the question of jurisdiction until the record in this matter has closed. Either way, the issue is </w:t>
      </w:r>
      <w:r w:rsidR="00C95403" w:rsidRPr="00596EC1">
        <w:rPr>
          <w:rFonts w:ascii="Times New Roman" w:hAnsi="Times New Roman"/>
        </w:rPr>
        <w:t xml:space="preserve">now </w:t>
      </w:r>
      <w:r w:rsidR="007028D6" w:rsidRPr="00596EC1">
        <w:rPr>
          <w:rFonts w:ascii="Times New Roman" w:hAnsi="Times New Roman"/>
        </w:rPr>
        <w:t xml:space="preserve">or will be </w:t>
      </w:r>
      <w:r w:rsidR="004D43F7" w:rsidRPr="00596EC1">
        <w:rPr>
          <w:rFonts w:ascii="Times New Roman" w:hAnsi="Times New Roman"/>
        </w:rPr>
        <w:t>presented and prepared f</w:t>
      </w:r>
      <w:r w:rsidRPr="00596EC1">
        <w:rPr>
          <w:rFonts w:ascii="Times New Roman" w:hAnsi="Times New Roman"/>
        </w:rPr>
        <w:t xml:space="preserve">or disposition. </w:t>
      </w:r>
      <w:r w:rsidR="006801BB" w:rsidRPr="00596EC1">
        <w:rPr>
          <w:rFonts w:ascii="Times New Roman" w:hAnsi="Times New Roman"/>
        </w:rPr>
        <w:t xml:space="preserve"> </w:t>
      </w:r>
    </w:p>
    <w:p w14:paraId="75313147" w14:textId="11AFF5D6" w:rsidR="0073557B" w:rsidRPr="00B16752" w:rsidRDefault="0073557B" w:rsidP="0073557B">
      <w:pPr>
        <w:spacing w:after="0" w:line="240" w:lineRule="auto"/>
        <w:ind w:left="720"/>
      </w:pPr>
      <w:r w:rsidRPr="00B16752">
        <w:t>DATE</w:t>
      </w:r>
      <w:r>
        <w:t>D this 10</w:t>
      </w:r>
      <w:r w:rsidRPr="002F2BAD">
        <w:rPr>
          <w:vertAlign w:val="superscript"/>
        </w:rPr>
        <w:t>th</w:t>
      </w:r>
      <w:r>
        <w:t xml:space="preserve"> day of December</w:t>
      </w:r>
      <w:r w:rsidRPr="00B16752">
        <w:t xml:space="preserve"> 20</w:t>
      </w:r>
      <w:r>
        <w:t>15</w:t>
      </w:r>
      <w:r w:rsidRPr="00B16752">
        <w:t>.</w:t>
      </w:r>
    </w:p>
    <w:p w14:paraId="7B3C7184" w14:textId="77777777" w:rsidR="0073557B" w:rsidRPr="00B16752" w:rsidRDefault="0073557B" w:rsidP="0073557B">
      <w:pPr>
        <w:pStyle w:val="BodyTextIndent2"/>
        <w:ind w:left="0"/>
      </w:pPr>
    </w:p>
    <w:p w14:paraId="58DBD78D" w14:textId="77777777" w:rsidR="0073557B" w:rsidRDefault="0073557B" w:rsidP="0073557B">
      <w:pPr>
        <w:spacing w:after="0" w:line="240" w:lineRule="auto"/>
        <w:ind w:left="4320"/>
        <w:jc w:val="both"/>
      </w:pPr>
      <w:r>
        <w:t xml:space="preserve">Respectfully submitted, </w:t>
      </w:r>
    </w:p>
    <w:p w14:paraId="04E92D25" w14:textId="77777777" w:rsidR="0073557B" w:rsidRDefault="0073557B" w:rsidP="0073557B">
      <w:pPr>
        <w:spacing w:after="0" w:line="240" w:lineRule="auto"/>
        <w:ind w:left="4320"/>
        <w:jc w:val="both"/>
      </w:pPr>
    </w:p>
    <w:p w14:paraId="00758DA8" w14:textId="77777777" w:rsidR="0073557B" w:rsidRPr="00B16752" w:rsidRDefault="0073557B" w:rsidP="0073557B">
      <w:pPr>
        <w:spacing w:after="0" w:line="240" w:lineRule="auto"/>
        <w:ind w:left="4320"/>
        <w:jc w:val="both"/>
      </w:pPr>
      <w:r w:rsidRPr="00B16752">
        <w:t xml:space="preserve">ROBERT </w:t>
      </w:r>
      <w:r>
        <w:t>W. FERGUSON</w:t>
      </w:r>
      <w:r w:rsidRPr="00B16752">
        <w:t xml:space="preserve"> </w:t>
      </w:r>
    </w:p>
    <w:p w14:paraId="38C815C3" w14:textId="77777777" w:rsidR="0073557B" w:rsidRPr="00B16752" w:rsidRDefault="0073557B" w:rsidP="0073557B">
      <w:pPr>
        <w:spacing w:after="0" w:line="240" w:lineRule="auto"/>
        <w:ind w:left="4320"/>
        <w:jc w:val="both"/>
      </w:pPr>
      <w:r w:rsidRPr="00B16752">
        <w:t>Attorney General</w:t>
      </w:r>
    </w:p>
    <w:p w14:paraId="6EF7A85D" w14:textId="77777777" w:rsidR="0073557B" w:rsidRDefault="0073557B" w:rsidP="0073557B">
      <w:pPr>
        <w:spacing w:after="0" w:line="240" w:lineRule="auto"/>
        <w:ind w:left="4320"/>
        <w:jc w:val="both"/>
      </w:pPr>
    </w:p>
    <w:p w14:paraId="2E02EAE0" w14:textId="77777777" w:rsidR="0073557B" w:rsidRDefault="0073557B" w:rsidP="0073557B">
      <w:pPr>
        <w:spacing w:after="0" w:line="240" w:lineRule="auto"/>
        <w:ind w:left="4320"/>
        <w:jc w:val="both"/>
      </w:pPr>
    </w:p>
    <w:p w14:paraId="40F96D37" w14:textId="77777777" w:rsidR="0073557B" w:rsidRPr="00B16752" w:rsidRDefault="0073557B" w:rsidP="0073557B">
      <w:pPr>
        <w:spacing w:after="0" w:line="240" w:lineRule="auto"/>
        <w:ind w:left="4320"/>
        <w:jc w:val="both"/>
      </w:pPr>
    </w:p>
    <w:p w14:paraId="3BDFA8A7" w14:textId="77777777" w:rsidR="0073557B" w:rsidRDefault="0073557B" w:rsidP="0073557B">
      <w:pPr>
        <w:spacing w:after="0" w:line="240" w:lineRule="auto"/>
        <w:ind w:left="4320"/>
        <w:jc w:val="both"/>
      </w:pPr>
      <w:r>
        <w:t>______________________________________</w:t>
      </w:r>
    </w:p>
    <w:p w14:paraId="0E55E810" w14:textId="77777777" w:rsidR="0073557B" w:rsidRPr="00B16752" w:rsidRDefault="0073557B" w:rsidP="0073557B">
      <w:pPr>
        <w:spacing w:after="0" w:line="240" w:lineRule="auto"/>
        <w:ind w:left="4320"/>
        <w:jc w:val="both"/>
      </w:pPr>
      <w:r>
        <w:t>PATRICK J. OSHIE</w:t>
      </w:r>
    </w:p>
    <w:p w14:paraId="10B455AD" w14:textId="77777777" w:rsidR="0073557B" w:rsidRPr="00B16752" w:rsidRDefault="0073557B" w:rsidP="0073557B">
      <w:pPr>
        <w:spacing w:after="0" w:line="240" w:lineRule="auto"/>
        <w:ind w:left="4320"/>
        <w:jc w:val="both"/>
      </w:pPr>
      <w:r w:rsidRPr="00B16752">
        <w:t>Assistant Attorney General</w:t>
      </w:r>
    </w:p>
    <w:p w14:paraId="71479999" w14:textId="77777777" w:rsidR="0073557B" w:rsidRPr="00B16752" w:rsidRDefault="0073557B" w:rsidP="0073557B">
      <w:pPr>
        <w:spacing w:after="0" w:line="240" w:lineRule="auto"/>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14:paraId="62DC74EC" w14:textId="77777777" w:rsidR="0073557B" w:rsidRPr="00B16752" w:rsidRDefault="0073557B" w:rsidP="0073557B">
      <w:pPr>
        <w:spacing w:after="0" w:line="240" w:lineRule="auto"/>
        <w:ind w:left="4320"/>
        <w:jc w:val="both"/>
      </w:pPr>
      <w:r w:rsidRPr="00B16752">
        <w:t>Transportation Commission Staff</w:t>
      </w:r>
    </w:p>
    <w:p w14:paraId="5320B48A" w14:textId="77777777" w:rsidR="00BF2F05" w:rsidRPr="0073557B" w:rsidRDefault="00BF2F05" w:rsidP="0073557B">
      <w:pPr>
        <w:spacing w:after="0" w:line="240" w:lineRule="auto"/>
      </w:pPr>
    </w:p>
    <w:sectPr w:rsidR="00BF2F05" w:rsidRPr="0073557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95914" w14:textId="77777777" w:rsidR="001075B5" w:rsidRDefault="001075B5" w:rsidP="00FC751C">
      <w:pPr>
        <w:spacing w:after="0" w:line="240" w:lineRule="auto"/>
      </w:pPr>
      <w:r>
        <w:separator/>
      </w:r>
    </w:p>
  </w:endnote>
  <w:endnote w:type="continuationSeparator" w:id="0">
    <w:p w14:paraId="3BAE6E11" w14:textId="77777777" w:rsidR="001075B5" w:rsidRDefault="001075B5" w:rsidP="00FC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1203" w14:textId="77777777" w:rsidR="0073557B" w:rsidRPr="0073557B" w:rsidRDefault="0073557B">
    <w:pPr>
      <w:pStyle w:val="Footer"/>
      <w:rPr>
        <w:sz w:val="20"/>
        <w:szCs w:val="20"/>
      </w:rPr>
    </w:pPr>
  </w:p>
  <w:p w14:paraId="561FA225" w14:textId="77777777" w:rsidR="0073557B" w:rsidRDefault="0073557B">
    <w:pPr>
      <w:pStyle w:val="Footer"/>
      <w:rPr>
        <w:sz w:val="20"/>
        <w:szCs w:val="20"/>
        <w:lang w:eastAsia="zh-CN"/>
      </w:rPr>
    </w:pPr>
    <w:r w:rsidRPr="0073557B">
      <w:rPr>
        <w:sz w:val="20"/>
        <w:szCs w:val="20"/>
        <w:lang w:eastAsia="zh-CN"/>
      </w:rPr>
      <w:t xml:space="preserve">COMMISSION STAFF RESPONSE TO </w:t>
    </w:r>
  </w:p>
  <w:p w14:paraId="56743642" w14:textId="315DB5D4" w:rsidR="0073557B" w:rsidRPr="0073557B" w:rsidRDefault="0073557B">
    <w:pPr>
      <w:pStyle w:val="Footer"/>
      <w:rPr>
        <w:sz w:val="20"/>
        <w:szCs w:val="20"/>
      </w:rPr>
    </w:pPr>
    <w:r w:rsidRPr="0073557B">
      <w:rPr>
        <w:sz w:val="20"/>
        <w:szCs w:val="20"/>
        <w:lang w:eastAsia="zh-CN"/>
      </w:rPr>
      <w:t xml:space="preserve">PUGET SOUND ENERGY, INC. MOTION TO STRIKE </w:t>
    </w:r>
    <w:r>
      <w:rPr>
        <w:sz w:val="20"/>
        <w:szCs w:val="20"/>
        <w:lang w:eastAsia="zh-CN"/>
      </w:rPr>
      <w:t xml:space="preserve">- </w:t>
    </w:r>
    <w:r w:rsidRPr="0073557B">
      <w:rPr>
        <w:sz w:val="20"/>
        <w:szCs w:val="20"/>
        <w:lang w:eastAsia="zh-CN"/>
      </w:rPr>
      <w:fldChar w:fldCharType="begin"/>
    </w:r>
    <w:r w:rsidRPr="0073557B">
      <w:rPr>
        <w:sz w:val="20"/>
        <w:szCs w:val="20"/>
        <w:lang w:eastAsia="zh-CN"/>
      </w:rPr>
      <w:instrText xml:space="preserve"> PAGE   \* MERGEFORMAT </w:instrText>
    </w:r>
    <w:r w:rsidRPr="0073557B">
      <w:rPr>
        <w:sz w:val="20"/>
        <w:szCs w:val="20"/>
        <w:lang w:eastAsia="zh-CN"/>
      </w:rPr>
      <w:fldChar w:fldCharType="separate"/>
    </w:r>
    <w:r w:rsidR="00596EC1">
      <w:rPr>
        <w:noProof/>
        <w:sz w:val="20"/>
        <w:szCs w:val="20"/>
        <w:lang w:eastAsia="zh-CN"/>
      </w:rPr>
      <w:t>4</w:t>
    </w:r>
    <w:r w:rsidRPr="0073557B">
      <w:rPr>
        <w:noProof/>
        <w:sz w:val="20"/>
        <w:szCs w:val="20"/>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AF112" w14:textId="77777777" w:rsidR="001075B5" w:rsidRDefault="001075B5" w:rsidP="00FC751C">
      <w:pPr>
        <w:spacing w:after="0" w:line="240" w:lineRule="auto"/>
      </w:pPr>
      <w:r>
        <w:separator/>
      </w:r>
    </w:p>
  </w:footnote>
  <w:footnote w:type="continuationSeparator" w:id="0">
    <w:p w14:paraId="0749C8F2" w14:textId="77777777" w:rsidR="001075B5" w:rsidRDefault="001075B5" w:rsidP="00FC751C">
      <w:pPr>
        <w:spacing w:after="0" w:line="240" w:lineRule="auto"/>
      </w:pPr>
      <w:r>
        <w:continuationSeparator/>
      </w:r>
    </w:p>
  </w:footnote>
  <w:footnote w:id="1">
    <w:p w14:paraId="03C71389" w14:textId="77777777" w:rsidR="00792EED" w:rsidRDefault="00792EED">
      <w:pPr>
        <w:pStyle w:val="FootnoteText"/>
      </w:pPr>
      <w:r>
        <w:rPr>
          <w:rStyle w:val="FootnoteReference"/>
        </w:rPr>
        <w:footnoteRef/>
      </w:r>
      <w:r>
        <w:t xml:space="preserve"> Appendix A to PSE’s motion is a table of all paragraphs, sentences, or portions there of that PSE wants stricken. The table is over six pages long. </w:t>
      </w:r>
    </w:p>
  </w:footnote>
  <w:footnote w:id="2">
    <w:p w14:paraId="074532A9" w14:textId="77777777" w:rsidR="00266E53" w:rsidRPr="00266E53" w:rsidRDefault="005112E3">
      <w:pPr>
        <w:pStyle w:val="FootnoteText"/>
        <w:rPr>
          <w:rFonts w:cs="Times New Roman"/>
        </w:rPr>
      </w:pPr>
      <w:r w:rsidRPr="00266E53">
        <w:rPr>
          <w:rStyle w:val="FootnoteReference"/>
          <w:rFonts w:cs="Times New Roman"/>
        </w:rPr>
        <w:footnoteRef/>
      </w:r>
      <w:r w:rsidRPr="00266E53">
        <w:rPr>
          <w:rFonts w:cs="Times New Roman"/>
        </w:rPr>
        <w:t xml:space="preserve"> </w:t>
      </w:r>
      <w:r w:rsidR="00266E53" w:rsidRPr="00266E53">
        <w:rPr>
          <w:rFonts w:cs="Times New Roman"/>
          <w:i/>
        </w:rPr>
        <w:t>See</w:t>
      </w:r>
      <w:r w:rsidR="00266E53">
        <w:rPr>
          <w:rFonts w:cs="Times New Roman"/>
        </w:rPr>
        <w:t xml:space="preserve"> </w:t>
      </w:r>
      <w:r w:rsidRPr="00266E53">
        <w:rPr>
          <w:rFonts w:cs="Times New Roman"/>
        </w:rPr>
        <w:t>RCW 34.05.452</w:t>
      </w:r>
      <w:r w:rsidR="006B1CC7">
        <w:rPr>
          <w:rFonts w:cs="Times New Roman"/>
        </w:rPr>
        <w:t>.</w:t>
      </w:r>
    </w:p>
  </w:footnote>
  <w:footnote w:id="3">
    <w:p w14:paraId="04B5203D" w14:textId="77777777" w:rsidR="005112E3" w:rsidRPr="00E20354" w:rsidRDefault="005112E3">
      <w:pPr>
        <w:pStyle w:val="FootnoteText"/>
        <w:rPr>
          <w:rFonts w:cs="Times New Roman"/>
        </w:rPr>
      </w:pPr>
      <w:r>
        <w:rPr>
          <w:rStyle w:val="FootnoteReference"/>
        </w:rPr>
        <w:footnoteRef/>
      </w:r>
      <w:r>
        <w:t xml:space="preserve"> </w:t>
      </w:r>
      <w:r w:rsidR="00266E53" w:rsidRPr="00266E53">
        <w:rPr>
          <w:rFonts w:cs="Times New Roman"/>
          <w:i/>
        </w:rPr>
        <w:t>See</w:t>
      </w:r>
      <w:r w:rsidR="00266E53">
        <w:t xml:space="preserve"> </w:t>
      </w:r>
      <w:r w:rsidR="00266E53" w:rsidRPr="00266E53">
        <w:rPr>
          <w:rFonts w:cs="Times New Roman"/>
        </w:rPr>
        <w:t>WAC 480-07-495</w:t>
      </w:r>
      <w:r w:rsidR="006B1CC7">
        <w:rPr>
          <w:rFonts w:cs="Times New Roman"/>
        </w:rPr>
        <w:t>.</w:t>
      </w:r>
      <w:r w:rsidR="00E20354">
        <w:rPr>
          <w:rFonts w:cs="Times New Roman"/>
        </w:rPr>
        <w:t xml:space="preserve"> </w:t>
      </w:r>
      <w:r w:rsidR="00E20354" w:rsidRPr="00E20354">
        <w:rPr>
          <w:rFonts w:cs="Times New Roman"/>
        </w:rPr>
        <w:t xml:space="preserve">To illustrate the Commission broad authority with regard to evidence, the Administrative Procedure Act (“APA”) explicitly permits the admission of hearsay evidence.  In fact, RCW 34.05.452(1) states “[e]vidence, </w:t>
      </w:r>
      <w:r w:rsidR="00E20354" w:rsidRPr="00E20354">
        <w:rPr>
          <w:rFonts w:cs="Times New Roman"/>
          <w:iCs/>
        </w:rPr>
        <w:t>including hearsay evidence</w:t>
      </w:r>
      <w:r w:rsidR="00E20354" w:rsidRPr="00E20354">
        <w:rPr>
          <w:rFonts w:cs="Times New Roman"/>
        </w:rPr>
        <w:t>, is admissible if in the judgment of the presiding officer it is the kind of evidence on which reasonably prudent persons are accustomed to rely in the conduct of their affairs.”</w:t>
      </w:r>
    </w:p>
  </w:footnote>
  <w:footnote w:id="4">
    <w:p w14:paraId="33A28965" w14:textId="77777777" w:rsidR="00E20354" w:rsidRDefault="00E20354">
      <w:pPr>
        <w:pStyle w:val="FootnoteText"/>
      </w:pPr>
      <w:r>
        <w:rPr>
          <w:rStyle w:val="FootnoteReference"/>
        </w:rPr>
        <w:footnoteRef/>
      </w:r>
      <w:r>
        <w:t xml:space="preserve"> </w:t>
      </w:r>
      <w:r w:rsidRPr="0068480C">
        <w:rPr>
          <w:rFonts w:cs="Times New Roman"/>
        </w:rPr>
        <w:t xml:space="preserve">See </w:t>
      </w:r>
      <w:r>
        <w:rPr>
          <w:rFonts w:cs="Times New Roman"/>
        </w:rPr>
        <w:t>RCW 34.05.461(5).</w:t>
      </w:r>
    </w:p>
  </w:footnote>
  <w:footnote w:id="5">
    <w:p w14:paraId="7D7DBB3C" w14:textId="77777777" w:rsidR="006B1CC7" w:rsidRDefault="006B1CC7" w:rsidP="0068480C">
      <w:pPr>
        <w:spacing w:after="0" w:line="240" w:lineRule="auto"/>
      </w:pPr>
      <w:r>
        <w:rPr>
          <w:rStyle w:val="FootnoteReference"/>
        </w:rPr>
        <w:footnoteRef/>
      </w:r>
      <w:r>
        <w:t xml:space="preserve"> </w:t>
      </w:r>
      <w:r w:rsidRPr="006B1CC7">
        <w:rPr>
          <w:i/>
          <w:sz w:val="20"/>
          <w:szCs w:val="20"/>
        </w:rPr>
        <w:t xml:space="preserve">See </w:t>
      </w:r>
      <w:r w:rsidRPr="006B1CC7">
        <w:rPr>
          <w:color w:val="000000"/>
          <w:sz w:val="20"/>
          <w:szCs w:val="20"/>
        </w:rPr>
        <w:t>WAC 480-07-495(1).</w:t>
      </w:r>
      <w:r>
        <w:rPr>
          <w:color w:val="000000"/>
        </w:rPr>
        <w:t xml:space="preserve"> </w:t>
      </w:r>
      <w:r w:rsidRPr="006B1CC7">
        <w:rPr>
          <w:rFonts w:cs="Arial"/>
          <w:i/>
          <w:iCs/>
          <w:color w:val="000000"/>
          <w:sz w:val="20"/>
          <w:szCs w:val="20"/>
        </w:rPr>
        <w:t>See</w:t>
      </w:r>
      <w:r w:rsidRPr="006B1CC7">
        <w:rPr>
          <w:rFonts w:cs="Arial"/>
          <w:i/>
          <w:color w:val="000000"/>
          <w:sz w:val="20"/>
          <w:szCs w:val="20"/>
        </w:rPr>
        <w:t xml:space="preserve"> also</w:t>
      </w:r>
      <w:r>
        <w:rPr>
          <w:rFonts w:cs="Arial"/>
          <w:color w:val="000000"/>
          <w:sz w:val="20"/>
          <w:szCs w:val="20"/>
        </w:rPr>
        <w:t xml:space="preserve">, </w:t>
      </w:r>
      <w:r w:rsidRPr="006B1CC7">
        <w:rPr>
          <w:i/>
          <w:iCs/>
          <w:sz w:val="20"/>
          <w:szCs w:val="20"/>
        </w:rPr>
        <w:t>David and James Stevens et al. v. Rosario Utils.</w:t>
      </w:r>
      <w:r w:rsidRPr="006B1CC7">
        <w:rPr>
          <w:sz w:val="20"/>
          <w:szCs w:val="20"/>
        </w:rPr>
        <w:t xml:space="preserve">, Docket No. UW-011320, Third Supplemental Order, at 1-7 (July 12, 2002); </w:t>
      </w:r>
      <w:r w:rsidRPr="006B1CC7">
        <w:rPr>
          <w:i/>
          <w:iCs/>
          <w:sz w:val="20"/>
          <w:szCs w:val="20"/>
        </w:rPr>
        <w:t xml:space="preserve">AT&amp;T Communications of the Pac. Northwest Inc. v. Verizon Northwest Inc., </w:t>
      </w:r>
      <w:r w:rsidRPr="006B1CC7">
        <w:rPr>
          <w:sz w:val="20"/>
          <w:szCs w:val="20"/>
        </w:rPr>
        <w:t xml:space="preserve">Docket No. UT-020406, Fifth Supplemental Order (Feb. 21, 2003).  </w:t>
      </w:r>
    </w:p>
  </w:footnote>
  <w:footnote w:id="6">
    <w:p w14:paraId="5B84DAF1" w14:textId="4476CEC3" w:rsidR="00F4531C" w:rsidRPr="00F4531C" w:rsidRDefault="00F4531C">
      <w:pPr>
        <w:pStyle w:val="FootnoteText"/>
        <w:rPr>
          <w:rFonts w:cs="Times New Roman"/>
        </w:rPr>
      </w:pPr>
      <w:r>
        <w:rPr>
          <w:rStyle w:val="FootnoteReference"/>
        </w:rPr>
        <w:footnoteRef/>
      </w:r>
      <w:r>
        <w:t xml:space="preserve"> </w:t>
      </w:r>
      <w:r w:rsidRPr="00F4531C">
        <w:rPr>
          <w:rFonts w:cs="Times New Roman"/>
          <w:i/>
        </w:rPr>
        <w:t xml:space="preserve">See </w:t>
      </w:r>
      <w:r>
        <w:rPr>
          <w:rFonts w:cs="Times New Roman"/>
        </w:rPr>
        <w:t xml:space="preserve">RCW </w:t>
      </w:r>
      <w:r w:rsidR="00C95403">
        <w:rPr>
          <w:rFonts w:cs="Times New Roman"/>
        </w:rPr>
        <w:t>34.05.461(4</w:t>
      </w:r>
      <w:r>
        <w:rPr>
          <w:rFonts w:cs="Times New Roman"/>
        </w:rPr>
        <w:t>).</w:t>
      </w:r>
      <w:r>
        <w:t xml:space="preserve"> “</w:t>
      </w:r>
      <w:r w:rsidRPr="00F4531C">
        <w:rPr>
          <w:rFonts w:cs="Times New Roman"/>
        </w:rPr>
        <w:t>Findings [of fact] shall be based on the kind of evidence on which reasonably prudent persons are accustomed to rely in the conduct of their affairs.  Findings may be based on such evidence even if it would be inadmissible at civil trial.</w:t>
      </w:r>
      <w:r>
        <w:rPr>
          <w:rFonts w:cs="Times New Roman"/>
        </w:rPr>
        <w:t xml:space="preserve">” </w:t>
      </w:r>
    </w:p>
  </w:footnote>
  <w:footnote w:id="7">
    <w:p w14:paraId="12D029FE" w14:textId="77777777" w:rsidR="00744E8D" w:rsidRDefault="00744E8D">
      <w:pPr>
        <w:pStyle w:val="FootnoteText"/>
      </w:pPr>
      <w:r>
        <w:rPr>
          <w:rStyle w:val="FootnoteReference"/>
        </w:rPr>
        <w:footnoteRef/>
      </w:r>
      <w:r>
        <w:t xml:space="preserve"> RCW 34.05.437 and </w:t>
      </w:r>
      <w:r w:rsidRPr="0028418B">
        <w:t>RCW 34.05.452(1)</w:t>
      </w:r>
    </w:p>
  </w:footnote>
  <w:footnote w:id="8">
    <w:p w14:paraId="11A32F85" w14:textId="77777777" w:rsidR="00FC751C" w:rsidRPr="00AA6D75" w:rsidRDefault="00FC751C" w:rsidP="00FC751C">
      <w:pPr>
        <w:pStyle w:val="FootnoteText"/>
        <w:rPr>
          <w:rFonts w:cs="Times New Roman"/>
        </w:rPr>
      </w:pPr>
      <w:r w:rsidRPr="009866EC">
        <w:rPr>
          <w:rStyle w:val="FootnoteReference"/>
          <w:rFonts w:cs="Times New Roman"/>
        </w:rPr>
        <w:footnoteRef/>
      </w:r>
      <w:r w:rsidRPr="009866EC">
        <w:rPr>
          <w:rFonts w:cs="Times New Roman"/>
        </w:rPr>
        <w:t xml:space="preserve"> </w:t>
      </w:r>
      <w:r>
        <w:rPr>
          <w:rFonts w:cs="Times New Roman"/>
        </w:rPr>
        <w:t>In relevant part, Commission rules (</w:t>
      </w:r>
      <w:r w:rsidRPr="009866EC">
        <w:rPr>
          <w:rFonts w:cs="Times New Roman"/>
        </w:rPr>
        <w:t>WAC 480-07-495(1) secon</w:t>
      </w:r>
      <w:r w:rsidRPr="00AA6D75">
        <w:rPr>
          <w:rFonts w:cs="Times New Roman"/>
        </w:rPr>
        <w:t>d ¶</w:t>
      </w:r>
      <w:r>
        <w:rPr>
          <w:rFonts w:cs="Times New Roman"/>
        </w:rPr>
        <w:t xml:space="preserve">) </w:t>
      </w:r>
      <w:r w:rsidRPr="009866EC">
        <w:rPr>
          <w:rFonts w:cs="Times New Roman"/>
        </w:rPr>
        <w:t xml:space="preserve">reiterate this </w:t>
      </w:r>
      <w:r>
        <w:rPr>
          <w:rFonts w:cs="Times New Roman"/>
        </w:rPr>
        <w:t xml:space="preserve">APA </w:t>
      </w:r>
      <w:r w:rsidRPr="009866EC">
        <w:rPr>
          <w:rFonts w:cs="Times New Roman"/>
        </w:rPr>
        <w:t>standard</w:t>
      </w:r>
      <w:r>
        <w:rPr>
          <w:rFonts w:cs="Times New Roman"/>
        </w:rPr>
        <w:t>.</w:t>
      </w:r>
    </w:p>
  </w:footnote>
  <w:footnote w:id="9">
    <w:p w14:paraId="3074104B" w14:textId="77777777" w:rsidR="00EA7709" w:rsidRPr="00F4531C" w:rsidRDefault="00EA7709" w:rsidP="00EA7709">
      <w:pPr>
        <w:pStyle w:val="FootnoteText"/>
        <w:rPr>
          <w:rFonts w:cs="Times New Roman"/>
        </w:rPr>
      </w:pPr>
      <w:r>
        <w:rPr>
          <w:rStyle w:val="FootnoteReference"/>
        </w:rPr>
        <w:footnoteRef/>
      </w:r>
      <w:r>
        <w:t xml:space="preserve"> </w:t>
      </w:r>
      <w:r w:rsidRPr="00F4531C">
        <w:rPr>
          <w:rFonts w:cs="Times New Roman"/>
          <w:i/>
        </w:rPr>
        <w:t xml:space="preserve">See </w:t>
      </w:r>
      <w:r>
        <w:rPr>
          <w:rFonts w:cs="Times New Roman"/>
        </w:rPr>
        <w:t>RCW 34.05.461(5).</w:t>
      </w:r>
      <w:r>
        <w:t xml:space="preserve"> “</w:t>
      </w:r>
      <w:r w:rsidRPr="00F4531C">
        <w:rPr>
          <w:rFonts w:cs="Times New Roman"/>
        </w:rPr>
        <w:t>Findings [of fact] shall be based on the kind of evidence on which reasonably prudent persons are accustomed to rely in the conduct of their affairs.  Findings may be based on such evidence even if it would be inadmissible at civil trial.</w:t>
      </w:r>
      <w:r>
        <w:rPr>
          <w:rFonts w:cs="Times New Roman"/>
        </w:rPr>
        <w:t xml:space="preserve">” </w:t>
      </w:r>
    </w:p>
  </w:footnote>
  <w:footnote w:id="10">
    <w:p w14:paraId="6FA1CDD5" w14:textId="77777777" w:rsidR="007D4E53" w:rsidRDefault="007D4E53">
      <w:pPr>
        <w:pStyle w:val="FootnoteText"/>
      </w:pPr>
      <w:r>
        <w:rPr>
          <w:rStyle w:val="FootnoteReference"/>
        </w:rPr>
        <w:footnoteRef/>
      </w:r>
      <w:r>
        <w:t xml:space="preserve"> Further, the Commission should also review and consider PSE’s response to Discovery Request 02. In this series of documents, the Company </w:t>
      </w:r>
      <w:r w:rsidRPr="004E05EC">
        <w:rPr>
          <w:rStyle w:val="FootnoteReference"/>
          <w:vertAlign w:val="baseline"/>
        </w:rPr>
        <w:t>describes</w:t>
      </w:r>
      <w:r w:rsidRPr="004E05EC">
        <w:t xml:space="preserve"> its</w:t>
      </w:r>
      <w:r>
        <w:t xml:space="preserve"> plans, intentions, and market and risk assessments.</w:t>
      </w:r>
    </w:p>
  </w:footnote>
  <w:footnote w:id="11">
    <w:p w14:paraId="2D625440" w14:textId="77777777" w:rsidR="00EA7709" w:rsidRPr="002340D1" w:rsidRDefault="00EA7709" w:rsidP="00EA7709">
      <w:pPr>
        <w:pStyle w:val="FootnoteText"/>
        <w:rPr>
          <w:rFonts w:cs="Times New Roman"/>
        </w:rPr>
      </w:pPr>
      <w:r>
        <w:rPr>
          <w:rStyle w:val="FootnoteReference"/>
        </w:rPr>
        <w:footnoteRef/>
      </w:r>
      <w:r>
        <w:t xml:space="preserve"> </w:t>
      </w:r>
      <w:r w:rsidRPr="002340D1">
        <w:rPr>
          <w:rStyle w:val="hvr"/>
          <w:rFonts w:cs="Times New Roman"/>
          <w:lang w:val="en"/>
        </w:rPr>
        <w:t>The</w:t>
      </w:r>
      <w:r w:rsidRPr="002340D1">
        <w:rPr>
          <w:rFonts w:cs="Times New Roman"/>
          <w:lang w:val="en"/>
        </w:rPr>
        <w:t xml:space="preserve"> </w:t>
      </w:r>
      <w:r w:rsidRPr="002340D1">
        <w:rPr>
          <w:rStyle w:val="hvr"/>
          <w:rFonts w:cs="Times New Roman"/>
          <w:lang w:val="en"/>
        </w:rPr>
        <w:t>parol</w:t>
      </w:r>
      <w:r w:rsidRPr="002340D1">
        <w:rPr>
          <w:rFonts w:cs="Times New Roman"/>
          <w:lang w:val="en"/>
        </w:rPr>
        <w:t xml:space="preserve"> </w:t>
      </w:r>
      <w:r w:rsidRPr="002340D1">
        <w:rPr>
          <w:rStyle w:val="hvr"/>
          <w:rFonts w:cs="Times New Roman"/>
          <w:lang w:val="en"/>
        </w:rPr>
        <w:t>evidence</w:t>
      </w:r>
      <w:r w:rsidRPr="002340D1">
        <w:rPr>
          <w:rFonts w:cs="Times New Roman"/>
          <w:lang w:val="en"/>
        </w:rPr>
        <w:t xml:space="preserve"> </w:t>
      </w:r>
      <w:r w:rsidRPr="002340D1">
        <w:rPr>
          <w:rStyle w:val="hvr"/>
          <w:rFonts w:cs="Times New Roman"/>
          <w:lang w:val="en"/>
        </w:rPr>
        <w:t>rule</w:t>
      </w:r>
      <w:r w:rsidRPr="002340D1">
        <w:rPr>
          <w:rFonts w:cs="Times New Roman"/>
          <w:lang w:val="en"/>
        </w:rPr>
        <w:t xml:space="preserve"> </w:t>
      </w:r>
      <w:r w:rsidRPr="002340D1">
        <w:rPr>
          <w:rStyle w:val="hvr"/>
          <w:rFonts w:cs="Times New Roman"/>
          <w:lang w:val="en"/>
        </w:rPr>
        <w:t>applies</w:t>
      </w:r>
      <w:r w:rsidRPr="002340D1">
        <w:rPr>
          <w:rFonts w:cs="Times New Roman"/>
          <w:lang w:val="en"/>
        </w:rPr>
        <w:t xml:space="preserve"> to </w:t>
      </w:r>
      <w:r w:rsidRPr="002340D1">
        <w:rPr>
          <w:rStyle w:val="hvr"/>
          <w:rFonts w:cs="Times New Roman"/>
          <w:lang w:val="en"/>
        </w:rPr>
        <w:t>written</w:t>
      </w:r>
      <w:r w:rsidRPr="002340D1">
        <w:rPr>
          <w:rFonts w:cs="Times New Roman"/>
          <w:lang w:val="en"/>
        </w:rPr>
        <w:t xml:space="preserve"> </w:t>
      </w:r>
      <w:r w:rsidRPr="002340D1">
        <w:rPr>
          <w:rStyle w:val="hvr"/>
          <w:rFonts w:cs="Times New Roman"/>
          <w:lang w:val="en"/>
        </w:rPr>
        <w:t>contracts</w:t>
      </w:r>
      <w:r w:rsidRPr="002340D1">
        <w:rPr>
          <w:rFonts w:cs="Times New Roman"/>
          <w:lang w:val="en"/>
        </w:rPr>
        <w:t xml:space="preserve"> to </w:t>
      </w:r>
      <w:r w:rsidRPr="002340D1">
        <w:rPr>
          <w:rStyle w:val="hvr"/>
          <w:rFonts w:cs="Times New Roman"/>
          <w:lang w:val="en"/>
        </w:rPr>
        <w:t>safeguard</w:t>
      </w:r>
      <w:r w:rsidRPr="002340D1">
        <w:rPr>
          <w:rFonts w:cs="Times New Roman"/>
          <w:lang w:val="en"/>
        </w:rPr>
        <w:t xml:space="preserve"> </w:t>
      </w:r>
      <w:r w:rsidRPr="002340D1">
        <w:rPr>
          <w:rStyle w:val="hvr"/>
          <w:rFonts w:cs="Times New Roman"/>
          <w:lang w:val="en"/>
        </w:rPr>
        <w:t>the</w:t>
      </w:r>
      <w:r w:rsidRPr="002340D1">
        <w:rPr>
          <w:rFonts w:cs="Times New Roman"/>
          <w:lang w:val="en"/>
        </w:rPr>
        <w:t xml:space="preserve"> </w:t>
      </w:r>
      <w:r w:rsidRPr="002340D1">
        <w:rPr>
          <w:rStyle w:val="hvr"/>
          <w:rFonts w:cs="Times New Roman"/>
          <w:lang w:val="en"/>
        </w:rPr>
        <w:t>terms</w:t>
      </w:r>
      <w:r w:rsidRPr="002340D1">
        <w:rPr>
          <w:rFonts w:cs="Times New Roman"/>
          <w:lang w:val="en"/>
        </w:rPr>
        <w:t xml:space="preserve"> of </w:t>
      </w:r>
      <w:r w:rsidRPr="002340D1">
        <w:rPr>
          <w:rStyle w:val="hvr"/>
          <w:rFonts w:cs="Times New Roman"/>
          <w:lang w:val="en"/>
        </w:rPr>
        <w:t>the</w:t>
      </w:r>
      <w:r w:rsidRPr="002340D1">
        <w:rPr>
          <w:rFonts w:cs="Times New Roman"/>
          <w:lang w:val="en"/>
        </w:rPr>
        <w:t xml:space="preserve"> </w:t>
      </w:r>
      <w:r w:rsidRPr="002340D1">
        <w:rPr>
          <w:rStyle w:val="hvr"/>
          <w:rFonts w:cs="Times New Roman"/>
          <w:lang w:val="en"/>
        </w:rPr>
        <w:t>contract.</w:t>
      </w:r>
      <w:r w:rsidRPr="002340D1">
        <w:rPr>
          <w:rFonts w:cs="Times New Roman"/>
          <w:lang w:val="en"/>
        </w:rPr>
        <w:t xml:space="preserve"> </w:t>
      </w:r>
      <w:r w:rsidRPr="002340D1">
        <w:rPr>
          <w:rStyle w:val="hvr"/>
          <w:rFonts w:cs="Times New Roman"/>
          <w:lang w:val="en"/>
        </w:rPr>
        <w:t>The</w:t>
      </w:r>
      <w:r w:rsidRPr="002340D1">
        <w:rPr>
          <w:rFonts w:cs="Times New Roman"/>
          <w:lang w:val="en"/>
        </w:rPr>
        <w:t xml:space="preserve"> </w:t>
      </w:r>
      <w:r w:rsidRPr="002340D1">
        <w:rPr>
          <w:rStyle w:val="hvr"/>
          <w:rFonts w:cs="Times New Roman"/>
          <w:lang w:val="en"/>
        </w:rPr>
        <w:t>courts</w:t>
      </w:r>
      <w:r w:rsidRPr="002340D1">
        <w:rPr>
          <w:rFonts w:cs="Times New Roman"/>
          <w:lang w:val="en"/>
        </w:rPr>
        <w:t xml:space="preserve"> </w:t>
      </w:r>
      <w:r w:rsidRPr="002340D1">
        <w:rPr>
          <w:rStyle w:val="hvr"/>
          <w:rFonts w:cs="Times New Roman"/>
          <w:lang w:val="en"/>
        </w:rPr>
        <w:t>assume</w:t>
      </w:r>
      <w:r w:rsidRPr="002340D1">
        <w:rPr>
          <w:rFonts w:cs="Times New Roman"/>
          <w:lang w:val="en"/>
        </w:rPr>
        <w:t xml:space="preserve"> by </w:t>
      </w:r>
      <w:r w:rsidRPr="002340D1">
        <w:rPr>
          <w:rStyle w:val="hvr"/>
          <w:rFonts w:cs="Times New Roman"/>
          <w:lang w:val="en"/>
        </w:rPr>
        <w:t>the</w:t>
      </w:r>
      <w:r w:rsidRPr="002340D1">
        <w:rPr>
          <w:rFonts w:cs="Times New Roman"/>
          <w:lang w:val="en"/>
        </w:rPr>
        <w:t xml:space="preserve"> </w:t>
      </w:r>
      <w:r w:rsidRPr="002340D1">
        <w:rPr>
          <w:rStyle w:val="hvr"/>
          <w:rFonts w:cs="Times New Roman"/>
          <w:lang w:val="en"/>
        </w:rPr>
        <w:t>parol</w:t>
      </w:r>
      <w:r w:rsidRPr="002340D1">
        <w:rPr>
          <w:rFonts w:cs="Times New Roman"/>
          <w:lang w:val="en"/>
        </w:rPr>
        <w:t xml:space="preserve"> </w:t>
      </w:r>
      <w:r w:rsidRPr="002340D1">
        <w:rPr>
          <w:rStyle w:val="hvr"/>
          <w:rFonts w:cs="Times New Roman"/>
          <w:lang w:val="en"/>
        </w:rPr>
        <w:t>evidence</w:t>
      </w:r>
      <w:r w:rsidRPr="002340D1">
        <w:rPr>
          <w:rFonts w:cs="Times New Roman"/>
          <w:lang w:val="en"/>
        </w:rPr>
        <w:t xml:space="preserve"> </w:t>
      </w:r>
      <w:r w:rsidRPr="002340D1">
        <w:rPr>
          <w:rStyle w:val="hvr"/>
          <w:rFonts w:cs="Times New Roman"/>
          <w:lang w:val="en"/>
        </w:rPr>
        <w:t>rule</w:t>
      </w:r>
      <w:r w:rsidRPr="002340D1">
        <w:rPr>
          <w:rFonts w:cs="Times New Roman"/>
          <w:lang w:val="en"/>
        </w:rPr>
        <w:t xml:space="preserve"> </w:t>
      </w:r>
      <w:r w:rsidRPr="002340D1">
        <w:rPr>
          <w:rStyle w:val="hvr"/>
          <w:rFonts w:cs="Times New Roman"/>
          <w:lang w:val="en"/>
        </w:rPr>
        <w:t>that</w:t>
      </w:r>
      <w:r w:rsidRPr="002340D1">
        <w:rPr>
          <w:rFonts w:cs="Times New Roman"/>
          <w:lang w:val="en"/>
        </w:rPr>
        <w:t xml:space="preserve"> </w:t>
      </w:r>
      <w:r w:rsidRPr="002340D1">
        <w:rPr>
          <w:rStyle w:val="hvr"/>
          <w:rFonts w:cs="Times New Roman"/>
          <w:lang w:val="en"/>
        </w:rPr>
        <w:t>contracts</w:t>
      </w:r>
      <w:r w:rsidRPr="002340D1">
        <w:rPr>
          <w:rFonts w:cs="Times New Roman"/>
          <w:lang w:val="en"/>
        </w:rPr>
        <w:t xml:space="preserve"> </w:t>
      </w:r>
      <w:r w:rsidRPr="002340D1">
        <w:rPr>
          <w:rStyle w:val="hvr"/>
          <w:rFonts w:cs="Times New Roman"/>
          <w:lang w:val="en"/>
        </w:rPr>
        <w:t>contain</w:t>
      </w:r>
      <w:r w:rsidRPr="002340D1">
        <w:rPr>
          <w:rFonts w:cs="Times New Roman"/>
          <w:lang w:val="en"/>
        </w:rPr>
        <w:t xml:space="preserve"> </w:t>
      </w:r>
      <w:r w:rsidRPr="002340D1">
        <w:rPr>
          <w:rStyle w:val="hvr"/>
          <w:rFonts w:cs="Times New Roman"/>
          <w:lang w:val="en"/>
        </w:rPr>
        <w:t>the</w:t>
      </w:r>
      <w:r w:rsidRPr="002340D1">
        <w:rPr>
          <w:rFonts w:cs="Times New Roman"/>
          <w:lang w:val="en"/>
        </w:rPr>
        <w:t xml:space="preserve"> </w:t>
      </w:r>
      <w:r w:rsidRPr="002340D1">
        <w:rPr>
          <w:rStyle w:val="hvr"/>
          <w:rFonts w:cs="Times New Roman"/>
          <w:lang w:val="en"/>
        </w:rPr>
        <w:t>terms</w:t>
      </w:r>
      <w:r w:rsidRPr="002340D1">
        <w:rPr>
          <w:rFonts w:cs="Times New Roman"/>
          <w:lang w:val="en"/>
        </w:rPr>
        <w:t xml:space="preserve"> </w:t>
      </w:r>
      <w:r w:rsidRPr="002340D1">
        <w:rPr>
          <w:rStyle w:val="hvr"/>
          <w:rFonts w:cs="Times New Roman"/>
          <w:lang w:val="en"/>
        </w:rPr>
        <w:t>and</w:t>
      </w:r>
      <w:r w:rsidRPr="002340D1">
        <w:rPr>
          <w:rFonts w:cs="Times New Roman"/>
          <w:lang w:val="en"/>
        </w:rPr>
        <w:t xml:space="preserve"> </w:t>
      </w:r>
      <w:r w:rsidRPr="002340D1">
        <w:rPr>
          <w:rStyle w:val="hvr"/>
          <w:rFonts w:cs="Times New Roman"/>
          <w:lang w:val="en"/>
        </w:rPr>
        <w:t>provisions</w:t>
      </w:r>
      <w:r w:rsidRPr="002340D1">
        <w:rPr>
          <w:rFonts w:cs="Times New Roman"/>
          <w:lang w:val="en"/>
        </w:rPr>
        <w:t xml:space="preserve"> </w:t>
      </w:r>
      <w:r w:rsidRPr="002340D1">
        <w:rPr>
          <w:rStyle w:val="hvr"/>
          <w:rFonts w:cs="Times New Roman"/>
          <w:lang w:val="en"/>
        </w:rPr>
        <w:t>that</w:t>
      </w:r>
      <w:r w:rsidRPr="002340D1">
        <w:rPr>
          <w:rFonts w:cs="Times New Roman"/>
          <w:lang w:val="en"/>
        </w:rPr>
        <w:t xml:space="preserve"> </w:t>
      </w:r>
      <w:r w:rsidRPr="002340D1">
        <w:rPr>
          <w:rStyle w:val="hvr"/>
          <w:rFonts w:cs="Times New Roman"/>
          <w:lang w:val="en"/>
        </w:rPr>
        <w:t>the</w:t>
      </w:r>
      <w:r w:rsidRPr="002340D1">
        <w:rPr>
          <w:rFonts w:cs="Times New Roman"/>
          <w:lang w:val="en"/>
        </w:rPr>
        <w:t xml:space="preserve"> </w:t>
      </w:r>
      <w:r w:rsidRPr="002340D1">
        <w:rPr>
          <w:rStyle w:val="hvr"/>
          <w:rFonts w:cs="Times New Roman"/>
          <w:lang w:val="en"/>
        </w:rPr>
        <w:t>parties</w:t>
      </w:r>
      <w:r w:rsidRPr="002340D1">
        <w:rPr>
          <w:rFonts w:cs="Times New Roman"/>
          <w:lang w:val="en"/>
        </w:rPr>
        <w:t xml:space="preserve"> </w:t>
      </w:r>
      <w:r w:rsidRPr="002340D1">
        <w:rPr>
          <w:rStyle w:val="hvr"/>
          <w:rFonts w:cs="Times New Roman"/>
          <w:lang w:val="en"/>
        </w:rPr>
        <w:t>specifically</w:t>
      </w:r>
      <w:r w:rsidRPr="002340D1">
        <w:rPr>
          <w:rFonts w:cs="Times New Roman"/>
          <w:lang w:val="en"/>
        </w:rPr>
        <w:t xml:space="preserve"> </w:t>
      </w:r>
      <w:r w:rsidRPr="002340D1">
        <w:rPr>
          <w:rStyle w:val="hvr"/>
          <w:rFonts w:cs="Times New Roman"/>
          <w:lang w:val="en"/>
        </w:rPr>
        <w:t>intended</w:t>
      </w:r>
      <w:r w:rsidRPr="002340D1">
        <w:rPr>
          <w:rFonts w:cs="Times New Roman"/>
          <w:lang w:val="en"/>
        </w:rPr>
        <w:t xml:space="preserve"> </w:t>
      </w:r>
      <w:r w:rsidRPr="002340D1">
        <w:rPr>
          <w:rStyle w:val="hvr"/>
          <w:rFonts w:cs="Times New Roman"/>
          <w:lang w:val="en"/>
        </w:rPr>
        <w:t>and</w:t>
      </w:r>
      <w:r w:rsidRPr="002340D1">
        <w:rPr>
          <w:rFonts w:cs="Times New Roman"/>
          <w:lang w:val="en"/>
        </w:rPr>
        <w:t xml:space="preserve"> </w:t>
      </w:r>
      <w:r w:rsidRPr="002340D1">
        <w:rPr>
          <w:rStyle w:val="hvr"/>
          <w:rFonts w:cs="Times New Roman"/>
          <w:lang w:val="en"/>
        </w:rPr>
        <w:t>lack</w:t>
      </w:r>
      <w:r w:rsidRPr="002340D1">
        <w:rPr>
          <w:rFonts w:cs="Times New Roman"/>
          <w:lang w:val="en"/>
        </w:rPr>
        <w:t xml:space="preserve"> </w:t>
      </w:r>
      <w:r w:rsidRPr="002340D1">
        <w:rPr>
          <w:rStyle w:val="hvr"/>
          <w:rFonts w:cs="Times New Roman"/>
          <w:lang w:val="en"/>
        </w:rPr>
        <w:t>those</w:t>
      </w:r>
      <w:r w:rsidRPr="002340D1">
        <w:rPr>
          <w:rFonts w:cs="Times New Roman"/>
          <w:lang w:val="en"/>
        </w:rPr>
        <w:t xml:space="preserve"> </w:t>
      </w:r>
      <w:r w:rsidRPr="002340D1">
        <w:rPr>
          <w:rStyle w:val="hvr"/>
          <w:rFonts w:cs="Times New Roman"/>
          <w:lang w:val="en"/>
        </w:rPr>
        <w:t>provisions</w:t>
      </w:r>
      <w:r w:rsidRPr="002340D1">
        <w:rPr>
          <w:rFonts w:cs="Times New Roman"/>
          <w:lang w:val="en"/>
        </w:rPr>
        <w:t xml:space="preserve"> </w:t>
      </w:r>
      <w:r w:rsidRPr="002340D1">
        <w:rPr>
          <w:rStyle w:val="hvr"/>
          <w:rFonts w:cs="Times New Roman"/>
          <w:lang w:val="en"/>
        </w:rPr>
        <w:t>that</w:t>
      </w:r>
      <w:r w:rsidRPr="002340D1">
        <w:rPr>
          <w:rFonts w:cs="Times New Roman"/>
          <w:lang w:val="en"/>
        </w:rPr>
        <w:t xml:space="preserve"> </w:t>
      </w:r>
      <w:r w:rsidRPr="002340D1">
        <w:rPr>
          <w:rStyle w:val="hvr"/>
          <w:rFonts w:cs="Times New Roman"/>
          <w:lang w:val="en"/>
        </w:rPr>
        <w:t>the</w:t>
      </w:r>
      <w:r w:rsidRPr="002340D1">
        <w:rPr>
          <w:rFonts w:cs="Times New Roman"/>
          <w:lang w:val="en"/>
        </w:rPr>
        <w:t xml:space="preserve"> </w:t>
      </w:r>
      <w:r w:rsidRPr="002340D1">
        <w:rPr>
          <w:rStyle w:val="hvr"/>
          <w:rFonts w:cs="Times New Roman"/>
          <w:lang w:val="en"/>
        </w:rPr>
        <w:t>parties</w:t>
      </w:r>
      <w:r w:rsidRPr="002340D1">
        <w:rPr>
          <w:rFonts w:cs="Times New Roman"/>
          <w:lang w:val="en"/>
        </w:rPr>
        <w:t xml:space="preserve"> </w:t>
      </w:r>
      <w:r w:rsidRPr="002340D1">
        <w:rPr>
          <w:rStyle w:val="hvr"/>
          <w:rFonts w:cs="Times New Roman"/>
          <w:lang w:val="en"/>
        </w:rPr>
        <w:t>did</w:t>
      </w:r>
      <w:r w:rsidRPr="002340D1">
        <w:rPr>
          <w:rFonts w:cs="Times New Roman"/>
          <w:lang w:val="en"/>
        </w:rPr>
        <w:t xml:space="preserve"> </w:t>
      </w:r>
      <w:r w:rsidRPr="002340D1">
        <w:rPr>
          <w:rStyle w:val="hvr"/>
          <w:rFonts w:cs="Times New Roman"/>
          <w:lang w:val="en"/>
        </w:rPr>
        <w:t>not</w:t>
      </w:r>
      <w:r w:rsidRPr="002340D1">
        <w:rPr>
          <w:rFonts w:cs="Times New Roman"/>
          <w:lang w:val="en"/>
        </w:rPr>
        <w:t xml:space="preserve"> </w:t>
      </w:r>
      <w:r w:rsidRPr="002340D1">
        <w:rPr>
          <w:rStyle w:val="hvr"/>
          <w:rFonts w:cs="Times New Roman"/>
          <w:lang w:val="en"/>
        </w:rPr>
        <w:t xml:space="preserve">want. </w:t>
      </w:r>
      <w:r w:rsidRPr="002340D1">
        <w:rPr>
          <w:rStyle w:val="hvr"/>
          <w:rFonts w:cs="Times New Roman"/>
          <w:i/>
          <w:lang w:val="en"/>
        </w:rPr>
        <w:t>See also</w:t>
      </w:r>
      <w:r w:rsidRPr="002340D1">
        <w:rPr>
          <w:rStyle w:val="hvr"/>
          <w:rFonts w:cs="Times New Roman"/>
          <w:lang w:val="en"/>
        </w:rPr>
        <w:t xml:space="preserve"> </w:t>
      </w:r>
      <w:r w:rsidRPr="002340D1">
        <w:rPr>
          <w:rStyle w:val="hvr"/>
          <w:rFonts w:cs="Times New Roman"/>
          <w:i/>
          <w:lang w:val="en"/>
        </w:rPr>
        <w:t xml:space="preserve">Berg v. </w:t>
      </w:r>
      <w:r w:rsidR="007D4E53" w:rsidRPr="002340D1">
        <w:rPr>
          <w:rStyle w:val="hvr"/>
          <w:rFonts w:cs="Times New Roman"/>
          <w:i/>
          <w:lang w:val="en"/>
        </w:rPr>
        <w:t>Hudesman,</w:t>
      </w:r>
      <w:r w:rsidR="007D4E53" w:rsidRPr="002340D1">
        <w:rPr>
          <w:rStyle w:val="hvr"/>
          <w:rFonts w:cs="Times New Roman"/>
          <w:lang w:val="en"/>
        </w:rPr>
        <w:t xml:space="preserve"> 115 Wn 2d 157, </w:t>
      </w:r>
      <w:r w:rsidR="007D4E53" w:rsidRPr="002340D1">
        <w:rPr>
          <w:rFonts w:eastAsia="Arial" w:cs="Times New Roman"/>
        </w:rPr>
        <w:t xml:space="preserve">801 P.2d 222; 1990 Wash. LEXIS 168 (1990). </w:t>
      </w:r>
    </w:p>
  </w:footnote>
  <w:footnote w:id="12">
    <w:p w14:paraId="288F3A92" w14:textId="21950539" w:rsidR="00EA7709" w:rsidRPr="0073557B" w:rsidRDefault="00EA7709" w:rsidP="0073557B">
      <w:pPr>
        <w:pStyle w:val="ListParagraph"/>
        <w:ind w:left="0"/>
        <w:rPr>
          <w:rFonts w:ascii="Times New Roman" w:hAnsi="Times New Roman"/>
          <w:sz w:val="20"/>
          <w:szCs w:val="20"/>
        </w:rPr>
      </w:pPr>
      <w:r>
        <w:rPr>
          <w:rStyle w:val="FootnoteReference"/>
        </w:rPr>
        <w:footnoteRef/>
      </w:r>
      <w:r>
        <w:t xml:space="preserve"> </w:t>
      </w:r>
      <w:r w:rsidRPr="00896EEB">
        <w:rPr>
          <w:rFonts w:ascii="Times New Roman" w:hAnsi="Times New Roman"/>
          <w:sz w:val="20"/>
          <w:szCs w:val="20"/>
        </w:rPr>
        <w:t xml:space="preserve">This is a contract developed by two corporate entities that have demonstrated the skills and legal support necessary to express their intent in a binding agreement.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057"/>
    <w:multiLevelType w:val="hybridMultilevel"/>
    <w:tmpl w:val="039E23B0"/>
    <w:lvl w:ilvl="0" w:tplc="F37467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54F5E"/>
    <w:multiLevelType w:val="hybridMultilevel"/>
    <w:tmpl w:val="F746C570"/>
    <w:lvl w:ilvl="0" w:tplc="F372E494">
      <w:start w:val="1"/>
      <w:numFmt w:val="decimal"/>
      <w:lvlText w:val="%1"/>
      <w:lvlJc w:val="left"/>
      <w:pPr>
        <w:ind w:left="720" w:hanging="360"/>
      </w:pPr>
      <w:rPr>
        <w:rFonts w:ascii="Times New Roman" w:hAnsi="Times New Roman" w:hint="default"/>
        <w:b w:val="0"/>
        <w:i/>
        <w:sz w:val="24"/>
      </w:rPr>
    </w:lvl>
    <w:lvl w:ilvl="1" w:tplc="FA4494FA">
      <w:start w:val="1"/>
      <w:numFmt w:val="decimal"/>
      <w:lvlText w:val="%2"/>
      <w:lvlJc w:val="left"/>
      <w:pPr>
        <w:ind w:left="0" w:hanging="720"/>
      </w:pPr>
      <w:rPr>
        <w:rFonts w:ascii="Times New Roman" w:hAnsi="Times New Roman" w:hint="default"/>
        <w:b w:val="0"/>
        <w:i/>
        <w:sz w:val="24"/>
      </w:rPr>
    </w:lvl>
    <w:lvl w:ilvl="2" w:tplc="0409001B">
      <w:start w:val="1"/>
      <w:numFmt w:val="lowerRoman"/>
      <w:lvlText w:val="%3."/>
      <w:lvlJc w:val="right"/>
      <w:pPr>
        <w:ind w:left="2160" w:hanging="180"/>
      </w:pPr>
    </w:lvl>
    <w:lvl w:ilvl="3" w:tplc="84C4FA3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47286"/>
    <w:multiLevelType w:val="hybridMultilevel"/>
    <w:tmpl w:val="89A2A1E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 w15:restartNumberingAfterBreak="0">
    <w:nsid w:val="27954791"/>
    <w:multiLevelType w:val="hybridMultilevel"/>
    <w:tmpl w:val="B0347018"/>
    <w:lvl w:ilvl="0" w:tplc="D9EA7FF2">
      <w:start w:val="1"/>
      <w:numFmt w:val="decimal"/>
      <w:lvlText w:val="%1"/>
      <w:lvlJc w:val="left"/>
      <w:pPr>
        <w:tabs>
          <w:tab w:val="num" w:pos="0"/>
        </w:tabs>
        <w:ind w:left="0" w:hanging="720"/>
      </w:pPr>
      <w:rPr>
        <w:rFonts w:ascii="Palatino Linotype" w:hAnsi="Palatino Linotype" w:hint="default"/>
        <w:b w:val="0"/>
        <w:i/>
        <w:sz w:val="20"/>
      </w:rPr>
    </w:lvl>
    <w:lvl w:ilvl="1" w:tplc="22EC071E">
      <w:start w:val="6"/>
      <w:numFmt w:val="decimal"/>
      <w:lvlText w:val="%2"/>
      <w:lvlJc w:val="left"/>
      <w:pPr>
        <w:tabs>
          <w:tab w:val="num" w:pos="0"/>
        </w:tabs>
        <w:ind w:left="0" w:hanging="720"/>
      </w:pPr>
      <w:rPr>
        <w:rFonts w:ascii="Palatino Linotype" w:hAnsi="Palatino Linotype" w:hint="default"/>
        <w:b w:val="0"/>
        <w:i/>
        <w:sz w:val="2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3100FB8"/>
    <w:multiLevelType w:val="hybridMultilevel"/>
    <w:tmpl w:val="82D82FCC"/>
    <w:lvl w:ilvl="0" w:tplc="205CB998">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C77F2"/>
    <w:multiLevelType w:val="hybridMultilevel"/>
    <w:tmpl w:val="4530BB8A"/>
    <w:lvl w:ilvl="0" w:tplc="61580BA0">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1C"/>
    <w:rsid w:val="00034B4F"/>
    <w:rsid w:val="000B3397"/>
    <w:rsid w:val="000D3F7E"/>
    <w:rsid w:val="001075B5"/>
    <w:rsid w:val="0015212C"/>
    <w:rsid w:val="001A1046"/>
    <w:rsid w:val="00211862"/>
    <w:rsid w:val="002340D1"/>
    <w:rsid w:val="00266E53"/>
    <w:rsid w:val="00297951"/>
    <w:rsid w:val="002E2A73"/>
    <w:rsid w:val="00304475"/>
    <w:rsid w:val="00307453"/>
    <w:rsid w:val="00344E02"/>
    <w:rsid w:val="00381B77"/>
    <w:rsid w:val="003A0833"/>
    <w:rsid w:val="003C2022"/>
    <w:rsid w:val="003C5FEA"/>
    <w:rsid w:val="003E6820"/>
    <w:rsid w:val="0044006C"/>
    <w:rsid w:val="004464C0"/>
    <w:rsid w:val="00470263"/>
    <w:rsid w:val="004C19E5"/>
    <w:rsid w:val="004D43F7"/>
    <w:rsid w:val="004E05EC"/>
    <w:rsid w:val="004F299A"/>
    <w:rsid w:val="005112E3"/>
    <w:rsid w:val="00527E99"/>
    <w:rsid w:val="005628A7"/>
    <w:rsid w:val="00570AF3"/>
    <w:rsid w:val="00596EC1"/>
    <w:rsid w:val="005D24F4"/>
    <w:rsid w:val="005E3FEC"/>
    <w:rsid w:val="005F7DE4"/>
    <w:rsid w:val="0064090E"/>
    <w:rsid w:val="006678B0"/>
    <w:rsid w:val="006801BB"/>
    <w:rsid w:val="0068480C"/>
    <w:rsid w:val="006B1CC7"/>
    <w:rsid w:val="007028D6"/>
    <w:rsid w:val="0073557B"/>
    <w:rsid w:val="00744E8D"/>
    <w:rsid w:val="00765779"/>
    <w:rsid w:val="00775B0D"/>
    <w:rsid w:val="00792EED"/>
    <w:rsid w:val="007D4E53"/>
    <w:rsid w:val="008469CB"/>
    <w:rsid w:val="0086233A"/>
    <w:rsid w:val="00896EEB"/>
    <w:rsid w:val="008C3D25"/>
    <w:rsid w:val="008D73AD"/>
    <w:rsid w:val="008E71C2"/>
    <w:rsid w:val="00902985"/>
    <w:rsid w:val="00911A4A"/>
    <w:rsid w:val="00A15856"/>
    <w:rsid w:val="00A17B08"/>
    <w:rsid w:val="00A324CF"/>
    <w:rsid w:val="00B30ADC"/>
    <w:rsid w:val="00B46A51"/>
    <w:rsid w:val="00B51D78"/>
    <w:rsid w:val="00B57418"/>
    <w:rsid w:val="00BE435C"/>
    <w:rsid w:val="00BF2F05"/>
    <w:rsid w:val="00C95403"/>
    <w:rsid w:val="00CD5681"/>
    <w:rsid w:val="00CD659A"/>
    <w:rsid w:val="00D23D7B"/>
    <w:rsid w:val="00D26FF7"/>
    <w:rsid w:val="00D30982"/>
    <w:rsid w:val="00DA030F"/>
    <w:rsid w:val="00E20354"/>
    <w:rsid w:val="00E35028"/>
    <w:rsid w:val="00E504C3"/>
    <w:rsid w:val="00E64125"/>
    <w:rsid w:val="00EA7709"/>
    <w:rsid w:val="00EF667C"/>
    <w:rsid w:val="00F1413A"/>
    <w:rsid w:val="00F4531C"/>
    <w:rsid w:val="00F52986"/>
    <w:rsid w:val="00F70748"/>
    <w:rsid w:val="00FC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225CB6"/>
  <w15:chartTrackingRefBased/>
  <w15:docId w15:val="{D85CAFC8-A481-4DF0-ABEF-75800733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557B"/>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rsid w:val="0073557B"/>
    <w:rPr>
      <w:rFonts w:cstheme="minorBidi"/>
      <w:sz w:val="20"/>
      <w:szCs w:val="20"/>
    </w:rPr>
  </w:style>
  <w:style w:type="character" w:styleId="FootnoteReference">
    <w:name w:val="footnote reference"/>
    <w:basedOn w:val="DefaultParagraphFont"/>
    <w:uiPriority w:val="99"/>
    <w:unhideWhenUsed/>
    <w:rsid w:val="002340D1"/>
    <w:rPr>
      <w:rFonts w:ascii="Times New Roman" w:hAnsi="Times New Roman"/>
      <w:sz w:val="20"/>
      <w:vertAlign w:val="superscript"/>
    </w:rPr>
  </w:style>
  <w:style w:type="paragraph" w:styleId="ListParagraph">
    <w:name w:val="List Paragraph"/>
    <w:basedOn w:val="Normal"/>
    <w:uiPriority w:val="34"/>
    <w:qFormat/>
    <w:rsid w:val="00FC751C"/>
    <w:pPr>
      <w:spacing w:after="0" w:line="240" w:lineRule="auto"/>
      <w:ind w:left="720"/>
      <w:contextualSpacing/>
    </w:pPr>
    <w:rPr>
      <w:rFonts w:ascii="Palatino Linotype" w:eastAsia="Times New Roman" w:hAnsi="Palatino Linotype"/>
    </w:rPr>
  </w:style>
  <w:style w:type="character" w:customStyle="1" w:styleId="hvr">
    <w:name w:val="hvr"/>
    <w:basedOn w:val="DefaultParagraphFont"/>
    <w:rsid w:val="00D23D7B"/>
  </w:style>
  <w:style w:type="paragraph" w:styleId="BalloonText">
    <w:name w:val="Balloon Text"/>
    <w:basedOn w:val="Normal"/>
    <w:link w:val="BalloonTextChar"/>
    <w:uiPriority w:val="99"/>
    <w:semiHidden/>
    <w:unhideWhenUsed/>
    <w:rsid w:val="005E3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EC"/>
    <w:rPr>
      <w:rFonts w:ascii="Segoe UI" w:hAnsi="Segoe UI" w:cs="Segoe UI"/>
      <w:sz w:val="18"/>
      <w:szCs w:val="18"/>
    </w:rPr>
  </w:style>
  <w:style w:type="character" w:styleId="CommentReference">
    <w:name w:val="annotation reference"/>
    <w:basedOn w:val="DefaultParagraphFont"/>
    <w:uiPriority w:val="99"/>
    <w:semiHidden/>
    <w:unhideWhenUsed/>
    <w:rsid w:val="0044006C"/>
    <w:rPr>
      <w:sz w:val="16"/>
      <w:szCs w:val="16"/>
    </w:rPr>
  </w:style>
  <w:style w:type="paragraph" w:styleId="CommentText">
    <w:name w:val="annotation text"/>
    <w:basedOn w:val="Normal"/>
    <w:link w:val="CommentTextChar"/>
    <w:uiPriority w:val="99"/>
    <w:semiHidden/>
    <w:unhideWhenUsed/>
    <w:rsid w:val="0044006C"/>
    <w:pPr>
      <w:spacing w:line="240" w:lineRule="auto"/>
    </w:pPr>
    <w:rPr>
      <w:sz w:val="20"/>
      <w:szCs w:val="20"/>
    </w:rPr>
  </w:style>
  <w:style w:type="character" w:customStyle="1" w:styleId="CommentTextChar">
    <w:name w:val="Comment Text Char"/>
    <w:basedOn w:val="DefaultParagraphFont"/>
    <w:link w:val="CommentText"/>
    <w:uiPriority w:val="99"/>
    <w:semiHidden/>
    <w:rsid w:val="0044006C"/>
    <w:rPr>
      <w:sz w:val="20"/>
      <w:szCs w:val="20"/>
    </w:rPr>
  </w:style>
  <w:style w:type="paragraph" w:styleId="CommentSubject">
    <w:name w:val="annotation subject"/>
    <w:basedOn w:val="CommentText"/>
    <w:next w:val="CommentText"/>
    <w:link w:val="CommentSubjectChar"/>
    <w:uiPriority w:val="99"/>
    <w:semiHidden/>
    <w:unhideWhenUsed/>
    <w:rsid w:val="0044006C"/>
    <w:rPr>
      <w:b/>
      <w:bCs/>
    </w:rPr>
  </w:style>
  <w:style w:type="character" w:customStyle="1" w:styleId="CommentSubjectChar">
    <w:name w:val="Comment Subject Char"/>
    <w:basedOn w:val="CommentTextChar"/>
    <w:link w:val="CommentSubject"/>
    <w:uiPriority w:val="99"/>
    <w:semiHidden/>
    <w:rsid w:val="0044006C"/>
    <w:rPr>
      <w:b/>
      <w:bCs/>
      <w:sz w:val="20"/>
      <w:szCs w:val="20"/>
    </w:rPr>
  </w:style>
  <w:style w:type="paragraph" w:styleId="Caption">
    <w:name w:val="caption"/>
    <w:basedOn w:val="Normal"/>
    <w:next w:val="Normal"/>
    <w:semiHidden/>
    <w:unhideWhenUsed/>
    <w:qFormat/>
    <w:rsid w:val="0073557B"/>
    <w:pPr>
      <w:widowControl w:val="0"/>
      <w:spacing w:after="0" w:line="240" w:lineRule="exact"/>
    </w:pPr>
    <w:rPr>
      <w:rFonts w:eastAsia="Times New Roman"/>
      <w:bCs/>
      <w:szCs w:val="20"/>
    </w:rPr>
  </w:style>
  <w:style w:type="paragraph" w:customStyle="1" w:styleId="DocumentTitle">
    <w:name w:val="Document Title"/>
    <w:basedOn w:val="Normal"/>
    <w:rsid w:val="0073557B"/>
    <w:pPr>
      <w:widowControl w:val="0"/>
      <w:tabs>
        <w:tab w:val="left" w:pos="1238"/>
      </w:tabs>
      <w:spacing w:after="240" w:line="240" w:lineRule="exact"/>
      <w:ind w:left="259" w:right="115"/>
    </w:pPr>
    <w:rPr>
      <w:rFonts w:eastAsia="Times New Roman"/>
    </w:rPr>
  </w:style>
  <w:style w:type="paragraph" w:styleId="Header">
    <w:name w:val="header"/>
    <w:basedOn w:val="Normal"/>
    <w:link w:val="HeaderChar"/>
    <w:uiPriority w:val="99"/>
    <w:unhideWhenUsed/>
    <w:rsid w:val="00735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57B"/>
  </w:style>
  <w:style w:type="paragraph" w:styleId="Footer">
    <w:name w:val="footer"/>
    <w:basedOn w:val="Normal"/>
    <w:link w:val="FooterChar"/>
    <w:uiPriority w:val="99"/>
    <w:unhideWhenUsed/>
    <w:rsid w:val="00735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57B"/>
  </w:style>
  <w:style w:type="paragraph" w:styleId="BodyTextIndent2">
    <w:name w:val="Body Text Indent 2"/>
    <w:basedOn w:val="Normal"/>
    <w:link w:val="BodyTextIndent2Char"/>
    <w:rsid w:val="0073557B"/>
    <w:pPr>
      <w:spacing w:after="0" w:line="240" w:lineRule="auto"/>
      <w:ind w:left="686"/>
    </w:pPr>
    <w:rPr>
      <w:rFonts w:eastAsia="Times New Roman"/>
    </w:rPr>
  </w:style>
  <w:style w:type="character" w:customStyle="1" w:styleId="BodyTextIndent2Char">
    <w:name w:val="Body Text Indent 2 Char"/>
    <w:basedOn w:val="DefaultParagraphFont"/>
    <w:link w:val="BodyTextIndent2"/>
    <w:rsid w:val="0073557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2015-12-10T22:59:06+00:00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CF4FD9-8548-4A5B-B0A7-907D1DFD3AC5}"/>
</file>

<file path=customXml/itemProps2.xml><?xml version="1.0" encoding="utf-8"?>
<ds:datastoreItem xmlns:ds="http://schemas.openxmlformats.org/officeDocument/2006/customXml" ds:itemID="{50A444C8-3897-4F68-8BB9-539A66C3BEF3}"/>
</file>

<file path=customXml/itemProps3.xml><?xml version="1.0" encoding="utf-8"?>
<ds:datastoreItem xmlns:ds="http://schemas.openxmlformats.org/officeDocument/2006/customXml" ds:itemID="{B91AA586-5256-404B-B67B-077D4AC1FC60}"/>
</file>

<file path=customXml/itemProps4.xml><?xml version="1.0" encoding="utf-8"?>
<ds:datastoreItem xmlns:ds="http://schemas.openxmlformats.org/officeDocument/2006/customXml" ds:itemID="{F8556526-3A08-4C4E-9818-F208528EB005}"/>
</file>

<file path=customXml/itemProps5.xml><?xml version="1.0" encoding="utf-8"?>
<ds:datastoreItem xmlns:ds="http://schemas.openxmlformats.org/officeDocument/2006/customXml" ds:itemID="{0D26F474-0F01-43D9-9C39-85BF53FD26BD}"/>
</file>

<file path=docProps/app.xml><?xml version="1.0" encoding="utf-8"?>
<Properties xmlns="http://schemas.openxmlformats.org/officeDocument/2006/extended-properties" xmlns:vt="http://schemas.openxmlformats.org/officeDocument/2006/docPropsVTypes">
  <Template>Normal.dotm</Template>
  <TotalTime>43</TotalTime>
  <Pages>6</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Brett (UTC)</dc:creator>
  <cp:keywords/>
  <dc:description/>
  <cp:lastModifiedBy>Gross, Krista (UTC)</cp:lastModifiedBy>
  <cp:revision>12</cp:revision>
  <dcterms:created xsi:type="dcterms:W3CDTF">2015-12-10T17:27:00Z</dcterms:created>
  <dcterms:modified xsi:type="dcterms:W3CDTF">2015-12-10T19:23:00Z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