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53335B" w:rsidRDefault="005711E5">
      <w:pPr>
        <w:pStyle w:val="BodyText"/>
        <w:rPr>
          <w:b/>
          <w:bCs/>
        </w:rPr>
      </w:pPr>
      <w:r w:rsidRPr="0053335B">
        <w:rPr>
          <w:b/>
          <w:bCs/>
        </w:rPr>
        <w:t>BEFORE THE WASHINGTON</w:t>
      </w:r>
    </w:p>
    <w:p w14:paraId="78C8FA56" w14:textId="77777777" w:rsidR="005711E5" w:rsidRPr="0053335B" w:rsidRDefault="005711E5">
      <w:pPr>
        <w:pStyle w:val="BodyText"/>
        <w:rPr>
          <w:b/>
          <w:bCs/>
        </w:rPr>
      </w:pPr>
      <w:r w:rsidRPr="0053335B">
        <w:rPr>
          <w:b/>
          <w:bCs/>
        </w:rPr>
        <w:t>UTILITIES AND TRANSPORTATION COMMISSION</w:t>
      </w:r>
    </w:p>
    <w:p w14:paraId="0B0B90E3" w14:textId="77777777" w:rsidR="001C4A06" w:rsidRPr="0053335B" w:rsidRDefault="001C4A06" w:rsidP="001C4A06">
      <w:pPr>
        <w:pStyle w:val="BodyText"/>
        <w:spacing w:line="264" w:lineRule="auto"/>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296"/>
        <w:gridCol w:w="4232"/>
      </w:tblGrid>
      <w:tr w:rsidR="00892A0D" w:rsidRPr="0053335B" w14:paraId="78C8FA7A" w14:textId="77777777" w:rsidTr="006823B2">
        <w:trPr>
          <w:trHeight w:val="5200"/>
        </w:trPr>
        <w:tc>
          <w:tcPr>
            <w:tcW w:w="4022" w:type="dxa"/>
          </w:tcPr>
          <w:p w14:paraId="1F0DE959" w14:textId="77777777" w:rsidR="00557FE0" w:rsidRPr="0053335B" w:rsidRDefault="00557FE0" w:rsidP="00557FE0">
            <w:pPr>
              <w:spacing w:line="288" w:lineRule="auto"/>
            </w:pPr>
            <w:r w:rsidRPr="0053335B">
              <w:t>In the Matter of the Application of</w:t>
            </w:r>
          </w:p>
          <w:p w14:paraId="73BDBDA4" w14:textId="77777777" w:rsidR="00557FE0" w:rsidRPr="0053335B" w:rsidRDefault="00557FE0" w:rsidP="00557FE0">
            <w:pPr>
              <w:spacing w:line="288" w:lineRule="auto"/>
            </w:pPr>
          </w:p>
          <w:p w14:paraId="51213344" w14:textId="77777777" w:rsidR="00557FE0" w:rsidRPr="0053335B" w:rsidRDefault="00557FE0" w:rsidP="00557FE0">
            <w:pPr>
              <w:spacing w:line="288" w:lineRule="auto"/>
            </w:pPr>
          </w:p>
          <w:p w14:paraId="01B886C2" w14:textId="3A1AAF3A" w:rsidR="00557FE0" w:rsidRPr="0053335B" w:rsidRDefault="00557FE0" w:rsidP="00557FE0">
            <w:pPr>
              <w:spacing w:line="288" w:lineRule="auto"/>
            </w:pPr>
            <w:r w:rsidRPr="0053335B">
              <w:t>T &amp; T PROFESSIONAL SERVICE aka WATER AND WASTEWATER MAN</w:t>
            </w:r>
            <w:r w:rsidR="007235A7">
              <w:t>A</w:t>
            </w:r>
            <w:r w:rsidRPr="0053335B">
              <w:t>GEMENT SERVICES, LLC, ROBERT THURSTON, and CHERI THURSTON</w:t>
            </w:r>
          </w:p>
          <w:p w14:paraId="1F1665CB" w14:textId="77777777" w:rsidR="00557FE0" w:rsidRPr="0053335B" w:rsidRDefault="00557FE0" w:rsidP="00557FE0">
            <w:pPr>
              <w:spacing w:line="288" w:lineRule="auto"/>
            </w:pPr>
          </w:p>
          <w:p w14:paraId="394BE1C2" w14:textId="77777777" w:rsidR="00557FE0" w:rsidRPr="0053335B" w:rsidRDefault="00557FE0" w:rsidP="00557FE0">
            <w:pPr>
              <w:spacing w:line="288" w:lineRule="auto"/>
            </w:pPr>
            <w:r w:rsidRPr="0053335B">
              <w:t>For an Order Approving the Transfer of Piper Water System, Pinewood Water System, and Lightmoor Court Water System</w:t>
            </w:r>
          </w:p>
          <w:p w14:paraId="2F20A51F" w14:textId="77777777" w:rsidR="00557FE0" w:rsidRPr="0053335B" w:rsidRDefault="00557FE0" w:rsidP="00557FE0">
            <w:pPr>
              <w:pStyle w:val="BodyText"/>
              <w:tabs>
                <w:tab w:val="left" w:pos="2174"/>
              </w:tabs>
              <w:spacing w:line="288" w:lineRule="auto"/>
            </w:pPr>
            <w:r w:rsidRPr="0053335B">
              <w:t>. . . . . . . . . . . . . . . . . . . . . . . . . . . . . . . .</w:t>
            </w:r>
          </w:p>
          <w:p w14:paraId="126B6158" w14:textId="77777777" w:rsidR="00557FE0" w:rsidRPr="0053335B" w:rsidRDefault="00557FE0" w:rsidP="005529B0">
            <w:pPr>
              <w:pStyle w:val="BodyText"/>
              <w:spacing w:line="288" w:lineRule="auto"/>
              <w:jc w:val="left"/>
              <w:rPr>
                <w:b/>
              </w:rPr>
            </w:pPr>
            <w:r w:rsidRPr="0053335B">
              <w:t>WASHINGTON UTILITIES AND TRANSPORTATION COMMISSION,</w:t>
            </w:r>
          </w:p>
          <w:p w14:paraId="3C822098" w14:textId="77777777" w:rsidR="00557FE0" w:rsidRPr="0053335B" w:rsidRDefault="00557FE0" w:rsidP="00557FE0">
            <w:pPr>
              <w:pStyle w:val="BodyText"/>
              <w:spacing w:line="288" w:lineRule="auto"/>
              <w:rPr>
                <w:b/>
              </w:rPr>
            </w:pPr>
          </w:p>
          <w:p w14:paraId="672946D3" w14:textId="77777777" w:rsidR="00557FE0" w:rsidRPr="0053335B" w:rsidRDefault="00557FE0" w:rsidP="00557FE0">
            <w:pPr>
              <w:pStyle w:val="BodyText"/>
              <w:tabs>
                <w:tab w:val="left" w:pos="2174"/>
              </w:tabs>
              <w:spacing w:line="288" w:lineRule="auto"/>
              <w:rPr>
                <w:b/>
              </w:rPr>
            </w:pPr>
            <w:r w:rsidRPr="0053335B">
              <w:tab/>
              <w:t>Complainant,</w:t>
            </w:r>
          </w:p>
          <w:p w14:paraId="358F042A" w14:textId="77777777" w:rsidR="00557FE0" w:rsidRPr="0053335B" w:rsidRDefault="00557FE0" w:rsidP="00557FE0">
            <w:pPr>
              <w:pStyle w:val="BodyText"/>
              <w:tabs>
                <w:tab w:val="left" w:pos="2174"/>
              </w:tabs>
              <w:spacing w:line="288" w:lineRule="auto"/>
            </w:pPr>
          </w:p>
          <w:p w14:paraId="4A9F8E3B" w14:textId="77777777" w:rsidR="00557FE0" w:rsidRPr="0053335B" w:rsidRDefault="00557FE0" w:rsidP="00557FE0">
            <w:pPr>
              <w:pStyle w:val="BodyText"/>
              <w:tabs>
                <w:tab w:val="left" w:pos="2174"/>
              </w:tabs>
              <w:spacing w:line="288" w:lineRule="auto"/>
            </w:pPr>
            <w:r w:rsidRPr="0053335B">
              <w:t>v.</w:t>
            </w:r>
          </w:p>
          <w:p w14:paraId="66205881" w14:textId="77777777" w:rsidR="00557FE0" w:rsidRPr="0053335B" w:rsidRDefault="00557FE0" w:rsidP="00557FE0">
            <w:pPr>
              <w:pStyle w:val="BodyText"/>
              <w:tabs>
                <w:tab w:val="left" w:pos="2174"/>
              </w:tabs>
              <w:spacing w:line="288" w:lineRule="auto"/>
            </w:pPr>
          </w:p>
          <w:p w14:paraId="01F03C5C" w14:textId="5DF14810" w:rsidR="00557FE0" w:rsidRPr="0053335B" w:rsidRDefault="00557FE0" w:rsidP="00557FE0">
            <w:pPr>
              <w:spacing w:line="288" w:lineRule="auto"/>
            </w:pPr>
            <w:r w:rsidRPr="0053335B">
              <w:t>T &amp; T PROFESSIONAL SERVICE aka WATER AND WASTEWATER MAN</w:t>
            </w:r>
            <w:r w:rsidR="005529B0">
              <w:t>A</w:t>
            </w:r>
            <w:r w:rsidRPr="0053335B">
              <w:t>GEMENT SERVICES, LLC, ROBERT THURSTON, and CHERI THURSTON</w:t>
            </w:r>
          </w:p>
          <w:p w14:paraId="784853AF" w14:textId="77777777" w:rsidR="00557FE0" w:rsidRPr="0053335B" w:rsidRDefault="00557FE0" w:rsidP="00557FE0">
            <w:pPr>
              <w:pStyle w:val="BodyText"/>
              <w:tabs>
                <w:tab w:val="left" w:pos="2174"/>
              </w:tabs>
              <w:spacing w:line="288" w:lineRule="auto"/>
            </w:pPr>
          </w:p>
          <w:p w14:paraId="0D7DDE64" w14:textId="77777777" w:rsidR="00A04C69" w:rsidRDefault="00557FE0" w:rsidP="00A04C69">
            <w:pPr>
              <w:spacing w:line="288" w:lineRule="auto"/>
            </w:pPr>
            <w:r w:rsidRPr="0053335B">
              <w:tab/>
              <w:t>Respondent.</w:t>
            </w:r>
          </w:p>
          <w:p w14:paraId="78C8FA63" w14:textId="30C95D00" w:rsidR="00892A0D" w:rsidRPr="0053335B" w:rsidRDefault="00892A0D" w:rsidP="00A04C69">
            <w:pPr>
              <w:spacing w:line="288" w:lineRule="auto"/>
            </w:pPr>
            <w:r w:rsidRPr="0053335B">
              <w:t>. . . . . . . . . . . . . . . .</w:t>
            </w:r>
            <w:r w:rsidR="004B4A82" w:rsidRPr="0053335B">
              <w:t xml:space="preserve"> . . . . . . . . . . . . . . </w:t>
            </w:r>
            <w:r w:rsidR="004C3BD5" w:rsidRPr="0053335B">
              <w:t xml:space="preserve">. . </w:t>
            </w:r>
          </w:p>
        </w:tc>
        <w:tc>
          <w:tcPr>
            <w:tcW w:w="296" w:type="dxa"/>
          </w:tcPr>
          <w:p w14:paraId="78C8FA64" w14:textId="77777777" w:rsidR="00892A0D" w:rsidRPr="0053335B" w:rsidRDefault="00892A0D" w:rsidP="001C4A06">
            <w:pPr>
              <w:pStyle w:val="BodyText"/>
              <w:spacing w:line="264" w:lineRule="auto"/>
              <w:jc w:val="left"/>
            </w:pPr>
            <w:r w:rsidRPr="0053335B">
              <w:t>)</w:t>
            </w:r>
          </w:p>
          <w:p w14:paraId="78C8FA65" w14:textId="77777777" w:rsidR="00892A0D" w:rsidRPr="0053335B" w:rsidRDefault="00892A0D" w:rsidP="001C4A06">
            <w:pPr>
              <w:pStyle w:val="BodyText"/>
              <w:spacing w:line="264" w:lineRule="auto"/>
              <w:jc w:val="left"/>
            </w:pPr>
            <w:r w:rsidRPr="0053335B">
              <w:t>)</w:t>
            </w:r>
          </w:p>
          <w:p w14:paraId="78C8FA66" w14:textId="77777777" w:rsidR="00892A0D" w:rsidRPr="0053335B" w:rsidRDefault="00892A0D" w:rsidP="001C4A06">
            <w:pPr>
              <w:pStyle w:val="BodyText"/>
              <w:spacing w:line="264" w:lineRule="auto"/>
              <w:jc w:val="left"/>
            </w:pPr>
            <w:r w:rsidRPr="0053335B">
              <w:t>)</w:t>
            </w:r>
          </w:p>
          <w:p w14:paraId="78C8FA67" w14:textId="77777777" w:rsidR="00892A0D" w:rsidRPr="0053335B" w:rsidRDefault="00892A0D" w:rsidP="001C4A06">
            <w:pPr>
              <w:pStyle w:val="BodyText"/>
              <w:spacing w:line="264" w:lineRule="auto"/>
              <w:jc w:val="left"/>
            </w:pPr>
            <w:r w:rsidRPr="0053335B">
              <w:t>)</w:t>
            </w:r>
          </w:p>
          <w:p w14:paraId="78C8FA68" w14:textId="77777777" w:rsidR="00892A0D" w:rsidRPr="0053335B" w:rsidRDefault="00892A0D" w:rsidP="001C4A06">
            <w:pPr>
              <w:pStyle w:val="BodyText"/>
              <w:spacing w:line="264" w:lineRule="auto"/>
              <w:jc w:val="left"/>
            </w:pPr>
            <w:r w:rsidRPr="0053335B">
              <w:t>)</w:t>
            </w:r>
          </w:p>
          <w:p w14:paraId="78C8FA69" w14:textId="77777777" w:rsidR="00892A0D" w:rsidRPr="0053335B" w:rsidRDefault="00892A0D" w:rsidP="001C4A06">
            <w:pPr>
              <w:pStyle w:val="BodyText"/>
              <w:spacing w:line="264" w:lineRule="auto"/>
              <w:jc w:val="left"/>
            </w:pPr>
            <w:r w:rsidRPr="0053335B">
              <w:t>)</w:t>
            </w:r>
          </w:p>
          <w:p w14:paraId="78C8FA6A" w14:textId="77777777" w:rsidR="00892A0D" w:rsidRPr="0053335B" w:rsidRDefault="00892A0D" w:rsidP="001C4A06">
            <w:pPr>
              <w:pStyle w:val="BodyText"/>
              <w:spacing w:line="264" w:lineRule="auto"/>
              <w:jc w:val="left"/>
            </w:pPr>
            <w:r w:rsidRPr="0053335B">
              <w:t>)</w:t>
            </w:r>
          </w:p>
          <w:p w14:paraId="78C8FA6B" w14:textId="77777777" w:rsidR="00892A0D" w:rsidRPr="0053335B" w:rsidRDefault="00892A0D" w:rsidP="001C4A06">
            <w:pPr>
              <w:pStyle w:val="BodyText"/>
              <w:spacing w:line="264" w:lineRule="auto"/>
              <w:jc w:val="left"/>
            </w:pPr>
            <w:r w:rsidRPr="0053335B">
              <w:t>)</w:t>
            </w:r>
          </w:p>
          <w:p w14:paraId="78C8FA6C" w14:textId="77777777" w:rsidR="00892A0D" w:rsidRPr="0053335B" w:rsidRDefault="00892A0D" w:rsidP="001C4A06">
            <w:pPr>
              <w:pStyle w:val="BodyText"/>
              <w:spacing w:line="264" w:lineRule="auto"/>
              <w:jc w:val="left"/>
            </w:pPr>
            <w:r w:rsidRPr="0053335B">
              <w:t>)</w:t>
            </w:r>
          </w:p>
          <w:p w14:paraId="78C8FA6D" w14:textId="77777777" w:rsidR="00892A0D" w:rsidRPr="0053335B" w:rsidRDefault="00892A0D" w:rsidP="001C4A06">
            <w:pPr>
              <w:pStyle w:val="BodyText"/>
              <w:spacing w:line="264" w:lineRule="auto"/>
              <w:jc w:val="left"/>
            </w:pPr>
            <w:r w:rsidRPr="0053335B">
              <w:t>)</w:t>
            </w:r>
          </w:p>
          <w:p w14:paraId="78C8FA6E" w14:textId="77777777" w:rsidR="00892A0D" w:rsidRPr="0053335B" w:rsidRDefault="00892A0D" w:rsidP="001C4A06">
            <w:pPr>
              <w:pStyle w:val="BodyText"/>
              <w:spacing w:line="264" w:lineRule="auto"/>
              <w:jc w:val="left"/>
            </w:pPr>
            <w:r w:rsidRPr="0053335B">
              <w:t>)</w:t>
            </w:r>
          </w:p>
          <w:p w14:paraId="538B1957" w14:textId="77777777" w:rsidR="000A30D2" w:rsidRPr="0053335B" w:rsidRDefault="002B5FB3" w:rsidP="001C4A06">
            <w:pPr>
              <w:pStyle w:val="BodyText"/>
              <w:spacing w:line="264" w:lineRule="auto"/>
              <w:jc w:val="left"/>
            </w:pPr>
            <w:r w:rsidRPr="0053335B">
              <w:t>)</w:t>
            </w:r>
          </w:p>
          <w:p w14:paraId="1A58100D" w14:textId="77777777" w:rsidR="002B5FB3" w:rsidRPr="0053335B" w:rsidRDefault="002B5FB3" w:rsidP="001C4A06">
            <w:pPr>
              <w:pStyle w:val="BodyText"/>
              <w:spacing w:line="264" w:lineRule="auto"/>
              <w:jc w:val="left"/>
            </w:pPr>
            <w:r w:rsidRPr="0053335B">
              <w:t>)</w:t>
            </w:r>
          </w:p>
          <w:p w14:paraId="655ED40D" w14:textId="77777777" w:rsidR="002B5FB3" w:rsidRPr="0053335B" w:rsidRDefault="002B5FB3" w:rsidP="001C4A06">
            <w:pPr>
              <w:pStyle w:val="BodyText"/>
              <w:spacing w:line="264" w:lineRule="auto"/>
              <w:jc w:val="left"/>
            </w:pPr>
            <w:r w:rsidRPr="0053335B">
              <w:t>)</w:t>
            </w:r>
          </w:p>
          <w:p w14:paraId="01F9E04D" w14:textId="77777777" w:rsidR="002B5FB3" w:rsidRPr="0053335B" w:rsidRDefault="002B5FB3" w:rsidP="001C4A06">
            <w:pPr>
              <w:pStyle w:val="BodyText"/>
              <w:spacing w:line="264" w:lineRule="auto"/>
              <w:jc w:val="left"/>
            </w:pPr>
            <w:r w:rsidRPr="0053335B">
              <w:t>)</w:t>
            </w:r>
          </w:p>
          <w:p w14:paraId="33267AFB" w14:textId="77777777" w:rsidR="002B5FB3" w:rsidRPr="0053335B" w:rsidRDefault="002B5FB3" w:rsidP="001C4A06">
            <w:pPr>
              <w:pStyle w:val="BodyText"/>
              <w:spacing w:line="264" w:lineRule="auto"/>
              <w:jc w:val="left"/>
            </w:pPr>
            <w:r w:rsidRPr="0053335B">
              <w:t>)</w:t>
            </w:r>
          </w:p>
          <w:p w14:paraId="0D94A80D" w14:textId="77777777" w:rsidR="002B5FB3" w:rsidRPr="0053335B" w:rsidRDefault="002B5FB3" w:rsidP="001C4A06">
            <w:pPr>
              <w:pStyle w:val="BodyText"/>
              <w:spacing w:line="264" w:lineRule="auto"/>
              <w:jc w:val="left"/>
            </w:pPr>
            <w:r w:rsidRPr="0053335B">
              <w:t>)</w:t>
            </w:r>
          </w:p>
          <w:p w14:paraId="5D0734FE" w14:textId="77777777" w:rsidR="002B5FB3" w:rsidRPr="0053335B" w:rsidRDefault="002B5FB3" w:rsidP="001C4A06">
            <w:pPr>
              <w:pStyle w:val="BodyText"/>
              <w:spacing w:line="264" w:lineRule="auto"/>
              <w:jc w:val="left"/>
            </w:pPr>
            <w:r w:rsidRPr="0053335B">
              <w:t>)</w:t>
            </w:r>
          </w:p>
          <w:p w14:paraId="35072CCF" w14:textId="77777777" w:rsidR="002B5FB3" w:rsidRPr="0053335B" w:rsidRDefault="002B5FB3" w:rsidP="001C4A06">
            <w:pPr>
              <w:pStyle w:val="BodyText"/>
              <w:spacing w:line="264" w:lineRule="auto"/>
              <w:jc w:val="left"/>
            </w:pPr>
            <w:r w:rsidRPr="0053335B">
              <w:t>)</w:t>
            </w:r>
          </w:p>
          <w:p w14:paraId="3E7DE895" w14:textId="77777777" w:rsidR="002B5FB3" w:rsidRPr="0053335B" w:rsidRDefault="002B5FB3" w:rsidP="001C4A06">
            <w:pPr>
              <w:pStyle w:val="BodyText"/>
              <w:spacing w:line="264" w:lineRule="auto"/>
              <w:jc w:val="left"/>
            </w:pPr>
            <w:r w:rsidRPr="0053335B">
              <w:t>)</w:t>
            </w:r>
          </w:p>
          <w:p w14:paraId="4C07058F" w14:textId="77777777" w:rsidR="002B5FB3" w:rsidRPr="0053335B" w:rsidRDefault="002B5FB3" w:rsidP="001C4A06">
            <w:pPr>
              <w:pStyle w:val="BodyText"/>
              <w:spacing w:line="264" w:lineRule="auto"/>
              <w:jc w:val="left"/>
            </w:pPr>
            <w:r w:rsidRPr="0053335B">
              <w:t>)</w:t>
            </w:r>
          </w:p>
          <w:p w14:paraId="2A11BB66" w14:textId="77777777" w:rsidR="002B5FB3" w:rsidRPr="0053335B" w:rsidRDefault="002B5FB3" w:rsidP="001C4A06">
            <w:pPr>
              <w:pStyle w:val="BodyText"/>
              <w:spacing w:line="264" w:lineRule="auto"/>
              <w:jc w:val="left"/>
            </w:pPr>
            <w:r w:rsidRPr="0053335B">
              <w:t>)</w:t>
            </w:r>
          </w:p>
          <w:p w14:paraId="760BBA8F" w14:textId="77777777" w:rsidR="004C3BD5" w:rsidRPr="0053335B" w:rsidRDefault="004B4A82" w:rsidP="001C4A06">
            <w:pPr>
              <w:pStyle w:val="BodyText"/>
              <w:spacing w:line="264" w:lineRule="auto"/>
              <w:jc w:val="left"/>
            </w:pPr>
            <w:r w:rsidRPr="0053335B">
              <w:t>)</w:t>
            </w:r>
          </w:p>
          <w:p w14:paraId="0D9D3ECC" w14:textId="77777777" w:rsidR="001C4A06" w:rsidRPr="0053335B" w:rsidRDefault="001C4A06" w:rsidP="001C4A06">
            <w:pPr>
              <w:pStyle w:val="BodyText"/>
              <w:spacing w:line="264" w:lineRule="auto"/>
              <w:jc w:val="left"/>
            </w:pPr>
            <w:r w:rsidRPr="0053335B">
              <w:t>)</w:t>
            </w:r>
          </w:p>
          <w:p w14:paraId="647ECD75" w14:textId="77777777" w:rsidR="00557FE0" w:rsidRPr="0053335B" w:rsidRDefault="00557FE0" w:rsidP="001C4A06">
            <w:pPr>
              <w:pStyle w:val="BodyText"/>
              <w:spacing w:line="264" w:lineRule="auto"/>
              <w:jc w:val="left"/>
            </w:pPr>
            <w:r w:rsidRPr="0053335B">
              <w:t>)</w:t>
            </w:r>
          </w:p>
          <w:p w14:paraId="717A7AE9" w14:textId="77777777" w:rsidR="00557FE0" w:rsidRPr="0053335B" w:rsidRDefault="00557FE0" w:rsidP="001C4A06">
            <w:pPr>
              <w:pStyle w:val="BodyText"/>
              <w:spacing w:line="264" w:lineRule="auto"/>
              <w:jc w:val="left"/>
            </w:pPr>
            <w:r w:rsidRPr="0053335B">
              <w:t>)</w:t>
            </w:r>
          </w:p>
          <w:p w14:paraId="4872AF0E" w14:textId="77777777" w:rsidR="00557FE0" w:rsidRPr="0053335B" w:rsidRDefault="00557FE0" w:rsidP="001C4A06">
            <w:pPr>
              <w:pStyle w:val="BodyText"/>
              <w:spacing w:line="264" w:lineRule="auto"/>
              <w:jc w:val="left"/>
            </w:pPr>
            <w:r w:rsidRPr="0053335B">
              <w:t>)</w:t>
            </w:r>
          </w:p>
          <w:p w14:paraId="45A62852" w14:textId="77777777" w:rsidR="00557FE0" w:rsidRPr="0053335B" w:rsidRDefault="00557FE0" w:rsidP="001C4A06">
            <w:pPr>
              <w:pStyle w:val="BodyText"/>
              <w:spacing w:line="264" w:lineRule="auto"/>
              <w:jc w:val="left"/>
            </w:pPr>
            <w:r w:rsidRPr="0053335B">
              <w:t>)</w:t>
            </w:r>
          </w:p>
          <w:p w14:paraId="32553D15" w14:textId="77777777" w:rsidR="00F938EE" w:rsidRDefault="00557FE0" w:rsidP="001C4A06">
            <w:pPr>
              <w:pStyle w:val="BodyText"/>
              <w:spacing w:line="264" w:lineRule="auto"/>
              <w:jc w:val="left"/>
            </w:pPr>
            <w:r w:rsidRPr="0053335B">
              <w:t>)</w:t>
            </w:r>
          </w:p>
          <w:p w14:paraId="47E088F9" w14:textId="0B152506" w:rsidR="00557FE0" w:rsidRDefault="00557FE0" w:rsidP="001C4A06">
            <w:pPr>
              <w:pStyle w:val="BodyText"/>
              <w:spacing w:line="264" w:lineRule="auto"/>
              <w:jc w:val="left"/>
            </w:pPr>
            <w:r w:rsidRPr="0053335B">
              <w:t>)</w:t>
            </w:r>
          </w:p>
          <w:p w14:paraId="78C8FA70" w14:textId="6132E41F" w:rsidR="00F938EE" w:rsidRPr="0053335B" w:rsidRDefault="005529B0" w:rsidP="001C4A06">
            <w:pPr>
              <w:pStyle w:val="BodyText"/>
              <w:spacing w:line="264" w:lineRule="auto"/>
              <w:jc w:val="left"/>
            </w:pPr>
            <w:r>
              <w:t>)</w:t>
            </w:r>
          </w:p>
        </w:tc>
        <w:tc>
          <w:tcPr>
            <w:tcW w:w="4232" w:type="dxa"/>
          </w:tcPr>
          <w:p w14:paraId="64AE0712" w14:textId="77777777" w:rsidR="00557FE0" w:rsidRPr="0053335B" w:rsidRDefault="00557FE0" w:rsidP="00557FE0">
            <w:pPr>
              <w:pStyle w:val="BodyText"/>
              <w:spacing w:line="288" w:lineRule="auto"/>
              <w:jc w:val="left"/>
              <w:rPr>
                <w:b/>
              </w:rPr>
            </w:pPr>
            <w:r w:rsidRPr="0053335B">
              <w:t>DOCKET UW-143617</w:t>
            </w:r>
          </w:p>
          <w:p w14:paraId="035234AE" w14:textId="77777777" w:rsidR="00557FE0" w:rsidRPr="0053335B" w:rsidRDefault="00557FE0" w:rsidP="00557FE0">
            <w:pPr>
              <w:pStyle w:val="BodyText"/>
              <w:spacing w:line="288" w:lineRule="auto"/>
              <w:jc w:val="left"/>
              <w:rPr>
                <w:b/>
              </w:rPr>
            </w:pPr>
            <w:r w:rsidRPr="0053335B">
              <w:t>(</w:t>
            </w:r>
            <w:r w:rsidRPr="0053335B">
              <w:rPr>
                <w:i/>
              </w:rPr>
              <w:t>Consolidated</w:t>
            </w:r>
            <w:r w:rsidRPr="0053335B">
              <w:t>)</w:t>
            </w:r>
            <w:r w:rsidRPr="0053335B">
              <w:rPr>
                <w:i/>
              </w:rPr>
              <w:t xml:space="preserve"> </w:t>
            </w:r>
          </w:p>
          <w:p w14:paraId="03BBA359" w14:textId="77777777" w:rsidR="00557FE0" w:rsidRPr="0053335B" w:rsidRDefault="00557FE0" w:rsidP="00557FE0">
            <w:pPr>
              <w:pStyle w:val="BodyText"/>
              <w:spacing w:line="288" w:lineRule="auto"/>
              <w:jc w:val="left"/>
              <w:rPr>
                <w:b/>
              </w:rPr>
            </w:pPr>
          </w:p>
          <w:p w14:paraId="50764049" w14:textId="49715DED" w:rsidR="00557FE0" w:rsidRPr="0053335B" w:rsidRDefault="00557FE0" w:rsidP="00557FE0">
            <w:pPr>
              <w:pStyle w:val="BodyText"/>
              <w:spacing w:line="288" w:lineRule="auto"/>
              <w:jc w:val="left"/>
              <w:rPr>
                <w:b/>
              </w:rPr>
            </w:pPr>
            <w:r w:rsidRPr="0053335B">
              <w:t>ORDER 0</w:t>
            </w:r>
            <w:r w:rsidR="00053FFE">
              <w:t>3</w:t>
            </w:r>
          </w:p>
          <w:p w14:paraId="638D0EC5" w14:textId="77777777" w:rsidR="00557FE0" w:rsidRPr="0053335B" w:rsidRDefault="00557FE0" w:rsidP="00557FE0">
            <w:pPr>
              <w:pStyle w:val="BodyText"/>
              <w:spacing w:line="288" w:lineRule="auto"/>
            </w:pPr>
          </w:p>
          <w:p w14:paraId="78C8FA75" w14:textId="77777777" w:rsidR="00892A0D" w:rsidRPr="0053335B" w:rsidRDefault="00892A0D" w:rsidP="001C4A06">
            <w:pPr>
              <w:pStyle w:val="BodyText"/>
              <w:spacing w:line="264" w:lineRule="auto"/>
              <w:jc w:val="left"/>
            </w:pPr>
          </w:p>
          <w:p w14:paraId="78C8FA76" w14:textId="77777777" w:rsidR="00CC64FE" w:rsidRPr="0053335B" w:rsidRDefault="00CC64FE" w:rsidP="001C4A06">
            <w:pPr>
              <w:pStyle w:val="BodyText"/>
              <w:spacing w:line="264" w:lineRule="auto"/>
              <w:jc w:val="left"/>
            </w:pPr>
          </w:p>
          <w:p w14:paraId="78C8FA78" w14:textId="77777777" w:rsidR="006D2993" w:rsidRPr="0053335B" w:rsidRDefault="006D2993" w:rsidP="001C4A06">
            <w:pPr>
              <w:spacing w:line="264" w:lineRule="auto"/>
              <w:rPr>
                <w:b/>
              </w:rPr>
            </w:pPr>
          </w:p>
          <w:p w14:paraId="0BAC60DE" w14:textId="77777777" w:rsidR="00892A0D" w:rsidRPr="0053335B" w:rsidRDefault="00892A0D" w:rsidP="001C4A06">
            <w:pPr>
              <w:pStyle w:val="BodyText"/>
              <w:spacing w:line="264" w:lineRule="auto"/>
              <w:jc w:val="left"/>
            </w:pPr>
          </w:p>
          <w:p w14:paraId="6F0CCAB6" w14:textId="77777777" w:rsidR="002B0C40" w:rsidRPr="0053335B" w:rsidRDefault="002B0C40" w:rsidP="001C4A06">
            <w:pPr>
              <w:pStyle w:val="BodyText"/>
              <w:spacing w:line="264" w:lineRule="auto"/>
              <w:jc w:val="left"/>
            </w:pPr>
          </w:p>
          <w:p w14:paraId="58C997F2" w14:textId="77777777" w:rsidR="002B0C40" w:rsidRPr="0053335B" w:rsidRDefault="002B0C40" w:rsidP="001C4A06">
            <w:pPr>
              <w:pStyle w:val="BodyText"/>
              <w:spacing w:line="264" w:lineRule="auto"/>
              <w:jc w:val="left"/>
            </w:pPr>
          </w:p>
          <w:p w14:paraId="2E186D8B" w14:textId="77777777" w:rsidR="002B0C40" w:rsidRPr="0053335B" w:rsidRDefault="002B0C40" w:rsidP="001C4A06">
            <w:pPr>
              <w:pStyle w:val="BodyText"/>
              <w:spacing w:line="264" w:lineRule="auto"/>
              <w:jc w:val="left"/>
            </w:pPr>
          </w:p>
          <w:p w14:paraId="7A2F2B62" w14:textId="77777777" w:rsidR="002B0C40" w:rsidRPr="0053335B" w:rsidRDefault="002B0C40" w:rsidP="001C4A06">
            <w:pPr>
              <w:pStyle w:val="BodyText"/>
              <w:spacing w:line="264" w:lineRule="auto"/>
              <w:jc w:val="left"/>
            </w:pPr>
          </w:p>
          <w:p w14:paraId="7EA05026" w14:textId="77777777" w:rsidR="002B0C40" w:rsidRDefault="002B0C40" w:rsidP="001C4A06">
            <w:pPr>
              <w:pStyle w:val="BodyText"/>
              <w:spacing w:line="264" w:lineRule="auto"/>
              <w:jc w:val="left"/>
            </w:pPr>
          </w:p>
          <w:p w14:paraId="53B27062" w14:textId="77777777" w:rsidR="00A04C69" w:rsidRPr="0053335B" w:rsidRDefault="00A04C69" w:rsidP="001C4A06">
            <w:pPr>
              <w:pStyle w:val="BodyText"/>
              <w:spacing w:line="264" w:lineRule="auto"/>
              <w:jc w:val="left"/>
            </w:pPr>
          </w:p>
          <w:p w14:paraId="0ED5EBE4" w14:textId="77777777" w:rsidR="00557FE0" w:rsidRPr="0053335B" w:rsidRDefault="00557FE0" w:rsidP="00557FE0">
            <w:pPr>
              <w:pStyle w:val="BodyText"/>
              <w:spacing w:line="288" w:lineRule="auto"/>
              <w:jc w:val="left"/>
              <w:rPr>
                <w:b/>
              </w:rPr>
            </w:pPr>
            <w:r w:rsidRPr="0053335B">
              <w:t>Docket UW-150791</w:t>
            </w:r>
          </w:p>
          <w:p w14:paraId="3FC73ECE" w14:textId="77777777" w:rsidR="00557FE0" w:rsidRPr="0053335B" w:rsidRDefault="00557FE0" w:rsidP="00557FE0">
            <w:pPr>
              <w:pStyle w:val="BodyText"/>
              <w:spacing w:line="288" w:lineRule="auto"/>
              <w:jc w:val="left"/>
              <w:rPr>
                <w:b/>
              </w:rPr>
            </w:pPr>
            <w:r w:rsidRPr="0053335B">
              <w:t>(</w:t>
            </w:r>
            <w:r w:rsidRPr="0053335B">
              <w:rPr>
                <w:i/>
              </w:rPr>
              <w:t>Consolidated</w:t>
            </w:r>
            <w:r w:rsidRPr="0053335B">
              <w:t>)</w:t>
            </w:r>
            <w:r w:rsidRPr="0053335B">
              <w:rPr>
                <w:i/>
              </w:rPr>
              <w:t xml:space="preserve"> </w:t>
            </w:r>
          </w:p>
          <w:p w14:paraId="59C1286C" w14:textId="77777777" w:rsidR="00557FE0" w:rsidRPr="0053335B" w:rsidRDefault="00557FE0" w:rsidP="00557FE0">
            <w:pPr>
              <w:pStyle w:val="BodyText"/>
              <w:spacing w:line="288" w:lineRule="auto"/>
              <w:jc w:val="left"/>
              <w:rPr>
                <w:b/>
              </w:rPr>
            </w:pPr>
          </w:p>
          <w:p w14:paraId="62388AED" w14:textId="6683CAA5" w:rsidR="00557FE0" w:rsidRPr="0053335B" w:rsidRDefault="00557FE0" w:rsidP="00557FE0">
            <w:pPr>
              <w:pStyle w:val="BodyText"/>
              <w:spacing w:line="288" w:lineRule="auto"/>
              <w:jc w:val="left"/>
              <w:rPr>
                <w:b/>
              </w:rPr>
            </w:pPr>
            <w:r w:rsidRPr="0053335B">
              <w:t>ORDER 0</w:t>
            </w:r>
            <w:r w:rsidR="00053FFE">
              <w:t>3</w:t>
            </w:r>
          </w:p>
          <w:p w14:paraId="672FC441" w14:textId="77777777" w:rsidR="002B0C40" w:rsidRDefault="002B0C40" w:rsidP="001C4A06">
            <w:pPr>
              <w:spacing w:line="264" w:lineRule="auto"/>
            </w:pPr>
          </w:p>
          <w:p w14:paraId="5B7C9913" w14:textId="77777777" w:rsidR="00F938EE" w:rsidRDefault="00F938EE" w:rsidP="001C4A06">
            <w:pPr>
              <w:spacing w:line="264" w:lineRule="auto"/>
            </w:pPr>
          </w:p>
          <w:p w14:paraId="56096064" w14:textId="77777777" w:rsidR="00F938EE" w:rsidRPr="0053335B" w:rsidRDefault="00F938EE" w:rsidP="001C4A06">
            <w:pPr>
              <w:spacing w:line="264" w:lineRule="auto"/>
            </w:pPr>
          </w:p>
          <w:p w14:paraId="1713F882" w14:textId="02C9487F" w:rsidR="00EF0E86" w:rsidRPr="0053335B" w:rsidRDefault="00053FFE" w:rsidP="001C4A06">
            <w:pPr>
              <w:spacing w:line="264" w:lineRule="auto"/>
            </w:pPr>
            <w:r>
              <w:t>INITIAL ORDER DENYING APPLICATION</w:t>
            </w:r>
            <w:r w:rsidR="001E17BA">
              <w:t>; SUSPENDING PENALTY ON CONDITION OF FUTURE COMPLIANCE</w:t>
            </w:r>
          </w:p>
          <w:p w14:paraId="78C8FA79" w14:textId="2127C552" w:rsidR="002B0C40" w:rsidRPr="0053335B" w:rsidRDefault="002B0C40" w:rsidP="001C4A06">
            <w:pPr>
              <w:spacing w:line="264" w:lineRule="auto"/>
              <w:ind w:right="162"/>
            </w:pPr>
          </w:p>
        </w:tc>
      </w:tr>
    </w:tbl>
    <w:p w14:paraId="5B529ADA" w14:textId="1265B66C" w:rsidR="001C4A06" w:rsidRPr="0053335B" w:rsidRDefault="001C4A06" w:rsidP="006823B2">
      <w:pPr>
        <w:jc w:val="center"/>
        <w:rPr>
          <w:b/>
        </w:rPr>
      </w:pPr>
    </w:p>
    <w:p w14:paraId="78C8FA7C" w14:textId="7AC08624" w:rsidR="00434B19" w:rsidRPr="0053335B" w:rsidRDefault="00392CB6" w:rsidP="00392CB6">
      <w:pPr>
        <w:jc w:val="center"/>
      </w:pPr>
      <w:r w:rsidRPr="0053335B">
        <w:rPr>
          <w:b/>
        </w:rPr>
        <w:t>BACKGROUND</w:t>
      </w:r>
    </w:p>
    <w:p w14:paraId="78C8FA7D" w14:textId="77777777" w:rsidR="001C5C92" w:rsidRPr="0053335B" w:rsidRDefault="001C5C92" w:rsidP="00892A0D"/>
    <w:p w14:paraId="32F56EFD" w14:textId="56DD9619" w:rsidR="00E1296F" w:rsidRDefault="00557FE0" w:rsidP="00A04C69">
      <w:pPr>
        <w:numPr>
          <w:ilvl w:val="0"/>
          <w:numId w:val="2"/>
        </w:numPr>
        <w:spacing w:line="288" w:lineRule="auto"/>
      </w:pPr>
      <w:r w:rsidRPr="0053335B">
        <w:t xml:space="preserve">On July 25, 2014, T &amp; T Professional Service aka Water and Wastewater Management Services, LLC (T &amp; T Professional Service or Company), filed with the Washington Utilities and Transportation Commission (Commission) an application to </w:t>
      </w:r>
      <w:r w:rsidR="00880A5B">
        <w:t xml:space="preserve">cease operations and </w:t>
      </w:r>
      <w:r w:rsidRPr="0053335B">
        <w:t>transfer</w:t>
      </w:r>
      <w:r w:rsidR="00880A5B">
        <w:t xml:space="preserve"> ownership </w:t>
      </w:r>
      <w:r w:rsidRPr="0053335B">
        <w:t xml:space="preserve">of its three water systems – Piper Water System, Pinewood Water </w:t>
      </w:r>
      <w:r w:rsidRPr="0053335B">
        <w:lastRenderedPageBreak/>
        <w:t>System, and Lightmoor Court Water System –</w:t>
      </w:r>
      <w:r w:rsidR="00FA5BF6">
        <w:t xml:space="preserve"> </w:t>
      </w:r>
      <w:r w:rsidR="00BC7C82" w:rsidRPr="0053335B">
        <w:t>with</w:t>
      </w:r>
      <w:r w:rsidRPr="0053335B">
        <w:t xml:space="preserve"> a proposed effective date of June 17, 2015</w:t>
      </w:r>
      <w:r w:rsidR="00053FFE">
        <w:t xml:space="preserve"> (Application)</w:t>
      </w:r>
      <w:r w:rsidRPr="0053335B">
        <w:t>.</w:t>
      </w:r>
      <w:r w:rsidR="001314D8">
        <w:rPr>
          <w:rStyle w:val="FootnoteReference"/>
        </w:rPr>
        <w:footnoteReference w:id="1"/>
      </w:r>
      <w:r w:rsidR="00BE3B79">
        <w:t xml:space="preserve"> The Application proposed to transfer ownership of each water system to </w:t>
      </w:r>
      <w:r w:rsidR="009832E8">
        <w:t>its respective c</w:t>
      </w:r>
      <w:r w:rsidR="005B1093">
        <w:t>ustomer</w:t>
      </w:r>
      <w:r w:rsidR="00FA5BF6">
        <w:t>s</w:t>
      </w:r>
      <w:r w:rsidR="00BE3B79">
        <w:t xml:space="preserve">. </w:t>
      </w:r>
    </w:p>
    <w:p w14:paraId="0DD422D7" w14:textId="77777777" w:rsidR="00A04C69" w:rsidRDefault="00A04C69" w:rsidP="00A04C69">
      <w:pPr>
        <w:spacing w:line="288" w:lineRule="auto"/>
      </w:pPr>
    </w:p>
    <w:p w14:paraId="78C8FA7E" w14:textId="1D5C7810" w:rsidR="004059E6" w:rsidRDefault="00E1296F" w:rsidP="007216A8">
      <w:pPr>
        <w:numPr>
          <w:ilvl w:val="0"/>
          <w:numId w:val="2"/>
        </w:numPr>
        <w:spacing w:line="288" w:lineRule="auto"/>
      </w:pPr>
      <w:r>
        <w:t xml:space="preserve">On May 20, 2015, the Commission issued a $1,000 penalty </w:t>
      </w:r>
      <w:r w:rsidR="008C7F45">
        <w:t xml:space="preserve">in Docket UW-150791 </w:t>
      </w:r>
      <w:r>
        <w:t xml:space="preserve">against </w:t>
      </w:r>
      <w:r w:rsidR="000C22D6">
        <w:br/>
      </w:r>
      <w:r>
        <w:t xml:space="preserve">T &amp; T Professional Service for failing to file </w:t>
      </w:r>
      <w:r w:rsidR="009832E8">
        <w:t xml:space="preserve">an </w:t>
      </w:r>
      <w:r>
        <w:t>annual report and pay regulatory fees by the May 1, 2015, deadline. On June 9, the Company filed its annual report with no regulatory fees owed.</w:t>
      </w:r>
      <w:r w:rsidR="008C7F45">
        <w:t xml:space="preserve"> That same day, the Company filed with the Commission </w:t>
      </w:r>
      <w:r w:rsidR="005065E2">
        <w:t>a request</w:t>
      </w:r>
      <w:r w:rsidR="008C7F45">
        <w:t xml:space="preserve"> for mitigation of </w:t>
      </w:r>
      <w:r w:rsidR="005065E2">
        <w:t>the penalty</w:t>
      </w:r>
      <w:r w:rsidR="008C7F45">
        <w:t>, admitting the violations and requesting a hearin</w:t>
      </w:r>
      <w:r w:rsidR="00880A5B">
        <w:t>g to explain the circumstances that gave rise to the violations.</w:t>
      </w:r>
    </w:p>
    <w:p w14:paraId="093E0367" w14:textId="77777777" w:rsidR="006823B2" w:rsidRPr="0053335B" w:rsidRDefault="006823B2" w:rsidP="006823B2">
      <w:pPr>
        <w:spacing w:line="288" w:lineRule="auto"/>
      </w:pPr>
    </w:p>
    <w:p w14:paraId="0D275361" w14:textId="6051E701" w:rsidR="009F3D95" w:rsidRDefault="00E1296F" w:rsidP="006239F9">
      <w:pPr>
        <w:numPr>
          <w:ilvl w:val="0"/>
          <w:numId w:val="2"/>
        </w:numPr>
        <w:spacing w:line="288" w:lineRule="auto"/>
      </w:pPr>
      <w:r>
        <w:t xml:space="preserve">On June 11, 2015, the Company’s </w:t>
      </w:r>
      <w:r w:rsidR="00BE7835">
        <w:t xml:space="preserve">Application was </w:t>
      </w:r>
      <w:r>
        <w:t>presented</w:t>
      </w:r>
      <w:r w:rsidR="00BE7835">
        <w:t xml:space="preserve"> </w:t>
      </w:r>
      <w:r w:rsidR="007235A7">
        <w:t>at the Commission’s regularly scheduled open meeting</w:t>
      </w:r>
      <w:r w:rsidR="00537EDF">
        <w:t xml:space="preserve"> </w:t>
      </w:r>
      <w:r w:rsidR="00A22A74">
        <w:t xml:space="preserve">and referred for </w:t>
      </w:r>
      <w:r w:rsidR="007235A7">
        <w:t>adjudication. That same day</w:t>
      </w:r>
      <w:r w:rsidR="00557FE0" w:rsidRPr="0053335B">
        <w:t>, the Commission issued a Notice of Prehearing Conference on shortened notice, set for June 15, 2015, at 10:30 a.m.</w:t>
      </w:r>
    </w:p>
    <w:p w14:paraId="4117EDFA" w14:textId="77777777" w:rsidR="006823B2" w:rsidRPr="0053335B" w:rsidRDefault="006823B2" w:rsidP="006823B2">
      <w:pPr>
        <w:spacing w:line="288" w:lineRule="auto"/>
      </w:pPr>
    </w:p>
    <w:p w14:paraId="3AD4757D" w14:textId="0A3AEAA9" w:rsidR="00053FFE" w:rsidRDefault="004059E6" w:rsidP="006239F9">
      <w:pPr>
        <w:numPr>
          <w:ilvl w:val="0"/>
          <w:numId w:val="2"/>
        </w:numPr>
        <w:spacing w:line="288" w:lineRule="auto"/>
      </w:pPr>
      <w:r w:rsidRPr="0053335B">
        <w:t>The Commission convened a prehearing conference o</w:t>
      </w:r>
      <w:r w:rsidR="00557FE0" w:rsidRPr="0053335B">
        <w:t>n June 15, 2015</w:t>
      </w:r>
      <w:r w:rsidRPr="0053335B">
        <w:t xml:space="preserve">, </w:t>
      </w:r>
      <w:r w:rsidR="00537EDF">
        <w:t>during which it</w:t>
      </w:r>
      <w:r w:rsidR="0053335B">
        <w:t xml:space="preserve"> </w:t>
      </w:r>
      <w:r w:rsidR="00BE7835">
        <w:t xml:space="preserve">consolidated Dockets UW-143617 and UW-150791, </w:t>
      </w:r>
      <w:r w:rsidR="0053335B" w:rsidRPr="0053335B">
        <w:t>granted Robin Moeur’s petition to intervene on behalf of the Piper Water System</w:t>
      </w:r>
      <w:r w:rsidR="00880A5B">
        <w:t xml:space="preserve"> in Docket UW-143617</w:t>
      </w:r>
      <w:r w:rsidR="00BE7835">
        <w:t xml:space="preserve">, </w:t>
      </w:r>
      <w:r w:rsidR="0053335B">
        <w:t xml:space="preserve">and </w:t>
      </w:r>
      <w:r w:rsidR="006239F9" w:rsidRPr="0053335B">
        <w:t>adopted a procedural schedule</w:t>
      </w:r>
      <w:r w:rsidR="00557FE0" w:rsidRPr="0053335B">
        <w:t>.</w:t>
      </w:r>
      <w:r w:rsidR="009F3D95" w:rsidRPr="0053335B">
        <w:t xml:space="preserve"> </w:t>
      </w:r>
      <w:r w:rsidR="00053FFE">
        <w:t>On June 25, 2015, the Commission issued Order 02, granting Jason Younker’s P</w:t>
      </w:r>
      <w:r w:rsidR="00053FFE" w:rsidRPr="0053335B">
        <w:t xml:space="preserve">etition to </w:t>
      </w:r>
      <w:r w:rsidR="00053FFE">
        <w:t>I</w:t>
      </w:r>
      <w:r w:rsidR="00053FFE" w:rsidRPr="0053335B">
        <w:t>ntervene on behalf of the Lightmoor Court Water System</w:t>
      </w:r>
      <w:r w:rsidR="00880A5B">
        <w:t xml:space="preserve"> in Docket UW-143617</w:t>
      </w:r>
      <w:r w:rsidR="00053FFE" w:rsidRPr="0053335B">
        <w:t>.</w:t>
      </w:r>
    </w:p>
    <w:p w14:paraId="11490B1F" w14:textId="77777777" w:rsidR="006823B2" w:rsidRDefault="006823B2" w:rsidP="006823B2">
      <w:pPr>
        <w:spacing w:line="288" w:lineRule="auto"/>
      </w:pPr>
    </w:p>
    <w:p w14:paraId="7FDD2A57" w14:textId="395A8FAF" w:rsidR="00053FFE" w:rsidRDefault="00053FFE" w:rsidP="006239F9">
      <w:pPr>
        <w:numPr>
          <w:ilvl w:val="0"/>
          <w:numId w:val="2"/>
        </w:numPr>
        <w:spacing w:line="288" w:lineRule="auto"/>
      </w:pPr>
      <w:r>
        <w:t xml:space="preserve">On July 31, 2015, the Commission rescheduled the brief adjudicative proceeding at the parties’ request, conditioned on the Company’s agreement to waive the statutory deadline for the Commission to act on the Application and extend it until January 25, 2016. </w:t>
      </w:r>
    </w:p>
    <w:p w14:paraId="62470609" w14:textId="77777777" w:rsidR="006823B2" w:rsidRDefault="006823B2" w:rsidP="006823B2">
      <w:pPr>
        <w:spacing w:line="288" w:lineRule="auto"/>
      </w:pPr>
    </w:p>
    <w:p w14:paraId="7F723218" w14:textId="6F739AA7" w:rsidR="001C5AE4" w:rsidRDefault="00053FFE" w:rsidP="00306E24">
      <w:pPr>
        <w:numPr>
          <w:ilvl w:val="0"/>
          <w:numId w:val="2"/>
        </w:numPr>
        <w:spacing w:line="288" w:lineRule="auto"/>
      </w:pPr>
      <w:r>
        <w:t xml:space="preserve">On August 28, 2015, the Commission conducted a brief adjudicative proceeding before Administrative Law Judge Rayne Pearson. </w:t>
      </w:r>
      <w:r w:rsidR="009832E8">
        <w:t xml:space="preserve">At </w:t>
      </w:r>
      <w:r w:rsidR="000C22D6">
        <w:t xml:space="preserve">the </w:t>
      </w:r>
      <w:r w:rsidR="009832E8">
        <w:t xml:space="preserve">hearing, the Company </w:t>
      </w:r>
      <w:r w:rsidR="005065E2">
        <w:t>offered</w:t>
      </w:r>
      <w:r w:rsidR="009832E8">
        <w:t xml:space="preserve"> no </w:t>
      </w:r>
      <w:r w:rsidR="005065E2">
        <w:t>testimony</w:t>
      </w:r>
      <w:r w:rsidR="009832E8">
        <w:t xml:space="preserve"> or evidence to support its Application</w:t>
      </w:r>
      <w:r w:rsidR="00FA5BF6">
        <w:t>, but</w:t>
      </w:r>
      <w:r w:rsidR="00AE2E35">
        <w:t xml:space="preserve"> </w:t>
      </w:r>
      <w:r w:rsidR="001C5AE4">
        <w:t xml:space="preserve">briefly explained that </w:t>
      </w:r>
      <w:r w:rsidR="00FA5BF6">
        <w:t>it</w:t>
      </w:r>
      <w:r w:rsidR="001C5AE4">
        <w:t xml:space="preserve"> </w:t>
      </w:r>
      <w:r w:rsidR="00AE2E35">
        <w:t>i</w:t>
      </w:r>
      <w:r w:rsidR="001C5AE4">
        <w:t xml:space="preserve">s working with </w:t>
      </w:r>
      <w:r w:rsidR="00FA5BF6">
        <w:t xml:space="preserve">the customers of </w:t>
      </w:r>
      <w:r w:rsidR="001C5AE4">
        <w:t>each water system to negotiate t</w:t>
      </w:r>
      <w:r w:rsidR="00AE2E35">
        <w:t>ransfer agreement</w:t>
      </w:r>
      <w:r w:rsidR="000C22D6">
        <w:t>s</w:t>
      </w:r>
      <w:r w:rsidR="001C5AE4">
        <w:t>.</w:t>
      </w:r>
      <w:r w:rsidR="009832E8">
        <w:t xml:space="preserve"> </w:t>
      </w:r>
    </w:p>
    <w:p w14:paraId="4100FC64" w14:textId="77777777" w:rsidR="006823B2" w:rsidRDefault="006823B2" w:rsidP="006823B2">
      <w:pPr>
        <w:spacing w:line="288" w:lineRule="auto"/>
      </w:pPr>
    </w:p>
    <w:p w14:paraId="3C201DDD" w14:textId="5FA8C791" w:rsidR="009F47AF" w:rsidRDefault="009832E8" w:rsidP="00306E24">
      <w:pPr>
        <w:numPr>
          <w:ilvl w:val="0"/>
          <w:numId w:val="2"/>
        </w:numPr>
        <w:spacing w:line="288" w:lineRule="auto"/>
      </w:pPr>
      <w:r>
        <w:lastRenderedPageBreak/>
        <w:t xml:space="preserve">Commission staff (Staff) </w:t>
      </w:r>
      <w:r w:rsidR="001C5AE4">
        <w:t>witness Jim Ward</w:t>
      </w:r>
      <w:r w:rsidR="007A086B">
        <w:t xml:space="preserve"> </w:t>
      </w:r>
      <w:r w:rsidR="001C5AE4">
        <w:t xml:space="preserve">testified that </w:t>
      </w:r>
      <w:r w:rsidR="00BA4FE6">
        <w:t xml:space="preserve">although the Company is having ongoing discussions with </w:t>
      </w:r>
      <w:r w:rsidR="000C22D6">
        <w:t xml:space="preserve">customers of </w:t>
      </w:r>
      <w:r w:rsidR="00AE2E35">
        <w:t xml:space="preserve">both </w:t>
      </w:r>
      <w:r w:rsidR="00BA4FE6">
        <w:t xml:space="preserve">the Piper </w:t>
      </w:r>
      <w:r w:rsidR="007A086B">
        <w:t>and Lightmoor Court Water System</w:t>
      </w:r>
      <w:r w:rsidR="000C22D6">
        <w:t>s</w:t>
      </w:r>
      <w:r w:rsidR="00BA4FE6">
        <w:t xml:space="preserve"> and has reached a</w:t>
      </w:r>
      <w:r w:rsidR="00880A5B">
        <w:t xml:space="preserve"> preliminary agreement with </w:t>
      </w:r>
      <w:r w:rsidR="00BA4FE6">
        <w:t xml:space="preserve">Pinewood Water System customers, there are </w:t>
      </w:r>
      <w:r w:rsidR="000C22D6">
        <w:t xml:space="preserve">no </w:t>
      </w:r>
      <w:r w:rsidR="007A086B">
        <w:t xml:space="preserve">final </w:t>
      </w:r>
      <w:r w:rsidR="00BA4FE6">
        <w:t xml:space="preserve">agreements to transfer </w:t>
      </w:r>
      <w:r w:rsidR="007A086B">
        <w:t xml:space="preserve">ownership </w:t>
      </w:r>
      <w:r w:rsidR="005065E2">
        <w:t>for</w:t>
      </w:r>
      <w:r w:rsidR="00AE2E35">
        <w:t xml:space="preserve"> </w:t>
      </w:r>
      <w:r w:rsidR="000C22D6">
        <w:t xml:space="preserve">any of </w:t>
      </w:r>
      <w:r w:rsidR="00AE2E35">
        <w:t xml:space="preserve">the </w:t>
      </w:r>
      <w:r w:rsidR="005B1093">
        <w:t xml:space="preserve">three </w:t>
      </w:r>
      <w:r w:rsidR="00AE2E35">
        <w:t>water</w:t>
      </w:r>
      <w:r w:rsidR="007A086B">
        <w:t xml:space="preserve"> systems</w:t>
      </w:r>
      <w:r w:rsidR="00BA4FE6">
        <w:t>. Accordingly, Staff recommends denying the Application.</w:t>
      </w:r>
    </w:p>
    <w:p w14:paraId="68FCDD44" w14:textId="77777777" w:rsidR="006823B2" w:rsidRDefault="006823B2" w:rsidP="006823B2">
      <w:pPr>
        <w:spacing w:line="288" w:lineRule="auto"/>
      </w:pPr>
    </w:p>
    <w:p w14:paraId="79A78CCC" w14:textId="60A016CB" w:rsidR="007A086B" w:rsidRDefault="009F47AF" w:rsidP="00306E24">
      <w:pPr>
        <w:numPr>
          <w:ilvl w:val="0"/>
          <w:numId w:val="2"/>
        </w:numPr>
        <w:spacing w:line="288" w:lineRule="auto"/>
      </w:pPr>
      <w:r>
        <w:t xml:space="preserve">Ms. Moeur testified that no final agreement has been reached to transfer the Piper </w:t>
      </w:r>
      <w:r w:rsidR="00CB0B25">
        <w:t>Water System. Vivienne Alpaugh ap</w:t>
      </w:r>
      <w:r w:rsidR="00FD0640">
        <w:t>peared on behalf of Mr. Younker</w:t>
      </w:r>
      <w:r w:rsidR="00CB0B25">
        <w:t xml:space="preserve"> and </w:t>
      </w:r>
      <w:r w:rsidR="00FD0640">
        <w:t>explained that no final agreement has been reached to transfer the Lightmoor Court Water System.</w:t>
      </w:r>
    </w:p>
    <w:p w14:paraId="78975318" w14:textId="77777777" w:rsidR="006823B2" w:rsidRDefault="006823B2" w:rsidP="006823B2">
      <w:pPr>
        <w:spacing w:line="288" w:lineRule="auto"/>
      </w:pPr>
    </w:p>
    <w:p w14:paraId="4ABF91BE" w14:textId="3757FB17" w:rsidR="00BE3B79" w:rsidRDefault="007A086B" w:rsidP="00306E24">
      <w:pPr>
        <w:numPr>
          <w:ilvl w:val="0"/>
          <w:numId w:val="2"/>
        </w:numPr>
        <w:spacing w:line="288" w:lineRule="auto"/>
      </w:pPr>
      <w:r>
        <w:t>With respect to the $1,000 penalty issued in Docket UW-150791, Staff recommends suspending the penalty for a period of one year, and then waiving it, provided the Company files its 2015 annual report a</w:t>
      </w:r>
      <w:r w:rsidR="00880A5B">
        <w:t xml:space="preserve">nd pays any regulatory fees owed </w:t>
      </w:r>
      <w:r>
        <w:t xml:space="preserve">by May </w:t>
      </w:r>
      <w:r w:rsidR="001C6A8B">
        <w:t>2</w:t>
      </w:r>
      <w:r>
        <w:t>, 2016.</w:t>
      </w:r>
      <w:r w:rsidR="001C6A8B" w:rsidRPr="001C6A8B">
        <w:rPr>
          <w:rStyle w:val="FootnoteReference"/>
        </w:rPr>
        <w:t xml:space="preserve"> </w:t>
      </w:r>
      <w:r w:rsidR="001C6A8B">
        <w:rPr>
          <w:rStyle w:val="FootnoteReference"/>
        </w:rPr>
        <w:footnoteReference w:id="2"/>
      </w:r>
      <w:r>
        <w:t xml:space="preserve"> The Company </w:t>
      </w:r>
      <w:r w:rsidR="005065E2">
        <w:t>supports</w:t>
      </w:r>
      <w:r>
        <w:t xml:space="preserve"> Staff’s recommendation. </w:t>
      </w:r>
    </w:p>
    <w:p w14:paraId="45487760" w14:textId="77777777" w:rsidR="006823B2" w:rsidRDefault="006823B2" w:rsidP="006823B2">
      <w:pPr>
        <w:spacing w:line="288" w:lineRule="auto"/>
      </w:pPr>
    </w:p>
    <w:p w14:paraId="1F693F99" w14:textId="28112CD5" w:rsidR="009832E8" w:rsidRDefault="00BE3B79" w:rsidP="009832E8">
      <w:pPr>
        <w:numPr>
          <w:ilvl w:val="0"/>
          <w:numId w:val="2"/>
        </w:numPr>
        <w:spacing w:line="288" w:lineRule="auto"/>
      </w:pPr>
      <w:r w:rsidRPr="00523DBB">
        <w:t>Brett P. Shearer, Assistant Attorney General, Olympia, Represents Commission Staff.</w:t>
      </w:r>
      <w:r w:rsidRPr="00BE3B79">
        <w:rPr>
          <w:vertAlign w:val="superscript"/>
        </w:rPr>
        <w:t xml:space="preserve"> </w:t>
      </w:r>
      <w:r w:rsidRPr="00523DBB">
        <w:rPr>
          <w:vertAlign w:val="superscript"/>
        </w:rPr>
        <w:footnoteReference w:id="3"/>
      </w:r>
      <w:r w:rsidRPr="00523DBB">
        <w:t xml:space="preserve"> Cheri Thurston</w:t>
      </w:r>
      <w:r>
        <w:t xml:space="preserve"> and Bob Thurston</w:t>
      </w:r>
      <w:r w:rsidRPr="00523DBB">
        <w:t>, Owner/Oper</w:t>
      </w:r>
      <w:r w:rsidR="001314D8">
        <w:t>ator T &amp; T Professional Service</w:t>
      </w:r>
      <w:r w:rsidRPr="00523DBB">
        <w:t>, Port Ludlow, represent the Company.</w:t>
      </w:r>
      <w:r>
        <w:t xml:space="preserve"> Robin Moeur, Bainbridge Island, represents Piper Water System. Jason Younker, Bainbridge Island, represents the Lightmoor Court Water System.</w:t>
      </w:r>
    </w:p>
    <w:p w14:paraId="488DB204" w14:textId="77777777" w:rsidR="000C22D6" w:rsidRDefault="000C22D6" w:rsidP="000C22D6">
      <w:pPr>
        <w:spacing w:line="288" w:lineRule="auto"/>
      </w:pPr>
    </w:p>
    <w:p w14:paraId="78669209" w14:textId="2AF818B6" w:rsidR="009832E8" w:rsidRDefault="009832E8" w:rsidP="009832E8">
      <w:pPr>
        <w:spacing w:line="288" w:lineRule="auto"/>
        <w:jc w:val="center"/>
        <w:rPr>
          <w:b/>
        </w:rPr>
      </w:pPr>
      <w:r w:rsidRPr="0053335B">
        <w:rPr>
          <w:b/>
        </w:rPr>
        <w:t>DISCUSSION AND DECISION</w:t>
      </w:r>
    </w:p>
    <w:p w14:paraId="0AD8B93D" w14:textId="77777777" w:rsidR="006823B2" w:rsidRDefault="006823B2" w:rsidP="009832E8">
      <w:pPr>
        <w:spacing w:line="288" w:lineRule="auto"/>
        <w:jc w:val="center"/>
      </w:pPr>
    </w:p>
    <w:p w14:paraId="747446EE" w14:textId="2BD21AEA" w:rsidR="00086889" w:rsidRDefault="00086889" w:rsidP="00086889">
      <w:pPr>
        <w:spacing w:line="288" w:lineRule="auto"/>
        <w:rPr>
          <w:b/>
        </w:rPr>
      </w:pPr>
      <w:r>
        <w:rPr>
          <w:b/>
        </w:rPr>
        <w:t>Docket UW-143617</w:t>
      </w:r>
    </w:p>
    <w:p w14:paraId="374718B3" w14:textId="77777777" w:rsidR="006823B2" w:rsidRDefault="006823B2" w:rsidP="00086889">
      <w:pPr>
        <w:spacing w:line="288" w:lineRule="auto"/>
      </w:pPr>
    </w:p>
    <w:p w14:paraId="3EC261CC" w14:textId="27D76841" w:rsidR="00086889" w:rsidRDefault="009832E8" w:rsidP="00930689">
      <w:pPr>
        <w:numPr>
          <w:ilvl w:val="0"/>
          <w:numId w:val="2"/>
        </w:numPr>
        <w:spacing w:line="288" w:lineRule="auto"/>
      </w:pPr>
      <w:r>
        <w:t xml:space="preserve">We deny the Company’s </w:t>
      </w:r>
      <w:r w:rsidR="000C22D6">
        <w:t xml:space="preserve">Application </w:t>
      </w:r>
      <w:r w:rsidR="000615C0">
        <w:t xml:space="preserve">to </w:t>
      </w:r>
      <w:r w:rsidR="00086889">
        <w:t>cease operations and t</w:t>
      </w:r>
      <w:r w:rsidR="000C22D6">
        <w:t xml:space="preserve">ransfer ownership </w:t>
      </w:r>
      <w:r w:rsidR="000615C0">
        <w:t>of its three water systems</w:t>
      </w:r>
      <w:r w:rsidR="000C22D6">
        <w:t>.</w:t>
      </w:r>
      <w:r w:rsidR="00086889">
        <w:t xml:space="preserve"> </w:t>
      </w:r>
      <w:r w:rsidR="00110D15">
        <w:t>In addition to raising broader policy concerns, t</w:t>
      </w:r>
      <w:r w:rsidR="00086889">
        <w:t xml:space="preserve">he Application fails to satisfy </w:t>
      </w:r>
      <w:r w:rsidR="00F20AD6">
        <w:t xml:space="preserve">both </w:t>
      </w:r>
      <w:r w:rsidR="00086889">
        <w:t xml:space="preserve">statutory requirements and </w:t>
      </w:r>
      <w:r w:rsidR="00F20AD6">
        <w:t xml:space="preserve">applicable </w:t>
      </w:r>
      <w:r w:rsidR="00086889">
        <w:t>Commission rules</w:t>
      </w:r>
      <w:r w:rsidR="000D6F03">
        <w:t>.</w:t>
      </w:r>
    </w:p>
    <w:p w14:paraId="0DC7436F" w14:textId="77777777" w:rsidR="006823B2" w:rsidRDefault="006823B2" w:rsidP="006823B2">
      <w:pPr>
        <w:spacing w:line="288" w:lineRule="auto"/>
      </w:pPr>
    </w:p>
    <w:p w14:paraId="00E685C5" w14:textId="71064465" w:rsidR="000A6BBA" w:rsidRDefault="004C08A6" w:rsidP="00930689">
      <w:pPr>
        <w:numPr>
          <w:ilvl w:val="0"/>
          <w:numId w:val="2"/>
        </w:numPr>
        <w:spacing w:line="288" w:lineRule="auto"/>
      </w:pPr>
      <w:r>
        <w:t xml:space="preserve">First, </w:t>
      </w:r>
      <w:r w:rsidR="000A6BBA">
        <w:t>T &amp; T Professional Service</w:t>
      </w:r>
      <w:r w:rsidR="00FA5BF6">
        <w:t xml:space="preserve"> may not, as it proposes to do</w:t>
      </w:r>
      <w:r w:rsidR="005B1093">
        <w:t xml:space="preserve"> </w:t>
      </w:r>
      <w:r w:rsidR="000A6BBA">
        <w:t xml:space="preserve">in its </w:t>
      </w:r>
      <w:r w:rsidR="00880A5B">
        <w:t>A</w:t>
      </w:r>
      <w:r w:rsidR="000A6BBA">
        <w:t xml:space="preserve">pplication, simply cease operations </w:t>
      </w:r>
      <w:r w:rsidR="00CB0DE6">
        <w:t>on a date certain</w:t>
      </w:r>
      <w:r w:rsidR="0046123C">
        <w:t xml:space="preserve">. </w:t>
      </w:r>
      <w:r>
        <w:t xml:space="preserve">RCW 80.28.010(2) requires regulated water companies to </w:t>
      </w:r>
      <w:r>
        <w:lastRenderedPageBreak/>
        <w:t xml:space="preserve">“furnish and supply such service … as shall be safe, adequate and efficient, and in all respects just and reasonable.” </w:t>
      </w:r>
      <w:r w:rsidR="0046123C">
        <w:t xml:space="preserve">In order to relieve the Company of its obligation </w:t>
      </w:r>
      <w:r w:rsidR="00880A5B">
        <w:t>to serve</w:t>
      </w:r>
      <w:r w:rsidR="0046123C">
        <w:t xml:space="preserve">, the </w:t>
      </w:r>
      <w:r w:rsidR="00483421">
        <w:t xml:space="preserve">Company must </w:t>
      </w:r>
      <w:r w:rsidR="00FA5BF6">
        <w:t>file</w:t>
      </w:r>
      <w:r w:rsidR="00483421">
        <w:t xml:space="preserve">, and the Commission must approve, an application to transfer ownership </w:t>
      </w:r>
      <w:r w:rsidR="005065E2">
        <w:t>pursuant to</w:t>
      </w:r>
      <w:r w:rsidR="00880A5B">
        <w:t xml:space="preserve"> </w:t>
      </w:r>
      <w:r w:rsidR="001420BB">
        <w:t>RCW 80.12.020.</w:t>
      </w:r>
      <w:r w:rsidR="0007541C">
        <w:rPr>
          <w:rStyle w:val="FootnoteReference"/>
        </w:rPr>
        <w:footnoteReference w:id="4"/>
      </w:r>
    </w:p>
    <w:p w14:paraId="187AC464" w14:textId="77777777" w:rsidR="006823B2" w:rsidRDefault="006823B2" w:rsidP="006823B2">
      <w:pPr>
        <w:spacing w:line="288" w:lineRule="auto"/>
      </w:pPr>
    </w:p>
    <w:p w14:paraId="56F2EBC0" w14:textId="26D92CAF" w:rsidR="0046123C" w:rsidRDefault="00DF5A8D" w:rsidP="00930689">
      <w:pPr>
        <w:numPr>
          <w:ilvl w:val="0"/>
          <w:numId w:val="2"/>
        </w:numPr>
        <w:spacing w:line="288" w:lineRule="auto"/>
      </w:pPr>
      <w:r>
        <w:t>While the</w:t>
      </w:r>
      <w:r w:rsidR="00483421">
        <w:t xml:space="preserve"> </w:t>
      </w:r>
      <w:r w:rsidR="007123DC">
        <w:t xml:space="preserve">Company’s </w:t>
      </w:r>
      <w:r w:rsidR="00483421">
        <w:t xml:space="preserve">Application </w:t>
      </w:r>
      <w:r w:rsidR="00056597">
        <w:t xml:space="preserve">does </w:t>
      </w:r>
      <w:r w:rsidR="00483421">
        <w:t xml:space="preserve">propose to transfer ownership of </w:t>
      </w:r>
      <w:r w:rsidR="007123DC">
        <w:t>its</w:t>
      </w:r>
      <w:r w:rsidR="00483421">
        <w:t xml:space="preserve"> three water systems</w:t>
      </w:r>
      <w:r>
        <w:t xml:space="preserve">, the </w:t>
      </w:r>
      <w:r w:rsidR="00FD0640">
        <w:t xml:space="preserve">proposed </w:t>
      </w:r>
      <w:r>
        <w:t>transferees –</w:t>
      </w:r>
      <w:r w:rsidR="005964AD">
        <w:t xml:space="preserve"> </w:t>
      </w:r>
      <w:r w:rsidR="004C08A6">
        <w:t>customer</w:t>
      </w:r>
      <w:r w:rsidR="00056597">
        <w:t xml:space="preserve"> groups</w:t>
      </w:r>
      <w:r w:rsidR="004C08A6">
        <w:t xml:space="preserve"> associated with each system</w:t>
      </w:r>
      <w:r>
        <w:t xml:space="preserve"> – have not agreed</w:t>
      </w:r>
      <w:r w:rsidR="00483421">
        <w:t xml:space="preserve"> to accept </w:t>
      </w:r>
      <w:r>
        <w:t>the</w:t>
      </w:r>
      <w:r w:rsidR="00483421">
        <w:t xml:space="preserve"> transfer. </w:t>
      </w:r>
      <w:r w:rsidR="005964AD" w:rsidRPr="005964AD">
        <w:t>B</w:t>
      </w:r>
      <w:r w:rsidR="00483421" w:rsidRPr="005964AD">
        <w:t xml:space="preserve">asic principles of contract law </w:t>
      </w:r>
      <w:r w:rsidR="000D6F03" w:rsidRPr="005964AD">
        <w:t>prohibit</w:t>
      </w:r>
      <w:r w:rsidR="00483421" w:rsidRPr="005964AD">
        <w:t xml:space="preserve"> T &amp; T Professional Service </w:t>
      </w:r>
      <w:r w:rsidR="000D6F03" w:rsidRPr="005964AD">
        <w:t>from deeding</w:t>
      </w:r>
      <w:r w:rsidR="00483421" w:rsidRPr="005964AD">
        <w:t xml:space="preserve"> its water systems to its customers without their </w:t>
      </w:r>
      <w:r w:rsidR="005964AD" w:rsidRPr="005964AD">
        <w:t>consent. A</w:t>
      </w:r>
      <w:r w:rsidR="00056597">
        <w:t>ccordingly, and as</w:t>
      </w:r>
      <w:r w:rsidR="005964AD" w:rsidRPr="005964AD">
        <w:t xml:space="preserve"> a general policy, </w:t>
      </w:r>
      <w:r w:rsidR="005964AD">
        <w:t xml:space="preserve">the Commission will not approve </w:t>
      </w:r>
      <w:r w:rsidR="00056597">
        <w:t>any transaction</w:t>
      </w:r>
      <w:r w:rsidR="005964AD">
        <w:t xml:space="preserve"> where the proposed transferee </w:t>
      </w:r>
      <w:r w:rsidR="00056597">
        <w:t>is unwilling to accept the transfer</w:t>
      </w:r>
      <w:r w:rsidR="005964AD">
        <w:t xml:space="preserve">. </w:t>
      </w:r>
      <w:r w:rsidR="008E5F60">
        <w:t xml:space="preserve">As Staff noted at hearing, the fact that the Company is in negotiations with customers </w:t>
      </w:r>
      <w:r w:rsidR="00056597">
        <w:t xml:space="preserve">to transfer ownership </w:t>
      </w:r>
      <w:r w:rsidR="008E5F60">
        <w:t xml:space="preserve">is </w:t>
      </w:r>
      <w:r w:rsidR="00880A5B">
        <w:t xml:space="preserve">a </w:t>
      </w:r>
      <w:r w:rsidR="008E5F60">
        <w:t>parallel</w:t>
      </w:r>
      <w:r w:rsidR="008B22A4">
        <w:t>,</w:t>
      </w:r>
      <w:r w:rsidR="008E5F60">
        <w:t xml:space="preserve"> but separate</w:t>
      </w:r>
      <w:r w:rsidR="008B22A4">
        <w:t>,</w:t>
      </w:r>
      <w:r w:rsidR="008E5F60">
        <w:t xml:space="preserve"> matter from the Application at issue here.</w:t>
      </w:r>
      <w:r w:rsidR="00255BCE">
        <w:t xml:space="preserve"> </w:t>
      </w:r>
      <w:r w:rsidR="00110D15">
        <w:t xml:space="preserve">If and when </w:t>
      </w:r>
      <w:r w:rsidR="00255BCE">
        <w:t xml:space="preserve">those agreements are finalized, the Company </w:t>
      </w:r>
      <w:r w:rsidR="00880A5B">
        <w:t xml:space="preserve">may </w:t>
      </w:r>
      <w:r w:rsidR="00255BCE">
        <w:t xml:space="preserve">submit a new application for the Commission’s consideration. </w:t>
      </w:r>
    </w:p>
    <w:p w14:paraId="7493F3FD" w14:textId="77777777" w:rsidR="006823B2" w:rsidRDefault="006823B2" w:rsidP="006823B2">
      <w:pPr>
        <w:spacing w:line="288" w:lineRule="auto"/>
      </w:pPr>
    </w:p>
    <w:p w14:paraId="77B7810D" w14:textId="77777777" w:rsidR="006823B2" w:rsidRDefault="00483421" w:rsidP="00AA4F95">
      <w:pPr>
        <w:numPr>
          <w:ilvl w:val="0"/>
          <w:numId w:val="2"/>
        </w:numPr>
        <w:spacing w:line="288" w:lineRule="auto"/>
      </w:pPr>
      <w:r>
        <w:t xml:space="preserve">Finally, </w:t>
      </w:r>
      <w:r w:rsidR="000C052E">
        <w:t>W</w:t>
      </w:r>
      <w:r w:rsidR="00255BCE">
        <w:t xml:space="preserve">AC 480-143-170 provides that </w:t>
      </w:r>
      <w:r w:rsidR="0046123C">
        <w:t>the Commission will not approve</w:t>
      </w:r>
      <w:r w:rsidR="00DD749F">
        <w:t xml:space="preserve"> a </w:t>
      </w:r>
      <w:r w:rsidR="00EF1070">
        <w:t xml:space="preserve">property </w:t>
      </w:r>
      <w:r w:rsidR="00DD749F">
        <w:t>transfer</w:t>
      </w:r>
      <w:r w:rsidR="0046123C">
        <w:t xml:space="preserve"> unless doing so is </w:t>
      </w:r>
      <w:r w:rsidR="000D6F03">
        <w:t>in</w:t>
      </w:r>
      <w:r w:rsidR="0046123C">
        <w:t xml:space="preserve"> the public interest.</w:t>
      </w:r>
      <w:r w:rsidR="00255BCE">
        <w:t xml:space="preserve"> </w:t>
      </w:r>
      <w:r w:rsidR="00F20AD6">
        <w:t>Here, a</w:t>
      </w:r>
      <w:r w:rsidR="00255BCE">
        <w:t xml:space="preserve">pproving the Company’s Application </w:t>
      </w:r>
      <w:r w:rsidR="00F20AD6">
        <w:t>would be</w:t>
      </w:r>
      <w:r w:rsidR="000D6F03">
        <w:t xml:space="preserve"> contrary to</w:t>
      </w:r>
      <w:r w:rsidR="0005060D">
        <w:t xml:space="preserve"> the public interest not only </w:t>
      </w:r>
      <w:r w:rsidR="00255BCE">
        <w:t xml:space="preserve">because the respective customer groups are </w:t>
      </w:r>
      <w:r w:rsidR="0005060D">
        <w:t>un</w:t>
      </w:r>
      <w:r w:rsidR="00255BCE">
        <w:t xml:space="preserve">willing to accept the transfer, but also because </w:t>
      </w:r>
      <w:r w:rsidR="000C052E">
        <w:t xml:space="preserve">no evidence </w:t>
      </w:r>
      <w:r w:rsidR="00293CD0">
        <w:t>was offered</w:t>
      </w:r>
      <w:r w:rsidR="00110D15">
        <w:t xml:space="preserve"> to demonstrate</w:t>
      </w:r>
      <w:r w:rsidR="00056597">
        <w:t xml:space="preserve"> that th</w:t>
      </w:r>
      <w:r w:rsidR="000C052E">
        <w:t xml:space="preserve">e </w:t>
      </w:r>
      <w:r w:rsidR="00E17214">
        <w:t xml:space="preserve">customer </w:t>
      </w:r>
      <w:r w:rsidR="000C052E">
        <w:t>groups are</w:t>
      </w:r>
      <w:r w:rsidR="00180C43">
        <w:t xml:space="preserve"> in any way</w:t>
      </w:r>
      <w:r w:rsidR="00255BCE">
        <w:t xml:space="preserve"> fit or able to </w:t>
      </w:r>
      <w:r w:rsidR="00695F5C">
        <w:t xml:space="preserve">manage </w:t>
      </w:r>
      <w:r w:rsidR="00056597">
        <w:t>the</w:t>
      </w:r>
      <w:r w:rsidR="00695F5C">
        <w:t xml:space="preserve"> water system</w:t>
      </w:r>
      <w:r w:rsidR="00056597">
        <w:t>s</w:t>
      </w:r>
      <w:r w:rsidR="00255BCE">
        <w:t xml:space="preserve">. </w:t>
      </w:r>
      <w:r w:rsidR="00E17214">
        <w:t xml:space="preserve">In fact, the Company presented no evidence at hearing to support its request to </w:t>
      </w:r>
      <w:r w:rsidR="00EF1070">
        <w:t xml:space="preserve">cease operations and </w:t>
      </w:r>
      <w:r w:rsidR="00E17214">
        <w:t>transfer ownershi</w:t>
      </w:r>
      <w:r w:rsidR="00110D15">
        <w:t>p of its systems. For these reasons</w:t>
      </w:r>
      <w:r w:rsidR="00E17214">
        <w:t xml:space="preserve">, we deny the Company’s </w:t>
      </w:r>
      <w:r w:rsidR="00C45C01">
        <w:t>A</w:t>
      </w:r>
      <w:r w:rsidR="00E17214">
        <w:t xml:space="preserve">pplication. </w:t>
      </w:r>
    </w:p>
    <w:p w14:paraId="60824158" w14:textId="77777777" w:rsidR="006823B2" w:rsidRDefault="006823B2" w:rsidP="006823B2">
      <w:pPr>
        <w:pStyle w:val="ListParagraph"/>
        <w:rPr>
          <w:b/>
        </w:rPr>
      </w:pPr>
    </w:p>
    <w:p w14:paraId="2AAAE4CF" w14:textId="55DED445" w:rsidR="00254A86" w:rsidRDefault="00D873CF" w:rsidP="006823B2">
      <w:pPr>
        <w:spacing w:line="288" w:lineRule="auto"/>
        <w:rPr>
          <w:b/>
        </w:rPr>
      </w:pPr>
      <w:r w:rsidRPr="00180C43">
        <w:rPr>
          <w:b/>
        </w:rPr>
        <w:t>Docket UW-150791</w:t>
      </w:r>
    </w:p>
    <w:p w14:paraId="0011A47D" w14:textId="77777777" w:rsidR="006823B2" w:rsidRDefault="006823B2" w:rsidP="006823B2">
      <w:pPr>
        <w:spacing w:line="288" w:lineRule="auto"/>
      </w:pPr>
    </w:p>
    <w:p w14:paraId="0D951959" w14:textId="3FE008E1" w:rsidR="00254A86" w:rsidRDefault="00254A86" w:rsidP="00930689">
      <w:pPr>
        <w:numPr>
          <w:ilvl w:val="0"/>
          <w:numId w:val="2"/>
        </w:numPr>
        <w:spacing w:line="288" w:lineRule="auto"/>
      </w:pPr>
      <w:r>
        <w:t xml:space="preserve">At hearing, Staff </w:t>
      </w:r>
      <w:r w:rsidR="005C3B3B">
        <w:t>recommended the Commission suspend</w:t>
      </w:r>
      <w:r>
        <w:t xml:space="preserve"> the </w:t>
      </w:r>
      <w:r w:rsidR="00D873CF">
        <w:t xml:space="preserve">$1,000 </w:t>
      </w:r>
      <w:r>
        <w:t>penalty</w:t>
      </w:r>
      <w:r w:rsidR="00D873CF">
        <w:t xml:space="preserve"> assessed in Docket UW-150791</w:t>
      </w:r>
      <w:r>
        <w:t xml:space="preserve"> for a period of one year, and then waiv</w:t>
      </w:r>
      <w:r w:rsidR="00180C43">
        <w:t>e</w:t>
      </w:r>
      <w:r>
        <w:t xml:space="preserve"> it, provided the Company files its 2015 annual report and pays </w:t>
      </w:r>
      <w:r w:rsidR="00D873CF">
        <w:t>any</w:t>
      </w:r>
      <w:r>
        <w:t xml:space="preserve"> regulatory fees </w:t>
      </w:r>
      <w:r w:rsidR="00180C43">
        <w:t xml:space="preserve">owed </w:t>
      </w:r>
      <w:r w:rsidR="00D873CF">
        <w:t>by</w:t>
      </w:r>
      <w:r>
        <w:t xml:space="preserve"> May </w:t>
      </w:r>
      <w:r w:rsidR="001C6A8B">
        <w:t>2</w:t>
      </w:r>
      <w:r>
        <w:t xml:space="preserve">, 2016. </w:t>
      </w:r>
      <w:r w:rsidR="00D873CF">
        <w:t>The Company agrees</w:t>
      </w:r>
      <w:r>
        <w:t xml:space="preserve"> with Staff’s recommendation</w:t>
      </w:r>
      <w:r w:rsidR="00D873CF">
        <w:t>.</w:t>
      </w:r>
    </w:p>
    <w:p w14:paraId="10C185CC" w14:textId="77777777" w:rsidR="006823B2" w:rsidRDefault="006823B2" w:rsidP="006823B2">
      <w:pPr>
        <w:spacing w:line="288" w:lineRule="auto"/>
      </w:pPr>
    </w:p>
    <w:p w14:paraId="5649BE65" w14:textId="13630252" w:rsidR="00B66145" w:rsidRDefault="00254A86" w:rsidP="006823B2">
      <w:pPr>
        <w:numPr>
          <w:ilvl w:val="0"/>
          <w:numId w:val="2"/>
        </w:numPr>
        <w:spacing w:line="288" w:lineRule="auto"/>
      </w:pPr>
      <w:r>
        <w:lastRenderedPageBreak/>
        <w:t xml:space="preserve">The Commission may </w:t>
      </w:r>
      <w:r w:rsidRPr="00401D3C">
        <w:t xml:space="preserve">consider a number of factors when entertaining a request for mitigation, </w:t>
      </w:r>
      <w:r w:rsidRPr="00725A2B">
        <w:t>including a company’s histo</w:t>
      </w:r>
      <w:r>
        <w:t>ry of compliance</w:t>
      </w:r>
      <w:r w:rsidRPr="00725A2B">
        <w:t xml:space="preserve"> and the likelihood the violation will recur</w:t>
      </w:r>
      <w:r w:rsidRPr="00401D3C">
        <w:t>.</w:t>
      </w:r>
      <w:r w:rsidRPr="00401D3C">
        <w:rPr>
          <w:rStyle w:val="FootnoteReference"/>
        </w:rPr>
        <w:footnoteReference w:id="5"/>
      </w:r>
      <w:r>
        <w:t xml:space="preserve"> T &amp; T Professional Service received and paid a reduced penalty of $300 for failing to timely file its annual report in 2013. </w:t>
      </w:r>
      <w:r w:rsidR="00B91DE1" w:rsidRPr="00DB5FED">
        <w:t>Despite</w:t>
      </w:r>
      <w:r w:rsidR="00143026" w:rsidRPr="00DB5FED">
        <w:t xml:space="preserve"> the Company</w:t>
      </w:r>
      <w:r w:rsidR="00B91DE1" w:rsidRPr="00DB5FED">
        <w:t>’s</w:t>
      </w:r>
      <w:r w:rsidR="00143026" w:rsidRPr="00DB5FED">
        <w:t xml:space="preserve"> recent </w:t>
      </w:r>
      <w:r w:rsidR="00F124AE">
        <w:t>violations</w:t>
      </w:r>
      <w:r w:rsidR="00143026" w:rsidRPr="00DB5FED">
        <w:t xml:space="preserve">, </w:t>
      </w:r>
      <w:r w:rsidR="00D5406E" w:rsidRPr="00DB5FED">
        <w:t xml:space="preserve">we agree with Staff’s recommendation to </w:t>
      </w:r>
      <w:r w:rsidR="00143026" w:rsidRPr="00DB5FED">
        <w:t xml:space="preserve">suspend the $1,000 penalty </w:t>
      </w:r>
      <w:r w:rsidR="00D5406E">
        <w:t xml:space="preserve">conditioned on future compliance. </w:t>
      </w:r>
      <w:r w:rsidR="00DB5FED">
        <w:t>Suspending the penalty</w:t>
      </w:r>
      <w:r w:rsidR="00BD1732">
        <w:t xml:space="preserve"> − </w:t>
      </w:r>
      <w:r w:rsidR="00DB5FED">
        <w:t>rather than imposing it now</w:t>
      </w:r>
      <w:r w:rsidR="00BD1732">
        <w:t xml:space="preserve"> −</w:t>
      </w:r>
      <w:r w:rsidR="00DB5FED">
        <w:t xml:space="preserve"> creates an incentive for the Company to ensure subsequent filings are received by the deadline.</w:t>
      </w:r>
      <w:r w:rsidR="00F124AE">
        <w:t xml:space="preserve"> </w:t>
      </w:r>
    </w:p>
    <w:p w14:paraId="585CBDDB" w14:textId="77777777" w:rsidR="006823B2" w:rsidRDefault="006823B2" w:rsidP="006823B2">
      <w:pPr>
        <w:spacing w:line="288" w:lineRule="auto"/>
      </w:pPr>
    </w:p>
    <w:p w14:paraId="5B978399" w14:textId="21DE0BA5" w:rsidR="000C22D6" w:rsidRDefault="00254A86" w:rsidP="007A0F03">
      <w:pPr>
        <w:numPr>
          <w:ilvl w:val="0"/>
          <w:numId w:val="2"/>
        </w:numPr>
        <w:spacing w:line="288" w:lineRule="auto"/>
      </w:pPr>
      <w:r>
        <w:t xml:space="preserve">The Commission </w:t>
      </w:r>
      <w:r w:rsidR="00143026">
        <w:t xml:space="preserve">will therefore </w:t>
      </w:r>
      <w:r>
        <w:t xml:space="preserve">exercise its discretion to suspend the entire penalty conditioned on the Company timely filing its 2015 annual report and paying any regulatory fees owed by May </w:t>
      </w:r>
      <w:r w:rsidR="001C6A8B">
        <w:t>2</w:t>
      </w:r>
      <w:r>
        <w:t>, 2016</w:t>
      </w:r>
      <w:r w:rsidRPr="00725A2B">
        <w:t>.</w:t>
      </w:r>
      <w:r>
        <w:t xml:space="preserve"> If the Company fails to file its 2015 annual report and pay any regulatory fees due by that date, the entire $1,000 penalty will immediately become due and payable without further action by the Commission. </w:t>
      </w:r>
    </w:p>
    <w:p w14:paraId="5E7181D8" w14:textId="77777777" w:rsidR="006823B2" w:rsidRDefault="006823B2" w:rsidP="006823B2">
      <w:pPr>
        <w:spacing w:line="288" w:lineRule="auto"/>
      </w:pPr>
    </w:p>
    <w:p w14:paraId="4C8F01A9" w14:textId="77777777" w:rsidR="000C22D6" w:rsidRDefault="000C22D6" w:rsidP="006823B2">
      <w:pPr>
        <w:spacing w:line="288" w:lineRule="auto"/>
        <w:jc w:val="center"/>
        <w:rPr>
          <w:b/>
        </w:rPr>
      </w:pPr>
      <w:r w:rsidRPr="009F6D74">
        <w:rPr>
          <w:b/>
        </w:rPr>
        <w:t>FINDINGS AND CONCLUSIONS</w:t>
      </w:r>
    </w:p>
    <w:p w14:paraId="5B255965" w14:textId="77777777" w:rsidR="006823B2" w:rsidRPr="009F6D74" w:rsidRDefault="006823B2" w:rsidP="006823B2">
      <w:pPr>
        <w:spacing w:line="288" w:lineRule="auto"/>
        <w:jc w:val="center"/>
        <w:rPr>
          <w:b/>
        </w:rPr>
      </w:pPr>
    </w:p>
    <w:p w14:paraId="11F1AE1C" w14:textId="3DBF7E87" w:rsidR="000C22D6" w:rsidRDefault="000C22D6" w:rsidP="006823B2">
      <w:pPr>
        <w:numPr>
          <w:ilvl w:val="0"/>
          <w:numId w:val="2"/>
        </w:numPr>
        <w:spacing w:line="288" w:lineRule="auto"/>
        <w:ind w:left="720" w:hanging="1440"/>
      </w:pPr>
      <w:r w:rsidRPr="009F6D74">
        <w:t>(1)</w:t>
      </w:r>
      <w:r w:rsidRPr="009F6D74">
        <w:tab/>
        <w:t xml:space="preserve">The Washington Utilities and Transportation Commission is an agency of the State of Washington, vested by statute with authority to regulate rates, rules, regulations, and practices of public service companies, including water companies, and has jurisdiction over the parties and subject matter of this </w:t>
      </w:r>
      <w:bookmarkStart w:id="0" w:name="_GoBack"/>
      <w:bookmarkEnd w:id="0"/>
      <w:r w:rsidRPr="009F6D74">
        <w:t>proceeding.</w:t>
      </w:r>
    </w:p>
    <w:p w14:paraId="7F69E95C" w14:textId="77777777" w:rsidR="006823B2" w:rsidRPr="009F6D74" w:rsidRDefault="006823B2" w:rsidP="006823B2">
      <w:pPr>
        <w:spacing w:line="288" w:lineRule="auto"/>
      </w:pPr>
    </w:p>
    <w:p w14:paraId="499DF40B" w14:textId="33A1B928" w:rsidR="000C22D6" w:rsidRDefault="000C22D6" w:rsidP="006823B2">
      <w:pPr>
        <w:numPr>
          <w:ilvl w:val="0"/>
          <w:numId w:val="2"/>
        </w:numPr>
        <w:spacing w:line="288" w:lineRule="auto"/>
      </w:pPr>
      <w:r w:rsidRPr="009F6D74">
        <w:t>(2)</w:t>
      </w:r>
      <w:r w:rsidRPr="009F6D74">
        <w:tab/>
        <w:t>T &amp; T Professional Service is a water company subject to Commission regulation.</w:t>
      </w:r>
    </w:p>
    <w:p w14:paraId="5E490594" w14:textId="77777777" w:rsidR="006823B2" w:rsidRPr="00433403" w:rsidRDefault="006823B2" w:rsidP="006823B2">
      <w:pPr>
        <w:spacing w:line="288" w:lineRule="auto"/>
      </w:pPr>
    </w:p>
    <w:p w14:paraId="4BA82D6D" w14:textId="7741BFF2" w:rsidR="000C22D6" w:rsidRPr="009F6D74" w:rsidRDefault="000C22D6" w:rsidP="006823B2">
      <w:pPr>
        <w:numPr>
          <w:ilvl w:val="0"/>
          <w:numId w:val="2"/>
        </w:numPr>
        <w:spacing w:line="288" w:lineRule="auto"/>
        <w:ind w:left="720" w:hanging="1440"/>
      </w:pPr>
      <w:r w:rsidRPr="009F6D74">
        <w:t>(3)</w:t>
      </w:r>
      <w:r w:rsidRPr="009F6D74">
        <w:tab/>
        <w:t xml:space="preserve"> </w:t>
      </w:r>
      <w:r w:rsidR="00433403" w:rsidRPr="0053335B">
        <w:t>On July 25, 2014, T &amp; T Professional Service</w:t>
      </w:r>
      <w:r w:rsidR="00433403">
        <w:t xml:space="preserve"> </w:t>
      </w:r>
      <w:r w:rsidR="00433403" w:rsidRPr="0053335B">
        <w:t xml:space="preserve">filed with the Commission </w:t>
      </w:r>
      <w:r w:rsidR="00433403">
        <w:t>an Ap</w:t>
      </w:r>
      <w:r w:rsidR="00433403" w:rsidRPr="0053335B">
        <w:t>plication to transfer ownership and cease operations of its three water systems – Piper Water System, Pinewood Water System, and Lightmoor Court Water System –</w:t>
      </w:r>
      <w:r w:rsidR="00433403">
        <w:t xml:space="preserve"> </w:t>
      </w:r>
      <w:r w:rsidR="00433403" w:rsidRPr="0053335B">
        <w:t>with a proposed effective date of June 17, 2015</w:t>
      </w:r>
      <w:r w:rsidR="00433403">
        <w:t xml:space="preserve">. The Company proposes to transfer ownership of each system to its respective group of customers. </w:t>
      </w:r>
    </w:p>
    <w:p w14:paraId="0DE389DD" w14:textId="77777777" w:rsidR="000C22D6" w:rsidRPr="009F6D74" w:rsidRDefault="000C22D6" w:rsidP="006823B2">
      <w:pPr>
        <w:pStyle w:val="ListParagraph"/>
        <w:spacing w:line="288" w:lineRule="auto"/>
      </w:pPr>
    </w:p>
    <w:p w14:paraId="6D2C9FE6" w14:textId="45F372E3" w:rsidR="000C22D6" w:rsidRPr="009F6D74" w:rsidRDefault="00433403" w:rsidP="006823B2">
      <w:pPr>
        <w:numPr>
          <w:ilvl w:val="0"/>
          <w:numId w:val="2"/>
        </w:numPr>
        <w:spacing w:line="288" w:lineRule="auto"/>
        <w:ind w:left="720" w:hanging="1440"/>
      </w:pPr>
      <w:r>
        <w:t>(4)</w:t>
      </w:r>
      <w:r>
        <w:tab/>
        <w:t xml:space="preserve">Under RCW 80.28.010(2), T &amp; T Professional Service has an obligation to serve its customers, and may not cease operations without first effecting a transfer of </w:t>
      </w:r>
      <w:r w:rsidR="00180C43">
        <w:t>a given</w:t>
      </w:r>
      <w:r w:rsidR="006823B2">
        <w:t xml:space="preserve"> </w:t>
      </w:r>
      <w:r>
        <w:t>system.</w:t>
      </w:r>
    </w:p>
    <w:p w14:paraId="63FF38BB" w14:textId="77777777" w:rsidR="000C22D6" w:rsidRPr="009F6D74" w:rsidRDefault="000C22D6" w:rsidP="006823B2">
      <w:pPr>
        <w:pStyle w:val="ListParagraph"/>
        <w:spacing w:line="288" w:lineRule="auto"/>
      </w:pPr>
    </w:p>
    <w:p w14:paraId="513059A4" w14:textId="7B5EECBE" w:rsidR="000C22D6" w:rsidRPr="009F6D74" w:rsidRDefault="000C22D6" w:rsidP="006823B2">
      <w:pPr>
        <w:numPr>
          <w:ilvl w:val="0"/>
          <w:numId w:val="2"/>
        </w:numPr>
        <w:spacing w:line="288" w:lineRule="auto"/>
        <w:ind w:left="720" w:hanging="1440"/>
      </w:pPr>
      <w:r w:rsidRPr="009F6D74">
        <w:lastRenderedPageBreak/>
        <w:t>(5)</w:t>
      </w:r>
      <w:r w:rsidRPr="009F6D74">
        <w:tab/>
      </w:r>
      <w:r w:rsidR="00433403">
        <w:t>Under RCW 80.12.020, no public service company may transfer its property without a Commission order authorizing it to do so.</w:t>
      </w:r>
    </w:p>
    <w:p w14:paraId="46EBBE25" w14:textId="77777777" w:rsidR="000C22D6" w:rsidRPr="009F6D74" w:rsidRDefault="000C22D6" w:rsidP="006823B2">
      <w:pPr>
        <w:pStyle w:val="ListParagraph"/>
        <w:spacing w:line="288" w:lineRule="auto"/>
      </w:pPr>
    </w:p>
    <w:p w14:paraId="5CEA7BEA" w14:textId="1EF65B7D" w:rsidR="000C22D6" w:rsidRPr="009F6D74" w:rsidRDefault="000C22D6" w:rsidP="006823B2">
      <w:pPr>
        <w:numPr>
          <w:ilvl w:val="0"/>
          <w:numId w:val="2"/>
        </w:numPr>
        <w:spacing w:line="288" w:lineRule="auto"/>
        <w:ind w:left="720" w:hanging="1440"/>
      </w:pPr>
      <w:r w:rsidRPr="009F6D74">
        <w:t>(6)</w:t>
      </w:r>
      <w:r w:rsidRPr="009F6D74">
        <w:tab/>
      </w:r>
      <w:r w:rsidR="00433403">
        <w:t>Under WAC 480-143-170, the Commission will not approve a transfer of property unless doing so is consistent with the public interest.</w:t>
      </w:r>
    </w:p>
    <w:p w14:paraId="2AA09E1F" w14:textId="77777777" w:rsidR="000C22D6" w:rsidRPr="009F6D74" w:rsidRDefault="000C22D6" w:rsidP="006823B2">
      <w:pPr>
        <w:pStyle w:val="ListParagraph"/>
        <w:spacing w:line="288" w:lineRule="auto"/>
      </w:pPr>
    </w:p>
    <w:p w14:paraId="73172105" w14:textId="591637FB" w:rsidR="000C22D6" w:rsidRDefault="00433403" w:rsidP="006823B2">
      <w:pPr>
        <w:numPr>
          <w:ilvl w:val="0"/>
          <w:numId w:val="2"/>
        </w:numPr>
        <w:spacing w:line="288" w:lineRule="auto"/>
        <w:ind w:left="720" w:hanging="1440"/>
      </w:pPr>
      <w:r>
        <w:t>(7)</w:t>
      </w:r>
      <w:r>
        <w:tab/>
        <w:t>Approving the Application would not be in the public interest because the customer groups identified in the Application as the transferees are not willing, fit, or able to receive the transfer. Accordingly, the Commission should deny the Application.</w:t>
      </w:r>
    </w:p>
    <w:p w14:paraId="446E7B9D" w14:textId="77777777" w:rsidR="006823B2" w:rsidRPr="009F6D74" w:rsidRDefault="006823B2" w:rsidP="006823B2">
      <w:pPr>
        <w:spacing w:line="288" w:lineRule="auto"/>
      </w:pPr>
    </w:p>
    <w:p w14:paraId="66A9C57F" w14:textId="5B684215" w:rsidR="00433403" w:rsidRDefault="000C22D6" w:rsidP="006823B2">
      <w:pPr>
        <w:numPr>
          <w:ilvl w:val="0"/>
          <w:numId w:val="2"/>
        </w:numPr>
        <w:spacing w:line="288" w:lineRule="auto"/>
        <w:ind w:left="720" w:hanging="1440"/>
      </w:pPr>
      <w:r w:rsidRPr="009F6D74">
        <w:t>(8)</w:t>
      </w:r>
      <w:r w:rsidR="00433403">
        <w:tab/>
        <w:t>On May 20, 2015, the Commission assessed a $1,000 penalty against T &amp; T Professional Service for violations of WAC</w:t>
      </w:r>
      <w:r w:rsidR="00433403" w:rsidRPr="00B235C4">
        <w:t xml:space="preserve"> </w:t>
      </w:r>
      <w:r w:rsidR="00433403">
        <w:rPr>
          <w:noProof/>
        </w:rPr>
        <w:t xml:space="preserve">480-110-505, which </w:t>
      </w:r>
      <w:r w:rsidR="00433403" w:rsidRPr="00B235C4">
        <w:t xml:space="preserve">requires </w:t>
      </w:r>
      <w:r w:rsidR="00433403">
        <w:rPr>
          <w:noProof/>
        </w:rPr>
        <w:t>water</w:t>
      </w:r>
      <w:r w:rsidR="00433403" w:rsidRPr="00B235C4">
        <w:t xml:space="preserve"> companies to file annual report</w:t>
      </w:r>
      <w:r w:rsidR="00433403">
        <w:t>s</w:t>
      </w:r>
      <w:r w:rsidR="00433403" w:rsidRPr="00B235C4">
        <w:t xml:space="preserve"> and pay regulatory fees each year by May 1.</w:t>
      </w:r>
    </w:p>
    <w:p w14:paraId="49BC08D4" w14:textId="77777777" w:rsidR="006823B2" w:rsidRPr="009F6D74" w:rsidRDefault="006823B2" w:rsidP="006823B2">
      <w:pPr>
        <w:spacing w:line="288" w:lineRule="auto"/>
      </w:pPr>
    </w:p>
    <w:p w14:paraId="64D5C4B3" w14:textId="77777777" w:rsidR="006823B2" w:rsidRDefault="000C22D6" w:rsidP="006823B2">
      <w:pPr>
        <w:numPr>
          <w:ilvl w:val="0"/>
          <w:numId w:val="2"/>
        </w:numPr>
        <w:spacing w:line="288" w:lineRule="auto"/>
        <w:ind w:left="720" w:hanging="1440"/>
      </w:pPr>
      <w:r w:rsidRPr="009F6D74">
        <w:t>(9)</w:t>
      </w:r>
      <w:r w:rsidRPr="009F6D74">
        <w:tab/>
      </w:r>
      <w:r w:rsidR="00AC454B">
        <w:t>On June 9, 2015, T &amp; T Professional Services responded to the penalty assessment, admitting the violations and requesting a hearing to explain the circumstances.</w:t>
      </w:r>
    </w:p>
    <w:p w14:paraId="6AD85837" w14:textId="77E8055A" w:rsidR="000C22D6" w:rsidRDefault="00AC454B" w:rsidP="006823B2">
      <w:pPr>
        <w:spacing w:line="288" w:lineRule="auto"/>
      </w:pPr>
      <w:r>
        <w:t xml:space="preserve"> </w:t>
      </w:r>
    </w:p>
    <w:p w14:paraId="213F2E94" w14:textId="23BF2B9D" w:rsidR="00AC454B" w:rsidRPr="009F6D74" w:rsidRDefault="00AC454B" w:rsidP="006823B2">
      <w:pPr>
        <w:numPr>
          <w:ilvl w:val="0"/>
          <w:numId w:val="2"/>
        </w:numPr>
        <w:spacing w:line="288" w:lineRule="auto"/>
        <w:ind w:left="720" w:hanging="1440"/>
      </w:pPr>
      <w:r>
        <w:t>(10)</w:t>
      </w:r>
      <w:r>
        <w:tab/>
        <w:t xml:space="preserve">Staff and the Company agree that the $1,000 penalty should be suspended for one </w:t>
      </w:r>
      <w:r w:rsidR="005C3B3B">
        <w:t>year</w:t>
      </w:r>
      <w:r>
        <w:t xml:space="preserve">, and then waived, conditioned on the Company filing its 2015 annual report and paying any regulatory fees due no later than May </w:t>
      </w:r>
      <w:r w:rsidR="001C6A8B">
        <w:t>2</w:t>
      </w:r>
      <w:r>
        <w:t xml:space="preserve">, 2016. The parties agree that if the Company fails to file its annual report and pay regulatory fees by that date, the entire penalty will immediately become due and payable without further action by the Commission. </w:t>
      </w:r>
    </w:p>
    <w:p w14:paraId="230A8DC1" w14:textId="77777777" w:rsidR="006823B2" w:rsidRDefault="006823B2" w:rsidP="006823B2">
      <w:pPr>
        <w:spacing w:line="288" w:lineRule="auto"/>
        <w:jc w:val="center"/>
        <w:rPr>
          <w:b/>
        </w:rPr>
      </w:pPr>
    </w:p>
    <w:p w14:paraId="71D4D17D" w14:textId="66ECD763" w:rsidR="006D005F" w:rsidRDefault="00464FD8" w:rsidP="006823B2">
      <w:pPr>
        <w:spacing w:line="288" w:lineRule="auto"/>
        <w:jc w:val="center"/>
        <w:rPr>
          <w:b/>
        </w:rPr>
      </w:pPr>
      <w:r w:rsidRPr="009F6D74">
        <w:rPr>
          <w:b/>
        </w:rPr>
        <w:t>ORDER</w:t>
      </w:r>
    </w:p>
    <w:p w14:paraId="270FEC99" w14:textId="77777777" w:rsidR="006823B2" w:rsidRPr="009F6D74" w:rsidRDefault="006823B2" w:rsidP="006823B2">
      <w:pPr>
        <w:spacing w:line="288" w:lineRule="auto"/>
        <w:jc w:val="center"/>
      </w:pPr>
    </w:p>
    <w:p w14:paraId="4EB94A04" w14:textId="28F4782F" w:rsidR="00AE2E35" w:rsidRDefault="00464FD8" w:rsidP="006823B2">
      <w:pPr>
        <w:numPr>
          <w:ilvl w:val="0"/>
          <w:numId w:val="2"/>
        </w:numPr>
        <w:tabs>
          <w:tab w:val="left" w:pos="2790"/>
          <w:tab w:val="left" w:pos="3060"/>
        </w:tabs>
        <w:spacing w:line="288" w:lineRule="auto"/>
      </w:pPr>
      <w:r w:rsidRPr="009F6D74">
        <w:t xml:space="preserve">THE COMMISSION ORDERS That </w:t>
      </w:r>
    </w:p>
    <w:p w14:paraId="45B36B4E" w14:textId="77777777" w:rsidR="006823B2" w:rsidRPr="009F6D74" w:rsidRDefault="006823B2" w:rsidP="006823B2">
      <w:pPr>
        <w:tabs>
          <w:tab w:val="left" w:pos="2790"/>
          <w:tab w:val="left" w:pos="3060"/>
        </w:tabs>
        <w:spacing w:line="288" w:lineRule="auto"/>
      </w:pPr>
    </w:p>
    <w:p w14:paraId="03C98D7D" w14:textId="05B68F37" w:rsidR="00AE2E35" w:rsidRDefault="00AE2E35" w:rsidP="006823B2">
      <w:pPr>
        <w:numPr>
          <w:ilvl w:val="0"/>
          <w:numId w:val="2"/>
        </w:numPr>
        <w:spacing w:line="288" w:lineRule="auto"/>
        <w:ind w:left="720" w:hanging="1440"/>
      </w:pPr>
      <w:r w:rsidRPr="009F6D74">
        <w:t>(1)</w:t>
      </w:r>
      <w:r w:rsidRPr="009F6D74">
        <w:tab/>
      </w:r>
      <w:r w:rsidR="008E27AB" w:rsidRPr="009F6D74">
        <w:t>T &amp; T Professional Service aka Water and Wastewater Management Services, LLC’s application in Docket UW-143617 to transfer ownership and cease operations of its three water systems – Piper Water System, Pinewood Water System, and Lightmoor Court Water System – is DENIED.</w:t>
      </w:r>
    </w:p>
    <w:p w14:paraId="47A0F05F" w14:textId="77777777" w:rsidR="006823B2" w:rsidRPr="009F6D74" w:rsidRDefault="006823B2" w:rsidP="006823B2">
      <w:pPr>
        <w:spacing w:line="288" w:lineRule="auto"/>
      </w:pPr>
    </w:p>
    <w:p w14:paraId="66459CB8" w14:textId="35DE209C" w:rsidR="00AE2E35" w:rsidRPr="009F6D74" w:rsidRDefault="00AE2E35" w:rsidP="006823B2">
      <w:pPr>
        <w:numPr>
          <w:ilvl w:val="0"/>
          <w:numId w:val="2"/>
        </w:numPr>
        <w:spacing w:line="288" w:lineRule="auto"/>
        <w:ind w:left="720" w:hanging="1440"/>
      </w:pPr>
      <w:r w:rsidRPr="009F6D74">
        <w:t>(2)</w:t>
      </w:r>
      <w:r w:rsidRPr="009F6D74">
        <w:tab/>
        <w:t xml:space="preserve">The </w:t>
      </w:r>
      <w:r w:rsidR="008E27AB" w:rsidRPr="009F6D74">
        <w:t>$1,000 penalty assessed in Docket UW-150791</w:t>
      </w:r>
      <w:r w:rsidR="005C3B3B">
        <w:t xml:space="preserve"> is suspended until May </w:t>
      </w:r>
      <w:r w:rsidR="001C6A8B">
        <w:t>3</w:t>
      </w:r>
      <w:r w:rsidR="005C3B3B">
        <w:t>, 2016, and then waived,</w:t>
      </w:r>
      <w:r w:rsidR="00AC454B">
        <w:t xml:space="preserve"> conditioned on </w:t>
      </w:r>
      <w:r w:rsidR="00AC454B" w:rsidRPr="009F6D74">
        <w:t>T &amp; T Professional Service aka Water and Was</w:t>
      </w:r>
      <w:r w:rsidR="00AC454B">
        <w:t xml:space="preserve">tewater Management Services, </w:t>
      </w:r>
      <w:r w:rsidR="00AC454B" w:rsidRPr="009F6D74">
        <w:t>LLC</w:t>
      </w:r>
      <w:r w:rsidR="00AC454B">
        <w:t xml:space="preserve"> filing its 2015 annual report and paying any regulatory fees due </w:t>
      </w:r>
      <w:r w:rsidR="005C3B3B">
        <w:t>by</w:t>
      </w:r>
      <w:r w:rsidR="00AC454B">
        <w:t xml:space="preserve"> than May </w:t>
      </w:r>
      <w:r w:rsidR="001C6A8B">
        <w:t>2</w:t>
      </w:r>
      <w:r w:rsidR="00AC454B">
        <w:t xml:space="preserve">, 2016. If </w:t>
      </w:r>
      <w:r w:rsidR="00AC454B" w:rsidRPr="009F6D74">
        <w:t xml:space="preserve">T &amp; T Professional Service aka Water </w:t>
      </w:r>
      <w:r w:rsidR="00AC454B" w:rsidRPr="009F6D74">
        <w:lastRenderedPageBreak/>
        <w:t>and Was</w:t>
      </w:r>
      <w:r w:rsidR="00AC454B">
        <w:t xml:space="preserve">tewater Management Services, </w:t>
      </w:r>
      <w:r w:rsidR="00AC454B" w:rsidRPr="009F6D74">
        <w:t>LLC</w:t>
      </w:r>
      <w:r w:rsidR="00AC454B">
        <w:t xml:space="preserve"> fails to file its annual report and pay regulatory fees by that date, the entire penalty will immediately become due and payable on May </w:t>
      </w:r>
      <w:r w:rsidR="001C6A8B">
        <w:t>3</w:t>
      </w:r>
      <w:r w:rsidR="00AC454B">
        <w:t xml:space="preserve">, 2016, without further action by the Commission. </w:t>
      </w:r>
    </w:p>
    <w:p w14:paraId="78C8FA9B" w14:textId="77777777" w:rsidR="004059E6" w:rsidRPr="009F6D74" w:rsidRDefault="004059E6" w:rsidP="00682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rPr>
      </w:pPr>
    </w:p>
    <w:p w14:paraId="78C8FA9C" w14:textId="19C8C187" w:rsidR="004059E6" w:rsidRPr="009F6D74" w:rsidRDefault="004059E6" w:rsidP="006823B2">
      <w:pPr>
        <w:spacing w:line="288" w:lineRule="auto"/>
      </w:pPr>
      <w:r w:rsidRPr="009F6D74">
        <w:t xml:space="preserve">Dated at Olympia, Washington, and effective </w:t>
      </w:r>
      <w:r w:rsidR="00AC454B">
        <w:t>September 2</w:t>
      </w:r>
      <w:r w:rsidR="001C6A8B">
        <w:t>2</w:t>
      </w:r>
      <w:r w:rsidR="003572AC" w:rsidRPr="009F6D74">
        <w:t>, 2015</w:t>
      </w:r>
      <w:r w:rsidRPr="009F6D74">
        <w:t>.</w:t>
      </w:r>
    </w:p>
    <w:p w14:paraId="78C8FA9D" w14:textId="77777777" w:rsidR="004059E6" w:rsidRPr="009F6D74" w:rsidRDefault="004059E6" w:rsidP="006823B2">
      <w:pPr>
        <w:pStyle w:val="Header"/>
        <w:tabs>
          <w:tab w:val="clear" w:pos="4320"/>
          <w:tab w:val="clear" w:pos="8640"/>
        </w:tabs>
        <w:spacing w:line="288" w:lineRule="auto"/>
      </w:pPr>
    </w:p>
    <w:p w14:paraId="78C8FA9E" w14:textId="77777777" w:rsidR="004059E6" w:rsidRPr="009F6D74" w:rsidRDefault="004059E6" w:rsidP="006823B2">
      <w:pPr>
        <w:spacing w:line="288" w:lineRule="auto"/>
        <w:jc w:val="center"/>
      </w:pPr>
      <w:r w:rsidRPr="009F6D74">
        <w:t>WASHINGTON UTILITIES AND TRANSPORTATION COMMISSION</w:t>
      </w:r>
    </w:p>
    <w:p w14:paraId="78C8FA9F" w14:textId="77777777" w:rsidR="004059E6" w:rsidRPr="009F6D74" w:rsidRDefault="004059E6" w:rsidP="006823B2">
      <w:pPr>
        <w:spacing w:line="288" w:lineRule="auto"/>
      </w:pPr>
    </w:p>
    <w:p w14:paraId="78C8FAA0" w14:textId="77777777" w:rsidR="004059E6" w:rsidRPr="009F6D74" w:rsidRDefault="004059E6" w:rsidP="006823B2">
      <w:pPr>
        <w:spacing w:line="288" w:lineRule="auto"/>
      </w:pPr>
    </w:p>
    <w:p w14:paraId="78C8FAA1" w14:textId="77777777" w:rsidR="00024CD1" w:rsidRPr="009F6D74" w:rsidRDefault="00024CD1" w:rsidP="006823B2">
      <w:pPr>
        <w:spacing w:line="288" w:lineRule="auto"/>
      </w:pPr>
    </w:p>
    <w:p w14:paraId="78C8FAA2" w14:textId="6D3F35C7" w:rsidR="00024CD1" w:rsidRPr="009F6D74" w:rsidRDefault="00832312" w:rsidP="006823B2">
      <w:pPr>
        <w:spacing w:line="288" w:lineRule="auto"/>
        <w:ind w:left="3600" w:firstLine="720"/>
      </w:pPr>
      <w:r w:rsidRPr="009F6D74">
        <w:t>RAYNE PEARSON</w:t>
      </w:r>
    </w:p>
    <w:p w14:paraId="78C8FAA3" w14:textId="77777777" w:rsidR="00024CD1" w:rsidRDefault="00024CD1" w:rsidP="006823B2">
      <w:pPr>
        <w:spacing w:line="288" w:lineRule="auto"/>
      </w:pPr>
      <w:r w:rsidRPr="009F6D74">
        <w:tab/>
      </w:r>
      <w:r w:rsidRPr="009F6D74">
        <w:tab/>
      </w:r>
      <w:r w:rsidRPr="009F6D74">
        <w:tab/>
      </w:r>
      <w:r w:rsidRPr="009F6D74">
        <w:tab/>
      </w:r>
      <w:r w:rsidRPr="009F6D74">
        <w:tab/>
      </w:r>
      <w:r w:rsidRPr="009F6D74">
        <w:tab/>
        <w:t>Administrative Law Judge</w:t>
      </w:r>
    </w:p>
    <w:p w14:paraId="4B43E99A" w14:textId="77777777" w:rsidR="008E4B87" w:rsidRDefault="008E4B87" w:rsidP="006823B2">
      <w:pPr>
        <w:spacing w:line="288" w:lineRule="auto"/>
      </w:pPr>
    </w:p>
    <w:p w14:paraId="10013F47" w14:textId="77777777" w:rsidR="00F938EE" w:rsidRDefault="00F938EE" w:rsidP="009F6D74">
      <w:pPr>
        <w:spacing w:line="24" w:lineRule="atLeast"/>
        <w:jc w:val="center"/>
        <w:rPr>
          <w:b/>
        </w:rPr>
      </w:pPr>
      <w:r>
        <w:rPr>
          <w:b/>
        </w:rPr>
        <w:br w:type="page"/>
      </w:r>
    </w:p>
    <w:p w14:paraId="6D08AD1A" w14:textId="4F306E38" w:rsidR="009F6D74" w:rsidRPr="009F6D74" w:rsidRDefault="009F6D74" w:rsidP="009F6D74">
      <w:pPr>
        <w:spacing w:line="24" w:lineRule="atLeast"/>
        <w:jc w:val="center"/>
        <w:rPr>
          <w:b/>
        </w:rPr>
      </w:pPr>
      <w:r w:rsidRPr="009F6D74">
        <w:rPr>
          <w:b/>
        </w:rPr>
        <w:lastRenderedPageBreak/>
        <w:t>NOTICE TO PARTIES</w:t>
      </w:r>
    </w:p>
    <w:p w14:paraId="00E5BB5B" w14:textId="77777777" w:rsidR="009F6D74" w:rsidRPr="009F6D74" w:rsidRDefault="009F6D74" w:rsidP="009F6D74">
      <w:pPr>
        <w:spacing w:line="24" w:lineRule="atLeast"/>
      </w:pPr>
    </w:p>
    <w:p w14:paraId="08513DBF" w14:textId="0DE7D1A3" w:rsidR="009F6D74" w:rsidRPr="009F6D74" w:rsidRDefault="00F938EE" w:rsidP="009F6D74">
      <w:pPr>
        <w:spacing w:line="24" w:lineRule="atLeast"/>
        <w:rPr>
          <w:rFonts w:eastAsia="Calibri"/>
        </w:rPr>
      </w:pPr>
      <w:r>
        <w:rPr>
          <w:rFonts w:eastAsia="Calibri"/>
        </w:rPr>
        <w:t xml:space="preserve">This is an Initial Order. </w:t>
      </w:r>
      <w:r w:rsidR="009F6D74" w:rsidRPr="009F6D74">
        <w:rPr>
          <w:rFonts w:eastAsia="Calibri"/>
        </w:rPr>
        <w:t>The action proposed in this Init</w:t>
      </w:r>
      <w:r>
        <w:rPr>
          <w:rFonts w:eastAsia="Calibri"/>
        </w:rPr>
        <w:t>ial Order is not yet effective.</w:t>
      </w:r>
      <w:r w:rsidR="009F6D74" w:rsidRPr="009F6D74">
        <w:rPr>
          <w:rFonts w:eastAsia="Calibri"/>
        </w:rPr>
        <w:t xml:space="preserve"> If you disagree with this Initial Order and want the Commission to consider your comments, you must take specific action within t</w:t>
      </w:r>
      <w:r>
        <w:rPr>
          <w:rFonts w:eastAsia="Calibri"/>
        </w:rPr>
        <w:t xml:space="preserve">he time limits outlined below. </w:t>
      </w:r>
      <w:r w:rsidR="009F6D74" w:rsidRPr="009F6D74">
        <w:rPr>
          <w:rFonts w:eastAsia="Calibri"/>
        </w:rPr>
        <w:t>If you agree with this Initial Order, and you would like the Order to become final before the time limits expire, you may send a letter to the Commission, waiving your right to petition for administrative review.</w:t>
      </w:r>
    </w:p>
    <w:p w14:paraId="2FBA77E5" w14:textId="77777777" w:rsidR="009F6D74" w:rsidRPr="009F6D74" w:rsidRDefault="009F6D74" w:rsidP="009F6D74">
      <w:pPr>
        <w:spacing w:line="24" w:lineRule="atLeast"/>
        <w:rPr>
          <w:rFonts w:eastAsia="Calibri"/>
        </w:rPr>
      </w:pPr>
    </w:p>
    <w:p w14:paraId="1F965151" w14:textId="3F72F58D" w:rsidR="009F6D74" w:rsidRPr="009F6D74" w:rsidRDefault="009F6D74" w:rsidP="009F6D74">
      <w:pPr>
        <w:spacing w:line="24" w:lineRule="atLeast"/>
        <w:rPr>
          <w:rFonts w:eastAsia="Calibri"/>
        </w:rPr>
      </w:pPr>
      <w:r w:rsidRPr="009F6D74">
        <w:rPr>
          <w:rFonts w:eastAsia="Calibri"/>
        </w:rPr>
        <w:t xml:space="preserve">WAC 480-07-825(2) provides that any party to this proceeding has twenty (20) days after the entry of this Initial Order to file a </w:t>
      </w:r>
      <w:r w:rsidRPr="009F6D74">
        <w:rPr>
          <w:rFonts w:eastAsia="Calibri"/>
          <w:i/>
        </w:rPr>
        <w:t>Petition for Administrative Review</w:t>
      </w:r>
      <w:r w:rsidR="00F938EE">
        <w:rPr>
          <w:rFonts w:eastAsia="Calibri"/>
        </w:rPr>
        <w:t xml:space="preserve">. </w:t>
      </w:r>
      <w:r w:rsidRPr="009F6D74">
        <w:rPr>
          <w:rFonts w:eastAsia="Calibri"/>
        </w:rPr>
        <w:t>What must be included in any Petition and other requirements for a Petition ar</w:t>
      </w:r>
      <w:r w:rsidR="00F938EE">
        <w:rPr>
          <w:rFonts w:eastAsia="Calibri"/>
        </w:rPr>
        <w:t xml:space="preserve">e stated in WAC 480-07-825(3). </w:t>
      </w:r>
      <w:r w:rsidRPr="009F6D74">
        <w:rPr>
          <w:rFonts w:eastAsia="Calibri"/>
        </w:rPr>
        <w:t xml:space="preserve">WAC 480-07-825(4) states that any party may file an </w:t>
      </w:r>
      <w:r w:rsidRPr="009F6D74">
        <w:rPr>
          <w:rFonts w:eastAsia="Calibri"/>
          <w:i/>
        </w:rPr>
        <w:t xml:space="preserve">Answer </w:t>
      </w:r>
      <w:r w:rsidRPr="009F6D74">
        <w:rPr>
          <w:rFonts w:eastAsia="Calibri"/>
        </w:rPr>
        <w:t xml:space="preserve">to a Petition for review within ten (10) days after service of the Petition.  </w:t>
      </w:r>
    </w:p>
    <w:p w14:paraId="64BA4656" w14:textId="77777777" w:rsidR="009F6D74" w:rsidRPr="009F6D74" w:rsidRDefault="009F6D74" w:rsidP="009F6D74">
      <w:pPr>
        <w:spacing w:line="24" w:lineRule="atLeast"/>
        <w:rPr>
          <w:rFonts w:eastAsia="Calibri"/>
        </w:rPr>
      </w:pPr>
    </w:p>
    <w:p w14:paraId="59293263" w14:textId="7E3F92CC" w:rsidR="009F6D74" w:rsidRPr="009F6D74" w:rsidRDefault="009F6D74" w:rsidP="009F6D74">
      <w:pPr>
        <w:spacing w:line="24" w:lineRule="atLeast"/>
        <w:rPr>
          <w:rFonts w:eastAsia="Calibri"/>
        </w:rPr>
      </w:pPr>
      <w:r w:rsidRPr="009F6D74">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w:t>
      </w:r>
      <w:r w:rsidR="00F938EE">
        <w:rPr>
          <w:rFonts w:eastAsia="Calibri"/>
        </w:rPr>
        <w:t xml:space="preserve">her good and sufficient cause. </w:t>
      </w:r>
      <w:r w:rsidRPr="009F6D74">
        <w:rPr>
          <w:rFonts w:eastAsia="Calibri"/>
        </w:rPr>
        <w:t>No Answer to a Petition to Reopen will be accepted for filing absent express notice by the Commission calling for such answer.</w:t>
      </w:r>
    </w:p>
    <w:p w14:paraId="1C7ED9BB" w14:textId="77777777" w:rsidR="009F6D74" w:rsidRPr="009F6D74" w:rsidRDefault="009F6D74" w:rsidP="009F6D74">
      <w:pPr>
        <w:spacing w:line="24" w:lineRule="atLeast"/>
        <w:rPr>
          <w:rFonts w:eastAsia="Calibri"/>
        </w:rPr>
      </w:pPr>
    </w:p>
    <w:p w14:paraId="4973A5A3" w14:textId="77777777" w:rsidR="009F6D74" w:rsidRPr="009F6D74" w:rsidRDefault="009F6D74" w:rsidP="009F6D74">
      <w:pPr>
        <w:spacing w:line="24" w:lineRule="atLeast"/>
        <w:rPr>
          <w:rFonts w:eastAsia="Calibri"/>
        </w:rPr>
      </w:pPr>
      <w:r w:rsidRPr="009F6D74">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74A63BB9" w14:textId="77777777" w:rsidR="009F6D74" w:rsidRPr="009F6D74" w:rsidRDefault="009F6D74" w:rsidP="009F6D74">
      <w:pPr>
        <w:spacing w:line="24" w:lineRule="atLeast"/>
        <w:rPr>
          <w:rFonts w:eastAsia="Calibri"/>
        </w:rPr>
      </w:pPr>
    </w:p>
    <w:p w14:paraId="284E1C6C" w14:textId="6F0D1238" w:rsidR="009F6D74" w:rsidRPr="009F6D74" w:rsidRDefault="009F6D74" w:rsidP="009F6D74">
      <w:pPr>
        <w:spacing w:line="24" w:lineRule="atLeast"/>
        <w:rPr>
          <w:rFonts w:eastAsia="Calibri"/>
        </w:rPr>
      </w:pPr>
      <w:r w:rsidRPr="009F6D74">
        <w:rPr>
          <w:rFonts w:eastAsia="Calibri"/>
        </w:rPr>
        <w:t>One copy of any Petition or Answer filed must be served on each party of record with proof of service as required</w:t>
      </w:r>
      <w:r w:rsidR="00F938EE">
        <w:rPr>
          <w:rFonts w:eastAsia="Calibri"/>
        </w:rPr>
        <w:t xml:space="preserve"> by WAC 480-07-150(8) and (9). </w:t>
      </w:r>
      <w:r w:rsidRPr="009F6D74">
        <w:rPr>
          <w:rFonts w:eastAsia="Calibri"/>
        </w:rPr>
        <w:t xml:space="preserve">An Original and </w:t>
      </w:r>
      <w:r w:rsidRPr="009F6D74">
        <w:rPr>
          <w:rFonts w:eastAsia="Calibri"/>
          <w:b/>
        </w:rPr>
        <w:t>five (5)</w:t>
      </w:r>
      <w:r w:rsidRPr="009F6D74">
        <w:rPr>
          <w:rFonts w:eastAsia="Calibri"/>
        </w:rPr>
        <w:t xml:space="preserve"> copies of any Petition or Answer must be filed by mail delivery to:</w:t>
      </w:r>
    </w:p>
    <w:p w14:paraId="57A52A95" w14:textId="77777777" w:rsidR="009F6D74" w:rsidRPr="009F6D74" w:rsidRDefault="009F6D74" w:rsidP="009F6D74">
      <w:pPr>
        <w:spacing w:line="24" w:lineRule="atLeast"/>
        <w:rPr>
          <w:rFonts w:eastAsia="Calibri"/>
        </w:rPr>
      </w:pPr>
    </w:p>
    <w:p w14:paraId="765F7DAD" w14:textId="5F6F9AAD" w:rsidR="009F6D74" w:rsidRPr="009F6D74" w:rsidRDefault="00F938EE" w:rsidP="009F6D74">
      <w:pPr>
        <w:spacing w:line="24" w:lineRule="atLeast"/>
        <w:rPr>
          <w:rFonts w:eastAsia="Calibri"/>
        </w:rPr>
      </w:pPr>
      <w:r>
        <w:rPr>
          <w:rFonts w:eastAsia="Calibri"/>
        </w:rPr>
        <w:t xml:space="preserve">Attn: </w:t>
      </w:r>
      <w:r w:rsidR="009F6D74" w:rsidRPr="009F6D74">
        <w:rPr>
          <w:rFonts w:eastAsia="Calibri"/>
        </w:rPr>
        <w:t>Steven V. King, Executive Director and Secretary</w:t>
      </w:r>
    </w:p>
    <w:p w14:paraId="48655719" w14:textId="77777777" w:rsidR="009F6D74" w:rsidRPr="009F6D74" w:rsidRDefault="009F6D74" w:rsidP="009F6D74">
      <w:pPr>
        <w:spacing w:line="24" w:lineRule="atLeast"/>
        <w:rPr>
          <w:rFonts w:eastAsia="Calibri"/>
        </w:rPr>
      </w:pPr>
      <w:r w:rsidRPr="009F6D74">
        <w:rPr>
          <w:rFonts w:eastAsia="Calibri"/>
        </w:rPr>
        <w:t>Washington Utilities and Transportation Commission</w:t>
      </w:r>
    </w:p>
    <w:p w14:paraId="72CB40A8" w14:textId="77777777" w:rsidR="009F6D74" w:rsidRPr="009F6D74" w:rsidRDefault="009F6D74" w:rsidP="009F6D74">
      <w:pPr>
        <w:spacing w:line="24" w:lineRule="atLeast"/>
        <w:rPr>
          <w:rFonts w:eastAsia="Calibri"/>
        </w:rPr>
      </w:pPr>
      <w:r w:rsidRPr="009F6D74">
        <w:rPr>
          <w:rFonts w:eastAsia="Calibri"/>
        </w:rPr>
        <w:t>P.O. Box 47250</w:t>
      </w:r>
    </w:p>
    <w:p w14:paraId="7A7C606B" w14:textId="77777777" w:rsidR="009F6D74" w:rsidRPr="009F6D74" w:rsidRDefault="009F6D74" w:rsidP="009F6D74">
      <w:pPr>
        <w:spacing w:line="264" w:lineRule="auto"/>
      </w:pPr>
      <w:r w:rsidRPr="009F6D74">
        <w:rPr>
          <w:rFonts w:eastAsia="Calibri"/>
        </w:rPr>
        <w:t xml:space="preserve">Olympia, Washington  </w:t>
      </w:r>
      <w:r w:rsidRPr="009F6D74">
        <w:t>98504-7250</w:t>
      </w:r>
    </w:p>
    <w:p w14:paraId="03CD10C3" w14:textId="77777777" w:rsidR="009F6D74" w:rsidRPr="009F6D74" w:rsidRDefault="009F6D74" w:rsidP="00452709"/>
    <w:sectPr w:rsidR="009F6D74" w:rsidRPr="009F6D74" w:rsidSect="004B4A8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45E94" w14:textId="77777777" w:rsidR="004452E2" w:rsidRDefault="004452E2">
      <w:r>
        <w:separator/>
      </w:r>
    </w:p>
  </w:endnote>
  <w:endnote w:type="continuationSeparator" w:id="0">
    <w:p w14:paraId="07FBC041" w14:textId="77777777" w:rsidR="004452E2" w:rsidRDefault="0044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4A8D" w14:textId="77777777" w:rsidR="00642F9E" w:rsidRDefault="0064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E0E0" w14:textId="77777777" w:rsidR="00642F9E" w:rsidRDefault="00642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1C4E" w14:textId="77777777" w:rsidR="00642F9E" w:rsidRDefault="0064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63779" w14:textId="77777777" w:rsidR="004452E2" w:rsidRDefault="004452E2">
      <w:r>
        <w:separator/>
      </w:r>
    </w:p>
  </w:footnote>
  <w:footnote w:type="continuationSeparator" w:id="0">
    <w:p w14:paraId="5FFBA3D5" w14:textId="77777777" w:rsidR="004452E2" w:rsidRDefault="004452E2">
      <w:r>
        <w:continuationSeparator/>
      </w:r>
    </w:p>
  </w:footnote>
  <w:footnote w:id="1">
    <w:p w14:paraId="2747C53C" w14:textId="78665C9D" w:rsidR="001314D8" w:rsidRPr="001314D8" w:rsidRDefault="001314D8" w:rsidP="00F938EE">
      <w:pPr>
        <w:pStyle w:val="FootnoteText"/>
        <w:spacing w:after="120"/>
        <w:rPr>
          <w:sz w:val="22"/>
          <w:szCs w:val="22"/>
        </w:rPr>
      </w:pPr>
      <w:r w:rsidRPr="001314D8">
        <w:rPr>
          <w:rStyle w:val="FootnoteReference"/>
          <w:sz w:val="22"/>
          <w:szCs w:val="22"/>
        </w:rPr>
        <w:footnoteRef/>
      </w:r>
      <w:r w:rsidRPr="001314D8">
        <w:rPr>
          <w:sz w:val="22"/>
          <w:szCs w:val="22"/>
        </w:rPr>
        <w:t xml:space="preserve"> </w:t>
      </w:r>
      <w:r>
        <w:rPr>
          <w:sz w:val="22"/>
          <w:szCs w:val="22"/>
        </w:rPr>
        <w:t>The three systems</w:t>
      </w:r>
      <w:r w:rsidRPr="001314D8">
        <w:rPr>
          <w:sz w:val="22"/>
          <w:szCs w:val="22"/>
        </w:rPr>
        <w:t xml:space="preserve"> serve approximately 22 customers in the Bremerton and Poulsbo area</w:t>
      </w:r>
      <w:r w:rsidR="006C7896">
        <w:rPr>
          <w:sz w:val="22"/>
          <w:szCs w:val="22"/>
        </w:rPr>
        <w:t>s</w:t>
      </w:r>
      <w:r w:rsidRPr="001314D8">
        <w:rPr>
          <w:sz w:val="22"/>
          <w:szCs w:val="22"/>
        </w:rPr>
        <w:t xml:space="preserve"> of Kitsap County. T &amp; T Professional Service is an investor-owned utility that meets the</w:t>
      </w:r>
      <w:r w:rsidR="006C7896">
        <w:rPr>
          <w:sz w:val="22"/>
          <w:szCs w:val="22"/>
        </w:rPr>
        <w:t xml:space="preserve"> jurisdictional</w:t>
      </w:r>
      <w:r w:rsidRPr="001314D8">
        <w:rPr>
          <w:sz w:val="22"/>
          <w:szCs w:val="22"/>
        </w:rPr>
        <w:t xml:space="preserve"> threshold for </w:t>
      </w:r>
      <w:r w:rsidR="006C7896">
        <w:rPr>
          <w:sz w:val="22"/>
          <w:szCs w:val="22"/>
        </w:rPr>
        <w:t>C</w:t>
      </w:r>
      <w:r w:rsidRPr="001314D8">
        <w:rPr>
          <w:sz w:val="22"/>
          <w:szCs w:val="22"/>
        </w:rPr>
        <w:t xml:space="preserve">ommission </w:t>
      </w:r>
      <w:r w:rsidR="006C7896">
        <w:rPr>
          <w:sz w:val="22"/>
          <w:szCs w:val="22"/>
        </w:rPr>
        <w:t>regulation, as set forth</w:t>
      </w:r>
      <w:r w:rsidR="006C7896" w:rsidRPr="001314D8">
        <w:rPr>
          <w:sz w:val="22"/>
          <w:szCs w:val="22"/>
        </w:rPr>
        <w:t xml:space="preserve"> in </w:t>
      </w:r>
      <w:hyperlink r:id="rId1" w:history="1">
        <w:r w:rsidR="006C7896" w:rsidRPr="001314D8">
          <w:rPr>
            <w:rStyle w:val="Hyperlink"/>
            <w:color w:val="auto"/>
            <w:sz w:val="22"/>
            <w:szCs w:val="22"/>
            <w:u w:val="none"/>
          </w:rPr>
          <w:t>WAC 480-110-255</w:t>
        </w:r>
      </w:hyperlink>
      <w:r w:rsidR="006C7896" w:rsidRPr="001314D8">
        <w:rPr>
          <w:rStyle w:val="Hyperlink"/>
          <w:color w:val="auto"/>
          <w:sz w:val="22"/>
          <w:szCs w:val="22"/>
          <w:u w:val="none"/>
        </w:rPr>
        <w:t>(</w:t>
      </w:r>
      <w:r w:rsidR="006C7896" w:rsidRPr="001314D8">
        <w:rPr>
          <w:sz w:val="22"/>
          <w:szCs w:val="22"/>
        </w:rPr>
        <w:t>1)(b)</w:t>
      </w:r>
      <w:r w:rsidR="006C7896">
        <w:rPr>
          <w:sz w:val="22"/>
          <w:szCs w:val="22"/>
        </w:rPr>
        <w:t>,</w:t>
      </w:r>
      <w:r w:rsidRPr="001314D8">
        <w:rPr>
          <w:sz w:val="22"/>
          <w:szCs w:val="22"/>
        </w:rPr>
        <w:t xml:space="preserve"> by charging an average annual revenue of greater than $557 per connection.</w:t>
      </w:r>
    </w:p>
  </w:footnote>
  <w:footnote w:id="2">
    <w:p w14:paraId="49D1FC85" w14:textId="3072A72E" w:rsidR="001C6A8B" w:rsidRDefault="001C6A8B" w:rsidP="00F938EE">
      <w:pPr>
        <w:pStyle w:val="FootnoteText"/>
        <w:spacing w:after="120"/>
      </w:pPr>
      <w:r>
        <w:rPr>
          <w:rStyle w:val="FootnoteReference"/>
        </w:rPr>
        <w:footnoteRef/>
      </w:r>
      <w:r>
        <w:t xml:space="preserve"> Because </w:t>
      </w:r>
      <w:r w:rsidRPr="001C6A8B">
        <w:rPr>
          <w:sz w:val="22"/>
          <w:szCs w:val="22"/>
        </w:rPr>
        <w:t xml:space="preserve">May 1, 2016, </w:t>
      </w:r>
      <w:r>
        <w:rPr>
          <w:sz w:val="22"/>
          <w:szCs w:val="22"/>
        </w:rPr>
        <w:t>falls on</w:t>
      </w:r>
      <w:r w:rsidRPr="001C6A8B">
        <w:rPr>
          <w:sz w:val="22"/>
          <w:szCs w:val="22"/>
        </w:rPr>
        <w:t xml:space="preserve"> a Sunday, 2015 annual reports and regulatory fees will be due the following business day, May 2.</w:t>
      </w:r>
    </w:p>
  </w:footnote>
  <w:footnote w:id="3">
    <w:p w14:paraId="23952FFF" w14:textId="77777777" w:rsidR="00BE3B79" w:rsidRPr="00D61DF9" w:rsidRDefault="00BE3B79" w:rsidP="00F938EE">
      <w:pPr>
        <w:pStyle w:val="FootnoteText"/>
        <w:spacing w:after="120"/>
        <w:rPr>
          <w:sz w:val="22"/>
          <w:szCs w:val="22"/>
        </w:rPr>
      </w:pPr>
      <w:r w:rsidRPr="00D61DF9">
        <w:rPr>
          <w:rStyle w:val="FootnoteReference"/>
          <w:sz w:val="22"/>
          <w:szCs w:val="22"/>
        </w:rPr>
        <w:footnoteRef/>
      </w:r>
      <w:r w:rsidRPr="00D61DF9">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D61DF9">
        <w:rPr>
          <w:i/>
          <w:sz w:val="22"/>
          <w:szCs w:val="22"/>
        </w:rPr>
        <w:t>See</w:t>
      </w:r>
      <w:r w:rsidRPr="00D61DF9">
        <w:rPr>
          <w:sz w:val="22"/>
          <w:szCs w:val="22"/>
        </w:rPr>
        <w:t xml:space="preserve"> </w:t>
      </w:r>
      <w:r w:rsidRPr="00D61DF9">
        <w:rPr>
          <w:iCs/>
          <w:sz w:val="22"/>
          <w:szCs w:val="22"/>
        </w:rPr>
        <w:t>RCW 34.05.455</w:t>
      </w:r>
      <w:r w:rsidRPr="00D61DF9">
        <w:rPr>
          <w:i/>
          <w:iCs/>
          <w:sz w:val="22"/>
          <w:szCs w:val="22"/>
        </w:rPr>
        <w:t>.</w:t>
      </w:r>
    </w:p>
  </w:footnote>
  <w:footnote w:id="4">
    <w:p w14:paraId="4AFA4A94" w14:textId="759294CA" w:rsidR="0007541C" w:rsidRPr="00D61DF9" w:rsidRDefault="0007541C" w:rsidP="00F938EE">
      <w:pPr>
        <w:pStyle w:val="FootnoteText"/>
        <w:spacing w:after="120"/>
        <w:rPr>
          <w:sz w:val="22"/>
          <w:szCs w:val="22"/>
        </w:rPr>
      </w:pPr>
      <w:r w:rsidRPr="00D61DF9">
        <w:rPr>
          <w:rStyle w:val="FootnoteReference"/>
          <w:sz w:val="22"/>
          <w:szCs w:val="22"/>
        </w:rPr>
        <w:footnoteRef/>
      </w:r>
      <w:r w:rsidRPr="00D61DF9">
        <w:rPr>
          <w:sz w:val="22"/>
          <w:szCs w:val="22"/>
        </w:rPr>
        <w:t xml:space="preserve"> RCW 80.120.20(1) provides, in part: “No public service company shall sell, lease, assign or otherwise dispose of the whole or any part of its franchises, properties or facilities whatsoever, which are necessary or useful in the performance of its duties to the public, and no public service company shall, by any means whatsoever, directly or indirectly, merge or consolidate any of its franchises, properties or facilities with any other public service company, without having secured from the commission an order authorizing it to do so.”</w:t>
      </w:r>
    </w:p>
  </w:footnote>
  <w:footnote w:id="5">
    <w:p w14:paraId="7BBF66DB" w14:textId="77777777" w:rsidR="00254A86" w:rsidRPr="001C6A8B" w:rsidRDefault="00254A86" w:rsidP="00F938EE">
      <w:pPr>
        <w:pStyle w:val="FootnoteText"/>
        <w:spacing w:after="120"/>
        <w:rPr>
          <w:sz w:val="22"/>
          <w:szCs w:val="22"/>
        </w:rPr>
      </w:pPr>
      <w:r w:rsidRPr="001C6A8B">
        <w:rPr>
          <w:rStyle w:val="FootnoteReference"/>
          <w:sz w:val="22"/>
          <w:szCs w:val="22"/>
        </w:rPr>
        <w:footnoteRef/>
      </w:r>
      <w:r w:rsidRPr="001C6A8B">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20F8" w14:textId="77777777" w:rsidR="00642F9E" w:rsidRDefault="00642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9D81" w14:textId="77777777" w:rsidR="00557FE0" w:rsidRPr="00DE41B1" w:rsidRDefault="00557FE0" w:rsidP="00557FE0">
    <w:pPr>
      <w:pStyle w:val="Header"/>
      <w:tabs>
        <w:tab w:val="clear" w:pos="8640"/>
        <w:tab w:val="right" w:pos="8460"/>
      </w:tabs>
      <w:rPr>
        <w:rStyle w:val="PageNumber"/>
        <w:b/>
        <w:bCs/>
        <w:sz w:val="20"/>
      </w:rPr>
    </w:pPr>
    <w:r w:rsidRPr="00DE41B1">
      <w:rPr>
        <w:b/>
        <w:bCs/>
        <w:sz w:val="20"/>
      </w:rPr>
      <w:t xml:space="preserve">DOCKET </w:t>
    </w:r>
    <w:r>
      <w:rPr>
        <w:b/>
        <w:bCs/>
        <w:sz w:val="20"/>
      </w:rPr>
      <w:t>UW-143617 and UW-150791 (</w:t>
    </w:r>
    <w:r>
      <w:rPr>
        <w:b/>
        <w:bCs/>
        <w:i/>
        <w:sz w:val="20"/>
      </w:rPr>
      <w:t>Consolidated</w:t>
    </w:r>
    <w:r>
      <w:rPr>
        <w:b/>
        <w:bCs/>
        <w:sz w:val="20"/>
      </w:rPr>
      <w:t>)</w:t>
    </w:r>
    <w:r w:rsidRPr="00DE41B1">
      <w:rPr>
        <w:b/>
        <w:bCs/>
        <w:sz w:val="20"/>
      </w:rPr>
      <w:tab/>
      <w:t xml:space="preserve">PAGE </w:t>
    </w:r>
    <w:r w:rsidRPr="00DE41B1">
      <w:rPr>
        <w:rStyle w:val="PageNumber"/>
        <w:b/>
        <w:bCs/>
        <w:sz w:val="20"/>
      </w:rPr>
      <w:fldChar w:fldCharType="begin"/>
    </w:r>
    <w:r w:rsidRPr="00DE41B1">
      <w:rPr>
        <w:rStyle w:val="PageNumber"/>
        <w:b/>
        <w:bCs/>
        <w:sz w:val="20"/>
      </w:rPr>
      <w:instrText xml:space="preserve"> PAGE </w:instrText>
    </w:r>
    <w:r w:rsidRPr="00DE41B1">
      <w:rPr>
        <w:rStyle w:val="PageNumber"/>
        <w:b/>
        <w:bCs/>
        <w:sz w:val="20"/>
      </w:rPr>
      <w:fldChar w:fldCharType="separate"/>
    </w:r>
    <w:r w:rsidR="002D3C8B">
      <w:rPr>
        <w:rStyle w:val="PageNumber"/>
        <w:b/>
        <w:bCs/>
        <w:noProof/>
        <w:sz w:val="20"/>
      </w:rPr>
      <w:t>8</w:t>
    </w:r>
    <w:r w:rsidRPr="00DE41B1">
      <w:rPr>
        <w:rStyle w:val="PageNumber"/>
        <w:b/>
        <w:bCs/>
        <w:sz w:val="20"/>
      </w:rPr>
      <w:fldChar w:fldCharType="end"/>
    </w:r>
  </w:p>
  <w:p w14:paraId="48F17A72" w14:textId="2D69216E" w:rsidR="004B4A82" w:rsidRDefault="00557FE0" w:rsidP="00557FE0">
    <w:pPr>
      <w:pStyle w:val="Header"/>
      <w:tabs>
        <w:tab w:val="clear" w:pos="8640"/>
        <w:tab w:val="right" w:pos="8460"/>
      </w:tabs>
      <w:rPr>
        <w:b/>
        <w:bCs/>
        <w:sz w:val="20"/>
      </w:rPr>
    </w:pPr>
    <w:r>
      <w:rPr>
        <w:b/>
        <w:bCs/>
        <w:sz w:val="20"/>
      </w:rPr>
      <w:t>ORDER 0</w:t>
    </w:r>
    <w:r w:rsidR="00053FFE">
      <w:rPr>
        <w:b/>
        <w:bCs/>
        <w:sz w:val="20"/>
      </w:rPr>
      <w:t>3</w:t>
    </w:r>
  </w:p>
  <w:p w14:paraId="1D335F59" w14:textId="77777777" w:rsidR="00A04C69" w:rsidRPr="00F523EC" w:rsidRDefault="00A04C69" w:rsidP="00557FE0">
    <w:pPr>
      <w:pStyle w:val="Header"/>
      <w:tabs>
        <w:tab w:val="clear" w:pos="8640"/>
        <w:tab w:val="right" w:pos="846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B949" w14:textId="7D0D42B5" w:rsidR="00114964" w:rsidRPr="00114964" w:rsidRDefault="00642F9E" w:rsidP="00642F9E">
    <w:pPr>
      <w:pStyle w:val="Header"/>
      <w:jc w:val="right"/>
      <w:rPr>
        <w:b/>
        <w:sz w:val="20"/>
        <w:szCs w:val="20"/>
      </w:rPr>
    </w:pPr>
    <w:r>
      <w:rPr>
        <w:b/>
        <w:sz w:val="20"/>
        <w:szCs w:val="20"/>
      </w:rPr>
      <w:t>[Service date September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A5046"/>
    <w:multiLevelType w:val="hybridMultilevel"/>
    <w:tmpl w:val="999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6"/>
  </w:num>
  <w:num w:numId="5">
    <w:abstractNumId w:val="8"/>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0890"/>
    <w:rsid w:val="000026E2"/>
    <w:rsid w:val="00020764"/>
    <w:rsid w:val="00021A5E"/>
    <w:rsid w:val="00024CD1"/>
    <w:rsid w:val="00032779"/>
    <w:rsid w:val="00047020"/>
    <w:rsid w:val="000477A6"/>
    <w:rsid w:val="0005060D"/>
    <w:rsid w:val="00053FFE"/>
    <w:rsid w:val="00056597"/>
    <w:rsid w:val="000615C0"/>
    <w:rsid w:val="00062FFB"/>
    <w:rsid w:val="00073BBD"/>
    <w:rsid w:val="00073CA1"/>
    <w:rsid w:val="0007541C"/>
    <w:rsid w:val="00075506"/>
    <w:rsid w:val="00077947"/>
    <w:rsid w:val="00083556"/>
    <w:rsid w:val="00086889"/>
    <w:rsid w:val="000A30D2"/>
    <w:rsid w:val="000A5CAE"/>
    <w:rsid w:val="000A6938"/>
    <w:rsid w:val="000A6BBA"/>
    <w:rsid w:val="000B13ED"/>
    <w:rsid w:val="000B3490"/>
    <w:rsid w:val="000B7E73"/>
    <w:rsid w:val="000C052E"/>
    <w:rsid w:val="000C200E"/>
    <w:rsid w:val="000C22D6"/>
    <w:rsid w:val="000C468E"/>
    <w:rsid w:val="000D5F40"/>
    <w:rsid w:val="000D6A1B"/>
    <w:rsid w:val="000D6F03"/>
    <w:rsid w:val="000E2F3C"/>
    <w:rsid w:val="000E6B7C"/>
    <w:rsid w:val="000E75B5"/>
    <w:rsid w:val="000F1D22"/>
    <w:rsid w:val="000F45EC"/>
    <w:rsid w:val="00110D15"/>
    <w:rsid w:val="0011252A"/>
    <w:rsid w:val="00114964"/>
    <w:rsid w:val="0012336B"/>
    <w:rsid w:val="001314D8"/>
    <w:rsid w:val="001338CE"/>
    <w:rsid w:val="00134B2D"/>
    <w:rsid w:val="001420BB"/>
    <w:rsid w:val="00143026"/>
    <w:rsid w:val="00152F67"/>
    <w:rsid w:val="00161DE2"/>
    <w:rsid w:val="0017428F"/>
    <w:rsid w:val="00177BFE"/>
    <w:rsid w:val="00180C43"/>
    <w:rsid w:val="00183AA5"/>
    <w:rsid w:val="001851E1"/>
    <w:rsid w:val="001A05A1"/>
    <w:rsid w:val="001A3D52"/>
    <w:rsid w:val="001C4A06"/>
    <w:rsid w:val="001C5AE4"/>
    <w:rsid w:val="001C5C92"/>
    <w:rsid w:val="001C6A8B"/>
    <w:rsid w:val="001E17BA"/>
    <w:rsid w:val="001F68D0"/>
    <w:rsid w:val="00214192"/>
    <w:rsid w:val="0024374B"/>
    <w:rsid w:val="002458F0"/>
    <w:rsid w:val="00245E9C"/>
    <w:rsid w:val="00254A86"/>
    <w:rsid w:val="00255BCE"/>
    <w:rsid w:val="0026515A"/>
    <w:rsid w:val="00293CD0"/>
    <w:rsid w:val="002B0C40"/>
    <w:rsid w:val="002B5FB3"/>
    <w:rsid w:val="002D3C8B"/>
    <w:rsid w:val="002E5790"/>
    <w:rsid w:val="002E6EDE"/>
    <w:rsid w:val="002F3177"/>
    <w:rsid w:val="00326EC0"/>
    <w:rsid w:val="00342EF5"/>
    <w:rsid w:val="00343481"/>
    <w:rsid w:val="00355634"/>
    <w:rsid w:val="003572AC"/>
    <w:rsid w:val="00361315"/>
    <w:rsid w:val="00392CB6"/>
    <w:rsid w:val="003C30D0"/>
    <w:rsid w:val="003E7566"/>
    <w:rsid w:val="004059E6"/>
    <w:rsid w:val="00411253"/>
    <w:rsid w:val="00427395"/>
    <w:rsid w:val="00433403"/>
    <w:rsid w:val="00434B19"/>
    <w:rsid w:val="0044283C"/>
    <w:rsid w:val="004452E2"/>
    <w:rsid w:val="00452709"/>
    <w:rsid w:val="0046123C"/>
    <w:rsid w:val="00464FD8"/>
    <w:rsid w:val="004715DF"/>
    <w:rsid w:val="00483421"/>
    <w:rsid w:val="00492089"/>
    <w:rsid w:val="00497C74"/>
    <w:rsid w:val="004B4A82"/>
    <w:rsid w:val="004B7A43"/>
    <w:rsid w:val="004C08A6"/>
    <w:rsid w:val="004C3BD5"/>
    <w:rsid w:val="004C68CE"/>
    <w:rsid w:val="004D3B8B"/>
    <w:rsid w:val="004F0ABB"/>
    <w:rsid w:val="004F3A01"/>
    <w:rsid w:val="005065E2"/>
    <w:rsid w:val="0052470A"/>
    <w:rsid w:val="0053335B"/>
    <w:rsid w:val="00533D33"/>
    <w:rsid w:val="00535C63"/>
    <w:rsid w:val="00537EDF"/>
    <w:rsid w:val="00545A6F"/>
    <w:rsid w:val="005529B0"/>
    <w:rsid w:val="00557FE0"/>
    <w:rsid w:val="005711E5"/>
    <w:rsid w:val="00576CE9"/>
    <w:rsid w:val="00577144"/>
    <w:rsid w:val="00585DDF"/>
    <w:rsid w:val="005872A3"/>
    <w:rsid w:val="00590813"/>
    <w:rsid w:val="0059515F"/>
    <w:rsid w:val="005964AD"/>
    <w:rsid w:val="005A5C82"/>
    <w:rsid w:val="005B1093"/>
    <w:rsid w:val="005B4902"/>
    <w:rsid w:val="005B6172"/>
    <w:rsid w:val="005C3B3B"/>
    <w:rsid w:val="005D11DA"/>
    <w:rsid w:val="005D1B28"/>
    <w:rsid w:val="005D7471"/>
    <w:rsid w:val="005D7851"/>
    <w:rsid w:val="005E7825"/>
    <w:rsid w:val="006239F9"/>
    <w:rsid w:val="00624601"/>
    <w:rsid w:val="00642F9E"/>
    <w:rsid w:val="00643CB7"/>
    <w:rsid w:val="00674816"/>
    <w:rsid w:val="0067482D"/>
    <w:rsid w:val="006823B2"/>
    <w:rsid w:val="00687C38"/>
    <w:rsid w:val="00687D6D"/>
    <w:rsid w:val="00695F5C"/>
    <w:rsid w:val="006B008C"/>
    <w:rsid w:val="006B3662"/>
    <w:rsid w:val="006C3612"/>
    <w:rsid w:val="006C3827"/>
    <w:rsid w:val="006C7896"/>
    <w:rsid w:val="006D005F"/>
    <w:rsid w:val="006D0724"/>
    <w:rsid w:val="006D2993"/>
    <w:rsid w:val="006E7804"/>
    <w:rsid w:val="007123DC"/>
    <w:rsid w:val="0071393F"/>
    <w:rsid w:val="00713B95"/>
    <w:rsid w:val="007235A7"/>
    <w:rsid w:val="0072596C"/>
    <w:rsid w:val="00737A8B"/>
    <w:rsid w:val="007660A6"/>
    <w:rsid w:val="00773C1E"/>
    <w:rsid w:val="007902D5"/>
    <w:rsid w:val="007949C8"/>
    <w:rsid w:val="007A086B"/>
    <w:rsid w:val="007A1F28"/>
    <w:rsid w:val="007C2DE1"/>
    <w:rsid w:val="007C30C1"/>
    <w:rsid w:val="007D6B00"/>
    <w:rsid w:val="007D7C57"/>
    <w:rsid w:val="008164CC"/>
    <w:rsid w:val="0081740B"/>
    <w:rsid w:val="00823A0A"/>
    <w:rsid w:val="008250F5"/>
    <w:rsid w:val="00832312"/>
    <w:rsid w:val="008333E7"/>
    <w:rsid w:val="00836CED"/>
    <w:rsid w:val="00841C4C"/>
    <w:rsid w:val="00846562"/>
    <w:rsid w:val="00871AF0"/>
    <w:rsid w:val="0087335E"/>
    <w:rsid w:val="00880A5B"/>
    <w:rsid w:val="00882135"/>
    <w:rsid w:val="008847F3"/>
    <w:rsid w:val="00892A0D"/>
    <w:rsid w:val="008B0AC8"/>
    <w:rsid w:val="008B22A4"/>
    <w:rsid w:val="008C0B1D"/>
    <w:rsid w:val="008C3602"/>
    <w:rsid w:val="008C7F45"/>
    <w:rsid w:val="008E27AB"/>
    <w:rsid w:val="008E4B87"/>
    <w:rsid w:val="008E5F60"/>
    <w:rsid w:val="008F2109"/>
    <w:rsid w:val="008F3843"/>
    <w:rsid w:val="00920812"/>
    <w:rsid w:val="00920AA1"/>
    <w:rsid w:val="00923999"/>
    <w:rsid w:val="0092713B"/>
    <w:rsid w:val="00937EC8"/>
    <w:rsid w:val="0094467F"/>
    <w:rsid w:val="009520DB"/>
    <w:rsid w:val="00965F84"/>
    <w:rsid w:val="00972457"/>
    <w:rsid w:val="00973B3C"/>
    <w:rsid w:val="009766F2"/>
    <w:rsid w:val="00976B62"/>
    <w:rsid w:val="009832E8"/>
    <w:rsid w:val="009A6218"/>
    <w:rsid w:val="009B0D06"/>
    <w:rsid w:val="009E16B2"/>
    <w:rsid w:val="009F3D95"/>
    <w:rsid w:val="009F47AF"/>
    <w:rsid w:val="009F53BE"/>
    <w:rsid w:val="009F6D74"/>
    <w:rsid w:val="00A0020C"/>
    <w:rsid w:val="00A04C69"/>
    <w:rsid w:val="00A11832"/>
    <w:rsid w:val="00A11DD7"/>
    <w:rsid w:val="00A1514B"/>
    <w:rsid w:val="00A20FAE"/>
    <w:rsid w:val="00A22A74"/>
    <w:rsid w:val="00A3253B"/>
    <w:rsid w:val="00A33099"/>
    <w:rsid w:val="00A54E43"/>
    <w:rsid w:val="00A64AED"/>
    <w:rsid w:val="00A76E83"/>
    <w:rsid w:val="00A81DE4"/>
    <w:rsid w:val="00A84830"/>
    <w:rsid w:val="00A8530D"/>
    <w:rsid w:val="00A912B3"/>
    <w:rsid w:val="00A91D28"/>
    <w:rsid w:val="00AA506B"/>
    <w:rsid w:val="00AC454B"/>
    <w:rsid w:val="00AE1F2C"/>
    <w:rsid w:val="00AE2198"/>
    <w:rsid w:val="00AE2E35"/>
    <w:rsid w:val="00AE370B"/>
    <w:rsid w:val="00AF4D4C"/>
    <w:rsid w:val="00AF6C67"/>
    <w:rsid w:val="00B11981"/>
    <w:rsid w:val="00B132CB"/>
    <w:rsid w:val="00B154B4"/>
    <w:rsid w:val="00B231F1"/>
    <w:rsid w:val="00B37E69"/>
    <w:rsid w:val="00B42B7C"/>
    <w:rsid w:val="00B4362C"/>
    <w:rsid w:val="00B64BC0"/>
    <w:rsid w:val="00B66145"/>
    <w:rsid w:val="00B91DE1"/>
    <w:rsid w:val="00B94EA4"/>
    <w:rsid w:val="00BA4E78"/>
    <w:rsid w:val="00BA4FE6"/>
    <w:rsid w:val="00BA52ED"/>
    <w:rsid w:val="00BB1B7C"/>
    <w:rsid w:val="00BB1ED5"/>
    <w:rsid w:val="00BC1B21"/>
    <w:rsid w:val="00BC7C82"/>
    <w:rsid w:val="00BD1732"/>
    <w:rsid w:val="00BD6524"/>
    <w:rsid w:val="00BE3B79"/>
    <w:rsid w:val="00BE7835"/>
    <w:rsid w:val="00BF481F"/>
    <w:rsid w:val="00BF6F3E"/>
    <w:rsid w:val="00BF7E2F"/>
    <w:rsid w:val="00C15096"/>
    <w:rsid w:val="00C27E41"/>
    <w:rsid w:val="00C35593"/>
    <w:rsid w:val="00C45C01"/>
    <w:rsid w:val="00C6151D"/>
    <w:rsid w:val="00C71CEB"/>
    <w:rsid w:val="00C81123"/>
    <w:rsid w:val="00C85CE0"/>
    <w:rsid w:val="00C9225D"/>
    <w:rsid w:val="00C9569F"/>
    <w:rsid w:val="00CB0B25"/>
    <w:rsid w:val="00CB0DE6"/>
    <w:rsid w:val="00CB740B"/>
    <w:rsid w:val="00CC64FE"/>
    <w:rsid w:val="00CC7B0C"/>
    <w:rsid w:val="00CD3241"/>
    <w:rsid w:val="00CE5059"/>
    <w:rsid w:val="00CE551A"/>
    <w:rsid w:val="00CF1F3D"/>
    <w:rsid w:val="00D06AC0"/>
    <w:rsid w:val="00D361CB"/>
    <w:rsid w:val="00D41574"/>
    <w:rsid w:val="00D4594E"/>
    <w:rsid w:val="00D47014"/>
    <w:rsid w:val="00D52152"/>
    <w:rsid w:val="00D5406E"/>
    <w:rsid w:val="00D55305"/>
    <w:rsid w:val="00D609AA"/>
    <w:rsid w:val="00D61DF9"/>
    <w:rsid w:val="00D6460E"/>
    <w:rsid w:val="00D873CF"/>
    <w:rsid w:val="00D91088"/>
    <w:rsid w:val="00DB0F86"/>
    <w:rsid w:val="00DB5FED"/>
    <w:rsid w:val="00DC39A1"/>
    <w:rsid w:val="00DC529B"/>
    <w:rsid w:val="00DC5382"/>
    <w:rsid w:val="00DD0DE6"/>
    <w:rsid w:val="00DD749F"/>
    <w:rsid w:val="00DF5A8D"/>
    <w:rsid w:val="00E10B0B"/>
    <w:rsid w:val="00E1296F"/>
    <w:rsid w:val="00E17214"/>
    <w:rsid w:val="00E50DC4"/>
    <w:rsid w:val="00E61EF1"/>
    <w:rsid w:val="00E6570A"/>
    <w:rsid w:val="00E720B0"/>
    <w:rsid w:val="00E93208"/>
    <w:rsid w:val="00EE2243"/>
    <w:rsid w:val="00EE31EA"/>
    <w:rsid w:val="00EE5CE7"/>
    <w:rsid w:val="00EF0E86"/>
    <w:rsid w:val="00EF1070"/>
    <w:rsid w:val="00EF45DF"/>
    <w:rsid w:val="00EF50B4"/>
    <w:rsid w:val="00EF5B44"/>
    <w:rsid w:val="00F01266"/>
    <w:rsid w:val="00F05DBA"/>
    <w:rsid w:val="00F124AE"/>
    <w:rsid w:val="00F16302"/>
    <w:rsid w:val="00F20AD6"/>
    <w:rsid w:val="00F20B2D"/>
    <w:rsid w:val="00F238AA"/>
    <w:rsid w:val="00F23948"/>
    <w:rsid w:val="00F24673"/>
    <w:rsid w:val="00F342D5"/>
    <w:rsid w:val="00F523EC"/>
    <w:rsid w:val="00F64A3A"/>
    <w:rsid w:val="00F7532D"/>
    <w:rsid w:val="00F938EE"/>
    <w:rsid w:val="00FA0C2C"/>
    <w:rsid w:val="00FA5BF6"/>
    <w:rsid w:val="00FB3BEE"/>
    <w:rsid w:val="00FC630D"/>
    <w:rsid w:val="00FD0640"/>
    <w:rsid w:val="00FE46D0"/>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semiHidden/>
    <w:unhideWhenUsed/>
    <w:rsid w:val="006D2993"/>
    <w:rPr>
      <w:sz w:val="20"/>
      <w:szCs w:val="20"/>
    </w:rPr>
  </w:style>
  <w:style w:type="character" w:customStyle="1" w:styleId="FootnoteTextChar">
    <w:name w:val="Footnote Text Char"/>
    <w:basedOn w:val="DefaultParagraphFont"/>
    <w:link w:val="FootnoteText"/>
    <w:semiHidden/>
    <w:rsid w:val="006D2993"/>
  </w:style>
  <w:style w:type="character" w:styleId="FootnoteReference">
    <w:name w:val="footnote reference"/>
    <w:basedOn w:val="DefaultParagraphFont"/>
    <w:semiHidden/>
    <w:unhideWhenUsed/>
    <w:rsid w:val="006D2993"/>
    <w:rPr>
      <w:vertAlign w:val="superscript"/>
    </w:rPr>
  </w:style>
  <w:style w:type="paragraph" w:styleId="Revision">
    <w:name w:val="Revision"/>
    <w:hidden/>
    <w:uiPriority w:val="99"/>
    <w:semiHidden/>
    <w:rsid w:val="000E75B5"/>
    <w:rPr>
      <w:sz w:val="24"/>
      <w:szCs w:val="24"/>
    </w:rPr>
  </w:style>
  <w:style w:type="paragraph" w:customStyle="1" w:styleId="FindingsConclusions">
    <w:name w:val="Findings &amp; Conclusions"/>
    <w:basedOn w:val="Normal"/>
    <w:autoRedefine/>
    <w:rsid w:val="006D005F"/>
    <w:pPr>
      <w:numPr>
        <w:numId w:val="8"/>
      </w:numPr>
      <w:spacing w:line="320" w:lineRule="exact"/>
      <w:ind w:left="72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429">
      <w:bodyDiv w:val="1"/>
      <w:marLeft w:val="0"/>
      <w:marRight w:val="0"/>
      <w:marTop w:val="0"/>
      <w:marBottom w:val="0"/>
      <w:divBdr>
        <w:top w:val="none" w:sz="0" w:space="0" w:color="auto"/>
        <w:left w:val="none" w:sz="0" w:space="0" w:color="auto"/>
        <w:bottom w:val="none" w:sz="0" w:space="0" w:color="auto"/>
        <w:right w:val="none" w:sz="0" w:space="0" w:color="auto"/>
      </w:divBdr>
      <w:divsChild>
        <w:div w:id="1403134513">
          <w:marLeft w:val="150"/>
          <w:marRight w:val="0"/>
          <w:marTop w:val="0"/>
          <w:marBottom w:val="0"/>
          <w:divBdr>
            <w:top w:val="none" w:sz="0" w:space="0" w:color="auto"/>
            <w:left w:val="none" w:sz="0" w:space="0" w:color="auto"/>
            <w:bottom w:val="none" w:sz="0" w:space="0" w:color="auto"/>
            <w:right w:val="none" w:sz="0" w:space="0" w:color="auto"/>
          </w:divBdr>
          <w:divsChild>
            <w:div w:id="1543593806">
              <w:marLeft w:val="0"/>
              <w:marRight w:val="0"/>
              <w:marTop w:val="0"/>
              <w:marBottom w:val="0"/>
              <w:divBdr>
                <w:top w:val="none" w:sz="0" w:space="0" w:color="auto"/>
                <w:left w:val="none" w:sz="0" w:space="0" w:color="auto"/>
                <w:bottom w:val="none" w:sz="0" w:space="0" w:color="auto"/>
                <w:right w:val="none" w:sz="0" w:space="0" w:color="auto"/>
              </w:divBdr>
            </w:div>
            <w:div w:id="115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860">
      <w:bodyDiv w:val="1"/>
      <w:marLeft w:val="0"/>
      <w:marRight w:val="0"/>
      <w:marTop w:val="0"/>
      <w:marBottom w:val="0"/>
      <w:divBdr>
        <w:top w:val="none" w:sz="0" w:space="0" w:color="auto"/>
        <w:left w:val="none" w:sz="0" w:space="0" w:color="auto"/>
        <w:bottom w:val="none" w:sz="0" w:space="0" w:color="auto"/>
        <w:right w:val="none" w:sz="0" w:space="0" w:color="auto"/>
      </w:divBdr>
      <w:divsChild>
        <w:div w:id="1448695413">
          <w:marLeft w:val="150"/>
          <w:marRight w:val="0"/>
          <w:marTop w:val="0"/>
          <w:marBottom w:val="0"/>
          <w:divBdr>
            <w:top w:val="none" w:sz="0" w:space="0" w:color="auto"/>
            <w:left w:val="none" w:sz="0" w:space="0" w:color="auto"/>
            <w:bottom w:val="none" w:sz="0" w:space="0" w:color="auto"/>
            <w:right w:val="none" w:sz="0" w:space="0" w:color="auto"/>
          </w:divBdr>
          <w:divsChild>
            <w:div w:id="1122306677">
              <w:marLeft w:val="0"/>
              <w:marRight w:val="0"/>
              <w:marTop w:val="0"/>
              <w:marBottom w:val="0"/>
              <w:divBdr>
                <w:top w:val="none" w:sz="0" w:space="0" w:color="auto"/>
                <w:left w:val="none" w:sz="0" w:space="0" w:color="auto"/>
                <w:bottom w:val="none" w:sz="0" w:space="0" w:color="auto"/>
                <w:right w:val="none" w:sz="0" w:space="0" w:color="auto"/>
              </w:divBdr>
            </w:div>
            <w:div w:id="10676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110-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2015-09-22T07:00:00+00:00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C2DF6-EA52-4F98-B569-A5A0A8630CDA}"/>
</file>

<file path=customXml/itemProps2.xml><?xml version="1.0" encoding="utf-8"?>
<ds:datastoreItem xmlns:ds="http://schemas.openxmlformats.org/officeDocument/2006/customXml" ds:itemID="{CCA0FB39-7DF6-490B-81D6-65D825F98843}"/>
</file>

<file path=customXml/itemProps3.xml><?xml version="1.0" encoding="utf-8"?>
<ds:datastoreItem xmlns:ds="http://schemas.openxmlformats.org/officeDocument/2006/customXml" ds:itemID="{AF3C76F7-910A-4D2B-8A50-04ABFC3D564B}"/>
</file>

<file path=customXml/itemProps4.xml><?xml version="1.0" encoding="utf-8"?>
<ds:datastoreItem xmlns:ds="http://schemas.openxmlformats.org/officeDocument/2006/customXml" ds:itemID="{C27D7326-741E-4125-99A3-0649D7F7CD0F}"/>
</file>

<file path=customXml/itemProps5.xml><?xml version="1.0" encoding="utf-8"?>
<ds:datastoreItem xmlns:ds="http://schemas.openxmlformats.org/officeDocument/2006/customXml" ds:itemID="{66835143-997D-4B32-8623-A7BFFDEA1637}"/>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2015-09-21T23:31:00Z</dcterms:created>
  <dcterms:modified xsi:type="dcterms:W3CDTF">2015-09-22T18:13:00Z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