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5B" w:rsidRPr="00B814E2" w:rsidRDefault="00B814E2" w:rsidP="00B814E2">
      <w:pPr>
        <w:ind w:left="5760"/>
        <w:rPr>
          <w:b/>
        </w:rPr>
      </w:pPr>
      <w:r w:rsidRPr="00B814E2">
        <w:rPr>
          <w:b/>
        </w:rPr>
        <w:t>Exhibit No. ___</w:t>
      </w:r>
      <w:r w:rsidR="0017271E" w:rsidRPr="00B814E2">
        <w:rPr>
          <w:b/>
        </w:rPr>
        <w:t xml:space="preserve"> </w:t>
      </w:r>
      <w:r w:rsidR="00403670">
        <w:rPr>
          <w:b/>
        </w:rPr>
        <w:t xml:space="preserve">T </w:t>
      </w:r>
      <w:r w:rsidR="0017271E" w:rsidRPr="00B814E2">
        <w:rPr>
          <w:b/>
        </w:rPr>
        <w:t>(</w:t>
      </w:r>
      <w:r w:rsidR="0017271E">
        <w:rPr>
          <w:b/>
        </w:rPr>
        <w:t>SVK-1</w:t>
      </w:r>
      <w:r w:rsidRPr="00B814E2">
        <w:rPr>
          <w:b/>
        </w:rPr>
        <w:t>T)</w:t>
      </w:r>
    </w:p>
    <w:p w:rsidR="00B814E2" w:rsidRPr="00B814E2" w:rsidRDefault="00B814E2" w:rsidP="00B814E2">
      <w:pPr>
        <w:ind w:left="5760"/>
        <w:rPr>
          <w:b/>
        </w:rPr>
      </w:pPr>
      <w:r w:rsidRPr="00B814E2">
        <w:rPr>
          <w:b/>
        </w:rPr>
        <w:t xml:space="preserve">Docket </w:t>
      </w:r>
      <w:r w:rsidR="00BE6E2C">
        <w:rPr>
          <w:b/>
        </w:rPr>
        <w:t>U</w:t>
      </w:r>
      <w:r w:rsidRPr="00B814E2">
        <w:rPr>
          <w:b/>
        </w:rPr>
        <w:t>-</w:t>
      </w:r>
      <w:r w:rsidR="00BE6E2C">
        <w:rPr>
          <w:b/>
        </w:rPr>
        <w:t>110808</w:t>
      </w:r>
    </w:p>
    <w:p w:rsidR="00B814E2" w:rsidRPr="00B814E2" w:rsidRDefault="0046251D" w:rsidP="00B814E2">
      <w:pPr>
        <w:ind w:left="5760"/>
        <w:rPr>
          <w:b/>
        </w:rPr>
      </w:pPr>
      <w:r>
        <w:rPr>
          <w:b/>
        </w:rPr>
        <w:t xml:space="preserve">Witness:  </w:t>
      </w:r>
      <w:r w:rsidR="00031CCC">
        <w:rPr>
          <w:b/>
        </w:rPr>
        <w:t>Steven V. King</w:t>
      </w:r>
      <w:r w:rsidR="00B814E2" w:rsidRPr="00B814E2">
        <w:rPr>
          <w:b/>
        </w:rPr>
        <w:t xml:space="preserve"> </w:t>
      </w:r>
    </w:p>
    <w:p w:rsidR="00B814E2" w:rsidRPr="00B814E2" w:rsidRDefault="00B814E2" w:rsidP="00B814E2">
      <w:pPr>
        <w:rPr>
          <w:b/>
        </w:rPr>
      </w:pPr>
    </w:p>
    <w:p w:rsidR="00B814E2" w:rsidRPr="00B814E2" w:rsidRDefault="00B814E2" w:rsidP="00B814E2">
      <w:pPr>
        <w:rPr>
          <w:b/>
        </w:rPr>
      </w:pPr>
    </w:p>
    <w:p w:rsidR="00B814E2" w:rsidRPr="00B814E2" w:rsidRDefault="00B814E2" w:rsidP="00B814E2">
      <w:pPr>
        <w:ind w:left="-360" w:right="-252"/>
        <w:jc w:val="center"/>
        <w:rPr>
          <w:b/>
        </w:rPr>
      </w:pPr>
      <w:r w:rsidRPr="00B814E2">
        <w:rPr>
          <w:b/>
        </w:rPr>
        <w:t>BEFORE THE WASHINGTON UTILITIES AND TRANSPORTATION COMMISSION</w:t>
      </w:r>
    </w:p>
    <w:p w:rsidR="00B814E2" w:rsidRPr="00B814E2" w:rsidRDefault="00B814E2" w:rsidP="00B814E2">
      <w:pPr>
        <w:rPr>
          <w:b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B814E2" w:rsidTr="008407B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B814E2" w:rsidRDefault="00893B02" w:rsidP="00F957C6">
            <w:pPr>
              <w:rPr>
                <w:b/>
                <w:bCs/>
              </w:rPr>
            </w:pPr>
            <w:r>
              <w:rPr>
                <w:b/>
                <w:bCs/>
              </w:rPr>
              <w:t>WASHINGTON UTILITIES AND TRANSPORTATION COMMISSION</w:t>
            </w:r>
            <w:r w:rsidR="00B814E2">
              <w:rPr>
                <w:b/>
                <w:bCs/>
              </w:rPr>
              <w:t>,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B814E2" w:rsidP="00F957C6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893B02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Complainant, 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B814E2" w:rsidP="00F957C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</w:t>
            </w:r>
            <w:proofErr w:type="gramEnd"/>
            <w:r>
              <w:rPr>
                <w:b/>
                <w:bCs/>
              </w:rPr>
              <w:t>.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893B02" w:rsidP="00F957C6">
            <w:pPr>
              <w:rPr>
                <w:b/>
                <w:bCs/>
              </w:rPr>
            </w:pPr>
            <w:r>
              <w:rPr>
                <w:b/>
                <w:bCs/>
              </w:rPr>
              <w:t>PUGET SOUND ENERGY, INC.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B814E2" w:rsidP="00F957C6">
            <w:pPr>
              <w:spacing w:after="19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893B02">
              <w:rPr>
                <w:b/>
                <w:bCs/>
              </w:rPr>
              <w:tab/>
            </w:r>
            <w:r>
              <w:rPr>
                <w:b/>
                <w:bCs/>
              </w:rPr>
              <w:t>Respondent.</w:t>
            </w:r>
          </w:p>
          <w:p w:rsidR="00893B02" w:rsidRDefault="00893B02" w:rsidP="00F957C6">
            <w:pPr>
              <w:spacing w:after="19"/>
              <w:rPr>
                <w:b/>
                <w:bCs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814E2" w:rsidRDefault="00B814E2" w:rsidP="00F957C6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DOCKET </w:t>
            </w:r>
            <w:r w:rsidR="008407B2">
              <w:rPr>
                <w:b/>
                <w:bCs/>
              </w:rPr>
              <w:t>U-110808</w:t>
            </w:r>
          </w:p>
          <w:p w:rsidR="00B814E2" w:rsidRDefault="00B814E2" w:rsidP="00F957C6">
            <w:pPr>
              <w:rPr>
                <w:b/>
                <w:bCs/>
              </w:rPr>
            </w:pPr>
          </w:p>
          <w:p w:rsidR="00B814E2" w:rsidRDefault="00B814E2" w:rsidP="00F957C6">
            <w:pPr>
              <w:spacing w:after="19"/>
              <w:ind w:left="720"/>
              <w:rPr>
                <w:b/>
                <w:bCs/>
              </w:rPr>
            </w:pPr>
          </w:p>
        </w:tc>
      </w:tr>
    </w:tbl>
    <w:p w:rsidR="00B814E2" w:rsidRDefault="00B814E2" w:rsidP="00B814E2">
      <w:pPr>
        <w:jc w:val="both"/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TESTIMONY OF</w:t>
      </w:r>
    </w:p>
    <w:p w:rsidR="00B814E2" w:rsidRDefault="00B814E2" w:rsidP="00B814E2">
      <w:pPr>
        <w:jc w:val="center"/>
        <w:rPr>
          <w:b/>
          <w:bCs/>
        </w:rPr>
      </w:pPr>
    </w:p>
    <w:p w:rsidR="00B814E2" w:rsidRDefault="00285989" w:rsidP="00B814E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Steve</w:t>
      </w:r>
      <w:r w:rsidR="00A21289">
        <w:rPr>
          <w:b/>
          <w:bCs/>
        </w:rPr>
        <w:t>n</w:t>
      </w:r>
      <w:r>
        <w:rPr>
          <w:b/>
          <w:bCs/>
        </w:rPr>
        <w:t xml:space="preserve"> </w:t>
      </w:r>
      <w:r w:rsidR="00031CCC">
        <w:rPr>
          <w:b/>
          <w:bCs/>
        </w:rPr>
        <w:t xml:space="preserve">V. </w:t>
      </w:r>
      <w:r>
        <w:rPr>
          <w:b/>
          <w:bCs/>
        </w:rPr>
        <w:t>King</w:t>
      </w: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STAFF OF</w:t>
      </w: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WASHINGTON</w:t>
          </w:r>
        </w:smartTag>
      </w:smartTag>
      <w:r>
        <w:rPr>
          <w:b/>
          <w:bCs/>
        </w:rPr>
        <w:t xml:space="preserve"> UTILITIES AND</w:t>
      </w:r>
    </w:p>
    <w:p w:rsidR="00B814E2" w:rsidRDefault="00B814E2" w:rsidP="00B814E2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TRANSPORTATION COMMISSION</w:t>
      </w:r>
    </w:p>
    <w:p w:rsidR="00B814E2" w:rsidRDefault="00B814E2" w:rsidP="00B814E2">
      <w:pPr>
        <w:jc w:val="center"/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B814E2" w:rsidRDefault="00B814E2" w:rsidP="00B814E2">
      <w:pPr>
        <w:rPr>
          <w:b/>
          <w:bCs/>
        </w:rPr>
      </w:pPr>
    </w:p>
    <w:p w:rsidR="00403670" w:rsidRDefault="00403670" w:rsidP="00B814E2">
      <w:pPr>
        <w:jc w:val="center"/>
        <w:rPr>
          <w:b/>
          <w:bCs/>
        </w:rPr>
      </w:pPr>
    </w:p>
    <w:p w:rsidR="00403670" w:rsidRDefault="00403670" w:rsidP="00B814E2">
      <w:pPr>
        <w:jc w:val="center"/>
        <w:rPr>
          <w:b/>
          <w:bCs/>
        </w:rPr>
      </w:pPr>
    </w:p>
    <w:p w:rsidR="00403670" w:rsidRDefault="00403670" w:rsidP="00B814E2">
      <w:pPr>
        <w:jc w:val="center"/>
        <w:rPr>
          <w:b/>
          <w:bCs/>
        </w:rPr>
      </w:pPr>
    </w:p>
    <w:p w:rsidR="00B814E2" w:rsidRDefault="00341E09" w:rsidP="00B814E2">
      <w:pPr>
        <w:jc w:val="center"/>
        <w:rPr>
          <w:b/>
          <w:bCs/>
        </w:rPr>
      </w:pPr>
      <w:r>
        <w:rPr>
          <w:b/>
          <w:bCs/>
        </w:rPr>
        <w:t>May 3, 2012</w:t>
      </w:r>
    </w:p>
    <w:p w:rsidR="00B814E2" w:rsidRDefault="00B814E2" w:rsidP="00B814E2"/>
    <w:p w:rsidR="00B814E2" w:rsidRDefault="00B814E2" w:rsidP="00B814E2"/>
    <w:p w:rsidR="00B814E2" w:rsidRDefault="00B814E2" w:rsidP="00B814E2">
      <w:pPr>
        <w:sectPr w:rsidR="00B814E2" w:rsidSect="00432AF5">
          <w:pgSz w:w="12240" w:h="15840" w:code="1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B814E2" w:rsidRDefault="00B814E2" w:rsidP="00B814E2">
      <w:pPr>
        <w:jc w:val="center"/>
      </w:pPr>
      <w:r>
        <w:rPr>
          <w:b/>
        </w:rPr>
        <w:lastRenderedPageBreak/>
        <w:t>TABLE OF CONTENTS</w:t>
      </w:r>
    </w:p>
    <w:p w:rsidR="00B814E2" w:rsidRDefault="00B814E2" w:rsidP="00B814E2"/>
    <w:p w:rsidR="00B814E2" w:rsidRDefault="00B814E2" w:rsidP="00B814E2"/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  <w:r>
        <w:t>I.</w:t>
      </w:r>
      <w:r>
        <w:tab/>
        <w:t xml:space="preserve">INTRODUCTION </w:t>
      </w:r>
      <w:r>
        <w:tab/>
        <w:t>1</w:t>
      </w: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  <w:r>
        <w:t>II.</w:t>
      </w:r>
      <w:r>
        <w:tab/>
      </w:r>
      <w:r w:rsidR="0017271E">
        <w:t>DISCUSSI</w:t>
      </w:r>
      <w:bookmarkStart w:id="0" w:name="_GoBack"/>
      <w:bookmarkEnd w:id="0"/>
      <w:r w:rsidR="0017271E">
        <w:t>ON</w:t>
      </w:r>
      <w:r>
        <w:t xml:space="preserve"> </w:t>
      </w:r>
      <w:r>
        <w:tab/>
      </w:r>
      <w:r w:rsidR="00341E09">
        <w:t>2</w:t>
      </w: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814E2" w:rsidRDefault="00B814E2" w:rsidP="00B814E2">
      <w:pPr>
        <w:tabs>
          <w:tab w:val="left" w:pos="720"/>
          <w:tab w:val="left" w:pos="1440"/>
          <w:tab w:val="left" w:pos="2160"/>
          <w:tab w:val="right" w:leader="dot" w:pos="8820"/>
        </w:tabs>
      </w:pPr>
    </w:p>
    <w:p w:rsidR="00B814E2" w:rsidRDefault="00B814E2" w:rsidP="00B814E2"/>
    <w:p w:rsidR="00B814E2" w:rsidRDefault="00893B02" w:rsidP="00B814E2">
      <w:pPr>
        <w:jc w:val="center"/>
      </w:pPr>
      <w:r>
        <w:rPr>
          <w:b/>
        </w:rPr>
        <w:t>LIST OF EXHIBITS</w:t>
      </w:r>
    </w:p>
    <w:p w:rsidR="00B814E2" w:rsidRDefault="00B814E2" w:rsidP="00B814E2"/>
    <w:p w:rsidR="00B814E2" w:rsidRDefault="00B814E2" w:rsidP="00B814E2">
      <w:r>
        <w:t xml:space="preserve">Exhibit No. </w:t>
      </w:r>
      <w:r w:rsidR="00031CCC">
        <w:t>SVK</w:t>
      </w:r>
      <w:r>
        <w:t>-</w:t>
      </w:r>
      <w:r w:rsidR="009E5F41">
        <w:t>2</w:t>
      </w:r>
      <w:r>
        <w:t xml:space="preserve">, Qualifications </w:t>
      </w:r>
    </w:p>
    <w:p w:rsidR="00B814E2" w:rsidRDefault="00B814E2" w:rsidP="00B814E2"/>
    <w:p w:rsidR="00B814E2" w:rsidRDefault="00B814E2" w:rsidP="00B814E2"/>
    <w:p w:rsidR="00B814E2" w:rsidRDefault="00B814E2" w:rsidP="00B814E2">
      <w:pPr>
        <w:sectPr w:rsidR="00B814E2" w:rsidSect="0015026F">
          <w:footerReference w:type="default" r:id="rId9"/>
          <w:pgSz w:w="12240" w:h="15840"/>
          <w:pgMar w:top="1440" w:right="1440" w:bottom="1440" w:left="1872" w:header="720" w:footer="720" w:gutter="0"/>
          <w:pgNumType w:fmt="lowerRoman" w:start="1"/>
          <w:cols w:space="720"/>
          <w:docGrid w:linePitch="360"/>
        </w:sectPr>
      </w:pPr>
    </w:p>
    <w:p w:rsidR="00B814E2" w:rsidRDefault="00B814E2" w:rsidP="00B814E2">
      <w:pPr>
        <w:spacing w:line="480" w:lineRule="auto"/>
        <w:jc w:val="center"/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>INTRODUCTION</w:t>
      </w:r>
    </w:p>
    <w:p w:rsidR="00B814E2" w:rsidRDefault="00B814E2" w:rsidP="00B814E2">
      <w:pPr>
        <w:spacing w:line="480" w:lineRule="auto"/>
        <w:rPr>
          <w:b/>
        </w:rPr>
      </w:pPr>
    </w:p>
    <w:p w:rsidR="00B814E2" w:rsidRDefault="00B814E2" w:rsidP="00B814E2">
      <w:pPr>
        <w:spacing w:line="480" w:lineRule="auto"/>
      </w:pPr>
      <w:r>
        <w:rPr>
          <w:b/>
        </w:rPr>
        <w:t>Q.</w:t>
      </w:r>
      <w:r>
        <w:rPr>
          <w:b/>
        </w:rPr>
        <w:tab/>
        <w:t xml:space="preserve">Please state your name and business address.  </w:t>
      </w:r>
    </w:p>
    <w:p w:rsidR="00B814E2" w:rsidRDefault="00B814E2" w:rsidP="00B814E2">
      <w:pPr>
        <w:spacing w:line="480" w:lineRule="auto"/>
        <w:ind w:left="720" w:hanging="720"/>
      </w:pPr>
      <w:r>
        <w:t>A.</w:t>
      </w:r>
      <w:r>
        <w:tab/>
      </w:r>
      <w:r w:rsidR="00341E09">
        <w:t>My name is</w:t>
      </w:r>
      <w:r>
        <w:t xml:space="preserve"> </w:t>
      </w:r>
      <w:r w:rsidR="00285989">
        <w:t>Steve</w:t>
      </w:r>
      <w:r w:rsidR="00A92378">
        <w:t>n</w:t>
      </w:r>
      <w:r w:rsidR="00285989">
        <w:t xml:space="preserve"> </w:t>
      </w:r>
      <w:r w:rsidR="00A92378">
        <w:t xml:space="preserve">V. </w:t>
      </w:r>
      <w:r w:rsidR="00285989">
        <w:t>King</w:t>
      </w:r>
      <w:r>
        <w:t xml:space="preserve">.  My business address is 1300 S. Evergreen Park Drive SW, P.O. Box 47250, Olympia, WA  98504.  </w:t>
      </w:r>
    </w:p>
    <w:p w:rsidR="00B814E2" w:rsidRDefault="00B814E2" w:rsidP="00B814E2">
      <w:pPr>
        <w:spacing w:line="480" w:lineRule="auto"/>
        <w:ind w:left="720" w:hanging="720"/>
      </w:pPr>
    </w:p>
    <w:p w:rsidR="00B814E2" w:rsidRDefault="00B814E2" w:rsidP="00B814E2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By whom are you employed and in what capacity?  </w:t>
      </w:r>
    </w:p>
    <w:p w:rsidR="00B814E2" w:rsidRDefault="00B814E2" w:rsidP="00B814E2">
      <w:pPr>
        <w:spacing w:line="480" w:lineRule="auto"/>
        <w:ind w:left="720" w:hanging="720"/>
      </w:pPr>
      <w:r>
        <w:t>A.</w:t>
      </w:r>
      <w:r>
        <w:tab/>
        <w:t xml:space="preserve">I am employed by the Washington Utilities and Transportation Commission as </w:t>
      </w:r>
      <w:r w:rsidR="00285989">
        <w:t xml:space="preserve">the Director of </w:t>
      </w:r>
      <w:r w:rsidR="007D3D2D">
        <w:t xml:space="preserve">the </w:t>
      </w:r>
      <w:r w:rsidR="00285989">
        <w:t>Safety and Consumer Protection</w:t>
      </w:r>
      <w:r w:rsidR="007D3D2D">
        <w:t xml:space="preserve"> Division</w:t>
      </w:r>
      <w:r>
        <w:t xml:space="preserve">.  </w:t>
      </w:r>
    </w:p>
    <w:p w:rsidR="00B814E2" w:rsidRDefault="00B814E2" w:rsidP="00B814E2">
      <w:pPr>
        <w:spacing w:line="480" w:lineRule="auto"/>
        <w:ind w:left="720" w:hanging="720"/>
      </w:pPr>
    </w:p>
    <w:p w:rsidR="00B814E2" w:rsidRDefault="00B814E2" w:rsidP="00B814E2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How long have you been employed by the Commission?  </w:t>
      </w:r>
      <w:r>
        <w:t xml:space="preserve"> </w:t>
      </w:r>
    </w:p>
    <w:p w:rsidR="00B814E2" w:rsidRDefault="00B814E2" w:rsidP="00B814E2">
      <w:pPr>
        <w:spacing w:line="480" w:lineRule="auto"/>
        <w:ind w:left="720" w:hanging="720"/>
      </w:pPr>
      <w:r>
        <w:t>A.</w:t>
      </w:r>
      <w:r>
        <w:tab/>
      </w:r>
      <w:r w:rsidR="0073235B">
        <w:t>I have been employed by the Commission for 29 years.</w:t>
      </w:r>
    </w:p>
    <w:p w:rsidR="00B814E2" w:rsidRDefault="00B814E2" w:rsidP="00B814E2">
      <w:pPr>
        <w:spacing w:line="480" w:lineRule="auto"/>
        <w:ind w:left="720" w:hanging="720"/>
      </w:pPr>
    </w:p>
    <w:p w:rsidR="00B814E2" w:rsidRDefault="00B814E2" w:rsidP="00B814E2">
      <w:pPr>
        <w:spacing w:line="480" w:lineRule="auto"/>
        <w:ind w:left="720" w:hanging="720"/>
      </w:pPr>
      <w:r>
        <w:rPr>
          <w:b/>
        </w:rPr>
        <w:t xml:space="preserve">Q </w:t>
      </w:r>
      <w:r>
        <w:rPr>
          <w:b/>
        </w:rPr>
        <w:tab/>
        <w:t xml:space="preserve">Would you please state your educational and professional background?  </w:t>
      </w:r>
    </w:p>
    <w:p w:rsidR="00B814E2" w:rsidRDefault="00B814E2" w:rsidP="00031CCC">
      <w:pPr>
        <w:spacing w:line="480" w:lineRule="auto"/>
        <w:ind w:left="720" w:hanging="720"/>
      </w:pPr>
      <w:r>
        <w:t>A.</w:t>
      </w:r>
      <w:r>
        <w:tab/>
      </w:r>
      <w:r w:rsidR="00031CCC">
        <w:t xml:space="preserve">I hold a Bachelor of Arts degree from the University of Puget Sound in sociology and a Masters degree in Public Policy and Administration from the University of Washington. </w:t>
      </w:r>
      <w:r w:rsidR="00266F15">
        <w:t xml:space="preserve"> </w:t>
      </w:r>
      <w:r w:rsidR="0073235B">
        <w:t xml:space="preserve">I have held five positions at the Commission in the past 29 years including </w:t>
      </w:r>
      <w:r w:rsidR="00403670">
        <w:t>20</w:t>
      </w:r>
      <w:r w:rsidR="0073235B">
        <w:t xml:space="preserve"> years </w:t>
      </w:r>
      <w:r w:rsidR="007D3D2D">
        <w:t xml:space="preserve">of </w:t>
      </w:r>
      <w:r w:rsidR="00031CCC">
        <w:t xml:space="preserve">experience in different </w:t>
      </w:r>
      <w:r w:rsidR="0073235B">
        <w:t xml:space="preserve">management </w:t>
      </w:r>
      <w:r w:rsidR="00031CCC">
        <w:t>roles</w:t>
      </w:r>
      <w:r w:rsidR="0073235B">
        <w:t xml:space="preserve">. </w:t>
      </w:r>
      <w:r w:rsidR="00266F15">
        <w:t xml:space="preserve"> </w:t>
      </w:r>
      <w:r w:rsidR="0073235B">
        <w:t xml:space="preserve">I have been the Commission’s senior manager responsible for safety and consumer protection for the past nine years. </w:t>
      </w:r>
    </w:p>
    <w:p w:rsidR="00341E09" w:rsidRDefault="00341E09" w:rsidP="00B814E2">
      <w:pPr>
        <w:spacing w:line="480" w:lineRule="auto"/>
        <w:ind w:left="720" w:hanging="720"/>
      </w:pPr>
    </w:p>
    <w:p w:rsidR="000C3C6F" w:rsidRDefault="000C3C6F" w:rsidP="000C3C6F">
      <w:pPr>
        <w:spacing w:line="480" w:lineRule="auto"/>
        <w:ind w:left="720" w:hanging="720"/>
        <w:rPr>
          <w:b/>
        </w:rPr>
      </w:pPr>
      <w:r>
        <w:rPr>
          <w:b/>
        </w:rPr>
        <w:t xml:space="preserve">Q </w:t>
      </w:r>
      <w:r>
        <w:rPr>
          <w:b/>
        </w:rPr>
        <w:tab/>
        <w:t>Have you prepared an exhibit des</w:t>
      </w:r>
      <w:r w:rsidR="00714A74">
        <w:rPr>
          <w:b/>
        </w:rPr>
        <w:t xml:space="preserve">cribing your </w:t>
      </w:r>
      <w:r>
        <w:rPr>
          <w:b/>
        </w:rPr>
        <w:t xml:space="preserve">education, relevant employment experience, and other professional qualifications? </w:t>
      </w:r>
    </w:p>
    <w:p w:rsidR="000C3C6F" w:rsidRPr="000C3C6F" w:rsidRDefault="000C3C6F" w:rsidP="000C3C6F">
      <w:pPr>
        <w:spacing w:line="480" w:lineRule="auto"/>
        <w:ind w:left="720" w:hanging="720"/>
      </w:pPr>
      <w:r>
        <w:lastRenderedPageBreak/>
        <w:t>A.</w:t>
      </w:r>
      <w:r>
        <w:tab/>
        <w:t xml:space="preserve">Yes, I have. </w:t>
      </w:r>
      <w:r w:rsidR="00714A74">
        <w:t xml:space="preserve"> </w:t>
      </w:r>
      <w:r>
        <w:t>It is Exhibit No.</w:t>
      </w:r>
      <w:r w:rsidR="00403670">
        <w:t xml:space="preserve"> </w:t>
      </w:r>
      <w:proofErr w:type="gramStart"/>
      <w:r>
        <w:t>___</w:t>
      </w:r>
      <w:r w:rsidR="00403670">
        <w:t xml:space="preserve"> </w:t>
      </w:r>
      <w:r>
        <w:t>(SVK-2).</w:t>
      </w:r>
      <w:proofErr w:type="gramEnd"/>
    </w:p>
    <w:p w:rsidR="00341E09" w:rsidRDefault="00341E09" w:rsidP="00462E61">
      <w:pPr>
        <w:spacing w:line="480" w:lineRule="auto"/>
      </w:pPr>
    </w:p>
    <w:p w:rsidR="00B814E2" w:rsidRDefault="00B814E2" w:rsidP="00403670">
      <w:pPr>
        <w:spacing w:line="480" w:lineRule="auto"/>
        <w:jc w:val="center"/>
      </w:pPr>
      <w:r>
        <w:rPr>
          <w:b/>
        </w:rPr>
        <w:t>II.</w:t>
      </w:r>
      <w:r>
        <w:rPr>
          <w:b/>
        </w:rPr>
        <w:tab/>
      </w:r>
      <w:r w:rsidR="0017271E">
        <w:rPr>
          <w:b/>
        </w:rPr>
        <w:t>DISCUSSION</w:t>
      </w:r>
    </w:p>
    <w:p w:rsidR="00B814E2" w:rsidRDefault="00B814E2" w:rsidP="00B814E2">
      <w:pPr>
        <w:spacing w:line="480" w:lineRule="auto"/>
        <w:ind w:left="720" w:hanging="720"/>
      </w:pPr>
    </w:p>
    <w:p w:rsidR="00B814E2" w:rsidRDefault="00B814E2" w:rsidP="00B814E2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9A03A7">
        <w:rPr>
          <w:b/>
        </w:rPr>
        <w:t xml:space="preserve">Please </w:t>
      </w:r>
      <w:r w:rsidR="00285989">
        <w:rPr>
          <w:b/>
        </w:rPr>
        <w:t>describe your role in</w:t>
      </w:r>
      <w:r w:rsidR="009A03A7">
        <w:rPr>
          <w:b/>
        </w:rPr>
        <w:t xml:space="preserve"> the investigation </w:t>
      </w:r>
      <w:r w:rsidR="00285989">
        <w:rPr>
          <w:b/>
        </w:rPr>
        <w:t>related to</w:t>
      </w:r>
      <w:r w:rsidR="009A03A7">
        <w:rPr>
          <w:b/>
        </w:rPr>
        <w:t xml:space="preserve"> Docket U-100182 and </w:t>
      </w:r>
      <w:r w:rsidR="00285989">
        <w:rPr>
          <w:b/>
        </w:rPr>
        <w:t>your understanding of the violations contained in the</w:t>
      </w:r>
      <w:r w:rsidR="009A03A7">
        <w:rPr>
          <w:b/>
        </w:rPr>
        <w:t xml:space="preserve"> 26 accounts</w:t>
      </w:r>
      <w:r w:rsidR="00931369">
        <w:rPr>
          <w:b/>
        </w:rPr>
        <w:t xml:space="preserve"> </w:t>
      </w:r>
      <w:r w:rsidR="00285989">
        <w:rPr>
          <w:b/>
        </w:rPr>
        <w:t>identified</w:t>
      </w:r>
      <w:r w:rsidR="00931369">
        <w:rPr>
          <w:b/>
        </w:rPr>
        <w:t xml:space="preserve"> in the investigation report</w:t>
      </w:r>
      <w:r w:rsidR="009A03A7">
        <w:rPr>
          <w:b/>
        </w:rPr>
        <w:t>.</w:t>
      </w:r>
    </w:p>
    <w:p w:rsidR="00165FCF" w:rsidRDefault="00285989" w:rsidP="00684195">
      <w:pPr>
        <w:spacing w:line="480" w:lineRule="auto"/>
        <w:ind w:left="720" w:hanging="720"/>
      </w:pPr>
      <w:r>
        <w:t>A.</w:t>
      </w:r>
      <w:r>
        <w:tab/>
      </w:r>
      <w:r w:rsidR="007D3D2D">
        <w:t>The investigation in Docket U-100182 was part of a broader Staff investigation into how regulated energy companies were applying the Commission’s refusal of service rule</w:t>
      </w:r>
      <w:r w:rsidR="000C3C6F">
        <w:t>s</w:t>
      </w:r>
      <w:r w:rsidR="007D3D2D">
        <w:t>, WAC 480-90</w:t>
      </w:r>
      <w:r w:rsidR="000C3C6F">
        <w:t xml:space="preserve">-123 and WAC 480-100-123. </w:t>
      </w:r>
      <w:r w:rsidR="00403670">
        <w:t xml:space="preserve"> </w:t>
      </w:r>
      <w:r w:rsidR="007D3D2D">
        <w:t xml:space="preserve">As part of this, Staff </w:t>
      </w:r>
      <w:r w:rsidR="00CA2B49">
        <w:t>reviewed</w:t>
      </w:r>
      <w:r w:rsidR="007D3D2D">
        <w:t xml:space="preserve"> a sample of account</w:t>
      </w:r>
      <w:r w:rsidR="00CA2B49">
        <w:t xml:space="preserve"> histories</w:t>
      </w:r>
      <w:r w:rsidR="007D3D2D">
        <w:t xml:space="preserve"> from each energy company to see whether it </w:t>
      </w:r>
      <w:r w:rsidR="00A92378">
        <w:t xml:space="preserve">was </w:t>
      </w:r>
      <w:r w:rsidR="007D3D2D">
        <w:t>co</w:t>
      </w:r>
      <w:r w:rsidR="00A92378">
        <w:t>rrectly applying</w:t>
      </w:r>
      <w:r w:rsidR="007D3D2D">
        <w:t xml:space="preserve"> the rule to customers whose service was disconnected for non-payment.  </w:t>
      </w:r>
      <w:r w:rsidR="00CA2B49">
        <w:t>Docket U-100182 was one of five such investigations.</w:t>
      </w:r>
    </w:p>
    <w:p w:rsidR="00165FCF" w:rsidRDefault="00CA2B49" w:rsidP="00291322">
      <w:pPr>
        <w:spacing w:line="480" w:lineRule="auto"/>
        <w:ind w:left="720" w:firstLine="720"/>
      </w:pPr>
      <w:r>
        <w:t xml:space="preserve">My role was </w:t>
      </w:r>
      <w:r w:rsidR="00A21289">
        <w:t xml:space="preserve">one of </w:t>
      </w:r>
      <w:r>
        <w:t xml:space="preserve">overall supervision and review. </w:t>
      </w:r>
      <w:r w:rsidR="00291322">
        <w:t xml:space="preserve"> </w:t>
      </w:r>
      <w:r>
        <w:t>I was involved in setting up the overall investigation</w:t>
      </w:r>
      <w:r w:rsidR="00A21289">
        <w:t>.</w:t>
      </w:r>
      <w:r w:rsidR="00266F15">
        <w:t xml:space="preserve"> </w:t>
      </w:r>
      <w:r w:rsidR="00A21289">
        <w:t xml:space="preserve"> I also reviewed</w:t>
      </w:r>
      <w:r>
        <w:t xml:space="preserve"> the investigation reports </w:t>
      </w:r>
      <w:r w:rsidR="00A21289">
        <w:t>on</w:t>
      </w:r>
      <w:r>
        <w:t xml:space="preserve"> the two companies, Avista Utilities</w:t>
      </w:r>
      <w:r w:rsidR="003B3949">
        <w:t xml:space="preserve"> (</w:t>
      </w:r>
      <w:r w:rsidR="003B3949" w:rsidRPr="00684195">
        <w:t>U-</w:t>
      </w:r>
      <w:r w:rsidR="00F957C6" w:rsidRPr="00291322">
        <w:t>101169</w:t>
      </w:r>
      <w:r w:rsidR="003B3949">
        <w:t>)</w:t>
      </w:r>
      <w:r>
        <w:t xml:space="preserve"> and Puget Sound Energy</w:t>
      </w:r>
      <w:r w:rsidR="003B3949">
        <w:t xml:space="preserve"> (U-100182)</w:t>
      </w:r>
      <w:r>
        <w:t xml:space="preserve">, against which the </w:t>
      </w:r>
      <w:r w:rsidR="00F957C6">
        <w:t>C</w:t>
      </w:r>
      <w:r>
        <w:t>ommission initiated enforcement action.</w:t>
      </w:r>
    </w:p>
    <w:p w:rsidR="00977FD7" w:rsidRDefault="00CA2B49" w:rsidP="000C3C6F">
      <w:pPr>
        <w:spacing w:line="480" w:lineRule="auto"/>
        <w:ind w:left="720" w:firstLine="720"/>
      </w:pPr>
      <w:r>
        <w:t xml:space="preserve">The 26 accounts </w:t>
      </w:r>
      <w:r w:rsidR="00C97976">
        <w:t xml:space="preserve">at issue </w:t>
      </w:r>
      <w:r w:rsidRPr="00C97976">
        <w:t xml:space="preserve">in </w:t>
      </w:r>
      <w:r w:rsidR="003B3949" w:rsidRPr="00C97976">
        <w:t>U-10</w:t>
      </w:r>
      <w:r w:rsidRPr="00C97976">
        <w:t>0</w:t>
      </w:r>
      <w:r w:rsidR="003B3949" w:rsidRPr="00C97976">
        <w:t>1</w:t>
      </w:r>
      <w:r w:rsidRPr="00C97976">
        <w:t>8</w:t>
      </w:r>
      <w:r w:rsidR="003B3949" w:rsidRPr="00C97976">
        <w:t>2</w:t>
      </w:r>
      <w:r>
        <w:t xml:space="preserve"> were </w:t>
      </w:r>
      <w:r w:rsidR="007B7C77">
        <w:t xml:space="preserve">taken </w:t>
      </w:r>
      <w:r>
        <w:t xml:space="preserve">from </w:t>
      </w:r>
      <w:r w:rsidR="00096824">
        <w:t xml:space="preserve">a </w:t>
      </w:r>
      <w:r>
        <w:t xml:space="preserve">sample of customer accounts </w:t>
      </w:r>
      <w:r w:rsidR="003B3949">
        <w:t>PSE</w:t>
      </w:r>
      <w:r w:rsidR="00F957C6">
        <w:t xml:space="preserve"> provided</w:t>
      </w:r>
      <w:r w:rsidR="003B3949">
        <w:t xml:space="preserve"> in response to Staff’s data request </w:t>
      </w:r>
      <w:r w:rsidR="007B7C77">
        <w:t>in which</w:t>
      </w:r>
      <w:r>
        <w:t xml:space="preserve"> Staff documented </w:t>
      </w:r>
      <w:r w:rsidR="00BC4A56">
        <w:t xml:space="preserve">rule violations related to </w:t>
      </w:r>
      <w:r>
        <w:t xml:space="preserve">the </w:t>
      </w:r>
      <w:r w:rsidR="00F957C6">
        <w:t>C</w:t>
      </w:r>
      <w:r>
        <w:t>ompany</w:t>
      </w:r>
      <w:r w:rsidR="007B7C77">
        <w:t>’s</w:t>
      </w:r>
      <w:r>
        <w:t xml:space="preserve"> </w:t>
      </w:r>
      <w:r w:rsidR="003B3949">
        <w:t>in</w:t>
      </w:r>
      <w:r w:rsidR="00BC4A56">
        <w:t>correctly applying</w:t>
      </w:r>
      <w:r>
        <w:t xml:space="preserve"> the Commission’s refusal of service rule</w:t>
      </w:r>
      <w:r w:rsidR="007B7C77">
        <w:t>s</w:t>
      </w:r>
      <w:r>
        <w:t xml:space="preserve">. </w:t>
      </w:r>
      <w:r w:rsidR="00266F15">
        <w:t xml:space="preserve"> </w:t>
      </w:r>
      <w:r>
        <w:t>The 26 accou</w:t>
      </w:r>
      <w:r w:rsidR="00A92378">
        <w:t>nts represented approximately 15</w:t>
      </w:r>
      <w:r>
        <w:t xml:space="preserve"> percent of the </w:t>
      </w:r>
      <w:r w:rsidR="003B3949" w:rsidRPr="00336144">
        <w:t>179</w:t>
      </w:r>
      <w:r w:rsidR="003B3949">
        <w:t xml:space="preserve"> </w:t>
      </w:r>
      <w:r>
        <w:t>acco</w:t>
      </w:r>
      <w:r w:rsidR="00ED014E">
        <w:t xml:space="preserve">unt histories reviewed by Staff as part of </w:t>
      </w:r>
      <w:r w:rsidR="00F957C6">
        <w:t xml:space="preserve">the </w:t>
      </w:r>
      <w:r w:rsidR="00ED014E">
        <w:t>investigation</w:t>
      </w:r>
      <w:r w:rsidR="00F957C6">
        <w:t xml:space="preserve"> into PSE in U-100182</w:t>
      </w:r>
      <w:r w:rsidR="00ED014E">
        <w:t xml:space="preserve">. </w:t>
      </w:r>
      <w:r w:rsidR="00266F15">
        <w:t xml:space="preserve"> </w:t>
      </w:r>
      <w:r w:rsidR="00ED014E">
        <w:t xml:space="preserve">The </w:t>
      </w:r>
      <w:r w:rsidR="00BC4A56">
        <w:t xml:space="preserve">rule </w:t>
      </w:r>
      <w:r w:rsidR="00ED014E">
        <w:t>violations</w:t>
      </w:r>
      <w:r w:rsidR="00BC4A56">
        <w:t xml:space="preserve"> included: </w:t>
      </w:r>
    </w:p>
    <w:p w:rsidR="00BC4A56" w:rsidRDefault="00A92378" w:rsidP="00BC4A5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R</w:t>
      </w:r>
      <w:r w:rsidR="00BC4A56">
        <w:t xml:space="preserve">equiring customers </w:t>
      </w:r>
      <w:r w:rsidR="00403670">
        <w:t xml:space="preserve">to </w:t>
      </w:r>
      <w:r w:rsidR="00BC4A56">
        <w:t xml:space="preserve">pay more money for reconnection than </w:t>
      </w:r>
      <w:r w:rsidR="007B7C77">
        <w:t xml:space="preserve">that </w:t>
      </w:r>
      <w:r w:rsidR="00BC4A56">
        <w:t xml:space="preserve">permitted by </w:t>
      </w:r>
      <w:r w:rsidR="007B7C77">
        <w:t>C</w:t>
      </w:r>
      <w:r w:rsidR="00BC4A56">
        <w:t>ommission rules;</w:t>
      </w:r>
    </w:p>
    <w:p w:rsidR="00CA2B49" w:rsidRDefault="00A92378" w:rsidP="00BC4A56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BC4A56">
        <w:t>efusing to reconnect service until the customer paid all or part of the balance</w:t>
      </w:r>
      <w:r w:rsidR="007B7C77">
        <w:t xml:space="preserve"> due and</w:t>
      </w:r>
      <w:r w:rsidR="00BC4A56">
        <w:t xml:space="preserve"> ow</w:t>
      </w:r>
      <w:r w:rsidR="007B7C77">
        <w:t>ing</w:t>
      </w:r>
      <w:r w:rsidR="00BC4A56">
        <w:t>;</w:t>
      </w:r>
      <w:r>
        <w:t xml:space="preserve"> and</w:t>
      </w:r>
    </w:p>
    <w:p w:rsidR="00BC4A56" w:rsidRDefault="00A92378" w:rsidP="00BC4A56">
      <w:pPr>
        <w:pStyle w:val="ListParagraph"/>
        <w:numPr>
          <w:ilvl w:val="0"/>
          <w:numId w:val="2"/>
        </w:numPr>
        <w:spacing w:line="480" w:lineRule="auto"/>
      </w:pPr>
      <w:r>
        <w:t>I</w:t>
      </w:r>
      <w:r w:rsidR="00BC4A56">
        <w:t xml:space="preserve">mproperly applying </w:t>
      </w:r>
      <w:r w:rsidR="007B7C77">
        <w:t xml:space="preserve">pledge </w:t>
      </w:r>
      <w:r w:rsidR="00BC4A56">
        <w:t>mon</w:t>
      </w:r>
      <w:r w:rsidR="007B7C77">
        <w:t>i</w:t>
      </w:r>
      <w:r w:rsidR="00BC4A56">
        <w:t>e</w:t>
      </w:r>
      <w:r w:rsidR="007B7C77">
        <w:t>s</w:t>
      </w:r>
      <w:r w:rsidR="00BC4A56">
        <w:t xml:space="preserve"> from low-income agencies to the outstanding debt rather than to the current account </w:t>
      </w:r>
      <w:r w:rsidR="007B7C77">
        <w:t xml:space="preserve">thereby </w:t>
      </w:r>
      <w:r w:rsidR="00BC4A56">
        <w:t xml:space="preserve">preventing customers from getting their </w:t>
      </w:r>
      <w:r w:rsidR="00403670">
        <w:t xml:space="preserve">service </w:t>
      </w:r>
      <w:r w:rsidR="00BC4A56">
        <w:t>reconnected</w:t>
      </w:r>
      <w:r>
        <w:t>.</w:t>
      </w:r>
    </w:p>
    <w:p w:rsidR="00165FCF" w:rsidRDefault="007B7C77" w:rsidP="00291322">
      <w:pPr>
        <w:spacing w:line="480" w:lineRule="auto"/>
        <w:ind w:left="720" w:firstLine="720"/>
      </w:pPr>
      <w:r>
        <w:t xml:space="preserve">Compliance Investigator </w:t>
      </w:r>
      <w:r w:rsidR="00EC5452">
        <w:t xml:space="preserve">Rayne Pearson provides additional detail </w:t>
      </w:r>
      <w:r w:rsidR="006B5536">
        <w:t xml:space="preserve">in her testimony </w:t>
      </w:r>
      <w:r>
        <w:t>regarding</w:t>
      </w:r>
      <w:r w:rsidR="00EC5452">
        <w:t xml:space="preserve"> the violations documented by Staff in its investigation.</w:t>
      </w:r>
    </w:p>
    <w:p w:rsidR="00285989" w:rsidRDefault="00285989" w:rsidP="000C3C6F">
      <w:pPr>
        <w:spacing w:line="480" w:lineRule="auto"/>
      </w:pPr>
    </w:p>
    <w:p w:rsidR="00B814E2" w:rsidRDefault="00B814E2" w:rsidP="00B814E2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0C1129">
        <w:rPr>
          <w:b/>
        </w:rPr>
        <w:t>What was your understanding of how the account errors would be remedied as a result of the settlement agreement that was reached in December 2010?</w:t>
      </w:r>
      <w:r>
        <w:rPr>
          <w:b/>
        </w:rPr>
        <w:t xml:space="preserve">  </w:t>
      </w:r>
    </w:p>
    <w:p w:rsidR="00285989" w:rsidRDefault="00B814E2" w:rsidP="00764D47">
      <w:pPr>
        <w:spacing w:line="480" w:lineRule="auto"/>
        <w:ind w:left="720" w:hanging="720"/>
      </w:pPr>
      <w:r>
        <w:t>A.</w:t>
      </w:r>
      <w:r>
        <w:tab/>
      </w:r>
      <w:r w:rsidR="00252E1B">
        <w:t xml:space="preserve">I understood the </w:t>
      </w:r>
      <w:r w:rsidR="00F957C6">
        <w:t>C</w:t>
      </w:r>
      <w:r w:rsidR="00252E1B">
        <w:t xml:space="preserve">ompany </w:t>
      </w:r>
      <w:r w:rsidR="00403670">
        <w:t xml:space="preserve">had </w:t>
      </w:r>
      <w:r w:rsidR="00252E1B">
        <w:t xml:space="preserve">committed to review the </w:t>
      </w:r>
      <w:r w:rsidR="00A92378">
        <w:t xml:space="preserve">account </w:t>
      </w:r>
      <w:r w:rsidR="00252E1B">
        <w:t>histories of the 26 account</w:t>
      </w:r>
      <w:r w:rsidR="00A92378">
        <w:t xml:space="preserve">s identified </w:t>
      </w:r>
      <w:r w:rsidR="00096824">
        <w:t>in</w:t>
      </w:r>
      <w:r w:rsidR="00A92378">
        <w:t xml:space="preserve"> this investigation</w:t>
      </w:r>
      <w:r w:rsidR="00252E1B">
        <w:t xml:space="preserve">, </w:t>
      </w:r>
      <w:r w:rsidR="00A92378">
        <w:t xml:space="preserve">go back and </w:t>
      </w:r>
      <w:r w:rsidR="00252E1B">
        <w:t>properly apply the Commission’s refusal of service rules</w:t>
      </w:r>
      <w:r w:rsidR="00403670">
        <w:t>,</w:t>
      </w:r>
      <w:r w:rsidR="00252E1B">
        <w:t xml:space="preserve"> and make needed adjustments</w:t>
      </w:r>
      <w:r w:rsidR="003B3949">
        <w:t>, if any,</w:t>
      </w:r>
      <w:r w:rsidR="00252E1B">
        <w:t xml:space="preserve"> to the balance</w:t>
      </w:r>
      <w:r w:rsidR="00A92378">
        <w:t xml:space="preserve"> of each account</w:t>
      </w:r>
      <w:r w:rsidR="007B7C77">
        <w:t>, in order to make each affected customer whole</w:t>
      </w:r>
      <w:r w:rsidR="00252E1B">
        <w:t>.</w:t>
      </w:r>
    </w:p>
    <w:p w:rsidR="006B5536" w:rsidRDefault="006B5536" w:rsidP="006B5536">
      <w:pPr>
        <w:spacing w:line="480" w:lineRule="auto"/>
        <w:ind w:left="1440" w:hanging="720"/>
      </w:pPr>
    </w:p>
    <w:p w:rsidR="006C6F4A" w:rsidRDefault="000C1129" w:rsidP="000C1129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6C6F4A">
        <w:rPr>
          <w:b/>
        </w:rPr>
        <w:t>What was your understanding of the requirement that PSE investigate these accounts “promptly</w:t>
      </w:r>
      <w:r w:rsidR="00403670">
        <w:rPr>
          <w:b/>
        </w:rPr>
        <w:t>?</w:t>
      </w:r>
      <w:r w:rsidR="006C6F4A">
        <w:rPr>
          <w:b/>
        </w:rPr>
        <w:t>”</w:t>
      </w:r>
    </w:p>
    <w:p w:rsidR="006C6F4A" w:rsidRDefault="006C6F4A" w:rsidP="006B5536">
      <w:pPr>
        <w:spacing w:line="480" w:lineRule="auto"/>
        <w:ind w:left="720" w:hanging="720"/>
      </w:pPr>
      <w:r>
        <w:t>A.</w:t>
      </w:r>
      <w:r>
        <w:tab/>
      </w:r>
      <w:r w:rsidR="00A5306C">
        <w:t>It has been my</w:t>
      </w:r>
      <w:r w:rsidR="00A92378">
        <w:t xml:space="preserve"> experience</w:t>
      </w:r>
      <w:r w:rsidR="00A5306C">
        <w:t xml:space="preserve"> that</w:t>
      </w:r>
      <w:r w:rsidR="00A92378">
        <w:t xml:space="preserve"> a company with the staff and resources available </w:t>
      </w:r>
      <w:r w:rsidR="00A92378" w:rsidRPr="00A5306C">
        <w:t xml:space="preserve">to </w:t>
      </w:r>
      <w:r w:rsidR="00BA3A33" w:rsidRPr="00A5306C">
        <w:t>it</w:t>
      </w:r>
      <w:r w:rsidR="00A5306C">
        <w:t>,</w:t>
      </w:r>
      <w:r w:rsidR="00BA3A33" w:rsidRPr="00A5306C">
        <w:t xml:space="preserve"> such as </w:t>
      </w:r>
      <w:r w:rsidR="00A92378">
        <w:t>PSE</w:t>
      </w:r>
      <w:r w:rsidR="00A5306C">
        <w:t>,</w:t>
      </w:r>
      <w:r w:rsidR="00A92378">
        <w:t xml:space="preserve"> would be able to complete such a review within </w:t>
      </w:r>
      <w:r w:rsidR="00AB6262">
        <w:t xml:space="preserve">a few </w:t>
      </w:r>
      <w:r w:rsidR="00A92378">
        <w:t>weeks</w:t>
      </w:r>
      <w:r w:rsidR="00096824">
        <w:t xml:space="preserve"> - </w:t>
      </w:r>
      <w:r w:rsidR="00A92378">
        <w:t xml:space="preserve">certainly within </w:t>
      </w:r>
      <w:r w:rsidR="00AB6262">
        <w:t>a month</w:t>
      </w:r>
      <w:r w:rsidR="00A92378">
        <w:t>.</w:t>
      </w:r>
      <w:r w:rsidR="003B3949">
        <w:t xml:space="preserve">  </w:t>
      </w:r>
      <w:r w:rsidR="007B7C77">
        <w:t>In my view,</w:t>
      </w:r>
      <w:r w:rsidR="00EC5452">
        <w:t xml:space="preserve"> the nearly six months</w:t>
      </w:r>
      <w:r w:rsidR="00336144">
        <w:t xml:space="preserve"> that elapsed</w:t>
      </w:r>
      <w:r w:rsidR="007B7C77">
        <w:t xml:space="preserve"> --</w:t>
      </w:r>
      <w:r w:rsidR="00EC5452">
        <w:t xml:space="preserve"> from </w:t>
      </w:r>
      <w:r w:rsidR="00EC5452">
        <w:lastRenderedPageBreak/>
        <w:t>December</w:t>
      </w:r>
      <w:r w:rsidR="009E5F41">
        <w:t> </w:t>
      </w:r>
      <w:r w:rsidR="00EC5452">
        <w:t>28, 2010</w:t>
      </w:r>
      <w:r w:rsidR="00BA3A33">
        <w:t>,</w:t>
      </w:r>
      <w:r w:rsidR="00EC5452">
        <w:t xml:space="preserve"> to May 20, 2011</w:t>
      </w:r>
      <w:r w:rsidR="007B7C77">
        <w:t xml:space="preserve"> --</w:t>
      </w:r>
      <w:r w:rsidR="00EC5452">
        <w:t xml:space="preserve"> </w:t>
      </w:r>
      <w:r w:rsidR="00844367">
        <w:t xml:space="preserve">when PSE filed its first quarterly report, </w:t>
      </w:r>
      <w:r w:rsidR="00EC5452">
        <w:t xml:space="preserve">did not constitute a </w:t>
      </w:r>
      <w:r w:rsidR="00EC5452" w:rsidRPr="00EC5452">
        <w:rPr>
          <w:u w:val="single"/>
        </w:rPr>
        <w:t>prompt investigation</w:t>
      </w:r>
      <w:r w:rsidR="00EC5452">
        <w:t xml:space="preserve"> of the 26 accounts.</w:t>
      </w:r>
      <w:r w:rsidR="00266F15">
        <w:t xml:space="preserve"> </w:t>
      </w:r>
      <w:r w:rsidR="006B5536">
        <w:t xml:space="preserve"> </w:t>
      </w:r>
      <w:r w:rsidR="00EC5452">
        <w:t xml:space="preserve">  </w:t>
      </w:r>
    </w:p>
    <w:p w:rsidR="008835FD" w:rsidRDefault="008835FD" w:rsidP="000C1129">
      <w:pPr>
        <w:spacing w:line="480" w:lineRule="auto"/>
        <w:ind w:left="720" w:hanging="720"/>
        <w:rPr>
          <w:b/>
        </w:rPr>
      </w:pPr>
    </w:p>
    <w:p w:rsidR="00285989" w:rsidRDefault="00285989" w:rsidP="00285989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What representations did PSE make at the May 3, 2011, meeting with Staff regarding the 26 accounts when the status of the first quarterly report was discussed?</w:t>
      </w:r>
    </w:p>
    <w:p w:rsidR="0085153B" w:rsidRDefault="009A2843" w:rsidP="007B7C77">
      <w:pPr>
        <w:spacing w:line="480" w:lineRule="auto"/>
        <w:ind w:left="720" w:hanging="720"/>
      </w:pPr>
      <w:r>
        <w:t>A.</w:t>
      </w:r>
      <w:r>
        <w:tab/>
        <w:t xml:space="preserve">At that meeting, </w:t>
      </w:r>
      <w:r w:rsidR="00BA3A33">
        <w:t>C</w:t>
      </w:r>
      <w:r>
        <w:t>ompany representatives made a presentation on the status of the compliance plan they agreed to undertake as pa</w:t>
      </w:r>
      <w:r w:rsidR="00BA3A33">
        <w:t>rt of the settlement in D</w:t>
      </w:r>
      <w:r>
        <w:t xml:space="preserve">ocket U-100182, including the status of promised process improvements, quality assurance, staff training and internal communication and reporting. </w:t>
      </w:r>
      <w:r w:rsidR="00266F15">
        <w:t xml:space="preserve"> </w:t>
      </w:r>
      <w:r>
        <w:t>The</w:t>
      </w:r>
      <w:r w:rsidR="00B77FBB">
        <w:t xml:space="preserve"> </w:t>
      </w:r>
      <w:r w:rsidR="00F957C6">
        <w:t>C</w:t>
      </w:r>
      <w:r w:rsidR="00B77FBB">
        <w:t xml:space="preserve">ompany representative </w:t>
      </w:r>
      <w:r w:rsidR="0085153B">
        <w:t xml:space="preserve">making the presentation </w:t>
      </w:r>
      <w:r w:rsidR="00B77FBB">
        <w:t xml:space="preserve">did not </w:t>
      </w:r>
      <w:r>
        <w:t>mention the account investigation</w:t>
      </w:r>
      <w:r w:rsidR="00BA3A33">
        <w:t>,</w:t>
      </w:r>
      <w:r>
        <w:t xml:space="preserve"> so </w:t>
      </w:r>
      <w:r w:rsidR="00684195">
        <w:t xml:space="preserve">I </w:t>
      </w:r>
      <w:r>
        <w:t xml:space="preserve">asked about the status of </w:t>
      </w:r>
      <w:r w:rsidR="007B7C77">
        <w:t>the Company’s</w:t>
      </w:r>
      <w:r w:rsidR="00684195">
        <w:t xml:space="preserve"> report on the investigation of the 26 accounts</w:t>
      </w:r>
      <w:r>
        <w:t>.</w:t>
      </w:r>
      <w:r w:rsidR="00684195">
        <w:t xml:space="preserve"> </w:t>
      </w:r>
      <w:r>
        <w:t xml:space="preserve"> </w:t>
      </w:r>
      <w:r w:rsidR="00684195">
        <w:t xml:space="preserve"> </w:t>
      </w:r>
    </w:p>
    <w:p w:rsidR="00285989" w:rsidRDefault="00684195" w:rsidP="0085153B">
      <w:pPr>
        <w:spacing w:line="480" w:lineRule="auto"/>
        <w:ind w:left="720" w:firstLine="720"/>
      </w:pPr>
      <w:r>
        <w:t>At th</w:t>
      </w:r>
      <w:r w:rsidR="007B7C77">
        <w:t>at</w:t>
      </w:r>
      <w:r>
        <w:t xml:space="preserve"> point</w:t>
      </w:r>
      <w:r w:rsidR="007B7C77">
        <w:t>,</w:t>
      </w:r>
      <w:r>
        <w:t xml:space="preserve"> the meeting participants took a break.</w:t>
      </w:r>
      <w:r w:rsidR="007B7C77">
        <w:t xml:space="preserve"> </w:t>
      </w:r>
      <w:r>
        <w:t xml:space="preserve"> I walked out of the meeting room and Tom </w:t>
      </w:r>
      <w:proofErr w:type="spellStart"/>
      <w:r>
        <w:t>DeBoer</w:t>
      </w:r>
      <w:proofErr w:type="spellEnd"/>
      <w:r>
        <w:t xml:space="preserve"> told me the investigation was complete and that the Company would submit its report “tomorrow.”</w:t>
      </w:r>
    </w:p>
    <w:p w:rsidR="00684195" w:rsidRDefault="00684195" w:rsidP="000C1129">
      <w:pPr>
        <w:spacing w:line="480" w:lineRule="auto"/>
        <w:ind w:left="720" w:hanging="720"/>
      </w:pPr>
      <w:r>
        <w:tab/>
      </w:r>
      <w:r>
        <w:tab/>
        <w:t>Tomorrow became “Friday,” and</w:t>
      </w:r>
      <w:r w:rsidR="0085153B">
        <w:t xml:space="preserve">, after further conversation with </w:t>
      </w:r>
      <w:r w:rsidR="00C65A5C">
        <w:t>C</w:t>
      </w:r>
      <w:r w:rsidR="0085153B">
        <w:t>ompany representatives,</w:t>
      </w:r>
      <w:r>
        <w:t xml:space="preserve"> Friday became May 20, which is when the Company submitted its document entitled </w:t>
      </w:r>
      <w:r w:rsidR="0085153B">
        <w:t>“PSE 26 Account Review.”</w:t>
      </w:r>
    </w:p>
    <w:p w:rsidR="007B7C77" w:rsidRDefault="007B7C77" w:rsidP="000C1129">
      <w:pPr>
        <w:spacing w:line="480" w:lineRule="auto"/>
        <w:ind w:left="720" w:hanging="720"/>
      </w:pPr>
    </w:p>
    <w:p w:rsidR="008835FD" w:rsidRDefault="008835FD" w:rsidP="001A17CB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When did PSE represent that the investigation into the 26 accounts was complete</w:t>
      </w:r>
      <w:r w:rsidR="003B208F">
        <w:rPr>
          <w:b/>
        </w:rPr>
        <w:t xml:space="preserve">, and how did </w:t>
      </w:r>
      <w:r w:rsidR="007B7C77">
        <w:rPr>
          <w:b/>
        </w:rPr>
        <w:t>the Company</w:t>
      </w:r>
      <w:r w:rsidR="003B208F">
        <w:rPr>
          <w:b/>
        </w:rPr>
        <w:t xml:space="preserve"> submit that information</w:t>
      </w:r>
      <w:r>
        <w:rPr>
          <w:b/>
        </w:rPr>
        <w:t>?</w:t>
      </w:r>
    </w:p>
    <w:p w:rsidR="0047591B" w:rsidRDefault="008835FD" w:rsidP="008835FD">
      <w:pPr>
        <w:spacing w:line="480" w:lineRule="auto"/>
        <w:ind w:left="720" w:hanging="720"/>
      </w:pPr>
      <w:r>
        <w:lastRenderedPageBreak/>
        <w:t>A.</w:t>
      </w:r>
      <w:r>
        <w:tab/>
      </w:r>
      <w:r w:rsidR="003B3949">
        <w:t xml:space="preserve">The </w:t>
      </w:r>
      <w:r w:rsidR="00F957C6">
        <w:t>C</w:t>
      </w:r>
      <w:r w:rsidR="003B3949">
        <w:t xml:space="preserve">ompany </w:t>
      </w:r>
      <w:r w:rsidR="00B50173">
        <w:t xml:space="preserve">represented </w:t>
      </w:r>
      <w:r w:rsidR="00BA3A33">
        <w:t xml:space="preserve">that </w:t>
      </w:r>
      <w:r w:rsidR="003B3949">
        <w:t xml:space="preserve">its investigation into the 26 </w:t>
      </w:r>
      <w:r w:rsidR="00B50173">
        <w:t xml:space="preserve">accounts </w:t>
      </w:r>
      <w:r w:rsidR="003B3949">
        <w:t>was complete i</w:t>
      </w:r>
      <w:r w:rsidR="0047591B">
        <w:t>n</w:t>
      </w:r>
      <w:r w:rsidR="007B7C77">
        <w:t xml:space="preserve"> a filing</w:t>
      </w:r>
      <w:r w:rsidR="0047591B">
        <w:t xml:space="preserve"> </w:t>
      </w:r>
      <w:r w:rsidR="00B50173">
        <w:t xml:space="preserve">with the Commission </w:t>
      </w:r>
      <w:r w:rsidR="0047591B">
        <w:t xml:space="preserve">under </w:t>
      </w:r>
      <w:r w:rsidR="007B7C77">
        <w:t>D</w:t>
      </w:r>
      <w:r w:rsidR="0047591B">
        <w:t>ocket U-100182</w:t>
      </w:r>
      <w:r w:rsidR="003B3949">
        <w:t>,</w:t>
      </w:r>
      <w:r w:rsidR="0047591B">
        <w:t xml:space="preserve"> which was date</w:t>
      </w:r>
      <w:r w:rsidR="003B3949">
        <w:t>d</w:t>
      </w:r>
      <w:r w:rsidR="0047591B">
        <w:t xml:space="preserve"> May 20, 2011.</w:t>
      </w:r>
      <w:r w:rsidR="00266F15">
        <w:t xml:space="preserve"> </w:t>
      </w:r>
      <w:r w:rsidR="0047591B">
        <w:t xml:space="preserve"> The cover letter stated in part:</w:t>
      </w:r>
    </w:p>
    <w:p w:rsidR="0047591B" w:rsidRDefault="0047591B" w:rsidP="00BA3A33">
      <w:pPr>
        <w:spacing w:line="276" w:lineRule="auto"/>
        <w:ind w:left="1440" w:right="738"/>
      </w:pPr>
      <w:r>
        <w:t xml:space="preserve">Enclosed for filing </w:t>
      </w:r>
      <w:r w:rsidR="00B50173">
        <w:t xml:space="preserve">in the above referenced docket </w:t>
      </w:r>
      <w:r>
        <w:t>is Puget Sound Energy</w:t>
      </w:r>
      <w:r w:rsidR="00B50173">
        <w:t>, Inc.</w:t>
      </w:r>
      <w:r>
        <w:t xml:space="preserve">’s first quarterly report regarding the continued implementation of the plan </w:t>
      </w:r>
      <w:r w:rsidR="00B50173">
        <w:t xml:space="preserve">described in Attachment B to the Joint Motion to Accept Full Payment of Penalty; Require Investigation of Twenty-Six Specific Accounts; Require Continued Plan Implementation; and Terminate Proceeding (“Joint Motion”), dated </w:t>
      </w:r>
      <w:smartTag w:uri="urn:schemas-microsoft-com:office:smarttags" w:element="date">
        <w:smartTagPr>
          <w:attr w:name="Year" w:val="2010"/>
          <w:attr w:name="Day" w:val="16"/>
          <w:attr w:name="Month" w:val="12"/>
          <w:attr w:name="ls" w:val="trans"/>
        </w:smartTagPr>
        <w:r w:rsidR="00B50173">
          <w:t>December 16, 2010</w:t>
        </w:r>
      </w:smartTag>
      <w:r w:rsidR="00B50173">
        <w:t>,</w:t>
      </w:r>
      <w:r>
        <w:t xml:space="preserve"> </w:t>
      </w:r>
      <w:r w:rsidRPr="001264A5">
        <w:rPr>
          <w:u w:val="single"/>
        </w:rPr>
        <w:t xml:space="preserve">and the corrective actions taken on the twenty-six </w:t>
      </w:r>
      <w:r w:rsidRPr="00B50173">
        <w:rPr>
          <w:u w:val="single"/>
        </w:rPr>
        <w:t>accounts</w:t>
      </w:r>
      <w:r w:rsidR="00A5075D" w:rsidRPr="00291322">
        <w:rPr>
          <w:u w:val="single"/>
        </w:rPr>
        <w:t xml:space="preserve"> listed in Attachment A to the Joint Motion</w:t>
      </w:r>
      <w:r>
        <w:t>.</w:t>
      </w:r>
      <w:r w:rsidR="00BA3A33">
        <w:t xml:space="preserve"> </w:t>
      </w:r>
      <w:r w:rsidR="001264A5">
        <w:t xml:space="preserve"> [Emphasis added]</w:t>
      </w:r>
    </w:p>
    <w:p w:rsidR="0047591B" w:rsidRDefault="0047591B" w:rsidP="0047591B">
      <w:pPr>
        <w:spacing w:line="276" w:lineRule="auto"/>
        <w:ind w:left="720" w:right="738"/>
      </w:pPr>
    </w:p>
    <w:p w:rsidR="008835FD" w:rsidRPr="008835FD" w:rsidRDefault="00B50173" w:rsidP="008A3890">
      <w:pPr>
        <w:spacing w:line="480" w:lineRule="auto"/>
        <w:ind w:left="720" w:right="734" w:firstLine="720"/>
      </w:pPr>
      <w:r>
        <w:t>Along with</w:t>
      </w:r>
      <w:r w:rsidR="003B3949">
        <w:t xml:space="preserve"> the </w:t>
      </w:r>
      <w:r w:rsidR="007B7C77">
        <w:t xml:space="preserve">referenced </w:t>
      </w:r>
      <w:r w:rsidR="003B3949">
        <w:t>quarterly report</w:t>
      </w:r>
      <w:r w:rsidR="0047591B">
        <w:t xml:space="preserve">, PSE enclosed a table </w:t>
      </w:r>
      <w:r>
        <w:t>en</w:t>
      </w:r>
      <w:r w:rsidR="0047591B">
        <w:t>titled “</w:t>
      </w:r>
      <w:r w:rsidR="003B3949">
        <w:t>PSE 26 Account Review</w:t>
      </w:r>
      <w:r w:rsidR="007B7C77">
        <w:t>,</w:t>
      </w:r>
      <w:r w:rsidR="003B3949">
        <w:t xml:space="preserve">” </w:t>
      </w:r>
      <w:r w:rsidR="007B7C77">
        <w:t xml:space="preserve">which is </w:t>
      </w:r>
      <w:r w:rsidR="00F818CA">
        <w:t xml:space="preserve">contained in </w:t>
      </w:r>
      <w:r w:rsidR="007B7C77">
        <w:t xml:space="preserve">Exhibit No. </w:t>
      </w:r>
      <w:proofErr w:type="gramStart"/>
      <w:r w:rsidR="00F818CA">
        <w:t xml:space="preserve">___ </w:t>
      </w:r>
      <w:r w:rsidR="007B7C77">
        <w:t>(RP-</w:t>
      </w:r>
      <w:r w:rsidR="00F818CA">
        <w:t>4C</w:t>
      </w:r>
      <w:r w:rsidR="007B7C77">
        <w:t>) to Rayne Pearson’s testimony.</w:t>
      </w:r>
      <w:proofErr w:type="gramEnd"/>
      <w:r w:rsidR="007B7C77">
        <w:t xml:space="preserve"> </w:t>
      </w:r>
      <w:r w:rsidR="003B3949">
        <w:t xml:space="preserve"> Column</w:t>
      </w:r>
      <w:r w:rsidR="0047591B">
        <w:t xml:space="preserve"> </w:t>
      </w:r>
      <w:r w:rsidR="00BA3A33">
        <w:t xml:space="preserve">number </w:t>
      </w:r>
      <w:r w:rsidR="00264DB5">
        <w:t>6</w:t>
      </w:r>
      <w:r w:rsidR="003B3949">
        <w:t xml:space="preserve"> of that table</w:t>
      </w:r>
      <w:r w:rsidR="0047591B">
        <w:t xml:space="preserve"> </w:t>
      </w:r>
      <w:r w:rsidR="00BA3A33">
        <w:t>en</w:t>
      </w:r>
      <w:r w:rsidR="0047591B">
        <w:t xml:space="preserve">titled </w:t>
      </w:r>
      <w:r w:rsidR="0047591B" w:rsidRPr="0047591B">
        <w:rPr>
          <w:i/>
        </w:rPr>
        <w:t>Analysis</w:t>
      </w:r>
      <w:r w:rsidR="00BA3A33" w:rsidRPr="00BA3A33">
        <w:t xml:space="preserve">, </w:t>
      </w:r>
      <w:r w:rsidR="0047591B">
        <w:t xml:space="preserve">and </w:t>
      </w:r>
      <w:r w:rsidR="00BA3A33">
        <w:t xml:space="preserve">column number </w:t>
      </w:r>
      <w:r w:rsidR="00264DB5">
        <w:t>7</w:t>
      </w:r>
      <w:r w:rsidR="00BA3A33">
        <w:t xml:space="preserve"> en</w:t>
      </w:r>
      <w:r w:rsidR="0047591B">
        <w:t xml:space="preserve">titled </w:t>
      </w:r>
      <w:r w:rsidR="0047591B">
        <w:rPr>
          <w:i/>
        </w:rPr>
        <w:t xml:space="preserve">Resolution </w:t>
      </w:r>
      <w:r w:rsidR="0047591B">
        <w:t xml:space="preserve">purport to describe the actions the </w:t>
      </w:r>
      <w:r w:rsidR="00F957C6">
        <w:t>C</w:t>
      </w:r>
      <w:r w:rsidR="0047591B">
        <w:t xml:space="preserve">ompany took with respect to </w:t>
      </w:r>
      <w:r w:rsidR="009A3A7B">
        <w:t>each</w:t>
      </w:r>
      <w:r w:rsidR="0047591B">
        <w:t xml:space="preserve"> account.</w:t>
      </w:r>
      <w:r w:rsidR="00266F15">
        <w:t xml:space="preserve"> </w:t>
      </w:r>
      <w:r w:rsidR="0047591B">
        <w:t xml:space="preserve"> All the descriptions </w:t>
      </w:r>
      <w:r w:rsidR="003B3949">
        <w:t xml:space="preserve">in the </w:t>
      </w:r>
      <w:r w:rsidR="003B3949" w:rsidRPr="003B3949">
        <w:rPr>
          <w:i/>
        </w:rPr>
        <w:t>Resolutions</w:t>
      </w:r>
      <w:r w:rsidR="003B3949">
        <w:t xml:space="preserve"> column </w:t>
      </w:r>
      <w:r w:rsidR="0047591B">
        <w:t>are in the past tense</w:t>
      </w:r>
      <w:r w:rsidR="00BA3A33">
        <w:t>,</w:t>
      </w:r>
      <w:r w:rsidR="0047591B">
        <w:t xml:space="preserve"> indicating the action was completed. </w:t>
      </w:r>
      <w:r w:rsidR="00291322">
        <w:t xml:space="preserve"> </w:t>
      </w:r>
      <w:r w:rsidR="0047591B">
        <w:t xml:space="preserve">For example: </w:t>
      </w:r>
      <w:r w:rsidR="00076272" w:rsidRPr="008A3890">
        <w:t>“</w:t>
      </w:r>
      <w:r w:rsidR="00076272" w:rsidRPr="00076272">
        <w:rPr>
          <w:i/>
        </w:rPr>
        <w:t xml:space="preserve">5/20/11 </w:t>
      </w:r>
      <w:r w:rsidR="00076272">
        <w:rPr>
          <w:i/>
        </w:rPr>
        <w:t xml:space="preserve">… </w:t>
      </w:r>
      <w:r w:rsidR="0047591B" w:rsidRPr="00076272">
        <w:rPr>
          <w:i/>
        </w:rPr>
        <w:t>Customer payments reallocated to prior obligation balance</w:t>
      </w:r>
      <w:r w:rsidR="00076272" w:rsidRPr="00076272">
        <w:rPr>
          <w:i/>
        </w:rPr>
        <w:t>.</w:t>
      </w:r>
      <w:r w:rsidR="00076272" w:rsidRPr="008A3890">
        <w:t>”</w:t>
      </w:r>
      <w:r w:rsidR="0047591B">
        <w:t xml:space="preserve"> </w:t>
      </w:r>
      <w:r w:rsidR="00BA3A33">
        <w:t xml:space="preserve"> </w:t>
      </w:r>
      <w:r w:rsidR="0047591B">
        <w:t>[</w:t>
      </w:r>
      <w:proofErr w:type="gramStart"/>
      <w:r w:rsidR="00076272">
        <w:t>from</w:t>
      </w:r>
      <w:proofErr w:type="gramEnd"/>
      <w:r w:rsidR="00076272">
        <w:t xml:space="preserve"> </w:t>
      </w:r>
      <w:r w:rsidR="0047591B" w:rsidRPr="00076272">
        <w:rPr>
          <w:i/>
        </w:rPr>
        <w:t>Resolution</w:t>
      </w:r>
      <w:r w:rsidR="0047591B">
        <w:t xml:space="preserve"> for Customer E</w:t>
      </w:r>
      <w:r w:rsidR="00076272">
        <w:t xml:space="preserve">]. </w:t>
      </w:r>
      <w:r w:rsidR="00266F15">
        <w:t xml:space="preserve"> </w:t>
      </w:r>
      <w:r w:rsidR="00076272" w:rsidRPr="008A3890">
        <w:t>“</w:t>
      </w:r>
      <w:r w:rsidR="00076272" w:rsidRPr="00076272">
        <w:rPr>
          <w:i/>
        </w:rPr>
        <w:t>5/20/11 P</w:t>
      </w:r>
      <w:r w:rsidR="0047591B" w:rsidRPr="00076272">
        <w:rPr>
          <w:i/>
        </w:rPr>
        <w:t>ledge monies reallocated to new product assignment</w:t>
      </w:r>
      <w:r w:rsidR="00076272" w:rsidRPr="00076272">
        <w:rPr>
          <w:i/>
        </w:rPr>
        <w:t>.</w:t>
      </w:r>
      <w:r w:rsidR="00076272" w:rsidRPr="008A3890">
        <w:t>”</w:t>
      </w:r>
      <w:r w:rsidR="00BA3A33" w:rsidRPr="008A3890">
        <w:t xml:space="preserve"> </w:t>
      </w:r>
      <w:r w:rsidR="0047591B" w:rsidRPr="008A3890">
        <w:t xml:space="preserve"> </w:t>
      </w:r>
      <w:r w:rsidR="0047591B">
        <w:t>[</w:t>
      </w:r>
      <w:proofErr w:type="gramStart"/>
      <w:r w:rsidR="00076272">
        <w:t>from</w:t>
      </w:r>
      <w:proofErr w:type="gramEnd"/>
      <w:r w:rsidR="00076272">
        <w:t xml:space="preserve"> </w:t>
      </w:r>
      <w:r w:rsidR="0047591B" w:rsidRPr="00076272">
        <w:rPr>
          <w:i/>
        </w:rPr>
        <w:t>Resolution</w:t>
      </w:r>
      <w:r w:rsidR="0047591B">
        <w:t xml:space="preserve"> for Customer H]</w:t>
      </w:r>
      <w:r w:rsidR="00076272">
        <w:t>.</w:t>
      </w:r>
      <w:r w:rsidR="0047591B">
        <w:t xml:space="preserve"> </w:t>
      </w:r>
    </w:p>
    <w:p w:rsidR="00C30AB8" w:rsidRDefault="00C30AB8" w:rsidP="000C1129">
      <w:pPr>
        <w:spacing w:line="480" w:lineRule="auto"/>
        <w:ind w:left="720" w:hanging="720"/>
        <w:rPr>
          <w:b/>
        </w:rPr>
      </w:pPr>
    </w:p>
    <w:p w:rsidR="00526610" w:rsidRDefault="00526610" w:rsidP="006C6F4A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 xml:space="preserve">Was it your understanding, based on the meeting with PSE in December </w:t>
      </w:r>
      <w:proofErr w:type="gramStart"/>
      <w:r>
        <w:rPr>
          <w:b/>
        </w:rPr>
        <w:t>2010, that</w:t>
      </w:r>
      <w:proofErr w:type="gramEnd"/>
      <w:r>
        <w:rPr>
          <w:b/>
        </w:rPr>
        <w:t xml:space="preserve"> PSE was to investigate a “sample” of the 26 accounts in question?</w:t>
      </w:r>
    </w:p>
    <w:p w:rsidR="00A92378" w:rsidRDefault="00526610" w:rsidP="00EC5452">
      <w:pPr>
        <w:spacing w:line="480" w:lineRule="auto"/>
        <w:ind w:left="720" w:hanging="720"/>
      </w:pPr>
      <w:r>
        <w:t>A.</w:t>
      </w:r>
      <w:r>
        <w:tab/>
      </w:r>
      <w:r w:rsidRPr="00A92378">
        <w:t xml:space="preserve">No. </w:t>
      </w:r>
      <w:r w:rsidR="00EC5452">
        <w:t xml:space="preserve"> </w:t>
      </w:r>
      <w:r w:rsidR="00562BDE">
        <w:t>The</w:t>
      </w:r>
      <w:r w:rsidR="00A92378">
        <w:t xml:space="preserve"> first </w:t>
      </w:r>
      <w:r w:rsidR="00562BDE">
        <w:t xml:space="preserve">time I </w:t>
      </w:r>
      <w:r w:rsidR="00A92378">
        <w:t xml:space="preserve">heard </w:t>
      </w:r>
      <w:r w:rsidR="00EC5452">
        <w:t xml:space="preserve">of an </w:t>
      </w:r>
      <w:r w:rsidR="001372EF">
        <w:t xml:space="preserve">alleged </w:t>
      </w:r>
      <w:r w:rsidR="00EC5452">
        <w:t xml:space="preserve">agreement between </w:t>
      </w:r>
      <w:r w:rsidR="00844367">
        <w:t>S</w:t>
      </w:r>
      <w:r w:rsidR="00EC5452">
        <w:t xml:space="preserve">taff and the </w:t>
      </w:r>
      <w:r w:rsidR="00F957C6">
        <w:t>C</w:t>
      </w:r>
      <w:r w:rsidR="00EC5452">
        <w:t xml:space="preserve">ompany to review a “sample” of the 26 accounts </w:t>
      </w:r>
      <w:r w:rsidR="00562BDE">
        <w:t xml:space="preserve">was </w:t>
      </w:r>
      <w:r w:rsidR="00A92378">
        <w:t xml:space="preserve">when I read the </w:t>
      </w:r>
      <w:r w:rsidR="00F957C6">
        <w:t>C</w:t>
      </w:r>
      <w:r w:rsidR="00A92378">
        <w:t xml:space="preserve">ompany’s answer to </w:t>
      </w:r>
      <w:r w:rsidR="00A92378">
        <w:lastRenderedPageBreak/>
        <w:t xml:space="preserve">this complaint. </w:t>
      </w:r>
      <w:r w:rsidR="00291322">
        <w:t xml:space="preserve"> </w:t>
      </w:r>
      <w:r w:rsidR="001264A5">
        <w:t>My understanding of t</w:t>
      </w:r>
      <w:r w:rsidR="00A92378">
        <w:t xml:space="preserve">he purpose of </w:t>
      </w:r>
      <w:r w:rsidR="00684195">
        <w:t xml:space="preserve">the Company’s investigation of the 26 accounts ordered by the Commission </w:t>
      </w:r>
      <w:r w:rsidR="00A92378">
        <w:t xml:space="preserve">was to determine how each customer was affected by the </w:t>
      </w:r>
      <w:r w:rsidR="00F957C6">
        <w:t>C</w:t>
      </w:r>
      <w:r w:rsidR="00A92378">
        <w:t xml:space="preserve">ompany’s misapplication of the refusal of service rules and then </w:t>
      </w:r>
      <w:r w:rsidR="00684195">
        <w:t xml:space="preserve">to </w:t>
      </w:r>
      <w:r w:rsidR="00562BDE">
        <w:t xml:space="preserve">have the </w:t>
      </w:r>
      <w:r w:rsidR="005C37CD">
        <w:t>C</w:t>
      </w:r>
      <w:r w:rsidR="00562BDE">
        <w:t xml:space="preserve">ompany </w:t>
      </w:r>
      <w:r w:rsidR="00A92378">
        <w:t xml:space="preserve">make each customer whole, </w:t>
      </w:r>
      <w:r w:rsidR="00C65A5C">
        <w:t>by, for example</w:t>
      </w:r>
      <w:r w:rsidR="00A92378" w:rsidRPr="00562BDE">
        <w:rPr>
          <w:i/>
        </w:rPr>
        <w:t>,</w:t>
      </w:r>
      <w:r w:rsidR="00A92378">
        <w:t xml:space="preserve"> res</w:t>
      </w:r>
      <w:r w:rsidR="001264A5">
        <w:t>tor</w:t>
      </w:r>
      <w:r w:rsidR="00C65A5C">
        <w:t>ing</w:t>
      </w:r>
      <w:r w:rsidR="001264A5">
        <w:t xml:space="preserve"> money owed to each account where appropriate.</w:t>
      </w:r>
      <w:r w:rsidR="00A92378">
        <w:t xml:space="preserve"> </w:t>
      </w:r>
    </w:p>
    <w:p w:rsidR="00165FCF" w:rsidRDefault="00562BDE" w:rsidP="00291322">
      <w:pPr>
        <w:spacing w:line="480" w:lineRule="auto"/>
        <w:ind w:left="720" w:firstLine="720"/>
      </w:pPr>
      <w:r>
        <w:t>When a company intentionally or inadvertently overcharges a customer</w:t>
      </w:r>
      <w:r w:rsidR="001264A5">
        <w:t>, it is S</w:t>
      </w:r>
      <w:r>
        <w:t xml:space="preserve">taff’s </w:t>
      </w:r>
      <w:r w:rsidR="001264A5">
        <w:t xml:space="preserve">long-standing </w:t>
      </w:r>
      <w:r>
        <w:t xml:space="preserve">practice to require the company to refund the money </w:t>
      </w:r>
      <w:r w:rsidR="001264A5">
        <w:t xml:space="preserve">to the customer. </w:t>
      </w:r>
      <w:r w:rsidR="00266F15">
        <w:t xml:space="preserve"> </w:t>
      </w:r>
      <w:r w:rsidR="001264A5">
        <w:t>It is S</w:t>
      </w:r>
      <w:r>
        <w:t xml:space="preserve">taff’s position that the incorrect application of the prior obligation rule had the same effect on </w:t>
      </w:r>
      <w:r w:rsidR="001264A5">
        <w:t xml:space="preserve">the affected </w:t>
      </w:r>
      <w:r>
        <w:t xml:space="preserve">customer as if </w:t>
      </w:r>
      <w:r w:rsidR="001264A5">
        <w:t>they</w:t>
      </w:r>
      <w:r>
        <w:t xml:space="preserve"> had been overcharged by the company.  With this as </w:t>
      </w:r>
      <w:r w:rsidR="001264A5">
        <w:t>background</w:t>
      </w:r>
      <w:r>
        <w:t xml:space="preserve">, no useful purpose would have been served by having the company </w:t>
      </w:r>
      <w:r w:rsidR="001264A5">
        <w:t>“</w:t>
      </w:r>
      <w:r>
        <w:t>sample</w:t>
      </w:r>
      <w:r w:rsidR="001264A5">
        <w:t>”</w:t>
      </w:r>
      <w:r>
        <w:t xml:space="preserve"> the accounts.</w:t>
      </w:r>
    </w:p>
    <w:p w:rsidR="00526610" w:rsidRDefault="00526610" w:rsidP="006C6F4A">
      <w:pPr>
        <w:spacing w:line="480" w:lineRule="auto"/>
        <w:ind w:left="720" w:hanging="720"/>
      </w:pPr>
    </w:p>
    <w:p w:rsidR="00391048" w:rsidRDefault="00526610" w:rsidP="006C6F4A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391048">
        <w:rPr>
          <w:b/>
        </w:rPr>
        <w:t>Did you expect to be notified of the results of PSE’s investigation into the 26 specific accounts?</w:t>
      </w:r>
    </w:p>
    <w:p w:rsidR="00391048" w:rsidRDefault="00391048" w:rsidP="003B3949">
      <w:pPr>
        <w:spacing w:line="480" w:lineRule="auto"/>
        <w:ind w:left="720" w:hanging="720"/>
      </w:pPr>
      <w:r>
        <w:t>A.</w:t>
      </w:r>
      <w:r>
        <w:tab/>
      </w:r>
      <w:r w:rsidR="00076272">
        <w:t xml:space="preserve">Of course. </w:t>
      </w:r>
      <w:r w:rsidR="00266F15">
        <w:t xml:space="preserve"> </w:t>
      </w:r>
      <w:r w:rsidR="00076272">
        <w:t xml:space="preserve">The review and correction of these accounts was a compliance action </w:t>
      </w:r>
      <w:r w:rsidR="00844367">
        <w:t>S</w:t>
      </w:r>
      <w:r w:rsidR="00076272">
        <w:t xml:space="preserve">taff requested and the </w:t>
      </w:r>
      <w:r w:rsidR="00F957C6">
        <w:t>C</w:t>
      </w:r>
      <w:r w:rsidR="00076272">
        <w:t>ompany agreed to.</w:t>
      </w:r>
      <w:r w:rsidR="00266F15">
        <w:t xml:space="preserve"> </w:t>
      </w:r>
      <w:r w:rsidR="00076272">
        <w:t xml:space="preserve"> It is standard practice for Staff to document that a company completes all promised compliance actions</w:t>
      </w:r>
      <w:r w:rsidR="001264A5">
        <w:t xml:space="preserve"> in any enforcement action</w:t>
      </w:r>
      <w:r w:rsidR="00076272">
        <w:t xml:space="preserve">. </w:t>
      </w:r>
      <w:r w:rsidR="00266F15">
        <w:t xml:space="preserve"> </w:t>
      </w:r>
      <w:r w:rsidR="00076272">
        <w:t xml:space="preserve">PSE is well aware of this. </w:t>
      </w:r>
      <w:r w:rsidR="00266F15">
        <w:t xml:space="preserve"> </w:t>
      </w:r>
      <w:r w:rsidR="00076272">
        <w:t xml:space="preserve">This has been our practice for </w:t>
      </w:r>
      <w:r w:rsidR="00B77FBB">
        <w:t xml:space="preserve">approximately </w:t>
      </w:r>
      <w:r w:rsidR="001264A5" w:rsidRPr="00B77FBB">
        <w:t>seven</w:t>
      </w:r>
      <w:r w:rsidR="00076272">
        <w:t xml:space="preserve"> years.</w:t>
      </w:r>
      <w:r w:rsidR="00266F15">
        <w:t xml:space="preserve"> </w:t>
      </w:r>
      <w:r w:rsidR="00076272">
        <w:t xml:space="preserve"> During that time</w:t>
      </w:r>
      <w:r w:rsidR="00BA3A33">
        <w:t>,</w:t>
      </w:r>
      <w:r w:rsidR="00076272">
        <w:t xml:space="preserve"> the </w:t>
      </w:r>
      <w:r w:rsidR="00266F15">
        <w:t>C</w:t>
      </w:r>
      <w:r w:rsidR="00076272">
        <w:t xml:space="preserve">ommission has taken enforcement action against PSE </w:t>
      </w:r>
      <w:r w:rsidR="009F53BC">
        <w:t>five</w:t>
      </w:r>
      <w:r w:rsidR="00076272">
        <w:t xml:space="preserve"> times.</w:t>
      </w:r>
      <w:r w:rsidR="000806A4">
        <w:rPr>
          <w:rStyle w:val="FootnoteReference"/>
        </w:rPr>
        <w:footnoteReference w:id="1"/>
      </w:r>
      <w:r w:rsidR="00076272">
        <w:t xml:space="preserve"> </w:t>
      </w:r>
      <w:r w:rsidR="00266F15">
        <w:t xml:space="preserve"> </w:t>
      </w:r>
      <w:r w:rsidR="00076272">
        <w:t>We have documented completion of promised compliance actions in each of those proceedings.</w:t>
      </w:r>
    </w:p>
    <w:p w:rsidR="00391048" w:rsidRDefault="00391048" w:rsidP="006C6F4A">
      <w:pPr>
        <w:spacing w:line="480" w:lineRule="auto"/>
        <w:ind w:left="720" w:hanging="720"/>
        <w:rPr>
          <w:b/>
        </w:rPr>
      </w:pPr>
      <w:r>
        <w:rPr>
          <w:b/>
        </w:rPr>
        <w:lastRenderedPageBreak/>
        <w:t>Q.</w:t>
      </w:r>
      <w:r>
        <w:rPr>
          <w:b/>
        </w:rPr>
        <w:tab/>
        <w:t>Do you believe that PSE intentionally misled Staff to believe that the accounts had been adjusted on or before May 20, 2011, as represented in the document “PSE 26 Account Review</w:t>
      </w:r>
      <w:r w:rsidR="009A3A7B">
        <w:rPr>
          <w:b/>
        </w:rPr>
        <w:t>?</w:t>
      </w:r>
      <w:r>
        <w:rPr>
          <w:b/>
        </w:rPr>
        <w:t>”</w:t>
      </w:r>
    </w:p>
    <w:p w:rsidR="00EC5452" w:rsidRDefault="0025614E" w:rsidP="00764D47">
      <w:pPr>
        <w:spacing w:line="480" w:lineRule="auto"/>
        <w:ind w:left="720" w:hanging="720"/>
      </w:pPr>
      <w:r>
        <w:t>A.</w:t>
      </w:r>
      <w:r>
        <w:tab/>
      </w:r>
      <w:r w:rsidR="00004850">
        <w:t>I do</w:t>
      </w:r>
      <w:r w:rsidR="009A3A7B">
        <w:t xml:space="preserve"> </w:t>
      </w:r>
      <w:r w:rsidR="00004850">
        <w:t>n</w:t>
      </w:r>
      <w:r w:rsidR="009A3A7B">
        <w:t>o</w:t>
      </w:r>
      <w:r w:rsidR="00004850">
        <w:t xml:space="preserve">t know what else to conclude. </w:t>
      </w:r>
      <w:r w:rsidR="00266F15">
        <w:t xml:space="preserve"> </w:t>
      </w:r>
      <w:r w:rsidR="00004850">
        <w:t xml:space="preserve">The </w:t>
      </w:r>
      <w:r w:rsidR="00F957C6">
        <w:t>C</w:t>
      </w:r>
      <w:r w:rsidR="00004850">
        <w:t xml:space="preserve">ompany has not provided any explanation that fits with what I </w:t>
      </w:r>
      <w:r w:rsidR="00EC5452">
        <w:t>understand</w:t>
      </w:r>
      <w:r w:rsidR="00004850">
        <w:t xml:space="preserve"> the facts to be. </w:t>
      </w:r>
      <w:r w:rsidR="00EC5452">
        <w:t xml:space="preserve"> </w:t>
      </w:r>
      <w:r w:rsidR="00004850">
        <w:t xml:space="preserve">I read the </w:t>
      </w:r>
      <w:r w:rsidR="00F957C6">
        <w:t>C</w:t>
      </w:r>
      <w:r w:rsidR="00004850">
        <w:t xml:space="preserve">ompany’s May 20 submission referenced above including the actions described in the cover letter and resolutions documented in the </w:t>
      </w:r>
      <w:r w:rsidR="00764D47">
        <w:t xml:space="preserve">“PSE </w:t>
      </w:r>
      <w:r w:rsidR="00004850">
        <w:t>26 Account Review</w:t>
      </w:r>
      <w:r w:rsidR="00764D47">
        <w:t>”</w:t>
      </w:r>
      <w:r w:rsidR="00004850">
        <w:t xml:space="preserve"> table. </w:t>
      </w:r>
      <w:r w:rsidR="00266F15">
        <w:t xml:space="preserve"> </w:t>
      </w:r>
      <w:r w:rsidR="00004850">
        <w:t xml:space="preserve">The plain language of these documents is that the </w:t>
      </w:r>
      <w:r w:rsidR="00F957C6">
        <w:t>C</w:t>
      </w:r>
      <w:r w:rsidR="00004850">
        <w:t xml:space="preserve">ompany had completed the referenced actions.  </w:t>
      </w:r>
    </w:p>
    <w:p w:rsidR="00165FCF" w:rsidRDefault="00004850" w:rsidP="00291322">
      <w:pPr>
        <w:spacing w:line="480" w:lineRule="auto"/>
        <w:ind w:left="720" w:firstLine="720"/>
      </w:pPr>
      <w:r>
        <w:t xml:space="preserve">Staff subsequently learned that the adjustments to the accounts described in these documents had not been made. </w:t>
      </w:r>
      <w:r w:rsidR="00266F15">
        <w:t xml:space="preserve"> </w:t>
      </w:r>
      <w:r>
        <w:t>Moreover</w:t>
      </w:r>
      <w:r w:rsidR="00BA3A33">
        <w:t>,</w:t>
      </w:r>
      <w:r>
        <w:t xml:space="preserve"> the account records </w:t>
      </w:r>
      <w:r w:rsidR="00C43E24">
        <w:t xml:space="preserve">later </w:t>
      </w:r>
      <w:r>
        <w:t xml:space="preserve">provided by the </w:t>
      </w:r>
      <w:r w:rsidR="00F957C6">
        <w:t>C</w:t>
      </w:r>
      <w:r>
        <w:t xml:space="preserve">ompany </w:t>
      </w:r>
      <w:r w:rsidR="00F818CA">
        <w:t xml:space="preserve">to Staff between June 2 and June 8, 2011, </w:t>
      </w:r>
      <w:r>
        <w:t xml:space="preserve">showed that account adjustments were </w:t>
      </w:r>
      <w:r w:rsidR="00C65A5C">
        <w:t xml:space="preserve">not </w:t>
      </w:r>
      <w:r>
        <w:t xml:space="preserve">made until as </w:t>
      </w:r>
      <w:r w:rsidR="00764D47">
        <w:t xml:space="preserve">late </w:t>
      </w:r>
      <w:r>
        <w:t xml:space="preserve">as </w:t>
      </w:r>
      <w:r w:rsidR="00E6593A" w:rsidRPr="0085153B">
        <w:t>19</w:t>
      </w:r>
      <w:r>
        <w:t xml:space="preserve"> days after the May 20 filing and then only after Staff requested documentation of the account actions. </w:t>
      </w:r>
      <w:r w:rsidR="00C43E24">
        <w:t xml:space="preserve"> Rayne Pearson discusses this in more detail in her testimony.  </w:t>
      </w:r>
    </w:p>
    <w:p w:rsidR="0025614E" w:rsidRDefault="0025614E" w:rsidP="006C6F4A">
      <w:pPr>
        <w:spacing w:line="480" w:lineRule="auto"/>
        <w:ind w:left="720" w:hanging="720"/>
      </w:pPr>
    </w:p>
    <w:p w:rsidR="0025614E" w:rsidRDefault="0025614E" w:rsidP="006C6F4A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9A2843">
        <w:rPr>
          <w:b/>
          <w:bCs/>
        </w:rPr>
        <w:t xml:space="preserve">Is PSE’s </w:t>
      </w:r>
      <w:r w:rsidR="00764D47">
        <w:rPr>
          <w:b/>
          <w:bCs/>
        </w:rPr>
        <w:t>description</w:t>
      </w:r>
      <w:r w:rsidR="009A2843">
        <w:rPr>
          <w:b/>
          <w:bCs/>
        </w:rPr>
        <w:t xml:space="preserve">, stated in Mr. DeBoer’s direct testimony, Exhibit </w:t>
      </w:r>
      <w:proofErr w:type="gramStart"/>
      <w:r w:rsidR="00BA3A33">
        <w:rPr>
          <w:b/>
          <w:bCs/>
        </w:rPr>
        <w:t>No.</w:t>
      </w:r>
      <w:proofErr w:type="gramEnd"/>
      <w:r w:rsidR="00BA3A33">
        <w:rPr>
          <w:b/>
          <w:bCs/>
        </w:rPr>
        <w:t xml:space="preserve"> </w:t>
      </w:r>
      <w:r w:rsidR="009A2843">
        <w:rPr>
          <w:b/>
          <w:bCs/>
        </w:rPr>
        <w:t xml:space="preserve">TAD-1T, page 6, lines 2-5, and Mr. Archuleta’s direct testimony, Exhibit </w:t>
      </w:r>
      <w:r w:rsidR="00BA3A33">
        <w:rPr>
          <w:b/>
          <w:bCs/>
        </w:rPr>
        <w:t xml:space="preserve">No. </w:t>
      </w:r>
      <w:r w:rsidR="009A2843">
        <w:rPr>
          <w:b/>
          <w:bCs/>
        </w:rPr>
        <w:t>GA-1T, page 8, lines 16-20, of Staff’s interpretation of PSE’s obligation “to investigate” accurate?</w:t>
      </w:r>
    </w:p>
    <w:p w:rsidR="0025614E" w:rsidRDefault="0025614E" w:rsidP="0025614E">
      <w:pPr>
        <w:spacing w:line="480" w:lineRule="auto"/>
        <w:ind w:left="720" w:hanging="720"/>
      </w:pPr>
      <w:r>
        <w:lastRenderedPageBreak/>
        <w:t>A.</w:t>
      </w:r>
      <w:r>
        <w:tab/>
      </w:r>
      <w:r w:rsidRPr="004A0F02">
        <w:t xml:space="preserve">Yes. </w:t>
      </w:r>
      <w:r w:rsidR="00291322">
        <w:t xml:space="preserve"> </w:t>
      </w:r>
      <w:r w:rsidRPr="004A0F02">
        <w:t xml:space="preserve">Staff </w:t>
      </w:r>
      <w:r w:rsidR="009A2843" w:rsidRPr="004A0F02">
        <w:t xml:space="preserve">understood </w:t>
      </w:r>
      <w:r w:rsidRPr="004A0F02">
        <w:t>that PSE would reprocess each account and contact each customer regarding any prior obligation balance owed or outstanding credit on the</w:t>
      </w:r>
      <w:r w:rsidR="00D22B26" w:rsidRPr="004A0F02">
        <w:t>ir</w:t>
      </w:r>
      <w:r w:rsidRPr="004A0F02">
        <w:t xml:space="preserve"> account.</w:t>
      </w:r>
    </w:p>
    <w:p w:rsidR="008A3890" w:rsidRDefault="008A3890" w:rsidP="0025614E">
      <w:pPr>
        <w:spacing w:line="480" w:lineRule="auto"/>
        <w:ind w:left="720" w:hanging="720"/>
      </w:pPr>
    </w:p>
    <w:p w:rsidR="0025614E" w:rsidRDefault="0025614E" w:rsidP="0025614E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How do you believe PSE came to the conclusion that this was Staff’s interpretation?</w:t>
      </w:r>
    </w:p>
    <w:p w:rsidR="00764D47" w:rsidRDefault="0025614E" w:rsidP="004A0F02">
      <w:pPr>
        <w:spacing w:line="480" w:lineRule="auto"/>
        <w:ind w:left="720" w:hanging="720"/>
      </w:pPr>
      <w:r>
        <w:t>A.</w:t>
      </w:r>
      <w:r>
        <w:tab/>
      </w:r>
      <w:r w:rsidRPr="004A0F02">
        <w:t xml:space="preserve">Staff’s interpretation, as </w:t>
      </w:r>
      <w:r w:rsidR="00764D47">
        <w:t xml:space="preserve">described </w:t>
      </w:r>
      <w:r w:rsidR="00266F15">
        <w:t>by</w:t>
      </w:r>
      <w:r w:rsidR="00764D47">
        <w:t xml:space="preserve"> </w:t>
      </w:r>
      <w:r w:rsidRPr="004A0F02">
        <w:t>PSE in both Mr. DeBoer’s and Mr. Archuleta’s testimony, came directly from the settlement agreement</w:t>
      </w:r>
      <w:r w:rsidR="00266F15">
        <w:t>,</w:t>
      </w:r>
      <w:r w:rsidRPr="004A0F02">
        <w:t xml:space="preserve"> </w:t>
      </w:r>
      <w:r w:rsidR="00266F15">
        <w:t>J</w:t>
      </w:r>
      <w:r w:rsidRPr="004A0F02">
        <w:t xml:space="preserve">oint </w:t>
      </w:r>
      <w:r w:rsidR="00266F15">
        <w:t>M</w:t>
      </w:r>
      <w:r w:rsidRPr="004A0F02">
        <w:t>otion</w:t>
      </w:r>
      <w:r w:rsidR="00266F15">
        <w:t>, and Commission Order in U-100182.</w:t>
      </w:r>
    </w:p>
    <w:p w:rsidR="0025614E" w:rsidRPr="0025614E" w:rsidRDefault="004A0F02" w:rsidP="004A0F02">
      <w:pPr>
        <w:spacing w:line="480" w:lineRule="auto"/>
        <w:ind w:left="720" w:hanging="720"/>
      </w:pPr>
      <w:r>
        <w:t xml:space="preserve"> </w:t>
      </w:r>
    </w:p>
    <w:p w:rsidR="006C6F4A" w:rsidRDefault="00D22B26" w:rsidP="000C1129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Does this conclude your testimony?</w:t>
      </w:r>
    </w:p>
    <w:p w:rsidR="000C1129" w:rsidRDefault="00D22B26" w:rsidP="00B814E2">
      <w:pPr>
        <w:spacing w:line="480" w:lineRule="auto"/>
        <w:ind w:left="720" w:hanging="720"/>
      </w:pPr>
      <w:r>
        <w:t>A.</w:t>
      </w:r>
      <w:r>
        <w:tab/>
        <w:t>Yes.</w:t>
      </w: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p w:rsidR="009A3A7B" w:rsidRDefault="009A3A7B" w:rsidP="00B814E2">
      <w:pPr>
        <w:spacing w:line="480" w:lineRule="auto"/>
        <w:ind w:left="720" w:hanging="720"/>
      </w:pPr>
    </w:p>
    <w:sectPr w:rsidR="009A3A7B" w:rsidSect="0015026F">
      <w:footerReference w:type="default" r:id="rId10"/>
      <w:pgSz w:w="12240" w:h="15840" w:code="1"/>
      <w:pgMar w:top="1440" w:right="1440" w:bottom="1440" w:left="1872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77" w:rsidRDefault="007B7C77" w:rsidP="0015026F">
      <w:r>
        <w:separator/>
      </w:r>
    </w:p>
  </w:endnote>
  <w:endnote w:type="continuationSeparator" w:id="0">
    <w:p w:rsidR="007B7C77" w:rsidRDefault="007B7C77" w:rsidP="001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7" w:rsidRPr="0015026F" w:rsidRDefault="007B7C7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</w:p>
  <w:p w:rsidR="007B7C77" w:rsidRPr="0015026F" w:rsidRDefault="007B7C7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 w:rsidRPr="0015026F">
      <w:rPr>
        <w:sz w:val="20"/>
        <w:szCs w:val="20"/>
      </w:rPr>
      <w:t xml:space="preserve">TESTIMONY OF </w:t>
    </w:r>
    <w:r>
      <w:rPr>
        <w:sz w:val="20"/>
        <w:szCs w:val="20"/>
      </w:rPr>
      <w:t>STEVEN V. KING</w:t>
    </w:r>
    <w:r w:rsidRPr="0015026F">
      <w:rPr>
        <w:sz w:val="20"/>
        <w:szCs w:val="20"/>
      </w:rPr>
      <w:t xml:space="preserve"> </w:t>
    </w:r>
    <w:r w:rsidRPr="0015026F">
      <w:rPr>
        <w:sz w:val="20"/>
        <w:szCs w:val="20"/>
      </w:rPr>
      <w:tab/>
    </w:r>
    <w:r w:rsidRPr="0015026F">
      <w:rPr>
        <w:sz w:val="20"/>
        <w:szCs w:val="20"/>
      </w:rPr>
      <w:tab/>
      <w:t>Exhibit No.</w:t>
    </w:r>
    <w:r>
      <w:rPr>
        <w:sz w:val="20"/>
        <w:szCs w:val="20"/>
      </w:rPr>
      <w:t xml:space="preserve"> ___ </w:t>
    </w:r>
    <w:r w:rsidRPr="0015026F">
      <w:rPr>
        <w:sz w:val="20"/>
        <w:szCs w:val="20"/>
      </w:rPr>
      <w:t>T</w:t>
    </w:r>
    <w:r>
      <w:rPr>
        <w:sz w:val="20"/>
        <w:szCs w:val="20"/>
      </w:rPr>
      <w:t xml:space="preserve"> (SVK-1T)</w:t>
    </w:r>
  </w:p>
  <w:p w:rsidR="007B7C77" w:rsidRPr="0015026F" w:rsidRDefault="007B7C7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 w:rsidRPr="0015026F">
      <w:rPr>
        <w:sz w:val="20"/>
        <w:szCs w:val="20"/>
      </w:rPr>
      <w:t xml:space="preserve">Docket </w:t>
    </w:r>
    <w:r>
      <w:rPr>
        <w:sz w:val="20"/>
        <w:szCs w:val="20"/>
      </w:rPr>
      <w:t>U</w:t>
    </w:r>
    <w:r w:rsidRPr="0015026F">
      <w:rPr>
        <w:sz w:val="20"/>
        <w:szCs w:val="20"/>
      </w:rPr>
      <w:t>-</w:t>
    </w:r>
    <w:r>
      <w:rPr>
        <w:sz w:val="20"/>
        <w:szCs w:val="20"/>
      </w:rPr>
      <w:t>110808</w:t>
    </w:r>
    <w:r w:rsidRPr="0015026F">
      <w:rPr>
        <w:sz w:val="20"/>
        <w:szCs w:val="20"/>
      </w:rPr>
      <w:tab/>
    </w:r>
    <w:r w:rsidRPr="0015026F">
      <w:rPr>
        <w:sz w:val="20"/>
        <w:szCs w:val="20"/>
      </w:rPr>
      <w:tab/>
      <w:t xml:space="preserve">Page </w:t>
    </w:r>
    <w:r w:rsidRPr="0015026F">
      <w:rPr>
        <w:sz w:val="20"/>
        <w:szCs w:val="20"/>
      </w:rPr>
      <w:fldChar w:fldCharType="begin"/>
    </w:r>
    <w:r w:rsidRPr="0015026F">
      <w:rPr>
        <w:sz w:val="20"/>
        <w:szCs w:val="20"/>
      </w:rPr>
      <w:instrText xml:space="preserve"> PAGE   \* MERGEFORMAT </w:instrText>
    </w:r>
    <w:r w:rsidRPr="0015026F">
      <w:rPr>
        <w:sz w:val="20"/>
        <w:szCs w:val="20"/>
      </w:rPr>
      <w:fldChar w:fldCharType="separate"/>
    </w:r>
    <w:r w:rsidR="00432AF5">
      <w:rPr>
        <w:noProof/>
        <w:sz w:val="20"/>
        <w:szCs w:val="20"/>
      </w:rPr>
      <w:t>i</w:t>
    </w:r>
    <w:r w:rsidRPr="0015026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7" w:rsidRPr="0015026F" w:rsidRDefault="007B7C7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</w:p>
  <w:p w:rsidR="007B7C77" w:rsidRPr="0015026F" w:rsidRDefault="007B7C7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 w:rsidRPr="0015026F">
      <w:rPr>
        <w:sz w:val="20"/>
        <w:szCs w:val="20"/>
      </w:rPr>
      <w:t xml:space="preserve">TESTIMONY OF </w:t>
    </w:r>
    <w:r>
      <w:rPr>
        <w:sz w:val="20"/>
        <w:szCs w:val="20"/>
      </w:rPr>
      <w:t>STEVEN V. KING</w:t>
    </w:r>
    <w:r w:rsidRPr="0015026F">
      <w:rPr>
        <w:sz w:val="20"/>
        <w:szCs w:val="20"/>
      </w:rPr>
      <w:t xml:space="preserve"> </w:t>
    </w:r>
    <w:r w:rsidRPr="0015026F">
      <w:rPr>
        <w:sz w:val="20"/>
        <w:szCs w:val="20"/>
      </w:rPr>
      <w:tab/>
    </w:r>
    <w:r w:rsidRPr="0015026F">
      <w:rPr>
        <w:sz w:val="20"/>
        <w:szCs w:val="20"/>
      </w:rPr>
      <w:tab/>
      <w:t>Exhibit No</w:t>
    </w:r>
    <w:r>
      <w:rPr>
        <w:sz w:val="20"/>
        <w:szCs w:val="20"/>
      </w:rPr>
      <w:t xml:space="preserve">. ___ </w:t>
    </w:r>
    <w:r w:rsidRPr="0015026F">
      <w:rPr>
        <w:sz w:val="20"/>
        <w:szCs w:val="20"/>
      </w:rPr>
      <w:t>T</w:t>
    </w:r>
    <w:r>
      <w:rPr>
        <w:sz w:val="20"/>
        <w:szCs w:val="20"/>
      </w:rPr>
      <w:t xml:space="preserve"> (SVK-1T)</w:t>
    </w:r>
  </w:p>
  <w:p w:rsidR="007B7C77" w:rsidRPr="0015026F" w:rsidRDefault="007B7C77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 w:rsidRPr="0015026F">
      <w:rPr>
        <w:sz w:val="20"/>
        <w:szCs w:val="20"/>
      </w:rPr>
      <w:t xml:space="preserve">Docket </w:t>
    </w:r>
    <w:r>
      <w:rPr>
        <w:sz w:val="20"/>
        <w:szCs w:val="20"/>
      </w:rPr>
      <w:t>U</w:t>
    </w:r>
    <w:r w:rsidRPr="0015026F">
      <w:rPr>
        <w:sz w:val="20"/>
        <w:szCs w:val="20"/>
      </w:rPr>
      <w:t>-</w:t>
    </w:r>
    <w:r>
      <w:rPr>
        <w:sz w:val="20"/>
        <w:szCs w:val="20"/>
      </w:rPr>
      <w:t>110808</w:t>
    </w:r>
    <w:r w:rsidRPr="0015026F">
      <w:rPr>
        <w:sz w:val="20"/>
        <w:szCs w:val="20"/>
      </w:rPr>
      <w:tab/>
    </w:r>
    <w:r w:rsidRPr="0015026F">
      <w:rPr>
        <w:sz w:val="20"/>
        <w:szCs w:val="20"/>
      </w:rPr>
      <w:tab/>
      <w:t xml:space="preserve">Page </w:t>
    </w:r>
    <w:r w:rsidRPr="0015026F">
      <w:rPr>
        <w:sz w:val="20"/>
        <w:szCs w:val="20"/>
      </w:rPr>
      <w:fldChar w:fldCharType="begin"/>
    </w:r>
    <w:r w:rsidRPr="0015026F">
      <w:rPr>
        <w:sz w:val="20"/>
        <w:szCs w:val="20"/>
      </w:rPr>
      <w:instrText xml:space="preserve"> PAGE   \* MERGEFORMAT </w:instrText>
    </w:r>
    <w:r w:rsidRPr="0015026F">
      <w:rPr>
        <w:sz w:val="20"/>
        <w:szCs w:val="20"/>
      </w:rPr>
      <w:fldChar w:fldCharType="separate"/>
    </w:r>
    <w:r w:rsidR="00432AF5">
      <w:rPr>
        <w:noProof/>
        <w:sz w:val="20"/>
        <w:szCs w:val="20"/>
      </w:rPr>
      <w:t>8</w:t>
    </w:r>
    <w:r w:rsidRPr="0015026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77" w:rsidRDefault="007B7C77" w:rsidP="0015026F">
      <w:r>
        <w:separator/>
      </w:r>
    </w:p>
  </w:footnote>
  <w:footnote w:type="continuationSeparator" w:id="0">
    <w:p w:rsidR="007B7C77" w:rsidRDefault="007B7C77" w:rsidP="0015026F">
      <w:r>
        <w:continuationSeparator/>
      </w:r>
    </w:p>
  </w:footnote>
  <w:footnote w:id="1">
    <w:p w:rsidR="007B7C77" w:rsidRDefault="007B7C77">
      <w:pPr>
        <w:pStyle w:val="FootnoteText"/>
      </w:pPr>
      <w:r>
        <w:rPr>
          <w:rStyle w:val="FootnoteReference"/>
        </w:rPr>
        <w:footnoteRef/>
      </w:r>
      <w:r>
        <w:t xml:space="preserve"> The referenced dockets include:</w:t>
      </w:r>
    </w:p>
    <w:p w:rsidR="007B7C77" w:rsidRDefault="007B7C77" w:rsidP="009F53BC">
      <w:pPr>
        <w:pStyle w:val="FootnoteText"/>
        <w:numPr>
          <w:ilvl w:val="0"/>
          <w:numId w:val="3"/>
        </w:numPr>
      </w:pPr>
      <w:r>
        <w:t xml:space="preserve">PG-041209, investigation of King County accident, 2005; </w:t>
      </w:r>
    </w:p>
    <w:p w:rsidR="007B7C77" w:rsidRDefault="007B7C77" w:rsidP="009F53BC">
      <w:pPr>
        <w:pStyle w:val="FootnoteText"/>
        <w:numPr>
          <w:ilvl w:val="0"/>
          <w:numId w:val="3"/>
        </w:numPr>
      </w:pPr>
      <w:r>
        <w:t xml:space="preserve">PG-011624, investigation of gas explosion at residence, 2005; </w:t>
      </w:r>
    </w:p>
    <w:p w:rsidR="007B7C77" w:rsidRDefault="007B7C77" w:rsidP="009F53BC">
      <w:pPr>
        <w:pStyle w:val="FootnoteText"/>
        <w:numPr>
          <w:ilvl w:val="0"/>
          <w:numId w:val="3"/>
        </w:numPr>
      </w:pPr>
      <w:r>
        <w:t xml:space="preserve">PG-060215, investigation of leak recordkeeping by </w:t>
      </w:r>
      <w:proofErr w:type="spellStart"/>
      <w:r>
        <w:t>Pilchuck</w:t>
      </w:r>
      <w:proofErr w:type="spellEnd"/>
      <w:r>
        <w:t xml:space="preserve"> Contractors, 2008; </w:t>
      </w:r>
    </w:p>
    <w:p w:rsidR="007B7C77" w:rsidRDefault="007B7C77" w:rsidP="009F53BC">
      <w:pPr>
        <w:pStyle w:val="FootnoteText"/>
        <w:numPr>
          <w:ilvl w:val="0"/>
          <w:numId w:val="3"/>
        </w:numPr>
      </w:pPr>
      <w:r>
        <w:t xml:space="preserve">U-061239, investigation of disclosure of private customer information, 2006; </w:t>
      </w:r>
    </w:p>
    <w:p w:rsidR="007B7C77" w:rsidRDefault="007B7C77" w:rsidP="009F53BC">
      <w:pPr>
        <w:pStyle w:val="FootnoteText"/>
        <w:numPr>
          <w:ilvl w:val="0"/>
          <w:numId w:val="3"/>
        </w:numPr>
      </w:pPr>
      <w:r>
        <w:t>U-100182, investigation of application of WAC 480-90/100-123,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546"/>
    <w:multiLevelType w:val="hybridMultilevel"/>
    <w:tmpl w:val="B596E12E"/>
    <w:lvl w:ilvl="0" w:tplc="0BD423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5D77"/>
    <w:multiLevelType w:val="hybridMultilevel"/>
    <w:tmpl w:val="CC06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2"/>
    <w:rsid w:val="00004850"/>
    <w:rsid w:val="00025DA2"/>
    <w:rsid w:val="00031CCC"/>
    <w:rsid w:val="00067BFA"/>
    <w:rsid w:val="00076272"/>
    <w:rsid w:val="000806A4"/>
    <w:rsid w:val="000831FE"/>
    <w:rsid w:val="00096824"/>
    <w:rsid w:val="000C1129"/>
    <w:rsid w:val="000C3C6F"/>
    <w:rsid w:val="001013A2"/>
    <w:rsid w:val="0011678A"/>
    <w:rsid w:val="001264A5"/>
    <w:rsid w:val="001372EF"/>
    <w:rsid w:val="0015026F"/>
    <w:rsid w:val="00165FCF"/>
    <w:rsid w:val="0017271E"/>
    <w:rsid w:val="0018005A"/>
    <w:rsid w:val="001A17CB"/>
    <w:rsid w:val="00252E1B"/>
    <w:rsid w:val="0025614E"/>
    <w:rsid w:val="00264DB5"/>
    <w:rsid w:val="00266F15"/>
    <w:rsid w:val="00281992"/>
    <w:rsid w:val="00285989"/>
    <w:rsid w:val="00291322"/>
    <w:rsid w:val="002B161B"/>
    <w:rsid w:val="002E1030"/>
    <w:rsid w:val="00336144"/>
    <w:rsid w:val="00341E09"/>
    <w:rsid w:val="00366392"/>
    <w:rsid w:val="00391048"/>
    <w:rsid w:val="003B208F"/>
    <w:rsid w:val="003B3949"/>
    <w:rsid w:val="004006E6"/>
    <w:rsid w:val="00403670"/>
    <w:rsid w:val="004327F6"/>
    <w:rsid w:val="00432AF5"/>
    <w:rsid w:val="0046251D"/>
    <w:rsid w:val="00462E61"/>
    <w:rsid w:val="0047591B"/>
    <w:rsid w:val="004A0F02"/>
    <w:rsid w:val="00526610"/>
    <w:rsid w:val="00562BDE"/>
    <w:rsid w:val="005712C8"/>
    <w:rsid w:val="00580C89"/>
    <w:rsid w:val="005C37CD"/>
    <w:rsid w:val="005D1AFE"/>
    <w:rsid w:val="00684195"/>
    <w:rsid w:val="006B5536"/>
    <w:rsid w:val="006C1FF9"/>
    <w:rsid w:val="006C6F4A"/>
    <w:rsid w:val="00714A74"/>
    <w:rsid w:val="0073235B"/>
    <w:rsid w:val="00764D47"/>
    <w:rsid w:val="007B7C77"/>
    <w:rsid w:val="007D3D2D"/>
    <w:rsid w:val="007F313E"/>
    <w:rsid w:val="00815155"/>
    <w:rsid w:val="008407B2"/>
    <w:rsid w:val="00844367"/>
    <w:rsid w:val="00845BC8"/>
    <w:rsid w:val="0085153B"/>
    <w:rsid w:val="008835FD"/>
    <w:rsid w:val="00893B02"/>
    <w:rsid w:val="008A3890"/>
    <w:rsid w:val="008B5CC0"/>
    <w:rsid w:val="009209BF"/>
    <w:rsid w:val="00931369"/>
    <w:rsid w:val="009668D4"/>
    <w:rsid w:val="00977FD7"/>
    <w:rsid w:val="009A03A7"/>
    <w:rsid w:val="009A2843"/>
    <w:rsid w:val="009A3A7B"/>
    <w:rsid w:val="009E5F41"/>
    <w:rsid w:val="009F53BC"/>
    <w:rsid w:val="00A21289"/>
    <w:rsid w:val="00A23054"/>
    <w:rsid w:val="00A33197"/>
    <w:rsid w:val="00A5075D"/>
    <w:rsid w:val="00A5306C"/>
    <w:rsid w:val="00A65FFD"/>
    <w:rsid w:val="00A92378"/>
    <w:rsid w:val="00AB106C"/>
    <w:rsid w:val="00AB126C"/>
    <w:rsid w:val="00AB6262"/>
    <w:rsid w:val="00B50173"/>
    <w:rsid w:val="00B77FBB"/>
    <w:rsid w:val="00B814E2"/>
    <w:rsid w:val="00B824F5"/>
    <w:rsid w:val="00BA3A33"/>
    <w:rsid w:val="00BC4A56"/>
    <w:rsid w:val="00BE6E2C"/>
    <w:rsid w:val="00C0665B"/>
    <w:rsid w:val="00C129DC"/>
    <w:rsid w:val="00C30AB8"/>
    <w:rsid w:val="00C43E24"/>
    <w:rsid w:val="00C65A5C"/>
    <w:rsid w:val="00C97976"/>
    <w:rsid w:val="00CA2B49"/>
    <w:rsid w:val="00D22B26"/>
    <w:rsid w:val="00E3448E"/>
    <w:rsid w:val="00E50BE2"/>
    <w:rsid w:val="00E6593A"/>
    <w:rsid w:val="00EC5452"/>
    <w:rsid w:val="00ED014E"/>
    <w:rsid w:val="00F818CA"/>
    <w:rsid w:val="00F957C6"/>
    <w:rsid w:val="00FA6FC3"/>
    <w:rsid w:val="00FB1BFC"/>
    <w:rsid w:val="00FC38FE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14E2"/>
  </w:style>
  <w:style w:type="paragraph" w:styleId="Header">
    <w:name w:val="header"/>
    <w:basedOn w:val="Normal"/>
    <w:link w:val="Head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6F"/>
  </w:style>
  <w:style w:type="paragraph" w:styleId="Footer">
    <w:name w:val="footer"/>
    <w:basedOn w:val="Normal"/>
    <w:link w:val="Foot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6F"/>
  </w:style>
  <w:style w:type="paragraph" w:styleId="FootnoteText">
    <w:name w:val="footnote text"/>
    <w:basedOn w:val="Normal"/>
    <w:link w:val="FootnoteTextChar"/>
    <w:uiPriority w:val="99"/>
    <w:semiHidden/>
    <w:unhideWhenUsed/>
    <w:rsid w:val="00080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6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14E2"/>
  </w:style>
  <w:style w:type="paragraph" w:styleId="Header">
    <w:name w:val="header"/>
    <w:basedOn w:val="Normal"/>
    <w:link w:val="Head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6F"/>
  </w:style>
  <w:style w:type="paragraph" w:styleId="Footer">
    <w:name w:val="footer"/>
    <w:basedOn w:val="Normal"/>
    <w:link w:val="Foot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6F"/>
  </w:style>
  <w:style w:type="paragraph" w:styleId="FootnoteText">
    <w:name w:val="footnote text"/>
    <w:basedOn w:val="Normal"/>
    <w:link w:val="FootnoteTextChar"/>
    <w:uiPriority w:val="99"/>
    <w:semiHidden/>
    <w:unhideWhenUsed/>
    <w:rsid w:val="00080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6A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16A2F0-4C7A-4722-8094-1CEDB4FCB59F}"/>
</file>

<file path=customXml/itemProps2.xml><?xml version="1.0" encoding="utf-8"?>
<ds:datastoreItem xmlns:ds="http://schemas.openxmlformats.org/officeDocument/2006/customXml" ds:itemID="{03593DA6-F226-4F5A-84AD-37B1FC801719}"/>
</file>

<file path=customXml/itemProps3.xml><?xml version="1.0" encoding="utf-8"?>
<ds:datastoreItem xmlns:ds="http://schemas.openxmlformats.org/officeDocument/2006/customXml" ds:itemID="{62A4F569-E25D-405A-BFA1-DE0A5A265F75}"/>
</file>

<file path=customXml/itemProps4.xml><?xml version="1.0" encoding="utf-8"?>
<ds:datastoreItem xmlns:ds="http://schemas.openxmlformats.org/officeDocument/2006/customXml" ds:itemID="{1BE66E9B-E877-45C6-96DB-429663C13367}"/>
</file>

<file path=customXml/itemProps5.xml><?xml version="1.0" encoding="utf-8"?>
<ds:datastoreItem xmlns:ds="http://schemas.openxmlformats.org/officeDocument/2006/customXml" ds:itemID="{B465387D-E60D-4747-9D1D-B07FD4FD4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2012-05-02T18:58:00Z</dcterms:created>
  <dcterms:modified xsi:type="dcterms:W3CDTF">2012-05-03T16:01:00Z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