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2C8A8" w14:textId="77777777" w:rsidR="007B74FB" w:rsidRDefault="007B74FB" w:rsidP="00425F7D">
      <w:pPr>
        <w:tabs>
          <w:tab w:val="center" w:pos="4680"/>
        </w:tabs>
        <w:ind w:right="-252" w:hanging="360"/>
        <w:jc w:val="both"/>
        <w:rPr>
          <w:b/>
          <w:bCs/>
        </w:rPr>
      </w:pPr>
      <w:r>
        <w:rPr>
          <w:b/>
          <w:bCs/>
        </w:rPr>
        <w:tab/>
      </w:r>
      <w:r>
        <w:rPr>
          <w:b/>
          <w:bCs/>
        </w:rPr>
        <w:tab/>
      </w:r>
      <w:r>
        <w:rPr>
          <w:b/>
          <w:bCs/>
        </w:rPr>
        <w:tab/>
      </w:r>
      <w:r>
        <w:rPr>
          <w:b/>
          <w:bCs/>
        </w:rPr>
        <w:tab/>
        <w:t>Exhibit No. ___ (</w:t>
      </w:r>
      <w:r w:rsidR="00834B58">
        <w:rPr>
          <w:b/>
          <w:bCs/>
        </w:rPr>
        <w:t>DCG</w:t>
      </w:r>
      <w:r>
        <w:rPr>
          <w:b/>
          <w:bCs/>
        </w:rPr>
        <w:t>-1</w:t>
      </w:r>
      <w:r w:rsidR="008C2FDF">
        <w:rPr>
          <w:b/>
          <w:bCs/>
        </w:rPr>
        <w:t>T</w:t>
      </w:r>
      <w:r w:rsidR="008A1A3C">
        <w:rPr>
          <w:b/>
          <w:bCs/>
        </w:rPr>
        <w:t>C</w:t>
      </w:r>
      <w:r>
        <w:rPr>
          <w:b/>
          <w:bCs/>
        </w:rPr>
        <w:t xml:space="preserve">) </w:t>
      </w:r>
    </w:p>
    <w:p w14:paraId="3ED885CF" w14:textId="1B2BAA53" w:rsidR="007B74FB" w:rsidRDefault="007B74FB" w:rsidP="00425F7D">
      <w:pPr>
        <w:tabs>
          <w:tab w:val="center" w:pos="4680"/>
        </w:tabs>
        <w:ind w:right="-252" w:hanging="360"/>
        <w:jc w:val="both"/>
        <w:rPr>
          <w:b/>
          <w:bCs/>
        </w:rPr>
      </w:pPr>
      <w:r>
        <w:rPr>
          <w:b/>
          <w:bCs/>
        </w:rPr>
        <w:tab/>
      </w:r>
      <w:r>
        <w:rPr>
          <w:b/>
          <w:bCs/>
        </w:rPr>
        <w:tab/>
      </w:r>
      <w:r>
        <w:rPr>
          <w:b/>
          <w:bCs/>
        </w:rPr>
        <w:tab/>
      </w:r>
      <w:r>
        <w:rPr>
          <w:b/>
          <w:bCs/>
        </w:rPr>
        <w:tab/>
        <w:t>Docket UE-</w:t>
      </w:r>
      <w:r w:rsidR="003A7E00">
        <w:rPr>
          <w:b/>
          <w:bCs/>
        </w:rPr>
        <w:t>1</w:t>
      </w:r>
      <w:r w:rsidR="00FF3724">
        <w:rPr>
          <w:b/>
          <w:bCs/>
        </w:rPr>
        <w:t>50204</w:t>
      </w:r>
      <w:r w:rsidR="00242904">
        <w:rPr>
          <w:b/>
        </w:rPr>
        <w:t>/UG-1</w:t>
      </w:r>
      <w:r w:rsidR="00FF3724">
        <w:rPr>
          <w:b/>
        </w:rPr>
        <w:t>50205</w:t>
      </w:r>
    </w:p>
    <w:p w14:paraId="1392398F" w14:textId="77777777" w:rsidR="007B74FB" w:rsidRDefault="007B74FB" w:rsidP="00425F7D">
      <w:pPr>
        <w:tabs>
          <w:tab w:val="center" w:pos="4680"/>
        </w:tabs>
        <w:ind w:right="-252" w:hanging="360"/>
        <w:jc w:val="both"/>
        <w:rPr>
          <w:b/>
          <w:bCs/>
        </w:rPr>
      </w:pPr>
      <w:r>
        <w:rPr>
          <w:b/>
          <w:bCs/>
        </w:rPr>
        <w:tab/>
      </w:r>
      <w:r>
        <w:rPr>
          <w:b/>
          <w:bCs/>
        </w:rPr>
        <w:tab/>
      </w:r>
      <w:r>
        <w:rPr>
          <w:b/>
          <w:bCs/>
        </w:rPr>
        <w:tab/>
      </w:r>
      <w:r>
        <w:rPr>
          <w:b/>
          <w:bCs/>
        </w:rPr>
        <w:tab/>
        <w:t xml:space="preserve">Witness: </w:t>
      </w:r>
      <w:r w:rsidR="00834B58">
        <w:rPr>
          <w:b/>
          <w:bCs/>
        </w:rPr>
        <w:t>David C. Gomez</w:t>
      </w:r>
    </w:p>
    <w:p w14:paraId="6BB6D0E1" w14:textId="21EC6C96" w:rsidR="007B74FB" w:rsidRDefault="007B74FB" w:rsidP="00425F7D">
      <w:pPr>
        <w:tabs>
          <w:tab w:val="center" w:pos="4680"/>
        </w:tabs>
        <w:ind w:right="-252" w:hanging="360"/>
        <w:jc w:val="both"/>
        <w:rPr>
          <w:b/>
          <w:bCs/>
        </w:rPr>
      </w:pPr>
      <w:r>
        <w:rPr>
          <w:b/>
          <w:bCs/>
        </w:rPr>
        <w:tab/>
      </w:r>
      <w:r>
        <w:rPr>
          <w:b/>
          <w:bCs/>
        </w:rPr>
        <w:tab/>
      </w:r>
      <w:r>
        <w:rPr>
          <w:b/>
          <w:bCs/>
        </w:rPr>
        <w:tab/>
      </w:r>
      <w:r>
        <w:rPr>
          <w:b/>
          <w:bCs/>
        </w:rPr>
        <w:tab/>
      </w:r>
      <w:r w:rsidR="005003F8">
        <w:rPr>
          <w:b/>
          <w:bCs/>
        </w:rPr>
        <w:t>REDACTED</w:t>
      </w:r>
      <w:r>
        <w:rPr>
          <w:b/>
          <w:bCs/>
        </w:rPr>
        <w:t xml:space="preserve"> VERSION</w:t>
      </w:r>
    </w:p>
    <w:p w14:paraId="5F782ED7" w14:textId="77777777" w:rsidR="007B74FB" w:rsidRDefault="007B74FB" w:rsidP="00425F7D">
      <w:pPr>
        <w:tabs>
          <w:tab w:val="center" w:pos="4680"/>
        </w:tabs>
        <w:ind w:right="-252" w:hanging="360"/>
        <w:jc w:val="both"/>
        <w:rPr>
          <w:b/>
          <w:bCs/>
        </w:rPr>
      </w:pPr>
    </w:p>
    <w:p w14:paraId="20A9C58D" w14:textId="77777777" w:rsidR="007B74FB" w:rsidRDefault="007B74FB" w:rsidP="00425F7D">
      <w:pPr>
        <w:tabs>
          <w:tab w:val="center" w:pos="4680"/>
        </w:tabs>
        <w:ind w:right="-252" w:hanging="360"/>
        <w:jc w:val="both"/>
        <w:rPr>
          <w:b/>
          <w:bCs/>
        </w:rPr>
      </w:pPr>
    </w:p>
    <w:p w14:paraId="2C0C64BA" w14:textId="77777777" w:rsidR="007B74FB" w:rsidRDefault="007B74FB" w:rsidP="00425F7D">
      <w:pPr>
        <w:tabs>
          <w:tab w:val="center" w:pos="4680"/>
        </w:tabs>
        <w:ind w:right="-252" w:hanging="360"/>
        <w:jc w:val="both"/>
        <w:rPr>
          <w:b/>
          <w:bCs/>
        </w:rPr>
      </w:pPr>
    </w:p>
    <w:p w14:paraId="7280F761" w14:textId="77777777" w:rsidR="007B74FB" w:rsidRDefault="007B74FB" w:rsidP="00425F7D">
      <w:pPr>
        <w:ind w:right="-108" w:hanging="180"/>
        <w:jc w:val="center"/>
        <w:rPr>
          <w:b/>
        </w:rPr>
      </w:pPr>
      <w:r w:rsidRPr="00FB2A42">
        <w:rPr>
          <w:b/>
        </w:rPr>
        <w:t>BEFORE THE WASHINGTON</w:t>
      </w:r>
    </w:p>
    <w:p w14:paraId="589F2CD6" w14:textId="77777777" w:rsidR="007B74FB" w:rsidRPr="00FB2A42" w:rsidRDefault="007B74FB" w:rsidP="00425F7D">
      <w:pPr>
        <w:ind w:right="-108" w:hanging="180"/>
        <w:jc w:val="center"/>
        <w:rPr>
          <w:b/>
        </w:rPr>
      </w:pPr>
      <w:r w:rsidRPr="00FB2A42">
        <w:rPr>
          <w:b/>
        </w:rPr>
        <w:t>UTILITIES AND TRANSPORTATION COMMISSION</w:t>
      </w:r>
    </w:p>
    <w:p w14:paraId="6D87FD75" w14:textId="77777777" w:rsidR="007B74FB" w:rsidRPr="00FB2A42" w:rsidRDefault="007B74FB" w:rsidP="00425F7D">
      <w:pPr>
        <w:jc w:val="both"/>
        <w:rPr>
          <w:b/>
        </w:rPr>
      </w:pPr>
    </w:p>
    <w:p w14:paraId="15136B0A" w14:textId="77777777" w:rsidR="007B74FB" w:rsidRPr="00FB2A42" w:rsidRDefault="007B74FB" w:rsidP="00425F7D">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7B74FB" w:rsidRPr="00FB2A42" w14:paraId="447F73B1" w14:textId="77777777" w:rsidTr="00FE1359">
        <w:tc>
          <w:tcPr>
            <w:tcW w:w="4590" w:type="dxa"/>
            <w:tcBorders>
              <w:top w:val="single" w:sz="6" w:space="0" w:color="FFFFFF"/>
              <w:left w:val="single" w:sz="6" w:space="0" w:color="FFFFFF"/>
              <w:bottom w:val="single" w:sz="6" w:space="0" w:color="000000"/>
              <w:right w:val="single" w:sz="6" w:space="0" w:color="FFFFFF"/>
            </w:tcBorders>
          </w:tcPr>
          <w:p w14:paraId="24FE2A16" w14:textId="77777777" w:rsidR="007B74FB" w:rsidRPr="00FB2A42" w:rsidRDefault="007B74FB" w:rsidP="00425F7D">
            <w:pPr>
              <w:rPr>
                <w:b/>
              </w:rPr>
            </w:pPr>
            <w:r w:rsidRPr="00FB2A42">
              <w:rPr>
                <w:b/>
              </w:rPr>
              <w:t xml:space="preserve">WASHINGTON UTILITIES AND TRANSPORTATION COMMISSION, </w:t>
            </w:r>
          </w:p>
          <w:p w14:paraId="45A16476" w14:textId="77777777" w:rsidR="007B74FB" w:rsidRPr="00FB2A42" w:rsidRDefault="007B74FB" w:rsidP="00425F7D">
            <w:pPr>
              <w:rPr>
                <w:b/>
              </w:rPr>
            </w:pPr>
          </w:p>
          <w:p w14:paraId="5B97CDDE" w14:textId="77777777" w:rsidR="007B74FB" w:rsidRPr="00FB2A42" w:rsidRDefault="007B74FB" w:rsidP="00425F7D">
            <w:pPr>
              <w:rPr>
                <w:b/>
              </w:rPr>
            </w:pPr>
            <w:r w:rsidRPr="00FB2A42">
              <w:rPr>
                <w:b/>
              </w:rPr>
              <w:tab/>
            </w:r>
            <w:r w:rsidRPr="00FB2A42">
              <w:rPr>
                <w:b/>
              </w:rPr>
              <w:tab/>
              <w:t>Complainant,</w:t>
            </w:r>
          </w:p>
          <w:p w14:paraId="69C1B708" w14:textId="77777777" w:rsidR="007B74FB" w:rsidRPr="00FB2A42" w:rsidRDefault="007B74FB" w:rsidP="00425F7D">
            <w:pPr>
              <w:rPr>
                <w:b/>
              </w:rPr>
            </w:pPr>
          </w:p>
          <w:p w14:paraId="479791A3" w14:textId="77777777" w:rsidR="007B74FB" w:rsidRPr="00FB2A42" w:rsidRDefault="007B74FB" w:rsidP="00425F7D">
            <w:pPr>
              <w:rPr>
                <w:b/>
              </w:rPr>
            </w:pPr>
            <w:r w:rsidRPr="00FB2A42">
              <w:rPr>
                <w:b/>
              </w:rPr>
              <w:tab/>
              <w:t>v.</w:t>
            </w:r>
          </w:p>
          <w:p w14:paraId="1CBAEAFD" w14:textId="77777777" w:rsidR="007B74FB" w:rsidRPr="00FB2A42" w:rsidRDefault="007B74FB" w:rsidP="00425F7D">
            <w:pPr>
              <w:rPr>
                <w:b/>
              </w:rPr>
            </w:pPr>
          </w:p>
          <w:p w14:paraId="49D5BE68" w14:textId="1E3ECCA7" w:rsidR="008A1A3C" w:rsidRPr="008A1A3C" w:rsidRDefault="008A1A3C" w:rsidP="00425F7D">
            <w:pPr>
              <w:rPr>
                <w:b/>
                <w:lang w:val="es-US"/>
              </w:rPr>
            </w:pPr>
            <w:r w:rsidRPr="008A1A3C">
              <w:rPr>
                <w:b/>
                <w:lang w:val="es-US"/>
              </w:rPr>
              <w:t xml:space="preserve">AVISTA </w:t>
            </w:r>
            <w:r w:rsidR="00B93568">
              <w:rPr>
                <w:b/>
                <w:lang w:val="es-US"/>
              </w:rPr>
              <w:t>CORPORATION</w:t>
            </w:r>
            <w:r w:rsidRPr="008A1A3C">
              <w:rPr>
                <w:b/>
                <w:lang w:val="es-US"/>
              </w:rPr>
              <w:t xml:space="preserve"> </w:t>
            </w:r>
            <w:r w:rsidR="00064FA9">
              <w:rPr>
                <w:b/>
                <w:lang w:val="es-US"/>
              </w:rPr>
              <w:t>dba AVISTA UTILITIES</w:t>
            </w:r>
            <w:r w:rsidRPr="008A1A3C">
              <w:rPr>
                <w:b/>
                <w:lang w:val="es-US"/>
              </w:rPr>
              <w:t xml:space="preserve"> </w:t>
            </w:r>
          </w:p>
          <w:p w14:paraId="27F67519" w14:textId="77777777" w:rsidR="008A1A3C" w:rsidRPr="008A1A3C" w:rsidRDefault="008A1A3C" w:rsidP="00425F7D">
            <w:pPr>
              <w:rPr>
                <w:b/>
                <w:lang w:val="es-US"/>
              </w:rPr>
            </w:pPr>
          </w:p>
          <w:p w14:paraId="34F70757" w14:textId="77777777" w:rsidR="007B74FB" w:rsidRPr="00FB2A42" w:rsidRDefault="008A1A3C" w:rsidP="00425F7D">
            <w:pPr>
              <w:rPr>
                <w:b/>
              </w:rPr>
            </w:pPr>
            <w:r w:rsidRPr="008A1A3C">
              <w:rPr>
                <w:b/>
                <w:lang w:val="es-US"/>
              </w:rPr>
              <w:tab/>
            </w:r>
            <w:r w:rsidRPr="008A1A3C">
              <w:rPr>
                <w:b/>
                <w:lang w:val="es-US"/>
              </w:rPr>
              <w:tab/>
            </w:r>
            <w:r w:rsidRPr="008A1A3C">
              <w:rPr>
                <w:b/>
              </w:rPr>
              <w:t>Respondent.</w:t>
            </w:r>
          </w:p>
        </w:tc>
        <w:tc>
          <w:tcPr>
            <w:tcW w:w="4590" w:type="dxa"/>
            <w:tcBorders>
              <w:top w:val="single" w:sz="6" w:space="0" w:color="FFFFFF"/>
              <w:left w:val="single" w:sz="6" w:space="0" w:color="000000"/>
              <w:bottom w:val="single" w:sz="6" w:space="0" w:color="FFFFFF"/>
              <w:right w:val="single" w:sz="6" w:space="0" w:color="FFFFFF"/>
            </w:tcBorders>
          </w:tcPr>
          <w:p w14:paraId="65B31A93" w14:textId="706DA574" w:rsidR="00242904" w:rsidRDefault="008A1A3C" w:rsidP="00425F7D">
            <w:pPr>
              <w:pStyle w:val="Header"/>
              <w:ind w:left="416"/>
              <w:rPr>
                <w:b/>
                <w:sz w:val="24"/>
                <w:lang w:val="en-US"/>
              </w:rPr>
            </w:pPr>
            <w:r w:rsidRPr="00242904">
              <w:rPr>
                <w:b/>
                <w:sz w:val="24"/>
              </w:rPr>
              <w:t>DOCKETS UE-1</w:t>
            </w:r>
            <w:r w:rsidR="00FF3724">
              <w:rPr>
                <w:b/>
                <w:sz w:val="24"/>
                <w:lang w:val="en-US"/>
              </w:rPr>
              <w:t>50204</w:t>
            </w:r>
            <w:r w:rsidR="00242904">
              <w:rPr>
                <w:b/>
                <w:sz w:val="24"/>
                <w:lang w:val="en-US"/>
              </w:rPr>
              <w:t xml:space="preserve"> and </w:t>
            </w:r>
          </w:p>
          <w:p w14:paraId="03E1647C" w14:textId="2F23636F" w:rsidR="008A1A3C" w:rsidRPr="00242904" w:rsidRDefault="008A1A3C" w:rsidP="00425F7D">
            <w:pPr>
              <w:pStyle w:val="Header"/>
              <w:ind w:left="416"/>
              <w:rPr>
                <w:b/>
                <w:sz w:val="24"/>
              </w:rPr>
            </w:pPr>
            <w:r w:rsidRPr="00242904">
              <w:rPr>
                <w:b/>
                <w:sz w:val="24"/>
              </w:rPr>
              <w:t>UG-</w:t>
            </w:r>
            <w:r w:rsidRPr="00242904">
              <w:rPr>
                <w:b/>
                <w:sz w:val="24"/>
                <w:lang w:val="en-US"/>
              </w:rPr>
              <w:t>1</w:t>
            </w:r>
            <w:r w:rsidR="00FF3724">
              <w:rPr>
                <w:b/>
                <w:sz w:val="24"/>
                <w:lang w:val="en-US"/>
              </w:rPr>
              <w:t>50205</w:t>
            </w:r>
          </w:p>
          <w:p w14:paraId="78D88E48" w14:textId="65D27A8B" w:rsidR="008A1A3C" w:rsidRPr="00242904" w:rsidRDefault="008A1A3C" w:rsidP="00425F7D">
            <w:pPr>
              <w:pStyle w:val="Header"/>
              <w:ind w:left="1496" w:hanging="1080"/>
              <w:rPr>
                <w:b/>
                <w:i/>
                <w:sz w:val="24"/>
              </w:rPr>
            </w:pPr>
            <w:r w:rsidRPr="00242904">
              <w:rPr>
                <w:b/>
                <w:sz w:val="24"/>
              </w:rPr>
              <w:t>(</w:t>
            </w:r>
            <w:r w:rsidR="00FF3724">
              <w:rPr>
                <w:b/>
                <w:i/>
                <w:sz w:val="24"/>
                <w:lang w:val="en-US"/>
              </w:rPr>
              <w:t>Consolidated</w:t>
            </w:r>
            <w:r w:rsidRPr="00242904">
              <w:rPr>
                <w:b/>
                <w:i/>
                <w:sz w:val="24"/>
              </w:rPr>
              <w:t>)</w:t>
            </w:r>
          </w:p>
          <w:p w14:paraId="26D76AED" w14:textId="77777777" w:rsidR="007B74FB" w:rsidRPr="00242904" w:rsidRDefault="007B74FB" w:rsidP="00425F7D">
            <w:pPr>
              <w:rPr>
                <w:b/>
              </w:rPr>
            </w:pPr>
          </w:p>
          <w:p w14:paraId="312DC8DC" w14:textId="77777777" w:rsidR="007B74FB" w:rsidRPr="00FB2A42" w:rsidRDefault="007B74FB" w:rsidP="00425F7D">
            <w:pPr>
              <w:ind w:left="720"/>
              <w:rPr>
                <w:b/>
              </w:rPr>
            </w:pPr>
          </w:p>
        </w:tc>
      </w:tr>
    </w:tbl>
    <w:p w14:paraId="688629FC" w14:textId="230F6633" w:rsidR="007B74FB" w:rsidRDefault="007B74FB" w:rsidP="00425F7D">
      <w:pPr>
        <w:rPr>
          <w:b/>
          <w:bCs/>
        </w:rPr>
      </w:pPr>
    </w:p>
    <w:p w14:paraId="7E059CD5" w14:textId="77777777" w:rsidR="007B74FB" w:rsidRDefault="007B74FB" w:rsidP="00425F7D">
      <w:pPr>
        <w:rPr>
          <w:b/>
          <w:bCs/>
        </w:rPr>
      </w:pPr>
    </w:p>
    <w:p w14:paraId="385E93FC" w14:textId="77777777" w:rsidR="007B74FB" w:rsidRDefault="007B74FB" w:rsidP="00425F7D">
      <w:pPr>
        <w:tabs>
          <w:tab w:val="center" w:pos="4680"/>
        </w:tabs>
        <w:jc w:val="center"/>
        <w:rPr>
          <w:b/>
          <w:bCs/>
        </w:rPr>
      </w:pPr>
      <w:r>
        <w:rPr>
          <w:b/>
          <w:bCs/>
        </w:rPr>
        <w:t>TESTIMONY OF</w:t>
      </w:r>
    </w:p>
    <w:p w14:paraId="1F600716" w14:textId="77777777" w:rsidR="007B74FB" w:rsidRDefault="007B74FB" w:rsidP="00425F7D">
      <w:pPr>
        <w:jc w:val="center"/>
        <w:rPr>
          <w:b/>
          <w:bCs/>
        </w:rPr>
      </w:pPr>
    </w:p>
    <w:p w14:paraId="41FC96FB" w14:textId="77777777" w:rsidR="007B74FB" w:rsidRDefault="00965904" w:rsidP="00425F7D">
      <w:pPr>
        <w:tabs>
          <w:tab w:val="center" w:pos="4680"/>
        </w:tabs>
        <w:jc w:val="center"/>
        <w:rPr>
          <w:b/>
          <w:bCs/>
        </w:rPr>
      </w:pPr>
      <w:r>
        <w:rPr>
          <w:b/>
          <w:bCs/>
        </w:rPr>
        <w:t>David C. Gomez</w:t>
      </w:r>
    </w:p>
    <w:p w14:paraId="1238F9AC" w14:textId="77777777" w:rsidR="007B74FB" w:rsidRDefault="007B74FB" w:rsidP="00425F7D">
      <w:pPr>
        <w:tabs>
          <w:tab w:val="center" w:pos="4680"/>
        </w:tabs>
        <w:jc w:val="center"/>
        <w:rPr>
          <w:b/>
          <w:bCs/>
        </w:rPr>
      </w:pPr>
    </w:p>
    <w:p w14:paraId="2ECEF0D6" w14:textId="77777777" w:rsidR="007B74FB" w:rsidRDefault="007B74FB" w:rsidP="00425F7D">
      <w:pPr>
        <w:tabs>
          <w:tab w:val="center" w:pos="4680"/>
        </w:tabs>
        <w:jc w:val="center"/>
        <w:rPr>
          <w:b/>
          <w:bCs/>
        </w:rPr>
      </w:pPr>
      <w:r>
        <w:rPr>
          <w:b/>
          <w:bCs/>
        </w:rPr>
        <w:t>STAFF OF</w:t>
      </w:r>
    </w:p>
    <w:p w14:paraId="53FA01CE" w14:textId="77777777" w:rsidR="007B74FB" w:rsidRDefault="007B74FB" w:rsidP="00425F7D">
      <w:pPr>
        <w:tabs>
          <w:tab w:val="center" w:pos="4680"/>
        </w:tabs>
        <w:jc w:val="center"/>
        <w:rPr>
          <w:b/>
          <w:bCs/>
        </w:rPr>
      </w:pPr>
      <w:smartTag w:uri="urn:schemas-microsoft-com:office:smarttags" w:element="State">
        <w:smartTag w:uri="urn:schemas-microsoft-com:office:smarttags" w:element="place">
          <w:r>
            <w:rPr>
              <w:b/>
              <w:bCs/>
            </w:rPr>
            <w:t>WASHINGTON</w:t>
          </w:r>
        </w:smartTag>
      </w:smartTag>
      <w:r>
        <w:rPr>
          <w:b/>
          <w:bCs/>
        </w:rPr>
        <w:t xml:space="preserve"> UTILITIES AND</w:t>
      </w:r>
    </w:p>
    <w:p w14:paraId="3924214A" w14:textId="77777777" w:rsidR="007B74FB" w:rsidRDefault="007B74FB" w:rsidP="00425F7D">
      <w:pPr>
        <w:tabs>
          <w:tab w:val="center" w:pos="4680"/>
        </w:tabs>
        <w:jc w:val="center"/>
        <w:rPr>
          <w:b/>
          <w:bCs/>
        </w:rPr>
      </w:pPr>
      <w:r>
        <w:rPr>
          <w:b/>
          <w:bCs/>
        </w:rPr>
        <w:t>TRANSPORTATION COMMISSION</w:t>
      </w:r>
    </w:p>
    <w:p w14:paraId="3A1DEB7A" w14:textId="77777777" w:rsidR="007B74FB" w:rsidRDefault="007B74FB" w:rsidP="00425F7D">
      <w:pPr>
        <w:tabs>
          <w:tab w:val="center" w:pos="4680"/>
        </w:tabs>
        <w:jc w:val="center"/>
        <w:rPr>
          <w:b/>
          <w:bCs/>
        </w:rPr>
      </w:pPr>
    </w:p>
    <w:p w14:paraId="28DF67C3" w14:textId="77777777" w:rsidR="007B74FB" w:rsidRDefault="007B74FB" w:rsidP="00425F7D">
      <w:pPr>
        <w:jc w:val="center"/>
        <w:rPr>
          <w:b/>
          <w:bCs/>
        </w:rPr>
      </w:pPr>
    </w:p>
    <w:p w14:paraId="39C7EFCA" w14:textId="1A22033B" w:rsidR="007C1BF2" w:rsidRDefault="00CF7870" w:rsidP="00425F7D">
      <w:pPr>
        <w:jc w:val="center"/>
        <w:rPr>
          <w:b/>
          <w:bCs/>
          <w:i/>
        </w:rPr>
      </w:pPr>
      <w:r>
        <w:rPr>
          <w:b/>
          <w:bCs/>
          <w:i/>
        </w:rPr>
        <w:t>Planned Capital Additions 201</w:t>
      </w:r>
      <w:r w:rsidR="00FF3724">
        <w:rPr>
          <w:b/>
          <w:bCs/>
          <w:i/>
        </w:rPr>
        <w:t>4</w:t>
      </w:r>
      <w:r>
        <w:rPr>
          <w:b/>
          <w:bCs/>
          <w:i/>
        </w:rPr>
        <w:t>-201</w:t>
      </w:r>
      <w:r w:rsidR="00FF3724">
        <w:rPr>
          <w:b/>
          <w:bCs/>
          <w:i/>
        </w:rPr>
        <w:t>6</w:t>
      </w:r>
      <w:r>
        <w:rPr>
          <w:b/>
          <w:bCs/>
          <w:i/>
        </w:rPr>
        <w:t xml:space="preserve">, </w:t>
      </w:r>
      <w:r w:rsidR="00FF3724">
        <w:rPr>
          <w:b/>
          <w:bCs/>
          <w:i/>
        </w:rPr>
        <w:t>Project Compass</w:t>
      </w:r>
      <w:r w:rsidR="004F7658">
        <w:rPr>
          <w:b/>
          <w:bCs/>
          <w:i/>
        </w:rPr>
        <w:t xml:space="preserve"> and</w:t>
      </w:r>
    </w:p>
    <w:p w14:paraId="13050222" w14:textId="781B042C" w:rsidR="007B74FB" w:rsidRPr="00CD32CA" w:rsidRDefault="009C63EE" w:rsidP="00425F7D">
      <w:pPr>
        <w:jc w:val="center"/>
        <w:rPr>
          <w:b/>
          <w:bCs/>
          <w:i/>
        </w:rPr>
      </w:pPr>
      <w:r>
        <w:rPr>
          <w:b/>
          <w:bCs/>
          <w:i/>
        </w:rPr>
        <w:t>Prudence</w:t>
      </w:r>
    </w:p>
    <w:p w14:paraId="422F94AA" w14:textId="77777777" w:rsidR="007B74FB" w:rsidRDefault="007B74FB" w:rsidP="00425F7D">
      <w:pPr>
        <w:rPr>
          <w:b/>
          <w:bCs/>
        </w:rPr>
      </w:pPr>
    </w:p>
    <w:p w14:paraId="36670E15" w14:textId="77777777" w:rsidR="007B74FB" w:rsidRDefault="007B74FB" w:rsidP="00425F7D">
      <w:pPr>
        <w:rPr>
          <w:b/>
          <w:bCs/>
        </w:rPr>
      </w:pPr>
    </w:p>
    <w:p w14:paraId="0C6A80E4" w14:textId="288BB655" w:rsidR="007B74FB" w:rsidRDefault="007B74FB" w:rsidP="00425F7D">
      <w:pPr>
        <w:tabs>
          <w:tab w:val="center" w:pos="4680"/>
        </w:tabs>
        <w:jc w:val="center"/>
        <w:rPr>
          <w:b/>
          <w:bCs/>
        </w:rPr>
      </w:pPr>
      <w:r>
        <w:rPr>
          <w:b/>
          <w:bCs/>
        </w:rPr>
        <w:t>J</w:t>
      </w:r>
      <w:r w:rsidR="00965904">
        <w:rPr>
          <w:b/>
          <w:bCs/>
        </w:rPr>
        <w:t>u</w:t>
      </w:r>
      <w:r w:rsidR="00A60292">
        <w:rPr>
          <w:b/>
          <w:bCs/>
        </w:rPr>
        <w:t>ly</w:t>
      </w:r>
      <w:r>
        <w:rPr>
          <w:b/>
          <w:bCs/>
        </w:rPr>
        <w:t xml:space="preserve"> </w:t>
      </w:r>
      <w:r w:rsidR="00965904">
        <w:rPr>
          <w:b/>
          <w:bCs/>
        </w:rPr>
        <w:t>2</w:t>
      </w:r>
      <w:r w:rsidR="004F7658">
        <w:rPr>
          <w:b/>
          <w:bCs/>
        </w:rPr>
        <w:t>7</w:t>
      </w:r>
      <w:r>
        <w:rPr>
          <w:b/>
          <w:bCs/>
        </w:rPr>
        <w:t>, 201</w:t>
      </w:r>
      <w:r w:rsidR="004F7658">
        <w:rPr>
          <w:b/>
          <w:bCs/>
        </w:rPr>
        <w:t>5</w:t>
      </w:r>
    </w:p>
    <w:p w14:paraId="6CDF6FD6" w14:textId="77777777" w:rsidR="007B74FB" w:rsidRDefault="007B74FB" w:rsidP="00425F7D">
      <w:pPr>
        <w:tabs>
          <w:tab w:val="center" w:pos="4680"/>
        </w:tabs>
        <w:jc w:val="center"/>
        <w:rPr>
          <w:b/>
          <w:bCs/>
        </w:rPr>
      </w:pPr>
    </w:p>
    <w:p w14:paraId="52D249BF" w14:textId="77777777" w:rsidR="007B74FB" w:rsidRDefault="007B74FB" w:rsidP="00425F7D">
      <w:pPr>
        <w:tabs>
          <w:tab w:val="center" w:pos="4680"/>
        </w:tabs>
        <w:jc w:val="center"/>
        <w:rPr>
          <w:b/>
          <w:bCs/>
        </w:rPr>
      </w:pPr>
    </w:p>
    <w:p w14:paraId="6863F887" w14:textId="1A51870E" w:rsidR="007B74FB" w:rsidRPr="00476BD5" w:rsidRDefault="00476BD5" w:rsidP="00425F7D">
      <w:pPr>
        <w:tabs>
          <w:tab w:val="center" w:pos="4680"/>
        </w:tabs>
        <w:jc w:val="center"/>
        <w:rPr>
          <w:b/>
          <w:bCs/>
          <w:i/>
        </w:rPr>
      </w:pPr>
      <w:r w:rsidRPr="00476BD5">
        <w:rPr>
          <w:b/>
          <w:bCs/>
          <w:i/>
        </w:rPr>
        <w:t xml:space="preserve">Confidential Per Protective Order </w:t>
      </w:r>
    </w:p>
    <w:p w14:paraId="5E425292" w14:textId="77777777" w:rsidR="00333889" w:rsidRDefault="00333889" w:rsidP="00425F7D">
      <w:pPr>
        <w:tabs>
          <w:tab w:val="center" w:pos="4680"/>
        </w:tabs>
      </w:pPr>
    </w:p>
    <w:p w14:paraId="31668AB9" w14:textId="77777777" w:rsidR="00333889" w:rsidRDefault="00333889" w:rsidP="00425F7D">
      <w:pPr>
        <w:tabs>
          <w:tab w:val="center" w:pos="4680"/>
        </w:tabs>
      </w:pPr>
    </w:p>
    <w:p w14:paraId="45E4B353" w14:textId="77777777" w:rsidR="00333889" w:rsidRDefault="00333889" w:rsidP="00425F7D">
      <w:pPr>
        <w:tabs>
          <w:tab w:val="center" w:pos="4680"/>
        </w:tabs>
      </w:pPr>
    </w:p>
    <w:p w14:paraId="71C04201" w14:textId="77777777" w:rsidR="00333889" w:rsidRPr="00BF078B" w:rsidRDefault="00333889" w:rsidP="00425F7D">
      <w:pPr>
        <w:tabs>
          <w:tab w:val="center" w:pos="4680"/>
        </w:tabs>
        <w:jc w:val="center"/>
        <w:sectPr w:rsidR="00333889" w:rsidRPr="00BF078B" w:rsidSect="00D56B56">
          <w:footerReference w:type="default" r:id="rId11"/>
          <w:pgSz w:w="12240" w:h="15840" w:code="1"/>
          <w:pgMar w:top="1440" w:right="1440" w:bottom="1440" w:left="1872" w:header="720" w:footer="720" w:gutter="0"/>
          <w:cols w:space="720"/>
          <w:titlePg/>
          <w:docGrid w:linePitch="360"/>
        </w:sectPr>
      </w:pPr>
    </w:p>
    <w:p w14:paraId="77B10BCF" w14:textId="77777777" w:rsidR="00AB0489" w:rsidRDefault="00AB0489" w:rsidP="00425F7D">
      <w:pPr>
        <w:pStyle w:val="TOCHeading"/>
        <w:suppressLineNumbers/>
        <w:spacing w:before="0"/>
        <w:jc w:val="center"/>
        <w:rPr>
          <w:rFonts w:ascii="Times New Roman" w:hAnsi="Times New Roman"/>
          <w:color w:val="auto"/>
          <w:sz w:val="24"/>
          <w:szCs w:val="24"/>
        </w:rPr>
      </w:pPr>
      <w:bookmarkStart w:id="0" w:name="_Toc339441701"/>
      <w:bookmarkStart w:id="1" w:name="_Toc339615391"/>
      <w:bookmarkStart w:id="2" w:name="_Toc338918141"/>
      <w:r w:rsidRPr="0079133E">
        <w:rPr>
          <w:rFonts w:ascii="Times New Roman" w:hAnsi="Times New Roman"/>
          <w:color w:val="auto"/>
          <w:sz w:val="24"/>
          <w:szCs w:val="24"/>
        </w:rPr>
        <w:lastRenderedPageBreak/>
        <w:t>TABLE OF CONTENTS</w:t>
      </w:r>
    </w:p>
    <w:p w14:paraId="3EC27DC6" w14:textId="77777777" w:rsidR="004F7DC6" w:rsidRPr="004F7DC6" w:rsidRDefault="004F7DC6" w:rsidP="004F7DC6">
      <w:pPr>
        <w:rPr>
          <w:lang w:val="x-none" w:eastAsia="ja-JP"/>
        </w:rPr>
      </w:pPr>
    </w:p>
    <w:p w14:paraId="25964546" w14:textId="77777777" w:rsidR="000741BE" w:rsidRDefault="001F7C94">
      <w:pPr>
        <w:pStyle w:val="TOC1"/>
        <w:rPr>
          <w:rFonts w:asciiTheme="minorHAnsi" w:eastAsiaTheme="minorEastAsia" w:hAnsiTheme="minorHAnsi" w:cstheme="minorBidi"/>
          <w:noProof/>
          <w:sz w:val="22"/>
          <w:szCs w:val="22"/>
        </w:rPr>
      </w:pPr>
      <w:r>
        <w:fldChar w:fldCharType="begin"/>
      </w:r>
      <w:r w:rsidR="00AB0489">
        <w:instrText xml:space="preserve"> TOC \o "1-3" \h \z \u </w:instrText>
      </w:r>
      <w:r>
        <w:fldChar w:fldCharType="separate"/>
      </w:r>
      <w:hyperlink w:anchor="_Toc425756858" w:history="1">
        <w:r w:rsidR="000741BE" w:rsidRPr="00CE7359">
          <w:rPr>
            <w:rStyle w:val="Hyperlink"/>
            <w:noProof/>
          </w:rPr>
          <w:t>I.</w:t>
        </w:r>
        <w:r w:rsidR="000741BE">
          <w:rPr>
            <w:rFonts w:asciiTheme="minorHAnsi" w:eastAsiaTheme="minorEastAsia" w:hAnsiTheme="minorHAnsi" w:cstheme="minorBidi"/>
            <w:noProof/>
            <w:sz w:val="22"/>
            <w:szCs w:val="22"/>
          </w:rPr>
          <w:tab/>
        </w:r>
        <w:r w:rsidR="000741BE" w:rsidRPr="00CE7359">
          <w:rPr>
            <w:rStyle w:val="Hyperlink"/>
            <w:noProof/>
          </w:rPr>
          <w:t>INTRODUCTION</w:t>
        </w:r>
        <w:r w:rsidR="000741BE">
          <w:rPr>
            <w:noProof/>
            <w:webHidden/>
          </w:rPr>
          <w:tab/>
        </w:r>
        <w:r w:rsidR="000741BE">
          <w:rPr>
            <w:noProof/>
            <w:webHidden/>
          </w:rPr>
          <w:fldChar w:fldCharType="begin"/>
        </w:r>
        <w:r w:rsidR="000741BE">
          <w:rPr>
            <w:noProof/>
            <w:webHidden/>
          </w:rPr>
          <w:instrText xml:space="preserve"> PAGEREF _Toc425756858 \h </w:instrText>
        </w:r>
        <w:r w:rsidR="000741BE">
          <w:rPr>
            <w:noProof/>
            <w:webHidden/>
          </w:rPr>
        </w:r>
        <w:r w:rsidR="000741BE">
          <w:rPr>
            <w:noProof/>
            <w:webHidden/>
          </w:rPr>
          <w:fldChar w:fldCharType="separate"/>
        </w:r>
        <w:r w:rsidR="009534A4">
          <w:rPr>
            <w:noProof/>
            <w:webHidden/>
          </w:rPr>
          <w:t>4</w:t>
        </w:r>
        <w:r w:rsidR="000741BE">
          <w:rPr>
            <w:noProof/>
            <w:webHidden/>
          </w:rPr>
          <w:fldChar w:fldCharType="end"/>
        </w:r>
      </w:hyperlink>
    </w:p>
    <w:p w14:paraId="10EC5F81" w14:textId="77777777" w:rsidR="000741BE" w:rsidRDefault="00410470">
      <w:pPr>
        <w:pStyle w:val="TOC1"/>
        <w:rPr>
          <w:rFonts w:asciiTheme="minorHAnsi" w:eastAsiaTheme="minorEastAsia" w:hAnsiTheme="minorHAnsi" w:cstheme="minorBidi"/>
          <w:noProof/>
          <w:sz w:val="22"/>
          <w:szCs w:val="22"/>
        </w:rPr>
      </w:pPr>
      <w:hyperlink w:anchor="_Toc425756859" w:history="1">
        <w:r w:rsidR="000741BE" w:rsidRPr="00CE7359">
          <w:rPr>
            <w:rStyle w:val="Hyperlink"/>
            <w:noProof/>
          </w:rPr>
          <w:t>II.</w:t>
        </w:r>
        <w:r w:rsidR="000741BE">
          <w:rPr>
            <w:rFonts w:asciiTheme="minorHAnsi" w:eastAsiaTheme="minorEastAsia" w:hAnsiTheme="minorHAnsi" w:cstheme="minorBidi"/>
            <w:noProof/>
            <w:sz w:val="22"/>
            <w:szCs w:val="22"/>
          </w:rPr>
          <w:tab/>
        </w:r>
        <w:r w:rsidR="000741BE" w:rsidRPr="00CE7359">
          <w:rPr>
            <w:rStyle w:val="Hyperlink"/>
            <w:noProof/>
          </w:rPr>
          <w:t>SCOPE AND SUMMARY OF TESTIMONY</w:t>
        </w:r>
        <w:r w:rsidR="000741BE">
          <w:rPr>
            <w:noProof/>
            <w:webHidden/>
          </w:rPr>
          <w:tab/>
        </w:r>
        <w:r w:rsidR="000741BE">
          <w:rPr>
            <w:noProof/>
            <w:webHidden/>
          </w:rPr>
          <w:fldChar w:fldCharType="begin"/>
        </w:r>
        <w:r w:rsidR="000741BE">
          <w:rPr>
            <w:noProof/>
            <w:webHidden/>
          </w:rPr>
          <w:instrText xml:space="preserve"> PAGEREF _Toc425756859 \h </w:instrText>
        </w:r>
        <w:r w:rsidR="000741BE">
          <w:rPr>
            <w:noProof/>
            <w:webHidden/>
          </w:rPr>
        </w:r>
        <w:r w:rsidR="000741BE">
          <w:rPr>
            <w:noProof/>
            <w:webHidden/>
          </w:rPr>
          <w:fldChar w:fldCharType="separate"/>
        </w:r>
        <w:r w:rsidR="009534A4">
          <w:rPr>
            <w:noProof/>
            <w:webHidden/>
          </w:rPr>
          <w:t>5</w:t>
        </w:r>
        <w:r w:rsidR="000741BE">
          <w:rPr>
            <w:noProof/>
            <w:webHidden/>
          </w:rPr>
          <w:fldChar w:fldCharType="end"/>
        </w:r>
      </w:hyperlink>
    </w:p>
    <w:p w14:paraId="57189FDE" w14:textId="77777777" w:rsidR="000741BE" w:rsidRDefault="00410470">
      <w:pPr>
        <w:pStyle w:val="TOC1"/>
        <w:rPr>
          <w:rFonts w:asciiTheme="minorHAnsi" w:eastAsiaTheme="minorEastAsia" w:hAnsiTheme="minorHAnsi" w:cstheme="minorBidi"/>
          <w:noProof/>
          <w:sz w:val="22"/>
          <w:szCs w:val="22"/>
        </w:rPr>
      </w:pPr>
      <w:hyperlink w:anchor="_Toc425756860" w:history="1">
        <w:r w:rsidR="000741BE" w:rsidRPr="00CE7359">
          <w:rPr>
            <w:rStyle w:val="Hyperlink"/>
            <w:noProof/>
          </w:rPr>
          <w:t>III.</w:t>
        </w:r>
        <w:r w:rsidR="000741BE">
          <w:rPr>
            <w:rFonts w:asciiTheme="minorHAnsi" w:eastAsiaTheme="minorEastAsia" w:hAnsiTheme="minorHAnsi" w:cstheme="minorBidi"/>
            <w:noProof/>
            <w:sz w:val="22"/>
            <w:szCs w:val="22"/>
          </w:rPr>
          <w:tab/>
        </w:r>
        <w:r w:rsidR="000741BE" w:rsidRPr="00CE7359">
          <w:rPr>
            <w:rStyle w:val="Hyperlink"/>
            <w:noProof/>
          </w:rPr>
          <w:t>STAFF’S ANALYSIS OF AVISTA’S 2015 PRO FORMA</w:t>
        </w:r>
        <w:r w:rsidR="000741BE">
          <w:rPr>
            <w:noProof/>
            <w:webHidden/>
          </w:rPr>
          <w:tab/>
        </w:r>
        <w:r w:rsidR="000741BE">
          <w:rPr>
            <w:noProof/>
            <w:webHidden/>
          </w:rPr>
          <w:fldChar w:fldCharType="begin"/>
        </w:r>
        <w:r w:rsidR="000741BE">
          <w:rPr>
            <w:noProof/>
            <w:webHidden/>
          </w:rPr>
          <w:instrText xml:space="preserve"> PAGEREF _Toc425756860 \h </w:instrText>
        </w:r>
        <w:r w:rsidR="000741BE">
          <w:rPr>
            <w:noProof/>
            <w:webHidden/>
          </w:rPr>
        </w:r>
        <w:r w:rsidR="000741BE">
          <w:rPr>
            <w:noProof/>
            <w:webHidden/>
          </w:rPr>
          <w:fldChar w:fldCharType="separate"/>
        </w:r>
        <w:r w:rsidR="009534A4">
          <w:rPr>
            <w:noProof/>
            <w:webHidden/>
          </w:rPr>
          <w:t>12</w:t>
        </w:r>
        <w:r w:rsidR="000741BE">
          <w:rPr>
            <w:noProof/>
            <w:webHidden/>
          </w:rPr>
          <w:fldChar w:fldCharType="end"/>
        </w:r>
      </w:hyperlink>
    </w:p>
    <w:p w14:paraId="66B9F6D7" w14:textId="77777777" w:rsidR="000741BE" w:rsidRDefault="00410470">
      <w:pPr>
        <w:pStyle w:val="TOC1"/>
        <w:rPr>
          <w:rFonts w:asciiTheme="minorHAnsi" w:eastAsiaTheme="minorEastAsia" w:hAnsiTheme="minorHAnsi" w:cstheme="minorBidi"/>
          <w:noProof/>
          <w:sz w:val="22"/>
          <w:szCs w:val="22"/>
        </w:rPr>
      </w:pPr>
      <w:hyperlink w:anchor="_Toc425756861" w:history="1">
        <w:r w:rsidR="000741BE" w:rsidRPr="00CE7359">
          <w:rPr>
            <w:rStyle w:val="Hyperlink"/>
            <w:noProof/>
          </w:rPr>
          <w:t>ESTIMATES OF CAPITAL ADDITIONS</w:t>
        </w:r>
        <w:r w:rsidR="000741BE">
          <w:rPr>
            <w:noProof/>
            <w:webHidden/>
          </w:rPr>
          <w:tab/>
        </w:r>
        <w:r w:rsidR="000741BE">
          <w:rPr>
            <w:noProof/>
            <w:webHidden/>
          </w:rPr>
          <w:fldChar w:fldCharType="begin"/>
        </w:r>
        <w:r w:rsidR="000741BE">
          <w:rPr>
            <w:noProof/>
            <w:webHidden/>
          </w:rPr>
          <w:instrText xml:space="preserve"> PAGEREF _Toc425756861 \h </w:instrText>
        </w:r>
        <w:r w:rsidR="000741BE">
          <w:rPr>
            <w:noProof/>
            <w:webHidden/>
          </w:rPr>
        </w:r>
        <w:r w:rsidR="000741BE">
          <w:rPr>
            <w:noProof/>
            <w:webHidden/>
          </w:rPr>
          <w:fldChar w:fldCharType="separate"/>
        </w:r>
        <w:r w:rsidR="009534A4">
          <w:rPr>
            <w:noProof/>
            <w:webHidden/>
          </w:rPr>
          <w:t>12</w:t>
        </w:r>
        <w:r w:rsidR="000741BE">
          <w:rPr>
            <w:noProof/>
            <w:webHidden/>
          </w:rPr>
          <w:fldChar w:fldCharType="end"/>
        </w:r>
      </w:hyperlink>
    </w:p>
    <w:p w14:paraId="073F853A" w14:textId="77777777" w:rsidR="000741BE" w:rsidRDefault="00410470">
      <w:pPr>
        <w:pStyle w:val="TOC2"/>
        <w:rPr>
          <w:rFonts w:asciiTheme="minorHAnsi" w:eastAsiaTheme="minorEastAsia" w:hAnsiTheme="minorHAnsi" w:cstheme="minorBidi"/>
          <w:sz w:val="22"/>
          <w:szCs w:val="22"/>
        </w:rPr>
      </w:pPr>
      <w:hyperlink w:anchor="_Toc425756862" w:history="1">
        <w:r w:rsidR="000741BE" w:rsidRPr="00CE7359">
          <w:rPr>
            <w:rStyle w:val="Hyperlink"/>
          </w:rPr>
          <w:t>Avista’s 2015 Major Capital Additions</w:t>
        </w:r>
        <w:r w:rsidR="000741BE">
          <w:rPr>
            <w:webHidden/>
          </w:rPr>
          <w:tab/>
        </w:r>
        <w:r w:rsidR="000741BE">
          <w:rPr>
            <w:webHidden/>
          </w:rPr>
          <w:fldChar w:fldCharType="begin"/>
        </w:r>
        <w:r w:rsidR="000741BE">
          <w:rPr>
            <w:webHidden/>
          </w:rPr>
          <w:instrText xml:space="preserve"> PAGEREF _Toc425756862 \h </w:instrText>
        </w:r>
        <w:r w:rsidR="000741BE">
          <w:rPr>
            <w:webHidden/>
          </w:rPr>
        </w:r>
        <w:r w:rsidR="000741BE">
          <w:rPr>
            <w:webHidden/>
          </w:rPr>
          <w:fldChar w:fldCharType="separate"/>
        </w:r>
        <w:r w:rsidR="009534A4">
          <w:rPr>
            <w:webHidden/>
          </w:rPr>
          <w:t>14</w:t>
        </w:r>
        <w:r w:rsidR="000741BE">
          <w:rPr>
            <w:webHidden/>
          </w:rPr>
          <w:fldChar w:fldCharType="end"/>
        </w:r>
      </w:hyperlink>
    </w:p>
    <w:p w14:paraId="2AE6C3DC" w14:textId="77777777" w:rsidR="000741BE" w:rsidRDefault="00410470">
      <w:pPr>
        <w:pStyle w:val="TOC3"/>
        <w:rPr>
          <w:rFonts w:asciiTheme="minorHAnsi" w:eastAsiaTheme="minorEastAsia" w:hAnsiTheme="minorHAnsi" w:cstheme="minorBidi"/>
          <w:noProof/>
          <w:sz w:val="22"/>
          <w:szCs w:val="22"/>
        </w:rPr>
      </w:pPr>
      <w:hyperlink w:anchor="_Toc425756863" w:history="1">
        <w:r w:rsidR="000741BE" w:rsidRPr="00CE7359">
          <w:rPr>
            <w:rStyle w:val="Hyperlink"/>
            <w:rFonts w:ascii="Times New Roman Bold" w:hAnsi="Times New Roman Bold"/>
            <w:noProof/>
          </w:rPr>
          <w:t>1.</w:t>
        </w:r>
        <w:r w:rsidR="000741BE">
          <w:rPr>
            <w:rFonts w:asciiTheme="minorHAnsi" w:eastAsiaTheme="minorEastAsia" w:hAnsiTheme="minorHAnsi" w:cstheme="minorBidi"/>
            <w:noProof/>
            <w:sz w:val="22"/>
            <w:szCs w:val="22"/>
          </w:rPr>
          <w:tab/>
        </w:r>
        <w:r w:rsidR="000741BE" w:rsidRPr="00CE7359">
          <w:rPr>
            <w:rStyle w:val="Hyperlink"/>
            <w:noProof/>
          </w:rPr>
          <w:t>Nine Mile Dam Rehab</w:t>
        </w:r>
        <w:r w:rsidR="000741BE">
          <w:rPr>
            <w:noProof/>
            <w:webHidden/>
          </w:rPr>
          <w:tab/>
        </w:r>
        <w:r w:rsidR="000741BE">
          <w:rPr>
            <w:noProof/>
            <w:webHidden/>
          </w:rPr>
          <w:fldChar w:fldCharType="begin"/>
        </w:r>
        <w:r w:rsidR="000741BE">
          <w:rPr>
            <w:noProof/>
            <w:webHidden/>
          </w:rPr>
          <w:instrText xml:space="preserve"> PAGEREF _Toc425756863 \h </w:instrText>
        </w:r>
        <w:r w:rsidR="000741BE">
          <w:rPr>
            <w:noProof/>
            <w:webHidden/>
          </w:rPr>
        </w:r>
        <w:r w:rsidR="000741BE">
          <w:rPr>
            <w:noProof/>
            <w:webHidden/>
          </w:rPr>
          <w:fldChar w:fldCharType="separate"/>
        </w:r>
        <w:r w:rsidR="009534A4">
          <w:rPr>
            <w:noProof/>
            <w:webHidden/>
          </w:rPr>
          <w:t>15</w:t>
        </w:r>
        <w:r w:rsidR="000741BE">
          <w:rPr>
            <w:noProof/>
            <w:webHidden/>
          </w:rPr>
          <w:fldChar w:fldCharType="end"/>
        </w:r>
      </w:hyperlink>
    </w:p>
    <w:p w14:paraId="71F494D4" w14:textId="77777777" w:rsidR="000741BE" w:rsidRDefault="00410470">
      <w:pPr>
        <w:pStyle w:val="TOC3"/>
        <w:rPr>
          <w:rFonts w:asciiTheme="minorHAnsi" w:eastAsiaTheme="minorEastAsia" w:hAnsiTheme="minorHAnsi" w:cstheme="minorBidi"/>
          <w:noProof/>
          <w:sz w:val="22"/>
          <w:szCs w:val="22"/>
        </w:rPr>
      </w:pPr>
      <w:hyperlink w:anchor="_Toc425756864" w:history="1">
        <w:r w:rsidR="000741BE" w:rsidRPr="00CE7359">
          <w:rPr>
            <w:rStyle w:val="Hyperlink"/>
            <w:rFonts w:ascii="Times New Roman Bold" w:hAnsi="Times New Roman Bold"/>
            <w:noProof/>
          </w:rPr>
          <w:t>2.</w:t>
        </w:r>
        <w:r w:rsidR="000741BE">
          <w:rPr>
            <w:rFonts w:asciiTheme="minorHAnsi" w:eastAsiaTheme="minorEastAsia" w:hAnsiTheme="minorHAnsi" w:cstheme="minorBidi"/>
            <w:noProof/>
            <w:sz w:val="22"/>
            <w:szCs w:val="22"/>
          </w:rPr>
          <w:tab/>
        </w:r>
        <w:r w:rsidR="000741BE" w:rsidRPr="00CE7359">
          <w:rPr>
            <w:rStyle w:val="Hyperlink"/>
            <w:noProof/>
          </w:rPr>
          <w:t>Little Falls Plant Upgrade</w:t>
        </w:r>
        <w:r w:rsidR="000741BE">
          <w:rPr>
            <w:noProof/>
            <w:webHidden/>
          </w:rPr>
          <w:tab/>
        </w:r>
        <w:r w:rsidR="000741BE">
          <w:rPr>
            <w:noProof/>
            <w:webHidden/>
          </w:rPr>
          <w:fldChar w:fldCharType="begin"/>
        </w:r>
        <w:r w:rsidR="000741BE">
          <w:rPr>
            <w:noProof/>
            <w:webHidden/>
          </w:rPr>
          <w:instrText xml:space="preserve"> PAGEREF _Toc425756864 \h </w:instrText>
        </w:r>
        <w:r w:rsidR="000741BE">
          <w:rPr>
            <w:noProof/>
            <w:webHidden/>
          </w:rPr>
        </w:r>
        <w:r w:rsidR="000741BE">
          <w:rPr>
            <w:noProof/>
            <w:webHidden/>
          </w:rPr>
          <w:fldChar w:fldCharType="separate"/>
        </w:r>
        <w:r w:rsidR="009534A4">
          <w:rPr>
            <w:noProof/>
            <w:webHidden/>
          </w:rPr>
          <w:t>17</w:t>
        </w:r>
        <w:r w:rsidR="000741BE">
          <w:rPr>
            <w:noProof/>
            <w:webHidden/>
          </w:rPr>
          <w:fldChar w:fldCharType="end"/>
        </w:r>
      </w:hyperlink>
    </w:p>
    <w:p w14:paraId="4EFE74E9" w14:textId="77777777" w:rsidR="000741BE" w:rsidRDefault="00410470">
      <w:pPr>
        <w:pStyle w:val="TOC3"/>
        <w:rPr>
          <w:rFonts w:asciiTheme="minorHAnsi" w:eastAsiaTheme="minorEastAsia" w:hAnsiTheme="minorHAnsi" w:cstheme="minorBidi"/>
          <w:noProof/>
          <w:sz w:val="22"/>
          <w:szCs w:val="22"/>
        </w:rPr>
      </w:pPr>
      <w:hyperlink w:anchor="_Toc425756865" w:history="1">
        <w:r w:rsidR="000741BE" w:rsidRPr="00CE7359">
          <w:rPr>
            <w:rStyle w:val="Hyperlink"/>
            <w:rFonts w:ascii="Times New Roman Bold" w:hAnsi="Times New Roman Bold"/>
            <w:noProof/>
          </w:rPr>
          <w:t>3.</w:t>
        </w:r>
        <w:r w:rsidR="000741BE">
          <w:rPr>
            <w:rFonts w:asciiTheme="minorHAnsi" w:eastAsiaTheme="minorEastAsia" w:hAnsiTheme="minorHAnsi" w:cstheme="minorBidi"/>
            <w:noProof/>
            <w:sz w:val="22"/>
            <w:szCs w:val="22"/>
          </w:rPr>
          <w:tab/>
        </w:r>
        <w:r w:rsidR="000741BE" w:rsidRPr="00CE7359">
          <w:rPr>
            <w:rStyle w:val="Hyperlink"/>
            <w:noProof/>
          </w:rPr>
          <w:t>Cabinet Gorge Unit 1 Refurbishment</w:t>
        </w:r>
        <w:r w:rsidR="000741BE">
          <w:rPr>
            <w:noProof/>
            <w:webHidden/>
          </w:rPr>
          <w:tab/>
        </w:r>
        <w:r w:rsidR="000741BE">
          <w:rPr>
            <w:noProof/>
            <w:webHidden/>
          </w:rPr>
          <w:fldChar w:fldCharType="begin"/>
        </w:r>
        <w:r w:rsidR="000741BE">
          <w:rPr>
            <w:noProof/>
            <w:webHidden/>
          </w:rPr>
          <w:instrText xml:space="preserve"> PAGEREF _Toc425756865 \h </w:instrText>
        </w:r>
        <w:r w:rsidR="000741BE">
          <w:rPr>
            <w:noProof/>
            <w:webHidden/>
          </w:rPr>
        </w:r>
        <w:r w:rsidR="000741BE">
          <w:rPr>
            <w:noProof/>
            <w:webHidden/>
          </w:rPr>
          <w:fldChar w:fldCharType="separate"/>
        </w:r>
        <w:r w:rsidR="009534A4">
          <w:rPr>
            <w:noProof/>
            <w:webHidden/>
          </w:rPr>
          <w:t>20</w:t>
        </w:r>
        <w:r w:rsidR="000741BE">
          <w:rPr>
            <w:noProof/>
            <w:webHidden/>
          </w:rPr>
          <w:fldChar w:fldCharType="end"/>
        </w:r>
      </w:hyperlink>
    </w:p>
    <w:p w14:paraId="12D7FE11" w14:textId="77777777" w:rsidR="000741BE" w:rsidRDefault="00410470">
      <w:pPr>
        <w:pStyle w:val="TOC3"/>
        <w:rPr>
          <w:rFonts w:asciiTheme="minorHAnsi" w:eastAsiaTheme="minorEastAsia" w:hAnsiTheme="minorHAnsi" w:cstheme="minorBidi"/>
          <w:noProof/>
          <w:sz w:val="22"/>
          <w:szCs w:val="22"/>
        </w:rPr>
      </w:pPr>
      <w:hyperlink w:anchor="_Toc425756866" w:history="1">
        <w:r w:rsidR="000741BE" w:rsidRPr="00CE7359">
          <w:rPr>
            <w:rStyle w:val="Hyperlink"/>
            <w:rFonts w:ascii="Times New Roman Bold" w:hAnsi="Times New Roman Bold"/>
            <w:noProof/>
          </w:rPr>
          <w:t>4.</w:t>
        </w:r>
        <w:r w:rsidR="000741BE">
          <w:rPr>
            <w:rFonts w:asciiTheme="minorHAnsi" w:eastAsiaTheme="minorEastAsia" w:hAnsiTheme="minorHAnsi" w:cstheme="minorBidi"/>
            <w:noProof/>
            <w:sz w:val="22"/>
            <w:szCs w:val="22"/>
          </w:rPr>
          <w:tab/>
        </w:r>
        <w:r w:rsidR="000741BE" w:rsidRPr="00CE7359">
          <w:rPr>
            <w:rStyle w:val="Hyperlink"/>
            <w:noProof/>
          </w:rPr>
          <w:t>Post Falls South Channel Replacement</w:t>
        </w:r>
        <w:r w:rsidR="000741BE">
          <w:rPr>
            <w:noProof/>
            <w:webHidden/>
          </w:rPr>
          <w:tab/>
        </w:r>
        <w:r w:rsidR="000741BE">
          <w:rPr>
            <w:noProof/>
            <w:webHidden/>
          </w:rPr>
          <w:fldChar w:fldCharType="begin"/>
        </w:r>
        <w:r w:rsidR="000741BE">
          <w:rPr>
            <w:noProof/>
            <w:webHidden/>
          </w:rPr>
          <w:instrText xml:space="preserve"> PAGEREF _Toc425756866 \h </w:instrText>
        </w:r>
        <w:r w:rsidR="000741BE">
          <w:rPr>
            <w:noProof/>
            <w:webHidden/>
          </w:rPr>
        </w:r>
        <w:r w:rsidR="000741BE">
          <w:rPr>
            <w:noProof/>
            <w:webHidden/>
          </w:rPr>
          <w:fldChar w:fldCharType="separate"/>
        </w:r>
        <w:r w:rsidR="009534A4">
          <w:rPr>
            <w:noProof/>
            <w:webHidden/>
          </w:rPr>
          <w:t>22</w:t>
        </w:r>
        <w:r w:rsidR="000741BE">
          <w:rPr>
            <w:noProof/>
            <w:webHidden/>
          </w:rPr>
          <w:fldChar w:fldCharType="end"/>
        </w:r>
      </w:hyperlink>
    </w:p>
    <w:p w14:paraId="033A897A" w14:textId="77777777" w:rsidR="000741BE" w:rsidRDefault="00410470">
      <w:pPr>
        <w:pStyle w:val="TOC3"/>
        <w:rPr>
          <w:rFonts w:asciiTheme="minorHAnsi" w:eastAsiaTheme="minorEastAsia" w:hAnsiTheme="minorHAnsi" w:cstheme="minorBidi"/>
          <w:noProof/>
          <w:sz w:val="22"/>
          <w:szCs w:val="22"/>
        </w:rPr>
      </w:pPr>
      <w:hyperlink w:anchor="_Toc425756867" w:history="1">
        <w:r w:rsidR="000741BE" w:rsidRPr="00CE7359">
          <w:rPr>
            <w:rStyle w:val="Hyperlink"/>
            <w:rFonts w:ascii="Times New Roman Bold" w:hAnsi="Times New Roman Bold"/>
            <w:noProof/>
          </w:rPr>
          <w:t>5.</w:t>
        </w:r>
        <w:r w:rsidR="000741BE">
          <w:rPr>
            <w:rFonts w:asciiTheme="minorHAnsi" w:eastAsiaTheme="minorEastAsia" w:hAnsiTheme="minorHAnsi" w:cstheme="minorBidi"/>
            <w:noProof/>
            <w:sz w:val="22"/>
            <w:szCs w:val="22"/>
          </w:rPr>
          <w:tab/>
        </w:r>
        <w:r w:rsidR="000741BE" w:rsidRPr="00CE7359">
          <w:rPr>
            <w:rStyle w:val="Hyperlink"/>
            <w:noProof/>
          </w:rPr>
          <w:t>Clark Fork Settlement Agreement</w:t>
        </w:r>
        <w:r w:rsidR="000741BE">
          <w:rPr>
            <w:noProof/>
            <w:webHidden/>
          </w:rPr>
          <w:tab/>
        </w:r>
        <w:r w:rsidR="000741BE">
          <w:rPr>
            <w:noProof/>
            <w:webHidden/>
          </w:rPr>
          <w:fldChar w:fldCharType="begin"/>
        </w:r>
        <w:r w:rsidR="000741BE">
          <w:rPr>
            <w:noProof/>
            <w:webHidden/>
          </w:rPr>
          <w:instrText xml:space="preserve"> PAGEREF _Toc425756867 \h </w:instrText>
        </w:r>
        <w:r w:rsidR="000741BE">
          <w:rPr>
            <w:noProof/>
            <w:webHidden/>
          </w:rPr>
        </w:r>
        <w:r w:rsidR="000741BE">
          <w:rPr>
            <w:noProof/>
            <w:webHidden/>
          </w:rPr>
          <w:fldChar w:fldCharType="separate"/>
        </w:r>
        <w:r w:rsidR="009534A4">
          <w:rPr>
            <w:noProof/>
            <w:webHidden/>
          </w:rPr>
          <w:t>24</w:t>
        </w:r>
        <w:r w:rsidR="000741BE">
          <w:rPr>
            <w:noProof/>
            <w:webHidden/>
          </w:rPr>
          <w:fldChar w:fldCharType="end"/>
        </w:r>
      </w:hyperlink>
    </w:p>
    <w:p w14:paraId="77B8C2BE" w14:textId="77777777" w:rsidR="000741BE" w:rsidRDefault="00410470">
      <w:pPr>
        <w:pStyle w:val="TOC3"/>
        <w:rPr>
          <w:rFonts w:asciiTheme="minorHAnsi" w:eastAsiaTheme="minorEastAsia" w:hAnsiTheme="minorHAnsi" w:cstheme="minorBidi"/>
          <w:noProof/>
          <w:sz w:val="22"/>
          <w:szCs w:val="22"/>
        </w:rPr>
      </w:pPr>
      <w:hyperlink w:anchor="_Toc425756868" w:history="1">
        <w:r w:rsidR="000741BE" w:rsidRPr="00CE7359">
          <w:rPr>
            <w:rStyle w:val="Hyperlink"/>
            <w:rFonts w:ascii="Times New Roman Bold" w:hAnsi="Times New Roman Bold"/>
            <w:noProof/>
          </w:rPr>
          <w:t>6.</w:t>
        </w:r>
        <w:r w:rsidR="000741BE">
          <w:rPr>
            <w:rFonts w:asciiTheme="minorHAnsi" w:eastAsiaTheme="minorEastAsia" w:hAnsiTheme="minorHAnsi" w:cstheme="minorBidi"/>
            <w:noProof/>
            <w:sz w:val="22"/>
            <w:szCs w:val="22"/>
          </w:rPr>
          <w:tab/>
        </w:r>
        <w:r w:rsidR="000741BE" w:rsidRPr="00CE7359">
          <w:rPr>
            <w:rStyle w:val="Hyperlink"/>
            <w:noProof/>
          </w:rPr>
          <w:t>Aldyl-A Pipe Replacement Program</w:t>
        </w:r>
        <w:r w:rsidR="000741BE">
          <w:rPr>
            <w:noProof/>
            <w:webHidden/>
          </w:rPr>
          <w:tab/>
        </w:r>
        <w:r w:rsidR="000741BE">
          <w:rPr>
            <w:noProof/>
            <w:webHidden/>
          </w:rPr>
          <w:fldChar w:fldCharType="begin"/>
        </w:r>
        <w:r w:rsidR="000741BE">
          <w:rPr>
            <w:noProof/>
            <w:webHidden/>
          </w:rPr>
          <w:instrText xml:space="preserve"> PAGEREF _Toc425756868 \h </w:instrText>
        </w:r>
        <w:r w:rsidR="000741BE">
          <w:rPr>
            <w:noProof/>
            <w:webHidden/>
          </w:rPr>
        </w:r>
        <w:r w:rsidR="000741BE">
          <w:rPr>
            <w:noProof/>
            <w:webHidden/>
          </w:rPr>
          <w:fldChar w:fldCharType="separate"/>
        </w:r>
        <w:r w:rsidR="009534A4">
          <w:rPr>
            <w:noProof/>
            <w:webHidden/>
          </w:rPr>
          <w:t>27</w:t>
        </w:r>
        <w:r w:rsidR="000741BE">
          <w:rPr>
            <w:noProof/>
            <w:webHidden/>
          </w:rPr>
          <w:fldChar w:fldCharType="end"/>
        </w:r>
      </w:hyperlink>
    </w:p>
    <w:p w14:paraId="0613E06D" w14:textId="77777777" w:rsidR="000741BE" w:rsidRDefault="00410470">
      <w:pPr>
        <w:pStyle w:val="TOC3"/>
        <w:rPr>
          <w:rFonts w:asciiTheme="minorHAnsi" w:eastAsiaTheme="minorEastAsia" w:hAnsiTheme="minorHAnsi" w:cstheme="minorBidi"/>
          <w:noProof/>
          <w:sz w:val="22"/>
          <w:szCs w:val="22"/>
        </w:rPr>
      </w:pPr>
      <w:hyperlink w:anchor="_Toc425756869" w:history="1">
        <w:r w:rsidR="000741BE" w:rsidRPr="00CE7359">
          <w:rPr>
            <w:rStyle w:val="Hyperlink"/>
            <w:rFonts w:ascii="Times New Roman Bold" w:hAnsi="Times New Roman Bold"/>
            <w:noProof/>
          </w:rPr>
          <w:t>7.</w:t>
        </w:r>
        <w:r w:rsidR="000741BE">
          <w:rPr>
            <w:rFonts w:asciiTheme="minorHAnsi" w:eastAsiaTheme="minorEastAsia" w:hAnsiTheme="minorHAnsi" w:cstheme="minorBidi"/>
            <w:noProof/>
            <w:sz w:val="22"/>
            <w:szCs w:val="22"/>
          </w:rPr>
          <w:tab/>
        </w:r>
        <w:r w:rsidR="000741BE" w:rsidRPr="00CE7359">
          <w:rPr>
            <w:rStyle w:val="Hyperlink"/>
            <w:noProof/>
          </w:rPr>
          <w:t>Gas Non-Revenue Program</w:t>
        </w:r>
        <w:r w:rsidR="000741BE">
          <w:rPr>
            <w:noProof/>
            <w:webHidden/>
          </w:rPr>
          <w:tab/>
        </w:r>
        <w:r w:rsidR="000741BE">
          <w:rPr>
            <w:noProof/>
            <w:webHidden/>
          </w:rPr>
          <w:fldChar w:fldCharType="begin"/>
        </w:r>
        <w:r w:rsidR="000741BE">
          <w:rPr>
            <w:noProof/>
            <w:webHidden/>
          </w:rPr>
          <w:instrText xml:space="preserve"> PAGEREF _Toc425756869 \h </w:instrText>
        </w:r>
        <w:r w:rsidR="000741BE">
          <w:rPr>
            <w:noProof/>
            <w:webHidden/>
          </w:rPr>
        </w:r>
        <w:r w:rsidR="000741BE">
          <w:rPr>
            <w:noProof/>
            <w:webHidden/>
          </w:rPr>
          <w:fldChar w:fldCharType="separate"/>
        </w:r>
        <w:r w:rsidR="009534A4">
          <w:rPr>
            <w:noProof/>
            <w:webHidden/>
          </w:rPr>
          <w:t>32</w:t>
        </w:r>
        <w:r w:rsidR="000741BE">
          <w:rPr>
            <w:noProof/>
            <w:webHidden/>
          </w:rPr>
          <w:fldChar w:fldCharType="end"/>
        </w:r>
      </w:hyperlink>
    </w:p>
    <w:p w14:paraId="43956148" w14:textId="77777777" w:rsidR="000741BE" w:rsidRDefault="00410470">
      <w:pPr>
        <w:pStyle w:val="TOC3"/>
        <w:rPr>
          <w:rFonts w:asciiTheme="minorHAnsi" w:eastAsiaTheme="minorEastAsia" w:hAnsiTheme="minorHAnsi" w:cstheme="minorBidi"/>
          <w:noProof/>
          <w:sz w:val="22"/>
          <w:szCs w:val="22"/>
        </w:rPr>
      </w:pPr>
      <w:hyperlink w:anchor="_Toc425756870" w:history="1">
        <w:r w:rsidR="000741BE" w:rsidRPr="00CE7359">
          <w:rPr>
            <w:rStyle w:val="Hyperlink"/>
            <w:rFonts w:ascii="Times New Roman Bold" w:hAnsi="Times New Roman Bold"/>
            <w:noProof/>
          </w:rPr>
          <w:t>8.</w:t>
        </w:r>
        <w:r w:rsidR="000741BE">
          <w:rPr>
            <w:rFonts w:asciiTheme="minorHAnsi" w:eastAsiaTheme="minorEastAsia" w:hAnsiTheme="minorHAnsi" w:cstheme="minorBidi"/>
            <w:noProof/>
            <w:sz w:val="22"/>
            <w:szCs w:val="22"/>
          </w:rPr>
          <w:tab/>
        </w:r>
        <w:r w:rsidR="000741BE" w:rsidRPr="00CE7359">
          <w:rPr>
            <w:rStyle w:val="Hyperlink"/>
            <w:noProof/>
          </w:rPr>
          <w:t>Gas Isolated Steel Replacement Program</w:t>
        </w:r>
        <w:r w:rsidR="000741BE">
          <w:rPr>
            <w:noProof/>
            <w:webHidden/>
          </w:rPr>
          <w:tab/>
        </w:r>
        <w:r w:rsidR="000741BE">
          <w:rPr>
            <w:noProof/>
            <w:webHidden/>
          </w:rPr>
          <w:fldChar w:fldCharType="begin"/>
        </w:r>
        <w:r w:rsidR="000741BE">
          <w:rPr>
            <w:noProof/>
            <w:webHidden/>
          </w:rPr>
          <w:instrText xml:space="preserve"> PAGEREF _Toc425756870 \h </w:instrText>
        </w:r>
        <w:r w:rsidR="000741BE">
          <w:rPr>
            <w:noProof/>
            <w:webHidden/>
          </w:rPr>
        </w:r>
        <w:r w:rsidR="000741BE">
          <w:rPr>
            <w:noProof/>
            <w:webHidden/>
          </w:rPr>
          <w:fldChar w:fldCharType="separate"/>
        </w:r>
        <w:r w:rsidR="009534A4">
          <w:rPr>
            <w:noProof/>
            <w:webHidden/>
          </w:rPr>
          <w:t>35</w:t>
        </w:r>
        <w:r w:rsidR="000741BE">
          <w:rPr>
            <w:noProof/>
            <w:webHidden/>
          </w:rPr>
          <w:fldChar w:fldCharType="end"/>
        </w:r>
      </w:hyperlink>
    </w:p>
    <w:p w14:paraId="54C1DD06" w14:textId="77777777" w:rsidR="000741BE" w:rsidRDefault="00410470">
      <w:pPr>
        <w:pStyle w:val="TOC3"/>
        <w:rPr>
          <w:rFonts w:asciiTheme="minorHAnsi" w:eastAsiaTheme="minorEastAsia" w:hAnsiTheme="minorHAnsi" w:cstheme="minorBidi"/>
          <w:noProof/>
          <w:sz w:val="22"/>
          <w:szCs w:val="22"/>
        </w:rPr>
      </w:pPr>
      <w:hyperlink w:anchor="_Toc425756871" w:history="1">
        <w:r w:rsidR="000741BE" w:rsidRPr="00CE7359">
          <w:rPr>
            <w:rStyle w:val="Hyperlink"/>
            <w:rFonts w:ascii="Times New Roman Bold" w:hAnsi="Times New Roman Bold"/>
            <w:noProof/>
          </w:rPr>
          <w:t>9.</w:t>
        </w:r>
        <w:r w:rsidR="000741BE">
          <w:rPr>
            <w:rFonts w:asciiTheme="minorHAnsi" w:eastAsiaTheme="minorEastAsia" w:hAnsiTheme="minorHAnsi" w:cstheme="minorBidi"/>
            <w:noProof/>
            <w:sz w:val="22"/>
            <w:szCs w:val="22"/>
          </w:rPr>
          <w:tab/>
        </w:r>
        <w:r w:rsidR="000741BE" w:rsidRPr="00CE7359">
          <w:rPr>
            <w:rStyle w:val="Hyperlink"/>
            <w:noProof/>
          </w:rPr>
          <w:t>Goldendale HP Gas Main Reinforcement Project</w:t>
        </w:r>
        <w:r w:rsidR="000741BE">
          <w:rPr>
            <w:noProof/>
            <w:webHidden/>
          </w:rPr>
          <w:tab/>
        </w:r>
        <w:r w:rsidR="000741BE">
          <w:rPr>
            <w:noProof/>
            <w:webHidden/>
          </w:rPr>
          <w:fldChar w:fldCharType="begin"/>
        </w:r>
        <w:r w:rsidR="000741BE">
          <w:rPr>
            <w:noProof/>
            <w:webHidden/>
          </w:rPr>
          <w:instrText xml:space="preserve"> PAGEREF _Toc425756871 \h </w:instrText>
        </w:r>
        <w:r w:rsidR="000741BE">
          <w:rPr>
            <w:noProof/>
            <w:webHidden/>
          </w:rPr>
        </w:r>
        <w:r w:rsidR="000741BE">
          <w:rPr>
            <w:noProof/>
            <w:webHidden/>
          </w:rPr>
          <w:fldChar w:fldCharType="separate"/>
        </w:r>
        <w:r w:rsidR="009534A4">
          <w:rPr>
            <w:noProof/>
            <w:webHidden/>
          </w:rPr>
          <w:t>35</w:t>
        </w:r>
        <w:r w:rsidR="000741BE">
          <w:rPr>
            <w:noProof/>
            <w:webHidden/>
          </w:rPr>
          <w:fldChar w:fldCharType="end"/>
        </w:r>
      </w:hyperlink>
    </w:p>
    <w:p w14:paraId="2C490F2A" w14:textId="77777777" w:rsidR="000741BE" w:rsidRDefault="00410470">
      <w:pPr>
        <w:pStyle w:val="TOC3"/>
        <w:rPr>
          <w:rFonts w:asciiTheme="minorHAnsi" w:eastAsiaTheme="minorEastAsia" w:hAnsiTheme="minorHAnsi" w:cstheme="minorBidi"/>
          <w:noProof/>
          <w:sz w:val="22"/>
          <w:szCs w:val="22"/>
        </w:rPr>
      </w:pPr>
      <w:hyperlink w:anchor="_Toc425756872" w:history="1">
        <w:r w:rsidR="000741BE" w:rsidRPr="00CE7359">
          <w:rPr>
            <w:rStyle w:val="Hyperlink"/>
            <w:rFonts w:ascii="Times New Roman Bold" w:hAnsi="Times New Roman Bold"/>
            <w:noProof/>
          </w:rPr>
          <w:t>10.</w:t>
        </w:r>
        <w:r w:rsidR="000741BE">
          <w:rPr>
            <w:rFonts w:asciiTheme="minorHAnsi" w:eastAsiaTheme="minorEastAsia" w:hAnsiTheme="minorHAnsi" w:cstheme="minorBidi"/>
            <w:noProof/>
            <w:sz w:val="22"/>
            <w:szCs w:val="22"/>
          </w:rPr>
          <w:tab/>
        </w:r>
        <w:r w:rsidR="000741BE" w:rsidRPr="00CE7359">
          <w:rPr>
            <w:rStyle w:val="Hyperlink"/>
            <w:noProof/>
          </w:rPr>
          <w:t>HVAC Renovation Project</w:t>
        </w:r>
        <w:r w:rsidR="000741BE">
          <w:rPr>
            <w:noProof/>
            <w:webHidden/>
          </w:rPr>
          <w:tab/>
        </w:r>
        <w:r w:rsidR="000741BE">
          <w:rPr>
            <w:noProof/>
            <w:webHidden/>
          </w:rPr>
          <w:fldChar w:fldCharType="begin"/>
        </w:r>
        <w:r w:rsidR="000741BE">
          <w:rPr>
            <w:noProof/>
            <w:webHidden/>
          </w:rPr>
          <w:instrText xml:space="preserve"> PAGEREF _Toc425756872 \h </w:instrText>
        </w:r>
        <w:r w:rsidR="000741BE">
          <w:rPr>
            <w:noProof/>
            <w:webHidden/>
          </w:rPr>
        </w:r>
        <w:r w:rsidR="000741BE">
          <w:rPr>
            <w:noProof/>
            <w:webHidden/>
          </w:rPr>
          <w:fldChar w:fldCharType="separate"/>
        </w:r>
        <w:r w:rsidR="009534A4">
          <w:rPr>
            <w:noProof/>
            <w:webHidden/>
          </w:rPr>
          <w:t>37</w:t>
        </w:r>
        <w:r w:rsidR="000741BE">
          <w:rPr>
            <w:noProof/>
            <w:webHidden/>
          </w:rPr>
          <w:fldChar w:fldCharType="end"/>
        </w:r>
      </w:hyperlink>
    </w:p>
    <w:p w14:paraId="09D78BE3" w14:textId="77777777" w:rsidR="000741BE" w:rsidRDefault="00410470">
      <w:pPr>
        <w:pStyle w:val="TOC3"/>
        <w:rPr>
          <w:rFonts w:asciiTheme="minorHAnsi" w:eastAsiaTheme="minorEastAsia" w:hAnsiTheme="minorHAnsi" w:cstheme="minorBidi"/>
          <w:noProof/>
          <w:sz w:val="22"/>
          <w:szCs w:val="22"/>
        </w:rPr>
      </w:pPr>
      <w:hyperlink w:anchor="_Toc425756873" w:history="1">
        <w:r w:rsidR="000741BE" w:rsidRPr="00CE7359">
          <w:rPr>
            <w:rStyle w:val="Hyperlink"/>
            <w:rFonts w:ascii="Times New Roman Bold" w:hAnsi="Times New Roman Bold"/>
            <w:noProof/>
          </w:rPr>
          <w:t>11.</w:t>
        </w:r>
        <w:r w:rsidR="000741BE">
          <w:rPr>
            <w:rFonts w:asciiTheme="minorHAnsi" w:eastAsiaTheme="minorEastAsia" w:hAnsiTheme="minorHAnsi" w:cstheme="minorBidi"/>
            <w:noProof/>
            <w:sz w:val="22"/>
            <w:szCs w:val="22"/>
          </w:rPr>
          <w:tab/>
        </w:r>
        <w:r w:rsidR="000741BE" w:rsidRPr="00CE7359">
          <w:rPr>
            <w:rStyle w:val="Hyperlink"/>
            <w:noProof/>
          </w:rPr>
          <w:t>Distribution Wood Pole Management</w:t>
        </w:r>
        <w:r w:rsidR="000741BE">
          <w:rPr>
            <w:noProof/>
            <w:webHidden/>
          </w:rPr>
          <w:tab/>
        </w:r>
        <w:r w:rsidR="000741BE">
          <w:rPr>
            <w:noProof/>
            <w:webHidden/>
          </w:rPr>
          <w:fldChar w:fldCharType="begin"/>
        </w:r>
        <w:r w:rsidR="000741BE">
          <w:rPr>
            <w:noProof/>
            <w:webHidden/>
          </w:rPr>
          <w:instrText xml:space="preserve"> PAGEREF _Toc425756873 \h </w:instrText>
        </w:r>
        <w:r w:rsidR="000741BE">
          <w:rPr>
            <w:noProof/>
            <w:webHidden/>
          </w:rPr>
        </w:r>
        <w:r w:rsidR="000741BE">
          <w:rPr>
            <w:noProof/>
            <w:webHidden/>
          </w:rPr>
          <w:fldChar w:fldCharType="separate"/>
        </w:r>
        <w:r w:rsidR="009534A4">
          <w:rPr>
            <w:noProof/>
            <w:webHidden/>
          </w:rPr>
          <w:t>38</w:t>
        </w:r>
        <w:r w:rsidR="000741BE">
          <w:rPr>
            <w:noProof/>
            <w:webHidden/>
          </w:rPr>
          <w:fldChar w:fldCharType="end"/>
        </w:r>
      </w:hyperlink>
    </w:p>
    <w:p w14:paraId="2D1E3DD6" w14:textId="77777777" w:rsidR="000741BE" w:rsidRDefault="00410470">
      <w:pPr>
        <w:pStyle w:val="TOC3"/>
        <w:rPr>
          <w:rFonts w:asciiTheme="minorHAnsi" w:eastAsiaTheme="minorEastAsia" w:hAnsiTheme="minorHAnsi" w:cstheme="minorBidi"/>
          <w:noProof/>
          <w:sz w:val="22"/>
          <w:szCs w:val="22"/>
        </w:rPr>
      </w:pPr>
      <w:hyperlink w:anchor="_Toc425756874" w:history="1">
        <w:r w:rsidR="000741BE" w:rsidRPr="00CE7359">
          <w:rPr>
            <w:rStyle w:val="Hyperlink"/>
            <w:rFonts w:ascii="Times New Roman Bold" w:hAnsi="Times New Roman Bold"/>
            <w:noProof/>
          </w:rPr>
          <w:t>12.</w:t>
        </w:r>
        <w:r w:rsidR="000741BE">
          <w:rPr>
            <w:rFonts w:asciiTheme="minorHAnsi" w:eastAsiaTheme="minorEastAsia" w:hAnsiTheme="minorHAnsi" w:cstheme="minorBidi"/>
            <w:noProof/>
            <w:sz w:val="22"/>
            <w:szCs w:val="22"/>
          </w:rPr>
          <w:tab/>
        </w:r>
        <w:r w:rsidR="000741BE" w:rsidRPr="00CE7359">
          <w:rPr>
            <w:rStyle w:val="Hyperlink"/>
            <w:noProof/>
          </w:rPr>
          <w:t>Distribution Grid Modernization</w:t>
        </w:r>
        <w:r w:rsidR="000741BE">
          <w:rPr>
            <w:noProof/>
            <w:webHidden/>
          </w:rPr>
          <w:tab/>
        </w:r>
        <w:r w:rsidR="000741BE">
          <w:rPr>
            <w:noProof/>
            <w:webHidden/>
          </w:rPr>
          <w:fldChar w:fldCharType="begin"/>
        </w:r>
        <w:r w:rsidR="000741BE">
          <w:rPr>
            <w:noProof/>
            <w:webHidden/>
          </w:rPr>
          <w:instrText xml:space="preserve"> PAGEREF _Toc425756874 \h </w:instrText>
        </w:r>
        <w:r w:rsidR="000741BE">
          <w:rPr>
            <w:noProof/>
            <w:webHidden/>
          </w:rPr>
        </w:r>
        <w:r w:rsidR="000741BE">
          <w:rPr>
            <w:noProof/>
            <w:webHidden/>
          </w:rPr>
          <w:fldChar w:fldCharType="separate"/>
        </w:r>
        <w:r w:rsidR="009534A4">
          <w:rPr>
            <w:noProof/>
            <w:webHidden/>
          </w:rPr>
          <w:t>44</w:t>
        </w:r>
        <w:r w:rsidR="000741BE">
          <w:rPr>
            <w:noProof/>
            <w:webHidden/>
          </w:rPr>
          <w:fldChar w:fldCharType="end"/>
        </w:r>
      </w:hyperlink>
    </w:p>
    <w:p w14:paraId="7C370152" w14:textId="77777777" w:rsidR="000741BE" w:rsidRDefault="00410470">
      <w:pPr>
        <w:pStyle w:val="TOC3"/>
        <w:rPr>
          <w:rFonts w:asciiTheme="minorHAnsi" w:eastAsiaTheme="minorEastAsia" w:hAnsiTheme="minorHAnsi" w:cstheme="minorBidi"/>
          <w:noProof/>
          <w:sz w:val="22"/>
          <w:szCs w:val="22"/>
        </w:rPr>
      </w:pPr>
      <w:hyperlink w:anchor="_Toc425756875" w:history="1">
        <w:r w:rsidR="000741BE" w:rsidRPr="00CE7359">
          <w:rPr>
            <w:rStyle w:val="Hyperlink"/>
            <w:rFonts w:ascii="Times New Roman Bold" w:hAnsi="Times New Roman Bold"/>
            <w:noProof/>
          </w:rPr>
          <w:t>13.</w:t>
        </w:r>
        <w:r w:rsidR="000741BE">
          <w:rPr>
            <w:rFonts w:asciiTheme="minorHAnsi" w:eastAsiaTheme="minorEastAsia" w:hAnsiTheme="minorHAnsi" w:cstheme="minorBidi"/>
            <w:noProof/>
            <w:sz w:val="22"/>
            <w:szCs w:val="22"/>
          </w:rPr>
          <w:tab/>
        </w:r>
        <w:r w:rsidR="000741BE" w:rsidRPr="00CE7359">
          <w:rPr>
            <w:rStyle w:val="Hyperlink"/>
            <w:noProof/>
          </w:rPr>
          <w:t>Technology Refresh to Sustain Business Process</w:t>
        </w:r>
        <w:r w:rsidR="000741BE">
          <w:rPr>
            <w:noProof/>
            <w:webHidden/>
          </w:rPr>
          <w:tab/>
        </w:r>
        <w:r w:rsidR="000741BE">
          <w:rPr>
            <w:noProof/>
            <w:webHidden/>
          </w:rPr>
          <w:fldChar w:fldCharType="begin"/>
        </w:r>
        <w:r w:rsidR="000741BE">
          <w:rPr>
            <w:noProof/>
            <w:webHidden/>
          </w:rPr>
          <w:instrText xml:space="preserve"> PAGEREF _Toc425756875 \h </w:instrText>
        </w:r>
        <w:r w:rsidR="000741BE">
          <w:rPr>
            <w:noProof/>
            <w:webHidden/>
          </w:rPr>
        </w:r>
        <w:r w:rsidR="000741BE">
          <w:rPr>
            <w:noProof/>
            <w:webHidden/>
          </w:rPr>
          <w:fldChar w:fldCharType="separate"/>
        </w:r>
        <w:r w:rsidR="009534A4">
          <w:rPr>
            <w:noProof/>
            <w:webHidden/>
          </w:rPr>
          <w:t>45</w:t>
        </w:r>
        <w:r w:rsidR="000741BE">
          <w:rPr>
            <w:noProof/>
            <w:webHidden/>
          </w:rPr>
          <w:fldChar w:fldCharType="end"/>
        </w:r>
      </w:hyperlink>
    </w:p>
    <w:p w14:paraId="653AAB09" w14:textId="77777777" w:rsidR="000741BE" w:rsidRDefault="00410470">
      <w:pPr>
        <w:pStyle w:val="TOC3"/>
        <w:rPr>
          <w:rFonts w:asciiTheme="minorHAnsi" w:eastAsiaTheme="minorEastAsia" w:hAnsiTheme="minorHAnsi" w:cstheme="minorBidi"/>
          <w:noProof/>
          <w:sz w:val="22"/>
          <w:szCs w:val="22"/>
        </w:rPr>
      </w:pPr>
      <w:hyperlink w:anchor="_Toc425756876" w:history="1">
        <w:r w:rsidR="000741BE" w:rsidRPr="00CE7359">
          <w:rPr>
            <w:rStyle w:val="Hyperlink"/>
            <w:rFonts w:ascii="Times New Roman Bold" w:hAnsi="Times New Roman Bold"/>
            <w:noProof/>
          </w:rPr>
          <w:t>14.</w:t>
        </w:r>
        <w:r w:rsidR="000741BE">
          <w:rPr>
            <w:rFonts w:asciiTheme="minorHAnsi" w:eastAsiaTheme="minorEastAsia" w:hAnsiTheme="minorHAnsi" w:cstheme="minorBidi"/>
            <w:noProof/>
            <w:sz w:val="22"/>
            <w:szCs w:val="22"/>
          </w:rPr>
          <w:tab/>
        </w:r>
        <w:r w:rsidR="000741BE" w:rsidRPr="00CE7359">
          <w:rPr>
            <w:rStyle w:val="Hyperlink"/>
            <w:noProof/>
          </w:rPr>
          <w:t>Project Compass</w:t>
        </w:r>
        <w:r w:rsidR="000741BE">
          <w:rPr>
            <w:noProof/>
            <w:webHidden/>
          </w:rPr>
          <w:tab/>
        </w:r>
        <w:r w:rsidR="000741BE">
          <w:rPr>
            <w:noProof/>
            <w:webHidden/>
          </w:rPr>
          <w:fldChar w:fldCharType="begin"/>
        </w:r>
        <w:r w:rsidR="000741BE">
          <w:rPr>
            <w:noProof/>
            <w:webHidden/>
          </w:rPr>
          <w:instrText xml:space="preserve"> PAGEREF _Toc425756876 \h </w:instrText>
        </w:r>
        <w:r w:rsidR="000741BE">
          <w:rPr>
            <w:noProof/>
            <w:webHidden/>
          </w:rPr>
        </w:r>
        <w:r w:rsidR="000741BE">
          <w:rPr>
            <w:noProof/>
            <w:webHidden/>
          </w:rPr>
          <w:fldChar w:fldCharType="separate"/>
        </w:r>
        <w:r w:rsidR="009534A4">
          <w:rPr>
            <w:noProof/>
            <w:webHidden/>
          </w:rPr>
          <w:t>46</w:t>
        </w:r>
        <w:r w:rsidR="000741BE">
          <w:rPr>
            <w:noProof/>
            <w:webHidden/>
          </w:rPr>
          <w:fldChar w:fldCharType="end"/>
        </w:r>
      </w:hyperlink>
    </w:p>
    <w:p w14:paraId="16C0690A" w14:textId="77777777" w:rsidR="000741BE" w:rsidRDefault="00410470">
      <w:pPr>
        <w:pStyle w:val="TOC2"/>
        <w:rPr>
          <w:rFonts w:asciiTheme="minorHAnsi" w:eastAsiaTheme="minorEastAsia" w:hAnsiTheme="minorHAnsi" w:cstheme="minorBidi"/>
          <w:sz w:val="22"/>
          <w:szCs w:val="22"/>
        </w:rPr>
      </w:pPr>
      <w:hyperlink w:anchor="_Toc425756877" w:history="1">
        <w:r w:rsidR="000741BE" w:rsidRPr="00CE7359">
          <w:rPr>
            <w:rStyle w:val="Hyperlink"/>
          </w:rPr>
          <w:t>Summary and Conclusion</w:t>
        </w:r>
        <w:r w:rsidR="000741BE">
          <w:rPr>
            <w:webHidden/>
          </w:rPr>
          <w:tab/>
        </w:r>
        <w:r w:rsidR="000741BE">
          <w:rPr>
            <w:webHidden/>
          </w:rPr>
          <w:fldChar w:fldCharType="begin"/>
        </w:r>
        <w:r w:rsidR="000741BE">
          <w:rPr>
            <w:webHidden/>
          </w:rPr>
          <w:instrText xml:space="preserve"> PAGEREF _Toc425756877 \h </w:instrText>
        </w:r>
        <w:r w:rsidR="000741BE">
          <w:rPr>
            <w:webHidden/>
          </w:rPr>
        </w:r>
        <w:r w:rsidR="000741BE">
          <w:rPr>
            <w:webHidden/>
          </w:rPr>
          <w:fldChar w:fldCharType="separate"/>
        </w:r>
        <w:r w:rsidR="009534A4">
          <w:rPr>
            <w:webHidden/>
          </w:rPr>
          <w:t>59</w:t>
        </w:r>
        <w:r w:rsidR="000741BE">
          <w:rPr>
            <w:webHidden/>
          </w:rPr>
          <w:fldChar w:fldCharType="end"/>
        </w:r>
      </w:hyperlink>
    </w:p>
    <w:p w14:paraId="1B3DA7BC" w14:textId="3A64FD42" w:rsidR="006340AF" w:rsidRDefault="001F7C94" w:rsidP="00425F7D">
      <w:pPr>
        <w:spacing w:line="480" w:lineRule="auto"/>
        <w:jc w:val="center"/>
        <w:rPr>
          <w:b/>
          <w:bCs/>
          <w:noProof/>
        </w:rPr>
      </w:pPr>
      <w:r>
        <w:rPr>
          <w:b/>
          <w:bCs/>
          <w:noProof/>
        </w:rPr>
        <w:fldChar w:fldCharType="end"/>
      </w:r>
    </w:p>
    <w:p w14:paraId="057025C0" w14:textId="77777777" w:rsidR="00651C6B" w:rsidRDefault="00651C6B" w:rsidP="00425F7D">
      <w:pPr>
        <w:spacing w:line="480" w:lineRule="auto"/>
        <w:jc w:val="center"/>
        <w:rPr>
          <w:b/>
          <w:bCs/>
          <w:noProof/>
        </w:rPr>
      </w:pPr>
    </w:p>
    <w:p w14:paraId="0D65C1DC" w14:textId="77777777" w:rsidR="006340AF" w:rsidRDefault="006340AF" w:rsidP="00425F7D">
      <w:pPr>
        <w:rPr>
          <w:b/>
          <w:bCs/>
          <w:noProof/>
        </w:rPr>
      </w:pPr>
      <w:r>
        <w:rPr>
          <w:b/>
          <w:bCs/>
          <w:noProof/>
        </w:rPr>
        <w:br w:type="page"/>
      </w:r>
    </w:p>
    <w:p w14:paraId="261921D9" w14:textId="27589C02" w:rsidR="006340AF" w:rsidRPr="00742670" w:rsidRDefault="006340AF" w:rsidP="00425F7D">
      <w:pPr>
        <w:jc w:val="center"/>
      </w:pPr>
      <w:r w:rsidRPr="00742670">
        <w:rPr>
          <w:b/>
        </w:rPr>
        <w:lastRenderedPageBreak/>
        <w:t>List of Exhibits</w:t>
      </w:r>
    </w:p>
    <w:p w14:paraId="2D344CB0" w14:textId="77777777" w:rsidR="006340AF" w:rsidRPr="00742670" w:rsidRDefault="006340AF" w:rsidP="00425F7D"/>
    <w:p w14:paraId="3EAB913B" w14:textId="1DA453FA" w:rsidR="006340AF" w:rsidRDefault="006340AF" w:rsidP="00425F7D">
      <w:pPr>
        <w:tabs>
          <w:tab w:val="left" w:pos="-1440"/>
        </w:tabs>
        <w:spacing w:line="360" w:lineRule="auto"/>
        <w:ind w:left="2970" w:hanging="2970"/>
        <w:rPr>
          <w:bCs/>
        </w:rPr>
      </w:pPr>
      <w:r>
        <w:rPr>
          <w:bCs/>
        </w:rPr>
        <w:t>Exhibit No. _</w:t>
      </w:r>
      <w:r w:rsidR="00021550">
        <w:rPr>
          <w:bCs/>
        </w:rPr>
        <w:t>_</w:t>
      </w:r>
      <w:r>
        <w:rPr>
          <w:bCs/>
        </w:rPr>
        <w:t>_ (DCG-2)</w:t>
      </w:r>
      <w:r>
        <w:rPr>
          <w:bCs/>
        </w:rPr>
        <w:tab/>
      </w:r>
      <w:r w:rsidRPr="009C7BA8">
        <w:rPr>
          <w:bCs/>
        </w:rPr>
        <w:t xml:space="preserve">Avista's </w:t>
      </w:r>
      <w:r>
        <w:rPr>
          <w:bCs/>
        </w:rPr>
        <w:t xml:space="preserve">Washington-Allocated </w:t>
      </w:r>
      <w:r w:rsidRPr="009C7BA8">
        <w:rPr>
          <w:bCs/>
        </w:rPr>
        <w:t xml:space="preserve">2015 </w:t>
      </w:r>
      <w:r>
        <w:rPr>
          <w:bCs/>
        </w:rPr>
        <w:t xml:space="preserve">Pro Forma </w:t>
      </w:r>
      <w:r w:rsidRPr="009C7BA8">
        <w:rPr>
          <w:bCs/>
        </w:rPr>
        <w:t>Capital Addition</w:t>
      </w:r>
      <w:r>
        <w:rPr>
          <w:bCs/>
        </w:rPr>
        <w:t>s Estimates, As-filed and Revised</w:t>
      </w:r>
    </w:p>
    <w:p w14:paraId="56EF5295" w14:textId="5B6C4237" w:rsidR="006340AF" w:rsidRDefault="006340AF" w:rsidP="00425F7D">
      <w:pPr>
        <w:tabs>
          <w:tab w:val="left" w:pos="-1440"/>
        </w:tabs>
        <w:spacing w:line="360" w:lineRule="auto"/>
        <w:ind w:left="2970" w:hanging="2970"/>
        <w:rPr>
          <w:bCs/>
        </w:rPr>
      </w:pPr>
      <w:r>
        <w:rPr>
          <w:bCs/>
        </w:rPr>
        <w:t>Exhibit No. _</w:t>
      </w:r>
      <w:r w:rsidR="00021550">
        <w:rPr>
          <w:bCs/>
        </w:rPr>
        <w:t>_</w:t>
      </w:r>
      <w:r>
        <w:rPr>
          <w:bCs/>
        </w:rPr>
        <w:t>_ (DCG-3)</w:t>
      </w:r>
      <w:r>
        <w:rPr>
          <w:bCs/>
        </w:rPr>
        <w:tab/>
      </w:r>
      <w:r w:rsidRPr="00BF5994">
        <w:rPr>
          <w:bCs/>
        </w:rPr>
        <w:t xml:space="preserve">Avista’s 2015 </w:t>
      </w:r>
      <w:r>
        <w:rPr>
          <w:bCs/>
        </w:rPr>
        <w:t xml:space="preserve">Pro Forma </w:t>
      </w:r>
      <w:r w:rsidRPr="00BF5994">
        <w:rPr>
          <w:bCs/>
        </w:rPr>
        <w:t>Major Capital Additions</w:t>
      </w:r>
      <w:r>
        <w:rPr>
          <w:bCs/>
        </w:rPr>
        <w:t xml:space="preserve"> - Company</w:t>
      </w:r>
    </w:p>
    <w:p w14:paraId="36400947" w14:textId="36489064" w:rsidR="006340AF" w:rsidRDefault="006340AF" w:rsidP="00425F7D">
      <w:pPr>
        <w:tabs>
          <w:tab w:val="left" w:pos="-1440"/>
        </w:tabs>
        <w:spacing w:line="360" w:lineRule="auto"/>
        <w:ind w:left="2970" w:hanging="2970"/>
        <w:rPr>
          <w:bCs/>
        </w:rPr>
      </w:pPr>
      <w:r w:rsidRPr="00A968DF">
        <w:rPr>
          <w:bCs/>
        </w:rPr>
        <w:t>Exhibit No. _</w:t>
      </w:r>
      <w:r w:rsidR="00021550">
        <w:rPr>
          <w:bCs/>
        </w:rPr>
        <w:t>_</w:t>
      </w:r>
      <w:r w:rsidRPr="00A968DF">
        <w:rPr>
          <w:bCs/>
        </w:rPr>
        <w:t>_ (DCG-</w:t>
      </w:r>
      <w:r>
        <w:rPr>
          <w:bCs/>
        </w:rPr>
        <w:t>4</w:t>
      </w:r>
      <w:r w:rsidRPr="00A968DF">
        <w:rPr>
          <w:bCs/>
        </w:rPr>
        <w:t>)</w:t>
      </w:r>
      <w:r>
        <w:rPr>
          <w:bCs/>
        </w:rPr>
        <w:tab/>
      </w:r>
      <w:r w:rsidRPr="00BF5994">
        <w:rPr>
          <w:bCs/>
        </w:rPr>
        <w:t xml:space="preserve">Avista’s 2015 </w:t>
      </w:r>
      <w:r>
        <w:rPr>
          <w:bCs/>
        </w:rPr>
        <w:t xml:space="preserve">Pro Forma </w:t>
      </w:r>
      <w:r w:rsidRPr="00BF5994">
        <w:rPr>
          <w:bCs/>
        </w:rPr>
        <w:t>Major Capital Additions</w:t>
      </w:r>
      <w:r>
        <w:rPr>
          <w:bCs/>
        </w:rPr>
        <w:t xml:space="preserve"> - Staff</w:t>
      </w:r>
    </w:p>
    <w:p w14:paraId="51B0B8E4" w14:textId="77CE8090" w:rsidR="006340AF" w:rsidRPr="008A2B47" w:rsidRDefault="006340AF" w:rsidP="00425F7D">
      <w:pPr>
        <w:tabs>
          <w:tab w:val="left" w:pos="-1440"/>
        </w:tabs>
        <w:spacing w:line="360" w:lineRule="auto"/>
        <w:ind w:left="2970" w:hanging="2970"/>
        <w:rPr>
          <w:bCs/>
        </w:rPr>
      </w:pPr>
      <w:r w:rsidRPr="008A2B47">
        <w:rPr>
          <w:bCs/>
        </w:rPr>
        <w:t>Exhibit No. ___ (DCG-5C)</w:t>
      </w:r>
      <w:r>
        <w:rPr>
          <w:bCs/>
        </w:rPr>
        <w:tab/>
      </w:r>
      <w:r w:rsidRPr="00DC661D">
        <w:rPr>
          <w:bCs/>
        </w:rPr>
        <w:t>Avista Supplemental Response to Staff DR 60C</w:t>
      </w:r>
      <w:r w:rsidRPr="008A2B47">
        <w:rPr>
          <w:bCs/>
        </w:rPr>
        <w:t xml:space="preserve"> </w:t>
      </w:r>
      <w:r>
        <w:rPr>
          <w:bCs/>
        </w:rPr>
        <w:t>and</w:t>
      </w:r>
      <w:r w:rsidRPr="008A2B47">
        <w:rPr>
          <w:bCs/>
        </w:rPr>
        <w:t xml:space="preserve"> Attachments </w:t>
      </w:r>
    </w:p>
    <w:p w14:paraId="03B1E357" w14:textId="4E903D84" w:rsidR="006340AF" w:rsidRDefault="006340AF" w:rsidP="00425F7D">
      <w:pPr>
        <w:tabs>
          <w:tab w:val="left" w:pos="-1440"/>
        </w:tabs>
        <w:spacing w:line="360" w:lineRule="auto"/>
        <w:ind w:left="2970" w:hanging="2970"/>
        <w:rPr>
          <w:bCs/>
        </w:rPr>
      </w:pPr>
      <w:r w:rsidRPr="008A2B47">
        <w:rPr>
          <w:bCs/>
        </w:rPr>
        <w:t>Exhibit No. ___ (DCG-6)</w:t>
      </w:r>
      <w:r>
        <w:rPr>
          <w:bCs/>
        </w:rPr>
        <w:tab/>
      </w:r>
      <w:r w:rsidRPr="00DC661D">
        <w:rPr>
          <w:bCs/>
        </w:rPr>
        <w:t xml:space="preserve">Avista Response to Staff DR 134 </w:t>
      </w:r>
      <w:r>
        <w:rPr>
          <w:bCs/>
        </w:rPr>
        <w:t>and</w:t>
      </w:r>
      <w:r w:rsidRPr="00DC661D">
        <w:rPr>
          <w:bCs/>
        </w:rPr>
        <w:t xml:space="preserve"> Attachment B</w:t>
      </w:r>
      <w:r w:rsidRPr="008A2B47">
        <w:rPr>
          <w:bCs/>
        </w:rPr>
        <w:t xml:space="preserve"> </w:t>
      </w:r>
    </w:p>
    <w:p w14:paraId="5A6B3248" w14:textId="79056151" w:rsidR="006340AF" w:rsidRDefault="006340AF" w:rsidP="00425F7D">
      <w:pPr>
        <w:tabs>
          <w:tab w:val="left" w:pos="-1440"/>
        </w:tabs>
        <w:spacing w:line="360" w:lineRule="auto"/>
        <w:ind w:left="2970" w:hanging="2970"/>
        <w:rPr>
          <w:bCs/>
        </w:rPr>
      </w:pPr>
      <w:r w:rsidRPr="008A2B47">
        <w:rPr>
          <w:bCs/>
        </w:rPr>
        <w:t>Exhibit No. ___ (DCG-7)</w:t>
      </w:r>
      <w:r>
        <w:rPr>
          <w:bCs/>
        </w:rPr>
        <w:tab/>
      </w:r>
      <w:r w:rsidRPr="00DC661D">
        <w:rPr>
          <w:bCs/>
        </w:rPr>
        <w:t xml:space="preserve">Avista Response to Staff DR 133 </w:t>
      </w:r>
      <w:r>
        <w:rPr>
          <w:bCs/>
        </w:rPr>
        <w:t>and</w:t>
      </w:r>
      <w:r w:rsidRPr="00DC661D">
        <w:rPr>
          <w:bCs/>
        </w:rPr>
        <w:t xml:space="preserve"> Attachments A </w:t>
      </w:r>
      <w:r w:rsidR="002475BC">
        <w:rPr>
          <w:bCs/>
        </w:rPr>
        <w:t>-</w:t>
      </w:r>
      <w:r w:rsidRPr="00DC661D">
        <w:rPr>
          <w:bCs/>
        </w:rPr>
        <w:t xml:space="preserve"> D</w:t>
      </w:r>
      <w:r w:rsidRPr="008A2B47">
        <w:rPr>
          <w:bCs/>
        </w:rPr>
        <w:t xml:space="preserve"> </w:t>
      </w:r>
    </w:p>
    <w:p w14:paraId="0A0DC5F9" w14:textId="5E7356F6" w:rsidR="006340AF" w:rsidRPr="008A2B47" w:rsidRDefault="006340AF" w:rsidP="00425F7D">
      <w:pPr>
        <w:tabs>
          <w:tab w:val="left" w:pos="-1440"/>
        </w:tabs>
        <w:spacing w:line="360" w:lineRule="auto"/>
        <w:ind w:left="2970" w:hanging="2970"/>
        <w:rPr>
          <w:bCs/>
        </w:rPr>
      </w:pPr>
      <w:r w:rsidRPr="008A2B47">
        <w:rPr>
          <w:bCs/>
        </w:rPr>
        <w:t>Exhibit No. ___ (DCG-8)</w:t>
      </w:r>
      <w:r>
        <w:rPr>
          <w:bCs/>
        </w:rPr>
        <w:tab/>
      </w:r>
      <w:r w:rsidRPr="00DC661D">
        <w:rPr>
          <w:bCs/>
        </w:rPr>
        <w:t>Avista Response to Staff DR 179</w:t>
      </w:r>
    </w:p>
    <w:p w14:paraId="7790B4E5" w14:textId="586BAC21" w:rsidR="006340AF" w:rsidRPr="008A2B47" w:rsidRDefault="006340AF" w:rsidP="00425F7D">
      <w:pPr>
        <w:tabs>
          <w:tab w:val="left" w:pos="-1440"/>
        </w:tabs>
        <w:spacing w:line="360" w:lineRule="auto"/>
        <w:ind w:left="2970" w:hanging="2970"/>
        <w:rPr>
          <w:bCs/>
        </w:rPr>
      </w:pPr>
      <w:r w:rsidRPr="008A2B47">
        <w:rPr>
          <w:bCs/>
        </w:rPr>
        <w:t>Exhibit No. ___ (DCG-9)</w:t>
      </w:r>
      <w:r>
        <w:rPr>
          <w:bCs/>
        </w:rPr>
        <w:tab/>
      </w:r>
      <w:r w:rsidRPr="00DC661D">
        <w:rPr>
          <w:bCs/>
        </w:rPr>
        <w:t>Avista Response to Staff DR 183</w:t>
      </w:r>
    </w:p>
    <w:p w14:paraId="050DF85E" w14:textId="35B7505F" w:rsidR="006340AF" w:rsidRPr="008A2B47" w:rsidRDefault="006340AF" w:rsidP="00425F7D">
      <w:pPr>
        <w:tabs>
          <w:tab w:val="left" w:pos="-1440"/>
        </w:tabs>
        <w:spacing w:line="360" w:lineRule="auto"/>
        <w:ind w:left="2970" w:hanging="2970"/>
        <w:rPr>
          <w:bCs/>
        </w:rPr>
      </w:pPr>
      <w:r w:rsidRPr="008A2B47">
        <w:rPr>
          <w:bCs/>
        </w:rPr>
        <w:t>Exhibit No. ___ (DCG-10)</w:t>
      </w:r>
      <w:r>
        <w:rPr>
          <w:bCs/>
        </w:rPr>
        <w:tab/>
      </w:r>
      <w:r w:rsidRPr="00DC661D">
        <w:rPr>
          <w:bCs/>
        </w:rPr>
        <w:t>Avista Response to Staff DR 186</w:t>
      </w:r>
    </w:p>
    <w:p w14:paraId="7BAC04A2" w14:textId="549312F2" w:rsidR="006340AF" w:rsidRPr="008A2B47" w:rsidRDefault="006340AF" w:rsidP="00425F7D">
      <w:pPr>
        <w:tabs>
          <w:tab w:val="left" w:pos="-1440"/>
        </w:tabs>
        <w:spacing w:line="360" w:lineRule="auto"/>
        <w:ind w:left="2970" w:hanging="2970"/>
        <w:rPr>
          <w:bCs/>
        </w:rPr>
      </w:pPr>
      <w:r w:rsidRPr="008A2B47">
        <w:rPr>
          <w:bCs/>
        </w:rPr>
        <w:t>Exhibit No. ___ (DCG-11)</w:t>
      </w:r>
      <w:r>
        <w:rPr>
          <w:bCs/>
        </w:rPr>
        <w:tab/>
      </w:r>
      <w:r w:rsidRPr="00DC661D">
        <w:rPr>
          <w:bCs/>
        </w:rPr>
        <w:t>Avista Supplemental Response to Staff DR 137</w:t>
      </w:r>
      <w:r w:rsidRPr="008A2B47">
        <w:rPr>
          <w:bCs/>
        </w:rPr>
        <w:t xml:space="preserve"> </w:t>
      </w:r>
      <w:r>
        <w:rPr>
          <w:bCs/>
        </w:rPr>
        <w:t>and</w:t>
      </w:r>
      <w:r w:rsidRPr="008A2B47">
        <w:rPr>
          <w:bCs/>
        </w:rPr>
        <w:t xml:space="preserve"> Supplemental Attachment A </w:t>
      </w:r>
    </w:p>
    <w:p w14:paraId="3E8A52C4" w14:textId="294A9DDD" w:rsidR="006340AF" w:rsidRPr="008A2B47" w:rsidRDefault="006340AF" w:rsidP="00425F7D">
      <w:pPr>
        <w:tabs>
          <w:tab w:val="left" w:pos="-1440"/>
        </w:tabs>
        <w:spacing w:line="360" w:lineRule="auto"/>
        <w:ind w:left="2970" w:hanging="2970"/>
        <w:rPr>
          <w:bCs/>
        </w:rPr>
      </w:pPr>
      <w:r w:rsidRPr="008A2B47">
        <w:rPr>
          <w:bCs/>
        </w:rPr>
        <w:t>Exhibit No. ___ (DCG-12)</w:t>
      </w:r>
      <w:r>
        <w:rPr>
          <w:bCs/>
        </w:rPr>
        <w:tab/>
      </w:r>
      <w:r w:rsidRPr="00DC661D">
        <w:rPr>
          <w:bCs/>
        </w:rPr>
        <w:t>Avista Response to Staff DR 170</w:t>
      </w:r>
      <w:r>
        <w:rPr>
          <w:bCs/>
        </w:rPr>
        <w:t xml:space="preserve"> and</w:t>
      </w:r>
      <w:r w:rsidRPr="008A2B47">
        <w:rPr>
          <w:bCs/>
        </w:rPr>
        <w:t xml:space="preserve"> Attachment C</w:t>
      </w:r>
      <w:r w:rsidRPr="00DC661D">
        <w:rPr>
          <w:bCs/>
        </w:rPr>
        <w:t>, Docket UE-140188</w:t>
      </w:r>
      <w:r w:rsidRPr="008A2B47">
        <w:rPr>
          <w:bCs/>
        </w:rPr>
        <w:t xml:space="preserve"> </w:t>
      </w:r>
    </w:p>
    <w:p w14:paraId="3F6C9A0C" w14:textId="2E96F9DC" w:rsidR="006340AF" w:rsidRPr="00DC661D" w:rsidRDefault="006340AF" w:rsidP="00425F7D">
      <w:pPr>
        <w:tabs>
          <w:tab w:val="left" w:pos="-1440"/>
        </w:tabs>
        <w:spacing w:line="360" w:lineRule="auto"/>
        <w:ind w:left="2970" w:hanging="2970"/>
        <w:rPr>
          <w:bCs/>
        </w:rPr>
      </w:pPr>
      <w:r w:rsidRPr="00DC661D">
        <w:rPr>
          <w:bCs/>
        </w:rPr>
        <w:t>Exhibit No. ___ (DCG-13)</w:t>
      </w:r>
      <w:r>
        <w:rPr>
          <w:bCs/>
        </w:rPr>
        <w:tab/>
      </w:r>
      <w:r w:rsidRPr="00DC661D">
        <w:rPr>
          <w:bCs/>
        </w:rPr>
        <w:t>Avista Response to Staff DRs 100 to 103</w:t>
      </w:r>
      <w:r>
        <w:rPr>
          <w:bCs/>
        </w:rPr>
        <w:t xml:space="preserve"> and</w:t>
      </w:r>
      <w:r w:rsidRPr="00DC661D">
        <w:rPr>
          <w:bCs/>
        </w:rPr>
        <w:t xml:space="preserve"> Attachment A to Response to DR 101</w:t>
      </w:r>
      <w:r>
        <w:rPr>
          <w:bCs/>
        </w:rPr>
        <w:t>,</w:t>
      </w:r>
      <w:r w:rsidRPr="00DC661D">
        <w:rPr>
          <w:bCs/>
        </w:rPr>
        <w:t xml:space="preserve"> Docket UE-140188</w:t>
      </w:r>
    </w:p>
    <w:p w14:paraId="4DF05F95" w14:textId="70FC26D7" w:rsidR="006340AF" w:rsidRPr="008A2B47" w:rsidRDefault="006340AF" w:rsidP="00425F7D">
      <w:pPr>
        <w:tabs>
          <w:tab w:val="left" w:pos="-1440"/>
        </w:tabs>
        <w:spacing w:line="360" w:lineRule="auto"/>
        <w:ind w:left="2970" w:hanging="2970"/>
        <w:rPr>
          <w:bCs/>
        </w:rPr>
      </w:pPr>
      <w:r w:rsidRPr="008A2B47">
        <w:rPr>
          <w:bCs/>
        </w:rPr>
        <w:t>Exhibit No. ___ (DCG-14)</w:t>
      </w:r>
      <w:r>
        <w:rPr>
          <w:bCs/>
        </w:rPr>
        <w:tab/>
      </w:r>
      <w:r w:rsidRPr="00DC661D">
        <w:rPr>
          <w:bCs/>
        </w:rPr>
        <w:t xml:space="preserve">Avista Response to ICNU DR 6 </w:t>
      </w:r>
      <w:r>
        <w:rPr>
          <w:bCs/>
        </w:rPr>
        <w:t>and</w:t>
      </w:r>
      <w:r w:rsidRPr="00DC661D">
        <w:rPr>
          <w:bCs/>
        </w:rPr>
        <w:t xml:space="preserve"> Attachment A</w:t>
      </w:r>
      <w:r w:rsidRPr="008A2B47">
        <w:rPr>
          <w:bCs/>
        </w:rPr>
        <w:t xml:space="preserve"> </w:t>
      </w:r>
    </w:p>
    <w:p w14:paraId="198FB6B9" w14:textId="146AEF9C" w:rsidR="006340AF" w:rsidRPr="008A2B47" w:rsidRDefault="006340AF" w:rsidP="00425F7D">
      <w:pPr>
        <w:tabs>
          <w:tab w:val="left" w:pos="-1440"/>
        </w:tabs>
        <w:spacing w:line="360" w:lineRule="auto"/>
        <w:ind w:left="2970" w:hanging="2970"/>
        <w:rPr>
          <w:bCs/>
        </w:rPr>
      </w:pPr>
      <w:r w:rsidRPr="008A2B47">
        <w:rPr>
          <w:bCs/>
        </w:rPr>
        <w:t>Exhibit No. ___ (DCG-15C)</w:t>
      </w:r>
      <w:r>
        <w:rPr>
          <w:bCs/>
        </w:rPr>
        <w:tab/>
      </w:r>
      <w:r w:rsidRPr="00DC661D">
        <w:rPr>
          <w:bCs/>
        </w:rPr>
        <w:t>Avista Response to Staff DR 140</w:t>
      </w:r>
      <w:r>
        <w:rPr>
          <w:bCs/>
        </w:rPr>
        <w:t xml:space="preserve"> and Attachments A-C</w:t>
      </w:r>
    </w:p>
    <w:p w14:paraId="396189DC" w14:textId="6576DD8E" w:rsidR="006340AF" w:rsidRPr="008A2B47" w:rsidRDefault="006340AF" w:rsidP="00425F7D">
      <w:pPr>
        <w:tabs>
          <w:tab w:val="left" w:pos="-1440"/>
        </w:tabs>
        <w:spacing w:line="360" w:lineRule="auto"/>
        <w:ind w:left="2970" w:hanging="2970"/>
        <w:rPr>
          <w:bCs/>
        </w:rPr>
      </w:pPr>
      <w:r w:rsidRPr="008A2B47">
        <w:rPr>
          <w:bCs/>
        </w:rPr>
        <w:t>Exhibit No. ___ (DCG-16C)</w:t>
      </w:r>
      <w:r>
        <w:rPr>
          <w:bCs/>
        </w:rPr>
        <w:tab/>
      </w:r>
      <w:r w:rsidRPr="00DC661D">
        <w:rPr>
          <w:bCs/>
        </w:rPr>
        <w:t>Avista Supplemental Response to Staff DR 141C</w:t>
      </w:r>
      <w:r w:rsidRPr="008A2B47">
        <w:rPr>
          <w:bCs/>
        </w:rPr>
        <w:t xml:space="preserve"> </w:t>
      </w:r>
      <w:r>
        <w:rPr>
          <w:bCs/>
        </w:rPr>
        <w:t>and</w:t>
      </w:r>
      <w:r w:rsidRPr="008A2B47">
        <w:rPr>
          <w:bCs/>
        </w:rPr>
        <w:t xml:space="preserve"> Attachment A </w:t>
      </w:r>
      <w:r>
        <w:rPr>
          <w:bCs/>
        </w:rPr>
        <w:t xml:space="preserve">- </w:t>
      </w:r>
      <w:r w:rsidRPr="008A2B47">
        <w:rPr>
          <w:bCs/>
        </w:rPr>
        <w:t xml:space="preserve">PCRs for Five Point and Ernst and Young </w:t>
      </w:r>
    </w:p>
    <w:p w14:paraId="0FD5D122" w14:textId="1C1E7F08" w:rsidR="006340AF" w:rsidRPr="006340AF" w:rsidRDefault="006340AF" w:rsidP="00425F7D">
      <w:pPr>
        <w:tabs>
          <w:tab w:val="left" w:pos="-1440"/>
        </w:tabs>
        <w:spacing w:line="360" w:lineRule="auto"/>
        <w:ind w:left="2970" w:hanging="2970"/>
        <w:rPr>
          <w:bCs/>
        </w:rPr>
      </w:pPr>
      <w:r w:rsidRPr="006340AF">
        <w:rPr>
          <w:bCs/>
        </w:rPr>
        <w:t>Exhibit No. ___ (DCG-17C)</w:t>
      </w:r>
      <w:r>
        <w:rPr>
          <w:bCs/>
        </w:rPr>
        <w:tab/>
      </w:r>
      <w:r w:rsidRPr="006340AF">
        <w:rPr>
          <w:bCs/>
        </w:rPr>
        <w:t>Avista Supplemental Response to Staff DR 152C and Attachment A</w:t>
      </w:r>
      <w:r>
        <w:rPr>
          <w:bCs/>
        </w:rPr>
        <w:t>,</w:t>
      </w:r>
      <w:r w:rsidRPr="006340AF">
        <w:rPr>
          <w:bCs/>
        </w:rPr>
        <w:t xml:space="preserve"> and Supplemental Response Attachment A </w:t>
      </w:r>
    </w:p>
    <w:p w14:paraId="0F2747C9" w14:textId="58FC25B4" w:rsidR="006340AF" w:rsidRPr="006340AF" w:rsidRDefault="006340AF" w:rsidP="00425F7D">
      <w:pPr>
        <w:tabs>
          <w:tab w:val="left" w:pos="-1440"/>
        </w:tabs>
        <w:spacing w:line="360" w:lineRule="auto"/>
        <w:ind w:left="2970" w:hanging="2970"/>
        <w:rPr>
          <w:bCs/>
        </w:rPr>
      </w:pPr>
      <w:r w:rsidRPr="006340AF">
        <w:rPr>
          <w:bCs/>
        </w:rPr>
        <w:t>Exhibit No. ___ (DCG-18C)</w:t>
      </w:r>
      <w:r>
        <w:rPr>
          <w:bCs/>
        </w:rPr>
        <w:tab/>
      </w:r>
      <w:r w:rsidRPr="006340AF">
        <w:rPr>
          <w:bCs/>
        </w:rPr>
        <w:t>Avista Supplemental Response to Staff DR 153C and Attachments A and B</w:t>
      </w:r>
    </w:p>
    <w:p w14:paraId="27E658AD" w14:textId="6A0E2DBB" w:rsidR="00423B2C" w:rsidRDefault="006340AF" w:rsidP="00425F7D">
      <w:pPr>
        <w:spacing w:line="360" w:lineRule="auto"/>
        <w:ind w:left="2970" w:hanging="2970"/>
        <w:rPr>
          <w:bCs/>
        </w:rPr>
      </w:pPr>
      <w:r w:rsidRPr="008A2B47">
        <w:rPr>
          <w:bCs/>
        </w:rPr>
        <w:t>Exhibit No. ___ (DCG-19)</w:t>
      </w:r>
      <w:r>
        <w:rPr>
          <w:bCs/>
        </w:rPr>
        <w:tab/>
      </w:r>
      <w:r w:rsidRPr="006340AF">
        <w:rPr>
          <w:bCs/>
        </w:rPr>
        <w:t>Avista Response to Staff DR 154</w:t>
      </w:r>
    </w:p>
    <w:p w14:paraId="0AA3814A" w14:textId="51B5BF97" w:rsidR="004B2284" w:rsidRDefault="004B2284" w:rsidP="004B2284">
      <w:pPr>
        <w:tabs>
          <w:tab w:val="left" w:pos="-1440"/>
        </w:tabs>
        <w:spacing w:line="360" w:lineRule="auto"/>
        <w:ind w:left="2970" w:hanging="2970"/>
        <w:rPr>
          <w:bCs/>
        </w:rPr>
      </w:pPr>
      <w:r w:rsidRPr="008A2B47">
        <w:rPr>
          <w:bCs/>
        </w:rPr>
        <w:t>Exhibit No. ___ (DCG-</w:t>
      </w:r>
      <w:r>
        <w:rPr>
          <w:bCs/>
        </w:rPr>
        <w:t>20</w:t>
      </w:r>
      <w:r w:rsidRPr="008A2B47">
        <w:rPr>
          <w:bCs/>
        </w:rPr>
        <w:t>)</w:t>
      </w:r>
      <w:r>
        <w:rPr>
          <w:bCs/>
        </w:rPr>
        <w:tab/>
      </w:r>
      <w:r w:rsidRPr="004B2284">
        <w:rPr>
          <w:bCs/>
        </w:rPr>
        <w:t>Avista Compliance Filing in Dockets UE-140188 &amp; UG-140189 (consolidated) of February 26, 2015</w:t>
      </w:r>
    </w:p>
    <w:p w14:paraId="319EF067" w14:textId="73EBFBC6" w:rsidR="00E57B97" w:rsidRDefault="00023CB7" w:rsidP="00023CB7">
      <w:pPr>
        <w:tabs>
          <w:tab w:val="left" w:pos="-1440"/>
        </w:tabs>
        <w:spacing w:line="360" w:lineRule="auto"/>
        <w:ind w:left="2970" w:hanging="2970"/>
        <w:rPr>
          <w:bCs/>
        </w:rPr>
      </w:pPr>
      <w:r w:rsidRPr="008A2B47">
        <w:rPr>
          <w:bCs/>
        </w:rPr>
        <w:lastRenderedPageBreak/>
        <w:t>Exhibit No. ___ (DCG-</w:t>
      </w:r>
      <w:r>
        <w:rPr>
          <w:bCs/>
        </w:rPr>
        <w:t>21</w:t>
      </w:r>
      <w:r w:rsidRPr="008A2B47">
        <w:rPr>
          <w:bCs/>
        </w:rPr>
        <w:t>)</w:t>
      </w:r>
      <w:r>
        <w:rPr>
          <w:bCs/>
        </w:rPr>
        <w:tab/>
      </w:r>
      <w:r w:rsidRPr="00023CB7">
        <w:rPr>
          <w:bCs/>
        </w:rPr>
        <w:t>Direct Testimony and Select Exhibits of Dave B. DeFelice in Dockets UE-140188 &amp; UG-140189 (consolidated)</w:t>
      </w:r>
    </w:p>
    <w:p w14:paraId="27794F82" w14:textId="3281E365" w:rsidR="00D41106" w:rsidRDefault="00D41106" w:rsidP="00023CB7">
      <w:pPr>
        <w:tabs>
          <w:tab w:val="left" w:pos="-1440"/>
        </w:tabs>
        <w:spacing w:line="360" w:lineRule="auto"/>
        <w:ind w:left="2970" w:hanging="2970"/>
        <w:rPr>
          <w:bCs/>
        </w:rPr>
      </w:pPr>
      <w:r>
        <w:rPr>
          <w:bCs/>
        </w:rPr>
        <w:t>Exhibit No. ___ (DCG-22)</w:t>
      </w:r>
      <w:r>
        <w:rPr>
          <w:bCs/>
        </w:rPr>
        <w:tab/>
        <w:t>Avista witness Jennifer S. Smith workpaper in UE-150204 and UG-150205, 3) WA CapXAdditions 12.31.15</w:t>
      </w:r>
    </w:p>
    <w:p w14:paraId="704F6FD3" w14:textId="23370F5C" w:rsidR="00D41106" w:rsidRDefault="00D41106" w:rsidP="00023CB7">
      <w:pPr>
        <w:tabs>
          <w:tab w:val="left" w:pos="-1440"/>
        </w:tabs>
        <w:spacing w:line="360" w:lineRule="auto"/>
        <w:ind w:left="2970" w:hanging="2970"/>
        <w:rPr>
          <w:bCs/>
        </w:rPr>
      </w:pPr>
      <w:r>
        <w:rPr>
          <w:bCs/>
        </w:rPr>
        <w:t>Exhibit No. ___ (DCG-23)</w:t>
      </w:r>
      <w:r>
        <w:rPr>
          <w:bCs/>
        </w:rPr>
        <w:tab/>
        <w:t>Scott J. Kinney Exhibit No. ___ (SJK-1T) direct testimony in UE-140188</w:t>
      </w:r>
    </w:p>
    <w:p w14:paraId="6B4DD025" w14:textId="5BE470D4" w:rsidR="004B0BFF" w:rsidRDefault="004B0BFF" w:rsidP="00023CB7">
      <w:pPr>
        <w:tabs>
          <w:tab w:val="left" w:pos="-1440"/>
        </w:tabs>
        <w:spacing w:line="360" w:lineRule="auto"/>
        <w:ind w:left="2970" w:hanging="2970"/>
        <w:rPr>
          <w:bCs/>
        </w:rPr>
      </w:pPr>
      <w:r>
        <w:rPr>
          <w:bCs/>
        </w:rPr>
        <w:t>Exhibit No. ___ (DCG-24)</w:t>
      </w:r>
      <w:r>
        <w:rPr>
          <w:bCs/>
        </w:rPr>
        <w:tab/>
        <w:t>Direct Testimony of Avista witness Scott J. Kinney, Before the Idaho Public Utilities Commission, Case No. AVU-E-15-05</w:t>
      </w:r>
    </w:p>
    <w:p w14:paraId="48B1A1DE" w14:textId="0379A5B9" w:rsidR="004B0BFF" w:rsidRDefault="004B0BFF" w:rsidP="004B0BFF">
      <w:pPr>
        <w:tabs>
          <w:tab w:val="left" w:pos="-1440"/>
        </w:tabs>
        <w:spacing w:line="360" w:lineRule="auto"/>
        <w:ind w:left="2970" w:hanging="2970"/>
        <w:rPr>
          <w:bCs/>
        </w:rPr>
      </w:pPr>
      <w:r>
        <w:rPr>
          <w:bCs/>
        </w:rPr>
        <w:t>Exhibit No. ___ (DCG-25)</w:t>
      </w:r>
      <w:r>
        <w:rPr>
          <w:bCs/>
        </w:rPr>
        <w:tab/>
        <w:t>Direct Testimony of Avista witness James M. Kensok, Before the Idaho Public Utilities Commission, Case No. AVU-E-15-05</w:t>
      </w:r>
    </w:p>
    <w:p w14:paraId="384ED84A" w14:textId="5B07842D" w:rsidR="004B0BFF" w:rsidRDefault="004B0BFF" w:rsidP="004B0BFF">
      <w:pPr>
        <w:tabs>
          <w:tab w:val="left" w:pos="-1440"/>
        </w:tabs>
        <w:spacing w:line="360" w:lineRule="auto"/>
        <w:ind w:left="2970" w:hanging="2970"/>
        <w:rPr>
          <w:bCs/>
        </w:rPr>
      </w:pPr>
      <w:r>
        <w:rPr>
          <w:bCs/>
        </w:rPr>
        <w:t>Exhibit No. ___ (DCG-26)</w:t>
      </w:r>
      <w:r>
        <w:rPr>
          <w:bCs/>
        </w:rPr>
        <w:tab/>
        <w:t xml:space="preserve">Direct Testimony of Avista witness Don F. Kopczynski, Exhibit No. ___ (DFK-1T) in </w:t>
      </w:r>
      <w:r w:rsidRPr="00023CB7">
        <w:rPr>
          <w:bCs/>
        </w:rPr>
        <w:t>UE-140188 &amp; UG-140189 (consolidated)</w:t>
      </w:r>
    </w:p>
    <w:p w14:paraId="4A668C7C" w14:textId="432EE2C3" w:rsidR="004B0BFF" w:rsidRDefault="00774300" w:rsidP="00774300">
      <w:pPr>
        <w:tabs>
          <w:tab w:val="left" w:pos="-1440"/>
        </w:tabs>
        <w:spacing w:line="360" w:lineRule="auto"/>
        <w:ind w:left="2970" w:hanging="2970"/>
        <w:rPr>
          <w:bCs/>
        </w:rPr>
      </w:pPr>
      <w:r>
        <w:rPr>
          <w:bCs/>
        </w:rPr>
        <w:t>Exhibit No. ___ (DCG-27)</w:t>
      </w:r>
      <w:r>
        <w:rPr>
          <w:bCs/>
        </w:rPr>
        <w:tab/>
      </w:r>
      <w:r w:rsidRPr="00774300">
        <w:rPr>
          <w:bCs/>
        </w:rPr>
        <w:t>Docket UE-140188, Work papers of Elizabeth Andrews, Worksheet; WA CapX Additions 12.31.14</w:t>
      </w:r>
    </w:p>
    <w:p w14:paraId="63B573F8" w14:textId="677898F4" w:rsidR="00774300" w:rsidRDefault="00DF535D" w:rsidP="00DF535D">
      <w:pPr>
        <w:tabs>
          <w:tab w:val="left" w:pos="-1440"/>
        </w:tabs>
        <w:spacing w:line="360" w:lineRule="auto"/>
        <w:ind w:left="2970" w:hanging="2970"/>
        <w:rPr>
          <w:bCs/>
        </w:rPr>
      </w:pPr>
      <w:r>
        <w:rPr>
          <w:bCs/>
        </w:rPr>
        <w:t>Exhibit No. ___ (DCG-28)</w:t>
      </w:r>
      <w:r>
        <w:rPr>
          <w:bCs/>
        </w:rPr>
        <w:tab/>
      </w:r>
      <w:r w:rsidRPr="00DF535D">
        <w:rPr>
          <w:bCs/>
        </w:rPr>
        <w:t>Dockets UE-140188 and UE-120436, Work papers of Elizabeth Andrews, Aldyl-A Allocations</w:t>
      </w:r>
    </w:p>
    <w:p w14:paraId="31C7EE13" w14:textId="696D1860" w:rsidR="00DF535D" w:rsidRDefault="00DF535D" w:rsidP="00DF535D">
      <w:pPr>
        <w:tabs>
          <w:tab w:val="left" w:pos="-1440"/>
        </w:tabs>
        <w:spacing w:line="360" w:lineRule="auto"/>
        <w:ind w:left="2970" w:hanging="2970"/>
        <w:rPr>
          <w:bCs/>
        </w:rPr>
      </w:pPr>
      <w:r>
        <w:rPr>
          <w:bCs/>
        </w:rPr>
        <w:t>Exhibit No. ___ (DCG-29)</w:t>
      </w:r>
      <w:r>
        <w:rPr>
          <w:bCs/>
        </w:rPr>
        <w:tab/>
      </w:r>
      <w:r w:rsidRPr="00DF535D">
        <w:rPr>
          <w:bCs/>
        </w:rPr>
        <w:t>Direct Testimony of Avista witness Heather L. Rosentrater, Exhibit No. __ (HLR-1T) in UE-1401</w:t>
      </w:r>
      <w:r>
        <w:rPr>
          <w:bCs/>
        </w:rPr>
        <w:t>88 and UG-140189 (consolidated)</w:t>
      </w:r>
    </w:p>
    <w:p w14:paraId="3B4E9FE2" w14:textId="0D7A0123" w:rsidR="00DF535D" w:rsidRDefault="00DF535D" w:rsidP="00B01628">
      <w:pPr>
        <w:tabs>
          <w:tab w:val="left" w:pos="-1440"/>
        </w:tabs>
        <w:spacing w:line="360" w:lineRule="auto"/>
        <w:ind w:left="2970" w:hanging="2970"/>
        <w:rPr>
          <w:bCs/>
        </w:rPr>
      </w:pPr>
      <w:r>
        <w:rPr>
          <w:bCs/>
        </w:rPr>
        <w:t>Exhibit No. ___ (DCG-30)</w:t>
      </w:r>
      <w:r w:rsidR="00B01628">
        <w:rPr>
          <w:bCs/>
        </w:rPr>
        <w:tab/>
      </w:r>
      <w:r w:rsidR="00B01628" w:rsidRPr="00B01628">
        <w:rPr>
          <w:bCs/>
        </w:rPr>
        <w:t>Direct Testimony of Avista witness Scott J. Kinney, Exhibit No. __ (SJK-1T) in UE-120436</w:t>
      </w:r>
    </w:p>
    <w:p w14:paraId="194D0893" w14:textId="52B59D14" w:rsidR="00DF535D" w:rsidRDefault="00B01628" w:rsidP="00DF535D">
      <w:pPr>
        <w:tabs>
          <w:tab w:val="left" w:pos="-1440"/>
        </w:tabs>
        <w:spacing w:line="360" w:lineRule="auto"/>
        <w:ind w:left="2970" w:hanging="2970"/>
        <w:rPr>
          <w:bCs/>
        </w:rPr>
      </w:pPr>
      <w:r>
        <w:rPr>
          <w:bCs/>
        </w:rPr>
        <w:t>Exhibit No. ___ (DCG-31C)</w:t>
      </w:r>
      <w:r>
        <w:rPr>
          <w:bCs/>
        </w:rPr>
        <w:tab/>
      </w:r>
      <w:r w:rsidRPr="00B01628">
        <w:rPr>
          <w:bCs/>
        </w:rPr>
        <w:t>UE-140188 Kensok, Exhibit No. __ (JMK-2) with Attachment 10 and Confidential Attachment 15</w:t>
      </w:r>
    </w:p>
    <w:p w14:paraId="62DBBEDF" w14:textId="6049AA34" w:rsidR="00330257" w:rsidRDefault="00330257" w:rsidP="00DF535D">
      <w:pPr>
        <w:tabs>
          <w:tab w:val="left" w:pos="-1440"/>
        </w:tabs>
        <w:spacing w:line="360" w:lineRule="auto"/>
        <w:ind w:left="2970" w:hanging="2970"/>
        <w:rPr>
          <w:bCs/>
        </w:rPr>
      </w:pPr>
      <w:r>
        <w:rPr>
          <w:bCs/>
        </w:rPr>
        <w:t>Exhibit No. ___ (DCG-32)</w:t>
      </w:r>
      <w:r>
        <w:rPr>
          <w:bCs/>
        </w:rPr>
        <w:tab/>
      </w:r>
      <w:r w:rsidRPr="00330257">
        <w:rPr>
          <w:bCs/>
        </w:rPr>
        <w:t>Avista 2015-2017 Two-Year Plan for Managing Replacement of Select Pipe Natural Gas System</w:t>
      </w:r>
    </w:p>
    <w:p w14:paraId="6D2C25DF" w14:textId="7BAB9729" w:rsidR="004B2284" w:rsidRPr="004B2284" w:rsidRDefault="00330257" w:rsidP="004B2284">
      <w:pPr>
        <w:tabs>
          <w:tab w:val="left" w:pos="-1440"/>
        </w:tabs>
        <w:spacing w:line="360" w:lineRule="auto"/>
        <w:ind w:left="2970" w:hanging="2970"/>
        <w:rPr>
          <w:bCs/>
        </w:rPr>
      </w:pPr>
      <w:r>
        <w:rPr>
          <w:bCs/>
        </w:rPr>
        <w:t>Exhibit No. ___ (DCG-33)</w:t>
      </w:r>
      <w:r>
        <w:rPr>
          <w:bCs/>
        </w:rPr>
        <w:tab/>
      </w:r>
      <w:r w:rsidRPr="00330257">
        <w:rPr>
          <w:bCs/>
        </w:rPr>
        <w:t>Avista Response to Staff DR 143 with Supplemental Responses through July 10, 2015</w:t>
      </w:r>
    </w:p>
    <w:p w14:paraId="479E5862" w14:textId="77777777" w:rsidR="006340AF" w:rsidRDefault="006340AF" w:rsidP="00425F7D"/>
    <w:p w14:paraId="4865453E" w14:textId="77777777" w:rsidR="006340AF" w:rsidRPr="006340AF" w:rsidRDefault="006340AF" w:rsidP="00425F7D">
      <w:pPr>
        <w:rPr>
          <w:lang w:val="x-none" w:eastAsia="x-none"/>
        </w:rPr>
        <w:sectPr w:rsidR="006340AF" w:rsidRPr="006340AF" w:rsidSect="007C1BF2">
          <w:footerReference w:type="default" r:id="rId12"/>
          <w:pgSz w:w="12240" w:h="15840" w:code="1"/>
          <w:pgMar w:top="1440" w:right="1440" w:bottom="1440" w:left="1872" w:header="720" w:footer="720" w:gutter="0"/>
          <w:pgNumType w:fmt="lowerRoman" w:start="1"/>
          <w:cols w:space="720"/>
          <w:docGrid w:linePitch="360"/>
        </w:sectPr>
      </w:pPr>
    </w:p>
    <w:p w14:paraId="4AE4A9B5" w14:textId="77777777" w:rsidR="00EB78B2" w:rsidRPr="0042717A" w:rsidRDefault="00EB78B2" w:rsidP="00425F7D">
      <w:pPr>
        <w:pStyle w:val="Heading1"/>
        <w:jc w:val="center"/>
        <w:rPr>
          <w:sz w:val="24"/>
        </w:rPr>
      </w:pPr>
      <w:bookmarkStart w:id="3" w:name="_Toc425172436"/>
      <w:bookmarkStart w:id="4" w:name="_Toc425328737"/>
      <w:bookmarkStart w:id="5" w:name="_Toc425339181"/>
      <w:bookmarkStart w:id="6" w:name="_Toc425756858"/>
      <w:r w:rsidRPr="0042717A">
        <w:rPr>
          <w:sz w:val="24"/>
        </w:rPr>
        <w:lastRenderedPageBreak/>
        <w:t>I.</w:t>
      </w:r>
      <w:r w:rsidRPr="0042717A">
        <w:rPr>
          <w:sz w:val="24"/>
          <w:lang w:val="en-US"/>
        </w:rPr>
        <w:tab/>
      </w:r>
      <w:r w:rsidRPr="0042717A">
        <w:rPr>
          <w:sz w:val="24"/>
        </w:rPr>
        <w:t>INTRODUCTION</w:t>
      </w:r>
      <w:bookmarkEnd w:id="0"/>
      <w:bookmarkEnd w:id="1"/>
      <w:bookmarkEnd w:id="3"/>
      <w:bookmarkEnd w:id="4"/>
      <w:bookmarkEnd w:id="5"/>
      <w:bookmarkEnd w:id="6"/>
    </w:p>
    <w:p w14:paraId="414F5BD2" w14:textId="77777777" w:rsidR="00E73581" w:rsidRDefault="00E73581" w:rsidP="00425F7D">
      <w:pPr>
        <w:tabs>
          <w:tab w:val="left" w:pos="-1440"/>
        </w:tabs>
        <w:spacing w:line="480" w:lineRule="auto"/>
        <w:ind w:left="720" w:hanging="720"/>
        <w:rPr>
          <w:b/>
          <w:bCs/>
        </w:rPr>
      </w:pPr>
      <w:bookmarkStart w:id="7" w:name="_Toc339441702"/>
    </w:p>
    <w:p w14:paraId="1C8263AE" w14:textId="77777777" w:rsidR="00C3471C" w:rsidRPr="0042717A" w:rsidRDefault="00C3471C" w:rsidP="00425F7D">
      <w:pPr>
        <w:tabs>
          <w:tab w:val="left" w:pos="-1440"/>
        </w:tabs>
        <w:spacing w:line="480" w:lineRule="auto"/>
        <w:ind w:left="720" w:hanging="720"/>
        <w:rPr>
          <w:b/>
          <w:bCs/>
        </w:rPr>
      </w:pPr>
      <w:r w:rsidRPr="0042717A">
        <w:rPr>
          <w:b/>
          <w:bCs/>
        </w:rPr>
        <w:t>Q.</w:t>
      </w:r>
      <w:r w:rsidRPr="0042717A">
        <w:rPr>
          <w:b/>
          <w:bCs/>
        </w:rPr>
        <w:tab/>
        <w:t>Please state your name and business address.</w:t>
      </w:r>
      <w:bookmarkEnd w:id="2"/>
      <w:bookmarkEnd w:id="7"/>
      <w:r w:rsidRPr="0042717A">
        <w:rPr>
          <w:b/>
          <w:bCs/>
        </w:rPr>
        <w:t xml:space="preserve">  </w:t>
      </w:r>
    </w:p>
    <w:p w14:paraId="5136BC43" w14:textId="77777777" w:rsidR="00C3471C" w:rsidRPr="00BF078B" w:rsidRDefault="002A0204" w:rsidP="00425F7D">
      <w:pPr>
        <w:pStyle w:val="BodyTextIndent"/>
        <w:rPr>
          <w:sz w:val="24"/>
        </w:rPr>
      </w:pPr>
      <w:r w:rsidRPr="00BF078B">
        <w:rPr>
          <w:sz w:val="24"/>
        </w:rPr>
        <w:t>A.</w:t>
      </w:r>
      <w:r w:rsidRPr="00BF078B">
        <w:rPr>
          <w:sz w:val="24"/>
        </w:rPr>
        <w:tab/>
      </w:r>
      <w:r w:rsidR="00B023A2" w:rsidRPr="00BF078B">
        <w:rPr>
          <w:sz w:val="24"/>
        </w:rPr>
        <w:t>My name is</w:t>
      </w:r>
      <w:r w:rsidRPr="00BF078B">
        <w:rPr>
          <w:sz w:val="24"/>
        </w:rPr>
        <w:t xml:space="preserve"> </w:t>
      </w:r>
      <w:r w:rsidR="008A61F2">
        <w:rPr>
          <w:sz w:val="24"/>
          <w:lang w:val="en-US"/>
        </w:rPr>
        <w:t>David C. Gomez</w:t>
      </w:r>
      <w:r w:rsidR="00C3471C" w:rsidRPr="00BF078B">
        <w:rPr>
          <w:sz w:val="24"/>
        </w:rPr>
        <w:t xml:space="preserve">.  My business address is </w:t>
      </w:r>
      <w:r w:rsidR="006E6644">
        <w:rPr>
          <w:sz w:val="24"/>
          <w:lang w:val="en-US"/>
        </w:rPr>
        <w:t xml:space="preserve">the Richard Hemstad Building, </w:t>
      </w:r>
      <w:r w:rsidR="00C3471C" w:rsidRPr="00BF078B">
        <w:rPr>
          <w:sz w:val="24"/>
        </w:rPr>
        <w:t>1300 S. Evergreen Park Drive S.W., Olympia, W</w:t>
      </w:r>
      <w:r w:rsidR="00831F5B">
        <w:rPr>
          <w:sz w:val="24"/>
          <w:lang w:val="en-US"/>
        </w:rPr>
        <w:t>ashington</w:t>
      </w:r>
      <w:r w:rsidR="00C3471C" w:rsidRPr="00BF078B">
        <w:rPr>
          <w:sz w:val="24"/>
        </w:rPr>
        <w:t xml:space="preserve"> 98504.  </w:t>
      </w:r>
    </w:p>
    <w:p w14:paraId="3BE13D11" w14:textId="77777777" w:rsidR="00C3471C" w:rsidRPr="00BF078B" w:rsidRDefault="00C3471C" w:rsidP="00425F7D">
      <w:pPr>
        <w:spacing w:line="480" w:lineRule="auto"/>
        <w:ind w:left="720" w:hanging="720"/>
      </w:pPr>
    </w:p>
    <w:p w14:paraId="4AF09023" w14:textId="77777777" w:rsidR="00C3471C" w:rsidRPr="0042717A" w:rsidRDefault="00C3471C" w:rsidP="00425F7D">
      <w:pPr>
        <w:tabs>
          <w:tab w:val="left" w:pos="-1440"/>
        </w:tabs>
        <w:spacing w:line="480" w:lineRule="auto"/>
        <w:ind w:left="720" w:hanging="720"/>
        <w:rPr>
          <w:b/>
          <w:bCs/>
        </w:rPr>
      </w:pPr>
      <w:bookmarkStart w:id="8" w:name="_Toc338918142"/>
      <w:bookmarkStart w:id="9" w:name="_Toc339441703"/>
      <w:r w:rsidRPr="0042717A">
        <w:rPr>
          <w:b/>
          <w:bCs/>
        </w:rPr>
        <w:t>Q.</w:t>
      </w:r>
      <w:r w:rsidRPr="0042717A">
        <w:rPr>
          <w:b/>
          <w:bCs/>
        </w:rPr>
        <w:tab/>
        <w:t>By whom are you employed and in what capacity?</w:t>
      </w:r>
      <w:bookmarkEnd w:id="8"/>
      <w:bookmarkEnd w:id="9"/>
      <w:r w:rsidRPr="0042717A">
        <w:rPr>
          <w:b/>
          <w:bCs/>
        </w:rPr>
        <w:t xml:space="preserve">  </w:t>
      </w:r>
    </w:p>
    <w:p w14:paraId="09D67C30" w14:textId="77777777" w:rsidR="00C3471C" w:rsidRPr="00BF078B" w:rsidRDefault="00C3471C" w:rsidP="00425F7D">
      <w:pPr>
        <w:spacing w:line="480" w:lineRule="auto"/>
        <w:ind w:left="720" w:hanging="720"/>
      </w:pPr>
      <w:r w:rsidRPr="00BF078B">
        <w:t>A.</w:t>
      </w:r>
      <w:r w:rsidRPr="00BF078B">
        <w:tab/>
        <w:t xml:space="preserve">I am employed by the Washington Utilities and Transportation Commission </w:t>
      </w:r>
      <w:r w:rsidR="002A0204" w:rsidRPr="00BF078B">
        <w:t>(</w:t>
      </w:r>
      <w:r w:rsidR="00DC2EB4">
        <w:t>“</w:t>
      </w:r>
      <w:r w:rsidR="002A0204" w:rsidRPr="00BF078B">
        <w:t>Commission</w:t>
      </w:r>
      <w:r w:rsidR="00DC2EB4">
        <w:t>”</w:t>
      </w:r>
      <w:r w:rsidR="002A0204" w:rsidRPr="00BF078B">
        <w:t xml:space="preserve">) as </w:t>
      </w:r>
      <w:r w:rsidR="00AE6ACF">
        <w:t>the</w:t>
      </w:r>
      <w:r w:rsidR="002A0204" w:rsidRPr="00BF078B">
        <w:t xml:space="preserve"> </w:t>
      </w:r>
      <w:r w:rsidR="008A61F2" w:rsidRPr="008A61F2">
        <w:t>Assistant Power Supply Manager</w:t>
      </w:r>
      <w:r w:rsidR="006E6644">
        <w:t xml:space="preserve"> in the Energy Section of the Regulatory Services Division.</w:t>
      </w:r>
      <w:r w:rsidR="007464BC">
        <w:t xml:space="preserve">  </w:t>
      </w:r>
      <w:r w:rsidR="006E6644">
        <w:t xml:space="preserve">I attained this position </w:t>
      </w:r>
      <w:r w:rsidR="00AE6ACF">
        <w:t>on</w:t>
      </w:r>
      <w:r w:rsidR="006E6644">
        <w:t xml:space="preserve"> </w:t>
      </w:r>
      <w:r w:rsidR="009C1C01">
        <w:t>July 1, 2012</w:t>
      </w:r>
      <w:r w:rsidR="006E6644">
        <w:t xml:space="preserve">.  Prior to my current position, I was the </w:t>
      </w:r>
      <w:r w:rsidR="009C1C01" w:rsidRPr="009C1C01">
        <w:t xml:space="preserve">Deputy Assistant Director </w:t>
      </w:r>
      <w:r w:rsidR="006E6644">
        <w:t>in the Solid Waste and Water Section of the Regulatory Services Division.</w:t>
      </w:r>
    </w:p>
    <w:p w14:paraId="0466FF61" w14:textId="77777777" w:rsidR="00C3471C" w:rsidRPr="00BF078B" w:rsidRDefault="00C3471C" w:rsidP="00425F7D">
      <w:pPr>
        <w:spacing w:line="480" w:lineRule="auto"/>
        <w:ind w:left="720" w:hanging="720"/>
      </w:pPr>
    </w:p>
    <w:p w14:paraId="7E5FD9B7" w14:textId="77777777" w:rsidR="00C3471C" w:rsidRPr="00BF078B" w:rsidRDefault="00C3471C" w:rsidP="00425F7D">
      <w:pPr>
        <w:tabs>
          <w:tab w:val="left" w:pos="-1440"/>
        </w:tabs>
        <w:spacing w:line="480" w:lineRule="auto"/>
        <w:ind w:left="720" w:hanging="720"/>
      </w:pPr>
      <w:r w:rsidRPr="00BF078B">
        <w:rPr>
          <w:b/>
          <w:bCs/>
        </w:rPr>
        <w:t>Q.</w:t>
      </w:r>
      <w:r w:rsidRPr="00BF078B">
        <w:rPr>
          <w:b/>
          <w:bCs/>
        </w:rPr>
        <w:tab/>
        <w:t>How long have you been employed by the Commission?</w:t>
      </w:r>
    </w:p>
    <w:p w14:paraId="3E304B80" w14:textId="77777777" w:rsidR="00C3471C" w:rsidRPr="00BF078B" w:rsidRDefault="004828CF" w:rsidP="00425F7D">
      <w:pPr>
        <w:tabs>
          <w:tab w:val="left" w:pos="-1440"/>
        </w:tabs>
        <w:spacing w:line="480" w:lineRule="auto"/>
      </w:pPr>
      <w:r w:rsidRPr="00BF078B">
        <w:t>A.</w:t>
      </w:r>
      <w:r w:rsidRPr="00BF078B">
        <w:tab/>
      </w:r>
      <w:r w:rsidR="002A0204" w:rsidRPr="00BF078B">
        <w:t xml:space="preserve">I have been employed by the Commission since </w:t>
      </w:r>
      <w:r w:rsidR="008A61F2">
        <w:t>May 2007</w:t>
      </w:r>
      <w:r w:rsidR="00975981" w:rsidRPr="00BF078B">
        <w:t>.</w:t>
      </w:r>
    </w:p>
    <w:p w14:paraId="5DCD3774" w14:textId="77777777" w:rsidR="00C3471C" w:rsidRPr="00BF078B" w:rsidRDefault="00C3471C" w:rsidP="00425F7D">
      <w:pPr>
        <w:tabs>
          <w:tab w:val="left" w:pos="-1440"/>
        </w:tabs>
        <w:spacing w:line="480" w:lineRule="auto"/>
      </w:pPr>
    </w:p>
    <w:p w14:paraId="24D541B2" w14:textId="77777777" w:rsidR="00C3471C" w:rsidRPr="00BF078B" w:rsidRDefault="00C3471C" w:rsidP="00425F7D">
      <w:pPr>
        <w:tabs>
          <w:tab w:val="left" w:pos="-1440"/>
        </w:tabs>
        <w:spacing w:line="480" w:lineRule="auto"/>
        <w:ind w:left="720" w:hanging="720"/>
        <w:rPr>
          <w:b/>
          <w:bCs/>
        </w:rPr>
      </w:pPr>
      <w:r w:rsidRPr="00BF078B">
        <w:rPr>
          <w:b/>
          <w:bCs/>
        </w:rPr>
        <w:t>Q.</w:t>
      </w:r>
      <w:r w:rsidRPr="00BF078B">
        <w:rPr>
          <w:b/>
          <w:bCs/>
        </w:rPr>
        <w:tab/>
      </w:r>
      <w:r w:rsidR="00B57091">
        <w:rPr>
          <w:b/>
          <w:bCs/>
        </w:rPr>
        <w:t>P</w:t>
      </w:r>
      <w:r w:rsidRPr="00BF078B">
        <w:rPr>
          <w:b/>
          <w:bCs/>
        </w:rPr>
        <w:t>lease state your educational and professional background</w:t>
      </w:r>
      <w:r w:rsidR="00B57091">
        <w:rPr>
          <w:b/>
          <w:bCs/>
        </w:rPr>
        <w:t>.</w:t>
      </w:r>
    </w:p>
    <w:p w14:paraId="24461A5D" w14:textId="77777777" w:rsidR="006E6644" w:rsidRDefault="00C3471C" w:rsidP="00425F7D">
      <w:pPr>
        <w:pStyle w:val="BodyTextIndent"/>
        <w:rPr>
          <w:sz w:val="24"/>
        </w:rPr>
      </w:pPr>
      <w:r w:rsidRPr="00BF078B">
        <w:rPr>
          <w:sz w:val="24"/>
        </w:rPr>
        <w:t>A.</w:t>
      </w:r>
      <w:r w:rsidRPr="00BF078B">
        <w:rPr>
          <w:sz w:val="24"/>
        </w:rPr>
        <w:tab/>
      </w:r>
      <w:r w:rsidR="00041636" w:rsidRPr="00BF078B">
        <w:rPr>
          <w:sz w:val="24"/>
        </w:rPr>
        <w:t xml:space="preserve">I </w:t>
      </w:r>
      <w:r w:rsidR="00065144">
        <w:rPr>
          <w:sz w:val="24"/>
          <w:lang w:val="en-US"/>
        </w:rPr>
        <w:t>hold a</w:t>
      </w:r>
      <w:r w:rsidR="006E6644">
        <w:rPr>
          <w:sz w:val="24"/>
          <w:lang w:val="en-US"/>
        </w:rPr>
        <w:t xml:space="preserve"> Bachelor of Arts degree</w:t>
      </w:r>
      <w:r w:rsidR="00065144">
        <w:rPr>
          <w:sz w:val="24"/>
          <w:lang w:val="en-US"/>
        </w:rPr>
        <w:t xml:space="preserve"> in Business from Hamline University and a </w:t>
      </w:r>
      <w:r w:rsidR="006E6644">
        <w:rPr>
          <w:sz w:val="24"/>
          <w:lang w:val="en-US"/>
        </w:rPr>
        <w:t>M</w:t>
      </w:r>
      <w:r w:rsidR="00065144">
        <w:rPr>
          <w:sz w:val="24"/>
          <w:lang w:val="en-US"/>
        </w:rPr>
        <w:t xml:space="preserve">asters </w:t>
      </w:r>
      <w:r w:rsidR="006E6644">
        <w:rPr>
          <w:sz w:val="24"/>
          <w:lang w:val="en-US"/>
        </w:rPr>
        <w:t xml:space="preserve">of </w:t>
      </w:r>
      <w:r w:rsidR="00065144">
        <w:rPr>
          <w:sz w:val="24"/>
          <w:lang w:val="en-US"/>
        </w:rPr>
        <w:t>Business Administration</w:t>
      </w:r>
      <w:r w:rsidR="00065144" w:rsidRPr="00BF078B">
        <w:rPr>
          <w:sz w:val="24"/>
        </w:rPr>
        <w:t xml:space="preserve"> </w:t>
      </w:r>
      <w:r w:rsidR="006E6644">
        <w:rPr>
          <w:sz w:val="24"/>
          <w:lang w:val="en-US"/>
        </w:rPr>
        <w:t xml:space="preserve">degree </w:t>
      </w:r>
      <w:r w:rsidR="00041636" w:rsidRPr="00BF078B">
        <w:rPr>
          <w:sz w:val="24"/>
        </w:rPr>
        <w:t xml:space="preserve">from </w:t>
      </w:r>
      <w:r w:rsidR="008A61F2">
        <w:rPr>
          <w:sz w:val="24"/>
          <w:lang w:val="en-US"/>
        </w:rPr>
        <w:t>the University of Saint Thomas</w:t>
      </w:r>
      <w:r w:rsidR="00065144">
        <w:rPr>
          <w:sz w:val="24"/>
          <w:lang w:val="en-US"/>
        </w:rPr>
        <w:t xml:space="preserve">; both </w:t>
      </w:r>
      <w:r w:rsidR="00837CD7">
        <w:rPr>
          <w:sz w:val="24"/>
          <w:lang w:val="en-US"/>
        </w:rPr>
        <w:t xml:space="preserve">universities </w:t>
      </w:r>
      <w:r w:rsidR="00065144">
        <w:rPr>
          <w:sz w:val="24"/>
          <w:lang w:val="en-US"/>
        </w:rPr>
        <w:t xml:space="preserve">are located </w:t>
      </w:r>
      <w:r w:rsidR="00041636" w:rsidRPr="00BF078B">
        <w:rPr>
          <w:sz w:val="24"/>
        </w:rPr>
        <w:t xml:space="preserve">in </w:t>
      </w:r>
      <w:r w:rsidR="008A61F2">
        <w:rPr>
          <w:sz w:val="24"/>
          <w:lang w:val="en-US"/>
        </w:rPr>
        <w:t>Saint Paul</w:t>
      </w:r>
      <w:r w:rsidR="00041636" w:rsidRPr="00BF078B">
        <w:rPr>
          <w:sz w:val="24"/>
        </w:rPr>
        <w:t xml:space="preserve">, </w:t>
      </w:r>
      <w:r w:rsidR="008A61F2">
        <w:rPr>
          <w:sz w:val="24"/>
          <w:lang w:val="en-US"/>
        </w:rPr>
        <w:t>Minnesota</w:t>
      </w:r>
      <w:r w:rsidR="00041636" w:rsidRPr="00BF078B">
        <w:rPr>
          <w:sz w:val="24"/>
        </w:rPr>
        <w:t xml:space="preserve">.  </w:t>
      </w:r>
    </w:p>
    <w:p w14:paraId="306E2D50" w14:textId="77777777" w:rsidR="00041636" w:rsidRPr="00065144" w:rsidRDefault="00041636" w:rsidP="00425F7D">
      <w:pPr>
        <w:pStyle w:val="BodyTextIndent"/>
        <w:ind w:firstLine="720"/>
        <w:rPr>
          <w:sz w:val="24"/>
        </w:rPr>
      </w:pPr>
      <w:r w:rsidRPr="00BF078B">
        <w:rPr>
          <w:sz w:val="24"/>
        </w:rPr>
        <w:t xml:space="preserve">Before joining the Commission, my relevant professional experience consisted of </w:t>
      </w:r>
      <w:r w:rsidR="00CF535F">
        <w:rPr>
          <w:sz w:val="24"/>
          <w:lang w:val="en-US"/>
        </w:rPr>
        <w:t>2</w:t>
      </w:r>
      <w:r w:rsidR="00830E48">
        <w:rPr>
          <w:sz w:val="24"/>
          <w:lang w:val="en-US"/>
        </w:rPr>
        <w:t>5</w:t>
      </w:r>
      <w:r w:rsidRPr="00BF078B">
        <w:rPr>
          <w:sz w:val="24"/>
        </w:rPr>
        <w:t xml:space="preserve"> years in a variety of fields, including management, </w:t>
      </w:r>
      <w:r w:rsidR="000D6B5D">
        <w:rPr>
          <w:sz w:val="24"/>
          <w:lang w:val="en-US"/>
        </w:rPr>
        <w:t xml:space="preserve">contracting, </w:t>
      </w:r>
      <w:r w:rsidR="00BE16E1">
        <w:rPr>
          <w:sz w:val="24"/>
          <w:lang w:val="en-US"/>
        </w:rPr>
        <w:t>supply chain, procurement, operations and engineering</w:t>
      </w:r>
      <w:r w:rsidRPr="00BF078B">
        <w:rPr>
          <w:sz w:val="24"/>
        </w:rPr>
        <w:t>.</w:t>
      </w:r>
      <w:r w:rsidR="00065144">
        <w:rPr>
          <w:sz w:val="24"/>
          <w:lang w:val="en-US"/>
        </w:rPr>
        <w:t xml:space="preserve">  I </w:t>
      </w:r>
      <w:r w:rsidR="00837CD7">
        <w:rPr>
          <w:sz w:val="24"/>
          <w:lang w:val="en-US"/>
        </w:rPr>
        <w:t>hold</w:t>
      </w:r>
      <w:r w:rsidR="00065144">
        <w:rPr>
          <w:sz w:val="24"/>
          <w:lang w:val="en-US"/>
        </w:rPr>
        <w:t xml:space="preserve"> professional </w:t>
      </w:r>
      <w:r w:rsidR="00065144">
        <w:rPr>
          <w:sz w:val="24"/>
          <w:lang w:val="en-US"/>
        </w:rPr>
        <w:lastRenderedPageBreak/>
        <w:t>certifications from the Institute for Supply Management (ISM)</w:t>
      </w:r>
      <w:r w:rsidR="000D6B5D">
        <w:rPr>
          <w:sz w:val="24"/>
          <w:lang w:val="en-US"/>
        </w:rPr>
        <w:t>;</w:t>
      </w:r>
      <w:r w:rsidR="00065144">
        <w:rPr>
          <w:sz w:val="24"/>
          <w:lang w:val="en-US"/>
        </w:rPr>
        <w:t xml:space="preserve"> APICS -</w:t>
      </w:r>
      <w:r w:rsidR="00065144" w:rsidRPr="00065144">
        <w:rPr>
          <w:sz w:val="24"/>
          <w:lang w:val="en-US"/>
        </w:rPr>
        <w:t xml:space="preserve"> The Association for Operations Management</w:t>
      </w:r>
      <w:r w:rsidR="000D6B5D">
        <w:rPr>
          <w:sz w:val="24"/>
          <w:lang w:val="en-US"/>
        </w:rPr>
        <w:t>;</w:t>
      </w:r>
      <w:r w:rsidR="00065144">
        <w:rPr>
          <w:sz w:val="24"/>
          <w:lang w:val="en-US"/>
        </w:rPr>
        <w:t xml:space="preserve"> Universal Public Procurement Council (UPPC)</w:t>
      </w:r>
      <w:r w:rsidR="006E6644">
        <w:rPr>
          <w:sz w:val="24"/>
          <w:lang w:val="en-US"/>
        </w:rPr>
        <w:t>;</w:t>
      </w:r>
      <w:r w:rsidR="00065144">
        <w:rPr>
          <w:sz w:val="24"/>
          <w:lang w:val="en-US"/>
        </w:rPr>
        <w:t xml:space="preserve"> and QAI Global Institute (Software Testing).</w:t>
      </w:r>
    </w:p>
    <w:p w14:paraId="0DCD3380" w14:textId="250D18B8" w:rsidR="00041636" w:rsidRPr="007B6AA7" w:rsidRDefault="00041636" w:rsidP="00425F7D">
      <w:pPr>
        <w:pStyle w:val="BodyTextIndent"/>
        <w:rPr>
          <w:sz w:val="24"/>
        </w:rPr>
      </w:pPr>
      <w:r w:rsidRPr="00BF078B">
        <w:rPr>
          <w:sz w:val="24"/>
        </w:rPr>
        <w:tab/>
      </w:r>
      <w:r w:rsidR="00393F77">
        <w:rPr>
          <w:sz w:val="24"/>
          <w:lang w:val="en-US"/>
        </w:rPr>
        <w:tab/>
      </w:r>
      <w:r w:rsidR="009452A0">
        <w:rPr>
          <w:sz w:val="24"/>
          <w:lang w:val="en-US"/>
        </w:rPr>
        <w:t xml:space="preserve">While employed </w:t>
      </w:r>
      <w:r w:rsidRPr="00BF078B">
        <w:rPr>
          <w:sz w:val="24"/>
        </w:rPr>
        <w:t>at the Commission, I have</w:t>
      </w:r>
      <w:r w:rsidR="005A091F">
        <w:rPr>
          <w:sz w:val="24"/>
          <w:lang w:val="en-US"/>
        </w:rPr>
        <w:t xml:space="preserve"> </w:t>
      </w:r>
      <w:r w:rsidRPr="00BF078B">
        <w:rPr>
          <w:sz w:val="24"/>
        </w:rPr>
        <w:t>perform</w:t>
      </w:r>
      <w:r w:rsidR="005A091F">
        <w:rPr>
          <w:sz w:val="24"/>
          <w:lang w:val="en-US"/>
        </w:rPr>
        <w:t>ed</w:t>
      </w:r>
      <w:r w:rsidRPr="00BF078B">
        <w:rPr>
          <w:sz w:val="24"/>
        </w:rPr>
        <w:t xml:space="preserve"> accounting and financial analysis of regulated utility </w:t>
      </w:r>
      <w:r w:rsidR="00BE16E1">
        <w:rPr>
          <w:sz w:val="24"/>
          <w:lang w:val="en-US"/>
        </w:rPr>
        <w:t xml:space="preserve">and transportation </w:t>
      </w:r>
      <w:r w:rsidRPr="00BF078B">
        <w:rPr>
          <w:sz w:val="24"/>
        </w:rPr>
        <w:t>companies</w:t>
      </w:r>
      <w:r w:rsidR="00AE6ACF">
        <w:rPr>
          <w:sz w:val="24"/>
          <w:lang w:val="en-US"/>
        </w:rPr>
        <w:t>,</w:t>
      </w:r>
      <w:r w:rsidR="00BE16E1">
        <w:rPr>
          <w:sz w:val="24"/>
          <w:lang w:val="en-US"/>
        </w:rPr>
        <w:t xml:space="preserve"> as well as legislative and policy analysis</w:t>
      </w:r>
      <w:r w:rsidRPr="00BF078B">
        <w:rPr>
          <w:sz w:val="24"/>
        </w:rPr>
        <w:t xml:space="preserve">.  </w:t>
      </w:r>
      <w:r w:rsidR="006E6644">
        <w:rPr>
          <w:sz w:val="24"/>
          <w:lang w:val="en-US"/>
        </w:rPr>
        <w:t xml:space="preserve">I presented testimony </w:t>
      </w:r>
      <w:r w:rsidR="002828FB">
        <w:rPr>
          <w:sz w:val="24"/>
          <w:lang w:val="en-US"/>
        </w:rPr>
        <w:t xml:space="preserve">on behalf of Commission </w:t>
      </w:r>
      <w:r w:rsidR="00837CD7">
        <w:rPr>
          <w:sz w:val="24"/>
          <w:lang w:val="en-US"/>
        </w:rPr>
        <w:t xml:space="preserve">Staff </w:t>
      </w:r>
      <w:r w:rsidR="006E6644">
        <w:rPr>
          <w:sz w:val="24"/>
          <w:lang w:val="en-US"/>
        </w:rPr>
        <w:t xml:space="preserve">in </w:t>
      </w:r>
      <w:r w:rsidR="00397DCA">
        <w:rPr>
          <w:sz w:val="24"/>
          <w:lang w:val="en-US"/>
        </w:rPr>
        <w:t xml:space="preserve">Docket UE-121373, </w:t>
      </w:r>
      <w:r w:rsidR="00AE6ACF">
        <w:rPr>
          <w:sz w:val="24"/>
          <w:lang w:val="en-US"/>
        </w:rPr>
        <w:t xml:space="preserve">regarding the </w:t>
      </w:r>
      <w:r w:rsidR="00BA7E77" w:rsidRPr="00BA7E77">
        <w:rPr>
          <w:sz w:val="24"/>
          <w:lang w:val="en-US"/>
        </w:rPr>
        <w:t>Coal Transition Power Purchase Agreement</w:t>
      </w:r>
      <w:r w:rsidR="00BA7E77">
        <w:rPr>
          <w:sz w:val="24"/>
          <w:lang w:val="en-US"/>
        </w:rPr>
        <w:t xml:space="preserve"> </w:t>
      </w:r>
      <w:r w:rsidR="00397DCA">
        <w:rPr>
          <w:sz w:val="24"/>
          <w:lang w:val="en-US"/>
        </w:rPr>
        <w:t xml:space="preserve">between </w:t>
      </w:r>
      <w:r w:rsidR="00BA7E77" w:rsidRPr="00BA7E77">
        <w:rPr>
          <w:sz w:val="24"/>
          <w:lang w:val="en-US"/>
        </w:rPr>
        <w:t>Puget Sound Energy, Inc.</w:t>
      </w:r>
      <w:r w:rsidR="00397DCA">
        <w:rPr>
          <w:sz w:val="24"/>
          <w:lang w:val="en-US"/>
        </w:rPr>
        <w:t xml:space="preserve"> and </w:t>
      </w:r>
      <w:r w:rsidR="00BA7E77" w:rsidRPr="00BA7E77">
        <w:rPr>
          <w:sz w:val="24"/>
          <w:lang w:val="en-US"/>
        </w:rPr>
        <w:t>TransAlta Centralia Generation LLC</w:t>
      </w:r>
      <w:r w:rsidR="008A4AC4">
        <w:rPr>
          <w:sz w:val="24"/>
          <w:lang w:val="en-US"/>
        </w:rPr>
        <w:t>;</w:t>
      </w:r>
      <w:r w:rsidR="00830E48">
        <w:rPr>
          <w:sz w:val="24"/>
          <w:lang w:val="en-US"/>
        </w:rPr>
        <w:t xml:space="preserve"> </w:t>
      </w:r>
      <w:r w:rsidR="00F62039" w:rsidRPr="00F62039">
        <w:rPr>
          <w:sz w:val="24"/>
          <w:lang w:val="en-US"/>
        </w:rPr>
        <w:t>Docket</w:t>
      </w:r>
      <w:r w:rsidR="00A70D69">
        <w:rPr>
          <w:sz w:val="24"/>
          <w:lang w:val="en-US"/>
        </w:rPr>
        <w:t>s</w:t>
      </w:r>
      <w:r w:rsidR="00F62039" w:rsidRPr="00F62039">
        <w:rPr>
          <w:sz w:val="24"/>
          <w:lang w:val="en-US"/>
        </w:rPr>
        <w:t xml:space="preserve"> UE-130043</w:t>
      </w:r>
      <w:r w:rsidR="00A70D69">
        <w:rPr>
          <w:sz w:val="24"/>
          <w:lang w:val="en-US"/>
        </w:rPr>
        <w:t xml:space="preserve"> and UE-140762</w:t>
      </w:r>
      <w:r w:rsidR="00F62039" w:rsidRPr="00F62039">
        <w:rPr>
          <w:sz w:val="24"/>
          <w:lang w:val="en-US"/>
        </w:rPr>
        <w:t xml:space="preserve">, </w:t>
      </w:r>
      <w:r w:rsidR="00B27669">
        <w:rPr>
          <w:sz w:val="24"/>
          <w:lang w:val="en-US"/>
        </w:rPr>
        <w:t>Pacific Power &amp; Light Company</w:t>
      </w:r>
      <w:r w:rsidR="00F62039" w:rsidRPr="00F62039">
        <w:rPr>
          <w:sz w:val="24"/>
          <w:lang w:val="en-US"/>
        </w:rPr>
        <w:t>’s</w:t>
      </w:r>
      <w:r w:rsidR="00B27669">
        <w:rPr>
          <w:sz w:val="24"/>
          <w:lang w:val="en-US"/>
        </w:rPr>
        <w:t xml:space="preserve"> (Pacific Power)</w:t>
      </w:r>
      <w:r w:rsidR="00F62039" w:rsidRPr="00F62039">
        <w:rPr>
          <w:sz w:val="24"/>
          <w:lang w:val="en-US"/>
        </w:rPr>
        <w:t xml:space="preserve"> 2013 </w:t>
      </w:r>
      <w:r w:rsidR="00A70D69">
        <w:rPr>
          <w:sz w:val="24"/>
          <w:lang w:val="en-US"/>
        </w:rPr>
        <w:t xml:space="preserve">and 2014 </w:t>
      </w:r>
      <w:r w:rsidR="00F62039" w:rsidRPr="00F62039">
        <w:rPr>
          <w:sz w:val="24"/>
          <w:lang w:val="en-US"/>
        </w:rPr>
        <w:t>general rate case</w:t>
      </w:r>
      <w:r w:rsidR="00A70D69">
        <w:rPr>
          <w:sz w:val="24"/>
          <w:lang w:val="en-US"/>
        </w:rPr>
        <w:t>s</w:t>
      </w:r>
      <w:r w:rsidR="008A4AC4">
        <w:rPr>
          <w:sz w:val="24"/>
          <w:lang w:val="en-US"/>
        </w:rPr>
        <w:t>;</w:t>
      </w:r>
      <w:r w:rsidR="00F62039">
        <w:rPr>
          <w:sz w:val="24"/>
          <w:lang w:val="en-US"/>
        </w:rPr>
        <w:t xml:space="preserve"> and </w:t>
      </w:r>
      <w:r w:rsidR="002828FB">
        <w:rPr>
          <w:sz w:val="24"/>
          <w:lang w:val="en-US"/>
        </w:rPr>
        <w:t xml:space="preserve">Docket </w:t>
      </w:r>
      <w:r w:rsidR="00F62039" w:rsidRPr="00F62039">
        <w:rPr>
          <w:sz w:val="24"/>
          <w:lang w:val="en-US"/>
        </w:rPr>
        <w:t>UE</w:t>
      </w:r>
      <w:r w:rsidR="00113890">
        <w:rPr>
          <w:sz w:val="24"/>
          <w:lang w:val="en-US"/>
        </w:rPr>
        <w:t>-1</w:t>
      </w:r>
      <w:r w:rsidR="00F62039" w:rsidRPr="00F62039">
        <w:rPr>
          <w:sz w:val="24"/>
          <w:lang w:val="en-US"/>
        </w:rPr>
        <w:t>30617</w:t>
      </w:r>
      <w:r w:rsidR="00F62039">
        <w:rPr>
          <w:sz w:val="24"/>
          <w:lang w:val="en-US"/>
        </w:rPr>
        <w:t>, Puget Sound Energy’s 2013 Power Cost Only Rate Case (PCORC)</w:t>
      </w:r>
      <w:r w:rsidR="006E6644">
        <w:rPr>
          <w:sz w:val="24"/>
          <w:lang w:val="en-US"/>
        </w:rPr>
        <w:t>.</w:t>
      </w:r>
      <w:r w:rsidR="00397DCA">
        <w:rPr>
          <w:sz w:val="24"/>
          <w:lang w:val="en-US"/>
        </w:rPr>
        <w:t xml:space="preserve">  </w:t>
      </w:r>
      <w:r w:rsidR="00A70D69">
        <w:rPr>
          <w:sz w:val="24"/>
          <w:lang w:val="en-US"/>
        </w:rPr>
        <w:t xml:space="preserve">I also provided testimony in Avista’s </w:t>
      </w:r>
      <w:r w:rsidR="00940C95">
        <w:rPr>
          <w:sz w:val="24"/>
          <w:lang w:val="en-US"/>
        </w:rPr>
        <w:t xml:space="preserve">last </w:t>
      </w:r>
      <w:r w:rsidR="00A70D69">
        <w:rPr>
          <w:sz w:val="24"/>
          <w:lang w:val="en-US"/>
        </w:rPr>
        <w:t xml:space="preserve">general rate case, </w:t>
      </w:r>
      <w:r w:rsidR="007C6E37" w:rsidRPr="007C6E37">
        <w:rPr>
          <w:i/>
          <w:sz w:val="24"/>
          <w:lang w:val="en-US"/>
        </w:rPr>
        <w:t>Washington Util</w:t>
      </w:r>
      <w:r w:rsidR="007C6E37">
        <w:rPr>
          <w:i/>
          <w:sz w:val="24"/>
          <w:lang w:val="en-US"/>
        </w:rPr>
        <w:t>i</w:t>
      </w:r>
      <w:r w:rsidR="007C6E37" w:rsidRPr="007C6E37">
        <w:rPr>
          <w:i/>
          <w:sz w:val="24"/>
          <w:lang w:val="en-US"/>
        </w:rPr>
        <w:t>ties and Transportation Commission v. Avista Corp.</w:t>
      </w:r>
      <w:r w:rsidR="007C6E37">
        <w:rPr>
          <w:sz w:val="24"/>
          <w:lang w:val="en-US"/>
        </w:rPr>
        <w:t xml:space="preserve">, Docket </w:t>
      </w:r>
      <w:r w:rsidR="00A70D69">
        <w:rPr>
          <w:sz w:val="24"/>
          <w:lang w:val="en-US"/>
        </w:rPr>
        <w:t>UE-140188</w:t>
      </w:r>
      <w:r w:rsidR="007C6E37">
        <w:rPr>
          <w:sz w:val="24"/>
          <w:lang w:val="en-US"/>
        </w:rPr>
        <w:t xml:space="preserve"> (UE-140188)</w:t>
      </w:r>
      <w:r w:rsidR="00A70D69">
        <w:rPr>
          <w:sz w:val="24"/>
          <w:lang w:val="en-US"/>
        </w:rPr>
        <w:t>.</w:t>
      </w:r>
      <w:r w:rsidR="00940C95">
        <w:rPr>
          <w:sz w:val="24"/>
          <w:lang w:val="en-US"/>
        </w:rPr>
        <w:t xml:space="preserve">  </w:t>
      </w:r>
      <w:r w:rsidR="006E6644">
        <w:rPr>
          <w:sz w:val="24"/>
          <w:lang w:val="en-US"/>
        </w:rPr>
        <w:t xml:space="preserve">I </w:t>
      </w:r>
      <w:r w:rsidR="005A091F">
        <w:rPr>
          <w:sz w:val="24"/>
          <w:lang w:val="en-US"/>
        </w:rPr>
        <w:t xml:space="preserve">have </w:t>
      </w:r>
      <w:r w:rsidR="000F3BFF">
        <w:rPr>
          <w:sz w:val="24"/>
          <w:lang w:val="en-US"/>
        </w:rPr>
        <w:t>provided</w:t>
      </w:r>
      <w:r w:rsidR="006E6644">
        <w:rPr>
          <w:sz w:val="24"/>
          <w:lang w:val="en-US"/>
        </w:rPr>
        <w:t xml:space="preserve"> Staff recommendations to the Commission at numerous open meetings, and work</w:t>
      </w:r>
      <w:r w:rsidR="005A091F">
        <w:rPr>
          <w:sz w:val="24"/>
          <w:lang w:val="en-US"/>
        </w:rPr>
        <w:t>ed</w:t>
      </w:r>
      <w:r w:rsidR="006E6644">
        <w:rPr>
          <w:sz w:val="24"/>
          <w:lang w:val="en-US"/>
        </w:rPr>
        <w:t xml:space="preserve"> on various </w:t>
      </w:r>
      <w:r w:rsidR="002828FB">
        <w:rPr>
          <w:sz w:val="24"/>
          <w:lang w:val="en-US"/>
        </w:rPr>
        <w:t xml:space="preserve">Commission </w:t>
      </w:r>
      <w:r w:rsidR="006E6644">
        <w:rPr>
          <w:sz w:val="24"/>
          <w:lang w:val="en-US"/>
        </w:rPr>
        <w:t>rulemakings.</w:t>
      </w:r>
    </w:p>
    <w:p w14:paraId="143D7C63" w14:textId="5D4BA877" w:rsidR="00DC40BC" w:rsidRPr="007C1BF2" w:rsidRDefault="00DC40BC" w:rsidP="00425F7D">
      <w:pPr>
        <w:pStyle w:val="BodyTextIndent"/>
        <w:rPr>
          <w:sz w:val="24"/>
          <w:lang w:val="en-US"/>
        </w:rPr>
      </w:pPr>
    </w:p>
    <w:p w14:paraId="15D98F00" w14:textId="77777777" w:rsidR="00DC40BC" w:rsidRPr="0042717A" w:rsidRDefault="009C17AC" w:rsidP="00425F7D">
      <w:pPr>
        <w:pStyle w:val="Heading1"/>
        <w:spacing w:line="240" w:lineRule="auto"/>
        <w:jc w:val="center"/>
        <w:rPr>
          <w:sz w:val="24"/>
        </w:rPr>
      </w:pPr>
      <w:bookmarkStart w:id="10" w:name="_Toc339441704"/>
      <w:bookmarkStart w:id="11" w:name="_Toc339615392"/>
      <w:bookmarkStart w:id="12" w:name="_Toc425172437"/>
      <w:bookmarkStart w:id="13" w:name="_Toc425328738"/>
      <w:bookmarkStart w:id="14" w:name="_Toc425339182"/>
      <w:bookmarkStart w:id="15" w:name="_Toc425756859"/>
      <w:r w:rsidRPr="0042717A">
        <w:rPr>
          <w:sz w:val="24"/>
        </w:rPr>
        <w:t>II.</w:t>
      </w:r>
      <w:r w:rsidRPr="0042717A">
        <w:rPr>
          <w:sz w:val="24"/>
        </w:rPr>
        <w:tab/>
      </w:r>
      <w:bookmarkEnd w:id="10"/>
      <w:bookmarkEnd w:id="11"/>
      <w:r w:rsidR="00331476" w:rsidRPr="00331476">
        <w:rPr>
          <w:sz w:val="24"/>
        </w:rPr>
        <w:t xml:space="preserve">SCOPE </w:t>
      </w:r>
      <w:r w:rsidR="00A1023E">
        <w:rPr>
          <w:sz w:val="24"/>
          <w:lang w:val="en-US"/>
        </w:rPr>
        <w:t xml:space="preserve">AND SUMMARY </w:t>
      </w:r>
      <w:r w:rsidR="00331476" w:rsidRPr="00331476">
        <w:rPr>
          <w:sz w:val="24"/>
        </w:rPr>
        <w:t>OF TESTIMONY</w:t>
      </w:r>
      <w:bookmarkEnd w:id="12"/>
      <w:bookmarkEnd w:id="13"/>
      <w:bookmarkEnd w:id="14"/>
      <w:bookmarkEnd w:id="15"/>
    </w:p>
    <w:p w14:paraId="564FACD8" w14:textId="77777777" w:rsidR="00466AFC" w:rsidRDefault="00466AFC" w:rsidP="00425F7D">
      <w:pPr>
        <w:tabs>
          <w:tab w:val="left" w:pos="-1440"/>
        </w:tabs>
        <w:spacing w:line="480" w:lineRule="auto"/>
        <w:ind w:left="720" w:hanging="720"/>
        <w:rPr>
          <w:b/>
          <w:bCs/>
        </w:rPr>
      </w:pPr>
    </w:p>
    <w:p w14:paraId="49A6BD00" w14:textId="77777777" w:rsidR="00F6576E" w:rsidRPr="00BF078B" w:rsidRDefault="00F6576E" w:rsidP="00425F7D">
      <w:pPr>
        <w:tabs>
          <w:tab w:val="left" w:pos="-1440"/>
        </w:tabs>
        <w:spacing w:line="480" w:lineRule="auto"/>
        <w:ind w:left="720" w:hanging="720"/>
        <w:rPr>
          <w:b/>
          <w:bCs/>
        </w:rPr>
      </w:pPr>
      <w:r w:rsidRPr="00BF078B">
        <w:rPr>
          <w:b/>
          <w:bCs/>
        </w:rPr>
        <w:t>Q.</w:t>
      </w:r>
      <w:r w:rsidRPr="00BF078B">
        <w:rPr>
          <w:b/>
          <w:bCs/>
        </w:rPr>
        <w:tab/>
      </w:r>
      <w:r>
        <w:rPr>
          <w:b/>
          <w:bCs/>
        </w:rPr>
        <w:t xml:space="preserve">What is the </w:t>
      </w:r>
      <w:r w:rsidR="00FC0CF3">
        <w:rPr>
          <w:b/>
          <w:bCs/>
        </w:rPr>
        <w:t>scope</w:t>
      </w:r>
      <w:r w:rsidR="00827E4F">
        <w:rPr>
          <w:b/>
          <w:bCs/>
        </w:rPr>
        <w:t xml:space="preserve"> of your testimony in this proceeding?</w:t>
      </w:r>
    </w:p>
    <w:p w14:paraId="783F383C" w14:textId="2DB1D1DA" w:rsidR="00A51AB1" w:rsidRDefault="00F6576E" w:rsidP="00425F7D">
      <w:pPr>
        <w:pStyle w:val="BodyTextIndent"/>
        <w:rPr>
          <w:sz w:val="24"/>
          <w:lang w:val="en-US"/>
        </w:rPr>
      </w:pPr>
      <w:r>
        <w:rPr>
          <w:sz w:val="24"/>
          <w:lang w:val="en-US"/>
        </w:rPr>
        <w:t>A.</w:t>
      </w:r>
      <w:r>
        <w:rPr>
          <w:sz w:val="24"/>
          <w:lang w:val="en-US"/>
        </w:rPr>
        <w:tab/>
      </w:r>
      <w:r w:rsidR="00A51AB1">
        <w:rPr>
          <w:sz w:val="24"/>
          <w:lang w:val="en-US"/>
        </w:rPr>
        <w:t xml:space="preserve">My testimony </w:t>
      </w:r>
      <w:r w:rsidR="00F0580C">
        <w:rPr>
          <w:sz w:val="24"/>
          <w:lang w:val="en-US"/>
        </w:rPr>
        <w:t>is co</w:t>
      </w:r>
      <w:r w:rsidR="00A51AB1">
        <w:rPr>
          <w:sz w:val="24"/>
          <w:lang w:val="en-US"/>
        </w:rPr>
        <w:t>ncentrate</w:t>
      </w:r>
      <w:r w:rsidR="00F0580C">
        <w:rPr>
          <w:sz w:val="24"/>
          <w:lang w:val="en-US"/>
        </w:rPr>
        <w:t>d</w:t>
      </w:r>
      <w:r w:rsidR="00A51AB1">
        <w:rPr>
          <w:sz w:val="24"/>
          <w:lang w:val="en-US"/>
        </w:rPr>
        <w:t xml:space="preserve"> on </w:t>
      </w:r>
      <w:r w:rsidR="00AE1629">
        <w:rPr>
          <w:sz w:val="24"/>
          <w:lang w:val="en-US"/>
        </w:rPr>
        <w:t>A</w:t>
      </w:r>
      <w:r w:rsidR="00F0580C">
        <w:rPr>
          <w:sz w:val="24"/>
          <w:lang w:val="en-US"/>
        </w:rPr>
        <w:t>vista Corporation’s (</w:t>
      </w:r>
      <w:r w:rsidR="00B27669">
        <w:rPr>
          <w:sz w:val="24"/>
          <w:lang w:val="en-US"/>
        </w:rPr>
        <w:t>“</w:t>
      </w:r>
      <w:r w:rsidR="00F0580C">
        <w:rPr>
          <w:sz w:val="24"/>
          <w:lang w:val="en-US"/>
        </w:rPr>
        <w:t>Avista</w:t>
      </w:r>
      <w:r w:rsidR="00B27669">
        <w:rPr>
          <w:sz w:val="24"/>
          <w:lang w:val="en-US"/>
        </w:rPr>
        <w:t>”</w:t>
      </w:r>
      <w:r w:rsidR="00F0580C">
        <w:rPr>
          <w:sz w:val="24"/>
          <w:lang w:val="en-US"/>
        </w:rPr>
        <w:t xml:space="preserve"> or </w:t>
      </w:r>
      <w:r w:rsidR="00B27669">
        <w:rPr>
          <w:sz w:val="24"/>
          <w:lang w:val="en-US"/>
        </w:rPr>
        <w:t>“</w:t>
      </w:r>
      <w:r w:rsidR="00F0580C">
        <w:rPr>
          <w:sz w:val="24"/>
          <w:lang w:val="en-US"/>
        </w:rPr>
        <w:t>Company</w:t>
      </w:r>
      <w:r w:rsidR="00B27669">
        <w:rPr>
          <w:sz w:val="24"/>
          <w:lang w:val="en-US"/>
        </w:rPr>
        <w:t>”</w:t>
      </w:r>
      <w:r w:rsidR="00F0580C">
        <w:rPr>
          <w:sz w:val="24"/>
          <w:lang w:val="en-US"/>
        </w:rPr>
        <w:t>) 2</w:t>
      </w:r>
      <w:r w:rsidR="00A51AB1">
        <w:rPr>
          <w:sz w:val="24"/>
          <w:lang w:val="en-US"/>
        </w:rPr>
        <w:t xml:space="preserve">015 </w:t>
      </w:r>
      <w:r w:rsidR="00285720">
        <w:rPr>
          <w:sz w:val="24"/>
          <w:lang w:val="en-US"/>
        </w:rPr>
        <w:t>End-of-Period (EOP)</w:t>
      </w:r>
      <w:r w:rsidR="00285720" w:rsidDel="00285720">
        <w:rPr>
          <w:sz w:val="24"/>
          <w:lang w:val="en-US"/>
        </w:rPr>
        <w:t xml:space="preserve"> </w:t>
      </w:r>
      <w:r w:rsidR="00FF48F5" w:rsidRPr="00FF48F5">
        <w:rPr>
          <w:sz w:val="24"/>
          <w:lang w:val="en-US"/>
        </w:rPr>
        <w:t>“pro forma cross check” (</w:t>
      </w:r>
      <w:r w:rsidR="00DD14F4">
        <w:rPr>
          <w:sz w:val="24"/>
          <w:lang w:val="en-US"/>
        </w:rPr>
        <w:t>“</w:t>
      </w:r>
      <w:r w:rsidR="00FF48F5" w:rsidRPr="00FF48F5">
        <w:rPr>
          <w:sz w:val="24"/>
          <w:lang w:val="en-US"/>
        </w:rPr>
        <w:t>cross check</w:t>
      </w:r>
      <w:r w:rsidR="00DD14F4">
        <w:rPr>
          <w:sz w:val="24"/>
          <w:lang w:val="en-US"/>
        </w:rPr>
        <w:t>”</w:t>
      </w:r>
      <w:r w:rsidR="00FF48F5" w:rsidRPr="00FF48F5">
        <w:rPr>
          <w:sz w:val="24"/>
          <w:lang w:val="en-US"/>
        </w:rPr>
        <w:t>)</w:t>
      </w:r>
      <w:r w:rsidR="00A51AB1">
        <w:rPr>
          <w:sz w:val="24"/>
          <w:lang w:val="en-US"/>
        </w:rPr>
        <w:t xml:space="preserve"> estimates of </w:t>
      </w:r>
      <w:r w:rsidR="00A51AB1">
        <w:rPr>
          <w:sz w:val="24"/>
          <w:lang w:val="en-US"/>
        </w:rPr>
        <w:lastRenderedPageBreak/>
        <w:t>capital additions</w:t>
      </w:r>
      <w:r w:rsidR="00253FF2">
        <w:rPr>
          <w:rStyle w:val="FootnoteReference"/>
          <w:sz w:val="24"/>
          <w:lang w:val="en-US"/>
        </w:rPr>
        <w:footnoteReference w:id="2"/>
      </w:r>
      <w:r w:rsidR="00A51AB1">
        <w:rPr>
          <w:sz w:val="24"/>
          <w:lang w:val="en-US"/>
        </w:rPr>
        <w:t xml:space="preserve"> and </w:t>
      </w:r>
      <w:r w:rsidR="00D54910">
        <w:rPr>
          <w:sz w:val="24"/>
          <w:lang w:val="en-US"/>
        </w:rPr>
        <w:t xml:space="preserve">whether </w:t>
      </w:r>
      <w:r w:rsidR="00285720">
        <w:rPr>
          <w:sz w:val="24"/>
          <w:lang w:val="en-US"/>
        </w:rPr>
        <w:t>the cross check</w:t>
      </w:r>
      <w:r w:rsidR="007D0D7E">
        <w:rPr>
          <w:sz w:val="24"/>
          <w:lang w:val="en-US"/>
        </w:rPr>
        <w:t xml:space="preserve"> </w:t>
      </w:r>
      <w:r w:rsidR="00A51AB1">
        <w:rPr>
          <w:sz w:val="24"/>
          <w:lang w:val="en-US"/>
        </w:rPr>
        <w:t>validate</w:t>
      </w:r>
      <w:r w:rsidR="007D0D7E">
        <w:rPr>
          <w:sz w:val="24"/>
          <w:lang w:val="en-US"/>
        </w:rPr>
        <w:t>s</w:t>
      </w:r>
      <w:r w:rsidR="00A51AB1">
        <w:rPr>
          <w:sz w:val="24"/>
          <w:lang w:val="en-US"/>
        </w:rPr>
        <w:t xml:space="preserve"> </w:t>
      </w:r>
      <w:r w:rsidR="00D54910">
        <w:rPr>
          <w:sz w:val="24"/>
          <w:lang w:val="en-US"/>
        </w:rPr>
        <w:t xml:space="preserve">the </w:t>
      </w:r>
      <w:r w:rsidR="007D0D7E">
        <w:rPr>
          <w:sz w:val="24"/>
          <w:lang w:val="en-US"/>
        </w:rPr>
        <w:t xml:space="preserve">Company’s </w:t>
      </w:r>
      <w:r w:rsidR="001B7AC2">
        <w:rPr>
          <w:sz w:val="24"/>
          <w:lang w:val="en-US"/>
        </w:rPr>
        <w:t xml:space="preserve">assertion </w:t>
      </w:r>
      <w:r w:rsidR="007D0D7E">
        <w:rPr>
          <w:sz w:val="24"/>
          <w:lang w:val="en-US"/>
        </w:rPr>
        <w:t xml:space="preserve">that it is experiencing </w:t>
      </w:r>
      <w:r w:rsidR="00A51AB1">
        <w:rPr>
          <w:sz w:val="24"/>
          <w:lang w:val="en-US"/>
        </w:rPr>
        <w:t>on-going attrition and therefore justif</w:t>
      </w:r>
      <w:r w:rsidR="007D0D7E">
        <w:rPr>
          <w:sz w:val="24"/>
          <w:lang w:val="en-US"/>
        </w:rPr>
        <w:t>ies</w:t>
      </w:r>
      <w:r w:rsidR="00A51AB1">
        <w:rPr>
          <w:sz w:val="24"/>
          <w:lang w:val="en-US"/>
        </w:rPr>
        <w:t xml:space="preserve"> the rate relief being sought by the Company in this case.</w:t>
      </w:r>
      <w:r w:rsidR="00A51AB1">
        <w:rPr>
          <w:rStyle w:val="FootnoteReference"/>
          <w:sz w:val="24"/>
          <w:lang w:val="en-US"/>
        </w:rPr>
        <w:footnoteReference w:id="3"/>
      </w:r>
      <w:r w:rsidR="00A51AB1">
        <w:rPr>
          <w:sz w:val="24"/>
          <w:lang w:val="en-US"/>
        </w:rPr>
        <w:t xml:space="preserve">  The estimates of 2015 cross check </w:t>
      </w:r>
      <w:r w:rsidR="00FC22A2">
        <w:rPr>
          <w:sz w:val="24"/>
          <w:lang w:val="en-US"/>
        </w:rPr>
        <w:t>system-level</w:t>
      </w:r>
      <w:r w:rsidR="00193F9E">
        <w:rPr>
          <w:sz w:val="24"/>
          <w:lang w:val="en-US"/>
        </w:rPr>
        <w:t xml:space="preserve"> </w:t>
      </w:r>
      <w:r w:rsidR="00A51AB1">
        <w:rPr>
          <w:sz w:val="24"/>
          <w:lang w:val="en-US"/>
        </w:rPr>
        <w:t>capital additions and rate base are provided in Avista witness Karen Schuh’s testimony and supporting Exhibits, numbered KKS-1 through 5.</w:t>
      </w:r>
      <w:r w:rsidR="006445CD">
        <w:rPr>
          <w:sz w:val="24"/>
          <w:lang w:val="en-US"/>
        </w:rPr>
        <w:t xml:space="preserve">  </w:t>
      </w:r>
      <w:r w:rsidR="00A51AB1">
        <w:rPr>
          <w:sz w:val="24"/>
          <w:lang w:val="en-US"/>
        </w:rPr>
        <w:t>I conclude my testimony in this case by commenting on the capital budgeting and review process at Avista</w:t>
      </w:r>
      <w:r w:rsidR="002A642E">
        <w:rPr>
          <w:sz w:val="24"/>
          <w:lang w:val="en-US"/>
        </w:rPr>
        <w:t>,</w:t>
      </w:r>
      <w:r w:rsidR="00A51AB1">
        <w:rPr>
          <w:sz w:val="24"/>
          <w:lang w:val="en-US"/>
        </w:rPr>
        <w:t xml:space="preserve"> which is also part of Ms. Schuh’s testimony.  </w:t>
      </w:r>
    </w:p>
    <w:p w14:paraId="1EF16F57" w14:textId="77777777" w:rsidR="00DC47CC" w:rsidRDefault="00DC47CC" w:rsidP="00425F7D">
      <w:pPr>
        <w:pStyle w:val="BodyTextIndent"/>
        <w:ind w:firstLine="720"/>
        <w:rPr>
          <w:sz w:val="24"/>
          <w:lang w:val="en-US"/>
        </w:rPr>
      </w:pPr>
    </w:p>
    <w:p w14:paraId="1F923F16" w14:textId="247FA77C" w:rsidR="00DC47CC" w:rsidRPr="00BF078B" w:rsidRDefault="00DC47CC" w:rsidP="00425F7D">
      <w:pPr>
        <w:tabs>
          <w:tab w:val="left" w:pos="-1440"/>
        </w:tabs>
        <w:spacing w:line="480" w:lineRule="auto"/>
        <w:ind w:left="720" w:hanging="720"/>
        <w:rPr>
          <w:b/>
          <w:bCs/>
        </w:rPr>
      </w:pPr>
      <w:r w:rsidRPr="00BF078B">
        <w:rPr>
          <w:b/>
          <w:bCs/>
        </w:rPr>
        <w:t>Q.</w:t>
      </w:r>
      <w:r w:rsidRPr="00BF078B">
        <w:rPr>
          <w:b/>
          <w:bCs/>
        </w:rPr>
        <w:tab/>
      </w:r>
      <w:r w:rsidR="00DF274F">
        <w:rPr>
          <w:b/>
          <w:bCs/>
        </w:rPr>
        <w:t xml:space="preserve">Why are the Company’s </w:t>
      </w:r>
      <w:r w:rsidR="00F76FE6">
        <w:rPr>
          <w:b/>
          <w:bCs/>
        </w:rPr>
        <w:t xml:space="preserve">as-filed </w:t>
      </w:r>
      <w:r w:rsidR="00DF274F">
        <w:rPr>
          <w:b/>
          <w:bCs/>
        </w:rPr>
        <w:t xml:space="preserve">estimates of its pro forma capital additions </w:t>
      </w:r>
      <w:r w:rsidR="000C1316">
        <w:rPr>
          <w:b/>
          <w:bCs/>
        </w:rPr>
        <w:t xml:space="preserve">and total rate base </w:t>
      </w:r>
      <w:r w:rsidR="00DF274F">
        <w:rPr>
          <w:b/>
          <w:bCs/>
        </w:rPr>
        <w:t xml:space="preserve">in its cross check </w:t>
      </w:r>
      <w:r w:rsidR="000C1316">
        <w:rPr>
          <w:b/>
          <w:bCs/>
        </w:rPr>
        <w:t>so close to the attrition</w:t>
      </w:r>
      <w:r w:rsidR="00285720">
        <w:rPr>
          <w:b/>
          <w:bCs/>
        </w:rPr>
        <w:t>-</w:t>
      </w:r>
      <w:r w:rsidR="000C1316">
        <w:rPr>
          <w:b/>
          <w:bCs/>
        </w:rPr>
        <w:t>derived total rate base</w:t>
      </w:r>
      <w:r>
        <w:rPr>
          <w:b/>
          <w:bCs/>
        </w:rPr>
        <w:t>?</w:t>
      </w:r>
      <w:r w:rsidR="00A063F0">
        <w:rPr>
          <w:b/>
          <w:bCs/>
        </w:rPr>
        <w:t xml:space="preserve">  </w:t>
      </w:r>
    </w:p>
    <w:p w14:paraId="348E0618" w14:textId="6901324F" w:rsidR="00757CE2" w:rsidRDefault="00DC47CC" w:rsidP="00425F7D">
      <w:pPr>
        <w:pStyle w:val="BodyTextIndent"/>
        <w:rPr>
          <w:sz w:val="24"/>
          <w:lang w:val="en-US"/>
        </w:rPr>
      </w:pPr>
      <w:r>
        <w:rPr>
          <w:sz w:val="24"/>
          <w:lang w:val="en-US"/>
        </w:rPr>
        <w:t>A.</w:t>
      </w:r>
      <w:r>
        <w:rPr>
          <w:sz w:val="24"/>
          <w:lang w:val="en-US"/>
        </w:rPr>
        <w:tab/>
      </w:r>
      <w:r w:rsidR="0005300F">
        <w:rPr>
          <w:sz w:val="24"/>
          <w:lang w:val="en-US"/>
        </w:rPr>
        <w:t xml:space="preserve">As part of its </w:t>
      </w:r>
      <w:r w:rsidR="006379E0">
        <w:rPr>
          <w:sz w:val="24"/>
          <w:lang w:val="en-US"/>
        </w:rPr>
        <w:t>cross check</w:t>
      </w:r>
      <w:r w:rsidR="0005300F">
        <w:rPr>
          <w:sz w:val="24"/>
          <w:lang w:val="en-US"/>
        </w:rPr>
        <w:t>, t</w:t>
      </w:r>
      <w:r w:rsidR="003D1072">
        <w:rPr>
          <w:sz w:val="24"/>
          <w:lang w:val="en-US"/>
        </w:rPr>
        <w:t xml:space="preserve">he Company provided testimony regarding </w:t>
      </w:r>
      <w:r w:rsidR="007942F2">
        <w:rPr>
          <w:sz w:val="24"/>
          <w:lang w:val="en-US"/>
        </w:rPr>
        <w:t>e</w:t>
      </w:r>
      <w:r w:rsidR="00955B81">
        <w:rPr>
          <w:sz w:val="24"/>
          <w:lang w:val="en-US"/>
        </w:rPr>
        <w:t xml:space="preserve">stimates of </w:t>
      </w:r>
      <w:r w:rsidR="007942F2">
        <w:rPr>
          <w:sz w:val="24"/>
          <w:lang w:val="en-US"/>
        </w:rPr>
        <w:t xml:space="preserve">the amounts of its system wide </w:t>
      </w:r>
      <w:r w:rsidR="003D1072">
        <w:rPr>
          <w:sz w:val="24"/>
          <w:lang w:val="en-US"/>
        </w:rPr>
        <w:t xml:space="preserve">capital additions </w:t>
      </w:r>
      <w:r w:rsidR="007942F2">
        <w:rPr>
          <w:sz w:val="24"/>
          <w:lang w:val="en-US"/>
        </w:rPr>
        <w:t xml:space="preserve">for </w:t>
      </w:r>
      <w:r w:rsidR="003D1072">
        <w:rPr>
          <w:sz w:val="24"/>
          <w:lang w:val="en-US"/>
        </w:rPr>
        <w:t>2014</w:t>
      </w:r>
      <w:r w:rsidR="0090567B">
        <w:rPr>
          <w:sz w:val="24"/>
          <w:lang w:val="en-US"/>
        </w:rPr>
        <w:t xml:space="preserve"> </w:t>
      </w:r>
      <w:r w:rsidR="00285720">
        <w:rPr>
          <w:sz w:val="24"/>
          <w:lang w:val="en-US"/>
        </w:rPr>
        <w:t>EOP</w:t>
      </w:r>
      <w:r w:rsidR="007A4854">
        <w:rPr>
          <w:sz w:val="24"/>
          <w:lang w:val="en-US"/>
        </w:rPr>
        <w:t>,</w:t>
      </w:r>
      <w:r w:rsidR="003D1072">
        <w:rPr>
          <w:sz w:val="24"/>
          <w:lang w:val="en-US"/>
        </w:rPr>
        <w:t xml:space="preserve"> 2015 EOP and 2016 Average of Monthly Averages (AMA).</w:t>
      </w:r>
      <w:r w:rsidR="007942F2">
        <w:rPr>
          <w:rStyle w:val="FootnoteReference"/>
          <w:sz w:val="24"/>
          <w:lang w:val="en-US"/>
        </w:rPr>
        <w:footnoteReference w:id="4"/>
      </w:r>
      <w:r w:rsidR="007942F2">
        <w:rPr>
          <w:sz w:val="24"/>
          <w:lang w:val="en-US"/>
        </w:rPr>
        <w:t xml:space="preserve">  </w:t>
      </w:r>
      <w:r w:rsidR="008E7ECD">
        <w:rPr>
          <w:sz w:val="24"/>
          <w:lang w:val="en-US"/>
        </w:rPr>
        <w:t xml:space="preserve">These </w:t>
      </w:r>
      <w:r w:rsidR="00955B81">
        <w:rPr>
          <w:sz w:val="24"/>
          <w:lang w:val="en-US"/>
        </w:rPr>
        <w:t>estimat</w:t>
      </w:r>
      <w:r w:rsidR="007942F2">
        <w:rPr>
          <w:sz w:val="24"/>
          <w:lang w:val="en-US"/>
        </w:rPr>
        <w:t>es</w:t>
      </w:r>
      <w:r w:rsidR="00955B81">
        <w:rPr>
          <w:sz w:val="24"/>
          <w:lang w:val="en-US"/>
        </w:rPr>
        <w:t xml:space="preserve"> </w:t>
      </w:r>
      <w:r w:rsidR="00EB01AE">
        <w:rPr>
          <w:sz w:val="24"/>
          <w:lang w:val="en-US"/>
        </w:rPr>
        <w:t xml:space="preserve">are </w:t>
      </w:r>
      <w:r w:rsidR="007942F2">
        <w:rPr>
          <w:sz w:val="24"/>
          <w:lang w:val="en-US"/>
        </w:rPr>
        <w:t xml:space="preserve">subsequently </w:t>
      </w:r>
      <w:r w:rsidR="00EB01AE">
        <w:rPr>
          <w:sz w:val="24"/>
          <w:lang w:val="en-US"/>
        </w:rPr>
        <w:t xml:space="preserve">allocated to Washington </w:t>
      </w:r>
      <w:r w:rsidR="0005300F">
        <w:rPr>
          <w:sz w:val="24"/>
          <w:lang w:val="en-US"/>
        </w:rPr>
        <w:t xml:space="preserve">customers </w:t>
      </w:r>
      <w:r w:rsidR="00955B81">
        <w:rPr>
          <w:sz w:val="24"/>
          <w:lang w:val="en-US"/>
        </w:rPr>
        <w:t>and</w:t>
      </w:r>
      <w:r w:rsidR="0005300F">
        <w:rPr>
          <w:sz w:val="24"/>
          <w:lang w:val="en-US"/>
        </w:rPr>
        <w:t xml:space="preserve">, along with other </w:t>
      </w:r>
      <w:r w:rsidR="00227153">
        <w:rPr>
          <w:sz w:val="24"/>
          <w:lang w:val="en-US"/>
        </w:rPr>
        <w:t xml:space="preserve">projected </w:t>
      </w:r>
      <w:r w:rsidR="0005300F">
        <w:rPr>
          <w:sz w:val="24"/>
          <w:lang w:val="en-US"/>
        </w:rPr>
        <w:t>adjustments for taxes and depreciation,</w:t>
      </w:r>
      <w:r w:rsidR="00955B81">
        <w:rPr>
          <w:sz w:val="24"/>
          <w:lang w:val="en-US"/>
        </w:rPr>
        <w:t xml:space="preserve"> </w:t>
      </w:r>
      <w:r w:rsidR="0005300F">
        <w:rPr>
          <w:sz w:val="24"/>
          <w:lang w:val="en-US"/>
        </w:rPr>
        <w:t xml:space="preserve">are used to arrive at </w:t>
      </w:r>
      <w:r w:rsidR="009342AC">
        <w:rPr>
          <w:sz w:val="24"/>
          <w:lang w:val="en-US"/>
        </w:rPr>
        <w:t xml:space="preserve">Avista’s </w:t>
      </w:r>
      <w:r w:rsidR="004A01BF">
        <w:rPr>
          <w:sz w:val="24"/>
          <w:lang w:val="en-US"/>
        </w:rPr>
        <w:t xml:space="preserve">as-filed </w:t>
      </w:r>
      <w:r w:rsidR="008733E3">
        <w:rPr>
          <w:sz w:val="24"/>
          <w:lang w:val="en-US"/>
        </w:rPr>
        <w:t xml:space="preserve">cross check rate base </w:t>
      </w:r>
      <w:r w:rsidR="00A37CDD">
        <w:rPr>
          <w:sz w:val="24"/>
          <w:lang w:val="en-US"/>
        </w:rPr>
        <w:t xml:space="preserve">totals </w:t>
      </w:r>
      <w:r w:rsidR="008733E3">
        <w:rPr>
          <w:sz w:val="24"/>
          <w:lang w:val="en-US"/>
        </w:rPr>
        <w:t>of $1</w:t>
      </w:r>
      <w:r w:rsidR="00BD5A29">
        <w:rPr>
          <w:sz w:val="24"/>
          <w:lang w:val="en-US"/>
        </w:rPr>
        <w:t>.</w:t>
      </w:r>
      <w:r w:rsidR="008733E3">
        <w:rPr>
          <w:sz w:val="24"/>
          <w:lang w:val="en-US"/>
        </w:rPr>
        <w:t>4</w:t>
      </w:r>
      <w:r w:rsidR="00BD5A29">
        <w:rPr>
          <w:sz w:val="24"/>
          <w:lang w:val="en-US"/>
        </w:rPr>
        <w:t>7 billion</w:t>
      </w:r>
      <w:r w:rsidR="0025614C">
        <w:rPr>
          <w:sz w:val="24"/>
          <w:lang w:val="en-US"/>
        </w:rPr>
        <w:t xml:space="preserve"> for </w:t>
      </w:r>
      <w:r w:rsidR="00C05C9B">
        <w:rPr>
          <w:sz w:val="24"/>
          <w:lang w:val="en-US"/>
        </w:rPr>
        <w:t xml:space="preserve">electric and </w:t>
      </w:r>
      <w:r w:rsidR="00F4797C">
        <w:rPr>
          <w:sz w:val="24"/>
          <w:lang w:val="en-US"/>
        </w:rPr>
        <w:t xml:space="preserve">$278.2 million for gas in </w:t>
      </w:r>
      <w:r w:rsidR="0025614C">
        <w:rPr>
          <w:sz w:val="24"/>
          <w:lang w:val="en-US"/>
        </w:rPr>
        <w:t>the 2016 calendar year rate period</w:t>
      </w:r>
      <w:r w:rsidR="008733E3">
        <w:rPr>
          <w:sz w:val="24"/>
          <w:lang w:val="en-US"/>
        </w:rPr>
        <w:t>.</w:t>
      </w:r>
      <w:r w:rsidR="008733E3">
        <w:rPr>
          <w:rStyle w:val="FootnoteReference"/>
          <w:sz w:val="24"/>
          <w:lang w:val="en-US"/>
        </w:rPr>
        <w:footnoteReference w:id="5"/>
      </w:r>
      <w:r w:rsidR="008733E3">
        <w:rPr>
          <w:sz w:val="24"/>
          <w:lang w:val="en-US"/>
        </w:rPr>
        <w:t xml:space="preserve">  </w:t>
      </w:r>
      <w:r w:rsidR="006D5065">
        <w:rPr>
          <w:sz w:val="24"/>
          <w:lang w:val="en-US"/>
        </w:rPr>
        <w:t>The Company uses th</w:t>
      </w:r>
      <w:r w:rsidR="00A37CDD">
        <w:rPr>
          <w:sz w:val="24"/>
          <w:lang w:val="en-US"/>
        </w:rPr>
        <w:t>ese</w:t>
      </w:r>
      <w:r w:rsidR="006D5065">
        <w:rPr>
          <w:sz w:val="24"/>
          <w:lang w:val="en-US"/>
        </w:rPr>
        <w:t xml:space="preserve"> </w:t>
      </w:r>
      <w:r w:rsidR="00BD5A29">
        <w:rPr>
          <w:sz w:val="24"/>
          <w:lang w:val="en-US"/>
        </w:rPr>
        <w:t xml:space="preserve">cross check rate base </w:t>
      </w:r>
      <w:r w:rsidR="006D5065">
        <w:rPr>
          <w:sz w:val="24"/>
          <w:lang w:val="en-US"/>
        </w:rPr>
        <w:t>amount</w:t>
      </w:r>
      <w:r w:rsidR="00A37CDD">
        <w:rPr>
          <w:sz w:val="24"/>
          <w:lang w:val="en-US"/>
        </w:rPr>
        <w:t>s</w:t>
      </w:r>
      <w:r w:rsidR="006D5065">
        <w:rPr>
          <w:sz w:val="24"/>
          <w:lang w:val="en-US"/>
        </w:rPr>
        <w:t xml:space="preserve"> to validate the </w:t>
      </w:r>
      <w:r w:rsidR="006D5065">
        <w:rPr>
          <w:sz w:val="24"/>
          <w:lang w:val="en-US"/>
        </w:rPr>
        <w:lastRenderedPageBreak/>
        <w:t xml:space="preserve">accuracy of its </w:t>
      </w:r>
      <w:r w:rsidR="00F64DEF">
        <w:rPr>
          <w:sz w:val="24"/>
          <w:lang w:val="en-US"/>
        </w:rPr>
        <w:t xml:space="preserve">separate </w:t>
      </w:r>
      <w:r w:rsidR="004A01BF">
        <w:rPr>
          <w:sz w:val="24"/>
          <w:lang w:val="en-US"/>
        </w:rPr>
        <w:t xml:space="preserve">as-filed </w:t>
      </w:r>
      <w:r w:rsidR="006D5065">
        <w:rPr>
          <w:sz w:val="24"/>
          <w:lang w:val="en-US"/>
        </w:rPr>
        <w:t xml:space="preserve">attrition study </w:t>
      </w:r>
      <w:r w:rsidR="0025614C">
        <w:rPr>
          <w:sz w:val="24"/>
          <w:lang w:val="en-US"/>
        </w:rPr>
        <w:t xml:space="preserve">which arrives at an almost identical </w:t>
      </w:r>
      <w:r w:rsidR="006D5065">
        <w:rPr>
          <w:sz w:val="24"/>
          <w:lang w:val="en-US"/>
        </w:rPr>
        <w:t xml:space="preserve">estimate of rate base </w:t>
      </w:r>
      <w:r w:rsidR="00F4797C">
        <w:rPr>
          <w:sz w:val="24"/>
          <w:lang w:val="en-US"/>
        </w:rPr>
        <w:t xml:space="preserve">for electric </w:t>
      </w:r>
      <w:r w:rsidR="00BD5A29">
        <w:rPr>
          <w:sz w:val="24"/>
          <w:lang w:val="en-US"/>
        </w:rPr>
        <w:t>of $1</w:t>
      </w:r>
      <w:r w:rsidR="0025614C">
        <w:rPr>
          <w:sz w:val="24"/>
          <w:lang w:val="en-US"/>
        </w:rPr>
        <w:t>.</w:t>
      </w:r>
      <w:r w:rsidR="00BD5A29">
        <w:rPr>
          <w:sz w:val="24"/>
          <w:lang w:val="en-US"/>
        </w:rPr>
        <w:t>4</w:t>
      </w:r>
      <w:r w:rsidR="0025614C">
        <w:rPr>
          <w:sz w:val="24"/>
          <w:lang w:val="en-US"/>
        </w:rPr>
        <w:t>6 billion</w:t>
      </w:r>
      <w:r w:rsidR="00F4797C">
        <w:rPr>
          <w:sz w:val="24"/>
          <w:lang w:val="en-US"/>
        </w:rPr>
        <w:t xml:space="preserve"> and $286.1 million for gas</w:t>
      </w:r>
      <w:r w:rsidR="0025614C">
        <w:rPr>
          <w:sz w:val="24"/>
          <w:lang w:val="en-US"/>
        </w:rPr>
        <w:t>.</w:t>
      </w:r>
      <w:r w:rsidR="006F28CF">
        <w:rPr>
          <w:rStyle w:val="FootnoteReference"/>
          <w:sz w:val="24"/>
          <w:lang w:val="en-US"/>
        </w:rPr>
        <w:footnoteReference w:id="6"/>
      </w:r>
      <w:r w:rsidR="00893707">
        <w:rPr>
          <w:sz w:val="24"/>
          <w:lang w:val="en-US"/>
        </w:rPr>
        <w:t xml:space="preserve"> </w:t>
      </w:r>
    </w:p>
    <w:p w14:paraId="180959FA" w14:textId="0F97D565" w:rsidR="006D2901" w:rsidRDefault="000C1316" w:rsidP="00425F7D">
      <w:pPr>
        <w:pStyle w:val="BodyTextIndent"/>
        <w:ind w:firstLine="720"/>
        <w:rPr>
          <w:sz w:val="24"/>
          <w:lang w:val="en-US"/>
        </w:rPr>
      </w:pPr>
      <w:r>
        <w:rPr>
          <w:sz w:val="24"/>
          <w:lang w:val="en-US"/>
        </w:rPr>
        <w:t>However, i</w:t>
      </w:r>
      <w:r w:rsidR="006D2901">
        <w:rPr>
          <w:sz w:val="24"/>
          <w:lang w:val="en-US"/>
        </w:rPr>
        <w:t xml:space="preserve">t is no </w:t>
      </w:r>
      <w:r w:rsidR="002F3EB1">
        <w:rPr>
          <w:sz w:val="24"/>
          <w:lang w:val="en-US"/>
        </w:rPr>
        <w:t xml:space="preserve">coincidence </w:t>
      </w:r>
      <w:r w:rsidR="00072D95">
        <w:rPr>
          <w:sz w:val="24"/>
          <w:lang w:val="en-US"/>
        </w:rPr>
        <w:t xml:space="preserve">that pro forma rate base amounts for the cross check and attrition study are </w:t>
      </w:r>
      <w:r w:rsidR="008C0218">
        <w:rPr>
          <w:sz w:val="24"/>
          <w:lang w:val="en-US"/>
        </w:rPr>
        <w:t>so close</w:t>
      </w:r>
      <w:r w:rsidR="006D2901">
        <w:rPr>
          <w:sz w:val="24"/>
          <w:lang w:val="en-US"/>
        </w:rPr>
        <w:t xml:space="preserve">.  </w:t>
      </w:r>
      <w:r w:rsidR="00EA5346">
        <w:rPr>
          <w:sz w:val="24"/>
          <w:lang w:val="en-US"/>
        </w:rPr>
        <w:t>In her testimony</w:t>
      </w:r>
      <w:r w:rsidR="00B57081">
        <w:rPr>
          <w:sz w:val="24"/>
          <w:lang w:val="en-US"/>
        </w:rPr>
        <w:t>,</w:t>
      </w:r>
      <w:r w:rsidR="00EA5346">
        <w:rPr>
          <w:sz w:val="24"/>
          <w:lang w:val="en-US"/>
        </w:rPr>
        <w:t xml:space="preserve"> </w:t>
      </w:r>
      <w:r w:rsidR="002F3EB1">
        <w:rPr>
          <w:sz w:val="24"/>
          <w:lang w:val="en-US"/>
        </w:rPr>
        <w:t>M</w:t>
      </w:r>
      <w:r w:rsidR="00F45DA1">
        <w:rPr>
          <w:sz w:val="24"/>
          <w:lang w:val="en-US"/>
        </w:rPr>
        <w:t>s. Andrews</w:t>
      </w:r>
      <w:r w:rsidR="002F3EB1">
        <w:rPr>
          <w:sz w:val="24"/>
          <w:lang w:val="en-US"/>
        </w:rPr>
        <w:t xml:space="preserve"> </w:t>
      </w:r>
      <w:r w:rsidR="00F45DA1">
        <w:rPr>
          <w:sz w:val="24"/>
          <w:lang w:val="en-US"/>
        </w:rPr>
        <w:t xml:space="preserve">confirms that the Company abandoned its attrition study’s representative historical trend period </w:t>
      </w:r>
      <w:r w:rsidR="00AC215F">
        <w:rPr>
          <w:sz w:val="24"/>
          <w:lang w:val="en-US"/>
        </w:rPr>
        <w:t xml:space="preserve">for net plant of 2007-2013 </w:t>
      </w:r>
      <w:r w:rsidR="005912D2">
        <w:rPr>
          <w:sz w:val="24"/>
          <w:lang w:val="en-US"/>
        </w:rPr>
        <w:t xml:space="preserve">in favor of </w:t>
      </w:r>
      <w:r w:rsidR="00F45DA1">
        <w:rPr>
          <w:sz w:val="24"/>
          <w:lang w:val="en-US"/>
        </w:rPr>
        <w:t>the period 2014-2016</w:t>
      </w:r>
      <w:r w:rsidR="005F01E7">
        <w:rPr>
          <w:sz w:val="24"/>
          <w:lang w:val="en-US"/>
        </w:rPr>
        <w:t>.</w:t>
      </w:r>
      <w:r w:rsidR="005F01E7">
        <w:rPr>
          <w:rStyle w:val="FootnoteReference"/>
          <w:sz w:val="24"/>
          <w:lang w:val="en-US"/>
        </w:rPr>
        <w:footnoteReference w:id="7"/>
      </w:r>
      <w:r w:rsidR="005F01E7">
        <w:rPr>
          <w:sz w:val="24"/>
          <w:lang w:val="en-US"/>
        </w:rPr>
        <w:t xml:space="preserve">  Ms. Andrews </w:t>
      </w:r>
      <w:r w:rsidR="00AC215F">
        <w:rPr>
          <w:sz w:val="24"/>
          <w:lang w:val="en-US"/>
        </w:rPr>
        <w:t>claim</w:t>
      </w:r>
      <w:r w:rsidR="005F01E7">
        <w:rPr>
          <w:sz w:val="24"/>
          <w:lang w:val="en-US"/>
        </w:rPr>
        <w:t>s</w:t>
      </w:r>
      <w:r w:rsidR="00AC215F">
        <w:rPr>
          <w:sz w:val="24"/>
          <w:lang w:val="en-US"/>
        </w:rPr>
        <w:t xml:space="preserve"> that the transfer to plant and resulting net plant calculations derived through Ms. Schuh’s cross check</w:t>
      </w:r>
      <w:r w:rsidR="005F01E7">
        <w:rPr>
          <w:sz w:val="24"/>
          <w:lang w:val="en-US"/>
        </w:rPr>
        <w:t xml:space="preserve"> </w:t>
      </w:r>
      <w:r w:rsidR="002F3EB1">
        <w:rPr>
          <w:sz w:val="24"/>
          <w:lang w:val="en-US"/>
        </w:rPr>
        <w:t xml:space="preserve">estimates of capital additions </w:t>
      </w:r>
      <w:r>
        <w:rPr>
          <w:sz w:val="24"/>
          <w:lang w:val="en-US"/>
        </w:rPr>
        <w:t>“</w:t>
      </w:r>
      <w:r w:rsidR="005F01E7">
        <w:rPr>
          <w:sz w:val="24"/>
          <w:lang w:val="en-US"/>
        </w:rPr>
        <w:t>more accurately</w:t>
      </w:r>
      <w:r>
        <w:rPr>
          <w:sz w:val="24"/>
          <w:lang w:val="en-US"/>
        </w:rPr>
        <w:t>”</w:t>
      </w:r>
      <w:r w:rsidR="005F01E7">
        <w:rPr>
          <w:sz w:val="24"/>
          <w:lang w:val="en-US"/>
        </w:rPr>
        <w:t xml:space="preserve"> represent the level of </w:t>
      </w:r>
      <w:r w:rsidR="002F3EB1">
        <w:rPr>
          <w:sz w:val="24"/>
          <w:lang w:val="en-US"/>
        </w:rPr>
        <w:t xml:space="preserve">actual </w:t>
      </w:r>
      <w:r w:rsidR="005F01E7">
        <w:rPr>
          <w:sz w:val="24"/>
          <w:lang w:val="en-US"/>
        </w:rPr>
        <w:t>plant going into service for the 2016 rate year.</w:t>
      </w:r>
      <w:r>
        <w:rPr>
          <w:sz w:val="24"/>
          <w:lang w:val="en-US"/>
        </w:rPr>
        <w:t xml:space="preserve">  This is to be expected when the attrition trend lines are chosen to equal a desired result.</w:t>
      </w:r>
    </w:p>
    <w:p w14:paraId="0F1009EA" w14:textId="77777777" w:rsidR="000C1316" w:rsidRDefault="000C1316" w:rsidP="00425F7D">
      <w:pPr>
        <w:pStyle w:val="BodyTextIndent"/>
        <w:ind w:firstLine="720"/>
        <w:rPr>
          <w:sz w:val="24"/>
          <w:lang w:val="en-US"/>
        </w:rPr>
      </w:pPr>
    </w:p>
    <w:p w14:paraId="6D0533F1" w14:textId="77777777" w:rsidR="000C1316" w:rsidRDefault="000C1316" w:rsidP="00425F7D">
      <w:pPr>
        <w:pStyle w:val="BodyTextIndent"/>
        <w:rPr>
          <w:b/>
          <w:sz w:val="24"/>
          <w:lang w:val="en-US"/>
        </w:rPr>
      </w:pPr>
      <w:r>
        <w:rPr>
          <w:b/>
          <w:sz w:val="24"/>
          <w:lang w:val="en-US"/>
        </w:rPr>
        <w:t>Q.</w:t>
      </w:r>
      <w:r>
        <w:rPr>
          <w:b/>
          <w:sz w:val="24"/>
          <w:lang w:val="en-US"/>
        </w:rPr>
        <w:tab/>
        <w:t>Are Avista’s proposed rates in this case based entirely on the results of its attrition study?</w:t>
      </w:r>
    </w:p>
    <w:p w14:paraId="5675ED76" w14:textId="3D6ECF59" w:rsidR="007A1B04" w:rsidRDefault="000C1316" w:rsidP="00425F7D">
      <w:pPr>
        <w:pStyle w:val="BodyTextIndent"/>
        <w:rPr>
          <w:sz w:val="24"/>
          <w:lang w:val="en-US"/>
        </w:rPr>
      </w:pPr>
      <w:r>
        <w:rPr>
          <w:sz w:val="24"/>
          <w:lang w:val="en-US"/>
        </w:rPr>
        <w:t>A.</w:t>
      </w:r>
      <w:r>
        <w:rPr>
          <w:sz w:val="24"/>
          <w:lang w:val="en-US"/>
        </w:rPr>
        <w:tab/>
        <w:t xml:space="preserve">No.  </w:t>
      </w:r>
      <w:r w:rsidR="00F72803">
        <w:rPr>
          <w:sz w:val="24"/>
          <w:lang w:val="en-US"/>
        </w:rPr>
        <w:t>A ce</w:t>
      </w:r>
      <w:r w:rsidR="006D2901" w:rsidRPr="006D2901">
        <w:rPr>
          <w:sz w:val="24"/>
          <w:lang w:val="en-US"/>
        </w:rPr>
        <w:t>nt</w:t>
      </w:r>
      <w:r w:rsidR="00F72803">
        <w:rPr>
          <w:sz w:val="24"/>
          <w:lang w:val="en-US"/>
        </w:rPr>
        <w:t>ral part of t</w:t>
      </w:r>
      <w:r w:rsidR="006D2901" w:rsidRPr="006D2901">
        <w:rPr>
          <w:sz w:val="24"/>
          <w:lang w:val="en-US"/>
        </w:rPr>
        <w:t>he Company’s attrition argument, and the relief being sought through an attrition adjustment, rests with its belief that there exists a “mismatch in the growth of net plant investment and sales</w:t>
      </w:r>
      <w:r w:rsidR="0047286C">
        <w:rPr>
          <w:sz w:val="24"/>
          <w:lang w:val="en-US"/>
        </w:rPr>
        <w:t>.</w:t>
      </w:r>
      <w:r w:rsidR="006D2901" w:rsidRPr="006D2901">
        <w:rPr>
          <w:sz w:val="24"/>
          <w:lang w:val="en-US"/>
        </w:rPr>
        <w:t>”</w:t>
      </w:r>
      <w:r w:rsidR="00F72803">
        <w:rPr>
          <w:rStyle w:val="FootnoteReference"/>
          <w:sz w:val="24"/>
          <w:lang w:val="en-US"/>
        </w:rPr>
        <w:footnoteReference w:id="8"/>
      </w:r>
      <w:r w:rsidR="006D2901" w:rsidRPr="006D2901">
        <w:rPr>
          <w:sz w:val="24"/>
          <w:lang w:val="en-US"/>
        </w:rPr>
        <w:t xml:space="preserve">  </w:t>
      </w:r>
      <w:r w:rsidR="0047286C">
        <w:rPr>
          <w:sz w:val="24"/>
          <w:lang w:val="en-US"/>
        </w:rPr>
        <w:t xml:space="preserve">Staff can accept this premise on </w:t>
      </w:r>
      <w:r w:rsidR="009A48B5">
        <w:rPr>
          <w:sz w:val="24"/>
          <w:lang w:val="en-US"/>
        </w:rPr>
        <w:t xml:space="preserve">its </w:t>
      </w:r>
      <w:r w:rsidR="0047286C">
        <w:rPr>
          <w:sz w:val="24"/>
          <w:lang w:val="en-US"/>
        </w:rPr>
        <w:t xml:space="preserve">face.  But when the historical trend of a major rate component is altered to meet a budgeted result, </w:t>
      </w:r>
      <w:r w:rsidR="00494B6C">
        <w:rPr>
          <w:sz w:val="24"/>
          <w:lang w:val="en-US"/>
        </w:rPr>
        <w:t xml:space="preserve">then </w:t>
      </w:r>
      <w:r w:rsidR="006D2901" w:rsidRPr="006D2901">
        <w:rPr>
          <w:sz w:val="24"/>
          <w:lang w:val="en-US"/>
        </w:rPr>
        <w:t>Staff must examine the accuracy and appropriateness of Avista’s cross check capital additions to validate the net plant portion of Avista’s attrition claims.</w:t>
      </w:r>
      <w:r w:rsidR="00396CB8">
        <w:rPr>
          <w:sz w:val="24"/>
          <w:lang w:val="en-US"/>
        </w:rPr>
        <w:t xml:space="preserve">  </w:t>
      </w:r>
      <w:r w:rsidR="00196B76" w:rsidRPr="00196B76">
        <w:rPr>
          <w:sz w:val="24"/>
          <w:lang w:val="en-US"/>
        </w:rPr>
        <w:t xml:space="preserve">Staff presents both an attrition-based analysis and an independent </w:t>
      </w:r>
      <w:r w:rsidR="00196B76" w:rsidRPr="00196B76">
        <w:rPr>
          <w:sz w:val="24"/>
          <w:lang w:val="en-US"/>
        </w:rPr>
        <w:lastRenderedPageBreak/>
        <w:t>pro forma case.  Staff witness Mr. McGuire presents Staff’s overall revenue requirement recommendation which considers both the pro forma revenue requirement and an incremental attrition adjustment to cover Avista’s projected revenue shortfall.</w:t>
      </w:r>
      <w:r w:rsidR="00196B76" w:rsidRPr="00196B76" w:rsidDel="00196B76">
        <w:rPr>
          <w:sz w:val="24"/>
          <w:lang w:val="en-US"/>
        </w:rPr>
        <w:t xml:space="preserve"> </w:t>
      </w:r>
      <w:r w:rsidR="005F01E7">
        <w:rPr>
          <w:sz w:val="24"/>
          <w:lang w:val="en-US"/>
        </w:rPr>
        <w:t xml:space="preserve"> </w:t>
      </w:r>
      <w:r w:rsidR="00AC215F">
        <w:rPr>
          <w:sz w:val="24"/>
          <w:lang w:val="en-US"/>
        </w:rPr>
        <w:t xml:space="preserve">  </w:t>
      </w:r>
      <w:r w:rsidR="00F45DA1">
        <w:rPr>
          <w:sz w:val="24"/>
          <w:lang w:val="en-US"/>
        </w:rPr>
        <w:t xml:space="preserve">  </w:t>
      </w:r>
    </w:p>
    <w:p w14:paraId="71766EC9" w14:textId="77777777" w:rsidR="00330257" w:rsidRDefault="00330257" w:rsidP="00425F7D">
      <w:pPr>
        <w:tabs>
          <w:tab w:val="left" w:pos="-1440"/>
        </w:tabs>
        <w:spacing w:line="480" w:lineRule="auto"/>
        <w:ind w:left="720" w:hanging="720"/>
        <w:rPr>
          <w:b/>
          <w:bCs/>
        </w:rPr>
      </w:pPr>
    </w:p>
    <w:p w14:paraId="246AAA73" w14:textId="7C811711" w:rsidR="00B569C3" w:rsidRPr="00BF078B" w:rsidRDefault="00B569C3" w:rsidP="00425F7D">
      <w:pPr>
        <w:tabs>
          <w:tab w:val="left" w:pos="-1440"/>
        </w:tabs>
        <w:spacing w:line="480" w:lineRule="auto"/>
        <w:ind w:left="720" w:hanging="720"/>
        <w:rPr>
          <w:b/>
          <w:bCs/>
        </w:rPr>
      </w:pPr>
      <w:r w:rsidRPr="00BF078B">
        <w:rPr>
          <w:b/>
          <w:bCs/>
        </w:rPr>
        <w:t>Q.</w:t>
      </w:r>
      <w:r w:rsidRPr="00BF078B">
        <w:rPr>
          <w:b/>
          <w:bCs/>
        </w:rPr>
        <w:tab/>
      </w:r>
      <w:r w:rsidR="00373C6E">
        <w:rPr>
          <w:b/>
          <w:bCs/>
        </w:rPr>
        <w:t xml:space="preserve">Has the Company made changes to its as-filed estimates of </w:t>
      </w:r>
      <w:r w:rsidR="00166CEB">
        <w:rPr>
          <w:b/>
          <w:bCs/>
        </w:rPr>
        <w:t xml:space="preserve">pro forma </w:t>
      </w:r>
      <w:r w:rsidR="00373C6E">
        <w:rPr>
          <w:b/>
          <w:bCs/>
        </w:rPr>
        <w:t xml:space="preserve">capital additions </w:t>
      </w:r>
      <w:r w:rsidR="00643ABA">
        <w:rPr>
          <w:b/>
          <w:bCs/>
        </w:rPr>
        <w:t>and rate base in this case</w:t>
      </w:r>
      <w:r>
        <w:rPr>
          <w:b/>
          <w:bCs/>
        </w:rPr>
        <w:t>?</w:t>
      </w:r>
    </w:p>
    <w:p w14:paraId="5F0868B3" w14:textId="0C3583AF" w:rsidR="00F16F5D" w:rsidRDefault="00B569C3" w:rsidP="00425F7D">
      <w:pPr>
        <w:pStyle w:val="BodyTextIndent"/>
        <w:rPr>
          <w:sz w:val="24"/>
          <w:lang w:val="en-US"/>
        </w:rPr>
      </w:pPr>
      <w:r>
        <w:rPr>
          <w:sz w:val="24"/>
          <w:lang w:val="en-US"/>
        </w:rPr>
        <w:t>A.</w:t>
      </w:r>
      <w:r>
        <w:rPr>
          <w:sz w:val="24"/>
          <w:lang w:val="en-US"/>
        </w:rPr>
        <w:tab/>
      </w:r>
      <w:r w:rsidR="00373C6E">
        <w:rPr>
          <w:sz w:val="24"/>
          <w:lang w:val="en-US"/>
        </w:rPr>
        <w:t>Yes</w:t>
      </w:r>
      <w:r w:rsidR="00F76FE6">
        <w:rPr>
          <w:sz w:val="24"/>
          <w:lang w:val="en-US"/>
        </w:rPr>
        <w:t>, several times</w:t>
      </w:r>
      <w:r w:rsidR="00373C6E">
        <w:rPr>
          <w:sz w:val="24"/>
          <w:lang w:val="en-US"/>
        </w:rPr>
        <w:t xml:space="preserve">.  </w:t>
      </w:r>
      <w:r w:rsidR="00893707">
        <w:rPr>
          <w:sz w:val="24"/>
          <w:lang w:val="en-US"/>
        </w:rPr>
        <w:t xml:space="preserve">On May 15, 2015, Avista </w:t>
      </w:r>
      <w:r w:rsidR="00145CE9">
        <w:rPr>
          <w:sz w:val="24"/>
          <w:lang w:val="en-US"/>
        </w:rPr>
        <w:t xml:space="preserve">provided the first of a number of </w:t>
      </w:r>
      <w:r w:rsidR="007F196C">
        <w:rPr>
          <w:sz w:val="24"/>
          <w:lang w:val="en-US"/>
        </w:rPr>
        <w:t xml:space="preserve">its </w:t>
      </w:r>
      <w:r w:rsidR="00145CE9">
        <w:rPr>
          <w:sz w:val="24"/>
          <w:lang w:val="en-US"/>
        </w:rPr>
        <w:t xml:space="preserve">responses </w:t>
      </w:r>
      <w:r w:rsidR="00893707">
        <w:rPr>
          <w:sz w:val="24"/>
          <w:lang w:val="en-US"/>
        </w:rPr>
        <w:t>to Staff D</w:t>
      </w:r>
      <w:r w:rsidR="009A48B5">
        <w:rPr>
          <w:sz w:val="24"/>
          <w:lang w:val="en-US"/>
        </w:rPr>
        <w:t xml:space="preserve">ata </w:t>
      </w:r>
      <w:r w:rsidR="00893707">
        <w:rPr>
          <w:sz w:val="24"/>
          <w:lang w:val="en-US"/>
        </w:rPr>
        <w:t>R</w:t>
      </w:r>
      <w:r w:rsidR="009A48B5">
        <w:rPr>
          <w:sz w:val="24"/>
          <w:lang w:val="en-US"/>
        </w:rPr>
        <w:t>equest</w:t>
      </w:r>
      <w:r w:rsidR="002E33D3">
        <w:rPr>
          <w:sz w:val="24"/>
          <w:lang w:val="en-US"/>
        </w:rPr>
        <w:t xml:space="preserve"> Nos. 1</w:t>
      </w:r>
      <w:r w:rsidR="00893707">
        <w:rPr>
          <w:sz w:val="24"/>
          <w:lang w:val="en-US"/>
        </w:rPr>
        <w:t>30</w:t>
      </w:r>
      <w:r w:rsidR="00A56272">
        <w:rPr>
          <w:rStyle w:val="FootnoteReference"/>
          <w:sz w:val="24"/>
          <w:lang w:val="en-US"/>
        </w:rPr>
        <w:footnoteReference w:id="9"/>
      </w:r>
      <w:r w:rsidR="00893707">
        <w:rPr>
          <w:sz w:val="24"/>
          <w:lang w:val="en-US"/>
        </w:rPr>
        <w:t xml:space="preserve"> and 131</w:t>
      </w:r>
      <w:r w:rsidR="00A350C1">
        <w:rPr>
          <w:rStyle w:val="FootnoteReference"/>
          <w:sz w:val="24"/>
          <w:lang w:val="en-US"/>
        </w:rPr>
        <w:footnoteReference w:id="10"/>
      </w:r>
      <w:r w:rsidR="00893707">
        <w:rPr>
          <w:sz w:val="24"/>
          <w:lang w:val="en-US"/>
        </w:rPr>
        <w:t xml:space="preserve"> </w:t>
      </w:r>
      <w:r w:rsidR="007F196C">
        <w:rPr>
          <w:sz w:val="24"/>
          <w:lang w:val="en-US"/>
        </w:rPr>
        <w:t xml:space="preserve">making </w:t>
      </w:r>
      <w:r w:rsidR="00145CE9">
        <w:rPr>
          <w:sz w:val="24"/>
          <w:lang w:val="en-US"/>
        </w:rPr>
        <w:t xml:space="preserve">corrections and revisions to </w:t>
      </w:r>
      <w:r w:rsidR="00893707">
        <w:rPr>
          <w:sz w:val="24"/>
          <w:lang w:val="en-US"/>
        </w:rPr>
        <w:t xml:space="preserve">its </w:t>
      </w:r>
      <w:r w:rsidR="006A4277">
        <w:rPr>
          <w:sz w:val="24"/>
          <w:lang w:val="en-US"/>
        </w:rPr>
        <w:t>as-</w:t>
      </w:r>
      <w:r w:rsidR="00A8213F">
        <w:rPr>
          <w:sz w:val="24"/>
          <w:lang w:val="en-US"/>
        </w:rPr>
        <w:t>fil</w:t>
      </w:r>
      <w:r w:rsidR="006A4277">
        <w:rPr>
          <w:sz w:val="24"/>
          <w:lang w:val="en-US"/>
        </w:rPr>
        <w:t xml:space="preserve">ed revenue requirements for both its cross check and attrition studies.  </w:t>
      </w:r>
      <w:r w:rsidR="00D2672C">
        <w:rPr>
          <w:sz w:val="24"/>
          <w:lang w:val="en-US"/>
        </w:rPr>
        <w:t>Since its original filing</w:t>
      </w:r>
      <w:r w:rsidR="002379AB">
        <w:rPr>
          <w:sz w:val="24"/>
          <w:lang w:val="en-US"/>
        </w:rPr>
        <w:t>, the Company has reduced its revenue requirement in this case by over half.</w:t>
      </w:r>
      <w:r w:rsidR="002379AB">
        <w:rPr>
          <w:rStyle w:val="FootnoteReference"/>
          <w:sz w:val="24"/>
          <w:lang w:val="en-US"/>
        </w:rPr>
        <w:footnoteReference w:id="11"/>
      </w:r>
      <w:r w:rsidR="002379AB">
        <w:rPr>
          <w:sz w:val="24"/>
          <w:lang w:val="en-US"/>
        </w:rPr>
        <w:t xml:space="preserve">  </w:t>
      </w:r>
      <w:r w:rsidR="006A4277">
        <w:rPr>
          <w:sz w:val="24"/>
          <w:lang w:val="en-US"/>
        </w:rPr>
        <w:t xml:space="preserve">One </w:t>
      </w:r>
      <w:r w:rsidR="007C1484">
        <w:rPr>
          <w:sz w:val="24"/>
          <w:lang w:val="en-US"/>
        </w:rPr>
        <w:t xml:space="preserve">of the </w:t>
      </w:r>
      <w:r w:rsidR="006A4277">
        <w:rPr>
          <w:sz w:val="24"/>
          <w:lang w:val="en-US"/>
        </w:rPr>
        <w:t>mistake</w:t>
      </w:r>
      <w:r w:rsidR="007C1484">
        <w:rPr>
          <w:sz w:val="24"/>
          <w:lang w:val="en-US"/>
        </w:rPr>
        <w:t>s</w:t>
      </w:r>
      <w:r w:rsidR="006A4277">
        <w:rPr>
          <w:sz w:val="24"/>
          <w:lang w:val="en-US"/>
        </w:rPr>
        <w:t xml:space="preserve"> </w:t>
      </w:r>
      <w:r w:rsidR="00487AF2">
        <w:rPr>
          <w:sz w:val="24"/>
          <w:lang w:val="en-US"/>
        </w:rPr>
        <w:t xml:space="preserve">in Avista’s as-filed case </w:t>
      </w:r>
      <w:r w:rsidR="00025B8E">
        <w:rPr>
          <w:sz w:val="24"/>
          <w:lang w:val="en-US"/>
        </w:rPr>
        <w:t xml:space="preserve">resulted in </w:t>
      </w:r>
      <w:r w:rsidR="00025B8E" w:rsidRPr="00805EF8">
        <w:rPr>
          <w:sz w:val="24"/>
          <w:lang w:val="en-US"/>
        </w:rPr>
        <w:t xml:space="preserve">a $50 million (system) reduction to rate base to reflect a "Repairs Allowance" allowed for tax purposes </w:t>
      </w:r>
      <w:r w:rsidR="00487AF2">
        <w:rPr>
          <w:sz w:val="24"/>
          <w:lang w:val="en-US"/>
        </w:rPr>
        <w:t xml:space="preserve">that the Company </w:t>
      </w:r>
      <w:r w:rsidR="00025B8E" w:rsidRPr="00805EF8">
        <w:rPr>
          <w:sz w:val="24"/>
          <w:lang w:val="en-US"/>
        </w:rPr>
        <w:t xml:space="preserve">had </w:t>
      </w:r>
      <w:r w:rsidR="00495CF4">
        <w:rPr>
          <w:sz w:val="24"/>
          <w:lang w:val="en-US"/>
        </w:rPr>
        <w:t>inadvertently</w:t>
      </w:r>
      <w:r w:rsidR="00025B8E">
        <w:rPr>
          <w:sz w:val="24"/>
          <w:lang w:val="en-US"/>
        </w:rPr>
        <w:t xml:space="preserve"> </w:t>
      </w:r>
      <w:r w:rsidR="00025B8E" w:rsidRPr="00805EF8">
        <w:rPr>
          <w:sz w:val="24"/>
          <w:lang w:val="en-US"/>
        </w:rPr>
        <w:t>omitted in its original filing along with other Deferred Federal Income Tax (DFIT)</w:t>
      </w:r>
      <w:r w:rsidR="00025B8E">
        <w:rPr>
          <w:sz w:val="24"/>
          <w:lang w:val="en-US"/>
        </w:rPr>
        <w:t xml:space="preserve"> </w:t>
      </w:r>
      <w:r w:rsidR="00025B8E" w:rsidRPr="00805EF8">
        <w:rPr>
          <w:sz w:val="24"/>
          <w:lang w:val="en-US"/>
        </w:rPr>
        <w:t>true-up adjustments</w:t>
      </w:r>
      <w:r w:rsidR="00487AF2">
        <w:rPr>
          <w:sz w:val="24"/>
          <w:lang w:val="en-US"/>
        </w:rPr>
        <w:t xml:space="preserve">.  This error alone </w:t>
      </w:r>
      <w:r w:rsidR="007F196C">
        <w:rPr>
          <w:sz w:val="24"/>
          <w:lang w:val="en-US"/>
        </w:rPr>
        <w:t>result</w:t>
      </w:r>
      <w:r w:rsidR="002379AB">
        <w:rPr>
          <w:sz w:val="24"/>
          <w:lang w:val="en-US"/>
        </w:rPr>
        <w:t>ed</w:t>
      </w:r>
      <w:r w:rsidR="00893707">
        <w:rPr>
          <w:sz w:val="24"/>
          <w:lang w:val="en-US"/>
        </w:rPr>
        <w:t xml:space="preserve"> </w:t>
      </w:r>
      <w:r w:rsidR="00374759">
        <w:rPr>
          <w:sz w:val="24"/>
          <w:lang w:val="en-US"/>
        </w:rPr>
        <w:t xml:space="preserve">in </w:t>
      </w:r>
      <w:r w:rsidR="002379AB">
        <w:rPr>
          <w:sz w:val="24"/>
          <w:lang w:val="en-US"/>
        </w:rPr>
        <w:t xml:space="preserve">a </w:t>
      </w:r>
      <w:r w:rsidR="00036BC3">
        <w:rPr>
          <w:sz w:val="24"/>
          <w:lang w:val="en-US"/>
        </w:rPr>
        <w:t xml:space="preserve">$4.6 million </w:t>
      </w:r>
      <w:r w:rsidR="00374759">
        <w:rPr>
          <w:sz w:val="24"/>
          <w:lang w:val="en-US"/>
        </w:rPr>
        <w:t>reduction in the Company’s overall revenue requirement</w:t>
      </w:r>
      <w:r w:rsidR="0075773A">
        <w:rPr>
          <w:sz w:val="24"/>
          <w:lang w:val="en-US"/>
        </w:rPr>
        <w:t xml:space="preserve"> </w:t>
      </w:r>
      <w:r w:rsidR="000C5C5F">
        <w:rPr>
          <w:sz w:val="24"/>
          <w:lang w:val="en-US"/>
        </w:rPr>
        <w:t xml:space="preserve">for Washington </w:t>
      </w:r>
      <w:r w:rsidR="000E29E1">
        <w:rPr>
          <w:sz w:val="24"/>
          <w:lang w:val="en-US"/>
        </w:rPr>
        <w:t>in this case</w:t>
      </w:r>
      <w:r w:rsidR="00374759">
        <w:rPr>
          <w:sz w:val="24"/>
          <w:lang w:val="en-US"/>
        </w:rPr>
        <w:t>.</w:t>
      </w:r>
      <w:r w:rsidR="00805EF8" w:rsidRPr="00805EF8">
        <w:rPr>
          <w:sz w:val="24"/>
          <w:lang w:val="en-US"/>
        </w:rPr>
        <w:t xml:space="preserve"> </w:t>
      </w:r>
    </w:p>
    <w:p w14:paraId="77BDAEE7" w14:textId="62CC241D" w:rsidR="00032B57" w:rsidRDefault="0096562F" w:rsidP="00425F7D">
      <w:pPr>
        <w:pStyle w:val="BodyTextIndent"/>
        <w:ind w:firstLine="720"/>
        <w:rPr>
          <w:sz w:val="24"/>
          <w:lang w:val="en-US"/>
        </w:rPr>
      </w:pPr>
      <w:r>
        <w:rPr>
          <w:sz w:val="24"/>
          <w:lang w:val="en-US"/>
        </w:rPr>
        <w:t>On J</w:t>
      </w:r>
      <w:r w:rsidR="00B66BA2">
        <w:rPr>
          <w:sz w:val="24"/>
          <w:lang w:val="en-US"/>
        </w:rPr>
        <w:t xml:space="preserve">une </w:t>
      </w:r>
      <w:r w:rsidR="00900468">
        <w:rPr>
          <w:sz w:val="24"/>
          <w:lang w:val="en-US"/>
        </w:rPr>
        <w:t>8</w:t>
      </w:r>
      <w:r w:rsidR="00B66BA2">
        <w:rPr>
          <w:sz w:val="24"/>
          <w:lang w:val="en-US"/>
        </w:rPr>
        <w:t xml:space="preserve">, 2015, </w:t>
      </w:r>
      <w:r w:rsidR="000E29E1">
        <w:rPr>
          <w:sz w:val="24"/>
          <w:lang w:val="en-US"/>
        </w:rPr>
        <w:t xml:space="preserve">Avista </w:t>
      </w:r>
      <w:r w:rsidR="00D2672C">
        <w:rPr>
          <w:sz w:val="24"/>
          <w:lang w:val="en-US"/>
        </w:rPr>
        <w:t>began providing monthly updates of its pro forma capital additions</w:t>
      </w:r>
      <w:r w:rsidR="00474E1E">
        <w:rPr>
          <w:sz w:val="24"/>
          <w:lang w:val="en-US"/>
        </w:rPr>
        <w:t xml:space="preserve">.  In </w:t>
      </w:r>
      <w:r w:rsidR="00900468">
        <w:rPr>
          <w:sz w:val="24"/>
          <w:lang w:val="en-US"/>
        </w:rPr>
        <w:t xml:space="preserve">this </w:t>
      </w:r>
      <w:r w:rsidR="00474E1E">
        <w:rPr>
          <w:sz w:val="24"/>
          <w:lang w:val="en-US"/>
        </w:rPr>
        <w:t>first update, t</w:t>
      </w:r>
      <w:r w:rsidR="007E44A2">
        <w:rPr>
          <w:sz w:val="24"/>
          <w:lang w:val="en-US"/>
        </w:rPr>
        <w:t>he Company r</w:t>
      </w:r>
      <w:r w:rsidR="007922F1">
        <w:rPr>
          <w:sz w:val="24"/>
          <w:lang w:val="en-US"/>
        </w:rPr>
        <w:t>educed b</w:t>
      </w:r>
      <w:r w:rsidR="00746970">
        <w:rPr>
          <w:sz w:val="24"/>
          <w:lang w:val="en-US"/>
        </w:rPr>
        <w:t xml:space="preserve">y $10.6 million </w:t>
      </w:r>
      <w:r w:rsidR="007922F1">
        <w:rPr>
          <w:sz w:val="24"/>
          <w:lang w:val="en-US"/>
        </w:rPr>
        <w:t xml:space="preserve">its </w:t>
      </w:r>
      <w:r w:rsidR="00181DF1">
        <w:rPr>
          <w:sz w:val="24"/>
          <w:lang w:val="en-US"/>
        </w:rPr>
        <w:lastRenderedPageBreak/>
        <w:t>Washington</w:t>
      </w:r>
      <w:r w:rsidR="00773108">
        <w:rPr>
          <w:sz w:val="24"/>
          <w:lang w:val="en-US"/>
        </w:rPr>
        <w:t>-</w:t>
      </w:r>
      <w:r w:rsidR="00181DF1">
        <w:rPr>
          <w:sz w:val="24"/>
          <w:lang w:val="en-US"/>
        </w:rPr>
        <w:t xml:space="preserve">allocated </w:t>
      </w:r>
      <w:r w:rsidR="007922F1">
        <w:rPr>
          <w:sz w:val="24"/>
          <w:lang w:val="en-US"/>
        </w:rPr>
        <w:t xml:space="preserve">capital addition amounts </w:t>
      </w:r>
      <w:r w:rsidR="00805EF8" w:rsidRPr="00805EF8">
        <w:rPr>
          <w:sz w:val="24"/>
          <w:lang w:val="en-US"/>
        </w:rPr>
        <w:t xml:space="preserve">for </w:t>
      </w:r>
      <w:r w:rsidR="000E29E1">
        <w:rPr>
          <w:sz w:val="24"/>
          <w:lang w:val="en-US"/>
        </w:rPr>
        <w:t xml:space="preserve">the </w:t>
      </w:r>
      <w:r w:rsidR="00805EF8" w:rsidRPr="00805EF8">
        <w:rPr>
          <w:sz w:val="24"/>
          <w:lang w:val="en-US"/>
        </w:rPr>
        <w:t>October through December 2014</w:t>
      </w:r>
      <w:r w:rsidR="000E29E1">
        <w:rPr>
          <w:sz w:val="24"/>
          <w:lang w:val="en-US"/>
        </w:rPr>
        <w:t xml:space="preserve"> time period</w:t>
      </w:r>
      <w:r w:rsidR="007E44A2">
        <w:rPr>
          <w:sz w:val="24"/>
          <w:lang w:val="en-US"/>
        </w:rPr>
        <w:t xml:space="preserve"> to reflect </w:t>
      </w:r>
      <w:r w:rsidR="00474E1E">
        <w:rPr>
          <w:sz w:val="24"/>
          <w:lang w:val="en-US"/>
        </w:rPr>
        <w:t xml:space="preserve">its </w:t>
      </w:r>
      <w:r w:rsidR="007E44A2">
        <w:rPr>
          <w:sz w:val="24"/>
          <w:lang w:val="en-US"/>
        </w:rPr>
        <w:t>actual results</w:t>
      </w:r>
      <w:r w:rsidR="00E20DF5">
        <w:rPr>
          <w:sz w:val="24"/>
          <w:lang w:val="en-US"/>
        </w:rPr>
        <w:t>.</w:t>
      </w:r>
      <w:r w:rsidR="00746970">
        <w:rPr>
          <w:rStyle w:val="FootnoteReference"/>
          <w:sz w:val="24"/>
          <w:lang w:val="en-US"/>
        </w:rPr>
        <w:footnoteReference w:id="12"/>
      </w:r>
      <w:r w:rsidR="00E20DF5">
        <w:rPr>
          <w:sz w:val="24"/>
          <w:lang w:val="en-US"/>
        </w:rPr>
        <w:t xml:space="preserve">  </w:t>
      </w:r>
      <w:r w:rsidR="00474E1E">
        <w:rPr>
          <w:sz w:val="24"/>
          <w:lang w:val="en-US"/>
        </w:rPr>
        <w:t xml:space="preserve">The latest update </w:t>
      </w:r>
      <w:r w:rsidR="00F27658">
        <w:rPr>
          <w:sz w:val="24"/>
          <w:lang w:val="en-US"/>
        </w:rPr>
        <w:t xml:space="preserve">of </w:t>
      </w:r>
      <w:r w:rsidR="00474E1E">
        <w:rPr>
          <w:sz w:val="24"/>
          <w:lang w:val="en-US"/>
        </w:rPr>
        <w:t xml:space="preserve">July 10 </w:t>
      </w:r>
      <w:r w:rsidR="00F27658">
        <w:rPr>
          <w:sz w:val="24"/>
          <w:lang w:val="en-US"/>
        </w:rPr>
        <w:t xml:space="preserve">provided Avista’s </w:t>
      </w:r>
      <w:r w:rsidR="00487AF2">
        <w:rPr>
          <w:sz w:val="24"/>
          <w:lang w:val="en-US"/>
        </w:rPr>
        <w:t xml:space="preserve">actuals </w:t>
      </w:r>
      <w:r>
        <w:rPr>
          <w:sz w:val="24"/>
          <w:lang w:val="en-US"/>
        </w:rPr>
        <w:t xml:space="preserve">through June of 2015 </w:t>
      </w:r>
      <w:r w:rsidR="00BF2AEF">
        <w:rPr>
          <w:sz w:val="24"/>
          <w:lang w:val="en-US"/>
        </w:rPr>
        <w:t xml:space="preserve">and </w:t>
      </w:r>
      <w:r w:rsidR="00F27658">
        <w:rPr>
          <w:sz w:val="24"/>
          <w:lang w:val="en-US"/>
        </w:rPr>
        <w:t xml:space="preserve">a revision of its </w:t>
      </w:r>
      <w:r w:rsidR="00487AF2">
        <w:rPr>
          <w:sz w:val="24"/>
          <w:lang w:val="en-US"/>
        </w:rPr>
        <w:t xml:space="preserve">forecast </w:t>
      </w:r>
      <w:r>
        <w:rPr>
          <w:sz w:val="24"/>
          <w:lang w:val="en-US"/>
        </w:rPr>
        <w:t xml:space="preserve">for </w:t>
      </w:r>
      <w:r w:rsidR="00F27658">
        <w:rPr>
          <w:sz w:val="24"/>
          <w:lang w:val="en-US"/>
        </w:rPr>
        <w:t xml:space="preserve">its pro forma capital additions for </w:t>
      </w:r>
      <w:r>
        <w:rPr>
          <w:sz w:val="24"/>
          <w:lang w:val="en-US"/>
        </w:rPr>
        <w:t xml:space="preserve">the balance of the year.  </w:t>
      </w:r>
      <w:r w:rsidR="00474E1E">
        <w:rPr>
          <w:sz w:val="24"/>
          <w:lang w:val="en-US"/>
        </w:rPr>
        <w:t>As it stands now, the C</w:t>
      </w:r>
      <w:r w:rsidR="00615829">
        <w:rPr>
          <w:sz w:val="24"/>
          <w:lang w:val="en-US"/>
        </w:rPr>
        <w:t xml:space="preserve">ompany’s </w:t>
      </w:r>
      <w:r w:rsidR="002771CB">
        <w:rPr>
          <w:sz w:val="24"/>
          <w:lang w:val="en-US"/>
        </w:rPr>
        <w:t>Washington</w:t>
      </w:r>
      <w:r w:rsidR="001F1478">
        <w:rPr>
          <w:sz w:val="24"/>
          <w:lang w:val="en-US"/>
        </w:rPr>
        <w:t>-</w:t>
      </w:r>
      <w:r w:rsidR="002771CB">
        <w:rPr>
          <w:sz w:val="24"/>
          <w:lang w:val="en-US"/>
        </w:rPr>
        <w:t xml:space="preserve">allocated </w:t>
      </w:r>
      <w:r>
        <w:rPr>
          <w:sz w:val="24"/>
          <w:lang w:val="en-US"/>
        </w:rPr>
        <w:t>2015 pro for</w:t>
      </w:r>
      <w:r w:rsidR="00903BBB">
        <w:rPr>
          <w:sz w:val="24"/>
          <w:lang w:val="en-US"/>
        </w:rPr>
        <w:t>m</w:t>
      </w:r>
      <w:r>
        <w:rPr>
          <w:sz w:val="24"/>
          <w:lang w:val="en-US"/>
        </w:rPr>
        <w:t xml:space="preserve">a transfers to plant </w:t>
      </w:r>
      <w:r w:rsidR="002771CB">
        <w:rPr>
          <w:sz w:val="24"/>
          <w:lang w:val="en-US"/>
        </w:rPr>
        <w:t xml:space="preserve">are </w:t>
      </w:r>
      <w:r w:rsidR="007E44A2">
        <w:rPr>
          <w:sz w:val="24"/>
          <w:lang w:val="en-US"/>
        </w:rPr>
        <w:t>$</w:t>
      </w:r>
      <w:r w:rsidR="006154E9">
        <w:rPr>
          <w:sz w:val="24"/>
          <w:lang w:val="en-US"/>
        </w:rPr>
        <w:t>29</w:t>
      </w:r>
      <w:r w:rsidR="00032B57">
        <w:rPr>
          <w:sz w:val="24"/>
          <w:lang w:val="en-US"/>
        </w:rPr>
        <w:t>.</w:t>
      </w:r>
      <w:r w:rsidR="00D56C49">
        <w:rPr>
          <w:sz w:val="24"/>
          <w:lang w:val="en-US"/>
        </w:rPr>
        <w:t>2</w:t>
      </w:r>
      <w:r w:rsidR="00032B57">
        <w:rPr>
          <w:sz w:val="24"/>
          <w:lang w:val="en-US"/>
        </w:rPr>
        <w:t xml:space="preserve"> million</w:t>
      </w:r>
      <w:r w:rsidR="009001C2">
        <w:rPr>
          <w:sz w:val="24"/>
          <w:lang w:val="en-US"/>
        </w:rPr>
        <w:t xml:space="preserve"> </w:t>
      </w:r>
      <w:r w:rsidR="002771CB">
        <w:rPr>
          <w:sz w:val="24"/>
          <w:lang w:val="en-US"/>
        </w:rPr>
        <w:t xml:space="preserve">lower than what Avista </w:t>
      </w:r>
      <w:r w:rsidR="00E20DF5">
        <w:rPr>
          <w:sz w:val="24"/>
          <w:lang w:val="en-US"/>
        </w:rPr>
        <w:t>had originally filed</w:t>
      </w:r>
      <w:r w:rsidR="00032B57">
        <w:rPr>
          <w:sz w:val="24"/>
          <w:lang w:val="en-US"/>
        </w:rPr>
        <w:t>.</w:t>
      </w:r>
      <w:r w:rsidR="0015612E">
        <w:rPr>
          <w:rStyle w:val="FootnoteReference"/>
          <w:sz w:val="24"/>
          <w:lang w:val="en-US"/>
        </w:rPr>
        <w:footnoteReference w:id="13"/>
      </w:r>
    </w:p>
    <w:p w14:paraId="4B826042" w14:textId="016E20B4" w:rsidR="0025614C" w:rsidRDefault="00BF2AEF" w:rsidP="00425F7D">
      <w:pPr>
        <w:pStyle w:val="BodyTextIndent"/>
        <w:ind w:firstLine="720"/>
        <w:rPr>
          <w:sz w:val="24"/>
          <w:lang w:val="en-US"/>
        </w:rPr>
      </w:pPr>
      <w:r>
        <w:rPr>
          <w:sz w:val="24"/>
          <w:lang w:val="en-US"/>
        </w:rPr>
        <w:t>Currently</w:t>
      </w:r>
      <w:r w:rsidR="001B3285">
        <w:rPr>
          <w:sz w:val="24"/>
          <w:lang w:val="en-US"/>
        </w:rPr>
        <w:t xml:space="preserve">, </w:t>
      </w:r>
      <w:r w:rsidR="009A48B5">
        <w:rPr>
          <w:sz w:val="24"/>
          <w:lang w:val="en-US"/>
        </w:rPr>
        <w:t xml:space="preserve">the rate base amounts in </w:t>
      </w:r>
      <w:r w:rsidR="00591936">
        <w:rPr>
          <w:sz w:val="24"/>
          <w:lang w:val="en-US"/>
        </w:rPr>
        <w:t xml:space="preserve">both </w:t>
      </w:r>
      <w:r w:rsidR="000B0EDC">
        <w:rPr>
          <w:sz w:val="24"/>
          <w:lang w:val="en-US"/>
        </w:rPr>
        <w:t xml:space="preserve">Avista’s </w:t>
      </w:r>
      <w:r w:rsidR="00591936">
        <w:rPr>
          <w:sz w:val="24"/>
          <w:lang w:val="en-US"/>
        </w:rPr>
        <w:t xml:space="preserve">proposed </w:t>
      </w:r>
      <w:r w:rsidR="00374759">
        <w:rPr>
          <w:sz w:val="24"/>
          <w:lang w:val="en-US"/>
        </w:rPr>
        <w:t>e</w:t>
      </w:r>
      <w:r w:rsidR="00893707">
        <w:rPr>
          <w:sz w:val="24"/>
          <w:lang w:val="en-US"/>
        </w:rPr>
        <w:t xml:space="preserve">lectric </w:t>
      </w:r>
      <w:r w:rsidR="00374759">
        <w:rPr>
          <w:sz w:val="24"/>
          <w:lang w:val="en-US"/>
        </w:rPr>
        <w:t xml:space="preserve">and gas attrition study </w:t>
      </w:r>
      <w:r w:rsidR="009A48B5">
        <w:rPr>
          <w:sz w:val="24"/>
          <w:lang w:val="en-US"/>
        </w:rPr>
        <w:t xml:space="preserve">as well as in its </w:t>
      </w:r>
      <w:r w:rsidR="00374759">
        <w:rPr>
          <w:sz w:val="24"/>
          <w:lang w:val="en-US"/>
        </w:rPr>
        <w:t xml:space="preserve">cross check </w:t>
      </w:r>
      <w:r w:rsidR="00591936">
        <w:rPr>
          <w:sz w:val="24"/>
          <w:lang w:val="en-US"/>
        </w:rPr>
        <w:t>are</w:t>
      </w:r>
      <w:r w:rsidR="00DD5541">
        <w:rPr>
          <w:sz w:val="24"/>
          <w:lang w:val="en-US"/>
        </w:rPr>
        <w:t xml:space="preserve"> </w:t>
      </w:r>
      <w:r w:rsidR="000919FC">
        <w:rPr>
          <w:sz w:val="24"/>
          <w:lang w:val="en-US"/>
        </w:rPr>
        <w:t xml:space="preserve">identical to each other.  Avista’s </w:t>
      </w:r>
      <w:r w:rsidR="000B0EDC">
        <w:rPr>
          <w:sz w:val="24"/>
          <w:lang w:val="en-US"/>
        </w:rPr>
        <w:t xml:space="preserve">revised </w:t>
      </w:r>
      <w:r w:rsidR="000919FC">
        <w:rPr>
          <w:sz w:val="24"/>
          <w:lang w:val="en-US"/>
        </w:rPr>
        <w:t xml:space="preserve">2016 calendar year rate period rate base </w:t>
      </w:r>
      <w:r w:rsidR="000B0EDC">
        <w:rPr>
          <w:sz w:val="24"/>
          <w:lang w:val="en-US"/>
        </w:rPr>
        <w:t>st</w:t>
      </w:r>
      <w:r w:rsidR="000919FC">
        <w:rPr>
          <w:sz w:val="24"/>
          <w:lang w:val="en-US"/>
        </w:rPr>
        <w:t xml:space="preserve">ands at </w:t>
      </w:r>
      <w:r w:rsidR="00893707">
        <w:rPr>
          <w:sz w:val="24"/>
          <w:lang w:val="en-US"/>
        </w:rPr>
        <w:t xml:space="preserve">$1.42 billion </w:t>
      </w:r>
      <w:r w:rsidR="000919FC">
        <w:rPr>
          <w:sz w:val="24"/>
          <w:lang w:val="en-US"/>
        </w:rPr>
        <w:t xml:space="preserve">for electric </w:t>
      </w:r>
      <w:r w:rsidR="00893707">
        <w:rPr>
          <w:sz w:val="24"/>
          <w:lang w:val="en-US"/>
        </w:rPr>
        <w:t>and $282.5 million</w:t>
      </w:r>
      <w:r w:rsidR="000919FC">
        <w:rPr>
          <w:sz w:val="24"/>
          <w:lang w:val="en-US"/>
        </w:rPr>
        <w:t xml:space="preserve"> for gas</w:t>
      </w:r>
      <w:r w:rsidR="00893707">
        <w:rPr>
          <w:sz w:val="24"/>
          <w:lang w:val="en-US"/>
        </w:rPr>
        <w:t>.</w:t>
      </w:r>
      <w:r w:rsidR="00893707">
        <w:rPr>
          <w:rStyle w:val="FootnoteReference"/>
          <w:sz w:val="24"/>
          <w:lang w:val="en-US"/>
        </w:rPr>
        <w:footnoteReference w:id="14"/>
      </w:r>
    </w:p>
    <w:p w14:paraId="4DFE7413" w14:textId="77777777" w:rsidR="003F06FD" w:rsidRDefault="003F06FD" w:rsidP="00425F7D">
      <w:pPr>
        <w:pStyle w:val="BodyTextIndent"/>
        <w:ind w:firstLine="720"/>
        <w:rPr>
          <w:sz w:val="24"/>
          <w:lang w:val="en-US"/>
        </w:rPr>
      </w:pPr>
    </w:p>
    <w:p w14:paraId="092C4906" w14:textId="628E8228" w:rsidR="003F06FD" w:rsidRPr="00BF078B" w:rsidRDefault="003F06FD" w:rsidP="00425F7D">
      <w:pPr>
        <w:tabs>
          <w:tab w:val="left" w:pos="-1440"/>
        </w:tabs>
        <w:spacing w:line="480" w:lineRule="auto"/>
        <w:ind w:left="720" w:hanging="720"/>
        <w:rPr>
          <w:b/>
          <w:bCs/>
        </w:rPr>
      </w:pPr>
      <w:r w:rsidRPr="00BF078B">
        <w:rPr>
          <w:b/>
          <w:bCs/>
        </w:rPr>
        <w:t>Q.</w:t>
      </w:r>
      <w:r w:rsidRPr="00BF078B">
        <w:rPr>
          <w:b/>
          <w:bCs/>
        </w:rPr>
        <w:tab/>
      </w:r>
      <w:r w:rsidR="004D5A3C">
        <w:rPr>
          <w:b/>
          <w:bCs/>
        </w:rPr>
        <w:t>Y</w:t>
      </w:r>
      <w:r w:rsidR="00CD0F79">
        <w:rPr>
          <w:b/>
          <w:bCs/>
        </w:rPr>
        <w:t xml:space="preserve">our testimony in this case </w:t>
      </w:r>
      <w:r w:rsidR="004165F5">
        <w:rPr>
          <w:b/>
          <w:bCs/>
        </w:rPr>
        <w:t>i</w:t>
      </w:r>
      <w:r w:rsidR="004D5A3C">
        <w:rPr>
          <w:b/>
          <w:bCs/>
        </w:rPr>
        <w:t xml:space="preserve">s </w:t>
      </w:r>
      <w:r w:rsidR="001B76A5">
        <w:rPr>
          <w:b/>
          <w:bCs/>
        </w:rPr>
        <w:t xml:space="preserve">limited to </w:t>
      </w:r>
      <w:r w:rsidR="004D5A3C">
        <w:rPr>
          <w:b/>
          <w:bCs/>
        </w:rPr>
        <w:t xml:space="preserve">the </w:t>
      </w:r>
      <w:r>
        <w:rPr>
          <w:b/>
          <w:bCs/>
        </w:rPr>
        <w:t xml:space="preserve">Company’s </w:t>
      </w:r>
      <w:r w:rsidR="008372AE">
        <w:rPr>
          <w:b/>
          <w:bCs/>
        </w:rPr>
        <w:t xml:space="preserve">2015 </w:t>
      </w:r>
      <w:r w:rsidR="007D22A0">
        <w:rPr>
          <w:b/>
          <w:bCs/>
        </w:rPr>
        <w:t xml:space="preserve">pro forma </w:t>
      </w:r>
      <w:r>
        <w:rPr>
          <w:b/>
          <w:bCs/>
        </w:rPr>
        <w:t>capital additions</w:t>
      </w:r>
      <w:r w:rsidR="004D5A3C">
        <w:rPr>
          <w:b/>
          <w:bCs/>
        </w:rPr>
        <w:t>.  Why did you decide to narrow the scope of your examination from wh</w:t>
      </w:r>
      <w:r w:rsidR="00CB0861">
        <w:rPr>
          <w:b/>
          <w:bCs/>
        </w:rPr>
        <w:t xml:space="preserve">at </w:t>
      </w:r>
      <w:r w:rsidR="008372AE">
        <w:rPr>
          <w:b/>
          <w:bCs/>
        </w:rPr>
        <w:t>was filed by t</w:t>
      </w:r>
      <w:r w:rsidR="00CB0861">
        <w:rPr>
          <w:b/>
          <w:bCs/>
        </w:rPr>
        <w:t>he Company</w:t>
      </w:r>
      <w:r>
        <w:rPr>
          <w:b/>
          <w:bCs/>
        </w:rPr>
        <w:t>?</w:t>
      </w:r>
    </w:p>
    <w:p w14:paraId="7904A6F1" w14:textId="69EE11B8" w:rsidR="00F76008" w:rsidRDefault="003F06FD" w:rsidP="00425F7D">
      <w:pPr>
        <w:pStyle w:val="BodyTextIndent"/>
        <w:rPr>
          <w:sz w:val="24"/>
          <w:lang w:val="en-US"/>
        </w:rPr>
      </w:pPr>
      <w:r>
        <w:rPr>
          <w:sz w:val="24"/>
          <w:lang w:val="en-US"/>
        </w:rPr>
        <w:lastRenderedPageBreak/>
        <w:t>A.</w:t>
      </w:r>
      <w:r>
        <w:rPr>
          <w:sz w:val="24"/>
          <w:lang w:val="en-US"/>
        </w:rPr>
        <w:tab/>
      </w:r>
      <w:r w:rsidR="002B312D">
        <w:rPr>
          <w:sz w:val="24"/>
          <w:lang w:val="en-US"/>
        </w:rPr>
        <w:t xml:space="preserve">I selected a </w:t>
      </w:r>
      <w:r w:rsidR="00E56D35">
        <w:rPr>
          <w:sz w:val="24"/>
          <w:lang w:val="en-US"/>
        </w:rPr>
        <w:t xml:space="preserve">narrower </w:t>
      </w:r>
      <w:r w:rsidR="007D22A0">
        <w:rPr>
          <w:sz w:val="24"/>
          <w:lang w:val="en-US"/>
        </w:rPr>
        <w:t xml:space="preserve">scope of pro forma capital </w:t>
      </w:r>
      <w:r w:rsidR="00D449D3">
        <w:rPr>
          <w:sz w:val="24"/>
          <w:lang w:val="en-US"/>
        </w:rPr>
        <w:t xml:space="preserve">additions </w:t>
      </w:r>
      <w:r w:rsidR="007D22A0">
        <w:rPr>
          <w:sz w:val="24"/>
          <w:lang w:val="en-US"/>
        </w:rPr>
        <w:t xml:space="preserve">to examine </w:t>
      </w:r>
      <w:r w:rsidR="00377CBA">
        <w:rPr>
          <w:sz w:val="24"/>
          <w:lang w:val="en-US"/>
        </w:rPr>
        <w:t xml:space="preserve">for two reasons.  </w:t>
      </w:r>
      <w:r w:rsidR="002B312D">
        <w:rPr>
          <w:sz w:val="24"/>
          <w:lang w:val="en-US"/>
        </w:rPr>
        <w:t xml:space="preserve">First, </w:t>
      </w:r>
      <w:r w:rsidR="00B955B2">
        <w:rPr>
          <w:sz w:val="24"/>
          <w:lang w:val="en-US"/>
        </w:rPr>
        <w:t xml:space="preserve">the </w:t>
      </w:r>
      <w:r w:rsidR="00C82A7B">
        <w:rPr>
          <w:sz w:val="24"/>
          <w:lang w:val="en-US"/>
        </w:rPr>
        <w:t xml:space="preserve">guidance </w:t>
      </w:r>
      <w:r w:rsidR="005C5A34">
        <w:rPr>
          <w:sz w:val="24"/>
          <w:lang w:val="en-US"/>
        </w:rPr>
        <w:t xml:space="preserve">provided </w:t>
      </w:r>
      <w:r w:rsidR="00C82A7B">
        <w:rPr>
          <w:sz w:val="24"/>
          <w:lang w:val="en-US"/>
        </w:rPr>
        <w:t xml:space="preserve">by the </w:t>
      </w:r>
      <w:r w:rsidR="00B955B2">
        <w:rPr>
          <w:sz w:val="24"/>
          <w:lang w:val="en-US"/>
        </w:rPr>
        <w:t xml:space="preserve">Commission </w:t>
      </w:r>
      <w:r w:rsidR="00C82A7B">
        <w:rPr>
          <w:sz w:val="24"/>
          <w:lang w:val="en-US"/>
        </w:rPr>
        <w:t xml:space="preserve">in its </w:t>
      </w:r>
      <w:r w:rsidR="00B955B2">
        <w:rPr>
          <w:sz w:val="24"/>
          <w:lang w:val="en-US"/>
        </w:rPr>
        <w:t>recent order in the last Pacific Power rate case</w:t>
      </w:r>
      <w:r w:rsidR="00E56D35">
        <w:rPr>
          <w:sz w:val="24"/>
          <w:lang w:val="en-US"/>
        </w:rPr>
        <w:t xml:space="preserve"> </w:t>
      </w:r>
      <w:r w:rsidR="00DE7587">
        <w:rPr>
          <w:sz w:val="24"/>
          <w:lang w:val="en-US"/>
        </w:rPr>
        <w:t xml:space="preserve">(Pacific Order) </w:t>
      </w:r>
      <w:r w:rsidR="00E56D35">
        <w:rPr>
          <w:sz w:val="24"/>
          <w:lang w:val="en-US"/>
        </w:rPr>
        <w:t>regarding major capital additions</w:t>
      </w:r>
      <w:r w:rsidR="00B716EE">
        <w:rPr>
          <w:sz w:val="24"/>
          <w:lang w:val="en-US"/>
        </w:rPr>
        <w:t>.</w:t>
      </w:r>
      <w:r w:rsidR="00B716EE" w:rsidRPr="00B716EE">
        <w:rPr>
          <w:rStyle w:val="FootnoteReference"/>
          <w:sz w:val="24"/>
          <w:lang w:val="en-US"/>
        </w:rPr>
        <w:t xml:space="preserve"> </w:t>
      </w:r>
      <w:r w:rsidR="00B716EE">
        <w:rPr>
          <w:rStyle w:val="FootnoteReference"/>
          <w:sz w:val="24"/>
          <w:lang w:val="en-US"/>
        </w:rPr>
        <w:footnoteReference w:id="15"/>
      </w:r>
      <w:r w:rsidR="00B716EE">
        <w:rPr>
          <w:sz w:val="24"/>
          <w:lang w:val="en-US"/>
        </w:rPr>
        <w:t xml:space="preserve">  </w:t>
      </w:r>
      <w:r w:rsidR="002C1508">
        <w:rPr>
          <w:sz w:val="24"/>
          <w:lang w:val="en-US"/>
        </w:rPr>
        <w:t xml:space="preserve">Staff witness Mr. Hancock discusses the </w:t>
      </w:r>
      <w:r w:rsidR="00341B2A">
        <w:rPr>
          <w:sz w:val="24"/>
          <w:lang w:val="en-US"/>
        </w:rPr>
        <w:t>guidance provided by the Commission’s</w:t>
      </w:r>
      <w:r w:rsidR="002C1508">
        <w:rPr>
          <w:sz w:val="24"/>
          <w:lang w:val="en-US"/>
        </w:rPr>
        <w:t xml:space="preserve"> Pacific Order in his testimony.  </w:t>
      </w:r>
      <w:r w:rsidR="00F76008">
        <w:rPr>
          <w:sz w:val="24"/>
          <w:lang w:val="en-US"/>
        </w:rPr>
        <w:t>Second, the Company’s response</w:t>
      </w:r>
      <w:r w:rsidR="001E4019">
        <w:rPr>
          <w:sz w:val="24"/>
          <w:lang w:val="en-US"/>
        </w:rPr>
        <w:t>s</w:t>
      </w:r>
      <w:r w:rsidR="00F76008">
        <w:rPr>
          <w:sz w:val="24"/>
          <w:lang w:val="en-US"/>
        </w:rPr>
        <w:t xml:space="preserve"> to </w:t>
      </w:r>
      <w:r w:rsidR="009A48B5">
        <w:rPr>
          <w:sz w:val="24"/>
          <w:lang w:val="en-US"/>
        </w:rPr>
        <w:t>Staff Data Request Nos</w:t>
      </w:r>
      <w:r w:rsidR="00AD3DC3">
        <w:rPr>
          <w:sz w:val="24"/>
          <w:lang w:val="en-US"/>
        </w:rPr>
        <w:t>.</w:t>
      </w:r>
      <w:r w:rsidR="00F76008">
        <w:rPr>
          <w:sz w:val="24"/>
          <w:lang w:val="en-US"/>
        </w:rPr>
        <w:t xml:space="preserve"> 130</w:t>
      </w:r>
      <w:r w:rsidR="005B3A6C">
        <w:rPr>
          <w:sz w:val="24"/>
          <w:lang w:val="en-US"/>
        </w:rPr>
        <w:t xml:space="preserve">, </w:t>
      </w:r>
      <w:r w:rsidR="00F76008">
        <w:rPr>
          <w:sz w:val="24"/>
          <w:lang w:val="en-US"/>
        </w:rPr>
        <w:t xml:space="preserve">131 </w:t>
      </w:r>
      <w:r w:rsidR="005B3A6C">
        <w:rPr>
          <w:sz w:val="24"/>
          <w:lang w:val="en-US"/>
        </w:rPr>
        <w:t>and 143</w:t>
      </w:r>
      <w:r w:rsidR="008622AA">
        <w:rPr>
          <w:rStyle w:val="FootnoteReference"/>
          <w:sz w:val="24"/>
          <w:lang w:val="en-US"/>
        </w:rPr>
        <w:footnoteReference w:id="16"/>
      </w:r>
      <w:r w:rsidR="005B3A6C">
        <w:rPr>
          <w:sz w:val="24"/>
          <w:lang w:val="en-US"/>
        </w:rPr>
        <w:t xml:space="preserve"> </w:t>
      </w:r>
      <w:r w:rsidR="005A43D8">
        <w:rPr>
          <w:sz w:val="24"/>
          <w:lang w:val="en-US"/>
        </w:rPr>
        <w:t xml:space="preserve">mentioned above </w:t>
      </w:r>
      <w:r w:rsidR="00F76008">
        <w:rPr>
          <w:sz w:val="24"/>
          <w:lang w:val="en-US"/>
        </w:rPr>
        <w:t xml:space="preserve">which provided Avista’s actual </w:t>
      </w:r>
      <w:r w:rsidR="00FE20EE">
        <w:rPr>
          <w:sz w:val="24"/>
          <w:lang w:val="en-US"/>
        </w:rPr>
        <w:t xml:space="preserve">amount of </w:t>
      </w:r>
      <w:r w:rsidR="00DE7587">
        <w:rPr>
          <w:sz w:val="24"/>
          <w:lang w:val="en-US"/>
        </w:rPr>
        <w:t>year</w:t>
      </w:r>
      <w:r w:rsidR="00341B2A">
        <w:rPr>
          <w:sz w:val="24"/>
          <w:lang w:val="en-US"/>
        </w:rPr>
        <w:t>-</w:t>
      </w:r>
      <w:r w:rsidR="00DE7587">
        <w:rPr>
          <w:sz w:val="24"/>
          <w:lang w:val="en-US"/>
        </w:rPr>
        <w:t xml:space="preserve">end capital additions and </w:t>
      </w:r>
      <w:r w:rsidR="00F76008">
        <w:rPr>
          <w:sz w:val="24"/>
          <w:lang w:val="en-US"/>
        </w:rPr>
        <w:t xml:space="preserve">rate base </w:t>
      </w:r>
      <w:r w:rsidR="00FE20EE">
        <w:rPr>
          <w:sz w:val="24"/>
          <w:lang w:val="en-US"/>
        </w:rPr>
        <w:t>f</w:t>
      </w:r>
      <w:r w:rsidR="00F76008">
        <w:rPr>
          <w:sz w:val="24"/>
          <w:lang w:val="en-US"/>
        </w:rPr>
        <w:t xml:space="preserve">or 2014. </w:t>
      </w:r>
    </w:p>
    <w:p w14:paraId="62280B09" w14:textId="77777777" w:rsidR="00377CBA" w:rsidRDefault="00377CBA" w:rsidP="00425F7D">
      <w:pPr>
        <w:tabs>
          <w:tab w:val="left" w:pos="-1440"/>
        </w:tabs>
        <w:spacing w:line="480" w:lineRule="auto"/>
        <w:ind w:left="720" w:hanging="720"/>
        <w:rPr>
          <w:b/>
          <w:bCs/>
        </w:rPr>
      </w:pPr>
    </w:p>
    <w:p w14:paraId="1A3197AA" w14:textId="640BD789" w:rsidR="00377CBA" w:rsidRPr="00BF078B" w:rsidRDefault="00377CBA" w:rsidP="00425F7D">
      <w:pPr>
        <w:tabs>
          <w:tab w:val="left" w:pos="-1440"/>
        </w:tabs>
        <w:spacing w:line="480" w:lineRule="auto"/>
        <w:ind w:left="720" w:hanging="720"/>
        <w:rPr>
          <w:b/>
          <w:bCs/>
        </w:rPr>
      </w:pPr>
      <w:r w:rsidRPr="00BF078B">
        <w:rPr>
          <w:b/>
          <w:bCs/>
        </w:rPr>
        <w:t>Q.</w:t>
      </w:r>
      <w:r w:rsidRPr="00BF078B">
        <w:rPr>
          <w:b/>
          <w:bCs/>
        </w:rPr>
        <w:tab/>
      </w:r>
      <w:r>
        <w:rPr>
          <w:b/>
          <w:bCs/>
        </w:rPr>
        <w:t>Please explain</w:t>
      </w:r>
      <w:r w:rsidR="001B76A5">
        <w:rPr>
          <w:b/>
          <w:bCs/>
        </w:rPr>
        <w:t xml:space="preserve"> further</w:t>
      </w:r>
      <w:r>
        <w:rPr>
          <w:b/>
          <w:bCs/>
        </w:rPr>
        <w:t>.</w:t>
      </w:r>
    </w:p>
    <w:p w14:paraId="26A2EE5B" w14:textId="352DF0A5" w:rsidR="00377CBA" w:rsidRDefault="00377CBA" w:rsidP="00425F7D">
      <w:pPr>
        <w:pStyle w:val="BodyTextIndent"/>
        <w:rPr>
          <w:sz w:val="24"/>
          <w:lang w:val="en-US"/>
        </w:rPr>
      </w:pPr>
      <w:r>
        <w:rPr>
          <w:sz w:val="24"/>
          <w:lang w:val="en-US"/>
        </w:rPr>
        <w:t>A.</w:t>
      </w:r>
      <w:r>
        <w:rPr>
          <w:sz w:val="24"/>
          <w:lang w:val="en-US"/>
        </w:rPr>
        <w:tab/>
      </w:r>
      <w:r w:rsidR="008526E8">
        <w:rPr>
          <w:sz w:val="24"/>
          <w:lang w:val="en-US"/>
        </w:rPr>
        <w:t xml:space="preserve">The </w:t>
      </w:r>
      <w:r w:rsidR="00F76008">
        <w:rPr>
          <w:sz w:val="24"/>
          <w:lang w:val="en-US"/>
        </w:rPr>
        <w:t xml:space="preserve">timing </w:t>
      </w:r>
      <w:r w:rsidR="008526E8">
        <w:rPr>
          <w:sz w:val="24"/>
          <w:lang w:val="en-US"/>
        </w:rPr>
        <w:t xml:space="preserve">difference </w:t>
      </w:r>
      <w:r w:rsidR="00F76008">
        <w:rPr>
          <w:sz w:val="24"/>
          <w:lang w:val="en-US"/>
        </w:rPr>
        <w:t xml:space="preserve">between </w:t>
      </w:r>
      <w:r w:rsidR="00232E7A">
        <w:rPr>
          <w:sz w:val="24"/>
          <w:lang w:val="en-US"/>
        </w:rPr>
        <w:t xml:space="preserve">Avista’s </w:t>
      </w:r>
      <w:r w:rsidR="00F76008">
        <w:rPr>
          <w:sz w:val="24"/>
          <w:lang w:val="en-US"/>
        </w:rPr>
        <w:t xml:space="preserve">filing of </w:t>
      </w:r>
      <w:r w:rsidR="00E533CC">
        <w:rPr>
          <w:sz w:val="24"/>
          <w:lang w:val="en-US"/>
        </w:rPr>
        <w:t>this</w:t>
      </w:r>
      <w:r w:rsidR="00232E7A">
        <w:rPr>
          <w:sz w:val="24"/>
          <w:lang w:val="en-US"/>
        </w:rPr>
        <w:t xml:space="preserve"> </w:t>
      </w:r>
      <w:r w:rsidR="00F76008">
        <w:rPr>
          <w:sz w:val="24"/>
          <w:lang w:val="en-US"/>
        </w:rPr>
        <w:t xml:space="preserve">rate case and the </w:t>
      </w:r>
      <w:r w:rsidR="008526E8">
        <w:rPr>
          <w:sz w:val="24"/>
          <w:lang w:val="en-US"/>
        </w:rPr>
        <w:t xml:space="preserve">issuing of </w:t>
      </w:r>
      <w:r w:rsidR="00DE7587">
        <w:rPr>
          <w:sz w:val="24"/>
          <w:lang w:val="en-US"/>
        </w:rPr>
        <w:t xml:space="preserve">the Pacific Order </w:t>
      </w:r>
      <w:r w:rsidR="00232E7A">
        <w:rPr>
          <w:sz w:val="24"/>
          <w:lang w:val="en-US"/>
        </w:rPr>
        <w:t xml:space="preserve">meant that </w:t>
      </w:r>
      <w:r w:rsidR="00F76008">
        <w:rPr>
          <w:sz w:val="24"/>
          <w:lang w:val="en-US"/>
        </w:rPr>
        <w:t xml:space="preserve">the Company was unable to incorporate the Commission’s </w:t>
      </w:r>
      <w:r w:rsidR="003B345A">
        <w:rPr>
          <w:sz w:val="24"/>
          <w:lang w:val="en-US"/>
        </w:rPr>
        <w:t xml:space="preserve">most recent </w:t>
      </w:r>
      <w:r w:rsidR="00F76008">
        <w:rPr>
          <w:sz w:val="24"/>
          <w:lang w:val="en-US"/>
        </w:rPr>
        <w:t xml:space="preserve">guidance on </w:t>
      </w:r>
      <w:r w:rsidR="008526E8">
        <w:rPr>
          <w:sz w:val="24"/>
          <w:lang w:val="en-US"/>
        </w:rPr>
        <w:t>capital</w:t>
      </w:r>
      <w:r w:rsidR="00F76008">
        <w:rPr>
          <w:sz w:val="24"/>
          <w:lang w:val="en-US"/>
        </w:rPr>
        <w:t xml:space="preserve"> additions</w:t>
      </w:r>
      <w:r w:rsidR="00CC0781">
        <w:rPr>
          <w:sz w:val="24"/>
          <w:lang w:val="en-US"/>
        </w:rPr>
        <w:t xml:space="preserve"> </w:t>
      </w:r>
      <w:r w:rsidR="00F76008">
        <w:rPr>
          <w:sz w:val="24"/>
          <w:lang w:val="en-US"/>
        </w:rPr>
        <w:t xml:space="preserve">when it </w:t>
      </w:r>
      <w:r w:rsidR="00BD45B0">
        <w:rPr>
          <w:sz w:val="24"/>
          <w:lang w:val="en-US"/>
        </w:rPr>
        <w:t>prepared its case</w:t>
      </w:r>
      <w:r w:rsidR="00F76008">
        <w:rPr>
          <w:sz w:val="24"/>
          <w:lang w:val="en-US"/>
        </w:rPr>
        <w:t xml:space="preserve">.  </w:t>
      </w:r>
      <w:r w:rsidR="00B716EE">
        <w:rPr>
          <w:sz w:val="24"/>
          <w:lang w:val="en-US"/>
        </w:rPr>
        <w:t>In th</w:t>
      </w:r>
      <w:r w:rsidR="00CC0781">
        <w:rPr>
          <w:sz w:val="24"/>
          <w:lang w:val="en-US"/>
        </w:rPr>
        <w:t>e Pacific O</w:t>
      </w:r>
      <w:r w:rsidR="00B716EE">
        <w:rPr>
          <w:sz w:val="24"/>
          <w:lang w:val="en-US"/>
        </w:rPr>
        <w:t>rder</w:t>
      </w:r>
      <w:r w:rsidR="000E6189">
        <w:rPr>
          <w:sz w:val="24"/>
          <w:lang w:val="en-US"/>
        </w:rPr>
        <w:t>,</w:t>
      </w:r>
      <w:r w:rsidR="00B716EE">
        <w:rPr>
          <w:sz w:val="24"/>
          <w:lang w:val="en-US"/>
        </w:rPr>
        <w:t xml:space="preserve"> the Commission </w:t>
      </w:r>
      <w:r w:rsidR="00C82A7B">
        <w:rPr>
          <w:sz w:val="24"/>
          <w:lang w:val="en-US"/>
        </w:rPr>
        <w:t xml:space="preserve">outlined </w:t>
      </w:r>
      <w:r w:rsidR="00B716EE">
        <w:rPr>
          <w:sz w:val="24"/>
          <w:lang w:val="en-US"/>
        </w:rPr>
        <w:t xml:space="preserve">its </w:t>
      </w:r>
      <w:r w:rsidR="00F23AEC">
        <w:rPr>
          <w:sz w:val="24"/>
          <w:lang w:val="en-US"/>
        </w:rPr>
        <w:t>guidance</w:t>
      </w:r>
      <w:r w:rsidR="00C82A7B">
        <w:rPr>
          <w:sz w:val="24"/>
          <w:lang w:val="en-US"/>
        </w:rPr>
        <w:t xml:space="preserve"> </w:t>
      </w:r>
      <w:r w:rsidR="00B40D9D">
        <w:rPr>
          <w:sz w:val="24"/>
          <w:lang w:val="en-US"/>
        </w:rPr>
        <w:t xml:space="preserve">for </w:t>
      </w:r>
      <w:r w:rsidR="00F23AEC">
        <w:rPr>
          <w:sz w:val="24"/>
          <w:lang w:val="en-US"/>
        </w:rPr>
        <w:t xml:space="preserve">companies and Staff regarding </w:t>
      </w:r>
      <w:r w:rsidR="00B716EE">
        <w:rPr>
          <w:sz w:val="24"/>
          <w:lang w:val="en-US"/>
        </w:rPr>
        <w:t xml:space="preserve">allowable </w:t>
      </w:r>
      <w:r w:rsidR="00046C81">
        <w:rPr>
          <w:sz w:val="24"/>
          <w:lang w:val="en-US"/>
        </w:rPr>
        <w:t>pro forma capital additions</w:t>
      </w:r>
      <w:r w:rsidR="00B716EE">
        <w:rPr>
          <w:sz w:val="24"/>
          <w:lang w:val="en-US"/>
        </w:rPr>
        <w:t xml:space="preserve"> in general rate cases</w:t>
      </w:r>
      <w:r w:rsidR="00F66867">
        <w:rPr>
          <w:sz w:val="24"/>
          <w:lang w:val="en-US"/>
        </w:rPr>
        <w:t xml:space="preserve"> and </w:t>
      </w:r>
      <w:r w:rsidR="001E708D">
        <w:rPr>
          <w:sz w:val="24"/>
          <w:lang w:val="en-US"/>
        </w:rPr>
        <w:t xml:space="preserve">the </w:t>
      </w:r>
      <w:r w:rsidR="00F66867">
        <w:rPr>
          <w:sz w:val="24"/>
          <w:lang w:val="en-US"/>
        </w:rPr>
        <w:t xml:space="preserve">standard of proof required </w:t>
      </w:r>
      <w:r w:rsidR="001E708D">
        <w:rPr>
          <w:sz w:val="24"/>
          <w:lang w:val="en-US"/>
        </w:rPr>
        <w:t xml:space="preserve">for including them in </w:t>
      </w:r>
      <w:r w:rsidR="00F66867">
        <w:rPr>
          <w:sz w:val="24"/>
          <w:lang w:val="en-US"/>
        </w:rPr>
        <w:t>rates</w:t>
      </w:r>
      <w:r w:rsidR="00B955B2">
        <w:rPr>
          <w:sz w:val="24"/>
          <w:lang w:val="en-US"/>
        </w:rPr>
        <w:t>.</w:t>
      </w:r>
      <w:r w:rsidR="00041E22">
        <w:rPr>
          <w:sz w:val="24"/>
          <w:lang w:val="en-US"/>
        </w:rPr>
        <w:t xml:space="preserve">  Consequently, </w:t>
      </w:r>
      <w:r w:rsidR="00E533CC">
        <w:rPr>
          <w:sz w:val="24"/>
          <w:lang w:val="en-US"/>
        </w:rPr>
        <w:t xml:space="preserve">Staff begins by </w:t>
      </w:r>
      <w:r w:rsidR="001E708D">
        <w:rPr>
          <w:sz w:val="24"/>
          <w:lang w:val="en-US"/>
        </w:rPr>
        <w:t xml:space="preserve">first </w:t>
      </w:r>
      <w:r w:rsidR="00E533CC">
        <w:rPr>
          <w:sz w:val="24"/>
          <w:lang w:val="en-US"/>
        </w:rPr>
        <w:t xml:space="preserve">excluding </w:t>
      </w:r>
      <w:r w:rsidR="00041E22">
        <w:rPr>
          <w:sz w:val="24"/>
          <w:lang w:val="en-US"/>
        </w:rPr>
        <w:t xml:space="preserve">Avista’s 2016 AMA </w:t>
      </w:r>
      <w:r w:rsidR="00CC0781">
        <w:rPr>
          <w:sz w:val="24"/>
          <w:lang w:val="en-US"/>
        </w:rPr>
        <w:t xml:space="preserve">cross check </w:t>
      </w:r>
      <w:r w:rsidR="00041E22">
        <w:rPr>
          <w:sz w:val="24"/>
          <w:lang w:val="en-US"/>
        </w:rPr>
        <w:t xml:space="preserve">estimates of </w:t>
      </w:r>
      <w:r w:rsidR="00DB0C37">
        <w:rPr>
          <w:sz w:val="24"/>
          <w:lang w:val="en-US"/>
        </w:rPr>
        <w:t xml:space="preserve">capital additions </w:t>
      </w:r>
      <w:r w:rsidR="009234BE">
        <w:rPr>
          <w:sz w:val="24"/>
          <w:lang w:val="en-US"/>
        </w:rPr>
        <w:t>o</w:t>
      </w:r>
      <w:r w:rsidR="00CC0781">
        <w:rPr>
          <w:sz w:val="24"/>
          <w:lang w:val="en-US"/>
        </w:rPr>
        <w:t xml:space="preserve">n the basis that they </w:t>
      </w:r>
      <w:r w:rsidR="005C7B68">
        <w:rPr>
          <w:sz w:val="24"/>
          <w:lang w:val="en-US"/>
        </w:rPr>
        <w:t xml:space="preserve">do not </w:t>
      </w:r>
      <w:r w:rsidR="0019620D">
        <w:rPr>
          <w:sz w:val="24"/>
          <w:lang w:val="en-US"/>
        </w:rPr>
        <w:t xml:space="preserve">meet </w:t>
      </w:r>
      <w:r w:rsidR="00041E22">
        <w:rPr>
          <w:sz w:val="24"/>
          <w:lang w:val="en-US"/>
        </w:rPr>
        <w:t xml:space="preserve">the Commission’s </w:t>
      </w:r>
      <w:r w:rsidR="0019620D">
        <w:rPr>
          <w:sz w:val="24"/>
          <w:lang w:val="en-US"/>
        </w:rPr>
        <w:t>“known and measurable” criteria</w:t>
      </w:r>
      <w:r w:rsidR="00041E22">
        <w:rPr>
          <w:sz w:val="24"/>
          <w:lang w:val="en-US"/>
        </w:rPr>
        <w:t xml:space="preserve"> </w:t>
      </w:r>
      <w:r w:rsidR="0019620D">
        <w:rPr>
          <w:sz w:val="24"/>
          <w:lang w:val="en-US"/>
        </w:rPr>
        <w:t xml:space="preserve">specified </w:t>
      </w:r>
      <w:r w:rsidR="00CC0781">
        <w:rPr>
          <w:sz w:val="24"/>
          <w:lang w:val="en-US"/>
        </w:rPr>
        <w:t>in the Pacific Order</w:t>
      </w:r>
      <w:r w:rsidR="00DB0C37">
        <w:rPr>
          <w:sz w:val="24"/>
          <w:lang w:val="en-US"/>
        </w:rPr>
        <w:t>.</w:t>
      </w:r>
      <w:r w:rsidR="009965FC">
        <w:rPr>
          <w:rStyle w:val="FootnoteReference"/>
          <w:sz w:val="24"/>
          <w:lang w:val="en-US"/>
        </w:rPr>
        <w:footnoteReference w:id="17"/>
      </w:r>
      <w:r w:rsidR="00DB0C37">
        <w:rPr>
          <w:sz w:val="24"/>
          <w:lang w:val="en-US"/>
        </w:rPr>
        <w:t xml:space="preserve">  </w:t>
      </w:r>
    </w:p>
    <w:p w14:paraId="152BB858" w14:textId="26BBAC3F" w:rsidR="00404CF2" w:rsidRDefault="009A08EC" w:rsidP="00425F7D">
      <w:pPr>
        <w:pStyle w:val="BodyTextIndent"/>
        <w:ind w:firstLine="720"/>
        <w:rPr>
          <w:sz w:val="24"/>
          <w:lang w:val="en-US"/>
        </w:rPr>
      </w:pPr>
      <w:r>
        <w:rPr>
          <w:sz w:val="24"/>
          <w:lang w:val="en-US"/>
        </w:rPr>
        <w:t xml:space="preserve">But this is not the sole reason for excluding the 2016 data.  </w:t>
      </w:r>
      <w:r w:rsidR="009234BE">
        <w:rPr>
          <w:sz w:val="24"/>
          <w:lang w:val="en-US"/>
        </w:rPr>
        <w:t xml:space="preserve">Staff’s decision to exclude </w:t>
      </w:r>
      <w:r w:rsidR="00A053AB">
        <w:rPr>
          <w:sz w:val="24"/>
          <w:lang w:val="en-US"/>
        </w:rPr>
        <w:t xml:space="preserve">Avista’s </w:t>
      </w:r>
      <w:r w:rsidR="009234BE">
        <w:rPr>
          <w:sz w:val="24"/>
          <w:lang w:val="en-US"/>
        </w:rPr>
        <w:t>2016 AMA cross check estimates is</w:t>
      </w:r>
      <w:r>
        <w:rPr>
          <w:sz w:val="24"/>
          <w:lang w:val="en-US"/>
        </w:rPr>
        <w:t xml:space="preserve"> also informed</w:t>
      </w:r>
      <w:r w:rsidR="009234BE">
        <w:rPr>
          <w:sz w:val="24"/>
          <w:lang w:val="en-US"/>
        </w:rPr>
        <w:t xml:space="preserve"> by data fr</w:t>
      </w:r>
      <w:r w:rsidR="00B7508E">
        <w:rPr>
          <w:sz w:val="24"/>
          <w:lang w:val="en-US"/>
        </w:rPr>
        <w:t>o</w:t>
      </w:r>
      <w:r w:rsidR="009234BE">
        <w:rPr>
          <w:sz w:val="24"/>
          <w:lang w:val="en-US"/>
        </w:rPr>
        <w:t xml:space="preserve">m </w:t>
      </w:r>
      <w:r w:rsidR="00A053AB">
        <w:rPr>
          <w:sz w:val="24"/>
          <w:lang w:val="en-US"/>
        </w:rPr>
        <w:t xml:space="preserve">the </w:t>
      </w:r>
      <w:r w:rsidR="00A053AB">
        <w:rPr>
          <w:sz w:val="24"/>
          <w:lang w:val="en-US"/>
        </w:rPr>
        <w:lastRenderedPageBreak/>
        <w:t xml:space="preserve">Company’s </w:t>
      </w:r>
      <w:r w:rsidR="003B404D" w:rsidRPr="00B91535">
        <w:rPr>
          <w:sz w:val="24"/>
          <w:lang w:val="en-US"/>
        </w:rPr>
        <w:t>compliance filing from its last case in UE-140188 dated February 26, 2015</w:t>
      </w:r>
      <w:r w:rsidR="009234BE">
        <w:rPr>
          <w:sz w:val="24"/>
          <w:lang w:val="en-US"/>
        </w:rPr>
        <w:t xml:space="preserve">.  The </w:t>
      </w:r>
      <w:r w:rsidR="00AB121B">
        <w:rPr>
          <w:sz w:val="24"/>
          <w:lang w:val="en-US"/>
        </w:rPr>
        <w:t>c</w:t>
      </w:r>
      <w:r w:rsidR="009234BE">
        <w:rPr>
          <w:sz w:val="24"/>
          <w:lang w:val="en-US"/>
        </w:rPr>
        <w:t>ompliance filing s</w:t>
      </w:r>
      <w:r w:rsidR="003B404D" w:rsidRPr="00B91535">
        <w:rPr>
          <w:sz w:val="24"/>
          <w:lang w:val="en-US"/>
        </w:rPr>
        <w:t xml:space="preserve">hows 2014-2016 </w:t>
      </w:r>
      <w:r w:rsidR="003B404D">
        <w:rPr>
          <w:sz w:val="24"/>
          <w:lang w:val="en-US"/>
        </w:rPr>
        <w:t xml:space="preserve">system wide </w:t>
      </w:r>
      <w:r w:rsidR="003B404D" w:rsidRPr="00B91535">
        <w:rPr>
          <w:sz w:val="24"/>
          <w:lang w:val="en-US"/>
        </w:rPr>
        <w:t xml:space="preserve">capital addition variances </w:t>
      </w:r>
      <w:r w:rsidR="00A0470C">
        <w:rPr>
          <w:sz w:val="24"/>
          <w:lang w:val="en-US"/>
        </w:rPr>
        <w:t>of</w:t>
      </w:r>
      <w:r w:rsidR="00A0470C" w:rsidRPr="00B91535">
        <w:rPr>
          <w:sz w:val="24"/>
          <w:lang w:val="en-US"/>
        </w:rPr>
        <w:t xml:space="preserve"> </w:t>
      </w:r>
      <w:r w:rsidR="00A0470C">
        <w:rPr>
          <w:sz w:val="24"/>
          <w:lang w:val="en-US"/>
        </w:rPr>
        <w:t xml:space="preserve">over </w:t>
      </w:r>
      <w:r w:rsidR="00A0470C" w:rsidRPr="00B91535">
        <w:rPr>
          <w:sz w:val="24"/>
          <w:lang w:val="en-US"/>
        </w:rPr>
        <w:t>$10</w:t>
      </w:r>
      <w:r w:rsidR="00A0470C">
        <w:rPr>
          <w:sz w:val="24"/>
          <w:lang w:val="en-US"/>
        </w:rPr>
        <w:t>0</w:t>
      </w:r>
      <w:r w:rsidR="00A0470C" w:rsidRPr="00B91535">
        <w:rPr>
          <w:sz w:val="24"/>
          <w:lang w:val="en-US"/>
        </w:rPr>
        <w:t xml:space="preserve"> million in a single year </w:t>
      </w:r>
      <w:r w:rsidR="003B404D" w:rsidRPr="00B91535">
        <w:rPr>
          <w:sz w:val="24"/>
          <w:lang w:val="en-US"/>
        </w:rPr>
        <w:t xml:space="preserve">compared to what </w:t>
      </w:r>
      <w:r w:rsidR="003B404D">
        <w:rPr>
          <w:sz w:val="24"/>
          <w:lang w:val="en-US"/>
        </w:rPr>
        <w:t>it fil</w:t>
      </w:r>
      <w:r w:rsidR="003B404D" w:rsidRPr="00B91535">
        <w:rPr>
          <w:sz w:val="24"/>
          <w:lang w:val="en-US"/>
        </w:rPr>
        <w:t xml:space="preserve">ed in </w:t>
      </w:r>
      <w:r w:rsidR="00D108E4">
        <w:rPr>
          <w:sz w:val="24"/>
          <w:lang w:val="en-US"/>
        </w:rPr>
        <w:t xml:space="preserve">last year’s </w:t>
      </w:r>
      <w:r w:rsidR="003B404D" w:rsidRPr="00B91535">
        <w:rPr>
          <w:sz w:val="24"/>
          <w:lang w:val="en-US"/>
        </w:rPr>
        <w:t>rate case.</w:t>
      </w:r>
      <w:r w:rsidR="004165F5">
        <w:rPr>
          <w:rStyle w:val="FootnoteReference"/>
          <w:sz w:val="24"/>
          <w:lang w:val="en-US"/>
        </w:rPr>
        <w:footnoteReference w:id="18"/>
      </w:r>
      <w:r w:rsidR="003B404D">
        <w:rPr>
          <w:sz w:val="24"/>
          <w:lang w:val="en-US"/>
        </w:rPr>
        <w:t xml:space="preserve">  </w:t>
      </w:r>
      <w:r w:rsidR="007558A6" w:rsidRPr="007558A6">
        <w:rPr>
          <w:sz w:val="24"/>
          <w:lang w:val="en-US"/>
        </w:rPr>
        <w:t xml:space="preserve">Staff also </w:t>
      </w:r>
      <w:r w:rsidR="00377CBA">
        <w:rPr>
          <w:sz w:val="24"/>
          <w:lang w:val="en-US"/>
        </w:rPr>
        <w:t xml:space="preserve">took </w:t>
      </w:r>
      <w:r w:rsidR="007558A6" w:rsidRPr="007558A6">
        <w:rPr>
          <w:sz w:val="24"/>
          <w:lang w:val="en-US"/>
        </w:rPr>
        <w:t xml:space="preserve">into account </w:t>
      </w:r>
      <w:r w:rsidR="00A053AB">
        <w:rPr>
          <w:sz w:val="24"/>
          <w:lang w:val="en-US"/>
        </w:rPr>
        <w:t xml:space="preserve">Avista’s </w:t>
      </w:r>
      <w:r w:rsidR="00F45B81" w:rsidRPr="007558A6">
        <w:rPr>
          <w:sz w:val="24"/>
          <w:lang w:val="en-US"/>
        </w:rPr>
        <w:t xml:space="preserve">material </w:t>
      </w:r>
      <w:r>
        <w:rPr>
          <w:sz w:val="24"/>
          <w:lang w:val="en-US"/>
        </w:rPr>
        <w:t>revisions</w:t>
      </w:r>
      <w:r w:rsidRPr="007558A6">
        <w:rPr>
          <w:sz w:val="24"/>
          <w:lang w:val="en-US"/>
        </w:rPr>
        <w:t xml:space="preserve"> </w:t>
      </w:r>
      <w:r w:rsidR="00A053AB">
        <w:rPr>
          <w:sz w:val="24"/>
          <w:lang w:val="en-US"/>
        </w:rPr>
        <w:t xml:space="preserve">to </w:t>
      </w:r>
      <w:r w:rsidR="00B27669">
        <w:rPr>
          <w:sz w:val="24"/>
          <w:lang w:val="en-US"/>
        </w:rPr>
        <w:t>it</w:t>
      </w:r>
      <w:r w:rsidR="00A053AB" w:rsidRPr="00A053AB">
        <w:rPr>
          <w:sz w:val="24"/>
          <w:lang w:val="en-US"/>
        </w:rPr>
        <w:t>s</w:t>
      </w:r>
      <w:r w:rsidR="00B27669">
        <w:rPr>
          <w:sz w:val="24"/>
          <w:lang w:val="en-US"/>
        </w:rPr>
        <w:t xml:space="preserve"> </w:t>
      </w:r>
      <w:r w:rsidR="00A053AB" w:rsidRPr="00A053AB">
        <w:rPr>
          <w:sz w:val="24"/>
          <w:lang w:val="en-US"/>
        </w:rPr>
        <w:t xml:space="preserve">as-filed estimates of capital additions and rate base </w:t>
      </w:r>
      <w:r w:rsidR="0066443E">
        <w:rPr>
          <w:sz w:val="24"/>
          <w:lang w:val="en-US"/>
        </w:rPr>
        <w:t xml:space="preserve">already made in this case and </w:t>
      </w:r>
      <w:r w:rsidR="00A053AB">
        <w:rPr>
          <w:sz w:val="24"/>
          <w:lang w:val="en-US"/>
        </w:rPr>
        <w:t>referred to above.</w:t>
      </w:r>
      <w:r w:rsidR="004165F5">
        <w:rPr>
          <w:rStyle w:val="FootnoteReference"/>
          <w:sz w:val="24"/>
          <w:lang w:val="en-US"/>
        </w:rPr>
        <w:footnoteReference w:id="19"/>
      </w:r>
      <w:r w:rsidR="00A053AB">
        <w:rPr>
          <w:sz w:val="24"/>
          <w:lang w:val="en-US"/>
        </w:rPr>
        <w:t xml:space="preserve">  The</w:t>
      </w:r>
      <w:r w:rsidR="009E4B76">
        <w:rPr>
          <w:sz w:val="24"/>
          <w:lang w:val="en-US"/>
        </w:rPr>
        <w:t>se</w:t>
      </w:r>
      <w:r w:rsidR="00A053AB">
        <w:rPr>
          <w:sz w:val="24"/>
          <w:lang w:val="en-US"/>
        </w:rPr>
        <w:t xml:space="preserve"> </w:t>
      </w:r>
      <w:r>
        <w:rPr>
          <w:sz w:val="24"/>
          <w:lang w:val="en-US"/>
        </w:rPr>
        <w:t xml:space="preserve">revisions </w:t>
      </w:r>
      <w:r w:rsidR="009E4B76">
        <w:rPr>
          <w:sz w:val="24"/>
          <w:lang w:val="en-US"/>
        </w:rPr>
        <w:t xml:space="preserve">to </w:t>
      </w:r>
      <w:r w:rsidR="00A053AB">
        <w:rPr>
          <w:sz w:val="24"/>
          <w:lang w:val="en-US"/>
        </w:rPr>
        <w:t>for</w:t>
      </w:r>
      <w:r w:rsidR="00A60C36">
        <w:rPr>
          <w:sz w:val="24"/>
          <w:lang w:val="en-US"/>
        </w:rPr>
        <w:t xml:space="preserve">ecasted </w:t>
      </w:r>
      <w:r w:rsidR="009E4B76">
        <w:rPr>
          <w:sz w:val="24"/>
          <w:lang w:val="en-US"/>
        </w:rPr>
        <w:t xml:space="preserve">amounts </w:t>
      </w:r>
      <w:r w:rsidR="00F2332C">
        <w:rPr>
          <w:sz w:val="24"/>
          <w:lang w:val="en-US"/>
        </w:rPr>
        <w:t xml:space="preserve">for plant </w:t>
      </w:r>
      <w:r w:rsidR="009E4B76">
        <w:rPr>
          <w:sz w:val="24"/>
          <w:lang w:val="en-US"/>
        </w:rPr>
        <w:t xml:space="preserve">that </w:t>
      </w:r>
      <w:r w:rsidR="00F2332C">
        <w:rPr>
          <w:sz w:val="24"/>
          <w:lang w:val="en-US"/>
        </w:rPr>
        <w:t xml:space="preserve">was </w:t>
      </w:r>
      <w:r w:rsidR="008427AB">
        <w:rPr>
          <w:sz w:val="24"/>
          <w:lang w:val="en-US"/>
        </w:rPr>
        <w:t xml:space="preserve">scheduled to </w:t>
      </w:r>
      <w:r w:rsidR="00F2332C">
        <w:rPr>
          <w:sz w:val="24"/>
          <w:lang w:val="en-US"/>
        </w:rPr>
        <w:t>be in service</w:t>
      </w:r>
      <w:r w:rsidR="008427AB">
        <w:rPr>
          <w:sz w:val="24"/>
          <w:lang w:val="en-US"/>
        </w:rPr>
        <w:t xml:space="preserve"> </w:t>
      </w:r>
      <w:r w:rsidR="00F2332C">
        <w:rPr>
          <w:sz w:val="24"/>
          <w:lang w:val="en-US"/>
        </w:rPr>
        <w:t xml:space="preserve">occurred </w:t>
      </w:r>
      <w:r w:rsidR="00255679">
        <w:rPr>
          <w:sz w:val="24"/>
          <w:lang w:val="en-US"/>
        </w:rPr>
        <w:t xml:space="preserve">only </w:t>
      </w:r>
      <w:r w:rsidR="00B648C3">
        <w:rPr>
          <w:sz w:val="24"/>
          <w:lang w:val="en-US"/>
        </w:rPr>
        <w:t xml:space="preserve">a few months </w:t>
      </w:r>
      <w:r w:rsidR="00377CBA">
        <w:rPr>
          <w:sz w:val="24"/>
          <w:lang w:val="en-US"/>
        </w:rPr>
        <w:t xml:space="preserve">after </w:t>
      </w:r>
      <w:r w:rsidR="00A053AB">
        <w:rPr>
          <w:sz w:val="24"/>
          <w:lang w:val="en-US"/>
        </w:rPr>
        <w:t>the Company filed its case</w:t>
      </w:r>
      <w:r w:rsidR="00377CBA">
        <w:rPr>
          <w:sz w:val="24"/>
          <w:lang w:val="en-US"/>
        </w:rPr>
        <w:t xml:space="preserve">.  Staff </w:t>
      </w:r>
      <w:r w:rsidR="00B635BE">
        <w:rPr>
          <w:sz w:val="24"/>
          <w:lang w:val="en-US"/>
        </w:rPr>
        <w:t xml:space="preserve">therefore </w:t>
      </w:r>
      <w:r w:rsidR="00377CBA">
        <w:rPr>
          <w:sz w:val="24"/>
          <w:lang w:val="en-US"/>
        </w:rPr>
        <w:t xml:space="preserve">has no </w:t>
      </w:r>
      <w:r w:rsidR="00F45B81">
        <w:rPr>
          <w:sz w:val="24"/>
          <w:lang w:val="en-US"/>
        </w:rPr>
        <w:t>confidence in the precision of long range estimate</w:t>
      </w:r>
      <w:r w:rsidR="00B635BE">
        <w:rPr>
          <w:sz w:val="24"/>
          <w:lang w:val="en-US"/>
        </w:rPr>
        <w:t>s</w:t>
      </w:r>
      <w:r w:rsidR="00377CBA">
        <w:rPr>
          <w:sz w:val="24"/>
          <w:lang w:val="en-US"/>
        </w:rPr>
        <w:t xml:space="preserve"> from Avista</w:t>
      </w:r>
      <w:r w:rsidR="00B635BE">
        <w:rPr>
          <w:sz w:val="24"/>
          <w:lang w:val="en-US"/>
        </w:rPr>
        <w:t xml:space="preserve"> regarding </w:t>
      </w:r>
      <w:r w:rsidR="004A089A">
        <w:rPr>
          <w:sz w:val="24"/>
          <w:lang w:val="en-US"/>
        </w:rPr>
        <w:t>its capital additions</w:t>
      </w:r>
      <w:r w:rsidR="007558A6">
        <w:rPr>
          <w:sz w:val="24"/>
          <w:lang w:val="en-US"/>
        </w:rPr>
        <w:t>.</w:t>
      </w:r>
      <w:r w:rsidR="00526FF0">
        <w:rPr>
          <w:sz w:val="24"/>
          <w:lang w:val="en-US"/>
        </w:rPr>
        <w:t xml:space="preserve"> </w:t>
      </w:r>
      <w:r w:rsidR="007558A6">
        <w:rPr>
          <w:sz w:val="24"/>
          <w:lang w:val="en-US"/>
        </w:rPr>
        <w:t xml:space="preserve"> </w:t>
      </w:r>
      <w:r w:rsidR="00B91535">
        <w:rPr>
          <w:sz w:val="24"/>
          <w:lang w:val="en-US"/>
        </w:rPr>
        <w:t xml:space="preserve">Later in my testimony I address </w:t>
      </w:r>
      <w:r w:rsidR="00F45B81">
        <w:rPr>
          <w:sz w:val="24"/>
          <w:lang w:val="en-US"/>
        </w:rPr>
        <w:t xml:space="preserve">in greater detail </w:t>
      </w:r>
      <w:r w:rsidR="00B91535">
        <w:rPr>
          <w:sz w:val="24"/>
          <w:lang w:val="en-US"/>
        </w:rPr>
        <w:t xml:space="preserve">the issue of the </w:t>
      </w:r>
      <w:r w:rsidR="00DB0C37">
        <w:rPr>
          <w:sz w:val="24"/>
          <w:lang w:val="en-US"/>
        </w:rPr>
        <w:t xml:space="preserve">overall </w:t>
      </w:r>
      <w:r w:rsidR="00B91535">
        <w:rPr>
          <w:sz w:val="24"/>
          <w:lang w:val="en-US"/>
        </w:rPr>
        <w:t>accuracy of Avista’s pro forma estimates of capital additions</w:t>
      </w:r>
      <w:r w:rsidR="00945DD4">
        <w:rPr>
          <w:sz w:val="24"/>
          <w:lang w:val="en-US"/>
        </w:rPr>
        <w:t xml:space="preserve"> and their suitability for setting Avista’s rates</w:t>
      </w:r>
      <w:r w:rsidR="00AD3DC3">
        <w:rPr>
          <w:sz w:val="24"/>
          <w:lang w:val="en-US"/>
        </w:rPr>
        <w:t xml:space="preserve">.  The results of my analysis provide </w:t>
      </w:r>
      <w:r w:rsidR="008838CA">
        <w:rPr>
          <w:sz w:val="24"/>
          <w:lang w:val="en-US"/>
        </w:rPr>
        <w:t xml:space="preserve">further support </w:t>
      </w:r>
      <w:r w:rsidR="00804D34">
        <w:rPr>
          <w:sz w:val="24"/>
          <w:lang w:val="en-US"/>
        </w:rPr>
        <w:t xml:space="preserve">for </w:t>
      </w:r>
      <w:r w:rsidR="008838CA">
        <w:rPr>
          <w:sz w:val="24"/>
          <w:lang w:val="en-US"/>
        </w:rPr>
        <w:t xml:space="preserve">Staff’s </w:t>
      </w:r>
      <w:r w:rsidR="00F20AA5">
        <w:rPr>
          <w:sz w:val="24"/>
          <w:lang w:val="en-US"/>
        </w:rPr>
        <w:t xml:space="preserve">exclusion of </w:t>
      </w:r>
      <w:r w:rsidR="008838CA">
        <w:rPr>
          <w:sz w:val="24"/>
          <w:lang w:val="en-US"/>
        </w:rPr>
        <w:t>the Company’s proposed 2016 AMA capital additions.</w:t>
      </w:r>
    </w:p>
    <w:p w14:paraId="65D5DFCE" w14:textId="5F44476E" w:rsidR="002B312D" w:rsidRDefault="004A089A" w:rsidP="00425F7D">
      <w:pPr>
        <w:pStyle w:val="BodyTextIndent"/>
        <w:ind w:firstLine="720"/>
        <w:rPr>
          <w:sz w:val="24"/>
          <w:lang w:val="en-US"/>
        </w:rPr>
      </w:pPr>
      <w:r>
        <w:rPr>
          <w:sz w:val="24"/>
          <w:lang w:val="en-US"/>
        </w:rPr>
        <w:t xml:space="preserve">Finally, as mentioned above, </w:t>
      </w:r>
      <w:r w:rsidR="00C33AE6">
        <w:rPr>
          <w:sz w:val="24"/>
          <w:lang w:val="en-US"/>
        </w:rPr>
        <w:t xml:space="preserve">Staff accepts </w:t>
      </w:r>
      <w:r>
        <w:rPr>
          <w:sz w:val="24"/>
          <w:lang w:val="en-US"/>
        </w:rPr>
        <w:t>Avista</w:t>
      </w:r>
      <w:r w:rsidR="00C376ED">
        <w:rPr>
          <w:sz w:val="24"/>
          <w:lang w:val="en-US"/>
        </w:rPr>
        <w:t>’</w:t>
      </w:r>
      <w:r>
        <w:rPr>
          <w:sz w:val="24"/>
          <w:lang w:val="en-US"/>
        </w:rPr>
        <w:t xml:space="preserve">s </w:t>
      </w:r>
      <w:r w:rsidR="00C33AE6">
        <w:rPr>
          <w:sz w:val="24"/>
          <w:lang w:val="en-US"/>
        </w:rPr>
        <w:t xml:space="preserve">adjustments to its test year results to reflect rate base amounts </w:t>
      </w:r>
      <w:r w:rsidR="00383F96">
        <w:rPr>
          <w:sz w:val="24"/>
          <w:lang w:val="en-US"/>
        </w:rPr>
        <w:t xml:space="preserve">for both electric and gas contained </w:t>
      </w:r>
      <w:r w:rsidR="00C33AE6">
        <w:rPr>
          <w:sz w:val="24"/>
          <w:lang w:val="en-US"/>
        </w:rPr>
        <w:t xml:space="preserve">in its </w:t>
      </w:r>
      <w:r w:rsidR="00F2332C">
        <w:rPr>
          <w:sz w:val="24"/>
          <w:lang w:val="en-US"/>
        </w:rPr>
        <w:t xml:space="preserve">2014 </w:t>
      </w:r>
      <w:r w:rsidR="00C33AE6">
        <w:rPr>
          <w:sz w:val="24"/>
          <w:lang w:val="en-US"/>
        </w:rPr>
        <w:t>Commission-Basis report</w:t>
      </w:r>
      <w:r w:rsidR="00383F96">
        <w:rPr>
          <w:sz w:val="24"/>
          <w:lang w:val="en-US"/>
        </w:rPr>
        <w:t>.</w:t>
      </w:r>
      <w:r w:rsidR="00916342">
        <w:rPr>
          <w:sz w:val="24"/>
          <w:lang w:val="en-US"/>
        </w:rPr>
        <w:t xml:space="preserve"> </w:t>
      </w:r>
      <w:r w:rsidR="00383F96">
        <w:rPr>
          <w:sz w:val="24"/>
          <w:lang w:val="en-US"/>
        </w:rPr>
        <w:t xml:space="preserve"> As a result, </w:t>
      </w:r>
      <w:r w:rsidR="001F331A">
        <w:rPr>
          <w:sz w:val="24"/>
          <w:lang w:val="en-US"/>
        </w:rPr>
        <w:t xml:space="preserve">I do not provide testimony regarding the Company’s </w:t>
      </w:r>
      <w:r w:rsidR="0019620D">
        <w:rPr>
          <w:sz w:val="24"/>
          <w:lang w:val="en-US"/>
        </w:rPr>
        <w:t xml:space="preserve">as-filed </w:t>
      </w:r>
      <w:r w:rsidR="00404CF2">
        <w:rPr>
          <w:sz w:val="24"/>
          <w:lang w:val="en-US"/>
        </w:rPr>
        <w:t>pro forma capital additions for the three month period from October through December of 2014</w:t>
      </w:r>
      <w:r w:rsidR="009965FC">
        <w:rPr>
          <w:sz w:val="24"/>
          <w:lang w:val="en-US"/>
        </w:rPr>
        <w:t>.</w:t>
      </w:r>
    </w:p>
    <w:p w14:paraId="52FDD0AA" w14:textId="77777777" w:rsidR="00FA3BE6" w:rsidRDefault="00FA3BE6" w:rsidP="00425F7D">
      <w:pPr>
        <w:pStyle w:val="BodyTextIndent"/>
        <w:ind w:left="0" w:firstLine="720"/>
        <w:rPr>
          <w:sz w:val="24"/>
        </w:rPr>
      </w:pPr>
    </w:p>
    <w:p w14:paraId="6E3AE2FF" w14:textId="77777777" w:rsidR="00B61605" w:rsidRDefault="00B61605" w:rsidP="00021550">
      <w:pPr>
        <w:keepNext/>
        <w:tabs>
          <w:tab w:val="left" w:pos="-1440"/>
        </w:tabs>
        <w:spacing w:line="480" w:lineRule="auto"/>
        <w:ind w:left="720" w:hanging="720"/>
        <w:rPr>
          <w:b/>
          <w:bCs/>
        </w:rPr>
      </w:pPr>
      <w:r>
        <w:rPr>
          <w:b/>
          <w:bCs/>
        </w:rPr>
        <w:lastRenderedPageBreak/>
        <w:t>Q.</w:t>
      </w:r>
      <w:r>
        <w:rPr>
          <w:b/>
          <w:bCs/>
        </w:rPr>
        <w:tab/>
        <w:t>Have you prepa</w:t>
      </w:r>
      <w:r w:rsidR="00371227">
        <w:rPr>
          <w:b/>
          <w:bCs/>
        </w:rPr>
        <w:t>r</w:t>
      </w:r>
      <w:r>
        <w:rPr>
          <w:b/>
          <w:bCs/>
        </w:rPr>
        <w:t>ed any exhibits in support of your testimony?</w:t>
      </w:r>
    </w:p>
    <w:p w14:paraId="64233749" w14:textId="11E0BF84" w:rsidR="00B61605" w:rsidRDefault="00B61605" w:rsidP="00021550">
      <w:pPr>
        <w:keepNext/>
        <w:tabs>
          <w:tab w:val="left" w:pos="-1440"/>
        </w:tabs>
        <w:spacing w:line="480" w:lineRule="auto"/>
        <w:ind w:left="720" w:hanging="720"/>
        <w:rPr>
          <w:bCs/>
        </w:rPr>
      </w:pPr>
      <w:r>
        <w:rPr>
          <w:bCs/>
        </w:rPr>
        <w:t>A.</w:t>
      </w:r>
      <w:r>
        <w:rPr>
          <w:bCs/>
        </w:rPr>
        <w:tab/>
        <w:t xml:space="preserve">Yes, </w:t>
      </w:r>
      <w:r w:rsidR="00D41106">
        <w:rPr>
          <w:bCs/>
        </w:rPr>
        <w:t xml:space="preserve">my list of </w:t>
      </w:r>
      <w:r>
        <w:rPr>
          <w:bCs/>
        </w:rPr>
        <w:t>exhibit</w:t>
      </w:r>
      <w:r w:rsidR="00D41106">
        <w:rPr>
          <w:bCs/>
        </w:rPr>
        <w:t>s</w:t>
      </w:r>
      <w:r>
        <w:rPr>
          <w:bCs/>
        </w:rPr>
        <w:t xml:space="preserve"> </w:t>
      </w:r>
      <w:r w:rsidR="00CE0958">
        <w:rPr>
          <w:bCs/>
        </w:rPr>
        <w:t xml:space="preserve">is </w:t>
      </w:r>
      <w:r w:rsidR="00D41106">
        <w:rPr>
          <w:bCs/>
        </w:rPr>
        <w:t>included at the beginning of my testimony.</w:t>
      </w:r>
    </w:p>
    <w:p w14:paraId="121D4CB4" w14:textId="77777777" w:rsidR="003228E1" w:rsidRDefault="003228E1" w:rsidP="00425F7D">
      <w:pPr>
        <w:tabs>
          <w:tab w:val="left" w:pos="-1440"/>
        </w:tabs>
        <w:spacing w:line="480" w:lineRule="auto"/>
        <w:ind w:left="1800"/>
        <w:rPr>
          <w:bCs/>
        </w:rPr>
      </w:pPr>
      <w:bookmarkStart w:id="16" w:name="_Toc425172438"/>
    </w:p>
    <w:p w14:paraId="09616647" w14:textId="77777777" w:rsidR="003228E1" w:rsidRDefault="00CA3E74" w:rsidP="00425F7D">
      <w:pPr>
        <w:pStyle w:val="Heading1"/>
        <w:spacing w:line="240" w:lineRule="auto"/>
        <w:jc w:val="center"/>
        <w:rPr>
          <w:sz w:val="24"/>
          <w:lang w:val="en-US"/>
        </w:rPr>
      </w:pPr>
      <w:bookmarkStart w:id="17" w:name="_Toc425756860"/>
      <w:bookmarkStart w:id="18" w:name="_Toc425328739"/>
      <w:bookmarkStart w:id="19" w:name="_Toc425339183"/>
      <w:r w:rsidRPr="0042717A">
        <w:rPr>
          <w:sz w:val="24"/>
        </w:rPr>
        <w:t>II</w:t>
      </w:r>
      <w:r>
        <w:rPr>
          <w:sz w:val="24"/>
          <w:lang w:val="en-US"/>
        </w:rPr>
        <w:t>I</w:t>
      </w:r>
      <w:r w:rsidRPr="0042717A">
        <w:rPr>
          <w:sz w:val="24"/>
        </w:rPr>
        <w:t>.</w:t>
      </w:r>
      <w:r w:rsidRPr="0042717A">
        <w:rPr>
          <w:sz w:val="24"/>
        </w:rPr>
        <w:tab/>
      </w:r>
      <w:r w:rsidRPr="003C1E2F">
        <w:rPr>
          <w:sz w:val="24"/>
        </w:rPr>
        <w:t xml:space="preserve">STAFF’S </w:t>
      </w:r>
      <w:r>
        <w:rPr>
          <w:sz w:val="24"/>
          <w:lang w:val="en-US"/>
        </w:rPr>
        <w:t xml:space="preserve">ANALYSIS OF AVISTA’S </w:t>
      </w:r>
      <w:r w:rsidR="00E52B46">
        <w:rPr>
          <w:sz w:val="24"/>
          <w:lang w:val="en-US"/>
        </w:rPr>
        <w:t>2015 PRO FORMA</w:t>
      </w:r>
      <w:bookmarkEnd w:id="17"/>
    </w:p>
    <w:p w14:paraId="68DCAE50" w14:textId="00C2797F" w:rsidR="00B61605" w:rsidRDefault="005E5E7D" w:rsidP="00425F7D">
      <w:pPr>
        <w:pStyle w:val="Heading1"/>
        <w:spacing w:line="240" w:lineRule="auto"/>
        <w:jc w:val="center"/>
        <w:rPr>
          <w:b w:val="0"/>
          <w:bCs w:val="0"/>
        </w:rPr>
      </w:pPr>
      <w:bookmarkStart w:id="20" w:name="_Toc425756861"/>
      <w:r>
        <w:rPr>
          <w:sz w:val="24"/>
          <w:lang w:val="en-US"/>
        </w:rPr>
        <w:t>ESTIMATES OF CAPITAL ADDITIONS</w:t>
      </w:r>
      <w:bookmarkEnd w:id="16"/>
      <w:bookmarkEnd w:id="18"/>
      <w:bookmarkEnd w:id="19"/>
      <w:bookmarkEnd w:id="20"/>
    </w:p>
    <w:p w14:paraId="108C85FB" w14:textId="77777777" w:rsidR="00DE1F22" w:rsidRDefault="00DE1F22" w:rsidP="00425F7D">
      <w:pPr>
        <w:pStyle w:val="BodyTextIndent"/>
        <w:rPr>
          <w:b/>
          <w:sz w:val="24"/>
          <w:lang w:val="en-US"/>
        </w:rPr>
      </w:pPr>
    </w:p>
    <w:p w14:paraId="092D1B4C" w14:textId="5FA91A40" w:rsidR="00693095" w:rsidRDefault="00693095" w:rsidP="00425F7D">
      <w:pPr>
        <w:pStyle w:val="BodyTextIndent"/>
        <w:rPr>
          <w:b/>
          <w:sz w:val="24"/>
          <w:lang w:val="en-US"/>
        </w:rPr>
      </w:pPr>
      <w:r>
        <w:rPr>
          <w:b/>
          <w:sz w:val="24"/>
          <w:lang w:val="en-US"/>
        </w:rPr>
        <w:t>Q.</w:t>
      </w:r>
      <w:r>
        <w:rPr>
          <w:b/>
          <w:sz w:val="24"/>
          <w:lang w:val="en-US"/>
        </w:rPr>
        <w:tab/>
        <w:t xml:space="preserve">Where can the Commission find the Company’s </w:t>
      </w:r>
      <w:r w:rsidR="005E5E7D">
        <w:rPr>
          <w:b/>
          <w:sz w:val="24"/>
          <w:lang w:val="en-US"/>
        </w:rPr>
        <w:t xml:space="preserve">2015 EOP </w:t>
      </w:r>
      <w:r>
        <w:rPr>
          <w:b/>
          <w:sz w:val="24"/>
          <w:lang w:val="en-US"/>
        </w:rPr>
        <w:t xml:space="preserve">cross-check </w:t>
      </w:r>
      <w:r w:rsidR="005E5E7D">
        <w:rPr>
          <w:b/>
          <w:sz w:val="24"/>
          <w:lang w:val="en-US"/>
        </w:rPr>
        <w:t xml:space="preserve">estimates of capital additions </w:t>
      </w:r>
      <w:r>
        <w:rPr>
          <w:b/>
          <w:sz w:val="24"/>
          <w:lang w:val="en-US"/>
        </w:rPr>
        <w:t>in this case?</w:t>
      </w:r>
    </w:p>
    <w:p w14:paraId="42CF7D62" w14:textId="02ED221A" w:rsidR="00AA327C" w:rsidRDefault="00693095" w:rsidP="00425F7D">
      <w:pPr>
        <w:pStyle w:val="BodyTextIndent"/>
        <w:rPr>
          <w:sz w:val="24"/>
          <w:lang w:val="en-US"/>
        </w:rPr>
      </w:pPr>
      <w:r>
        <w:rPr>
          <w:sz w:val="24"/>
          <w:lang w:val="en-US"/>
        </w:rPr>
        <w:t>A.</w:t>
      </w:r>
      <w:r>
        <w:rPr>
          <w:sz w:val="24"/>
          <w:lang w:val="en-US"/>
        </w:rPr>
        <w:tab/>
      </w:r>
      <w:r w:rsidR="007B039B">
        <w:rPr>
          <w:sz w:val="24"/>
          <w:lang w:val="en-US"/>
        </w:rPr>
        <w:t>Pages 3 and 4 of t</w:t>
      </w:r>
      <w:r>
        <w:rPr>
          <w:sz w:val="24"/>
          <w:lang w:val="en-US"/>
        </w:rPr>
        <w:t xml:space="preserve">he Company’s </w:t>
      </w:r>
      <w:r w:rsidR="007B039B">
        <w:rPr>
          <w:sz w:val="24"/>
          <w:lang w:val="en-US"/>
        </w:rPr>
        <w:t>E</w:t>
      </w:r>
      <w:r>
        <w:rPr>
          <w:sz w:val="24"/>
          <w:lang w:val="en-US"/>
        </w:rPr>
        <w:t>xhibit No. ___ (</w:t>
      </w:r>
      <w:r w:rsidR="007B039B">
        <w:rPr>
          <w:sz w:val="24"/>
          <w:lang w:val="en-US"/>
        </w:rPr>
        <w:t>KKS</w:t>
      </w:r>
      <w:r>
        <w:rPr>
          <w:sz w:val="24"/>
          <w:lang w:val="en-US"/>
        </w:rPr>
        <w:t>-</w:t>
      </w:r>
      <w:r w:rsidR="007B039B">
        <w:rPr>
          <w:sz w:val="24"/>
          <w:lang w:val="en-US"/>
        </w:rPr>
        <w:t>4</w:t>
      </w:r>
      <w:r>
        <w:rPr>
          <w:sz w:val="24"/>
          <w:lang w:val="en-US"/>
        </w:rPr>
        <w:t xml:space="preserve">), sponsored by Avista witness Ms. </w:t>
      </w:r>
      <w:r w:rsidR="007B039B">
        <w:rPr>
          <w:sz w:val="24"/>
          <w:lang w:val="en-US"/>
        </w:rPr>
        <w:t xml:space="preserve">Karen Schuh, </w:t>
      </w:r>
      <w:r w:rsidR="000007FB">
        <w:rPr>
          <w:sz w:val="24"/>
          <w:lang w:val="en-US"/>
        </w:rPr>
        <w:t>contain</w:t>
      </w:r>
      <w:r w:rsidR="007B039B">
        <w:rPr>
          <w:sz w:val="24"/>
          <w:lang w:val="en-US"/>
        </w:rPr>
        <w:t xml:space="preserve"> over 100 separate Expenditure Requests (ERs</w:t>
      </w:r>
      <w:r w:rsidR="00410678">
        <w:rPr>
          <w:sz w:val="24"/>
          <w:lang w:val="en-US"/>
        </w:rPr>
        <w:t>).</w:t>
      </w:r>
    </w:p>
    <w:p w14:paraId="73A73F91" w14:textId="31FEAE6F" w:rsidR="00693095" w:rsidRPr="00973BD4" w:rsidRDefault="007B6EB3" w:rsidP="00425F7D">
      <w:pPr>
        <w:pStyle w:val="BodyTextIndent"/>
        <w:ind w:firstLine="720"/>
        <w:rPr>
          <w:sz w:val="24"/>
          <w:lang w:val="en-US"/>
        </w:rPr>
      </w:pPr>
      <w:r>
        <w:rPr>
          <w:sz w:val="24"/>
          <w:lang w:val="en-US"/>
        </w:rPr>
        <w:t xml:space="preserve">The Company’s </w:t>
      </w:r>
      <w:r w:rsidR="00483C80">
        <w:rPr>
          <w:sz w:val="24"/>
          <w:lang w:val="en-US"/>
        </w:rPr>
        <w:t xml:space="preserve">as-filed </w:t>
      </w:r>
      <w:r>
        <w:rPr>
          <w:sz w:val="24"/>
          <w:lang w:val="en-US"/>
        </w:rPr>
        <w:t xml:space="preserve">estimate of </w:t>
      </w:r>
      <w:r w:rsidR="000837ED">
        <w:rPr>
          <w:sz w:val="24"/>
          <w:lang w:val="en-US"/>
        </w:rPr>
        <w:t>Washington</w:t>
      </w:r>
      <w:r w:rsidR="00E542F4">
        <w:rPr>
          <w:sz w:val="24"/>
          <w:lang w:val="en-US"/>
        </w:rPr>
        <w:t>’s</w:t>
      </w:r>
      <w:r w:rsidR="000837ED">
        <w:rPr>
          <w:sz w:val="24"/>
          <w:lang w:val="en-US"/>
        </w:rPr>
        <w:t xml:space="preserve"> </w:t>
      </w:r>
      <w:r w:rsidR="00E542F4">
        <w:rPr>
          <w:sz w:val="24"/>
          <w:lang w:val="en-US"/>
        </w:rPr>
        <w:t>a</w:t>
      </w:r>
      <w:r w:rsidR="000837ED">
        <w:rPr>
          <w:sz w:val="24"/>
          <w:lang w:val="en-US"/>
        </w:rPr>
        <w:t>llocation of e</w:t>
      </w:r>
      <w:r>
        <w:rPr>
          <w:sz w:val="24"/>
          <w:lang w:val="en-US"/>
        </w:rPr>
        <w:t>lectric and gas capital additions for 2015 totals</w:t>
      </w:r>
      <w:r w:rsidR="00DD22EA">
        <w:rPr>
          <w:sz w:val="24"/>
          <w:lang w:val="en-US"/>
        </w:rPr>
        <w:t xml:space="preserve"> $236.8 million for electric and $47.</w:t>
      </w:r>
      <w:r w:rsidR="00711405">
        <w:rPr>
          <w:sz w:val="24"/>
          <w:lang w:val="en-US"/>
        </w:rPr>
        <w:t>6</w:t>
      </w:r>
      <w:r w:rsidR="00DD22EA">
        <w:rPr>
          <w:sz w:val="24"/>
          <w:lang w:val="en-US"/>
        </w:rPr>
        <w:t xml:space="preserve"> million for</w:t>
      </w:r>
      <w:r w:rsidR="00AA327C">
        <w:rPr>
          <w:sz w:val="24"/>
          <w:lang w:val="en-US"/>
        </w:rPr>
        <w:t xml:space="preserve"> </w:t>
      </w:r>
      <w:r w:rsidR="00DD22EA">
        <w:rPr>
          <w:sz w:val="24"/>
          <w:lang w:val="en-US"/>
        </w:rPr>
        <w:t>gas.</w:t>
      </w:r>
      <w:r w:rsidR="00AF5A84">
        <w:rPr>
          <w:rStyle w:val="FootnoteReference"/>
          <w:sz w:val="24"/>
          <w:lang w:val="en-US"/>
        </w:rPr>
        <w:footnoteReference w:id="20"/>
      </w:r>
      <w:r w:rsidR="009C7BA8">
        <w:rPr>
          <w:sz w:val="24"/>
          <w:lang w:val="en-US"/>
        </w:rPr>
        <w:t xml:space="preserve">  </w:t>
      </w:r>
      <w:r w:rsidR="00687BB0">
        <w:rPr>
          <w:sz w:val="24"/>
          <w:lang w:val="en-US"/>
        </w:rPr>
        <w:t xml:space="preserve">As I mentioned above, Avista </w:t>
      </w:r>
      <w:r w:rsidR="00F76FE6">
        <w:rPr>
          <w:sz w:val="24"/>
          <w:lang w:val="en-US"/>
        </w:rPr>
        <w:t xml:space="preserve">has </w:t>
      </w:r>
      <w:r w:rsidR="001E4019">
        <w:rPr>
          <w:sz w:val="24"/>
          <w:lang w:val="en-US"/>
        </w:rPr>
        <w:t xml:space="preserve">twice </w:t>
      </w:r>
      <w:r w:rsidR="00687BB0">
        <w:rPr>
          <w:sz w:val="24"/>
          <w:lang w:val="en-US"/>
        </w:rPr>
        <w:t xml:space="preserve">revised </w:t>
      </w:r>
      <w:r w:rsidR="00916342">
        <w:rPr>
          <w:sz w:val="24"/>
          <w:lang w:val="en-US"/>
        </w:rPr>
        <w:t xml:space="preserve">its capital addition </w:t>
      </w:r>
      <w:r w:rsidR="00687BB0">
        <w:rPr>
          <w:sz w:val="24"/>
          <w:lang w:val="en-US"/>
        </w:rPr>
        <w:t xml:space="preserve">totals </w:t>
      </w:r>
      <w:r w:rsidR="00971C31">
        <w:rPr>
          <w:sz w:val="24"/>
          <w:lang w:val="en-US"/>
        </w:rPr>
        <w:t>allocated to Washington</w:t>
      </w:r>
      <w:r w:rsidR="00F76FE6">
        <w:rPr>
          <w:sz w:val="24"/>
          <w:lang w:val="en-US"/>
        </w:rPr>
        <w:t xml:space="preserve">.  As of July </w:t>
      </w:r>
      <w:r w:rsidR="001E4019">
        <w:rPr>
          <w:sz w:val="24"/>
          <w:lang w:val="en-US"/>
        </w:rPr>
        <w:t xml:space="preserve">10, </w:t>
      </w:r>
      <w:r w:rsidR="00F76FE6">
        <w:rPr>
          <w:sz w:val="24"/>
          <w:lang w:val="en-US"/>
        </w:rPr>
        <w:t>2015, Avista’s Washington</w:t>
      </w:r>
      <w:r w:rsidR="00804D34">
        <w:rPr>
          <w:sz w:val="24"/>
          <w:lang w:val="en-US"/>
        </w:rPr>
        <w:t>-</w:t>
      </w:r>
      <w:r w:rsidR="00F76FE6">
        <w:rPr>
          <w:sz w:val="24"/>
          <w:lang w:val="en-US"/>
        </w:rPr>
        <w:t xml:space="preserve">allocated total pro forma transfers to plant </w:t>
      </w:r>
      <w:r w:rsidR="00916342">
        <w:rPr>
          <w:sz w:val="24"/>
          <w:lang w:val="en-US"/>
        </w:rPr>
        <w:t xml:space="preserve">for 2015 </w:t>
      </w:r>
      <w:r w:rsidR="001E4019">
        <w:rPr>
          <w:sz w:val="24"/>
          <w:lang w:val="en-US"/>
        </w:rPr>
        <w:t xml:space="preserve">are </w:t>
      </w:r>
      <w:r w:rsidR="00F30A70">
        <w:rPr>
          <w:sz w:val="24"/>
          <w:lang w:val="en-US"/>
        </w:rPr>
        <w:t xml:space="preserve">projected as </w:t>
      </w:r>
      <w:r w:rsidR="001E4019">
        <w:rPr>
          <w:sz w:val="24"/>
          <w:lang w:val="en-US"/>
        </w:rPr>
        <w:t>$</w:t>
      </w:r>
      <w:r w:rsidR="00687BB0">
        <w:rPr>
          <w:sz w:val="24"/>
          <w:lang w:val="en-US"/>
        </w:rPr>
        <w:t>2</w:t>
      </w:r>
      <w:r w:rsidR="00DE2D60">
        <w:rPr>
          <w:sz w:val="24"/>
          <w:lang w:val="en-US"/>
        </w:rPr>
        <w:t>11</w:t>
      </w:r>
      <w:r w:rsidR="00687BB0">
        <w:rPr>
          <w:sz w:val="24"/>
          <w:lang w:val="en-US"/>
        </w:rPr>
        <w:t>.</w:t>
      </w:r>
      <w:r w:rsidR="00DE2D60">
        <w:rPr>
          <w:sz w:val="24"/>
          <w:lang w:val="en-US"/>
        </w:rPr>
        <w:t>6</w:t>
      </w:r>
      <w:r w:rsidR="00687BB0">
        <w:rPr>
          <w:sz w:val="24"/>
          <w:lang w:val="en-US"/>
        </w:rPr>
        <w:t xml:space="preserve"> million for electric and $</w:t>
      </w:r>
      <w:r w:rsidR="00DE2D60">
        <w:rPr>
          <w:sz w:val="24"/>
          <w:lang w:val="en-US"/>
        </w:rPr>
        <w:t>43</w:t>
      </w:r>
      <w:r w:rsidR="00687BB0">
        <w:rPr>
          <w:sz w:val="24"/>
          <w:lang w:val="en-US"/>
        </w:rPr>
        <w:t>.</w:t>
      </w:r>
      <w:r w:rsidR="00DE2D60">
        <w:rPr>
          <w:sz w:val="24"/>
          <w:lang w:val="en-US"/>
        </w:rPr>
        <w:t>5</w:t>
      </w:r>
      <w:r w:rsidR="00687BB0">
        <w:rPr>
          <w:sz w:val="24"/>
          <w:lang w:val="en-US"/>
        </w:rPr>
        <w:t xml:space="preserve"> million for gas.</w:t>
      </w:r>
      <w:r w:rsidR="00A37940">
        <w:rPr>
          <w:rStyle w:val="FootnoteReference"/>
          <w:sz w:val="24"/>
          <w:lang w:val="en-US"/>
        </w:rPr>
        <w:footnoteReference w:id="21"/>
      </w:r>
      <w:r w:rsidR="00687BB0">
        <w:rPr>
          <w:sz w:val="24"/>
          <w:lang w:val="en-US"/>
        </w:rPr>
        <w:t xml:space="preserve">  </w:t>
      </w:r>
      <w:r w:rsidR="00930F34">
        <w:rPr>
          <w:sz w:val="24"/>
          <w:lang w:val="en-US"/>
        </w:rPr>
        <w:t xml:space="preserve">I have prepared Exhibit No. __ (DCG-2) summarizing the specific amounts </w:t>
      </w:r>
      <w:r w:rsidR="00887BEA">
        <w:rPr>
          <w:sz w:val="24"/>
          <w:lang w:val="en-US"/>
        </w:rPr>
        <w:t xml:space="preserve">of </w:t>
      </w:r>
      <w:r w:rsidR="00773108">
        <w:rPr>
          <w:sz w:val="24"/>
          <w:lang w:val="en-US"/>
        </w:rPr>
        <w:t>Washington-allocated</w:t>
      </w:r>
      <w:r w:rsidR="00887BEA">
        <w:rPr>
          <w:sz w:val="24"/>
          <w:lang w:val="en-US"/>
        </w:rPr>
        <w:t xml:space="preserve"> capital additions </w:t>
      </w:r>
      <w:r w:rsidR="00040703">
        <w:rPr>
          <w:sz w:val="24"/>
          <w:lang w:val="en-US"/>
        </w:rPr>
        <w:t xml:space="preserve">(as-filed and revised) </w:t>
      </w:r>
      <w:r w:rsidR="00887BEA">
        <w:rPr>
          <w:sz w:val="24"/>
          <w:lang w:val="en-US"/>
        </w:rPr>
        <w:t xml:space="preserve">for 2015 sorted </w:t>
      </w:r>
      <w:r w:rsidR="00930F34">
        <w:rPr>
          <w:sz w:val="24"/>
          <w:lang w:val="en-US"/>
        </w:rPr>
        <w:t xml:space="preserve">by </w:t>
      </w:r>
      <w:r w:rsidR="00887BEA">
        <w:rPr>
          <w:sz w:val="24"/>
          <w:lang w:val="en-US"/>
        </w:rPr>
        <w:t xml:space="preserve">service and </w:t>
      </w:r>
      <w:r w:rsidR="00930F34">
        <w:rPr>
          <w:sz w:val="24"/>
          <w:lang w:val="en-US"/>
        </w:rPr>
        <w:t>functional area.</w:t>
      </w:r>
      <w:r w:rsidR="00693095">
        <w:rPr>
          <w:sz w:val="24"/>
          <w:lang w:val="en-US"/>
        </w:rPr>
        <w:tab/>
      </w:r>
    </w:p>
    <w:p w14:paraId="6936844B" w14:textId="77777777" w:rsidR="00693095" w:rsidRDefault="00693095" w:rsidP="00425F7D">
      <w:pPr>
        <w:pStyle w:val="BodyTextIndent"/>
        <w:rPr>
          <w:b/>
          <w:sz w:val="24"/>
          <w:lang w:val="en-US"/>
        </w:rPr>
      </w:pPr>
    </w:p>
    <w:p w14:paraId="1687E047" w14:textId="52E50C47" w:rsidR="00B33839" w:rsidRPr="00C055AB" w:rsidRDefault="00B33839" w:rsidP="00425F7D">
      <w:pPr>
        <w:pStyle w:val="BodyTextIndent"/>
        <w:rPr>
          <w:b/>
          <w:sz w:val="24"/>
        </w:rPr>
      </w:pPr>
      <w:r>
        <w:rPr>
          <w:b/>
          <w:sz w:val="24"/>
          <w:lang w:val="en-US"/>
        </w:rPr>
        <w:t>Q.</w:t>
      </w:r>
      <w:r>
        <w:rPr>
          <w:b/>
          <w:sz w:val="24"/>
          <w:lang w:val="en-US"/>
        </w:rPr>
        <w:tab/>
      </w:r>
      <w:r w:rsidR="000837ED">
        <w:rPr>
          <w:b/>
          <w:sz w:val="24"/>
          <w:lang w:val="en-US"/>
        </w:rPr>
        <w:t xml:space="preserve">Do you </w:t>
      </w:r>
      <w:r w:rsidR="00EF03C3">
        <w:rPr>
          <w:b/>
          <w:sz w:val="24"/>
          <w:lang w:val="en-US"/>
        </w:rPr>
        <w:t xml:space="preserve">plan to address </w:t>
      </w:r>
      <w:r w:rsidR="000837ED">
        <w:rPr>
          <w:b/>
          <w:sz w:val="24"/>
          <w:lang w:val="en-US"/>
        </w:rPr>
        <w:t xml:space="preserve">all of the </w:t>
      </w:r>
      <w:r w:rsidR="002710E4">
        <w:rPr>
          <w:b/>
          <w:sz w:val="24"/>
          <w:lang w:val="en-US"/>
        </w:rPr>
        <w:t xml:space="preserve">Company’s ERs </w:t>
      </w:r>
      <w:r w:rsidR="00EF03C3">
        <w:rPr>
          <w:b/>
          <w:sz w:val="24"/>
          <w:lang w:val="en-US"/>
        </w:rPr>
        <w:t>in your testimony</w:t>
      </w:r>
      <w:r>
        <w:rPr>
          <w:b/>
          <w:sz w:val="24"/>
          <w:lang w:val="en-US"/>
        </w:rPr>
        <w:t>?</w:t>
      </w:r>
    </w:p>
    <w:p w14:paraId="6485D65A" w14:textId="61D3D909" w:rsidR="0006708F" w:rsidRDefault="00B33839" w:rsidP="00425F7D">
      <w:pPr>
        <w:pStyle w:val="BodyTextIndent"/>
        <w:rPr>
          <w:sz w:val="24"/>
          <w:lang w:val="en-US"/>
        </w:rPr>
      </w:pPr>
      <w:r>
        <w:rPr>
          <w:sz w:val="24"/>
          <w:lang w:val="en-US"/>
        </w:rPr>
        <w:lastRenderedPageBreak/>
        <w:t>A.</w:t>
      </w:r>
      <w:r>
        <w:rPr>
          <w:sz w:val="24"/>
          <w:lang w:val="en-US"/>
        </w:rPr>
        <w:tab/>
      </w:r>
      <w:r w:rsidR="00F2332C">
        <w:rPr>
          <w:sz w:val="24"/>
          <w:lang w:val="en-US"/>
        </w:rPr>
        <w:t>No</w:t>
      </w:r>
      <w:r w:rsidR="000837ED">
        <w:rPr>
          <w:sz w:val="24"/>
          <w:lang w:val="en-US"/>
        </w:rPr>
        <w:t xml:space="preserve">.  </w:t>
      </w:r>
      <w:r w:rsidR="003E7EA1">
        <w:rPr>
          <w:sz w:val="24"/>
          <w:lang w:val="en-US"/>
        </w:rPr>
        <w:t xml:space="preserve">I first </w:t>
      </w:r>
      <w:r w:rsidR="00F2332C">
        <w:rPr>
          <w:sz w:val="24"/>
          <w:lang w:val="en-US"/>
        </w:rPr>
        <w:t>identify</w:t>
      </w:r>
      <w:r w:rsidR="003E7EA1">
        <w:rPr>
          <w:sz w:val="24"/>
          <w:lang w:val="en-US"/>
        </w:rPr>
        <w:t xml:space="preserve"> the </w:t>
      </w:r>
      <w:r w:rsidR="002710E4">
        <w:rPr>
          <w:sz w:val="24"/>
          <w:lang w:val="en-US"/>
        </w:rPr>
        <w:t>ERs</w:t>
      </w:r>
      <w:r w:rsidR="003E7EA1">
        <w:rPr>
          <w:sz w:val="24"/>
          <w:lang w:val="en-US"/>
        </w:rPr>
        <w:t xml:space="preserve"> for both electric and gas which meet the criteria of “major capital additions” referred to in the Pacific Order</w:t>
      </w:r>
      <w:r w:rsidR="00F2332C">
        <w:rPr>
          <w:sz w:val="24"/>
          <w:lang w:val="en-US"/>
        </w:rPr>
        <w:t>.</w:t>
      </w:r>
      <w:r w:rsidR="000F158B">
        <w:rPr>
          <w:rStyle w:val="FootnoteReference"/>
          <w:sz w:val="24"/>
          <w:lang w:val="en-US"/>
        </w:rPr>
        <w:footnoteReference w:id="22"/>
      </w:r>
      <w:r w:rsidR="000F158B">
        <w:rPr>
          <w:sz w:val="24"/>
          <w:lang w:val="en-US"/>
        </w:rPr>
        <w:t xml:space="preserve">  </w:t>
      </w:r>
      <w:r w:rsidR="00994410">
        <w:rPr>
          <w:sz w:val="24"/>
          <w:lang w:val="en-US"/>
        </w:rPr>
        <w:t xml:space="preserve">In </w:t>
      </w:r>
      <w:r w:rsidR="006A66CE">
        <w:rPr>
          <w:sz w:val="24"/>
          <w:lang w:val="en-US"/>
        </w:rPr>
        <w:t xml:space="preserve">my </w:t>
      </w:r>
      <w:r w:rsidR="00994410">
        <w:rPr>
          <w:sz w:val="24"/>
          <w:lang w:val="en-US"/>
        </w:rPr>
        <w:t>Exhibit No. __ (</w:t>
      </w:r>
      <w:r w:rsidR="006A66CE">
        <w:rPr>
          <w:sz w:val="24"/>
          <w:lang w:val="en-US"/>
        </w:rPr>
        <w:t>DCG</w:t>
      </w:r>
      <w:r w:rsidR="00994410">
        <w:rPr>
          <w:sz w:val="24"/>
          <w:lang w:val="en-US"/>
        </w:rPr>
        <w:t>-</w:t>
      </w:r>
      <w:r w:rsidR="006A66CE">
        <w:rPr>
          <w:sz w:val="24"/>
          <w:lang w:val="en-US"/>
        </w:rPr>
        <w:t>3</w:t>
      </w:r>
      <w:r w:rsidR="00994410">
        <w:rPr>
          <w:sz w:val="24"/>
          <w:lang w:val="en-US"/>
        </w:rPr>
        <w:t>)</w:t>
      </w:r>
      <w:r w:rsidR="00A77394">
        <w:rPr>
          <w:sz w:val="24"/>
          <w:lang w:val="en-US"/>
        </w:rPr>
        <w:t>,</w:t>
      </w:r>
      <w:r w:rsidR="00994410">
        <w:rPr>
          <w:sz w:val="24"/>
          <w:lang w:val="en-US"/>
        </w:rPr>
        <w:t xml:space="preserve"> </w:t>
      </w:r>
      <w:r w:rsidR="006A66CE">
        <w:rPr>
          <w:sz w:val="24"/>
          <w:lang w:val="en-US"/>
        </w:rPr>
        <w:t xml:space="preserve">I list </w:t>
      </w:r>
      <w:r w:rsidR="00C9431F">
        <w:rPr>
          <w:sz w:val="24"/>
          <w:lang w:val="en-US"/>
        </w:rPr>
        <w:t>1</w:t>
      </w:r>
      <w:r w:rsidR="004A02EF">
        <w:rPr>
          <w:sz w:val="24"/>
          <w:lang w:val="en-US"/>
        </w:rPr>
        <w:t>4</w:t>
      </w:r>
      <w:r w:rsidR="00C9431F">
        <w:rPr>
          <w:sz w:val="24"/>
          <w:lang w:val="en-US"/>
        </w:rPr>
        <w:t xml:space="preserve"> </w:t>
      </w:r>
      <w:r w:rsidR="006A66CE">
        <w:rPr>
          <w:sz w:val="24"/>
          <w:lang w:val="en-US"/>
        </w:rPr>
        <w:t xml:space="preserve">separate </w:t>
      </w:r>
      <w:r w:rsidR="002710E4">
        <w:rPr>
          <w:sz w:val="24"/>
          <w:lang w:val="en-US"/>
        </w:rPr>
        <w:t>ERs</w:t>
      </w:r>
      <w:r w:rsidR="006A66CE">
        <w:rPr>
          <w:sz w:val="24"/>
          <w:lang w:val="en-US"/>
        </w:rPr>
        <w:t xml:space="preserve"> which meet th</w:t>
      </w:r>
      <w:r w:rsidR="004812F1">
        <w:rPr>
          <w:sz w:val="24"/>
          <w:lang w:val="en-US"/>
        </w:rPr>
        <w:t xml:space="preserve">is </w:t>
      </w:r>
      <w:r w:rsidR="006A66CE">
        <w:rPr>
          <w:sz w:val="24"/>
          <w:lang w:val="en-US"/>
        </w:rPr>
        <w:t xml:space="preserve">criteria.  </w:t>
      </w:r>
      <w:r w:rsidR="00EA3BD5">
        <w:rPr>
          <w:sz w:val="24"/>
          <w:lang w:val="en-US"/>
        </w:rPr>
        <w:t>The</w:t>
      </w:r>
      <w:r w:rsidR="003E7EA1">
        <w:rPr>
          <w:sz w:val="24"/>
          <w:lang w:val="en-US"/>
        </w:rPr>
        <w:t>se</w:t>
      </w:r>
      <w:r w:rsidR="00EA3BD5">
        <w:rPr>
          <w:sz w:val="24"/>
          <w:lang w:val="en-US"/>
        </w:rPr>
        <w:t xml:space="preserve"> </w:t>
      </w:r>
      <w:r w:rsidR="00994A4E">
        <w:rPr>
          <w:sz w:val="24"/>
          <w:lang w:val="en-US"/>
        </w:rPr>
        <w:t>14</w:t>
      </w:r>
      <w:r w:rsidR="00685DFC">
        <w:rPr>
          <w:sz w:val="24"/>
          <w:lang w:val="en-US"/>
        </w:rPr>
        <w:t xml:space="preserve"> </w:t>
      </w:r>
      <w:r w:rsidR="00F30A70">
        <w:rPr>
          <w:sz w:val="24"/>
          <w:lang w:val="en-US"/>
        </w:rPr>
        <w:t>ERs</w:t>
      </w:r>
      <w:r w:rsidR="00685DFC">
        <w:rPr>
          <w:sz w:val="24"/>
          <w:lang w:val="en-US"/>
        </w:rPr>
        <w:t xml:space="preserve"> </w:t>
      </w:r>
      <w:r w:rsidR="003E7EA1">
        <w:rPr>
          <w:sz w:val="24"/>
          <w:lang w:val="en-US"/>
        </w:rPr>
        <w:t xml:space="preserve">comprise </w:t>
      </w:r>
      <w:r w:rsidR="00DB470D">
        <w:rPr>
          <w:sz w:val="24"/>
          <w:lang w:val="en-US"/>
        </w:rPr>
        <w:t>$</w:t>
      </w:r>
      <w:r w:rsidR="00146B05">
        <w:rPr>
          <w:sz w:val="24"/>
          <w:lang w:val="en-US"/>
        </w:rPr>
        <w:t>2</w:t>
      </w:r>
      <w:r w:rsidR="00994A4E">
        <w:rPr>
          <w:sz w:val="24"/>
          <w:lang w:val="en-US"/>
        </w:rPr>
        <w:t>76</w:t>
      </w:r>
      <w:r w:rsidR="00146B05">
        <w:rPr>
          <w:sz w:val="24"/>
          <w:lang w:val="en-US"/>
        </w:rPr>
        <w:t>.</w:t>
      </w:r>
      <w:r w:rsidR="00994A4E">
        <w:rPr>
          <w:sz w:val="24"/>
          <w:lang w:val="en-US"/>
        </w:rPr>
        <w:t>7</w:t>
      </w:r>
      <w:r w:rsidR="00DB470D">
        <w:rPr>
          <w:sz w:val="24"/>
          <w:lang w:val="en-US"/>
        </w:rPr>
        <w:t xml:space="preserve"> million (</w:t>
      </w:r>
      <w:r w:rsidR="00A71429">
        <w:rPr>
          <w:sz w:val="24"/>
          <w:lang w:val="en-US"/>
        </w:rPr>
        <w:t>almost</w:t>
      </w:r>
      <w:r w:rsidR="004812F1">
        <w:rPr>
          <w:sz w:val="24"/>
          <w:lang w:val="en-US"/>
        </w:rPr>
        <w:t xml:space="preserve"> </w:t>
      </w:r>
      <w:r w:rsidR="00146B05">
        <w:rPr>
          <w:sz w:val="24"/>
          <w:lang w:val="en-US"/>
        </w:rPr>
        <w:t>6</w:t>
      </w:r>
      <w:r w:rsidR="00994A4E">
        <w:rPr>
          <w:sz w:val="24"/>
          <w:lang w:val="en-US"/>
        </w:rPr>
        <w:t>2</w:t>
      </w:r>
      <w:r w:rsidR="00EA3BD5">
        <w:rPr>
          <w:sz w:val="24"/>
          <w:lang w:val="en-US"/>
        </w:rPr>
        <w:t xml:space="preserve"> percent</w:t>
      </w:r>
      <w:r w:rsidR="00DB470D">
        <w:rPr>
          <w:sz w:val="24"/>
          <w:lang w:val="en-US"/>
        </w:rPr>
        <w:t>)</w:t>
      </w:r>
      <w:r w:rsidR="00EA3BD5">
        <w:rPr>
          <w:sz w:val="24"/>
          <w:lang w:val="en-US"/>
        </w:rPr>
        <w:t xml:space="preserve"> of </w:t>
      </w:r>
      <w:r w:rsidR="003E7EA1">
        <w:rPr>
          <w:sz w:val="24"/>
          <w:lang w:val="en-US"/>
        </w:rPr>
        <w:t xml:space="preserve">Avista’s </w:t>
      </w:r>
      <w:r w:rsidR="00EA3BD5">
        <w:rPr>
          <w:sz w:val="24"/>
          <w:lang w:val="en-US"/>
        </w:rPr>
        <w:t xml:space="preserve">total estimate </w:t>
      </w:r>
      <w:r w:rsidR="009A6220">
        <w:rPr>
          <w:sz w:val="24"/>
          <w:lang w:val="en-US"/>
        </w:rPr>
        <w:t xml:space="preserve">of its </w:t>
      </w:r>
      <w:r w:rsidR="00E92B04">
        <w:rPr>
          <w:sz w:val="24"/>
          <w:lang w:val="en-US"/>
        </w:rPr>
        <w:t xml:space="preserve">as-filed </w:t>
      </w:r>
      <w:r w:rsidR="002525B5">
        <w:rPr>
          <w:sz w:val="24"/>
          <w:lang w:val="en-US"/>
        </w:rPr>
        <w:t xml:space="preserve">pro forma </w:t>
      </w:r>
      <w:r w:rsidR="00EA3BD5">
        <w:rPr>
          <w:sz w:val="24"/>
          <w:lang w:val="en-US"/>
        </w:rPr>
        <w:t>system</w:t>
      </w:r>
      <w:r w:rsidR="00F30A70">
        <w:rPr>
          <w:sz w:val="24"/>
          <w:lang w:val="en-US"/>
        </w:rPr>
        <w:t>-</w:t>
      </w:r>
      <w:r w:rsidR="00EA3BD5">
        <w:rPr>
          <w:sz w:val="24"/>
          <w:lang w:val="en-US"/>
        </w:rPr>
        <w:t xml:space="preserve">level capital additions for </w:t>
      </w:r>
      <w:r w:rsidR="003E7EA1">
        <w:rPr>
          <w:sz w:val="24"/>
          <w:lang w:val="en-US"/>
        </w:rPr>
        <w:t>2015</w:t>
      </w:r>
      <w:r w:rsidR="00EA3BD5">
        <w:rPr>
          <w:sz w:val="24"/>
          <w:lang w:val="en-US"/>
        </w:rPr>
        <w:t>.</w:t>
      </w:r>
      <w:r w:rsidR="003E7EA1">
        <w:rPr>
          <w:sz w:val="24"/>
          <w:lang w:val="en-US"/>
        </w:rPr>
        <w:t xml:space="preserve">  I </w:t>
      </w:r>
      <w:r w:rsidR="000007FB">
        <w:rPr>
          <w:sz w:val="24"/>
          <w:lang w:val="en-US"/>
        </w:rPr>
        <w:t>testify</w:t>
      </w:r>
      <w:r w:rsidR="00DB1D9D">
        <w:rPr>
          <w:sz w:val="24"/>
          <w:lang w:val="en-US"/>
        </w:rPr>
        <w:t xml:space="preserve"> on </w:t>
      </w:r>
      <w:r w:rsidR="00E92B04">
        <w:rPr>
          <w:sz w:val="24"/>
          <w:lang w:val="en-US"/>
        </w:rPr>
        <w:t>t</w:t>
      </w:r>
      <w:r w:rsidR="00DB1D9D">
        <w:rPr>
          <w:sz w:val="24"/>
          <w:lang w:val="en-US"/>
        </w:rPr>
        <w:t xml:space="preserve">hese major capital additions </w:t>
      </w:r>
      <w:r w:rsidR="002525B5">
        <w:rPr>
          <w:sz w:val="24"/>
          <w:lang w:val="en-US"/>
        </w:rPr>
        <w:t xml:space="preserve">and </w:t>
      </w:r>
      <w:r w:rsidR="00AE0B34">
        <w:rPr>
          <w:sz w:val="24"/>
          <w:lang w:val="en-US"/>
        </w:rPr>
        <w:t xml:space="preserve">give </w:t>
      </w:r>
      <w:r w:rsidR="00A31710">
        <w:rPr>
          <w:sz w:val="24"/>
          <w:lang w:val="en-US"/>
        </w:rPr>
        <w:t xml:space="preserve">Staff’s assessment </w:t>
      </w:r>
      <w:r w:rsidR="003F6FB0">
        <w:rPr>
          <w:sz w:val="24"/>
          <w:lang w:val="en-US"/>
        </w:rPr>
        <w:t xml:space="preserve">as to </w:t>
      </w:r>
      <w:r w:rsidR="00DB1D9D">
        <w:rPr>
          <w:sz w:val="24"/>
          <w:lang w:val="en-US"/>
        </w:rPr>
        <w:t xml:space="preserve">the </w:t>
      </w:r>
      <w:r w:rsidR="002525B5" w:rsidRPr="002525B5">
        <w:rPr>
          <w:sz w:val="24"/>
          <w:lang w:val="en-US"/>
        </w:rPr>
        <w:t xml:space="preserve">costs and timing of these </w:t>
      </w:r>
      <w:r w:rsidR="002710E4">
        <w:rPr>
          <w:sz w:val="24"/>
          <w:lang w:val="en-US"/>
        </w:rPr>
        <w:t>ERs</w:t>
      </w:r>
      <w:r w:rsidR="00DB1D9D">
        <w:rPr>
          <w:sz w:val="24"/>
          <w:lang w:val="en-US"/>
        </w:rPr>
        <w:t xml:space="preserve"> </w:t>
      </w:r>
      <w:r w:rsidR="00ED31E3">
        <w:rPr>
          <w:sz w:val="24"/>
          <w:lang w:val="en-US"/>
        </w:rPr>
        <w:t>an</w:t>
      </w:r>
      <w:r w:rsidR="00DB1D9D">
        <w:rPr>
          <w:sz w:val="24"/>
          <w:lang w:val="en-US"/>
        </w:rPr>
        <w:t>d</w:t>
      </w:r>
      <w:r w:rsidR="00ED31E3">
        <w:rPr>
          <w:sz w:val="24"/>
          <w:lang w:val="en-US"/>
        </w:rPr>
        <w:t xml:space="preserve"> </w:t>
      </w:r>
      <w:r w:rsidR="00FE6AD7">
        <w:rPr>
          <w:sz w:val="24"/>
          <w:lang w:val="en-US"/>
        </w:rPr>
        <w:t>their suitability to be included in the calculation of rate</w:t>
      </w:r>
      <w:r w:rsidR="00E263F0">
        <w:rPr>
          <w:sz w:val="24"/>
          <w:lang w:val="en-US"/>
        </w:rPr>
        <w:t xml:space="preserve"> </w:t>
      </w:r>
      <w:r w:rsidR="00FE6AD7">
        <w:rPr>
          <w:sz w:val="24"/>
          <w:lang w:val="en-US"/>
        </w:rPr>
        <w:t>base and revenue requirement for the 2016 calendar rate year</w:t>
      </w:r>
      <w:r w:rsidR="00DB1D9D">
        <w:rPr>
          <w:sz w:val="24"/>
          <w:lang w:val="en-US"/>
        </w:rPr>
        <w:t>.</w:t>
      </w:r>
    </w:p>
    <w:p w14:paraId="50126348" w14:textId="402E7655" w:rsidR="00DB1D9D" w:rsidRDefault="005F6F51" w:rsidP="00425F7D">
      <w:pPr>
        <w:pStyle w:val="BodyTextIndent"/>
        <w:ind w:firstLine="720"/>
        <w:rPr>
          <w:sz w:val="24"/>
          <w:lang w:val="en-US"/>
        </w:rPr>
      </w:pPr>
      <w:r>
        <w:rPr>
          <w:sz w:val="24"/>
          <w:lang w:val="en-US"/>
        </w:rPr>
        <w:t xml:space="preserve">The single largest major capital addition </w:t>
      </w:r>
      <w:r w:rsidR="00E92B04">
        <w:rPr>
          <w:sz w:val="24"/>
          <w:lang w:val="en-US"/>
        </w:rPr>
        <w:t>to rate base in A</w:t>
      </w:r>
      <w:r>
        <w:rPr>
          <w:sz w:val="24"/>
          <w:lang w:val="en-US"/>
        </w:rPr>
        <w:t>vista</w:t>
      </w:r>
      <w:r w:rsidR="00E92B04">
        <w:rPr>
          <w:sz w:val="24"/>
          <w:lang w:val="en-US"/>
        </w:rPr>
        <w:t>’s as-filed case</w:t>
      </w:r>
      <w:r>
        <w:rPr>
          <w:sz w:val="24"/>
          <w:lang w:val="en-US"/>
        </w:rPr>
        <w:t xml:space="preserve"> is the $95.1 million</w:t>
      </w:r>
      <w:r w:rsidR="00682157">
        <w:rPr>
          <w:rStyle w:val="FootnoteReference"/>
          <w:sz w:val="24"/>
          <w:lang w:val="en-US"/>
        </w:rPr>
        <w:footnoteReference w:id="23"/>
      </w:r>
      <w:r>
        <w:rPr>
          <w:sz w:val="24"/>
          <w:lang w:val="en-US"/>
        </w:rPr>
        <w:t xml:space="preserve"> system</w:t>
      </w:r>
      <w:r w:rsidR="00E263F0">
        <w:rPr>
          <w:sz w:val="24"/>
          <w:lang w:val="en-US"/>
        </w:rPr>
        <w:t>-</w:t>
      </w:r>
      <w:r w:rsidR="00E92B04">
        <w:rPr>
          <w:sz w:val="24"/>
          <w:lang w:val="en-US"/>
        </w:rPr>
        <w:t>level</w:t>
      </w:r>
      <w:r>
        <w:rPr>
          <w:sz w:val="24"/>
          <w:lang w:val="en-US"/>
        </w:rPr>
        <w:t xml:space="preserve"> </w:t>
      </w:r>
      <w:r w:rsidR="00E92B04">
        <w:rPr>
          <w:sz w:val="24"/>
          <w:lang w:val="en-US"/>
        </w:rPr>
        <w:t xml:space="preserve">capital addition </w:t>
      </w:r>
      <w:r>
        <w:rPr>
          <w:sz w:val="24"/>
          <w:lang w:val="en-US"/>
        </w:rPr>
        <w:t>for the Customer Service and Work and Asset Management software system (Project Compass)</w:t>
      </w:r>
      <w:r w:rsidR="005C1C84">
        <w:rPr>
          <w:sz w:val="24"/>
          <w:lang w:val="en-US"/>
        </w:rPr>
        <w:t>,</w:t>
      </w:r>
      <w:r w:rsidR="00E92B04">
        <w:rPr>
          <w:sz w:val="24"/>
          <w:lang w:val="en-US"/>
        </w:rPr>
        <w:t xml:space="preserve"> which went into service earlier this year</w:t>
      </w:r>
      <w:r>
        <w:rPr>
          <w:sz w:val="24"/>
          <w:lang w:val="en-US"/>
        </w:rPr>
        <w:t>.</w:t>
      </w:r>
      <w:r w:rsidR="001F3AB4">
        <w:rPr>
          <w:sz w:val="24"/>
          <w:lang w:val="en-US"/>
        </w:rPr>
        <w:t xml:space="preserve">  As part of my testimony </w:t>
      </w:r>
      <w:r w:rsidR="005037FE">
        <w:rPr>
          <w:sz w:val="24"/>
          <w:lang w:val="en-US"/>
        </w:rPr>
        <w:t xml:space="preserve">on major capital additions, </w:t>
      </w:r>
      <w:r w:rsidR="003C686B">
        <w:rPr>
          <w:sz w:val="24"/>
          <w:lang w:val="en-US"/>
        </w:rPr>
        <w:t xml:space="preserve">I address </w:t>
      </w:r>
      <w:r w:rsidR="005037FE">
        <w:rPr>
          <w:sz w:val="24"/>
          <w:lang w:val="en-US"/>
        </w:rPr>
        <w:t>prudenc</w:t>
      </w:r>
      <w:r w:rsidR="00AE43C3">
        <w:rPr>
          <w:sz w:val="24"/>
          <w:lang w:val="en-US"/>
        </w:rPr>
        <w:t>e</w:t>
      </w:r>
      <w:r w:rsidR="005037FE">
        <w:rPr>
          <w:sz w:val="24"/>
          <w:lang w:val="en-US"/>
        </w:rPr>
        <w:t xml:space="preserve"> </w:t>
      </w:r>
      <w:r w:rsidR="003C686B">
        <w:rPr>
          <w:sz w:val="24"/>
          <w:lang w:val="en-US"/>
        </w:rPr>
        <w:t>issues regarding $</w:t>
      </w:r>
      <w:r w:rsidR="00017321">
        <w:rPr>
          <w:sz w:val="24"/>
          <w:lang w:val="en-US"/>
        </w:rPr>
        <w:t>18</w:t>
      </w:r>
      <w:r w:rsidR="003C686B">
        <w:rPr>
          <w:sz w:val="24"/>
          <w:lang w:val="en-US"/>
        </w:rPr>
        <w:t>.</w:t>
      </w:r>
      <w:r w:rsidR="00017321">
        <w:rPr>
          <w:sz w:val="24"/>
          <w:lang w:val="en-US"/>
        </w:rPr>
        <w:t>7</w:t>
      </w:r>
      <w:r w:rsidR="003C686B">
        <w:rPr>
          <w:sz w:val="24"/>
          <w:lang w:val="en-US"/>
        </w:rPr>
        <w:t xml:space="preserve"> million of this amount associated with Avista’s revised project timeline and budget</w:t>
      </w:r>
      <w:r w:rsidR="00017321">
        <w:rPr>
          <w:sz w:val="24"/>
          <w:lang w:val="en-US"/>
        </w:rPr>
        <w:t xml:space="preserve"> and A</w:t>
      </w:r>
      <w:r w:rsidR="00017321" w:rsidRPr="00017321">
        <w:rPr>
          <w:sz w:val="24"/>
          <w:lang w:val="en-US"/>
        </w:rPr>
        <w:t>vista’s Project Compass bonus plan</w:t>
      </w:r>
      <w:r w:rsidR="003C686B">
        <w:rPr>
          <w:sz w:val="24"/>
          <w:lang w:val="en-US"/>
        </w:rPr>
        <w:t>.</w:t>
      </w:r>
      <w:r>
        <w:rPr>
          <w:sz w:val="24"/>
          <w:lang w:val="en-US"/>
        </w:rPr>
        <w:t xml:space="preserve"> </w:t>
      </w:r>
      <w:r w:rsidR="00E542F4">
        <w:rPr>
          <w:sz w:val="24"/>
          <w:lang w:val="en-US"/>
        </w:rPr>
        <w:t xml:space="preserve"> </w:t>
      </w:r>
    </w:p>
    <w:p w14:paraId="7253EE24" w14:textId="2FB6921C" w:rsidR="00994410" w:rsidRDefault="00DB1D9D" w:rsidP="00425F7D">
      <w:pPr>
        <w:pStyle w:val="BodyTextIndent"/>
        <w:rPr>
          <w:sz w:val="24"/>
          <w:lang w:val="en-US"/>
        </w:rPr>
      </w:pPr>
      <w:r>
        <w:rPr>
          <w:sz w:val="24"/>
          <w:lang w:val="en-US"/>
        </w:rPr>
        <w:tab/>
      </w:r>
      <w:r>
        <w:rPr>
          <w:sz w:val="24"/>
          <w:lang w:val="en-US"/>
        </w:rPr>
        <w:tab/>
        <w:t xml:space="preserve">Finally, </w:t>
      </w:r>
      <w:r w:rsidR="00617793">
        <w:rPr>
          <w:sz w:val="24"/>
          <w:lang w:val="en-US"/>
        </w:rPr>
        <w:t>m</w:t>
      </w:r>
      <w:r w:rsidR="00AE0B34">
        <w:rPr>
          <w:sz w:val="24"/>
          <w:lang w:val="en-US"/>
        </w:rPr>
        <w:t xml:space="preserve">y testimony </w:t>
      </w:r>
      <w:r w:rsidR="00042EE2">
        <w:rPr>
          <w:sz w:val="24"/>
          <w:lang w:val="en-US"/>
        </w:rPr>
        <w:t>includes</w:t>
      </w:r>
      <w:r w:rsidR="00017321">
        <w:rPr>
          <w:sz w:val="24"/>
          <w:lang w:val="en-US"/>
        </w:rPr>
        <w:t>,</w:t>
      </w:r>
      <w:r w:rsidR="00AE0B34">
        <w:rPr>
          <w:sz w:val="24"/>
          <w:lang w:val="en-US"/>
        </w:rPr>
        <w:t xml:space="preserve"> </w:t>
      </w:r>
      <w:r w:rsidR="008E3863">
        <w:rPr>
          <w:sz w:val="24"/>
          <w:lang w:val="en-US"/>
        </w:rPr>
        <w:t>in its summary</w:t>
      </w:r>
      <w:r w:rsidR="00017321">
        <w:rPr>
          <w:sz w:val="24"/>
          <w:lang w:val="en-US"/>
        </w:rPr>
        <w:t>,</w:t>
      </w:r>
      <w:r w:rsidR="008E3863">
        <w:rPr>
          <w:sz w:val="24"/>
          <w:lang w:val="en-US"/>
        </w:rPr>
        <w:t xml:space="preserve"> an </w:t>
      </w:r>
      <w:r w:rsidR="00AE0B34">
        <w:rPr>
          <w:sz w:val="24"/>
          <w:lang w:val="en-US"/>
        </w:rPr>
        <w:t xml:space="preserve">analysis and recommendations </w:t>
      </w:r>
      <w:r w:rsidR="0033600D">
        <w:rPr>
          <w:sz w:val="24"/>
          <w:lang w:val="en-US"/>
        </w:rPr>
        <w:t xml:space="preserve">regarding the remaining </w:t>
      </w:r>
      <w:r w:rsidR="002710E4">
        <w:rPr>
          <w:sz w:val="24"/>
          <w:lang w:val="en-US"/>
        </w:rPr>
        <w:t>ERs</w:t>
      </w:r>
      <w:r w:rsidR="005C1C84">
        <w:rPr>
          <w:sz w:val="24"/>
          <w:lang w:val="en-US"/>
        </w:rPr>
        <w:t>,</w:t>
      </w:r>
      <w:r w:rsidR="0033600D">
        <w:rPr>
          <w:sz w:val="24"/>
          <w:lang w:val="en-US"/>
        </w:rPr>
        <w:t xml:space="preserve"> which </w:t>
      </w:r>
      <w:r w:rsidR="005C1C84">
        <w:rPr>
          <w:sz w:val="24"/>
          <w:lang w:val="en-US"/>
        </w:rPr>
        <w:t>include</w:t>
      </w:r>
      <w:r w:rsidR="00AE0B34">
        <w:rPr>
          <w:sz w:val="24"/>
          <w:lang w:val="en-US"/>
        </w:rPr>
        <w:t xml:space="preserve"> </w:t>
      </w:r>
      <w:r w:rsidR="0033600D">
        <w:rPr>
          <w:sz w:val="24"/>
          <w:lang w:val="en-US"/>
        </w:rPr>
        <w:t>both individual on</w:t>
      </w:r>
      <w:r w:rsidR="00617793">
        <w:rPr>
          <w:sz w:val="24"/>
          <w:lang w:val="en-US"/>
        </w:rPr>
        <w:t>e</w:t>
      </w:r>
      <w:r w:rsidR="0033600D">
        <w:rPr>
          <w:sz w:val="24"/>
          <w:lang w:val="en-US"/>
        </w:rPr>
        <w:t>-off projects and on-going programs</w:t>
      </w:r>
      <w:r w:rsidR="003E736F">
        <w:rPr>
          <w:sz w:val="24"/>
          <w:lang w:val="en-US"/>
        </w:rPr>
        <w:t xml:space="preserve">.  My aim in not disregarding these remaining non-major capital additions </w:t>
      </w:r>
      <w:r w:rsidR="00B15A70">
        <w:rPr>
          <w:sz w:val="24"/>
          <w:lang w:val="en-US"/>
        </w:rPr>
        <w:t xml:space="preserve">outright </w:t>
      </w:r>
      <w:r w:rsidR="00617793">
        <w:rPr>
          <w:sz w:val="24"/>
          <w:lang w:val="en-US"/>
        </w:rPr>
        <w:t xml:space="preserve">from consideration </w:t>
      </w:r>
      <w:r w:rsidR="003E736F">
        <w:rPr>
          <w:sz w:val="24"/>
          <w:lang w:val="en-US"/>
        </w:rPr>
        <w:t xml:space="preserve">is so that Staff remains </w:t>
      </w:r>
      <w:r w:rsidR="00495E67">
        <w:rPr>
          <w:sz w:val="24"/>
          <w:lang w:val="en-US"/>
        </w:rPr>
        <w:lastRenderedPageBreak/>
        <w:t xml:space="preserve">faithful </w:t>
      </w:r>
      <w:r w:rsidR="003E736F">
        <w:rPr>
          <w:sz w:val="24"/>
          <w:lang w:val="en-US"/>
        </w:rPr>
        <w:t>to the guidance provided by the Commission in the Pacific Order</w:t>
      </w:r>
      <w:r w:rsidR="00B15A70">
        <w:rPr>
          <w:sz w:val="24"/>
          <w:lang w:val="en-US"/>
        </w:rPr>
        <w:t>, namely:</w:t>
      </w:r>
      <w:r w:rsidR="0033600D">
        <w:rPr>
          <w:sz w:val="24"/>
          <w:lang w:val="en-US"/>
        </w:rPr>
        <w:t xml:space="preserve"> </w:t>
      </w:r>
      <w:r w:rsidR="00617793">
        <w:rPr>
          <w:sz w:val="24"/>
          <w:lang w:val="en-US"/>
        </w:rPr>
        <w:t>“</w:t>
      </w:r>
      <w:r w:rsidR="003E736F" w:rsidRPr="003E736F">
        <w:rPr>
          <w:sz w:val="24"/>
          <w:lang w:val="en-US"/>
        </w:rPr>
        <w:t>to consider post-test-year capital additions on a case-by-case basis following the used and useful and known and measurable standards while exercising the considerable discretion these standards allow in the context of individual cases.</w:t>
      </w:r>
      <w:r w:rsidR="00617793">
        <w:rPr>
          <w:sz w:val="24"/>
          <w:lang w:val="en-US"/>
        </w:rPr>
        <w:t>”</w:t>
      </w:r>
      <w:r w:rsidR="00617793">
        <w:rPr>
          <w:rStyle w:val="FootnoteReference"/>
          <w:sz w:val="24"/>
          <w:lang w:val="en-US"/>
        </w:rPr>
        <w:footnoteReference w:id="24"/>
      </w:r>
    </w:p>
    <w:p w14:paraId="3EB14FA1" w14:textId="77777777" w:rsidR="00425F7D" w:rsidRDefault="00425F7D" w:rsidP="00425F7D">
      <w:pPr>
        <w:pStyle w:val="BodyTextIndent"/>
        <w:rPr>
          <w:sz w:val="24"/>
        </w:rPr>
      </w:pPr>
    </w:p>
    <w:p w14:paraId="1D2072BE" w14:textId="594AC08D" w:rsidR="005B3195" w:rsidRPr="00791BEF" w:rsidRDefault="00093C56" w:rsidP="00425F7D">
      <w:pPr>
        <w:pStyle w:val="Heading2"/>
        <w:tabs>
          <w:tab w:val="left" w:pos="-1440"/>
        </w:tabs>
        <w:spacing w:before="0" w:after="0" w:line="480" w:lineRule="auto"/>
        <w:ind w:left="720" w:hanging="720"/>
        <w:jc w:val="center"/>
      </w:pPr>
      <w:bookmarkStart w:id="21" w:name="_Toc425172439"/>
      <w:bookmarkStart w:id="22" w:name="_Toc425328740"/>
      <w:bookmarkStart w:id="23" w:name="_Toc425339184"/>
      <w:bookmarkStart w:id="24" w:name="_Toc425756862"/>
      <w:r w:rsidRPr="00947D40">
        <w:rPr>
          <w:rFonts w:ascii="Times New Roman" w:hAnsi="Times New Roman"/>
          <w:szCs w:val="24"/>
          <w:lang w:val="en-US"/>
        </w:rPr>
        <w:t>Avista</w:t>
      </w:r>
      <w:r w:rsidR="004708D1" w:rsidRPr="00947D40">
        <w:rPr>
          <w:rFonts w:ascii="Times New Roman" w:hAnsi="Times New Roman"/>
          <w:szCs w:val="24"/>
          <w:lang w:val="en-US"/>
        </w:rPr>
        <w:t>’s</w:t>
      </w:r>
      <w:r w:rsidRPr="00947D40">
        <w:rPr>
          <w:rFonts w:ascii="Times New Roman" w:hAnsi="Times New Roman"/>
          <w:szCs w:val="24"/>
          <w:lang w:val="en-US"/>
        </w:rPr>
        <w:t xml:space="preserve"> 2015 Major Capital Additions</w:t>
      </w:r>
      <w:bookmarkEnd w:id="21"/>
      <w:bookmarkEnd w:id="22"/>
      <w:bookmarkEnd w:id="23"/>
      <w:bookmarkEnd w:id="24"/>
    </w:p>
    <w:p w14:paraId="30D3882F" w14:textId="77777777" w:rsidR="00093C56" w:rsidRDefault="00093C56" w:rsidP="00425F7D">
      <w:pPr>
        <w:tabs>
          <w:tab w:val="left" w:pos="-1440"/>
        </w:tabs>
        <w:spacing w:line="480" w:lineRule="auto"/>
        <w:ind w:left="720" w:hanging="720"/>
        <w:rPr>
          <w:b/>
          <w:bCs/>
        </w:rPr>
      </w:pPr>
    </w:p>
    <w:p w14:paraId="747AB7B4" w14:textId="6A1BD4BA" w:rsidR="0087063E" w:rsidRPr="00BF078B" w:rsidRDefault="0087063E" w:rsidP="00425F7D">
      <w:pPr>
        <w:tabs>
          <w:tab w:val="left" w:pos="-1440"/>
        </w:tabs>
        <w:spacing w:line="480" w:lineRule="auto"/>
        <w:ind w:left="720" w:hanging="720"/>
        <w:rPr>
          <w:b/>
          <w:bCs/>
        </w:rPr>
      </w:pPr>
      <w:r w:rsidRPr="00BF078B">
        <w:rPr>
          <w:b/>
          <w:bCs/>
        </w:rPr>
        <w:t>Q.</w:t>
      </w:r>
      <w:r w:rsidRPr="00BF078B">
        <w:rPr>
          <w:b/>
          <w:bCs/>
        </w:rPr>
        <w:tab/>
      </w:r>
      <w:r w:rsidR="00A40BBA">
        <w:rPr>
          <w:b/>
          <w:bCs/>
        </w:rPr>
        <w:t xml:space="preserve">List the </w:t>
      </w:r>
      <w:r w:rsidR="0019136B">
        <w:rPr>
          <w:b/>
          <w:bCs/>
        </w:rPr>
        <w:t>1</w:t>
      </w:r>
      <w:r w:rsidR="00994A4E">
        <w:rPr>
          <w:b/>
          <w:bCs/>
        </w:rPr>
        <w:t>4</w:t>
      </w:r>
      <w:r w:rsidR="0019136B">
        <w:rPr>
          <w:b/>
          <w:bCs/>
        </w:rPr>
        <w:t xml:space="preserve"> </w:t>
      </w:r>
      <w:r w:rsidR="00475AEE">
        <w:rPr>
          <w:b/>
          <w:bCs/>
        </w:rPr>
        <w:t xml:space="preserve">major capital additions in Exhibit No. __ (DCG-3) </w:t>
      </w:r>
      <w:r w:rsidR="00A40BBA">
        <w:rPr>
          <w:b/>
          <w:bCs/>
        </w:rPr>
        <w:t xml:space="preserve">that you have selected </w:t>
      </w:r>
      <w:r w:rsidR="00D752FD">
        <w:rPr>
          <w:b/>
          <w:bCs/>
        </w:rPr>
        <w:t xml:space="preserve">for </w:t>
      </w:r>
      <w:r w:rsidR="00475AEE">
        <w:rPr>
          <w:b/>
          <w:bCs/>
        </w:rPr>
        <w:t>your testimony</w:t>
      </w:r>
      <w:r w:rsidR="00A40BBA">
        <w:rPr>
          <w:b/>
          <w:bCs/>
        </w:rPr>
        <w:t>.</w:t>
      </w:r>
    </w:p>
    <w:p w14:paraId="3FAC181B" w14:textId="273D6374" w:rsidR="00A40BBA" w:rsidRDefault="0087063E" w:rsidP="00425F7D">
      <w:pPr>
        <w:pStyle w:val="BodyTextIndent"/>
        <w:rPr>
          <w:sz w:val="24"/>
          <w:lang w:val="en-US"/>
        </w:rPr>
      </w:pPr>
      <w:r>
        <w:rPr>
          <w:sz w:val="24"/>
          <w:lang w:val="en-US"/>
        </w:rPr>
        <w:t>A.</w:t>
      </w:r>
      <w:r>
        <w:rPr>
          <w:sz w:val="24"/>
          <w:lang w:val="en-US"/>
        </w:rPr>
        <w:tab/>
      </w:r>
      <w:r w:rsidR="00A40BBA">
        <w:rPr>
          <w:sz w:val="24"/>
          <w:lang w:val="en-US"/>
        </w:rPr>
        <w:t>I have selected</w:t>
      </w:r>
      <w:r w:rsidR="006765F3">
        <w:rPr>
          <w:sz w:val="24"/>
          <w:lang w:val="en-US"/>
        </w:rPr>
        <w:t xml:space="preserve"> </w:t>
      </w:r>
      <w:r w:rsidR="001112A5">
        <w:rPr>
          <w:sz w:val="24"/>
          <w:lang w:val="en-US"/>
        </w:rPr>
        <w:t xml:space="preserve">the following </w:t>
      </w:r>
      <w:r w:rsidR="002710E4">
        <w:rPr>
          <w:sz w:val="24"/>
          <w:lang w:val="en-US"/>
        </w:rPr>
        <w:t>ERs</w:t>
      </w:r>
      <w:r w:rsidR="0003183C">
        <w:rPr>
          <w:sz w:val="24"/>
          <w:lang w:val="en-US"/>
        </w:rPr>
        <w:t>,</w:t>
      </w:r>
      <w:r w:rsidR="001512BB">
        <w:rPr>
          <w:sz w:val="24"/>
          <w:lang w:val="en-US"/>
        </w:rPr>
        <w:t xml:space="preserve"> which meet the criteria of major capital additions</w:t>
      </w:r>
      <w:r w:rsidR="001112A5">
        <w:rPr>
          <w:sz w:val="24"/>
          <w:lang w:val="en-US"/>
        </w:rPr>
        <w:t xml:space="preserve">: </w:t>
      </w:r>
      <w:r w:rsidR="00E54F83">
        <w:rPr>
          <w:sz w:val="24"/>
          <w:lang w:val="en-US"/>
        </w:rPr>
        <w:t xml:space="preserve"> </w:t>
      </w:r>
      <w:r w:rsidR="0019136B">
        <w:rPr>
          <w:sz w:val="24"/>
          <w:lang w:val="en-US"/>
        </w:rPr>
        <w:t xml:space="preserve">Nine Mile </w:t>
      </w:r>
      <w:r w:rsidR="00B27669">
        <w:rPr>
          <w:sz w:val="24"/>
          <w:lang w:val="en-US"/>
        </w:rPr>
        <w:t xml:space="preserve">Dam </w:t>
      </w:r>
      <w:r w:rsidR="0019136B">
        <w:rPr>
          <w:sz w:val="24"/>
          <w:lang w:val="en-US"/>
        </w:rPr>
        <w:t xml:space="preserve">Rehab, Little Falls Plant Upgrade, </w:t>
      </w:r>
      <w:r w:rsidR="00213915">
        <w:rPr>
          <w:sz w:val="24"/>
          <w:lang w:val="en-US"/>
        </w:rPr>
        <w:t xml:space="preserve">Cabinet Gorge Unit 1 Refurbishment, </w:t>
      </w:r>
      <w:r w:rsidR="00213915" w:rsidRPr="00213915">
        <w:rPr>
          <w:sz w:val="24"/>
          <w:lang w:val="en-US"/>
        </w:rPr>
        <w:t>Post Falls South Channel Replacement</w:t>
      </w:r>
      <w:r w:rsidR="00213915">
        <w:rPr>
          <w:sz w:val="24"/>
          <w:lang w:val="en-US"/>
        </w:rPr>
        <w:t xml:space="preserve">, </w:t>
      </w:r>
      <w:r w:rsidR="0007404B">
        <w:rPr>
          <w:sz w:val="24"/>
          <w:lang w:val="en-US"/>
        </w:rPr>
        <w:t>Clark Fork Settlement Agreement,</w:t>
      </w:r>
      <w:r w:rsidR="00213915">
        <w:rPr>
          <w:sz w:val="24"/>
          <w:lang w:val="en-US"/>
        </w:rPr>
        <w:t xml:space="preserve"> </w:t>
      </w:r>
      <w:r w:rsidR="006447A3">
        <w:rPr>
          <w:sz w:val="24"/>
          <w:lang w:val="en-US"/>
        </w:rPr>
        <w:t>Aldyl</w:t>
      </w:r>
      <w:r w:rsidR="00A332D6">
        <w:rPr>
          <w:sz w:val="24"/>
          <w:lang w:val="en-US"/>
        </w:rPr>
        <w:noBreakHyphen/>
      </w:r>
      <w:r w:rsidR="006447A3">
        <w:rPr>
          <w:sz w:val="24"/>
          <w:lang w:val="en-US"/>
        </w:rPr>
        <w:t xml:space="preserve">A Replacement, Gas Non-Revenue Program, </w:t>
      </w:r>
      <w:r w:rsidR="006447A3" w:rsidRPr="006447A3">
        <w:rPr>
          <w:sz w:val="24"/>
          <w:lang w:val="en-US"/>
        </w:rPr>
        <w:t>Gas Isolated Steel Replacement Program</w:t>
      </w:r>
      <w:r w:rsidR="0019136B">
        <w:rPr>
          <w:sz w:val="24"/>
          <w:lang w:val="en-US"/>
        </w:rPr>
        <w:t xml:space="preserve">, </w:t>
      </w:r>
      <w:r w:rsidR="001C5892">
        <w:rPr>
          <w:sz w:val="24"/>
          <w:lang w:val="en-US"/>
        </w:rPr>
        <w:t xml:space="preserve">Goldendale High Pressure (HP) Gas Main Reinforcement Project, Heating Ventilation and Cooling (HVAC) Renovation Project, </w:t>
      </w:r>
      <w:r w:rsidR="0019136B">
        <w:rPr>
          <w:sz w:val="24"/>
          <w:lang w:val="en-US"/>
        </w:rPr>
        <w:t>Distribution Wood Pole Management, Distribution Grid Modernization</w:t>
      </w:r>
      <w:r w:rsidR="00E54F83">
        <w:rPr>
          <w:sz w:val="24"/>
          <w:lang w:val="en-US"/>
        </w:rPr>
        <w:t>,</w:t>
      </w:r>
      <w:r w:rsidR="008D5118">
        <w:rPr>
          <w:sz w:val="24"/>
          <w:lang w:val="en-US"/>
        </w:rPr>
        <w:t xml:space="preserve"> </w:t>
      </w:r>
      <w:r w:rsidR="00E54F83">
        <w:rPr>
          <w:sz w:val="24"/>
          <w:lang w:val="en-US"/>
        </w:rPr>
        <w:t>Project Compass</w:t>
      </w:r>
      <w:r w:rsidR="0003183C">
        <w:rPr>
          <w:sz w:val="24"/>
          <w:lang w:val="en-US"/>
        </w:rPr>
        <w:t>,</w:t>
      </w:r>
      <w:r w:rsidR="00E54F83">
        <w:rPr>
          <w:sz w:val="24"/>
          <w:lang w:val="en-US"/>
        </w:rPr>
        <w:t xml:space="preserve"> and Technology Refresh to Sustain Business Process</w:t>
      </w:r>
      <w:r w:rsidR="00A40BBA">
        <w:rPr>
          <w:sz w:val="24"/>
          <w:lang w:val="en-US"/>
        </w:rPr>
        <w:t xml:space="preserve">.  </w:t>
      </w:r>
    </w:p>
    <w:p w14:paraId="57241B3D" w14:textId="77777777" w:rsidR="003228E1" w:rsidRDefault="003228E1" w:rsidP="00425F7D">
      <w:pPr>
        <w:pStyle w:val="BodyTextIndent"/>
        <w:rPr>
          <w:sz w:val="24"/>
          <w:lang w:val="en-US"/>
        </w:rPr>
      </w:pPr>
    </w:p>
    <w:p w14:paraId="37ABCC02" w14:textId="2191D559" w:rsidR="00783A77" w:rsidRPr="00783A77" w:rsidRDefault="00783A77" w:rsidP="00021550">
      <w:pPr>
        <w:pStyle w:val="Heading3"/>
        <w:ind w:left="0" w:firstLine="0"/>
      </w:pPr>
      <w:bookmarkStart w:id="25" w:name="_Toc425172440"/>
      <w:bookmarkStart w:id="26" w:name="_Toc425328741"/>
      <w:bookmarkStart w:id="27" w:name="_Toc425339185"/>
      <w:bookmarkStart w:id="28" w:name="_Toc425756863"/>
      <w:r w:rsidRPr="00783A77">
        <w:lastRenderedPageBreak/>
        <w:t>Nine Mile Dam Rehab</w:t>
      </w:r>
      <w:bookmarkEnd w:id="25"/>
      <w:bookmarkEnd w:id="26"/>
      <w:bookmarkEnd w:id="27"/>
      <w:bookmarkEnd w:id="28"/>
    </w:p>
    <w:p w14:paraId="13DB0056" w14:textId="77777777" w:rsidR="00783A77" w:rsidRDefault="00783A77" w:rsidP="00021550">
      <w:pPr>
        <w:pStyle w:val="BodyTextIndent"/>
        <w:keepNext/>
        <w:rPr>
          <w:sz w:val="24"/>
          <w:lang w:val="en-US"/>
        </w:rPr>
      </w:pPr>
    </w:p>
    <w:p w14:paraId="377FC5C6" w14:textId="2926773C" w:rsidR="00676A95" w:rsidRPr="00BF078B" w:rsidRDefault="00676A95" w:rsidP="00021550">
      <w:pPr>
        <w:keepNext/>
        <w:tabs>
          <w:tab w:val="left" w:pos="-1440"/>
        </w:tabs>
        <w:spacing w:line="480" w:lineRule="auto"/>
        <w:ind w:left="720" w:hanging="720"/>
        <w:rPr>
          <w:b/>
          <w:bCs/>
        </w:rPr>
      </w:pPr>
      <w:r w:rsidRPr="00BF078B">
        <w:rPr>
          <w:b/>
          <w:bCs/>
        </w:rPr>
        <w:t>Q.</w:t>
      </w:r>
      <w:r w:rsidRPr="00BF078B">
        <w:rPr>
          <w:b/>
          <w:bCs/>
        </w:rPr>
        <w:tab/>
      </w:r>
      <w:r>
        <w:rPr>
          <w:b/>
          <w:bCs/>
        </w:rPr>
        <w:t xml:space="preserve">The Company </w:t>
      </w:r>
      <w:r w:rsidR="00FD71DE">
        <w:rPr>
          <w:b/>
          <w:bCs/>
        </w:rPr>
        <w:t xml:space="preserve">predicts that </w:t>
      </w:r>
      <w:r w:rsidR="0003183C">
        <w:rPr>
          <w:b/>
          <w:bCs/>
        </w:rPr>
        <w:t xml:space="preserve">its </w:t>
      </w:r>
      <w:r w:rsidR="00E31CF5">
        <w:rPr>
          <w:b/>
          <w:bCs/>
        </w:rPr>
        <w:t xml:space="preserve">Nine Mile Dam Rehab </w:t>
      </w:r>
      <w:r w:rsidR="0007404B">
        <w:rPr>
          <w:b/>
          <w:bCs/>
        </w:rPr>
        <w:t xml:space="preserve">(Nine Mile) </w:t>
      </w:r>
      <w:r w:rsidR="00E31CF5">
        <w:rPr>
          <w:b/>
          <w:bCs/>
        </w:rPr>
        <w:t xml:space="preserve">project’s </w:t>
      </w:r>
      <w:r w:rsidR="002F176A">
        <w:rPr>
          <w:b/>
          <w:bCs/>
        </w:rPr>
        <w:t>i</w:t>
      </w:r>
      <w:r w:rsidR="00E31CF5">
        <w:rPr>
          <w:b/>
          <w:bCs/>
        </w:rPr>
        <w:t>n-service</w:t>
      </w:r>
      <w:r w:rsidR="0007404B">
        <w:rPr>
          <w:b/>
          <w:bCs/>
        </w:rPr>
        <w:t xml:space="preserve"> </w:t>
      </w:r>
      <w:r w:rsidR="00E31CF5">
        <w:rPr>
          <w:b/>
          <w:bCs/>
        </w:rPr>
        <w:t>date for Units 1 and 2 will take place in December of 2015.  What is Staff’s assessment of this prediction?</w:t>
      </w:r>
    </w:p>
    <w:p w14:paraId="3518192C" w14:textId="77777777" w:rsidR="00021550" w:rsidRDefault="00676A95" w:rsidP="00425F7D">
      <w:pPr>
        <w:pStyle w:val="BodyTextIndent"/>
        <w:rPr>
          <w:sz w:val="24"/>
          <w:lang w:val="en-US"/>
        </w:rPr>
        <w:sectPr w:rsidR="00021550" w:rsidSect="00374AB3">
          <w:footerReference w:type="default" r:id="rId13"/>
          <w:pgSz w:w="12240" w:h="15840" w:code="1"/>
          <w:pgMar w:top="1440" w:right="1440" w:bottom="1440" w:left="1872" w:header="720" w:footer="720" w:gutter="0"/>
          <w:lnNumType w:countBy="1"/>
          <w:cols w:space="720"/>
          <w:docGrid w:linePitch="360"/>
        </w:sectPr>
      </w:pPr>
      <w:r>
        <w:rPr>
          <w:sz w:val="24"/>
          <w:lang w:val="en-US"/>
        </w:rPr>
        <w:t xml:space="preserve">A. </w:t>
      </w:r>
      <w:r>
        <w:rPr>
          <w:sz w:val="24"/>
          <w:lang w:val="en-US"/>
        </w:rPr>
        <w:tab/>
      </w:r>
      <w:r w:rsidR="007C05D6" w:rsidRPr="007C05D6">
        <w:rPr>
          <w:sz w:val="24"/>
          <w:lang w:val="en-US"/>
        </w:rPr>
        <w:t xml:space="preserve">The forecasted 2015 transfer to plant </w:t>
      </w:r>
      <w:r w:rsidR="00055A6C">
        <w:rPr>
          <w:sz w:val="24"/>
          <w:lang w:val="en-US"/>
        </w:rPr>
        <w:t xml:space="preserve">amount </w:t>
      </w:r>
      <w:r w:rsidR="007C05D6">
        <w:rPr>
          <w:sz w:val="24"/>
          <w:lang w:val="en-US"/>
        </w:rPr>
        <w:t xml:space="preserve">for this </w:t>
      </w:r>
      <w:r w:rsidR="00682B94">
        <w:rPr>
          <w:sz w:val="24"/>
          <w:lang w:val="en-US"/>
        </w:rPr>
        <w:t xml:space="preserve">ER </w:t>
      </w:r>
      <w:r w:rsidR="007C05D6" w:rsidRPr="007C05D6">
        <w:rPr>
          <w:sz w:val="24"/>
          <w:lang w:val="en-US"/>
        </w:rPr>
        <w:t xml:space="preserve">is tied </w:t>
      </w:r>
      <w:r w:rsidR="00055A6C">
        <w:rPr>
          <w:sz w:val="24"/>
          <w:lang w:val="en-US"/>
        </w:rPr>
        <w:t xml:space="preserve">directly </w:t>
      </w:r>
      <w:r w:rsidR="007C05D6" w:rsidRPr="007C05D6">
        <w:rPr>
          <w:sz w:val="24"/>
          <w:lang w:val="en-US"/>
        </w:rPr>
        <w:t>to the replacement of Units 1 and 2 being completed and placed into service</w:t>
      </w:r>
      <w:r w:rsidR="007C05D6">
        <w:rPr>
          <w:sz w:val="24"/>
          <w:lang w:val="en-US"/>
        </w:rPr>
        <w:t xml:space="preserve"> by December of 2015.  </w:t>
      </w:r>
      <w:r w:rsidR="00E31CF5">
        <w:rPr>
          <w:sz w:val="24"/>
          <w:lang w:val="en-US"/>
        </w:rPr>
        <w:t xml:space="preserve">The Company’s original filing provides </w:t>
      </w:r>
      <w:r w:rsidR="00EC258B">
        <w:rPr>
          <w:sz w:val="24"/>
          <w:lang w:val="en-US"/>
        </w:rPr>
        <w:t xml:space="preserve">only </w:t>
      </w:r>
      <w:r w:rsidR="00E31CF5">
        <w:rPr>
          <w:sz w:val="24"/>
          <w:lang w:val="en-US"/>
        </w:rPr>
        <w:t>brief summar</w:t>
      </w:r>
      <w:r w:rsidR="00540C03">
        <w:rPr>
          <w:sz w:val="24"/>
          <w:lang w:val="en-US"/>
        </w:rPr>
        <w:t>ies</w:t>
      </w:r>
      <w:r w:rsidR="00E31CF5">
        <w:rPr>
          <w:sz w:val="24"/>
          <w:lang w:val="en-US"/>
        </w:rPr>
        <w:t xml:space="preserve"> </w:t>
      </w:r>
      <w:r w:rsidR="00CC2684">
        <w:rPr>
          <w:sz w:val="24"/>
          <w:lang w:val="en-US"/>
        </w:rPr>
        <w:t xml:space="preserve">and not </w:t>
      </w:r>
      <w:r w:rsidR="00E31CF5">
        <w:rPr>
          <w:sz w:val="24"/>
          <w:lang w:val="en-US"/>
        </w:rPr>
        <w:t xml:space="preserve">the specifics </w:t>
      </w:r>
      <w:r w:rsidR="00CC7A70">
        <w:rPr>
          <w:sz w:val="24"/>
          <w:lang w:val="en-US"/>
        </w:rPr>
        <w:t xml:space="preserve">required to meet its burden of proof </w:t>
      </w:r>
      <w:r w:rsidR="00E31CF5">
        <w:rPr>
          <w:sz w:val="24"/>
          <w:lang w:val="en-US"/>
        </w:rPr>
        <w:t>support</w:t>
      </w:r>
      <w:r w:rsidR="00341AEE">
        <w:rPr>
          <w:sz w:val="24"/>
          <w:lang w:val="en-US"/>
        </w:rPr>
        <w:t>ing</w:t>
      </w:r>
      <w:r w:rsidR="00E31CF5">
        <w:rPr>
          <w:sz w:val="24"/>
          <w:lang w:val="en-US"/>
        </w:rPr>
        <w:t xml:space="preserve"> </w:t>
      </w:r>
      <w:r w:rsidR="007C05D6">
        <w:rPr>
          <w:sz w:val="24"/>
          <w:lang w:val="en-US"/>
        </w:rPr>
        <w:t xml:space="preserve">its </w:t>
      </w:r>
      <w:r w:rsidR="00481B72">
        <w:rPr>
          <w:sz w:val="24"/>
          <w:lang w:val="en-US"/>
        </w:rPr>
        <w:t>$</w:t>
      </w:r>
      <w:r w:rsidR="007862DA">
        <w:rPr>
          <w:sz w:val="24"/>
          <w:lang w:val="en-US"/>
        </w:rPr>
        <w:t>34</w:t>
      </w:r>
      <w:r w:rsidR="00481B72">
        <w:rPr>
          <w:sz w:val="24"/>
          <w:lang w:val="en-US"/>
        </w:rPr>
        <w:t>.</w:t>
      </w:r>
      <w:r w:rsidR="007862DA">
        <w:rPr>
          <w:sz w:val="24"/>
          <w:lang w:val="en-US"/>
        </w:rPr>
        <w:t>7</w:t>
      </w:r>
      <w:r w:rsidR="00481B72">
        <w:rPr>
          <w:sz w:val="24"/>
          <w:lang w:val="en-US"/>
        </w:rPr>
        <w:t xml:space="preserve"> million </w:t>
      </w:r>
      <w:r w:rsidR="007862DA">
        <w:rPr>
          <w:sz w:val="24"/>
          <w:lang w:val="en-US"/>
        </w:rPr>
        <w:t>Washington</w:t>
      </w:r>
      <w:r w:rsidR="00ED7E26">
        <w:rPr>
          <w:sz w:val="24"/>
          <w:lang w:val="en-US"/>
        </w:rPr>
        <w:t>-</w:t>
      </w:r>
      <w:r w:rsidR="007862DA">
        <w:rPr>
          <w:sz w:val="24"/>
          <w:lang w:val="en-US"/>
        </w:rPr>
        <w:t xml:space="preserve">allocated </w:t>
      </w:r>
      <w:r w:rsidR="007C05D6">
        <w:rPr>
          <w:sz w:val="24"/>
          <w:lang w:val="en-US"/>
        </w:rPr>
        <w:t>forecasted t</w:t>
      </w:r>
      <w:r w:rsidR="00E31CF5">
        <w:rPr>
          <w:sz w:val="24"/>
          <w:lang w:val="en-US"/>
        </w:rPr>
        <w:t xml:space="preserve">ransfer to plant amount </w:t>
      </w:r>
      <w:r w:rsidR="00055A6C">
        <w:rPr>
          <w:sz w:val="24"/>
          <w:lang w:val="en-US"/>
        </w:rPr>
        <w:t>for this project</w:t>
      </w:r>
      <w:r w:rsidR="00E31CF5">
        <w:rPr>
          <w:sz w:val="24"/>
          <w:lang w:val="en-US"/>
        </w:rPr>
        <w:t>.</w:t>
      </w:r>
      <w:r w:rsidR="00754E26">
        <w:rPr>
          <w:rStyle w:val="FootnoteReference"/>
          <w:sz w:val="24"/>
          <w:lang w:val="en-US"/>
        </w:rPr>
        <w:footnoteReference w:id="25"/>
      </w:r>
      <w:r w:rsidR="00CC2684">
        <w:rPr>
          <w:sz w:val="24"/>
          <w:lang w:val="en-US"/>
        </w:rPr>
        <w:t xml:space="preserve">  </w:t>
      </w:r>
      <w:r w:rsidR="00CC7A70">
        <w:rPr>
          <w:sz w:val="24"/>
          <w:lang w:val="en-US"/>
        </w:rPr>
        <w:t xml:space="preserve">For example, </w:t>
      </w:r>
      <w:r w:rsidR="002D6A9B">
        <w:rPr>
          <w:sz w:val="24"/>
          <w:lang w:val="en-US"/>
        </w:rPr>
        <w:t xml:space="preserve">the exhibits of </w:t>
      </w:r>
      <w:r w:rsidR="00CC7A70">
        <w:rPr>
          <w:sz w:val="24"/>
          <w:lang w:val="en-US"/>
        </w:rPr>
        <w:t xml:space="preserve">Avista witnesses </w:t>
      </w:r>
      <w:r w:rsidR="00F000CA">
        <w:rPr>
          <w:sz w:val="24"/>
          <w:lang w:val="en-US"/>
        </w:rPr>
        <w:t xml:space="preserve">Mr. </w:t>
      </w:r>
      <w:r w:rsidR="00CC7A70">
        <w:rPr>
          <w:sz w:val="24"/>
          <w:lang w:val="en-US"/>
        </w:rPr>
        <w:t xml:space="preserve">Kinney and </w:t>
      </w:r>
      <w:r w:rsidR="00F000CA">
        <w:rPr>
          <w:sz w:val="24"/>
          <w:lang w:val="en-US"/>
        </w:rPr>
        <w:t xml:space="preserve">Ms. </w:t>
      </w:r>
      <w:r w:rsidR="00CC7A70">
        <w:rPr>
          <w:sz w:val="24"/>
          <w:lang w:val="en-US"/>
        </w:rPr>
        <w:t>Schuh are devoid of project</w:t>
      </w:r>
      <w:r w:rsidR="00ED7E26">
        <w:rPr>
          <w:sz w:val="24"/>
          <w:lang w:val="en-US"/>
        </w:rPr>
        <w:t>-</w:t>
      </w:r>
      <w:r w:rsidR="00CC7A70">
        <w:rPr>
          <w:sz w:val="24"/>
          <w:lang w:val="en-US"/>
        </w:rPr>
        <w:t xml:space="preserve">level milestones tied to </w:t>
      </w:r>
      <w:r w:rsidR="00B41ABB">
        <w:rPr>
          <w:sz w:val="24"/>
          <w:lang w:val="en-US"/>
        </w:rPr>
        <w:t xml:space="preserve">corresponding </w:t>
      </w:r>
      <w:r w:rsidR="00CC7A70">
        <w:rPr>
          <w:sz w:val="24"/>
          <w:lang w:val="en-US"/>
        </w:rPr>
        <w:t>transfer to plant amounts.</w:t>
      </w:r>
      <w:r w:rsidR="00A64CF5">
        <w:rPr>
          <w:rStyle w:val="FootnoteReference"/>
          <w:sz w:val="24"/>
          <w:lang w:val="en-US"/>
        </w:rPr>
        <w:footnoteReference w:id="26"/>
      </w:r>
      <w:r w:rsidR="00B41ABB">
        <w:rPr>
          <w:sz w:val="24"/>
          <w:lang w:val="en-US"/>
        </w:rPr>
        <w:t xml:space="preserve">  </w:t>
      </w:r>
      <w:r w:rsidR="007C05D6">
        <w:rPr>
          <w:sz w:val="24"/>
          <w:lang w:val="en-US"/>
        </w:rPr>
        <w:t xml:space="preserve">Avista has therefore provided </w:t>
      </w:r>
      <w:r w:rsidR="00CE60FB">
        <w:rPr>
          <w:sz w:val="24"/>
          <w:lang w:val="en-US"/>
        </w:rPr>
        <w:t xml:space="preserve">insufficient </w:t>
      </w:r>
      <w:r w:rsidR="007C05D6">
        <w:rPr>
          <w:sz w:val="24"/>
          <w:lang w:val="en-US"/>
        </w:rPr>
        <w:t>evidence that this project will be used and useful</w:t>
      </w:r>
      <w:r w:rsidR="006B319C">
        <w:rPr>
          <w:sz w:val="24"/>
          <w:lang w:val="en-US"/>
        </w:rPr>
        <w:t>,</w:t>
      </w:r>
      <w:r w:rsidR="007C05D6">
        <w:rPr>
          <w:sz w:val="24"/>
          <w:lang w:val="en-US"/>
        </w:rPr>
        <w:t xml:space="preserve"> much less </w:t>
      </w:r>
      <w:r w:rsidR="00481B72">
        <w:rPr>
          <w:sz w:val="24"/>
          <w:lang w:val="en-US"/>
        </w:rPr>
        <w:t xml:space="preserve">that </w:t>
      </w:r>
      <w:r w:rsidR="007C52C5">
        <w:rPr>
          <w:sz w:val="24"/>
          <w:lang w:val="en-US"/>
        </w:rPr>
        <w:t xml:space="preserve">its amount of </w:t>
      </w:r>
      <w:r w:rsidR="00E36E85">
        <w:rPr>
          <w:sz w:val="24"/>
          <w:lang w:val="en-US"/>
        </w:rPr>
        <w:t xml:space="preserve">2015 forecasted </w:t>
      </w:r>
      <w:r w:rsidR="005B1708">
        <w:rPr>
          <w:sz w:val="24"/>
          <w:lang w:val="en-US"/>
        </w:rPr>
        <w:t xml:space="preserve">capital </w:t>
      </w:r>
      <w:r w:rsidR="00E36E85">
        <w:rPr>
          <w:sz w:val="24"/>
          <w:lang w:val="en-US"/>
        </w:rPr>
        <w:t xml:space="preserve">additions </w:t>
      </w:r>
      <w:r w:rsidR="007C52C5">
        <w:rPr>
          <w:sz w:val="24"/>
          <w:lang w:val="en-US"/>
        </w:rPr>
        <w:t xml:space="preserve">for this project </w:t>
      </w:r>
      <w:r w:rsidR="00E36E85">
        <w:rPr>
          <w:sz w:val="24"/>
          <w:lang w:val="en-US"/>
        </w:rPr>
        <w:t xml:space="preserve">is </w:t>
      </w:r>
      <w:r w:rsidR="007C05D6">
        <w:rPr>
          <w:sz w:val="24"/>
          <w:lang w:val="en-US"/>
        </w:rPr>
        <w:t>known and measurable</w:t>
      </w:r>
      <w:r w:rsidR="006B319C">
        <w:rPr>
          <w:sz w:val="24"/>
          <w:lang w:val="en-US"/>
        </w:rPr>
        <w:t>,</w:t>
      </w:r>
      <w:r w:rsidR="007C05D6">
        <w:rPr>
          <w:sz w:val="24"/>
          <w:lang w:val="en-US"/>
        </w:rPr>
        <w:t xml:space="preserve"> </w:t>
      </w:r>
      <w:r w:rsidR="00E36E85">
        <w:rPr>
          <w:sz w:val="24"/>
          <w:lang w:val="en-US"/>
        </w:rPr>
        <w:t xml:space="preserve">and therefore acceptable to Staff </w:t>
      </w:r>
      <w:r w:rsidR="00055A6C">
        <w:rPr>
          <w:sz w:val="24"/>
          <w:lang w:val="en-US"/>
        </w:rPr>
        <w:t>for inclusion into rate</w:t>
      </w:r>
      <w:r w:rsidR="006B319C">
        <w:rPr>
          <w:sz w:val="24"/>
          <w:lang w:val="en-US"/>
        </w:rPr>
        <w:t xml:space="preserve"> </w:t>
      </w:r>
      <w:r w:rsidR="00055A6C">
        <w:rPr>
          <w:sz w:val="24"/>
          <w:lang w:val="en-US"/>
        </w:rPr>
        <w:t xml:space="preserve">base for the </w:t>
      </w:r>
      <w:r w:rsidR="00084AB9">
        <w:rPr>
          <w:sz w:val="24"/>
          <w:lang w:val="en-US"/>
        </w:rPr>
        <w:t>2016 calendar rate year.</w:t>
      </w:r>
    </w:p>
    <w:p w14:paraId="16BBD818" w14:textId="77777777" w:rsidR="00021550" w:rsidRDefault="00084AB9" w:rsidP="00021550">
      <w:pPr>
        <w:tabs>
          <w:tab w:val="left" w:pos="-1440"/>
        </w:tabs>
        <w:spacing w:line="480" w:lineRule="auto"/>
        <w:ind w:left="720" w:hanging="720"/>
        <w:rPr>
          <w:b/>
          <w:bCs/>
        </w:rPr>
      </w:pPr>
      <w:r w:rsidRPr="00BF078B">
        <w:rPr>
          <w:b/>
          <w:bCs/>
        </w:rPr>
        <w:lastRenderedPageBreak/>
        <w:t>Q.</w:t>
      </w:r>
      <w:r w:rsidRPr="00BF078B">
        <w:rPr>
          <w:b/>
          <w:bCs/>
        </w:rPr>
        <w:tab/>
      </w:r>
      <w:r>
        <w:rPr>
          <w:b/>
          <w:bCs/>
        </w:rPr>
        <w:t xml:space="preserve">Is this as far as Staff went in examining the probability that Nine Mile’s Units 1 and </w:t>
      </w:r>
      <w:r w:rsidR="00CB399F">
        <w:rPr>
          <w:b/>
          <w:bCs/>
        </w:rPr>
        <w:t>2 would be in-</w:t>
      </w:r>
      <w:r>
        <w:rPr>
          <w:b/>
          <w:bCs/>
        </w:rPr>
        <w:t>service before the end of 2015?</w:t>
      </w:r>
    </w:p>
    <w:p w14:paraId="1D600C12" w14:textId="5A8D19CE" w:rsidR="004C06B6" w:rsidRDefault="00084AB9" w:rsidP="00021550">
      <w:pPr>
        <w:tabs>
          <w:tab w:val="left" w:pos="-1440"/>
        </w:tabs>
        <w:spacing w:line="480" w:lineRule="auto"/>
        <w:ind w:left="720" w:hanging="720"/>
      </w:pPr>
      <w:r>
        <w:t>A.</w:t>
      </w:r>
      <w:r w:rsidR="00B372C8">
        <w:tab/>
        <w:t xml:space="preserve">No.  </w:t>
      </w:r>
      <w:r w:rsidR="00E31CF5">
        <w:t xml:space="preserve">Staff issued </w:t>
      </w:r>
      <w:r w:rsidR="00034DF7">
        <w:t>D</w:t>
      </w:r>
      <w:r w:rsidR="006B319C">
        <w:t xml:space="preserve">ata </w:t>
      </w:r>
      <w:r w:rsidR="00034DF7">
        <w:t>R</w:t>
      </w:r>
      <w:r w:rsidR="006B319C">
        <w:t>equest</w:t>
      </w:r>
      <w:r w:rsidR="00034DF7">
        <w:t xml:space="preserve"> No. 60 asking the Company to provide copies of its </w:t>
      </w:r>
      <w:r w:rsidR="008D210A">
        <w:t>monthly construction reports</w:t>
      </w:r>
      <w:r w:rsidR="002377DD">
        <w:t xml:space="preserve"> for the Nine Mile project</w:t>
      </w:r>
      <w:r w:rsidR="00B41ABB">
        <w:t>.</w:t>
      </w:r>
      <w:r w:rsidR="00034DF7">
        <w:rPr>
          <w:rStyle w:val="FootnoteReference"/>
        </w:rPr>
        <w:footnoteReference w:id="27"/>
      </w:r>
      <w:r w:rsidR="00B41ABB">
        <w:t xml:space="preserve">  The monthly construction reports are </w:t>
      </w:r>
      <w:r w:rsidR="008D210A">
        <w:t xml:space="preserve">required </w:t>
      </w:r>
      <w:r w:rsidR="00034DF7">
        <w:t xml:space="preserve">by </w:t>
      </w:r>
      <w:r w:rsidR="008D210A">
        <w:t xml:space="preserve">the Federal Energy Regulatory Commission (FERC) </w:t>
      </w:r>
      <w:r w:rsidR="00341AEE">
        <w:t xml:space="preserve">as part of its </w:t>
      </w:r>
      <w:r w:rsidR="00644712">
        <w:t>June 18, 2009</w:t>
      </w:r>
      <w:r w:rsidR="00C220F4">
        <w:t>,</w:t>
      </w:r>
      <w:r w:rsidR="00644712">
        <w:t xml:space="preserve"> </w:t>
      </w:r>
      <w:r w:rsidR="00341AEE">
        <w:t>relicens</w:t>
      </w:r>
      <w:r w:rsidR="00644712">
        <w:t>ing</w:t>
      </w:r>
      <w:r w:rsidR="00341AEE">
        <w:t xml:space="preserve"> of the Spokane River Projects in </w:t>
      </w:r>
      <w:r w:rsidR="00034DF7">
        <w:t>Docket No. P</w:t>
      </w:r>
      <w:r w:rsidR="00F000CA">
        <w:noBreakHyphen/>
      </w:r>
      <w:r w:rsidR="00034DF7">
        <w:t xml:space="preserve">2545.  </w:t>
      </w:r>
      <w:r w:rsidR="00CC7A70">
        <w:t xml:space="preserve">These monthly </w:t>
      </w:r>
      <w:r w:rsidR="00B82D84">
        <w:t xml:space="preserve">construction </w:t>
      </w:r>
      <w:r w:rsidR="00CC7A70">
        <w:t xml:space="preserve">reports </w:t>
      </w:r>
      <w:r w:rsidR="00B82D84">
        <w:t xml:space="preserve">contain </w:t>
      </w:r>
      <w:r w:rsidR="004D29EE">
        <w:t xml:space="preserve">milestones </w:t>
      </w:r>
      <w:r w:rsidR="00410AC9">
        <w:t xml:space="preserve">and timelines </w:t>
      </w:r>
      <w:r w:rsidR="004D29EE">
        <w:t xml:space="preserve">showing progress </w:t>
      </w:r>
      <w:r w:rsidR="00610915">
        <w:t>towards completion of the project</w:t>
      </w:r>
      <w:r w:rsidR="00410AC9">
        <w:t>.</w:t>
      </w:r>
      <w:r w:rsidR="00610915">
        <w:t xml:space="preserve">  </w:t>
      </w:r>
      <w:r w:rsidR="00341AEE">
        <w:t xml:space="preserve">In </w:t>
      </w:r>
      <w:r w:rsidR="00647722">
        <w:t xml:space="preserve">Attachment A of </w:t>
      </w:r>
      <w:r w:rsidR="00341AEE">
        <w:t>its supplemental confidential response to Staff’s D</w:t>
      </w:r>
      <w:r w:rsidR="006B319C">
        <w:t xml:space="preserve">ata </w:t>
      </w:r>
      <w:r w:rsidR="00341AEE">
        <w:t>R</w:t>
      </w:r>
      <w:r w:rsidR="006B319C">
        <w:t>equest</w:t>
      </w:r>
      <w:r w:rsidR="00341AEE">
        <w:t xml:space="preserve"> No. 60, the Company</w:t>
      </w:r>
      <w:r w:rsidR="006F69A5">
        <w:t xml:space="preserve">’s </w:t>
      </w:r>
      <w:r w:rsidR="003273CF">
        <w:tab/>
      </w:r>
      <w:r w:rsidR="006F69A5">
        <w:t xml:space="preserve">April 2015 </w:t>
      </w:r>
      <w:r w:rsidR="00341AEE">
        <w:t xml:space="preserve">report to FERC </w:t>
      </w:r>
      <w:r w:rsidR="006F69A5">
        <w:t xml:space="preserve">states </w:t>
      </w:r>
      <w:r w:rsidR="00CB399F">
        <w:t>that Units 1 and 2 will be in-</w:t>
      </w:r>
      <w:r w:rsidR="00341AEE">
        <w:t xml:space="preserve">service sometime in the </w:t>
      </w:r>
      <w:r w:rsidR="00272F3C" w:rsidRPr="00272F3C">
        <w:rPr>
          <w:highlight w:val="black"/>
        </w:rPr>
        <w:t>XXXXXXXXXXX</w:t>
      </w:r>
      <w:r w:rsidR="00341AEE">
        <w:t>.</w:t>
      </w:r>
    </w:p>
    <w:p w14:paraId="5112EF8C" w14:textId="77777777" w:rsidR="00021550" w:rsidRDefault="00B0340C" w:rsidP="00425F7D">
      <w:pPr>
        <w:pStyle w:val="BodyTextIndent"/>
        <w:ind w:firstLine="720"/>
        <w:rPr>
          <w:sz w:val="24"/>
          <w:lang w:val="en-US"/>
        </w:rPr>
        <w:sectPr w:rsidR="00021550" w:rsidSect="00374AB3">
          <w:footerReference w:type="default" r:id="rId14"/>
          <w:pgSz w:w="12240" w:h="15840" w:code="1"/>
          <w:pgMar w:top="1440" w:right="1440" w:bottom="1440" w:left="1872" w:header="720" w:footer="720" w:gutter="0"/>
          <w:lnNumType w:countBy="1"/>
          <w:cols w:space="720"/>
          <w:docGrid w:linePitch="360"/>
        </w:sectPr>
      </w:pPr>
      <w:r>
        <w:rPr>
          <w:sz w:val="24"/>
          <w:lang w:val="en-US"/>
        </w:rPr>
        <w:t>In its response to Staff</w:t>
      </w:r>
      <w:r w:rsidR="006B319C">
        <w:rPr>
          <w:sz w:val="24"/>
          <w:lang w:val="en-US"/>
        </w:rPr>
        <w:t>’s data request</w:t>
      </w:r>
      <w:r>
        <w:rPr>
          <w:sz w:val="24"/>
          <w:lang w:val="en-US"/>
        </w:rPr>
        <w:t>, t</w:t>
      </w:r>
      <w:r w:rsidR="004F72E1">
        <w:rPr>
          <w:sz w:val="24"/>
          <w:lang w:val="en-US"/>
        </w:rPr>
        <w:t xml:space="preserve">he Company dismisses </w:t>
      </w:r>
      <w:r w:rsidR="002F176A">
        <w:rPr>
          <w:sz w:val="24"/>
          <w:lang w:val="en-US"/>
        </w:rPr>
        <w:t xml:space="preserve">the </w:t>
      </w:r>
      <w:r w:rsidR="00CB399F">
        <w:rPr>
          <w:sz w:val="24"/>
          <w:lang w:val="en-US"/>
        </w:rPr>
        <w:t>in-</w:t>
      </w:r>
      <w:r w:rsidR="002F176A">
        <w:rPr>
          <w:sz w:val="24"/>
          <w:lang w:val="en-US"/>
        </w:rPr>
        <w:t xml:space="preserve">service date it reported to </w:t>
      </w:r>
      <w:r w:rsidR="004F72E1">
        <w:rPr>
          <w:sz w:val="24"/>
          <w:lang w:val="en-US"/>
        </w:rPr>
        <w:t xml:space="preserve">FERC as a conservative estimate based on worst case </w:t>
      </w:r>
      <w:r w:rsidR="002F176A">
        <w:rPr>
          <w:sz w:val="24"/>
          <w:lang w:val="en-US"/>
        </w:rPr>
        <w:t>conditions</w:t>
      </w:r>
      <w:r w:rsidR="00C220F4">
        <w:rPr>
          <w:sz w:val="24"/>
          <w:lang w:val="en-US"/>
        </w:rPr>
        <w:t xml:space="preserve">.  </w:t>
      </w:r>
      <w:r w:rsidR="00AE3322">
        <w:rPr>
          <w:sz w:val="24"/>
          <w:lang w:val="en-US"/>
        </w:rPr>
        <w:t>A</w:t>
      </w:r>
      <w:r w:rsidR="00C220F4">
        <w:rPr>
          <w:sz w:val="24"/>
          <w:lang w:val="en-US"/>
        </w:rPr>
        <w:t xml:space="preserve">vista </w:t>
      </w:r>
      <w:r w:rsidR="00AE3322">
        <w:rPr>
          <w:sz w:val="24"/>
          <w:lang w:val="en-US"/>
        </w:rPr>
        <w:t xml:space="preserve">goes on to </w:t>
      </w:r>
      <w:r w:rsidR="003453F0">
        <w:rPr>
          <w:sz w:val="24"/>
          <w:lang w:val="en-US"/>
        </w:rPr>
        <w:t xml:space="preserve">tell Staff that </w:t>
      </w:r>
      <w:r w:rsidR="00583ECF">
        <w:rPr>
          <w:sz w:val="24"/>
          <w:lang w:val="en-US"/>
        </w:rPr>
        <w:t xml:space="preserve">it </w:t>
      </w:r>
      <w:r>
        <w:rPr>
          <w:sz w:val="24"/>
          <w:lang w:val="en-US"/>
        </w:rPr>
        <w:t>expects the “</w:t>
      </w:r>
      <w:r w:rsidR="00CB399F">
        <w:rPr>
          <w:sz w:val="24"/>
          <w:lang w:val="en-US"/>
        </w:rPr>
        <w:t>in-</w:t>
      </w:r>
      <w:r>
        <w:rPr>
          <w:sz w:val="24"/>
          <w:lang w:val="en-US"/>
        </w:rPr>
        <w:t xml:space="preserve">service date to be </w:t>
      </w:r>
      <w:r w:rsidRPr="0028511A">
        <w:rPr>
          <w:sz w:val="24"/>
          <w:lang w:val="en-US"/>
        </w:rPr>
        <w:t>closer</w:t>
      </w:r>
      <w:r w:rsidR="0023720E">
        <w:rPr>
          <w:sz w:val="24"/>
          <w:lang w:val="en-US"/>
        </w:rPr>
        <w:t xml:space="preserve"> to the in</w:t>
      </w:r>
      <w:r w:rsidR="00CB399F">
        <w:rPr>
          <w:sz w:val="24"/>
          <w:lang w:val="en-US"/>
        </w:rPr>
        <w:t>-</w:t>
      </w:r>
      <w:r w:rsidR="0023720E">
        <w:rPr>
          <w:sz w:val="24"/>
          <w:lang w:val="en-US"/>
        </w:rPr>
        <w:t xml:space="preserve">service date </w:t>
      </w:r>
      <w:r w:rsidR="00357E9D">
        <w:rPr>
          <w:sz w:val="24"/>
          <w:lang w:val="en-US"/>
        </w:rPr>
        <w:t xml:space="preserve">it </w:t>
      </w:r>
      <w:r w:rsidR="0023720E">
        <w:rPr>
          <w:sz w:val="24"/>
          <w:lang w:val="en-US"/>
        </w:rPr>
        <w:t>included in this case</w:t>
      </w:r>
      <w:r>
        <w:rPr>
          <w:sz w:val="24"/>
          <w:lang w:val="en-US"/>
        </w:rPr>
        <w:t>.</w:t>
      </w:r>
      <w:r w:rsidR="0023720E">
        <w:rPr>
          <w:sz w:val="24"/>
          <w:lang w:val="en-US"/>
        </w:rPr>
        <w:t>”</w:t>
      </w:r>
      <w:r w:rsidR="0023720E">
        <w:rPr>
          <w:rStyle w:val="FootnoteReference"/>
          <w:sz w:val="24"/>
          <w:lang w:val="en-US"/>
        </w:rPr>
        <w:footnoteReference w:id="28"/>
      </w:r>
      <w:r w:rsidR="0028511A">
        <w:rPr>
          <w:sz w:val="24"/>
          <w:lang w:val="en-US"/>
        </w:rPr>
        <w:t xml:space="preserve">  </w:t>
      </w:r>
      <w:r w:rsidR="006F0F20">
        <w:rPr>
          <w:sz w:val="24"/>
          <w:lang w:val="en-US"/>
        </w:rPr>
        <w:t xml:space="preserve">By failing to define </w:t>
      </w:r>
      <w:r w:rsidR="00D77069">
        <w:rPr>
          <w:sz w:val="24"/>
          <w:lang w:val="en-US"/>
        </w:rPr>
        <w:t xml:space="preserve">in its </w:t>
      </w:r>
      <w:r w:rsidR="006B319C">
        <w:rPr>
          <w:sz w:val="24"/>
          <w:lang w:val="en-US"/>
        </w:rPr>
        <w:t>data request</w:t>
      </w:r>
      <w:r w:rsidR="00F37860">
        <w:rPr>
          <w:sz w:val="24"/>
          <w:lang w:val="en-US"/>
        </w:rPr>
        <w:t xml:space="preserve"> </w:t>
      </w:r>
      <w:r w:rsidR="00D77069">
        <w:rPr>
          <w:sz w:val="24"/>
          <w:lang w:val="en-US"/>
        </w:rPr>
        <w:t xml:space="preserve">response </w:t>
      </w:r>
      <w:r w:rsidR="004432A8">
        <w:rPr>
          <w:sz w:val="24"/>
          <w:lang w:val="en-US"/>
        </w:rPr>
        <w:t xml:space="preserve">what it </w:t>
      </w:r>
      <w:r w:rsidR="004D3604">
        <w:rPr>
          <w:sz w:val="24"/>
          <w:lang w:val="en-US"/>
        </w:rPr>
        <w:t xml:space="preserve">specifically </w:t>
      </w:r>
      <w:r w:rsidR="004432A8">
        <w:rPr>
          <w:sz w:val="24"/>
          <w:lang w:val="en-US"/>
        </w:rPr>
        <w:t xml:space="preserve">means by </w:t>
      </w:r>
      <w:r w:rsidR="006F0F20">
        <w:rPr>
          <w:sz w:val="24"/>
          <w:lang w:val="en-US"/>
        </w:rPr>
        <w:t>the term “</w:t>
      </w:r>
      <w:r w:rsidR="0028511A">
        <w:rPr>
          <w:sz w:val="24"/>
          <w:lang w:val="en-US"/>
        </w:rPr>
        <w:t>closer</w:t>
      </w:r>
      <w:r w:rsidR="006B319C">
        <w:rPr>
          <w:sz w:val="24"/>
          <w:lang w:val="en-US"/>
        </w:rPr>
        <w:t>,</w:t>
      </w:r>
      <w:r w:rsidR="006F0F20">
        <w:rPr>
          <w:sz w:val="24"/>
          <w:lang w:val="en-US"/>
        </w:rPr>
        <w:t>”</w:t>
      </w:r>
      <w:r w:rsidR="000B3C58">
        <w:rPr>
          <w:sz w:val="24"/>
          <w:lang w:val="en-US"/>
        </w:rPr>
        <w:t xml:space="preserve"> </w:t>
      </w:r>
      <w:r w:rsidR="006F0F20">
        <w:rPr>
          <w:sz w:val="24"/>
          <w:lang w:val="en-US"/>
        </w:rPr>
        <w:t xml:space="preserve">Avista </w:t>
      </w:r>
      <w:r w:rsidR="004432A8">
        <w:rPr>
          <w:sz w:val="24"/>
          <w:lang w:val="en-US"/>
        </w:rPr>
        <w:t>opens the door to any number of possible in-service dates</w:t>
      </w:r>
      <w:r w:rsidR="00054853">
        <w:rPr>
          <w:sz w:val="24"/>
          <w:lang w:val="en-US"/>
        </w:rPr>
        <w:t>.  N</w:t>
      </w:r>
      <w:r w:rsidR="004432A8">
        <w:rPr>
          <w:sz w:val="24"/>
          <w:lang w:val="en-US"/>
        </w:rPr>
        <w:t xml:space="preserve">or </w:t>
      </w:r>
      <w:r w:rsidR="006F0F20">
        <w:rPr>
          <w:sz w:val="24"/>
          <w:lang w:val="en-US"/>
        </w:rPr>
        <w:t xml:space="preserve">does </w:t>
      </w:r>
      <w:r w:rsidR="004432A8">
        <w:rPr>
          <w:sz w:val="24"/>
          <w:lang w:val="en-US"/>
        </w:rPr>
        <w:t xml:space="preserve">the Company in its response </w:t>
      </w:r>
      <w:r w:rsidR="00DC14E5">
        <w:rPr>
          <w:sz w:val="24"/>
          <w:lang w:val="en-US"/>
        </w:rPr>
        <w:t xml:space="preserve">to Staff’s </w:t>
      </w:r>
      <w:r w:rsidR="006B319C">
        <w:rPr>
          <w:sz w:val="24"/>
          <w:lang w:val="en-US"/>
        </w:rPr>
        <w:t>data request</w:t>
      </w:r>
      <w:r w:rsidR="00DC14E5">
        <w:rPr>
          <w:sz w:val="24"/>
          <w:lang w:val="en-US"/>
        </w:rPr>
        <w:t xml:space="preserve"> </w:t>
      </w:r>
      <w:r w:rsidR="006F0F20">
        <w:rPr>
          <w:sz w:val="24"/>
          <w:lang w:val="en-US"/>
        </w:rPr>
        <w:t>offer any compelling evidence to support</w:t>
      </w:r>
      <w:r w:rsidR="00181A2B">
        <w:rPr>
          <w:sz w:val="24"/>
          <w:lang w:val="en-US"/>
        </w:rPr>
        <w:t xml:space="preserve"> its </w:t>
      </w:r>
      <w:r w:rsidR="00852D9A">
        <w:rPr>
          <w:sz w:val="24"/>
          <w:lang w:val="en-US"/>
        </w:rPr>
        <w:t xml:space="preserve">assertion </w:t>
      </w:r>
      <w:r w:rsidR="00AF4865">
        <w:rPr>
          <w:sz w:val="24"/>
          <w:lang w:val="en-US"/>
        </w:rPr>
        <w:t>that the project will be in-service before the end of th</w:t>
      </w:r>
      <w:r w:rsidR="000566C6">
        <w:rPr>
          <w:sz w:val="24"/>
          <w:lang w:val="en-US"/>
        </w:rPr>
        <w:t>is</w:t>
      </w:r>
      <w:r w:rsidR="00AF4865">
        <w:rPr>
          <w:sz w:val="24"/>
          <w:lang w:val="en-US"/>
        </w:rPr>
        <w:t xml:space="preserve"> year</w:t>
      </w:r>
      <w:r w:rsidR="00D92ECF">
        <w:rPr>
          <w:sz w:val="24"/>
          <w:lang w:val="en-US"/>
        </w:rPr>
        <w:t>.</w:t>
      </w:r>
      <w:r w:rsidR="008579EA">
        <w:rPr>
          <w:sz w:val="24"/>
          <w:lang w:val="en-US"/>
        </w:rPr>
        <w:t xml:space="preserve">  </w:t>
      </w:r>
      <w:r w:rsidR="004D3604">
        <w:rPr>
          <w:sz w:val="24"/>
          <w:lang w:val="en-US"/>
        </w:rPr>
        <w:t xml:space="preserve">Even when presented </w:t>
      </w:r>
      <w:r w:rsidR="00902AA7">
        <w:rPr>
          <w:sz w:val="24"/>
          <w:lang w:val="en-US"/>
        </w:rPr>
        <w:t xml:space="preserve">with the </w:t>
      </w:r>
      <w:r w:rsidR="004D3604">
        <w:rPr>
          <w:sz w:val="24"/>
          <w:lang w:val="en-US"/>
        </w:rPr>
        <w:t xml:space="preserve">opportunity </w:t>
      </w:r>
      <w:r w:rsidR="000D67FD">
        <w:rPr>
          <w:sz w:val="24"/>
          <w:lang w:val="en-US"/>
        </w:rPr>
        <w:t>to supplement its direct testimony</w:t>
      </w:r>
      <w:r w:rsidR="00902AA7">
        <w:rPr>
          <w:sz w:val="24"/>
          <w:lang w:val="en-US"/>
        </w:rPr>
        <w:t xml:space="preserve"> through discovery</w:t>
      </w:r>
      <w:r w:rsidR="000D67FD">
        <w:rPr>
          <w:sz w:val="24"/>
          <w:lang w:val="en-US"/>
        </w:rPr>
        <w:t xml:space="preserve">, Avista </w:t>
      </w:r>
      <w:r w:rsidR="001221BA">
        <w:rPr>
          <w:sz w:val="24"/>
          <w:lang w:val="en-US"/>
        </w:rPr>
        <w:t xml:space="preserve">fails </w:t>
      </w:r>
      <w:r w:rsidR="000D67FD">
        <w:rPr>
          <w:sz w:val="24"/>
          <w:lang w:val="en-US"/>
        </w:rPr>
        <w:t xml:space="preserve">to meet </w:t>
      </w:r>
      <w:r w:rsidR="00357E9D">
        <w:rPr>
          <w:sz w:val="24"/>
          <w:lang w:val="en-US"/>
        </w:rPr>
        <w:t xml:space="preserve">the burden of proof necessary </w:t>
      </w:r>
      <w:r w:rsidR="00DC14E5">
        <w:rPr>
          <w:sz w:val="24"/>
          <w:lang w:val="en-US"/>
        </w:rPr>
        <w:t xml:space="preserve">for </w:t>
      </w:r>
      <w:r w:rsidR="00357E9D">
        <w:rPr>
          <w:sz w:val="24"/>
          <w:lang w:val="en-US"/>
        </w:rPr>
        <w:t xml:space="preserve">Staff </w:t>
      </w:r>
      <w:r w:rsidR="00DC14E5">
        <w:rPr>
          <w:sz w:val="24"/>
          <w:lang w:val="en-US"/>
        </w:rPr>
        <w:t xml:space="preserve">to </w:t>
      </w:r>
      <w:r w:rsidR="00357E9D">
        <w:rPr>
          <w:sz w:val="24"/>
          <w:lang w:val="en-US"/>
        </w:rPr>
        <w:t>recommend</w:t>
      </w:r>
      <w:r w:rsidR="00DC14E5">
        <w:rPr>
          <w:sz w:val="24"/>
          <w:lang w:val="en-US"/>
        </w:rPr>
        <w:t xml:space="preserve"> to the Commission that </w:t>
      </w:r>
    </w:p>
    <w:p w14:paraId="17166EF9" w14:textId="77777777" w:rsidR="00021550" w:rsidRDefault="00DC14E5" w:rsidP="00021550">
      <w:pPr>
        <w:pStyle w:val="BodyTextIndent"/>
        <w:ind w:firstLine="0"/>
        <w:rPr>
          <w:sz w:val="24"/>
          <w:lang w:val="en-US"/>
        </w:rPr>
      </w:pPr>
      <w:r>
        <w:rPr>
          <w:sz w:val="24"/>
          <w:lang w:val="en-US"/>
        </w:rPr>
        <w:lastRenderedPageBreak/>
        <w:t xml:space="preserve">the capital addition estimates </w:t>
      </w:r>
      <w:r w:rsidR="00BA1F92">
        <w:rPr>
          <w:sz w:val="24"/>
          <w:lang w:val="en-US"/>
        </w:rPr>
        <w:t xml:space="preserve">for this project </w:t>
      </w:r>
      <w:r>
        <w:rPr>
          <w:sz w:val="24"/>
          <w:lang w:val="en-US"/>
        </w:rPr>
        <w:t>should be added to rate base and included in rates</w:t>
      </w:r>
      <w:r w:rsidR="00357E9D">
        <w:rPr>
          <w:sz w:val="24"/>
          <w:lang w:val="en-US"/>
        </w:rPr>
        <w:t>.</w:t>
      </w:r>
      <w:r>
        <w:rPr>
          <w:sz w:val="24"/>
          <w:lang w:val="en-US"/>
        </w:rPr>
        <w:t xml:space="preserve"> </w:t>
      </w:r>
    </w:p>
    <w:p w14:paraId="0A8B8328" w14:textId="45929A07" w:rsidR="0029623A" w:rsidRDefault="00021550" w:rsidP="00021550">
      <w:pPr>
        <w:pStyle w:val="BodyTextIndent"/>
        <w:ind w:firstLine="0"/>
        <w:rPr>
          <w:sz w:val="24"/>
          <w:lang w:val="en-US"/>
        </w:rPr>
      </w:pPr>
      <w:r>
        <w:rPr>
          <w:sz w:val="24"/>
          <w:lang w:val="en-US"/>
        </w:rPr>
        <w:tab/>
      </w:r>
      <w:r w:rsidR="00BA1F92">
        <w:rPr>
          <w:sz w:val="24"/>
          <w:lang w:val="en-US"/>
        </w:rPr>
        <w:t>Oddly, and w</w:t>
      </w:r>
      <w:r w:rsidR="005C0525">
        <w:rPr>
          <w:sz w:val="24"/>
          <w:lang w:val="en-US"/>
        </w:rPr>
        <w:t xml:space="preserve">ithout </w:t>
      </w:r>
      <w:r w:rsidR="00BA1F92">
        <w:rPr>
          <w:sz w:val="24"/>
          <w:lang w:val="en-US"/>
        </w:rPr>
        <w:t xml:space="preserve">a word of </w:t>
      </w:r>
      <w:r w:rsidR="005C0525">
        <w:rPr>
          <w:sz w:val="24"/>
          <w:lang w:val="en-US"/>
        </w:rPr>
        <w:t>explanation</w:t>
      </w:r>
      <w:r w:rsidR="00DC14E5">
        <w:rPr>
          <w:sz w:val="24"/>
          <w:lang w:val="en-US"/>
        </w:rPr>
        <w:t>, the Company</w:t>
      </w:r>
      <w:r w:rsidR="005C0525">
        <w:rPr>
          <w:sz w:val="24"/>
          <w:lang w:val="en-US"/>
        </w:rPr>
        <w:t xml:space="preserve">, in </w:t>
      </w:r>
      <w:r w:rsidR="00F13CC3">
        <w:rPr>
          <w:sz w:val="24"/>
          <w:lang w:val="en-US"/>
        </w:rPr>
        <w:t xml:space="preserve">Attachment B of </w:t>
      </w:r>
      <w:r w:rsidR="005C0525">
        <w:rPr>
          <w:sz w:val="24"/>
          <w:lang w:val="en-US"/>
        </w:rPr>
        <w:t xml:space="preserve">its </w:t>
      </w:r>
      <w:r w:rsidR="00F13CC3">
        <w:rPr>
          <w:sz w:val="24"/>
          <w:lang w:val="en-US"/>
        </w:rPr>
        <w:t xml:space="preserve">revised </w:t>
      </w:r>
      <w:r w:rsidR="00DC14E5">
        <w:rPr>
          <w:sz w:val="24"/>
          <w:lang w:val="en-US"/>
        </w:rPr>
        <w:t xml:space="preserve">response </w:t>
      </w:r>
      <w:r w:rsidR="006B319C">
        <w:rPr>
          <w:sz w:val="24"/>
          <w:lang w:val="en-US"/>
        </w:rPr>
        <w:t xml:space="preserve">of June 8, 2015, </w:t>
      </w:r>
      <w:r w:rsidR="00DC14E5">
        <w:rPr>
          <w:sz w:val="24"/>
          <w:lang w:val="en-US"/>
        </w:rPr>
        <w:t>to Staff D</w:t>
      </w:r>
      <w:r w:rsidR="006B319C">
        <w:rPr>
          <w:sz w:val="24"/>
          <w:lang w:val="en-US"/>
        </w:rPr>
        <w:t xml:space="preserve">ata </w:t>
      </w:r>
      <w:r w:rsidR="00DC14E5">
        <w:rPr>
          <w:sz w:val="24"/>
          <w:lang w:val="en-US"/>
        </w:rPr>
        <w:t>R</w:t>
      </w:r>
      <w:r w:rsidR="006B319C">
        <w:rPr>
          <w:sz w:val="24"/>
          <w:lang w:val="en-US"/>
        </w:rPr>
        <w:t>equest</w:t>
      </w:r>
      <w:r w:rsidR="00DC14E5">
        <w:rPr>
          <w:sz w:val="24"/>
          <w:lang w:val="en-US"/>
        </w:rPr>
        <w:t xml:space="preserve"> No. 143</w:t>
      </w:r>
      <w:r w:rsidR="005C0525">
        <w:rPr>
          <w:sz w:val="24"/>
          <w:lang w:val="en-US"/>
        </w:rPr>
        <w:t>,</w:t>
      </w:r>
      <w:r w:rsidR="00DC14E5">
        <w:rPr>
          <w:sz w:val="24"/>
          <w:lang w:val="en-US"/>
        </w:rPr>
        <w:t xml:space="preserve"> </w:t>
      </w:r>
      <w:r w:rsidR="007862DA">
        <w:rPr>
          <w:sz w:val="24"/>
          <w:lang w:val="en-US"/>
        </w:rPr>
        <w:t xml:space="preserve">Avista </w:t>
      </w:r>
      <w:r w:rsidR="005C0525">
        <w:rPr>
          <w:sz w:val="24"/>
          <w:lang w:val="en-US"/>
        </w:rPr>
        <w:t>r</w:t>
      </w:r>
      <w:r w:rsidR="00DC14E5">
        <w:rPr>
          <w:sz w:val="24"/>
          <w:lang w:val="en-US"/>
        </w:rPr>
        <w:t xml:space="preserve">educed </w:t>
      </w:r>
      <w:r w:rsidR="00F13CC3">
        <w:rPr>
          <w:sz w:val="24"/>
          <w:lang w:val="en-US"/>
        </w:rPr>
        <w:t xml:space="preserve">its </w:t>
      </w:r>
      <w:r w:rsidR="0024727E">
        <w:rPr>
          <w:sz w:val="24"/>
          <w:lang w:val="en-US"/>
        </w:rPr>
        <w:t>Washington</w:t>
      </w:r>
      <w:r w:rsidR="00ED7E26">
        <w:rPr>
          <w:sz w:val="24"/>
          <w:lang w:val="en-US"/>
        </w:rPr>
        <w:t>-</w:t>
      </w:r>
      <w:r w:rsidR="0024727E">
        <w:rPr>
          <w:sz w:val="24"/>
          <w:lang w:val="en-US"/>
        </w:rPr>
        <w:t xml:space="preserve">allocated </w:t>
      </w:r>
      <w:r w:rsidR="005C0525">
        <w:rPr>
          <w:sz w:val="24"/>
          <w:lang w:val="en-US"/>
        </w:rPr>
        <w:t xml:space="preserve">2015 </w:t>
      </w:r>
      <w:r w:rsidR="0024727E">
        <w:rPr>
          <w:sz w:val="24"/>
          <w:lang w:val="en-US"/>
        </w:rPr>
        <w:t xml:space="preserve">forecasted </w:t>
      </w:r>
      <w:r w:rsidR="00DC14E5">
        <w:rPr>
          <w:sz w:val="24"/>
          <w:lang w:val="en-US"/>
        </w:rPr>
        <w:t xml:space="preserve">transfer to plant amount </w:t>
      </w:r>
      <w:r w:rsidR="007862DA">
        <w:rPr>
          <w:sz w:val="24"/>
          <w:lang w:val="en-US"/>
        </w:rPr>
        <w:t xml:space="preserve">for </w:t>
      </w:r>
      <w:r w:rsidR="00DC14E5">
        <w:rPr>
          <w:sz w:val="24"/>
          <w:lang w:val="en-US"/>
        </w:rPr>
        <w:t>the Nine Mile project</w:t>
      </w:r>
      <w:r w:rsidR="005C0525">
        <w:rPr>
          <w:sz w:val="24"/>
          <w:lang w:val="en-US"/>
        </w:rPr>
        <w:t xml:space="preserve"> from </w:t>
      </w:r>
      <w:r w:rsidR="007862DA">
        <w:rPr>
          <w:sz w:val="24"/>
          <w:lang w:val="en-US"/>
        </w:rPr>
        <w:t xml:space="preserve">its as-filed amount of $34.7 </w:t>
      </w:r>
      <w:r w:rsidR="00DC14E5">
        <w:rPr>
          <w:sz w:val="24"/>
          <w:lang w:val="en-US"/>
        </w:rPr>
        <w:t>million to $</w:t>
      </w:r>
      <w:r w:rsidR="005E76C7">
        <w:rPr>
          <w:sz w:val="24"/>
          <w:lang w:val="en-US"/>
        </w:rPr>
        <w:t>3</w:t>
      </w:r>
      <w:r w:rsidR="00DC14E5">
        <w:rPr>
          <w:sz w:val="24"/>
          <w:lang w:val="en-US"/>
        </w:rPr>
        <w:t>.</w:t>
      </w:r>
      <w:r w:rsidR="005E76C7">
        <w:rPr>
          <w:sz w:val="24"/>
          <w:lang w:val="en-US"/>
        </w:rPr>
        <w:t>7</w:t>
      </w:r>
      <w:r w:rsidR="00DC14E5">
        <w:rPr>
          <w:sz w:val="24"/>
          <w:lang w:val="en-US"/>
        </w:rPr>
        <w:t xml:space="preserve"> million</w:t>
      </w:r>
      <w:r w:rsidR="00163FB2">
        <w:rPr>
          <w:sz w:val="24"/>
          <w:lang w:val="en-US"/>
        </w:rPr>
        <w:t xml:space="preserve"> with actuals </w:t>
      </w:r>
      <w:r w:rsidR="00BA1F92">
        <w:rPr>
          <w:sz w:val="24"/>
          <w:lang w:val="en-US"/>
        </w:rPr>
        <w:t xml:space="preserve">through </w:t>
      </w:r>
      <w:r w:rsidR="005E76C7">
        <w:rPr>
          <w:sz w:val="24"/>
          <w:lang w:val="en-US"/>
        </w:rPr>
        <w:t xml:space="preserve">June </w:t>
      </w:r>
      <w:r w:rsidR="00163FB2">
        <w:rPr>
          <w:sz w:val="24"/>
          <w:lang w:val="en-US"/>
        </w:rPr>
        <w:t>totaling $</w:t>
      </w:r>
      <w:r w:rsidR="005E76C7">
        <w:rPr>
          <w:sz w:val="24"/>
          <w:lang w:val="en-US"/>
        </w:rPr>
        <w:t>3</w:t>
      </w:r>
      <w:r w:rsidR="00163FB2">
        <w:rPr>
          <w:sz w:val="24"/>
          <w:lang w:val="en-US"/>
        </w:rPr>
        <w:t>.</w:t>
      </w:r>
      <w:r w:rsidR="005E76C7">
        <w:rPr>
          <w:sz w:val="24"/>
          <w:lang w:val="en-US"/>
        </w:rPr>
        <w:t>1</w:t>
      </w:r>
      <w:r w:rsidR="00163FB2">
        <w:rPr>
          <w:sz w:val="24"/>
          <w:lang w:val="en-US"/>
        </w:rPr>
        <w:t xml:space="preserve"> million</w:t>
      </w:r>
      <w:r w:rsidR="00BA088B">
        <w:rPr>
          <w:sz w:val="24"/>
          <w:lang w:val="en-US"/>
        </w:rPr>
        <w:t xml:space="preserve">.  Staff can only therefore deduce </w:t>
      </w:r>
      <w:r w:rsidR="00560496">
        <w:rPr>
          <w:sz w:val="24"/>
          <w:lang w:val="en-US"/>
        </w:rPr>
        <w:t xml:space="preserve">from </w:t>
      </w:r>
      <w:r w:rsidR="00BA088B">
        <w:rPr>
          <w:sz w:val="24"/>
          <w:lang w:val="en-US"/>
        </w:rPr>
        <w:t>Avista</w:t>
      </w:r>
      <w:r w:rsidR="00560496">
        <w:rPr>
          <w:sz w:val="24"/>
          <w:lang w:val="en-US"/>
        </w:rPr>
        <w:t xml:space="preserve">’s response it </w:t>
      </w:r>
      <w:r w:rsidR="00820761">
        <w:rPr>
          <w:sz w:val="24"/>
          <w:lang w:val="en-US"/>
        </w:rPr>
        <w:t xml:space="preserve">has conceded </w:t>
      </w:r>
      <w:r w:rsidR="002D12E7">
        <w:rPr>
          <w:sz w:val="24"/>
          <w:lang w:val="en-US"/>
        </w:rPr>
        <w:t>that Nine Mi</w:t>
      </w:r>
      <w:r w:rsidR="003E1C86">
        <w:rPr>
          <w:sz w:val="24"/>
          <w:lang w:val="en-US"/>
        </w:rPr>
        <w:t>le Units 1 and 2 will not be in-</w:t>
      </w:r>
      <w:r w:rsidR="002D12E7">
        <w:rPr>
          <w:sz w:val="24"/>
          <w:lang w:val="en-US"/>
        </w:rPr>
        <w:t>service before the end of 2015 after all</w:t>
      </w:r>
      <w:r w:rsidR="00DC14E5">
        <w:rPr>
          <w:sz w:val="24"/>
          <w:lang w:val="en-US"/>
        </w:rPr>
        <w:t>.</w:t>
      </w:r>
      <w:r w:rsidR="005C0525">
        <w:rPr>
          <w:sz w:val="24"/>
          <w:lang w:val="en-US"/>
        </w:rPr>
        <w:t xml:space="preserve">  </w:t>
      </w:r>
      <w:r w:rsidR="00EC7F91">
        <w:rPr>
          <w:sz w:val="24"/>
          <w:lang w:val="en-US"/>
        </w:rPr>
        <w:t xml:space="preserve">Given that </w:t>
      </w:r>
      <w:r w:rsidR="003E5057">
        <w:rPr>
          <w:sz w:val="24"/>
          <w:lang w:val="en-US"/>
        </w:rPr>
        <w:t xml:space="preserve">Nine Mile </w:t>
      </w:r>
      <w:r w:rsidR="00C558F7">
        <w:rPr>
          <w:sz w:val="24"/>
          <w:lang w:val="en-US"/>
        </w:rPr>
        <w:t xml:space="preserve">will not be </w:t>
      </w:r>
      <w:r w:rsidR="005D1689">
        <w:rPr>
          <w:sz w:val="24"/>
          <w:lang w:val="en-US"/>
        </w:rPr>
        <w:t>in-service</w:t>
      </w:r>
      <w:r w:rsidR="00C558F7">
        <w:rPr>
          <w:sz w:val="24"/>
          <w:lang w:val="en-US"/>
        </w:rPr>
        <w:t xml:space="preserve"> before the end of this</w:t>
      </w:r>
      <w:r w:rsidR="003273CF">
        <w:rPr>
          <w:sz w:val="24"/>
          <w:lang w:val="en-US"/>
        </w:rPr>
        <w:t xml:space="preserve"> </w:t>
      </w:r>
      <w:r w:rsidR="00C558F7">
        <w:rPr>
          <w:sz w:val="24"/>
          <w:lang w:val="en-US"/>
        </w:rPr>
        <w:t>year</w:t>
      </w:r>
      <w:r w:rsidR="003E5057">
        <w:rPr>
          <w:sz w:val="24"/>
          <w:lang w:val="en-US"/>
        </w:rPr>
        <w:t>, S</w:t>
      </w:r>
      <w:r w:rsidR="00EC7F91">
        <w:rPr>
          <w:sz w:val="24"/>
          <w:lang w:val="en-US"/>
        </w:rPr>
        <w:t xml:space="preserve">taff </w:t>
      </w:r>
      <w:r w:rsidR="003E5057">
        <w:rPr>
          <w:sz w:val="24"/>
          <w:lang w:val="en-US"/>
        </w:rPr>
        <w:t xml:space="preserve">recommends that </w:t>
      </w:r>
      <w:r w:rsidR="00BA44B5">
        <w:rPr>
          <w:sz w:val="24"/>
          <w:lang w:val="en-US"/>
        </w:rPr>
        <w:t xml:space="preserve">only the $3.1 million in 2015 actual </w:t>
      </w:r>
      <w:r w:rsidR="00EC7F91">
        <w:rPr>
          <w:sz w:val="24"/>
          <w:lang w:val="en-US"/>
        </w:rPr>
        <w:t xml:space="preserve">pro forma </w:t>
      </w:r>
      <w:r w:rsidR="003E5057">
        <w:rPr>
          <w:sz w:val="24"/>
          <w:lang w:val="en-US"/>
        </w:rPr>
        <w:t xml:space="preserve">transfers to plant </w:t>
      </w:r>
      <w:r w:rsidR="00BA44B5">
        <w:rPr>
          <w:sz w:val="24"/>
          <w:lang w:val="en-US"/>
        </w:rPr>
        <w:t xml:space="preserve">through June </w:t>
      </w:r>
      <w:r w:rsidR="003E5057">
        <w:rPr>
          <w:sz w:val="24"/>
          <w:lang w:val="en-US"/>
        </w:rPr>
        <w:t>b</w:t>
      </w:r>
      <w:r w:rsidR="00163FB2">
        <w:rPr>
          <w:sz w:val="24"/>
          <w:lang w:val="en-US"/>
        </w:rPr>
        <w:t>e allowed in rate base</w:t>
      </w:r>
      <w:r w:rsidR="009D6C13">
        <w:rPr>
          <w:sz w:val="24"/>
          <w:lang w:val="en-US"/>
        </w:rPr>
        <w:t xml:space="preserve"> for this project</w:t>
      </w:r>
      <w:r w:rsidR="00163FB2">
        <w:rPr>
          <w:sz w:val="24"/>
          <w:lang w:val="en-US"/>
        </w:rPr>
        <w:t>.</w:t>
      </w:r>
    </w:p>
    <w:p w14:paraId="0C009F65" w14:textId="77777777" w:rsidR="003228E1" w:rsidRDefault="003228E1" w:rsidP="00425F7D">
      <w:pPr>
        <w:pStyle w:val="BodyTextIndent"/>
        <w:rPr>
          <w:sz w:val="24"/>
          <w:lang w:val="en-US"/>
        </w:rPr>
      </w:pPr>
    </w:p>
    <w:p w14:paraId="70961F2D" w14:textId="54D68278" w:rsidR="006500C6" w:rsidRPr="00DC14E5" w:rsidRDefault="00453BDC" w:rsidP="00425F7D">
      <w:pPr>
        <w:pStyle w:val="Heading3"/>
        <w:ind w:left="900"/>
      </w:pPr>
      <w:bookmarkStart w:id="29" w:name="_Toc425172441"/>
      <w:bookmarkStart w:id="30" w:name="_Toc425328742"/>
      <w:bookmarkStart w:id="31" w:name="_Toc425339186"/>
      <w:bookmarkStart w:id="32" w:name="_Toc425756864"/>
      <w:r>
        <w:rPr>
          <w:lang w:val="en-US"/>
        </w:rPr>
        <w:t>Little Falls Plant Upgrade</w:t>
      </w:r>
      <w:bookmarkEnd w:id="29"/>
      <w:bookmarkEnd w:id="30"/>
      <w:bookmarkEnd w:id="31"/>
      <w:bookmarkEnd w:id="32"/>
      <w:r w:rsidR="008752B1">
        <w:t xml:space="preserve"> </w:t>
      </w:r>
    </w:p>
    <w:p w14:paraId="0DDC15B4" w14:textId="77777777" w:rsidR="00DC14E5" w:rsidRDefault="00DC14E5" w:rsidP="00425F7D">
      <w:pPr>
        <w:pStyle w:val="BodyTextIndent"/>
        <w:rPr>
          <w:b/>
          <w:sz w:val="24"/>
          <w:lang w:val="en-US"/>
        </w:rPr>
      </w:pPr>
    </w:p>
    <w:p w14:paraId="4A36FA0F" w14:textId="72834504" w:rsidR="000A2C2B" w:rsidRPr="00DB7F1E" w:rsidRDefault="000A2C2B" w:rsidP="00425F7D">
      <w:pPr>
        <w:pStyle w:val="BodyTextIndent"/>
        <w:rPr>
          <w:b/>
          <w:sz w:val="24"/>
        </w:rPr>
      </w:pPr>
      <w:r>
        <w:rPr>
          <w:b/>
          <w:sz w:val="24"/>
          <w:lang w:val="en-US"/>
        </w:rPr>
        <w:t>Q.</w:t>
      </w:r>
      <w:r>
        <w:rPr>
          <w:b/>
          <w:sz w:val="24"/>
          <w:lang w:val="en-US"/>
        </w:rPr>
        <w:tab/>
      </w:r>
      <w:r w:rsidR="0035643B">
        <w:rPr>
          <w:b/>
          <w:sz w:val="24"/>
          <w:lang w:val="en-US"/>
        </w:rPr>
        <w:t xml:space="preserve">Avista is forecasting $14.3 million </w:t>
      </w:r>
      <w:r w:rsidR="00BA44B5">
        <w:rPr>
          <w:b/>
          <w:sz w:val="24"/>
          <w:lang w:val="en-US"/>
        </w:rPr>
        <w:t xml:space="preserve">in 2015 </w:t>
      </w:r>
      <w:r w:rsidR="00FC22A2">
        <w:rPr>
          <w:b/>
          <w:sz w:val="24"/>
          <w:lang w:val="en-US"/>
        </w:rPr>
        <w:t>system-level</w:t>
      </w:r>
      <w:r w:rsidR="0035643B">
        <w:rPr>
          <w:b/>
          <w:sz w:val="24"/>
          <w:lang w:val="en-US"/>
        </w:rPr>
        <w:t xml:space="preserve"> capital additions for its Little Falls Plant Upgrade </w:t>
      </w:r>
      <w:r w:rsidR="0007404B">
        <w:rPr>
          <w:b/>
          <w:sz w:val="24"/>
          <w:lang w:val="en-US"/>
        </w:rPr>
        <w:t>(Little Falls)</w:t>
      </w:r>
      <w:r w:rsidR="0035643B">
        <w:rPr>
          <w:b/>
          <w:sz w:val="24"/>
          <w:lang w:val="en-US"/>
        </w:rPr>
        <w:t>.  Has the Company’s direct case provided sufficient evidence that this will happen</w:t>
      </w:r>
      <w:r>
        <w:rPr>
          <w:b/>
          <w:sz w:val="24"/>
          <w:lang w:val="en-US"/>
        </w:rPr>
        <w:t xml:space="preserve">? </w:t>
      </w:r>
    </w:p>
    <w:p w14:paraId="0E6C8CD0" w14:textId="6DA48E0F" w:rsidR="003F67BE" w:rsidRDefault="000A2C2B" w:rsidP="00425F7D">
      <w:pPr>
        <w:pStyle w:val="BodyTextIndent"/>
        <w:rPr>
          <w:sz w:val="24"/>
          <w:lang w:val="en-US"/>
        </w:rPr>
      </w:pPr>
      <w:r>
        <w:rPr>
          <w:sz w:val="24"/>
          <w:lang w:val="en-US"/>
        </w:rPr>
        <w:t>A.</w:t>
      </w:r>
      <w:r>
        <w:rPr>
          <w:sz w:val="24"/>
          <w:lang w:val="en-US"/>
        </w:rPr>
        <w:tab/>
      </w:r>
      <w:r w:rsidR="0035643B">
        <w:rPr>
          <w:sz w:val="24"/>
          <w:lang w:val="en-US"/>
        </w:rPr>
        <w:t>No</w:t>
      </w:r>
      <w:r>
        <w:rPr>
          <w:sz w:val="24"/>
          <w:lang w:val="en-US"/>
        </w:rPr>
        <w:t xml:space="preserve">.  </w:t>
      </w:r>
      <w:r w:rsidR="0035643B">
        <w:rPr>
          <w:sz w:val="24"/>
          <w:lang w:val="en-US"/>
        </w:rPr>
        <w:t>As with the Nine Mile project above, Ms. Schuh</w:t>
      </w:r>
      <w:r w:rsidR="00A07F30">
        <w:rPr>
          <w:sz w:val="24"/>
          <w:lang w:val="en-US"/>
        </w:rPr>
        <w:t>’s</w:t>
      </w:r>
      <w:r w:rsidR="0035643B">
        <w:rPr>
          <w:sz w:val="24"/>
          <w:lang w:val="en-US"/>
        </w:rPr>
        <w:t xml:space="preserve"> and Mr. Kinney’s testimony does not meet the </w:t>
      </w:r>
      <w:r w:rsidR="00805C95">
        <w:rPr>
          <w:sz w:val="24"/>
          <w:lang w:val="en-US"/>
        </w:rPr>
        <w:t xml:space="preserve">standard </w:t>
      </w:r>
      <w:r w:rsidR="0035643B">
        <w:rPr>
          <w:sz w:val="24"/>
          <w:lang w:val="en-US"/>
        </w:rPr>
        <w:t>set by the Commission in the Pacific Order</w:t>
      </w:r>
      <w:r w:rsidR="00805C95">
        <w:rPr>
          <w:sz w:val="24"/>
          <w:lang w:val="en-US"/>
        </w:rPr>
        <w:t xml:space="preserve"> regarding the type of evidence needed to support pro forma capital additions included in the calculation of fair, just, reasonable and sufficient rates</w:t>
      </w:r>
      <w:r w:rsidR="0035643B">
        <w:rPr>
          <w:sz w:val="24"/>
          <w:lang w:val="en-US"/>
        </w:rPr>
        <w:t xml:space="preserve">.  </w:t>
      </w:r>
      <w:r w:rsidR="000F6514">
        <w:rPr>
          <w:sz w:val="24"/>
          <w:lang w:val="en-US"/>
        </w:rPr>
        <w:t xml:space="preserve">What was immediately obvious was that </w:t>
      </w:r>
      <w:r w:rsidR="0035643B">
        <w:rPr>
          <w:sz w:val="24"/>
          <w:lang w:val="en-US"/>
        </w:rPr>
        <w:t xml:space="preserve">Ms. Schuh’s </w:t>
      </w:r>
      <w:r w:rsidR="0035643B" w:rsidRPr="0035643B">
        <w:rPr>
          <w:sz w:val="24"/>
          <w:lang w:val="en-US"/>
        </w:rPr>
        <w:t>Exhibit No. __ (KKS-5), Attachment No. __ GP-5</w:t>
      </w:r>
      <w:r w:rsidR="00A07F30">
        <w:rPr>
          <w:sz w:val="24"/>
          <w:lang w:val="en-US"/>
        </w:rPr>
        <w:t>,</w:t>
      </w:r>
      <w:r w:rsidR="0035643B" w:rsidRPr="0035643B">
        <w:rPr>
          <w:sz w:val="24"/>
          <w:lang w:val="en-US"/>
        </w:rPr>
        <w:t xml:space="preserve"> </w:t>
      </w:r>
      <w:r w:rsidR="000F6514">
        <w:rPr>
          <w:sz w:val="24"/>
          <w:lang w:val="en-US"/>
        </w:rPr>
        <w:t xml:space="preserve">shows no transfer to plant amounts for 2014 when </w:t>
      </w:r>
      <w:r w:rsidR="003F67BE">
        <w:rPr>
          <w:sz w:val="24"/>
          <w:lang w:val="en-US"/>
        </w:rPr>
        <w:t xml:space="preserve">Dave B. </w:t>
      </w:r>
      <w:r w:rsidR="0035643B" w:rsidRPr="0035643B">
        <w:rPr>
          <w:sz w:val="24"/>
          <w:lang w:val="en-US"/>
        </w:rPr>
        <w:t>DeFelice</w:t>
      </w:r>
      <w:r w:rsidR="003F67BE">
        <w:rPr>
          <w:sz w:val="24"/>
          <w:lang w:val="en-US"/>
        </w:rPr>
        <w:t>’s</w:t>
      </w:r>
      <w:r w:rsidR="0035643B" w:rsidRPr="0035643B">
        <w:rPr>
          <w:sz w:val="24"/>
          <w:lang w:val="en-US"/>
        </w:rPr>
        <w:t xml:space="preserve"> Exhibit No. </w:t>
      </w:r>
      <w:r w:rsidR="0035643B" w:rsidRPr="0035643B">
        <w:rPr>
          <w:sz w:val="24"/>
          <w:lang w:val="en-US"/>
        </w:rPr>
        <w:lastRenderedPageBreak/>
        <w:t>DBD-5, Attachment No. __ GP-5</w:t>
      </w:r>
      <w:r w:rsidR="00A07F30">
        <w:rPr>
          <w:sz w:val="24"/>
          <w:lang w:val="en-US"/>
        </w:rPr>
        <w:t>,</w:t>
      </w:r>
      <w:r w:rsidR="0035643B" w:rsidRPr="0035643B">
        <w:rPr>
          <w:sz w:val="24"/>
          <w:lang w:val="en-US"/>
        </w:rPr>
        <w:t xml:space="preserve"> in UE-140188</w:t>
      </w:r>
      <w:r w:rsidR="0035643B">
        <w:rPr>
          <w:sz w:val="24"/>
          <w:lang w:val="en-US"/>
        </w:rPr>
        <w:t xml:space="preserve"> </w:t>
      </w:r>
      <w:r w:rsidR="003F67BE">
        <w:rPr>
          <w:sz w:val="24"/>
          <w:lang w:val="en-US"/>
        </w:rPr>
        <w:t xml:space="preserve">for this same project predicted a </w:t>
      </w:r>
      <w:r w:rsidR="00805C95">
        <w:rPr>
          <w:sz w:val="24"/>
          <w:lang w:val="en-US"/>
        </w:rPr>
        <w:t xml:space="preserve">$9.0 million </w:t>
      </w:r>
      <w:r w:rsidR="00BA39B0">
        <w:rPr>
          <w:sz w:val="24"/>
          <w:lang w:val="en-US"/>
        </w:rPr>
        <w:t>system</w:t>
      </w:r>
      <w:r w:rsidR="007938C0">
        <w:rPr>
          <w:sz w:val="24"/>
          <w:lang w:val="en-US"/>
        </w:rPr>
        <w:t>-</w:t>
      </w:r>
      <w:r w:rsidR="00BA39B0">
        <w:rPr>
          <w:sz w:val="24"/>
          <w:lang w:val="en-US"/>
        </w:rPr>
        <w:t xml:space="preserve">level </w:t>
      </w:r>
      <w:r w:rsidR="00805C95">
        <w:rPr>
          <w:sz w:val="24"/>
          <w:lang w:val="en-US"/>
        </w:rPr>
        <w:t xml:space="preserve">transfer to plant </w:t>
      </w:r>
      <w:r w:rsidR="003F67BE">
        <w:rPr>
          <w:sz w:val="24"/>
          <w:lang w:val="en-US"/>
        </w:rPr>
        <w:t xml:space="preserve">in December of 2014.  Ms. Schuh’s transfer to plant amounts for 2014-2015 are also $1.5 million less than </w:t>
      </w:r>
      <w:r w:rsidR="002964DD">
        <w:rPr>
          <w:sz w:val="24"/>
          <w:lang w:val="en-US"/>
        </w:rPr>
        <w:t xml:space="preserve">predicted by </w:t>
      </w:r>
      <w:r w:rsidR="003F67BE">
        <w:rPr>
          <w:sz w:val="24"/>
          <w:lang w:val="en-US"/>
        </w:rPr>
        <w:t>Mr. DeFelice.</w:t>
      </w:r>
      <w:r w:rsidR="00CC35EC">
        <w:rPr>
          <w:sz w:val="24"/>
          <w:lang w:val="en-US"/>
        </w:rPr>
        <w:t xml:space="preserve">  Neither Ms. Schuh nor Mr. Kinney offer an explanation in their direct testimony</w:t>
      </w:r>
      <w:r w:rsidR="00633271">
        <w:rPr>
          <w:sz w:val="24"/>
          <w:lang w:val="en-US"/>
        </w:rPr>
        <w:t xml:space="preserve"> as to these </w:t>
      </w:r>
      <w:r w:rsidR="006A21CF">
        <w:rPr>
          <w:sz w:val="24"/>
          <w:lang w:val="en-US"/>
        </w:rPr>
        <w:t>system</w:t>
      </w:r>
      <w:r w:rsidR="00E53089">
        <w:rPr>
          <w:sz w:val="24"/>
          <w:lang w:val="en-US"/>
        </w:rPr>
        <w:t>-</w:t>
      </w:r>
      <w:r w:rsidR="006A21CF">
        <w:rPr>
          <w:sz w:val="24"/>
          <w:lang w:val="en-US"/>
        </w:rPr>
        <w:t xml:space="preserve">level </w:t>
      </w:r>
      <w:r w:rsidR="00633271">
        <w:rPr>
          <w:sz w:val="24"/>
          <w:lang w:val="en-US"/>
        </w:rPr>
        <w:t xml:space="preserve">differences </w:t>
      </w:r>
      <w:r w:rsidR="006A21CF">
        <w:rPr>
          <w:sz w:val="24"/>
          <w:lang w:val="en-US"/>
        </w:rPr>
        <w:t xml:space="preserve">in transfer to plant amounts </w:t>
      </w:r>
      <w:r w:rsidR="00633271">
        <w:rPr>
          <w:sz w:val="24"/>
          <w:lang w:val="en-US"/>
        </w:rPr>
        <w:t>and what might have caused them</w:t>
      </w:r>
      <w:r w:rsidR="00CC35EC">
        <w:rPr>
          <w:sz w:val="24"/>
          <w:lang w:val="en-US"/>
        </w:rPr>
        <w:t>.</w:t>
      </w:r>
      <w:r w:rsidR="003F67BE">
        <w:rPr>
          <w:sz w:val="24"/>
          <w:lang w:val="en-US"/>
        </w:rPr>
        <w:t xml:space="preserve">  </w:t>
      </w:r>
    </w:p>
    <w:p w14:paraId="0F2B6A55" w14:textId="40AEFAEB" w:rsidR="00D4234A" w:rsidRDefault="003F67BE" w:rsidP="00425F7D">
      <w:pPr>
        <w:pStyle w:val="BodyTextIndent"/>
        <w:ind w:firstLine="720"/>
        <w:rPr>
          <w:sz w:val="24"/>
          <w:lang w:val="en-US"/>
        </w:rPr>
      </w:pPr>
      <w:r>
        <w:rPr>
          <w:sz w:val="24"/>
          <w:lang w:val="en-US"/>
        </w:rPr>
        <w:t xml:space="preserve">Once again, </w:t>
      </w:r>
      <w:r w:rsidR="006846F6" w:rsidRPr="006846F6">
        <w:rPr>
          <w:sz w:val="24"/>
          <w:lang w:val="en-US"/>
        </w:rPr>
        <w:t xml:space="preserve">Staff </w:t>
      </w:r>
      <w:r w:rsidR="006846F6">
        <w:rPr>
          <w:sz w:val="24"/>
          <w:lang w:val="en-US"/>
        </w:rPr>
        <w:t xml:space="preserve">is placed in the </w:t>
      </w:r>
      <w:r w:rsidR="003C596C">
        <w:rPr>
          <w:sz w:val="24"/>
          <w:lang w:val="en-US"/>
        </w:rPr>
        <w:t>laborious</w:t>
      </w:r>
      <w:r w:rsidR="006846F6">
        <w:rPr>
          <w:sz w:val="24"/>
          <w:lang w:val="en-US"/>
        </w:rPr>
        <w:t xml:space="preserve"> position </w:t>
      </w:r>
      <w:r w:rsidR="0097454A">
        <w:rPr>
          <w:sz w:val="24"/>
          <w:lang w:val="en-US"/>
        </w:rPr>
        <w:t>of r</w:t>
      </w:r>
      <w:r w:rsidR="006846F6">
        <w:rPr>
          <w:sz w:val="24"/>
          <w:lang w:val="en-US"/>
        </w:rPr>
        <w:t>ely</w:t>
      </w:r>
      <w:r w:rsidR="0097454A">
        <w:rPr>
          <w:sz w:val="24"/>
          <w:lang w:val="en-US"/>
        </w:rPr>
        <w:t>ing</w:t>
      </w:r>
      <w:r w:rsidR="006846F6">
        <w:rPr>
          <w:sz w:val="24"/>
          <w:lang w:val="en-US"/>
        </w:rPr>
        <w:t xml:space="preserve"> on the </w:t>
      </w:r>
      <w:r w:rsidR="006846F6" w:rsidRPr="006846F6">
        <w:rPr>
          <w:sz w:val="24"/>
          <w:lang w:val="en-US"/>
        </w:rPr>
        <w:t xml:space="preserve">discovery process </w:t>
      </w:r>
      <w:r w:rsidR="006846F6">
        <w:rPr>
          <w:sz w:val="24"/>
          <w:lang w:val="en-US"/>
        </w:rPr>
        <w:t xml:space="preserve">to make up </w:t>
      </w:r>
      <w:r w:rsidR="002B0BD9">
        <w:rPr>
          <w:sz w:val="24"/>
          <w:lang w:val="en-US"/>
        </w:rPr>
        <w:t xml:space="preserve">for </w:t>
      </w:r>
      <w:r w:rsidR="006846F6">
        <w:rPr>
          <w:sz w:val="24"/>
          <w:lang w:val="en-US"/>
        </w:rPr>
        <w:t xml:space="preserve">deficiencies in the Company’s direct case.  </w:t>
      </w:r>
      <w:r w:rsidR="002B0BD9">
        <w:rPr>
          <w:sz w:val="24"/>
          <w:lang w:val="en-US"/>
        </w:rPr>
        <w:t>Avista’s response to Staff D</w:t>
      </w:r>
      <w:r w:rsidR="00DD5207">
        <w:rPr>
          <w:sz w:val="24"/>
          <w:lang w:val="en-US"/>
        </w:rPr>
        <w:t xml:space="preserve">ata Request </w:t>
      </w:r>
      <w:r w:rsidR="002B0BD9">
        <w:rPr>
          <w:sz w:val="24"/>
          <w:lang w:val="en-US"/>
        </w:rPr>
        <w:t xml:space="preserve">No. 134 </w:t>
      </w:r>
      <w:r w:rsidR="003161C1">
        <w:rPr>
          <w:sz w:val="24"/>
          <w:lang w:val="en-US"/>
        </w:rPr>
        <w:t>provides an explanation as to why t</w:t>
      </w:r>
      <w:r w:rsidR="003161C1" w:rsidRPr="003161C1">
        <w:rPr>
          <w:sz w:val="24"/>
          <w:lang w:val="en-US"/>
        </w:rPr>
        <w:t>he transfer to plant amount of $9</w:t>
      </w:r>
      <w:r w:rsidR="00AE3870">
        <w:rPr>
          <w:sz w:val="24"/>
          <w:lang w:val="en-US"/>
        </w:rPr>
        <w:t>.0</w:t>
      </w:r>
      <w:r w:rsidR="003161C1" w:rsidRPr="003161C1">
        <w:rPr>
          <w:sz w:val="24"/>
          <w:lang w:val="en-US"/>
        </w:rPr>
        <w:t xml:space="preserve"> million listed in Company Witness Dave DeFelice’s Exhibit No. </w:t>
      </w:r>
      <w:r w:rsidR="003161C1">
        <w:rPr>
          <w:sz w:val="24"/>
          <w:lang w:val="en-US"/>
        </w:rPr>
        <w:t>DBD-4</w:t>
      </w:r>
      <w:r w:rsidR="00AE3870">
        <w:rPr>
          <w:sz w:val="24"/>
          <w:lang w:val="en-US"/>
        </w:rPr>
        <w:t xml:space="preserve"> in UE-140188</w:t>
      </w:r>
      <w:r w:rsidR="003161C1">
        <w:rPr>
          <w:sz w:val="24"/>
          <w:lang w:val="en-US"/>
        </w:rPr>
        <w:t>, was delayed until 2015.  According to the Company</w:t>
      </w:r>
      <w:r w:rsidR="00D4234A">
        <w:rPr>
          <w:sz w:val="24"/>
          <w:lang w:val="en-US"/>
        </w:rPr>
        <w:t>:</w:t>
      </w:r>
      <w:r w:rsidR="003161C1">
        <w:rPr>
          <w:sz w:val="24"/>
          <w:lang w:val="en-US"/>
        </w:rPr>
        <w:t xml:space="preserve"> </w:t>
      </w:r>
    </w:p>
    <w:p w14:paraId="32C54AA1" w14:textId="77777777" w:rsidR="003228E1" w:rsidRDefault="003161C1" w:rsidP="00425F7D">
      <w:pPr>
        <w:pStyle w:val="BodyTextIndent"/>
        <w:spacing w:line="240" w:lineRule="auto"/>
        <w:ind w:left="1440" w:firstLine="0"/>
        <w:rPr>
          <w:sz w:val="24"/>
          <w:lang w:val="en-US"/>
        </w:rPr>
      </w:pPr>
      <w:r>
        <w:rPr>
          <w:sz w:val="24"/>
          <w:lang w:val="en-US"/>
        </w:rPr>
        <w:t>“[t]</w:t>
      </w:r>
      <w:r w:rsidRPr="003161C1">
        <w:rPr>
          <w:sz w:val="24"/>
          <w:lang w:val="en-US"/>
        </w:rPr>
        <w:t>he original plan called for both Unit 3 and the Station Service to</w:t>
      </w:r>
      <w:r>
        <w:rPr>
          <w:sz w:val="24"/>
          <w:lang w:val="en-US"/>
        </w:rPr>
        <w:t xml:space="preserve"> go online in December of 2014.  </w:t>
      </w:r>
      <w:r w:rsidRPr="003161C1">
        <w:rPr>
          <w:sz w:val="24"/>
          <w:lang w:val="en-US"/>
        </w:rPr>
        <w:t>During 2014, in the scheduling stages of station service, it was assumed some of the equipment could be reused.  After taking the equipment apart, which can only be done during a plant outage, additional problems were discovered and scope expanded.  The delay for station service was due to the additional electrical infrastructure work and wen</w:t>
      </w:r>
      <w:r>
        <w:rPr>
          <w:sz w:val="24"/>
          <w:lang w:val="en-US"/>
        </w:rPr>
        <w:t xml:space="preserve">t into service in March of 2015.  </w:t>
      </w:r>
      <w:r w:rsidRPr="003161C1">
        <w:rPr>
          <w:sz w:val="24"/>
          <w:lang w:val="en-US"/>
        </w:rPr>
        <w:t>Unit 3 was delayed due to generator components in worse condition than anticipated and delays in getting equipment</w:t>
      </w:r>
      <w:r w:rsidR="0035643B">
        <w:rPr>
          <w:sz w:val="24"/>
          <w:lang w:val="en-US"/>
        </w:rPr>
        <w:t>.</w:t>
      </w:r>
      <w:r>
        <w:rPr>
          <w:sz w:val="24"/>
          <w:lang w:val="en-US"/>
        </w:rPr>
        <w:t>”</w:t>
      </w:r>
      <w:r>
        <w:rPr>
          <w:rStyle w:val="FootnoteReference"/>
          <w:sz w:val="24"/>
          <w:lang w:val="en-US"/>
        </w:rPr>
        <w:footnoteReference w:id="29"/>
      </w:r>
      <w:r w:rsidR="0035643B">
        <w:rPr>
          <w:sz w:val="24"/>
          <w:lang w:val="en-US"/>
        </w:rPr>
        <w:t xml:space="preserve"> </w:t>
      </w:r>
    </w:p>
    <w:p w14:paraId="19A112AC" w14:textId="55CCD8A8" w:rsidR="008F7C8D" w:rsidRDefault="0035643B" w:rsidP="00425F7D">
      <w:pPr>
        <w:pStyle w:val="BodyTextIndent"/>
        <w:spacing w:line="240" w:lineRule="auto"/>
        <w:ind w:left="1440" w:firstLine="0"/>
        <w:rPr>
          <w:sz w:val="24"/>
          <w:lang w:val="en-US"/>
        </w:rPr>
      </w:pPr>
      <w:r>
        <w:rPr>
          <w:sz w:val="24"/>
          <w:lang w:val="en-US"/>
        </w:rPr>
        <w:t xml:space="preserve"> </w:t>
      </w:r>
    </w:p>
    <w:p w14:paraId="5E80ED21" w14:textId="77777777" w:rsidR="008F7C8D" w:rsidRDefault="008F7C8D" w:rsidP="00425F7D">
      <w:pPr>
        <w:pStyle w:val="BodyTextIndent"/>
        <w:ind w:firstLine="720"/>
        <w:rPr>
          <w:sz w:val="24"/>
          <w:lang w:val="en-US"/>
        </w:rPr>
      </w:pPr>
    </w:p>
    <w:p w14:paraId="602F2004" w14:textId="5D7F5342" w:rsidR="006B00E3" w:rsidRPr="00DB7F1E" w:rsidRDefault="006B00E3" w:rsidP="00425F7D">
      <w:pPr>
        <w:pStyle w:val="BodyTextIndent"/>
        <w:rPr>
          <w:b/>
          <w:sz w:val="24"/>
        </w:rPr>
      </w:pPr>
      <w:r>
        <w:rPr>
          <w:b/>
          <w:sz w:val="24"/>
          <w:lang w:val="en-US"/>
        </w:rPr>
        <w:t>Q.</w:t>
      </w:r>
      <w:r>
        <w:rPr>
          <w:b/>
          <w:sz w:val="24"/>
          <w:lang w:val="en-US"/>
        </w:rPr>
        <w:tab/>
      </w:r>
      <w:r w:rsidR="00DA77B0">
        <w:rPr>
          <w:b/>
          <w:sz w:val="24"/>
          <w:lang w:val="en-US"/>
        </w:rPr>
        <w:t>As a result of Avista’s response to Staff D</w:t>
      </w:r>
      <w:r w:rsidR="00DD5207">
        <w:rPr>
          <w:b/>
          <w:sz w:val="24"/>
          <w:lang w:val="en-US"/>
        </w:rPr>
        <w:t xml:space="preserve">ata </w:t>
      </w:r>
      <w:r w:rsidR="00DA77B0">
        <w:rPr>
          <w:b/>
          <w:sz w:val="24"/>
          <w:lang w:val="en-US"/>
        </w:rPr>
        <w:t>R</w:t>
      </w:r>
      <w:r w:rsidR="00DD5207">
        <w:rPr>
          <w:b/>
          <w:sz w:val="24"/>
          <w:lang w:val="en-US"/>
        </w:rPr>
        <w:t>equest</w:t>
      </w:r>
      <w:r w:rsidR="00DA77B0">
        <w:rPr>
          <w:b/>
          <w:sz w:val="24"/>
          <w:lang w:val="en-US"/>
        </w:rPr>
        <w:t xml:space="preserve"> No. 134, d</w:t>
      </w:r>
      <w:r>
        <w:rPr>
          <w:b/>
          <w:sz w:val="24"/>
          <w:lang w:val="en-US"/>
        </w:rPr>
        <w:t xml:space="preserve">oes Staff have a recommendation </w:t>
      </w:r>
      <w:r w:rsidR="00742BC5">
        <w:rPr>
          <w:b/>
          <w:sz w:val="24"/>
          <w:lang w:val="en-US"/>
        </w:rPr>
        <w:t xml:space="preserve">as to </w:t>
      </w:r>
      <w:r>
        <w:rPr>
          <w:b/>
          <w:sz w:val="24"/>
          <w:lang w:val="en-US"/>
        </w:rPr>
        <w:t xml:space="preserve">the </w:t>
      </w:r>
      <w:r w:rsidR="00C7554C">
        <w:rPr>
          <w:b/>
          <w:sz w:val="24"/>
          <w:lang w:val="en-US"/>
        </w:rPr>
        <w:t xml:space="preserve">amount of </w:t>
      </w:r>
      <w:r>
        <w:rPr>
          <w:b/>
          <w:sz w:val="24"/>
          <w:lang w:val="en-US"/>
        </w:rPr>
        <w:t xml:space="preserve">2015 </w:t>
      </w:r>
      <w:r w:rsidR="00773108">
        <w:rPr>
          <w:b/>
          <w:sz w:val="24"/>
          <w:lang w:val="en-US"/>
        </w:rPr>
        <w:t>Washington-allocated</w:t>
      </w:r>
      <w:r w:rsidR="004141E5">
        <w:rPr>
          <w:b/>
          <w:sz w:val="24"/>
          <w:lang w:val="en-US"/>
        </w:rPr>
        <w:t xml:space="preserve"> </w:t>
      </w:r>
      <w:r>
        <w:rPr>
          <w:b/>
          <w:sz w:val="24"/>
          <w:lang w:val="en-US"/>
        </w:rPr>
        <w:t>capital additions for Avista’s Little Falls Plant Upgrade Project</w:t>
      </w:r>
      <w:r w:rsidR="00C7554C">
        <w:rPr>
          <w:b/>
          <w:sz w:val="24"/>
          <w:lang w:val="en-US"/>
        </w:rPr>
        <w:t xml:space="preserve"> that should be allowed </w:t>
      </w:r>
      <w:r w:rsidR="002304FC">
        <w:rPr>
          <w:b/>
          <w:sz w:val="24"/>
          <w:lang w:val="en-US"/>
        </w:rPr>
        <w:t xml:space="preserve">in </w:t>
      </w:r>
      <w:r w:rsidR="00C7554C">
        <w:rPr>
          <w:b/>
          <w:sz w:val="24"/>
          <w:lang w:val="en-US"/>
        </w:rPr>
        <w:t>rates</w:t>
      </w:r>
      <w:r w:rsidR="002304FC">
        <w:rPr>
          <w:b/>
          <w:sz w:val="24"/>
          <w:lang w:val="en-US"/>
        </w:rPr>
        <w:t xml:space="preserve"> for 2016</w:t>
      </w:r>
      <w:r>
        <w:rPr>
          <w:b/>
          <w:sz w:val="24"/>
          <w:lang w:val="en-US"/>
        </w:rPr>
        <w:t xml:space="preserve">? </w:t>
      </w:r>
    </w:p>
    <w:p w14:paraId="2BB3AB42" w14:textId="64B917B9" w:rsidR="000458D0" w:rsidRDefault="006B00E3" w:rsidP="00425F7D">
      <w:pPr>
        <w:pStyle w:val="BodyTextIndent"/>
        <w:rPr>
          <w:sz w:val="24"/>
          <w:lang w:val="en-US"/>
        </w:rPr>
      </w:pPr>
      <w:r>
        <w:rPr>
          <w:sz w:val="24"/>
          <w:lang w:val="en-US"/>
        </w:rPr>
        <w:lastRenderedPageBreak/>
        <w:t>A.</w:t>
      </w:r>
      <w:r>
        <w:rPr>
          <w:sz w:val="24"/>
          <w:lang w:val="en-US"/>
        </w:rPr>
        <w:tab/>
        <w:t>Yes.  Avista’s response to Staff D</w:t>
      </w:r>
      <w:r w:rsidR="00DD5207">
        <w:rPr>
          <w:sz w:val="24"/>
          <w:lang w:val="en-US"/>
        </w:rPr>
        <w:t xml:space="preserve">ata </w:t>
      </w:r>
      <w:r>
        <w:rPr>
          <w:sz w:val="24"/>
          <w:lang w:val="en-US"/>
        </w:rPr>
        <w:t>R</w:t>
      </w:r>
      <w:r w:rsidR="00DD5207">
        <w:rPr>
          <w:sz w:val="24"/>
          <w:lang w:val="en-US"/>
        </w:rPr>
        <w:t>equest</w:t>
      </w:r>
      <w:r>
        <w:rPr>
          <w:sz w:val="24"/>
          <w:lang w:val="en-US"/>
        </w:rPr>
        <w:t xml:space="preserve"> No. 134, Attachment B</w:t>
      </w:r>
      <w:r w:rsidR="00A07F30">
        <w:rPr>
          <w:sz w:val="24"/>
          <w:lang w:val="en-US"/>
        </w:rPr>
        <w:t>,</w:t>
      </w:r>
      <w:r>
        <w:rPr>
          <w:sz w:val="24"/>
          <w:lang w:val="en-US"/>
        </w:rPr>
        <w:t xml:space="preserve"> provides </w:t>
      </w:r>
      <w:r w:rsidR="0074170C">
        <w:rPr>
          <w:sz w:val="24"/>
          <w:lang w:val="en-US"/>
        </w:rPr>
        <w:t xml:space="preserve">a “Yearly Program Summary” which shows spend and transfer to plant </w:t>
      </w:r>
      <w:r w:rsidR="00B10017">
        <w:rPr>
          <w:sz w:val="24"/>
          <w:lang w:val="en-US"/>
        </w:rPr>
        <w:t>amounts</w:t>
      </w:r>
      <w:r w:rsidR="0074170C">
        <w:rPr>
          <w:sz w:val="24"/>
          <w:lang w:val="en-US"/>
        </w:rPr>
        <w:t xml:space="preserve"> for 15 separate </w:t>
      </w:r>
      <w:r w:rsidR="00373A64">
        <w:rPr>
          <w:sz w:val="24"/>
          <w:lang w:val="en-US"/>
        </w:rPr>
        <w:t xml:space="preserve">project </w:t>
      </w:r>
      <w:r w:rsidR="0074170C">
        <w:rPr>
          <w:sz w:val="24"/>
          <w:lang w:val="en-US"/>
        </w:rPr>
        <w:t>milestones</w:t>
      </w:r>
      <w:r w:rsidR="00163FB2">
        <w:rPr>
          <w:sz w:val="24"/>
          <w:lang w:val="en-US"/>
        </w:rPr>
        <w:t xml:space="preserve"> for the Little Falls project</w:t>
      </w:r>
      <w:r w:rsidR="0074170C">
        <w:rPr>
          <w:sz w:val="24"/>
          <w:lang w:val="en-US"/>
        </w:rPr>
        <w:t xml:space="preserve">.  </w:t>
      </w:r>
      <w:r w:rsidR="00373A64">
        <w:rPr>
          <w:sz w:val="24"/>
          <w:lang w:val="en-US"/>
        </w:rPr>
        <w:t>None of these milestones or the</w:t>
      </w:r>
      <w:r w:rsidR="004C7B9A">
        <w:rPr>
          <w:sz w:val="24"/>
          <w:lang w:val="en-US"/>
        </w:rPr>
        <w:t>ir</w:t>
      </w:r>
      <w:r w:rsidR="00373A64">
        <w:rPr>
          <w:sz w:val="24"/>
          <w:lang w:val="en-US"/>
        </w:rPr>
        <w:t xml:space="preserve"> corresponding spend and transfer to plant information </w:t>
      </w:r>
      <w:r w:rsidR="00B901D7">
        <w:rPr>
          <w:sz w:val="24"/>
          <w:lang w:val="en-US"/>
        </w:rPr>
        <w:t xml:space="preserve">are </w:t>
      </w:r>
      <w:r w:rsidR="00373A64">
        <w:rPr>
          <w:sz w:val="24"/>
          <w:lang w:val="en-US"/>
        </w:rPr>
        <w:t xml:space="preserve">included </w:t>
      </w:r>
      <w:r w:rsidR="00A114A8">
        <w:rPr>
          <w:sz w:val="24"/>
          <w:lang w:val="en-US"/>
        </w:rPr>
        <w:t xml:space="preserve">anywhere in </w:t>
      </w:r>
      <w:r w:rsidR="00373A64">
        <w:rPr>
          <w:sz w:val="24"/>
          <w:lang w:val="en-US"/>
        </w:rPr>
        <w:t xml:space="preserve">Ms. Schuh’s Exhibit No. __ (KKS-5) nor </w:t>
      </w:r>
      <w:r w:rsidR="00A07F30">
        <w:rPr>
          <w:sz w:val="24"/>
          <w:lang w:val="en-US"/>
        </w:rPr>
        <w:t xml:space="preserve">were </w:t>
      </w:r>
      <w:r w:rsidR="00373A64">
        <w:rPr>
          <w:sz w:val="24"/>
          <w:lang w:val="en-US"/>
        </w:rPr>
        <w:t xml:space="preserve">the delays and </w:t>
      </w:r>
      <w:r w:rsidR="00A114A8">
        <w:rPr>
          <w:sz w:val="24"/>
          <w:lang w:val="en-US"/>
        </w:rPr>
        <w:t xml:space="preserve">changes to costs for </w:t>
      </w:r>
      <w:r w:rsidR="00373A64">
        <w:rPr>
          <w:sz w:val="24"/>
          <w:lang w:val="en-US"/>
        </w:rPr>
        <w:t xml:space="preserve">this project mentioned in Mr. Kinney’s testimony.  </w:t>
      </w:r>
      <w:r w:rsidR="00B259C9">
        <w:rPr>
          <w:sz w:val="24"/>
          <w:lang w:val="en-US"/>
        </w:rPr>
        <w:t xml:space="preserve">Attachment B </w:t>
      </w:r>
      <w:r w:rsidR="00163FB2">
        <w:rPr>
          <w:sz w:val="24"/>
          <w:lang w:val="en-US"/>
        </w:rPr>
        <w:t xml:space="preserve">also </w:t>
      </w:r>
      <w:r w:rsidR="000458D0">
        <w:rPr>
          <w:sz w:val="24"/>
          <w:lang w:val="en-US"/>
        </w:rPr>
        <w:t xml:space="preserve">states that </w:t>
      </w:r>
      <w:r w:rsidR="0074170C">
        <w:rPr>
          <w:sz w:val="24"/>
          <w:lang w:val="en-US"/>
        </w:rPr>
        <w:t xml:space="preserve">the Station Service upgrade </w:t>
      </w:r>
      <w:r w:rsidR="000458D0">
        <w:rPr>
          <w:sz w:val="24"/>
          <w:lang w:val="en-US"/>
        </w:rPr>
        <w:t xml:space="preserve">was </w:t>
      </w:r>
      <w:r w:rsidR="0074170C">
        <w:rPr>
          <w:sz w:val="24"/>
          <w:lang w:val="en-US"/>
        </w:rPr>
        <w:t xml:space="preserve">completed in March of 2015.  </w:t>
      </w:r>
      <w:r w:rsidR="000458D0">
        <w:rPr>
          <w:sz w:val="24"/>
          <w:lang w:val="en-US"/>
        </w:rPr>
        <w:t>It also shows a delay in Unit 3’s in-service date from D</w:t>
      </w:r>
      <w:r w:rsidR="0040748D">
        <w:rPr>
          <w:sz w:val="24"/>
          <w:lang w:val="en-US"/>
        </w:rPr>
        <w:t xml:space="preserve">ecember 2014 to August of 2015.  In </w:t>
      </w:r>
      <w:r w:rsidR="00A07F30">
        <w:rPr>
          <w:sz w:val="24"/>
          <w:lang w:val="en-US"/>
        </w:rPr>
        <w:t xml:space="preserve">my </w:t>
      </w:r>
      <w:r w:rsidR="0040748D">
        <w:rPr>
          <w:sz w:val="24"/>
          <w:lang w:val="en-US"/>
        </w:rPr>
        <w:t>opinion, such omissions are unacceptable on the part of a Company seeking such a large addition to rate base.</w:t>
      </w:r>
      <w:r w:rsidR="000458D0">
        <w:rPr>
          <w:sz w:val="24"/>
          <w:lang w:val="en-US"/>
        </w:rPr>
        <w:t xml:space="preserve"> </w:t>
      </w:r>
    </w:p>
    <w:p w14:paraId="71DC9DA7" w14:textId="13EB6B4A" w:rsidR="00373A64" w:rsidRDefault="000458D0" w:rsidP="00425F7D">
      <w:pPr>
        <w:pStyle w:val="BodyTextIndent"/>
        <w:ind w:firstLine="720"/>
        <w:rPr>
          <w:sz w:val="24"/>
          <w:lang w:val="en-US"/>
        </w:rPr>
      </w:pPr>
      <w:r>
        <w:rPr>
          <w:sz w:val="24"/>
          <w:lang w:val="en-US"/>
        </w:rPr>
        <w:t xml:space="preserve">The Company’s </w:t>
      </w:r>
      <w:r w:rsidR="00F24168">
        <w:rPr>
          <w:sz w:val="24"/>
          <w:lang w:val="en-US"/>
        </w:rPr>
        <w:t xml:space="preserve">revised </w:t>
      </w:r>
      <w:r w:rsidR="00773108">
        <w:rPr>
          <w:sz w:val="24"/>
          <w:lang w:val="en-US"/>
        </w:rPr>
        <w:t>Washington-allocated</w:t>
      </w:r>
      <w:r w:rsidR="00233BE6">
        <w:rPr>
          <w:sz w:val="24"/>
          <w:lang w:val="en-US"/>
        </w:rPr>
        <w:t xml:space="preserve"> </w:t>
      </w:r>
      <w:r>
        <w:rPr>
          <w:sz w:val="24"/>
          <w:lang w:val="en-US"/>
        </w:rPr>
        <w:t>actual transfer to plant amount for this project through June of 2015 is $2.</w:t>
      </w:r>
      <w:r w:rsidR="00F73452">
        <w:rPr>
          <w:sz w:val="24"/>
          <w:lang w:val="en-US"/>
        </w:rPr>
        <w:t>4</w:t>
      </w:r>
      <w:r>
        <w:rPr>
          <w:sz w:val="24"/>
          <w:lang w:val="en-US"/>
        </w:rPr>
        <w:t xml:space="preserve"> million</w:t>
      </w:r>
      <w:r w:rsidR="00163FB2">
        <w:rPr>
          <w:sz w:val="24"/>
          <w:lang w:val="en-US"/>
        </w:rPr>
        <w:t xml:space="preserve"> with a forecast of an additional $9.5 million transferring to plant by the end of 2015</w:t>
      </w:r>
      <w:r>
        <w:rPr>
          <w:sz w:val="24"/>
          <w:lang w:val="en-US"/>
        </w:rPr>
        <w:t>.</w:t>
      </w:r>
      <w:r w:rsidR="00163FB2" w:rsidRPr="00163FB2">
        <w:rPr>
          <w:rStyle w:val="FootnoteReference"/>
          <w:sz w:val="24"/>
          <w:lang w:val="en-US"/>
        </w:rPr>
        <w:t xml:space="preserve"> </w:t>
      </w:r>
      <w:r w:rsidR="00163FB2">
        <w:rPr>
          <w:rStyle w:val="FootnoteReference"/>
          <w:sz w:val="24"/>
          <w:lang w:val="en-US"/>
        </w:rPr>
        <w:footnoteReference w:id="30"/>
      </w:r>
      <w:r>
        <w:rPr>
          <w:sz w:val="24"/>
          <w:lang w:val="en-US"/>
        </w:rPr>
        <w:t xml:space="preserve">  </w:t>
      </w:r>
      <w:r w:rsidR="00163FB2">
        <w:rPr>
          <w:sz w:val="24"/>
          <w:lang w:val="en-US"/>
        </w:rPr>
        <w:t xml:space="preserve">Presumably, the Company’s forecast for the remainder of 2015 is based on Unit 3 actually being </w:t>
      </w:r>
      <w:r w:rsidR="00651B35">
        <w:rPr>
          <w:sz w:val="24"/>
          <w:lang w:val="en-US"/>
        </w:rPr>
        <w:t xml:space="preserve">placed </w:t>
      </w:r>
      <w:r w:rsidR="003E1C86">
        <w:rPr>
          <w:sz w:val="24"/>
          <w:lang w:val="en-US"/>
        </w:rPr>
        <w:t>in-</w:t>
      </w:r>
      <w:r w:rsidR="00163FB2">
        <w:rPr>
          <w:sz w:val="24"/>
          <w:lang w:val="en-US"/>
        </w:rPr>
        <w:t xml:space="preserve">service </w:t>
      </w:r>
      <w:r w:rsidR="00CB12CA">
        <w:rPr>
          <w:sz w:val="24"/>
          <w:lang w:val="en-US"/>
        </w:rPr>
        <w:t xml:space="preserve">in August </w:t>
      </w:r>
      <w:r w:rsidR="00163FB2">
        <w:rPr>
          <w:sz w:val="24"/>
          <w:lang w:val="en-US"/>
        </w:rPr>
        <w:t xml:space="preserve">as </w:t>
      </w:r>
      <w:r w:rsidR="00CB12CA">
        <w:rPr>
          <w:sz w:val="24"/>
          <w:lang w:val="en-US"/>
        </w:rPr>
        <w:t xml:space="preserve">is called </w:t>
      </w:r>
      <w:r w:rsidR="009D396A">
        <w:rPr>
          <w:sz w:val="24"/>
          <w:lang w:val="en-US"/>
        </w:rPr>
        <w:t>out in it</w:t>
      </w:r>
      <w:r w:rsidR="00D56F23">
        <w:rPr>
          <w:sz w:val="24"/>
          <w:lang w:val="en-US"/>
        </w:rPr>
        <w:t>s</w:t>
      </w:r>
      <w:r w:rsidR="009D396A">
        <w:rPr>
          <w:sz w:val="24"/>
          <w:lang w:val="en-US"/>
        </w:rPr>
        <w:t xml:space="preserve"> response to Staff’s data request</w:t>
      </w:r>
      <w:r w:rsidR="00163FB2">
        <w:rPr>
          <w:sz w:val="24"/>
          <w:lang w:val="en-US"/>
        </w:rPr>
        <w:t xml:space="preserve">.  </w:t>
      </w:r>
      <w:r w:rsidR="009D396A">
        <w:rPr>
          <w:sz w:val="24"/>
          <w:lang w:val="en-US"/>
        </w:rPr>
        <w:t>Yet, t</w:t>
      </w:r>
      <w:r w:rsidR="00C814EF">
        <w:rPr>
          <w:sz w:val="24"/>
          <w:lang w:val="en-US"/>
        </w:rPr>
        <w:t xml:space="preserve">he Company has provided no evidence that the </w:t>
      </w:r>
      <w:r w:rsidR="00C73D48">
        <w:rPr>
          <w:sz w:val="24"/>
          <w:lang w:val="en-US"/>
        </w:rPr>
        <w:t xml:space="preserve">remaining milestones </w:t>
      </w:r>
      <w:r w:rsidR="00730B39">
        <w:rPr>
          <w:sz w:val="24"/>
          <w:lang w:val="en-US"/>
        </w:rPr>
        <w:t>listed in its response to Staff D</w:t>
      </w:r>
      <w:r w:rsidR="00DD5207">
        <w:rPr>
          <w:sz w:val="24"/>
          <w:lang w:val="en-US"/>
        </w:rPr>
        <w:t xml:space="preserve">ata </w:t>
      </w:r>
      <w:r w:rsidR="00730B39">
        <w:rPr>
          <w:sz w:val="24"/>
          <w:lang w:val="en-US"/>
        </w:rPr>
        <w:t>R</w:t>
      </w:r>
      <w:r w:rsidR="00DD5207">
        <w:rPr>
          <w:sz w:val="24"/>
          <w:lang w:val="en-US"/>
        </w:rPr>
        <w:t>equest</w:t>
      </w:r>
      <w:r w:rsidR="00730B39">
        <w:rPr>
          <w:sz w:val="24"/>
          <w:lang w:val="en-US"/>
        </w:rPr>
        <w:t xml:space="preserve"> No. 134</w:t>
      </w:r>
      <w:r w:rsidR="00233BE6">
        <w:rPr>
          <w:sz w:val="24"/>
          <w:lang w:val="en-US"/>
        </w:rPr>
        <w:t>, including Unit 3 going into service,</w:t>
      </w:r>
      <w:r w:rsidR="00730B39">
        <w:rPr>
          <w:sz w:val="24"/>
          <w:lang w:val="en-US"/>
        </w:rPr>
        <w:t xml:space="preserve"> </w:t>
      </w:r>
      <w:r w:rsidR="00C73D48">
        <w:rPr>
          <w:sz w:val="24"/>
          <w:lang w:val="en-US"/>
        </w:rPr>
        <w:t xml:space="preserve">will actually happen.  </w:t>
      </w:r>
      <w:r w:rsidR="00B259C9">
        <w:rPr>
          <w:sz w:val="24"/>
          <w:lang w:val="en-US"/>
        </w:rPr>
        <w:t xml:space="preserve">Staff </w:t>
      </w:r>
      <w:r w:rsidR="00C73D48">
        <w:rPr>
          <w:sz w:val="24"/>
          <w:lang w:val="en-US"/>
        </w:rPr>
        <w:t xml:space="preserve">therefore </w:t>
      </w:r>
      <w:r w:rsidR="00B10017">
        <w:rPr>
          <w:sz w:val="24"/>
          <w:lang w:val="en-US"/>
        </w:rPr>
        <w:t xml:space="preserve">believes </w:t>
      </w:r>
      <w:r w:rsidR="00B259C9">
        <w:rPr>
          <w:sz w:val="24"/>
          <w:lang w:val="en-US"/>
        </w:rPr>
        <w:t xml:space="preserve">that </w:t>
      </w:r>
      <w:r w:rsidR="00A135A6">
        <w:rPr>
          <w:sz w:val="24"/>
          <w:lang w:val="en-US"/>
        </w:rPr>
        <w:t xml:space="preserve">the only </w:t>
      </w:r>
      <w:r w:rsidR="00773108">
        <w:rPr>
          <w:sz w:val="24"/>
          <w:lang w:val="en-US"/>
        </w:rPr>
        <w:t>Washington-allocated</w:t>
      </w:r>
      <w:r w:rsidR="00F24168">
        <w:rPr>
          <w:sz w:val="24"/>
          <w:lang w:val="en-US"/>
        </w:rPr>
        <w:t xml:space="preserve"> </w:t>
      </w:r>
      <w:r w:rsidR="00A135A6">
        <w:rPr>
          <w:sz w:val="24"/>
          <w:lang w:val="en-US"/>
        </w:rPr>
        <w:t>amount of capital addition for this project</w:t>
      </w:r>
      <w:r w:rsidR="000300D3">
        <w:rPr>
          <w:sz w:val="24"/>
          <w:lang w:val="en-US"/>
        </w:rPr>
        <w:t xml:space="preserve"> that is known and measurable and used and useful</w:t>
      </w:r>
      <w:r w:rsidR="00A135A6">
        <w:rPr>
          <w:sz w:val="24"/>
          <w:lang w:val="en-US"/>
        </w:rPr>
        <w:t xml:space="preserve"> is the $</w:t>
      </w:r>
      <w:r w:rsidR="00163FB2">
        <w:rPr>
          <w:sz w:val="24"/>
          <w:lang w:val="en-US"/>
        </w:rPr>
        <w:t>2</w:t>
      </w:r>
      <w:r w:rsidR="00A135A6">
        <w:rPr>
          <w:sz w:val="24"/>
          <w:lang w:val="en-US"/>
        </w:rPr>
        <w:t>.</w:t>
      </w:r>
      <w:r w:rsidR="00545E8A">
        <w:rPr>
          <w:sz w:val="24"/>
          <w:lang w:val="en-US"/>
        </w:rPr>
        <w:t>4</w:t>
      </w:r>
      <w:r w:rsidR="00A135A6">
        <w:rPr>
          <w:sz w:val="24"/>
          <w:lang w:val="en-US"/>
        </w:rPr>
        <w:t xml:space="preserve"> million </w:t>
      </w:r>
      <w:r w:rsidR="00545E8A">
        <w:rPr>
          <w:sz w:val="24"/>
          <w:lang w:val="en-US"/>
        </w:rPr>
        <w:t>in actual transfers to plant through June</w:t>
      </w:r>
      <w:r w:rsidR="000300D3">
        <w:rPr>
          <w:sz w:val="24"/>
          <w:lang w:val="en-US"/>
        </w:rPr>
        <w:t>,</w:t>
      </w:r>
      <w:r w:rsidR="00545E8A">
        <w:rPr>
          <w:sz w:val="24"/>
          <w:lang w:val="en-US"/>
        </w:rPr>
        <w:t xml:space="preserve"> which include </w:t>
      </w:r>
      <w:r w:rsidR="00A135A6">
        <w:rPr>
          <w:sz w:val="24"/>
          <w:lang w:val="en-US"/>
        </w:rPr>
        <w:t xml:space="preserve">the Station </w:t>
      </w:r>
      <w:r w:rsidR="004A098E">
        <w:rPr>
          <w:sz w:val="24"/>
          <w:lang w:val="en-US"/>
        </w:rPr>
        <w:t xml:space="preserve">Service </w:t>
      </w:r>
      <w:r w:rsidR="008A006F">
        <w:rPr>
          <w:sz w:val="24"/>
          <w:lang w:val="en-US"/>
        </w:rPr>
        <w:lastRenderedPageBreak/>
        <w:t xml:space="preserve">upgrade.  </w:t>
      </w:r>
      <w:r w:rsidR="003F3FA0">
        <w:rPr>
          <w:sz w:val="24"/>
          <w:lang w:val="en-US"/>
        </w:rPr>
        <w:t>Staff recommends that only this amount be allowed in rate base</w:t>
      </w:r>
      <w:r w:rsidR="00B16AD5">
        <w:rPr>
          <w:sz w:val="24"/>
          <w:lang w:val="en-US"/>
        </w:rPr>
        <w:t xml:space="preserve"> for the 2015 pro forma period.</w:t>
      </w:r>
    </w:p>
    <w:p w14:paraId="663ED7D8" w14:textId="77777777" w:rsidR="00B16AD5" w:rsidRDefault="00B16AD5" w:rsidP="00355D06">
      <w:pPr>
        <w:pStyle w:val="BodyTextIndent"/>
        <w:ind w:firstLine="720"/>
        <w:rPr>
          <w:sz w:val="24"/>
        </w:rPr>
      </w:pPr>
    </w:p>
    <w:p w14:paraId="650CF308" w14:textId="2454273D" w:rsidR="00914CF7" w:rsidRDefault="00914CF7" w:rsidP="00355D06">
      <w:pPr>
        <w:pStyle w:val="Heading3"/>
        <w:ind w:left="547" w:hanging="547"/>
        <w:rPr>
          <w:lang w:val="en-US"/>
        </w:rPr>
      </w:pPr>
      <w:bookmarkStart w:id="33" w:name="_Toc425172442"/>
      <w:bookmarkStart w:id="34" w:name="_Toc425328743"/>
      <w:bookmarkStart w:id="35" w:name="_Toc425339187"/>
      <w:bookmarkStart w:id="36" w:name="_Toc425756865"/>
      <w:r>
        <w:rPr>
          <w:lang w:val="en-US"/>
        </w:rPr>
        <w:t>Cabinet Gorge Unit 1 Refurbishment</w:t>
      </w:r>
      <w:bookmarkEnd w:id="33"/>
      <w:bookmarkEnd w:id="34"/>
      <w:bookmarkEnd w:id="35"/>
      <w:bookmarkEnd w:id="36"/>
    </w:p>
    <w:p w14:paraId="133E3F0D" w14:textId="77777777" w:rsidR="00355D06" w:rsidRDefault="00355D06" w:rsidP="00355D06">
      <w:pPr>
        <w:spacing w:line="480" w:lineRule="auto"/>
        <w:ind w:left="547" w:hanging="547"/>
        <w:rPr>
          <w:b/>
          <w:lang w:eastAsia="x-none"/>
        </w:rPr>
      </w:pPr>
    </w:p>
    <w:p w14:paraId="65FA69F0" w14:textId="0B272A4A" w:rsidR="009317D0" w:rsidRDefault="00425D64" w:rsidP="00355D06">
      <w:pPr>
        <w:spacing w:line="480" w:lineRule="auto"/>
        <w:ind w:left="547" w:hanging="547"/>
        <w:rPr>
          <w:b/>
          <w:lang w:eastAsia="x-none"/>
        </w:rPr>
      </w:pPr>
      <w:r>
        <w:rPr>
          <w:b/>
          <w:lang w:eastAsia="x-none"/>
        </w:rPr>
        <w:t>Q.</w:t>
      </w:r>
      <w:r>
        <w:rPr>
          <w:b/>
          <w:lang w:eastAsia="x-none"/>
        </w:rPr>
        <w:tab/>
        <w:t xml:space="preserve">The Company is forecasting $11.4 million in 2015 </w:t>
      </w:r>
      <w:r w:rsidR="00FC22A2">
        <w:rPr>
          <w:b/>
          <w:lang w:eastAsia="x-none"/>
        </w:rPr>
        <w:t>system-level</w:t>
      </w:r>
      <w:r>
        <w:rPr>
          <w:b/>
          <w:lang w:eastAsia="x-none"/>
        </w:rPr>
        <w:t xml:space="preserve"> pro forma transfer to plant for this project.  What is Staff’s assessment of the accuracy of Avista’s forecast?</w:t>
      </w:r>
    </w:p>
    <w:p w14:paraId="6D40D8D9" w14:textId="77777777" w:rsidR="00952548" w:rsidRDefault="00425D64" w:rsidP="00425F7D">
      <w:pPr>
        <w:spacing w:line="480" w:lineRule="auto"/>
        <w:ind w:left="547" w:hanging="547"/>
        <w:rPr>
          <w:lang w:eastAsia="x-none"/>
        </w:rPr>
      </w:pPr>
      <w:r>
        <w:rPr>
          <w:lang w:eastAsia="x-none"/>
        </w:rPr>
        <w:t>A.</w:t>
      </w:r>
      <w:r>
        <w:rPr>
          <w:lang w:eastAsia="x-none"/>
        </w:rPr>
        <w:tab/>
        <w:t>Staff’s confidence in Avista’s forecasts throughout this case ha</w:t>
      </w:r>
      <w:r w:rsidR="0099495F">
        <w:rPr>
          <w:lang w:eastAsia="x-none"/>
        </w:rPr>
        <w:t>s</w:t>
      </w:r>
      <w:r>
        <w:rPr>
          <w:lang w:eastAsia="x-none"/>
        </w:rPr>
        <w:t xml:space="preserve"> been challenged by inconsistencies and lack of information provided by the Company in both its direct case and its responses to Staff discovery requests.  </w:t>
      </w:r>
      <w:r w:rsidR="00E51B5B">
        <w:rPr>
          <w:lang w:eastAsia="x-none"/>
        </w:rPr>
        <w:t xml:space="preserve">Staff’s experience with this project provides a perfect example.  </w:t>
      </w:r>
    </w:p>
    <w:p w14:paraId="0E64BE54" w14:textId="6EB1C6EC" w:rsidR="00425D64" w:rsidRDefault="00E51B5B" w:rsidP="00425F7D">
      <w:pPr>
        <w:spacing w:line="480" w:lineRule="auto"/>
        <w:ind w:left="720" w:firstLine="720"/>
        <w:rPr>
          <w:lang w:eastAsia="x-none"/>
        </w:rPr>
      </w:pPr>
      <w:r>
        <w:rPr>
          <w:lang w:eastAsia="x-none"/>
        </w:rPr>
        <w:t>For Cabinet Gorge</w:t>
      </w:r>
      <w:r w:rsidR="00425D64">
        <w:rPr>
          <w:lang w:eastAsia="x-none"/>
        </w:rPr>
        <w:t>, Staff beg</w:t>
      </w:r>
      <w:r>
        <w:rPr>
          <w:lang w:eastAsia="x-none"/>
        </w:rPr>
        <w:t>an</w:t>
      </w:r>
      <w:r w:rsidR="00425D64">
        <w:rPr>
          <w:lang w:eastAsia="x-none"/>
        </w:rPr>
        <w:t xml:space="preserve"> by looking </w:t>
      </w:r>
      <w:r>
        <w:rPr>
          <w:lang w:eastAsia="x-none"/>
        </w:rPr>
        <w:t xml:space="preserve">at </w:t>
      </w:r>
      <w:r w:rsidR="00425D64">
        <w:rPr>
          <w:lang w:eastAsia="x-none"/>
        </w:rPr>
        <w:t xml:space="preserve">the Company’s exhibits from its last case, UE-140188, to see if the amounts </w:t>
      </w:r>
      <w:r w:rsidR="003F3FA0">
        <w:rPr>
          <w:lang w:eastAsia="x-none"/>
        </w:rPr>
        <w:t xml:space="preserve">of expenditures and transfers to plant </w:t>
      </w:r>
      <w:r w:rsidR="00095F64">
        <w:rPr>
          <w:lang w:eastAsia="x-none"/>
        </w:rPr>
        <w:t xml:space="preserve">along with the </w:t>
      </w:r>
      <w:r w:rsidR="003F3FA0">
        <w:rPr>
          <w:lang w:eastAsia="x-none"/>
        </w:rPr>
        <w:t xml:space="preserve">scheduled </w:t>
      </w:r>
      <w:r w:rsidR="005D1689">
        <w:rPr>
          <w:lang w:eastAsia="x-none"/>
        </w:rPr>
        <w:t>in-service</w:t>
      </w:r>
      <w:r w:rsidR="00425D64">
        <w:rPr>
          <w:lang w:eastAsia="x-none"/>
        </w:rPr>
        <w:t xml:space="preserve"> date are at least consistent with what has been presented in this case so far.</w:t>
      </w:r>
      <w:r w:rsidR="003F3FA0">
        <w:rPr>
          <w:rStyle w:val="FootnoteReference"/>
          <w:lang w:eastAsia="x-none"/>
        </w:rPr>
        <w:footnoteReference w:id="31"/>
      </w:r>
    </w:p>
    <w:p w14:paraId="34E46E75" w14:textId="562501D5" w:rsidR="00CE1E7A" w:rsidRDefault="00425D64" w:rsidP="00425F7D">
      <w:pPr>
        <w:spacing w:line="480" w:lineRule="auto"/>
        <w:ind w:left="547" w:hanging="547"/>
        <w:rPr>
          <w:lang w:eastAsia="x-none"/>
        </w:rPr>
      </w:pPr>
      <w:r>
        <w:rPr>
          <w:lang w:eastAsia="x-none"/>
        </w:rPr>
        <w:tab/>
      </w:r>
      <w:r>
        <w:rPr>
          <w:lang w:eastAsia="x-none"/>
        </w:rPr>
        <w:tab/>
      </w:r>
      <w:r>
        <w:rPr>
          <w:lang w:eastAsia="x-none"/>
        </w:rPr>
        <w:tab/>
      </w:r>
      <w:r w:rsidR="00683073">
        <w:rPr>
          <w:lang w:eastAsia="x-none"/>
        </w:rPr>
        <w:t xml:space="preserve">The Company’s compliance </w:t>
      </w:r>
      <w:r w:rsidR="00A25906">
        <w:rPr>
          <w:lang w:eastAsia="x-none"/>
        </w:rPr>
        <w:t xml:space="preserve">filing </w:t>
      </w:r>
      <w:r w:rsidR="00683073">
        <w:rPr>
          <w:lang w:eastAsia="x-none"/>
        </w:rPr>
        <w:t>from UE-140188 report</w:t>
      </w:r>
      <w:r w:rsidR="00A25906">
        <w:rPr>
          <w:lang w:eastAsia="x-none"/>
        </w:rPr>
        <w:t>s</w:t>
      </w:r>
      <w:r w:rsidR="00D85083">
        <w:rPr>
          <w:lang w:eastAsia="x-none"/>
        </w:rPr>
        <w:t xml:space="preserve"> 2013-2015 actual and forecasted </w:t>
      </w:r>
      <w:r w:rsidR="00FC22A2">
        <w:rPr>
          <w:lang w:eastAsia="x-none"/>
        </w:rPr>
        <w:t>system-level</w:t>
      </w:r>
      <w:r w:rsidR="00A25906">
        <w:rPr>
          <w:lang w:eastAsia="x-none"/>
        </w:rPr>
        <w:t xml:space="preserve"> </w:t>
      </w:r>
      <w:r w:rsidR="00D85083">
        <w:rPr>
          <w:lang w:eastAsia="x-none"/>
        </w:rPr>
        <w:t>expenditures of $11.7 million</w:t>
      </w:r>
      <w:r w:rsidR="00A25906">
        <w:rPr>
          <w:lang w:eastAsia="x-none"/>
        </w:rPr>
        <w:t xml:space="preserve"> for this project</w:t>
      </w:r>
      <w:r w:rsidR="00D85083">
        <w:rPr>
          <w:lang w:eastAsia="x-none"/>
        </w:rPr>
        <w:t>.  Th</w:t>
      </w:r>
      <w:r w:rsidR="00D35F29">
        <w:rPr>
          <w:lang w:eastAsia="x-none"/>
        </w:rPr>
        <w:t>is</w:t>
      </w:r>
      <w:r w:rsidR="00D85083">
        <w:rPr>
          <w:lang w:eastAsia="x-none"/>
        </w:rPr>
        <w:t xml:space="preserve"> same compliance report predicts a 2015 transfer to plant amount of $11.4 million.  These amounts are consistent with both Ms. S</w:t>
      </w:r>
      <w:r w:rsidR="00B93568">
        <w:rPr>
          <w:lang w:eastAsia="x-none"/>
        </w:rPr>
        <w:t>c</w:t>
      </w:r>
      <w:r w:rsidR="00D85083">
        <w:rPr>
          <w:lang w:eastAsia="x-none"/>
        </w:rPr>
        <w:t xml:space="preserve">huh’s and Mr. DeFelice’s exhibits.  Avista’s </w:t>
      </w:r>
      <w:r w:rsidR="00A25906">
        <w:rPr>
          <w:lang w:eastAsia="x-none"/>
        </w:rPr>
        <w:lastRenderedPageBreak/>
        <w:t>ER</w:t>
      </w:r>
      <w:r w:rsidR="00D85083">
        <w:rPr>
          <w:lang w:eastAsia="x-none"/>
        </w:rPr>
        <w:t xml:space="preserve"> documentation </w:t>
      </w:r>
      <w:r w:rsidR="00005458">
        <w:rPr>
          <w:lang w:eastAsia="x-none"/>
        </w:rPr>
        <w:t xml:space="preserve">for this project </w:t>
      </w:r>
      <w:r w:rsidR="00952548">
        <w:rPr>
          <w:lang w:eastAsia="x-none"/>
        </w:rPr>
        <w:t xml:space="preserve">in Ms. Schuh’s exhibit </w:t>
      </w:r>
      <w:r w:rsidR="00D85083">
        <w:rPr>
          <w:lang w:eastAsia="x-none"/>
        </w:rPr>
        <w:t xml:space="preserve">shows </w:t>
      </w:r>
      <w:r w:rsidR="00D35F29">
        <w:rPr>
          <w:lang w:eastAsia="x-none"/>
        </w:rPr>
        <w:t xml:space="preserve">the </w:t>
      </w:r>
      <w:r w:rsidR="00A25906">
        <w:rPr>
          <w:lang w:eastAsia="x-none"/>
        </w:rPr>
        <w:t>as-filed</w:t>
      </w:r>
      <w:r w:rsidR="00952548">
        <w:rPr>
          <w:lang w:eastAsia="x-none"/>
        </w:rPr>
        <w:t>,</w:t>
      </w:r>
      <w:r w:rsidR="00A25906">
        <w:rPr>
          <w:lang w:eastAsia="x-none"/>
        </w:rPr>
        <w:t xml:space="preserve"> </w:t>
      </w:r>
      <w:r w:rsidR="005D1689">
        <w:rPr>
          <w:lang w:eastAsia="x-none"/>
        </w:rPr>
        <w:t>in-service</w:t>
      </w:r>
      <w:r w:rsidR="00D85083">
        <w:rPr>
          <w:lang w:eastAsia="x-none"/>
        </w:rPr>
        <w:t xml:space="preserve"> date for </w:t>
      </w:r>
      <w:r w:rsidR="00D35F29">
        <w:rPr>
          <w:lang w:eastAsia="x-none"/>
        </w:rPr>
        <w:t xml:space="preserve">Cabinet Gorge </w:t>
      </w:r>
      <w:r w:rsidR="00952548">
        <w:rPr>
          <w:lang w:eastAsia="x-none"/>
        </w:rPr>
        <w:t>as</w:t>
      </w:r>
      <w:r w:rsidR="00D85083">
        <w:rPr>
          <w:lang w:eastAsia="x-none"/>
        </w:rPr>
        <w:t xml:space="preserve"> </w:t>
      </w:r>
      <w:r w:rsidR="002253C9">
        <w:rPr>
          <w:lang w:eastAsia="x-none"/>
        </w:rPr>
        <w:t xml:space="preserve">May </w:t>
      </w:r>
      <w:r w:rsidR="00952548">
        <w:rPr>
          <w:lang w:eastAsia="x-none"/>
        </w:rPr>
        <w:t xml:space="preserve">of </w:t>
      </w:r>
      <w:r w:rsidR="00D85083">
        <w:rPr>
          <w:lang w:eastAsia="x-none"/>
        </w:rPr>
        <w:t>2015</w:t>
      </w:r>
      <w:r w:rsidR="00564557">
        <w:rPr>
          <w:lang w:eastAsia="x-none"/>
        </w:rPr>
        <w:t>.</w:t>
      </w:r>
      <w:r w:rsidR="00564557" w:rsidRPr="00564557">
        <w:rPr>
          <w:rStyle w:val="FootnoteReference"/>
          <w:lang w:eastAsia="x-none"/>
        </w:rPr>
        <w:t xml:space="preserve"> </w:t>
      </w:r>
      <w:r w:rsidR="00564557">
        <w:rPr>
          <w:rStyle w:val="FootnoteReference"/>
          <w:lang w:eastAsia="x-none"/>
        </w:rPr>
        <w:footnoteReference w:id="32"/>
      </w:r>
      <w:r w:rsidR="00564557">
        <w:rPr>
          <w:lang w:eastAsia="x-none"/>
        </w:rPr>
        <w:t xml:space="preserve">  </w:t>
      </w:r>
      <w:r w:rsidR="002253C9">
        <w:rPr>
          <w:lang w:eastAsia="x-none"/>
        </w:rPr>
        <w:t xml:space="preserve">The original </w:t>
      </w:r>
      <w:r w:rsidR="00952548">
        <w:rPr>
          <w:lang w:eastAsia="x-none"/>
        </w:rPr>
        <w:t xml:space="preserve">ER </w:t>
      </w:r>
      <w:r w:rsidR="002253C9">
        <w:rPr>
          <w:lang w:eastAsia="x-none"/>
        </w:rPr>
        <w:t xml:space="preserve">documentation </w:t>
      </w:r>
      <w:r w:rsidR="00D35F29">
        <w:rPr>
          <w:lang w:eastAsia="x-none"/>
        </w:rPr>
        <w:t xml:space="preserve">on the second page of the attachment to </w:t>
      </w:r>
      <w:r w:rsidR="00952548">
        <w:rPr>
          <w:lang w:eastAsia="x-none"/>
        </w:rPr>
        <w:t xml:space="preserve">Ms. Schuh’s </w:t>
      </w:r>
      <w:r w:rsidR="00D35F29">
        <w:rPr>
          <w:lang w:eastAsia="x-none"/>
        </w:rPr>
        <w:t xml:space="preserve">exhibit </w:t>
      </w:r>
      <w:r w:rsidR="002253C9">
        <w:rPr>
          <w:lang w:eastAsia="x-none"/>
        </w:rPr>
        <w:t xml:space="preserve">shows that the original </w:t>
      </w:r>
      <w:r w:rsidR="005D1689">
        <w:rPr>
          <w:lang w:eastAsia="x-none"/>
        </w:rPr>
        <w:t>in-service</w:t>
      </w:r>
      <w:r w:rsidR="002253C9">
        <w:rPr>
          <w:lang w:eastAsia="x-none"/>
        </w:rPr>
        <w:t xml:space="preserve"> date for this project </w:t>
      </w:r>
      <w:r w:rsidR="00005458">
        <w:rPr>
          <w:lang w:eastAsia="x-none"/>
        </w:rPr>
        <w:t xml:space="preserve">at its inception </w:t>
      </w:r>
      <w:r w:rsidR="002253C9">
        <w:rPr>
          <w:lang w:eastAsia="x-none"/>
        </w:rPr>
        <w:t xml:space="preserve">was scheduled for one month prior, April.  </w:t>
      </w:r>
    </w:p>
    <w:p w14:paraId="7C892910" w14:textId="26B81137" w:rsidR="00425D64" w:rsidRDefault="00CE1E7A" w:rsidP="00425F7D">
      <w:pPr>
        <w:spacing w:line="480" w:lineRule="auto"/>
        <w:ind w:left="720" w:firstLine="720"/>
        <w:rPr>
          <w:lang w:eastAsia="x-none"/>
        </w:rPr>
      </w:pPr>
      <w:r>
        <w:rPr>
          <w:lang w:eastAsia="x-none"/>
        </w:rPr>
        <w:t>Then, i</w:t>
      </w:r>
      <w:r w:rsidR="00952548">
        <w:rPr>
          <w:lang w:eastAsia="x-none"/>
        </w:rPr>
        <w:t xml:space="preserve">n its </w:t>
      </w:r>
      <w:r w:rsidR="00940E3D">
        <w:rPr>
          <w:lang w:eastAsia="x-none"/>
        </w:rPr>
        <w:t xml:space="preserve">supplemental </w:t>
      </w:r>
      <w:r w:rsidR="001A51A9">
        <w:rPr>
          <w:lang w:eastAsia="x-none"/>
        </w:rPr>
        <w:t>response to Staff D</w:t>
      </w:r>
      <w:r w:rsidR="00DD5207">
        <w:rPr>
          <w:lang w:eastAsia="x-none"/>
        </w:rPr>
        <w:t xml:space="preserve">ata </w:t>
      </w:r>
      <w:r w:rsidR="001A51A9">
        <w:rPr>
          <w:lang w:eastAsia="x-none"/>
        </w:rPr>
        <w:t>R</w:t>
      </w:r>
      <w:r w:rsidR="00DD5207">
        <w:rPr>
          <w:lang w:eastAsia="x-none"/>
        </w:rPr>
        <w:t>equest</w:t>
      </w:r>
      <w:r w:rsidR="001A51A9">
        <w:rPr>
          <w:lang w:eastAsia="x-none"/>
        </w:rPr>
        <w:t xml:space="preserve"> No. 143 of June 12, 2015, </w:t>
      </w:r>
      <w:r w:rsidR="00952548">
        <w:rPr>
          <w:lang w:eastAsia="x-none"/>
        </w:rPr>
        <w:t xml:space="preserve">Avista </w:t>
      </w:r>
      <w:r w:rsidR="001A51A9">
        <w:rPr>
          <w:lang w:eastAsia="x-none"/>
        </w:rPr>
        <w:t>remove</w:t>
      </w:r>
      <w:r w:rsidR="00952548">
        <w:rPr>
          <w:lang w:eastAsia="x-none"/>
        </w:rPr>
        <w:t>s</w:t>
      </w:r>
      <w:r w:rsidR="001A51A9">
        <w:rPr>
          <w:lang w:eastAsia="x-none"/>
        </w:rPr>
        <w:t xml:space="preserve"> </w:t>
      </w:r>
      <w:r w:rsidR="002253C9">
        <w:rPr>
          <w:lang w:eastAsia="x-none"/>
        </w:rPr>
        <w:t xml:space="preserve">this </w:t>
      </w:r>
      <w:r w:rsidR="00940E3D">
        <w:rPr>
          <w:lang w:eastAsia="x-none"/>
        </w:rPr>
        <w:t xml:space="preserve">project </w:t>
      </w:r>
      <w:r w:rsidR="001A51A9">
        <w:rPr>
          <w:lang w:eastAsia="x-none"/>
        </w:rPr>
        <w:t>entirely</w:t>
      </w:r>
      <w:r w:rsidR="002253C9">
        <w:rPr>
          <w:lang w:eastAsia="x-none"/>
        </w:rPr>
        <w:t xml:space="preserve"> from its 2015 pro forma transfers to plant</w:t>
      </w:r>
      <w:r>
        <w:rPr>
          <w:lang w:eastAsia="x-none"/>
        </w:rPr>
        <w:t xml:space="preserve"> amounts</w:t>
      </w:r>
      <w:r w:rsidR="001A51A9">
        <w:rPr>
          <w:lang w:eastAsia="x-none"/>
        </w:rPr>
        <w:t>.</w:t>
      </w:r>
      <w:r w:rsidR="001A51A9">
        <w:rPr>
          <w:rStyle w:val="FootnoteReference"/>
          <w:lang w:eastAsia="x-none"/>
        </w:rPr>
        <w:footnoteReference w:id="33"/>
      </w:r>
      <w:r w:rsidR="001A51A9">
        <w:rPr>
          <w:lang w:eastAsia="x-none"/>
        </w:rPr>
        <w:t xml:space="preserve">  </w:t>
      </w:r>
      <w:r w:rsidR="00334EE4">
        <w:rPr>
          <w:lang w:eastAsia="x-none"/>
        </w:rPr>
        <w:t>N</w:t>
      </w:r>
      <w:r w:rsidR="00B050A1">
        <w:rPr>
          <w:lang w:eastAsia="x-none"/>
        </w:rPr>
        <w:t xml:space="preserve">o explanation was given </w:t>
      </w:r>
      <w:r>
        <w:rPr>
          <w:lang w:eastAsia="x-none"/>
        </w:rPr>
        <w:t xml:space="preserve">by the Company </w:t>
      </w:r>
      <w:r w:rsidR="00B050A1">
        <w:rPr>
          <w:lang w:eastAsia="x-none"/>
        </w:rPr>
        <w:t xml:space="preserve">at that time.  </w:t>
      </w:r>
      <w:r w:rsidR="00952548">
        <w:rPr>
          <w:lang w:eastAsia="x-none"/>
        </w:rPr>
        <w:t xml:space="preserve">In preparing testimony in this case, Staff had assumed that the Company </w:t>
      </w:r>
      <w:r>
        <w:rPr>
          <w:lang w:eastAsia="x-none"/>
        </w:rPr>
        <w:t xml:space="preserve">removed </w:t>
      </w:r>
      <w:r w:rsidR="00952548">
        <w:rPr>
          <w:lang w:eastAsia="x-none"/>
        </w:rPr>
        <w:t xml:space="preserve">Cabinet Gorge </w:t>
      </w:r>
      <w:r>
        <w:rPr>
          <w:lang w:eastAsia="x-none"/>
        </w:rPr>
        <w:t xml:space="preserve">from its 2015 pro forma capital additions because it was delayed </w:t>
      </w:r>
      <w:r w:rsidR="00952548">
        <w:rPr>
          <w:lang w:eastAsia="x-none"/>
        </w:rPr>
        <w:t xml:space="preserve">and </w:t>
      </w:r>
      <w:r>
        <w:rPr>
          <w:lang w:eastAsia="x-none"/>
        </w:rPr>
        <w:t xml:space="preserve">would </w:t>
      </w:r>
      <w:r w:rsidR="00952548">
        <w:rPr>
          <w:lang w:eastAsia="x-none"/>
        </w:rPr>
        <w:t>not enter service in the pro forma period as planned</w:t>
      </w:r>
      <w:r w:rsidR="000300D3">
        <w:rPr>
          <w:lang w:eastAsia="x-none"/>
        </w:rPr>
        <w:t>.  Staff’s assumption was proved</w:t>
      </w:r>
      <w:r w:rsidR="00952548">
        <w:rPr>
          <w:lang w:eastAsia="x-none"/>
        </w:rPr>
        <w:t xml:space="preserve"> wrong when A</w:t>
      </w:r>
      <w:r w:rsidR="00940E3D">
        <w:rPr>
          <w:lang w:eastAsia="x-none"/>
        </w:rPr>
        <w:t>vista</w:t>
      </w:r>
      <w:r w:rsidR="00952548">
        <w:rPr>
          <w:lang w:eastAsia="x-none"/>
        </w:rPr>
        <w:t>, in its</w:t>
      </w:r>
      <w:r w:rsidR="00940E3D">
        <w:rPr>
          <w:lang w:eastAsia="x-none"/>
        </w:rPr>
        <w:t xml:space="preserve"> </w:t>
      </w:r>
      <w:r w:rsidR="001A51A9">
        <w:rPr>
          <w:lang w:eastAsia="x-none"/>
        </w:rPr>
        <w:t>July</w:t>
      </w:r>
      <w:r w:rsidR="00940E3D">
        <w:rPr>
          <w:lang w:eastAsia="x-none"/>
        </w:rPr>
        <w:t xml:space="preserve"> 10, 2015</w:t>
      </w:r>
      <w:r w:rsidR="00952548">
        <w:rPr>
          <w:lang w:eastAsia="x-none"/>
        </w:rPr>
        <w:t>,</w:t>
      </w:r>
      <w:r w:rsidR="00940E3D">
        <w:rPr>
          <w:lang w:eastAsia="x-none"/>
        </w:rPr>
        <w:t xml:space="preserve"> supplemental response </w:t>
      </w:r>
      <w:r w:rsidR="002253C9">
        <w:rPr>
          <w:lang w:eastAsia="x-none"/>
        </w:rPr>
        <w:t>to D</w:t>
      </w:r>
      <w:r w:rsidR="00DD5207">
        <w:rPr>
          <w:lang w:eastAsia="x-none"/>
        </w:rPr>
        <w:t xml:space="preserve">ata </w:t>
      </w:r>
      <w:r w:rsidR="002253C9">
        <w:rPr>
          <w:lang w:eastAsia="x-none"/>
        </w:rPr>
        <w:t>R</w:t>
      </w:r>
      <w:r w:rsidR="00DD5207">
        <w:rPr>
          <w:lang w:eastAsia="x-none"/>
        </w:rPr>
        <w:t>equest</w:t>
      </w:r>
      <w:r w:rsidR="002253C9">
        <w:rPr>
          <w:lang w:eastAsia="x-none"/>
        </w:rPr>
        <w:t xml:space="preserve"> </w:t>
      </w:r>
      <w:r w:rsidR="00DD5207">
        <w:rPr>
          <w:lang w:eastAsia="x-none"/>
        </w:rPr>
        <w:t>No. 1</w:t>
      </w:r>
      <w:r w:rsidR="002253C9">
        <w:rPr>
          <w:lang w:eastAsia="x-none"/>
        </w:rPr>
        <w:t xml:space="preserve">43, </w:t>
      </w:r>
      <w:r w:rsidR="00952548">
        <w:rPr>
          <w:lang w:eastAsia="x-none"/>
        </w:rPr>
        <w:t>included the project’s transfer to plant amounts for the 2015 pro forma period</w:t>
      </w:r>
      <w:r>
        <w:rPr>
          <w:lang w:eastAsia="x-none"/>
        </w:rPr>
        <w:t>,</w:t>
      </w:r>
      <w:r w:rsidR="00952548">
        <w:rPr>
          <w:lang w:eastAsia="x-none"/>
        </w:rPr>
        <w:t xml:space="preserve"> </w:t>
      </w:r>
      <w:r>
        <w:rPr>
          <w:lang w:eastAsia="x-none"/>
        </w:rPr>
        <w:t xml:space="preserve">now </w:t>
      </w:r>
      <w:r w:rsidR="00952548">
        <w:rPr>
          <w:lang w:eastAsia="x-none"/>
        </w:rPr>
        <w:t xml:space="preserve">with an </w:t>
      </w:r>
      <w:r w:rsidR="005D1689">
        <w:rPr>
          <w:lang w:eastAsia="x-none"/>
        </w:rPr>
        <w:t>in-service</w:t>
      </w:r>
      <w:r w:rsidR="00952548">
        <w:rPr>
          <w:lang w:eastAsia="x-none"/>
        </w:rPr>
        <w:t xml:space="preserve"> date</w:t>
      </w:r>
      <w:r>
        <w:rPr>
          <w:lang w:eastAsia="x-none"/>
        </w:rPr>
        <w:t xml:space="preserve"> of August 2015</w:t>
      </w:r>
      <w:r w:rsidR="005D1689">
        <w:rPr>
          <w:lang w:eastAsia="x-none"/>
        </w:rPr>
        <w:t>.</w:t>
      </w:r>
      <w:r w:rsidR="007D6CA2">
        <w:rPr>
          <w:rStyle w:val="FootnoteReference"/>
          <w:lang w:eastAsia="x-none"/>
        </w:rPr>
        <w:footnoteReference w:id="34"/>
      </w:r>
    </w:p>
    <w:p w14:paraId="6E6691C7" w14:textId="21EED207" w:rsidR="00005458" w:rsidRDefault="00940E3D" w:rsidP="00425F7D">
      <w:pPr>
        <w:spacing w:line="480" w:lineRule="auto"/>
        <w:ind w:left="547" w:hanging="547"/>
        <w:rPr>
          <w:lang w:eastAsia="x-none"/>
        </w:rPr>
      </w:pPr>
      <w:r>
        <w:rPr>
          <w:lang w:eastAsia="x-none"/>
        </w:rPr>
        <w:tab/>
      </w:r>
      <w:r>
        <w:rPr>
          <w:lang w:eastAsia="x-none"/>
        </w:rPr>
        <w:tab/>
      </w:r>
      <w:r>
        <w:rPr>
          <w:lang w:eastAsia="x-none"/>
        </w:rPr>
        <w:tab/>
      </w:r>
      <w:r w:rsidR="007D6CA2">
        <w:rPr>
          <w:lang w:eastAsia="x-none"/>
        </w:rPr>
        <w:t xml:space="preserve">The Company seems to be its </w:t>
      </w:r>
      <w:r w:rsidR="000300D3">
        <w:rPr>
          <w:lang w:eastAsia="x-none"/>
        </w:rPr>
        <w:t xml:space="preserve">own </w:t>
      </w:r>
      <w:r w:rsidR="007D6CA2">
        <w:rPr>
          <w:lang w:eastAsia="x-none"/>
        </w:rPr>
        <w:t xml:space="preserve">worst enemy in making a convincing case </w:t>
      </w:r>
      <w:r w:rsidR="005D1689">
        <w:rPr>
          <w:lang w:eastAsia="x-none"/>
        </w:rPr>
        <w:t xml:space="preserve">for its projections of </w:t>
      </w:r>
      <w:r w:rsidR="007D6CA2">
        <w:rPr>
          <w:lang w:eastAsia="x-none"/>
        </w:rPr>
        <w:t xml:space="preserve">transfer to plant </w:t>
      </w:r>
      <w:r w:rsidR="005D1689">
        <w:rPr>
          <w:lang w:eastAsia="x-none"/>
        </w:rPr>
        <w:t xml:space="preserve">amounts </w:t>
      </w:r>
      <w:r w:rsidR="007D6CA2">
        <w:rPr>
          <w:lang w:eastAsia="x-none"/>
        </w:rPr>
        <w:t xml:space="preserve">and </w:t>
      </w:r>
      <w:r w:rsidR="005D1689">
        <w:rPr>
          <w:lang w:eastAsia="x-none"/>
        </w:rPr>
        <w:t>in-service</w:t>
      </w:r>
      <w:r w:rsidR="007D6CA2">
        <w:rPr>
          <w:lang w:eastAsia="x-none"/>
        </w:rPr>
        <w:t xml:space="preserve"> date</w:t>
      </w:r>
      <w:r w:rsidR="00DF000C">
        <w:rPr>
          <w:lang w:eastAsia="x-none"/>
        </w:rPr>
        <w:t>s</w:t>
      </w:r>
      <w:r w:rsidR="007D6CA2">
        <w:rPr>
          <w:lang w:eastAsia="x-none"/>
        </w:rPr>
        <w:t xml:space="preserve">.  </w:t>
      </w:r>
      <w:r w:rsidR="005D1689" w:rsidRPr="005D1689">
        <w:rPr>
          <w:lang w:eastAsia="x-none"/>
        </w:rPr>
        <w:t xml:space="preserve">Along with this project, Avista revised its as-filed </w:t>
      </w:r>
      <w:r w:rsidR="005D1689">
        <w:rPr>
          <w:lang w:eastAsia="x-none"/>
        </w:rPr>
        <w:t>in-service</w:t>
      </w:r>
      <w:r w:rsidR="005D1689" w:rsidRPr="005D1689">
        <w:rPr>
          <w:lang w:eastAsia="x-none"/>
        </w:rPr>
        <w:t xml:space="preserve"> dates for two </w:t>
      </w:r>
      <w:r w:rsidR="00FA7DA5">
        <w:rPr>
          <w:lang w:eastAsia="x-none"/>
        </w:rPr>
        <w:t xml:space="preserve">of its </w:t>
      </w:r>
      <w:r w:rsidR="005D1689" w:rsidRPr="005D1689">
        <w:rPr>
          <w:lang w:eastAsia="x-none"/>
        </w:rPr>
        <w:t>other hydro major capital additions</w:t>
      </w:r>
      <w:r w:rsidR="005D1689">
        <w:rPr>
          <w:lang w:eastAsia="x-none"/>
        </w:rPr>
        <w:t xml:space="preserve"> without a word of testimony in explanation</w:t>
      </w:r>
      <w:r w:rsidR="005D1689" w:rsidRPr="005D1689">
        <w:rPr>
          <w:lang w:eastAsia="x-none"/>
        </w:rPr>
        <w:t xml:space="preserve">.  </w:t>
      </w:r>
      <w:r w:rsidR="00334EE4">
        <w:rPr>
          <w:lang w:eastAsia="x-none"/>
        </w:rPr>
        <w:t>Along with thi</w:t>
      </w:r>
      <w:r w:rsidR="005D1689">
        <w:rPr>
          <w:lang w:eastAsia="x-none"/>
        </w:rPr>
        <w:t xml:space="preserve">s ER, </w:t>
      </w:r>
      <w:r w:rsidR="005D1689" w:rsidRPr="005D1689">
        <w:rPr>
          <w:lang w:eastAsia="x-none"/>
        </w:rPr>
        <w:t xml:space="preserve">Post Falls and Little Falls </w:t>
      </w:r>
      <w:r w:rsidR="00334EE4">
        <w:rPr>
          <w:lang w:eastAsia="x-none"/>
        </w:rPr>
        <w:t xml:space="preserve">both </w:t>
      </w:r>
      <w:r w:rsidR="005D1689" w:rsidRPr="005D1689">
        <w:rPr>
          <w:lang w:eastAsia="x-none"/>
        </w:rPr>
        <w:t xml:space="preserve">had </w:t>
      </w:r>
      <w:r w:rsidR="005D1689">
        <w:rPr>
          <w:lang w:eastAsia="x-none"/>
        </w:rPr>
        <w:t>in-service</w:t>
      </w:r>
      <w:r w:rsidR="005D1689" w:rsidRPr="005D1689">
        <w:rPr>
          <w:lang w:eastAsia="x-none"/>
        </w:rPr>
        <w:t xml:space="preserve"> dates early in 2015 that had come and gone when the Company </w:t>
      </w:r>
      <w:r w:rsidR="00334EE4">
        <w:rPr>
          <w:lang w:eastAsia="x-none"/>
        </w:rPr>
        <w:t xml:space="preserve">decided </w:t>
      </w:r>
      <w:r w:rsidR="00FA7DA5">
        <w:rPr>
          <w:lang w:eastAsia="x-none"/>
        </w:rPr>
        <w:t xml:space="preserve">to preserve their 2015 pro forma transfer to plant amounts by moving the dates to the month after </w:t>
      </w:r>
      <w:r w:rsidR="00005458">
        <w:rPr>
          <w:lang w:eastAsia="x-none"/>
        </w:rPr>
        <w:t xml:space="preserve">responsive testimony is due from parties in this </w:t>
      </w:r>
      <w:r w:rsidR="00005458">
        <w:rPr>
          <w:lang w:eastAsia="x-none"/>
        </w:rPr>
        <w:lastRenderedPageBreak/>
        <w:t>case</w:t>
      </w:r>
      <w:r w:rsidR="00FA7DA5">
        <w:rPr>
          <w:lang w:eastAsia="x-none"/>
        </w:rPr>
        <w:t xml:space="preserve">.  </w:t>
      </w:r>
      <w:r w:rsidR="00005458">
        <w:rPr>
          <w:lang w:eastAsia="x-none"/>
        </w:rPr>
        <w:t xml:space="preserve">For Cabinet Gorge and Post Falls, these changes were made </w:t>
      </w:r>
      <w:r w:rsidR="00FA7DA5">
        <w:rPr>
          <w:lang w:eastAsia="x-none"/>
        </w:rPr>
        <w:t xml:space="preserve">with less than two weeks remaining before </w:t>
      </w:r>
      <w:r w:rsidR="00005458">
        <w:rPr>
          <w:lang w:eastAsia="x-none"/>
        </w:rPr>
        <w:t>Staff’s t</w:t>
      </w:r>
      <w:r w:rsidR="00FA7DA5">
        <w:rPr>
          <w:lang w:eastAsia="x-none"/>
        </w:rPr>
        <w:t>estimony is due</w:t>
      </w:r>
      <w:r w:rsidR="00005458">
        <w:rPr>
          <w:lang w:eastAsia="x-none"/>
        </w:rPr>
        <w:t>.</w:t>
      </w:r>
      <w:r w:rsidR="00FF102D">
        <w:rPr>
          <w:lang w:eastAsia="x-none"/>
        </w:rPr>
        <w:t xml:space="preserve">  Such actions by the Company test the limits of Staff’s patience and credulity.</w:t>
      </w:r>
    </w:p>
    <w:p w14:paraId="10065015" w14:textId="51FC1520" w:rsidR="00940E3D" w:rsidRDefault="00B04DC0" w:rsidP="00021550">
      <w:pPr>
        <w:spacing w:line="480" w:lineRule="auto"/>
        <w:ind w:left="720" w:firstLine="720"/>
        <w:rPr>
          <w:lang w:eastAsia="x-none"/>
        </w:rPr>
      </w:pPr>
      <w:r>
        <w:rPr>
          <w:lang w:eastAsia="x-none"/>
        </w:rPr>
        <w:t>Given that this ER</w:t>
      </w:r>
      <w:r w:rsidR="000300D3">
        <w:rPr>
          <w:lang w:eastAsia="x-none"/>
        </w:rPr>
        <w:t>’</w:t>
      </w:r>
      <w:r>
        <w:rPr>
          <w:lang w:eastAsia="x-none"/>
        </w:rPr>
        <w:t xml:space="preserve">s in-service date is still in question and that the exact amount of capital addition for the 2015 pro forma period is not known, </w:t>
      </w:r>
      <w:r w:rsidR="007D6CA2">
        <w:rPr>
          <w:lang w:eastAsia="x-none"/>
        </w:rPr>
        <w:t xml:space="preserve">Staff </w:t>
      </w:r>
      <w:r w:rsidR="00410470">
        <w:rPr>
          <w:lang w:eastAsia="x-none"/>
        </w:rPr>
        <w:t>does no</w:t>
      </w:r>
      <w:r w:rsidR="00021550">
        <w:rPr>
          <w:lang w:eastAsia="x-none"/>
        </w:rPr>
        <w:t xml:space="preserve">t </w:t>
      </w:r>
      <w:r w:rsidRPr="00B04DC0">
        <w:rPr>
          <w:lang w:eastAsia="x-none"/>
        </w:rPr>
        <w:t>recommend recovery</w:t>
      </w:r>
      <w:r>
        <w:rPr>
          <w:lang w:eastAsia="x-none"/>
        </w:rPr>
        <w:t xml:space="preserve"> for this project at this time.  </w:t>
      </w:r>
      <w:r w:rsidR="00CA2F3F">
        <w:rPr>
          <w:lang w:eastAsia="x-none"/>
        </w:rPr>
        <w:t xml:space="preserve">However, given that </w:t>
      </w:r>
      <w:r w:rsidR="00785F5F">
        <w:rPr>
          <w:lang w:eastAsia="x-none"/>
        </w:rPr>
        <w:t>Cabinet Gorge</w:t>
      </w:r>
      <w:r w:rsidR="00CA2F3F">
        <w:rPr>
          <w:lang w:eastAsia="x-none"/>
        </w:rPr>
        <w:t>’s projected in-service date is still within the pendency of this case, t</w:t>
      </w:r>
      <w:r w:rsidR="002B1882">
        <w:rPr>
          <w:lang w:eastAsia="x-none"/>
        </w:rPr>
        <w:t xml:space="preserve">he </w:t>
      </w:r>
      <w:r w:rsidRPr="00B04DC0">
        <w:rPr>
          <w:lang w:eastAsia="x-none"/>
        </w:rPr>
        <w:t xml:space="preserve">Commission </w:t>
      </w:r>
      <w:r w:rsidR="00CA2F3F">
        <w:rPr>
          <w:lang w:eastAsia="x-none"/>
        </w:rPr>
        <w:t>may decide to apply its discretion to consider allowing it into pro forma rate base.  If this is the case, Staff recommends the Commission require Avista to provide t</w:t>
      </w:r>
      <w:r w:rsidRPr="00B04DC0">
        <w:rPr>
          <w:lang w:eastAsia="x-none"/>
        </w:rPr>
        <w:t xml:space="preserve">he exact amount (known and measurable) </w:t>
      </w:r>
      <w:r w:rsidR="00CA2F3F">
        <w:rPr>
          <w:lang w:eastAsia="x-none"/>
        </w:rPr>
        <w:t xml:space="preserve">of capital addition </w:t>
      </w:r>
      <w:r w:rsidRPr="00B04DC0">
        <w:rPr>
          <w:lang w:eastAsia="x-none"/>
        </w:rPr>
        <w:t>and confirm that the project is indeed in-service in August (used and useful).</w:t>
      </w:r>
      <w:r w:rsidR="003057B3">
        <w:rPr>
          <w:rStyle w:val="FootnoteReference"/>
          <w:lang w:eastAsia="x-none"/>
        </w:rPr>
        <w:footnoteReference w:id="35"/>
      </w:r>
      <w:r w:rsidR="00785F5F">
        <w:rPr>
          <w:lang w:eastAsia="x-none"/>
        </w:rPr>
        <w:t xml:space="preserve"> </w:t>
      </w:r>
    </w:p>
    <w:p w14:paraId="07CEA06D" w14:textId="77777777" w:rsidR="003228E1" w:rsidRPr="00425D64" w:rsidRDefault="003228E1" w:rsidP="00425F7D">
      <w:pPr>
        <w:spacing w:line="480" w:lineRule="auto"/>
        <w:ind w:left="720" w:firstLine="720"/>
        <w:rPr>
          <w:lang w:eastAsia="x-none"/>
        </w:rPr>
      </w:pPr>
    </w:p>
    <w:p w14:paraId="159A9386" w14:textId="7128B962" w:rsidR="00914CF7" w:rsidRDefault="00914CF7" w:rsidP="00425F7D">
      <w:pPr>
        <w:pStyle w:val="Heading3"/>
        <w:ind w:left="0" w:firstLine="0"/>
        <w:rPr>
          <w:lang w:val="en-US"/>
        </w:rPr>
      </w:pPr>
      <w:bookmarkStart w:id="37" w:name="_Toc425172443"/>
      <w:bookmarkStart w:id="38" w:name="_Toc425328744"/>
      <w:bookmarkStart w:id="39" w:name="_Toc425339188"/>
      <w:bookmarkStart w:id="40" w:name="_Toc425756866"/>
      <w:r>
        <w:rPr>
          <w:lang w:val="en-US"/>
        </w:rPr>
        <w:t>Post Falls South Channel Replacement</w:t>
      </w:r>
      <w:bookmarkEnd w:id="37"/>
      <w:bookmarkEnd w:id="38"/>
      <w:bookmarkEnd w:id="39"/>
      <w:bookmarkEnd w:id="40"/>
    </w:p>
    <w:p w14:paraId="27E50D46" w14:textId="77777777" w:rsidR="00FF102D" w:rsidRPr="00FF102D" w:rsidRDefault="00FF102D" w:rsidP="00425F7D">
      <w:pPr>
        <w:spacing w:line="480" w:lineRule="auto"/>
        <w:rPr>
          <w:lang w:eastAsia="x-none"/>
        </w:rPr>
      </w:pPr>
    </w:p>
    <w:p w14:paraId="6D78D976" w14:textId="4A2FCB6D" w:rsidR="00515551" w:rsidRDefault="00A80256" w:rsidP="00425F7D">
      <w:pPr>
        <w:spacing w:line="480" w:lineRule="auto"/>
        <w:ind w:left="547" w:hanging="547"/>
        <w:rPr>
          <w:b/>
          <w:lang w:eastAsia="x-none"/>
        </w:rPr>
      </w:pPr>
      <w:r>
        <w:rPr>
          <w:b/>
          <w:lang w:eastAsia="x-none"/>
        </w:rPr>
        <w:t>Q.</w:t>
      </w:r>
      <w:r>
        <w:rPr>
          <w:b/>
          <w:lang w:eastAsia="x-none"/>
        </w:rPr>
        <w:tab/>
        <w:t xml:space="preserve">The Company is forecasting $11.0 million in 2015 </w:t>
      </w:r>
      <w:r w:rsidR="00FC22A2">
        <w:rPr>
          <w:b/>
          <w:lang w:eastAsia="x-none"/>
        </w:rPr>
        <w:t>system-level</w:t>
      </w:r>
      <w:r>
        <w:rPr>
          <w:b/>
          <w:lang w:eastAsia="x-none"/>
        </w:rPr>
        <w:t xml:space="preserve"> pro forma transfer to plant for this project.  What is Staff’s assessment of the accuracy of Avista’s forecast?</w:t>
      </w:r>
    </w:p>
    <w:p w14:paraId="26D581D7" w14:textId="77777777" w:rsidR="00021550" w:rsidRDefault="00A80256" w:rsidP="00425F7D">
      <w:pPr>
        <w:spacing w:line="480" w:lineRule="auto"/>
        <w:ind w:left="547" w:hanging="547"/>
        <w:sectPr w:rsidR="00021550" w:rsidSect="00374AB3">
          <w:footerReference w:type="default" r:id="rId15"/>
          <w:pgSz w:w="12240" w:h="15840" w:code="1"/>
          <w:pgMar w:top="1440" w:right="1440" w:bottom="1440" w:left="1872" w:header="720" w:footer="720" w:gutter="0"/>
          <w:lnNumType w:countBy="1"/>
          <w:cols w:space="720"/>
          <w:docGrid w:linePitch="360"/>
        </w:sectPr>
      </w:pPr>
      <w:r>
        <w:rPr>
          <w:lang w:eastAsia="x-none"/>
        </w:rPr>
        <w:t>A.</w:t>
      </w:r>
      <w:r>
        <w:tab/>
      </w:r>
      <w:r w:rsidR="00515551">
        <w:t>In my testimony for Cabinet Gorge above, I already discussed Staff’s issue with this project’s in-service date of August 2015.</w:t>
      </w:r>
      <w:r w:rsidR="00542EF8">
        <w:t xml:space="preserve">  As with Nine Mile above, Staff issued D</w:t>
      </w:r>
      <w:r w:rsidR="00DD5207">
        <w:t xml:space="preserve">ata </w:t>
      </w:r>
      <w:r w:rsidR="00542EF8">
        <w:t>R</w:t>
      </w:r>
      <w:r w:rsidR="00DD5207">
        <w:t>equest</w:t>
      </w:r>
      <w:r w:rsidR="00542EF8">
        <w:t xml:space="preserve"> No. 60 asking the Company to provide copies of its monthly construction reports to FERC for its Spokane River projects</w:t>
      </w:r>
      <w:r w:rsidR="00C0266A">
        <w:t xml:space="preserve"> which includes this one</w:t>
      </w:r>
      <w:r w:rsidR="00542EF8">
        <w:t xml:space="preserve">.  </w:t>
      </w:r>
      <w:r w:rsidR="00F70342">
        <w:t xml:space="preserve">Avista’s April </w:t>
      </w:r>
    </w:p>
    <w:p w14:paraId="2F49D649" w14:textId="7BE37D92" w:rsidR="00F70342" w:rsidRDefault="00021550" w:rsidP="00425F7D">
      <w:pPr>
        <w:spacing w:line="480" w:lineRule="auto"/>
        <w:ind w:left="547" w:hanging="547"/>
      </w:pPr>
      <w:r>
        <w:lastRenderedPageBreak/>
        <w:tab/>
      </w:r>
      <w:r w:rsidR="00F70342">
        <w:t>13, 2015,</w:t>
      </w:r>
      <w:r w:rsidR="000300D3">
        <w:t xml:space="preserve"> confidential response to this d</w:t>
      </w:r>
      <w:r w:rsidR="00DD5207">
        <w:t xml:space="preserve">ata </w:t>
      </w:r>
      <w:r w:rsidR="000300D3">
        <w:t>r</w:t>
      </w:r>
      <w:r w:rsidR="00DD5207">
        <w:t>equest</w:t>
      </w:r>
      <w:r w:rsidR="00F70342">
        <w:t xml:space="preserve"> provided the Company’s construction reports for February and March of 2015.  The reported substantial completion date for </w:t>
      </w:r>
      <w:r w:rsidR="00C362E8">
        <w:t xml:space="preserve">the project’s </w:t>
      </w:r>
      <w:r w:rsidR="00F70342">
        <w:t>February</w:t>
      </w:r>
      <w:r w:rsidR="00C362E8">
        <w:t>’s report w</w:t>
      </w:r>
      <w:r w:rsidR="00F70342">
        <w:t xml:space="preserve">as </w:t>
      </w:r>
      <w:r w:rsidR="00766A55" w:rsidRPr="00766A55">
        <w:rPr>
          <w:highlight w:val="black"/>
        </w:rPr>
        <w:t>XXXXXXX</w:t>
      </w:r>
      <w:r w:rsidR="00F70342">
        <w:t xml:space="preserve"> which is consistent with Ms. Schuh’s exhibit for this ER.  Construction difficulties were encountered and, as a result, March’s construction report moved the date to </w:t>
      </w:r>
      <w:r w:rsidR="00766A55" w:rsidRPr="00766A55">
        <w:rPr>
          <w:highlight w:val="black"/>
        </w:rPr>
        <w:t>XXXX</w:t>
      </w:r>
      <w:r w:rsidR="00F70342" w:rsidRPr="00410470">
        <w:rPr>
          <w:highlight w:val="lightGray"/>
        </w:rPr>
        <w:t xml:space="preserve"> </w:t>
      </w:r>
      <w:r w:rsidR="00766A55" w:rsidRPr="00766A55">
        <w:rPr>
          <w:highlight w:val="black"/>
        </w:rPr>
        <w:t>XXX</w:t>
      </w:r>
      <w:r w:rsidR="00F70342">
        <w:t>.  Avista’s supplemental responses to D</w:t>
      </w:r>
      <w:r w:rsidR="00DD5207">
        <w:t xml:space="preserve">ata </w:t>
      </w:r>
      <w:r w:rsidR="00F70342">
        <w:t>R</w:t>
      </w:r>
      <w:r w:rsidR="00DD5207">
        <w:t>equest</w:t>
      </w:r>
      <w:r w:rsidR="00F70342">
        <w:t xml:space="preserve"> </w:t>
      </w:r>
      <w:r w:rsidR="000300D3">
        <w:t xml:space="preserve">No. 60 </w:t>
      </w:r>
      <w:r w:rsidR="00F70342">
        <w:t>provided the April</w:t>
      </w:r>
      <w:r w:rsidR="000037AA">
        <w:t>,</w:t>
      </w:r>
      <w:r w:rsidR="00F70342">
        <w:t xml:space="preserve"> May </w:t>
      </w:r>
      <w:r w:rsidR="000037AA">
        <w:t xml:space="preserve">and June </w:t>
      </w:r>
      <w:r w:rsidR="00F70342">
        <w:t xml:space="preserve">FERC monthly construction reports for this project.  The substantial completion and in-service dates for Post Falls now stands as </w:t>
      </w:r>
      <w:r w:rsidR="00766A55" w:rsidRPr="00766A55">
        <w:rPr>
          <w:highlight w:val="black"/>
        </w:rPr>
        <w:t>XXXXXXXX</w:t>
      </w:r>
      <w:r w:rsidR="00F70342">
        <w:t>.</w:t>
      </w:r>
    </w:p>
    <w:p w14:paraId="7BEB9E08" w14:textId="77777777" w:rsidR="00021550" w:rsidRDefault="00F70342" w:rsidP="00425F7D">
      <w:pPr>
        <w:spacing w:line="480" w:lineRule="auto"/>
        <w:ind w:left="547" w:hanging="547"/>
        <w:sectPr w:rsidR="00021550" w:rsidSect="00374AB3">
          <w:footerReference w:type="default" r:id="rId16"/>
          <w:pgSz w:w="12240" w:h="15840" w:code="1"/>
          <w:pgMar w:top="1440" w:right="1440" w:bottom="1440" w:left="1872" w:header="720" w:footer="720" w:gutter="0"/>
          <w:lnNumType w:countBy="1"/>
          <w:cols w:space="720"/>
          <w:docGrid w:linePitch="360"/>
        </w:sectPr>
      </w:pPr>
      <w:r>
        <w:tab/>
      </w:r>
      <w:r>
        <w:tab/>
      </w:r>
      <w:r>
        <w:tab/>
      </w:r>
      <w:r w:rsidR="00600000">
        <w:t xml:space="preserve">Staff encountered </w:t>
      </w:r>
      <w:r w:rsidR="00B25D74">
        <w:t xml:space="preserve">inconsistencies </w:t>
      </w:r>
      <w:r w:rsidR="00600000">
        <w:t xml:space="preserve">with </w:t>
      </w:r>
      <w:r w:rsidR="00B25D74">
        <w:t xml:space="preserve">Avista’s reported amounts of expenditures and transfers to plant for this project.  </w:t>
      </w:r>
      <w:r w:rsidR="00300588">
        <w:t xml:space="preserve">The Company’s compliance filing for UE-140188 shows actual and forecasted </w:t>
      </w:r>
      <w:r w:rsidR="00FC22A2">
        <w:t>system-level</w:t>
      </w:r>
      <w:r w:rsidR="00300588">
        <w:t xml:space="preserve"> expenditures for the years 2013 to 2015 of $9.3 million.  The </w:t>
      </w:r>
      <w:r w:rsidR="00B77B35">
        <w:t xml:space="preserve">UE-140188 </w:t>
      </w:r>
      <w:r w:rsidR="000300D3">
        <w:t>compliance filing as well as the exhibits of Mr. DeFelice, Ms. Schuh</w:t>
      </w:r>
      <w:r w:rsidR="00300588">
        <w:t xml:space="preserve"> and Mr.</w:t>
      </w:r>
      <w:r w:rsidR="000300D3">
        <w:t xml:space="preserve"> Kinney</w:t>
      </w:r>
      <w:r w:rsidR="00300588">
        <w:t xml:space="preserve"> show the </w:t>
      </w:r>
      <w:r w:rsidR="00FC22A2">
        <w:t>system-level</w:t>
      </w:r>
      <w:r w:rsidR="00300588">
        <w:t xml:space="preserve"> forecasted 2015 pro forma transfer to plant amount total for this project at $11.0 million.</w:t>
      </w:r>
      <w:r w:rsidR="00300588">
        <w:rPr>
          <w:rStyle w:val="FootnoteReference"/>
        </w:rPr>
        <w:footnoteReference w:id="36"/>
      </w:r>
      <w:r w:rsidR="00A63C7A">
        <w:t xml:space="preserve">  </w:t>
      </w:r>
      <w:r w:rsidR="00144539">
        <w:t>This amount was used by the Company to arrive at rates in this case.</w:t>
      </w:r>
      <w:r w:rsidR="00B77B35">
        <w:rPr>
          <w:rStyle w:val="FootnoteReference"/>
        </w:rPr>
        <w:footnoteReference w:id="37"/>
      </w:r>
      <w:r w:rsidR="00E85387">
        <w:t xml:space="preserve">  </w:t>
      </w:r>
      <w:r w:rsidR="00A63C7A">
        <w:t xml:space="preserve">Staff also examined Mr. Kinney’s testimony before the Idaho Public Utility Commission </w:t>
      </w:r>
      <w:r w:rsidR="009549F7">
        <w:t xml:space="preserve">(IPUC) </w:t>
      </w:r>
      <w:r w:rsidR="00A63C7A">
        <w:t xml:space="preserve">that Avista filed on May 13, 2015.  </w:t>
      </w:r>
      <w:r w:rsidR="003E3D7C">
        <w:t xml:space="preserve">In Mr. Kinney’s testimony in the Idaho rate case he </w:t>
      </w:r>
    </w:p>
    <w:p w14:paraId="0167B462" w14:textId="0329C29C" w:rsidR="00A43A27" w:rsidRDefault="00021550" w:rsidP="00425F7D">
      <w:pPr>
        <w:spacing w:line="480" w:lineRule="auto"/>
        <w:ind w:left="547" w:hanging="547"/>
      </w:pPr>
      <w:r>
        <w:lastRenderedPageBreak/>
        <w:tab/>
      </w:r>
      <w:r w:rsidR="003E3D7C">
        <w:t xml:space="preserve">states that the 2015 </w:t>
      </w:r>
      <w:r w:rsidR="00FC22A2">
        <w:t>system-level</w:t>
      </w:r>
      <w:r w:rsidR="003E3D7C">
        <w:t xml:space="preserve"> pro forma capital addition for this project </w:t>
      </w:r>
      <w:r w:rsidR="00B77B35">
        <w:t xml:space="preserve">is </w:t>
      </w:r>
      <w:r w:rsidR="003E3D7C">
        <w:t>$9.3 million.</w:t>
      </w:r>
      <w:r w:rsidR="003E3D7C" w:rsidRPr="003E3D7C">
        <w:rPr>
          <w:rStyle w:val="FootnoteReference"/>
        </w:rPr>
        <w:t xml:space="preserve"> </w:t>
      </w:r>
      <w:r w:rsidR="003E3D7C">
        <w:rPr>
          <w:rStyle w:val="FootnoteReference"/>
        </w:rPr>
        <w:footnoteReference w:id="38"/>
      </w:r>
    </w:p>
    <w:p w14:paraId="4611D4FA" w14:textId="77777777" w:rsidR="00021550" w:rsidRDefault="00A43A27" w:rsidP="00425F7D">
      <w:pPr>
        <w:spacing w:line="480" w:lineRule="auto"/>
        <w:ind w:left="547" w:hanging="547"/>
      </w:pPr>
      <w:r>
        <w:tab/>
      </w:r>
      <w:r>
        <w:tab/>
      </w:r>
      <w:r>
        <w:tab/>
      </w:r>
      <w:r w:rsidR="00F376A7">
        <w:t xml:space="preserve">Avista’s Washington allocated share </w:t>
      </w:r>
      <w:r w:rsidR="000E554C">
        <w:t xml:space="preserve">for this project </w:t>
      </w:r>
      <w:r w:rsidR="00F376A7">
        <w:t xml:space="preserve">of $7.1 million is based on the erroneous $11.0 million </w:t>
      </w:r>
      <w:r w:rsidR="000E554C">
        <w:t xml:space="preserve">figure contained in both </w:t>
      </w:r>
      <w:r w:rsidR="00F376A7">
        <w:t>Ms. Schuh’s and Mr. Kinney’s testimony</w:t>
      </w:r>
      <w:r w:rsidR="000E554C">
        <w:t xml:space="preserve"> and exhibits</w:t>
      </w:r>
      <w:r w:rsidR="00FC62F5">
        <w:t xml:space="preserve"> mentioned above</w:t>
      </w:r>
      <w:r w:rsidR="00FA135C">
        <w:t xml:space="preserve">.  </w:t>
      </w:r>
      <w:r w:rsidR="00FC62F5">
        <w:t>By Staff’s calculation, t</w:t>
      </w:r>
      <w:r w:rsidR="000E554C">
        <w:t xml:space="preserve">he actual </w:t>
      </w:r>
      <w:r w:rsidR="00FC62F5">
        <w:t xml:space="preserve">2015 </w:t>
      </w:r>
      <w:r w:rsidR="000E554C">
        <w:t xml:space="preserve">system-level </w:t>
      </w:r>
      <w:r w:rsidR="00FC62F5">
        <w:t xml:space="preserve">transfer to plant </w:t>
      </w:r>
      <w:r w:rsidR="000E554C">
        <w:t xml:space="preserve">amount of $9.3 million results in a Washington-allocated share for the project of </w:t>
      </w:r>
      <w:r w:rsidR="00FA135C">
        <w:t>$6.3 million.</w:t>
      </w:r>
    </w:p>
    <w:p w14:paraId="7D30A30C" w14:textId="78AC595B" w:rsidR="00600A29" w:rsidRDefault="00021550" w:rsidP="00021550">
      <w:pPr>
        <w:spacing w:line="480" w:lineRule="auto"/>
        <w:ind w:left="720" w:hanging="720"/>
      </w:pPr>
      <w:r>
        <w:tab/>
      </w:r>
      <w:r>
        <w:tab/>
      </w:r>
      <w:r w:rsidR="00FA135C">
        <w:t xml:space="preserve">As with Cabinet Gorge above, Staff recommends the Commission </w:t>
      </w:r>
      <w:r w:rsidR="001D6F7E">
        <w:t>exclude recovery of P</w:t>
      </w:r>
      <w:r w:rsidR="00FA135C">
        <w:t xml:space="preserve">ost Falls </w:t>
      </w:r>
      <w:r w:rsidR="001D6F7E">
        <w:t xml:space="preserve">in this case.  If the Commission decides otherwise, Staff </w:t>
      </w:r>
      <w:r w:rsidR="00D77F6D">
        <w:t>m</w:t>
      </w:r>
      <w:r w:rsidR="001D6F7E">
        <w:t xml:space="preserve">akes </w:t>
      </w:r>
      <w:r w:rsidR="000300D3">
        <w:t>the</w:t>
      </w:r>
      <w:r w:rsidR="001D6F7E">
        <w:t xml:space="preserve"> same recommendation as with Post Falls above.</w:t>
      </w:r>
    </w:p>
    <w:p w14:paraId="687A4F12" w14:textId="4DEBEDC2" w:rsidR="00FF102D" w:rsidRPr="00914CF7" w:rsidRDefault="001D6F7E" w:rsidP="00425F7D">
      <w:pPr>
        <w:spacing w:line="480" w:lineRule="auto"/>
        <w:ind w:left="547" w:hanging="547"/>
        <w:rPr>
          <w:lang w:eastAsia="x-none"/>
        </w:rPr>
      </w:pPr>
      <w:r>
        <w:t xml:space="preserve">  </w:t>
      </w:r>
      <w:r w:rsidR="00A80256">
        <w:rPr>
          <w:lang w:eastAsia="x-none"/>
        </w:rPr>
        <w:tab/>
      </w:r>
    </w:p>
    <w:p w14:paraId="10F0A545" w14:textId="7D14B64B" w:rsidR="0087063E" w:rsidRDefault="006E1D49" w:rsidP="00425F7D">
      <w:pPr>
        <w:pStyle w:val="Heading3"/>
        <w:ind w:left="0" w:firstLine="0"/>
        <w:rPr>
          <w:lang w:val="en-US"/>
        </w:rPr>
      </w:pPr>
      <w:bookmarkStart w:id="41" w:name="_Toc425172444"/>
      <w:bookmarkStart w:id="42" w:name="_Toc425328745"/>
      <w:bookmarkStart w:id="43" w:name="_Toc425339189"/>
      <w:bookmarkStart w:id="44" w:name="_Toc425756867"/>
      <w:r>
        <w:rPr>
          <w:lang w:val="en-US"/>
        </w:rPr>
        <w:t>Clark Fork Settlement Agreement</w:t>
      </w:r>
      <w:bookmarkEnd w:id="41"/>
      <w:bookmarkEnd w:id="42"/>
      <w:bookmarkEnd w:id="43"/>
      <w:bookmarkEnd w:id="44"/>
    </w:p>
    <w:p w14:paraId="46ED2F23" w14:textId="77777777" w:rsidR="006E1D49" w:rsidRPr="006E1D49" w:rsidRDefault="006E1D49" w:rsidP="00425F7D">
      <w:pPr>
        <w:spacing w:line="480" w:lineRule="auto"/>
        <w:rPr>
          <w:lang w:eastAsia="x-none"/>
        </w:rPr>
      </w:pPr>
    </w:p>
    <w:p w14:paraId="4D57754D" w14:textId="6F77D72F" w:rsidR="008F6B5E" w:rsidRDefault="008F6B5E" w:rsidP="00425F7D">
      <w:pPr>
        <w:pStyle w:val="BodyTextIndent"/>
        <w:rPr>
          <w:b/>
          <w:sz w:val="24"/>
        </w:rPr>
      </w:pPr>
      <w:r>
        <w:rPr>
          <w:b/>
          <w:sz w:val="24"/>
          <w:lang w:val="en-US"/>
        </w:rPr>
        <w:t>Q.</w:t>
      </w:r>
      <w:r>
        <w:rPr>
          <w:b/>
          <w:sz w:val="24"/>
          <w:lang w:val="en-US"/>
        </w:rPr>
        <w:tab/>
      </w:r>
      <w:r w:rsidR="00433168">
        <w:rPr>
          <w:b/>
          <w:sz w:val="24"/>
          <w:lang w:val="en-US"/>
        </w:rPr>
        <w:t xml:space="preserve">Avista is forecasting </w:t>
      </w:r>
      <w:r w:rsidR="00167ACD">
        <w:rPr>
          <w:b/>
          <w:sz w:val="24"/>
          <w:lang w:val="en-US"/>
        </w:rPr>
        <w:t xml:space="preserve">for 2015 that its Clark Fork Settlement Agreement (CFSA) will result in transfers to plant of </w:t>
      </w:r>
      <w:r w:rsidR="001E327A">
        <w:rPr>
          <w:b/>
          <w:sz w:val="24"/>
          <w:lang w:val="en-US"/>
        </w:rPr>
        <w:t xml:space="preserve">almost </w:t>
      </w:r>
      <w:r w:rsidR="00433168">
        <w:rPr>
          <w:b/>
          <w:sz w:val="24"/>
          <w:lang w:val="en-US"/>
        </w:rPr>
        <w:t>$14.</w:t>
      </w:r>
      <w:r w:rsidR="001E327A">
        <w:rPr>
          <w:b/>
          <w:sz w:val="24"/>
          <w:lang w:val="en-US"/>
        </w:rPr>
        <w:t>0</w:t>
      </w:r>
      <w:r w:rsidR="00433168">
        <w:rPr>
          <w:b/>
          <w:sz w:val="24"/>
          <w:lang w:val="en-US"/>
        </w:rPr>
        <w:t xml:space="preserve"> million</w:t>
      </w:r>
      <w:r w:rsidR="00167ACD">
        <w:rPr>
          <w:b/>
          <w:sz w:val="24"/>
          <w:lang w:val="en-US"/>
        </w:rPr>
        <w:t xml:space="preserve"> (system)</w:t>
      </w:r>
      <w:r w:rsidR="00433168">
        <w:rPr>
          <w:b/>
          <w:sz w:val="24"/>
          <w:lang w:val="en-US"/>
        </w:rPr>
        <w:t xml:space="preserve">.  Has the Company adequately supported this amount </w:t>
      </w:r>
      <w:r w:rsidR="001F035F">
        <w:rPr>
          <w:b/>
          <w:sz w:val="24"/>
          <w:lang w:val="en-US"/>
        </w:rPr>
        <w:t xml:space="preserve">in its direct case </w:t>
      </w:r>
      <w:r w:rsidR="00433168">
        <w:rPr>
          <w:b/>
          <w:sz w:val="24"/>
          <w:lang w:val="en-US"/>
        </w:rPr>
        <w:t>with tangible</w:t>
      </w:r>
      <w:r w:rsidR="00F85D32">
        <w:rPr>
          <w:b/>
          <w:sz w:val="24"/>
          <w:lang w:val="en-US"/>
        </w:rPr>
        <w:t>,</w:t>
      </w:r>
      <w:r w:rsidR="00433168">
        <w:rPr>
          <w:b/>
          <w:sz w:val="24"/>
          <w:lang w:val="en-US"/>
        </w:rPr>
        <w:t xml:space="preserve"> verifiable data</w:t>
      </w:r>
      <w:r>
        <w:rPr>
          <w:b/>
          <w:sz w:val="24"/>
          <w:lang w:val="en-US"/>
        </w:rPr>
        <w:t>?</w:t>
      </w:r>
    </w:p>
    <w:p w14:paraId="4276474D" w14:textId="3705EF76" w:rsidR="00905F8D" w:rsidRDefault="008F6B5E" w:rsidP="00425F7D">
      <w:pPr>
        <w:pStyle w:val="BodyTextIndent"/>
        <w:rPr>
          <w:sz w:val="24"/>
          <w:lang w:val="en-US"/>
        </w:rPr>
      </w:pPr>
      <w:r>
        <w:rPr>
          <w:sz w:val="24"/>
          <w:lang w:val="en-US"/>
        </w:rPr>
        <w:t>A.</w:t>
      </w:r>
      <w:r>
        <w:rPr>
          <w:sz w:val="24"/>
          <w:lang w:val="en-US"/>
        </w:rPr>
        <w:tab/>
      </w:r>
      <w:r w:rsidR="00820D79">
        <w:rPr>
          <w:sz w:val="24"/>
          <w:lang w:val="en-US"/>
        </w:rPr>
        <w:t>Absolutely not.</w:t>
      </w:r>
      <w:r>
        <w:rPr>
          <w:sz w:val="24"/>
          <w:lang w:val="en-US"/>
        </w:rPr>
        <w:t xml:space="preserve">  </w:t>
      </w:r>
      <w:r w:rsidR="00433168">
        <w:rPr>
          <w:sz w:val="24"/>
          <w:lang w:val="en-US"/>
        </w:rPr>
        <w:t xml:space="preserve">The evidence provided by the Company in both Ms. Schuh’s and Mr. Kinney’s testimony is </w:t>
      </w:r>
      <w:r w:rsidR="009E60D4">
        <w:rPr>
          <w:sz w:val="24"/>
          <w:lang w:val="en-US"/>
        </w:rPr>
        <w:t xml:space="preserve">once again </w:t>
      </w:r>
      <w:r w:rsidR="003C6640">
        <w:rPr>
          <w:sz w:val="24"/>
          <w:lang w:val="en-US"/>
        </w:rPr>
        <w:t xml:space="preserve">grossly </w:t>
      </w:r>
      <w:r w:rsidR="00433168">
        <w:rPr>
          <w:sz w:val="24"/>
          <w:lang w:val="en-US"/>
        </w:rPr>
        <w:t xml:space="preserve">inadequate for Staff to confirm </w:t>
      </w:r>
      <w:r w:rsidR="00A62D7B">
        <w:rPr>
          <w:sz w:val="24"/>
          <w:lang w:val="en-US"/>
        </w:rPr>
        <w:t xml:space="preserve">if </w:t>
      </w:r>
      <w:r w:rsidR="00433168">
        <w:rPr>
          <w:sz w:val="24"/>
          <w:lang w:val="en-US"/>
        </w:rPr>
        <w:t xml:space="preserve">the amount of capital additions forecasted for 2015 meet the Commission’s statutory </w:t>
      </w:r>
      <w:r w:rsidR="00433168">
        <w:rPr>
          <w:sz w:val="24"/>
          <w:lang w:val="en-US"/>
        </w:rPr>
        <w:lastRenderedPageBreak/>
        <w:t xml:space="preserve">requirements for inclusion in rates.  </w:t>
      </w:r>
      <w:r w:rsidR="00D97877" w:rsidRPr="00D97877">
        <w:rPr>
          <w:sz w:val="24"/>
          <w:lang w:val="en-US"/>
        </w:rPr>
        <w:t xml:space="preserve">Ms. Schuh refers Staff to Mr. Kinney’s testimony for detailed descriptions of electric generation </w:t>
      </w:r>
      <w:r w:rsidR="002710E4">
        <w:rPr>
          <w:sz w:val="24"/>
          <w:lang w:val="en-US"/>
        </w:rPr>
        <w:t>ERs</w:t>
      </w:r>
      <w:r w:rsidR="00D97877" w:rsidRPr="00D97877">
        <w:rPr>
          <w:sz w:val="24"/>
          <w:lang w:val="en-US"/>
        </w:rPr>
        <w:t xml:space="preserve"> which include the CFSA.</w:t>
      </w:r>
      <w:r w:rsidR="004D7D7A" w:rsidRPr="004D7D7A">
        <w:rPr>
          <w:rStyle w:val="FootnoteReference"/>
          <w:sz w:val="24"/>
          <w:lang w:val="en-US"/>
        </w:rPr>
        <w:t xml:space="preserve"> </w:t>
      </w:r>
      <w:r w:rsidR="004D7D7A">
        <w:rPr>
          <w:rStyle w:val="FootnoteReference"/>
          <w:sz w:val="24"/>
          <w:lang w:val="en-US"/>
        </w:rPr>
        <w:footnoteReference w:id="39"/>
      </w:r>
      <w:r w:rsidR="00D97877" w:rsidRPr="00D97877">
        <w:rPr>
          <w:sz w:val="24"/>
          <w:lang w:val="en-US"/>
        </w:rPr>
        <w:t xml:space="preserve">  As previously mentioned in my testimony, Mr. Kinney’s descriptions are anything but detailed</w:t>
      </w:r>
      <w:r w:rsidR="00127470">
        <w:rPr>
          <w:sz w:val="24"/>
          <w:lang w:val="en-US"/>
        </w:rPr>
        <w:t xml:space="preserve">, much less useful, </w:t>
      </w:r>
      <w:r w:rsidR="00D97877" w:rsidRPr="00D97877">
        <w:rPr>
          <w:sz w:val="24"/>
          <w:lang w:val="en-US"/>
        </w:rPr>
        <w:t>and are largely identical to his testimony provided in UE-140188</w:t>
      </w:r>
      <w:r w:rsidR="00905F8D">
        <w:rPr>
          <w:sz w:val="24"/>
          <w:lang w:val="en-US"/>
        </w:rPr>
        <w:t>,</w:t>
      </w:r>
      <w:r w:rsidR="00D97877" w:rsidRPr="00D97877">
        <w:rPr>
          <w:sz w:val="24"/>
          <w:lang w:val="en-US"/>
        </w:rPr>
        <w:t xml:space="preserve"> in spite of significant and material changes to these projects</w:t>
      </w:r>
      <w:r w:rsidR="006E1D49">
        <w:rPr>
          <w:sz w:val="24"/>
          <w:lang w:val="en-US"/>
        </w:rPr>
        <w:t xml:space="preserve"> </w:t>
      </w:r>
      <w:r w:rsidR="000B4611">
        <w:rPr>
          <w:sz w:val="24"/>
          <w:lang w:val="en-US"/>
        </w:rPr>
        <w:t xml:space="preserve">and programs </w:t>
      </w:r>
      <w:r w:rsidR="006E1D49">
        <w:rPr>
          <w:sz w:val="24"/>
          <w:lang w:val="en-US"/>
        </w:rPr>
        <w:t>since the last rate case</w:t>
      </w:r>
      <w:r w:rsidR="00D97877" w:rsidRPr="00D97877">
        <w:rPr>
          <w:sz w:val="24"/>
          <w:lang w:val="en-US"/>
        </w:rPr>
        <w:t xml:space="preserve">.  While lacking the details necessary for Staff to support the Company’s 2015 estimates of transfers to plant for the CFSA, Mr. </w:t>
      </w:r>
      <w:r w:rsidR="00916F62">
        <w:rPr>
          <w:sz w:val="24"/>
          <w:lang w:val="en-US"/>
        </w:rPr>
        <w:t>Kinney</w:t>
      </w:r>
      <w:r w:rsidR="00D97877" w:rsidRPr="00D97877">
        <w:rPr>
          <w:sz w:val="24"/>
          <w:lang w:val="en-US"/>
        </w:rPr>
        <w:t xml:space="preserve"> does take the time to revise his testimony</w:t>
      </w:r>
      <w:r w:rsidR="00691375">
        <w:rPr>
          <w:sz w:val="24"/>
          <w:lang w:val="en-US"/>
        </w:rPr>
        <w:t xml:space="preserve"> from the last case to update the Commission</w:t>
      </w:r>
      <w:r w:rsidR="00D97877" w:rsidRPr="00D97877">
        <w:rPr>
          <w:sz w:val="24"/>
          <w:lang w:val="en-US"/>
        </w:rPr>
        <w:t xml:space="preserve"> on the number of </w:t>
      </w:r>
      <w:r w:rsidR="0026712C">
        <w:rPr>
          <w:sz w:val="24"/>
          <w:lang w:val="en-US"/>
        </w:rPr>
        <w:t xml:space="preserve">bull trout </w:t>
      </w:r>
      <w:r w:rsidR="00D97877" w:rsidRPr="00D97877">
        <w:rPr>
          <w:sz w:val="24"/>
          <w:lang w:val="en-US"/>
        </w:rPr>
        <w:t>collected for study.</w:t>
      </w:r>
      <w:r w:rsidR="00BA22DD">
        <w:rPr>
          <w:rStyle w:val="FootnoteReference"/>
          <w:sz w:val="24"/>
          <w:lang w:val="en-US"/>
        </w:rPr>
        <w:footnoteReference w:id="40"/>
      </w:r>
      <w:r w:rsidR="0086740A">
        <w:rPr>
          <w:sz w:val="24"/>
          <w:lang w:val="en-US"/>
        </w:rPr>
        <w:t xml:space="preserve">  </w:t>
      </w:r>
      <w:r w:rsidR="00B52D50">
        <w:rPr>
          <w:sz w:val="24"/>
          <w:lang w:val="en-US"/>
        </w:rPr>
        <w:t>While this detail may be interesting for some readers, it certainly</w:t>
      </w:r>
      <w:r w:rsidR="0086740A">
        <w:rPr>
          <w:sz w:val="24"/>
          <w:lang w:val="en-US"/>
        </w:rPr>
        <w:t xml:space="preserve"> </w:t>
      </w:r>
      <w:r w:rsidR="00B52D50">
        <w:rPr>
          <w:sz w:val="24"/>
          <w:lang w:val="en-US"/>
        </w:rPr>
        <w:t xml:space="preserve">is </w:t>
      </w:r>
      <w:r w:rsidR="0086740A">
        <w:rPr>
          <w:sz w:val="24"/>
          <w:lang w:val="en-US"/>
        </w:rPr>
        <w:t xml:space="preserve">not useful information for Staff to validate the Company’s 2015 additions to rate base for this </w:t>
      </w:r>
      <w:r w:rsidR="00682B94">
        <w:rPr>
          <w:sz w:val="24"/>
          <w:lang w:val="en-US"/>
        </w:rPr>
        <w:t>ER</w:t>
      </w:r>
      <w:r w:rsidR="0086740A">
        <w:rPr>
          <w:sz w:val="24"/>
          <w:lang w:val="en-US"/>
        </w:rPr>
        <w:t>.</w:t>
      </w:r>
    </w:p>
    <w:p w14:paraId="2F3BE317" w14:textId="0A31C0FA" w:rsidR="008F6B5E" w:rsidRDefault="00510895" w:rsidP="00425F7D">
      <w:pPr>
        <w:pStyle w:val="BodyTextIndent"/>
        <w:ind w:firstLine="720"/>
        <w:rPr>
          <w:sz w:val="24"/>
        </w:rPr>
      </w:pPr>
      <w:r>
        <w:rPr>
          <w:sz w:val="24"/>
          <w:lang w:val="en-US"/>
        </w:rPr>
        <w:t xml:space="preserve">Staff’s attempts at </w:t>
      </w:r>
      <w:r w:rsidR="00433168">
        <w:rPr>
          <w:sz w:val="24"/>
          <w:lang w:val="en-US"/>
        </w:rPr>
        <w:t xml:space="preserve">discovery </w:t>
      </w:r>
      <w:r>
        <w:rPr>
          <w:sz w:val="24"/>
          <w:lang w:val="en-US"/>
        </w:rPr>
        <w:t xml:space="preserve">resulted in </w:t>
      </w:r>
      <w:r w:rsidR="00C72A78">
        <w:rPr>
          <w:sz w:val="24"/>
          <w:lang w:val="en-US"/>
        </w:rPr>
        <w:t xml:space="preserve">even less confidence </w:t>
      </w:r>
      <w:r w:rsidR="009240C4">
        <w:rPr>
          <w:sz w:val="24"/>
          <w:lang w:val="en-US"/>
        </w:rPr>
        <w:t xml:space="preserve">in </w:t>
      </w:r>
      <w:r w:rsidR="00C72A78">
        <w:rPr>
          <w:sz w:val="24"/>
          <w:lang w:val="en-US"/>
        </w:rPr>
        <w:t xml:space="preserve">the Company’s </w:t>
      </w:r>
      <w:r w:rsidR="009240C4">
        <w:rPr>
          <w:sz w:val="24"/>
          <w:lang w:val="en-US"/>
        </w:rPr>
        <w:t xml:space="preserve">ability to accurately </w:t>
      </w:r>
      <w:r w:rsidR="00C72A78">
        <w:rPr>
          <w:sz w:val="24"/>
          <w:lang w:val="en-US"/>
        </w:rPr>
        <w:t>forecast</w:t>
      </w:r>
      <w:r w:rsidR="009240C4">
        <w:rPr>
          <w:sz w:val="24"/>
          <w:lang w:val="en-US"/>
        </w:rPr>
        <w:t xml:space="preserve"> </w:t>
      </w:r>
      <w:r w:rsidR="008D23DB">
        <w:rPr>
          <w:sz w:val="24"/>
          <w:lang w:val="en-US"/>
        </w:rPr>
        <w:t xml:space="preserve">its future capital additions for this </w:t>
      </w:r>
      <w:r w:rsidR="00682B94">
        <w:rPr>
          <w:sz w:val="24"/>
          <w:lang w:val="en-US"/>
        </w:rPr>
        <w:t>ER</w:t>
      </w:r>
      <w:r w:rsidR="008D23DB">
        <w:rPr>
          <w:sz w:val="24"/>
          <w:lang w:val="en-US"/>
        </w:rPr>
        <w:t xml:space="preserve"> at th</w:t>
      </w:r>
      <w:r w:rsidR="00691375">
        <w:rPr>
          <w:sz w:val="24"/>
          <w:lang w:val="en-US"/>
        </w:rPr>
        <w:t>e level of precision required for</w:t>
      </w:r>
      <w:r w:rsidR="008D23DB">
        <w:rPr>
          <w:sz w:val="24"/>
          <w:lang w:val="en-US"/>
        </w:rPr>
        <w:t xml:space="preserve"> the known and measurable standard</w:t>
      </w:r>
      <w:r w:rsidR="003C3A43">
        <w:rPr>
          <w:sz w:val="24"/>
          <w:lang w:val="en-US"/>
        </w:rPr>
        <w:t xml:space="preserve">.  Staff has </w:t>
      </w:r>
      <w:r w:rsidR="00C72A78">
        <w:rPr>
          <w:sz w:val="24"/>
          <w:lang w:val="en-US"/>
        </w:rPr>
        <w:t xml:space="preserve">no other option than to recommend </w:t>
      </w:r>
      <w:r w:rsidR="00691375">
        <w:rPr>
          <w:sz w:val="24"/>
          <w:lang w:val="en-US"/>
        </w:rPr>
        <w:t xml:space="preserve">that </w:t>
      </w:r>
      <w:r w:rsidR="00C72A78">
        <w:rPr>
          <w:sz w:val="24"/>
          <w:lang w:val="en-US"/>
        </w:rPr>
        <w:t xml:space="preserve">the Commission only allow the </w:t>
      </w:r>
      <w:r w:rsidR="006F68EC">
        <w:rPr>
          <w:sz w:val="24"/>
          <w:lang w:val="en-US"/>
        </w:rPr>
        <w:t>$</w:t>
      </w:r>
      <w:r w:rsidR="001E327A">
        <w:rPr>
          <w:sz w:val="24"/>
          <w:lang w:val="en-US"/>
        </w:rPr>
        <w:t>6</w:t>
      </w:r>
      <w:r w:rsidR="006F68EC">
        <w:rPr>
          <w:sz w:val="24"/>
          <w:lang w:val="en-US"/>
        </w:rPr>
        <w:t>.</w:t>
      </w:r>
      <w:r w:rsidR="001E327A">
        <w:rPr>
          <w:sz w:val="24"/>
          <w:lang w:val="en-US"/>
        </w:rPr>
        <w:t>4</w:t>
      </w:r>
      <w:r w:rsidR="006F68EC">
        <w:rPr>
          <w:sz w:val="24"/>
          <w:lang w:val="en-US"/>
        </w:rPr>
        <w:t xml:space="preserve"> million </w:t>
      </w:r>
      <w:r w:rsidR="001E327A">
        <w:rPr>
          <w:sz w:val="24"/>
          <w:lang w:val="en-US"/>
        </w:rPr>
        <w:t xml:space="preserve">in </w:t>
      </w:r>
      <w:r w:rsidR="003C3A43">
        <w:rPr>
          <w:sz w:val="24"/>
          <w:lang w:val="en-US"/>
        </w:rPr>
        <w:t xml:space="preserve">2015 </w:t>
      </w:r>
      <w:r w:rsidR="00773108">
        <w:rPr>
          <w:sz w:val="24"/>
          <w:lang w:val="en-US"/>
        </w:rPr>
        <w:t>Washington-allocated</w:t>
      </w:r>
      <w:r w:rsidR="00BA39B0">
        <w:rPr>
          <w:sz w:val="24"/>
          <w:lang w:val="en-US"/>
        </w:rPr>
        <w:t xml:space="preserve"> </w:t>
      </w:r>
      <w:r w:rsidR="001E327A">
        <w:rPr>
          <w:sz w:val="24"/>
          <w:lang w:val="en-US"/>
        </w:rPr>
        <w:t xml:space="preserve">actual transfers to plant </w:t>
      </w:r>
      <w:r w:rsidR="00C72A78">
        <w:rPr>
          <w:sz w:val="24"/>
          <w:lang w:val="en-US"/>
        </w:rPr>
        <w:t>in</w:t>
      </w:r>
      <w:r w:rsidR="003C3A43">
        <w:rPr>
          <w:sz w:val="24"/>
          <w:lang w:val="en-US"/>
        </w:rPr>
        <w:t>to</w:t>
      </w:r>
      <w:r w:rsidR="00C72A78">
        <w:rPr>
          <w:sz w:val="24"/>
          <w:lang w:val="en-US"/>
        </w:rPr>
        <w:t xml:space="preserve"> rate base</w:t>
      </w:r>
      <w:r w:rsidR="008A4DE3">
        <w:rPr>
          <w:sz w:val="24"/>
          <w:lang w:val="en-US"/>
        </w:rPr>
        <w:t xml:space="preserve"> provided by the Company in its </w:t>
      </w:r>
      <w:r w:rsidR="00CE09EA">
        <w:rPr>
          <w:sz w:val="24"/>
          <w:lang w:val="en-US"/>
        </w:rPr>
        <w:t xml:space="preserve">July 10, 2015, supplemental </w:t>
      </w:r>
      <w:r w:rsidR="008A4DE3">
        <w:rPr>
          <w:sz w:val="24"/>
          <w:lang w:val="en-US"/>
        </w:rPr>
        <w:t>response to Staff’s D</w:t>
      </w:r>
      <w:r w:rsidR="00DD5207">
        <w:rPr>
          <w:sz w:val="24"/>
          <w:lang w:val="en-US"/>
        </w:rPr>
        <w:t xml:space="preserve">ata </w:t>
      </w:r>
      <w:r w:rsidR="008A4DE3">
        <w:rPr>
          <w:sz w:val="24"/>
          <w:lang w:val="en-US"/>
        </w:rPr>
        <w:t>R</w:t>
      </w:r>
      <w:r w:rsidR="00DD5207">
        <w:rPr>
          <w:sz w:val="24"/>
          <w:lang w:val="en-US"/>
        </w:rPr>
        <w:t>equest</w:t>
      </w:r>
      <w:r w:rsidR="008A4DE3">
        <w:rPr>
          <w:sz w:val="24"/>
          <w:lang w:val="en-US"/>
        </w:rPr>
        <w:t xml:space="preserve"> No. 143, Attachment B</w:t>
      </w:r>
      <w:r w:rsidR="006F68EC">
        <w:rPr>
          <w:sz w:val="24"/>
          <w:lang w:val="en-US"/>
        </w:rPr>
        <w:t>.</w:t>
      </w:r>
      <w:r w:rsidR="00BA3048">
        <w:rPr>
          <w:sz w:val="24"/>
          <w:lang w:val="en-US"/>
        </w:rPr>
        <w:t xml:space="preserve"> </w:t>
      </w:r>
      <w:r w:rsidR="002251A3">
        <w:rPr>
          <w:sz w:val="24"/>
          <w:lang w:val="en-US"/>
        </w:rPr>
        <w:t xml:space="preserve"> </w:t>
      </w:r>
    </w:p>
    <w:p w14:paraId="2783B436" w14:textId="77777777" w:rsidR="006E3B89" w:rsidRDefault="006E3B89" w:rsidP="00425F7D">
      <w:pPr>
        <w:pStyle w:val="BodyTextIndent"/>
        <w:rPr>
          <w:sz w:val="24"/>
        </w:rPr>
      </w:pPr>
    </w:p>
    <w:p w14:paraId="729CD975" w14:textId="58DF1664" w:rsidR="00987FCE" w:rsidRDefault="00987FCE" w:rsidP="00425F7D">
      <w:pPr>
        <w:pStyle w:val="BodyTextIndent"/>
        <w:rPr>
          <w:b/>
          <w:sz w:val="24"/>
        </w:rPr>
      </w:pPr>
      <w:r>
        <w:rPr>
          <w:b/>
          <w:sz w:val="24"/>
          <w:lang w:val="en-US"/>
        </w:rPr>
        <w:lastRenderedPageBreak/>
        <w:t>Q.</w:t>
      </w:r>
      <w:r>
        <w:rPr>
          <w:b/>
          <w:sz w:val="24"/>
          <w:lang w:val="en-US"/>
        </w:rPr>
        <w:tab/>
      </w:r>
      <w:r w:rsidR="00DD02D3">
        <w:rPr>
          <w:b/>
          <w:sz w:val="24"/>
          <w:lang w:val="en-US"/>
        </w:rPr>
        <w:t xml:space="preserve">Please explain further your concerns regarding Ms. Schuh’s </w:t>
      </w:r>
      <w:r w:rsidR="00691375">
        <w:rPr>
          <w:b/>
          <w:sz w:val="24"/>
          <w:lang w:val="en-US"/>
        </w:rPr>
        <w:t>response to your d</w:t>
      </w:r>
      <w:r w:rsidR="00DD5207">
        <w:rPr>
          <w:b/>
          <w:sz w:val="24"/>
          <w:lang w:val="en-US"/>
        </w:rPr>
        <w:t xml:space="preserve">ata </w:t>
      </w:r>
      <w:r w:rsidR="00691375">
        <w:rPr>
          <w:b/>
          <w:sz w:val="24"/>
          <w:lang w:val="en-US"/>
        </w:rPr>
        <w:t>r</w:t>
      </w:r>
      <w:r w:rsidR="00DD5207">
        <w:rPr>
          <w:b/>
          <w:sz w:val="24"/>
          <w:lang w:val="en-US"/>
        </w:rPr>
        <w:t>equest</w:t>
      </w:r>
      <w:r w:rsidR="00E618A5">
        <w:rPr>
          <w:b/>
          <w:sz w:val="24"/>
          <w:lang w:val="en-US"/>
        </w:rPr>
        <w:t xml:space="preserve"> about Avista’s </w:t>
      </w:r>
      <w:r w:rsidR="00DD02D3">
        <w:rPr>
          <w:b/>
          <w:sz w:val="24"/>
          <w:lang w:val="en-US"/>
        </w:rPr>
        <w:t>2015 pro forma estimates of transfers to plant for the CFSA.</w:t>
      </w:r>
    </w:p>
    <w:p w14:paraId="40DCD645" w14:textId="44104852" w:rsidR="00856586" w:rsidRDefault="00987FCE" w:rsidP="00425F7D">
      <w:pPr>
        <w:pStyle w:val="BodyTextIndent"/>
        <w:rPr>
          <w:sz w:val="24"/>
          <w:lang w:val="en-US"/>
        </w:rPr>
      </w:pPr>
      <w:r>
        <w:rPr>
          <w:sz w:val="24"/>
          <w:lang w:val="en-US"/>
        </w:rPr>
        <w:t>A.</w:t>
      </w:r>
      <w:r>
        <w:rPr>
          <w:sz w:val="24"/>
          <w:lang w:val="en-US"/>
        </w:rPr>
        <w:tab/>
      </w:r>
      <w:r w:rsidR="00DD02D3" w:rsidRPr="00DD02D3">
        <w:rPr>
          <w:sz w:val="24"/>
          <w:lang w:val="en-US"/>
        </w:rPr>
        <w:t xml:space="preserve">In the last case, </w:t>
      </w:r>
      <w:r w:rsidR="00114275">
        <w:rPr>
          <w:sz w:val="24"/>
          <w:lang w:val="en-US"/>
        </w:rPr>
        <w:t xml:space="preserve">Avista </w:t>
      </w:r>
      <w:r w:rsidR="00DD02D3" w:rsidRPr="00DD02D3">
        <w:rPr>
          <w:sz w:val="24"/>
          <w:lang w:val="en-US"/>
        </w:rPr>
        <w:t xml:space="preserve">forecasted </w:t>
      </w:r>
      <w:r w:rsidR="00CA05D0">
        <w:rPr>
          <w:sz w:val="24"/>
          <w:lang w:val="en-US"/>
        </w:rPr>
        <w:t xml:space="preserve">a </w:t>
      </w:r>
      <w:r w:rsidR="00114275">
        <w:rPr>
          <w:sz w:val="24"/>
          <w:lang w:val="en-US"/>
        </w:rPr>
        <w:t xml:space="preserve">2015 </w:t>
      </w:r>
      <w:r w:rsidR="00FC22A2">
        <w:rPr>
          <w:sz w:val="24"/>
          <w:lang w:val="en-US"/>
        </w:rPr>
        <w:t>system-level</w:t>
      </w:r>
      <w:r w:rsidR="00CF6572">
        <w:rPr>
          <w:sz w:val="24"/>
          <w:lang w:val="en-US"/>
        </w:rPr>
        <w:t xml:space="preserve"> </w:t>
      </w:r>
      <w:r w:rsidR="00DD02D3" w:rsidRPr="00DD02D3">
        <w:rPr>
          <w:sz w:val="24"/>
          <w:lang w:val="en-US"/>
        </w:rPr>
        <w:t xml:space="preserve">transfer to plant for the CFSA </w:t>
      </w:r>
      <w:r w:rsidR="00CA05D0">
        <w:rPr>
          <w:sz w:val="24"/>
          <w:lang w:val="en-US"/>
        </w:rPr>
        <w:t xml:space="preserve">of </w:t>
      </w:r>
      <w:r w:rsidR="00DD02D3" w:rsidRPr="00DD02D3">
        <w:rPr>
          <w:sz w:val="24"/>
          <w:lang w:val="en-US"/>
        </w:rPr>
        <w:t>$7</w:t>
      </w:r>
      <w:r w:rsidR="00ED3FBA">
        <w:rPr>
          <w:sz w:val="24"/>
          <w:lang w:val="en-US"/>
        </w:rPr>
        <w:t>.1 million</w:t>
      </w:r>
      <w:r w:rsidR="00DD02D3" w:rsidRPr="00DD02D3">
        <w:rPr>
          <w:sz w:val="24"/>
          <w:lang w:val="en-US"/>
        </w:rPr>
        <w:t xml:space="preserve"> and</w:t>
      </w:r>
      <w:r w:rsidR="000941B4">
        <w:rPr>
          <w:sz w:val="24"/>
          <w:lang w:val="en-US"/>
        </w:rPr>
        <w:t xml:space="preserve"> $21</w:t>
      </w:r>
      <w:r w:rsidR="00ED3FBA">
        <w:rPr>
          <w:sz w:val="24"/>
          <w:lang w:val="en-US"/>
        </w:rPr>
        <w:t>.</w:t>
      </w:r>
      <w:r w:rsidR="000941B4">
        <w:rPr>
          <w:sz w:val="24"/>
          <w:lang w:val="en-US"/>
        </w:rPr>
        <w:t xml:space="preserve">9 </w:t>
      </w:r>
      <w:r w:rsidR="005B5713">
        <w:rPr>
          <w:sz w:val="24"/>
          <w:lang w:val="en-US"/>
        </w:rPr>
        <w:t xml:space="preserve">million </w:t>
      </w:r>
      <w:r w:rsidR="000941B4">
        <w:rPr>
          <w:sz w:val="24"/>
          <w:lang w:val="en-US"/>
        </w:rPr>
        <w:t>for 2016.</w:t>
      </w:r>
      <w:r w:rsidR="00114275">
        <w:rPr>
          <w:rStyle w:val="FootnoteReference"/>
          <w:sz w:val="24"/>
          <w:lang w:val="en-US"/>
        </w:rPr>
        <w:footnoteReference w:id="41"/>
      </w:r>
      <w:r w:rsidR="000941B4">
        <w:rPr>
          <w:sz w:val="24"/>
          <w:lang w:val="en-US"/>
        </w:rPr>
        <w:t xml:space="preserve">  </w:t>
      </w:r>
      <w:r w:rsidR="00DD02D3" w:rsidRPr="00DD02D3">
        <w:rPr>
          <w:sz w:val="24"/>
          <w:lang w:val="en-US"/>
        </w:rPr>
        <w:t>The amount forecasted to transfer to plant for the same two-year period in this case is $</w:t>
      </w:r>
      <w:r w:rsidR="00FD24F9">
        <w:rPr>
          <w:sz w:val="24"/>
          <w:lang w:val="en-US"/>
        </w:rPr>
        <w:t>8.9</w:t>
      </w:r>
      <w:r w:rsidR="00DD02D3" w:rsidRPr="00DD02D3">
        <w:rPr>
          <w:sz w:val="24"/>
          <w:lang w:val="en-US"/>
        </w:rPr>
        <w:t xml:space="preserve"> </w:t>
      </w:r>
      <w:r w:rsidR="00ED3FBA">
        <w:rPr>
          <w:sz w:val="24"/>
          <w:lang w:val="en-US"/>
        </w:rPr>
        <w:t xml:space="preserve">million </w:t>
      </w:r>
      <w:r w:rsidR="00DD02D3" w:rsidRPr="00DD02D3">
        <w:rPr>
          <w:sz w:val="24"/>
          <w:lang w:val="en-US"/>
        </w:rPr>
        <w:t>lower than what w</w:t>
      </w:r>
      <w:r w:rsidR="000941B4">
        <w:rPr>
          <w:sz w:val="24"/>
          <w:lang w:val="en-US"/>
        </w:rPr>
        <w:t>as forecasted in the last case.</w:t>
      </w:r>
      <w:r w:rsidR="00114275">
        <w:rPr>
          <w:rStyle w:val="FootnoteReference"/>
          <w:sz w:val="24"/>
          <w:lang w:val="en-US"/>
        </w:rPr>
        <w:footnoteReference w:id="42"/>
      </w:r>
      <w:r w:rsidR="000941B4">
        <w:rPr>
          <w:sz w:val="24"/>
          <w:lang w:val="en-US"/>
        </w:rPr>
        <w:t xml:space="preserve">  </w:t>
      </w:r>
      <w:r w:rsidR="00DD02D3" w:rsidRPr="00DD02D3">
        <w:rPr>
          <w:sz w:val="24"/>
          <w:lang w:val="en-US"/>
        </w:rPr>
        <w:t>For 2014, the actual amount transferred to plant was $1.1 million lower than forecasted by the Company in UE-140188.</w:t>
      </w:r>
      <w:r w:rsidR="00856586">
        <w:rPr>
          <w:sz w:val="24"/>
          <w:lang w:val="en-US"/>
        </w:rPr>
        <w:t xml:space="preserve">  When asked by Staff in D</w:t>
      </w:r>
      <w:r w:rsidR="00DD5207">
        <w:rPr>
          <w:sz w:val="24"/>
          <w:lang w:val="en-US"/>
        </w:rPr>
        <w:t xml:space="preserve">ata </w:t>
      </w:r>
      <w:r w:rsidR="00856586">
        <w:rPr>
          <w:sz w:val="24"/>
          <w:lang w:val="en-US"/>
        </w:rPr>
        <w:t>R</w:t>
      </w:r>
      <w:r w:rsidR="00DD5207">
        <w:rPr>
          <w:sz w:val="24"/>
          <w:lang w:val="en-US"/>
        </w:rPr>
        <w:t>equest</w:t>
      </w:r>
      <w:r w:rsidR="00856586">
        <w:rPr>
          <w:sz w:val="24"/>
          <w:lang w:val="en-US"/>
        </w:rPr>
        <w:t xml:space="preserve"> No. 133 to explain these </w:t>
      </w:r>
      <w:r w:rsidR="00CA05D0">
        <w:rPr>
          <w:sz w:val="24"/>
          <w:lang w:val="en-US"/>
        </w:rPr>
        <w:t>fluctuations</w:t>
      </w:r>
      <w:r w:rsidR="00856586">
        <w:rPr>
          <w:sz w:val="24"/>
          <w:lang w:val="en-US"/>
        </w:rPr>
        <w:t>, Avista’s response was as follows:</w:t>
      </w:r>
    </w:p>
    <w:p w14:paraId="2A5B2213" w14:textId="74780119" w:rsidR="00987FCE" w:rsidRDefault="00856586" w:rsidP="00425F7D">
      <w:pPr>
        <w:pStyle w:val="BodyTextIndent"/>
        <w:spacing w:line="240" w:lineRule="auto"/>
        <w:ind w:left="1170" w:hanging="634"/>
        <w:rPr>
          <w:sz w:val="24"/>
          <w:lang w:val="en-US"/>
        </w:rPr>
      </w:pPr>
      <w:r>
        <w:rPr>
          <w:sz w:val="24"/>
          <w:lang w:val="en-US"/>
        </w:rPr>
        <w:tab/>
        <w:t>“</w:t>
      </w:r>
      <w:r w:rsidRPr="00856586">
        <w:rPr>
          <w:sz w:val="24"/>
          <w:lang w:val="en-US"/>
        </w:rPr>
        <w:t xml:space="preserve">The amounts forecasted in the last general rate case and the amounts forecasted in this case have changed mainly due to the timing difference in the internal budgeting process for Avista being completed in November of the previous year and the final budget with the </w:t>
      </w:r>
      <w:r w:rsidR="006C27CB">
        <w:rPr>
          <w:sz w:val="24"/>
          <w:lang w:val="en-US"/>
        </w:rPr>
        <w:t xml:space="preserve">[CFSA] </w:t>
      </w:r>
      <w:r w:rsidRPr="00856586">
        <w:rPr>
          <w:sz w:val="24"/>
          <w:lang w:val="en-US"/>
        </w:rPr>
        <w:t>management committee being completed in March of the following year. Also, the transfer to plant amounts in recent years have varied due to the delay of the Fish passage projects.</w:t>
      </w:r>
      <w:r>
        <w:rPr>
          <w:sz w:val="24"/>
          <w:lang w:val="en-US"/>
        </w:rPr>
        <w:t>”</w:t>
      </w:r>
      <w:r w:rsidR="005A7F60">
        <w:rPr>
          <w:rStyle w:val="FootnoteReference"/>
          <w:sz w:val="24"/>
          <w:lang w:val="en-US"/>
        </w:rPr>
        <w:footnoteReference w:id="43"/>
      </w:r>
    </w:p>
    <w:p w14:paraId="36D06475" w14:textId="58158A36" w:rsidR="00425F7D" w:rsidRDefault="00425F7D" w:rsidP="00425F7D">
      <w:pPr>
        <w:pStyle w:val="BodyTextIndent"/>
        <w:spacing w:line="240" w:lineRule="auto"/>
        <w:ind w:left="1170" w:hanging="634"/>
        <w:rPr>
          <w:b/>
          <w:sz w:val="24"/>
        </w:rPr>
      </w:pPr>
    </w:p>
    <w:p w14:paraId="39FA72DE" w14:textId="77777777" w:rsidR="00425F7D" w:rsidRDefault="00425F7D" w:rsidP="00425F7D">
      <w:pPr>
        <w:pStyle w:val="BodyTextIndent"/>
        <w:spacing w:line="240" w:lineRule="auto"/>
        <w:ind w:left="1170" w:hanging="634"/>
        <w:rPr>
          <w:b/>
          <w:sz w:val="24"/>
        </w:rPr>
      </w:pPr>
    </w:p>
    <w:p w14:paraId="0E7C7893" w14:textId="77777777" w:rsidR="00A66C3E" w:rsidRDefault="00F2575D" w:rsidP="00425F7D">
      <w:pPr>
        <w:pStyle w:val="BodyTextIndent"/>
        <w:rPr>
          <w:sz w:val="24"/>
          <w:lang w:val="en-US"/>
        </w:rPr>
      </w:pPr>
      <w:r>
        <w:rPr>
          <w:b/>
          <w:sz w:val="24"/>
          <w:lang w:val="en-US"/>
        </w:rPr>
        <w:tab/>
      </w:r>
      <w:r w:rsidR="00DE52C4">
        <w:rPr>
          <w:sz w:val="24"/>
          <w:lang w:val="en-US"/>
        </w:rPr>
        <w:t xml:space="preserve">Again, not a single word of </w:t>
      </w:r>
      <w:r w:rsidR="00280CF2">
        <w:rPr>
          <w:sz w:val="24"/>
          <w:lang w:val="en-US"/>
        </w:rPr>
        <w:t xml:space="preserve">the response above was included anywhere in Avista’s direct </w:t>
      </w:r>
      <w:r w:rsidR="00DE52C4">
        <w:rPr>
          <w:sz w:val="24"/>
          <w:lang w:val="en-US"/>
        </w:rPr>
        <w:t xml:space="preserve">testimony to help Staff evaluate </w:t>
      </w:r>
      <w:r w:rsidR="00347342">
        <w:rPr>
          <w:sz w:val="24"/>
          <w:lang w:val="en-US"/>
        </w:rPr>
        <w:t xml:space="preserve">the Company’s </w:t>
      </w:r>
      <w:r w:rsidR="00DE52C4">
        <w:rPr>
          <w:sz w:val="24"/>
          <w:lang w:val="en-US"/>
        </w:rPr>
        <w:t>pro forma estimates for th</w:t>
      </w:r>
      <w:r w:rsidR="00F143AA">
        <w:rPr>
          <w:sz w:val="24"/>
          <w:lang w:val="en-US"/>
        </w:rPr>
        <w:t xml:space="preserve">e CFSA </w:t>
      </w:r>
      <w:r w:rsidR="00682B94">
        <w:rPr>
          <w:sz w:val="24"/>
          <w:lang w:val="en-US"/>
        </w:rPr>
        <w:t>ER</w:t>
      </w:r>
      <w:r w:rsidR="00DE52C4">
        <w:rPr>
          <w:sz w:val="24"/>
          <w:lang w:val="en-US"/>
        </w:rPr>
        <w:t xml:space="preserve">.  </w:t>
      </w:r>
    </w:p>
    <w:p w14:paraId="652DCCA6" w14:textId="0D699E99" w:rsidR="00A66C3E" w:rsidRDefault="00A66C3E" w:rsidP="00425F7D">
      <w:pPr>
        <w:pStyle w:val="BodyTextIndent"/>
        <w:ind w:firstLine="720"/>
        <w:rPr>
          <w:sz w:val="24"/>
          <w:lang w:val="en-US"/>
        </w:rPr>
      </w:pPr>
      <w:r>
        <w:rPr>
          <w:sz w:val="24"/>
          <w:lang w:val="en-US"/>
        </w:rPr>
        <w:lastRenderedPageBreak/>
        <w:t>Staff interpre</w:t>
      </w:r>
      <w:r w:rsidR="00691375">
        <w:rPr>
          <w:sz w:val="24"/>
          <w:lang w:val="en-US"/>
        </w:rPr>
        <w:t>ts Avista’s explanation in its d</w:t>
      </w:r>
      <w:r w:rsidR="00DD5207">
        <w:rPr>
          <w:sz w:val="24"/>
          <w:lang w:val="en-US"/>
        </w:rPr>
        <w:t xml:space="preserve">ata </w:t>
      </w:r>
      <w:r w:rsidR="00691375">
        <w:rPr>
          <w:sz w:val="24"/>
          <w:lang w:val="en-US"/>
        </w:rPr>
        <w:t>r</w:t>
      </w:r>
      <w:r w:rsidR="00DD5207">
        <w:rPr>
          <w:sz w:val="24"/>
          <w:lang w:val="en-US"/>
        </w:rPr>
        <w:t>equest</w:t>
      </w:r>
      <w:r>
        <w:rPr>
          <w:sz w:val="24"/>
          <w:lang w:val="en-US"/>
        </w:rPr>
        <w:t xml:space="preserve"> response above to mean that no weight or confidence should be given to any Avista forecasts of pro forma capital additions for the CFSA </w:t>
      </w:r>
      <w:r w:rsidR="009D1345">
        <w:rPr>
          <w:sz w:val="24"/>
          <w:lang w:val="en-US"/>
        </w:rPr>
        <w:t xml:space="preserve">ER </w:t>
      </w:r>
      <w:r>
        <w:rPr>
          <w:sz w:val="24"/>
          <w:lang w:val="en-US"/>
        </w:rPr>
        <w:t>since they do not reflect the project’s actual management decisions regarding budgets and schedules.  Even if the forecasts did reflect the most current CFSA Management Committee’s plans and budget estimates, they would still would be estimates which</w:t>
      </w:r>
      <w:r w:rsidR="00691375">
        <w:rPr>
          <w:sz w:val="24"/>
          <w:lang w:val="en-US"/>
        </w:rPr>
        <w:t>,</w:t>
      </w:r>
      <w:r>
        <w:rPr>
          <w:sz w:val="24"/>
          <w:lang w:val="en-US"/>
        </w:rPr>
        <w:t xml:space="preserve"> Staff has found, in the case of Avista, to lack the precision required under the Commission’s known and measurable standard.</w:t>
      </w:r>
      <w:r>
        <w:rPr>
          <w:rStyle w:val="FootnoteReference"/>
          <w:sz w:val="24"/>
          <w:lang w:val="en-US"/>
        </w:rPr>
        <w:footnoteReference w:id="44"/>
      </w:r>
    </w:p>
    <w:p w14:paraId="1717B370" w14:textId="77777777" w:rsidR="00600A29" w:rsidRDefault="00886C93" w:rsidP="00425F7D">
      <w:pPr>
        <w:pStyle w:val="BodyTextIndent"/>
        <w:ind w:firstLine="720"/>
        <w:rPr>
          <w:sz w:val="24"/>
          <w:lang w:val="en-US"/>
        </w:rPr>
      </w:pPr>
      <w:r>
        <w:rPr>
          <w:sz w:val="24"/>
          <w:lang w:val="en-US"/>
        </w:rPr>
        <w:t xml:space="preserve">Staff concludes that Avista’s testimony regarding its </w:t>
      </w:r>
      <w:r w:rsidRPr="00886C93">
        <w:rPr>
          <w:sz w:val="24"/>
          <w:lang w:val="en-US"/>
        </w:rPr>
        <w:t xml:space="preserve">electric generation </w:t>
      </w:r>
      <w:r w:rsidR="002710E4">
        <w:rPr>
          <w:sz w:val="24"/>
          <w:lang w:val="en-US"/>
        </w:rPr>
        <w:t>ERs</w:t>
      </w:r>
      <w:r>
        <w:rPr>
          <w:sz w:val="24"/>
          <w:lang w:val="en-US"/>
        </w:rPr>
        <w:t xml:space="preserve"> and their contribution to rate base in this case is misleading and </w:t>
      </w:r>
      <w:r w:rsidR="0095457E">
        <w:rPr>
          <w:sz w:val="24"/>
          <w:lang w:val="en-US"/>
        </w:rPr>
        <w:t xml:space="preserve">directly contradicts </w:t>
      </w:r>
      <w:r>
        <w:rPr>
          <w:sz w:val="24"/>
          <w:lang w:val="en-US"/>
        </w:rPr>
        <w:t xml:space="preserve">Ms. Schuh’s assertion </w:t>
      </w:r>
      <w:r w:rsidR="00007A85">
        <w:rPr>
          <w:sz w:val="24"/>
          <w:lang w:val="en-US"/>
        </w:rPr>
        <w:t xml:space="preserve">of her confidence that </w:t>
      </w:r>
      <w:r w:rsidR="00BC305F">
        <w:rPr>
          <w:sz w:val="24"/>
          <w:lang w:val="en-US"/>
        </w:rPr>
        <w:t>“</w:t>
      </w:r>
      <w:r>
        <w:rPr>
          <w:sz w:val="24"/>
          <w:lang w:val="en-US"/>
        </w:rPr>
        <w:t>the capital additions that are presented in this case will actually occur.”</w:t>
      </w:r>
      <w:r>
        <w:rPr>
          <w:rStyle w:val="FootnoteReference"/>
          <w:sz w:val="24"/>
          <w:lang w:val="en-US"/>
        </w:rPr>
        <w:footnoteReference w:id="45"/>
      </w:r>
      <w:r>
        <w:rPr>
          <w:sz w:val="24"/>
          <w:lang w:val="en-US"/>
        </w:rPr>
        <w:t xml:space="preserve"> </w:t>
      </w:r>
    </w:p>
    <w:p w14:paraId="64BE0229" w14:textId="034B8A10" w:rsidR="00186997" w:rsidRDefault="00886C93" w:rsidP="00425F7D">
      <w:pPr>
        <w:pStyle w:val="BodyTextIndent"/>
        <w:ind w:firstLine="720"/>
        <w:rPr>
          <w:sz w:val="24"/>
          <w:lang w:val="en-US"/>
        </w:rPr>
      </w:pPr>
      <w:r>
        <w:rPr>
          <w:sz w:val="24"/>
          <w:lang w:val="en-US"/>
        </w:rPr>
        <w:t xml:space="preserve"> </w:t>
      </w:r>
    </w:p>
    <w:p w14:paraId="012D49CD" w14:textId="27B8CA57" w:rsidR="003144EC" w:rsidRDefault="00E8643B" w:rsidP="00425F7D">
      <w:pPr>
        <w:pStyle w:val="Heading3"/>
        <w:ind w:left="900"/>
      </w:pPr>
      <w:bookmarkStart w:id="45" w:name="_Toc425172445"/>
      <w:bookmarkStart w:id="46" w:name="_Toc425328746"/>
      <w:bookmarkStart w:id="47" w:name="_Toc425339190"/>
      <w:bookmarkStart w:id="48" w:name="_Toc425756868"/>
      <w:r>
        <w:rPr>
          <w:lang w:val="en-US"/>
        </w:rPr>
        <w:t>Aldyl-A Pipe Replacement Program</w:t>
      </w:r>
      <w:bookmarkEnd w:id="45"/>
      <w:bookmarkEnd w:id="46"/>
      <w:bookmarkEnd w:id="47"/>
      <w:bookmarkEnd w:id="48"/>
      <w:r w:rsidR="000126EE">
        <w:t xml:space="preserve">  </w:t>
      </w:r>
    </w:p>
    <w:p w14:paraId="48B10A74" w14:textId="55C0B643" w:rsidR="00F2575D" w:rsidRPr="00F2575D" w:rsidRDefault="003144EC" w:rsidP="00425F7D">
      <w:pPr>
        <w:pStyle w:val="BodyTextIndent"/>
        <w:rPr>
          <w:sz w:val="24"/>
          <w:lang w:val="en-US"/>
        </w:rPr>
      </w:pPr>
      <w:r>
        <w:rPr>
          <w:sz w:val="24"/>
          <w:lang w:val="en-US"/>
        </w:rPr>
        <w:tab/>
      </w:r>
      <w:r w:rsidR="001A7F44">
        <w:rPr>
          <w:sz w:val="24"/>
          <w:lang w:val="en-US"/>
        </w:rPr>
        <w:tab/>
      </w:r>
      <w:r>
        <w:rPr>
          <w:sz w:val="24"/>
          <w:lang w:val="en-US"/>
        </w:rPr>
        <w:tab/>
      </w:r>
      <w:r w:rsidR="006C27CB">
        <w:rPr>
          <w:sz w:val="24"/>
          <w:lang w:val="en-US"/>
        </w:rPr>
        <w:t xml:space="preserve">  </w:t>
      </w:r>
      <w:r w:rsidR="00F2575D">
        <w:rPr>
          <w:sz w:val="24"/>
          <w:lang w:val="en-US"/>
        </w:rPr>
        <w:t xml:space="preserve">   </w:t>
      </w:r>
    </w:p>
    <w:p w14:paraId="05370E52" w14:textId="6A466408" w:rsidR="00987FCE" w:rsidRDefault="00987FCE" w:rsidP="00425F7D">
      <w:pPr>
        <w:pStyle w:val="BodyTextIndent"/>
        <w:rPr>
          <w:sz w:val="24"/>
        </w:rPr>
      </w:pPr>
      <w:r>
        <w:rPr>
          <w:b/>
          <w:sz w:val="24"/>
          <w:lang w:val="en-US"/>
        </w:rPr>
        <w:t>Q.</w:t>
      </w:r>
      <w:r>
        <w:rPr>
          <w:b/>
          <w:sz w:val="24"/>
          <w:lang w:val="en-US"/>
        </w:rPr>
        <w:tab/>
      </w:r>
      <w:r w:rsidR="00811BA9">
        <w:rPr>
          <w:b/>
          <w:sz w:val="24"/>
          <w:lang w:val="en-US"/>
        </w:rPr>
        <w:t xml:space="preserve">Turning now to </w:t>
      </w:r>
      <w:r w:rsidR="009F766C">
        <w:rPr>
          <w:b/>
          <w:sz w:val="24"/>
          <w:lang w:val="en-US"/>
        </w:rPr>
        <w:t xml:space="preserve">the </w:t>
      </w:r>
      <w:r w:rsidR="00FE48FE">
        <w:rPr>
          <w:b/>
          <w:sz w:val="24"/>
          <w:lang w:val="en-US"/>
        </w:rPr>
        <w:t xml:space="preserve">major capital additions for the </w:t>
      </w:r>
      <w:r w:rsidR="00811BA9">
        <w:rPr>
          <w:b/>
          <w:sz w:val="24"/>
          <w:lang w:val="en-US"/>
        </w:rPr>
        <w:t xml:space="preserve">Company’s gas service </w:t>
      </w:r>
      <w:r w:rsidR="00FE48FE">
        <w:rPr>
          <w:b/>
          <w:sz w:val="24"/>
          <w:lang w:val="en-US"/>
        </w:rPr>
        <w:t xml:space="preserve">in </w:t>
      </w:r>
      <w:r w:rsidR="00811BA9">
        <w:rPr>
          <w:b/>
          <w:sz w:val="24"/>
          <w:lang w:val="en-US"/>
        </w:rPr>
        <w:t xml:space="preserve">this case, </w:t>
      </w:r>
      <w:r w:rsidR="00FE48FE">
        <w:rPr>
          <w:b/>
          <w:sz w:val="24"/>
          <w:lang w:val="en-US"/>
        </w:rPr>
        <w:t xml:space="preserve">Avista’s </w:t>
      </w:r>
      <w:r w:rsidR="00811BA9">
        <w:rPr>
          <w:b/>
          <w:sz w:val="24"/>
          <w:lang w:val="en-US"/>
        </w:rPr>
        <w:t xml:space="preserve">revised </w:t>
      </w:r>
      <w:r w:rsidR="00773108">
        <w:rPr>
          <w:b/>
          <w:sz w:val="24"/>
          <w:lang w:val="en-US"/>
        </w:rPr>
        <w:t>Washington-allocated</w:t>
      </w:r>
      <w:r w:rsidR="001A4A3B">
        <w:rPr>
          <w:b/>
          <w:sz w:val="24"/>
          <w:lang w:val="en-US"/>
        </w:rPr>
        <w:t xml:space="preserve"> </w:t>
      </w:r>
      <w:r w:rsidR="00811BA9">
        <w:rPr>
          <w:b/>
          <w:sz w:val="24"/>
          <w:lang w:val="en-US"/>
        </w:rPr>
        <w:t xml:space="preserve">forecast of its 2015 </w:t>
      </w:r>
      <w:r w:rsidR="00FE48FE">
        <w:rPr>
          <w:b/>
          <w:sz w:val="24"/>
          <w:lang w:val="en-US"/>
        </w:rPr>
        <w:t xml:space="preserve">pro forma </w:t>
      </w:r>
      <w:r w:rsidR="00811BA9">
        <w:rPr>
          <w:b/>
          <w:sz w:val="24"/>
          <w:lang w:val="en-US"/>
        </w:rPr>
        <w:t>transfer to plan</w:t>
      </w:r>
      <w:r w:rsidR="00FE48FE">
        <w:rPr>
          <w:b/>
          <w:sz w:val="24"/>
          <w:lang w:val="en-US"/>
        </w:rPr>
        <w:t>t</w:t>
      </w:r>
      <w:r w:rsidR="00811BA9">
        <w:rPr>
          <w:b/>
          <w:sz w:val="24"/>
          <w:lang w:val="en-US"/>
        </w:rPr>
        <w:t xml:space="preserve"> amounts for its Aldyl-A Pipe replacement program </w:t>
      </w:r>
      <w:r w:rsidR="00675340">
        <w:rPr>
          <w:b/>
          <w:sz w:val="24"/>
          <w:lang w:val="en-US"/>
        </w:rPr>
        <w:t xml:space="preserve">(Aldyl-A) </w:t>
      </w:r>
      <w:r w:rsidR="00811BA9">
        <w:rPr>
          <w:b/>
          <w:sz w:val="24"/>
          <w:lang w:val="en-US"/>
        </w:rPr>
        <w:lastRenderedPageBreak/>
        <w:t xml:space="preserve">stands at </w:t>
      </w:r>
      <w:r w:rsidR="001A4A3B">
        <w:rPr>
          <w:b/>
          <w:sz w:val="24"/>
          <w:lang w:val="en-US"/>
        </w:rPr>
        <w:t xml:space="preserve">slightly under </w:t>
      </w:r>
      <w:r w:rsidR="00811BA9">
        <w:rPr>
          <w:b/>
          <w:sz w:val="24"/>
          <w:lang w:val="en-US"/>
        </w:rPr>
        <w:t>$</w:t>
      </w:r>
      <w:r w:rsidR="001A4A3B">
        <w:rPr>
          <w:b/>
          <w:sz w:val="24"/>
          <w:lang w:val="en-US"/>
        </w:rPr>
        <w:t>7</w:t>
      </w:r>
      <w:r w:rsidR="00811BA9">
        <w:rPr>
          <w:b/>
          <w:sz w:val="24"/>
          <w:lang w:val="en-US"/>
        </w:rPr>
        <w:t>.</w:t>
      </w:r>
      <w:r w:rsidR="001A4A3B">
        <w:rPr>
          <w:b/>
          <w:sz w:val="24"/>
          <w:lang w:val="en-US"/>
        </w:rPr>
        <w:t>0</w:t>
      </w:r>
      <w:r w:rsidR="00811BA9">
        <w:rPr>
          <w:b/>
          <w:sz w:val="24"/>
          <w:lang w:val="en-US"/>
        </w:rPr>
        <w:t xml:space="preserve"> million.  Has the Company provided sufficient evidence to allow this amount in rate</w:t>
      </w:r>
      <w:r w:rsidR="009F766C">
        <w:rPr>
          <w:b/>
          <w:sz w:val="24"/>
          <w:lang w:val="en-US"/>
        </w:rPr>
        <w:t xml:space="preserve"> base</w:t>
      </w:r>
      <w:r w:rsidR="00811BA9">
        <w:rPr>
          <w:b/>
          <w:sz w:val="24"/>
          <w:lang w:val="en-US"/>
        </w:rPr>
        <w:t xml:space="preserve">? </w:t>
      </w:r>
    </w:p>
    <w:p w14:paraId="249C846D" w14:textId="673A26AE" w:rsidR="00CE0A52" w:rsidRDefault="00987FCE" w:rsidP="00425F7D">
      <w:pPr>
        <w:pStyle w:val="BodyTextIndent"/>
        <w:rPr>
          <w:sz w:val="24"/>
          <w:lang w:val="en-US"/>
        </w:rPr>
      </w:pPr>
      <w:r>
        <w:rPr>
          <w:sz w:val="24"/>
          <w:lang w:val="en-US"/>
        </w:rPr>
        <w:t>A.</w:t>
      </w:r>
      <w:r>
        <w:rPr>
          <w:sz w:val="24"/>
          <w:lang w:val="en-US"/>
        </w:rPr>
        <w:tab/>
      </w:r>
      <w:r w:rsidR="00F65419">
        <w:rPr>
          <w:sz w:val="24"/>
          <w:lang w:val="en-US"/>
        </w:rPr>
        <w:t xml:space="preserve">Partly.  </w:t>
      </w:r>
      <w:r>
        <w:rPr>
          <w:sz w:val="24"/>
          <w:lang w:val="en-US"/>
        </w:rPr>
        <w:t xml:space="preserve">The Company’s </w:t>
      </w:r>
      <w:r w:rsidR="00215118">
        <w:rPr>
          <w:sz w:val="24"/>
          <w:lang w:val="en-US"/>
        </w:rPr>
        <w:t>original filing had forecasted</w:t>
      </w:r>
      <w:r w:rsidR="002C2636">
        <w:rPr>
          <w:sz w:val="24"/>
          <w:lang w:val="en-US"/>
        </w:rPr>
        <w:t>,</w:t>
      </w:r>
      <w:r w:rsidR="00215118">
        <w:rPr>
          <w:sz w:val="24"/>
          <w:lang w:val="en-US"/>
        </w:rPr>
        <w:t xml:space="preserve"> </w:t>
      </w:r>
      <w:r w:rsidR="009F766C">
        <w:rPr>
          <w:sz w:val="24"/>
          <w:lang w:val="en-US"/>
        </w:rPr>
        <w:t>for Aldyl-A</w:t>
      </w:r>
      <w:r w:rsidR="002C2636">
        <w:rPr>
          <w:sz w:val="24"/>
          <w:lang w:val="en-US"/>
        </w:rPr>
        <w:t>,</w:t>
      </w:r>
      <w:r w:rsidR="009F766C">
        <w:rPr>
          <w:sz w:val="24"/>
          <w:lang w:val="en-US"/>
        </w:rPr>
        <w:t xml:space="preserve"> </w:t>
      </w:r>
      <w:r w:rsidR="00215118">
        <w:rPr>
          <w:sz w:val="24"/>
          <w:lang w:val="en-US"/>
        </w:rPr>
        <w:t xml:space="preserve">a </w:t>
      </w:r>
      <w:r w:rsidR="00773108">
        <w:rPr>
          <w:sz w:val="24"/>
          <w:lang w:val="en-US"/>
        </w:rPr>
        <w:t>Washington-allocated</w:t>
      </w:r>
      <w:r w:rsidR="001A4A3B">
        <w:rPr>
          <w:sz w:val="24"/>
          <w:lang w:val="en-US"/>
        </w:rPr>
        <w:t xml:space="preserve"> </w:t>
      </w:r>
      <w:r w:rsidR="009F766C">
        <w:rPr>
          <w:sz w:val="24"/>
          <w:lang w:val="en-US"/>
        </w:rPr>
        <w:t xml:space="preserve">pro forma </w:t>
      </w:r>
      <w:r w:rsidR="00215118">
        <w:rPr>
          <w:sz w:val="24"/>
          <w:lang w:val="en-US"/>
        </w:rPr>
        <w:t xml:space="preserve">transfer to plant </w:t>
      </w:r>
      <w:r w:rsidR="009F766C">
        <w:rPr>
          <w:sz w:val="24"/>
          <w:lang w:val="en-US"/>
        </w:rPr>
        <w:t xml:space="preserve">amount </w:t>
      </w:r>
      <w:r w:rsidR="00215118">
        <w:rPr>
          <w:sz w:val="24"/>
          <w:lang w:val="en-US"/>
        </w:rPr>
        <w:t>for 2015 of $</w:t>
      </w:r>
      <w:r w:rsidR="001A4A3B">
        <w:rPr>
          <w:sz w:val="24"/>
          <w:lang w:val="en-US"/>
        </w:rPr>
        <w:t>8.1</w:t>
      </w:r>
      <w:r w:rsidR="00215118">
        <w:rPr>
          <w:sz w:val="24"/>
          <w:lang w:val="en-US"/>
        </w:rPr>
        <w:t xml:space="preserve"> million.  </w:t>
      </w:r>
      <w:r w:rsidR="00C12FC3">
        <w:rPr>
          <w:sz w:val="24"/>
          <w:lang w:val="en-US"/>
        </w:rPr>
        <w:t>On Ju</w:t>
      </w:r>
      <w:r w:rsidR="008E57AB">
        <w:rPr>
          <w:sz w:val="24"/>
          <w:lang w:val="en-US"/>
        </w:rPr>
        <w:t>ly</w:t>
      </w:r>
      <w:r w:rsidR="00C12FC3">
        <w:rPr>
          <w:sz w:val="24"/>
          <w:lang w:val="en-US"/>
        </w:rPr>
        <w:t xml:space="preserve"> 1</w:t>
      </w:r>
      <w:r w:rsidR="008E57AB">
        <w:rPr>
          <w:sz w:val="24"/>
          <w:lang w:val="en-US"/>
        </w:rPr>
        <w:t>0</w:t>
      </w:r>
      <w:r w:rsidR="00C12FC3">
        <w:rPr>
          <w:sz w:val="24"/>
          <w:lang w:val="en-US"/>
        </w:rPr>
        <w:t xml:space="preserve">, 2015, the Company revised its pro forma estimates for 2015 transfers to plant for this project </w:t>
      </w:r>
      <w:r w:rsidR="004977A3">
        <w:rPr>
          <w:sz w:val="24"/>
          <w:lang w:val="en-US"/>
        </w:rPr>
        <w:t xml:space="preserve">downward </w:t>
      </w:r>
      <w:r w:rsidR="00C12FC3">
        <w:rPr>
          <w:sz w:val="24"/>
          <w:lang w:val="en-US"/>
        </w:rPr>
        <w:t>by $</w:t>
      </w:r>
      <w:r w:rsidR="001A4A3B">
        <w:rPr>
          <w:sz w:val="24"/>
          <w:lang w:val="en-US"/>
        </w:rPr>
        <w:t>1</w:t>
      </w:r>
      <w:r w:rsidR="00C12FC3">
        <w:rPr>
          <w:sz w:val="24"/>
          <w:lang w:val="en-US"/>
        </w:rPr>
        <w:t>.</w:t>
      </w:r>
      <w:r w:rsidR="008E57AB">
        <w:rPr>
          <w:sz w:val="24"/>
          <w:lang w:val="en-US"/>
        </w:rPr>
        <w:t>0</w:t>
      </w:r>
      <w:r w:rsidR="00C12FC3">
        <w:rPr>
          <w:sz w:val="24"/>
          <w:lang w:val="en-US"/>
        </w:rPr>
        <w:t xml:space="preserve"> million.</w:t>
      </w:r>
      <w:r w:rsidR="00502AF1">
        <w:rPr>
          <w:rStyle w:val="FootnoteReference"/>
          <w:sz w:val="24"/>
          <w:lang w:val="en-US"/>
        </w:rPr>
        <w:footnoteReference w:id="46"/>
      </w:r>
      <w:r w:rsidR="00C12FC3">
        <w:rPr>
          <w:sz w:val="24"/>
          <w:lang w:val="en-US"/>
        </w:rPr>
        <w:t xml:space="preserve">  Ms. Schuh’s </w:t>
      </w:r>
      <w:r w:rsidR="00A74649">
        <w:rPr>
          <w:sz w:val="24"/>
          <w:lang w:val="en-US"/>
        </w:rPr>
        <w:t xml:space="preserve">direct </w:t>
      </w:r>
      <w:r w:rsidR="00C12FC3">
        <w:rPr>
          <w:sz w:val="24"/>
          <w:lang w:val="en-US"/>
        </w:rPr>
        <w:t xml:space="preserve">testimony </w:t>
      </w:r>
      <w:r w:rsidR="00675340">
        <w:rPr>
          <w:sz w:val="24"/>
          <w:lang w:val="en-US"/>
        </w:rPr>
        <w:t xml:space="preserve">and supporting exhibits </w:t>
      </w:r>
      <w:r w:rsidR="00F60D46">
        <w:rPr>
          <w:sz w:val="24"/>
          <w:lang w:val="en-US"/>
        </w:rPr>
        <w:t xml:space="preserve">in this case </w:t>
      </w:r>
      <w:r w:rsidR="00C12FC3">
        <w:rPr>
          <w:sz w:val="24"/>
          <w:lang w:val="en-US"/>
        </w:rPr>
        <w:t>provi</w:t>
      </w:r>
      <w:r w:rsidR="00675340">
        <w:rPr>
          <w:sz w:val="24"/>
          <w:lang w:val="en-US"/>
        </w:rPr>
        <w:t>de</w:t>
      </w:r>
      <w:r w:rsidR="00C12FC3">
        <w:rPr>
          <w:sz w:val="24"/>
          <w:lang w:val="en-US"/>
        </w:rPr>
        <w:t xml:space="preserve"> </w:t>
      </w:r>
      <w:r w:rsidR="004301BC">
        <w:rPr>
          <w:sz w:val="24"/>
          <w:lang w:val="en-US"/>
        </w:rPr>
        <w:t xml:space="preserve">only </w:t>
      </w:r>
      <w:r w:rsidR="00C12FC3">
        <w:rPr>
          <w:sz w:val="24"/>
          <w:lang w:val="en-US"/>
        </w:rPr>
        <w:t xml:space="preserve">a brief summary of the project along </w:t>
      </w:r>
      <w:r w:rsidR="00675340">
        <w:rPr>
          <w:sz w:val="24"/>
          <w:lang w:val="en-US"/>
        </w:rPr>
        <w:t xml:space="preserve">with </w:t>
      </w:r>
      <w:r w:rsidR="00C12FC3">
        <w:rPr>
          <w:sz w:val="24"/>
          <w:lang w:val="en-US"/>
        </w:rPr>
        <w:t>Avista’s as</w:t>
      </w:r>
      <w:r w:rsidR="00A8761A">
        <w:rPr>
          <w:sz w:val="24"/>
          <w:lang w:val="en-US"/>
        </w:rPr>
        <w:t>-</w:t>
      </w:r>
      <w:r w:rsidR="00C12FC3">
        <w:rPr>
          <w:sz w:val="24"/>
          <w:lang w:val="en-US"/>
        </w:rPr>
        <w:t xml:space="preserve">filed estimates of </w:t>
      </w:r>
      <w:r w:rsidR="00675340">
        <w:rPr>
          <w:sz w:val="24"/>
          <w:lang w:val="en-US"/>
        </w:rPr>
        <w:t xml:space="preserve">the amount of </w:t>
      </w:r>
      <w:r w:rsidR="00FC22A2">
        <w:rPr>
          <w:sz w:val="24"/>
          <w:lang w:val="en-US"/>
        </w:rPr>
        <w:t>system-level</w:t>
      </w:r>
      <w:r w:rsidR="00B0703B">
        <w:rPr>
          <w:sz w:val="24"/>
          <w:lang w:val="en-US"/>
        </w:rPr>
        <w:t xml:space="preserve"> </w:t>
      </w:r>
      <w:r w:rsidR="00C12FC3">
        <w:rPr>
          <w:sz w:val="24"/>
          <w:lang w:val="en-US"/>
        </w:rPr>
        <w:t xml:space="preserve">pro forma capital </w:t>
      </w:r>
      <w:r w:rsidR="00E40CF2">
        <w:rPr>
          <w:sz w:val="24"/>
          <w:lang w:val="en-US"/>
        </w:rPr>
        <w:t xml:space="preserve">expenditures and </w:t>
      </w:r>
      <w:r w:rsidR="00C12FC3">
        <w:rPr>
          <w:sz w:val="24"/>
          <w:lang w:val="en-US"/>
        </w:rPr>
        <w:t>additions</w:t>
      </w:r>
      <w:r w:rsidR="00675340">
        <w:rPr>
          <w:sz w:val="24"/>
          <w:lang w:val="en-US"/>
        </w:rPr>
        <w:t xml:space="preserve"> for each year</w:t>
      </w:r>
      <w:r w:rsidR="00C12FC3">
        <w:rPr>
          <w:sz w:val="24"/>
          <w:lang w:val="en-US"/>
        </w:rPr>
        <w:t xml:space="preserve">.  </w:t>
      </w:r>
      <w:r w:rsidR="008924C7">
        <w:rPr>
          <w:sz w:val="24"/>
          <w:lang w:val="en-US"/>
        </w:rPr>
        <w:t>Avista witness Don Kopczynski’s direct te</w:t>
      </w:r>
      <w:r w:rsidR="00691375">
        <w:rPr>
          <w:sz w:val="24"/>
          <w:lang w:val="en-US"/>
        </w:rPr>
        <w:t>stimony,</w:t>
      </w:r>
      <w:r w:rsidR="008924C7">
        <w:rPr>
          <w:sz w:val="24"/>
          <w:lang w:val="en-US"/>
        </w:rPr>
        <w:t xml:space="preserve"> Exhibit No. __ (DF</w:t>
      </w:r>
      <w:r w:rsidR="004301BC">
        <w:rPr>
          <w:sz w:val="24"/>
          <w:lang w:val="en-US"/>
        </w:rPr>
        <w:t>K</w:t>
      </w:r>
      <w:r w:rsidR="008924C7">
        <w:rPr>
          <w:sz w:val="24"/>
          <w:lang w:val="en-US"/>
        </w:rPr>
        <w:t>-1T)</w:t>
      </w:r>
      <w:r w:rsidR="00691375">
        <w:rPr>
          <w:sz w:val="24"/>
          <w:lang w:val="en-US"/>
        </w:rPr>
        <w:t>,</w:t>
      </w:r>
      <w:r w:rsidR="008924C7">
        <w:rPr>
          <w:sz w:val="24"/>
          <w:lang w:val="en-US"/>
        </w:rPr>
        <w:t xml:space="preserve"> and his supporting Exhibit No. __ (DFK-6)</w:t>
      </w:r>
      <w:r w:rsidR="00A74649">
        <w:rPr>
          <w:sz w:val="24"/>
          <w:lang w:val="en-US"/>
        </w:rPr>
        <w:t>,</w:t>
      </w:r>
      <w:r w:rsidR="008924C7">
        <w:rPr>
          <w:sz w:val="24"/>
          <w:lang w:val="en-US"/>
        </w:rPr>
        <w:t xml:space="preserve"> comprise the Company’s main support </w:t>
      </w:r>
      <w:r w:rsidR="00675340">
        <w:rPr>
          <w:sz w:val="24"/>
          <w:lang w:val="en-US"/>
        </w:rPr>
        <w:t xml:space="preserve">of </w:t>
      </w:r>
      <w:r w:rsidR="008924C7">
        <w:rPr>
          <w:sz w:val="24"/>
          <w:lang w:val="en-US"/>
        </w:rPr>
        <w:t>its pro forma forecast of capital additions in this case.</w:t>
      </w:r>
      <w:r w:rsidR="001118DD">
        <w:rPr>
          <w:sz w:val="24"/>
          <w:lang w:val="en-US"/>
        </w:rPr>
        <w:t xml:space="preserve">  </w:t>
      </w:r>
    </w:p>
    <w:p w14:paraId="53FC3A4C" w14:textId="0CCA7839" w:rsidR="0058297B" w:rsidRDefault="009F5629" w:rsidP="00425F7D">
      <w:pPr>
        <w:pStyle w:val="BodyTextIndent"/>
        <w:ind w:firstLine="720"/>
        <w:rPr>
          <w:sz w:val="24"/>
          <w:lang w:val="en-US"/>
        </w:rPr>
      </w:pPr>
      <w:r w:rsidRPr="009F5629">
        <w:rPr>
          <w:sz w:val="24"/>
          <w:lang w:val="en-US"/>
        </w:rPr>
        <w:t>Staff</w:t>
      </w:r>
      <w:r w:rsidR="00F60D46">
        <w:rPr>
          <w:sz w:val="24"/>
          <w:lang w:val="en-US"/>
        </w:rPr>
        <w:t xml:space="preserve">, however, </w:t>
      </w:r>
      <w:r w:rsidR="007A2C60">
        <w:rPr>
          <w:sz w:val="24"/>
          <w:lang w:val="en-US"/>
        </w:rPr>
        <w:t xml:space="preserve">did </w:t>
      </w:r>
      <w:r w:rsidR="004D35C4">
        <w:rPr>
          <w:sz w:val="24"/>
          <w:lang w:val="en-US"/>
        </w:rPr>
        <w:t xml:space="preserve">not </w:t>
      </w:r>
      <w:r w:rsidRPr="009F5629">
        <w:rPr>
          <w:sz w:val="24"/>
          <w:lang w:val="en-US"/>
        </w:rPr>
        <w:t xml:space="preserve">rely </w:t>
      </w:r>
      <w:r w:rsidR="004F5E74">
        <w:rPr>
          <w:sz w:val="24"/>
          <w:lang w:val="en-US"/>
        </w:rPr>
        <w:t xml:space="preserve">solely </w:t>
      </w:r>
      <w:r w:rsidRPr="009F5629">
        <w:rPr>
          <w:sz w:val="24"/>
          <w:lang w:val="en-US"/>
        </w:rPr>
        <w:t xml:space="preserve">on </w:t>
      </w:r>
      <w:r w:rsidR="001149EB">
        <w:rPr>
          <w:sz w:val="24"/>
          <w:lang w:val="en-US"/>
        </w:rPr>
        <w:t>Kopczynski’s</w:t>
      </w:r>
      <w:r w:rsidRPr="009F5629">
        <w:rPr>
          <w:sz w:val="24"/>
          <w:lang w:val="en-US"/>
        </w:rPr>
        <w:t xml:space="preserve"> direct testimony </w:t>
      </w:r>
      <w:r w:rsidR="002A0AF5">
        <w:rPr>
          <w:sz w:val="24"/>
          <w:lang w:val="en-US"/>
        </w:rPr>
        <w:t xml:space="preserve">and exhibits </w:t>
      </w:r>
      <w:r w:rsidR="004759DE">
        <w:rPr>
          <w:sz w:val="24"/>
          <w:lang w:val="en-US"/>
        </w:rPr>
        <w:t xml:space="preserve">in this case for </w:t>
      </w:r>
      <w:r w:rsidR="00405217">
        <w:rPr>
          <w:sz w:val="24"/>
          <w:lang w:val="en-US"/>
        </w:rPr>
        <w:t xml:space="preserve">its evaluation of Avista’s </w:t>
      </w:r>
      <w:r w:rsidR="004759DE">
        <w:rPr>
          <w:sz w:val="24"/>
          <w:lang w:val="en-US"/>
        </w:rPr>
        <w:t xml:space="preserve">2015 </w:t>
      </w:r>
      <w:r w:rsidR="00A74649">
        <w:rPr>
          <w:sz w:val="24"/>
          <w:lang w:val="en-US"/>
        </w:rPr>
        <w:t xml:space="preserve">Aldyl-A </w:t>
      </w:r>
      <w:r w:rsidR="00BC1EA0">
        <w:rPr>
          <w:sz w:val="24"/>
          <w:lang w:val="en-US"/>
        </w:rPr>
        <w:t xml:space="preserve">pro forma </w:t>
      </w:r>
      <w:r w:rsidR="00A74649">
        <w:rPr>
          <w:sz w:val="24"/>
          <w:lang w:val="en-US"/>
        </w:rPr>
        <w:t>capital additions</w:t>
      </w:r>
      <w:r w:rsidRPr="009F5629">
        <w:rPr>
          <w:sz w:val="24"/>
          <w:lang w:val="en-US"/>
        </w:rPr>
        <w:t xml:space="preserve">.  </w:t>
      </w:r>
      <w:r w:rsidR="0058297B">
        <w:rPr>
          <w:sz w:val="24"/>
          <w:lang w:val="en-US"/>
        </w:rPr>
        <w:t xml:space="preserve">In addition to the Company’s testimony referred to above, Staff also examined </w:t>
      </w:r>
      <w:r w:rsidR="0058297B" w:rsidRPr="00D079D1">
        <w:rPr>
          <w:sz w:val="24"/>
          <w:lang w:val="en-US"/>
        </w:rPr>
        <w:t>Kopczynski’s direct testimony</w:t>
      </w:r>
      <w:r w:rsidR="0058297B">
        <w:rPr>
          <w:sz w:val="24"/>
          <w:lang w:val="en-US"/>
        </w:rPr>
        <w:t xml:space="preserve"> in the last general rate case</w:t>
      </w:r>
      <w:r w:rsidR="0058297B">
        <w:rPr>
          <w:rStyle w:val="FootnoteReference"/>
          <w:sz w:val="24"/>
          <w:lang w:val="en-US"/>
        </w:rPr>
        <w:footnoteReference w:id="47"/>
      </w:r>
      <w:r w:rsidR="0058297B">
        <w:rPr>
          <w:sz w:val="24"/>
          <w:lang w:val="en-US"/>
        </w:rPr>
        <w:t xml:space="preserve"> along with Avista’s most recent 2015-2017 Two-Year Plan filed with the Commission on May 29, 2015, under the same docket as the last plan, PG-131837.</w:t>
      </w:r>
      <w:r w:rsidR="00040869">
        <w:rPr>
          <w:rStyle w:val="FootnoteReference"/>
          <w:sz w:val="24"/>
          <w:lang w:val="en-US"/>
        </w:rPr>
        <w:footnoteReference w:id="48"/>
      </w:r>
      <w:r w:rsidR="00040869">
        <w:rPr>
          <w:sz w:val="24"/>
          <w:lang w:val="en-US"/>
        </w:rPr>
        <w:t xml:space="preserve">  Staff also </w:t>
      </w:r>
      <w:r w:rsidR="007A2C60">
        <w:rPr>
          <w:sz w:val="24"/>
          <w:lang w:val="en-US"/>
        </w:rPr>
        <w:t xml:space="preserve">issued </w:t>
      </w:r>
      <w:r w:rsidR="00131E9E">
        <w:rPr>
          <w:sz w:val="24"/>
          <w:lang w:val="en-US"/>
        </w:rPr>
        <w:t xml:space="preserve">two separate </w:t>
      </w:r>
      <w:r w:rsidR="00A0290A">
        <w:rPr>
          <w:sz w:val="24"/>
          <w:lang w:val="en-US"/>
        </w:rPr>
        <w:t>d</w:t>
      </w:r>
      <w:r w:rsidR="00040869">
        <w:rPr>
          <w:sz w:val="24"/>
          <w:lang w:val="en-US"/>
        </w:rPr>
        <w:t xml:space="preserve">iscovery </w:t>
      </w:r>
      <w:r w:rsidR="007A2C60">
        <w:rPr>
          <w:sz w:val="24"/>
          <w:lang w:val="en-US"/>
        </w:rPr>
        <w:t>request</w:t>
      </w:r>
      <w:r w:rsidR="00414053">
        <w:rPr>
          <w:sz w:val="24"/>
          <w:lang w:val="en-US"/>
        </w:rPr>
        <w:t>s</w:t>
      </w:r>
      <w:r w:rsidR="007A2C60">
        <w:rPr>
          <w:sz w:val="24"/>
          <w:lang w:val="en-US"/>
        </w:rPr>
        <w:t xml:space="preserve"> </w:t>
      </w:r>
      <w:r w:rsidR="00B7606E">
        <w:rPr>
          <w:sz w:val="24"/>
          <w:lang w:val="en-US"/>
        </w:rPr>
        <w:t xml:space="preserve">to </w:t>
      </w:r>
      <w:r w:rsidR="004D35C4">
        <w:rPr>
          <w:sz w:val="24"/>
          <w:lang w:val="en-US"/>
        </w:rPr>
        <w:t xml:space="preserve">help it </w:t>
      </w:r>
      <w:r w:rsidR="007A2C60">
        <w:rPr>
          <w:sz w:val="24"/>
          <w:lang w:val="en-US"/>
        </w:rPr>
        <w:t xml:space="preserve">fully evaluate </w:t>
      </w:r>
      <w:r w:rsidR="00040869">
        <w:rPr>
          <w:sz w:val="24"/>
          <w:lang w:val="en-US"/>
        </w:rPr>
        <w:t>the Company’s direct case</w:t>
      </w:r>
      <w:r w:rsidR="00B7606E">
        <w:rPr>
          <w:sz w:val="24"/>
          <w:lang w:val="en-US"/>
        </w:rPr>
        <w:t xml:space="preserve"> regarding Aldyl</w:t>
      </w:r>
      <w:r w:rsidR="004D35C4">
        <w:rPr>
          <w:sz w:val="24"/>
          <w:lang w:val="en-US"/>
        </w:rPr>
        <w:t>-</w:t>
      </w:r>
      <w:r w:rsidR="00B7606E">
        <w:rPr>
          <w:sz w:val="24"/>
          <w:lang w:val="en-US"/>
        </w:rPr>
        <w:t>A capital expenditures and transfers to plant</w:t>
      </w:r>
      <w:r w:rsidR="00040869">
        <w:rPr>
          <w:sz w:val="24"/>
          <w:lang w:val="en-US"/>
        </w:rPr>
        <w:t>.</w:t>
      </w:r>
    </w:p>
    <w:p w14:paraId="7570A23C" w14:textId="77777777" w:rsidR="00883CB8" w:rsidRDefault="00883CB8" w:rsidP="00425F7D">
      <w:pPr>
        <w:pStyle w:val="BodyTextIndent"/>
        <w:ind w:firstLine="720"/>
        <w:rPr>
          <w:sz w:val="24"/>
          <w:lang w:val="en-US"/>
        </w:rPr>
      </w:pPr>
    </w:p>
    <w:p w14:paraId="63364676" w14:textId="615914A9" w:rsidR="00883CB8" w:rsidRDefault="00883CB8" w:rsidP="00425F7D">
      <w:pPr>
        <w:pStyle w:val="BodyTextIndent"/>
        <w:rPr>
          <w:sz w:val="24"/>
        </w:rPr>
      </w:pPr>
      <w:r>
        <w:rPr>
          <w:b/>
          <w:sz w:val="24"/>
          <w:lang w:val="en-US"/>
        </w:rPr>
        <w:lastRenderedPageBreak/>
        <w:t>Q.</w:t>
      </w:r>
      <w:r>
        <w:rPr>
          <w:b/>
          <w:sz w:val="24"/>
          <w:lang w:val="en-US"/>
        </w:rPr>
        <w:tab/>
        <w:t xml:space="preserve">What challenges </w:t>
      </w:r>
      <w:r w:rsidR="002C2DC3">
        <w:rPr>
          <w:b/>
          <w:sz w:val="24"/>
          <w:lang w:val="en-US"/>
        </w:rPr>
        <w:t xml:space="preserve">did Staff face </w:t>
      </w:r>
      <w:r w:rsidR="001A1CF2">
        <w:rPr>
          <w:b/>
          <w:sz w:val="24"/>
          <w:lang w:val="en-US"/>
        </w:rPr>
        <w:t xml:space="preserve">with </w:t>
      </w:r>
      <w:r w:rsidR="002C2DC3">
        <w:rPr>
          <w:b/>
          <w:sz w:val="24"/>
          <w:lang w:val="en-US"/>
        </w:rPr>
        <w:t xml:space="preserve">Avista’s direct case regarding </w:t>
      </w:r>
      <w:r>
        <w:rPr>
          <w:b/>
          <w:sz w:val="24"/>
          <w:lang w:val="en-US"/>
        </w:rPr>
        <w:t xml:space="preserve">the amount of allowable </w:t>
      </w:r>
      <w:r w:rsidR="002C2DC3">
        <w:rPr>
          <w:b/>
          <w:sz w:val="24"/>
          <w:lang w:val="en-US"/>
        </w:rPr>
        <w:t xml:space="preserve">2015 </w:t>
      </w:r>
      <w:r>
        <w:rPr>
          <w:b/>
          <w:sz w:val="24"/>
          <w:lang w:val="en-US"/>
        </w:rPr>
        <w:t xml:space="preserve">pro forma capital additions for Aldyl-A? </w:t>
      </w:r>
    </w:p>
    <w:p w14:paraId="70C867A0" w14:textId="2EF97B08" w:rsidR="00275F79" w:rsidRDefault="00883CB8" w:rsidP="00425F7D">
      <w:pPr>
        <w:pStyle w:val="BodyTextIndent"/>
        <w:rPr>
          <w:sz w:val="24"/>
          <w:lang w:val="en-US"/>
        </w:rPr>
      </w:pPr>
      <w:r>
        <w:rPr>
          <w:sz w:val="24"/>
          <w:lang w:val="en-US"/>
        </w:rPr>
        <w:t>A.</w:t>
      </w:r>
      <w:r>
        <w:rPr>
          <w:sz w:val="24"/>
          <w:lang w:val="en-US"/>
        </w:rPr>
        <w:tab/>
      </w:r>
      <w:r w:rsidR="003E5F97">
        <w:rPr>
          <w:sz w:val="24"/>
          <w:lang w:val="en-US"/>
        </w:rPr>
        <w:t xml:space="preserve">Mr. </w:t>
      </w:r>
      <w:r w:rsidR="003E5F97" w:rsidRPr="00D079D1">
        <w:rPr>
          <w:sz w:val="24"/>
          <w:lang w:val="en-US"/>
        </w:rPr>
        <w:t>Kopczynski’s</w:t>
      </w:r>
      <w:r w:rsidR="003E5F97">
        <w:rPr>
          <w:sz w:val="24"/>
          <w:lang w:val="en-US"/>
        </w:rPr>
        <w:t xml:space="preserve"> </w:t>
      </w:r>
      <w:r>
        <w:rPr>
          <w:sz w:val="24"/>
          <w:lang w:val="en-US"/>
        </w:rPr>
        <w:t xml:space="preserve">Aldyl-A </w:t>
      </w:r>
      <w:r w:rsidR="003E5F97">
        <w:rPr>
          <w:sz w:val="24"/>
          <w:lang w:val="en-US"/>
        </w:rPr>
        <w:t>testimony and exhibits are</w:t>
      </w:r>
      <w:r>
        <w:rPr>
          <w:sz w:val="24"/>
          <w:lang w:val="en-US"/>
        </w:rPr>
        <w:t xml:space="preserve"> plagued by </w:t>
      </w:r>
      <w:r w:rsidR="00A20649">
        <w:rPr>
          <w:sz w:val="24"/>
          <w:lang w:val="en-US"/>
        </w:rPr>
        <w:t xml:space="preserve">some of </w:t>
      </w:r>
      <w:r>
        <w:rPr>
          <w:sz w:val="24"/>
          <w:lang w:val="en-US"/>
        </w:rPr>
        <w:t xml:space="preserve">the same general deficiencies I encountered </w:t>
      </w:r>
      <w:r w:rsidR="00A45AF9">
        <w:rPr>
          <w:sz w:val="24"/>
          <w:lang w:val="en-US"/>
        </w:rPr>
        <w:t>th</w:t>
      </w:r>
      <w:r w:rsidR="007B7038">
        <w:rPr>
          <w:sz w:val="24"/>
          <w:lang w:val="en-US"/>
        </w:rPr>
        <w:t>roughout</w:t>
      </w:r>
      <w:r w:rsidR="00A45AF9">
        <w:rPr>
          <w:sz w:val="24"/>
          <w:lang w:val="en-US"/>
        </w:rPr>
        <w:t xml:space="preserve"> </w:t>
      </w:r>
      <w:r w:rsidR="007B7038">
        <w:rPr>
          <w:sz w:val="24"/>
          <w:lang w:val="en-US"/>
        </w:rPr>
        <w:t xml:space="preserve">the </w:t>
      </w:r>
      <w:r w:rsidR="00A45AF9">
        <w:rPr>
          <w:sz w:val="24"/>
          <w:lang w:val="en-US"/>
        </w:rPr>
        <w:t xml:space="preserve">Company’s direct case </w:t>
      </w:r>
      <w:r>
        <w:rPr>
          <w:sz w:val="24"/>
          <w:lang w:val="en-US"/>
        </w:rPr>
        <w:t xml:space="preserve">and </w:t>
      </w:r>
      <w:r w:rsidR="00414053">
        <w:rPr>
          <w:sz w:val="24"/>
          <w:lang w:val="en-US"/>
        </w:rPr>
        <w:t xml:space="preserve">which I </w:t>
      </w:r>
      <w:r>
        <w:rPr>
          <w:sz w:val="24"/>
          <w:lang w:val="en-US"/>
        </w:rPr>
        <w:t>commented on earlier in my testimony; namely</w:t>
      </w:r>
      <w:r w:rsidR="00A45AF9">
        <w:rPr>
          <w:sz w:val="24"/>
          <w:lang w:val="en-US"/>
        </w:rPr>
        <w:t>,</w:t>
      </w:r>
      <w:r>
        <w:rPr>
          <w:sz w:val="24"/>
          <w:lang w:val="en-US"/>
        </w:rPr>
        <w:t xml:space="preserve"> inaccurate and unsupported testimony</w:t>
      </w:r>
      <w:r w:rsidR="00B91084">
        <w:rPr>
          <w:sz w:val="24"/>
          <w:lang w:val="en-US"/>
        </w:rPr>
        <w:t xml:space="preserve"> on the part of the </w:t>
      </w:r>
      <w:r w:rsidR="00A45AF9">
        <w:rPr>
          <w:sz w:val="24"/>
          <w:lang w:val="en-US"/>
        </w:rPr>
        <w:t>Avista</w:t>
      </w:r>
      <w:r>
        <w:rPr>
          <w:sz w:val="24"/>
          <w:lang w:val="en-US"/>
        </w:rPr>
        <w:t xml:space="preserve">.  </w:t>
      </w:r>
      <w:r w:rsidR="009F5629" w:rsidRPr="009F5629">
        <w:rPr>
          <w:sz w:val="24"/>
          <w:lang w:val="en-US"/>
        </w:rPr>
        <w:t>For example, Mr. Kopczynski refers us to his Exhibit No. __ (DFK-6)</w:t>
      </w:r>
      <w:r w:rsidR="000D376C">
        <w:rPr>
          <w:rStyle w:val="FootnoteReference"/>
          <w:sz w:val="24"/>
          <w:lang w:val="en-US"/>
        </w:rPr>
        <w:footnoteReference w:id="49"/>
      </w:r>
      <w:r w:rsidR="009F5629" w:rsidRPr="009F5629">
        <w:rPr>
          <w:sz w:val="24"/>
          <w:lang w:val="en-US"/>
        </w:rPr>
        <w:t xml:space="preserve"> to view the Company’s </w:t>
      </w:r>
      <w:r w:rsidR="001149EB">
        <w:rPr>
          <w:sz w:val="24"/>
          <w:lang w:val="en-US"/>
        </w:rPr>
        <w:t xml:space="preserve">2013-2015 Two-Year Plan </w:t>
      </w:r>
      <w:r w:rsidR="001149EB" w:rsidRPr="00A67EE4">
        <w:rPr>
          <w:sz w:val="24"/>
          <w:lang w:val="en-US"/>
        </w:rPr>
        <w:t xml:space="preserve">for Managing Select Pipe Replacement in Avista Utilities’ Natural Gas System </w:t>
      </w:r>
      <w:r w:rsidR="001149EB">
        <w:rPr>
          <w:sz w:val="24"/>
          <w:lang w:val="en-US"/>
        </w:rPr>
        <w:t>(Two-Year Plan)</w:t>
      </w:r>
      <w:r w:rsidR="009F5629" w:rsidRPr="009F5629">
        <w:rPr>
          <w:sz w:val="24"/>
          <w:lang w:val="en-US"/>
        </w:rPr>
        <w:t>.</w:t>
      </w:r>
      <w:r w:rsidR="001149EB">
        <w:rPr>
          <w:rStyle w:val="FootnoteReference"/>
          <w:sz w:val="24"/>
          <w:lang w:val="en-US"/>
        </w:rPr>
        <w:footnoteReference w:id="50"/>
      </w:r>
      <w:r w:rsidR="009F5629" w:rsidRPr="009F5629">
        <w:rPr>
          <w:sz w:val="24"/>
          <w:lang w:val="en-US"/>
        </w:rPr>
        <w:t xml:space="preserve">  It is not there.  Also, Mr. Kopczynski states that Avista’s 2016 planned investment for its Washington juris</w:t>
      </w:r>
      <w:r w:rsidR="00CE0A52">
        <w:rPr>
          <w:sz w:val="24"/>
          <w:lang w:val="en-US"/>
        </w:rPr>
        <w:t xml:space="preserve">diction </w:t>
      </w:r>
      <w:r w:rsidR="00BC1EA0">
        <w:rPr>
          <w:sz w:val="24"/>
          <w:lang w:val="en-US"/>
        </w:rPr>
        <w:t xml:space="preserve">for Aldyl-A </w:t>
      </w:r>
      <w:r w:rsidR="00CE0A52">
        <w:rPr>
          <w:sz w:val="24"/>
          <w:lang w:val="en-US"/>
        </w:rPr>
        <w:t>will be $3.7 million.</w:t>
      </w:r>
      <w:r w:rsidR="00D64F67">
        <w:rPr>
          <w:rStyle w:val="FootnoteReference"/>
          <w:sz w:val="24"/>
          <w:lang w:val="en-US"/>
        </w:rPr>
        <w:footnoteReference w:id="51"/>
      </w:r>
      <w:r w:rsidR="00CE0A52">
        <w:rPr>
          <w:sz w:val="24"/>
          <w:lang w:val="en-US"/>
        </w:rPr>
        <w:t xml:space="preserve">  </w:t>
      </w:r>
      <w:r w:rsidR="009F5629" w:rsidRPr="009F5629">
        <w:rPr>
          <w:sz w:val="24"/>
          <w:lang w:val="en-US"/>
        </w:rPr>
        <w:t xml:space="preserve">This </w:t>
      </w:r>
      <w:r w:rsidR="002A0AF5">
        <w:rPr>
          <w:sz w:val="24"/>
          <w:lang w:val="en-US"/>
        </w:rPr>
        <w:t xml:space="preserve">is </w:t>
      </w:r>
      <w:r w:rsidR="009F5629" w:rsidRPr="009F5629">
        <w:rPr>
          <w:sz w:val="24"/>
          <w:lang w:val="en-US"/>
        </w:rPr>
        <w:t>incorrect</w:t>
      </w:r>
      <w:r w:rsidR="00414053">
        <w:rPr>
          <w:sz w:val="24"/>
          <w:lang w:val="en-US"/>
        </w:rPr>
        <w:t>;</w:t>
      </w:r>
      <w:r w:rsidR="00953F0F">
        <w:rPr>
          <w:sz w:val="24"/>
          <w:lang w:val="en-US"/>
        </w:rPr>
        <w:t xml:space="preserve"> it is actually estimated by Avista to be $8.3 million</w:t>
      </w:r>
      <w:r w:rsidR="009F5629" w:rsidRPr="009F5629">
        <w:rPr>
          <w:sz w:val="24"/>
          <w:lang w:val="en-US"/>
        </w:rPr>
        <w:t>.</w:t>
      </w:r>
      <w:r w:rsidR="00953F0F">
        <w:rPr>
          <w:rStyle w:val="FootnoteReference"/>
          <w:sz w:val="24"/>
          <w:lang w:val="en-US"/>
        </w:rPr>
        <w:footnoteReference w:id="52"/>
      </w:r>
      <w:r w:rsidR="009F5629">
        <w:rPr>
          <w:sz w:val="24"/>
          <w:lang w:val="en-US"/>
        </w:rPr>
        <w:t xml:space="preserve">  </w:t>
      </w:r>
      <w:r w:rsidR="00140513">
        <w:rPr>
          <w:sz w:val="24"/>
          <w:lang w:val="en-US"/>
        </w:rPr>
        <w:t xml:space="preserve">Finally, </w:t>
      </w:r>
      <w:r w:rsidR="00F43122">
        <w:rPr>
          <w:sz w:val="24"/>
          <w:lang w:val="en-US"/>
        </w:rPr>
        <w:t xml:space="preserve">neither </w:t>
      </w:r>
      <w:r w:rsidR="00E936B6">
        <w:rPr>
          <w:sz w:val="24"/>
          <w:lang w:val="en-US"/>
        </w:rPr>
        <w:t>Mr. Kopczynski</w:t>
      </w:r>
      <w:r w:rsidR="00140513">
        <w:rPr>
          <w:sz w:val="24"/>
          <w:lang w:val="en-US"/>
        </w:rPr>
        <w:t xml:space="preserve"> nor any other</w:t>
      </w:r>
      <w:r w:rsidR="00E936B6">
        <w:rPr>
          <w:sz w:val="24"/>
          <w:lang w:val="en-US"/>
        </w:rPr>
        <w:t xml:space="preserve"> Company witness</w:t>
      </w:r>
      <w:r w:rsidR="00140513">
        <w:rPr>
          <w:sz w:val="24"/>
          <w:lang w:val="en-US"/>
        </w:rPr>
        <w:t xml:space="preserve">, has bothered to include any </w:t>
      </w:r>
      <w:r w:rsidR="00E41279">
        <w:rPr>
          <w:sz w:val="24"/>
          <w:lang w:val="en-US"/>
        </w:rPr>
        <w:t>work papers</w:t>
      </w:r>
      <w:r w:rsidR="00140513">
        <w:rPr>
          <w:sz w:val="24"/>
          <w:lang w:val="en-US"/>
        </w:rPr>
        <w:t xml:space="preserve"> in this case, or in the last rate case, that provide detailed support for the dramatic increase in Aldyl-A capital costs from what Avista had predicted in its 2013-2015 Two-Year Plan.</w:t>
      </w:r>
      <w:r w:rsidR="00140513">
        <w:rPr>
          <w:rStyle w:val="FootnoteReference"/>
          <w:sz w:val="24"/>
          <w:lang w:val="en-US"/>
        </w:rPr>
        <w:footnoteReference w:id="53"/>
      </w:r>
      <w:r w:rsidR="00512352">
        <w:rPr>
          <w:sz w:val="24"/>
          <w:lang w:val="en-US"/>
        </w:rPr>
        <w:t xml:space="preserve"> </w:t>
      </w:r>
    </w:p>
    <w:p w14:paraId="264C78B3" w14:textId="02659FCA" w:rsidR="00F0255A" w:rsidRDefault="00C45215" w:rsidP="00425F7D">
      <w:pPr>
        <w:pStyle w:val="BodyTextIndent"/>
        <w:ind w:firstLine="720"/>
        <w:rPr>
          <w:sz w:val="24"/>
          <w:lang w:val="en-US"/>
        </w:rPr>
      </w:pPr>
      <w:r>
        <w:rPr>
          <w:sz w:val="24"/>
          <w:lang w:val="en-US"/>
        </w:rPr>
        <w:t xml:space="preserve"> </w:t>
      </w:r>
    </w:p>
    <w:p w14:paraId="3E954479" w14:textId="41C07F14" w:rsidR="00B15512" w:rsidRDefault="00B15512" w:rsidP="00425F7D">
      <w:pPr>
        <w:pStyle w:val="BodyTextIndent"/>
        <w:rPr>
          <w:sz w:val="24"/>
        </w:rPr>
      </w:pPr>
      <w:r>
        <w:rPr>
          <w:b/>
          <w:sz w:val="24"/>
          <w:lang w:val="en-US"/>
        </w:rPr>
        <w:lastRenderedPageBreak/>
        <w:t>Q.</w:t>
      </w:r>
      <w:r>
        <w:rPr>
          <w:b/>
          <w:sz w:val="24"/>
          <w:lang w:val="en-US"/>
        </w:rPr>
        <w:tab/>
      </w:r>
      <w:r w:rsidR="00414053">
        <w:rPr>
          <w:b/>
          <w:sz w:val="24"/>
          <w:lang w:val="en-US"/>
        </w:rPr>
        <w:t>Were</w:t>
      </w:r>
      <w:r w:rsidR="00140513">
        <w:rPr>
          <w:b/>
          <w:sz w:val="24"/>
          <w:lang w:val="en-US"/>
        </w:rPr>
        <w:t xml:space="preserve"> </w:t>
      </w:r>
      <w:r w:rsidR="00414053">
        <w:rPr>
          <w:b/>
          <w:sz w:val="24"/>
          <w:lang w:val="en-US"/>
        </w:rPr>
        <w:t>your</w:t>
      </w:r>
      <w:r w:rsidR="00140513">
        <w:rPr>
          <w:b/>
          <w:sz w:val="24"/>
          <w:lang w:val="en-US"/>
        </w:rPr>
        <w:t xml:space="preserve"> efforts at discovery helpful in evaluating </w:t>
      </w:r>
      <w:r w:rsidR="002A53FC">
        <w:rPr>
          <w:b/>
          <w:sz w:val="24"/>
          <w:lang w:val="en-US"/>
        </w:rPr>
        <w:t xml:space="preserve">Avista’s </w:t>
      </w:r>
      <w:r w:rsidR="00140513">
        <w:rPr>
          <w:b/>
          <w:sz w:val="24"/>
          <w:lang w:val="en-US"/>
        </w:rPr>
        <w:t xml:space="preserve">pro forma estimates of capital additions for </w:t>
      </w:r>
      <w:r w:rsidR="002A53FC">
        <w:rPr>
          <w:b/>
          <w:sz w:val="24"/>
          <w:lang w:val="en-US"/>
        </w:rPr>
        <w:t>Aldyl-A?</w:t>
      </w:r>
      <w:r>
        <w:rPr>
          <w:b/>
          <w:sz w:val="24"/>
          <w:lang w:val="en-US"/>
        </w:rPr>
        <w:t xml:space="preserve"> </w:t>
      </w:r>
    </w:p>
    <w:p w14:paraId="3D57B0F3" w14:textId="59BDE5C2" w:rsidR="0095196D" w:rsidRDefault="00B15512" w:rsidP="00425F7D">
      <w:pPr>
        <w:pStyle w:val="BodyTextIndent"/>
        <w:rPr>
          <w:sz w:val="24"/>
          <w:lang w:val="en-US"/>
        </w:rPr>
      </w:pPr>
      <w:r>
        <w:rPr>
          <w:sz w:val="24"/>
          <w:lang w:val="en-US"/>
        </w:rPr>
        <w:t>A.</w:t>
      </w:r>
      <w:r>
        <w:rPr>
          <w:sz w:val="24"/>
          <w:lang w:val="en-US"/>
        </w:rPr>
        <w:tab/>
      </w:r>
      <w:r w:rsidR="00140513">
        <w:rPr>
          <w:sz w:val="24"/>
          <w:lang w:val="en-US"/>
        </w:rPr>
        <w:t xml:space="preserve">Somewhat.  </w:t>
      </w:r>
      <w:r w:rsidR="00140513" w:rsidRPr="00140513">
        <w:rPr>
          <w:sz w:val="24"/>
          <w:lang w:val="en-US"/>
        </w:rPr>
        <w:t>Staff’s D</w:t>
      </w:r>
      <w:r w:rsidR="00DD5207">
        <w:rPr>
          <w:sz w:val="24"/>
          <w:lang w:val="en-US"/>
        </w:rPr>
        <w:t xml:space="preserve">ata </w:t>
      </w:r>
      <w:r w:rsidR="00140513" w:rsidRPr="00140513">
        <w:rPr>
          <w:sz w:val="24"/>
          <w:lang w:val="en-US"/>
        </w:rPr>
        <w:t>R</w:t>
      </w:r>
      <w:r w:rsidR="00DD5207">
        <w:rPr>
          <w:sz w:val="24"/>
          <w:lang w:val="en-US"/>
        </w:rPr>
        <w:t>equest</w:t>
      </w:r>
      <w:r w:rsidR="00140513" w:rsidRPr="00140513">
        <w:rPr>
          <w:sz w:val="24"/>
          <w:lang w:val="en-US"/>
        </w:rPr>
        <w:t xml:space="preserve"> No. 179 </w:t>
      </w:r>
      <w:r w:rsidR="006620AD">
        <w:rPr>
          <w:sz w:val="24"/>
          <w:lang w:val="en-US"/>
        </w:rPr>
        <w:t xml:space="preserve">sought to uncover the reason for </w:t>
      </w:r>
      <w:r w:rsidR="0095196D">
        <w:rPr>
          <w:sz w:val="24"/>
          <w:lang w:val="en-US"/>
        </w:rPr>
        <w:t xml:space="preserve">apparent </w:t>
      </w:r>
      <w:r w:rsidR="006620AD">
        <w:rPr>
          <w:sz w:val="24"/>
          <w:lang w:val="en-US"/>
        </w:rPr>
        <w:t xml:space="preserve">differences in </w:t>
      </w:r>
      <w:r w:rsidR="003B5FAC">
        <w:rPr>
          <w:sz w:val="24"/>
          <w:lang w:val="en-US"/>
        </w:rPr>
        <w:t xml:space="preserve">both the </w:t>
      </w:r>
      <w:r w:rsidR="006620AD">
        <w:rPr>
          <w:sz w:val="24"/>
          <w:lang w:val="en-US"/>
        </w:rPr>
        <w:t xml:space="preserve">amounts </w:t>
      </w:r>
      <w:r w:rsidR="0095196D">
        <w:rPr>
          <w:sz w:val="24"/>
          <w:lang w:val="en-US"/>
        </w:rPr>
        <w:t xml:space="preserve">and results </w:t>
      </w:r>
      <w:r w:rsidR="006620AD">
        <w:rPr>
          <w:sz w:val="24"/>
          <w:lang w:val="en-US"/>
        </w:rPr>
        <w:t>reported for Aldyl</w:t>
      </w:r>
      <w:r w:rsidR="004D35C4">
        <w:rPr>
          <w:sz w:val="24"/>
          <w:lang w:val="en-US"/>
        </w:rPr>
        <w:t>-</w:t>
      </w:r>
      <w:r w:rsidR="006620AD">
        <w:rPr>
          <w:sz w:val="24"/>
          <w:lang w:val="en-US"/>
        </w:rPr>
        <w:t xml:space="preserve">A </w:t>
      </w:r>
      <w:r w:rsidR="0095196D">
        <w:rPr>
          <w:sz w:val="24"/>
          <w:lang w:val="en-US"/>
        </w:rPr>
        <w:t xml:space="preserve">by Avista </w:t>
      </w:r>
      <w:r w:rsidR="006620AD">
        <w:rPr>
          <w:sz w:val="24"/>
          <w:lang w:val="en-US"/>
        </w:rPr>
        <w:t xml:space="preserve">in three separate places:  </w:t>
      </w:r>
      <w:r w:rsidR="001D5ADE">
        <w:rPr>
          <w:sz w:val="24"/>
          <w:lang w:val="en-US"/>
        </w:rPr>
        <w:t xml:space="preserve">Mr. </w:t>
      </w:r>
      <w:r w:rsidR="006620AD" w:rsidRPr="00512352">
        <w:rPr>
          <w:sz w:val="24"/>
          <w:lang w:val="en-US"/>
        </w:rPr>
        <w:t xml:space="preserve">Kopczynski’s </w:t>
      </w:r>
      <w:r w:rsidR="006620AD">
        <w:rPr>
          <w:sz w:val="24"/>
          <w:lang w:val="en-US"/>
        </w:rPr>
        <w:t>direct testimony, the 2015-2017 Two-Year Plan</w:t>
      </w:r>
      <w:r w:rsidR="00414053">
        <w:rPr>
          <w:sz w:val="24"/>
          <w:lang w:val="en-US"/>
        </w:rPr>
        <w:t>,</w:t>
      </w:r>
      <w:r w:rsidR="006620AD">
        <w:rPr>
          <w:sz w:val="24"/>
          <w:lang w:val="en-US"/>
        </w:rPr>
        <w:t xml:space="preserve"> and </w:t>
      </w:r>
      <w:r w:rsidR="00205518">
        <w:rPr>
          <w:sz w:val="24"/>
          <w:lang w:val="en-US"/>
        </w:rPr>
        <w:t xml:space="preserve">Avista’s </w:t>
      </w:r>
      <w:r w:rsidR="0095196D">
        <w:rPr>
          <w:sz w:val="24"/>
          <w:lang w:val="en-US"/>
        </w:rPr>
        <w:t xml:space="preserve">Capital Expenditure </w:t>
      </w:r>
      <w:r w:rsidR="006620AD">
        <w:rPr>
          <w:sz w:val="24"/>
          <w:lang w:val="en-US"/>
        </w:rPr>
        <w:t xml:space="preserve">compliance report </w:t>
      </w:r>
      <w:r w:rsidR="00205518">
        <w:rPr>
          <w:sz w:val="24"/>
          <w:lang w:val="en-US"/>
        </w:rPr>
        <w:t xml:space="preserve">ordered by </w:t>
      </w:r>
      <w:r w:rsidR="006620AD">
        <w:rPr>
          <w:sz w:val="24"/>
          <w:lang w:val="en-US"/>
        </w:rPr>
        <w:t>the Commission</w:t>
      </w:r>
      <w:r w:rsidR="00205518">
        <w:rPr>
          <w:sz w:val="24"/>
          <w:lang w:val="en-US"/>
        </w:rPr>
        <w:t xml:space="preserve"> in UE-140188</w:t>
      </w:r>
      <w:r w:rsidR="006620AD">
        <w:rPr>
          <w:sz w:val="24"/>
          <w:lang w:val="en-US"/>
        </w:rPr>
        <w:t xml:space="preserve">.  </w:t>
      </w:r>
    </w:p>
    <w:p w14:paraId="014B8AD2" w14:textId="547300DF" w:rsidR="00994A94" w:rsidRDefault="004D35C4" w:rsidP="00425F7D">
      <w:pPr>
        <w:pStyle w:val="BodyTextIndent"/>
        <w:ind w:firstLine="720"/>
        <w:rPr>
          <w:sz w:val="24"/>
          <w:lang w:val="en-US"/>
        </w:rPr>
      </w:pPr>
      <w:r>
        <w:rPr>
          <w:sz w:val="24"/>
          <w:lang w:val="en-US"/>
        </w:rPr>
        <w:t xml:space="preserve">One difference </w:t>
      </w:r>
      <w:r w:rsidR="00484FBD">
        <w:rPr>
          <w:sz w:val="24"/>
          <w:lang w:val="en-US"/>
        </w:rPr>
        <w:t xml:space="preserve">was the result of Staff applying the estimate of direct allocation for Washington’s share of Aldyl-A </w:t>
      </w:r>
      <w:r w:rsidR="000F210D">
        <w:rPr>
          <w:sz w:val="24"/>
          <w:lang w:val="en-US"/>
        </w:rPr>
        <w:t xml:space="preserve">in this case </w:t>
      </w:r>
      <w:r w:rsidR="00484FBD">
        <w:rPr>
          <w:sz w:val="24"/>
          <w:lang w:val="en-US"/>
        </w:rPr>
        <w:t xml:space="preserve">to actual </w:t>
      </w:r>
      <w:r w:rsidR="00FC22A2">
        <w:rPr>
          <w:sz w:val="24"/>
          <w:lang w:val="en-US"/>
        </w:rPr>
        <w:t>system-level</w:t>
      </w:r>
      <w:r w:rsidR="001556D6">
        <w:rPr>
          <w:sz w:val="24"/>
          <w:lang w:val="en-US"/>
        </w:rPr>
        <w:t xml:space="preserve"> </w:t>
      </w:r>
      <w:r w:rsidR="00484FBD">
        <w:rPr>
          <w:sz w:val="24"/>
          <w:lang w:val="en-US"/>
        </w:rPr>
        <w:t>results</w:t>
      </w:r>
      <w:r w:rsidR="000F210D">
        <w:rPr>
          <w:sz w:val="24"/>
          <w:lang w:val="en-US"/>
        </w:rPr>
        <w:t xml:space="preserve"> for the entire period spanning 2011-2014</w:t>
      </w:r>
      <w:r w:rsidR="00484FBD">
        <w:rPr>
          <w:sz w:val="24"/>
          <w:lang w:val="en-US"/>
        </w:rPr>
        <w:t xml:space="preserve">.  </w:t>
      </w:r>
      <w:r w:rsidR="006620AD">
        <w:rPr>
          <w:sz w:val="24"/>
          <w:lang w:val="en-US"/>
        </w:rPr>
        <w:t xml:space="preserve">In its response to </w:t>
      </w:r>
      <w:r w:rsidR="00BA0C8B">
        <w:rPr>
          <w:sz w:val="24"/>
          <w:lang w:val="en-US"/>
        </w:rPr>
        <w:t xml:space="preserve">Staff </w:t>
      </w:r>
      <w:r w:rsidR="006620AD">
        <w:rPr>
          <w:sz w:val="24"/>
          <w:lang w:val="en-US"/>
        </w:rPr>
        <w:t>D</w:t>
      </w:r>
      <w:r w:rsidR="00DD5207">
        <w:rPr>
          <w:sz w:val="24"/>
          <w:lang w:val="en-US"/>
        </w:rPr>
        <w:t xml:space="preserve">ata </w:t>
      </w:r>
      <w:r w:rsidR="006620AD">
        <w:rPr>
          <w:sz w:val="24"/>
          <w:lang w:val="en-US"/>
        </w:rPr>
        <w:t>R</w:t>
      </w:r>
      <w:r w:rsidR="00DD5207">
        <w:rPr>
          <w:sz w:val="24"/>
          <w:lang w:val="en-US"/>
        </w:rPr>
        <w:t>equest No.</w:t>
      </w:r>
      <w:r w:rsidR="006620AD">
        <w:rPr>
          <w:sz w:val="24"/>
          <w:lang w:val="en-US"/>
        </w:rPr>
        <w:t xml:space="preserve"> 179, the Company </w:t>
      </w:r>
      <w:r w:rsidR="0095196D">
        <w:rPr>
          <w:sz w:val="24"/>
          <w:lang w:val="en-US"/>
        </w:rPr>
        <w:t xml:space="preserve">explained its process for estimating Washington’s share of Aldyl-A work planned for the pro forma period.  </w:t>
      </w:r>
      <w:r w:rsidR="00B5036F">
        <w:rPr>
          <w:sz w:val="24"/>
          <w:lang w:val="en-US"/>
        </w:rPr>
        <w:t xml:space="preserve">When it </w:t>
      </w:r>
      <w:r w:rsidR="001260FC">
        <w:rPr>
          <w:sz w:val="24"/>
          <w:lang w:val="en-US"/>
        </w:rPr>
        <w:t>forecasts</w:t>
      </w:r>
      <w:r w:rsidR="00B5036F">
        <w:rPr>
          <w:sz w:val="24"/>
          <w:lang w:val="en-US"/>
        </w:rPr>
        <w:t xml:space="preserve"> i</w:t>
      </w:r>
      <w:r w:rsidR="000F24E6">
        <w:rPr>
          <w:sz w:val="24"/>
          <w:lang w:val="en-US"/>
        </w:rPr>
        <w:t>t</w:t>
      </w:r>
      <w:r w:rsidR="00B5036F">
        <w:rPr>
          <w:sz w:val="24"/>
          <w:lang w:val="en-US"/>
        </w:rPr>
        <w:t xml:space="preserve">s </w:t>
      </w:r>
      <w:r w:rsidR="00FC22A2">
        <w:rPr>
          <w:sz w:val="24"/>
          <w:lang w:val="en-US"/>
        </w:rPr>
        <w:t>system-level</w:t>
      </w:r>
      <w:r w:rsidR="000F24E6">
        <w:rPr>
          <w:sz w:val="24"/>
          <w:lang w:val="en-US"/>
        </w:rPr>
        <w:t xml:space="preserve"> </w:t>
      </w:r>
      <w:r w:rsidR="00B5036F">
        <w:rPr>
          <w:sz w:val="24"/>
          <w:lang w:val="en-US"/>
        </w:rPr>
        <w:t xml:space="preserve">transfers to plant for the pro forma period, </w:t>
      </w:r>
      <w:r w:rsidR="00783CF2">
        <w:rPr>
          <w:sz w:val="24"/>
          <w:lang w:val="en-US"/>
        </w:rPr>
        <w:t>the Company</w:t>
      </w:r>
      <w:r w:rsidR="00B5036F">
        <w:rPr>
          <w:sz w:val="24"/>
          <w:lang w:val="en-US"/>
        </w:rPr>
        <w:t xml:space="preserve"> </w:t>
      </w:r>
      <w:r w:rsidR="001627A8">
        <w:rPr>
          <w:sz w:val="24"/>
          <w:lang w:val="en-US"/>
        </w:rPr>
        <w:t xml:space="preserve">applies </w:t>
      </w:r>
      <w:r w:rsidR="00B5036F">
        <w:rPr>
          <w:sz w:val="24"/>
          <w:lang w:val="en-US"/>
        </w:rPr>
        <w:t xml:space="preserve">an estimate of the direct allocation percentage for the Washington jurisdiction work planned for that period.  </w:t>
      </w:r>
      <w:r w:rsidR="00A524F3">
        <w:rPr>
          <w:sz w:val="24"/>
          <w:lang w:val="en-US"/>
        </w:rPr>
        <w:t>In UE-120436, the direct allocation estimate for Aldyl-A was off by as much as 16</w:t>
      </w:r>
      <w:r w:rsidR="001260FC">
        <w:rPr>
          <w:sz w:val="24"/>
          <w:lang w:val="en-US"/>
        </w:rPr>
        <w:t xml:space="preserve"> percent </w:t>
      </w:r>
      <w:r w:rsidR="00075EDD">
        <w:rPr>
          <w:sz w:val="24"/>
          <w:lang w:val="en-US"/>
        </w:rPr>
        <w:t xml:space="preserve">from actuals </w:t>
      </w:r>
      <w:r w:rsidR="001627A8">
        <w:rPr>
          <w:sz w:val="24"/>
          <w:lang w:val="en-US"/>
        </w:rPr>
        <w:t>for the years 2012 and 2013</w:t>
      </w:r>
      <w:r w:rsidR="00A524F3">
        <w:rPr>
          <w:sz w:val="24"/>
          <w:lang w:val="en-US"/>
        </w:rPr>
        <w:t>.</w:t>
      </w:r>
      <w:r w:rsidR="00A524F3">
        <w:rPr>
          <w:rStyle w:val="FootnoteReference"/>
          <w:sz w:val="24"/>
          <w:lang w:val="en-US"/>
        </w:rPr>
        <w:footnoteReference w:id="54"/>
      </w:r>
      <w:r w:rsidR="00EF468D">
        <w:rPr>
          <w:sz w:val="24"/>
          <w:lang w:val="en-US"/>
        </w:rPr>
        <w:t xml:space="preserve">  In th</w:t>
      </w:r>
      <w:r w:rsidR="00895163">
        <w:rPr>
          <w:sz w:val="24"/>
          <w:lang w:val="en-US"/>
        </w:rPr>
        <w:t>e</w:t>
      </w:r>
      <w:r w:rsidR="00EF468D">
        <w:rPr>
          <w:sz w:val="24"/>
          <w:lang w:val="en-US"/>
        </w:rPr>
        <w:t xml:space="preserve"> </w:t>
      </w:r>
      <w:r w:rsidR="00895163">
        <w:rPr>
          <w:sz w:val="24"/>
          <w:lang w:val="en-US"/>
        </w:rPr>
        <w:t xml:space="preserve">last </w:t>
      </w:r>
      <w:r w:rsidR="00EF468D">
        <w:rPr>
          <w:sz w:val="24"/>
          <w:lang w:val="en-US"/>
        </w:rPr>
        <w:t>case, the estimate for 2014 was much better and only off by 1</w:t>
      </w:r>
      <w:r w:rsidR="001260FC">
        <w:rPr>
          <w:sz w:val="24"/>
          <w:lang w:val="en-US"/>
        </w:rPr>
        <w:t>.</w:t>
      </w:r>
      <w:r w:rsidR="00EF468D">
        <w:rPr>
          <w:sz w:val="24"/>
          <w:lang w:val="en-US"/>
        </w:rPr>
        <w:t xml:space="preserve">4 </w:t>
      </w:r>
      <w:r w:rsidR="001260FC">
        <w:rPr>
          <w:sz w:val="24"/>
          <w:lang w:val="en-US"/>
        </w:rPr>
        <w:t>percent</w:t>
      </w:r>
      <w:r w:rsidR="00EF468D">
        <w:rPr>
          <w:sz w:val="24"/>
          <w:lang w:val="en-US"/>
        </w:rPr>
        <w:t>.</w:t>
      </w:r>
      <w:r w:rsidR="00001FF5">
        <w:rPr>
          <w:sz w:val="24"/>
          <w:lang w:val="en-US"/>
        </w:rPr>
        <w:t xml:space="preserve">  </w:t>
      </w:r>
    </w:p>
    <w:p w14:paraId="06237DFF" w14:textId="05953C53" w:rsidR="004D35C4" w:rsidRDefault="001260FC" w:rsidP="00425F7D">
      <w:pPr>
        <w:pStyle w:val="BodyTextIndent"/>
        <w:ind w:firstLine="720"/>
        <w:rPr>
          <w:sz w:val="24"/>
          <w:lang w:val="en-US"/>
        </w:rPr>
      </w:pPr>
      <w:r>
        <w:rPr>
          <w:sz w:val="24"/>
          <w:lang w:val="en-US"/>
        </w:rPr>
        <w:t xml:space="preserve">While the variance in the Company’s </w:t>
      </w:r>
      <w:r w:rsidR="00994A94">
        <w:rPr>
          <w:sz w:val="24"/>
          <w:lang w:val="en-US"/>
        </w:rPr>
        <w:t xml:space="preserve">recent </w:t>
      </w:r>
      <w:r>
        <w:rPr>
          <w:sz w:val="24"/>
          <w:lang w:val="en-US"/>
        </w:rPr>
        <w:t xml:space="preserve">estimates of direct allocation </w:t>
      </w:r>
      <w:r w:rsidR="00994A94">
        <w:rPr>
          <w:sz w:val="24"/>
          <w:lang w:val="en-US"/>
        </w:rPr>
        <w:t xml:space="preserve">may be small, there is no certainty that this will hold true in the future or that future allocation variances will only serve to compound the Company’s </w:t>
      </w:r>
      <w:r w:rsidR="002863F1">
        <w:rPr>
          <w:sz w:val="24"/>
          <w:lang w:val="en-US"/>
        </w:rPr>
        <w:t xml:space="preserve">variances in its </w:t>
      </w:r>
      <w:r w:rsidR="00994A94">
        <w:rPr>
          <w:sz w:val="24"/>
          <w:lang w:val="en-US"/>
        </w:rPr>
        <w:lastRenderedPageBreak/>
        <w:t xml:space="preserve">estimates of pro forma transfers to plant.  Staff cannot offer a judgment given that the </w:t>
      </w:r>
      <w:r w:rsidR="00001FF5">
        <w:rPr>
          <w:sz w:val="24"/>
          <w:lang w:val="en-US"/>
        </w:rPr>
        <w:t xml:space="preserve">Company has not </w:t>
      </w:r>
      <w:r w:rsidR="004A1CE8">
        <w:rPr>
          <w:sz w:val="24"/>
          <w:lang w:val="en-US"/>
        </w:rPr>
        <w:t xml:space="preserve">provided </w:t>
      </w:r>
      <w:r w:rsidR="00001FF5">
        <w:rPr>
          <w:sz w:val="24"/>
          <w:lang w:val="en-US"/>
        </w:rPr>
        <w:t>an</w:t>
      </w:r>
      <w:r w:rsidR="009C2E66">
        <w:rPr>
          <w:sz w:val="24"/>
          <w:lang w:val="en-US"/>
        </w:rPr>
        <w:t xml:space="preserve">y </w:t>
      </w:r>
      <w:r w:rsidR="00E41279">
        <w:rPr>
          <w:sz w:val="24"/>
          <w:lang w:val="en-US"/>
        </w:rPr>
        <w:t>work papers</w:t>
      </w:r>
      <w:r w:rsidR="009C2E66">
        <w:rPr>
          <w:sz w:val="24"/>
          <w:lang w:val="en-US"/>
        </w:rPr>
        <w:t xml:space="preserve"> or testimony </w:t>
      </w:r>
      <w:r w:rsidR="00001FF5">
        <w:rPr>
          <w:sz w:val="24"/>
          <w:lang w:val="en-US"/>
        </w:rPr>
        <w:t xml:space="preserve">as to why </w:t>
      </w:r>
      <w:r w:rsidR="001C2FA0">
        <w:rPr>
          <w:sz w:val="24"/>
          <w:lang w:val="en-US"/>
        </w:rPr>
        <w:t xml:space="preserve">the Commission should accept its </w:t>
      </w:r>
      <w:r w:rsidR="00DE7A7E">
        <w:rPr>
          <w:sz w:val="24"/>
          <w:lang w:val="en-US"/>
        </w:rPr>
        <w:t xml:space="preserve">direct </w:t>
      </w:r>
      <w:r w:rsidR="00001FF5">
        <w:rPr>
          <w:sz w:val="24"/>
          <w:lang w:val="en-US"/>
        </w:rPr>
        <w:t xml:space="preserve">allocation percentage </w:t>
      </w:r>
      <w:r w:rsidR="001C2FA0">
        <w:rPr>
          <w:sz w:val="24"/>
          <w:lang w:val="en-US"/>
        </w:rPr>
        <w:t xml:space="preserve">estimate </w:t>
      </w:r>
      <w:r w:rsidR="00FB6EF3">
        <w:rPr>
          <w:sz w:val="24"/>
          <w:lang w:val="en-US"/>
        </w:rPr>
        <w:t xml:space="preserve">and </w:t>
      </w:r>
      <w:r w:rsidR="001C2FA0">
        <w:rPr>
          <w:sz w:val="24"/>
          <w:lang w:val="en-US"/>
        </w:rPr>
        <w:t xml:space="preserve">the </w:t>
      </w:r>
      <w:r w:rsidR="00FB6EF3">
        <w:rPr>
          <w:sz w:val="24"/>
          <w:lang w:val="en-US"/>
        </w:rPr>
        <w:t xml:space="preserve">resulting transfer to plant amount </w:t>
      </w:r>
      <w:r w:rsidR="00001FF5">
        <w:rPr>
          <w:sz w:val="24"/>
          <w:lang w:val="en-US"/>
        </w:rPr>
        <w:t>for the 2015 pro forma period.</w:t>
      </w:r>
      <w:r w:rsidR="00A524F3">
        <w:rPr>
          <w:sz w:val="24"/>
          <w:lang w:val="en-US"/>
        </w:rPr>
        <w:t xml:space="preserve">   </w:t>
      </w:r>
    </w:p>
    <w:p w14:paraId="30AC09A9" w14:textId="6547C37B" w:rsidR="00880046" w:rsidRDefault="004D35C4" w:rsidP="00425F7D">
      <w:pPr>
        <w:pStyle w:val="BodyTextIndent"/>
        <w:ind w:firstLine="720"/>
        <w:rPr>
          <w:sz w:val="24"/>
          <w:lang w:val="en-US"/>
        </w:rPr>
      </w:pPr>
      <w:r>
        <w:rPr>
          <w:sz w:val="24"/>
          <w:lang w:val="en-US"/>
        </w:rPr>
        <w:t>Avista’s response to Staff D</w:t>
      </w:r>
      <w:r w:rsidR="00DD5207">
        <w:rPr>
          <w:sz w:val="24"/>
          <w:lang w:val="en-US"/>
        </w:rPr>
        <w:t xml:space="preserve">ata Request No. </w:t>
      </w:r>
      <w:r>
        <w:rPr>
          <w:sz w:val="24"/>
          <w:lang w:val="en-US"/>
        </w:rPr>
        <w:t xml:space="preserve">179 also </w:t>
      </w:r>
      <w:r w:rsidR="004708D8">
        <w:rPr>
          <w:sz w:val="24"/>
          <w:lang w:val="en-US"/>
        </w:rPr>
        <w:t xml:space="preserve">revealed </w:t>
      </w:r>
      <w:r>
        <w:rPr>
          <w:sz w:val="24"/>
          <w:lang w:val="en-US"/>
        </w:rPr>
        <w:t xml:space="preserve">inconsistencies </w:t>
      </w:r>
      <w:r w:rsidR="00C7159A">
        <w:rPr>
          <w:sz w:val="24"/>
          <w:lang w:val="en-US"/>
        </w:rPr>
        <w:t xml:space="preserve">in the level of understanding amongst staff at </w:t>
      </w:r>
      <w:r w:rsidR="00880046">
        <w:rPr>
          <w:sz w:val="24"/>
          <w:lang w:val="en-US"/>
        </w:rPr>
        <w:t>the Company</w:t>
      </w:r>
      <w:r w:rsidR="00C7159A">
        <w:rPr>
          <w:sz w:val="24"/>
          <w:lang w:val="en-US"/>
        </w:rPr>
        <w:t xml:space="preserve"> regarding </w:t>
      </w:r>
      <w:r w:rsidR="00C559AE">
        <w:rPr>
          <w:sz w:val="24"/>
          <w:lang w:val="en-US"/>
        </w:rPr>
        <w:t xml:space="preserve">what constitutes </w:t>
      </w:r>
      <w:r w:rsidR="00C7159A">
        <w:rPr>
          <w:sz w:val="24"/>
          <w:lang w:val="en-US"/>
        </w:rPr>
        <w:t xml:space="preserve">Aldyl-A expenditure and transfer to plant amounts.  </w:t>
      </w:r>
      <w:r w:rsidR="00BA0C8B">
        <w:rPr>
          <w:sz w:val="24"/>
          <w:lang w:val="en-US"/>
        </w:rPr>
        <w:t>Staff</w:t>
      </w:r>
      <w:r w:rsidR="00D15EDA">
        <w:rPr>
          <w:sz w:val="24"/>
          <w:lang w:val="en-US"/>
        </w:rPr>
        <w:t xml:space="preserve"> D</w:t>
      </w:r>
      <w:r w:rsidR="00DD5207">
        <w:rPr>
          <w:sz w:val="24"/>
          <w:lang w:val="en-US"/>
        </w:rPr>
        <w:t>ata Request No.</w:t>
      </w:r>
      <w:r w:rsidR="00D15EDA">
        <w:rPr>
          <w:sz w:val="24"/>
          <w:lang w:val="en-US"/>
        </w:rPr>
        <w:t xml:space="preserve"> 179 is divided into two separate questions.  </w:t>
      </w:r>
      <w:r w:rsidR="00FB6EF3">
        <w:rPr>
          <w:sz w:val="24"/>
          <w:lang w:val="en-US"/>
        </w:rPr>
        <w:t xml:space="preserve">Each question was answered by a different person at the Company.  </w:t>
      </w:r>
      <w:r w:rsidR="005834EE">
        <w:rPr>
          <w:sz w:val="24"/>
          <w:lang w:val="en-US"/>
        </w:rPr>
        <w:t>In their individual responses to Staff’s questions</w:t>
      </w:r>
      <w:r w:rsidR="00F35FC3">
        <w:rPr>
          <w:sz w:val="24"/>
          <w:lang w:val="en-US"/>
        </w:rPr>
        <w:t xml:space="preserve"> they contradict one another</w:t>
      </w:r>
      <w:r w:rsidR="00BA0C8B">
        <w:rPr>
          <w:sz w:val="24"/>
          <w:lang w:val="en-US"/>
        </w:rPr>
        <w:t>. O</w:t>
      </w:r>
      <w:r w:rsidR="00FB6EF3">
        <w:rPr>
          <w:sz w:val="24"/>
          <w:lang w:val="en-US"/>
        </w:rPr>
        <w:t xml:space="preserve">ne person at Avista identified amounts in </w:t>
      </w:r>
      <w:r w:rsidR="00DE005E">
        <w:rPr>
          <w:sz w:val="24"/>
          <w:lang w:val="en-US"/>
        </w:rPr>
        <w:t xml:space="preserve">Mr. </w:t>
      </w:r>
      <w:r w:rsidR="00FB6EF3" w:rsidRPr="00FB6EF3">
        <w:rPr>
          <w:sz w:val="24"/>
          <w:lang w:val="en-US"/>
        </w:rPr>
        <w:t xml:space="preserve">Kopczynski’s </w:t>
      </w:r>
      <w:r w:rsidR="00FB6EF3">
        <w:rPr>
          <w:sz w:val="24"/>
          <w:lang w:val="en-US"/>
        </w:rPr>
        <w:t xml:space="preserve">testimony as transfer to plant amounts while </w:t>
      </w:r>
      <w:r w:rsidR="005834EE">
        <w:rPr>
          <w:sz w:val="24"/>
          <w:lang w:val="en-US"/>
        </w:rPr>
        <w:t>the o</w:t>
      </w:r>
      <w:r w:rsidR="00FB6EF3">
        <w:rPr>
          <w:sz w:val="24"/>
          <w:lang w:val="en-US"/>
        </w:rPr>
        <w:t xml:space="preserve">ther identified them as </w:t>
      </w:r>
      <w:r w:rsidR="00754F3D">
        <w:rPr>
          <w:sz w:val="24"/>
          <w:lang w:val="en-US"/>
        </w:rPr>
        <w:t xml:space="preserve">capital </w:t>
      </w:r>
      <w:r w:rsidR="00FB6EF3">
        <w:rPr>
          <w:sz w:val="24"/>
          <w:lang w:val="en-US"/>
        </w:rPr>
        <w:t>expenditures.</w:t>
      </w:r>
      <w:r w:rsidR="00754F3D">
        <w:rPr>
          <w:rStyle w:val="FootnoteReference"/>
          <w:sz w:val="24"/>
          <w:lang w:val="en-US"/>
        </w:rPr>
        <w:footnoteReference w:id="55"/>
      </w:r>
      <w:r w:rsidR="00FB6EF3">
        <w:rPr>
          <w:sz w:val="24"/>
          <w:lang w:val="en-US"/>
        </w:rPr>
        <w:t xml:space="preserve">  </w:t>
      </w:r>
    </w:p>
    <w:p w14:paraId="395B738E" w14:textId="69D1BA40" w:rsidR="001C2BEA" w:rsidRDefault="00025254" w:rsidP="00425F7D">
      <w:pPr>
        <w:pStyle w:val="BodyTextIndent"/>
        <w:ind w:firstLine="720"/>
        <w:rPr>
          <w:sz w:val="24"/>
          <w:lang w:val="en-US"/>
        </w:rPr>
      </w:pPr>
      <w:r>
        <w:rPr>
          <w:sz w:val="24"/>
          <w:lang w:val="en-US"/>
        </w:rPr>
        <w:t xml:space="preserve">Contributing </w:t>
      </w:r>
      <w:r w:rsidR="00880046">
        <w:rPr>
          <w:sz w:val="24"/>
          <w:lang w:val="en-US"/>
        </w:rPr>
        <w:t xml:space="preserve">to </w:t>
      </w:r>
      <w:r w:rsidR="004D1707">
        <w:rPr>
          <w:sz w:val="24"/>
          <w:lang w:val="en-US"/>
        </w:rPr>
        <w:t xml:space="preserve">Staff’s </w:t>
      </w:r>
      <w:r>
        <w:rPr>
          <w:sz w:val="24"/>
          <w:lang w:val="en-US"/>
        </w:rPr>
        <w:t xml:space="preserve">doubts </w:t>
      </w:r>
      <w:r w:rsidR="00895163">
        <w:rPr>
          <w:sz w:val="24"/>
          <w:lang w:val="en-US"/>
        </w:rPr>
        <w:t xml:space="preserve">about the Company’s Aldyl-A </w:t>
      </w:r>
      <w:r>
        <w:rPr>
          <w:sz w:val="24"/>
          <w:lang w:val="en-US"/>
        </w:rPr>
        <w:t xml:space="preserve">reporting </w:t>
      </w:r>
      <w:r w:rsidR="00880046">
        <w:rPr>
          <w:sz w:val="24"/>
          <w:lang w:val="en-US"/>
        </w:rPr>
        <w:t xml:space="preserve">is </w:t>
      </w:r>
      <w:r>
        <w:rPr>
          <w:sz w:val="24"/>
          <w:lang w:val="en-US"/>
        </w:rPr>
        <w:t>its</w:t>
      </w:r>
      <w:r w:rsidR="00880046">
        <w:rPr>
          <w:sz w:val="24"/>
          <w:lang w:val="en-US"/>
        </w:rPr>
        <w:t xml:space="preserve"> admission </w:t>
      </w:r>
      <w:r>
        <w:rPr>
          <w:sz w:val="24"/>
          <w:lang w:val="en-US"/>
        </w:rPr>
        <w:t xml:space="preserve">in its </w:t>
      </w:r>
      <w:r w:rsidRPr="00025254">
        <w:rPr>
          <w:sz w:val="24"/>
          <w:lang w:val="en-US"/>
        </w:rPr>
        <w:t>response to D</w:t>
      </w:r>
      <w:r w:rsidR="00DD5207">
        <w:rPr>
          <w:sz w:val="24"/>
          <w:lang w:val="en-US"/>
        </w:rPr>
        <w:t xml:space="preserve">ata </w:t>
      </w:r>
      <w:r w:rsidRPr="00025254">
        <w:rPr>
          <w:sz w:val="24"/>
          <w:lang w:val="en-US"/>
        </w:rPr>
        <w:t>R</w:t>
      </w:r>
      <w:r w:rsidR="00DD5207">
        <w:rPr>
          <w:sz w:val="24"/>
          <w:lang w:val="en-US"/>
        </w:rPr>
        <w:t xml:space="preserve">equest No. </w:t>
      </w:r>
      <w:r w:rsidRPr="00025254">
        <w:rPr>
          <w:sz w:val="24"/>
          <w:lang w:val="en-US"/>
        </w:rPr>
        <w:t>179</w:t>
      </w:r>
      <w:r>
        <w:rPr>
          <w:sz w:val="24"/>
          <w:lang w:val="en-US"/>
        </w:rPr>
        <w:t xml:space="preserve"> </w:t>
      </w:r>
      <w:r w:rsidR="00880046">
        <w:rPr>
          <w:sz w:val="24"/>
          <w:lang w:val="en-US"/>
        </w:rPr>
        <w:t xml:space="preserve">that the data </w:t>
      </w:r>
      <w:r w:rsidR="001C2BEA">
        <w:rPr>
          <w:sz w:val="24"/>
          <w:lang w:val="en-US"/>
        </w:rPr>
        <w:t>i</w:t>
      </w:r>
      <w:r w:rsidR="00880046">
        <w:rPr>
          <w:sz w:val="24"/>
          <w:lang w:val="en-US"/>
        </w:rPr>
        <w:t xml:space="preserve">n the </w:t>
      </w:r>
      <w:r w:rsidR="00F97F2B">
        <w:rPr>
          <w:sz w:val="24"/>
          <w:lang w:val="en-US"/>
        </w:rPr>
        <w:t xml:space="preserve">Company’s </w:t>
      </w:r>
      <w:r w:rsidR="00880046">
        <w:rPr>
          <w:sz w:val="24"/>
          <w:lang w:val="en-US"/>
        </w:rPr>
        <w:t xml:space="preserve">2015-2017 Two-Year </w:t>
      </w:r>
      <w:r w:rsidR="00F97F2B">
        <w:rPr>
          <w:sz w:val="24"/>
          <w:lang w:val="en-US"/>
        </w:rPr>
        <w:t xml:space="preserve">Plan </w:t>
      </w:r>
      <w:r w:rsidR="00880046">
        <w:rPr>
          <w:sz w:val="24"/>
          <w:lang w:val="en-US"/>
        </w:rPr>
        <w:t xml:space="preserve">is incorrect.  </w:t>
      </w:r>
      <w:r w:rsidR="001C2BEA">
        <w:rPr>
          <w:sz w:val="24"/>
          <w:lang w:val="en-US"/>
        </w:rPr>
        <w:t>Avista</w:t>
      </w:r>
      <w:r w:rsidR="00A03624">
        <w:rPr>
          <w:sz w:val="24"/>
          <w:lang w:val="en-US"/>
        </w:rPr>
        <w:t xml:space="preserve"> now reports that the </w:t>
      </w:r>
      <w:r w:rsidR="001C2BEA">
        <w:rPr>
          <w:sz w:val="24"/>
          <w:lang w:val="en-US"/>
        </w:rPr>
        <w:t xml:space="preserve">actual </w:t>
      </w:r>
      <w:r w:rsidR="00A03624">
        <w:rPr>
          <w:sz w:val="24"/>
          <w:lang w:val="en-US"/>
        </w:rPr>
        <w:t xml:space="preserve">amount of </w:t>
      </w:r>
      <w:r w:rsidR="001C2BEA">
        <w:rPr>
          <w:sz w:val="24"/>
          <w:lang w:val="en-US"/>
        </w:rPr>
        <w:t xml:space="preserve">Tees </w:t>
      </w:r>
      <w:r w:rsidR="00A03624">
        <w:rPr>
          <w:sz w:val="24"/>
          <w:lang w:val="en-US"/>
        </w:rPr>
        <w:t xml:space="preserve">it said it </w:t>
      </w:r>
      <w:r w:rsidR="001C2BEA">
        <w:rPr>
          <w:sz w:val="24"/>
          <w:lang w:val="en-US"/>
        </w:rPr>
        <w:t xml:space="preserve">replaced </w:t>
      </w:r>
      <w:r w:rsidR="00A03624">
        <w:rPr>
          <w:sz w:val="24"/>
          <w:lang w:val="en-US"/>
        </w:rPr>
        <w:t xml:space="preserve">in its 2015-2017 Two-Year Plan </w:t>
      </w:r>
      <w:r w:rsidR="001C2BEA">
        <w:rPr>
          <w:sz w:val="24"/>
          <w:lang w:val="en-US"/>
        </w:rPr>
        <w:t xml:space="preserve">is overstated by 229 Tees.  </w:t>
      </w:r>
      <w:r w:rsidR="00665DED">
        <w:rPr>
          <w:sz w:val="24"/>
          <w:lang w:val="en-US"/>
        </w:rPr>
        <w:t xml:space="preserve">Also, </w:t>
      </w:r>
      <w:r w:rsidR="00A03624">
        <w:rPr>
          <w:sz w:val="24"/>
          <w:lang w:val="en-US"/>
        </w:rPr>
        <w:t>in its response to D</w:t>
      </w:r>
      <w:r w:rsidR="00DD5207">
        <w:rPr>
          <w:sz w:val="24"/>
          <w:lang w:val="en-US"/>
        </w:rPr>
        <w:t xml:space="preserve">ata </w:t>
      </w:r>
      <w:r w:rsidR="00A03624">
        <w:rPr>
          <w:sz w:val="24"/>
          <w:lang w:val="en-US"/>
        </w:rPr>
        <w:t>R</w:t>
      </w:r>
      <w:r w:rsidR="00DD5207">
        <w:rPr>
          <w:sz w:val="24"/>
          <w:lang w:val="en-US"/>
        </w:rPr>
        <w:t>equest No.</w:t>
      </w:r>
      <w:r w:rsidR="00A03624">
        <w:rPr>
          <w:sz w:val="24"/>
          <w:lang w:val="en-US"/>
        </w:rPr>
        <w:t xml:space="preserve"> 179, </w:t>
      </w:r>
      <w:r w:rsidR="001C2BEA">
        <w:rPr>
          <w:sz w:val="24"/>
          <w:lang w:val="en-US"/>
        </w:rPr>
        <w:t xml:space="preserve">Avista </w:t>
      </w:r>
      <w:r w:rsidR="00A03624">
        <w:rPr>
          <w:sz w:val="24"/>
          <w:lang w:val="en-US"/>
        </w:rPr>
        <w:t xml:space="preserve">failed to </w:t>
      </w:r>
      <w:r w:rsidR="001C2BEA">
        <w:rPr>
          <w:sz w:val="24"/>
          <w:lang w:val="en-US"/>
        </w:rPr>
        <w:t xml:space="preserve">account for the differences in expenditure amounts </w:t>
      </w:r>
      <w:r w:rsidR="00A03624">
        <w:rPr>
          <w:sz w:val="24"/>
          <w:lang w:val="en-US"/>
        </w:rPr>
        <w:t xml:space="preserve">reported </w:t>
      </w:r>
      <w:r w:rsidR="001C2BEA">
        <w:rPr>
          <w:sz w:val="24"/>
          <w:lang w:val="en-US"/>
        </w:rPr>
        <w:t xml:space="preserve">in the 2015-2017 Two-Year Plan and </w:t>
      </w:r>
      <w:r w:rsidR="001D5ADE">
        <w:rPr>
          <w:sz w:val="24"/>
          <w:lang w:val="en-US"/>
        </w:rPr>
        <w:t xml:space="preserve">Mr. </w:t>
      </w:r>
      <w:r w:rsidR="001C2BEA" w:rsidRPr="00FB6EF3">
        <w:rPr>
          <w:sz w:val="24"/>
          <w:lang w:val="en-US"/>
        </w:rPr>
        <w:t xml:space="preserve">Kopczynski’s </w:t>
      </w:r>
      <w:r w:rsidR="001C2BEA">
        <w:rPr>
          <w:sz w:val="24"/>
          <w:lang w:val="en-US"/>
        </w:rPr>
        <w:t>testimony.</w:t>
      </w:r>
    </w:p>
    <w:p w14:paraId="21B653DA" w14:textId="4D911DB8" w:rsidR="00140513" w:rsidRDefault="00140513" w:rsidP="00425F7D">
      <w:pPr>
        <w:pStyle w:val="BodyTextIndent"/>
        <w:ind w:firstLine="720"/>
        <w:rPr>
          <w:sz w:val="24"/>
          <w:lang w:val="en-US"/>
        </w:rPr>
      </w:pPr>
      <w:r>
        <w:rPr>
          <w:sz w:val="24"/>
          <w:lang w:val="en-US"/>
        </w:rPr>
        <w:t xml:space="preserve">  </w:t>
      </w:r>
    </w:p>
    <w:p w14:paraId="494EE964" w14:textId="5312E713" w:rsidR="0048208B" w:rsidRDefault="00AA481C" w:rsidP="00425F7D">
      <w:pPr>
        <w:pStyle w:val="BodyTextIndent"/>
        <w:rPr>
          <w:b/>
          <w:sz w:val="24"/>
          <w:lang w:val="en-US"/>
        </w:rPr>
      </w:pPr>
      <w:r>
        <w:rPr>
          <w:b/>
          <w:sz w:val="24"/>
          <w:lang w:val="en-US"/>
        </w:rPr>
        <w:lastRenderedPageBreak/>
        <w:t>Q.</w:t>
      </w:r>
      <w:r>
        <w:rPr>
          <w:b/>
          <w:sz w:val="24"/>
          <w:lang w:val="en-US"/>
        </w:rPr>
        <w:tab/>
        <w:t xml:space="preserve">As a result of all this, </w:t>
      </w:r>
      <w:r w:rsidR="0040192F">
        <w:rPr>
          <w:b/>
          <w:sz w:val="24"/>
          <w:lang w:val="en-US"/>
        </w:rPr>
        <w:t>do you</w:t>
      </w:r>
      <w:r>
        <w:rPr>
          <w:b/>
          <w:sz w:val="24"/>
          <w:lang w:val="en-US"/>
        </w:rPr>
        <w:t xml:space="preserve"> </w:t>
      </w:r>
      <w:r w:rsidR="00B74920">
        <w:rPr>
          <w:b/>
          <w:sz w:val="24"/>
          <w:lang w:val="en-US"/>
        </w:rPr>
        <w:t xml:space="preserve">have a recommendation for </w:t>
      </w:r>
      <w:r>
        <w:rPr>
          <w:b/>
          <w:sz w:val="24"/>
          <w:lang w:val="en-US"/>
        </w:rPr>
        <w:t xml:space="preserve">the Commission </w:t>
      </w:r>
      <w:r w:rsidR="00B74920">
        <w:rPr>
          <w:b/>
          <w:sz w:val="24"/>
          <w:lang w:val="en-US"/>
        </w:rPr>
        <w:t xml:space="preserve">on the amount of </w:t>
      </w:r>
      <w:r w:rsidR="0025284A">
        <w:rPr>
          <w:b/>
          <w:sz w:val="24"/>
          <w:lang w:val="en-US"/>
        </w:rPr>
        <w:t xml:space="preserve">Aldyl-A </w:t>
      </w:r>
      <w:r w:rsidR="00B74920">
        <w:rPr>
          <w:b/>
          <w:sz w:val="24"/>
          <w:lang w:val="en-US"/>
        </w:rPr>
        <w:t xml:space="preserve">capital additions to </w:t>
      </w:r>
      <w:r>
        <w:rPr>
          <w:b/>
          <w:sz w:val="24"/>
          <w:lang w:val="en-US"/>
        </w:rPr>
        <w:t>allow in rate base for the 2015 pro forma period?</w:t>
      </w:r>
    </w:p>
    <w:p w14:paraId="5D374FEC" w14:textId="71C1C6E7" w:rsidR="0048208B" w:rsidRDefault="00AA481C" w:rsidP="00425F7D">
      <w:pPr>
        <w:pStyle w:val="BodyTextIndent"/>
        <w:rPr>
          <w:sz w:val="24"/>
          <w:lang w:val="en-US"/>
        </w:rPr>
      </w:pPr>
      <w:r>
        <w:rPr>
          <w:sz w:val="24"/>
          <w:lang w:val="en-US"/>
        </w:rPr>
        <w:t>A.</w:t>
      </w:r>
      <w:r>
        <w:rPr>
          <w:sz w:val="24"/>
          <w:lang w:val="en-US"/>
        </w:rPr>
        <w:tab/>
      </w:r>
      <w:r w:rsidR="00D14CC6">
        <w:rPr>
          <w:sz w:val="24"/>
          <w:lang w:val="en-US"/>
        </w:rPr>
        <w:t>Yes.  In its July 10, 2015, response to Staff D</w:t>
      </w:r>
      <w:r w:rsidR="00DD5207">
        <w:rPr>
          <w:sz w:val="24"/>
          <w:lang w:val="en-US"/>
        </w:rPr>
        <w:t xml:space="preserve">ata </w:t>
      </w:r>
      <w:r w:rsidR="00D14CC6">
        <w:rPr>
          <w:sz w:val="24"/>
          <w:lang w:val="en-US"/>
        </w:rPr>
        <w:t>R</w:t>
      </w:r>
      <w:r w:rsidR="00DD5207">
        <w:rPr>
          <w:sz w:val="24"/>
          <w:lang w:val="en-US"/>
        </w:rPr>
        <w:t>equest</w:t>
      </w:r>
      <w:r w:rsidR="00D14CC6">
        <w:rPr>
          <w:sz w:val="24"/>
          <w:lang w:val="en-US"/>
        </w:rPr>
        <w:t xml:space="preserve"> No. 183, Avista confirmed that its 2015 pro forma transfer to plant amounts in this case are based on “programmatic estimates</w:t>
      </w:r>
      <w:r w:rsidR="0040192F">
        <w:rPr>
          <w:sz w:val="24"/>
          <w:lang w:val="en-US"/>
        </w:rPr>
        <w:t>.</w:t>
      </w:r>
      <w:r w:rsidR="00D14CC6">
        <w:rPr>
          <w:sz w:val="24"/>
          <w:lang w:val="en-US"/>
        </w:rPr>
        <w:t xml:space="preserve">”  For the purposes of my examination, this admission </w:t>
      </w:r>
      <w:r w:rsidR="00BD76FC">
        <w:rPr>
          <w:sz w:val="24"/>
          <w:lang w:val="en-US"/>
        </w:rPr>
        <w:t xml:space="preserve">by Avista </w:t>
      </w:r>
      <w:r w:rsidR="00D14CC6">
        <w:rPr>
          <w:sz w:val="24"/>
          <w:lang w:val="en-US"/>
        </w:rPr>
        <w:t xml:space="preserve">suffices in making my recommendation to not include into rate base </w:t>
      </w:r>
      <w:r w:rsidR="00BD76FC">
        <w:rPr>
          <w:sz w:val="24"/>
          <w:lang w:val="en-US"/>
        </w:rPr>
        <w:t>the Company’s 2</w:t>
      </w:r>
      <w:r w:rsidR="00D14CC6">
        <w:rPr>
          <w:sz w:val="24"/>
          <w:lang w:val="en-US"/>
        </w:rPr>
        <w:t xml:space="preserve">015 pro forma estimates of capital additions for this ER.  Staff will examine in greater detail and provide its analysis of Aldyl A program costs in </w:t>
      </w:r>
      <w:r w:rsidR="00EE7297">
        <w:rPr>
          <w:sz w:val="24"/>
          <w:lang w:val="en-US"/>
        </w:rPr>
        <w:t xml:space="preserve">its review of Avista’s </w:t>
      </w:r>
      <w:r w:rsidR="00EE7297" w:rsidRPr="00EE7297">
        <w:rPr>
          <w:sz w:val="24"/>
          <w:lang w:val="en-US"/>
        </w:rPr>
        <w:t xml:space="preserve">2015-2017 Two-Year Plan </w:t>
      </w:r>
      <w:r w:rsidR="00EE7297">
        <w:rPr>
          <w:sz w:val="24"/>
          <w:lang w:val="en-US"/>
        </w:rPr>
        <w:t xml:space="preserve">in </w:t>
      </w:r>
      <w:r w:rsidR="001D5ADE">
        <w:rPr>
          <w:sz w:val="24"/>
          <w:lang w:val="en-US"/>
        </w:rPr>
        <w:t xml:space="preserve">Docket </w:t>
      </w:r>
      <w:r w:rsidR="00EE7297">
        <w:rPr>
          <w:sz w:val="24"/>
          <w:lang w:val="en-US"/>
        </w:rPr>
        <w:t xml:space="preserve">PG-131837.  </w:t>
      </w:r>
      <w:r w:rsidR="00C60EC3">
        <w:rPr>
          <w:sz w:val="24"/>
          <w:lang w:val="en-US"/>
        </w:rPr>
        <w:t xml:space="preserve">Staff recommends the Commission </w:t>
      </w:r>
      <w:r w:rsidR="00512EE0">
        <w:rPr>
          <w:sz w:val="24"/>
          <w:lang w:val="en-US"/>
        </w:rPr>
        <w:t xml:space="preserve">only </w:t>
      </w:r>
      <w:r w:rsidR="00C60EC3">
        <w:rPr>
          <w:sz w:val="24"/>
          <w:lang w:val="en-US"/>
        </w:rPr>
        <w:t xml:space="preserve">allow </w:t>
      </w:r>
      <w:r w:rsidR="0086755E">
        <w:rPr>
          <w:sz w:val="24"/>
          <w:lang w:val="en-US"/>
        </w:rPr>
        <w:t>$2.</w:t>
      </w:r>
      <w:r w:rsidR="00EE7297">
        <w:rPr>
          <w:sz w:val="24"/>
          <w:lang w:val="en-US"/>
        </w:rPr>
        <w:t>4</w:t>
      </w:r>
      <w:r w:rsidR="0086755E">
        <w:rPr>
          <w:sz w:val="24"/>
          <w:lang w:val="en-US"/>
        </w:rPr>
        <w:t xml:space="preserve"> million in </w:t>
      </w:r>
      <w:r w:rsidR="00EE7297">
        <w:rPr>
          <w:sz w:val="24"/>
          <w:lang w:val="en-US"/>
        </w:rPr>
        <w:t xml:space="preserve">actual </w:t>
      </w:r>
      <w:r w:rsidR="0086755E">
        <w:rPr>
          <w:sz w:val="24"/>
          <w:lang w:val="en-US"/>
        </w:rPr>
        <w:t xml:space="preserve">capital additions </w:t>
      </w:r>
      <w:r w:rsidR="00EE7297">
        <w:rPr>
          <w:sz w:val="24"/>
          <w:lang w:val="en-US"/>
        </w:rPr>
        <w:t xml:space="preserve">through June </w:t>
      </w:r>
      <w:r w:rsidR="0086755E">
        <w:rPr>
          <w:sz w:val="24"/>
          <w:lang w:val="en-US"/>
        </w:rPr>
        <w:t>for the 2015 pro forma period.</w:t>
      </w:r>
      <w:r w:rsidR="00C60EC3">
        <w:rPr>
          <w:rStyle w:val="FootnoteReference"/>
          <w:sz w:val="24"/>
          <w:lang w:val="en-US"/>
        </w:rPr>
        <w:footnoteReference w:id="56"/>
      </w:r>
      <w:r w:rsidR="00C60EC3">
        <w:rPr>
          <w:sz w:val="24"/>
          <w:lang w:val="en-US"/>
        </w:rPr>
        <w:t xml:space="preserve">  </w:t>
      </w:r>
      <w:r w:rsidR="00512EE0">
        <w:rPr>
          <w:sz w:val="24"/>
          <w:lang w:val="en-US"/>
        </w:rPr>
        <w:t>Alternatively, the C</w:t>
      </w:r>
      <w:r w:rsidR="001E4C5F">
        <w:rPr>
          <w:sz w:val="24"/>
          <w:lang w:val="en-US"/>
        </w:rPr>
        <w:t xml:space="preserve">ompany has the option to request </w:t>
      </w:r>
      <w:r w:rsidR="00512EE0">
        <w:rPr>
          <w:sz w:val="24"/>
          <w:lang w:val="en-US"/>
        </w:rPr>
        <w:t xml:space="preserve">a Cost Recovery Mechanism (CRM) consistent with the Commission’s </w:t>
      </w:r>
      <w:r w:rsidR="00C60EC3">
        <w:rPr>
          <w:sz w:val="24"/>
          <w:lang w:val="en-US"/>
        </w:rPr>
        <w:t xml:space="preserve">policy statement </w:t>
      </w:r>
      <w:r w:rsidR="00512EE0">
        <w:rPr>
          <w:sz w:val="24"/>
          <w:lang w:val="en-US"/>
        </w:rPr>
        <w:t>on accelerated replacement of pipeline facilities with elevated risk</w:t>
      </w:r>
      <w:r w:rsidR="00594A67">
        <w:rPr>
          <w:sz w:val="24"/>
          <w:lang w:val="en-US"/>
        </w:rPr>
        <w:t>.</w:t>
      </w:r>
      <w:r w:rsidR="00594A67">
        <w:rPr>
          <w:rStyle w:val="FootnoteReference"/>
          <w:sz w:val="24"/>
          <w:lang w:val="en-US"/>
        </w:rPr>
        <w:footnoteReference w:id="57"/>
      </w:r>
    </w:p>
    <w:p w14:paraId="1EC78615" w14:textId="77777777" w:rsidR="00425F7D" w:rsidRDefault="00425F7D" w:rsidP="00425F7D">
      <w:pPr>
        <w:pStyle w:val="BodyTextIndent"/>
        <w:rPr>
          <w:b/>
          <w:sz w:val="24"/>
          <w:lang w:val="en-US"/>
        </w:rPr>
      </w:pPr>
    </w:p>
    <w:p w14:paraId="39014AF9" w14:textId="7954DF55" w:rsidR="00E75A16" w:rsidRDefault="00E75A16" w:rsidP="00425F7D">
      <w:pPr>
        <w:pStyle w:val="Heading3"/>
        <w:ind w:left="907"/>
      </w:pPr>
      <w:bookmarkStart w:id="49" w:name="_Toc425172446"/>
      <w:bookmarkStart w:id="50" w:name="_Toc425328747"/>
      <w:bookmarkStart w:id="51" w:name="_Toc425339191"/>
      <w:bookmarkStart w:id="52" w:name="_Toc425756869"/>
      <w:r>
        <w:rPr>
          <w:lang w:val="en-US"/>
        </w:rPr>
        <w:t xml:space="preserve">Gas Non-Revenue </w:t>
      </w:r>
      <w:r w:rsidR="00D64CA5">
        <w:rPr>
          <w:lang w:val="en-US"/>
        </w:rPr>
        <w:t>Program</w:t>
      </w:r>
      <w:bookmarkEnd w:id="49"/>
      <w:bookmarkEnd w:id="50"/>
      <w:bookmarkEnd w:id="51"/>
      <w:bookmarkEnd w:id="52"/>
    </w:p>
    <w:p w14:paraId="37A5838E" w14:textId="77777777" w:rsidR="00E75A16" w:rsidRDefault="00E75A16" w:rsidP="00425F7D">
      <w:pPr>
        <w:pStyle w:val="BodyTextIndent"/>
        <w:rPr>
          <w:b/>
          <w:sz w:val="24"/>
          <w:lang w:val="en-US"/>
        </w:rPr>
      </w:pPr>
    </w:p>
    <w:p w14:paraId="02A540B5" w14:textId="6B29F898" w:rsidR="002251A3" w:rsidRDefault="002251A3" w:rsidP="00425F7D">
      <w:pPr>
        <w:pStyle w:val="BodyTextIndent"/>
        <w:rPr>
          <w:b/>
          <w:sz w:val="24"/>
        </w:rPr>
      </w:pPr>
      <w:r>
        <w:rPr>
          <w:b/>
          <w:sz w:val="24"/>
          <w:lang w:val="en-US"/>
        </w:rPr>
        <w:t>Q.</w:t>
      </w:r>
      <w:r>
        <w:rPr>
          <w:b/>
          <w:sz w:val="24"/>
          <w:lang w:val="en-US"/>
        </w:rPr>
        <w:tab/>
      </w:r>
      <w:r w:rsidR="00D64CA5">
        <w:rPr>
          <w:b/>
          <w:sz w:val="24"/>
          <w:lang w:val="en-US"/>
        </w:rPr>
        <w:t xml:space="preserve">What is the scope of this </w:t>
      </w:r>
      <w:r w:rsidR="00D72AFD">
        <w:rPr>
          <w:b/>
          <w:sz w:val="24"/>
          <w:lang w:val="en-US"/>
        </w:rPr>
        <w:t>program?</w:t>
      </w:r>
    </w:p>
    <w:p w14:paraId="18AFFF00" w14:textId="626DDE4C" w:rsidR="002251A3" w:rsidRDefault="002251A3" w:rsidP="00425F7D">
      <w:pPr>
        <w:pStyle w:val="BodyTextIndent"/>
        <w:rPr>
          <w:sz w:val="24"/>
          <w:lang w:val="en-US"/>
        </w:rPr>
      </w:pPr>
      <w:r>
        <w:rPr>
          <w:sz w:val="24"/>
          <w:lang w:val="en-US"/>
        </w:rPr>
        <w:lastRenderedPageBreak/>
        <w:t>A.</w:t>
      </w:r>
      <w:r>
        <w:rPr>
          <w:sz w:val="24"/>
          <w:lang w:val="en-US"/>
        </w:rPr>
        <w:tab/>
      </w:r>
      <w:r w:rsidR="00D64CA5">
        <w:rPr>
          <w:sz w:val="24"/>
          <w:lang w:val="en-US"/>
        </w:rPr>
        <w:t xml:space="preserve">According to the Company, this program involves </w:t>
      </w:r>
      <w:r w:rsidR="00E13CAB">
        <w:rPr>
          <w:sz w:val="24"/>
          <w:lang w:val="en-US"/>
        </w:rPr>
        <w:t xml:space="preserve">maintenance on </w:t>
      </w:r>
      <w:r w:rsidR="00D64CA5">
        <w:rPr>
          <w:sz w:val="24"/>
          <w:lang w:val="en-US"/>
        </w:rPr>
        <w:t xml:space="preserve">sections of existing natural gas piping that require replacement to improve the operation of the natural gas distribution system but are not linked to any new revenue.  The only testimony provided by Avista for this program is </w:t>
      </w:r>
      <w:r w:rsidR="00985252">
        <w:rPr>
          <w:sz w:val="24"/>
          <w:lang w:val="en-US"/>
        </w:rPr>
        <w:t xml:space="preserve">in Ms. Schuh’s direct testimony </w:t>
      </w:r>
      <w:r w:rsidR="009D7030">
        <w:rPr>
          <w:sz w:val="24"/>
          <w:lang w:val="en-US"/>
        </w:rPr>
        <w:t xml:space="preserve">and exhibits which provide a general description of the program along with </w:t>
      </w:r>
      <w:r w:rsidR="00ED2838">
        <w:rPr>
          <w:sz w:val="24"/>
          <w:lang w:val="en-US"/>
        </w:rPr>
        <w:t xml:space="preserve">forecasted </w:t>
      </w:r>
      <w:r w:rsidR="009D7030">
        <w:rPr>
          <w:sz w:val="24"/>
          <w:lang w:val="en-US"/>
        </w:rPr>
        <w:t>estimate</w:t>
      </w:r>
      <w:r w:rsidR="00ED2838">
        <w:rPr>
          <w:sz w:val="24"/>
          <w:lang w:val="en-US"/>
        </w:rPr>
        <w:t>s</w:t>
      </w:r>
      <w:r w:rsidR="009D7030">
        <w:rPr>
          <w:sz w:val="24"/>
          <w:lang w:val="en-US"/>
        </w:rPr>
        <w:t xml:space="preserve"> </w:t>
      </w:r>
      <w:r w:rsidR="00ED2838">
        <w:rPr>
          <w:sz w:val="24"/>
          <w:lang w:val="en-US"/>
        </w:rPr>
        <w:t xml:space="preserve">of </w:t>
      </w:r>
      <w:r w:rsidR="009D7030">
        <w:rPr>
          <w:sz w:val="24"/>
          <w:lang w:val="en-US"/>
        </w:rPr>
        <w:t>expenditures and transfer to plant amounts.</w:t>
      </w:r>
      <w:r w:rsidR="00985252">
        <w:rPr>
          <w:rStyle w:val="FootnoteReference"/>
          <w:sz w:val="24"/>
          <w:lang w:val="en-US"/>
        </w:rPr>
        <w:footnoteReference w:id="58"/>
      </w:r>
      <w:r w:rsidR="00607F6D">
        <w:rPr>
          <w:sz w:val="24"/>
          <w:lang w:val="en-US"/>
        </w:rPr>
        <w:t xml:space="preserve">  </w:t>
      </w:r>
    </w:p>
    <w:p w14:paraId="3F37C70C" w14:textId="77777777" w:rsidR="006C2A70" w:rsidRDefault="006C2A70" w:rsidP="00425F7D">
      <w:pPr>
        <w:pStyle w:val="BodyTextIndent"/>
        <w:rPr>
          <w:sz w:val="24"/>
          <w:lang w:val="en-US"/>
        </w:rPr>
      </w:pPr>
    </w:p>
    <w:p w14:paraId="17775B6D" w14:textId="088199E7" w:rsidR="003E5F97" w:rsidRDefault="003E5F97" w:rsidP="00425F7D">
      <w:pPr>
        <w:pStyle w:val="BodyTextIndent"/>
        <w:rPr>
          <w:b/>
          <w:sz w:val="24"/>
          <w:lang w:val="en-US"/>
        </w:rPr>
      </w:pPr>
      <w:r>
        <w:rPr>
          <w:b/>
          <w:sz w:val="24"/>
          <w:lang w:val="en-US"/>
        </w:rPr>
        <w:t>Q.</w:t>
      </w:r>
      <w:r>
        <w:rPr>
          <w:b/>
          <w:sz w:val="24"/>
          <w:lang w:val="en-US"/>
        </w:rPr>
        <w:tab/>
        <w:t xml:space="preserve">What is your assessment of the Company’s </w:t>
      </w:r>
      <w:r w:rsidR="00FC22A2">
        <w:rPr>
          <w:b/>
          <w:sz w:val="24"/>
          <w:lang w:val="en-US"/>
        </w:rPr>
        <w:t>system-level</w:t>
      </w:r>
      <w:r>
        <w:rPr>
          <w:b/>
          <w:sz w:val="24"/>
          <w:lang w:val="en-US"/>
        </w:rPr>
        <w:t xml:space="preserve"> forecast of $6</w:t>
      </w:r>
      <w:r w:rsidR="00682B94">
        <w:rPr>
          <w:b/>
          <w:sz w:val="24"/>
          <w:lang w:val="en-US"/>
        </w:rPr>
        <w:t>.0</w:t>
      </w:r>
      <w:r>
        <w:rPr>
          <w:b/>
          <w:sz w:val="24"/>
          <w:lang w:val="en-US"/>
        </w:rPr>
        <w:t xml:space="preserve"> million </w:t>
      </w:r>
      <w:r w:rsidR="00D359FA">
        <w:rPr>
          <w:b/>
          <w:sz w:val="24"/>
          <w:lang w:val="en-US"/>
        </w:rPr>
        <w:t xml:space="preserve">in capital additions </w:t>
      </w:r>
      <w:r>
        <w:rPr>
          <w:b/>
          <w:sz w:val="24"/>
          <w:lang w:val="en-US"/>
        </w:rPr>
        <w:t xml:space="preserve">for the 2015 pro forma period for this </w:t>
      </w:r>
      <w:r w:rsidR="00682B94">
        <w:rPr>
          <w:b/>
          <w:sz w:val="24"/>
          <w:lang w:val="en-US"/>
        </w:rPr>
        <w:t>ER</w:t>
      </w:r>
      <w:r>
        <w:rPr>
          <w:b/>
          <w:sz w:val="24"/>
          <w:lang w:val="en-US"/>
        </w:rPr>
        <w:t>?</w:t>
      </w:r>
    </w:p>
    <w:p w14:paraId="1095A437" w14:textId="26E472EE" w:rsidR="00D3622C" w:rsidRDefault="003E5F97" w:rsidP="00425F7D">
      <w:pPr>
        <w:pStyle w:val="BodyTextIndent"/>
        <w:rPr>
          <w:sz w:val="24"/>
          <w:lang w:val="en-US"/>
        </w:rPr>
      </w:pPr>
      <w:r>
        <w:rPr>
          <w:sz w:val="24"/>
          <w:lang w:val="en-US"/>
        </w:rPr>
        <w:t>A.</w:t>
      </w:r>
      <w:r>
        <w:rPr>
          <w:sz w:val="24"/>
          <w:lang w:val="en-US"/>
        </w:rPr>
        <w:tab/>
        <w:t xml:space="preserve">I will begin by </w:t>
      </w:r>
      <w:r w:rsidR="00D3622C">
        <w:rPr>
          <w:sz w:val="24"/>
          <w:lang w:val="en-US"/>
        </w:rPr>
        <w:t xml:space="preserve">first </w:t>
      </w:r>
      <w:r>
        <w:rPr>
          <w:sz w:val="24"/>
          <w:lang w:val="en-US"/>
        </w:rPr>
        <w:t>pointing out a discrepancy in one of Ms. Schuh’s exhibits.  In</w:t>
      </w:r>
      <w:r w:rsidR="00222317">
        <w:rPr>
          <w:sz w:val="24"/>
          <w:lang w:val="en-US"/>
        </w:rPr>
        <w:t xml:space="preserve"> her Exhibit No</w:t>
      </w:r>
      <w:r w:rsidR="001D5ADE">
        <w:rPr>
          <w:sz w:val="24"/>
          <w:lang w:val="en-US"/>
        </w:rPr>
        <w:t>.</w:t>
      </w:r>
      <w:r w:rsidR="00222317">
        <w:rPr>
          <w:sz w:val="24"/>
          <w:lang w:val="en-US"/>
        </w:rPr>
        <w:t xml:space="preserve"> __ (KKS-5), Attachment No. NBD-3, she shows a forecasted </w:t>
      </w:r>
      <w:r w:rsidR="00FC22A2">
        <w:rPr>
          <w:sz w:val="24"/>
          <w:lang w:val="en-US"/>
        </w:rPr>
        <w:t>system-level</w:t>
      </w:r>
      <w:r w:rsidR="00222317">
        <w:rPr>
          <w:sz w:val="24"/>
          <w:lang w:val="en-US"/>
        </w:rPr>
        <w:t xml:space="preserve"> transfer to plant amount of $7.7 million for 2015 and $8.6 million for 2016.  The</w:t>
      </w:r>
      <w:r w:rsidR="00D72AFD">
        <w:rPr>
          <w:sz w:val="24"/>
          <w:lang w:val="en-US"/>
        </w:rPr>
        <w:t xml:space="preserve">se amounts are incorrect.  The actual </w:t>
      </w:r>
      <w:r w:rsidR="0003162B">
        <w:rPr>
          <w:sz w:val="24"/>
          <w:lang w:val="en-US"/>
        </w:rPr>
        <w:t xml:space="preserve">annual </w:t>
      </w:r>
      <w:r w:rsidR="00222317">
        <w:rPr>
          <w:sz w:val="24"/>
          <w:lang w:val="en-US"/>
        </w:rPr>
        <w:t xml:space="preserve">amount </w:t>
      </w:r>
      <w:r w:rsidR="0003162B">
        <w:rPr>
          <w:sz w:val="24"/>
          <w:lang w:val="en-US"/>
        </w:rPr>
        <w:t xml:space="preserve">of capital additions for this program </w:t>
      </w:r>
      <w:r w:rsidR="00222317">
        <w:rPr>
          <w:sz w:val="24"/>
          <w:lang w:val="en-US"/>
        </w:rPr>
        <w:t xml:space="preserve">for </w:t>
      </w:r>
      <w:r w:rsidR="0003162B">
        <w:rPr>
          <w:sz w:val="24"/>
          <w:lang w:val="en-US"/>
        </w:rPr>
        <w:t xml:space="preserve">the years 2015 and 2016 </w:t>
      </w:r>
      <w:r w:rsidR="001D5ADE">
        <w:rPr>
          <w:sz w:val="24"/>
          <w:lang w:val="en-US"/>
        </w:rPr>
        <w:t xml:space="preserve">is </w:t>
      </w:r>
      <w:r w:rsidR="00222317">
        <w:rPr>
          <w:sz w:val="24"/>
          <w:lang w:val="en-US"/>
        </w:rPr>
        <w:t>$6.0 million.</w:t>
      </w:r>
      <w:r w:rsidR="00222317">
        <w:rPr>
          <w:rStyle w:val="FootnoteReference"/>
          <w:sz w:val="24"/>
          <w:lang w:val="en-US"/>
        </w:rPr>
        <w:footnoteReference w:id="59"/>
      </w:r>
    </w:p>
    <w:p w14:paraId="4CF46340" w14:textId="26D41D53" w:rsidR="007C540B" w:rsidRDefault="00D3622C" w:rsidP="00425F7D">
      <w:pPr>
        <w:pStyle w:val="BodyTextIndent"/>
        <w:rPr>
          <w:sz w:val="24"/>
          <w:lang w:val="en-US"/>
        </w:rPr>
      </w:pPr>
      <w:r>
        <w:rPr>
          <w:sz w:val="24"/>
          <w:lang w:val="en-US"/>
        </w:rPr>
        <w:tab/>
      </w:r>
      <w:r>
        <w:rPr>
          <w:sz w:val="24"/>
          <w:lang w:val="en-US"/>
        </w:rPr>
        <w:tab/>
      </w:r>
      <w:r w:rsidR="00A171BD">
        <w:rPr>
          <w:sz w:val="24"/>
          <w:lang w:val="en-US"/>
        </w:rPr>
        <w:t xml:space="preserve">Avista’s pro forma estimates of </w:t>
      </w:r>
      <w:r w:rsidR="00E363CB">
        <w:rPr>
          <w:sz w:val="24"/>
          <w:lang w:val="en-US"/>
        </w:rPr>
        <w:t xml:space="preserve">its </w:t>
      </w:r>
      <w:r w:rsidR="00A171BD">
        <w:rPr>
          <w:sz w:val="24"/>
          <w:lang w:val="en-US"/>
        </w:rPr>
        <w:t>2015 capital addition</w:t>
      </w:r>
      <w:r w:rsidR="005216A5">
        <w:rPr>
          <w:sz w:val="24"/>
          <w:lang w:val="en-US"/>
        </w:rPr>
        <w:t>s</w:t>
      </w:r>
      <w:r w:rsidR="00A171BD">
        <w:rPr>
          <w:sz w:val="24"/>
          <w:lang w:val="en-US"/>
        </w:rPr>
        <w:t xml:space="preserve"> </w:t>
      </w:r>
      <w:r w:rsidR="005216A5">
        <w:rPr>
          <w:sz w:val="24"/>
          <w:lang w:val="en-US"/>
        </w:rPr>
        <w:t xml:space="preserve">for </w:t>
      </w:r>
      <w:r w:rsidR="00A171BD">
        <w:rPr>
          <w:sz w:val="24"/>
          <w:lang w:val="en-US"/>
        </w:rPr>
        <w:t xml:space="preserve">this program </w:t>
      </w:r>
      <w:r w:rsidR="002E6823">
        <w:rPr>
          <w:sz w:val="24"/>
          <w:lang w:val="en-US"/>
        </w:rPr>
        <w:t xml:space="preserve">represent </w:t>
      </w:r>
      <w:r w:rsidR="00E363CB">
        <w:rPr>
          <w:sz w:val="24"/>
          <w:lang w:val="en-US"/>
        </w:rPr>
        <w:t xml:space="preserve">an </w:t>
      </w:r>
      <w:r w:rsidR="00A171BD">
        <w:rPr>
          <w:sz w:val="24"/>
          <w:lang w:val="en-US"/>
        </w:rPr>
        <w:t xml:space="preserve">unsupported judgment </w:t>
      </w:r>
      <w:r w:rsidR="00E363CB">
        <w:rPr>
          <w:sz w:val="24"/>
          <w:lang w:val="en-US"/>
        </w:rPr>
        <w:t xml:space="preserve">on </w:t>
      </w:r>
      <w:r w:rsidR="00A171BD">
        <w:rPr>
          <w:sz w:val="24"/>
          <w:lang w:val="en-US"/>
        </w:rPr>
        <w:t>the part of the Company</w:t>
      </w:r>
      <w:r w:rsidR="00E363CB">
        <w:rPr>
          <w:sz w:val="24"/>
          <w:lang w:val="en-US"/>
        </w:rPr>
        <w:t>.</w:t>
      </w:r>
      <w:r w:rsidR="00E363CB">
        <w:rPr>
          <w:rStyle w:val="FootnoteReference"/>
          <w:sz w:val="24"/>
          <w:lang w:val="en-US"/>
        </w:rPr>
        <w:footnoteReference w:id="60"/>
      </w:r>
      <w:r w:rsidR="00E363CB">
        <w:rPr>
          <w:sz w:val="24"/>
          <w:lang w:val="en-US"/>
        </w:rPr>
        <w:t xml:space="preserve">  The </w:t>
      </w:r>
      <w:r w:rsidR="002E6823">
        <w:rPr>
          <w:sz w:val="24"/>
          <w:lang w:val="en-US"/>
        </w:rPr>
        <w:t xml:space="preserve">material </w:t>
      </w:r>
      <w:r w:rsidR="002E6823">
        <w:rPr>
          <w:sz w:val="24"/>
          <w:lang w:val="en-US"/>
        </w:rPr>
        <w:lastRenderedPageBreak/>
        <w:t>variation</w:t>
      </w:r>
      <w:r w:rsidR="00263F92">
        <w:rPr>
          <w:sz w:val="24"/>
          <w:lang w:val="en-US"/>
        </w:rPr>
        <w:t>s</w:t>
      </w:r>
      <w:r w:rsidR="00821E5C">
        <w:rPr>
          <w:sz w:val="24"/>
          <w:lang w:val="en-US"/>
        </w:rPr>
        <w:t xml:space="preserve"> in year to year estimates in back to back rate cases </w:t>
      </w:r>
      <w:r w:rsidR="00D4121A">
        <w:rPr>
          <w:sz w:val="24"/>
          <w:lang w:val="en-US"/>
        </w:rPr>
        <w:t xml:space="preserve">for this program </w:t>
      </w:r>
      <w:r w:rsidR="00ED3AF5">
        <w:rPr>
          <w:sz w:val="24"/>
          <w:lang w:val="en-US"/>
        </w:rPr>
        <w:t>come without a word of explanation</w:t>
      </w:r>
      <w:r w:rsidR="00D4121A">
        <w:rPr>
          <w:sz w:val="24"/>
          <w:lang w:val="en-US"/>
        </w:rPr>
        <w:t xml:space="preserve"> by Ms. Schuh or any other Avista witness</w:t>
      </w:r>
      <w:r w:rsidR="00ED3AF5">
        <w:rPr>
          <w:sz w:val="24"/>
          <w:lang w:val="en-US"/>
        </w:rPr>
        <w:t xml:space="preserve">.  Such lack </w:t>
      </w:r>
      <w:r w:rsidR="00601954">
        <w:rPr>
          <w:sz w:val="24"/>
          <w:lang w:val="en-US"/>
        </w:rPr>
        <w:t>of</w:t>
      </w:r>
      <w:r w:rsidR="00ED3AF5">
        <w:rPr>
          <w:sz w:val="24"/>
          <w:lang w:val="en-US"/>
        </w:rPr>
        <w:t xml:space="preserve"> </w:t>
      </w:r>
      <w:r w:rsidR="003803E1">
        <w:rPr>
          <w:sz w:val="24"/>
          <w:lang w:val="en-US"/>
        </w:rPr>
        <w:t xml:space="preserve">analytical </w:t>
      </w:r>
      <w:r w:rsidR="00ED3AF5">
        <w:rPr>
          <w:sz w:val="24"/>
          <w:lang w:val="en-US"/>
        </w:rPr>
        <w:t xml:space="preserve">rigor </w:t>
      </w:r>
      <w:r w:rsidR="00E363CB">
        <w:rPr>
          <w:sz w:val="24"/>
          <w:lang w:val="en-US"/>
        </w:rPr>
        <w:t xml:space="preserve">may be suitable for Avista’s </w:t>
      </w:r>
      <w:r w:rsidR="00A171BD">
        <w:rPr>
          <w:sz w:val="24"/>
          <w:lang w:val="en-US"/>
        </w:rPr>
        <w:t>budgeting process</w:t>
      </w:r>
      <w:r w:rsidR="00E363CB">
        <w:rPr>
          <w:sz w:val="24"/>
          <w:lang w:val="en-US"/>
        </w:rPr>
        <w:t xml:space="preserve"> </w:t>
      </w:r>
      <w:r w:rsidR="00392432">
        <w:rPr>
          <w:sz w:val="24"/>
          <w:lang w:val="en-US"/>
        </w:rPr>
        <w:t xml:space="preserve">but it </w:t>
      </w:r>
      <w:r w:rsidR="00E363CB">
        <w:rPr>
          <w:sz w:val="24"/>
          <w:lang w:val="en-US"/>
        </w:rPr>
        <w:t xml:space="preserve">is certainly not acceptable </w:t>
      </w:r>
      <w:r w:rsidR="00392432">
        <w:rPr>
          <w:sz w:val="24"/>
          <w:lang w:val="en-US"/>
        </w:rPr>
        <w:t xml:space="preserve">for </w:t>
      </w:r>
      <w:r w:rsidR="00E363CB">
        <w:rPr>
          <w:sz w:val="24"/>
          <w:lang w:val="en-US"/>
        </w:rPr>
        <w:t xml:space="preserve">meeting the Commission’s known and measurable </w:t>
      </w:r>
      <w:r w:rsidR="003653DA">
        <w:rPr>
          <w:sz w:val="24"/>
          <w:lang w:val="en-US"/>
        </w:rPr>
        <w:t xml:space="preserve">standard </w:t>
      </w:r>
      <w:r w:rsidR="006D5FA3">
        <w:rPr>
          <w:sz w:val="24"/>
          <w:lang w:val="en-US"/>
        </w:rPr>
        <w:t>required for</w:t>
      </w:r>
      <w:r w:rsidR="00E363CB">
        <w:rPr>
          <w:sz w:val="24"/>
          <w:lang w:val="en-US"/>
        </w:rPr>
        <w:t xml:space="preserve"> pro forma adjustments to test year results</w:t>
      </w:r>
      <w:r w:rsidR="00A171BD">
        <w:rPr>
          <w:sz w:val="24"/>
          <w:lang w:val="en-US"/>
        </w:rPr>
        <w:t xml:space="preserve">.  </w:t>
      </w:r>
      <w:r w:rsidR="00DD4EC8" w:rsidRPr="00DD4EC8">
        <w:rPr>
          <w:sz w:val="24"/>
          <w:lang w:val="en-US"/>
        </w:rPr>
        <w:t xml:space="preserve">As mentioned </w:t>
      </w:r>
      <w:r w:rsidR="00DD4EC8">
        <w:rPr>
          <w:sz w:val="24"/>
          <w:lang w:val="en-US"/>
        </w:rPr>
        <w:t xml:space="preserve">earlier in my testimony, </w:t>
      </w:r>
      <w:r w:rsidR="00DD4EC8" w:rsidRPr="00DD4EC8">
        <w:rPr>
          <w:sz w:val="24"/>
          <w:lang w:val="en-US"/>
        </w:rPr>
        <w:t>Avista</w:t>
      </w:r>
      <w:r w:rsidR="00ED3AF5">
        <w:rPr>
          <w:sz w:val="24"/>
          <w:lang w:val="en-US"/>
        </w:rPr>
        <w:t>’s attrition study</w:t>
      </w:r>
      <w:r w:rsidR="00DD4EC8" w:rsidRPr="00DD4EC8">
        <w:rPr>
          <w:sz w:val="24"/>
          <w:lang w:val="en-US"/>
        </w:rPr>
        <w:t xml:space="preserve"> </w:t>
      </w:r>
      <w:r w:rsidR="00ED3AF5">
        <w:rPr>
          <w:sz w:val="24"/>
          <w:lang w:val="en-US"/>
        </w:rPr>
        <w:t xml:space="preserve">asks the Commission to accept </w:t>
      </w:r>
      <w:r w:rsidR="00DD4EC8">
        <w:rPr>
          <w:sz w:val="24"/>
          <w:lang w:val="en-US"/>
        </w:rPr>
        <w:t xml:space="preserve">Ms. Schuh’s estimates of pro forma capital additions </w:t>
      </w:r>
      <w:r w:rsidR="00ED3AF5">
        <w:rPr>
          <w:sz w:val="24"/>
          <w:lang w:val="en-US"/>
        </w:rPr>
        <w:t xml:space="preserve">and the </w:t>
      </w:r>
      <w:r w:rsidR="00CE09A2" w:rsidRPr="00DD4EC8">
        <w:rPr>
          <w:sz w:val="24"/>
          <w:lang w:val="en-US"/>
        </w:rPr>
        <w:t xml:space="preserve">historical trend </w:t>
      </w:r>
      <w:r w:rsidR="00ED3AF5">
        <w:rPr>
          <w:sz w:val="24"/>
          <w:lang w:val="en-US"/>
        </w:rPr>
        <w:t>in rate base derived from these amounts to arrive at a revenue requirement in this case</w:t>
      </w:r>
      <w:r w:rsidR="003C3A02">
        <w:rPr>
          <w:sz w:val="24"/>
          <w:lang w:val="en-US"/>
        </w:rPr>
        <w:t xml:space="preserve">.  </w:t>
      </w:r>
      <w:r w:rsidR="00263F92">
        <w:rPr>
          <w:sz w:val="24"/>
          <w:lang w:val="en-US"/>
        </w:rPr>
        <w:t xml:space="preserve">If it is to </w:t>
      </w:r>
      <w:r w:rsidR="00056E0F">
        <w:rPr>
          <w:sz w:val="24"/>
          <w:lang w:val="en-US"/>
        </w:rPr>
        <w:t xml:space="preserve">accomplish </w:t>
      </w:r>
      <w:r w:rsidR="00A171BD">
        <w:rPr>
          <w:sz w:val="24"/>
          <w:lang w:val="en-US"/>
        </w:rPr>
        <w:t xml:space="preserve">this, Avista must meet the </w:t>
      </w:r>
      <w:r w:rsidR="00263F92">
        <w:rPr>
          <w:sz w:val="24"/>
          <w:lang w:val="en-US"/>
        </w:rPr>
        <w:t xml:space="preserve">known and measurable </w:t>
      </w:r>
      <w:r w:rsidR="00D4121A">
        <w:rPr>
          <w:sz w:val="24"/>
          <w:lang w:val="en-US"/>
        </w:rPr>
        <w:t xml:space="preserve">standard for </w:t>
      </w:r>
      <w:r w:rsidR="00934D51">
        <w:rPr>
          <w:sz w:val="24"/>
          <w:lang w:val="en-US"/>
        </w:rPr>
        <w:t xml:space="preserve">each </w:t>
      </w:r>
      <w:r w:rsidR="002D7393">
        <w:rPr>
          <w:sz w:val="24"/>
          <w:lang w:val="en-US"/>
        </w:rPr>
        <w:t xml:space="preserve">and every one </w:t>
      </w:r>
      <w:r w:rsidR="00934D51">
        <w:rPr>
          <w:sz w:val="24"/>
          <w:lang w:val="en-US"/>
        </w:rPr>
        <w:t xml:space="preserve">of its </w:t>
      </w:r>
      <w:r w:rsidR="002D7393">
        <w:rPr>
          <w:sz w:val="24"/>
          <w:lang w:val="en-US"/>
        </w:rPr>
        <w:t xml:space="preserve">proposed </w:t>
      </w:r>
      <w:r w:rsidR="00D4121A">
        <w:rPr>
          <w:sz w:val="24"/>
          <w:lang w:val="en-US"/>
        </w:rPr>
        <w:t>pro forma adjustments</w:t>
      </w:r>
      <w:r w:rsidR="00587676">
        <w:rPr>
          <w:sz w:val="24"/>
          <w:lang w:val="en-US"/>
        </w:rPr>
        <w:t xml:space="preserve">, a considerable task given the number of </w:t>
      </w:r>
      <w:r w:rsidR="002710E4">
        <w:rPr>
          <w:sz w:val="24"/>
          <w:lang w:val="en-US"/>
        </w:rPr>
        <w:t>ERs</w:t>
      </w:r>
      <w:r w:rsidR="00934D51">
        <w:rPr>
          <w:sz w:val="24"/>
          <w:lang w:val="en-US"/>
        </w:rPr>
        <w:t xml:space="preserve">.  The Commission made this very clear to </w:t>
      </w:r>
      <w:r w:rsidR="007C540B">
        <w:rPr>
          <w:sz w:val="24"/>
          <w:lang w:val="en-US"/>
        </w:rPr>
        <w:t xml:space="preserve">Avista </w:t>
      </w:r>
      <w:r w:rsidR="00934D51">
        <w:rPr>
          <w:sz w:val="24"/>
          <w:lang w:val="en-US"/>
        </w:rPr>
        <w:t xml:space="preserve">in its </w:t>
      </w:r>
      <w:r w:rsidR="007C540B">
        <w:rPr>
          <w:sz w:val="24"/>
          <w:lang w:val="en-US"/>
        </w:rPr>
        <w:t>2010 rate case</w:t>
      </w:r>
      <w:r w:rsidR="00A171BD">
        <w:rPr>
          <w:sz w:val="24"/>
          <w:lang w:val="en-US"/>
        </w:rPr>
        <w:t>.</w:t>
      </w:r>
      <w:r w:rsidR="007C540B">
        <w:rPr>
          <w:rStyle w:val="FootnoteReference"/>
          <w:sz w:val="24"/>
          <w:lang w:val="en-US"/>
        </w:rPr>
        <w:footnoteReference w:id="61"/>
      </w:r>
      <w:r w:rsidR="00D4121A">
        <w:rPr>
          <w:sz w:val="24"/>
          <w:lang w:val="en-US"/>
        </w:rPr>
        <w:t xml:space="preserve">  </w:t>
      </w:r>
      <w:r w:rsidR="00C63C89">
        <w:rPr>
          <w:sz w:val="24"/>
          <w:lang w:val="en-US"/>
        </w:rPr>
        <w:t xml:space="preserve">Yet, </w:t>
      </w:r>
      <w:r w:rsidR="00D4121A">
        <w:rPr>
          <w:sz w:val="24"/>
          <w:lang w:val="en-US"/>
        </w:rPr>
        <w:t>the Company has chosen to ignore the Commission’</w:t>
      </w:r>
      <w:r w:rsidR="00AD025B">
        <w:rPr>
          <w:sz w:val="24"/>
          <w:lang w:val="en-US"/>
        </w:rPr>
        <w:t xml:space="preserve">s guidance </w:t>
      </w:r>
      <w:r w:rsidR="00934D51">
        <w:rPr>
          <w:sz w:val="24"/>
          <w:lang w:val="en-US"/>
        </w:rPr>
        <w:t>o</w:t>
      </w:r>
      <w:r w:rsidR="00AD025B">
        <w:rPr>
          <w:sz w:val="24"/>
          <w:lang w:val="en-US"/>
        </w:rPr>
        <w:t>n this matter</w:t>
      </w:r>
      <w:r w:rsidR="00587676">
        <w:rPr>
          <w:sz w:val="24"/>
          <w:lang w:val="en-US"/>
        </w:rPr>
        <w:t xml:space="preserve"> and offer</w:t>
      </w:r>
      <w:r w:rsidR="00C63C89">
        <w:rPr>
          <w:sz w:val="24"/>
          <w:lang w:val="en-US"/>
        </w:rPr>
        <w:t>s</w:t>
      </w:r>
      <w:r w:rsidR="00587676">
        <w:rPr>
          <w:sz w:val="24"/>
          <w:lang w:val="en-US"/>
        </w:rPr>
        <w:t xml:space="preserve"> support </w:t>
      </w:r>
      <w:r w:rsidR="00C63C89">
        <w:rPr>
          <w:sz w:val="24"/>
          <w:lang w:val="en-US"/>
        </w:rPr>
        <w:t xml:space="preserve">for </w:t>
      </w:r>
      <w:r w:rsidR="00587676">
        <w:rPr>
          <w:sz w:val="24"/>
          <w:lang w:val="en-US"/>
        </w:rPr>
        <w:t>its pro forma capital additions that is a mile long and an inch thick</w:t>
      </w:r>
      <w:r w:rsidR="00D4121A">
        <w:rPr>
          <w:sz w:val="24"/>
          <w:lang w:val="en-US"/>
        </w:rPr>
        <w:t xml:space="preserve">.  </w:t>
      </w:r>
      <w:r w:rsidR="007C540B">
        <w:rPr>
          <w:sz w:val="24"/>
          <w:lang w:val="en-US"/>
        </w:rPr>
        <w:t xml:space="preserve">Many of Avista’s </w:t>
      </w:r>
      <w:r w:rsidR="002710E4">
        <w:rPr>
          <w:sz w:val="24"/>
          <w:lang w:val="en-US"/>
        </w:rPr>
        <w:t>ERs</w:t>
      </w:r>
      <w:r w:rsidR="007C540B">
        <w:rPr>
          <w:sz w:val="24"/>
          <w:lang w:val="en-US"/>
        </w:rPr>
        <w:t xml:space="preserve"> are </w:t>
      </w:r>
      <w:r w:rsidR="00C63C89">
        <w:rPr>
          <w:sz w:val="24"/>
          <w:lang w:val="en-US"/>
        </w:rPr>
        <w:t>ongoing</w:t>
      </w:r>
      <w:r w:rsidR="00BC3F2C">
        <w:rPr>
          <w:sz w:val="24"/>
          <w:lang w:val="en-US"/>
        </w:rPr>
        <w:t xml:space="preserve">, like this </w:t>
      </w:r>
      <w:r w:rsidR="00C63C89">
        <w:rPr>
          <w:sz w:val="24"/>
          <w:lang w:val="en-US"/>
        </w:rPr>
        <w:t>Gas Non-Revenue Program</w:t>
      </w:r>
      <w:r w:rsidR="00BC3F2C">
        <w:rPr>
          <w:sz w:val="24"/>
          <w:lang w:val="en-US"/>
        </w:rPr>
        <w:t xml:space="preserve">, </w:t>
      </w:r>
      <w:r w:rsidR="00C2279D">
        <w:rPr>
          <w:sz w:val="24"/>
          <w:lang w:val="en-US"/>
        </w:rPr>
        <w:t xml:space="preserve">whose </w:t>
      </w:r>
      <w:r w:rsidR="00D4121A">
        <w:rPr>
          <w:sz w:val="24"/>
          <w:lang w:val="en-US"/>
        </w:rPr>
        <w:t xml:space="preserve">forecasted </w:t>
      </w:r>
      <w:r w:rsidR="00C2279D">
        <w:rPr>
          <w:sz w:val="24"/>
          <w:lang w:val="en-US"/>
        </w:rPr>
        <w:t xml:space="preserve">amounts </w:t>
      </w:r>
      <w:r w:rsidR="00D4121A">
        <w:rPr>
          <w:sz w:val="24"/>
          <w:lang w:val="en-US"/>
        </w:rPr>
        <w:t xml:space="preserve">suffer from the same affliction and are therefore </w:t>
      </w:r>
      <w:r w:rsidR="003165CE">
        <w:rPr>
          <w:sz w:val="24"/>
          <w:lang w:val="en-US"/>
        </w:rPr>
        <w:t>unsuitable</w:t>
      </w:r>
      <w:r w:rsidR="00D4121A">
        <w:rPr>
          <w:sz w:val="24"/>
          <w:lang w:val="en-US"/>
        </w:rPr>
        <w:t xml:space="preserve"> </w:t>
      </w:r>
      <w:r w:rsidR="00510BE0">
        <w:rPr>
          <w:sz w:val="24"/>
          <w:lang w:val="en-US"/>
        </w:rPr>
        <w:t>for the purpose of s</w:t>
      </w:r>
      <w:r w:rsidR="00D4121A">
        <w:rPr>
          <w:sz w:val="24"/>
          <w:lang w:val="en-US"/>
        </w:rPr>
        <w:t>etting rates</w:t>
      </w:r>
      <w:r w:rsidR="007C540B">
        <w:rPr>
          <w:sz w:val="24"/>
          <w:lang w:val="en-US"/>
        </w:rPr>
        <w:t xml:space="preserve">.  </w:t>
      </w:r>
    </w:p>
    <w:p w14:paraId="32D67307" w14:textId="31C29A95" w:rsidR="002251A3" w:rsidRDefault="00B653EE" w:rsidP="00425F7D">
      <w:pPr>
        <w:pStyle w:val="BodyTextIndent"/>
        <w:ind w:firstLine="720"/>
        <w:rPr>
          <w:sz w:val="24"/>
          <w:lang w:val="en-US"/>
        </w:rPr>
      </w:pPr>
      <w:r>
        <w:rPr>
          <w:sz w:val="24"/>
          <w:lang w:val="en-US"/>
        </w:rPr>
        <w:t xml:space="preserve">Staff recommends </w:t>
      </w:r>
      <w:r w:rsidR="00B81C9F">
        <w:rPr>
          <w:sz w:val="24"/>
          <w:lang w:val="en-US"/>
        </w:rPr>
        <w:t>the Commission allow in rate base only the $1.6 million of 2015 actual transfers to plant through June provided by Avista in its most recent supplemental response to Staff D</w:t>
      </w:r>
      <w:r w:rsidR="00DD5207">
        <w:rPr>
          <w:sz w:val="24"/>
          <w:lang w:val="en-US"/>
        </w:rPr>
        <w:t xml:space="preserve">ata </w:t>
      </w:r>
      <w:r w:rsidR="00B81C9F">
        <w:rPr>
          <w:sz w:val="24"/>
          <w:lang w:val="en-US"/>
        </w:rPr>
        <w:t>R</w:t>
      </w:r>
      <w:r w:rsidR="00DD5207">
        <w:rPr>
          <w:sz w:val="24"/>
          <w:lang w:val="en-US"/>
        </w:rPr>
        <w:t>equest</w:t>
      </w:r>
      <w:r w:rsidR="00B81C9F">
        <w:rPr>
          <w:sz w:val="24"/>
          <w:lang w:val="en-US"/>
        </w:rPr>
        <w:t xml:space="preserve"> No. 143.</w:t>
      </w:r>
    </w:p>
    <w:p w14:paraId="76DF04D1" w14:textId="77777777" w:rsidR="00425F7D" w:rsidRDefault="00425F7D" w:rsidP="00425F7D">
      <w:pPr>
        <w:pStyle w:val="BodyTextIndent"/>
        <w:ind w:firstLine="720"/>
        <w:rPr>
          <w:b/>
          <w:sz w:val="24"/>
        </w:rPr>
      </w:pPr>
    </w:p>
    <w:p w14:paraId="0DCFF5CD" w14:textId="1A6C5C92" w:rsidR="00475FF2" w:rsidRDefault="00475FF2" w:rsidP="00425F7D">
      <w:pPr>
        <w:pStyle w:val="Heading3"/>
        <w:ind w:left="907"/>
      </w:pPr>
      <w:bookmarkStart w:id="53" w:name="_Toc425172447"/>
      <w:bookmarkStart w:id="54" w:name="_Toc425328748"/>
      <w:bookmarkStart w:id="55" w:name="_Toc425339192"/>
      <w:bookmarkStart w:id="56" w:name="_Toc425756870"/>
      <w:r>
        <w:rPr>
          <w:lang w:val="en-US"/>
        </w:rPr>
        <w:lastRenderedPageBreak/>
        <w:t xml:space="preserve">Gas Isolated </w:t>
      </w:r>
      <w:r w:rsidR="0088346B">
        <w:rPr>
          <w:lang w:val="en-US"/>
        </w:rPr>
        <w:t>Steel Replacement Program</w:t>
      </w:r>
      <w:bookmarkEnd w:id="53"/>
      <w:bookmarkEnd w:id="54"/>
      <w:bookmarkEnd w:id="55"/>
      <w:bookmarkEnd w:id="56"/>
    </w:p>
    <w:p w14:paraId="1AAEDB4E" w14:textId="77777777" w:rsidR="00475FF2" w:rsidRDefault="00475FF2" w:rsidP="00425F7D">
      <w:pPr>
        <w:pStyle w:val="BodyTextIndent"/>
        <w:rPr>
          <w:b/>
          <w:sz w:val="24"/>
          <w:lang w:val="en-US"/>
        </w:rPr>
      </w:pPr>
    </w:p>
    <w:p w14:paraId="68079DB8" w14:textId="225933D2" w:rsidR="002251A3" w:rsidRDefault="002251A3" w:rsidP="00425F7D">
      <w:pPr>
        <w:pStyle w:val="BodyTextIndent"/>
        <w:rPr>
          <w:sz w:val="24"/>
        </w:rPr>
      </w:pPr>
      <w:r>
        <w:rPr>
          <w:b/>
          <w:sz w:val="24"/>
          <w:lang w:val="en-US"/>
        </w:rPr>
        <w:t>Q.</w:t>
      </w:r>
      <w:r>
        <w:rPr>
          <w:b/>
          <w:sz w:val="24"/>
          <w:lang w:val="en-US"/>
        </w:rPr>
        <w:tab/>
      </w:r>
      <w:r w:rsidR="0088346B">
        <w:rPr>
          <w:b/>
          <w:sz w:val="24"/>
          <w:lang w:val="en-US"/>
        </w:rPr>
        <w:t xml:space="preserve">Are the circumstances behind </w:t>
      </w:r>
      <w:r w:rsidR="0046483F">
        <w:rPr>
          <w:b/>
          <w:sz w:val="24"/>
          <w:lang w:val="en-US"/>
        </w:rPr>
        <w:t>this major capital addition program identical to the Gas Non- Revenue Program above?</w:t>
      </w:r>
    </w:p>
    <w:p w14:paraId="5188B190" w14:textId="18D42FCB" w:rsidR="00DA1A15" w:rsidRDefault="002251A3" w:rsidP="00425F7D">
      <w:pPr>
        <w:pStyle w:val="BodyTextIndent"/>
        <w:rPr>
          <w:sz w:val="24"/>
          <w:lang w:val="en-US"/>
        </w:rPr>
      </w:pPr>
      <w:r>
        <w:rPr>
          <w:sz w:val="24"/>
          <w:lang w:val="en-US"/>
        </w:rPr>
        <w:t>A.</w:t>
      </w:r>
      <w:r>
        <w:rPr>
          <w:sz w:val="24"/>
          <w:lang w:val="en-US"/>
        </w:rPr>
        <w:tab/>
      </w:r>
      <w:r w:rsidR="0046483F">
        <w:rPr>
          <w:sz w:val="24"/>
          <w:lang w:val="en-US"/>
        </w:rPr>
        <w:t xml:space="preserve">Yes.  </w:t>
      </w:r>
      <w:r w:rsidR="00043F82">
        <w:rPr>
          <w:sz w:val="24"/>
          <w:lang w:val="en-US"/>
        </w:rPr>
        <w:t xml:space="preserve">Avista’s July 10, 2015, supplemental response to </w:t>
      </w:r>
      <w:r w:rsidR="00DA1A15">
        <w:rPr>
          <w:sz w:val="24"/>
          <w:lang w:val="en-US"/>
        </w:rPr>
        <w:t>Staff D</w:t>
      </w:r>
      <w:r w:rsidR="00DD5207">
        <w:rPr>
          <w:sz w:val="24"/>
          <w:lang w:val="en-US"/>
        </w:rPr>
        <w:t xml:space="preserve">ata </w:t>
      </w:r>
      <w:r w:rsidR="00DA1A15">
        <w:rPr>
          <w:sz w:val="24"/>
          <w:lang w:val="en-US"/>
        </w:rPr>
        <w:t>R</w:t>
      </w:r>
      <w:r w:rsidR="00DD5207">
        <w:rPr>
          <w:sz w:val="24"/>
          <w:lang w:val="en-US"/>
        </w:rPr>
        <w:t>equest</w:t>
      </w:r>
      <w:r w:rsidR="00DA1A15">
        <w:rPr>
          <w:sz w:val="24"/>
          <w:lang w:val="en-US"/>
        </w:rPr>
        <w:t xml:space="preserve"> No. 143</w:t>
      </w:r>
      <w:r w:rsidR="00043F82">
        <w:rPr>
          <w:sz w:val="24"/>
          <w:lang w:val="en-US"/>
        </w:rPr>
        <w:t xml:space="preserve"> </w:t>
      </w:r>
      <w:r w:rsidR="00DA1A15">
        <w:rPr>
          <w:sz w:val="24"/>
          <w:lang w:val="en-US"/>
        </w:rPr>
        <w:t xml:space="preserve">shows </w:t>
      </w:r>
      <w:r w:rsidR="00773108">
        <w:rPr>
          <w:sz w:val="24"/>
          <w:lang w:val="en-US"/>
        </w:rPr>
        <w:t>Washington-allocated</w:t>
      </w:r>
      <w:r w:rsidR="00DA1A15">
        <w:rPr>
          <w:sz w:val="24"/>
          <w:lang w:val="en-US"/>
        </w:rPr>
        <w:t xml:space="preserve"> transfer to plant actuals through </w:t>
      </w:r>
      <w:r w:rsidR="00501DED">
        <w:rPr>
          <w:sz w:val="24"/>
          <w:lang w:val="en-US"/>
        </w:rPr>
        <w:t xml:space="preserve">June </w:t>
      </w:r>
      <w:r w:rsidR="00DA1A15">
        <w:rPr>
          <w:sz w:val="24"/>
          <w:lang w:val="en-US"/>
        </w:rPr>
        <w:t>of 2015 for this program at $</w:t>
      </w:r>
      <w:r w:rsidR="00043F82">
        <w:rPr>
          <w:sz w:val="24"/>
          <w:lang w:val="en-US"/>
        </w:rPr>
        <w:t>463,628</w:t>
      </w:r>
      <w:r w:rsidR="006D5FA3">
        <w:rPr>
          <w:sz w:val="24"/>
          <w:lang w:val="en-US"/>
        </w:rPr>
        <w:t>,</w:t>
      </w:r>
      <w:r w:rsidR="00510BE0">
        <w:rPr>
          <w:sz w:val="24"/>
          <w:lang w:val="en-US"/>
        </w:rPr>
        <w:t xml:space="preserve"> which </w:t>
      </w:r>
      <w:r w:rsidR="003803E1">
        <w:rPr>
          <w:sz w:val="24"/>
          <w:lang w:val="en-US"/>
        </w:rPr>
        <w:t>is</w:t>
      </w:r>
      <w:r w:rsidR="00510BE0">
        <w:rPr>
          <w:sz w:val="24"/>
          <w:lang w:val="en-US"/>
        </w:rPr>
        <w:t xml:space="preserve"> $</w:t>
      </w:r>
      <w:r w:rsidR="00043F82">
        <w:rPr>
          <w:sz w:val="24"/>
          <w:lang w:val="en-US"/>
        </w:rPr>
        <w:t>700,795</w:t>
      </w:r>
      <w:r w:rsidR="00510BE0">
        <w:rPr>
          <w:sz w:val="24"/>
          <w:lang w:val="en-US"/>
        </w:rPr>
        <w:t xml:space="preserve"> under the amount forecasted by Avista for this same time period</w:t>
      </w:r>
      <w:r w:rsidR="008C52CF">
        <w:rPr>
          <w:sz w:val="24"/>
          <w:lang w:val="en-US"/>
        </w:rPr>
        <w:t xml:space="preserve"> in its as-filed case</w:t>
      </w:r>
      <w:r w:rsidR="003D5BE4">
        <w:rPr>
          <w:sz w:val="24"/>
          <w:lang w:val="en-US"/>
        </w:rPr>
        <w:t>.  A</w:t>
      </w:r>
      <w:r w:rsidR="005216A5">
        <w:rPr>
          <w:sz w:val="24"/>
          <w:lang w:val="en-US"/>
        </w:rPr>
        <w:t>t the same time</w:t>
      </w:r>
      <w:r w:rsidR="006B2408">
        <w:rPr>
          <w:sz w:val="24"/>
          <w:lang w:val="en-US"/>
        </w:rPr>
        <w:t>,</w:t>
      </w:r>
      <w:r w:rsidR="005216A5">
        <w:rPr>
          <w:sz w:val="24"/>
          <w:lang w:val="en-US"/>
        </w:rPr>
        <w:t xml:space="preserve"> </w:t>
      </w:r>
      <w:r w:rsidR="003D5BE4">
        <w:rPr>
          <w:sz w:val="24"/>
          <w:lang w:val="en-US"/>
        </w:rPr>
        <w:t xml:space="preserve">the Company makes </w:t>
      </w:r>
      <w:r w:rsidR="005216A5">
        <w:rPr>
          <w:sz w:val="24"/>
          <w:lang w:val="en-US"/>
        </w:rPr>
        <w:t xml:space="preserve">no adjustment to its </w:t>
      </w:r>
      <w:r w:rsidR="003D5BE4">
        <w:rPr>
          <w:sz w:val="24"/>
          <w:lang w:val="en-US"/>
        </w:rPr>
        <w:t xml:space="preserve">as-filed </w:t>
      </w:r>
      <w:r w:rsidR="005216A5">
        <w:rPr>
          <w:sz w:val="24"/>
          <w:lang w:val="en-US"/>
        </w:rPr>
        <w:t>forecasted amounts for the rest of the year</w:t>
      </w:r>
      <w:r w:rsidR="00DA1A15">
        <w:rPr>
          <w:sz w:val="24"/>
          <w:lang w:val="en-US"/>
        </w:rPr>
        <w:t xml:space="preserve">.  </w:t>
      </w:r>
      <w:r w:rsidR="003803E1">
        <w:rPr>
          <w:sz w:val="24"/>
          <w:lang w:val="en-US"/>
        </w:rPr>
        <w:t xml:space="preserve">Avista </w:t>
      </w:r>
      <w:r w:rsidR="005216A5">
        <w:rPr>
          <w:sz w:val="24"/>
          <w:lang w:val="en-US"/>
        </w:rPr>
        <w:t xml:space="preserve">again </w:t>
      </w:r>
      <w:r w:rsidR="003803E1">
        <w:rPr>
          <w:sz w:val="24"/>
          <w:lang w:val="en-US"/>
        </w:rPr>
        <w:t>provides no explanation</w:t>
      </w:r>
      <w:r w:rsidR="003D5BE4">
        <w:rPr>
          <w:sz w:val="24"/>
          <w:lang w:val="en-US"/>
        </w:rPr>
        <w:t xml:space="preserve"> and support </w:t>
      </w:r>
      <w:r w:rsidR="006B2408">
        <w:rPr>
          <w:sz w:val="24"/>
          <w:lang w:val="en-US"/>
        </w:rPr>
        <w:t xml:space="preserve">for these </w:t>
      </w:r>
      <w:r w:rsidR="003D5BE4">
        <w:rPr>
          <w:sz w:val="24"/>
          <w:lang w:val="en-US"/>
        </w:rPr>
        <w:t>revised transfer to plant estimates</w:t>
      </w:r>
      <w:r w:rsidR="003803E1">
        <w:rPr>
          <w:sz w:val="24"/>
          <w:lang w:val="en-US"/>
        </w:rPr>
        <w:t xml:space="preserve">.  </w:t>
      </w:r>
      <w:r w:rsidR="00DA1A15">
        <w:rPr>
          <w:sz w:val="24"/>
          <w:lang w:val="en-US"/>
        </w:rPr>
        <w:t xml:space="preserve">Staff recommends </w:t>
      </w:r>
      <w:r w:rsidR="00501DED">
        <w:rPr>
          <w:sz w:val="24"/>
          <w:lang w:val="en-US"/>
        </w:rPr>
        <w:t>allowing the $463,628 into rate base</w:t>
      </w:r>
      <w:r w:rsidR="00510BE0">
        <w:rPr>
          <w:sz w:val="24"/>
          <w:lang w:val="en-US"/>
        </w:rPr>
        <w:t xml:space="preserve"> for the pro forma period.</w:t>
      </w:r>
    </w:p>
    <w:p w14:paraId="76FB6A7F" w14:textId="77777777" w:rsidR="00425F7D" w:rsidRDefault="00425F7D" w:rsidP="00425F7D">
      <w:pPr>
        <w:pStyle w:val="BodyTextIndent"/>
        <w:rPr>
          <w:sz w:val="24"/>
          <w:lang w:val="en-US"/>
        </w:rPr>
      </w:pPr>
    </w:p>
    <w:p w14:paraId="6D7E95AB" w14:textId="1D90BCB6" w:rsidR="002251A3" w:rsidRDefault="00422503" w:rsidP="00425F7D">
      <w:pPr>
        <w:pStyle w:val="Heading3"/>
        <w:ind w:left="900"/>
      </w:pPr>
      <w:bookmarkStart w:id="57" w:name="_Toc425172448"/>
      <w:bookmarkStart w:id="58" w:name="_Toc425328749"/>
      <w:bookmarkStart w:id="59" w:name="_Toc425339193"/>
      <w:bookmarkStart w:id="60" w:name="_Toc425756871"/>
      <w:r w:rsidRPr="00422503">
        <w:t xml:space="preserve">Goldendale HP </w:t>
      </w:r>
      <w:r>
        <w:rPr>
          <w:lang w:val="en-US"/>
        </w:rPr>
        <w:t xml:space="preserve">Gas </w:t>
      </w:r>
      <w:r w:rsidRPr="00422503">
        <w:t>Main Reinforcement Project</w:t>
      </w:r>
      <w:bookmarkEnd w:id="57"/>
      <w:bookmarkEnd w:id="58"/>
      <w:bookmarkEnd w:id="59"/>
      <w:bookmarkEnd w:id="60"/>
    </w:p>
    <w:p w14:paraId="4C62A00D" w14:textId="77777777" w:rsidR="00A119EA" w:rsidRDefault="00A119EA" w:rsidP="00425F7D">
      <w:pPr>
        <w:pStyle w:val="BodyTextIndent"/>
        <w:rPr>
          <w:b/>
          <w:sz w:val="24"/>
          <w:lang w:val="en-US"/>
        </w:rPr>
      </w:pPr>
    </w:p>
    <w:p w14:paraId="2C40B423" w14:textId="53EE5469" w:rsidR="00705DEA" w:rsidRPr="00F5283F" w:rsidRDefault="00705DEA" w:rsidP="00425F7D">
      <w:pPr>
        <w:pStyle w:val="BodyTextIndent"/>
        <w:rPr>
          <w:b/>
          <w:sz w:val="24"/>
        </w:rPr>
      </w:pPr>
      <w:r>
        <w:rPr>
          <w:b/>
          <w:sz w:val="24"/>
          <w:lang w:val="en-US"/>
        </w:rPr>
        <w:t>Q.</w:t>
      </w:r>
      <w:r>
        <w:rPr>
          <w:b/>
          <w:sz w:val="24"/>
          <w:lang w:val="en-US"/>
        </w:rPr>
        <w:tab/>
      </w:r>
      <w:r w:rsidR="00422503">
        <w:rPr>
          <w:b/>
          <w:sz w:val="24"/>
          <w:lang w:val="en-US"/>
        </w:rPr>
        <w:t>What is the description of this project?</w:t>
      </w:r>
    </w:p>
    <w:p w14:paraId="494B75A9" w14:textId="3993FA15" w:rsidR="00705DEA" w:rsidRPr="00940F64" w:rsidRDefault="00705DEA" w:rsidP="00425F7D">
      <w:pPr>
        <w:pStyle w:val="BodyTextIndent"/>
        <w:rPr>
          <w:sz w:val="24"/>
          <w:lang w:val="en-US"/>
        </w:rPr>
      </w:pPr>
      <w:r>
        <w:rPr>
          <w:sz w:val="24"/>
          <w:lang w:val="en-US"/>
        </w:rPr>
        <w:t>A.</w:t>
      </w:r>
      <w:r>
        <w:rPr>
          <w:sz w:val="24"/>
          <w:lang w:val="en-US"/>
        </w:rPr>
        <w:tab/>
      </w:r>
      <w:r w:rsidR="00940F64">
        <w:rPr>
          <w:sz w:val="24"/>
          <w:lang w:val="en-US"/>
        </w:rPr>
        <w:t xml:space="preserve">According to Ms. Schuh’s testimony and exhibits, this project involves the replacement of approximately </w:t>
      </w:r>
      <w:r w:rsidR="006D5FA3">
        <w:rPr>
          <w:sz w:val="24"/>
          <w:lang w:val="en-US"/>
        </w:rPr>
        <w:t>three</w:t>
      </w:r>
      <w:r w:rsidR="00940F64">
        <w:rPr>
          <w:sz w:val="24"/>
          <w:lang w:val="en-US"/>
        </w:rPr>
        <w:t xml:space="preserve"> miles of </w:t>
      </w:r>
      <w:r w:rsidR="006D5FA3">
        <w:rPr>
          <w:sz w:val="24"/>
          <w:lang w:val="en-US"/>
        </w:rPr>
        <w:t>four</w:t>
      </w:r>
      <w:r w:rsidR="00940F64">
        <w:rPr>
          <w:sz w:val="24"/>
          <w:lang w:val="en-US"/>
        </w:rPr>
        <w:t xml:space="preserve"> inch high pressure main that is feeding the town of Goldendale, Washington.  The Company is predicting $3.5 million in </w:t>
      </w:r>
      <w:r w:rsidR="00773108">
        <w:rPr>
          <w:sz w:val="24"/>
          <w:lang w:val="en-US"/>
        </w:rPr>
        <w:t>Washington-allocated</w:t>
      </w:r>
      <w:r w:rsidR="00940F64">
        <w:rPr>
          <w:sz w:val="24"/>
          <w:lang w:val="en-US"/>
        </w:rPr>
        <w:t xml:space="preserve"> capital additions in the fourth quarter of 2015 for this project.</w:t>
      </w:r>
      <w:r w:rsidR="00FE11CA">
        <w:rPr>
          <w:rStyle w:val="FootnoteReference"/>
          <w:sz w:val="24"/>
          <w:lang w:val="en-US"/>
        </w:rPr>
        <w:footnoteReference w:id="62"/>
      </w:r>
      <w:r w:rsidR="00940F64">
        <w:rPr>
          <w:sz w:val="24"/>
          <w:lang w:val="en-US"/>
        </w:rPr>
        <w:t xml:space="preserve">  </w:t>
      </w:r>
    </w:p>
    <w:p w14:paraId="6EEDB127" w14:textId="77777777" w:rsidR="001B32F1" w:rsidRDefault="001B32F1" w:rsidP="00425F7D">
      <w:pPr>
        <w:pStyle w:val="BodyTextIndent"/>
        <w:ind w:firstLine="0"/>
        <w:rPr>
          <w:sz w:val="24"/>
        </w:rPr>
      </w:pPr>
    </w:p>
    <w:p w14:paraId="2FB2206D" w14:textId="28CA03F7" w:rsidR="001D14E9" w:rsidRDefault="001D14E9" w:rsidP="00425F7D">
      <w:pPr>
        <w:pStyle w:val="BodyTextIndent"/>
        <w:rPr>
          <w:b/>
          <w:sz w:val="24"/>
          <w:lang w:val="en-US"/>
        </w:rPr>
      </w:pPr>
      <w:r>
        <w:rPr>
          <w:b/>
          <w:sz w:val="24"/>
          <w:lang w:val="en-US"/>
        </w:rPr>
        <w:lastRenderedPageBreak/>
        <w:t>Q.</w:t>
      </w:r>
      <w:r>
        <w:rPr>
          <w:b/>
          <w:sz w:val="24"/>
          <w:lang w:val="en-US"/>
        </w:rPr>
        <w:tab/>
      </w:r>
      <w:r w:rsidR="003511AB">
        <w:rPr>
          <w:b/>
          <w:sz w:val="24"/>
          <w:lang w:val="en-US"/>
        </w:rPr>
        <w:t>What is Staff’s recommendation regarding Avista’s forecasted transfers to plant for the Goldendale Project?</w:t>
      </w:r>
    </w:p>
    <w:p w14:paraId="1C287212" w14:textId="73AA7932" w:rsidR="00FE11CA" w:rsidRDefault="00B151C0" w:rsidP="00425F7D">
      <w:pPr>
        <w:pStyle w:val="BodyTextIndent"/>
        <w:rPr>
          <w:sz w:val="24"/>
          <w:lang w:val="en-US"/>
        </w:rPr>
      </w:pPr>
      <w:r>
        <w:rPr>
          <w:sz w:val="24"/>
          <w:lang w:val="en-US"/>
        </w:rPr>
        <w:t>A.</w:t>
      </w:r>
      <w:r>
        <w:rPr>
          <w:sz w:val="24"/>
          <w:lang w:val="en-US"/>
        </w:rPr>
        <w:tab/>
      </w:r>
      <w:r w:rsidR="00E529F7">
        <w:rPr>
          <w:sz w:val="24"/>
          <w:lang w:val="en-US"/>
        </w:rPr>
        <w:t xml:space="preserve">Avista has provided no documentation </w:t>
      </w:r>
      <w:r w:rsidR="00F506C8">
        <w:rPr>
          <w:sz w:val="24"/>
          <w:lang w:val="en-US"/>
        </w:rPr>
        <w:t xml:space="preserve">to </w:t>
      </w:r>
      <w:r w:rsidR="00E529F7">
        <w:rPr>
          <w:sz w:val="24"/>
          <w:lang w:val="en-US"/>
        </w:rPr>
        <w:t xml:space="preserve">support </w:t>
      </w:r>
      <w:r w:rsidR="00F506C8">
        <w:rPr>
          <w:sz w:val="24"/>
          <w:lang w:val="en-US"/>
        </w:rPr>
        <w:t xml:space="preserve">its </w:t>
      </w:r>
      <w:r w:rsidR="00E529F7">
        <w:rPr>
          <w:sz w:val="24"/>
          <w:lang w:val="en-US"/>
        </w:rPr>
        <w:t>claim that this project has even been started much less t</w:t>
      </w:r>
      <w:r w:rsidR="003E1C86">
        <w:rPr>
          <w:sz w:val="24"/>
          <w:lang w:val="en-US"/>
        </w:rPr>
        <w:t>hat it will be completed and in-</w:t>
      </w:r>
      <w:r w:rsidR="00E529F7">
        <w:rPr>
          <w:sz w:val="24"/>
          <w:lang w:val="en-US"/>
        </w:rPr>
        <w:t>service before the end of the year</w:t>
      </w:r>
      <w:r w:rsidR="00F506C8">
        <w:rPr>
          <w:sz w:val="24"/>
          <w:lang w:val="en-US"/>
        </w:rPr>
        <w:t xml:space="preserve"> </w:t>
      </w:r>
      <w:r w:rsidR="00596168">
        <w:rPr>
          <w:sz w:val="24"/>
          <w:lang w:val="en-US"/>
        </w:rPr>
        <w:t xml:space="preserve">and </w:t>
      </w:r>
      <w:r w:rsidR="00F506C8">
        <w:rPr>
          <w:sz w:val="24"/>
          <w:lang w:val="en-US"/>
        </w:rPr>
        <w:t>for the amount shown in Ms. Schuh’s direct testimony and supporting exhibits</w:t>
      </w:r>
      <w:r w:rsidR="00E529F7">
        <w:rPr>
          <w:sz w:val="24"/>
          <w:lang w:val="en-US"/>
        </w:rPr>
        <w:t xml:space="preserve">.  </w:t>
      </w:r>
      <w:r w:rsidR="00FE11CA" w:rsidRPr="00FE11CA">
        <w:rPr>
          <w:sz w:val="24"/>
          <w:lang w:val="en-US"/>
        </w:rPr>
        <w:t>Staff inquired with both the County of Klickitat</w:t>
      </w:r>
      <w:r w:rsidR="006D5FA3">
        <w:rPr>
          <w:sz w:val="24"/>
          <w:lang w:val="en-US"/>
        </w:rPr>
        <w:t xml:space="preserve"> (County)</w:t>
      </w:r>
      <w:r w:rsidR="00FE11CA" w:rsidRPr="00FE11CA">
        <w:rPr>
          <w:sz w:val="24"/>
          <w:lang w:val="en-US"/>
        </w:rPr>
        <w:t xml:space="preserve"> and the City of Goldendale </w:t>
      </w:r>
      <w:r w:rsidR="00FE11CA">
        <w:rPr>
          <w:sz w:val="24"/>
          <w:lang w:val="en-US"/>
        </w:rPr>
        <w:t xml:space="preserve">(City) </w:t>
      </w:r>
      <w:r w:rsidR="00FE11CA" w:rsidRPr="00FE11CA">
        <w:rPr>
          <w:sz w:val="24"/>
          <w:lang w:val="en-US"/>
        </w:rPr>
        <w:t>to determine the permit and construction status of the project.  The County ha</w:t>
      </w:r>
      <w:r w:rsidR="00FE11CA">
        <w:rPr>
          <w:sz w:val="24"/>
          <w:lang w:val="en-US"/>
        </w:rPr>
        <w:t>d</w:t>
      </w:r>
      <w:r w:rsidR="00FE11CA" w:rsidRPr="00FE11CA">
        <w:rPr>
          <w:sz w:val="24"/>
          <w:lang w:val="en-US"/>
        </w:rPr>
        <w:t xml:space="preserve"> </w:t>
      </w:r>
      <w:r w:rsidR="00C66221">
        <w:rPr>
          <w:sz w:val="24"/>
          <w:lang w:val="en-US"/>
        </w:rPr>
        <w:t xml:space="preserve">preliminary discussions with the Company regarding the project </w:t>
      </w:r>
      <w:r w:rsidR="00C66221" w:rsidRPr="00C66221">
        <w:rPr>
          <w:sz w:val="24"/>
          <w:lang w:val="en-US"/>
        </w:rPr>
        <w:t xml:space="preserve">and the </w:t>
      </w:r>
      <w:r w:rsidR="00BB07DA">
        <w:rPr>
          <w:sz w:val="24"/>
          <w:lang w:val="en-US"/>
        </w:rPr>
        <w:t xml:space="preserve">conditions the County would require of Avista for issuing a construction </w:t>
      </w:r>
      <w:r w:rsidR="00C66221" w:rsidRPr="00C66221">
        <w:rPr>
          <w:sz w:val="24"/>
          <w:lang w:val="en-US"/>
        </w:rPr>
        <w:t xml:space="preserve">permit. </w:t>
      </w:r>
      <w:r w:rsidR="00C66221">
        <w:rPr>
          <w:sz w:val="24"/>
          <w:lang w:val="en-US"/>
        </w:rPr>
        <w:t xml:space="preserve"> </w:t>
      </w:r>
      <w:r w:rsidR="00C66221" w:rsidRPr="00C66221">
        <w:rPr>
          <w:sz w:val="24"/>
          <w:lang w:val="en-US"/>
        </w:rPr>
        <w:t xml:space="preserve">However, </w:t>
      </w:r>
      <w:r w:rsidR="00C66221">
        <w:rPr>
          <w:sz w:val="24"/>
          <w:lang w:val="en-US"/>
        </w:rPr>
        <w:t xml:space="preserve">the County has received </w:t>
      </w:r>
      <w:r w:rsidR="00C66221" w:rsidRPr="00C66221">
        <w:rPr>
          <w:sz w:val="24"/>
          <w:lang w:val="en-US"/>
        </w:rPr>
        <w:t xml:space="preserve">no formal permit application </w:t>
      </w:r>
      <w:r w:rsidR="00C66221">
        <w:rPr>
          <w:sz w:val="24"/>
          <w:lang w:val="en-US"/>
        </w:rPr>
        <w:t xml:space="preserve">from </w:t>
      </w:r>
      <w:r w:rsidR="00C66221" w:rsidRPr="00C66221">
        <w:rPr>
          <w:sz w:val="24"/>
          <w:lang w:val="en-US"/>
        </w:rPr>
        <w:t>Avista for this project.</w:t>
      </w:r>
      <w:r w:rsidR="00FE11CA" w:rsidRPr="00FE11CA">
        <w:rPr>
          <w:sz w:val="24"/>
          <w:lang w:val="en-US"/>
        </w:rPr>
        <w:t xml:space="preserve">  The City’s Public Works Director indicated that an initial design meeting regarding the project was conducted between the City and an Avista Natural Gas Design Engineer on February 12, 2015.  His recollection from the meeting was that Avista would provide the City its final design plan and apply for a construction permit from the City </w:t>
      </w:r>
      <w:r w:rsidR="006D5FA3">
        <w:rPr>
          <w:sz w:val="24"/>
          <w:lang w:val="en-US"/>
        </w:rPr>
        <w:t xml:space="preserve">before </w:t>
      </w:r>
      <w:r w:rsidR="00FE11CA" w:rsidRPr="00FE11CA">
        <w:rPr>
          <w:sz w:val="24"/>
          <w:lang w:val="en-US"/>
        </w:rPr>
        <w:t xml:space="preserve">the Company </w:t>
      </w:r>
      <w:r w:rsidR="006D5FA3">
        <w:rPr>
          <w:sz w:val="24"/>
          <w:lang w:val="en-US"/>
        </w:rPr>
        <w:t>issued</w:t>
      </w:r>
      <w:r w:rsidR="006D5FA3" w:rsidRPr="00FE11CA">
        <w:rPr>
          <w:sz w:val="24"/>
          <w:lang w:val="en-US"/>
        </w:rPr>
        <w:t xml:space="preserve"> </w:t>
      </w:r>
      <w:r w:rsidR="00FE11CA" w:rsidRPr="00FE11CA">
        <w:rPr>
          <w:sz w:val="24"/>
          <w:lang w:val="en-US"/>
        </w:rPr>
        <w:t xml:space="preserve">bids on the project.  The Avista engineer indicated to the Public </w:t>
      </w:r>
      <w:r w:rsidR="00596168">
        <w:rPr>
          <w:sz w:val="24"/>
          <w:lang w:val="en-US"/>
        </w:rPr>
        <w:t>W</w:t>
      </w:r>
      <w:r w:rsidR="00FE11CA" w:rsidRPr="00FE11CA">
        <w:rPr>
          <w:sz w:val="24"/>
          <w:lang w:val="en-US"/>
        </w:rPr>
        <w:t xml:space="preserve">orks Director that construction was scheduled to begin in April of 2015.  </w:t>
      </w:r>
    </w:p>
    <w:p w14:paraId="2C1E130A" w14:textId="7DB80E95" w:rsidR="00794C16" w:rsidRDefault="00FE11CA" w:rsidP="00425F7D">
      <w:pPr>
        <w:pStyle w:val="BodyTextIndent"/>
        <w:ind w:firstLine="720"/>
        <w:rPr>
          <w:sz w:val="24"/>
          <w:lang w:val="en-US"/>
        </w:rPr>
      </w:pPr>
      <w:r>
        <w:rPr>
          <w:sz w:val="24"/>
          <w:lang w:val="en-US"/>
        </w:rPr>
        <w:t>Staff posed to Avista its findings above in D</w:t>
      </w:r>
      <w:r w:rsidR="00DD5207">
        <w:rPr>
          <w:sz w:val="24"/>
          <w:lang w:val="en-US"/>
        </w:rPr>
        <w:t xml:space="preserve">ata </w:t>
      </w:r>
      <w:r>
        <w:rPr>
          <w:sz w:val="24"/>
          <w:lang w:val="en-US"/>
        </w:rPr>
        <w:t>R</w:t>
      </w:r>
      <w:r w:rsidR="00DD5207">
        <w:rPr>
          <w:sz w:val="24"/>
          <w:lang w:val="en-US"/>
        </w:rPr>
        <w:t>equest</w:t>
      </w:r>
      <w:r>
        <w:rPr>
          <w:sz w:val="24"/>
          <w:lang w:val="en-US"/>
        </w:rPr>
        <w:t xml:space="preserve"> No. </w:t>
      </w:r>
      <w:r w:rsidR="00C66221">
        <w:rPr>
          <w:sz w:val="24"/>
          <w:lang w:val="en-US"/>
        </w:rPr>
        <w:t xml:space="preserve">186 </w:t>
      </w:r>
      <w:r>
        <w:rPr>
          <w:sz w:val="24"/>
          <w:lang w:val="en-US"/>
        </w:rPr>
        <w:t xml:space="preserve">asking for an explanation and details regarding project specifics which </w:t>
      </w:r>
      <w:r w:rsidR="00596168">
        <w:rPr>
          <w:sz w:val="24"/>
          <w:lang w:val="en-US"/>
        </w:rPr>
        <w:t xml:space="preserve">would </w:t>
      </w:r>
      <w:r>
        <w:rPr>
          <w:sz w:val="24"/>
          <w:lang w:val="en-US"/>
        </w:rPr>
        <w:t xml:space="preserve">support both the Company’s estimate of its in-service date and the amount of cost for the project given that it has not even conducted a procurement.  </w:t>
      </w:r>
      <w:r w:rsidR="00944A56">
        <w:rPr>
          <w:sz w:val="24"/>
          <w:lang w:val="en-US"/>
        </w:rPr>
        <w:t xml:space="preserve">Avista’s response of July 9, </w:t>
      </w:r>
      <w:r w:rsidR="00944A56">
        <w:rPr>
          <w:sz w:val="24"/>
          <w:lang w:val="en-US"/>
        </w:rPr>
        <w:lastRenderedPageBreak/>
        <w:t>2015</w:t>
      </w:r>
      <w:r w:rsidR="00727147">
        <w:rPr>
          <w:sz w:val="24"/>
          <w:lang w:val="en-US"/>
        </w:rPr>
        <w:t>,</w:t>
      </w:r>
      <w:r w:rsidR="00944A56">
        <w:rPr>
          <w:sz w:val="24"/>
          <w:lang w:val="en-US"/>
        </w:rPr>
        <w:t xml:space="preserve"> to the D</w:t>
      </w:r>
      <w:r w:rsidR="00DD5207">
        <w:rPr>
          <w:sz w:val="24"/>
          <w:lang w:val="en-US"/>
        </w:rPr>
        <w:t xml:space="preserve">ata </w:t>
      </w:r>
      <w:r w:rsidR="00944A56">
        <w:rPr>
          <w:sz w:val="24"/>
          <w:lang w:val="en-US"/>
        </w:rPr>
        <w:t>R</w:t>
      </w:r>
      <w:r w:rsidR="00DD5207">
        <w:rPr>
          <w:sz w:val="24"/>
          <w:lang w:val="en-US"/>
        </w:rPr>
        <w:t>equest</w:t>
      </w:r>
      <w:r w:rsidR="00231972">
        <w:rPr>
          <w:rStyle w:val="FootnoteReference"/>
          <w:sz w:val="24"/>
          <w:lang w:val="en-US"/>
        </w:rPr>
        <w:footnoteReference w:id="63"/>
      </w:r>
      <w:r w:rsidR="00944A56">
        <w:rPr>
          <w:sz w:val="24"/>
          <w:lang w:val="en-US"/>
        </w:rPr>
        <w:t xml:space="preserve"> did nothing to convince Staff </w:t>
      </w:r>
      <w:r w:rsidR="00727147">
        <w:rPr>
          <w:sz w:val="24"/>
          <w:lang w:val="en-US"/>
        </w:rPr>
        <w:t xml:space="preserve">of the accuracy of its estimates of </w:t>
      </w:r>
      <w:r w:rsidR="00944A56">
        <w:rPr>
          <w:sz w:val="24"/>
          <w:lang w:val="en-US"/>
        </w:rPr>
        <w:t xml:space="preserve">2015 pro forma capital additions and </w:t>
      </w:r>
      <w:r w:rsidR="00727147">
        <w:rPr>
          <w:sz w:val="24"/>
          <w:lang w:val="en-US"/>
        </w:rPr>
        <w:t xml:space="preserve">the Company’s </w:t>
      </w:r>
      <w:r w:rsidR="006132A1">
        <w:rPr>
          <w:sz w:val="24"/>
          <w:lang w:val="en-US"/>
        </w:rPr>
        <w:t xml:space="preserve">projected </w:t>
      </w:r>
      <w:r w:rsidR="00944A56">
        <w:rPr>
          <w:sz w:val="24"/>
          <w:lang w:val="en-US"/>
        </w:rPr>
        <w:t>in-service</w:t>
      </w:r>
      <w:r w:rsidR="00727147">
        <w:rPr>
          <w:sz w:val="24"/>
          <w:lang w:val="en-US"/>
        </w:rPr>
        <w:t xml:space="preserve"> date for this </w:t>
      </w:r>
      <w:r w:rsidR="006132A1">
        <w:rPr>
          <w:sz w:val="24"/>
          <w:lang w:val="en-US"/>
        </w:rPr>
        <w:t>project</w:t>
      </w:r>
      <w:r w:rsidR="00944A56">
        <w:rPr>
          <w:sz w:val="24"/>
          <w:lang w:val="en-US"/>
        </w:rPr>
        <w:t xml:space="preserve">.  </w:t>
      </w:r>
      <w:r w:rsidR="006132A1">
        <w:rPr>
          <w:sz w:val="24"/>
          <w:lang w:val="en-US"/>
        </w:rPr>
        <w:t>Staff bas</w:t>
      </w:r>
      <w:r w:rsidR="00D03B77">
        <w:rPr>
          <w:sz w:val="24"/>
          <w:lang w:val="en-US"/>
        </w:rPr>
        <w:t>e</w:t>
      </w:r>
      <w:r w:rsidR="006132A1">
        <w:rPr>
          <w:sz w:val="24"/>
          <w:lang w:val="en-US"/>
        </w:rPr>
        <w:t xml:space="preserve">s this conclusion on the </w:t>
      </w:r>
      <w:r w:rsidR="00D03B77">
        <w:rPr>
          <w:sz w:val="24"/>
          <w:lang w:val="en-US"/>
        </w:rPr>
        <w:t xml:space="preserve">following </w:t>
      </w:r>
      <w:r w:rsidR="006132A1">
        <w:rPr>
          <w:sz w:val="24"/>
          <w:lang w:val="en-US"/>
        </w:rPr>
        <w:t>facts</w:t>
      </w:r>
      <w:r w:rsidR="00D03B77">
        <w:rPr>
          <w:sz w:val="24"/>
          <w:lang w:val="en-US"/>
        </w:rPr>
        <w:t xml:space="preserve"> about the project</w:t>
      </w:r>
      <w:r w:rsidR="006132A1">
        <w:rPr>
          <w:sz w:val="24"/>
          <w:lang w:val="en-US"/>
        </w:rPr>
        <w:t xml:space="preserve">:  1) </w:t>
      </w:r>
      <w:r w:rsidR="00944A56">
        <w:rPr>
          <w:sz w:val="24"/>
          <w:lang w:val="en-US"/>
        </w:rPr>
        <w:t>Avista’s design is not yet complete</w:t>
      </w:r>
      <w:r w:rsidR="006132A1">
        <w:rPr>
          <w:sz w:val="24"/>
          <w:lang w:val="en-US"/>
        </w:rPr>
        <w:t xml:space="preserve">, 2) Avista has not yet issued </w:t>
      </w:r>
      <w:r w:rsidR="00944A56">
        <w:rPr>
          <w:sz w:val="24"/>
          <w:lang w:val="en-US"/>
        </w:rPr>
        <w:t>a bid</w:t>
      </w:r>
      <w:r w:rsidR="006132A1">
        <w:rPr>
          <w:sz w:val="24"/>
          <w:lang w:val="en-US"/>
        </w:rPr>
        <w:t xml:space="preserve">, 3) </w:t>
      </w:r>
      <w:r w:rsidR="006D5FA3">
        <w:rPr>
          <w:sz w:val="24"/>
          <w:lang w:val="en-US"/>
        </w:rPr>
        <w:t>a</w:t>
      </w:r>
      <w:r w:rsidR="006132A1">
        <w:rPr>
          <w:sz w:val="24"/>
          <w:lang w:val="en-US"/>
        </w:rPr>
        <w:t xml:space="preserve">n awarded contractor would need to secure permits, and 4) </w:t>
      </w:r>
      <w:r w:rsidR="006D5FA3">
        <w:rPr>
          <w:sz w:val="24"/>
          <w:lang w:val="en-US"/>
        </w:rPr>
        <w:t>delays due to w</w:t>
      </w:r>
      <w:r w:rsidR="006132A1">
        <w:rPr>
          <w:sz w:val="24"/>
          <w:lang w:val="en-US"/>
        </w:rPr>
        <w:t>eather uncertainties associated with a</w:t>
      </w:r>
      <w:r w:rsidR="00D03B77">
        <w:rPr>
          <w:sz w:val="24"/>
          <w:lang w:val="en-US"/>
        </w:rPr>
        <w:t>n</w:t>
      </w:r>
      <w:r w:rsidR="006132A1">
        <w:rPr>
          <w:sz w:val="24"/>
          <w:lang w:val="en-US"/>
        </w:rPr>
        <w:t xml:space="preserve"> </w:t>
      </w:r>
      <w:r w:rsidR="00D03B77">
        <w:rPr>
          <w:sz w:val="24"/>
          <w:lang w:val="en-US"/>
        </w:rPr>
        <w:t xml:space="preserve">October through December </w:t>
      </w:r>
      <w:r w:rsidR="006132A1">
        <w:rPr>
          <w:sz w:val="24"/>
          <w:lang w:val="en-US"/>
        </w:rPr>
        <w:t>projected construction schedule.</w:t>
      </w:r>
      <w:r w:rsidR="00944A56">
        <w:rPr>
          <w:sz w:val="24"/>
          <w:lang w:val="en-US"/>
        </w:rPr>
        <w:t xml:space="preserve"> </w:t>
      </w:r>
    </w:p>
    <w:p w14:paraId="18BFF102" w14:textId="4635C6C9" w:rsidR="00B151C0" w:rsidRDefault="00794C16" w:rsidP="00425F7D">
      <w:pPr>
        <w:pStyle w:val="BodyTextIndent"/>
        <w:ind w:firstLine="720"/>
        <w:rPr>
          <w:sz w:val="24"/>
          <w:lang w:val="en-US"/>
        </w:rPr>
      </w:pPr>
      <w:r>
        <w:rPr>
          <w:sz w:val="24"/>
          <w:lang w:val="en-US"/>
        </w:rPr>
        <w:t>As a result of Avista’s response to Staff D</w:t>
      </w:r>
      <w:r w:rsidR="00DD5207">
        <w:rPr>
          <w:sz w:val="24"/>
          <w:lang w:val="en-US"/>
        </w:rPr>
        <w:t xml:space="preserve">ata </w:t>
      </w:r>
      <w:r>
        <w:rPr>
          <w:sz w:val="24"/>
          <w:lang w:val="en-US"/>
        </w:rPr>
        <w:t>R</w:t>
      </w:r>
      <w:r w:rsidR="00DD5207">
        <w:rPr>
          <w:sz w:val="24"/>
          <w:lang w:val="en-US"/>
        </w:rPr>
        <w:t>equest</w:t>
      </w:r>
      <w:r>
        <w:rPr>
          <w:sz w:val="24"/>
          <w:lang w:val="en-US"/>
        </w:rPr>
        <w:t xml:space="preserve"> No. </w:t>
      </w:r>
      <w:r w:rsidR="00C66221">
        <w:rPr>
          <w:sz w:val="24"/>
          <w:lang w:val="en-US"/>
        </w:rPr>
        <w:t>186</w:t>
      </w:r>
      <w:r>
        <w:rPr>
          <w:sz w:val="24"/>
          <w:lang w:val="en-US"/>
        </w:rPr>
        <w:t>, Staff recommends that no capital additions associated with this project be allowed into pro forma rate base.</w:t>
      </w:r>
    </w:p>
    <w:p w14:paraId="13683212" w14:textId="77777777" w:rsidR="00425F7D" w:rsidRDefault="00425F7D" w:rsidP="00425F7D">
      <w:pPr>
        <w:pStyle w:val="BodyTextIndent"/>
        <w:ind w:firstLine="720"/>
        <w:rPr>
          <w:b/>
          <w:sz w:val="24"/>
          <w:lang w:val="en-US"/>
        </w:rPr>
      </w:pPr>
    </w:p>
    <w:p w14:paraId="7BE3CE10" w14:textId="0EE43ECE" w:rsidR="00B151C0" w:rsidRDefault="00325EB7" w:rsidP="00425F7D">
      <w:pPr>
        <w:pStyle w:val="Heading3"/>
        <w:ind w:left="0" w:firstLine="0"/>
      </w:pPr>
      <w:bookmarkStart w:id="61" w:name="_Toc425172449"/>
      <w:bookmarkStart w:id="62" w:name="_Toc425328750"/>
      <w:bookmarkStart w:id="63" w:name="_Toc425339194"/>
      <w:bookmarkStart w:id="64" w:name="_Toc425756872"/>
      <w:r w:rsidRPr="00325EB7">
        <w:t>HVAC Renovation Project</w:t>
      </w:r>
      <w:bookmarkEnd w:id="61"/>
      <w:bookmarkEnd w:id="62"/>
      <w:bookmarkEnd w:id="63"/>
      <w:bookmarkEnd w:id="64"/>
    </w:p>
    <w:p w14:paraId="2D45A893" w14:textId="77777777" w:rsidR="00325EB7" w:rsidRDefault="00325EB7" w:rsidP="00425F7D">
      <w:pPr>
        <w:pStyle w:val="BodyTextIndent"/>
        <w:rPr>
          <w:sz w:val="24"/>
          <w:lang w:val="en-US"/>
        </w:rPr>
      </w:pPr>
    </w:p>
    <w:p w14:paraId="61065ECD" w14:textId="693FAF88" w:rsidR="00325EB7" w:rsidRDefault="00325EB7" w:rsidP="00425F7D">
      <w:pPr>
        <w:pStyle w:val="BodyTextIndent"/>
        <w:rPr>
          <w:b/>
          <w:sz w:val="24"/>
          <w:lang w:val="en-US"/>
        </w:rPr>
      </w:pPr>
      <w:r>
        <w:rPr>
          <w:b/>
          <w:sz w:val="24"/>
          <w:lang w:val="en-US"/>
        </w:rPr>
        <w:t>Q.</w:t>
      </w:r>
      <w:r>
        <w:rPr>
          <w:b/>
          <w:sz w:val="24"/>
          <w:lang w:val="en-US"/>
        </w:rPr>
        <w:tab/>
        <w:t>What is the description of this project?</w:t>
      </w:r>
    </w:p>
    <w:p w14:paraId="2DA59E52" w14:textId="0365461F" w:rsidR="008D094D" w:rsidRDefault="001D14E9" w:rsidP="00425F7D">
      <w:pPr>
        <w:pStyle w:val="BodyTextIndent"/>
        <w:rPr>
          <w:sz w:val="24"/>
          <w:lang w:val="en-US"/>
        </w:rPr>
      </w:pPr>
      <w:r>
        <w:rPr>
          <w:sz w:val="24"/>
          <w:lang w:val="en-US"/>
        </w:rPr>
        <w:t>A.</w:t>
      </w:r>
      <w:r>
        <w:rPr>
          <w:sz w:val="24"/>
          <w:lang w:val="en-US"/>
        </w:rPr>
        <w:tab/>
      </w:r>
      <w:r w:rsidR="00325EB7">
        <w:rPr>
          <w:sz w:val="24"/>
          <w:lang w:val="en-US"/>
        </w:rPr>
        <w:t>This project involves the replacement of the HVAC system in the Company’s Mission Campus Headquarters.</w:t>
      </w:r>
      <w:r w:rsidR="00325EB7">
        <w:rPr>
          <w:rStyle w:val="FootnoteReference"/>
          <w:sz w:val="24"/>
          <w:lang w:val="en-US"/>
        </w:rPr>
        <w:footnoteReference w:id="64"/>
      </w:r>
      <w:r w:rsidR="00325EB7">
        <w:rPr>
          <w:sz w:val="24"/>
          <w:lang w:val="en-US"/>
        </w:rPr>
        <w:t xml:space="preserve">  According to the Company, the project began </w:t>
      </w:r>
      <w:r w:rsidR="00CB395E">
        <w:rPr>
          <w:sz w:val="24"/>
          <w:lang w:val="en-US"/>
        </w:rPr>
        <w:t xml:space="preserve">in 2007 and 2008 and involves an extensive floor by floor demolition and construction which includes Asbestos abatement.  Ms. Schuh’s exhibits show a December 2015 </w:t>
      </w:r>
      <w:r w:rsidR="00FC22A2">
        <w:rPr>
          <w:sz w:val="24"/>
          <w:lang w:val="en-US"/>
        </w:rPr>
        <w:t>system-level</w:t>
      </w:r>
      <w:r w:rsidR="00CB395E">
        <w:rPr>
          <w:sz w:val="24"/>
          <w:lang w:val="en-US"/>
        </w:rPr>
        <w:t xml:space="preserve"> transfer to plant amount for this project of $9.3 million.  </w:t>
      </w:r>
    </w:p>
    <w:p w14:paraId="32D659A9" w14:textId="77777777" w:rsidR="008D094D" w:rsidRDefault="008D094D" w:rsidP="00425F7D">
      <w:pPr>
        <w:pStyle w:val="BodyTextIndent"/>
        <w:rPr>
          <w:sz w:val="24"/>
          <w:lang w:val="en-US"/>
        </w:rPr>
      </w:pPr>
    </w:p>
    <w:p w14:paraId="6C133672" w14:textId="4E2E86A3" w:rsidR="008D094D" w:rsidRDefault="008D094D" w:rsidP="00425F7D">
      <w:pPr>
        <w:pStyle w:val="BodyTextIndent"/>
        <w:rPr>
          <w:b/>
          <w:sz w:val="24"/>
          <w:lang w:val="en-US"/>
        </w:rPr>
      </w:pPr>
      <w:r>
        <w:rPr>
          <w:b/>
          <w:sz w:val="24"/>
          <w:lang w:val="en-US"/>
        </w:rPr>
        <w:lastRenderedPageBreak/>
        <w:t>Q.</w:t>
      </w:r>
      <w:r>
        <w:rPr>
          <w:b/>
          <w:sz w:val="24"/>
          <w:lang w:val="en-US"/>
        </w:rPr>
        <w:tab/>
        <w:t xml:space="preserve">Are the Company’s estimates for this </w:t>
      </w:r>
      <w:r w:rsidR="00682B94">
        <w:rPr>
          <w:b/>
          <w:sz w:val="24"/>
          <w:lang w:val="en-US"/>
        </w:rPr>
        <w:t xml:space="preserve">ER </w:t>
      </w:r>
      <w:r>
        <w:rPr>
          <w:b/>
          <w:sz w:val="24"/>
          <w:lang w:val="en-US"/>
        </w:rPr>
        <w:t>accurate enough to meet the known and measurable standard?</w:t>
      </w:r>
    </w:p>
    <w:p w14:paraId="14FAC9AD" w14:textId="7BC5C7E9" w:rsidR="008D094D" w:rsidRDefault="008D094D" w:rsidP="00425F7D">
      <w:pPr>
        <w:pStyle w:val="BodyTextIndent"/>
        <w:rPr>
          <w:sz w:val="24"/>
          <w:lang w:val="en-US"/>
        </w:rPr>
      </w:pPr>
      <w:r>
        <w:rPr>
          <w:sz w:val="24"/>
          <w:lang w:val="en-US"/>
        </w:rPr>
        <w:t>A.</w:t>
      </w:r>
      <w:r>
        <w:rPr>
          <w:sz w:val="24"/>
          <w:lang w:val="en-US"/>
        </w:rPr>
        <w:tab/>
        <w:t xml:space="preserve">No.  In the last case, Avista witness </w:t>
      </w:r>
      <w:r w:rsidR="006D5FA3">
        <w:rPr>
          <w:sz w:val="24"/>
          <w:lang w:val="en-US"/>
        </w:rPr>
        <w:t xml:space="preserve">Mr. </w:t>
      </w:r>
      <w:r>
        <w:rPr>
          <w:sz w:val="24"/>
          <w:lang w:val="en-US"/>
        </w:rPr>
        <w:t xml:space="preserve">DeFelice’s exhibits predicted </w:t>
      </w:r>
      <w:r w:rsidR="003D1B76">
        <w:rPr>
          <w:sz w:val="24"/>
          <w:lang w:val="en-US"/>
        </w:rPr>
        <w:t xml:space="preserve">2014 </w:t>
      </w:r>
      <w:r w:rsidR="00FC22A2">
        <w:rPr>
          <w:sz w:val="24"/>
          <w:lang w:val="en-US"/>
        </w:rPr>
        <w:t>system-level</w:t>
      </w:r>
      <w:r>
        <w:rPr>
          <w:sz w:val="24"/>
          <w:lang w:val="en-US"/>
        </w:rPr>
        <w:t xml:space="preserve"> transfers to plant amounts that </w:t>
      </w:r>
      <w:r w:rsidR="007253E9">
        <w:rPr>
          <w:sz w:val="24"/>
          <w:lang w:val="en-US"/>
        </w:rPr>
        <w:t>we</w:t>
      </w:r>
      <w:r>
        <w:rPr>
          <w:sz w:val="24"/>
          <w:lang w:val="en-US"/>
        </w:rPr>
        <w:t>re $</w:t>
      </w:r>
      <w:r w:rsidR="007253E9">
        <w:rPr>
          <w:sz w:val="24"/>
          <w:lang w:val="en-US"/>
        </w:rPr>
        <w:t>2</w:t>
      </w:r>
      <w:r>
        <w:rPr>
          <w:sz w:val="24"/>
          <w:lang w:val="en-US"/>
        </w:rPr>
        <w:t>.</w:t>
      </w:r>
      <w:r w:rsidR="007253E9">
        <w:rPr>
          <w:sz w:val="24"/>
          <w:lang w:val="en-US"/>
        </w:rPr>
        <w:t>9</w:t>
      </w:r>
      <w:r>
        <w:rPr>
          <w:sz w:val="24"/>
          <w:lang w:val="en-US"/>
        </w:rPr>
        <w:t xml:space="preserve"> million lower than </w:t>
      </w:r>
      <w:r w:rsidR="007253E9">
        <w:rPr>
          <w:sz w:val="24"/>
          <w:lang w:val="en-US"/>
        </w:rPr>
        <w:t xml:space="preserve">the </w:t>
      </w:r>
      <w:r>
        <w:rPr>
          <w:sz w:val="24"/>
          <w:lang w:val="en-US"/>
        </w:rPr>
        <w:t>actual</w:t>
      </w:r>
      <w:r w:rsidR="007253E9">
        <w:rPr>
          <w:sz w:val="24"/>
          <w:lang w:val="en-US"/>
        </w:rPr>
        <w:t>s</w:t>
      </w:r>
      <w:r>
        <w:rPr>
          <w:sz w:val="24"/>
          <w:lang w:val="en-US"/>
        </w:rPr>
        <w:t xml:space="preserve"> </w:t>
      </w:r>
      <w:r w:rsidR="007253E9">
        <w:rPr>
          <w:sz w:val="24"/>
          <w:lang w:val="en-US"/>
        </w:rPr>
        <w:t xml:space="preserve">reported in the Company’s compliance filing in UE-140188.  </w:t>
      </w:r>
      <w:r w:rsidR="006D5FA3">
        <w:rPr>
          <w:sz w:val="24"/>
          <w:lang w:val="en-US"/>
        </w:rPr>
        <w:t xml:space="preserve">Mr. </w:t>
      </w:r>
      <w:r w:rsidR="007253E9">
        <w:rPr>
          <w:sz w:val="24"/>
          <w:lang w:val="en-US"/>
        </w:rPr>
        <w:t xml:space="preserve">DeFelice also predicted a 2015 transfer to plant </w:t>
      </w:r>
      <w:r w:rsidR="003D1B76">
        <w:rPr>
          <w:sz w:val="24"/>
          <w:lang w:val="en-US"/>
        </w:rPr>
        <w:t xml:space="preserve">amount </w:t>
      </w:r>
      <w:r w:rsidR="007253E9">
        <w:rPr>
          <w:sz w:val="24"/>
          <w:lang w:val="en-US"/>
        </w:rPr>
        <w:t xml:space="preserve">that was $1.3 million lower than </w:t>
      </w:r>
      <w:r w:rsidR="00131E7B">
        <w:rPr>
          <w:sz w:val="24"/>
          <w:lang w:val="en-US"/>
        </w:rPr>
        <w:t xml:space="preserve">Ms. Schuh’s </w:t>
      </w:r>
      <w:r w:rsidR="007253E9">
        <w:rPr>
          <w:sz w:val="24"/>
          <w:lang w:val="en-US"/>
        </w:rPr>
        <w:t xml:space="preserve">forecast for </w:t>
      </w:r>
      <w:r w:rsidR="00131E7B">
        <w:rPr>
          <w:sz w:val="24"/>
          <w:lang w:val="en-US"/>
        </w:rPr>
        <w:t>this project</w:t>
      </w:r>
      <w:r>
        <w:rPr>
          <w:sz w:val="24"/>
          <w:lang w:val="en-US"/>
        </w:rPr>
        <w:t xml:space="preserve">.  </w:t>
      </w:r>
      <w:r w:rsidR="00131E7B">
        <w:rPr>
          <w:sz w:val="24"/>
          <w:lang w:val="en-US"/>
        </w:rPr>
        <w:t xml:space="preserve">The quality of the Company’s estimates </w:t>
      </w:r>
      <w:r w:rsidR="007253E9">
        <w:rPr>
          <w:sz w:val="24"/>
          <w:lang w:val="en-US"/>
        </w:rPr>
        <w:t xml:space="preserve">for this project </w:t>
      </w:r>
      <w:r w:rsidR="00131E7B">
        <w:rPr>
          <w:sz w:val="24"/>
          <w:lang w:val="en-US"/>
        </w:rPr>
        <w:t xml:space="preserve">are therefore no more reliable than those </w:t>
      </w:r>
      <w:r w:rsidR="00562EC1">
        <w:rPr>
          <w:sz w:val="24"/>
          <w:lang w:val="en-US"/>
        </w:rPr>
        <w:t xml:space="preserve">of the projects and programs </w:t>
      </w:r>
      <w:r w:rsidR="00131E7B">
        <w:rPr>
          <w:sz w:val="24"/>
          <w:lang w:val="en-US"/>
        </w:rPr>
        <w:t xml:space="preserve">I previously mentioned in my testimony.  Staff’s confidence in the accuracy of the </w:t>
      </w:r>
      <w:r>
        <w:rPr>
          <w:sz w:val="24"/>
          <w:lang w:val="en-US"/>
        </w:rPr>
        <w:t xml:space="preserve">Company’s estimates </w:t>
      </w:r>
      <w:r w:rsidR="003D1B76">
        <w:rPr>
          <w:sz w:val="24"/>
          <w:lang w:val="en-US"/>
        </w:rPr>
        <w:t xml:space="preserve">is challenged by the fact </w:t>
      </w:r>
      <w:r w:rsidR="00C61150">
        <w:rPr>
          <w:sz w:val="24"/>
          <w:lang w:val="en-US"/>
        </w:rPr>
        <w:t xml:space="preserve">that Avista’s actuals can vary wildly from forecasts made </w:t>
      </w:r>
      <w:r w:rsidR="00562EC1">
        <w:rPr>
          <w:sz w:val="24"/>
          <w:lang w:val="en-US"/>
        </w:rPr>
        <w:t xml:space="preserve">only </w:t>
      </w:r>
      <w:r w:rsidR="00C61150">
        <w:rPr>
          <w:sz w:val="24"/>
          <w:lang w:val="en-US"/>
        </w:rPr>
        <w:t>months prior.</w:t>
      </w:r>
      <w:r w:rsidR="005C6847">
        <w:rPr>
          <w:sz w:val="24"/>
          <w:lang w:val="en-US"/>
        </w:rPr>
        <w:t xml:space="preserve">  Staff concludes that none of the amounts being proposed for this project be allowed into rate base.</w:t>
      </w:r>
      <w:r>
        <w:rPr>
          <w:sz w:val="24"/>
          <w:lang w:val="en-US"/>
        </w:rPr>
        <w:t xml:space="preserve"> </w:t>
      </w:r>
    </w:p>
    <w:p w14:paraId="23DE85D7" w14:textId="77777777" w:rsidR="00425F7D" w:rsidRDefault="00425F7D" w:rsidP="00425F7D">
      <w:pPr>
        <w:pStyle w:val="BodyTextIndent"/>
        <w:rPr>
          <w:sz w:val="24"/>
          <w:lang w:val="en-US"/>
        </w:rPr>
      </w:pPr>
    </w:p>
    <w:p w14:paraId="056D37D0" w14:textId="222479C9" w:rsidR="008D094D" w:rsidRDefault="00C61150" w:rsidP="00425F7D">
      <w:pPr>
        <w:pStyle w:val="Heading3"/>
        <w:ind w:left="0" w:firstLine="0"/>
      </w:pPr>
      <w:bookmarkStart w:id="65" w:name="_Toc425172450"/>
      <w:bookmarkStart w:id="66" w:name="_Toc425328751"/>
      <w:bookmarkStart w:id="67" w:name="_Toc425339195"/>
      <w:bookmarkStart w:id="68" w:name="_Toc425756873"/>
      <w:r>
        <w:rPr>
          <w:lang w:val="en-US"/>
        </w:rPr>
        <w:t>Distribution Wood Pole Management</w:t>
      </w:r>
      <w:bookmarkEnd w:id="65"/>
      <w:bookmarkEnd w:id="66"/>
      <w:bookmarkEnd w:id="67"/>
      <w:bookmarkEnd w:id="68"/>
    </w:p>
    <w:p w14:paraId="3814ACB5" w14:textId="77777777" w:rsidR="00C61150" w:rsidRDefault="00C61150" w:rsidP="00425F7D">
      <w:pPr>
        <w:pStyle w:val="BodyTextIndent"/>
        <w:rPr>
          <w:sz w:val="24"/>
          <w:lang w:val="en-US"/>
        </w:rPr>
      </w:pPr>
    </w:p>
    <w:p w14:paraId="6B036244" w14:textId="7D2B0CD5" w:rsidR="00C0624E" w:rsidRDefault="001C5892" w:rsidP="00425F7D">
      <w:pPr>
        <w:pStyle w:val="BodyTextIndent"/>
        <w:rPr>
          <w:b/>
          <w:sz w:val="24"/>
          <w:lang w:val="en-US"/>
        </w:rPr>
      </w:pPr>
      <w:r>
        <w:rPr>
          <w:b/>
          <w:sz w:val="24"/>
          <w:lang w:val="en-US"/>
        </w:rPr>
        <w:t>Q.</w:t>
      </w:r>
      <w:r>
        <w:rPr>
          <w:b/>
          <w:sz w:val="24"/>
          <w:lang w:val="en-US"/>
        </w:rPr>
        <w:tab/>
      </w:r>
      <w:r w:rsidR="0000584A">
        <w:rPr>
          <w:b/>
          <w:sz w:val="24"/>
          <w:lang w:val="en-US"/>
        </w:rPr>
        <w:t>Ha</w:t>
      </w:r>
      <w:r w:rsidR="00DD50C7">
        <w:rPr>
          <w:b/>
          <w:sz w:val="24"/>
          <w:lang w:val="en-US"/>
        </w:rPr>
        <w:t>s</w:t>
      </w:r>
      <w:r w:rsidR="0000584A">
        <w:rPr>
          <w:b/>
          <w:sz w:val="24"/>
          <w:lang w:val="en-US"/>
        </w:rPr>
        <w:t xml:space="preserve"> </w:t>
      </w:r>
      <w:r w:rsidR="00C0624E">
        <w:rPr>
          <w:b/>
          <w:sz w:val="24"/>
          <w:lang w:val="en-US"/>
        </w:rPr>
        <w:t xml:space="preserve">the </w:t>
      </w:r>
      <w:r w:rsidR="00C04C84">
        <w:rPr>
          <w:b/>
          <w:sz w:val="24"/>
          <w:lang w:val="en-US"/>
        </w:rPr>
        <w:t xml:space="preserve">Company’s </w:t>
      </w:r>
      <w:r w:rsidR="00C0624E">
        <w:rPr>
          <w:b/>
          <w:sz w:val="24"/>
          <w:lang w:val="en-US"/>
        </w:rPr>
        <w:t xml:space="preserve">actual and forecasted amounts </w:t>
      </w:r>
      <w:r w:rsidR="0000584A">
        <w:rPr>
          <w:b/>
          <w:sz w:val="24"/>
          <w:lang w:val="en-US"/>
        </w:rPr>
        <w:t xml:space="preserve">for this program varied </w:t>
      </w:r>
      <w:r w:rsidR="00271C5C">
        <w:rPr>
          <w:b/>
          <w:sz w:val="24"/>
          <w:lang w:val="en-US"/>
        </w:rPr>
        <w:t xml:space="preserve">as much as other programs in this </w:t>
      </w:r>
      <w:r w:rsidR="00C0624E">
        <w:rPr>
          <w:b/>
          <w:sz w:val="24"/>
          <w:lang w:val="en-US"/>
        </w:rPr>
        <w:t>case?</w:t>
      </w:r>
    </w:p>
    <w:p w14:paraId="3389FD14" w14:textId="2B255DA9" w:rsidR="00131B1D" w:rsidRDefault="00C0624E" w:rsidP="00425F7D">
      <w:pPr>
        <w:pStyle w:val="BodyTextIndent"/>
        <w:rPr>
          <w:sz w:val="24"/>
          <w:lang w:val="en-US"/>
        </w:rPr>
      </w:pPr>
      <w:r>
        <w:rPr>
          <w:sz w:val="24"/>
          <w:lang w:val="en-US"/>
        </w:rPr>
        <w:t>A.</w:t>
      </w:r>
      <w:r>
        <w:rPr>
          <w:sz w:val="24"/>
          <w:lang w:val="en-US"/>
        </w:rPr>
        <w:tab/>
        <w:t>Yes.  In last year</w:t>
      </w:r>
      <w:r w:rsidR="007E3774">
        <w:rPr>
          <w:sz w:val="24"/>
          <w:lang w:val="en-US"/>
        </w:rPr>
        <w:t>’s rate case</w:t>
      </w:r>
      <w:r>
        <w:rPr>
          <w:sz w:val="24"/>
          <w:lang w:val="en-US"/>
        </w:rPr>
        <w:t xml:space="preserve">, Avista witnesses Ms. Rosentrater and Mr. DeFelice predicted that this program’s 2014 </w:t>
      </w:r>
      <w:r w:rsidR="00FC22A2">
        <w:rPr>
          <w:sz w:val="24"/>
          <w:lang w:val="en-US"/>
        </w:rPr>
        <w:t>system-level</w:t>
      </w:r>
      <w:r w:rsidR="007E3774">
        <w:rPr>
          <w:sz w:val="24"/>
          <w:lang w:val="en-US"/>
        </w:rPr>
        <w:t xml:space="preserve"> </w:t>
      </w:r>
      <w:r>
        <w:rPr>
          <w:sz w:val="24"/>
          <w:lang w:val="en-US"/>
        </w:rPr>
        <w:t>transfer to plant amounts would total $14.7 million.</w:t>
      </w:r>
      <w:r>
        <w:rPr>
          <w:rStyle w:val="FootnoteReference"/>
          <w:sz w:val="24"/>
          <w:lang w:val="en-US"/>
        </w:rPr>
        <w:footnoteReference w:id="65"/>
      </w:r>
      <w:r>
        <w:rPr>
          <w:sz w:val="24"/>
          <w:lang w:val="en-US"/>
        </w:rPr>
        <w:t xml:space="preserve">  </w:t>
      </w:r>
      <w:r w:rsidR="00766EE5">
        <w:rPr>
          <w:sz w:val="24"/>
          <w:lang w:val="en-US"/>
        </w:rPr>
        <w:t>According to the Company’s compliance filing in UE-140188, t</w:t>
      </w:r>
      <w:r w:rsidR="002D694B">
        <w:rPr>
          <w:sz w:val="24"/>
          <w:lang w:val="en-US"/>
        </w:rPr>
        <w:t xml:space="preserve">he actual </w:t>
      </w:r>
      <w:r w:rsidR="00766EE5">
        <w:rPr>
          <w:sz w:val="24"/>
          <w:lang w:val="en-US"/>
        </w:rPr>
        <w:t xml:space="preserve">amount </w:t>
      </w:r>
      <w:r w:rsidR="0084524C">
        <w:rPr>
          <w:sz w:val="24"/>
          <w:lang w:val="en-US"/>
        </w:rPr>
        <w:t xml:space="preserve">added to rate base </w:t>
      </w:r>
      <w:r w:rsidR="00766EE5">
        <w:rPr>
          <w:sz w:val="24"/>
          <w:lang w:val="en-US"/>
        </w:rPr>
        <w:t xml:space="preserve">was far less than that.  </w:t>
      </w:r>
      <w:r w:rsidR="0000584A">
        <w:rPr>
          <w:sz w:val="24"/>
          <w:lang w:val="en-US"/>
        </w:rPr>
        <w:t xml:space="preserve">The </w:t>
      </w:r>
      <w:r w:rsidR="007E3774">
        <w:rPr>
          <w:sz w:val="24"/>
          <w:lang w:val="en-US"/>
        </w:rPr>
        <w:t xml:space="preserve">actual amount of capital </w:t>
      </w:r>
      <w:r w:rsidR="007E3774">
        <w:rPr>
          <w:sz w:val="24"/>
          <w:lang w:val="en-US"/>
        </w:rPr>
        <w:lastRenderedPageBreak/>
        <w:t xml:space="preserve">addition for this program in 2014 </w:t>
      </w:r>
      <w:r w:rsidR="00271C5C">
        <w:rPr>
          <w:sz w:val="24"/>
          <w:lang w:val="en-US"/>
        </w:rPr>
        <w:t xml:space="preserve">was $8.5 million.  </w:t>
      </w:r>
      <w:r w:rsidR="00B4300D">
        <w:rPr>
          <w:sz w:val="24"/>
          <w:lang w:val="en-US"/>
        </w:rPr>
        <w:t xml:space="preserve">In this case, </w:t>
      </w:r>
      <w:r w:rsidR="00271C5C">
        <w:rPr>
          <w:sz w:val="24"/>
          <w:lang w:val="en-US"/>
        </w:rPr>
        <w:t xml:space="preserve">Avista also reduced </w:t>
      </w:r>
      <w:r w:rsidR="00B4300D">
        <w:rPr>
          <w:sz w:val="24"/>
          <w:lang w:val="en-US"/>
        </w:rPr>
        <w:t xml:space="preserve">by almost $10.0 million </w:t>
      </w:r>
      <w:r w:rsidR="00271C5C">
        <w:rPr>
          <w:sz w:val="24"/>
          <w:lang w:val="en-US"/>
        </w:rPr>
        <w:t xml:space="preserve">its 2015-2016 total </w:t>
      </w:r>
      <w:r w:rsidR="00FC22A2">
        <w:rPr>
          <w:sz w:val="24"/>
          <w:lang w:val="en-US"/>
        </w:rPr>
        <w:t>system-level</w:t>
      </w:r>
      <w:r w:rsidR="00C05E3B">
        <w:rPr>
          <w:sz w:val="24"/>
          <w:lang w:val="en-US"/>
        </w:rPr>
        <w:t xml:space="preserve"> </w:t>
      </w:r>
      <w:r w:rsidR="00271C5C">
        <w:rPr>
          <w:sz w:val="24"/>
          <w:lang w:val="en-US"/>
        </w:rPr>
        <w:t>forecasts for this pro</w:t>
      </w:r>
      <w:r w:rsidR="0084524C">
        <w:rPr>
          <w:sz w:val="24"/>
          <w:lang w:val="en-US"/>
        </w:rPr>
        <w:t>gram</w:t>
      </w:r>
      <w:r w:rsidR="00271C5C">
        <w:rPr>
          <w:sz w:val="24"/>
          <w:lang w:val="en-US"/>
        </w:rPr>
        <w:t xml:space="preserve"> </w:t>
      </w:r>
      <w:r w:rsidR="007E3774">
        <w:rPr>
          <w:sz w:val="24"/>
          <w:lang w:val="en-US"/>
        </w:rPr>
        <w:t xml:space="preserve">from </w:t>
      </w:r>
      <w:r w:rsidR="00AA2A3F">
        <w:rPr>
          <w:sz w:val="24"/>
          <w:lang w:val="en-US"/>
        </w:rPr>
        <w:t xml:space="preserve">its prediction </w:t>
      </w:r>
      <w:r w:rsidR="007E3774">
        <w:rPr>
          <w:sz w:val="24"/>
          <w:lang w:val="en-US"/>
        </w:rPr>
        <w:t xml:space="preserve">in </w:t>
      </w:r>
      <w:r w:rsidR="00AA2A3F">
        <w:rPr>
          <w:sz w:val="24"/>
          <w:lang w:val="en-US"/>
        </w:rPr>
        <w:t>the</w:t>
      </w:r>
      <w:r w:rsidR="00B4300D">
        <w:rPr>
          <w:sz w:val="24"/>
          <w:lang w:val="en-US"/>
        </w:rPr>
        <w:t xml:space="preserve"> </w:t>
      </w:r>
      <w:r w:rsidR="007E3774">
        <w:rPr>
          <w:sz w:val="24"/>
          <w:lang w:val="en-US"/>
        </w:rPr>
        <w:t>last rate case</w:t>
      </w:r>
      <w:r w:rsidR="00B4300D">
        <w:rPr>
          <w:sz w:val="24"/>
          <w:lang w:val="en-US"/>
        </w:rPr>
        <w:t>.</w:t>
      </w:r>
      <w:r w:rsidR="008647B7">
        <w:rPr>
          <w:rStyle w:val="FootnoteReference"/>
          <w:sz w:val="24"/>
          <w:lang w:val="en-US"/>
        </w:rPr>
        <w:footnoteReference w:id="66"/>
      </w:r>
      <w:r w:rsidR="00B4300D">
        <w:rPr>
          <w:sz w:val="24"/>
          <w:lang w:val="en-US"/>
        </w:rPr>
        <w:t xml:space="preserve">  </w:t>
      </w:r>
    </w:p>
    <w:p w14:paraId="7C92268F" w14:textId="77777777" w:rsidR="00131B1D" w:rsidRDefault="00131B1D" w:rsidP="00425F7D">
      <w:pPr>
        <w:pStyle w:val="BodyTextIndent"/>
        <w:rPr>
          <w:sz w:val="24"/>
          <w:lang w:val="en-US"/>
        </w:rPr>
      </w:pPr>
    </w:p>
    <w:p w14:paraId="0E08CB4E" w14:textId="43B24804" w:rsidR="00131B1D" w:rsidRDefault="00131B1D" w:rsidP="00425F7D">
      <w:pPr>
        <w:pStyle w:val="BodyTextIndent"/>
        <w:rPr>
          <w:b/>
          <w:sz w:val="24"/>
          <w:lang w:val="en-US"/>
        </w:rPr>
      </w:pPr>
      <w:r>
        <w:rPr>
          <w:b/>
          <w:sz w:val="24"/>
          <w:lang w:val="en-US"/>
        </w:rPr>
        <w:t>Q.</w:t>
      </w:r>
      <w:r>
        <w:rPr>
          <w:b/>
          <w:sz w:val="24"/>
          <w:lang w:val="en-US"/>
        </w:rPr>
        <w:tab/>
        <w:t xml:space="preserve">What does the Company have to say about </w:t>
      </w:r>
      <w:r w:rsidR="00AA2A3F">
        <w:rPr>
          <w:b/>
          <w:sz w:val="24"/>
          <w:lang w:val="en-US"/>
        </w:rPr>
        <w:t>such</w:t>
      </w:r>
      <w:r>
        <w:rPr>
          <w:b/>
          <w:sz w:val="24"/>
          <w:lang w:val="en-US"/>
        </w:rPr>
        <w:t xml:space="preserve"> variability in </w:t>
      </w:r>
      <w:r w:rsidR="00AA2A3F">
        <w:rPr>
          <w:b/>
          <w:sz w:val="24"/>
          <w:lang w:val="en-US"/>
        </w:rPr>
        <w:t xml:space="preserve">both its </w:t>
      </w:r>
      <w:r>
        <w:rPr>
          <w:b/>
          <w:sz w:val="24"/>
          <w:lang w:val="en-US"/>
        </w:rPr>
        <w:t>actual and forecasted transfer to plant amount for this program?</w:t>
      </w:r>
    </w:p>
    <w:p w14:paraId="1E3DE9B9" w14:textId="77777777" w:rsidR="006B4008" w:rsidRDefault="00131B1D" w:rsidP="00425F7D">
      <w:pPr>
        <w:pStyle w:val="BodyTextIndent"/>
        <w:rPr>
          <w:sz w:val="24"/>
          <w:lang w:val="en-US"/>
        </w:rPr>
      </w:pPr>
      <w:r>
        <w:rPr>
          <w:sz w:val="24"/>
          <w:lang w:val="en-US"/>
        </w:rPr>
        <w:t>A.</w:t>
      </w:r>
      <w:r>
        <w:rPr>
          <w:sz w:val="24"/>
          <w:lang w:val="en-US"/>
        </w:rPr>
        <w:tab/>
      </w:r>
      <w:r w:rsidR="00B4300D">
        <w:rPr>
          <w:sz w:val="24"/>
          <w:lang w:val="en-US"/>
        </w:rPr>
        <w:t>Nothing.  Once again, the Company fails to provide an explanation in its direct testimony and exhibits that account for such variations</w:t>
      </w:r>
      <w:r w:rsidR="002E08C8">
        <w:rPr>
          <w:sz w:val="24"/>
          <w:lang w:val="en-US"/>
        </w:rPr>
        <w:t xml:space="preserve"> in the program.</w:t>
      </w:r>
      <w:r w:rsidR="00B4300D">
        <w:rPr>
          <w:sz w:val="24"/>
          <w:lang w:val="en-US"/>
        </w:rPr>
        <w:t xml:space="preserve">  </w:t>
      </w:r>
      <w:r w:rsidR="006B4008">
        <w:rPr>
          <w:sz w:val="24"/>
          <w:lang w:val="en-US"/>
        </w:rPr>
        <w:t>Staff’s analysis of the level of pro forma capital additions for Wood Pole Management has not been helped either by the testimony of three different directors responsible for Transmission and Distribution in the last three Avista rate cases.</w:t>
      </w:r>
    </w:p>
    <w:p w14:paraId="4F5290DC" w14:textId="055DA172" w:rsidR="00214EDC" w:rsidRDefault="006B4008" w:rsidP="00425F7D">
      <w:pPr>
        <w:pStyle w:val="BodyTextIndent"/>
        <w:ind w:firstLine="720"/>
        <w:rPr>
          <w:sz w:val="24"/>
          <w:lang w:val="en-US"/>
        </w:rPr>
      </w:pPr>
      <w:r>
        <w:rPr>
          <w:sz w:val="24"/>
          <w:lang w:val="en-US"/>
        </w:rPr>
        <w:t>Consider the fact that Mr. Cox’s direct testimony in this case, Exhibit No. __ (BAC-1T), regarding Transmission and Distribution Capital projects is largely identical to Ms. Rosentrater’s testimony filed in 2014 and Mr. Kinney’s before that in 2012.</w:t>
      </w:r>
      <w:r>
        <w:rPr>
          <w:rStyle w:val="FootnoteReference"/>
          <w:sz w:val="24"/>
          <w:lang w:val="en-US"/>
        </w:rPr>
        <w:footnoteReference w:id="67"/>
      </w:r>
      <w:r>
        <w:rPr>
          <w:sz w:val="24"/>
          <w:lang w:val="en-US"/>
        </w:rPr>
        <w:t xml:space="preserve">  The only variation</w:t>
      </w:r>
      <w:r w:rsidR="00E60183">
        <w:rPr>
          <w:sz w:val="24"/>
          <w:lang w:val="en-US"/>
        </w:rPr>
        <w:t xml:space="preserve"> in these witnesses’ testimony</w:t>
      </w:r>
      <w:r>
        <w:rPr>
          <w:sz w:val="24"/>
          <w:lang w:val="en-US"/>
        </w:rPr>
        <w:t xml:space="preserve"> </w:t>
      </w:r>
      <w:r w:rsidR="00E60183">
        <w:rPr>
          <w:sz w:val="24"/>
          <w:lang w:val="en-US"/>
        </w:rPr>
        <w:t xml:space="preserve">are </w:t>
      </w:r>
      <w:r w:rsidR="00D42CD9">
        <w:rPr>
          <w:sz w:val="24"/>
          <w:lang w:val="en-US"/>
        </w:rPr>
        <w:t xml:space="preserve">with </w:t>
      </w:r>
      <w:r w:rsidR="00E60183">
        <w:rPr>
          <w:sz w:val="24"/>
          <w:lang w:val="en-US"/>
        </w:rPr>
        <w:t xml:space="preserve">the specific </w:t>
      </w:r>
      <w:r>
        <w:rPr>
          <w:sz w:val="24"/>
          <w:lang w:val="en-US"/>
        </w:rPr>
        <w:t xml:space="preserve">projects </w:t>
      </w:r>
      <w:r w:rsidR="00E60183">
        <w:rPr>
          <w:sz w:val="24"/>
          <w:lang w:val="en-US"/>
        </w:rPr>
        <w:t xml:space="preserve">listed </w:t>
      </w:r>
      <w:r>
        <w:rPr>
          <w:sz w:val="24"/>
          <w:lang w:val="en-US"/>
        </w:rPr>
        <w:t>along with the amount of investment</w:t>
      </w:r>
      <w:r>
        <w:rPr>
          <w:rStyle w:val="FootnoteReference"/>
          <w:sz w:val="24"/>
          <w:lang w:val="en-US"/>
        </w:rPr>
        <w:footnoteReference w:id="68"/>
      </w:r>
      <w:r>
        <w:rPr>
          <w:sz w:val="24"/>
          <w:lang w:val="en-US"/>
        </w:rPr>
        <w:t xml:space="preserve"> planned for the specific years </w:t>
      </w:r>
      <w:r w:rsidR="00650564">
        <w:rPr>
          <w:sz w:val="24"/>
          <w:lang w:val="en-US"/>
        </w:rPr>
        <w:t xml:space="preserve">spanning </w:t>
      </w:r>
      <w:r>
        <w:rPr>
          <w:sz w:val="24"/>
          <w:lang w:val="en-US"/>
        </w:rPr>
        <w:t xml:space="preserve">each case.  </w:t>
      </w:r>
      <w:r w:rsidR="00E80AA2">
        <w:rPr>
          <w:sz w:val="24"/>
          <w:lang w:val="en-US"/>
        </w:rPr>
        <w:t xml:space="preserve">As a result of this information deficit, </w:t>
      </w:r>
      <w:r w:rsidR="00B4300D">
        <w:rPr>
          <w:sz w:val="24"/>
          <w:lang w:val="en-US"/>
        </w:rPr>
        <w:t xml:space="preserve">Staff </w:t>
      </w:r>
      <w:r w:rsidR="00DB07D5">
        <w:rPr>
          <w:sz w:val="24"/>
          <w:lang w:val="en-US"/>
        </w:rPr>
        <w:t>m</w:t>
      </w:r>
      <w:r w:rsidR="00B4300D">
        <w:rPr>
          <w:sz w:val="24"/>
          <w:lang w:val="en-US"/>
        </w:rPr>
        <w:t xml:space="preserve">ust resort </w:t>
      </w:r>
      <w:r w:rsidR="001422AB">
        <w:rPr>
          <w:sz w:val="24"/>
          <w:lang w:val="en-US"/>
        </w:rPr>
        <w:t xml:space="preserve">again </w:t>
      </w:r>
      <w:r w:rsidR="00B4300D">
        <w:rPr>
          <w:sz w:val="24"/>
          <w:lang w:val="en-US"/>
        </w:rPr>
        <w:t xml:space="preserve">to discovery to uncover </w:t>
      </w:r>
      <w:r w:rsidR="00DB07D5">
        <w:rPr>
          <w:sz w:val="24"/>
          <w:lang w:val="en-US"/>
        </w:rPr>
        <w:t xml:space="preserve">the reason behind such variability </w:t>
      </w:r>
      <w:r w:rsidR="00B4300D">
        <w:rPr>
          <w:sz w:val="24"/>
          <w:lang w:val="en-US"/>
        </w:rPr>
        <w:t xml:space="preserve">and </w:t>
      </w:r>
      <w:r w:rsidR="00E80AA2">
        <w:rPr>
          <w:sz w:val="24"/>
          <w:lang w:val="en-US"/>
        </w:rPr>
        <w:t xml:space="preserve">whether </w:t>
      </w:r>
      <w:r w:rsidR="00B4300D">
        <w:rPr>
          <w:sz w:val="24"/>
          <w:lang w:val="en-US"/>
        </w:rPr>
        <w:t xml:space="preserve">Avista’s </w:t>
      </w:r>
      <w:r w:rsidR="00B4300D">
        <w:rPr>
          <w:sz w:val="24"/>
          <w:lang w:val="en-US"/>
        </w:rPr>
        <w:lastRenderedPageBreak/>
        <w:t xml:space="preserve">estimates of capital additions </w:t>
      </w:r>
      <w:r w:rsidR="00DB07D5">
        <w:rPr>
          <w:sz w:val="24"/>
          <w:lang w:val="en-US"/>
        </w:rPr>
        <w:t>for this program</w:t>
      </w:r>
      <w:r w:rsidR="00214EDC">
        <w:rPr>
          <w:sz w:val="24"/>
          <w:lang w:val="en-US"/>
        </w:rPr>
        <w:t xml:space="preserve"> </w:t>
      </w:r>
      <w:r w:rsidR="00E80AA2">
        <w:rPr>
          <w:sz w:val="24"/>
          <w:lang w:val="en-US"/>
        </w:rPr>
        <w:t xml:space="preserve">are reasonable </w:t>
      </w:r>
      <w:r w:rsidR="00214EDC">
        <w:rPr>
          <w:sz w:val="24"/>
          <w:lang w:val="en-US"/>
        </w:rPr>
        <w:t>for the purposes of setting rates</w:t>
      </w:r>
      <w:r w:rsidR="00B4300D">
        <w:rPr>
          <w:sz w:val="24"/>
          <w:lang w:val="en-US"/>
        </w:rPr>
        <w:t xml:space="preserve">.  </w:t>
      </w:r>
    </w:p>
    <w:p w14:paraId="7A5C5471" w14:textId="77777777" w:rsidR="00214EDC" w:rsidRDefault="00214EDC" w:rsidP="00425F7D">
      <w:pPr>
        <w:pStyle w:val="BodyTextIndent"/>
        <w:rPr>
          <w:sz w:val="24"/>
          <w:lang w:val="en-US"/>
        </w:rPr>
      </w:pPr>
    </w:p>
    <w:p w14:paraId="7AD153D5" w14:textId="6C3A9233" w:rsidR="00603524" w:rsidRDefault="00214EDC" w:rsidP="00425F7D">
      <w:pPr>
        <w:pStyle w:val="BodyTextIndent"/>
        <w:rPr>
          <w:b/>
          <w:sz w:val="24"/>
          <w:lang w:val="en-US"/>
        </w:rPr>
      </w:pPr>
      <w:r>
        <w:rPr>
          <w:b/>
          <w:sz w:val="24"/>
          <w:lang w:val="en-US"/>
        </w:rPr>
        <w:t>Q.</w:t>
      </w:r>
      <w:r>
        <w:rPr>
          <w:b/>
          <w:sz w:val="24"/>
          <w:lang w:val="en-US"/>
        </w:rPr>
        <w:tab/>
      </w:r>
      <w:r w:rsidR="00FE0E9D">
        <w:rPr>
          <w:b/>
          <w:sz w:val="24"/>
          <w:lang w:val="en-US"/>
        </w:rPr>
        <w:t xml:space="preserve">Avista lists Distribution Wood Pole Management as part of its asset management program.  </w:t>
      </w:r>
      <w:r w:rsidR="00DC7167">
        <w:rPr>
          <w:b/>
          <w:sz w:val="24"/>
          <w:lang w:val="en-US"/>
        </w:rPr>
        <w:t xml:space="preserve">How </w:t>
      </w:r>
      <w:r w:rsidR="00FE0E9D">
        <w:rPr>
          <w:b/>
          <w:sz w:val="24"/>
          <w:lang w:val="en-US"/>
        </w:rPr>
        <w:t xml:space="preserve">does Avista </w:t>
      </w:r>
      <w:r w:rsidR="00DC7167">
        <w:rPr>
          <w:b/>
          <w:sz w:val="24"/>
          <w:lang w:val="en-US"/>
        </w:rPr>
        <w:t xml:space="preserve">describe </w:t>
      </w:r>
      <w:r w:rsidR="00FE0E9D">
        <w:rPr>
          <w:b/>
          <w:sz w:val="24"/>
          <w:lang w:val="en-US"/>
        </w:rPr>
        <w:t>its asset management program</w:t>
      </w:r>
      <w:r w:rsidR="00603524">
        <w:rPr>
          <w:b/>
          <w:sz w:val="24"/>
          <w:lang w:val="en-US"/>
        </w:rPr>
        <w:t>?</w:t>
      </w:r>
    </w:p>
    <w:p w14:paraId="6CA21483" w14:textId="0A95E01E" w:rsidR="005D2812" w:rsidRDefault="00603524" w:rsidP="00425F7D">
      <w:pPr>
        <w:pStyle w:val="BodyTextIndent"/>
        <w:rPr>
          <w:sz w:val="24"/>
          <w:lang w:val="en-US"/>
        </w:rPr>
      </w:pPr>
      <w:r>
        <w:rPr>
          <w:sz w:val="24"/>
          <w:lang w:val="en-US"/>
        </w:rPr>
        <w:t>A.</w:t>
      </w:r>
      <w:r>
        <w:rPr>
          <w:sz w:val="24"/>
          <w:lang w:val="en-US"/>
        </w:rPr>
        <w:tab/>
      </w:r>
      <w:r w:rsidR="00650564">
        <w:rPr>
          <w:sz w:val="24"/>
          <w:lang w:val="en-US"/>
        </w:rPr>
        <w:t>Avista’s asset management program is described in the testimony of Company</w:t>
      </w:r>
      <w:r w:rsidR="00D44144">
        <w:rPr>
          <w:sz w:val="24"/>
          <w:lang w:val="en-US"/>
        </w:rPr>
        <w:t xml:space="preserve"> witness </w:t>
      </w:r>
      <w:r w:rsidR="0099004A">
        <w:rPr>
          <w:sz w:val="24"/>
          <w:lang w:val="en-US"/>
        </w:rPr>
        <w:t>Mark Thies</w:t>
      </w:r>
      <w:r w:rsidR="00503219">
        <w:rPr>
          <w:sz w:val="24"/>
          <w:lang w:val="en-US"/>
        </w:rPr>
        <w:t>.</w:t>
      </w:r>
      <w:r w:rsidR="007C51DC" w:rsidRPr="007C51DC">
        <w:rPr>
          <w:rStyle w:val="FootnoteReference"/>
          <w:sz w:val="24"/>
          <w:lang w:val="en-US"/>
        </w:rPr>
        <w:t xml:space="preserve"> </w:t>
      </w:r>
      <w:r w:rsidR="007C51DC">
        <w:rPr>
          <w:rStyle w:val="FootnoteReference"/>
          <w:sz w:val="24"/>
          <w:lang w:val="en-US"/>
        </w:rPr>
        <w:footnoteReference w:id="69"/>
      </w:r>
      <w:r w:rsidR="00503219">
        <w:rPr>
          <w:sz w:val="24"/>
          <w:lang w:val="en-US"/>
        </w:rPr>
        <w:t xml:space="preserve">  According to Mr. Thies, Avista’s asset management program is </w:t>
      </w:r>
      <w:r w:rsidR="001C4B47" w:rsidRPr="00E5164A">
        <w:rPr>
          <w:sz w:val="24"/>
          <w:lang w:val="en-US"/>
        </w:rPr>
        <w:t>a planned and systematic approach</w:t>
      </w:r>
      <w:r w:rsidR="001C4B47">
        <w:rPr>
          <w:sz w:val="24"/>
          <w:lang w:val="en-US"/>
        </w:rPr>
        <w:t xml:space="preserve"> for making c</w:t>
      </w:r>
      <w:r w:rsidR="00503219" w:rsidRPr="00E5164A">
        <w:rPr>
          <w:sz w:val="24"/>
          <w:lang w:val="en-US"/>
        </w:rPr>
        <w:t xml:space="preserve">apital investments </w:t>
      </w:r>
      <w:r w:rsidR="00503219">
        <w:rPr>
          <w:sz w:val="24"/>
          <w:lang w:val="en-US"/>
        </w:rPr>
        <w:t xml:space="preserve">to </w:t>
      </w:r>
      <w:r w:rsidR="00503219" w:rsidRPr="00E5164A">
        <w:rPr>
          <w:sz w:val="24"/>
          <w:lang w:val="en-US"/>
        </w:rPr>
        <w:t>replac</w:t>
      </w:r>
      <w:r w:rsidR="00503219">
        <w:rPr>
          <w:sz w:val="24"/>
          <w:lang w:val="en-US"/>
        </w:rPr>
        <w:t>e</w:t>
      </w:r>
      <w:r w:rsidR="00503219" w:rsidRPr="00E5164A">
        <w:rPr>
          <w:sz w:val="24"/>
          <w:lang w:val="en-US"/>
        </w:rPr>
        <w:t xml:space="preserve"> old and failing assets</w:t>
      </w:r>
      <w:r w:rsidR="00503219">
        <w:rPr>
          <w:sz w:val="24"/>
          <w:lang w:val="en-US"/>
        </w:rPr>
        <w:t>.  As a result</w:t>
      </w:r>
      <w:r w:rsidR="00FA13B5">
        <w:rPr>
          <w:sz w:val="24"/>
          <w:lang w:val="en-US"/>
        </w:rPr>
        <w:t xml:space="preserve"> of these investments</w:t>
      </w:r>
      <w:r w:rsidR="00503219">
        <w:rPr>
          <w:sz w:val="24"/>
          <w:lang w:val="en-US"/>
        </w:rPr>
        <w:t xml:space="preserve">, the </w:t>
      </w:r>
      <w:r w:rsidR="00FA13B5">
        <w:rPr>
          <w:sz w:val="24"/>
          <w:lang w:val="en-US"/>
        </w:rPr>
        <w:t xml:space="preserve">Company expects to </w:t>
      </w:r>
      <w:r w:rsidR="00503219" w:rsidRPr="00E5164A">
        <w:rPr>
          <w:sz w:val="24"/>
          <w:lang w:val="en-US"/>
        </w:rPr>
        <w:t xml:space="preserve">reduce outages, control </w:t>
      </w:r>
      <w:r w:rsidR="00FA13B5">
        <w:rPr>
          <w:sz w:val="24"/>
          <w:lang w:val="en-US"/>
        </w:rPr>
        <w:t xml:space="preserve">its </w:t>
      </w:r>
      <w:r w:rsidR="00503219" w:rsidRPr="00E5164A">
        <w:rPr>
          <w:sz w:val="24"/>
          <w:lang w:val="en-US"/>
        </w:rPr>
        <w:t xml:space="preserve">costs to benefit customers and </w:t>
      </w:r>
      <w:r w:rsidR="00DC7167">
        <w:rPr>
          <w:sz w:val="24"/>
          <w:lang w:val="en-US"/>
        </w:rPr>
        <w:t>minimize</w:t>
      </w:r>
      <w:r w:rsidR="00503219" w:rsidRPr="00E5164A">
        <w:rPr>
          <w:sz w:val="24"/>
          <w:lang w:val="en-US"/>
        </w:rPr>
        <w:t xml:space="preserve"> </w:t>
      </w:r>
      <w:r w:rsidR="00503219">
        <w:rPr>
          <w:sz w:val="24"/>
          <w:lang w:val="en-US"/>
        </w:rPr>
        <w:t xml:space="preserve">the </w:t>
      </w:r>
      <w:r w:rsidR="00503219" w:rsidRPr="00E5164A">
        <w:rPr>
          <w:sz w:val="24"/>
          <w:lang w:val="en-US"/>
        </w:rPr>
        <w:t>risks associated with failed equipment</w:t>
      </w:r>
      <w:r w:rsidR="007C51DC">
        <w:rPr>
          <w:sz w:val="24"/>
          <w:lang w:val="en-US"/>
        </w:rPr>
        <w:t xml:space="preserve">.  </w:t>
      </w:r>
    </w:p>
    <w:p w14:paraId="19893439" w14:textId="0C770EE0" w:rsidR="00662EEC" w:rsidRDefault="00C1000D" w:rsidP="00425F7D">
      <w:pPr>
        <w:pStyle w:val="BodyTextIndent"/>
        <w:ind w:firstLine="720"/>
        <w:rPr>
          <w:sz w:val="24"/>
          <w:lang w:val="en-US"/>
        </w:rPr>
      </w:pPr>
      <w:r>
        <w:rPr>
          <w:sz w:val="24"/>
          <w:lang w:val="en-US"/>
        </w:rPr>
        <w:t xml:space="preserve">For the purposes of validating pro forma transfers to plant for asset management programs, </w:t>
      </w:r>
      <w:r w:rsidR="00C253ED">
        <w:rPr>
          <w:sz w:val="24"/>
          <w:lang w:val="en-US"/>
        </w:rPr>
        <w:t xml:space="preserve">Mr. </w:t>
      </w:r>
      <w:r w:rsidR="00943940">
        <w:rPr>
          <w:sz w:val="24"/>
          <w:lang w:val="en-US"/>
        </w:rPr>
        <w:t xml:space="preserve">Thies’ testimony </w:t>
      </w:r>
      <w:r w:rsidR="00DC603D">
        <w:rPr>
          <w:sz w:val="24"/>
          <w:lang w:val="en-US"/>
        </w:rPr>
        <w:t xml:space="preserve">only </w:t>
      </w:r>
      <w:r w:rsidR="00C17A99">
        <w:rPr>
          <w:sz w:val="24"/>
          <w:lang w:val="en-US"/>
        </w:rPr>
        <w:t>goes so far</w:t>
      </w:r>
      <w:r w:rsidR="00F4019C">
        <w:rPr>
          <w:sz w:val="24"/>
          <w:lang w:val="en-US"/>
        </w:rPr>
        <w:t xml:space="preserve">.  </w:t>
      </w:r>
      <w:r w:rsidR="00E129FD">
        <w:rPr>
          <w:sz w:val="24"/>
          <w:lang w:val="en-US"/>
        </w:rPr>
        <w:t>While h</w:t>
      </w:r>
      <w:r w:rsidR="00F4019C">
        <w:rPr>
          <w:sz w:val="24"/>
          <w:lang w:val="en-US"/>
        </w:rPr>
        <w:t xml:space="preserve">e addresses </w:t>
      </w:r>
      <w:r w:rsidR="00DC603D">
        <w:rPr>
          <w:sz w:val="24"/>
          <w:lang w:val="en-US"/>
        </w:rPr>
        <w:t xml:space="preserve">the </w:t>
      </w:r>
      <w:r w:rsidR="00C17A99">
        <w:rPr>
          <w:sz w:val="24"/>
          <w:lang w:val="en-US"/>
        </w:rPr>
        <w:t xml:space="preserve">causes of </w:t>
      </w:r>
      <w:r w:rsidR="00DC603D">
        <w:rPr>
          <w:sz w:val="24"/>
          <w:lang w:val="en-US"/>
        </w:rPr>
        <w:t xml:space="preserve">variability in </w:t>
      </w:r>
      <w:r w:rsidR="00C17A99">
        <w:rPr>
          <w:sz w:val="24"/>
          <w:lang w:val="en-US"/>
        </w:rPr>
        <w:t xml:space="preserve">year to year capital </w:t>
      </w:r>
      <w:r w:rsidR="00DC603D">
        <w:rPr>
          <w:sz w:val="24"/>
          <w:lang w:val="en-US"/>
        </w:rPr>
        <w:t>expenditures</w:t>
      </w:r>
      <w:r w:rsidR="001C2ECF">
        <w:rPr>
          <w:sz w:val="24"/>
          <w:lang w:val="en-US"/>
        </w:rPr>
        <w:t xml:space="preserve"> and transfers to plant</w:t>
      </w:r>
      <w:r w:rsidR="00F4019C">
        <w:rPr>
          <w:sz w:val="24"/>
          <w:lang w:val="en-US"/>
        </w:rPr>
        <w:t xml:space="preserve"> for asset management programs like Wood Pole Management</w:t>
      </w:r>
      <w:r w:rsidR="00E129FD">
        <w:rPr>
          <w:sz w:val="24"/>
          <w:lang w:val="en-US"/>
        </w:rPr>
        <w:t xml:space="preserve">, he does so </w:t>
      </w:r>
      <w:r w:rsidR="003B10F9">
        <w:rPr>
          <w:sz w:val="24"/>
          <w:lang w:val="en-US"/>
        </w:rPr>
        <w:t>in very general terms only</w:t>
      </w:r>
      <w:r w:rsidR="00167F11">
        <w:rPr>
          <w:sz w:val="24"/>
          <w:lang w:val="en-US"/>
        </w:rPr>
        <w:t xml:space="preserve">.  </w:t>
      </w:r>
      <w:r w:rsidR="00F4019C">
        <w:rPr>
          <w:sz w:val="24"/>
          <w:lang w:val="en-US"/>
        </w:rPr>
        <w:t xml:space="preserve">For example, Mr. Thies points to </w:t>
      </w:r>
      <w:r w:rsidR="00D52A0A">
        <w:rPr>
          <w:sz w:val="24"/>
          <w:lang w:val="en-US"/>
        </w:rPr>
        <w:t>fluctuations</w:t>
      </w:r>
      <w:r w:rsidR="009E0426">
        <w:rPr>
          <w:sz w:val="24"/>
          <w:lang w:val="en-US"/>
        </w:rPr>
        <w:t xml:space="preserve"> </w:t>
      </w:r>
      <w:r w:rsidR="00D52A0A">
        <w:rPr>
          <w:sz w:val="24"/>
          <w:lang w:val="en-US"/>
        </w:rPr>
        <w:t xml:space="preserve">in </w:t>
      </w:r>
      <w:r w:rsidR="009E0426">
        <w:rPr>
          <w:sz w:val="24"/>
          <w:lang w:val="en-US"/>
        </w:rPr>
        <w:t>costs, changing priorities, unplanned and unanticipated capital requirements</w:t>
      </w:r>
      <w:r w:rsidR="0059498E">
        <w:rPr>
          <w:sz w:val="24"/>
          <w:lang w:val="en-US"/>
        </w:rPr>
        <w:t>,</w:t>
      </w:r>
      <w:r w:rsidR="009E0426">
        <w:rPr>
          <w:sz w:val="24"/>
          <w:lang w:val="en-US"/>
        </w:rPr>
        <w:t xml:space="preserve"> such as outages</w:t>
      </w:r>
      <w:r w:rsidR="0059498E">
        <w:rPr>
          <w:sz w:val="24"/>
          <w:lang w:val="en-US"/>
        </w:rPr>
        <w:t>,</w:t>
      </w:r>
      <w:r w:rsidR="00D52A0A">
        <w:rPr>
          <w:sz w:val="24"/>
          <w:lang w:val="en-US"/>
        </w:rPr>
        <w:t xml:space="preserve"> </w:t>
      </w:r>
      <w:r w:rsidR="003B10F9">
        <w:rPr>
          <w:sz w:val="24"/>
          <w:lang w:val="en-US"/>
        </w:rPr>
        <w:t xml:space="preserve">which are </w:t>
      </w:r>
      <w:r w:rsidR="00D52A0A">
        <w:rPr>
          <w:sz w:val="24"/>
          <w:lang w:val="en-US"/>
        </w:rPr>
        <w:t xml:space="preserve">all acceptable explanations to account for </w:t>
      </w:r>
      <w:r w:rsidR="0059498E">
        <w:rPr>
          <w:sz w:val="24"/>
          <w:lang w:val="en-US"/>
        </w:rPr>
        <w:t xml:space="preserve">such </w:t>
      </w:r>
      <w:r w:rsidR="00D52A0A">
        <w:rPr>
          <w:sz w:val="24"/>
          <w:lang w:val="en-US"/>
        </w:rPr>
        <w:t>variability.  B</w:t>
      </w:r>
      <w:r w:rsidR="00A3533C">
        <w:rPr>
          <w:sz w:val="24"/>
          <w:lang w:val="en-US"/>
        </w:rPr>
        <w:t xml:space="preserve">ut </w:t>
      </w:r>
      <w:r w:rsidR="00C8798F">
        <w:rPr>
          <w:sz w:val="24"/>
          <w:lang w:val="en-US"/>
        </w:rPr>
        <w:t>Mr. Thies</w:t>
      </w:r>
      <w:r w:rsidR="00DC7167">
        <w:rPr>
          <w:sz w:val="24"/>
          <w:lang w:val="en-US"/>
        </w:rPr>
        <w:t xml:space="preserve">’ testimony fails to </w:t>
      </w:r>
      <w:r w:rsidR="00C8798F">
        <w:rPr>
          <w:sz w:val="24"/>
          <w:lang w:val="en-US"/>
        </w:rPr>
        <w:t xml:space="preserve">apply </w:t>
      </w:r>
      <w:r w:rsidR="00A3533C">
        <w:rPr>
          <w:sz w:val="24"/>
          <w:lang w:val="en-US"/>
        </w:rPr>
        <w:t xml:space="preserve">these explanations </w:t>
      </w:r>
      <w:r w:rsidR="00C8798F">
        <w:rPr>
          <w:sz w:val="24"/>
          <w:lang w:val="en-US"/>
        </w:rPr>
        <w:t xml:space="preserve">directly to </w:t>
      </w:r>
      <w:r w:rsidR="005D2812">
        <w:rPr>
          <w:sz w:val="24"/>
          <w:lang w:val="en-US"/>
        </w:rPr>
        <w:t xml:space="preserve">specific </w:t>
      </w:r>
      <w:r w:rsidR="00DC7167">
        <w:rPr>
          <w:sz w:val="24"/>
          <w:lang w:val="en-US"/>
        </w:rPr>
        <w:t xml:space="preserve">asset management </w:t>
      </w:r>
      <w:r w:rsidR="005D2812">
        <w:rPr>
          <w:sz w:val="24"/>
          <w:lang w:val="en-US"/>
        </w:rPr>
        <w:t xml:space="preserve">programs </w:t>
      </w:r>
      <w:r w:rsidR="00DC7167">
        <w:rPr>
          <w:sz w:val="24"/>
          <w:lang w:val="en-US"/>
        </w:rPr>
        <w:t>or t</w:t>
      </w:r>
      <w:r w:rsidR="00151B68">
        <w:rPr>
          <w:sz w:val="24"/>
          <w:lang w:val="en-US"/>
        </w:rPr>
        <w:t xml:space="preserve">o the </w:t>
      </w:r>
      <w:r w:rsidR="00205CA7">
        <w:rPr>
          <w:sz w:val="24"/>
          <w:lang w:val="en-US"/>
        </w:rPr>
        <w:t xml:space="preserve">amount and timing of </w:t>
      </w:r>
      <w:r w:rsidR="00C8798F">
        <w:rPr>
          <w:sz w:val="24"/>
          <w:lang w:val="en-US"/>
        </w:rPr>
        <w:t xml:space="preserve">program </w:t>
      </w:r>
      <w:r w:rsidR="00205CA7">
        <w:rPr>
          <w:sz w:val="24"/>
          <w:lang w:val="en-US"/>
        </w:rPr>
        <w:t xml:space="preserve">expenditures </w:t>
      </w:r>
      <w:r w:rsidR="00C8798F">
        <w:rPr>
          <w:sz w:val="24"/>
          <w:lang w:val="en-US"/>
        </w:rPr>
        <w:t xml:space="preserve">expected to go </w:t>
      </w:r>
      <w:r w:rsidR="00205CA7">
        <w:rPr>
          <w:sz w:val="24"/>
          <w:lang w:val="en-US"/>
        </w:rPr>
        <w:t xml:space="preserve">into </w:t>
      </w:r>
      <w:r w:rsidR="00205CA7">
        <w:rPr>
          <w:sz w:val="24"/>
          <w:lang w:val="en-US"/>
        </w:rPr>
        <w:lastRenderedPageBreak/>
        <w:t xml:space="preserve">service in </w:t>
      </w:r>
      <w:r w:rsidR="0059498E">
        <w:rPr>
          <w:sz w:val="24"/>
          <w:lang w:val="en-US"/>
        </w:rPr>
        <w:t>any given p</w:t>
      </w:r>
      <w:r w:rsidR="00205CA7">
        <w:rPr>
          <w:sz w:val="24"/>
          <w:lang w:val="en-US"/>
        </w:rPr>
        <w:t xml:space="preserve">ro forma period.  Nor </w:t>
      </w:r>
      <w:r w:rsidR="008017CD">
        <w:rPr>
          <w:sz w:val="24"/>
          <w:lang w:val="en-US"/>
        </w:rPr>
        <w:t xml:space="preserve">does </w:t>
      </w:r>
      <w:r w:rsidR="00E916F9">
        <w:rPr>
          <w:sz w:val="24"/>
          <w:lang w:val="en-US"/>
        </w:rPr>
        <w:t>Mr. Thies</w:t>
      </w:r>
      <w:r w:rsidR="00D61F01">
        <w:rPr>
          <w:sz w:val="24"/>
          <w:lang w:val="en-US"/>
        </w:rPr>
        <w:t>’</w:t>
      </w:r>
      <w:r w:rsidR="00E916F9">
        <w:rPr>
          <w:sz w:val="24"/>
          <w:lang w:val="en-US"/>
        </w:rPr>
        <w:t xml:space="preserve"> testimony </w:t>
      </w:r>
      <w:r w:rsidR="008017CD">
        <w:rPr>
          <w:sz w:val="24"/>
          <w:lang w:val="en-US"/>
        </w:rPr>
        <w:t xml:space="preserve">speak to the Company’s </w:t>
      </w:r>
      <w:r w:rsidR="00662EEC">
        <w:rPr>
          <w:sz w:val="24"/>
          <w:lang w:val="en-US"/>
        </w:rPr>
        <w:t xml:space="preserve">overall </w:t>
      </w:r>
      <w:r w:rsidR="008017CD">
        <w:rPr>
          <w:sz w:val="24"/>
          <w:lang w:val="en-US"/>
        </w:rPr>
        <w:t xml:space="preserve">efficiency in converting </w:t>
      </w:r>
      <w:r w:rsidR="008C5CD1">
        <w:rPr>
          <w:sz w:val="24"/>
          <w:lang w:val="en-US"/>
        </w:rPr>
        <w:t xml:space="preserve">asset management </w:t>
      </w:r>
      <w:r w:rsidR="00CB2C41">
        <w:rPr>
          <w:sz w:val="24"/>
          <w:lang w:val="en-US"/>
        </w:rPr>
        <w:t xml:space="preserve">program </w:t>
      </w:r>
      <w:r w:rsidR="00E916F9">
        <w:rPr>
          <w:sz w:val="24"/>
          <w:lang w:val="en-US"/>
        </w:rPr>
        <w:t xml:space="preserve">capital </w:t>
      </w:r>
      <w:r w:rsidR="008017CD">
        <w:rPr>
          <w:sz w:val="24"/>
          <w:lang w:val="en-US"/>
        </w:rPr>
        <w:t xml:space="preserve">expenditures into useful plant.  </w:t>
      </w:r>
      <w:r w:rsidR="00043304">
        <w:rPr>
          <w:sz w:val="24"/>
          <w:lang w:val="en-US"/>
        </w:rPr>
        <w:t>In my testimony in Avista’s last general rate case, in UE-140188, I addressed Staff’s continuing concern about the Company’s growing CWIP balances</w:t>
      </w:r>
      <w:r w:rsidR="001D2418">
        <w:rPr>
          <w:sz w:val="24"/>
          <w:lang w:val="en-US"/>
        </w:rPr>
        <w:t>.</w:t>
      </w:r>
      <w:r w:rsidR="001D2418">
        <w:rPr>
          <w:rStyle w:val="FootnoteReference"/>
          <w:sz w:val="24"/>
          <w:lang w:val="en-US"/>
        </w:rPr>
        <w:footnoteReference w:id="70"/>
      </w:r>
      <w:r w:rsidR="001D2418">
        <w:rPr>
          <w:sz w:val="24"/>
          <w:lang w:val="en-US"/>
        </w:rPr>
        <w:t xml:space="preserve">  Mr. Thies’ testimony does not resolve this issue.</w:t>
      </w:r>
    </w:p>
    <w:p w14:paraId="13F7B74F" w14:textId="77777777" w:rsidR="000439C6" w:rsidRDefault="000439C6" w:rsidP="00425F7D">
      <w:pPr>
        <w:pStyle w:val="BodyTextIndent"/>
        <w:ind w:firstLine="720"/>
        <w:rPr>
          <w:sz w:val="24"/>
          <w:lang w:val="en-US"/>
        </w:rPr>
      </w:pPr>
    </w:p>
    <w:p w14:paraId="3CF05CEB" w14:textId="01A5BD01" w:rsidR="006D0EBC" w:rsidRDefault="00393F96" w:rsidP="00425F7D">
      <w:pPr>
        <w:pStyle w:val="BodyTextIndent"/>
        <w:rPr>
          <w:b/>
          <w:sz w:val="24"/>
          <w:lang w:val="en-US"/>
        </w:rPr>
      </w:pPr>
      <w:r>
        <w:rPr>
          <w:b/>
          <w:sz w:val="24"/>
          <w:lang w:val="en-US"/>
        </w:rPr>
        <w:t xml:space="preserve">Q.  </w:t>
      </w:r>
      <w:r>
        <w:rPr>
          <w:b/>
          <w:sz w:val="24"/>
          <w:lang w:val="en-US"/>
        </w:rPr>
        <w:tab/>
        <w:t xml:space="preserve">What did </w:t>
      </w:r>
      <w:r w:rsidR="00D61F01">
        <w:rPr>
          <w:b/>
          <w:sz w:val="24"/>
          <w:lang w:val="en-US"/>
        </w:rPr>
        <w:t xml:space="preserve">you </w:t>
      </w:r>
      <w:r>
        <w:rPr>
          <w:b/>
          <w:sz w:val="24"/>
          <w:lang w:val="en-US"/>
        </w:rPr>
        <w:t xml:space="preserve">learn </w:t>
      </w:r>
      <w:r w:rsidR="00ED7935">
        <w:rPr>
          <w:b/>
          <w:sz w:val="24"/>
          <w:lang w:val="en-US"/>
        </w:rPr>
        <w:t xml:space="preserve">through the discovery process about </w:t>
      </w:r>
      <w:r>
        <w:rPr>
          <w:b/>
          <w:sz w:val="24"/>
          <w:lang w:val="en-US"/>
        </w:rPr>
        <w:t xml:space="preserve">Transmission and Distribution asset management </w:t>
      </w:r>
      <w:r w:rsidR="006D0EBC">
        <w:rPr>
          <w:b/>
          <w:sz w:val="24"/>
          <w:lang w:val="en-US"/>
        </w:rPr>
        <w:t>program</w:t>
      </w:r>
      <w:r w:rsidR="00ED7935">
        <w:rPr>
          <w:b/>
          <w:sz w:val="24"/>
          <w:lang w:val="en-US"/>
        </w:rPr>
        <w:t>s</w:t>
      </w:r>
      <w:r>
        <w:rPr>
          <w:b/>
          <w:sz w:val="24"/>
          <w:lang w:val="en-US"/>
        </w:rPr>
        <w:t xml:space="preserve"> </w:t>
      </w:r>
      <w:r w:rsidR="00257980">
        <w:rPr>
          <w:b/>
          <w:sz w:val="24"/>
          <w:lang w:val="en-US"/>
        </w:rPr>
        <w:t>similar to</w:t>
      </w:r>
      <w:r w:rsidR="00ED7935">
        <w:rPr>
          <w:b/>
          <w:sz w:val="24"/>
          <w:lang w:val="en-US"/>
        </w:rPr>
        <w:t xml:space="preserve"> Wood Pole Management</w:t>
      </w:r>
      <w:r w:rsidR="006D0EBC">
        <w:rPr>
          <w:b/>
          <w:sz w:val="24"/>
          <w:lang w:val="en-US"/>
        </w:rPr>
        <w:t>?</w:t>
      </w:r>
    </w:p>
    <w:p w14:paraId="55F608F4" w14:textId="3D64F52F" w:rsidR="005B6506" w:rsidRDefault="006D0EBC" w:rsidP="00425F7D">
      <w:pPr>
        <w:pStyle w:val="BodyTextIndent"/>
        <w:rPr>
          <w:sz w:val="24"/>
          <w:lang w:val="en-US"/>
        </w:rPr>
      </w:pPr>
      <w:r w:rsidRPr="00A25CED">
        <w:rPr>
          <w:sz w:val="24"/>
          <w:lang w:val="en-US"/>
        </w:rPr>
        <w:t>A.</w:t>
      </w:r>
      <w:r>
        <w:rPr>
          <w:b/>
          <w:sz w:val="24"/>
          <w:lang w:val="en-US"/>
        </w:rPr>
        <w:tab/>
      </w:r>
      <w:r w:rsidR="0035595A">
        <w:rPr>
          <w:sz w:val="24"/>
          <w:lang w:val="en-US"/>
        </w:rPr>
        <w:t>Mr. Thies’ testimony states that “decisions to delay funding certain projects are made only in cases where the Company believes the amount of risk associated with the delay is reasonable and prudent.”</w:t>
      </w:r>
      <w:r w:rsidR="0035595A">
        <w:rPr>
          <w:rStyle w:val="FootnoteReference"/>
          <w:sz w:val="24"/>
          <w:lang w:val="en-US"/>
        </w:rPr>
        <w:footnoteReference w:id="71"/>
      </w:r>
      <w:r w:rsidR="0035595A">
        <w:rPr>
          <w:sz w:val="24"/>
          <w:lang w:val="en-US"/>
        </w:rPr>
        <w:t xml:space="preserve">  To evaluate this statement, </w:t>
      </w:r>
      <w:r w:rsidR="0045174E">
        <w:rPr>
          <w:sz w:val="24"/>
          <w:lang w:val="en-US"/>
        </w:rPr>
        <w:t>Staff issued D</w:t>
      </w:r>
      <w:r w:rsidR="00DD5207">
        <w:rPr>
          <w:sz w:val="24"/>
          <w:lang w:val="en-US"/>
        </w:rPr>
        <w:t xml:space="preserve">ata </w:t>
      </w:r>
      <w:r w:rsidR="0045174E">
        <w:rPr>
          <w:sz w:val="24"/>
          <w:lang w:val="en-US"/>
        </w:rPr>
        <w:t>R</w:t>
      </w:r>
      <w:r w:rsidR="00DD5207">
        <w:rPr>
          <w:sz w:val="24"/>
          <w:lang w:val="en-US"/>
        </w:rPr>
        <w:t>equest</w:t>
      </w:r>
      <w:r w:rsidR="0045174E">
        <w:rPr>
          <w:sz w:val="24"/>
          <w:lang w:val="en-US"/>
        </w:rPr>
        <w:t xml:space="preserve"> No. 137</w:t>
      </w:r>
      <w:r w:rsidR="00A25CED">
        <w:rPr>
          <w:sz w:val="24"/>
          <w:lang w:val="en-US"/>
        </w:rPr>
        <w:t xml:space="preserve"> </w:t>
      </w:r>
      <w:r w:rsidR="003C1479">
        <w:rPr>
          <w:sz w:val="24"/>
          <w:lang w:val="en-US"/>
        </w:rPr>
        <w:t xml:space="preserve">regarding </w:t>
      </w:r>
      <w:r w:rsidR="006678C2">
        <w:rPr>
          <w:sz w:val="24"/>
          <w:lang w:val="en-US"/>
        </w:rPr>
        <w:t xml:space="preserve">another asset management </w:t>
      </w:r>
      <w:r w:rsidR="0045174E">
        <w:rPr>
          <w:sz w:val="24"/>
          <w:lang w:val="en-US"/>
        </w:rPr>
        <w:t xml:space="preserve">program </w:t>
      </w:r>
      <w:r w:rsidR="00FD70AF">
        <w:rPr>
          <w:sz w:val="24"/>
          <w:lang w:val="en-US"/>
        </w:rPr>
        <w:t>similar</w:t>
      </w:r>
      <w:r w:rsidR="00310217">
        <w:rPr>
          <w:sz w:val="24"/>
          <w:lang w:val="en-US"/>
        </w:rPr>
        <w:t>,</w:t>
      </w:r>
      <w:r w:rsidR="00FD70AF">
        <w:rPr>
          <w:sz w:val="24"/>
          <w:lang w:val="en-US"/>
        </w:rPr>
        <w:t xml:space="preserve"> in </w:t>
      </w:r>
      <w:r w:rsidR="00C45119">
        <w:rPr>
          <w:sz w:val="24"/>
          <w:lang w:val="en-US"/>
        </w:rPr>
        <w:t>m</w:t>
      </w:r>
      <w:r w:rsidR="00FD70AF">
        <w:rPr>
          <w:sz w:val="24"/>
          <w:lang w:val="en-US"/>
        </w:rPr>
        <w:t>any respects</w:t>
      </w:r>
      <w:r w:rsidR="00310217">
        <w:rPr>
          <w:sz w:val="24"/>
          <w:lang w:val="en-US"/>
        </w:rPr>
        <w:t>,</w:t>
      </w:r>
      <w:r w:rsidR="00FD70AF">
        <w:rPr>
          <w:sz w:val="24"/>
          <w:lang w:val="en-US"/>
        </w:rPr>
        <w:t xml:space="preserve"> </w:t>
      </w:r>
      <w:r w:rsidR="00310217">
        <w:rPr>
          <w:sz w:val="24"/>
          <w:lang w:val="en-US"/>
        </w:rPr>
        <w:t xml:space="preserve">to </w:t>
      </w:r>
      <w:r w:rsidR="00FD70AF">
        <w:rPr>
          <w:sz w:val="24"/>
          <w:lang w:val="en-US"/>
        </w:rPr>
        <w:t>the Wood Pole Management program</w:t>
      </w:r>
      <w:r w:rsidR="0045174E">
        <w:rPr>
          <w:sz w:val="24"/>
          <w:lang w:val="en-US"/>
        </w:rPr>
        <w:t xml:space="preserve">.  </w:t>
      </w:r>
    </w:p>
    <w:p w14:paraId="6F1F0B77" w14:textId="46275754" w:rsidR="00A85B8A" w:rsidRDefault="0045174E" w:rsidP="00425F7D">
      <w:pPr>
        <w:pStyle w:val="BodyTextIndent"/>
        <w:ind w:firstLine="720"/>
        <w:rPr>
          <w:sz w:val="24"/>
          <w:lang w:val="en-US"/>
        </w:rPr>
      </w:pPr>
      <w:r>
        <w:rPr>
          <w:sz w:val="24"/>
          <w:lang w:val="en-US"/>
        </w:rPr>
        <w:t xml:space="preserve">The </w:t>
      </w:r>
      <w:r w:rsidR="00682B94">
        <w:rPr>
          <w:sz w:val="24"/>
          <w:lang w:val="en-US"/>
        </w:rPr>
        <w:t xml:space="preserve">ER </w:t>
      </w:r>
      <w:r>
        <w:rPr>
          <w:sz w:val="24"/>
          <w:lang w:val="en-US"/>
        </w:rPr>
        <w:t>titled Transmission – Reconductors and Rebuilds</w:t>
      </w:r>
      <w:r w:rsidR="006678C2">
        <w:rPr>
          <w:sz w:val="24"/>
          <w:lang w:val="en-US"/>
        </w:rPr>
        <w:t xml:space="preserve"> (Reconductors and Rebuilds)</w:t>
      </w:r>
      <w:r>
        <w:rPr>
          <w:sz w:val="24"/>
          <w:lang w:val="en-US"/>
        </w:rPr>
        <w:t xml:space="preserve"> </w:t>
      </w:r>
      <w:r w:rsidR="003C1479">
        <w:rPr>
          <w:sz w:val="24"/>
          <w:lang w:val="en-US"/>
        </w:rPr>
        <w:t xml:space="preserve">refers to </w:t>
      </w:r>
      <w:r w:rsidR="006678C2">
        <w:rPr>
          <w:sz w:val="24"/>
          <w:lang w:val="en-US"/>
        </w:rPr>
        <w:t xml:space="preserve">the asset </w:t>
      </w:r>
      <w:r w:rsidR="003C1479">
        <w:rPr>
          <w:sz w:val="24"/>
          <w:lang w:val="en-US"/>
        </w:rPr>
        <w:t xml:space="preserve">management program where </w:t>
      </w:r>
      <w:r w:rsidR="001E0F21">
        <w:rPr>
          <w:sz w:val="24"/>
          <w:lang w:val="en-US"/>
        </w:rPr>
        <w:t xml:space="preserve">select </w:t>
      </w:r>
      <w:r w:rsidR="003C1479">
        <w:rPr>
          <w:sz w:val="24"/>
          <w:lang w:val="en-US"/>
        </w:rPr>
        <w:t>transmission segments are rebuilt or reinforced</w:t>
      </w:r>
      <w:r w:rsidR="001E0F21">
        <w:rPr>
          <w:sz w:val="24"/>
          <w:lang w:val="en-US"/>
        </w:rPr>
        <w:t xml:space="preserve"> to improve their performance and reliability</w:t>
      </w:r>
      <w:r w:rsidR="003C1479">
        <w:rPr>
          <w:sz w:val="24"/>
          <w:lang w:val="en-US"/>
        </w:rPr>
        <w:t xml:space="preserve">.  </w:t>
      </w:r>
      <w:r w:rsidR="00BB5E98">
        <w:rPr>
          <w:sz w:val="24"/>
          <w:lang w:val="en-US"/>
        </w:rPr>
        <w:t xml:space="preserve">Staff’s </w:t>
      </w:r>
      <w:r w:rsidR="00D61F01">
        <w:rPr>
          <w:sz w:val="24"/>
          <w:lang w:val="en-US"/>
        </w:rPr>
        <w:t>d</w:t>
      </w:r>
      <w:r w:rsidR="00DD5207">
        <w:rPr>
          <w:sz w:val="24"/>
          <w:lang w:val="en-US"/>
        </w:rPr>
        <w:t xml:space="preserve">ata </w:t>
      </w:r>
      <w:r w:rsidR="00D61F01">
        <w:rPr>
          <w:sz w:val="24"/>
          <w:lang w:val="en-US"/>
        </w:rPr>
        <w:t>r</w:t>
      </w:r>
      <w:r w:rsidR="00DD5207">
        <w:rPr>
          <w:sz w:val="24"/>
          <w:lang w:val="en-US"/>
        </w:rPr>
        <w:t>equest</w:t>
      </w:r>
      <w:r w:rsidR="00BB5E98">
        <w:rPr>
          <w:sz w:val="24"/>
          <w:lang w:val="en-US"/>
        </w:rPr>
        <w:t xml:space="preserve"> posed </w:t>
      </w:r>
      <w:r w:rsidR="00EC5AC3">
        <w:rPr>
          <w:sz w:val="24"/>
          <w:lang w:val="en-US"/>
        </w:rPr>
        <w:t>a number of questions which sought to reconcile testimony and exhibits from this case and previous cases</w:t>
      </w:r>
      <w:r w:rsidR="0003693A">
        <w:rPr>
          <w:sz w:val="24"/>
          <w:lang w:val="en-US"/>
        </w:rPr>
        <w:t xml:space="preserve"> </w:t>
      </w:r>
      <w:r w:rsidR="00D61F01">
        <w:rPr>
          <w:sz w:val="24"/>
          <w:lang w:val="en-US"/>
        </w:rPr>
        <w:t xml:space="preserve">with </w:t>
      </w:r>
      <w:r w:rsidR="00EC5AC3">
        <w:rPr>
          <w:sz w:val="24"/>
          <w:lang w:val="en-US"/>
        </w:rPr>
        <w:t xml:space="preserve">compliance reporting and </w:t>
      </w:r>
      <w:r w:rsidR="00E00676">
        <w:rPr>
          <w:sz w:val="24"/>
          <w:lang w:val="en-US"/>
        </w:rPr>
        <w:t>a</w:t>
      </w:r>
      <w:r w:rsidR="00EC5AC3">
        <w:rPr>
          <w:sz w:val="24"/>
          <w:lang w:val="en-US"/>
        </w:rPr>
        <w:t xml:space="preserve">sset management </w:t>
      </w:r>
      <w:r w:rsidR="0003693A">
        <w:rPr>
          <w:sz w:val="24"/>
          <w:lang w:val="en-US"/>
        </w:rPr>
        <w:t xml:space="preserve">plans for Avista’s transmission </w:t>
      </w:r>
      <w:r w:rsidR="006678C2">
        <w:rPr>
          <w:sz w:val="24"/>
          <w:lang w:val="en-US"/>
        </w:rPr>
        <w:t xml:space="preserve">and distribution </w:t>
      </w:r>
      <w:r w:rsidR="0003693A">
        <w:rPr>
          <w:sz w:val="24"/>
          <w:lang w:val="en-US"/>
        </w:rPr>
        <w:t>system</w:t>
      </w:r>
      <w:r w:rsidR="003D20E1">
        <w:rPr>
          <w:sz w:val="24"/>
          <w:lang w:val="en-US"/>
        </w:rPr>
        <w:t>.</w:t>
      </w:r>
      <w:r w:rsidR="00DE4169">
        <w:rPr>
          <w:rStyle w:val="FootnoteReference"/>
          <w:sz w:val="24"/>
          <w:lang w:val="en-US"/>
        </w:rPr>
        <w:footnoteReference w:id="72"/>
      </w:r>
      <w:r w:rsidR="003D20E1">
        <w:rPr>
          <w:sz w:val="24"/>
          <w:lang w:val="en-US"/>
        </w:rPr>
        <w:t xml:space="preserve">  </w:t>
      </w:r>
    </w:p>
    <w:p w14:paraId="53B0B9CF" w14:textId="68CC2184" w:rsidR="00F67C82" w:rsidRDefault="003D20E1" w:rsidP="00425F7D">
      <w:pPr>
        <w:pStyle w:val="BodyTextIndent"/>
        <w:ind w:firstLine="720"/>
        <w:rPr>
          <w:sz w:val="24"/>
          <w:lang w:val="en-US"/>
        </w:rPr>
      </w:pPr>
      <w:r>
        <w:rPr>
          <w:sz w:val="24"/>
          <w:lang w:val="en-US"/>
        </w:rPr>
        <w:lastRenderedPageBreak/>
        <w:t xml:space="preserve">In this </w:t>
      </w:r>
      <w:r w:rsidR="00F67C82">
        <w:rPr>
          <w:sz w:val="24"/>
          <w:lang w:val="en-US"/>
        </w:rPr>
        <w:t xml:space="preserve">rate </w:t>
      </w:r>
      <w:r>
        <w:rPr>
          <w:sz w:val="24"/>
          <w:lang w:val="en-US"/>
        </w:rPr>
        <w:t xml:space="preserve">case, </w:t>
      </w:r>
      <w:r w:rsidR="00B6014E">
        <w:rPr>
          <w:sz w:val="24"/>
          <w:lang w:val="en-US"/>
        </w:rPr>
        <w:t>Ms. Schuh’s</w:t>
      </w:r>
      <w:r>
        <w:rPr>
          <w:sz w:val="24"/>
          <w:lang w:val="en-US"/>
        </w:rPr>
        <w:t xml:space="preserve"> testimony shows </w:t>
      </w:r>
      <w:r w:rsidR="006678C2">
        <w:rPr>
          <w:sz w:val="24"/>
          <w:lang w:val="en-US"/>
        </w:rPr>
        <w:t>Reconductors and Rebuild</w:t>
      </w:r>
      <w:r>
        <w:rPr>
          <w:sz w:val="24"/>
          <w:lang w:val="en-US"/>
        </w:rPr>
        <w:t>s</w:t>
      </w:r>
      <w:r w:rsidR="006678C2">
        <w:rPr>
          <w:sz w:val="24"/>
          <w:lang w:val="en-US"/>
        </w:rPr>
        <w:t>’</w:t>
      </w:r>
      <w:r>
        <w:rPr>
          <w:sz w:val="24"/>
          <w:lang w:val="en-US"/>
        </w:rPr>
        <w:t xml:space="preserve"> 2014-2016 actual and forecasted transfers to plant to be $14.</w:t>
      </w:r>
      <w:r w:rsidR="00B6014E">
        <w:rPr>
          <w:sz w:val="24"/>
          <w:lang w:val="en-US"/>
        </w:rPr>
        <w:t>2</w:t>
      </w:r>
      <w:r>
        <w:rPr>
          <w:sz w:val="24"/>
          <w:lang w:val="en-US"/>
        </w:rPr>
        <w:t xml:space="preserve"> million lower than what </w:t>
      </w:r>
      <w:r w:rsidR="00822FC1">
        <w:rPr>
          <w:sz w:val="24"/>
          <w:lang w:val="en-US"/>
        </w:rPr>
        <w:t xml:space="preserve">Avista had </w:t>
      </w:r>
      <w:r>
        <w:rPr>
          <w:sz w:val="24"/>
          <w:lang w:val="en-US"/>
        </w:rPr>
        <w:t>pre</w:t>
      </w:r>
      <w:r w:rsidR="00586308">
        <w:rPr>
          <w:sz w:val="24"/>
          <w:lang w:val="en-US"/>
        </w:rPr>
        <w:t>dicted a year ago in UE-140188.</w:t>
      </w:r>
      <w:r w:rsidR="00586308">
        <w:rPr>
          <w:rStyle w:val="FootnoteReference"/>
          <w:sz w:val="24"/>
          <w:lang w:val="en-US"/>
        </w:rPr>
        <w:footnoteReference w:id="73"/>
      </w:r>
      <w:r w:rsidR="000269E8">
        <w:rPr>
          <w:sz w:val="24"/>
          <w:lang w:val="en-US"/>
        </w:rPr>
        <w:t xml:space="preserve">  </w:t>
      </w:r>
      <w:r w:rsidR="002833AC">
        <w:rPr>
          <w:sz w:val="24"/>
          <w:lang w:val="en-US"/>
        </w:rPr>
        <w:t xml:space="preserve">For 2014 alone, actual transfers to plant for this </w:t>
      </w:r>
      <w:r w:rsidR="00682B94">
        <w:rPr>
          <w:sz w:val="24"/>
          <w:lang w:val="en-US"/>
        </w:rPr>
        <w:t xml:space="preserve">ER </w:t>
      </w:r>
      <w:r w:rsidR="002833AC">
        <w:rPr>
          <w:sz w:val="24"/>
          <w:lang w:val="en-US"/>
        </w:rPr>
        <w:t xml:space="preserve">were $6.1 million lower than what Avista </w:t>
      </w:r>
      <w:r w:rsidR="00D1598D">
        <w:rPr>
          <w:sz w:val="24"/>
          <w:lang w:val="en-US"/>
        </w:rPr>
        <w:t xml:space="preserve">predicted </w:t>
      </w:r>
      <w:r w:rsidR="002833AC">
        <w:rPr>
          <w:sz w:val="24"/>
          <w:lang w:val="en-US"/>
        </w:rPr>
        <w:t xml:space="preserve">in its last case.  </w:t>
      </w:r>
      <w:r w:rsidR="000269E8">
        <w:rPr>
          <w:sz w:val="24"/>
          <w:lang w:val="en-US"/>
        </w:rPr>
        <w:t>Like Wood Pole Management, the Company’s testimony is silent as to th</w:t>
      </w:r>
      <w:r w:rsidR="00E10FF9">
        <w:rPr>
          <w:sz w:val="24"/>
          <w:lang w:val="en-US"/>
        </w:rPr>
        <w:t>e cause of this</w:t>
      </w:r>
      <w:r w:rsidR="000269E8">
        <w:rPr>
          <w:sz w:val="24"/>
          <w:lang w:val="en-US"/>
        </w:rPr>
        <w:t xml:space="preserve"> significant adjustment to the program.</w:t>
      </w:r>
      <w:r w:rsidR="00E00676">
        <w:rPr>
          <w:sz w:val="24"/>
          <w:lang w:val="en-US"/>
        </w:rPr>
        <w:t xml:space="preserve">  </w:t>
      </w:r>
      <w:r w:rsidR="00822FC1">
        <w:rPr>
          <w:sz w:val="24"/>
          <w:lang w:val="en-US"/>
        </w:rPr>
        <w:t xml:space="preserve"> </w:t>
      </w:r>
      <w:r>
        <w:rPr>
          <w:sz w:val="24"/>
          <w:lang w:val="en-US"/>
        </w:rPr>
        <w:t xml:space="preserve"> </w:t>
      </w:r>
    </w:p>
    <w:p w14:paraId="74553E0F" w14:textId="106788D6" w:rsidR="00C94923" w:rsidRDefault="00F67C82" w:rsidP="00425F7D">
      <w:pPr>
        <w:pStyle w:val="BodyTextIndent"/>
        <w:ind w:firstLine="720"/>
        <w:rPr>
          <w:sz w:val="24"/>
          <w:lang w:val="en-US"/>
        </w:rPr>
      </w:pPr>
      <w:r>
        <w:rPr>
          <w:sz w:val="24"/>
          <w:lang w:val="en-US"/>
        </w:rPr>
        <w:t>Avista’s response to Staff D</w:t>
      </w:r>
      <w:r w:rsidR="00DD5207">
        <w:rPr>
          <w:sz w:val="24"/>
          <w:lang w:val="en-US"/>
        </w:rPr>
        <w:t xml:space="preserve">ata </w:t>
      </w:r>
      <w:r>
        <w:rPr>
          <w:sz w:val="24"/>
          <w:lang w:val="en-US"/>
        </w:rPr>
        <w:t>R</w:t>
      </w:r>
      <w:r w:rsidR="00DD5207">
        <w:rPr>
          <w:sz w:val="24"/>
          <w:lang w:val="en-US"/>
        </w:rPr>
        <w:t>equest</w:t>
      </w:r>
      <w:r>
        <w:rPr>
          <w:sz w:val="24"/>
          <w:lang w:val="en-US"/>
        </w:rPr>
        <w:t xml:space="preserve"> No. 137</w:t>
      </w:r>
      <w:r w:rsidR="005D40B2">
        <w:rPr>
          <w:rStyle w:val="FootnoteReference"/>
          <w:sz w:val="24"/>
          <w:lang w:val="en-US"/>
        </w:rPr>
        <w:footnoteReference w:id="74"/>
      </w:r>
      <w:r>
        <w:rPr>
          <w:sz w:val="24"/>
          <w:lang w:val="en-US"/>
        </w:rPr>
        <w:t xml:space="preserve"> </w:t>
      </w:r>
      <w:r w:rsidR="001E0F21">
        <w:rPr>
          <w:sz w:val="24"/>
          <w:lang w:val="en-US"/>
        </w:rPr>
        <w:t xml:space="preserve">contains a number of inconsistencies which cause Staff </w:t>
      </w:r>
      <w:r w:rsidR="00C94923">
        <w:rPr>
          <w:sz w:val="24"/>
          <w:lang w:val="en-US"/>
        </w:rPr>
        <w:t xml:space="preserve">to question </w:t>
      </w:r>
      <w:r w:rsidR="003D71A2">
        <w:rPr>
          <w:sz w:val="24"/>
          <w:lang w:val="en-US"/>
        </w:rPr>
        <w:t xml:space="preserve">the Company’s </w:t>
      </w:r>
      <w:r w:rsidR="00921730">
        <w:rPr>
          <w:sz w:val="24"/>
          <w:lang w:val="en-US"/>
        </w:rPr>
        <w:t xml:space="preserve">overall </w:t>
      </w:r>
      <w:r w:rsidR="002D6C03">
        <w:rPr>
          <w:sz w:val="24"/>
          <w:lang w:val="en-US"/>
        </w:rPr>
        <w:t xml:space="preserve">narrative about </w:t>
      </w:r>
      <w:r w:rsidR="00A843D7">
        <w:rPr>
          <w:sz w:val="24"/>
          <w:lang w:val="en-US"/>
        </w:rPr>
        <w:t xml:space="preserve">its </w:t>
      </w:r>
      <w:r w:rsidR="005B6506">
        <w:rPr>
          <w:sz w:val="24"/>
          <w:lang w:val="en-US"/>
        </w:rPr>
        <w:t xml:space="preserve">reasoned approach toward capital planning and its claimed </w:t>
      </w:r>
      <w:r w:rsidR="002D6C03">
        <w:rPr>
          <w:sz w:val="24"/>
          <w:lang w:val="en-US"/>
        </w:rPr>
        <w:t xml:space="preserve">certainty in being able to </w:t>
      </w:r>
      <w:r w:rsidR="003D71A2">
        <w:rPr>
          <w:sz w:val="24"/>
          <w:lang w:val="en-US"/>
        </w:rPr>
        <w:t xml:space="preserve">predict year to year capital expenditures </w:t>
      </w:r>
      <w:r w:rsidR="00DE67BB">
        <w:rPr>
          <w:sz w:val="24"/>
          <w:lang w:val="en-US"/>
        </w:rPr>
        <w:t xml:space="preserve">and transfers </w:t>
      </w:r>
      <w:r w:rsidR="002C1AE2">
        <w:rPr>
          <w:sz w:val="24"/>
          <w:lang w:val="en-US"/>
        </w:rPr>
        <w:t xml:space="preserve">to plant </w:t>
      </w:r>
      <w:r w:rsidR="003D71A2">
        <w:rPr>
          <w:sz w:val="24"/>
          <w:lang w:val="en-US"/>
        </w:rPr>
        <w:t>for this</w:t>
      </w:r>
      <w:r w:rsidR="00932F25">
        <w:rPr>
          <w:sz w:val="24"/>
          <w:lang w:val="en-US"/>
        </w:rPr>
        <w:t xml:space="preserve"> and </w:t>
      </w:r>
      <w:r w:rsidR="002C1AE2">
        <w:rPr>
          <w:sz w:val="24"/>
          <w:lang w:val="en-US"/>
        </w:rPr>
        <w:t xml:space="preserve">Avista’s other asset management </w:t>
      </w:r>
      <w:r w:rsidR="003D71A2">
        <w:rPr>
          <w:sz w:val="24"/>
          <w:lang w:val="en-US"/>
        </w:rPr>
        <w:t>program</w:t>
      </w:r>
      <w:r w:rsidR="002C1AE2">
        <w:rPr>
          <w:sz w:val="24"/>
          <w:lang w:val="en-US"/>
        </w:rPr>
        <w:t>s</w:t>
      </w:r>
      <w:r w:rsidR="001E0F21">
        <w:rPr>
          <w:sz w:val="24"/>
          <w:lang w:val="en-US"/>
        </w:rPr>
        <w:t>.</w:t>
      </w:r>
      <w:r w:rsidR="00C94923">
        <w:rPr>
          <w:sz w:val="24"/>
          <w:lang w:val="en-US"/>
        </w:rPr>
        <w:t xml:space="preserve">  For example:</w:t>
      </w:r>
    </w:p>
    <w:p w14:paraId="635903A3" w14:textId="1979AA32" w:rsidR="002D6C03" w:rsidRPr="008354DD" w:rsidRDefault="00C94923" w:rsidP="00425F7D">
      <w:pPr>
        <w:pStyle w:val="BodyTextIndent"/>
        <w:numPr>
          <w:ilvl w:val="0"/>
          <w:numId w:val="25"/>
        </w:numPr>
        <w:ind w:left="1440"/>
        <w:rPr>
          <w:sz w:val="24"/>
          <w:lang w:val="en-US"/>
        </w:rPr>
      </w:pPr>
      <w:r w:rsidRPr="008354DD">
        <w:rPr>
          <w:sz w:val="24"/>
          <w:lang w:val="en-US"/>
        </w:rPr>
        <w:t xml:space="preserve">When asked </w:t>
      </w:r>
      <w:r w:rsidR="000E08CA" w:rsidRPr="008354DD">
        <w:rPr>
          <w:sz w:val="24"/>
          <w:lang w:val="en-US"/>
        </w:rPr>
        <w:t xml:space="preserve">in </w:t>
      </w:r>
      <w:r w:rsidR="00D61F01">
        <w:rPr>
          <w:sz w:val="24"/>
          <w:lang w:val="en-US"/>
        </w:rPr>
        <w:t xml:space="preserve">Staff </w:t>
      </w:r>
      <w:r w:rsidR="000E08CA" w:rsidRPr="008354DD">
        <w:rPr>
          <w:sz w:val="24"/>
          <w:lang w:val="en-US"/>
        </w:rPr>
        <w:t>D</w:t>
      </w:r>
      <w:r w:rsidR="00DD5207">
        <w:rPr>
          <w:sz w:val="24"/>
          <w:lang w:val="en-US"/>
        </w:rPr>
        <w:t xml:space="preserve">ata </w:t>
      </w:r>
      <w:r w:rsidR="000E08CA" w:rsidRPr="008354DD">
        <w:rPr>
          <w:sz w:val="24"/>
          <w:lang w:val="en-US"/>
        </w:rPr>
        <w:t>R</w:t>
      </w:r>
      <w:r w:rsidR="00DD5207">
        <w:rPr>
          <w:sz w:val="24"/>
          <w:lang w:val="en-US"/>
        </w:rPr>
        <w:t>equest</w:t>
      </w:r>
      <w:r w:rsidR="000E08CA" w:rsidRPr="008354DD">
        <w:rPr>
          <w:sz w:val="24"/>
          <w:lang w:val="en-US"/>
        </w:rPr>
        <w:t xml:space="preserve"> </w:t>
      </w:r>
      <w:r w:rsidR="008354DD">
        <w:rPr>
          <w:sz w:val="24"/>
          <w:lang w:val="en-US"/>
        </w:rPr>
        <w:t>No</w:t>
      </w:r>
      <w:r w:rsidR="00DD5207">
        <w:rPr>
          <w:sz w:val="24"/>
          <w:lang w:val="en-US"/>
        </w:rPr>
        <w:t>.</w:t>
      </w:r>
      <w:r w:rsidR="008354DD">
        <w:rPr>
          <w:sz w:val="24"/>
          <w:lang w:val="en-US"/>
        </w:rPr>
        <w:t xml:space="preserve"> 137 </w:t>
      </w:r>
      <w:r w:rsidRPr="008354DD">
        <w:rPr>
          <w:sz w:val="24"/>
          <w:lang w:val="en-US"/>
        </w:rPr>
        <w:t xml:space="preserve">to provide its </w:t>
      </w:r>
      <w:r w:rsidR="000E08CA" w:rsidRPr="008354DD">
        <w:rPr>
          <w:sz w:val="24"/>
          <w:lang w:val="en-US"/>
        </w:rPr>
        <w:t xml:space="preserve">2015 </w:t>
      </w:r>
      <w:r w:rsidRPr="008354DD">
        <w:rPr>
          <w:sz w:val="24"/>
          <w:lang w:val="en-US"/>
        </w:rPr>
        <w:t xml:space="preserve">Electric Transmission System </w:t>
      </w:r>
      <w:r w:rsidR="008F7EDD" w:rsidRPr="008354DD">
        <w:rPr>
          <w:sz w:val="24"/>
          <w:lang w:val="en-US"/>
        </w:rPr>
        <w:t>Annual Update</w:t>
      </w:r>
      <w:r w:rsidR="000E08CA" w:rsidRPr="008354DD">
        <w:rPr>
          <w:sz w:val="24"/>
          <w:lang w:val="en-US"/>
        </w:rPr>
        <w:t xml:space="preserve"> (Annual Update)</w:t>
      </w:r>
      <w:r w:rsidR="008F7EDD" w:rsidRPr="008354DD">
        <w:rPr>
          <w:sz w:val="24"/>
          <w:lang w:val="en-US"/>
        </w:rPr>
        <w:t>, the planning document</w:t>
      </w:r>
      <w:r w:rsidR="0012359E" w:rsidRPr="008354DD">
        <w:rPr>
          <w:sz w:val="24"/>
          <w:lang w:val="en-US"/>
        </w:rPr>
        <w:t xml:space="preserve"> for Avista’s </w:t>
      </w:r>
      <w:r w:rsidR="00D61F01">
        <w:rPr>
          <w:sz w:val="24"/>
          <w:lang w:val="en-US"/>
        </w:rPr>
        <w:t>t</w:t>
      </w:r>
      <w:r w:rsidR="0012359E" w:rsidRPr="008354DD">
        <w:rPr>
          <w:sz w:val="24"/>
          <w:lang w:val="en-US"/>
        </w:rPr>
        <w:t>ransmission portion of its asset management program, the Company responded that it was “under development” and not yet available.</w:t>
      </w:r>
      <w:r w:rsidR="000E08CA" w:rsidRPr="008354DD">
        <w:rPr>
          <w:sz w:val="24"/>
          <w:lang w:val="en-US"/>
        </w:rPr>
        <w:t xml:space="preserve">  The </w:t>
      </w:r>
      <w:r w:rsidR="00BE7956">
        <w:rPr>
          <w:sz w:val="24"/>
          <w:lang w:val="en-US"/>
        </w:rPr>
        <w:t xml:space="preserve">2015 </w:t>
      </w:r>
      <w:r w:rsidR="000E08CA" w:rsidRPr="008354DD">
        <w:rPr>
          <w:sz w:val="24"/>
          <w:lang w:val="en-US"/>
        </w:rPr>
        <w:t xml:space="preserve">Annual Update was provided to Staff </w:t>
      </w:r>
      <w:r w:rsidR="008C5FB4">
        <w:rPr>
          <w:sz w:val="24"/>
          <w:lang w:val="en-US"/>
        </w:rPr>
        <w:t xml:space="preserve">as an Attachment A to </w:t>
      </w:r>
      <w:r w:rsidR="000E08CA" w:rsidRPr="008354DD">
        <w:rPr>
          <w:sz w:val="24"/>
          <w:lang w:val="en-US"/>
        </w:rPr>
        <w:t xml:space="preserve">a supplemental response </w:t>
      </w:r>
      <w:r w:rsidR="00B962FA" w:rsidRPr="008354DD">
        <w:rPr>
          <w:sz w:val="24"/>
          <w:lang w:val="en-US"/>
        </w:rPr>
        <w:t>to D</w:t>
      </w:r>
      <w:r w:rsidR="00DD5207">
        <w:rPr>
          <w:sz w:val="24"/>
          <w:lang w:val="en-US"/>
        </w:rPr>
        <w:t xml:space="preserve">ata </w:t>
      </w:r>
      <w:r w:rsidR="00B962FA" w:rsidRPr="008354DD">
        <w:rPr>
          <w:sz w:val="24"/>
          <w:lang w:val="en-US"/>
        </w:rPr>
        <w:t>R</w:t>
      </w:r>
      <w:r w:rsidR="00DD5207">
        <w:rPr>
          <w:sz w:val="24"/>
          <w:lang w:val="en-US"/>
        </w:rPr>
        <w:t>equest</w:t>
      </w:r>
      <w:r w:rsidR="00B962FA" w:rsidRPr="008354DD">
        <w:rPr>
          <w:sz w:val="24"/>
          <w:lang w:val="en-US"/>
        </w:rPr>
        <w:t xml:space="preserve"> No. 137 </w:t>
      </w:r>
      <w:r w:rsidR="000E08CA" w:rsidRPr="008354DD">
        <w:rPr>
          <w:sz w:val="24"/>
          <w:lang w:val="en-US"/>
        </w:rPr>
        <w:t>on June 24, 2015</w:t>
      </w:r>
      <w:r w:rsidR="008C5FB4">
        <w:rPr>
          <w:sz w:val="24"/>
          <w:lang w:val="en-US"/>
        </w:rPr>
        <w:t>.  The</w:t>
      </w:r>
      <w:r w:rsidR="000E08CA" w:rsidRPr="008354DD">
        <w:rPr>
          <w:sz w:val="24"/>
          <w:lang w:val="en-US"/>
        </w:rPr>
        <w:t xml:space="preserve"> date on the report </w:t>
      </w:r>
      <w:r w:rsidR="008C5FB4">
        <w:rPr>
          <w:sz w:val="24"/>
          <w:lang w:val="en-US"/>
        </w:rPr>
        <w:t>was</w:t>
      </w:r>
      <w:r w:rsidR="000E08CA" w:rsidRPr="008354DD">
        <w:rPr>
          <w:sz w:val="24"/>
          <w:lang w:val="en-US"/>
        </w:rPr>
        <w:t xml:space="preserve"> May 15, 2015.</w:t>
      </w:r>
      <w:r w:rsidR="008354DD">
        <w:rPr>
          <w:sz w:val="24"/>
          <w:lang w:val="en-US"/>
        </w:rPr>
        <w:t xml:space="preserve">  </w:t>
      </w:r>
      <w:r w:rsidR="00551975" w:rsidRPr="008354DD">
        <w:rPr>
          <w:sz w:val="24"/>
          <w:lang w:val="en-US"/>
        </w:rPr>
        <w:t xml:space="preserve">In its last case, </w:t>
      </w:r>
      <w:r w:rsidR="00F148C5" w:rsidRPr="008354DD">
        <w:rPr>
          <w:sz w:val="24"/>
          <w:lang w:val="en-US"/>
        </w:rPr>
        <w:t>Avista</w:t>
      </w:r>
      <w:r w:rsidR="00551975" w:rsidRPr="008354DD">
        <w:rPr>
          <w:sz w:val="24"/>
          <w:lang w:val="en-US"/>
        </w:rPr>
        <w:t xml:space="preserve">’s </w:t>
      </w:r>
      <w:r w:rsidR="00F148C5" w:rsidRPr="008354DD">
        <w:rPr>
          <w:sz w:val="24"/>
          <w:lang w:val="en-US"/>
        </w:rPr>
        <w:t>response to Staff D</w:t>
      </w:r>
      <w:r w:rsidR="00DD5207">
        <w:rPr>
          <w:sz w:val="24"/>
          <w:lang w:val="en-US"/>
        </w:rPr>
        <w:t xml:space="preserve">ata </w:t>
      </w:r>
      <w:r w:rsidR="00F148C5" w:rsidRPr="008354DD">
        <w:rPr>
          <w:sz w:val="24"/>
          <w:lang w:val="en-US"/>
        </w:rPr>
        <w:t>R</w:t>
      </w:r>
      <w:r w:rsidR="00DD5207">
        <w:rPr>
          <w:sz w:val="24"/>
          <w:lang w:val="en-US"/>
        </w:rPr>
        <w:t>equest</w:t>
      </w:r>
      <w:r w:rsidR="00F148C5" w:rsidRPr="008354DD">
        <w:rPr>
          <w:sz w:val="24"/>
          <w:lang w:val="en-US"/>
        </w:rPr>
        <w:t xml:space="preserve"> No. 170 in UE-140188 </w:t>
      </w:r>
      <w:r w:rsidR="00551975" w:rsidRPr="008354DD">
        <w:rPr>
          <w:sz w:val="24"/>
          <w:lang w:val="en-US"/>
        </w:rPr>
        <w:t xml:space="preserve">stated that </w:t>
      </w:r>
      <w:r w:rsidR="00F148C5" w:rsidRPr="008354DD">
        <w:rPr>
          <w:sz w:val="24"/>
          <w:lang w:val="en-US"/>
        </w:rPr>
        <w:t>annual system reviews</w:t>
      </w:r>
      <w:r w:rsidR="00551975" w:rsidRPr="008354DD">
        <w:rPr>
          <w:sz w:val="24"/>
          <w:lang w:val="en-US"/>
        </w:rPr>
        <w:t xml:space="preserve">, like the </w:t>
      </w:r>
      <w:r w:rsidR="00E00676" w:rsidRPr="008354DD">
        <w:rPr>
          <w:sz w:val="24"/>
          <w:lang w:val="en-US"/>
        </w:rPr>
        <w:t xml:space="preserve">2015 </w:t>
      </w:r>
      <w:r w:rsidR="00551975" w:rsidRPr="008354DD">
        <w:rPr>
          <w:sz w:val="24"/>
          <w:lang w:val="en-US"/>
        </w:rPr>
        <w:t>Annual Update,</w:t>
      </w:r>
      <w:r w:rsidR="00F148C5" w:rsidRPr="008354DD">
        <w:rPr>
          <w:sz w:val="24"/>
          <w:lang w:val="en-US"/>
        </w:rPr>
        <w:t xml:space="preserve"> </w:t>
      </w:r>
      <w:r w:rsidR="00551975" w:rsidRPr="008354DD">
        <w:rPr>
          <w:sz w:val="24"/>
          <w:lang w:val="en-US"/>
        </w:rPr>
        <w:t xml:space="preserve">are used by the Company </w:t>
      </w:r>
      <w:r w:rsidR="00F148C5" w:rsidRPr="008354DD">
        <w:rPr>
          <w:sz w:val="24"/>
          <w:lang w:val="en-US"/>
        </w:rPr>
        <w:t xml:space="preserve">to determine </w:t>
      </w:r>
      <w:r w:rsidR="00F148C5" w:rsidRPr="008354DD">
        <w:rPr>
          <w:sz w:val="24"/>
          <w:lang w:val="en-US"/>
        </w:rPr>
        <w:lastRenderedPageBreak/>
        <w:t xml:space="preserve">the risk level and dollar amount to be included in the </w:t>
      </w:r>
      <w:r w:rsidR="002710E4">
        <w:rPr>
          <w:sz w:val="24"/>
          <w:lang w:val="en-US"/>
        </w:rPr>
        <w:t>ERs</w:t>
      </w:r>
      <w:r w:rsidR="00F148C5" w:rsidRPr="008354DD">
        <w:rPr>
          <w:sz w:val="24"/>
          <w:lang w:val="en-US"/>
        </w:rPr>
        <w:t xml:space="preserve"> relating to asset management</w:t>
      </w:r>
      <w:r w:rsidR="008354DD">
        <w:rPr>
          <w:sz w:val="24"/>
          <w:lang w:val="en-US"/>
        </w:rPr>
        <w:t xml:space="preserve">.  It is not clear from the Company’s </w:t>
      </w:r>
      <w:r w:rsidR="00080ADF">
        <w:rPr>
          <w:sz w:val="24"/>
          <w:lang w:val="en-US"/>
        </w:rPr>
        <w:t>direct t</w:t>
      </w:r>
      <w:r w:rsidR="008354DD">
        <w:rPr>
          <w:sz w:val="24"/>
          <w:lang w:val="en-US"/>
        </w:rPr>
        <w:t xml:space="preserve">estimony and responses to Staff’s discovery requests </w:t>
      </w:r>
      <w:r w:rsidR="00BE7956">
        <w:rPr>
          <w:sz w:val="24"/>
          <w:lang w:val="en-US"/>
        </w:rPr>
        <w:t xml:space="preserve">how </w:t>
      </w:r>
      <w:r w:rsidR="008A6DED">
        <w:rPr>
          <w:sz w:val="24"/>
          <w:lang w:val="en-US"/>
        </w:rPr>
        <w:t xml:space="preserve">the Company actually employs these </w:t>
      </w:r>
      <w:r w:rsidR="00BE7956">
        <w:rPr>
          <w:sz w:val="24"/>
          <w:lang w:val="en-US"/>
        </w:rPr>
        <w:t xml:space="preserve">annual </w:t>
      </w:r>
      <w:r w:rsidR="008A6DED">
        <w:rPr>
          <w:sz w:val="24"/>
          <w:lang w:val="en-US"/>
        </w:rPr>
        <w:t xml:space="preserve">system reviews or </w:t>
      </w:r>
      <w:r w:rsidR="00BE7956">
        <w:rPr>
          <w:sz w:val="24"/>
          <w:lang w:val="en-US"/>
        </w:rPr>
        <w:t xml:space="preserve">whether it </w:t>
      </w:r>
      <w:r w:rsidR="008A6DED">
        <w:rPr>
          <w:sz w:val="24"/>
          <w:lang w:val="en-US"/>
        </w:rPr>
        <w:t xml:space="preserve">uses </w:t>
      </w:r>
      <w:r w:rsidR="00A52BF6">
        <w:rPr>
          <w:sz w:val="24"/>
          <w:lang w:val="en-US"/>
        </w:rPr>
        <w:t xml:space="preserve">some other </w:t>
      </w:r>
      <w:r w:rsidR="008A6DED">
        <w:rPr>
          <w:sz w:val="24"/>
          <w:lang w:val="en-US"/>
        </w:rPr>
        <w:t xml:space="preserve">ad hoc process </w:t>
      </w:r>
      <w:r w:rsidR="00491C55">
        <w:rPr>
          <w:sz w:val="24"/>
          <w:lang w:val="en-US"/>
        </w:rPr>
        <w:t xml:space="preserve">in making </w:t>
      </w:r>
      <w:r w:rsidR="008A6DED">
        <w:rPr>
          <w:sz w:val="24"/>
          <w:lang w:val="en-US"/>
        </w:rPr>
        <w:t xml:space="preserve">its </w:t>
      </w:r>
      <w:r w:rsidR="00491C55">
        <w:rPr>
          <w:sz w:val="24"/>
          <w:lang w:val="en-US"/>
        </w:rPr>
        <w:t>decisions to delay specific projects</w:t>
      </w:r>
      <w:r w:rsidR="00D1598D">
        <w:rPr>
          <w:sz w:val="24"/>
          <w:lang w:val="en-US"/>
        </w:rPr>
        <w:t>.</w:t>
      </w:r>
      <w:r w:rsidR="008A6DED">
        <w:rPr>
          <w:sz w:val="24"/>
          <w:lang w:val="en-US"/>
        </w:rPr>
        <w:t xml:space="preserve">  </w:t>
      </w:r>
      <w:r w:rsidR="00D1598D">
        <w:rPr>
          <w:sz w:val="24"/>
          <w:lang w:val="en-US"/>
        </w:rPr>
        <w:t xml:space="preserve">  </w:t>
      </w:r>
      <w:r w:rsidR="00491C55">
        <w:rPr>
          <w:sz w:val="24"/>
          <w:lang w:val="en-US"/>
        </w:rPr>
        <w:t xml:space="preserve"> </w:t>
      </w:r>
      <w:r w:rsidR="00F148C5" w:rsidRPr="008354DD">
        <w:rPr>
          <w:sz w:val="24"/>
          <w:lang w:val="en-US"/>
        </w:rPr>
        <w:t xml:space="preserve"> </w:t>
      </w:r>
    </w:p>
    <w:p w14:paraId="27C920BA" w14:textId="43938660" w:rsidR="0080050A" w:rsidRDefault="00C02307" w:rsidP="00425F7D">
      <w:pPr>
        <w:pStyle w:val="BodyTextIndent"/>
        <w:numPr>
          <w:ilvl w:val="0"/>
          <w:numId w:val="25"/>
        </w:numPr>
        <w:ind w:left="1440"/>
        <w:rPr>
          <w:sz w:val="24"/>
          <w:lang w:val="en-US"/>
        </w:rPr>
      </w:pPr>
      <w:r>
        <w:rPr>
          <w:sz w:val="24"/>
          <w:lang w:val="en-US"/>
        </w:rPr>
        <w:t xml:space="preserve">Table 19 in the </w:t>
      </w:r>
      <w:r w:rsidR="00080ADF">
        <w:rPr>
          <w:sz w:val="24"/>
          <w:lang w:val="en-US"/>
        </w:rPr>
        <w:t xml:space="preserve">2015 </w:t>
      </w:r>
      <w:r>
        <w:rPr>
          <w:sz w:val="24"/>
          <w:lang w:val="en-US"/>
        </w:rPr>
        <w:t>Annual Update</w:t>
      </w:r>
      <w:r>
        <w:rPr>
          <w:rStyle w:val="FootnoteReference"/>
          <w:sz w:val="24"/>
          <w:lang w:val="en-US"/>
        </w:rPr>
        <w:footnoteReference w:id="75"/>
      </w:r>
      <w:r>
        <w:rPr>
          <w:sz w:val="24"/>
          <w:lang w:val="en-US"/>
        </w:rPr>
        <w:t xml:space="preserve"> shows the most significant major rebuild and reconductor projects currently planned f</w:t>
      </w:r>
      <w:r w:rsidR="00080ADF">
        <w:rPr>
          <w:sz w:val="24"/>
          <w:lang w:val="en-US"/>
        </w:rPr>
        <w:t>or</w:t>
      </w:r>
      <w:r>
        <w:rPr>
          <w:sz w:val="24"/>
          <w:lang w:val="en-US"/>
        </w:rPr>
        <w:t xml:space="preserve"> 2015-2017 </w:t>
      </w:r>
      <w:r w:rsidR="00080ADF">
        <w:rPr>
          <w:sz w:val="24"/>
          <w:lang w:val="en-US"/>
        </w:rPr>
        <w:t xml:space="preserve">along with </w:t>
      </w:r>
      <w:r>
        <w:rPr>
          <w:sz w:val="24"/>
          <w:lang w:val="en-US"/>
        </w:rPr>
        <w:t xml:space="preserve">their budgeted costs.  </w:t>
      </w:r>
      <w:r w:rsidR="004B2F14">
        <w:rPr>
          <w:sz w:val="24"/>
          <w:lang w:val="en-US"/>
        </w:rPr>
        <w:t xml:space="preserve">The </w:t>
      </w:r>
      <w:r w:rsidR="00080ADF">
        <w:rPr>
          <w:sz w:val="24"/>
          <w:lang w:val="en-US"/>
        </w:rPr>
        <w:t xml:space="preserve">2015 </w:t>
      </w:r>
      <w:r w:rsidR="004B2F14">
        <w:rPr>
          <w:sz w:val="24"/>
          <w:lang w:val="en-US"/>
        </w:rPr>
        <w:t xml:space="preserve">Annual Update characterizes these budgeted costs as “rough estimates” subject to change.  </w:t>
      </w:r>
      <w:r w:rsidR="00C4229E">
        <w:rPr>
          <w:sz w:val="24"/>
          <w:lang w:val="en-US"/>
        </w:rPr>
        <w:t>Yet, t</w:t>
      </w:r>
      <w:r w:rsidR="004B2F14">
        <w:rPr>
          <w:sz w:val="24"/>
          <w:lang w:val="en-US"/>
        </w:rPr>
        <w:t>h</w:t>
      </w:r>
      <w:r w:rsidR="00D04970">
        <w:rPr>
          <w:sz w:val="24"/>
          <w:lang w:val="en-US"/>
        </w:rPr>
        <w:t>ree</w:t>
      </w:r>
      <w:r w:rsidR="004B2F14">
        <w:rPr>
          <w:sz w:val="24"/>
          <w:lang w:val="en-US"/>
        </w:rPr>
        <w:t xml:space="preserve"> </w:t>
      </w:r>
      <w:r w:rsidR="00D04970">
        <w:rPr>
          <w:sz w:val="24"/>
          <w:lang w:val="en-US"/>
        </w:rPr>
        <w:t xml:space="preserve">of these major rebuilds’ budgeted costs are </w:t>
      </w:r>
      <w:r w:rsidR="004B2F14">
        <w:rPr>
          <w:sz w:val="24"/>
          <w:lang w:val="en-US"/>
        </w:rPr>
        <w:t xml:space="preserve">included </w:t>
      </w:r>
      <w:r w:rsidR="00B962FA">
        <w:rPr>
          <w:sz w:val="24"/>
          <w:lang w:val="en-US"/>
        </w:rPr>
        <w:t xml:space="preserve">in the </w:t>
      </w:r>
      <w:r w:rsidR="00FC22A2">
        <w:rPr>
          <w:sz w:val="24"/>
          <w:lang w:val="en-US"/>
        </w:rPr>
        <w:t>system-level</w:t>
      </w:r>
      <w:r w:rsidR="00B962FA">
        <w:rPr>
          <w:sz w:val="24"/>
          <w:lang w:val="en-US"/>
        </w:rPr>
        <w:t xml:space="preserve"> </w:t>
      </w:r>
      <w:r w:rsidR="004B2F14">
        <w:rPr>
          <w:sz w:val="24"/>
          <w:lang w:val="en-US"/>
        </w:rPr>
        <w:t xml:space="preserve">transfer to plant </w:t>
      </w:r>
      <w:r w:rsidR="00D57BF0">
        <w:rPr>
          <w:sz w:val="24"/>
          <w:lang w:val="en-US"/>
        </w:rPr>
        <w:t xml:space="preserve">amounts </w:t>
      </w:r>
      <w:r w:rsidR="004B2F14">
        <w:rPr>
          <w:sz w:val="24"/>
          <w:lang w:val="en-US"/>
        </w:rPr>
        <w:t xml:space="preserve">for the </w:t>
      </w:r>
      <w:r w:rsidR="00B962FA">
        <w:rPr>
          <w:sz w:val="24"/>
          <w:lang w:val="en-US"/>
        </w:rPr>
        <w:t xml:space="preserve">2015 </w:t>
      </w:r>
      <w:r w:rsidR="004B2F14">
        <w:rPr>
          <w:sz w:val="24"/>
          <w:lang w:val="en-US"/>
        </w:rPr>
        <w:t xml:space="preserve">pro forma period </w:t>
      </w:r>
      <w:r>
        <w:rPr>
          <w:sz w:val="24"/>
          <w:lang w:val="en-US"/>
        </w:rPr>
        <w:t xml:space="preserve">in </w:t>
      </w:r>
      <w:r w:rsidR="004B2F14">
        <w:rPr>
          <w:sz w:val="24"/>
          <w:lang w:val="en-US"/>
        </w:rPr>
        <w:t xml:space="preserve">Ms. </w:t>
      </w:r>
      <w:r>
        <w:rPr>
          <w:sz w:val="24"/>
          <w:lang w:val="en-US"/>
        </w:rPr>
        <w:t>S</w:t>
      </w:r>
      <w:r w:rsidR="00A25CED">
        <w:rPr>
          <w:sz w:val="24"/>
          <w:lang w:val="en-US"/>
        </w:rPr>
        <w:t xml:space="preserve">mith’s </w:t>
      </w:r>
      <w:r w:rsidR="00E41279">
        <w:rPr>
          <w:sz w:val="24"/>
          <w:lang w:val="en-US"/>
        </w:rPr>
        <w:t>work papers</w:t>
      </w:r>
      <w:r w:rsidR="006B2408">
        <w:rPr>
          <w:sz w:val="24"/>
          <w:lang w:val="en-US"/>
        </w:rPr>
        <w:t xml:space="preserve">; </w:t>
      </w:r>
      <w:r w:rsidR="00E41279">
        <w:rPr>
          <w:sz w:val="24"/>
          <w:lang w:val="en-US"/>
        </w:rPr>
        <w:t>work papers</w:t>
      </w:r>
      <w:r w:rsidR="00A25CED">
        <w:rPr>
          <w:sz w:val="24"/>
          <w:lang w:val="en-US"/>
        </w:rPr>
        <w:t xml:space="preserve"> which </w:t>
      </w:r>
      <w:r w:rsidR="006E7C81">
        <w:rPr>
          <w:sz w:val="24"/>
          <w:lang w:val="en-US"/>
        </w:rPr>
        <w:t xml:space="preserve">were used to arrive at </w:t>
      </w:r>
      <w:r w:rsidR="00A25CED">
        <w:rPr>
          <w:sz w:val="24"/>
          <w:lang w:val="en-US"/>
        </w:rPr>
        <w:t>Avista’s proposed rate base adjustments for the purposes of setting rates in this case</w:t>
      </w:r>
      <w:r w:rsidR="004B2F14">
        <w:rPr>
          <w:sz w:val="24"/>
          <w:lang w:val="en-US"/>
        </w:rPr>
        <w:t>.</w:t>
      </w:r>
      <w:r w:rsidR="00B962FA">
        <w:rPr>
          <w:rStyle w:val="FootnoteReference"/>
          <w:sz w:val="24"/>
          <w:lang w:val="en-US"/>
        </w:rPr>
        <w:footnoteReference w:id="76"/>
      </w:r>
    </w:p>
    <w:p w14:paraId="3BFF789C" w14:textId="61914307" w:rsidR="0012359E" w:rsidRPr="0012359E" w:rsidRDefault="0080050A" w:rsidP="00425F7D">
      <w:pPr>
        <w:pStyle w:val="BodyTextIndent"/>
        <w:numPr>
          <w:ilvl w:val="0"/>
          <w:numId w:val="25"/>
        </w:numPr>
        <w:ind w:left="1440"/>
        <w:rPr>
          <w:sz w:val="24"/>
          <w:lang w:val="en-US"/>
        </w:rPr>
      </w:pPr>
      <w:r>
        <w:rPr>
          <w:sz w:val="24"/>
          <w:lang w:val="en-US"/>
        </w:rPr>
        <w:t xml:space="preserve">Avista’s response to Item B </w:t>
      </w:r>
      <w:r w:rsidR="00701DBD">
        <w:rPr>
          <w:sz w:val="24"/>
          <w:lang w:val="en-US"/>
        </w:rPr>
        <w:t xml:space="preserve">in </w:t>
      </w:r>
      <w:r>
        <w:rPr>
          <w:sz w:val="24"/>
          <w:lang w:val="en-US"/>
        </w:rPr>
        <w:t>Staff D</w:t>
      </w:r>
      <w:r w:rsidR="00DD5207">
        <w:rPr>
          <w:sz w:val="24"/>
          <w:lang w:val="en-US"/>
        </w:rPr>
        <w:t xml:space="preserve">ata </w:t>
      </w:r>
      <w:r>
        <w:rPr>
          <w:sz w:val="24"/>
          <w:lang w:val="en-US"/>
        </w:rPr>
        <w:t>R</w:t>
      </w:r>
      <w:r w:rsidR="00DD5207">
        <w:rPr>
          <w:sz w:val="24"/>
          <w:lang w:val="en-US"/>
        </w:rPr>
        <w:t>equest</w:t>
      </w:r>
      <w:r>
        <w:rPr>
          <w:sz w:val="24"/>
          <w:lang w:val="en-US"/>
        </w:rPr>
        <w:t xml:space="preserve"> No. 137 provides </w:t>
      </w:r>
      <w:r w:rsidR="000F0FE1">
        <w:rPr>
          <w:sz w:val="24"/>
          <w:lang w:val="en-US"/>
        </w:rPr>
        <w:t xml:space="preserve">the Company’s </w:t>
      </w:r>
      <w:r>
        <w:rPr>
          <w:sz w:val="24"/>
          <w:lang w:val="en-US"/>
        </w:rPr>
        <w:t xml:space="preserve">explanation for the </w:t>
      </w:r>
      <w:r w:rsidR="00E2050F">
        <w:rPr>
          <w:sz w:val="24"/>
          <w:lang w:val="en-US"/>
        </w:rPr>
        <w:t xml:space="preserve">$14.2 million difference </w:t>
      </w:r>
      <w:r w:rsidR="00FA3F67">
        <w:rPr>
          <w:sz w:val="24"/>
          <w:lang w:val="en-US"/>
        </w:rPr>
        <w:t xml:space="preserve">in </w:t>
      </w:r>
      <w:r w:rsidR="00FC22A2">
        <w:rPr>
          <w:sz w:val="24"/>
          <w:lang w:val="en-US"/>
        </w:rPr>
        <w:t>system-level</w:t>
      </w:r>
      <w:r w:rsidR="00E2050F">
        <w:rPr>
          <w:sz w:val="24"/>
          <w:lang w:val="en-US"/>
        </w:rPr>
        <w:t xml:space="preserve"> </w:t>
      </w:r>
      <w:r w:rsidR="00701DBD">
        <w:rPr>
          <w:sz w:val="24"/>
          <w:lang w:val="en-US"/>
        </w:rPr>
        <w:t xml:space="preserve">actual </w:t>
      </w:r>
      <w:r w:rsidR="00FA3F67">
        <w:rPr>
          <w:sz w:val="24"/>
          <w:lang w:val="en-US"/>
        </w:rPr>
        <w:t>transfer</w:t>
      </w:r>
      <w:r w:rsidR="00701DBD">
        <w:rPr>
          <w:sz w:val="24"/>
          <w:lang w:val="en-US"/>
        </w:rPr>
        <w:t>s</w:t>
      </w:r>
      <w:r w:rsidR="00FA3F67">
        <w:rPr>
          <w:sz w:val="24"/>
          <w:lang w:val="en-US"/>
        </w:rPr>
        <w:t xml:space="preserve"> to plant </w:t>
      </w:r>
      <w:r w:rsidR="00701DBD">
        <w:rPr>
          <w:sz w:val="24"/>
          <w:lang w:val="en-US"/>
        </w:rPr>
        <w:t xml:space="preserve">from those it </w:t>
      </w:r>
      <w:r w:rsidR="00C4229E">
        <w:rPr>
          <w:sz w:val="24"/>
          <w:lang w:val="en-US"/>
        </w:rPr>
        <w:t xml:space="preserve">predicted in </w:t>
      </w:r>
      <w:r w:rsidR="00E123BD">
        <w:rPr>
          <w:sz w:val="24"/>
          <w:lang w:val="en-US"/>
        </w:rPr>
        <w:t xml:space="preserve">the </w:t>
      </w:r>
      <w:r w:rsidR="00C4229E">
        <w:rPr>
          <w:sz w:val="24"/>
          <w:lang w:val="en-US"/>
        </w:rPr>
        <w:t xml:space="preserve">last </w:t>
      </w:r>
      <w:r w:rsidR="00701DBD">
        <w:rPr>
          <w:sz w:val="24"/>
          <w:lang w:val="en-US"/>
        </w:rPr>
        <w:t xml:space="preserve">rate </w:t>
      </w:r>
      <w:r w:rsidR="00C4229E">
        <w:rPr>
          <w:sz w:val="24"/>
          <w:lang w:val="en-US"/>
        </w:rPr>
        <w:t>case</w:t>
      </w:r>
      <w:r w:rsidR="00701DBD">
        <w:rPr>
          <w:sz w:val="24"/>
          <w:lang w:val="en-US"/>
        </w:rPr>
        <w:t>.  In its response, Avista confuses it</w:t>
      </w:r>
      <w:r w:rsidR="00D61F01">
        <w:rPr>
          <w:sz w:val="24"/>
          <w:lang w:val="en-US"/>
        </w:rPr>
        <w:t>s</w:t>
      </w:r>
      <w:r w:rsidR="00701DBD">
        <w:rPr>
          <w:sz w:val="24"/>
          <w:lang w:val="en-US"/>
        </w:rPr>
        <w:t xml:space="preserve"> use of terminology referring to differences in expenditures when Staff’s reference in its interrogative was to transfers to plant.  </w:t>
      </w:r>
      <w:r w:rsidR="00E123BD">
        <w:rPr>
          <w:sz w:val="24"/>
          <w:lang w:val="en-US"/>
        </w:rPr>
        <w:t xml:space="preserve">Nevertheless, Avista’s response confirms Staff’s conclusion that its </w:t>
      </w:r>
      <w:r w:rsidR="00E123BD">
        <w:rPr>
          <w:sz w:val="24"/>
          <w:lang w:val="en-US"/>
        </w:rPr>
        <w:lastRenderedPageBreak/>
        <w:t>transfer to plant amounts are estimates</w:t>
      </w:r>
      <w:r w:rsidR="00571BE2">
        <w:rPr>
          <w:sz w:val="24"/>
          <w:lang w:val="en-US"/>
        </w:rPr>
        <w:t xml:space="preserve"> which can and do fluctuate considerably </w:t>
      </w:r>
      <w:r w:rsidR="009C09BF">
        <w:rPr>
          <w:sz w:val="24"/>
          <w:lang w:val="en-US"/>
        </w:rPr>
        <w:t xml:space="preserve">and largely </w:t>
      </w:r>
      <w:r w:rsidR="00864615">
        <w:rPr>
          <w:sz w:val="24"/>
          <w:lang w:val="en-US"/>
        </w:rPr>
        <w:t xml:space="preserve">at the discretion of the Company </w:t>
      </w:r>
      <w:r w:rsidR="00571BE2">
        <w:rPr>
          <w:sz w:val="24"/>
          <w:lang w:val="en-US"/>
        </w:rPr>
        <w:t>and are therefore</w:t>
      </w:r>
      <w:r w:rsidR="00E123BD">
        <w:rPr>
          <w:sz w:val="24"/>
          <w:lang w:val="en-US"/>
        </w:rPr>
        <w:t xml:space="preserve"> unsuitable for the purposes of setting</w:t>
      </w:r>
      <w:r w:rsidR="00864615">
        <w:rPr>
          <w:sz w:val="24"/>
          <w:lang w:val="en-US"/>
        </w:rPr>
        <w:t xml:space="preserve"> rates</w:t>
      </w:r>
      <w:r w:rsidR="00E123BD">
        <w:rPr>
          <w:sz w:val="24"/>
          <w:lang w:val="en-US"/>
        </w:rPr>
        <w:t xml:space="preserve">.  </w:t>
      </w:r>
    </w:p>
    <w:p w14:paraId="7D476FB1" w14:textId="77777777" w:rsidR="00143EA8" w:rsidRDefault="00143EA8" w:rsidP="00425F7D">
      <w:pPr>
        <w:pStyle w:val="BodyTextIndent"/>
        <w:ind w:firstLine="720"/>
        <w:rPr>
          <w:sz w:val="24"/>
          <w:lang w:val="en-US"/>
        </w:rPr>
      </w:pPr>
    </w:p>
    <w:p w14:paraId="1E2D29D0" w14:textId="5464DC3B" w:rsidR="004114F1" w:rsidRDefault="004114F1" w:rsidP="00425F7D">
      <w:pPr>
        <w:pStyle w:val="BodyTextIndent"/>
        <w:rPr>
          <w:b/>
          <w:sz w:val="24"/>
          <w:lang w:val="en-US"/>
        </w:rPr>
      </w:pPr>
      <w:r>
        <w:rPr>
          <w:b/>
          <w:sz w:val="24"/>
          <w:lang w:val="en-US"/>
        </w:rPr>
        <w:t>Q.</w:t>
      </w:r>
      <w:r>
        <w:rPr>
          <w:b/>
          <w:sz w:val="24"/>
          <w:lang w:val="en-US"/>
        </w:rPr>
        <w:tab/>
        <w:t xml:space="preserve">What is Staff’s recommendation to the Commission about Avista’s $7.2 million in </w:t>
      </w:r>
      <w:r w:rsidR="00773108">
        <w:rPr>
          <w:b/>
          <w:sz w:val="24"/>
          <w:lang w:val="en-US"/>
        </w:rPr>
        <w:t>Washington-allocated</w:t>
      </w:r>
      <w:r>
        <w:rPr>
          <w:b/>
          <w:sz w:val="24"/>
          <w:lang w:val="en-US"/>
        </w:rPr>
        <w:t xml:space="preserve"> capital additions for </w:t>
      </w:r>
      <w:r w:rsidR="003357E8">
        <w:rPr>
          <w:b/>
          <w:sz w:val="24"/>
          <w:lang w:val="en-US"/>
        </w:rPr>
        <w:t xml:space="preserve">Wood Pole Management in </w:t>
      </w:r>
      <w:r>
        <w:rPr>
          <w:b/>
          <w:sz w:val="24"/>
          <w:lang w:val="en-US"/>
        </w:rPr>
        <w:t>the 2015 pro forma period?</w:t>
      </w:r>
    </w:p>
    <w:p w14:paraId="70EC49DA" w14:textId="77777777" w:rsidR="00425F7D" w:rsidRDefault="004114F1" w:rsidP="00425F7D">
      <w:pPr>
        <w:pStyle w:val="BodyTextIndent"/>
        <w:rPr>
          <w:sz w:val="24"/>
          <w:lang w:val="en-US"/>
        </w:rPr>
      </w:pPr>
      <w:r>
        <w:rPr>
          <w:sz w:val="24"/>
          <w:lang w:val="en-US"/>
        </w:rPr>
        <w:t>A.</w:t>
      </w:r>
      <w:r>
        <w:rPr>
          <w:sz w:val="24"/>
          <w:lang w:val="en-US"/>
        </w:rPr>
        <w:tab/>
      </w:r>
      <w:r w:rsidR="000525DF">
        <w:rPr>
          <w:sz w:val="24"/>
          <w:lang w:val="en-US"/>
        </w:rPr>
        <w:t xml:space="preserve">If Staff is certain about one thing for this </w:t>
      </w:r>
      <w:r w:rsidR="00682B94">
        <w:rPr>
          <w:sz w:val="24"/>
          <w:lang w:val="en-US"/>
        </w:rPr>
        <w:t>ER</w:t>
      </w:r>
      <w:r w:rsidR="003357E8">
        <w:rPr>
          <w:sz w:val="24"/>
          <w:lang w:val="en-US"/>
        </w:rPr>
        <w:t>,</w:t>
      </w:r>
      <w:r w:rsidR="000525DF">
        <w:rPr>
          <w:sz w:val="24"/>
          <w:lang w:val="en-US"/>
        </w:rPr>
        <w:t xml:space="preserve"> it is that the Company’s prediction of its 2015 pro forma transfers to plant are wrong.  </w:t>
      </w:r>
      <w:r w:rsidR="00003565">
        <w:rPr>
          <w:sz w:val="24"/>
          <w:lang w:val="en-US"/>
        </w:rPr>
        <w:t xml:space="preserve">Like Reconductors and Rebuilds above, the Company’s claims are entirely unsupported for this </w:t>
      </w:r>
      <w:r w:rsidR="00682B94">
        <w:rPr>
          <w:sz w:val="24"/>
          <w:lang w:val="en-US"/>
        </w:rPr>
        <w:t xml:space="preserve">ER </w:t>
      </w:r>
      <w:r w:rsidR="00003565">
        <w:rPr>
          <w:sz w:val="24"/>
          <w:lang w:val="en-US"/>
        </w:rPr>
        <w:t xml:space="preserve">and are not even close </w:t>
      </w:r>
      <w:r w:rsidR="00D61F01">
        <w:rPr>
          <w:sz w:val="24"/>
          <w:lang w:val="en-US"/>
        </w:rPr>
        <w:t>to</w:t>
      </w:r>
      <w:r w:rsidR="00003565">
        <w:rPr>
          <w:sz w:val="24"/>
          <w:lang w:val="en-US"/>
        </w:rPr>
        <w:t xml:space="preserve"> meeting the Commission’s standards for such </w:t>
      </w:r>
      <w:r w:rsidR="003357E8">
        <w:rPr>
          <w:sz w:val="24"/>
          <w:lang w:val="en-US"/>
        </w:rPr>
        <w:t xml:space="preserve">adjustments to test year results.  </w:t>
      </w:r>
      <w:r w:rsidR="000525DF">
        <w:rPr>
          <w:sz w:val="24"/>
          <w:lang w:val="en-US"/>
        </w:rPr>
        <w:t xml:space="preserve">Staff </w:t>
      </w:r>
      <w:r w:rsidR="003357E8">
        <w:rPr>
          <w:sz w:val="24"/>
          <w:lang w:val="en-US"/>
        </w:rPr>
        <w:t xml:space="preserve">recommends that </w:t>
      </w:r>
      <w:r w:rsidR="00B13F9C">
        <w:rPr>
          <w:sz w:val="24"/>
          <w:lang w:val="en-US"/>
        </w:rPr>
        <w:t xml:space="preserve">only Avista’s actual transfers to plant through June of 2015 be allowed in rate base for the pro forma period in this case.  This amount, on a </w:t>
      </w:r>
      <w:r w:rsidR="00773108">
        <w:rPr>
          <w:sz w:val="24"/>
          <w:lang w:val="en-US"/>
        </w:rPr>
        <w:t>Washington-allocated</w:t>
      </w:r>
      <w:r w:rsidR="00B13F9C">
        <w:rPr>
          <w:sz w:val="24"/>
          <w:lang w:val="en-US"/>
        </w:rPr>
        <w:t xml:space="preserve"> basis is $3.7 million. </w:t>
      </w:r>
    </w:p>
    <w:p w14:paraId="5F92C7CB" w14:textId="33DA3592" w:rsidR="001D14E9" w:rsidRDefault="000525DF" w:rsidP="00425F7D">
      <w:pPr>
        <w:pStyle w:val="BodyTextIndent"/>
        <w:rPr>
          <w:sz w:val="24"/>
        </w:rPr>
      </w:pPr>
      <w:r>
        <w:rPr>
          <w:sz w:val="24"/>
          <w:lang w:val="en-US"/>
        </w:rPr>
        <w:t xml:space="preserve"> </w:t>
      </w:r>
    </w:p>
    <w:p w14:paraId="1D079A8E" w14:textId="6D4E39E5" w:rsidR="001D14E9" w:rsidRDefault="00AA4355" w:rsidP="00425F7D">
      <w:pPr>
        <w:pStyle w:val="Heading3"/>
        <w:ind w:left="0" w:firstLine="0"/>
      </w:pPr>
      <w:bookmarkStart w:id="69" w:name="_Toc425172451"/>
      <w:bookmarkStart w:id="70" w:name="_Toc425328752"/>
      <w:bookmarkStart w:id="71" w:name="_Toc425339196"/>
      <w:bookmarkStart w:id="72" w:name="_Toc425756874"/>
      <w:r>
        <w:rPr>
          <w:lang w:val="en-US"/>
        </w:rPr>
        <w:t>Distribution Grid Modernization</w:t>
      </w:r>
      <w:bookmarkEnd w:id="69"/>
      <w:bookmarkEnd w:id="70"/>
      <w:bookmarkEnd w:id="71"/>
      <w:bookmarkEnd w:id="72"/>
      <w:r w:rsidR="001D14E9">
        <w:tab/>
      </w:r>
      <w:r w:rsidR="001D14E9">
        <w:tab/>
      </w:r>
      <w:r w:rsidR="00CF58F3">
        <w:t xml:space="preserve"> </w:t>
      </w:r>
    </w:p>
    <w:p w14:paraId="47C0EAF7" w14:textId="77777777" w:rsidR="001D14E9" w:rsidRDefault="001D14E9" w:rsidP="00425F7D">
      <w:pPr>
        <w:pStyle w:val="BodyTextIndent"/>
        <w:rPr>
          <w:sz w:val="24"/>
        </w:rPr>
      </w:pPr>
    </w:p>
    <w:p w14:paraId="4F02D41B" w14:textId="099721E0" w:rsidR="001D14E9" w:rsidRPr="00A37EF9" w:rsidRDefault="001D14E9" w:rsidP="00425F7D">
      <w:pPr>
        <w:pStyle w:val="BodyTextIndent"/>
        <w:rPr>
          <w:b/>
          <w:sz w:val="24"/>
        </w:rPr>
      </w:pPr>
      <w:r>
        <w:rPr>
          <w:b/>
          <w:sz w:val="24"/>
          <w:lang w:val="en-US"/>
        </w:rPr>
        <w:t>Q.</w:t>
      </w:r>
      <w:r>
        <w:rPr>
          <w:b/>
          <w:sz w:val="24"/>
          <w:lang w:val="en-US"/>
        </w:rPr>
        <w:tab/>
      </w:r>
      <w:r w:rsidR="00AA4355">
        <w:rPr>
          <w:b/>
          <w:sz w:val="24"/>
          <w:lang w:val="en-US"/>
        </w:rPr>
        <w:t>Is Staff’s analysis and recommendation for this asset management program identical to the one for Wood Pole Management above?</w:t>
      </w:r>
      <w:r>
        <w:rPr>
          <w:b/>
          <w:sz w:val="24"/>
          <w:lang w:val="en-US"/>
        </w:rPr>
        <w:t xml:space="preserve"> </w:t>
      </w:r>
    </w:p>
    <w:p w14:paraId="5E6E5F20" w14:textId="7E71D80F" w:rsidR="00B213A1" w:rsidRDefault="001D14E9" w:rsidP="00425F7D">
      <w:pPr>
        <w:pStyle w:val="BodyTextIndent"/>
        <w:rPr>
          <w:sz w:val="24"/>
          <w:lang w:val="en-US"/>
        </w:rPr>
      </w:pPr>
      <w:r>
        <w:rPr>
          <w:sz w:val="24"/>
          <w:lang w:val="en-US"/>
        </w:rPr>
        <w:t>A.</w:t>
      </w:r>
      <w:r>
        <w:rPr>
          <w:sz w:val="24"/>
          <w:lang w:val="en-US"/>
        </w:rPr>
        <w:tab/>
        <w:t xml:space="preserve">Yes.  </w:t>
      </w:r>
      <w:r w:rsidR="00AE49E1">
        <w:rPr>
          <w:sz w:val="24"/>
          <w:lang w:val="en-US"/>
        </w:rPr>
        <w:t xml:space="preserve">The </w:t>
      </w:r>
      <w:r w:rsidR="00602705">
        <w:rPr>
          <w:sz w:val="24"/>
          <w:lang w:val="en-US"/>
        </w:rPr>
        <w:t xml:space="preserve">2014 transfer to plant amounts </w:t>
      </w:r>
      <w:r w:rsidR="00AE49E1">
        <w:rPr>
          <w:sz w:val="24"/>
          <w:lang w:val="en-US"/>
        </w:rPr>
        <w:t xml:space="preserve">predicted by Avista in the last case </w:t>
      </w:r>
      <w:r w:rsidR="00602705">
        <w:rPr>
          <w:sz w:val="24"/>
          <w:lang w:val="en-US"/>
        </w:rPr>
        <w:t>for Distribution Grid Modernization were $3.3 million too high.  The Company also reduced it</w:t>
      </w:r>
      <w:r w:rsidR="00D61F01">
        <w:rPr>
          <w:sz w:val="24"/>
          <w:lang w:val="en-US"/>
        </w:rPr>
        <w:t>s</w:t>
      </w:r>
      <w:r w:rsidR="00602705">
        <w:rPr>
          <w:sz w:val="24"/>
          <w:lang w:val="en-US"/>
        </w:rPr>
        <w:t xml:space="preserve"> forecasted 2015 transfer to plant amounts in this case by $2.6 million from what it had predicted just a year ago. </w:t>
      </w:r>
      <w:r w:rsidR="00B13F9C">
        <w:rPr>
          <w:sz w:val="24"/>
          <w:lang w:val="en-US"/>
        </w:rPr>
        <w:t xml:space="preserve"> </w:t>
      </w:r>
      <w:r w:rsidR="00602705">
        <w:rPr>
          <w:sz w:val="24"/>
          <w:lang w:val="en-US"/>
        </w:rPr>
        <w:t xml:space="preserve">Staff recommends that </w:t>
      </w:r>
      <w:r w:rsidR="00B13F9C">
        <w:rPr>
          <w:sz w:val="24"/>
          <w:lang w:val="en-US"/>
        </w:rPr>
        <w:t xml:space="preserve">only Avista’s </w:t>
      </w:r>
      <w:r w:rsidR="00B13F9C">
        <w:rPr>
          <w:sz w:val="24"/>
          <w:lang w:val="en-US"/>
        </w:rPr>
        <w:lastRenderedPageBreak/>
        <w:t xml:space="preserve">actual transfer to plants through June </w:t>
      </w:r>
      <w:r w:rsidR="00602705">
        <w:rPr>
          <w:sz w:val="24"/>
          <w:lang w:val="en-US"/>
        </w:rPr>
        <w:t xml:space="preserve">be allowed for this </w:t>
      </w:r>
      <w:r w:rsidR="00682B94">
        <w:rPr>
          <w:sz w:val="24"/>
          <w:lang w:val="en-US"/>
        </w:rPr>
        <w:t xml:space="preserve">ER </w:t>
      </w:r>
      <w:r w:rsidR="00156C03">
        <w:rPr>
          <w:sz w:val="24"/>
          <w:lang w:val="en-US"/>
        </w:rPr>
        <w:t>also</w:t>
      </w:r>
      <w:r w:rsidR="00602705">
        <w:rPr>
          <w:sz w:val="24"/>
          <w:lang w:val="en-US"/>
        </w:rPr>
        <w:t>.</w:t>
      </w:r>
      <w:r w:rsidR="00A34C6F">
        <w:rPr>
          <w:sz w:val="24"/>
          <w:lang w:val="en-US"/>
        </w:rPr>
        <w:t xml:space="preserve"> </w:t>
      </w:r>
      <w:r w:rsidR="00BB1C58">
        <w:rPr>
          <w:sz w:val="24"/>
          <w:lang w:val="en-US"/>
        </w:rPr>
        <w:t xml:space="preserve"> </w:t>
      </w:r>
      <w:r w:rsidR="00B13F9C">
        <w:rPr>
          <w:sz w:val="24"/>
          <w:lang w:val="en-US"/>
        </w:rPr>
        <w:t xml:space="preserve">This amount, on a </w:t>
      </w:r>
      <w:r w:rsidR="00773108">
        <w:rPr>
          <w:sz w:val="24"/>
          <w:lang w:val="en-US"/>
        </w:rPr>
        <w:t>Washington-allocated</w:t>
      </w:r>
      <w:r w:rsidR="00B13F9C">
        <w:rPr>
          <w:sz w:val="24"/>
          <w:lang w:val="en-US"/>
        </w:rPr>
        <w:t xml:space="preserve"> basis is $1.6 million.</w:t>
      </w:r>
    </w:p>
    <w:p w14:paraId="2A6CD1A1" w14:textId="54A85B42" w:rsidR="00425F7D" w:rsidRDefault="00425F7D" w:rsidP="00425F7D">
      <w:pPr>
        <w:pStyle w:val="BodyTextIndent"/>
        <w:rPr>
          <w:sz w:val="24"/>
          <w:lang w:val="en-US"/>
        </w:rPr>
      </w:pPr>
    </w:p>
    <w:p w14:paraId="327B96CC" w14:textId="77777777" w:rsidR="00B213A1" w:rsidRPr="00155991" w:rsidRDefault="00B213A1" w:rsidP="00425F7D">
      <w:pPr>
        <w:pStyle w:val="Heading3"/>
        <w:ind w:left="0" w:firstLine="0"/>
      </w:pPr>
      <w:bookmarkStart w:id="73" w:name="_Toc425172452"/>
      <w:bookmarkStart w:id="74" w:name="_Toc425328753"/>
      <w:bookmarkStart w:id="75" w:name="_Toc425339197"/>
      <w:bookmarkStart w:id="76" w:name="_Toc425756875"/>
      <w:r w:rsidRPr="00155991">
        <w:t>Technology Refresh to Sustain Business Process</w:t>
      </w:r>
      <w:bookmarkEnd w:id="73"/>
      <w:bookmarkEnd w:id="74"/>
      <w:bookmarkEnd w:id="75"/>
      <w:bookmarkEnd w:id="76"/>
    </w:p>
    <w:p w14:paraId="4A54D3B2" w14:textId="77777777" w:rsidR="00B213A1" w:rsidRPr="00155991" w:rsidRDefault="00B213A1" w:rsidP="00425F7D">
      <w:pPr>
        <w:pStyle w:val="BodyTextIndent"/>
      </w:pPr>
    </w:p>
    <w:p w14:paraId="334A275C" w14:textId="3C959C9D" w:rsidR="00B213A1" w:rsidRDefault="00B213A1" w:rsidP="00425F7D">
      <w:pPr>
        <w:pStyle w:val="BodyTextIndent"/>
        <w:rPr>
          <w:b/>
          <w:sz w:val="24"/>
        </w:rPr>
      </w:pPr>
      <w:r>
        <w:rPr>
          <w:b/>
          <w:sz w:val="24"/>
          <w:lang w:val="en-US"/>
        </w:rPr>
        <w:t>Q.</w:t>
      </w:r>
      <w:r>
        <w:rPr>
          <w:b/>
          <w:sz w:val="24"/>
          <w:lang w:val="en-US"/>
        </w:rPr>
        <w:tab/>
      </w:r>
      <w:r w:rsidR="00DE4983">
        <w:rPr>
          <w:b/>
          <w:sz w:val="24"/>
          <w:lang w:val="en-US"/>
        </w:rPr>
        <w:t xml:space="preserve">What is the description of this program and </w:t>
      </w:r>
      <w:r w:rsidR="00D40F22">
        <w:rPr>
          <w:b/>
          <w:sz w:val="24"/>
          <w:lang w:val="en-US"/>
        </w:rPr>
        <w:t xml:space="preserve">what is your assessment of Avista’s revised forecast for </w:t>
      </w:r>
      <w:r w:rsidR="000414EC">
        <w:rPr>
          <w:b/>
          <w:sz w:val="24"/>
          <w:lang w:val="en-US"/>
        </w:rPr>
        <w:t>2015 pro forma capital additions?</w:t>
      </w:r>
    </w:p>
    <w:p w14:paraId="2BD4B1CF" w14:textId="7A4573BF" w:rsidR="00FF6D10" w:rsidRDefault="00B213A1" w:rsidP="00425F7D">
      <w:pPr>
        <w:pStyle w:val="BodyTextIndent"/>
        <w:rPr>
          <w:sz w:val="24"/>
          <w:lang w:val="en-US"/>
        </w:rPr>
      </w:pPr>
      <w:r>
        <w:rPr>
          <w:sz w:val="24"/>
          <w:lang w:val="en-US"/>
        </w:rPr>
        <w:t>A.</w:t>
      </w:r>
      <w:r>
        <w:rPr>
          <w:sz w:val="24"/>
          <w:lang w:val="en-US"/>
        </w:rPr>
        <w:tab/>
      </w:r>
      <w:r w:rsidR="000414EC">
        <w:rPr>
          <w:sz w:val="24"/>
          <w:lang w:val="en-US"/>
        </w:rPr>
        <w:t xml:space="preserve">Company witness </w:t>
      </w:r>
      <w:r w:rsidR="00D61F01">
        <w:rPr>
          <w:sz w:val="24"/>
          <w:lang w:val="en-US"/>
        </w:rPr>
        <w:t xml:space="preserve">Mr. </w:t>
      </w:r>
      <w:r w:rsidR="000414EC">
        <w:rPr>
          <w:sz w:val="24"/>
          <w:lang w:val="en-US"/>
        </w:rPr>
        <w:t xml:space="preserve">Kensok describes this </w:t>
      </w:r>
      <w:r w:rsidR="00682B94">
        <w:rPr>
          <w:sz w:val="24"/>
          <w:lang w:val="en-US"/>
        </w:rPr>
        <w:t xml:space="preserve">ER </w:t>
      </w:r>
      <w:r w:rsidR="000414EC">
        <w:rPr>
          <w:sz w:val="24"/>
          <w:lang w:val="en-US"/>
        </w:rPr>
        <w:t>as Avista’s “ongoing program</w:t>
      </w:r>
      <w:r w:rsidR="00CE2D1E">
        <w:rPr>
          <w:sz w:val="24"/>
          <w:lang w:val="en-US"/>
        </w:rPr>
        <w:t xml:space="preserve"> to systematically-</w:t>
      </w:r>
      <w:r w:rsidR="000414EC">
        <w:rPr>
          <w:sz w:val="24"/>
          <w:lang w:val="en-US"/>
        </w:rPr>
        <w:t xml:space="preserve">replace aging and obsolete technology </w:t>
      </w:r>
      <w:r w:rsidR="00CE2D1E">
        <w:rPr>
          <w:sz w:val="24"/>
          <w:lang w:val="en-US"/>
        </w:rPr>
        <w:t xml:space="preserve">under </w:t>
      </w:r>
      <w:r w:rsidR="00D61F01">
        <w:rPr>
          <w:sz w:val="24"/>
          <w:lang w:val="en-US"/>
        </w:rPr>
        <w:t>‘</w:t>
      </w:r>
      <w:r w:rsidR="00CE2D1E">
        <w:rPr>
          <w:sz w:val="24"/>
          <w:lang w:val="en-US"/>
        </w:rPr>
        <w:t>refresh cycles</w:t>
      </w:r>
      <w:r w:rsidR="00D61F01">
        <w:rPr>
          <w:sz w:val="24"/>
          <w:lang w:val="en-US"/>
        </w:rPr>
        <w:t>’</w:t>
      </w:r>
      <w:r w:rsidR="00CE2D1E">
        <w:rPr>
          <w:sz w:val="24"/>
          <w:lang w:val="en-US"/>
        </w:rPr>
        <w:t xml:space="preserve"> that are timed to optimize hardware/software system changes or industry trends.”</w:t>
      </w:r>
      <w:r w:rsidR="00CE2D1E">
        <w:rPr>
          <w:rStyle w:val="FootnoteReference"/>
          <w:sz w:val="24"/>
          <w:lang w:val="en-US"/>
        </w:rPr>
        <w:footnoteReference w:id="77"/>
      </w:r>
      <w:r w:rsidR="00CE2D1E">
        <w:rPr>
          <w:sz w:val="24"/>
          <w:lang w:val="en-US"/>
        </w:rPr>
        <w:t xml:space="preserve">  Mr. Kensok goes on to describe </w:t>
      </w:r>
      <w:r w:rsidR="0057613F">
        <w:rPr>
          <w:sz w:val="24"/>
          <w:lang w:val="en-US"/>
        </w:rPr>
        <w:t xml:space="preserve">how the program is comprised of over one-hundred separate projects organized across numerous technology types.  </w:t>
      </w:r>
      <w:r w:rsidR="00FF6D10">
        <w:rPr>
          <w:sz w:val="24"/>
          <w:lang w:val="en-US"/>
        </w:rPr>
        <w:t xml:space="preserve">He </w:t>
      </w:r>
      <w:r w:rsidR="007F6293">
        <w:rPr>
          <w:sz w:val="24"/>
          <w:lang w:val="en-US"/>
        </w:rPr>
        <w:t xml:space="preserve">further </w:t>
      </w:r>
      <w:r w:rsidR="00FF6D10">
        <w:rPr>
          <w:sz w:val="24"/>
          <w:lang w:val="en-US"/>
        </w:rPr>
        <w:t>state</w:t>
      </w:r>
      <w:r w:rsidR="007F6293">
        <w:rPr>
          <w:sz w:val="24"/>
          <w:lang w:val="en-US"/>
        </w:rPr>
        <w:t>s</w:t>
      </w:r>
      <w:r w:rsidR="00FF6D10">
        <w:rPr>
          <w:sz w:val="24"/>
          <w:lang w:val="en-US"/>
        </w:rPr>
        <w:t xml:space="preserve"> that each project has formal project management and adheres to Avista’s Project Management Office (PMO) process.  </w:t>
      </w:r>
      <w:r w:rsidR="0057613F">
        <w:rPr>
          <w:sz w:val="24"/>
          <w:lang w:val="en-US"/>
        </w:rPr>
        <w:t xml:space="preserve">The easiest </w:t>
      </w:r>
      <w:r w:rsidR="006361B4">
        <w:rPr>
          <w:sz w:val="24"/>
          <w:lang w:val="en-US"/>
        </w:rPr>
        <w:t xml:space="preserve">category of spending in this program Staff could relate </w:t>
      </w:r>
      <w:r w:rsidR="0057613F">
        <w:rPr>
          <w:sz w:val="24"/>
          <w:lang w:val="en-US"/>
        </w:rPr>
        <w:t xml:space="preserve">to is </w:t>
      </w:r>
      <w:r w:rsidR="006361B4">
        <w:rPr>
          <w:sz w:val="24"/>
          <w:lang w:val="en-US"/>
        </w:rPr>
        <w:t xml:space="preserve">expenditures on </w:t>
      </w:r>
      <w:r w:rsidR="0057613F">
        <w:rPr>
          <w:sz w:val="24"/>
          <w:lang w:val="en-US"/>
        </w:rPr>
        <w:t xml:space="preserve">personal computers and devices used by Avista employees.  </w:t>
      </w:r>
    </w:p>
    <w:p w14:paraId="7B229DCF" w14:textId="5B04BE48" w:rsidR="00B729E4" w:rsidRDefault="0057613F" w:rsidP="00425F7D">
      <w:pPr>
        <w:pStyle w:val="BodyTextIndent"/>
        <w:ind w:firstLine="720"/>
        <w:rPr>
          <w:sz w:val="24"/>
          <w:lang w:val="en-US"/>
        </w:rPr>
      </w:pPr>
      <w:r>
        <w:rPr>
          <w:sz w:val="24"/>
          <w:lang w:val="en-US"/>
        </w:rPr>
        <w:t xml:space="preserve">Mr. Kensok’s description of this program is so broad that Staff would not </w:t>
      </w:r>
      <w:r w:rsidR="009F04F2">
        <w:rPr>
          <w:sz w:val="24"/>
          <w:lang w:val="en-US"/>
        </w:rPr>
        <w:t xml:space="preserve">even </w:t>
      </w:r>
      <w:r>
        <w:rPr>
          <w:sz w:val="24"/>
          <w:lang w:val="en-US"/>
        </w:rPr>
        <w:t>know where to begin in crafting a discovery request</w:t>
      </w:r>
      <w:r w:rsidR="00B729E4">
        <w:rPr>
          <w:sz w:val="24"/>
          <w:lang w:val="en-US"/>
        </w:rPr>
        <w:t xml:space="preserve"> to properly evaluate the appropriateness and accuracy of Avista’s estimates of transfers to plant</w:t>
      </w:r>
      <w:r>
        <w:rPr>
          <w:sz w:val="24"/>
          <w:lang w:val="en-US"/>
        </w:rPr>
        <w:t>.</w:t>
      </w:r>
      <w:r w:rsidR="009F04F2">
        <w:rPr>
          <w:sz w:val="24"/>
          <w:lang w:val="en-US"/>
        </w:rPr>
        <w:t xml:space="preserve">  Staff could envision a number of discovery rounds for this program alone.  Staff simply does not </w:t>
      </w:r>
      <w:r w:rsidR="009F04F2">
        <w:rPr>
          <w:sz w:val="24"/>
          <w:lang w:val="en-US"/>
        </w:rPr>
        <w:lastRenderedPageBreak/>
        <w:t xml:space="preserve">have the time </w:t>
      </w:r>
      <w:r w:rsidR="002C3C55">
        <w:rPr>
          <w:sz w:val="24"/>
          <w:lang w:val="en-US"/>
        </w:rPr>
        <w:t xml:space="preserve">nor is it resourced </w:t>
      </w:r>
      <w:r w:rsidR="009F04F2">
        <w:rPr>
          <w:sz w:val="24"/>
          <w:lang w:val="en-US"/>
        </w:rPr>
        <w:t>to make the Company’s direct case</w:t>
      </w:r>
      <w:r w:rsidR="00BC3240">
        <w:rPr>
          <w:sz w:val="24"/>
          <w:lang w:val="en-US"/>
        </w:rPr>
        <w:t xml:space="preserve"> </w:t>
      </w:r>
      <w:r w:rsidR="00C46820">
        <w:rPr>
          <w:sz w:val="24"/>
          <w:lang w:val="en-US"/>
        </w:rPr>
        <w:t xml:space="preserve">for it </w:t>
      </w:r>
      <w:r w:rsidR="00BC3240">
        <w:rPr>
          <w:sz w:val="24"/>
          <w:lang w:val="en-US"/>
        </w:rPr>
        <w:t>through discovery</w:t>
      </w:r>
      <w:r w:rsidR="009F04F2">
        <w:rPr>
          <w:sz w:val="24"/>
          <w:lang w:val="en-US"/>
        </w:rPr>
        <w:t>.</w:t>
      </w:r>
      <w:r w:rsidR="00B729E4">
        <w:rPr>
          <w:sz w:val="24"/>
          <w:lang w:val="en-US"/>
        </w:rPr>
        <w:t xml:space="preserve">  </w:t>
      </w:r>
    </w:p>
    <w:p w14:paraId="06B26564" w14:textId="557672E0" w:rsidR="007D4BD2" w:rsidRDefault="00B729E4" w:rsidP="00425F7D">
      <w:pPr>
        <w:pStyle w:val="BodyTextIndent"/>
        <w:ind w:firstLine="720"/>
        <w:rPr>
          <w:sz w:val="24"/>
          <w:lang w:val="en-US"/>
        </w:rPr>
      </w:pPr>
      <w:r>
        <w:rPr>
          <w:sz w:val="24"/>
          <w:lang w:val="en-US"/>
        </w:rPr>
        <w:t xml:space="preserve">The Company’s </w:t>
      </w:r>
      <w:r w:rsidR="00925178">
        <w:rPr>
          <w:sz w:val="24"/>
          <w:lang w:val="en-US"/>
        </w:rPr>
        <w:t xml:space="preserve">June 12, 2015, </w:t>
      </w:r>
      <w:r>
        <w:rPr>
          <w:sz w:val="24"/>
          <w:lang w:val="en-US"/>
        </w:rPr>
        <w:t>response to Staff D</w:t>
      </w:r>
      <w:r w:rsidR="00957EB9">
        <w:rPr>
          <w:sz w:val="24"/>
          <w:lang w:val="en-US"/>
        </w:rPr>
        <w:t xml:space="preserve">ata </w:t>
      </w:r>
      <w:r>
        <w:rPr>
          <w:sz w:val="24"/>
          <w:lang w:val="en-US"/>
        </w:rPr>
        <w:t>R</w:t>
      </w:r>
      <w:r w:rsidR="00957EB9">
        <w:rPr>
          <w:sz w:val="24"/>
          <w:lang w:val="en-US"/>
        </w:rPr>
        <w:t>equest</w:t>
      </w:r>
      <w:r>
        <w:rPr>
          <w:sz w:val="24"/>
          <w:lang w:val="en-US"/>
        </w:rPr>
        <w:t xml:space="preserve"> No. 143 showing updated capital addition amounts for this program </w:t>
      </w:r>
      <w:r w:rsidR="00D61F01">
        <w:rPr>
          <w:sz w:val="24"/>
          <w:lang w:val="en-US"/>
        </w:rPr>
        <w:t>do not improve</w:t>
      </w:r>
      <w:r>
        <w:rPr>
          <w:sz w:val="24"/>
          <w:lang w:val="en-US"/>
        </w:rPr>
        <w:t xml:space="preserve"> Staff’s confidence in </w:t>
      </w:r>
      <w:r w:rsidR="00612D6B">
        <w:rPr>
          <w:sz w:val="24"/>
          <w:lang w:val="en-US"/>
        </w:rPr>
        <w:t xml:space="preserve">the precision of </w:t>
      </w:r>
      <w:r>
        <w:rPr>
          <w:sz w:val="24"/>
          <w:lang w:val="en-US"/>
        </w:rPr>
        <w:t xml:space="preserve">Avista’s forecasts.  </w:t>
      </w:r>
      <w:r w:rsidR="00D93009">
        <w:rPr>
          <w:sz w:val="24"/>
          <w:lang w:val="en-US"/>
        </w:rPr>
        <w:t xml:space="preserve">Avista’s original </w:t>
      </w:r>
      <w:r w:rsidR="00BB4EDC">
        <w:rPr>
          <w:sz w:val="24"/>
          <w:lang w:val="en-US"/>
        </w:rPr>
        <w:t xml:space="preserve">2015 </w:t>
      </w:r>
      <w:r w:rsidR="00D93009">
        <w:rPr>
          <w:sz w:val="24"/>
          <w:lang w:val="en-US"/>
        </w:rPr>
        <w:t xml:space="preserve">forecast </w:t>
      </w:r>
      <w:r w:rsidR="00BB4EDC">
        <w:rPr>
          <w:sz w:val="24"/>
          <w:lang w:val="en-US"/>
        </w:rPr>
        <w:t xml:space="preserve">contained </w:t>
      </w:r>
      <w:r w:rsidR="00D93009">
        <w:rPr>
          <w:sz w:val="24"/>
          <w:lang w:val="en-US"/>
        </w:rPr>
        <w:t xml:space="preserve">in Ms. Smith’s </w:t>
      </w:r>
      <w:r w:rsidR="00E41279">
        <w:rPr>
          <w:sz w:val="24"/>
          <w:lang w:val="en-US"/>
        </w:rPr>
        <w:t>work papers</w:t>
      </w:r>
      <w:r w:rsidR="00D93009">
        <w:rPr>
          <w:sz w:val="24"/>
          <w:lang w:val="en-US"/>
        </w:rPr>
        <w:t xml:space="preserve"> divided the $18.6 million in </w:t>
      </w:r>
      <w:r w:rsidR="00FC22A2">
        <w:rPr>
          <w:sz w:val="24"/>
          <w:lang w:val="en-US"/>
        </w:rPr>
        <w:t>system-level</w:t>
      </w:r>
      <w:r w:rsidR="00BB4EDC">
        <w:rPr>
          <w:sz w:val="24"/>
          <w:lang w:val="en-US"/>
        </w:rPr>
        <w:t xml:space="preserve"> pro forma </w:t>
      </w:r>
      <w:r w:rsidR="00D93009">
        <w:rPr>
          <w:sz w:val="24"/>
          <w:lang w:val="en-US"/>
        </w:rPr>
        <w:t xml:space="preserve">transfer to plant amount </w:t>
      </w:r>
      <w:r w:rsidR="00FE660C">
        <w:rPr>
          <w:sz w:val="24"/>
          <w:lang w:val="en-US"/>
        </w:rPr>
        <w:t xml:space="preserve">for this </w:t>
      </w:r>
      <w:r w:rsidR="00682B94">
        <w:rPr>
          <w:sz w:val="24"/>
          <w:lang w:val="en-US"/>
        </w:rPr>
        <w:t xml:space="preserve">ER </w:t>
      </w:r>
      <w:r w:rsidR="00D93009">
        <w:rPr>
          <w:sz w:val="24"/>
          <w:lang w:val="en-US"/>
        </w:rPr>
        <w:t xml:space="preserve">into </w:t>
      </w:r>
      <w:r w:rsidR="00FE660C">
        <w:rPr>
          <w:sz w:val="24"/>
          <w:lang w:val="en-US"/>
        </w:rPr>
        <w:t xml:space="preserve">four equal </w:t>
      </w:r>
      <w:r w:rsidR="00D93009">
        <w:rPr>
          <w:sz w:val="24"/>
          <w:lang w:val="en-US"/>
        </w:rPr>
        <w:t xml:space="preserve">quarterly buckets.  Avista’s revised forecast </w:t>
      </w:r>
      <w:r w:rsidR="00925178">
        <w:rPr>
          <w:sz w:val="24"/>
          <w:lang w:val="en-US"/>
        </w:rPr>
        <w:t xml:space="preserve">of June 12, 2015, </w:t>
      </w:r>
      <w:r w:rsidR="00D93009">
        <w:rPr>
          <w:sz w:val="24"/>
          <w:lang w:val="en-US"/>
        </w:rPr>
        <w:t>retained the quarterly amounts for quarters 2-4 but then included actuals through May</w:t>
      </w:r>
      <w:r w:rsidR="00227492">
        <w:rPr>
          <w:sz w:val="24"/>
          <w:lang w:val="en-US"/>
        </w:rPr>
        <w:t xml:space="preserve"> (2 months into the second quarter)</w:t>
      </w:r>
      <w:r w:rsidR="00D93009">
        <w:rPr>
          <w:sz w:val="24"/>
          <w:lang w:val="en-US"/>
        </w:rPr>
        <w:t xml:space="preserve">.  </w:t>
      </w:r>
      <w:r w:rsidR="00925178">
        <w:rPr>
          <w:sz w:val="24"/>
          <w:lang w:val="en-US"/>
        </w:rPr>
        <w:t>The Company’s a</w:t>
      </w:r>
      <w:r w:rsidR="007D4BD2">
        <w:rPr>
          <w:sz w:val="24"/>
          <w:lang w:val="en-US"/>
        </w:rPr>
        <w:t xml:space="preserve">ctuals for the first quarter </w:t>
      </w:r>
      <w:r w:rsidR="00227492">
        <w:rPr>
          <w:sz w:val="24"/>
          <w:lang w:val="en-US"/>
        </w:rPr>
        <w:t xml:space="preserve">of 2015 </w:t>
      </w:r>
      <w:r w:rsidR="007D4BD2">
        <w:rPr>
          <w:sz w:val="24"/>
          <w:lang w:val="en-US"/>
        </w:rPr>
        <w:t xml:space="preserve">are </w:t>
      </w:r>
      <w:r w:rsidR="00227492">
        <w:rPr>
          <w:sz w:val="24"/>
          <w:lang w:val="en-US"/>
        </w:rPr>
        <w:t xml:space="preserve">below </w:t>
      </w:r>
      <w:r w:rsidR="007E3D28">
        <w:rPr>
          <w:sz w:val="24"/>
          <w:lang w:val="en-US"/>
        </w:rPr>
        <w:t xml:space="preserve">the original </w:t>
      </w:r>
      <w:r w:rsidR="00227492">
        <w:rPr>
          <w:sz w:val="24"/>
          <w:lang w:val="en-US"/>
        </w:rPr>
        <w:t xml:space="preserve">forecast </w:t>
      </w:r>
      <w:r w:rsidR="007E3D28">
        <w:rPr>
          <w:sz w:val="24"/>
          <w:lang w:val="en-US"/>
        </w:rPr>
        <w:t xml:space="preserve">in Ms. Smith’s </w:t>
      </w:r>
      <w:r w:rsidR="00E41279">
        <w:rPr>
          <w:sz w:val="24"/>
          <w:lang w:val="en-US"/>
        </w:rPr>
        <w:t>work papers</w:t>
      </w:r>
      <w:r w:rsidR="007E3D28">
        <w:rPr>
          <w:sz w:val="24"/>
          <w:lang w:val="en-US"/>
        </w:rPr>
        <w:t xml:space="preserve"> </w:t>
      </w:r>
      <w:r w:rsidR="007D4BD2">
        <w:rPr>
          <w:sz w:val="24"/>
          <w:lang w:val="en-US"/>
        </w:rPr>
        <w:t>by almost $1.0 million.</w:t>
      </w:r>
    </w:p>
    <w:p w14:paraId="0A11DD66" w14:textId="77777777" w:rsidR="00425F7D" w:rsidRDefault="008F3A37" w:rsidP="00425F7D">
      <w:pPr>
        <w:pStyle w:val="BodyTextIndent"/>
        <w:ind w:firstLine="720"/>
        <w:rPr>
          <w:sz w:val="24"/>
          <w:lang w:val="en-US"/>
        </w:rPr>
      </w:pPr>
      <w:r>
        <w:rPr>
          <w:sz w:val="24"/>
          <w:lang w:val="en-US"/>
        </w:rPr>
        <w:t>Avista’s supplemental response to Staff D</w:t>
      </w:r>
      <w:r w:rsidR="00957EB9">
        <w:rPr>
          <w:sz w:val="24"/>
          <w:lang w:val="en-US"/>
        </w:rPr>
        <w:t xml:space="preserve">ata </w:t>
      </w:r>
      <w:r>
        <w:rPr>
          <w:sz w:val="24"/>
          <w:lang w:val="en-US"/>
        </w:rPr>
        <w:t>R</w:t>
      </w:r>
      <w:r w:rsidR="00957EB9">
        <w:rPr>
          <w:sz w:val="24"/>
          <w:lang w:val="en-US"/>
        </w:rPr>
        <w:t>equest</w:t>
      </w:r>
      <w:r>
        <w:rPr>
          <w:sz w:val="24"/>
          <w:lang w:val="en-US"/>
        </w:rPr>
        <w:t xml:space="preserve"> </w:t>
      </w:r>
      <w:r w:rsidR="00957EB9">
        <w:rPr>
          <w:sz w:val="24"/>
          <w:lang w:val="en-US"/>
        </w:rPr>
        <w:t xml:space="preserve">No. </w:t>
      </w:r>
      <w:r>
        <w:rPr>
          <w:sz w:val="24"/>
          <w:lang w:val="en-US"/>
        </w:rPr>
        <w:t xml:space="preserve">143 dated July 10, 2015, shows </w:t>
      </w:r>
      <w:r w:rsidR="00773108">
        <w:rPr>
          <w:sz w:val="24"/>
          <w:lang w:val="en-US"/>
        </w:rPr>
        <w:t>Washington-allocated</w:t>
      </w:r>
      <w:r>
        <w:rPr>
          <w:sz w:val="24"/>
          <w:lang w:val="en-US"/>
        </w:rPr>
        <w:t xml:space="preserve"> actual transfers to plant for this ER at $2.7 million allocated to the Company’s electric service and $735,081 to gas.  S</w:t>
      </w:r>
      <w:r w:rsidR="007D4BD2">
        <w:rPr>
          <w:sz w:val="24"/>
          <w:lang w:val="en-US"/>
        </w:rPr>
        <w:t xml:space="preserve">taff recommends </w:t>
      </w:r>
      <w:r>
        <w:rPr>
          <w:sz w:val="24"/>
          <w:lang w:val="en-US"/>
        </w:rPr>
        <w:t>the Commission allow these amounts into pro forma rate base</w:t>
      </w:r>
      <w:r w:rsidR="007D4BD2">
        <w:rPr>
          <w:sz w:val="24"/>
          <w:lang w:val="en-US"/>
        </w:rPr>
        <w:t>.</w:t>
      </w:r>
      <w:r w:rsidR="00B729E4">
        <w:rPr>
          <w:sz w:val="24"/>
          <w:lang w:val="en-US"/>
        </w:rPr>
        <w:t xml:space="preserve"> </w:t>
      </w:r>
    </w:p>
    <w:p w14:paraId="3ED4CA24" w14:textId="6A67484D" w:rsidR="00B213A1" w:rsidRPr="00914B14" w:rsidRDefault="0057613F" w:rsidP="00425F7D">
      <w:pPr>
        <w:pStyle w:val="BodyTextIndent"/>
        <w:ind w:firstLine="720"/>
        <w:rPr>
          <w:sz w:val="24"/>
          <w:lang w:val="en-US"/>
        </w:rPr>
      </w:pPr>
      <w:r>
        <w:rPr>
          <w:sz w:val="24"/>
          <w:lang w:val="en-US"/>
        </w:rPr>
        <w:t xml:space="preserve"> </w:t>
      </w:r>
      <w:r w:rsidR="000414EC">
        <w:rPr>
          <w:sz w:val="24"/>
          <w:lang w:val="en-US"/>
        </w:rPr>
        <w:t xml:space="preserve"> </w:t>
      </w:r>
    </w:p>
    <w:p w14:paraId="045B9921" w14:textId="77777777" w:rsidR="00B213A1" w:rsidRDefault="00B213A1" w:rsidP="00425F7D">
      <w:pPr>
        <w:pStyle w:val="Heading3"/>
        <w:ind w:left="0" w:firstLine="0"/>
        <w:rPr>
          <w:lang w:val="en-US"/>
        </w:rPr>
      </w:pPr>
      <w:r w:rsidRPr="00914B14">
        <w:t xml:space="preserve"> </w:t>
      </w:r>
      <w:bookmarkStart w:id="77" w:name="_Toc425172453"/>
      <w:bookmarkStart w:id="78" w:name="_Toc425328754"/>
      <w:bookmarkStart w:id="79" w:name="_Toc425339198"/>
      <w:bookmarkStart w:id="80" w:name="_Toc425756876"/>
      <w:r>
        <w:rPr>
          <w:lang w:val="en-US"/>
        </w:rPr>
        <w:t>Project Compass</w:t>
      </w:r>
      <w:bookmarkEnd w:id="77"/>
      <w:bookmarkEnd w:id="78"/>
      <w:bookmarkEnd w:id="79"/>
      <w:bookmarkEnd w:id="80"/>
    </w:p>
    <w:p w14:paraId="490E367E" w14:textId="77777777" w:rsidR="00B213A1" w:rsidRPr="00155991" w:rsidRDefault="00B213A1" w:rsidP="00425F7D">
      <w:pPr>
        <w:spacing w:line="480" w:lineRule="auto"/>
        <w:rPr>
          <w:lang w:eastAsia="x-none"/>
        </w:rPr>
      </w:pPr>
    </w:p>
    <w:p w14:paraId="414D5FC2" w14:textId="1A82FFBE" w:rsidR="00B213A1" w:rsidRDefault="00B213A1" w:rsidP="00425F7D">
      <w:pPr>
        <w:pStyle w:val="BodyTextIndent"/>
        <w:rPr>
          <w:b/>
          <w:sz w:val="24"/>
        </w:rPr>
      </w:pPr>
      <w:r>
        <w:rPr>
          <w:b/>
          <w:sz w:val="24"/>
          <w:lang w:val="en-US"/>
        </w:rPr>
        <w:t>Q.</w:t>
      </w:r>
      <w:r>
        <w:rPr>
          <w:b/>
          <w:sz w:val="24"/>
          <w:lang w:val="en-US"/>
        </w:rPr>
        <w:tab/>
      </w:r>
      <w:r w:rsidR="004824CE">
        <w:rPr>
          <w:b/>
          <w:sz w:val="24"/>
          <w:lang w:val="en-US"/>
        </w:rPr>
        <w:t xml:space="preserve">Avista reports that </w:t>
      </w:r>
      <w:r w:rsidR="008E4B22">
        <w:rPr>
          <w:b/>
          <w:sz w:val="24"/>
          <w:lang w:val="en-US"/>
        </w:rPr>
        <w:t xml:space="preserve">the </w:t>
      </w:r>
      <w:r w:rsidR="004824CE">
        <w:rPr>
          <w:b/>
          <w:sz w:val="24"/>
          <w:lang w:val="en-US"/>
        </w:rPr>
        <w:t xml:space="preserve">Customer Information and Work Management System “Project Compass” was placed into service on February 2, 2015.  What was the final amount of expenditure and transfer to plant for this project?     </w:t>
      </w:r>
    </w:p>
    <w:p w14:paraId="505F631A" w14:textId="30AA1A8C" w:rsidR="00B213A1" w:rsidRDefault="00B213A1" w:rsidP="00425F7D">
      <w:pPr>
        <w:pStyle w:val="BodyTextIndent"/>
        <w:rPr>
          <w:sz w:val="24"/>
          <w:lang w:val="en-US"/>
        </w:rPr>
      </w:pPr>
      <w:r>
        <w:rPr>
          <w:sz w:val="24"/>
          <w:lang w:val="en-US"/>
        </w:rPr>
        <w:t>A.</w:t>
      </w:r>
      <w:r>
        <w:rPr>
          <w:sz w:val="24"/>
          <w:lang w:val="en-US"/>
        </w:rPr>
        <w:tab/>
      </w:r>
      <w:r w:rsidR="00943DDC">
        <w:rPr>
          <w:sz w:val="24"/>
          <w:lang w:val="en-US"/>
        </w:rPr>
        <w:t xml:space="preserve">It is not surprising </w:t>
      </w:r>
      <w:r w:rsidR="00A8213F">
        <w:rPr>
          <w:sz w:val="24"/>
          <w:lang w:val="en-US"/>
        </w:rPr>
        <w:t xml:space="preserve">to Staff to find </w:t>
      </w:r>
      <w:r w:rsidR="00943DDC">
        <w:rPr>
          <w:sz w:val="24"/>
          <w:lang w:val="en-US"/>
        </w:rPr>
        <w:t xml:space="preserve">that this project </w:t>
      </w:r>
      <w:r w:rsidR="00EA4048">
        <w:rPr>
          <w:sz w:val="24"/>
          <w:lang w:val="en-US"/>
        </w:rPr>
        <w:t xml:space="preserve">also </w:t>
      </w:r>
      <w:r w:rsidR="00943DDC">
        <w:rPr>
          <w:sz w:val="24"/>
          <w:lang w:val="en-US"/>
        </w:rPr>
        <w:t xml:space="preserve">comes with questions regarding Avista’s reported costs.  </w:t>
      </w:r>
      <w:r w:rsidR="00B14715">
        <w:rPr>
          <w:sz w:val="24"/>
          <w:lang w:val="en-US"/>
        </w:rPr>
        <w:t xml:space="preserve">According to the Company’s as-filed case, the </w:t>
      </w:r>
      <w:r w:rsidR="00B14715">
        <w:rPr>
          <w:sz w:val="24"/>
          <w:lang w:val="en-US"/>
        </w:rPr>
        <w:lastRenderedPageBreak/>
        <w:t xml:space="preserve">total amount of </w:t>
      </w:r>
      <w:r w:rsidR="00FC22A2">
        <w:rPr>
          <w:sz w:val="24"/>
          <w:lang w:val="en-US"/>
        </w:rPr>
        <w:t>system-level</w:t>
      </w:r>
      <w:r w:rsidR="00302736">
        <w:rPr>
          <w:sz w:val="24"/>
          <w:lang w:val="en-US"/>
        </w:rPr>
        <w:t xml:space="preserve"> transfer to plant </w:t>
      </w:r>
      <w:r w:rsidR="00B14715">
        <w:rPr>
          <w:sz w:val="24"/>
          <w:lang w:val="en-US"/>
        </w:rPr>
        <w:t xml:space="preserve">expected to be added to rate base for </w:t>
      </w:r>
      <w:r w:rsidR="00A021EA">
        <w:rPr>
          <w:sz w:val="24"/>
          <w:lang w:val="en-US"/>
        </w:rPr>
        <w:t>P</w:t>
      </w:r>
      <w:r w:rsidR="00B14715">
        <w:rPr>
          <w:sz w:val="24"/>
          <w:lang w:val="en-US"/>
        </w:rPr>
        <w:t>roject Compass</w:t>
      </w:r>
      <w:r w:rsidR="00302736">
        <w:rPr>
          <w:sz w:val="24"/>
          <w:lang w:val="en-US"/>
        </w:rPr>
        <w:t xml:space="preserve"> in 2015 is $95.1 million.</w:t>
      </w:r>
      <w:r w:rsidR="0041314B">
        <w:rPr>
          <w:sz w:val="24"/>
          <w:lang w:val="en-US"/>
        </w:rPr>
        <w:t xml:space="preserve"> </w:t>
      </w:r>
      <w:r w:rsidR="00302736">
        <w:rPr>
          <w:sz w:val="24"/>
          <w:lang w:val="en-US"/>
        </w:rPr>
        <w:t xml:space="preserve"> </w:t>
      </w:r>
      <w:r w:rsidR="00943DDC">
        <w:rPr>
          <w:sz w:val="24"/>
          <w:lang w:val="en-US"/>
        </w:rPr>
        <w:t>In its filing with the IPU</w:t>
      </w:r>
      <w:r w:rsidR="00143000">
        <w:rPr>
          <w:sz w:val="24"/>
          <w:lang w:val="en-US"/>
        </w:rPr>
        <w:t>C</w:t>
      </w:r>
      <w:r w:rsidR="00943DDC">
        <w:rPr>
          <w:sz w:val="24"/>
          <w:lang w:val="en-US"/>
        </w:rPr>
        <w:t xml:space="preserve"> on May 13, 2015, </w:t>
      </w:r>
      <w:r w:rsidR="00143000">
        <w:rPr>
          <w:sz w:val="24"/>
          <w:lang w:val="en-US"/>
        </w:rPr>
        <w:t xml:space="preserve">the Company’s as-filed </w:t>
      </w:r>
      <w:r w:rsidR="00FC22A2">
        <w:rPr>
          <w:sz w:val="24"/>
          <w:lang w:val="en-US"/>
        </w:rPr>
        <w:t>system-level</w:t>
      </w:r>
      <w:r w:rsidR="00143000">
        <w:rPr>
          <w:sz w:val="24"/>
          <w:lang w:val="en-US"/>
        </w:rPr>
        <w:t xml:space="preserve"> amount of </w:t>
      </w:r>
      <w:r w:rsidR="009750B9">
        <w:rPr>
          <w:sz w:val="24"/>
          <w:lang w:val="en-US"/>
        </w:rPr>
        <w:t xml:space="preserve">2015 </w:t>
      </w:r>
      <w:r w:rsidR="00143000">
        <w:rPr>
          <w:sz w:val="24"/>
          <w:lang w:val="en-US"/>
        </w:rPr>
        <w:t xml:space="preserve">capital addition for this project </w:t>
      </w:r>
      <w:r w:rsidR="00E32EE0">
        <w:rPr>
          <w:sz w:val="24"/>
          <w:lang w:val="en-US"/>
        </w:rPr>
        <w:t>was</w:t>
      </w:r>
      <w:r w:rsidR="00143000">
        <w:rPr>
          <w:sz w:val="24"/>
          <w:lang w:val="en-US"/>
        </w:rPr>
        <w:t xml:space="preserve"> $96.7 million.</w:t>
      </w:r>
      <w:r w:rsidR="00143000">
        <w:rPr>
          <w:rStyle w:val="FootnoteReference"/>
          <w:sz w:val="24"/>
          <w:lang w:val="en-US"/>
        </w:rPr>
        <w:footnoteReference w:id="78"/>
      </w:r>
      <w:r w:rsidR="00143000">
        <w:rPr>
          <w:sz w:val="24"/>
          <w:lang w:val="en-US"/>
        </w:rPr>
        <w:t xml:space="preserve">  </w:t>
      </w:r>
      <w:r w:rsidR="00302736">
        <w:rPr>
          <w:sz w:val="24"/>
          <w:lang w:val="en-US"/>
        </w:rPr>
        <w:t>Avista’s response to Staff D</w:t>
      </w:r>
      <w:r w:rsidR="004776C3">
        <w:rPr>
          <w:sz w:val="24"/>
          <w:lang w:val="en-US"/>
        </w:rPr>
        <w:t xml:space="preserve">ata </w:t>
      </w:r>
      <w:r w:rsidR="00302736">
        <w:rPr>
          <w:sz w:val="24"/>
          <w:lang w:val="en-US"/>
        </w:rPr>
        <w:t>R</w:t>
      </w:r>
      <w:r w:rsidR="004776C3">
        <w:rPr>
          <w:sz w:val="24"/>
          <w:lang w:val="en-US"/>
        </w:rPr>
        <w:t>equest</w:t>
      </w:r>
      <w:r w:rsidR="00302736">
        <w:rPr>
          <w:sz w:val="24"/>
          <w:lang w:val="en-US"/>
        </w:rPr>
        <w:t xml:space="preserve"> N</w:t>
      </w:r>
      <w:r w:rsidR="00737BD8">
        <w:rPr>
          <w:sz w:val="24"/>
          <w:lang w:val="en-US"/>
        </w:rPr>
        <w:t>o</w:t>
      </w:r>
      <w:r w:rsidR="00302736">
        <w:rPr>
          <w:sz w:val="24"/>
          <w:lang w:val="en-US"/>
        </w:rPr>
        <w:t xml:space="preserve">. 141 </w:t>
      </w:r>
      <w:r w:rsidR="00974796">
        <w:rPr>
          <w:sz w:val="24"/>
          <w:lang w:val="en-US"/>
        </w:rPr>
        <w:t xml:space="preserve">of May 18, 2015, </w:t>
      </w:r>
      <w:r w:rsidR="00302736">
        <w:rPr>
          <w:sz w:val="24"/>
          <w:lang w:val="en-US"/>
        </w:rPr>
        <w:t xml:space="preserve">reports an altogether different number </w:t>
      </w:r>
      <w:r w:rsidR="00A3388F">
        <w:rPr>
          <w:sz w:val="24"/>
          <w:lang w:val="en-US"/>
        </w:rPr>
        <w:t xml:space="preserve">for 2015 </w:t>
      </w:r>
      <w:r w:rsidR="00302736">
        <w:rPr>
          <w:sz w:val="24"/>
          <w:lang w:val="en-US"/>
        </w:rPr>
        <w:t>of $98.7 million</w:t>
      </w:r>
      <w:r w:rsidR="00773108">
        <w:rPr>
          <w:sz w:val="24"/>
          <w:lang w:val="en-US"/>
        </w:rPr>
        <w:t xml:space="preserve"> with the total capital expenditure for the </w:t>
      </w:r>
      <w:r w:rsidR="00A3388F">
        <w:rPr>
          <w:sz w:val="24"/>
          <w:lang w:val="en-US"/>
        </w:rPr>
        <w:t>project of $109.9 million</w:t>
      </w:r>
      <w:r w:rsidR="00302736">
        <w:rPr>
          <w:sz w:val="24"/>
          <w:lang w:val="en-US"/>
        </w:rPr>
        <w:t>.</w:t>
      </w:r>
      <w:r w:rsidR="00A3388F" w:rsidRPr="00A3388F">
        <w:rPr>
          <w:rStyle w:val="FootnoteReference"/>
          <w:sz w:val="24"/>
          <w:lang w:val="en-US"/>
        </w:rPr>
        <w:t xml:space="preserve"> </w:t>
      </w:r>
      <w:r w:rsidR="00A3388F">
        <w:rPr>
          <w:rStyle w:val="FootnoteReference"/>
          <w:sz w:val="24"/>
          <w:lang w:val="en-US"/>
        </w:rPr>
        <w:footnoteReference w:id="79"/>
      </w:r>
      <w:r w:rsidR="008E4B22">
        <w:rPr>
          <w:sz w:val="24"/>
          <w:lang w:val="en-US"/>
        </w:rPr>
        <w:t xml:space="preserve">  </w:t>
      </w:r>
      <w:r w:rsidR="00943DDC">
        <w:rPr>
          <w:sz w:val="24"/>
          <w:lang w:val="en-US"/>
        </w:rPr>
        <w:t>In its</w:t>
      </w:r>
      <w:r w:rsidR="000929C4">
        <w:rPr>
          <w:sz w:val="24"/>
          <w:lang w:val="en-US"/>
        </w:rPr>
        <w:t xml:space="preserve"> </w:t>
      </w:r>
      <w:r w:rsidR="00943DDC">
        <w:rPr>
          <w:sz w:val="24"/>
          <w:lang w:val="en-US"/>
        </w:rPr>
        <w:t>supplemental response to Staff D</w:t>
      </w:r>
      <w:r w:rsidR="004776C3">
        <w:rPr>
          <w:sz w:val="24"/>
          <w:lang w:val="en-US"/>
        </w:rPr>
        <w:t xml:space="preserve">ata </w:t>
      </w:r>
      <w:r w:rsidR="00943DDC">
        <w:rPr>
          <w:sz w:val="24"/>
          <w:lang w:val="en-US"/>
        </w:rPr>
        <w:t>R</w:t>
      </w:r>
      <w:r w:rsidR="004776C3">
        <w:rPr>
          <w:sz w:val="24"/>
          <w:lang w:val="en-US"/>
        </w:rPr>
        <w:t>equest</w:t>
      </w:r>
      <w:r w:rsidR="00943DDC">
        <w:rPr>
          <w:sz w:val="24"/>
          <w:lang w:val="en-US"/>
        </w:rPr>
        <w:t xml:space="preserve"> No. 143, Attachment B, </w:t>
      </w:r>
      <w:r w:rsidR="00143000">
        <w:rPr>
          <w:sz w:val="24"/>
          <w:lang w:val="en-US"/>
        </w:rPr>
        <w:t xml:space="preserve">dated July 10, 2015, </w:t>
      </w:r>
      <w:r w:rsidR="00943DDC">
        <w:rPr>
          <w:sz w:val="24"/>
          <w:lang w:val="en-US"/>
        </w:rPr>
        <w:t xml:space="preserve">Avista’s </w:t>
      </w:r>
      <w:r w:rsidR="00FC22A2">
        <w:rPr>
          <w:sz w:val="24"/>
          <w:lang w:val="en-US"/>
        </w:rPr>
        <w:t xml:space="preserve">2015 </w:t>
      </w:r>
      <w:r w:rsidR="000929C4">
        <w:rPr>
          <w:sz w:val="24"/>
          <w:lang w:val="en-US"/>
        </w:rPr>
        <w:t>Washington</w:t>
      </w:r>
      <w:r w:rsidR="00FC22A2">
        <w:rPr>
          <w:sz w:val="24"/>
          <w:lang w:val="en-US"/>
        </w:rPr>
        <w:t>-a</w:t>
      </w:r>
      <w:r w:rsidR="000929C4">
        <w:rPr>
          <w:sz w:val="24"/>
          <w:lang w:val="en-US"/>
        </w:rPr>
        <w:t xml:space="preserve">llocated actual </w:t>
      </w:r>
      <w:r w:rsidR="00EA4048">
        <w:rPr>
          <w:sz w:val="24"/>
          <w:lang w:val="en-US"/>
        </w:rPr>
        <w:t xml:space="preserve">transfers to plant </w:t>
      </w:r>
      <w:r w:rsidR="00943DDC">
        <w:rPr>
          <w:sz w:val="24"/>
          <w:lang w:val="en-US"/>
        </w:rPr>
        <w:t xml:space="preserve">(through June) correspond to a </w:t>
      </w:r>
      <w:r w:rsidR="00FC22A2">
        <w:rPr>
          <w:sz w:val="24"/>
          <w:lang w:val="en-US"/>
        </w:rPr>
        <w:t>system-level</w:t>
      </w:r>
      <w:r w:rsidR="00943DDC">
        <w:rPr>
          <w:sz w:val="24"/>
          <w:lang w:val="en-US"/>
        </w:rPr>
        <w:t xml:space="preserve"> amount for Project Compass of $96.7 million</w:t>
      </w:r>
      <w:r w:rsidR="00CB559E">
        <w:rPr>
          <w:sz w:val="24"/>
          <w:lang w:val="en-US"/>
        </w:rPr>
        <w:t xml:space="preserve">.  Staff </w:t>
      </w:r>
      <w:r w:rsidR="00C70933">
        <w:rPr>
          <w:sz w:val="24"/>
          <w:lang w:val="en-US"/>
        </w:rPr>
        <w:t xml:space="preserve">uses </w:t>
      </w:r>
      <w:r w:rsidR="00CB559E">
        <w:rPr>
          <w:sz w:val="24"/>
          <w:lang w:val="en-US"/>
        </w:rPr>
        <w:t xml:space="preserve">the </w:t>
      </w:r>
      <w:r w:rsidR="009D004B">
        <w:rPr>
          <w:sz w:val="24"/>
          <w:lang w:val="en-US"/>
        </w:rPr>
        <w:t>$9</w:t>
      </w:r>
      <w:r w:rsidR="00143000">
        <w:rPr>
          <w:sz w:val="24"/>
          <w:lang w:val="en-US"/>
        </w:rPr>
        <w:t>6</w:t>
      </w:r>
      <w:r w:rsidR="009D004B">
        <w:rPr>
          <w:sz w:val="24"/>
          <w:lang w:val="en-US"/>
        </w:rPr>
        <w:t>.7 million amount</w:t>
      </w:r>
      <w:r w:rsidR="00C70933">
        <w:rPr>
          <w:sz w:val="24"/>
          <w:lang w:val="en-US"/>
        </w:rPr>
        <w:t xml:space="preserve"> </w:t>
      </w:r>
      <w:r w:rsidR="0062181F">
        <w:rPr>
          <w:sz w:val="24"/>
          <w:lang w:val="en-US"/>
        </w:rPr>
        <w:t>as a starting point to calculate its proposed adjustments to this project</w:t>
      </w:r>
      <w:r w:rsidR="00C02B07">
        <w:rPr>
          <w:sz w:val="24"/>
          <w:lang w:val="en-US"/>
        </w:rPr>
        <w:t>’</w:t>
      </w:r>
      <w:r w:rsidR="0062181F">
        <w:rPr>
          <w:sz w:val="24"/>
          <w:lang w:val="en-US"/>
        </w:rPr>
        <w:t>s transfer to plant amounts</w:t>
      </w:r>
      <w:r w:rsidR="0093175F">
        <w:rPr>
          <w:sz w:val="24"/>
          <w:lang w:val="en-US"/>
        </w:rPr>
        <w:t>.</w:t>
      </w:r>
      <w:r w:rsidR="008E4B22">
        <w:rPr>
          <w:sz w:val="24"/>
          <w:lang w:val="en-US"/>
        </w:rPr>
        <w:t xml:space="preserve">  The Company reports that the project closed at the end of June 2015, meaning that no further costs are to be booked to Project Compass.</w:t>
      </w:r>
    </w:p>
    <w:p w14:paraId="57976588" w14:textId="77777777" w:rsidR="004776C3" w:rsidRDefault="004776C3" w:rsidP="00425F7D">
      <w:pPr>
        <w:pStyle w:val="BodyTextIndent"/>
        <w:rPr>
          <w:sz w:val="24"/>
          <w:lang w:val="en-US"/>
        </w:rPr>
      </w:pPr>
    </w:p>
    <w:p w14:paraId="673BB1B5" w14:textId="14631F63" w:rsidR="004776C3" w:rsidRDefault="004776C3" w:rsidP="00425F7D">
      <w:pPr>
        <w:pStyle w:val="BodyTextIndent"/>
        <w:rPr>
          <w:sz w:val="24"/>
          <w:lang w:val="en-US"/>
        </w:rPr>
      </w:pPr>
      <w:r>
        <w:rPr>
          <w:b/>
          <w:sz w:val="24"/>
          <w:lang w:val="en-US"/>
        </w:rPr>
        <w:t>Q.</w:t>
      </w:r>
      <w:r>
        <w:rPr>
          <w:b/>
          <w:sz w:val="24"/>
          <w:lang w:val="en-US"/>
        </w:rPr>
        <w:tab/>
        <w:t xml:space="preserve">Does the Company explain the </w:t>
      </w:r>
      <w:r w:rsidR="00042EE2">
        <w:rPr>
          <w:b/>
          <w:sz w:val="24"/>
          <w:lang w:val="en-US"/>
        </w:rPr>
        <w:t xml:space="preserve">inconsistencies </w:t>
      </w:r>
      <w:r>
        <w:rPr>
          <w:b/>
          <w:sz w:val="24"/>
          <w:lang w:val="en-US"/>
        </w:rPr>
        <w:t>in these capital expenditure amounts?</w:t>
      </w:r>
    </w:p>
    <w:p w14:paraId="681D28A5" w14:textId="77777777" w:rsidR="009C1137" w:rsidRDefault="004776C3" w:rsidP="00425F7D">
      <w:pPr>
        <w:pStyle w:val="BodyTextIndent"/>
        <w:rPr>
          <w:sz w:val="24"/>
          <w:lang w:val="en-US"/>
        </w:rPr>
        <w:sectPr w:rsidR="009C1137" w:rsidSect="00374AB3">
          <w:footerReference w:type="default" r:id="rId17"/>
          <w:pgSz w:w="12240" w:h="15840" w:code="1"/>
          <w:pgMar w:top="1440" w:right="1440" w:bottom="1440" w:left="1872" w:header="720" w:footer="720" w:gutter="0"/>
          <w:lnNumType w:countBy="1"/>
          <w:cols w:space="720"/>
          <w:docGrid w:linePitch="360"/>
        </w:sectPr>
      </w:pPr>
      <w:r>
        <w:rPr>
          <w:sz w:val="24"/>
          <w:lang w:val="en-US"/>
        </w:rPr>
        <w:t>A.</w:t>
      </w:r>
      <w:r>
        <w:rPr>
          <w:sz w:val="24"/>
          <w:lang w:val="en-US"/>
        </w:rPr>
        <w:tab/>
      </w:r>
      <w:r w:rsidR="009750B9">
        <w:rPr>
          <w:sz w:val="24"/>
          <w:lang w:val="en-US"/>
        </w:rPr>
        <w:t>No.</w:t>
      </w:r>
    </w:p>
    <w:p w14:paraId="7971D956" w14:textId="7BFAE126" w:rsidR="00737BD8" w:rsidRDefault="00737BD8" w:rsidP="00425F7D">
      <w:pPr>
        <w:pStyle w:val="BodyTextIndent"/>
        <w:rPr>
          <w:b/>
          <w:sz w:val="24"/>
          <w:lang w:val="en-US"/>
        </w:rPr>
      </w:pPr>
      <w:r>
        <w:rPr>
          <w:b/>
          <w:sz w:val="24"/>
          <w:lang w:val="en-US"/>
        </w:rPr>
        <w:lastRenderedPageBreak/>
        <w:t>Q.</w:t>
      </w:r>
      <w:r>
        <w:rPr>
          <w:b/>
          <w:sz w:val="24"/>
          <w:lang w:val="en-US"/>
        </w:rPr>
        <w:tab/>
      </w:r>
      <w:r w:rsidR="00920F46">
        <w:rPr>
          <w:b/>
          <w:sz w:val="24"/>
          <w:lang w:val="en-US"/>
        </w:rPr>
        <w:t>Avista’s Board of Directors approved changes to both P</w:t>
      </w:r>
      <w:r w:rsidR="0021009A">
        <w:rPr>
          <w:b/>
          <w:sz w:val="24"/>
          <w:lang w:val="en-US"/>
        </w:rPr>
        <w:t>roject Compass</w:t>
      </w:r>
      <w:r w:rsidR="00920F46">
        <w:rPr>
          <w:b/>
          <w:sz w:val="24"/>
          <w:lang w:val="en-US"/>
        </w:rPr>
        <w:t>’</w:t>
      </w:r>
      <w:r w:rsidR="003E2C25">
        <w:rPr>
          <w:b/>
          <w:sz w:val="24"/>
          <w:lang w:val="en-US"/>
        </w:rPr>
        <w:t xml:space="preserve"> </w:t>
      </w:r>
      <w:r w:rsidR="00813F38">
        <w:rPr>
          <w:b/>
          <w:sz w:val="24"/>
          <w:lang w:val="en-US"/>
        </w:rPr>
        <w:t>o</w:t>
      </w:r>
      <w:r w:rsidR="0021009A">
        <w:rPr>
          <w:b/>
          <w:sz w:val="24"/>
          <w:lang w:val="en-US"/>
        </w:rPr>
        <w:t xml:space="preserve">riginal budget </w:t>
      </w:r>
      <w:r w:rsidR="0011531A">
        <w:rPr>
          <w:b/>
          <w:sz w:val="24"/>
          <w:lang w:val="en-US"/>
        </w:rPr>
        <w:t>and in-service date</w:t>
      </w:r>
      <w:r w:rsidR="00920F46">
        <w:rPr>
          <w:b/>
          <w:sz w:val="24"/>
          <w:lang w:val="en-US"/>
        </w:rPr>
        <w:t>.  When were these changes approved and how did it affect expenditures for this project?</w:t>
      </w:r>
    </w:p>
    <w:p w14:paraId="2D133C32" w14:textId="7A1ACA73" w:rsidR="003E2C25" w:rsidRDefault="003E2C25" w:rsidP="00425F7D">
      <w:pPr>
        <w:pStyle w:val="BodyTextIndent"/>
        <w:rPr>
          <w:sz w:val="24"/>
          <w:lang w:val="en-US"/>
        </w:rPr>
      </w:pPr>
      <w:r>
        <w:rPr>
          <w:sz w:val="24"/>
          <w:lang w:val="en-US"/>
        </w:rPr>
        <w:t>A.</w:t>
      </w:r>
      <w:r>
        <w:rPr>
          <w:sz w:val="24"/>
          <w:lang w:val="en-US"/>
        </w:rPr>
        <w:tab/>
      </w:r>
      <w:r w:rsidR="0011531A">
        <w:rPr>
          <w:sz w:val="24"/>
          <w:lang w:val="en-US"/>
        </w:rPr>
        <w:t>Avista’s Board of Directors</w:t>
      </w:r>
      <w:r w:rsidR="00FC1E85">
        <w:rPr>
          <w:sz w:val="24"/>
          <w:lang w:val="en-US"/>
        </w:rPr>
        <w:t xml:space="preserve"> </w:t>
      </w:r>
      <w:r w:rsidR="00813F38">
        <w:rPr>
          <w:sz w:val="24"/>
          <w:lang w:val="en-US"/>
        </w:rPr>
        <w:t xml:space="preserve">had to </w:t>
      </w:r>
      <w:r w:rsidR="00370095">
        <w:rPr>
          <w:sz w:val="24"/>
          <w:lang w:val="en-US"/>
        </w:rPr>
        <w:t xml:space="preserve">review </w:t>
      </w:r>
      <w:r w:rsidR="00FC1E85">
        <w:rPr>
          <w:sz w:val="24"/>
          <w:lang w:val="en-US"/>
        </w:rPr>
        <w:t xml:space="preserve">two separate increases to </w:t>
      </w:r>
      <w:r w:rsidR="0011531A">
        <w:rPr>
          <w:sz w:val="24"/>
          <w:lang w:val="en-US"/>
        </w:rPr>
        <w:t xml:space="preserve">the Company’s original budget of </w:t>
      </w:r>
      <w:r w:rsidR="00415C81" w:rsidRPr="00415C81">
        <w:rPr>
          <w:sz w:val="24"/>
          <w:highlight w:val="black"/>
          <w:lang w:val="en-US"/>
        </w:rPr>
        <w:t>XXXXXXX</w:t>
      </w:r>
      <w:r w:rsidR="0011531A">
        <w:rPr>
          <w:sz w:val="24"/>
          <w:lang w:val="en-US"/>
        </w:rPr>
        <w:t>.</w:t>
      </w:r>
      <w:r w:rsidR="00FA5C64">
        <w:rPr>
          <w:rStyle w:val="FootnoteReference"/>
          <w:sz w:val="24"/>
          <w:lang w:val="en-US"/>
        </w:rPr>
        <w:footnoteReference w:id="80"/>
      </w:r>
      <w:r w:rsidR="0011531A">
        <w:rPr>
          <w:sz w:val="24"/>
          <w:lang w:val="en-US"/>
        </w:rPr>
        <w:t xml:space="preserve">  In June of 2014, the Board </w:t>
      </w:r>
      <w:r w:rsidR="00FC1E85">
        <w:rPr>
          <w:sz w:val="24"/>
          <w:lang w:val="en-US"/>
        </w:rPr>
        <w:t>authorized an a</w:t>
      </w:r>
      <w:r w:rsidR="0011531A">
        <w:rPr>
          <w:sz w:val="24"/>
          <w:lang w:val="en-US"/>
        </w:rPr>
        <w:t>dditional $20.0 million</w:t>
      </w:r>
      <w:r w:rsidR="00FC1E85">
        <w:rPr>
          <w:sz w:val="24"/>
          <w:lang w:val="en-US"/>
        </w:rPr>
        <w:t>.</w:t>
      </w:r>
      <w:r w:rsidR="001D6C8F">
        <w:rPr>
          <w:rStyle w:val="FootnoteReference"/>
          <w:sz w:val="24"/>
          <w:lang w:val="en-US"/>
        </w:rPr>
        <w:footnoteReference w:id="81"/>
      </w:r>
      <w:r w:rsidR="00FC1E85">
        <w:rPr>
          <w:sz w:val="24"/>
          <w:lang w:val="en-US"/>
        </w:rPr>
        <w:t xml:space="preserve">  In November, l</w:t>
      </w:r>
      <w:r w:rsidR="0011531A">
        <w:rPr>
          <w:sz w:val="24"/>
          <w:lang w:val="en-US"/>
        </w:rPr>
        <w:t>ess than six months later</w:t>
      </w:r>
      <w:r w:rsidR="00FC1E85">
        <w:rPr>
          <w:sz w:val="24"/>
          <w:lang w:val="en-US"/>
        </w:rPr>
        <w:t>,</w:t>
      </w:r>
      <w:r w:rsidR="0011531A">
        <w:rPr>
          <w:sz w:val="24"/>
          <w:lang w:val="en-US"/>
        </w:rPr>
        <w:t xml:space="preserve"> </w:t>
      </w:r>
      <w:r w:rsidR="00FC1E85">
        <w:rPr>
          <w:sz w:val="24"/>
          <w:lang w:val="en-US"/>
        </w:rPr>
        <w:t xml:space="preserve">the Board approved another </w:t>
      </w:r>
      <w:r w:rsidR="0011531A">
        <w:rPr>
          <w:sz w:val="24"/>
          <w:lang w:val="en-US"/>
        </w:rPr>
        <w:t>$10 million</w:t>
      </w:r>
      <w:r w:rsidR="00FC1E85">
        <w:rPr>
          <w:sz w:val="24"/>
          <w:lang w:val="en-US"/>
        </w:rPr>
        <w:t xml:space="preserve"> </w:t>
      </w:r>
      <w:r w:rsidR="00813F38">
        <w:rPr>
          <w:sz w:val="24"/>
          <w:lang w:val="en-US"/>
        </w:rPr>
        <w:t xml:space="preserve">which brought </w:t>
      </w:r>
      <w:r w:rsidR="00FC1E85">
        <w:rPr>
          <w:sz w:val="24"/>
          <w:lang w:val="en-US"/>
        </w:rPr>
        <w:t xml:space="preserve">Project Compass </w:t>
      </w:r>
      <w:r w:rsidR="001D2FD8">
        <w:rPr>
          <w:sz w:val="24"/>
          <w:lang w:val="en-US"/>
        </w:rPr>
        <w:t xml:space="preserve">to its </w:t>
      </w:r>
      <w:r w:rsidR="00FC1E85">
        <w:rPr>
          <w:sz w:val="24"/>
          <w:lang w:val="en-US"/>
        </w:rPr>
        <w:t xml:space="preserve">final </w:t>
      </w:r>
      <w:r w:rsidR="00813F38">
        <w:rPr>
          <w:sz w:val="24"/>
          <w:lang w:val="en-US"/>
        </w:rPr>
        <w:t xml:space="preserve">total </w:t>
      </w:r>
      <w:r w:rsidR="00FC1E85">
        <w:rPr>
          <w:sz w:val="24"/>
          <w:lang w:val="en-US"/>
        </w:rPr>
        <w:t xml:space="preserve">budget </w:t>
      </w:r>
      <w:r w:rsidR="00813F38">
        <w:rPr>
          <w:sz w:val="24"/>
          <w:lang w:val="en-US"/>
        </w:rPr>
        <w:t xml:space="preserve">amount of </w:t>
      </w:r>
      <w:r w:rsidR="00FC1E85">
        <w:rPr>
          <w:sz w:val="24"/>
          <w:lang w:val="en-US"/>
        </w:rPr>
        <w:t>$110.0 million</w:t>
      </w:r>
      <w:r w:rsidR="0011531A">
        <w:rPr>
          <w:sz w:val="24"/>
          <w:lang w:val="en-US"/>
        </w:rPr>
        <w:t>.</w:t>
      </w:r>
      <w:r w:rsidR="0011531A">
        <w:rPr>
          <w:rStyle w:val="FootnoteReference"/>
          <w:sz w:val="24"/>
          <w:lang w:val="en-US"/>
        </w:rPr>
        <w:footnoteReference w:id="82"/>
      </w:r>
    </w:p>
    <w:p w14:paraId="226FDADA" w14:textId="448A67F4" w:rsidR="0011531A" w:rsidRDefault="0011531A" w:rsidP="00425F7D">
      <w:pPr>
        <w:pStyle w:val="BodyTextIndent"/>
        <w:rPr>
          <w:sz w:val="24"/>
          <w:lang w:val="en-US"/>
        </w:rPr>
      </w:pPr>
      <w:r>
        <w:rPr>
          <w:sz w:val="24"/>
          <w:lang w:val="en-US"/>
        </w:rPr>
        <w:tab/>
      </w:r>
      <w:r w:rsidR="00FC1E85">
        <w:rPr>
          <w:sz w:val="24"/>
          <w:lang w:val="en-US"/>
        </w:rPr>
        <w:tab/>
        <w:t xml:space="preserve">At the same time the </w:t>
      </w:r>
      <w:r w:rsidR="00A344CA">
        <w:rPr>
          <w:sz w:val="24"/>
          <w:lang w:val="en-US"/>
        </w:rPr>
        <w:t xml:space="preserve">Board approved the </w:t>
      </w:r>
      <w:r w:rsidR="00FC1E85">
        <w:rPr>
          <w:sz w:val="24"/>
          <w:lang w:val="en-US"/>
        </w:rPr>
        <w:t xml:space="preserve">first increase to the project’s budget, </w:t>
      </w:r>
      <w:r w:rsidR="00A344CA">
        <w:rPr>
          <w:sz w:val="24"/>
          <w:lang w:val="en-US"/>
        </w:rPr>
        <w:t xml:space="preserve">it also agreed to move out </w:t>
      </w:r>
      <w:r w:rsidR="00FC1E85">
        <w:rPr>
          <w:sz w:val="24"/>
          <w:lang w:val="en-US"/>
        </w:rPr>
        <w:t>Project Compass’ “Go-Live” date from July 7, 2014, to February 2, 2015.</w:t>
      </w:r>
      <w:r>
        <w:rPr>
          <w:sz w:val="24"/>
          <w:lang w:val="en-US"/>
        </w:rPr>
        <w:tab/>
      </w:r>
    </w:p>
    <w:p w14:paraId="39C6D383" w14:textId="77777777" w:rsidR="0011531A" w:rsidRDefault="0011531A" w:rsidP="00425F7D">
      <w:pPr>
        <w:pStyle w:val="BodyTextIndent"/>
        <w:rPr>
          <w:sz w:val="24"/>
          <w:lang w:val="en-US"/>
        </w:rPr>
      </w:pPr>
    </w:p>
    <w:p w14:paraId="30FC4BB5" w14:textId="18465846" w:rsidR="0011531A" w:rsidRDefault="0011531A" w:rsidP="00425F7D">
      <w:pPr>
        <w:pStyle w:val="BodyTextIndent"/>
        <w:rPr>
          <w:b/>
          <w:sz w:val="24"/>
          <w:lang w:val="en-US"/>
        </w:rPr>
      </w:pPr>
      <w:r>
        <w:rPr>
          <w:b/>
          <w:sz w:val="24"/>
          <w:lang w:val="en-US"/>
        </w:rPr>
        <w:t>Q.</w:t>
      </w:r>
      <w:r>
        <w:rPr>
          <w:b/>
          <w:sz w:val="24"/>
          <w:lang w:val="en-US"/>
        </w:rPr>
        <w:tab/>
        <w:t>Does Avista provide testimony that explains the rea</w:t>
      </w:r>
      <w:r w:rsidR="000A45F6">
        <w:rPr>
          <w:b/>
          <w:sz w:val="24"/>
          <w:lang w:val="en-US"/>
        </w:rPr>
        <w:t>son for both its increase in budget and in-service date delay for the project?</w:t>
      </w:r>
    </w:p>
    <w:p w14:paraId="37537878" w14:textId="77777777" w:rsidR="009C1137" w:rsidRDefault="00AC44A9" w:rsidP="00425F7D">
      <w:pPr>
        <w:pStyle w:val="BodyTextIndent"/>
        <w:rPr>
          <w:sz w:val="24"/>
          <w:lang w:val="en-US"/>
        </w:rPr>
        <w:sectPr w:rsidR="009C1137" w:rsidSect="00374AB3">
          <w:footerReference w:type="default" r:id="rId18"/>
          <w:pgSz w:w="12240" w:h="15840" w:code="1"/>
          <w:pgMar w:top="1440" w:right="1440" w:bottom="1440" w:left="1872" w:header="720" w:footer="720" w:gutter="0"/>
          <w:lnNumType w:countBy="1"/>
          <w:cols w:space="720"/>
          <w:docGrid w:linePitch="360"/>
        </w:sectPr>
      </w:pPr>
      <w:r>
        <w:rPr>
          <w:sz w:val="24"/>
          <w:lang w:val="en-US"/>
        </w:rPr>
        <w:t>A.</w:t>
      </w:r>
      <w:r>
        <w:rPr>
          <w:sz w:val="24"/>
          <w:lang w:val="en-US"/>
        </w:rPr>
        <w:tab/>
      </w:r>
      <w:r w:rsidR="00FA5C64">
        <w:rPr>
          <w:sz w:val="24"/>
          <w:lang w:val="en-US"/>
        </w:rPr>
        <w:t xml:space="preserve">Yes.  </w:t>
      </w:r>
      <w:r w:rsidR="009D004B">
        <w:rPr>
          <w:sz w:val="24"/>
          <w:lang w:val="en-US"/>
        </w:rPr>
        <w:t xml:space="preserve">Mr. Kensok’s direct testimony and his accompanying Exhibit No. __ (JMK-2) describe the </w:t>
      </w:r>
      <w:r w:rsidR="002051D1">
        <w:rPr>
          <w:sz w:val="24"/>
          <w:lang w:val="en-US"/>
        </w:rPr>
        <w:t xml:space="preserve">reasons </w:t>
      </w:r>
      <w:r w:rsidR="009D004B">
        <w:rPr>
          <w:sz w:val="24"/>
          <w:lang w:val="en-US"/>
        </w:rPr>
        <w:t>behind the Company’s adjustment to both the budget and schedule for Project Compass.</w:t>
      </w:r>
      <w:r w:rsidR="009D004B">
        <w:rPr>
          <w:rStyle w:val="FootnoteReference"/>
          <w:sz w:val="24"/>
          <w:lang w:val="en-US"/>
        </w:rPr>
        <w:footnoteReference w:id="83"/>
      </w:r>
      <w:r w:rsidR="002051D1">
        <w:rPr>
          <w:sz w:val="24"/>
          <w:lang w:val="en-US"/>
        </w:rPr>
        <w:t xml:space="preserve">  Avista’s report in Mr. Kensok’s Exhibit No. __ (JMK-2) attributes the delay and subsequent </w:t>
      </w:r>
      <w:r w:rsidR="009147F5">
        <w:rPr>
          <w:sz w:val="24"/>
          <w:lang w:val="en-US"/>
        </w:rPr>
        <w:t>increase in project costs to “l</w:t>
      </w:r>
      <w:r w:rsidR="002051D1">
        <w:rPr>
          <w:sz w:val="24"/>
          <w:lang w:val="en-US"/>
        </w:rPr>
        <w:t xml:space="preserve">onger than </w:t>
      </w:r>
    </w:p>
    <w:p w14:paraId="0F465562" w14:textId="3CBB0530" w:rsidR="000A45F6" w:rsidRPr="000A45F6" w:rsidRDefault="009C1137" w:rsidP="00425F7D">
      <w:pPr>
        <w:pStyle w:val="BodyTextIndent"/>
        <w:rPr>
          <w:sz w:val="24"/>
          <w:lang w:val="en-US"/>
        </w:rPr>
      </w:pPr>
      <w:r>
        <w:rPr>
          <w:sz w:val="24"/>
          <w:lang w:val="en-US"/>
        </w:rPr>
        <w:lastRenderedPageBreak/>
        <w:tab/>
      </w:r>
      <w:r w:rsidR="002051D1">
        <w:rPr>
          <w:sz w:val="24"/>
          <w:lang w:val="en-US"/>
        </w:rPr>
        <w:t>estimated delivery times required by several implementation activities</w:t>
      </w:r>
      <w:r w:rsidR="009147F5">
        <w:rPr>
          <w:sz w:val="24"/>
          <w:lang w:val="en-US"/>
        </w:rPr>
        <w:t xml:space="preserve">” </w:t>
      </w:r>
      <w:r w:rsidR="00D13E71">
        <w:rPr>
          <w:sz w:val="24"/>
          <w:lang w:val="en-US"/>
        </w:rPr>
        <w:t xml:space="preserve">which </w:t>
      </w:r>
      <w:r w:rsidR="009147F5">
        <w:rPr>
          <w:sz w:val="24"/>
          <w:lang w:val="en-US"/>
        </w:rPr>
        <w:t>meant that “the new System was not ready to commence testing on the schedule originally envisioned.”</w:t>
      </w:r>
      <w:r w:rsidR="009147F5">
        <w:rPr>
          <w:rStyle w:val="FootnoteReference"/>
          <w:sz w:val="24"/>
          <w:lang w:val="en-US"/>
        </w:rPr>
        <w:footnoteReference w:id="84"/>
      </w:r>
      <w:r w:rsidR="009147F5">
        <w:rPr>
          <w:sz w:val="24"/>
          <w:lang w:val="en-US"/>
        </w:rPr>
        <w:t xml:space="preserve">  Mr. Kensok’s direct testimony attributes the delay and cost increase to “the process of coding extensions [which] was more complex than initially expected.”  He also adds</w:t>
      </w:r>
      <w:r w:rsidR="00D17E3C">
        <w:rPr>
          <w:sz w:val="24"/>
          <w:lang w:val="en-US"/>
        </w:rPr>
        <w:t xml:space="preserve"> that</w:t>
      </w:r>
      <w:r w:rsidR="009147F5">
        <w:rPr>
          <w:sz w:val="24"/>
          <w:lang w:val="en-US"/>
        </w:rPr>
        <w:t xml:space="preserve"> “the process of remediating defects in the </w:t>
      </w:r>
      <w:r w:rsidR="004B69A6">
        <w:rPr>
          <w:sz w:val="24"/>
          <w:lang w:val="en-US"/>
        </w:rPr>
        <w:t>code required more time than was allotted in the initial project plan.”</w:t>
      </w:r>
      <w:r w:rsidR="004B69A6">
        <w:rPr>
          <w:rStyle w:val="FootnoteReference"/>
          <w:sz w:val="24"/>
          <w:lang w:val="en-US"/>
        </w:rPr>
        <w:footnoteReference w:id="85"/>
      </w:r>
    </w:p>
    <w:p w14:paraId="198E4605" w14:textId="77777777" w:rsidR="007A28BA" w:rsidRDefault="007A28BA" w:rsidP="00425F7D">
      <w:pPr>
        <w:pStyle w:val="BodyTextIndent"/>
        <w:rPr>
          <w:sz w:val="24"/>
          <w:lang w:val="en-US"/>
        </w:rPr>
      </w:pPr>
    </w:p>
    <w:p w14:paraId="3FB18175" w14:textId="06607817" w:rsidR="007A28BA" w:rsidRDefault="007A28BA" w:rsidP="00425F7D">
      <w:pPr>
        <w:pStyle w:val="BodyTextIndent"/>
        <w:rPr>
          <w:b/>
          <w:sz w:val="24"/>
          <w:lang w:val="en-US"/>
        </w:rPr>
      </w:pPr>
      <w:r>
        <w:rPr>
          <w:b/>
          <w:sz w:val="24"/>
          <w:lang w:val="en-US"/>
        </w:rPr>
        <w:t>Q.</w:t>
      </w:r>
      <w:r>
        <w:rPr>
          <w:b/>
          <w:sz w:val="24"/>
          <w:lang w:val="en-US"/>
        </w:rPr>
        <w:tab/>
        <w:t>Is Staff contesting any part of Avista’s proposed recovery of its Project Compass capital costs?</w:t>
      </w:r>
    </w:p>
    <w:p w14:paraId="7E40753E" w14:textId="3A53FD76" w:rsidR="001364DE" w:rsidRDefault="007A28BA" w:rsidP="00425F7D">
      <w:pPr>
        <w:pStyle w:val="BodyTextIndent"/>
        <w:rPr>
          <w:sz w:val="24"/>
          <w:lang w:val="en-US"/>
        </w:rPr>
      </w:pPr>
      <w:r>
        <w:rPr>
          <w:sz w:val="24"/>
          <w:lang w:val="en-US"/>
        </w:rPr>
        <w:t>A.</w:t>
      </w:r>
      <w:r>
        <w:rPr>
          <w:sz w:val="24"/>
          <w:lang w:val="en-US"/>
        </w:rPr>
        <w:tab/>
        <w:t xml:space="preserve">Yes.  </w:t>
      </w:r>
      <w:r w:rsidR="00597880">
        <w:rPr>
          <w:sz w:val="24"/>
          <w:lang w:val="en-US"/>
        </w:rPr>
        <w:t xml:space="preserve">First, </w:t>
      </w:r>
      <w:r w:rsidR="001D6C8F">
        <w:rPr>
          <w:sz w:val="24"/>
          <w:lang w:val="en-US"/>
        </w:rPr>
        <w:t xml:space="preserve">Staff is contesting the </w:t>
      </w:r>
      <w:r w:rsidR="00AE43C3">
        <w:rPr>
          <w:sz w:val="24"/>
          <w:lang w:val="en-US"/>
        </w:rPr>
        <w:t>prudence</w:t>
      </w:r>
      <w:r w:rsidR="001D6C8F">
        <w:rPr>
          <w:sz w:val="24"/>
          <w:lang w:val="en-US"/>
        </w:rPr>
        <w:t xml:space="preserve"> of Avista’s expenditures relating </w:t>
      </w:r>
      <w:r w:rsidR="00597880">
        <w:rPr>
          <w:sz w:val="24"/>
          <w:lang w:val="en-US"/>
        </w:rPr>
        <w:t xml:space="preserve">to the extended timeline.  </w:t>
      </w:r>
      <w:r w:rsidR="008023B2">
        <w:rPr>
          <w:sz w:val="24"/>
          <w:lang w:val="en-US"/>
        </w:rPr>
        <w:t>According to Mr. Kensok, the extended timeline contributed to an additional $17.9 million in system-level project costs.</w:t>
      </w:r>
      <w:r w:rsidR="008023B2">
        <w:rPr>
          <w:rStyle w:val="FootnoteReference"/>
          <w:sz w:val="24"/>
          <w:lang w:val="en-US"/>
        </w:rPr>
        <w:footnoteReference w:id="86"/>
      </w:r>
      <w:r w:rsidR="008023B2">
        <w:rPr>
          <w:sz w:val="24"/>
          <w:lang w:val="en-US"/>
        </w:rPr>
        <w:t xml:space="preserve">  </w:t>
      </w:r>
      <w:r w:rsidR="00597880">
        <w:rPr>
          <w:sz w:val="24"/>
          <w:lang w:val="en-US"/>
        </w:rPr>
        <w:t xml:space="preserve">Second, Staff contests </w:t>
      </w:r>
      <w:r w:rsidR="00F56225">
        <w:rPr>
          <w:sz w:val="24"/>
          <w:lang w:val="en-US"/>
        </w:rPr>
        <w:t xml:space="preserve">the expenditures associated with the Company’s Project Compass </w:t>
      </w:r>
      <w:r w:rsidR="004B6807">
        <w:rPr>
          <w:sz w:val="24"/>
          <w:lang w:val="en-US"/>
        </w:rPr>
        <w:t>bonus p</w:t>
      </w:r>
      <w:r w:rsidR="00F56225">
        <w:rPr>
          <w:sz w:val="24"/>
          <w:lang w:val="en-US"/>
        </w:rPr>
        <w:t xml:space="preserve">lan.  </w:t>
      </w:r>
      <w:r w:rsidR="009F351B" w:rsidRPr="009F351B">
        <w:rPr>
          <w:sz w:val="24"/>
          <w:lang w:val="en-US"/>
        </w:rPr>
        <w:t xml:space="preserve">The total combined effect of Staff’s disallowance recommendations for both the extended timeline and </w:t>
      </w:r>
      <w:r w:rsidR="00D63BE4">
        <w:rPr>
          <w:sz w:val="24"/>
          <w:lang w:val="en-US"/>
        </w:rPr>
        <w:t>b</w:t>
      </w:r>
      <w:r w:rsidR="009F351B" w:rsidRPr="009F351B">
        <w:rPr>
          <w:sz w:val="24"/>
          <w:lang w:val="en-US"/>
        </w:rPr>
        <w:t xml:space="preserve">onus </w:t>
      </w:r>
      <w:r w:rsidR="00D63BE4">
        <w:rPr>
          <w:sz w:val="24"/>
          <w:lang w:val="en-US"/>
        </w:rPr>
        <w:t>p</w:t>
      </w:r>
      <w:r w:rsidR="009F351B" w:rsidRPr="009F351B">
        <w:rPr>
          <w:sz w:val="24"/>
          <w:lang w:val="en-US"/>
        </w:rPr>
        <w:t xml:space="preserve">lan result in a $12.7 million </w:t>
      </w:r>
      <w:r w:rsidR="00396CB8">
        <w:rPr>
          <w:sz w:val="24"/>
          <w:lang w:val="en-US"/>
        </w:rPr>
        <w:t xml:space="preserve">(Washington-allocated) </w:t>
      </w:r>
      <w:r w:rsidR="009F351B" w:rsidRPr="009F351B">
        <w:rPr>
          <w:sz w:val="24"/>
          <w:lang w:val="en-US"/>
        </w:rPr>
        <w:t xml:space="preserve">reduction </w:t>
      </w:r>
      <w:r w:rsidR="00915160">
        <w:rPr>
          <w:sz w:val="24"/>
          <w:lang w:val="en-US"/>
        </w:rPr>
        <w:t xml:space="preserve">to </w:t>
      </w:r>
      <w:r w:rsidR="00396CB8">
        <w:rPr>
          <w:sz w:val="24"/>
          <w:lang w:val="en-US"/>
        </w:rPr>
        <w:t xml:space="preserve">Avista’s proposed 2015 </w:t>
      </w:r>
      <w:r w:rsidR="009F351B" w:rsidRPr="009F351B">
        <w:rPr>
          <w:sz w:val="24"/>
          <w:lang w:val="en-US"/>
        </w:rPr>
        <w:t xml:space="preserve">pro forma </w:t>
      </w:r>
      <w:r w:rsidR="00396CB8">
        <w:rPr>
          <w:sz w:val="24"/>
          <w:lang w:val="en-US"/>
        </w:rPr>
        <w:t>capital additions</w:t>
      </w:r>
      <w:r w:rsidR="00915160">
        <w:rPr>
          <w:sz w:val="24"/>
          <w:lang w:val="en-US"/>
        </w:rPr>
        <w:t xml:space="preserve"> in this case</w:t>
      </w:r>
      <w:r w:rsidR="009F351B" w:rsidRPr="009F351B">
        <w:rPr>
          <w:sz w:val="24"/>
          <w:lang w:val="en-US"/>
        </w:rPr>
        <w:t>.</w:t>
      </w:r>
    </w:p>
    <w:p w14:paraId="32F7A10F" w14:textId="77777777" w:rsidR="001364DE" w:rsidRDefault="001364DE" w:rsidP="00425F7D">
      <w:pPr>
        <w:pStyle w:val="BodyTextIndent"/>
        <w:rPr>
          <w:sz w:val="24"/>
          <w:lang w:val="en-US"/>
        </w:rPr>
      </w:pPr>
    </w:p>
    <w:p w14:paraId="4D3830B2" w14:textId="799972F1" w:rsidR="001364DE" w:rsidRDefault="001364DE" w:rsidP="00425F7D">
      <w:pPr>
        <w:pStyle w:val="BodyTextIndent"/>
        <w:rPr>
          <w:b/>
          <w:sz w:val="24"/>
          <w:lang w:val="en-US"/>
        </w:rPr>
      </w:pPr>
      <w:r>
        <w:rPr>
          <w:b/>
          <w:sz w:val="24"/>
          <w:lang w:val="en-US"/>
        </w:rPr>
        <w:t>Q.</w:t>
      </w:r>
      <w:r>
        <w:rPr>
          <w:b/>
          <w:sz w:val="24"/>
          <w:lang w:val="en-US"/>
        </w:rPr>
        <w:tab/>
        <w:t xml:space="preserve">What is the Project Compass </w:t>
      </w:r>
      <w:r w:rsidR="004B6807">
        <w:rPr>
          <w:b/>
          <w:sz w:val="24"/>
          <w:lang w:val="en-US"/>
        </w:rPr>
        <w:t>b</w:t>
      </w:r>
      <w:r>
        <w:rPr>
          <w:b/>
          <w:sz w:val="24"/>
          <w:lang w:val="en-US"/>
        </w:rPr>
        <w:t xml:space="preserve">onus </w:t>
      </w:r>
      <w:r w:rsidR="004B6807">
        <w:rPr>
          <w:b/>
          <w:sz w:val="24"/>
          <w:lang w:val="en-US"/>
        </w:rPr>
        <w:t>p</w:t>
      </w:r>
      <w:r>
        <w:rPr>
          <w:b/>
          <w:sz w:val="24"/>
          <w:lang w:val="en-US"/>
        </w:rPr>
        <w:t>lan?</w:t>
      </w:r>
    </w:p>
    <w:p w14:paraId="2CF152F3" w14:textId="77777777" w:rsidR="00545CE6" w:rsidRDefault="001364DE" w:rsidP="00425F7D">
      <w:pPr>
        <w:pStyle w:val="BodyTextIndent"/>
        <w:rPr>
          <w:sz w:val="24"/>
          <w:lang w:val="en-US"/>
        </w:rPr>
      </w:pPr>
      <w:r>
        <w:rPr>
          <w:sz w:val="24"/>
          <w:lang w:val="en-US"/>
        </w:rPr>
        <w:t>A.</w:t>
      </w:r>
      <w:r>
        <w:rPr>
          <w:sz w:val="24"/>
          <w:lang w:val="en-US"/>
        </w:rPr>
        <w:tab/>
      </w:r>
      <w:r w:rsidR="00545CE6">
        <w:rPr>
          <w:sz w:val="24"/>
          <w:lang w:val="en-US"/>
        </w:rPr>
        <w:t>According to the Company:</w:t>
      </w:r>
    </w:p>
    <w:p w14:paraId="3F49DEF1" w14:textId="77777777" w:rsidR="00AC6D70" w:rsidRDefault="00545CE6" w:rsidP="00425F7D">
      <w:pPr>
        <w:pStyle w:val="BodyTextIndent"/>
        <w:spacing w:line="240" w:lineRule="auto"/>
        <w:ind w:left="1440" w:firstLine="0"/>
        <w:rPr>
          <w:sz w:val="24"/>
          <w:lang w:val="en-US" w:eastAsia="en-US"/>
        </w:rPr>
        <w:sectPr w:rsidR="00AC6D70" w:rsidSect="00374AB3">
          <w:footerReference w:type="default" r:id="rId19"/>
          <w:pgSz w:w="12240" w:h="15840" w:code="1"/>
          <w:pgMar w:top="1440" w:right="1440" w:bottom="1440" w:left="1872" w:header="720" w:footer="720" w:gutter="0"/>
          <w:lnNumType w:countBy="1"/>
          <w:cols w:space="720"/>
          <w:docGrid w:linePitch="360"/>
        </w:sectPr>
      </w:pPr>
      <w:r>
        <w:rPr>
          <w:sz w:val="24"/>
          <w:lang w:val="en-US" w:eastAsia="en-US"/>
        </w:rPr>
        <w:t>“</w:t>
      </w:r>
      <w:r w:rsidR="001364DE" w:rsidRPr="001364DE">
        <w:rPr>
          <w:sz w:val="24"/>
          <w:lang w:val="en-US" w:eastAsia="en-US"/>
        </w:rPr>
        <w:t xml:space="preserve">Avista’s Project Compass bonus plan was developed early in the </w:t>
      </w:r>
      <w:r w:rsidR="001364DE">
        <w:rPr>
          <w:sz w:val="24"/>
          <w:lang w:val="en-US" w:eastAsia="en-US"/>
        </w:rPr>
        <w:t>p</w:t>
      </w:r>
      <w:r w:rsidR="001364DE" w:rsidRPr="001364DE">
        <w:rPr>
          <w:sz w:val="24"/>
          <w:lang w:val="en-US" w:eastAsia="en-US"/>
        </w:rPr>
        <w:t xml:space="preserve">roject and focused on recognizing and rewarding employees for their individual </w:t>
      </w:r>
    </w:p>
    <w:p w14:paraId="0C76522F" w14:textId="3479CA12" w:rsidR="00DD5207" w:rsidRDefault="001364DE" w:rsidP="00425F7D">
      <w:pPr>
        <w:pStyle w:val="BodyTextIndent"/>
        <w:spacing w:line="240" w:lineRule="auto"/>
        <w:ind w:left="1440" w:firstLine="0"/>
        <w:rPr>
          <w:sz w:val="24"/>
          <w:lang w:val="en-US" w:eastAsia="en-US"/>
        </w:rPr>
      </w:pPr>
      <w:r w:rsidRPr="001364DE">
        <w:rPr>
          <w:sz w:val="24"/>
          <w:lang w:val="en-US" w:eastAsia="en-US"/>
        </w:rPr>
        <w:lastRenderedPageBreak/>
        <w:t xml:space="preserve">contributions in achieving the successful implementation of the new systems, over what would be an intensive three-year process. </w:t>
      </w:r>
      <w:r w:rsidR="00545CE6">
        <w:rPr>
          <w:sz w:val="24"/>
          <w:lang w:val="en-US" w:eastAsia="en-US"/>
        </w:rPr>
        <w:t xml:space="preserve"> </w:t>
      </w:r>
      <w:r w:rsidRPr="001364DE">
        <w:rPr>
          <w:sz w:val="24"/>
          <w:lang w:val="en-US" w:eastAsia="en-US"/>
        </w:rPr>
        <w:t xml:space="preserve">Employees eligible under the plan included regular, full-time employees and certain part-time employees working on the Project. </w:t>
      </w:r>
      <w:r w:rsidR="003506C5">
        <w:rPr>
          <w:sz w:val="24"/>
          <w:lang w:val="en-US" w:eastAsia="en-US"/>
        </w:rPr>
        <w:t xml:space="preserve"> </w:t>
      </w:r>
      <w:r w:rsidRPr="001364DE">
        <w:rPr>
          <w:sz w:val="24"/>
          <w:lang w:val="en-US" w:eastAsia="en-US"/>
        </w:rPr>
        <w:t>Bonuses were associated with key implementation stages of the Project, and the bonus amounts paid to each employee were tied their role and level of contribution.</w:t>
      </w:r>
      <w:r w:rsidR="00DD5207">
        <w:rPr>
          <w:sz w:val="24"/>
          <w:lang w:val="en-US" w:eastAsia="en-US"/>
        </w:rPr>
        <w:t>”</w:t>
      </w:r>
      <w:r w:rsidR="00DD5207">
        <w:rPr>
          <w:rStyle w:val="FootnoteReference"/>
          <w:sz w:val="24"/>
          <w:lang w:val="en-US" w:eastAsia="en-US"/>
        </w:rPr>
        <w:footnoteReference w:id="87"/>
      </w:r>
      <w:r w:rsidRPr="001364DE">
        <w:rPr>
          <w:sz w:val="24"/>
          <w:lang w:val="en-US" w:eastAsia="en-US"/>
        </w:rPr>
        <w:t xml:space="preserve"> </w:t>
      </w:r>
    </w:p>
    <w:p w14:paraId="09D5EA10" w14:textId="77777777" w:rsidR="00425F7D" w:rsidRDefault="00425F7D" w:rsidP="00425F7D">
      <w:pPr>
        <w:pStyle w:val="BodyTextIndent"/>
        <w:spacing w:line="240" w:lineRule="auto"/>
        <w:ind w:left="1440" w:firstLine="0"/>
        <w:rPr>
          <w:sz w:val="24"/>
          <w:lang w:val="en-US"/>
        </w:rPr>
      </w:pPr>
    </w:p>
    <w:p w14:paraId="125B1197" w14:textId="2BCB300B" w:rsidR="007811C5" w:rsidRDefault="00957EB9" w:rsidP="00425F7D">
      <w:pPr>
        <w:pStyle w:val="BodyTextIndent"/>
        <w:ind w:firstLine="0"/>
        <w:rPr>
          <w:sz w:val="24"/>
          <w:lang w:val="en-US"/>
        </w:rPr>
      </w:pPr>
      <w:r>
        <w:rPr>
          <w:sz w:val="24"/>
          <w:lang w:val="en-US"/>
        </w:rPr>
        <w:t xml:space="preserve">Avista reports the </w:t>
      </w:r>
      <w:r w:rsidR="00C5625A">
        <w:rPr>
          <w:sz w:val="24"/>
          <w:lang w:val="en-US"/>
        </w:rPr>
        <w:t xml:space="preserve">system-level </w:t>
      </w:r>
      <w:r w:rsidR="00F56225">
        <w:rPr>
          <w:sz w:val="24"/>
          <w:lang w:val="en-US"/>
        </w:rPr>
        <w:t xml:space="preserve">expenditures </w:t>
      </w:r>
      <w:r>
        <w:rPr>
          <w:sz w:val="24"/>
          <w:lang w:val="en-US"/>
        </w:rPr>
        <w:t xml:space="preserve">for the bonus plan </w:t>
      </w:r>
      <w:r w:rsidR="00DE1FDB">
        <w:rPr>
          <w:sz w:val="24"/>
          <w:lang w:val="en-US"/>
        </w:rPr>
        <w:t>totaled $</w:t>
      </w:r>
      <w:bookmarkStart w:id="81" w:name="_GoBack"/>
      <w:bookmarkEnd w:id="81"/>
      <w:r w:rsidR="009534A4" w:rsidRPr="009534A4">
        <w:rPr>
          <w:sz w:val="24"/>
          <w:highlight w:val="black"/>
          <w:lang w:val="en-US"/>
        </w:rPr>
        <w:t>XXXXX</w:t>
      </w:r>
      <w:r>
        <w:rPr>
          <w:sz w:val="24"/>
          <w:lang w:val="en-US"/>
        </w:rPr>
        <w:t>.</w:t>
      </w:r>
    </w:p>
    <w:p w14:paraId="0475FFD9" w14:textId="77777777" w:rsidR="007811C5" w:rsidRDefault="007811C5" w:rsidP="00425F7D">
      <w:pPr>
        <w:pStyle w:val="BodyTextIndent"/>
        <w:rPr>
          <w:sz w:val="24"/>
          <w:lang w:val="en-US"/>
        </w:rPr>
      </w:pPr>
    </w:p>
    <w:p w14:paraId="5AEEDF2E" w14:textId="5D9007CE" w:rsidR="00EC6C90" w:rsidRDefault="00EC6C90" w:rsidP="00425F7D">
      <w:pPr>
        <w:pStyle w:val="BodyTextIndent"/>
        <w:rPr>
          <w:b/>
          <w:sz w:val="24"/>
          <w:lang w:val="en-US"/>
        </w:rPr>
      </w:pPr>
      <w:r w:rsidRPr="001020F8">
        <w:rPr>
          <w:b/>
          <w:sz w:val="24"/>
          <w:lang w:val="en-US"/>
        </w:rPr>
        <w:t>Q.</w:t>
      </w:r>
      <w:r w:rsidRPr="001020F8">
        <w:rPr>
          <w:b/>
          <w:sz w:val="24"/>
          <w:lang w:val="en-US"/>
        </w:rPr>
        <w:tab/>
        <w:t xml:space="preserve">What </w:t>
      </w:r>
      <w:r>
        <w:rPr>
          <w:b/>
          <w:sz w:val="24"/>
          <w:lang w:val="en-US"/>
        </w:rPr>
        <w:t>is your understanding of the prudence standard?</w:t>
      </w:r>
    </w:p>
    <w:p w14:paraId="69EE9D0E" w14:textId="77777777" w:rsidR="00E5536D" w:rsidRDefault="00EC6C90" w:rsidP="00425F7D">
      <w:pPr>
        <w:pStyle w:val="BodyTextIndent"/>
      </w:pPr>
      <w:r>
        <w:rPr>
          <w:sz w:val="24"/>
          <w:lang w:val="en-US"/>
        </w:rPr>
        <w:t>A.</w:t>
      </w:r>
      <w:r>
        <w:rPr>
          <w:sz w:val="24"/>
          <w:lang w:val="en-US"/>
        </w:rPr>
        <w:tab/>
      </w:r>
      <w:r w:rsidR="00E5536D">
        <w:rPr>
          <w:sz w:val="24"/>
          <w:lang w:val="en-US"/>
        </w:rPr>
        <w:t>The Commission has articulated its prudence standard in a number of decisions throughout the years.  In one such decision, the Commission stated,</w:t>
      </w:r>
    </w:p>
    <w:p w14:paraId="0005F46F" w14:textId="020C0811" w:rsidR="00E5536D" w:rsidRPr="001020F8" w:rsidRDefault="00E5536D" w:rsidP="00425F7D">
      <w:pPr>
        <w:ind w:left="1440"/>
      </w:pPr>
      <w:r w:rsidRPr="001020F8">
        <w:t>Historically, the Commission has followed the widely adopted standard for evaluating prudence whereby:</w:t>
      </w:r>
    </w:p>
    <w:p w14:paraId="7F7F045C" w14:textId="77777777" w:rsidR="00E5536D" w:rsidRDefault="00E5536D" w:rsidP="00425F7D">
      <w:pPr>
        <w:spacing w:line="288" w:lineRule="auto"/>
        <w:rPr>
          <w:bCs/>
          <w:color w:val="000000"/>
        </w:rPr>
      </w:pPr>
    </w:p>
    <w:p w14:paraId="46D74CE9" w14:textId="5C7C79D4" w:rsidR="00E5536D" w:rsidRDefault="00E5536D" w:rsidP="00425F7D">
      <w:pPr>
        <w:ind w:left="1440" w:right="720"/>
        <w:rPr>
          <w:bCs/>
          <w:color w:val="000000"/>
        </w:rPr>
      </w:pPr>
      <w:r>
        <w:t>It is generally conceded that one cannot use the advantage of hindsight.  The test this Commission applies to measure prudence is what would a reasonable board of directors and company management have decided given what they knew or reasonably should have known to be true at the time they made a decision.  This test applies both to the question of need and the appropriateness of the expenditures.</w:t>
      </w:r>
      <w:r>
        <w:rPr>
          <w:rStyle w:val="FootnoteReference"/>
        </w:rPr>
        <w:footnoteReference w:id="88"/>
      </w:r>
    </w:p>
    <w:p w14:paraId="3B5F3E3F" w14:textId="77777777" w:rsidR="00E5536D" w:rsidRDefault="00E5536D" w:rsidP="00425F7D">
      <w:pPr>
        <w:pStyle w:val="BodyTextIndent"/>
        <w:rPr>
          <w:sz w:val="24"/>
          <w:lang w:val="en-US"/>
        </w:rPr>
      </w:pPr>
    </w:p>
    <w:p w14:paraId="7F0B9823" w14:textId="71F46E21" w:rsidR="0066638E" w:rsidRDefault="0066638E" w:rsidP="00425F7D">
      <w:pPr>
        <w:pStyle w:val="BodyTextIndent"/>
        <w:ind w:firstLine="0"/>
        <w:rPr>
          <w:sz w:val="24"/>
          <w:lang w:val="en-US"/>
        </w:rPr>
      </w:pPr>
      <w:r>
        <w:rPr>
          <w:sz w:val="24"/>
          <w:lang w:val="en-US"/>
        </w:rPr>
        <w:t xml:space="preserve">The Commission also has </w:t>
      </w:r>
      <w:r w:rsidR="002964BB">
        <w:rPr>
          <w:sz w:val="24"/>
          <w:lang w:val="en-US"/>
        </w:rPr>
        <w:t>explained</w:t>
      </w:r>
      <w:r>
        <w:rPr>
          <w:sz w:val="24"/>
          <w:lang w:val="en-US"/>
        </w:rPr>
        <w:t xml:space="preserve"> that</w:t>
      </w:r>
      <w:r w:rsidR="002964BB">
        <w:rPr>
          <w:sz w:val="24"/>
          <w:lang w:val="en-US"/>
        </w:rPr>
        <w:t>,</w:t>
      </w:r>
      <w:r>
        <w:rPr>
          <w:sz w:val="24"/>
          <w:lang w:val="en-US"/>
        </w:rPr>
        <w:t xml:space="preserve"> after a company initiates a project, a company must continue to evaluate and ensure its prudence:  </w:t>
      </w:r>
    </w:p>
    <w:p w14:paraId="55462467" w14:textId="77777777" w:rsidR="00CA1237" w:rsidRDefault="00A12FD3" w:rsidP="00425F7D">
      <w:pPr>
        <w:pStyle w:val="UTCBody"/>
        <w:ind w:left="1440"/>
        <w:sectPr w:rsidR="00CA1237" w:rsidSect="00374AB3">
          <w:footerReference w:type="default" r:id="rId20"/>
          <w:pgSz w:w="12240" w:h="15840" w:code="1"/>
          <w:pgMar w:top="1440" w:right="1440" w:bottom="1440" w:left="1872" w:header="720" w:footer="720" w:gutter="0"/>
          <w:lnNumType w:countBy="1"/>
          <w:cols w:space="720"/>
          <w:docGrid w:linePitch="360"/>
        </w:sectPr>
      </w:pPr>
      <w:r>
        <w:t xml:space="preserve">Simply because the decision to begin a project is prudent does not mean the continuation or completion of the project is </w:t>
      </w:r>
      <w:r>
        <w:rPr>
          <w:i/>
        </w:rPr>
        <w:t>ipso facto</w:t>
      </w:r>
      <w:r>
        <w:t xml:space="preserve"> prudent.  The Commission believes that a company must continually evaluate a project as it progresses to determine if the project continues to be prudent from both the need for the project and its impact on the company’s ratepayers.</w:t>
      </w:r>
      <w:r>
        <w:rPr>
          <w:rStyle w:val="FootnoteReference"/>
        </w:rPr>
        <w:footnoteReference w:id="89"/>
      </w:r>
    </w:p>
    <w:p w14:paraId="2A97E9E2" w14:textId="214DF546" w:rsidR="00E13827" w:rsidRPr="00E13827" w:rsidRDefault="002964BB" w:rsidP="00425F7D">
      <w:pPr>
        <w:pStyle w:val="BodyTextIndent"/>
        <w:ind w:firstLine="0"/>
      </w:pPr>
      <w:r>
        <w:rPr>
          <w:sz w:val="24"/>
          <w:lang w:val="en-US"/>
        </w:rPr>
        <w:lastRenderedPageBreak/>
        <w:t>In addition, t</w:t>
      </w:r>
      <w:r w:rsidR="00E13827">
        <w:rPr>
          <w:sz w:val="24"/>
          <w:lang w:val="en-US"/>
        </w:rPr>
        <w:t xml:space="preserve">he Commission has made it clear that the </w:t>
      </w:r>
      <w:r>
        <w:rPr>
          <w:sz w:val="24"/>
          <w:lang w:val="en-US"/>
        </w:rPr>
        <w:t xml:space="preserve">company bears the </w:t>
      </w:r>
      <w:r w:rsidR="00E13827">
        <w:rPr>
          <w:sz w:val="24"/>
          <w:lang w:val="en-US"/>
        </w:rPr>
        <w:t>burden of demonstrating prudence.</w:t>
      </w:r>
      <w:r>
        <w:rPr>
          <w:rStyle w:val="FootnoteReference"/>
          <w:sz w:val="24"/>
          <w:lang w:val="en-US"/>
        </w:rPr>
        <w:footnoteReference w:id="90"/>
      </w:r>
      <w:r w:rsidR="00E13827">
        <w:rPr>
          <w:sz w:val="24"/>
          <w:lang w:val="en-US"/>
        </w:rPr>
        <w:t xml:space="preserve"> </w:t>
      </w:r>
    </w:p>
    <w:p w14:paraId="055A7CB6" w14:textId="77777777" w:rsidR="003F5D91" w:rsidRDefault="003F5D91" w:rsidP="00425F7D">
      <w:pPr>
        <w:pStyle w:val="BodyTextIndent"/>
        <w:rPr>
          <w:b/>
          <w:sz w:val="24"/>
          <w:lang w:val="en-US"/>
        </w:rPr>
      </w:pPr>
    </w:p>
    <w:p w14:paraId="42867EEF" w14:textId="7CBCA098" w:rsidR="00283CC5" w:rsidRDefault="007811C5" w:rsidP="00425F7D">
      <w:pPr>
        <w:pStyle w:val="BodyTextIndent"/>
        <w:rPr>
          <w:b/>
          <w:sz w:val="24"/>
          <w:lang w:val="en-US"/>
        </w:rPr>
      </w:pPr>
      <w:r>
        <w:rPr>
          <w:b/>
          <w:sz w:val="24"/>
          <w:lang w:val="en-US"/>
        </w:rPr>
        <w:t>Q.</w:t>
      </w:r>
      <w:r>
        <w:rPr>
          <w:b/>
          <w:sz w:val="24"/>
          <w:lang w:val="en-US"/>
        </w:rPr>
        <w:tab/>
      </w:r>
      <w:r w:rsidR="003137D8">
        <w:rPr>
          <w:b/>
          <w:sz w:val="24"/>
          <w:lang w:val="en-US"/>
        </w:rPr>
        <w:t xml:space="preserve">Why is </w:t>
      </w:r>
      <w:r w:rsidR="00283CC5">
        <w:rPr>
          <w:b/>
          <w:sz w:val="24"/>
          <w:lang w:val="en-US"/>
        </w:rPr>
        <w:t>Staff contest</w:t>
      </w:r>
      <w:r w:rsidR="003137D8">
        <w:rPr>
          <w:b/>
          <w:sz w:val="24"/>
          <w:lang w:val="en-US"/>
        </w:rPr>
        <w:t>ing</w:t>
      </w:r>
      <w:r w:rsidR="00283CC5">
        <w:rPr>
          <w:b/>
          <w:sz w:val="24"/>
          <w:lang w:val="en-US"/>
        </w:rPr>
        <w:t xml:space="preserve"> the </w:t>
      </w:r>
      <w:r w:rsidR="00D46608">
        <w:rPr>
          <w:b/>
          <w:sz w:val="24"/>
          <w:lang w:val="en-US"/>
        </w:rPr>
        <w:t>prudenc</w:t>
      </w:r>
      <w:r w:rsidR="00AE43C3">
        <w:rPr>
          <w:b/>
          <w:sz w:val="24"/>
          <w:lang w:val="en-US"/>
        </w:rPr>
        <w:t>e</w:t>
      </w:r>
      <w:r w:rsidR="00D46608">
        <w:rPr>
          <w:b/>
          <w:sz w:val="24"/>
          <w:lang w:val="en-US"/>
        </w:rPr>
        <w:t xml:space="preserve"> of </w:t>
      </w:r>
      <w:r w:rsidR="00283CC5">
        <w:rPr>
          <w:b/>
          <w:sz w:val="24"/>
          <w:lang w:val="en-US"/>
        </w:rPr>
        <w:t>Avista’s additional capital costs for Project Compass?</w:t>
      </w:r>
    </w:p>
    <w:p w14:paraId="7DDEDBAA" w14:textId="4181D58C" w:rsidR="005A2A60" w:rsidRDefault="00283CC5" w:rsidP="00425F7D">
      <w:pPr>
        <w:pStyle w:val="BodyTextIndent"/>
        <w:rPr>
          <w:sz w:val="24"/>
          <w:lang w:val="en-US"/>
        </w:rPr>
      </w:pPr>
      <w:r>
        <w:rPr>
          <w:sz w:val="24"/>
          <w:lang w:val="en-US"/>
        </w:rPr>
        <w:t>A.</w:t>
      </w:r>
      <w:r>
        <w:rPr>
          <w:sz w:val="24"/>
          <w:lang w:val="en-US"/>
        </w:rPr>
        <w:tab/>
      </w:r>
      <w:r w:rsidR="000B3679">
        <w:rPr>
          <w:sz w:val="24"/>
          <w:lang w:val="en-US"/>
        </w:rPr>
        <w:t xml:space="preserve">Avista’s </w:t>
      </w:r>
      <w:r w:rsidR="00EB60C1">
        <w:rPr>
          <w:sz w:val="24"/>
          <w:lang w:val="en-US"/>
        </w:rPr>
        <w:t>explanation</w:t>
      </w:r>
      <w:r w:rsidR="000B3679">
        <w:rPr>
          <w:sz w:val="24"/>
          <w:lang w:val="en-US"/>
        </w:rPr>
        <w:t>,</w:t>
      </w:r>
      <w:r w:rsidR="00EB60C1">
        <w:rPr>
          <w:sz w:val="24"/>
          <w:lang w:val="en-US"/>
        </w:rPr>
        <w:t xml:space="preserve"> contained in </w:t>
      </w:r>
      <w:r w:rsidR="000B3679">
        <w:rPr>
          <w:sz w:val="24"/>
          <w:lang w:val="en-US"/>
        </w:rPr>
        <w:t xml:space="preserve">the testimony and exhibits of Mr. Kensok, </w:t>
      </w:r>
      <w:r w:rsidR="00173861">
        <w:rPr>
          <w:sz w:val="24"/>
          <w:lang w:val="en-US"/>
        </w:rPr>
        <w:t xml:space="preserve">does </w:t>
      </w:r>
      <w:r w:rsidR="00472720">
        <w:rPr>
          <w:sz w:val="24"/>
          <w:lang w:val="en-US"/>
        </w:rPr>
        <w:t xml:space="preserve">not tell the whole story behind the reasons for Project Compass’ cost overrun and implementation delay.  </w:t>
      </w:r>
      <w:r w:rsidR="000B3679">
        <w:rPr>
          <w:sz w:val="24"/>
          <w:lang w:val="en-US"/>
        </w:rPr>
        <w:t>The Company</w:t>
      </w:r>
      <w:r>
        <w:rPr>
          <w:sz w:val="24"/>
          <w:lang w:val="en-US"/>
        </w:rPr>
        <w:t xml:space="preserve">’s responses to </w:t>
      </w:r>
      <w:r w:rsidR="004D5DAD">
        <w:rPr>
          <w:sz w:val="24"/>
          <w:lang w:val="en-US"/>
        </w:rPr>
        <w:t xml:space="preserve">Staff’s </w:t>
      </w:r>
      <w:r>
        <w:rPr>
          <w:sz w:val="24"/>
          <w:lang w:val="en-US"/>
        </w:rPr>
        <w:t>discovery requests</w:t>
      </w:r>
      <w:r w:rsidR="003137D8">
        <w:rPr>
          <w:rStyle w:val="FootnoteReference"/>
          <w:sz w:val="24"/>
          <w:lang w:val="en-US"/>
        </w:rPr>
        <w:footnoteReference w:id="91"/>
      </w:r>
      <w:r>
        <w:rPr>
          <w:sz w:val="24"/>
          <w:lang w:val="en-US"/>
        </w:rPr>
        <w:t xml:space="preserve"> </w:t>
      </w:r>
      <w:r w:rsidR="00C21869">
        <w:rPr>
          <w:sz w:val="24"/>
          <w:lang w:val="en-US"/>
        </w:rPr>
        <w:t xml:space="preserve">reveal that the primary contributor to the added </w:t>
      </w:r>
      <w:r w:rsidR="00DE4926">
        <w:rPr>
          <w:sz w:val="24"/>
          <w:lang w:val="en-US"/>
        </w:rPr>
        <w:t xml:space="preserve">capital </w:t>
      </w:r>
      <w:r w:rsidR="00C21869">
        <w:rPr>
          <w:sz w:val="24"/>
          <w:lang w:val="en-US"/>
        </w:rPr>
        <w:t xml:space="preserve">costs was the performance of </w:t>
      </w:r>
      <w:r w:rsidR="000B3679">
        <w:rPr>
          <w:sz w:val="24"/>
          <w:lang w:val="en-US"/>
        </w:rPr>
        <w:t>Project Compass’</w:t>
      </w:r>
      <w:r w:rsidR="00C21869">
        <w:rPr>
          <w:sz w:val="24"/>
          <w:lang w:val="en-US"/>
        </w:rPr>
        <w:t xml:space="preserve"> System Integrator </w:t>
      </w:r>
      <w:r w:rsidR="003137D8">
        <w:rPr>
          <w:sz w:val="24"/>
          <w:lang w:val="en-US"/>
        </w:rPr>
        <w:t>(SI)</w:t>
      </w:r>
      <w:r w:rsidR="00BE3A11">
        <w:rPr>
          <w:rStyle w:val="FootnoteReference"/>
          <w:sz w:val="24"/>
          <w:lang w:val="en-US"/>
        </w:rPr>
        <w:footnoteReference w:id="92"/>
      </w:r>
      <w:r w:rsidR="003137D8">
        <w:rPr>
          <w:sz w:val="24"/>
          <w:lang w:val="en-US"/>
        </w:rPr>
        <w:t xml:space="preserve"> </w:t>
      </w:r>
      <w:r w:rsidR="00C21869">
        <w:rPr>
          <w:sz w:val="24"/>
          <w:lang w:val="en-US"/>
        </w:rPr>
        <w:t xml:space="preserve">for </w:t>
      </w:r>
      <w:r w:rsidR="004D5DAD">
        <w:rPr>
          <w:sz w:val="24"/>
          <w:lang w:val="en-US"/>
        </w:rPr>
        <w:t xml:space="preserve">the </w:t>
      </w:r>
      <w:r w:rsidR="00C21869">
        <w:rPr>
          <w:sz w:val="24"/>
          <w:lang w:val="en-US"/>
        </w:rPr>
        <w:t xml:space="preserve">Oracle Customer Care &amp; Billing </w:t>
      </w:r>
      <w:r w:rsidR="004D5DAD">
        <w:rPr>
          <w:sz w:val="24"/>
          <w:lang w:val="en-US"/>
        </w:rPr>
        <w:t xml:space="preserve">(CC&amp;B) </w:t>
      </w:r>
      <w:r w:rsidR="00C21869">
        <w:rPr>
          <w:sz w:val="24"/>
          <w:lang w:val="en-US"/>
        </w:rPr>
        <w:t>solution</w:t>
      </w:r>
      <w:r w:rsidR="00D17E3C">
        <w:rPr>
          <w:sz w:val="24"/>
          <w:lang w:val="en-US"/>
        </w:rPr>
        <w:t>:</w:t>
      </w:r>
      <w:r w:rsidR="004D5DAD">
        <w:rPr>
          <w:sz w:val="24"/>
          <w:lang w:val="en-US"/>
        </w:rPr>
        <w:t xml:space="preserve"> </w:t>
      </w:r>
      <w:r w:rsidR="00C21869" w:rsidRPr="00C21869">
        <w:rPr>
          <w:sz w:val="24"/>
          <w:lang w:val="en-US"/>
        </w:rPr>
        <w:t>EP2M/Five Point/E</w:t>
      </w:r>
      <w:r w:rsidR="006E001B">
        <w:rPr>
          <w:sz w:val="24"/>
          <w:lang w:val="en-US"/>
        </w:rPr>
        <w:t>rnst &amp; Young</w:t>
      </w:r>
      <w:r w:rsidR="004D5DAD">
        <w:rPr>
          <w:sz w:val="24"/>
          <w:lang w:val="en-US"/>
        </w:rPr>
        <w:t>.</w:t>
      </w:r>
      <w:r w:rsidR="003137D8">
        <w:rPr>
          <w:rStyle w:val="FootnoteReference"/>
          <w:sz w:val="24"/>
          <w:lang w:val="en-US"/>
        </w:rPr>
        <w:footnoteReference w:id="93"/>
      </w:r>
      <w:r w:rsidR="004D5DAD">
        <w:rPr>
          <w:sz w:val="24"/>
          <w:lang w:val="en-US"/>
        </w:rPr>
        <w:t xml:space="preserve">  </w:t>
      </w:r>
    </w:p>
    <w:p w14:paraId="75D55EC3" w14:textId="1A362D61" w:rsidR="002F08B7" w:rsidRDefault="00896C92" w:rsidP="00425F7D">
      <w:pPr>
        <w:pStyle w:val="BodyTextIndent"/>
        <w:ind w:firstLine="720"/>
        <w:rPr>
          <w:sz w:val="24"/>
          <w:lang w:val="en-US"/>
        </w:rPr>
      </w:pPr>
      <w:r>
        <w:rPr>
          <w:sz w:val="24"/>
          <w:lang w:val="en-US"/>
        </w:rPr>
        <w:t>Staff</w:t>
      </w:r>
      <w:r w:rsidR="0035743E">
        <w:rPr>
          <w:sz w:val="24"/>
          <w:lang w:val="en-US"/>
        </w:rPr>
        <w:t xml:space="preserve">’s </w:t>
      </w:r>
      <w:r>
        <w:rPr>
          <w:sz w:val="24"/>
          <w:lang w:val="en-US"/>
        </w:rPr>
        <w:t xml:space="preserve">recommendation to disallow Avista’s capital costs relating to the extended timeline </w:t>
      </w:r>
      <w:r w:rsidR="0035743E">
        <w:rPr>
          <w:sz w:val="24"/>
          <w:lang w:val="en-US"/>
        </w:rPr>
        <w:t>are based on the following</w:t>
      </w:r>
      <w:r w:rsidR="002063F3">
        <w:rPr>
          <w:sz w:val="24"/>
          <w:lang w:val="en-US"/>
        </w:rPr>
        <w:t xml:space="preserve"> issues, which I discuss below</w:t>
      </w:r>
      <w:r w:rsidR="009A25AE">
        <w:rPr>
          <w:sz w:val="24"/>
          <w:lang w:val="en-US"/>
        </w:rPr>
        <w:t>:</w:t>
      </w:r>
      <w:r w:rsidR="002F08B7">
        <w:rPr>
          <w:sz w:val="24"/>
          <w:lang w:val="en-US"/>
        </w:rPr>
        <w:t xml:space="preserve"> 1) </w:t>
      </w:r>
      <w:r w:rsidR="00D63BE4">
        <w:rPr>
          <w:sz w:val="24"/>
          <w:lang w:val="en-US"/>
        </w:rPr>
        <w:t>t</w:t>
      </w:r>
      <w:r w:rsidR="002F08B7">
        <w:rPr>
          <w:sz w:val="24"/>
          <w:lang w:val="en-US"/>
        </w:rPr>
        <w:t>he</w:t>
      </w:r>
      <w:r>
        <w:rPr>
          <w:sz w:val="24"/>
          <w:lang w:val="en-US"/>
        </w:rPr>
        <w:t xml:space="preserve"> </w:t>
      </w:r>
      <w:r w:rsidR="009A25AE">
        <w:rPr>
          <w:sz w:val="24"/>
          <w:lang w:val="en-US"/>
        </w:rPr>
        <w:t xml:space="preserve">failure </w:t>
      </w:r>
      <w:r w:rsidR="00857B2A">
        <w:rPr>
          <w:sz w:val="24"/>
          <w:lang w:val="en-US"/>
        </w:rPr>
        <w:t xml:space="preserve">on the part </w:t>
      </w:r>
      <w:r w:rsidR="009A25AE">
        <w:rPr>
          <w:sz w:val="24"/>
          <w:lang w:val="en-US"/>
        </w:rPr>
        <w:t xml:space="preserve">of Avista to </w:t>
      </w:r>
      <w:r w:rsidR="00133E9B">
        <w:rPr>
          <w:sz w:val="24"/>
          <w:lang w:val="en-US"/>
        </w:rPr>
        <w:t>recognize</w:t>
      </w:r>
      <w:r w:rsidR="0035743E">
        <w:rPr>
          <w:sz w:val="24"/>
          <w:lang w:val="en-US"/>
        </w:rPr>
        <w:t>,</w:t>
      </w:r>
      <w:r w:rsidR="00133E9B">
        <w:rPr>
          <w:sz w:val="24"/>
          <w:lang w:val="en-US"/>
        </w:rPr>
        <w:t xml:space="preserve"> </w:t>
      </w:r>
      <w:r w:rsidR="0035743E">
        <w:rPr>
          <w:sz w:val="24"/>
          <w:lang w:val="en-US"/>
        </w:rPr>
        <w:t>evaluate, identify</w:t>
      </w:r>
      <w:r w:rsidR="004D2CED">
        <w:rPr>
          <w:sz w:val="24"/>
          <w:lang w:val="en-US"/>
        </w:rPr>
        <w:t>, document</w:t>
      </w:r>
      <w:r w:rsidR="0035743E">
        <w:rPr>
          <w:sz w:val="24"/>
          <w:lang w:val="en-US"/>
        </w:rPr>
        <w:t xml:space="preserve"> </w:t>
      </w:r>
      <w:r w:rsidR="008F2B74">
        <w:rPr>
          <w:sz w:val="24"/>
          <w:lang w:val="en-US"/>
        </w:rPr>
        <w:t xml:space="preserve">and </w:t>
      </w:r>
      <w:r w:rsidR="0035743E">
        <w:rPr>
          <w:sz w:val="24"/>
          <w:lang w:val="en-US"/>
        </w:rPr>
        <w:t xml:space="preserve">mitigate the </w:t>
      </w:r>
      <w:r w:rsidR="00BC7F2A">
        <w:rPr>
          <w:sz w:val="24"/>
          <w:lang w:val="en-US"/>
        </w:rPr>
        <w:t xml:space="preserve">possible </w:t>
      </w:r>
      <w:r w:rsidR="008F2B74">
        <w:rPr>
          <w:sz w:val="24"/>
          <w:lang w:val="en-US"/>
        </w:rPr>
        <w:t>risks to Project Compass r</w:t>
      </w:r>
      <w:r w:rsidR="0035743E">
        <w:rPr>
          <w:sz w:val="24"/>
          <w:lang w:val="en-US"/>
        </w:rPr>
        <w:t xml:space="preserve">esulting from </w:t>
      </w:r>
      <w:r w:rsidR="00133E9B">
        <w:rPr>
          <w:sz w:val="24"/>
          <w:lang w:val="en-US"/>
        </w:rPr>
        <w:t xml:space="preserve">the apparent conflict of interest </w:t>
      </w:r>
      <w:r w:rsidR="0035743E">
        <w:rPr>
          <w:sz w:val="24"/>
          <w:lang w:val="en-US"/>
        </w:rPr>
        <w:t xml:space="preserve">arising </w:t>
      </w:r>
      <w:r w:rsidR="00133E9B">
        <w:rPr>
          <w:sz w:val="24"/>
          <w:lang w:val="en-US"/>
        </w:rPr>
        <w:t>from Five Point’s acquisition of EP2M less than six months after award of a contract</w:t>
      </w:r>
      <w:r w:rsidR="002063F3">
        <w:rPr>
          <w:sz w:val="24"/>
          <w:lang w:val="en-US"/>
        </w:rPr>
        <w:t xml:space="preserve">; 2) </w:t>
      </w:r>
      <w:r w:rsidR="0062610A" w:rsidRPr="0062610A">
        <w:rPr>
          <w:sz w:val="24"/>
          <w:lang w:val="en-US"/>
        </w:rPr>
        <w:t>Avista</w:t>
      </w:r>
      <w:r w:rsidR="0084623A">
        <w:rPr>
          <w:sz w:val="24"/>
          <w:lang w:val="en-US"/>
        </w:rPr>
        <w:t>’s failure</w:t>
      </w:r>
      <w:r w:rsidR="0062610A" w:rsidRPr="0062610A" w:rsidDel="00D344D7">
        <w:rPr>
          <w:sz w:val="24"/>
          <w:lang w:val="en-US"/>
        </w:rPr>
        <w:t xml:space="preserve"> </w:t>
      </w:r>
      <w:r w:rsidR="0062610A" w:rsidRPr="0062610A">
        <w:rPr>
          <w:sz w:val="24"/>
          <w:lang w:val="en-US"/>
        </w:rPr>
        <w:t xml:space="preserve">to cure contractual breaches on the part of the SI early </w:t>
      </w:r>
      <w:r w:rsidR="0062610A" w:rsidRPr="0062610A">
        <w:rPr>
          <w:sz w:val="24"/>
          <w:lang w:val="en-US"/>
        </w:rPr>
        <w:lastRenderedPageBreak/>
        <w:t>enough in the project, which could have avoided the need for an extension of the project’s timeline and added cost</w:t>
      </w:r>
      <w:r w:rsidR="00025040">
        <w:rPr>
          <w:sz w:val="24"/>
          <w:lang w:val="en-US"/>
        </w:rPr>
        <w:t>;</w:t>
      </w:r>
      <w:r w:rsidR="00290231">
        <w:rPr>
          <w:sz w:val="24"/>
          <w:lang w:val="en-US"/>
        </w:rPr>
        <w:t xml:space="preserve"> and </w:t>
      </w:r>
      <w:r w:rsidR="002063F3">
        <w:rPr>
          <w:sz w:val="24"/>
          <w:lang w:val="en-US"/>
        </w:rPr>
        <w:t xml:space="preserve">3) </w:t>
      </w:r>
      <w:r w:rsidR="00D63BE4">
        <w:rPr>
          <w:sz w:val="24"/>
          <w:lang w:val="en-US"/>
        </w:rPr>
        <w:t>t</w:t>
      </w:r>
      <w:r w:rsidR="00025040">
        <w:rPr>
          <w:sz w:val="24"/>
          <w:lang w:val="en-US"/>
        </w:rPr>
        <w:t>he Company</w:t>
      </w:r>
      <w:r w:rsidR="00FB59AE">
        <w:rPr>
          <w:sz w:val="24"/>
          <w:lang w:val="en-US"/>
        </w:rPr>
        <w:t xml:space="preserve">’s lack of documentation of the prudence of </w:t>
      </w:r>
      <w:r w:rsidR="00025040">
        <w:rPr>
          <w:sz w:val="24"/>
          <w:lang w:val="en-US"/>
        </w:rPr>
        <w:t>its decision</w:t>
      </w:r>
      <w:r w:rsidR="00290231">
        <w:rPr>
          <w:sz w:val="24"/>
          <w:lang w:val="en-US"/>
        </w:rPr>
        <w:t>, above other alternatives,</w:t>
      </w:r>
      <w:r w:rsidR="00025040">
        <w:rPr>
          <w:sz w:val="24"/>
          <w:lang w:val="en-US"/>
        </w:rPr>
        <w:t xml:space="preserve"> to enter into an Extension Agreement with Ernst &amp; Young (EY) for the added resources needed to complete Project Compass.</w:t>
      </w:r>
      <w:r w:rsidR="00025040">
        <w:rPr>
          <w:rStyle w:val="FootnoteReference"/>
          <w:sz w:val="24"/>
          <w:lang w:val="en-US"/>
        </w:rPr>
        <w:footnoteReference w:id="94"/>
      </w:r>
      <w:r w:rsidR="008F2B74">
        <w:rPr>
          <w:sz w:val="24"/>
          <w:lang w:val="en-US"/>
        </w:rPr>
        <w:t xml:space="preserve"> </w:t>
      </w:r>
    </w:p>
    <w:p w14:paraId="3AFB3961" w14:textId="3672FB4B" w:rsidR="00370095" w:rsidRDefault="00370095" w:rsidP="00425F7D">
      <w:pPr>
        <w:pStyle w:val="BodyTextIndent"/>
        <w:ind w:firstLine="720"/>
        <w:rPr>
          <w:sz w:val="24"/>
          <w:lang w:val="en-US"/>
        </w:rPr>
      </w:pPr>
    </w:p>
    <w:p w14:paraId="2056A134" w14:textId="7C5A56CA" w:rsidR="00370095" w:rsidRDefault="00370095" w:rsidP="00425F7D">
      <w:pPr>
        <w:pStyle w:val="BodyTextIndent"/>
        <w:rPr>
          <w:b/>
          <w:sz w:val="24"/>
          <w:lang w:val="en-US"/>
        </w:rPr>
      </w:pPr>
      <w:r>
        <w:rPr>
          <w:b/>
          <w:sz w:val="24"/>
          <w:lang w:val="en-US"/>
        </w:rPr>
        <w:t>Q.</w:t>
      </w:r>
      <w:r>
        <w:rPr>
          <w:b/>
          <w:sz w:val="24"/>
          <w:lang w:val="en-US"/>
        </w:rPr>
        <w:tab/>
        <w:t xml:space="preserve">What was the function of the </w:t>
      </w:r>
      <w:r w:rsidR="0012214B">
        <w:rPr>
          <w:b/>
          <w:sz w:val="24"/>
          <w:lang w:val="en-US"/>
        </w:rPr>
        <w:t xml:space="preserve">CC&amp;B </w:t>
      </w:r>
      <w:r>
        <w:rPr>
          <w:b/>
          <w:sz w:val="24"/>
          <w:lang w:val="en-US"/>
        </w:rPr>
        <w:t>S</w:t>
      </w:r>
      <w:r w:rsidR="00484D1D">
        <w:rPr>
          <w:b/>
          <w:sz w:val="24"/>
          <w:lang w:val="en-US"/>
        </w:rPr>
        <w:t>ystem Integrator</w:t>
      </w:r>
      <w:r>
        <w:rPr>
          <w:b/>
          <w:sz w:val="24"/>
          <w:lang w:val="en-US"/>
        </w:rPr>
        <w:t xml:space="preserve"> for Project Compass?</w:t>
      </w:r>
    </w:p>
    <w:p w14:paraId="41A5DB51" w14:textId="018D9503" w:rsidR="00370095" w:rsidRDefault="00370095" w:rsidP="00425F7D">
      <w:pPr>
        <w:pStyle w:val="BodyTextIndent"/>
        <w:rPr>
          <w:sz w:val="24"/>
          <w:lang w:val="en-US"/>
        </w:rPr>
      </w:pPr>
      <w:r>
        <w:rPr>
          <w:sz w:val="24"/>
          <w:lang w:val="en-US"/>
        </w:rPr>
        <w:t>A.</w:t>
      </w:r>
      <w:r>
        <w:rPr>
          <w:sz w:val="24"/>
          <w:lang w:val="en-US"/>
        </w:rPr>
        <w:tab/>
      </w:r>
      <w:r w:rsidR="00484D1D">
        <w:rPr>
          <w:sz w:val="24"/>
          <w:lang w:val="en-US"/>
        </w:rPr>
        <w:t>T</w:t>
      </w:r>
      <w:r w:rsidR="0012214B">
        <w:rPr>
          <w:sz w:val="24"/>
          <w:lang w:val="en-US"/>
        </w:rPr>
        <w:t xml:space="preserve">he CC&amp;B </w:t>
      </w:r>
      <w:r w:rsidR="00484D1D">
        <w:rPr>
          <w:sz w:val="24"/>
          <w:lang w:val="en-US"/>
        </w:rPr>
        <w:t>SI</w:t>
      </w:r>
      <w:r w:rsidR="003537FF">
        <w:rPr>
          <w:sz w:val="24"/>
          <w:lang w:val="en-US"/>
        </w:rPr>
        <w:t xml:space="preserve"> </w:t>
      </w:r>
      <w:r w:rsidR="0012214B">
        <w:rPr>
          <w:sz w:val="24"/>
          <w:lang w:val="en-US"/>
        </w:rPr>
        <w:t xml:space="preserve">for Project Compass is tasked with aligning the </w:t>
      </w:r>
      <w:r w:rsidR="00633B8E" w:rsidRPr="0012214B">
        <w:rPr>
          <w:sz w:val="24"/>
          <w:lang w:val="en-US"/>
        </w:rPr>
        <w:t xml:space="preserve">product </w:t>
      </w:r>
      <w:r w:rsidR="00633B8E">
        <w:rPr>
          <w:sz w:val="24"/>
          <w:lang w:val="en-US"/>
        </w:rPr>
        <w:t xml:space="preserve">standard </w:t>
      </w:r>
      <w:r w:rsidR="00633B8E" w:rsidRPr="0012214B">
        <w:rPr>
          <w:sz w:val="24"/>
          <w:lang w:val="en-US"/>
        </w:rPr>
        <w:t>configuration</w:t>
      </w:r>
      <w:r w:rsidR="003537FF" w:rsidRPr="003537FF">
        <w:rPr>
          <w:sz w:val="24"/>
          <w:lang w:val="en-US"/>
        </w:rPr>
        <w:t xml:space="preserve"> components </w:t>
      </w:r>
      <w:r w:rsidR="0012214B">
        <w:rPr>
          <w:sz w:val="24"/>
          <w:lang w:val="en-US"/>
        </w:rPr>
        <w:t xml:space="preserve">of Oracle’s </w:t>
      </w:r>
      <w:r w:rsidR="003537FF" w:rsidRPr="003537FF">
        <w:rPr>
          <w:sz w:val="24"/>
          <w:lang w:val="en-US"/>
        </w:rPr>
        <w:t xml:space="preserve">off-the-shelf </w:t>
      </w:r>
      <w:r w:rsidR="0012214B">
        <w:rPr>
          <w:sz w:val="24"/>
          <w:lang w:val="en-US"/>
        </w:rPr>
        <w:t xml:space="preserve">CC&amp;B </w:t>
      </w:r>
      <w:r w:rsidR="003537FF" w:rsidRPr="003537FF">
        <w:rPr>
          <w:sz w:val="24"/>
          <w:lang w:val="en-US"/>
        </w:rPr>
        <w:t xml:space="preserve">software to meet key business goals, </w:t>
      </w:r>
      <w:r w:rsidR="0012214B" w:rsidRPr="0012214B">
        <w:rPr>
          <w:sz w:val="24"/>
          <w:lang w:val="en-US"/>
        </w:rPr>
        <w:t>minimiz</w:t>
      </w:r>
      <w:r w:rsidR="009D5673">
        <w:rPr>
          <w:sz w:val="24"/>
          <w:lang w:val="en-US"/>
        </w:rPr>
        <w:t>ing</w:t>
      </w:r>
      <w:r w:rsidR="0012214B" w:rsidRPr="0012214B">
        <w:rPr>
          <w:sz w:val="24"/>
          <w:lang w:val="en-US"/>
        </w:rPr>
        <w:t xml:space="preserve"> </w:t>
      </w:r>
      <w:r w:rsidR="003F5D91">
        <w:rPr>
          <w:sz w:val="24"/>
          <w:lang w:val="en-US"/>
        </w:rPr>
        <w:t xml:space="preserve">the need for </w:t>
      </w:r>
      <w:r w:rsidR="0012214B" w:rsidRPr="0012214B">
        <w:rPr>
          <w:sz w:val="24"/>
          <w:lang w:val="en-US"/>
        </w:rPr>
        <w:t>product extensions</w:t>
      </w:r>
      <w:r w:rsidR="00633B8E">
        <w:rPr>
          <w:sz w:val="24"/>
          <w:lang w:val="en-US"/>
        </w:rPr>
        <w:t xml:space="preserve"> and</w:t>
      </w:r>
      <w:r w:rsidR="0012214B" w:rsidRPr="0012214B">
        <w:rPr>
          <w:sz w:val="24"/>
          <w:lang w:val="en-US"/>
        </w:rPr>
        <w:t xml:space="preserve">, </w:t>
      </w:r>
      <w:r w:rsidR="003F5D91" w:rsidRPr="0012214B">
        <w:rPr>
          <w:sz w:val="24"/>
          <w:lang w:val="en-US"/>
        </w:rPr>
        <w:t>to the greatest</w:t>
      </w:r>
      <w:r w:rsidR="003F5D91">
        <w:rPr>
          <w:sz w:val="24"/>
          <w:lang w:val="en-US"/>
        </w:rPr>
        <w:t xml:space="preserve"> </w:t>
      </w:r>
      <w:r w:rsidR="00633B8E">
        <w:rPr>
          <w:sz w:val="24"/>
          <w:lang w:val="en-US"/>
        </w:rPr>
        <w:t>extent possible, m</w:t>
      </w:r>
      <w:r w:rsidR="0012214B" w:rsidRPr="0012214B">
        <w:rPr>
          <w:sz w:val="24"/>
          <w:lang w:val="en-US"/>
        </w:rPr>
        <w:t>odify</w:t>
      </w:r>
      <w:r w:rsidR="009D5673">
        <w:rPr>
          <w:sz w:val="24"/>
          <w:lang w:val="en-US"/>
        </w:rPr>
        <w:t>ing</w:t>
      </w:r>
      <w:r w:rsidR="0012214B" w:rsidRPr="0012214B">
        <w:rPr>
          <w:sz w:val="24"/>
          <w:lang w:val="en-US"/>
        </w:rPr>
        <w:t xml:space="preserve"> A</w:t>
      </w:r>
      <w:r w:rsidR="00484D1D">
        <w:rPr>
          <w:sz w:val="24"/>
          <w:lang w:val="en-US"/>
        </w:rPr>
        <w:t>vista’</w:t>
      </w:r>
      <w:r w:rsidR="0012214B" w:rsidRPr="0012214B">
        <w:rPr>
          <w:sz w:val="24"/>
          <w:lang w:val="en-US"/>
        </w:rPr>
        <w:t>s business processes to align with best practices inherent in the</w:t>
      </w:r>
      <w:r w:rsidR="0012214B">
        <w:rPr>
          <w:sz w:val="24"/>
          <w:lang w:val="en-US"/>
        </w:rPr>
        <w:t xml:space="preserve"> </w:t>
      </w:r>
      <w:r w:rsidR="0012214B" w:rsidRPr="0012214B">
        <w:rPr>
          <w:sz w:val="24"/>
          <w:lang w:val="en-US"/>
        </w:rPr>
        <w:t>product workflow.</w:t>
      </w:r>
      <w:r w:rsidR="00484D1D">
        <w:rPr>
          <w:sz w:val="24"/>
          <w:lang w:val="en-US"/>
        </w:rPr>
        <w:t xml:space="preserve">  Additionally, the SI </w:t>
      </w:r>
      <w:r w:rsidR="0012214B" w:rsidRPr="0012214B">
        <w:rPr>
          <w:sz w:val="24"/>
          <w:lang w:val="en-US"/>
        </w:rPr>
        <w:t>actively support</w:t>
      </w:r>
      <w:r w:rsidR="00484D1D">
        <w:rPr>
          <w:sz w:val="24"/>
          <w:lang w:val="en-US"/>
        </w:rPr>
        <w:t>s</w:t>
      </w:r>
      <w:r w:rsidR="0012214B" w:rsidRPr="0012214B">
        <w:rPr>
          <w:sz w:val="24"/>
          <w:lang w:val="en-US"/>
        </w:rPr>
        <w:t xml:space="preserve"> cooperation with the other </w:t>
      </w:r>
      <w:r w:rsidR="00633B8E">
        <w:rPr>
          <w:sz w:val="24"/>
          <w:lang w:val="en-US"/>
        </w:rPr>
        <w:t>concurrent system projects like Maximo Asset Management</w:t>
      </w:r>
      <w:r w:rsidR="0012214B" w:rsidRPr="0012214B">
        <w:rPr>
          <w:sz w:val="24"/>
          <w:lang w:val="en-US"/>
        </w:rPr>
        <w:t>.</w:t>
      </w:r>
      <w:r w:rsidR="00484D1D" w:rsidRPr="00484D1D">
        <w:rPr>
          <w:rStyle w:val="FootnoteReference"/>
          <w:sz w:val="24"/>
          <w:lang w:val="en-US"/>
        </w:rPr>
        <w:t xml:space="preserve"> </w:t>
      </w:r>
      <w:r w:rsidR="00484D1D">
        <w:rPr>
          <w:rStyle w:val="FootnoteReference"/>
          <w:sz w:val="24"/>
          <w:lang w:val="en-US"/>
        </w:rPr>
        <w:footnoteReference w:id="95"/>
      </w:r>
    </w:p>
    <w:p w14:paraId="32849DC2" w14:textId="77777777" w:rsidR="00773C50" w:rsidRDefault="00773C50" w:rsidP="00425F7D">
      <w:pPr>
        <w:pStyle w:val="BodyTextIndent"/>
        <w:rPr>
          <w:sz w:val="24"/>
          <w:lang w:val="en-US"/>
        </w:rPr>
      </w:pPr>
    </w:p>
    <w:p w14:paraId="0A024909" w14:textId="2A8E42D8" w:rsidR="00773C50" w:rsidRDefault="00773C50" w:rsidP="00425F7D">
      <w:pPr>
        <w:pStyle w:val="BodyTextIndent"/>
        <w:rPr>
          <w:b/>
          <w:sz w:val="24"/>
          <w:lang w:val="en-US"/>
        </w:rPr>
      </w:pPr>
      <w:r>
        <w:rPr>
          <w:b/>
          <w:sz w:val="24"/>
          <w:lang w:val="en-US"/>
        </w:rPr>
        <w:t>Q.</w:t>
      </w:r>
      <w:r>
        <w:rPr>
          <w:b/>
          <w:sz w:val="24"/>
          <w:lang w:val="en-US"/>
        </w:rPr>
        <w:tab/>
        <w:t>Please explain the conflict of interest that arose when Five Point acquired EP2M.</w:t>
      </w:r>
    </w:p>
    <w:p w14:paraId="02FE55C3" w14:textId="2D48B57F" w:rsidR="00DF5A36" w:rsidRDefault="00FF5566" w:rsidP="00425F7D">
      <w:pPr>
        <w:pStyle w:val="BodyTextIndent"/>
        <w:rPr>
          <w:sz w:val="24"/>
          <w:lang w:val="en-US"/>
        </w:rPr>
      </w:pPr>
      <w:r>
        <w:rPr>
          <w:sz w:val="24"/>
          <w:lang w:val="en-US"/>
        </w:rPr>
        <w:t>A.</w:t>
      </w:r>
      <w:r>
        <w:rPr>
          <w:sz w:val="24"/>
          <w:lang w:val="en-US"/>
        </w:rPr>
        <w:tab/>
      </w:r>
      <w:r w:rsidR="008F2B74">
        <w:rPr>
          <w:sz w:val="24"/>
          <w:lang w:val="en-US"/>
        </w:rPr>
        <w:t xml:space="preserve">Prior to </w:t>
      </w:r>
      <w:r w:rsidR="0065198E">
        <w:rPr>
          <w:sz w:val="24"/>
          <w:lang w:val="en-US"/>
        </w:rPr>
        <w:t>its a</w:t>
      </w:r>
      <w:r w:rsidR="008F2B74">
        <w:rPr>
          <w:sz w:val="24"/>
          <w:lang w:val="en-US"/>
        </w:rPr>
        <w:t>cquisition</w:t>
      </w:r>
      <w:r w:rsidR="0065198E">
        <w:rPr>
          <w:sz w:val="24"/>
          <w:lang w:val="en-US"/>
        </w:rPr>
        <w:t xml:space="preserve"> of EP2M</w:t>
      </w:r>
      <w:r w:rsidR="008F2B74">
        <w:rPr>
          <w:sz w:val="24"/>
          <w:lang w:val="en-US"/>
        </w:rPr>
        <w:t>, F</w:t>
      </w:r>
      <w:r w:rsidR="00133E9B">
        <w:rPr>
          <w:sz w:val="24"/>
          <w:lang w:val="en-US"/>
        </w:rPr>
        <w:t xml:space="preserve">ive Point was operating in the capacity </w:t>
      </w:r>
      <w:r w:rsidR="00F14568">
        <w:rPr>
          <w:sz w:val="24"/>
          <w:lang w:val="en-US"/>
        </w:rPr>
        <w:t>of an a</w:t>
      </w:r>
      <w:r w:rsidR="00133E9B">
        <w:rPr>
          <w:sz w:val="24"/>
          <w:lang w:val="en-US"/>
        </w:rPr>
        <w:t xml:space="preserve">gent </w:t>
      </w:r>
      <w:r w:rsidR="008F2B74">
        <w:rPr>
          <w:sz w:val="24"/>
          <w:lang w:val="en-US"/>
        </w:rPr>
        <w:t>of A</w:t>
      </w:r>
      <w:r w:rsidR="00133E9B">
        <w:rPr>
          <w:sz w:val="24"/>
          <w:lang w:val="en-US"/>
        </w:rPr>
        <w:t>vista in the procurement of SI services</w:t>
      </w:r>
      <w:r w:rsidR="004D2CED">
        <w:rPr>
          <w:sz w:val="24"/>
          <w:lang w:val="en-US"/>
        </w:rPr>
        <w:t xml:space="preserve"> for Project Compass</w:t>
      </w:r>
      <w:r w:rsidR="00133E9B">
        <w:rPr>
          <w:sz w:val="24"/>
          <w:lang w:val="en-US"/>
        </w:rPr>
        <w:t>.</w:t>
      </w:r>
      <w:r w:rsidR="008F2B74">
        <w:rPr>
          <w:rStyle w:val="FootnoteReference"/>
          <w:sz w:val="24"/>
          <w:lang w:val="en-US"/>
        </w:rPr>
        <w:footnoteReference w:id="96"/>
      </w:r>
      <w:r w:rsidR="008F2B74">
        <w:rPr>
          <w:sz w:val="24"/>
          <w:lang w:val="en-US"/>
        </w:rPr>
        <w:t xml:space="preserve">  In its confidential </w:t>
      </w:r>
      <w:r w:rsidR="008F2B74">
        <w:rPr>
          <w:sz w:val="24"/>
          <w:lang w:val="en-US"/>
        </w:rPr>
        <w:lastRenderedPageBreak/>
        <w:t>response to Staff D</w:t>
      </w:r>
      <w:r w:rsidR="00D17E3C">
        <w:rPr>
          <w:sz w:val="24"/>
          <w:lang w:val="en-US"/>
        </w:rPr>
        <w:t xml:space="preserve">ata </w:t>
      </w:r>
      <w:r w:rsidR="008F2B74">
        <w:rPr>
          <w:sz w:val="24"/>
          <w:lang w:val="en-US"/>
        </w:rPr>
        <w:t>R</w:t>
      </w:r>
      <w:r w:rsidR="00D17E3C">
        <w:rPr>
          <w:sz w:val="24"/>
          <w:lang w:val="en-US"/>
        </w:rPr>
        <w:t>equest</w:t>
      </w:r>
      <w:r w:rsidR="008F2B74">
        <w:rPr>
          <w:sz w:val="24"/>
          <w:lang w:val="en-US"/>
        </w:rPr>
        <w:t xml:space="preserve"> No. 140, the Company </w:t>
      </w:r>
      <w:r w:rsidR="004D2CED">
        <w:rPr>
          <w:sz w:val="24"/>
          <w:lang w:val="en-US"/>
        </w:rPr>
        <w:t>acknowledges it knew of the merger and acquisition</w:t>
      </w:r>
      <w:r w:rsidR="0065198E">
        <w:rPr>
          <w:sz w:val="24"/>
          <w:lang w:val="en-US"/>
        </w:rPr>
        <w:t xml:space="preserve"> </w:t>
      </w:r>
      <w:r w:rsidR="00523C07">
        <w:rPr>
          <w:sz w:val="24"/>
          <w:lang w:val="en-US"/>
        </w:rPr>
        <w:t>at the time it occurred,</w:t>
      </w:r>
      <w:r w:rsidR="00D17E3C">
        <w:rPr>
          <w:sz w:val="24"/>
          <w:lang w:val="en-US"/>
        </w:rPr>
        <w:t xml:space="preserve"> which was in</w:t>
      </w:r>
      <w:r w:rsidR="00523C07">
        <w:rPr>
          <w:sz w:val="24"/>
          <w:lang w:val="en-US"/>
        </w:rPr>
        <w:t xml:space="preserve"> </w:t>
      </w:r>
      <w:r w:rsidR="0065198E">
        <w:rPr>
          <w:sz w:val="24"/>
          <w:lang w:val="en-US"/>
        </w:rPr>
        <w:t>January 2013</w:t>
      </w:r>
      <w:r w:rsidR="00857B2A">
        <w:rPr>
          <w:sz w:val="24"/>
          <w:lang w:val="en-US"/>
        </w:rPr>
        <w:t>.  Avista</w:t>
      </w:r>
      <w:r w:rsidR="004D2CED">
        <w:rPr>
          <w:sz w:val="24"/>
          <w:lang w:val="en-US"/>
        </w:rPr>
        <w:t xml:space="preserve"> then </w:t>
      </w:r>
      <w:r w:rsidR="00B852EE">
        <w:rPr>
          <w:sz w:val="24"/>
          <w:lang w:val="en-US"/>
        </w:rPr>
        <w:t xml:space="preserve">states </w:t>
      </w:r>
      <w:r w:rsidR="00857B2A">
        <w:rPr>
          <w:sz w:val="24"/>
          <w:lang w:val="en-US"/>
        </w:rPr>
        <w:t xml:space="preserve">that </w:t>
      </w:r>
      <w:r w:rsidR="00154853">
        <w:rPr>
          <w:sz w:val="24"/>
          <w:lang w:val="en-US"/>
        </w:rPr>
        <w:t xml:space="preserve">“the </w:t>
      </w:r>
      <w:r w:rsidR="004D2CED">
        <w:rPr>
          <w:sz w:val="24"/>
          <w:lang w:val="en-US"/>
        </w:rPr>
        <w:t xml:space="preserve">interests of </w:t>
      </w:r>
      <w:r w:rsidR="008F2B74" w:rsidRPr="008F2B74">
        <w:rPr>
          <w:sz w:val="24"/>
          <w:lang w:val="en-US"/>
        </w:rPr>
        <w:t>its customers were insulated from any potential conflict of interest by the rigorous and objective processes it established for developing vendor proposals, evaluating and scoring proposals, making final vendor selections, and in negotiating the final contracts, purchase agreements, and purchase prices.</w:t>
      </w:r>
      <w:r w:rsidR="004D2CED">
        <w:rPr>
          <w:sz w:val="24"/>
          <w:lang w:val="en-US"/>
        </w:rPr>
        <w:t>”</w:t>
      </w:r>
      <w:r w:rsidR="00CB224C" w:rsidRPr="00CB224C">
        <w:rPr>
          <w:rStyle w:val="FootnoteReference"/>
          <w:sz w:val="24"/>
          <w:lang w:val="en-US"/>
        </w:rPr>
        <w:t xml:space="preserve"> </w:t>
      </w:r>
      <w:r w:rsidR="00CB224C">
        <w:rPr>
          <w:rStyle w:val="FootnoteReference"/>
          <w:sz w:val="24"/>
          <w:lang w:val="en-US"/>
        </w:rPr>
        <w:footnoteReference w:id="97"/>
      </w:r>
      <w:r w:rsidR="004D2CED">
        <w:rPr>
          <w:sz w:val="24"/>
          <w:lang w:val="en-US"/>
        </w:rPr>
        <w:t xml:space="preserve">  </w:t>
      </w:r>
      <w:r w:rsidR="00B852EE">
        <w:rPr>
          <w:sz w:val="24"/>
          <w:lang w:val="en-US"/>
        </w:rPr>
        <w:t xml:space="preserve">Avista’s </w:t>
      </w:r>
      <w:r w:rsidR="00D17E3C">
        <w:rPr>
          <w:sz w:val="24"/>
          <w:lang w:val="en-US"/>
        </w:rPr>
        <w:t xml:space="preserve">assertion </w:t>
      </w:r>
      <w:r w:rsidR="00B852EE">
        <w:rPr>
          <w:sz w:val="24"/>
          <w:lang w:val="en-US"/>
        </w:rPr>
        <w:t xml:space="preserve">that its procurement process was not compromised </w:t>
      </w:r>
      <w:r w:rsidR="00D6377C">
        <w:rPr>
          <w:sz w:val="24"/>
          <w:lang w:val="en-US"/>
        </w:rPr>
        <w:t xml:space="preserve">and did not impact project results </w:t>
      </w:r>
      <w:r w:rsidR="0065198E">
        <w:rPr>
          <w:sz w:val="24"/>
          <w:lang w:val="en-US"/>
        </w:rPr>
        <w:t xml:space="preserve">is </w:t>
      </w:r>
      <w:r w:rsidR="00B852EE">
        <w:rPr>
          <w:sz w:val="24"/>
          <w:lang w:val="en-US"/>
        </w:rPr>
        <w:t>an after</w:t>
      </w:r>
      <w:r w:rsidR="00910B93">
        <w:rPr>
          <w:sz w:val="24"/>
          <w:lang w:val="en-US"/>
        </w:rPr>
        <w:t>-</w:t>
      </w:r>
      <w:r w:rsidR="00B852EE">
        <w:rPr>
          <w:sz w:val="24"/>
          <w:lang w:val="en-US"/>
        </w:rPr>
        <w:t>the</w:t>
      </w:r>
      <w:r w:rsidR="00910B93">
        <w:rPr>
          <w:sz w:val="24"/>
          <w:lang w:val="en-US"/>
        </w:rPr>
        <w:t>-</w:t>
      </w:r>
      <w:r w:rsidR="00B852EE">
        <w:rPr>
          <w:sz w:val="24"/>
          <w:lang w:val="en-US"/>
        </w:rPr>
        <w:t xml:space="preserve">fact statement that cannot be confirmed.  </w:t>
      </w:r>
    </w:p>
    <w:p w14:paraId="7204124D" w14:textId="77777777" w:rsidR="00FF5566" w:rsidRDefault="00FF5566" w:rsidP="00425F7D">
      <w:pPr>
        <w:pStyle w:val="BodyTextIndent"/>
        <w:ind w:firstLine="720"/>
        <w:rPr>
          <w:sz w:val="24"/>
          <w:lang w:val="en-US"/>
        </w:rPr>
      </w:pPr>
    </w:p>
    <w:p w14:paraId="4355C09B" w14:textId="5E0424C5" w:rsidR="00FF5566" w:rsidRDefault="00FF5566" w:rsidP="00425F7D">
      <w:pPr>
        <w:pStyle w:val="BodyTextIndent"/>
        <w:rPr>
          <w:sz w:val="24"/>
          <w:lang w:val="en-US"/>
        </w:rPr>
      </w:pPr>
      <w:r>
        <w:rPr>
          <w:b/>
          <w:sz w:val="24"/>
          <w:lang w:val="en-US"/>
        </w:rPr>
        <w:t>Q.</w:t>
      </w:r>
      <w:r>
        <w:rPr>
          <w:b/>
          <w:sz w:val="24"/>
          <w:lang w:val="en-US"/>
        </w:rPr>
        <w:tab/>
        <w:t>Why is the integrity of the procurement process so important in the selection of an SI</w:t>
      </w:r>
      <w:r w:rsidR="00770F65">
        <w:rPr>
          <w:b/>
          <w:sz w:val="24"/>
          <w:lang w:val="en-US"/>
        </w:rPr>
        <w:t xml:space="preserve"> for Project Compass</w:t>
      </w:r>
      <w:r>
        <w:rPr>
          <w:b/>
          <w:sz w:val="24"/>
          <w:lang w:val="en-US"/>
        </w:rPr>
        <w:t>?</w:t>
      </w:r>
    </w:p>
    <w:p w14:paraId="7B6F37DD" w14:textId="58A830DD" w:rsidR="00133E9B" w:rsidRDefault="00FF5566" w:rsidP="00425F7D">
      <w:pPr>
        <w:pStyle w:val="BodyTextIndent"/>
        <w:rPr>
          <w:sz w:val="24"/>
          <w:lang w:val="en-US"/>
        </w:rPr>
      </w:pPr>
      <w:r>
        <w:rPr>
          <w:sz w:val="24"/>
          <w:lang w:val="en-US"/>
        </w:rPr>
        <w:t>A.</w:t>
      </w:r>
      <w:r>
        <w:rPr>
          <w:sz w:val="24"/>
          <w:lang w:val="en-US"/>
        </w:rPr>
        <w:tab/>
      </w:r>
      <w:r w:rsidR="00DF5A36">
        <w:rPr>
          <w:sz w:val="24"/>
          <w:lang w:val="en-US"/>
        </w:rPr>
        <w:t xml:space="preserve">The integrity of the procurement process is an important consideration </w:t>
      </w:r>
      <w:r w:rsidR="00504F11">
        <w:rPr>
          <w:sz w:val="24"/>
          <w:lang w:val="en-US"/>
        </w:rPr>
        <w:t xml:space="preserve">in the vendor performance risk assumed by the Company for this project.  This is especially the case </w:t>
      </w:r>
      <w:r w:rsidR="00DF5A36">
        <w:rPr>
          <w:sz w:val="24"/>
          <w:lang w:val="en-US"/>
        </w:rPr>
        <w:t>given that Avista’s award to EP2M resulted in a Firm Fixed Price Contract</w:t>
      </w:r>
      <w:r w:rsidR="00B45E17">
        <w:rPr>
          <w:sz w:val="24"/>
          <w:lang w:val="en-US"/>
        </w:rPr>
        <w:t xml:space="preserve"> for </w:t>
      </w:r>
      <w:r w:rsidR="005600F7">
        <w:rPr>
          <w:sz w:val="24"/>
          <w:lang w:val="en-US"/>
        </w:rPr>
        <w:t xml:space="preserve">deliverables contained </w:t>
      </w:r>
      <w:r w:rsidR="00B45E17">
        <w:rPr>
          <w:sz w:val="24"/>
          <w:lang w:val="en-US"/>
        </w:rPr>
        <w:t xml:space="preserve">in </w:t>
      </w:r>
      <w:r w:rsidR="005600F7">
        <w:rPr>
          <w:sz w:val="24"/>
          <w:lang w:val="en-US"/>
        </w:rPr>
        <w:t xml:space="preserve">the </w:t>
      </w:r>
      <w:r w:rsidR="006E25B8">
        <w:rPr>
          <w:sz w:val="24"/>
          <w:lang w:val="en-US"/>
        </w:rPr>
        <w:t xml:space="preserve">SI’s </w:t>
      </w:r>
      <w:r w:rsidR="00B45E17">
        <w:rPr>
          <w:sz w:val="24"/>
          <w:lang w:val="en-US"/>
        </w:rPr>
        <w:t>Statement of Work (SOW).</w:t>
      </w:r>
      <w:r w:rsidR="00B45E17">
        <w:rPr>
          <w:rStyle w:val="FootnoteReference"/>
          <w:sz w:val="24"/>
          <w:lang w:val="en-US"/>
        </w:rPr>
        <w:footnoteReference w:id="98"/>
      </w:r>
      <w:r w:rsidR="00DF5A36">
        <w:rPr>
          <w:sz w:val="24"/>
          <w:lang w:val="en-US"/>
        </w:rPr>
        <w:t xml:space="preserve"> </w:t>
      </w:r>
      <w:r w:rsidR="00AE6288">
        <w:rPr>
          <w:sz w:val="24"/>
          <w:lang w:val="en-US"/>
        </w:rPr>
        <w:t xml:space="preserve"> </w:t>
      </w:r>
      <w:r w:rsidR="00BC7F2A">
        <w:rPr>
          <w:sz w:val="24"/>
          <w:lang w:val="en-US"/>
        </w:rPr>
        <w:t xml:space="preserve">The nature of such </w:t>
      </w:r>
      <w:r w:rsidR="00F93EA9">
        <w:rPr>
          <w:sz w:val="24"/>
          <w:lang w:val="en-US"/>
        </w:rPr>
        <w:t xml:space="preserve">contracts </w:t>
      </w:r>
      <w:r w:rsidR="00BC7F2A">
        <w:rPr>
          <w:sz w:val="24"/>
          <w:lang w:val="en-US"/>
        </w:rPr>
        <w:t xml:space="preserve">places </w:t>
      </w:r>
      <w:r w:rsidR="00F93EA9">
        <w:rPr>
          <w:sz w:val="24"/>
          <w:lang w:val="en-US"/>
        </w:rPr>
        <w:t>the primary cost risk onto the seller</w:t>
      </w:r>
      <w:r w:rsidR="009D5673">
        <w:rPr>
          <w:sz w:val="24"/>
          <w:lang w:val="en-US"/>
        </w:rPr>
        <w:t>, in this case EP2M</w:t>
      </w:r>
      <w:r w:rsidR="00F93EA9">
        <w:rPr>
          <w:sz w:val="24"/>
          <w:lang w:val="en-US"/>
        </w:rPr>
        <w:t xml:space="preserve">.  Therefore, </w:t>
      </w:r>
      <w:r w:rsidR="009D5673">
        <w:rPr>
          <w:sz w:val="24"/>
          <w:lang w:val="en-US"/>
        </w:rPr>
        <w:t xml:space="preserve">the bid of </w:t>
      </w:r>
      <w:r w:rsidR="00504F11">
        <w:rPr>
          <w:sz w:val="24"/>
          <w:lang w:val="en-US"/>
        </w:rPr>
        <w:t>an offeror</w:t>
      </w:r>
      <w:r w:rsidR="00504F11" w:rsidDel="009D5673">
        <w:rPr>
          <w:sz w:val="24"/>
          <w:lang w:val="en-US"/>
        </w:rPr>
        <w:t xml:space="preserve"> </w:t>
      </w:r>
      <w:r w:rsidR="009D5673">
        <w:rPr>
          <w:sz w:val="24"/>
          <w:lang w:val="en-US"/>
        </w:rPr>
        <w:t xml:space="preserve">(here EP2M) </w:t>
      </w:r>
      <w:r w:rsidR="00504F11">
        <w:rPr>
          <w:sz w:val="24"/>
          <w:lang w:val="en-US"/>
        </w:rPr>
        <w:t xml:space="preserve">has to be </w:t>
      </w:r>
      <w:r w:rsidR="006E25B8">
        <w:rPr>
          <w:sz w:val="24"/>
          <w:lang w:val="en-US"/>
        </w:rPr>
        <w:t xml:space="preserve">responsive to the requirements contained in the scope of work only and not </w:t>
      </w:r>
      <w:r w:rsidR="00BD011E">
        <w:rPr>
          <w:sz w:val="24"/>
          <w:lang w:val="en-US"/>
        </w:rPr>
        <w:t>affected by other influences</w:t>
      </w:r>
      <w:r w:rsidR="00E64EB6">
        <w:rPr>
          <w:sz w:val="24"/>
          <w:lang w:val="en-US"/>
        </w:rPr>
        <w:t>.  Otherwise, a</w:t>
      </w:r>
      <w:r w:rsidR="00315FEA">
        <w:rPr>
          <w:sz w:val="24"/>
          <w:lang w:val="en-US"/>
        </w:rPr>
        <w:t>n unacceptable</w:t>
      </w:r>
      <w:r w:rsidR="00E64EB6">
        <w:rPr>
          <w:sz w:val="24"/>
          <w:lang w:val="en-US"/>
        </w:rPr>
        <w:t xml:space="preserve"> level of performance risk is introduced that </w:t>
      </w:r>
      <w:r w:rsidR="00315FEA">
        <w:rPr>
          <w:sz w:val="24"/>
          <w:lang w:val="en-US"/>
        </w:rPr>
        <w:t xml:space="preserve">the </w:t>
      </w:r>
      <w:r w:rsidR="00E64EB6">
        <w:rPr>
          <w:sz w:val="24"/>
          <w:lang w:val="en-US"/>
        </w:rPr>
        <w:t>award</w:t>
      </w:r>
      <w:r w:rsidR="00315FEA">
        <w:rPr>
          <w:sz w:val="24"/>
          <w:lang w:val="en-US"/>
        </w:rPr>
        <w:t>ed</w:t>
      </w:r>
      <w:r w:rsidR="00E64EB6">
        <w:rPr>
          <w:sz w:val="24"/>
          <w:lang w:val="en-US"/>
        </w:rPr>
        <w:t xml:space="preserve"> </w:t>
      </w:r>
      <w:r w:rsidR="00315FEA">
        <w:rPr>
          <w:sz w:val="24"/>
          <w:lang w:val="en-US"/>
        </w:rPr>
        <w:t xml:space="preserve">amount is below </w:t>
      </w:r>
      <w:r w:rsidR="00323C0E">
        <w:rPr>
          <w:sz w:val="24"/>
          <w:lang w:val="en-US"/>
        </w:rPr>
        <w:t xml:space="preserve">the offeror’s </w:t>
      </w:r>
      <w:r w:rsidR="00315FEA">
        <w:rPr>
          <w:sz w:val="24"/>
          <w:lang w:val="en-US"/>
        </w:rPr>
        <w:t>cost</w:t>
      </w:r>
      <w:r w:rsidR="00323C0E">
        <w:rPr>
          <w:sz w:val="24"/>
          <w:lang w:val="en-US"/>
        </w:rPr>
        <w:t>s</w:t>
      </w:r>
      <w:r w:rsidR="00E64EB6">
        <w:rPr>
          <w:sz w:val="24"/>
          <w:lang w:val="en-US"/>
        </w:rPr>
        <w:t xml:space="preserve"> and </w:t>
      </w:r>
      <w:r w:rsidR="00315FEA">
        <w:rPr>
          <w:sz w:val="24"/>
          <w:lang w:val="en-US"/>
        </w:rPr>
        <w:t xml:space="preserve">the project </w:t>
      </w:r>
      <w:r w:rsidR="00E64EB6">
        <w:rPr>
          <w:sz w:val="24"/>
          <w:lang w:val="en-US"/>
        </w:rPr>
        <w:t>under-resource</w:t>
      </w:r>
      <w:r w:rsidR="00315FEA">
        <w:rPr>
          <w:sz w:val="24"/>
          <w:lang w:val="en-US"/>
        </w:rPr>
        <w:t>d</w:t>
      </w:r>
      <w:r w:rsidR="00504F11">
        <w:rPr>
          <w:sz w:val="24"/>
          <w:lang w:val="en-US"/>
        </w:rPr>
        <w:t>.</w:t>
      </w:r>
      <w:r w:rsidR="007B47C8">
        <w:rPr>
          <w:rStyle w:val="FootnoteReference"/>
          <w:sz w:val="24"/>
          <w:lang w:val="en-US"/>
        </w:rPr>
        <w:footnoteReference w:id="99"/>
      </w:r>
    </w:p>
    <w:p w14:paraId="48A5D013" w14:textId="3073EB96" w:rsidR="00330813" w:rsidRDefault="00330813" w:rsidP="00425F7D">
      <w:pPr>
        <w:pStyle w:val="BodyTextIndent"/>
        <w:rPr>
          <w:sz w:val="24"/>
          <w:lang w:val="en-US"/>
        </w:rPr>
      </w:pPr>
    </w:p>
    <w:p w14:paraId="5FE6B328" w14:textId="333948E6" w:rsidR="00330813" w:rsidRDefault="00330813" w:rsidP="00425F7D">
      <w:pPr>
        <w:pStyle w:val="BodyTextIndent"/>
        <w:rPr>
          <w:b/>
          <w:sz w:val="24"/>
          <w:lang w:val="en-US"/>
        </w:rPr>
      </w:pPr>
      <w:r>
        <w:rPr>
          <w:b/>
          <w:sz w:val="24"/>
          <w:lang w:val="en-US"/>
        </w:rPr>
        <w:t>Q.</w:t>
      </w:r>
      <w:r>
        <w:rPr>
          <w:b/>
          <w:sz w:val="24"/>
          <w:lang w:val="en-US"/>
        </w:rPr>
        <w:tab/>
        <w:t>Do you believe that the conflict of interest that arose after EP2M’s acquisition by Five Point resulted in an awarded amount that was below cost and in a project that was under resourced?</w:t>
      </w:r>
    </w:p>
    <w:p w14:paraId="7211E2DE" w14:textId="6C5456EF" w:rsidR="00520B28" w:rsidRDefault="00520B28" w:rsidP="00425F7D">
      <w:pPr>
        <w:pStyle w:val="BodyTextIndent"/>
        <w:rPr>
          <w:sz w:val="24"/>
          <w:lang w:val="en-US"/>
        </w:rPr>
      </w:pPr>
      <w:r>
        <w:rPr>
          <w:sz w:val="24"/>
          <w:lang w:val="en-US"/>
        </w:rPr>
        <w:t>A.</w:t>
      </w:r>
      <w:r>
        <w:rPr>
          <w:sz w:val="24"/>
          <w:lang w:val="en-US"/>
        </w:rPr>
        <w:tab/>
      </w:r>
      <w:r w:rsidR="00850EE1">
        <w:rPr>
          <w:sz w:val="24"/>
          <w:lang w:val="en-US"/>
        </w:rPr>
        <w:t xml:space="preserve">Staff cannot say </w:t>
      </w:r>
      <w:r w:rsidR="00DE5270">
        <w:rPr>
          <w:sz w:val="24"/>
          <w:lang w:val="en-US"/>
        </w:rPr>
        <w:t xml:space="preserve">with certainty </w:t>
      </w:r>
      <w:r w:rsidR="00850EE1">
        <w:rPr>
          <w:sz w:val="24"/>
          <w:lang w:val="en-US"/>
        </w:rPr>
        <w:t xml:space="preserve">that </w:t>
      </w:r>
      <w:r w:rsidR="00C70232">
        <w:rPr>
          <w:sz w:val="24"/>
          <w:lang w:val="en-US"/>
        </w:rPr>
        <w:t xml:space="preserve">the SI </w:t>
      </w:r>
      <w:r w:rsidR="00850EE1">
        <w:rPr>
          <w:sz w:val="24"/>
          <w:lang w:val="en-US"/>
        </w:rPr>
        <w:t xml:space="preserve">bid </w:t>
      </w:r>
      <w:r w:rsidR="00DE5270">
        <w:rPr>
          <w:sz w:val="24"/>
          <w:lang w:val="en-US"/>
        </w:rPr>
        <w:t xml:space="preserve">was affected </w:t>
      </w:r>
      <w:r w:rsidR="00C70232">
        <w:rPr>
          <w:sz w:val="24"/>
          <w:lang w:val="en-US"/>
        </w:rPr>
        <w:t xml:space="preserve">in any way </w:t>
      </w:r>
      <w:r w:rsidR="00DE5270">
        <w:rPr>
          <w:sz w:val="24"/>
          <w:lang w:val="en-US"/>
        </w:rPr>
        <w:t>by Five Point</w:t>
      </w:r>
      <w:r w:rsidR="00C70232">
        <w:rPr>
          <w:sz w:val="24"/>
          <w:lang w:val="en-US"/>
        </w:rPr>
        <w:t>’s acquisition of EP2M or that Five Point’s decision to buy EP2M was somehow motivated by the prospect of an awarded contract by Avista</w:t>
      </w:r>
      <w:r w:rsidR="00DE5270">
        <w:rPr>
          <w:sz w:val="24"/>
          <w:lang w:val="en-US"/>
        </w:rPr>
        <w:t xml:space="preserve">.  </w:t>
      </w:r>
      <w:r w:rsidR="00C70232">
        <w:rPr>
          <w:sz w:val="24"/>
          <w:lang w:val="en-US"/>
        </w:rPr>
        <w:t xml:space="preserve">Staff only </w:t>
      </w:r>
      <w:r w:rsidR="00992944">
        <w:rPr>
          <w:sz w:val="24"/>
          <w:lang w:val="en-US"/>
        </w:rPr>
        <w:t xml:space="preserve">need </w:t>
      </w:r>
      <w:r w:rsidR="00C70232">
        <w:rPr>
          <w:sz w:val="24"/>
          <w:lang w:val="en-US"/>
        </w:rPr>
        <w:t xml:space="preserve">point to Five Point’s integral and active involvement in </w:t>
      </w:r>
      <w:r w:rsidR="002E16D1">
        <w:rPr>
          <w:sz w:val="24"/>
          <w:lang w:val="en-US"/>
        </w:rPr>
        <w:t xml:space="preserve">Project Compass’ </w:t>
      </w:r>
      <w:r w:rsidR="00C70232">
        <w:rPr>
          <w:sz w:val="24"/>
          <w:lang w:val="en-US"/>
        </w:rPr>
        <w:t xml:space="preserve">SI procurement contained in Mr. Kensok’s Exhibit </w:t>
      </w:r>
      <w:r w:rsidR="00992944">
        <w:rPr>
          <w:sz w:val="24"/>
          <w:lang w:val="en-US"/>
        </w:rPr>
        <w:t xml:space="preserve">No. JMK-2 in UE-140188 and </w:t>
      </w:r>
      <w:r w:rsidR="00C2049F">
        <w:rPr>
          <w:sz w:val="24"/>
          <w:lang w:val="en-US"/>
        </w:rPr>
        <w:t>Five Point’s</w:t>
      </w:r>
      <w:r w:rsidR="00992944">
        <w:rPr>
          <w:sz w:val="24"/>
          <w:lang w:val="en-US"/>
        </w:rPr>
        <w:t xml:space="preserve"> subsequent performance </w:t>
      </w:r>
      <w:r w:rsidR="00456E90">
        <w:rPr>
          <w:sz w:val="24"/>
          <w:lang w:val="en-US"/>
        </w:rPr>
        <w:t xml:space="preserve">problems commencing </w:t>
      </w:r>
      <w:r w:rsidR="00992944">
        <w:rPr>
          <w:sz w:val="24"/>
          <w:lang w:val="en-US"/>
        </w:rPr>
        <w:t>early in the project as a successor to EP2M</w:t>
      </w:r>
      <w:r w:rsidR="002E16D1">
        <w:rPr>
          <w:sz w:val="24"/>
          <w:lang w:val="en-US"/>
        </w:rPr>
        <w:t xml:space="preserve"> as evidence of questions that should have been asked of Five Point by Avista’s project management and Executive Steering Committee.  </w:t>
      </w:r>
      <w:r w:rsidR="00DE5270">
        <w:rPr>
          <w:sz w:val="24"/>
          <w:lang w:val="en-US"/>
        </w:rPr>
        <w:t xml:space="preserve"> </w:t>
      </w:r>
      <w:r w:rsidR="00C2049F">
        <w:rPr>
          <w:sz w:val="24"/>
          <w:lang w:val="en-US"/>
        </w:rPr>
        <w:t>Avista has not provided documentation that such questions were addressed.</w:t>
      </w:r>
      <w:r w:rsidR="00DE5270">
        <w:rPr>
          <w:sz w:val="24"/>
          <w:lang w:val="en-US"/>
        </w:rPr>
        <w:t xml:space="preserve"> </w:t>
      </w:r>
      <w:r w:rsidR="00545D2B">
        <w:rPr>
          <w:sz w:val="24"/>
          <w:lang w:val="en-US"/>
        </w:rPr>
        <w:t xml:space="preserve"> </w:t>
      </w:r>
    </w:p>
    <w:p w14:paraId="39D784C4" w14:textId="0DB9B254" w:rsidR="001364DE" w:rsidRDefault="001364DE" w:rsidP="00425F7D">
      <w:pPr>
        <w:pStyle w:val="BodyTextIndent"/>
        <w:rPr>
          <w:sz w:val="24"/>
          <w:lang w:val="en-US"/>
        </w:rPr>
      </w:pPr>
    </w:p>
    <w:p w14:paraId="017557E6" w14:textId="2BDE0609" w:rsidR="001364DE" w:rsidRDefault="001364DE" w:rsidP="00425F7D">
      <w:pPr>
        <w:pStyle w:val="BodyTextIndent"/>
        <w:rPr>
          <w:sz w:val="24"/>
          <w:lang w:val="en-US"/>
        </w:rPr>
      </w:pPr>
      <w:r>
        <w:rPr>
          <w:b/>
          <w:sz w:val="24"/>
          <w:lang w:val="en-US"/>
        </w:rPr>
        <w:t>Q.</w:t>
      </w:r>
      <w:r>
        <w:rPr>
          <w:b/>
          <w:sz w:val="24"/>
          <w:lang w:val="en-US"/>
        </w:rPr>
        <w:tab/>
      </w:r>
      <w:r w:rsidR="009D5673">
        <w:rPr>
          <w:b/>
          <w:sz w:val="24"/>
          <w:lang w:val="en-US"/>
        </w:rPr>
        <w:t xml:space="preserve">You </w:t>
      </w:r>
      <w:r w:rsidR="00270C34">
        <w:rPr>
          <w:b/>
          <w:sz w:val="24"/>
          <w:lang w:val="en-US"/>
        </w:rPr>
        <w:t>point to Avista’s failures to cure contractual breaches as another reason to disallow the costs of the extended timeline for Project Compass.  Please explain.</w:t>
      </w:r>
      <w:r>
        <w:rPr>
          <w:b/>
          <w:sz w:val="24"/>
          <w:lang w:val="en-US"/>
        </w:rPr>
        <w:t xml:space="preserve"> </w:t>
      </w:r>
    </w:p>
    <w:p w14:paraId="4FA6B50D" w14:textId="25B73D79" w:rsidR="008A7C6E" w:rsidRDefault="00270C34" w:rsidP="00425F7D">
      <w:pPr>
        <w:pStyle w:val="BodyTextIndent"/>
        <w:rPr>
          <w:sz w:val="24"/>
          <w:lang w:val="en-US"/>
        </w:rPr>
      </w:pPr>
      <w:r>
        <w:rPr>
          <w:sz w:val="24"/>
          <w:lang w:val="en-US"/>
        </w:rPr>
        <w:t>A.</w:t>
      </w:r>
      <w:r>
        <w:rPr>
          <w:sz w:val="24"/>
          <w:lang w:val="en-US"/>
        </w:rPr>
        <w:tab/>
      </w:r>
      <w:r w:rsidR="003044C1">
        <w:rPr>
          <w:sz w:val="24"/>
          <w:lang w:val="en-US"/>
        </w:rPr>
        <w:t>In Avista’s confidential response to Staff D</w:t>
      </w:r>
      <w:r w:rsidR="00D17E3C">
        <w:rPr>
          <w:sz w:val="24"/>
          <w:lang w:val="en-US"/>
        </w:rPr>
        <w:t xml:space="preserve">ata </w:t>
      </w:r>
      <w:r w:rsidR="003044C1">
        <w:rPr>
          <w:sz w:val="24"/>
          <w:lang w:val="en-US"/>
        </w:rPr>
        <w:t>R</w:t>
      </w:r>
      <w:r w:rsidR="00D17E3C">
        <w:rPr>
          <w:sz w:val="24"/>
          <w:lang w:val="en-US"/>
        </w:rPr>
        <w:t>equest</w:t>
      </w:r>
      <w:r w:rsidR="003044C1">
        <w:rPr>
          <w:sz w:val="24"/>
          <w:lang w:val="en-US"/>
        </w:rPr>
        <w:t xml:space="preserve"> No. 152,</w:t>
      </w:r>
      <w:r w:rsidR="004F24BB">
        <w:rPr>
          <w:rStyle w:val="FootnoteReference"/>
          <w:sz w:val="24"/>
          <w:lang w:val="en-US"/>
        </w:rPr>
        <w:footnoteReference w:id="100"/>
      </w:r>
      <w:r w:rsidR="003044C1">
        <w:rPr>
          <w:sz w:val="24"/>
          <w:lang w:val="en-US"/>
        </w:rPr>
        <w:t xml:space="preserve"> it provides a lengthy explanation </w:t>
      </w:r>
      <w:r w:rsidR="00CE2264">
        <w:rPr>
          <w:sz w:val="24"/>
          <w:lang w:val="en-US"/>
        </w:rPr>
        <w:t>regarding its “</w:t>
      </w:r>
      <w:r w:rsidR="00CE2264" w:rsidRPr="00CE2264">
        <w:rPr>
          <w:sz w:val="24"/>
          <w:lang w:val="en-US"/>
        </w:rPr>
        <w:t>due diligence in evaluating the consequences of a decision to enforce contract provisions against Five Point</w:t>
      </w:r>
      <w:r w:rsidR="00D17E3C">
        <w:rPr>
          <w:sz w:val="24"/>
          <w:lang w:val="en-US"/>
        </w:rPr>
        <w:t>,</w:t>
      </w:r>
      <w:r w:rsidR="00CE2264">
        <w:rPr>
          <w:sz w:val="24"/>
          <w:lang w:val="en-US"/>
        </w:rPr>
        <w:t>”</w:t>
      </w:r>
      <w:r w:rsidR="00CE2264" w:rsidRPr="00CE2264">
        <w:rPr>
          <w:sz w:val="24"/>
          <w:lang w:val="en-US"/>
        </w:rPr>
        <w:t xml:space="preserve"> </w:t>
      </w:r>
      <w:r w:rsidR="003044C1">
        <w:rPr>
          <w:sz w:val="24"/>
          <w:lang w:val="en-US"/>
        </w:rPr>
        <w:t xml:space="preserve">which contradicts its earlier narrative in </w:t>
      </w:r>
      <w:r w:rsidR="00A11CEA">
        <w:rPr>
          <w:sz w:val="24"/>
          <w:lang w:val="en-US"/>
        </w:rPr>
        <w:t xml:space="preserve">Mr. Kensok’s </w:t>
      </w:r>
      <w:r w:rsidR="003044C1">
        <w:rPr>
          <w:sz w:val="24"/>
          <w:lang w:val="en-US"/>
        </w:rPr>
        <w:t xml:space="preserve">testimony </w:t>
      </w:r>
      <w:r w:rsidR="00A11CEA">
        <w:rPr>
          <w:sz w:val="24"/>
          <w:lang w:val="en-US"/>
        </w:rPr>
        <w:t xml:space="preserve">and exhibit </w:t>
      </w:r>
      <w:r w:rsidR="003044C1">
        <w:rPr>
          <w:sz w:val="24"/>
          <w:lang w:val="en-US"/>
        </w:rPr>
        <w:t>regarding the circumstances surrounding the project’s ex</w:t>
      </w:r>
      <w:r w:rsidR="00CE2264">
        <w:rPr>
          <w:sz w:val="24"/>
          <w:lang w:val="en-US"/>
        </w:rPr>
        <w:t>tended timeline and added costs</w:t>
      </w:r>
      <w:r w:rsidR="00A11CEA">
        <w:rPr>
          <w:sz w:val="24"/>
          <w:lang w:val="en-US"/>
        </w:rPr>
        <w:t xml:space="preserve"> being the result of greater than anticipated complexity</w:t>
      </w:r>
      <w:r w:rsidR="00CE2264">
        <w:rPr>
          <w:sz w:val="24"/>
          <w:lang w:val="en-US"/>
        </w:rPr>
        <w:t xml:space="preserve">.  In its </w:t>
      </w:r>
      <w:r w:rsidR="00D17E3C">
        <w:rPr>
          <w:sz w:val="24"/>
          <w:lang w:val="en-US"/>
        </w:rPr>
        <w:t xml:space="preserve">response to Staff </w:t>
      </w:r>
      <w:r w:rsidR="00CE2264">
        <w:rPr>
          <w:sz w:val="24"/>
          <w:lang w:val="en-US"/>
        </w:rPr>
        <w:t>D</w:t>
      </w:r>
      <w:r w:rsidR="00D17E3C">
        <w:rPr>
          <w:sz w:val="24"/>
          <w:lang w:val="en-US"/>
        </w:rPr>
        <w:t xml:space="preserve">ata </w:t>
      </w:r>
      <w:r w:rsidR="00CE2264">
        <w:rPr>
          <w:sz w:val="24"/>
          <w:lang w:val="en-US"/>
        </w:rPr>
        <w:t>R</w:t>
      </w:r>
      <w:r w:rsidR="00D17E3C">
        <w:rPr>
          <w:sz w:val="24"/>
          <w:lang w:val="en-US"/>
        </w:rPr>
        <w:t>equest</w:t>
      </w:r>
      <w:r w:rsidR="00DB2D5C">
        <w:rPr>
          <w:sz w:val="24"/>
          <w:lang w:val="en-US"/>
        </w:rPr>
        <w:t xml:space="preserve"> No. 152</w:t>
      </w:r>
      <w:r w:rsidR="00CE2264">
        <w:rPr>
          <w:sz w:val="24"/>
          <w:lang w:val="en-US"/>
        </w:rPr>
        <w:t xml:space="preserve">, </w:t>
      </w:r>
      <w:r w:rsidR="00CE2264">
        <w:rPr>
          <w:sz w:val="24"/>
          <w:lang w:val="en-US"/>
        </w:rPr>
        <w:lastRenderedPageBreak/>
        <w:t xml:space="preserve">the Company refers </w:t>
      </w:r>
      <w:r w:rsidR="00A22786">
        <w:rPr>
          <w:sz w:val="24"/>
          <w:lang w:val="en-US"/>
        </w:rPr>
        <w:t xml:space="preserve">Staff </w:t>
      </w:r>
      <w:r w:rsidR="00CE2264">
        <w:rPr>
          <w:sz w:val="24"/>
          <w:lang w:val="en-US"/>
        </w:rPr>
        <w:t xml:space="preserve">to </w:t>
      </w:r>
      <w:r w:rsidR="006A7412">
        <w:rPr>
          <w:sz w:val="24"/>
          <w:lang w:val="en-US"/>
        </w:rPr>
        <w:t xml:space="preserve">the </w:t>
      </w:r>
      <w:r w:rsidR="001169CF" w:rsidRPr="001169CF">
        <w:rPr>
          <w:sz w:val="24"/>
          <w:lang w:val="en-US"/>
        </w:rPr>
        <w:t xml:space="preserve">reports </w:t>
      </w:r>
      <w:r w:rsidR="006A7412">
        <w:rPr>
          <w:sz w:val="24"/>
          <w:lang w:val="en-US"/>
        </w:rPr>
        <w:t xml:space="preserve">it </w:t>
      </w:r>
      <w:r w:rsidR="001169CF" w:rsidRPr="001169CF">
        <w:rPr>
          <w:sz w:val="24"/>
          <w:lang w:val="en-US"/>
        </w:rPr>
        <w:t xml:space="preserve">provided </w:t>
      </w:r>
      <w:r w:rsidR="006A7412">
        <w:rPr>
          <w:sz w:val="24"/>
          <w:lang w:val="en-US"/>
        </w:rPr>
        <w:t xml:space="preserve">in its Attachments B and C </w:t>
      </w:r>
      <w:r w:rsidR="00BA3568">
        <w:rPr>
          <w:sz w:val="24"/>
          <w:lang w:val="en-US"/>
        </w:rPr>
        <w:t xml:space="preserve">to Staff’s Data Request No. 140 </w:t>
      </w:r>
      <w:r w:rsidR="006A7412">
        <w:rPr>
          <w:sz w:val="24"/>
          <w:lang w:val="en-US"/>
        </w:rPr>
        <w:t xml:space="preserve">as </w:t>
      </w:r>
      <w:r w:rsidR="00E03513">
        <w:rPr>
          <w:sz w:val="24"/>
          <w:lang w:val="en-US"/>
        </w:rPr>
        <w:t xml:space="preserve">evidence that it prudently evaluated its options, including termination of the contract, to address the SI’s non-performance </w:t>
      </w:r>
      <w:r w:rsidR="00D17E3C">
        <w:rPr>
          <w:sz w:val="24"/>
          <w:lang w:val="en-US"/>
        </w:rPr>
        <w:t xml:space="preserve">in </w:t>
      </w:r>
      <w:r w:rsidR="00E03513">
        <w:rPr>
          <w:sz w:val="24"/>
          <w:lang w:val="en-US"/>
        </w:rPr>
        <w:t>deliver</w:t>
      </w:r>
      <w:r w:rsidR="00D17E3C">
        <w:rPr>
          <w:sz w:val="24"/>
          <w:lang w:val="en-US"/>
        </w:rPr>
        <w:t>ing</w:t>
      </w:r>
      <w:r w:rsidR="00E03513">
        <w:rPr>
          <w:sz w:val="24"/>
          <w:lang w:val="en-US"/>
        </w:rPr>
        <w:t xml:space="preserve"> usable code for System Integration Testing</w:t>
      </w:r>
      <w:r w:rsidR="00F11C8B">
        <w:rPr>
          <w:sz w:val="24"/>
          <w:lang w:val="en-US"/>
        </w:rPr>
        <w:t>, a critical path item for the project</w:t>
      </w:r>
      <w:r w:rsidR="00E03513">
        <w:rPr>
          <w:sz w:val="24"/>
          <w:lang w:val="en-US"/>
        </w:rPr>
        <w:t xml:space="preserve">.  Staff’s review of these reports </w:t>
      </w:r>
      <w:r w:rsidR="00D17E3C">
        <w:rPr>
          <w:sz w:val="24"/>
          <w:lang w:val="en-US"/>
        </w:rPr>
        <w:t xml:space="preserve">located </w:t>
      </w:r>
      <w:r w:rsidR="00E03513">
        <w:rPr>
          <w:sz w:val="24"/>
          <w:lang w:val="en-US"/>
        </w:rPr>
        <w:t>no evidence of such discussions or analysis</w:t>
      </w:r>
      <w:r w:rsidR="00DB2D5C">
        <w:rPr>
          <w:sz w:val="24"/>
          <w:lang w:val="en-US"/>
        </w:rPr>
        <w:t>.  Nor do</w:t>
      </w:r>
      <w:r w:rsidR="008A7C6E">
        <w:rPr>
          <w:sz w:val="24"/>
          <w:lang w:val="en-US"/>
        </w:rPr>
        <w:t>es</w:t>
      </w:r>
      <w:r w:rsidR="00DB2D5C">
        <w:rPr>
          <w:sz w:val="24"/>
          <w:lang w:val="en-US"/>
        </w:rPr>
        <w:t xml:space="preserve"> Staff find evidence </w:t>
      </w:r>
      <w:r w:rsidR="000556D0">
        <w:rPr>
          <w:sz w:val="24"/>
          <w:lang w:val="en-US"/>
        </w:rPr>
        <w:t xml:space="preserve">that such options were explored or discussed </w:t>
      </w:r>
      <w:r w:rsidR="00DB2D5C">
        <w:rPr>
          <w:sz w:val="24"/>
          <w:lang w:val="en-US"/>
        </w:rPr>
        <w:t xml:space="preserve">in the materials presented to the </w:t>
      </w:r>
      <w:r w:rsidR="007B48A8">
        <w:rPr>
          <w:sz w:val="24"/>
          <w:lang w:val="en-US"/>
        </w:rPr>
        <w:t xml:space="preserve">Board in May/June 2014 </w:t>
      </w:r>
      <w:r w:rsidR="00436CEA">
        <w:rPr>
          <w:sz w:val="24"/>
          <w:lang w:val="en-US"/>
        </w:rPr>
        <w:t>to extend the project timeline and add another $20.0 million to the project’s budget</w:t>
      </w:r>
      <w:r w:rsidR="00E03513">
        <w:rPr>
          <w:sz w:val="24"/>
          <w:lang w:val="en-US"/>
        </w:rPr>
        <w:t>.</w:t>
      </w:r>
      <w:r w:rsidR="005B1ED1">
        <w:rPr>
          <w:rStyle w:val="FootnoteReference"/>
          <w:sz w:val="24"/>
          <w:lang w:val="en-US"/>
        </w:rPr>
        <w:footnoteReference w:id="101"/>
      </w:r>
    </w:p>
    <w:p w14:paraId="1DADD385" w14:textId="77777777" w:rsidR="00BA3568" w:rsidRDefault="00BA3568" w:rsidP="00425F7D">
      <w:pPr>
        <w:pStyle w:val="BodyTextIndent"/>
        <w:rPr>
          <w:sz w:val="24"/>
          <w:lang w:val="en-US"/>
        </w:rPr>
      </w:pPr>
    </w:p>
    <w:p w14:paraId="45C4A26A" w14:textId="2EBDF1D6" w:rsidR="00BA3568" w:rsidRPr="006930C5" w:rsidRDefault="006930C5" w:rsidP="00425F7D">
      <w:pPr>
        <w:pStyle w:val="BodyTextIndent"/>
        <w:rPr>
          <w:b/>
          <w:sz w:val="24"/>
          <w:lang w:val="en-US"/>
        </w:rPr>
      </w:pPr>
      <w:r>
        <w:rPr>
          <w:b/>
          <w:sz w:val="24"/>
          <w:lang w:val="en-US"/>
        </w:rPr>
        <w:t>Q.</w:t>
      </w:r>
      <w:r>
        <w:rPr>
          <w:b/>
          <w:sz w:val="24"/>
          <w:lang w:val="en-US"/>
        </w:rPr>
        <w:tab/>
        <w:t xml:space="preserve">Why does Staff believe that an early and aggressive response by Avista to the SI’s </w:t>
      </w:r>
      <w:r w:rsidR="008F75CF">
        <w:rPr>
          <w:b/>
          <w:sz w:val="24"/>
          <w:lang w:val="en-US"/>
        </w:rPr>
        <w:t xml:space="preserve">contractual </w:t>
      </w:r>
      <w:r>
        <w:rPr>
          <w:b/>
          <w:sz w:val="24"/>
          <w:lang w:val="en-US"/>
        </w:rPr>
        <w:t>breach might have led to different results for Project Compass?</w:t>
      </w:r>
    </w:p>
    <w:p w14:paraId="16E63D31" w14:textId="211EF1FC" w:rsidR="00676E0F" w:rsidRDefault="006930C5" w:rsidP="00425F7D">
      <w:pPr>
        <w:pStyle w:val="BodyTextIndent"/>
        <w:rPr>
          <w:sz w:val="24"/>
          <w:lang w:val="en-US"/>
        </w:rPr>
      </w:pPr>
      <w:r>
        <w:rPr>
          <w:sz w:val="24"/>
          <w:lang w:val="en-US"/>
        </w:rPr>
        <w:t>A.</w:t>
      </w:r>
      <w:r>
        <w:rPr>
          <w:sz w:val="24"/>
          <w:lang w:val="en-US"/>
        </w:rPr>
        <w:tab/>
      </w:r>
      <w:r w:rsidR="008A7C6E">
        <w:rPr>
          <w:sz w:val="24"/>
          <w:lang w:val="en-US"/>
        </w:rPr>
        <w:t xml:space="preserve">Avista’s contract with the SI was performance based.  This means that the Company structured </w:t>
      </w:r>
      <w:r w:rsidR="00BC5CBF">
        <w:rPr>
          <w:sz w:val="24"/>
          <w:lang w:val="en-US"/>
        </w:rPr>
        <w:t xml:space="preserve">its </w:t>
      </w:r>
      <w:r w:rsidR="008A7C6E">
        <w:rPr>
          <w:sz w:val="24"/>
          <w:lang w:val="en-US"/>
        </w:rPr>
        <w:t>payment</w:t>
      </w:r>
      <w:r w:rsidR="00BC5CBF">
        <w:rPr>
          <w:sz w:val="24"/>
          <w:lang w:val="en-US"/>
        </w:rPr>
        <w:t>s</w:t>
      </w:r>
      <w:r w:rsidR="008A7C6E">
        <w:rPr>
          <w:sz w:val="24"/>
          <w:lang w:val="en-US"/>
        </w:rPr>
        <w:t xml:space="preserve"> </w:t>
      </w:r>
      <w:r w:rsidR="008F75CF">
        <w:rPr>
          <w:sz w:val="24"/>
          <w:lang w:val="en-US"/>
        </w:rPr>
        <w:t>with EP2M/</w:t>
      </w:r>
      <w:r w:rsidR="00BC5CBF">
        <w:rPr>
          <w:sz w:val="24"/>
          <w:lang w:val="en-US"/>
        </w:rPr>
        <w:t xml:space="preserve">Five Point </w:t>
      </w:r>
      <w:r w:rsidR="008A7C6E">
        <w:rPr>
          <w:sz w:val="24"/>
          <w:lang w:val="en-US"/>
        </w:rPr>
        <w:t xml:space="preserve">on </w:t>
      </w:r>
      <w:r w:rsidR="00BC5CBF">
        <w:rPr>
          <w:sz w:val="24"/>
          <w:lang w:val="en-US"/>
        </w:rPr>
        <w:t xml:space="preserve">the successful completion of SOW </w:t>
      </w:r>
      <w:r w:rsidR="008A7C6E">
        <w:rPr>
          <w:sz w:val="24"/>
          <w:lang w:val="en-US"/>
        </w:rPr>
        <w:t xml:space="preserve">deliverable milestones </w:t>
      </w:r>
      <w:r w:rsidR="00BC5CBF">
        <w:rPr>
          <w:sz w:val="24"/>
          <w:lang w:val="en-US"/>
        </w:rPr>
        <w:t xml:space="preserve">based on mutually agreed </w:t>
      </w:r>
      <w:r w:rsidR="00D17E3C">
        <w:rPr>
          <w:sz w:val="24"/>
          <w:lang w:val="en-US"/>
        </w:rPr>
        <w:t>upon</w:t>
      </w:r>
      <w:r w:rsidR="00BC5CBF">
        <w:rPr>
          <w:sz w:val="24"/>
          <w:lang w:val="en-US"/>
        </w:rPr>
        <w:t xml:space="preserve"> </w:t>
      </w:r>
      <w:r w:rsidR="008A7C6E">
        <w:rPr>
          <w:sz w:val="24"/>
          <w:lang w:val="en-US"/>
        </w:rPr>
        <w:t xml:space="preserve">acceptance criteria.  </w:t>
      </w:r>
      <w:r w:rsidR="008F75CF">
        <w:rPr>
          <w:sz w:val="24"/>
          <w:lang w:val="en-US"/>
        </w:rPr>
        <w:t xml:space="preserve">The contract’s payment structure also included “holdback” amounts for deliverables.  The holdback amounts would be payable upon successful delivery of the completed solution by the SI.  </w:t>
      </w:r>
      <w:r w:rsidR="0047075A">
        <w:rPr>
          <w:sz w:val="24"/>
          <w:lang w:val="en-US"/>
        </w:rPr>
        <w:t xml:space="preserve">Based </w:t>
      </w:r>
      <w:r w:rsidR="008F75CF">
        <w:rPr>
          <w:sz w:val="24"/>
          <w:lang w:val="en-US"/>
        </w:rPr>
        <w:t>on Avista</w:t>
      </w:r>
      <w:r w:rsidR="00BC5CBF">
        <w:rPr>
          <w:sz w:val="24"/>
          <w:lang w:val="en-US"/>
        </w:rPr>
        <w:t xml:space="preserve">’s response to </w:t>
      </w:r>
      <w:r w:rsidR="008A7C6E">
        <w:rPr>
          <w:sz w:val="24"/>
          <w:lang w:val="en-US"/>
        </w:rPr>
        <w:t>Staff D</w:t>
      </w:r>
      <w:r w:rsidR="00D17E3C">
        <w:rPr>
          <w:sz w:val="24"/>
          <w:lang w:val="en-US"/>
        </w:rPr>
        <w:t xml:space="preserve">ata </w:t>
      </w:r>
      <w:r w:rsidR="008A7C6E">
        <w:rPr>
          <w:sz w:val="24"/>
          <w:lang w:val="en-US"/>
        </w:rPr>
        <w:t>R</w:t>
      </w:r>
      <w:r w:rsidR="00D17E3C">
        <w:rPr>
          <w:sz w:val="24"/>
          <w:lang w:val="en-US"/>
        </w:rPr>
        <w:t>equest</w:t>
      </w:r>
      <w:r w:rsidR="008A7C6E">
        <w:rPr>
          <w:sz w:val="24"/>
          <w:lang w:val="en-US"/>
        </w:rPr>
        <w:t xml:space="preserve"> No. 152</w:t>
      </w:r>
      <w:r w:rsidR="00BC5CBF">
        <w:rPr>
          <w:sz w:val="24"/>
          <w:lang w:val="en-US"/>
        </w:rPr>
        <w:t xml:space="preserve">, </w:t>
      </w:r>
      <w:r w:rsidR="00501807">
        <w:rPr>
          <w:sz w:val="24"/>
          <w:lang w:val="en-US"/>
        </w:rPr>
        <w:t xml:space="preserve">Staff concludes that </w:t>
      </w:r>
      <w:r w:rsidR="008F75CF">
        <w:rPr>
          <w:sz w:val="24"/>
          <w:lang w:val="en-US"/>
        </w:rPr>
        <w:t xml:space="preserve">the Company </w:t>
      </w:r>
      <w:r w:rsidR="00BC5CBF">
        <w:rPr>
          <w:sz w:val="24"/>
          <w:lang w:val="en-US"/>
        </w:rPr>
        <w:t xml:space="preserve">continued to make payments to a vendor that </w:t>
      </w:r>
      <w:r w:rsidR="00CA0D43">
        <w:rPr>
          <w:sz w:val="24"/>
          <w:lang w:val="en-US"/>
        </w:rPr>
        <w:t xml:space="preserve">was </w:t>
      </w:r>
      <w:r w:rsidR="00BC5CBF">
        <w:rPr>
          <w:sz w:val="24"/>
          <w:lang w:val="en-US"/>
        </w:rPr>
        <w:t>clearly not performing</w:t>
      </w:r>
      <w:r w:rsidR="008F75CF">
        <w:rPr>
          <w:sz w:val="24"/>
          <w:lang w:val="en-US"/>
        </w:rPr>
        <w:t>.  A</w:t>
      </w:r>
      <w:r w:rsidR="00BC5CBF">
        <w:rPr>
          <w:sz w:val="24"/>
          <w:lang w:val="en-US"/>
        </w:rPr>
        <w:t xml:space="preserve">s a result, </w:t>
      </w:r>
      <w:r w:rsidR="00CA0D43">
        <w:rPr>
          <w:sz w:val="24"/>
          <w:lang w:val="en-US"/>
        </w:rPr>
        <w:t xml:space="preserve">the Company </w:t>
      </w:r>
      <w:r w:rsidR="00BC5CBF">
        <w:rPr>
          <w:sz w:val="24"/>
          <w:lang w:val="en-US"/>
        </w:rPr>
        <w:t xml:space="preserve">lost any leverage to </w:t>
      </w:r>
      <w:r w:rsidR="008F75CF">
        <w:rPr>
          <w:sz w:val="24"/>
          <w:lang w:val="en-US"/>
        </w:rPr>
        <w:t>compel the SI to cure its breach</w:t>
      </w:r>
      <w:r w:rsidR="00A34B3C">
        <w:rPr>
          <w:sz w:val="24"/>
          <w:lang w:val="en-US"/>
        </w:rPr>
        <w:t xml:space="preserve">, particularly the further along the project moved toward its Go-Live date.  Had Avista stopped making payments and availed itself of its contractual </w:t>
      </w:r>
      <w:r w:rsidR="00A34B3C">
        <w:rPr>
          <w:sz w:val="24"/>
          <w:lang w:val="en-US"/>
        </w:rPr>
        <w:lastRenderedPageBreak/>
        <w:t>rights in late</w:t>
      </w:r>
      <w:r w:rsidR="009D5673">
        <w:rPr>
          <w:sz w:val="24"/>
          <w:lang w:val="en-US"/>
        </w:rPr>
        <w:t xml:space="preserve"> </w:t>
      </w:r>
      <w:r w:rsidR="00A34B3C">
        <w:rPr>
          <w:sz w:val="24"/>
          <w:lang w:val="en-US"/>
        </w:rPr>
        <w:t xml:space="preserve">2013/early 2014, the SI would have been forced to address its performance issues which may have likely avoided </w:t>
      </w:r>
      <w:r w:rsidR="008F75CF">
        <w:rPr>
          <w:sz w:val="24"/>
          <w:lang w:val="en-US"/>
        </w:rPr>
        <w:t>having</w:t>
      </w:r>
      <w:r w:rsidR="00A34B3C">
        <w:rPr>
          <w:sz w:val="24"/>
          <w:lang w:val="en-US"/>
        </w:rPr>
        <w:t xml:space="preserve"> Avista </w:t>
      </w:r>
      <w:r w:rsidR="008F75CF">
        <w:rPr>
          <w:sz w:val="24"/>
          <w:lang w:val="en-US"/>
        </w:rPr>
        <w:t xml:space="preserve">extend </w:t>
      </w:r>
      <w:r w:rsidR="00A34B3C">
        <w:rPr>
          <w:sz w:val="24"/>
          <w:lang w:val="en-US"/>
        </w:rPr>
        <w:t>its Go-Live date for Project Compass.</w:t>
      </w:r>
      <w:r w:rsidR="00DC6D1E">
        <w:rPr>
          <w:sz w:val="24"/>
          <w:lang w:val="en-US"/>
        </w:rPr>
        <w:t xml:space="preserve">  While it is not for Staff to decide what the Company should have done, the failure of the Company to provide documentation of any substantive consideration of alternatives to extending and increasing funding for the project</w:t>
      </w:r>
      <w:r w:rsidR="009E20A7">
        <w:rPr>
          <w:sz w:val="24"/>
          <w:lang w:val="en-US"/>
        </w:rPr>
        <w:t xml:space="preserve"> is consistent only with a failure to act reasonably and prudently</w:t>
      </w:r>
      <w:r w:rsidR="00DC6D1E">
        <w:rPr>
          <w:sz w:val="24"/>
          <w:lang w:val="en-US"/>
        </w:rPr>
        <w:t>.</w:t>
      </w:r>
    </w:p>
    <w:p w14:paraId="5F754DB0" w14:textId="77777777" w:rsidR="00676E0F" w:rsidRDefault="00676E0F" w:rsidP="00425F7D">
      <w:pPr>
        <w:pStyle w:val="BodyTextIndent"/>
        <w:rPr>
          <w:sz w:val="24"/>
          <w:lang w:val="en-US"/>
        </w:rPr>
      </w:pPr>
    </w:p>
    <w:p w14:paraId="6D4B9D94" w14:textId="27658643" w:rsidR="00CE2264" w:rsidRDefault="00676E0F" w:rsidP="00425F7D">
      <w:pPr>
        <w:pStyle w:val="BodyTextIndent"/>
        <w:rPr>
          <w:sz w:val="24"/>
          <w:lang w:val="en-US"/>
        </w:rPr>
      </w:pPr>
      <w:r>
        <w:rPr>
          <w:b/>
          <w:sz w:val="24"/>
          <w:lang w:val="en-US"/>
        </w:rPr>
        <w:t>Q.</w:t>
      </w:r>
      <w:r>
        <w:rPr>
          <w:b/>
          <w:sz w:val="24"/>
          <w:lang w:val="en-US"/>
        </w:rPr>
        <w:tab/>
      </w:r>
      <w:r w:rsidR="00CC6E9D">
        <w:rPr>
          <w:b/>
          <w:sz w:val="24"/>
          <w:lang w:val="en-US"/>
        </w:rPr>
        <w:t xml:space="preserve">Avista entered into an “Extension Agreement” with EY for additional resources to complete Project Compass.  Why do </w:t>
      </w:r>
      <w:r w:rsidR="009D5673">
        <w:rPr>
          <w:b/>
          <w:sz w:val="24"/>
          <w:lang w:val="en-US"/>
        </w:rPr>
        <w:t xml:space="preserve">you </w:t>
      </w:r>
      <w:r w:rsidR="00CC6E9D">
        <w:rPr>
          <w:b/>
          <w:sz w:val="24"/>
          <w:lang w:val="en-US"/>
        </w:rPr>
        <w:t>conclude that Avista did not meet its required burden of proof to show that expenditures related to the Extension Agreement were prudent?</w:t>
      </w:r>
      <w:r w:rsidR="00CE2264">
        <w:rPr>
          <w:sz w:val="24"/>
          <w:lang w:val="en-US"/>
        </w:rPr>
        <w:t xml:space="preserve">   </w:t>
      </w:r>
      <w:r w:rsidR="003044C1">
        <w:rPr>
          <w:sz w:val="24"/>
          <w:lang w:val="en-US"/>
        </w:rPr>
        <w:t xml:space="preserve"> </w:t>
      </w:r>
    </w:p>
    <w:p w14:paraId="1011769F" w14:textId="1F05C0E8" w:rsidR="001E0AF6" w:rsidRDefault="00CC6E9D" w:rsidP="00425F7D">
      <w:pPr>
        <w:pStyle w:val="BodyTextIndent"/>
        <w:rPr>
          <w:sz w:val="24"/>
          <w:lang w:val="en-US"/>
        </w:rPr>
      </w:pPr>
      <w:r>
        <w:rPr>
          <w:sz w:val="24"/>
          <w:lang w:val="en-US"/>
        </w:rPr>
        <w:t>A.</w:t>
      </w:r>
      <w:r>
        <w:rPr>
          <w:sz w:val="24"/>
          <w:lang w:val="en-US"/>
        </w:rPr>
        <w:tab/>
      </w:r>
      <w:r w:rsidR="00566CD3">
        <w:rPr>
          <w:sz w:val="24"/>
          <w:lang w:val="en-US"/>
        </w:rPr>
        <w:t xml:space="preserve">As I mentioned previously, EY acquired Five Point in June of 2014.  </w:t>
      </w:r>
      <w:r w:rsidR="00AD314E">
        <w:rPr>
          <w:sz w:val="24"/>
          <w:lang w:val="en-US"/>
        </w:rPr>
        <w:t xml:space="preserve">By this time, Avista’s Board had already approved </w:t>
      </w:r>
      <w:r w:rsidR="00B26B24">
        <w:rPr>
          <w:sz w:val="24"/>
          <w:lang w:val="en-US"/>
        </w:rPr>
        <w:t xml:space="preserve">the </w:t>
      </w:r>
      <w:r w:rsidR="00114199">
        <w:rPr>
          <w:sz w:val="24"/>
          <w:lang w:val="en-US"/>
        </w:rPr>
        <w:t xml:space="preserve">new </w:t>
      </w:r>
      <w:r w:rsidR="00B628F4">
        <w:rPr>
          <w:sz w:val="24"/>
          <w:lang w:val="en-US"/>
        </w:rPr>
        <w:t>Go-Live</w:t>
      </w:r>
      <w:r w:rsidR="00114199">
        <w:rPr>
          <w:sz w:val="24"/>
          <w:lang w:val="en-US"/>
        </w:rPr>
        <w:t xml:space="preserve"> date </w:t>
      </w:r>
      <w:r w:rsidR="00B0782A">
        <w:rPr>
          <w:sz w:val="24"/>
          <w:lang w:val="en-US"/>
        </w:rPr>
        <w:t xml:space="preserve">and </w:t>
      </w:r>
      <w:r w:rsidR="00512B26">
        <w:rPr>
          <w:sz w:val="24"/>
          <w:lang w:val="en-US"/>
        </w:rPr>
        <w:t xml:space="preserve">the </w:t>
      </w:r>
      <w:r w:rsidR="00B0782A">
        <w:rPr>
          <w:sz w:val="24"/>
          <w:lang w:val="en-US"/>
        </w:rPr>
        <w:t xml:space="preserve">first </w:t>
      </w:r>
      <w:r w:rsidR="00512B26">
        <w:rPr>
          <w:sz w:val="24"/>
          <w:lang w:val="en-US"/>
        </w:rPr>
        <w:t xml:space="preserve">budget </w:t>
      </w:r>
      <w:r w:rsidR="00B26B24">
        <w:rPr>
          <w:sz w:val="24"/>
          <w:lang w:val="en-US"/>
        </w:rPr>
        <w:t>increase</w:t>
      </w:r>
      <w:r w:rsidR="00114199">
        <w:rPr>
          <w:sz w:val="24"/>
          <w:lang w:val="en-US"/>
        </w:rPr>
        <w:t xml:space="preserve"> of $20.0 million</w:t>
      </w:r>
      <w:r w:rsidR="00AD314E">
        <w:rPr>
          <w:sz w:val="24"/>
          <w:lang w:val="en-US"/>
        </w:rPr>
        <w:t xml:space="preserve">.  </w:t>
      </w:r>
      <w:r w:rsidR="00643875">
        <w:rPr>
          <w:sz w:val="24"/>
          <w:lang w:val="en-US"/>
        </w:rPr>
        <w:t xml:space="preserve">Notes from Avista’s June </w:t>
      </w:r>
      <w:r w:rsidR="00114199">
        <w:rPr>
          <w:sz w:val="24"/>
          <w:lang w:val="en-US"/>
        </w:rPr>
        <w:t xml:space="preserve">2014 </w:t>
      </w:r>
      <w:r w:rsidR="00B93926">
        <w:rPr>
          <w:sz w:val="24"/>
          <w:lang w:val="en-US"/>
        </w:rPr>
        <w:t>Executive S</w:t>
      </w:r>
      <w:r w:rsidR="00643875">
        <w:rPr>
          <w:sz w:val="24"/>
          <w:lang w:val="en-US"/>
        </w:rPr>
        <w:t xml:space="preserve">teering </w:t>
      </w:r>
      <w:r w:rsidR="00B93926">
        <w:rPr>
          <w:sz w:val="24"/>
          <w:lang w:val="en-US"/>
        </w:rPr>
        <w:t>C</w:t>
      </w:r>
      <w:r w:rsidR="00643875">
        <w:rPr>
          <w:sz w:val="24"/>
          <w:lang w:val="en-US"/>
        </w:rPr>
        <w:t xml:space="preserve">ommittee meeting indicate Avista’s desire to engage EY </w:t>
      </w:r>
      <w:r w:rsidR="00B93926">
        <w:rPr>
          <w:sz w:val="24"/>
          <w:lang w:val="en-US"/>
        </w:rPr>
        <w:t xml:space="preserve">in an effort to start </w:t>
      </w:r>
      <w:r w:rsidR="00643875">
        <w:rPr>
          <w:sz w:val="24"/>
          <w:lang w:val="en-US"/>
        </w:rPr>
        <w:t xml:space="preserve">to </w:t>
      </w:r>
      <w:r w:rsidR="004E77FD">
        <w:rPr>
          <w:sz w:val="24"/>
          <w:lang w:val="en-US"/>
        </w:rPr>
        <w:t>address</w:t>
      </w:r>
      <w:r w:rsidR="00643875">
        <w:rPr>
          <w:sz w:val="24"/>
          <w:lang w:val="en-US"/>
        </w:rPr>
        <w:t xml:space="preserve"> </w:t>
      </w:r>
      <w:r w:rsidR="009A3020">
        <w:rPr>
          <w:sz w:val="24"/>
          <w:lang w:val="en-US"/>
        </w:rPr>
        <w:t xml:space="preserve">SI </w:t>
      </w:r>
      <w:r w:rsidR="00643875">
        <w:rPr>
          <w:sz w:val="24"/>
          <w:lang w:val="en-US"/>
        </w:rPr>
        <w:t xml:space="preserve">resource and performance issues </w:t>
      </w:r>
      <w:r w:rsidR="009A3020">
        <w:rPr>
          <w:sz w:val="24"/>
          <w:lang w:val="en-US"/>
        </w:rPr>
        <w:t xml:space="preserve">plaguing the project </w:t>
      </w:r>
      <w:r w:rsidR="00011560">
        <w:rPr>
          <w:sz w:val="24"/>
          <w:lang w:val="en-US"/>
        </w:rPr>
        <w:t>thus far</w:t>
      </w:r>
      <w:r w:rsidR="009A3020">
        <w:rPr>
          <w:sz w:val="24"/>
          <w:lang w:val="en-US"/>
        </w:rPr>
        <w:t>.</w:t>
      </w:r>
      <w:r w:rsidR="009A3020">
        <w:rPr>
          <w:rStyle w:val="FootnoteReference"/>
          <w:sz w:val="24"/>
          <w:lang w:val="en-US"/>
        </w:rPr>
        <w:footnoteReference w:id="102"/>
      </w:r>
      <w:r w:rsidR="009A3020">
        <w:rPr>
          <w:sz w:val="24"/>
          <w:lang w:val="en-US"/>
        </w:rPr>
        <w:t xml:space="preserve">  </w:t>
      </w:r>
      <w:r w:rsidR="00B93926">
        <w:rPr>
          <w:sz w:val="24"/>
          <w:lang w:val="en-US"/>
        </w:rPr>
        <w:t xml:space="preserve">The Company’s </w:t>
      </w:r>
      <w:r w:rsidR="00AD314E">
        <w:rPr>
          <w:sz w:val="24"/>
          <w:lang w:val="en-US"/>
        </w:rPr>
        <w:t xml:space="preserve">supplemental confidential response to </w:t>
      </w:r>
      <w:r w:rsidR="00566CD3" w:rsidRPr="00566CD3">
        <w:rPr>
          <w:sz w:val="24"/>
          <w:lang w:val="en-US"/>
        </w:rPr>
        <w:t>Staff</w:t>
      </w:r>
      <w:r w:rsidR="00AD314E">
        <w:rPr>
          <w:sz w:val="24"/>
          <w:lang w:val="en-US"/>
        </w:rPr>
        <w:t xml:space="preserve"> </w:t>
      </w:r>
      <w:r w:rsidR="00566CD3" w:rsidRPr="00566CD3">
        <w:rPr>
          <w:sz w:val="24"/>
          <w:lang w:val="en-US"/>
        </w:rPr>
        <w:t>D</w:t>
      </w:r>
      <w:r w:rsidR="00011560">
        <w:rPr>
          <w:sz w:val="24"/>
          <w:lang w:val="en-US"/>
        </w:rPr>
        <w:t xml:space="preserve">ata </w:t>
      </w:r>
      <w:r w:rsidR="00566CD3" w:rsidRPr="00566CD3">
        <w:rPr>
          <w:sz w:val="24"/>
          <w:lang w:val="en-US"/>
        </w:rPr>
        <w:t>R</w:t>
      </w:r>
      <w:r w:rsidR="00011560">
        <w:rPr>
          <w:sz w:val="24"/>
          <w:lang w:val="en-US"/>
        </w:rPr>
        <w:t>equest</w:t>
      </w:r>
      <w:r w:rsidR="00AD314E">
        <w:rPr>
          <w:sz w:val="24"/>
          <w:lang w:val="en-US"/>
        </w:rPr>
        <w:t xml:space="preserve"> No. 1</w:t>
      </w:r>
      <w:r w:rsidR="00566CD3" w:rsidRPr="00566CD3">
        <w:rPr>
          <w:sz w:val="24"/>
          <w:lang w:val="en-US"/>
        </w:rPr>
        <w:t>52</w:t>
      </w:r>
      <w:r w:rsidR="00AD314E">
        <w:rPr>
          <w:sz w:val="24"/>
          <w:lang w:val="en-US"/>
        </w:rPr>
        <w:t xml:space="preserve">, </w:t>
      </w:r>
      <w:r w:rsidR="00566CD3" w:rsidRPr="00566CD3">
        <w:rPr>
          <w:sz w:val="24"/>
          <w:lang w:val="en-US"/>
        </w:rPr>
        <w:t>Attachment A</w:t>
      </w:r>
      <w:r w:rsidR="00AD314E">
        <w:rPr>
          <w:sz w:val="24"/>
          <w:lang w:val="en-US"/>
        </w:rPr>
        <w:t>,</w:t>
      </w:r>
      <w:r w:rsidR="00566CD3" w:rsidRPr="00566CD3">
        <w:rPr>
          <w:sz w:val="24"/>
          <w:lang w:val="en-US"/>
        </w:rPr>
        <w:t xml:space="preserve"> </w:t>
      </w:r>
      <w:r w:rsidR="00B93926">
        <w:rPr>
          <w:sz w:val="24"/>
          <w:lang w:val="en-US"/>
        </w:rPr>
        <w:t xml:space="preserve">provides </w:t>
      </w:r>
      <w:r w:rsidR="004E77FD">
        <w:rPr>
          <w:sz w:val="24"/>
          <w:lang w:val="en-US"/>
        </w:rPr>
        <w:t>an email dated August 6, 2014, that contain</w:t>
      </w:r>
      <w:r w:rsidR="006426AE">
        <w:rPr>
          <w:sz w:val="24"/>
          <w:lang w:val="en-US"/>
        </w:rPr>
        <w:t>s</w:t>
      </w:r>
      <w:r w:rsidR="004E77FD">
        <w:rPr>
          <w:sz w:val="24"/>
          <w:lang w:val="en-US"/>
        </w:rPr>
        <w:t xml:space="preserve"> </w:t>
      </w:r>
      <w:r w:rsidR="00B93926">
        <w:rPr>
          <w:sz w:val="24"/>
          <w:lang w:val="en-US"/>
        </w:rPr>
        <w:t xml:space="preserve">Mr. Kensok’s “talking points” </w:t>
      </w:r>
      <w:r w:rsidR="004E77FD">
        <w:rPr>
          <w:sz w:val="24"/>
          <w:lang w:val="en-US"/>
        </w:rPr>
        <w:t xml:space="preserve">used to report </w:t>
      </w:r>
      <w:r w:rsidR="00B93926">
        <w:rPr>
          <w:sz w:val="24"/>
          <w:lang w:val="en-US"/>
        </w:rPr>
        <w:t>to the Board</w:t>
      </w:r>
      <w:r w:rsidR="004E77FD">
        <w:rPr>
          <w:sz w:val="24"/>
          <w:lang w:val="en-US"/>
        </w:rPr>
        <w:t xml:space="preserve"> </w:t>
      </w:r>
      <w:r w:rsidR="00566CD3" w:rsidRPr="00566CD3">
        <w:rPr>
          <w:sz w:val="24"/>
          <w:lang w:val="en-US"/>
        </w:rPr>
        <w:t>the status of Project Compass</w:t>
      </w:r>
      <w:r w:rsidR="00011560">
        <w:rPr>
          <w:sz w:val="24"/>
          <w:lang w:val="en-US"/>
        </w:rPr>
        <w:t>,</w:t>
      </w:r>
      <w:r w:rsidR="00C33745">
        <w:rPr>
          <w:sz w:val="24"/>
          <w:lang w:val="en-US"/>
        </w:rPr>
        <w:t xml:space="preserve"> which include progress made with EY to address </w:t>
      </w:r>
      <w:r w:rsidR="00B0782A">
        <w:rPr>
          <w:sz w:val="24"/>
          <w:lang w:val="en-US"/>
        </w:rPr>
        <w:t xml:space="preserve">continued </w:t>
      </w:r>
      <w:r w:rsidR="00114199">
        <w:rPr>
          <w:sz w:val="24"/>
          <w:lang w:val="en-US"/>
        </w:rPr>
        <w:t>performance issues relating to c</w:t>
      </w:r>
      <w:r w:rsidR="00C33745">
        <w:rPr>
          <w:sz w:val="24"/>
          <w:lang w:val="en-US"/>
        </w:rPr>
        <w:t>ode quality and defect resolution turnaround</w:t>
      </w:r>
      <w:r w:rsidR="00B93926">
        <w:rPr>
          <w:sz w:val="24"/>
          <w:lang w:val="en-US"/>
        </w:rPr>
        <w:t xml:space="preserve">.  </w:t>
      </w:r>
      <w:r w:rsidR="00566CD3" w:rsidRPr="00566CD3">
        <w:rPr>
          <w:sz w:val="24"/>
          <w:lang w:val="en-US"/>
        </w:rPr>
        <w:t xml:space="preserve">The talking points include a reference </w:t>
      </w:r>
      <w:r w:rsidR="00566CD3" w:rsidRPr="00566CD3">
        <w:rPr>
          <w:sz w:val="24"/>
          <w:lang w:val="en-US"/>
        </w:rPr>
        <w:lastRenderedPageBreak/>
        <w:t xml:space="preserve">to extending </w:t>
      </w:r>
      <w:r w:rsidR="00B93926">
        <w:rPr>
          <w:sz w:val="24"/>
          <w:lang w:val="en-US"/>
        </w:rPr>
        <w:t xml:space="preserve">the </w:t>
      </w:r>
      <w:r w:rsidR="00566CD3" w:rsidRPr="00566CD3">
        <w:rPr>
          <w:sz w:val="24"/>
          <w:lang w:val="en-US"/>
        </w:rPr>
        <w:t xml:space="preserve">contract with </w:t>
      </w:r>
      <w:r w:rsidR="00B93926">
        <w:rPr>
          <w:sz w:val="24"/>
          <w:lang w:val="en-US"/>
        </w:rPr>
        <w:t>EY</w:t>
      </w:r>
      <w:r w:rsidR="00C33745">
        <w:rPr>
          <w:sz w:val="24"/>
          <w:lang w:val="en-US"/>
        </w:rPr>
        <w:t>.  The talking points also mention in a sentence that PMO was looking “at alternatives outside of EY to further reduce risk associated with delivering a quality CC&amp;B application.”</w:t>
      </w:r>
      <w:r w:rsidR="00475C28">
        <w:rPr>
          <w:sz w:val="24"/>
          <w:lang w:val="en-US"/>
        </w:rPr>
        <w:t xml:space="preserve">  </w:t>
      </w:r>
      <w:r w:rsidR="00020E5E">
        <w:rPr>
          <w:sz w:val="24"/>
          <w:lang w:val="en-US"/>
        </w:rPr>
        <w:t>Avista’s Project Change Request (PCR) No. FP 24N dated October 14, 2014, states that the Extension Agreement was the only viable alternative considered</w:t>
      </w:r>
      <w:r w:rsidR="003131A2">
        <w:rPr>
          <w:sz w:val="24"/>
          <w:lang w:val="en-US"/>
        </w:rPr>
        <w:t>.</w:t>
      </w:r>
    </w:p>
    <w:p w14:paraId="1766984E" w14:textId="3C1204D5" w:rsidR="00E372FF" w:rsidRDefault="001E0AF6" w:rsidP="00425F7D">
      <w:pPr>
        <w:pStyle w:val="BodyTextIndent"/>
        <w:ind w:firstLine="720"/>
        <w:rPr>
          <w:sz w:val="24"/>
          <w:lang w:val="en-US"/>
        </w:rPr>
      </w:pPr>
      <w:r>
        <w:rPr>
          <w:sz w:val="24"/>
          <w:lang w:val="en-US"/>
        </w:rPr>
        <w:t>The Extension Agreement was signed on October 14, 2014, and was a Time and Material contract with a not-to-exceed amount of $6.2 million.  In light of all that transpired in Project Compass as a result of the SI’s performance, Staff finds such favorable terms to EY in the Extension Agreement to be particularly troubling.</w:t>
      </w:r>
      <w:r>
        <w:rPr>
          <w:rStyle w:val="FootnoteReference"/>
          <w:sz w:val="24"/>
          <w:lang w:val="en-US"/>
        </w:rPr>
        <w:footnoteReference w:id="103"/>
      </w:r>
      <w:r w:rsidR="003131A2">
        <w:rPr>
          <w:sz w:val="24"/>
          <w:lang w:val="en-US"/>
        </w:rPr>
        <w:t xml:space="preserve"> </w:t>
      </w:r>
    </w:p>
    <w:p w14:paraId="613BD90D" w14:textId="1FD7302C" w:rsidR="00B0782A" w:rsidRDefault="003131A2" w:rsidP="00425F7D">
      <w:pPr>
        <w:pStyle w:val="BodyTextIndent"/>
        <w:ind w:firstLine="720"/>
        <w:rPr>
          <w:sz w:val="24"/>
          <w:lang w:val="en-US"/>
        </w:rPr>
      </w:pPr>
      <w:r>
        <w:rPr>
          <w:sz w:val="24"/>
          <w:lang w:val="en-US"/>
        </w:rPr>
        <w:t xml:space="preserve">In spite of Staff’s repeated </w:t>
      </w:r>
      <w:r w:rsidR="00563DC4">
        <w:rPr>
          <w:sz w:val="24"/>
          <w:lang w:val="en-US"/>
        </w:rPr>
        <w:t>discovery requests</w:t>
      </w:r>
      <w:r>
        <w:rPr>
          <w:sz w:val="24"/>
          <w:lang w:val="en-US"/>
        </w:rPr>
        <w:t xml:space="preserve">, the Company has failed to </w:t>
      </w:r>
      <w:r w:rsidR="00BB4C2D">
        <w:rPr>
          <w:sz w:val="24"/>
          <w:lang w:val="en-US"/>
        </w:rPr>
        <w:t xml:space="preserve">show how its decision to enter into an Extension Agreement with EY </w:t>
      </w:r>
      <w:r>
        <w:rPr>
          <w:sz w:val="24"/>
          <w:lang w:val="en-US"/>
        </w:rPr>
        <w:t>meet</w:t>
      </w:r>
      <w:r w:rsidR="00BB4C2D">
        <w:rPr>
          <w:sz w:val="24"/>
          <w:lang w:val="en-US"/>
        </w:rPr>
        <w:t>s</w:t>
      </w:r>
      <w:r>
        <w:rPr>
          <w:sz w:val="24"/>
          <w:lang w:val="en-US"/>
        </w:rPr>
        <w:t xml:space="preserve"> the test </w:t>
      </w:r>
      <w:r w:rsidRPr="003131A2">
        <w:rPr>
          <w:sz w:val="24"/>
          <w:lang w:val="en-US"/>
        </w:rPr>
        <w:t xml:space="preserve">this Commission applies to measure prudence </w:t>
      </w:r>
      <w:r>
        <w:rPr>
          <w:sz w:val="24"/>
          <w:lang w:val="en-US"/>
        </w:rPr>
        <w:t>mentioned earlier in my testimony.</w:t>
      </w:r>
      <w:r w:rsidR="004B1E63">
        <w:rPr>
          <w:sz w:val="24"/>
          <w:lang w:val="en-US"/>
        </w:rPr>
        <w:t xml:space="preserve">  </w:t>
      </w:r>
      <w:r>
        <w:rPr>
          <w:sz w:val="24"/>
          <w:lang w:val="en-US"/>
        </w:rPr>
        <w:t xml:space="preserve">Avista has not produced </w:t>
      </w:r>
      <w:r w:rsidR="00563DC4">
        <w:rPr>
          <w:sz w:val="24"/>
          <w:lang w:val="en-US"/>
        </w:rPr>
        <w:t xml:space="preserve">a </w:t>
      </w:r>
      <w:r>
        <w:rPr>
          <w:sz w:val="24"/>
          <w:lang w:val="en-US"/>
        </w:rPr>
        <w:t xml:space="preserve">record memorializing how the Company’s </w:t>
      </w:r>
      <w:r w:rsidR="00563DC4">
        <w:rPr>
          <w:sz w:val="24"/>
          <w:lang w:val="en-US"/>
        </w:rPr>
        <w:t xml:space="preserve">management came to </w:t>
      </w:r>
      <w:r w:rsidR="004B1E63">
        <w:rPr>
          <w:sz w:val="24"/>
          <w:lang w:val="en-US"/>
        </w:rPr>
        <w:t>its c</w:t>
      </w:r>
      <w:r w:rsidR="00563DC4">
        <w:rPr>
          <w:sz w:val="24"/>
          <w:lang w:val="en-US"/>
        </w:rPr>
        <w:t>onclusion that the Extension Agreement was its only viable alternative</w:t>
      </w:r>
      <w:r w:rsidR="00BB4C2D">
        <w:rPr>
          <w:sz w:val="24"/>
          <w:lang w:val="en-US"/>
        </w:rPr>
        <w:t xml:space="preserve"> nor </w:t>
      </w:r>
      <w:r w:rsidR="004B1E63">
        <w:rPr>
          <w:sz w:val="24"/>
          <w:lang w:val="en-US"/>
        </w:rPr>
        <w:t xml:space="preserve">what </w:t>
      </w:r>
      <w:r w:rsidR="00BB4C2D">
        <w:rPr>
          <w:sz w:val="24"/>
          <w:lang w:val="en-US"/>
        </w:rPr>
        <w:t xml:space="preserve">the substance of its negotiations and discussions with EY </w:t>
      </w:r>
      <w:r w:rsidR="004B1E63">
        <w:rPr>
          <w:sz w:val="24"/>
          <w:lang w:val="en-US"/>
        </w:rPr>
        <w:t xml:space="preserve">were </w:t>
      </w:r>
      <w:r w:rsidR="00BB4C2D">
        <w:rPr>
          <w:sz w:val="24"/>
          <w:lang w:val="en-US"/>
        </w:rPr>
        <w:t xml:space="preserve">that eventually led to </w:t>
      </w:r>
      <w:r w:rsidR="00BB7A23">
        <w:rPr>
          <w:sz w:val="24"/>
          <w:lang w:val="en-US"/>
        </w:rPr>
        <w:t xml:space="preserve">the </w:t>
      </w:r>
      <w:r w:rsidR="00BB4C2D">
        <w:rPr>
          <w:sz w:val="24"/>
          <w:lang w:val="en-US"/>
        </w:rPr>
        <w:t>agreement.</w:t>
      </w:r>
      <w:r w:rsidR="00117AA0" w:rsidRPr="00117AA0">
        <w:rPr>
          <w:rStyle w:val="FootnoteReference"/>
          <w:sz w:val="24"/>
          <w:lang w:val="en-US"/>
        </w:rPr>
        <w:t xml:space="preserve"> </w:t>
      </w:r>
      <w:r w:rsidR="00117AA0">
        <w:rPr>
          <w:rStyle w:val="FootnoteReference"/>
          <w:sz w:val="24"/>
          <w:lang w:val="en-US"/>
        </w:rPr>
        <w:footnoteReference w:id="104"/>
      </w:r>
      <w:r w:rsidR="00BB4C2D">
        <w:rPr>
          <w:sz w:val="24"/>
          <w:lang w:val="en-US"/>
        </w:rPr>
        <w:t xml:space="preserve">  As a result, Staff </w:t>
      </w:r>
      <w:r w:rsidR="004B1E63">
        <w:rPr>
          <w:sz w:val="24"/>
          <w:lang w:val="en-US"/>
        </w:rPr>
        <w:t>c</w:t>
      </w:r>
      <w:r w:rsidR="00BB7A23">
        <w:rPr>
          <w:sz w:val="24"/>
          <w:lang w:val="en-US"/>
        </w:rPr>
        <w:t xml:space="preserve">oncludes that the burden of </w:t>
      </w:r>
      <w:r w:rsidR="00BB7A23">
        <w:rPr>
          <w:sz w:val="24"/>
          <w:lang w:val="en-US"/>
        </w:rPr>
        <w:lastRenderedPageBreak/>
        <w:t xml:space="preserve">proof required for a determination </w:t>
      </w:r>
      <w:r w:rsidR="00BB4C2D">
        <w:rPr>
          <w:sz w:val="24"/>
          <w:lang w:val="en-US"/>
        </w:rPr>
        <w:t>that the Company’s</w:t>
      </w:r>
      <w:r w:rsidR="009A1263">
        <w:rPr>
          <w:sz w:val="24"/>
          <w:lang w:val="en-US"/>
        </w:rPr>
        <w:t xml:space="preserve"> Extension Agreement with EY was </w:t>
      </w:r>
      <w:r w:rsidR="00BB7A23">
        <w:rPr>
          <w:sz w:val="24"/>
          <w:lang w:val="en-US"/>
        </w:rPr>
        <w:t>p</w:t>
      </w:r>
      <w:r w:rsidR="009A1263">
        <w:rPr>
          <w:sz w:val="24"/>
          <w:lang w:val="en-US"/>
        </w:rPr>
        <w:t>rudent</w:t>
      </w:r>
      <w:r w:rsidR="00BB7A23">
        <w:rPr>
          <w:sz w:val="24"/>
          <w:lang w:val="en-US"/>
        </w:rPr>
        <w:t xml:space="preserve"> has not been met</w:t>
      </w:r>
      <w:r w:rsidR="009A1263">
        <w:rPr>
          <w:sz w:val="24"/>
          <w:lang w:val="en-US"/>
        </w:rPr>
        <w:t xml:space="preserve">. </w:t>
      </w:r>
      <w:r w:rsidR="00987A09">
        <w:rPr>
          <w:sz w:val="24"/>
          <w:lang w:val="en-US"/>
        </w:rPr>
        <w:t xml:space="preserve">  </w:t>
      </w:r>
      <w:r w:rsidR="00C33745">
        <w:rPr>
          <w:sz w:val="24"/>
          <w:lang w:val="en-US"/>
        </w:rPr>
        <w:t xml:space="preserve">  </w:t>
      </w:r>
    </w:p>
    <w:p w14:paraId="6A64F257" w14:textId="77777777" w:rsidR="009A1263" w:rsidRDefault="009A1263" w:rsidP="00425F7D">
      <w:pPr>
        <w:pStyle w:val="BodyTextIndent"/>
        <w:ind w:firstLine="720"/>
        <w:rPr>
          <w:sz w:val="24"/>
          <w:lang w:val="en-US"/>
        </w:rPr>
      </w:pPr>
    </w:p>
    <w:p w14:paraId="70E7B556" w14:textId="407C4995" w:rsidR="00C4353D" w:rsidRDefault="0017660C" w:rsidP="00425F7D">
      <w:pPr>
        <w:pStyle w:val="BodyTextIndent"/>
        <w:rPr>
          <w:b/>
          <w:sz w:val="24"/>
          <w:lang w:val="en-US"/>
        </w:rPr>
      </w:pPr>
      <w:r>
        <w:rPr>
          <w:b/>
          <w:sz w:val="24"/>
          <w:lang w:val="en-US"/>
        </w:rPr>
        <w:t>Q.</w:t>
      </w:r>
      <w:r>
        <w:rPr>
          <w:b/>
          <w:sz w:val="24"/>
          <w:lang w:val="en-US"/>
        </w:rPr>
        <w:tab/>
      </w:r>
      <w:r w:rsidR="00C4353D" w:rsidRPr="009F351B">
        <w:rPr>
          <w:b/>
          <w:sz w:val="24"/>
          <w:lang w:val="en-US"/>
        </w:rPr>
        <w:t>What are your conclusions concerning Avista’s extended timeline for Project Compass?</w:t>
      </w:r>
    </w:p>
    <w:p w14:paraId="7CC83D0A" w14:textId="67206C24" w:rsidR="0089413C" w:rsidRDefault="009F351B" w:rsidP="00425F7D">
      <w:pPr>
        <w:pStyle w:val="BodyTextIndent"/>
        <w:rPr>
          <w:sz w:val="24"/>
          <w:lang w:val="en-US"/>
        </w:rPr>
      </w:pPr>
      <w:r>
        <w:rPr>
          <w:sz w:val="24"/>
          <w:lang w:val="en-US"/>
        </w:rPr>
        <w:t>A.</w:t>
      </w:r>
      <w:r>
        <w:rPr>
          <w:sz w:val="24"/>
          <w:lang w:val="en-US"/>
        </w:rPr>
        <w:tab/>
      </w:r>
      <w:r w:rsidR="000D56DA">
        <w:rPr>
          <w:sz w:val="24"/>
          <w:lang w:val="en-US"/>
        </w:rPr>
        <w:t>The Commission’s requirement of a</w:t>
      </w:r>
      <w:r w:rsidR="0089413C">
        <w:rPr>
          <w:sz w:val="24"/>
          <w:lang w:val="en-US"/>
        </w:rPr>
        <w:t xml:space="preserve">n affirmative showing of reasonableness and prudence </w:t>
      </w:r>
      <w:r w:rsidR="009D7DC3">
        <w:rPr>
          <w:sz w:val="24"/>
          <w:lang w:val="en-US"/>
        </w:rPr>
        <w:t xml:space="preserve">before allowing recovery of </w:t>
      </w:r>
      <w:r w:rsidR="0089413C">
        <w:rPr>
          <w:sz w:val="24"/>
          <w:lang w:val="en-US"/>
        </w:rPr>
        <w:t>expenditures</w:t>
      </w:r>
      <w:r w:rsidR="000D56DA">
        <w:rPr>
          <w:sz w:val="24"/>
          <w:lang w:val="en-US"/>
        </w:rPr>
        <w:t xml:space="preserve"> is an important incentive for regulated companies, particularly with regard to capital expenditures.  In the absence of such a requirement, </w:t>
      </w:r>
      <w:r w:rsidR="00892A72">
        <w:rPr>
          <w:sz w:val="24"/>
          <w:lang w:val="en-US"/>
        </w:rPr>
        <w:t>c</w:t>
      </w:r>
      <w:r w:rsidR="000D56DA">
        <w:rPr>
          <w:sz w:val="24"/>
          <w:lang w:val="en-US"/>
        </w:rPr>
        <w:t xml:space="preserve">ompanies would </w:t>
      </w:r>
      <w:r w:rsidR="005331D1">
        <w:rPr>
          <w:sz w:val="24"/>
          <w:lang w:val="en-US"/>
        </w:rPr>
        <w:t>not be motivated</w:t>
      </w:r>
      <w:r w:rsidR="000D56DA">
        <w:rPr>
          <w:sz w:val="24"/>
          <w:lang w:val="en-US"/>
        </w:rPr>
        <w:t xml:space="preserve"> </w:t>
      </w:r>
      <w:r w:rsidR="005331D1">
        <w:rPr>
          <w:sz w:val="24"/>
          <w:lang w:val="en-US"/>
        </w:rPr>
        <w:t xml:space="preserve">to </w:t>
      </w:r>
      <w:r w:rsidR="000D56DA">
        <w:rPr>
          <w:sz w:val="24"/>
          <w:lang w:val="en-US"/>
        </w:rPr>
        <w:t>contain capital project costs</w:t>
      </w:r>
      <w:r w:rsidR="005331D1">
        <w:rPr>
          <w:sz w:val="24"/>
          <w:lang w:val="en-US"/>
        </w:rPr>
        <w:t xml:space="preserve"> as these expenditures would not only be fully recovered but also earn a return for the Company’s shareholders.</w:t>
      </w:r>
      <w:r w:rsidR="00BA5C5D">
        <w:rPr>
          <w:rStyle w:val="FootnoteReference"/>
          <w:sz w:val="24"/>
          <w:lang w:val="en-US"/>
        </w:rPr>
        <w:footnoteReference w:id="105"/>
      </w:r>
      <w:r w:rsidR="005331D1">
        <w:rPr>
          <w:sz w:val="24"/>
          <w:lang w:val="en-US"/>
        </w:rPr>
        <w:t xml:space="preserve">   </w:t>
      </w:r>
      <w:r w:rsidR="00BA5C5D">
        <w:rPr>
          <w:sz w:val="24"/>
          <w:lang w:val="en-US"/>
        </w:rPr>
        <w:t>T</w:t>
      </w:r>
      <w:r w:rsidR="0089413C">
        <w:rPr>
          <w:sz w:val="24"/>
          <w:lang w:val="en-US"/>
        </w:rPr>
        <w:t>he circumstances and materiality encountered with Avista’s extended timeline for Project Compass</w:t>
      </w:r>
      <w:r w:rsidR="00BA5C5D">
        <w:rPr>
          <w:sz w:val="24"/>
          <w:lang w:val="en-US"/>
        </w:rPr>
        <w:t xml:space="preserve"> require such a showing</w:t>
      </w:r>
      <w:r w:rsidR="0089413C">
        <w:rPr>
          <w:sz w:val="24"/>
          <w:lang w:val="en-US"/>
        </w:rPr>
        <w:t>.</w:t>
      </w:r>
      <w:r w:rsidR="00C06380">
        <w:rPr>
          <w:rStyle w:val="FootnoteReference"/>
          <w:sz w:val="24"/>
          <w:lang w:val="en-US"/>
        </w:rPr>
        <w:footnoteReference w:id="106"/>
      </w:r>
      <w:r w:rsidR="009D7DC3">
        <w:rPr>
          <w:sz w:val="24"/>
          <w:lang w:val="en-US"/>
        </w:rPr>
        <w:t xml:space="preserve">  Avista failed in its direct case to meet </w:t>
      </w:r>
      <w:r w:rsidR="003F25D8">
        <w:rPr>
          <w:sz w:val="24"/>
          <w:lang w:val="en-US"/>
        </w:rPr>
        <w:t>its b</w:t>
      </w:r>
      <w:r w:rsidR="009D7DC3">
        <w:rPr>
          <w:sz w:val="24"/>
          <w:lang w:val="en-US"/>
        </w:rPr>
        <w:t>urden of proof</w:t>
      </w:r>
      <w:r w:rsidR="003F25D8">
        <w:rPr>
          <w:sz w:val="24"/>
          <w:lang w:val="en-US"/>
        </w:rPr>
        <w:t xml:space="preserve"> and, in spite of every effort by Staff to give the Company an opportunity to meet its burden through discovery, it still has not provided sufficient evidence for Staff to support a recommendation to </w:t>
      </w:r>
      <w:r w:rsidR="003F25D8">
        <w:rPr>
          <w:sz w:val="24"/>
          <w:lang w:val="en-US"/>
        </w:rPr>
        <w:lastRenderedPageBreak/>
        <w:t xml:space="preserve">allow the $17.9 million in </w:t>
      </w:r>
      <w:r w:rsidR="00C6374B">
        <w:rPr>
          <w:sz w:val="24"/>
          <w:lang w:val="en-US"/>
        </w:rPr>
        <w:t>system</w:t>
      </w:r>
      <w:r w:rsidR="00892A72">
        <w:rPr>
          <w:sz w:val="24"/>
          <w:lang w:val="en-US"/>
        </w:rPr>
        <w:t>-</w:t>
      </w:r>
      <w:r w:rsidR="00C6374B">
        <w:rPr>
          <w:sz w:val="24"/>
          <w:lang w:val="en-US"/>
        </w:rPr>
        <w:t xml:space="preserve">level </w:t>
      </w:r>
      <w:r w:rsidR="003F25D8">
        <w:rPr>
          <w:sz w:val="24"/>
          <w:lang w:val="en-US"/>
        </w:rPr>
        <w:t>additional costs for Project Compass into rate</w:t>
      </w:r>
      <w:r w:rsidR="00E975A1">
        <w:rPr>
          <w:sz w:val="24"/>
          <w:lang w:val="en-US"/>
        </w:rPr>
        <w:t xml:space="preserve"> base</w:t>
      </w:r>
      <w:r w:rsidR="003F25D8">
        <w:rPr>
          <w:sz w:val="24"/>
          <w:lang w:val="en-US"/>
        </w:rPr>
        <w:t xml:space="preserve">.    </w:t>
      </w:r>
    </w:p>
    <w:p w14:paraId="7A9D89B6" w14:textId="77777777" w:rsidR="000B13C3" w:rsidRDefault="000B13C3" w:rsidP="00425F7D">
      <w:pPr>
        <w:pStyle w:val="BodyTextIndent"/>
        <w:ind w:firstLine="720"/>
        <w:rPr>
          <w:sz w:val="24"/>
          <w:lang w:val="en-US"/>
        </w:rPr>
      </w:pPr>
    </w:p>
    <w:p w14:paraId="351788D8" w14:textId="57F6524C" w:rsidR="000B13C3" w:rsidRDefault="000B13C3" w:rsidP="00425F7D">
      <w:pPr>
        <w:pStyle w:val="BodyTextIndent"/>
        <w:rPr>
          <w:b/>
          <w:sz w:val="24"/>
          <w:lang w:val="en-US"/>
        </w:rPr>
      </w:pPr>
      <w:r>
        <w:rPr>
          <w:b/>
          <w:sz w:val="24"/>
          <w:lang w:val="en-US"/>
        </w:rPr>
        <w:t>Q.</w:t>
      </w:r>
      <w:r>
        <w:rPr>
          <w:b/>
          <w:sz w:val="24"/>
          <w:lang w:val="en-US"/>
        </w:rPr>
        <w:tab/>
      </w:r>
      <w:r w:rsidR="00986041">
        <w:rPr>
          <w:b/>
          <w:sz w:val="24"/>
          <w:lang w:val="en-US"/>
        </w:rPr>
        <w:t xml:space="preserve">Why does Staff recommend disallowance of Avista’ </w:t>
      </w:r>
      <w:r w:rsidR="00986041" w:rsidRPr="00986041">
        <w:rPr>
          <w:b/>
          <w:sz w:val="24"/>
          <w:lang w:val="en-US"/>
        </w:rPr>
        <w:t xml:space="preserve">Project Compass </w:t>
      </w:r>
      <w:r w:rsidR="00E4424B">
        <w:rPr>
          <w:b/>
          <w:sz w:val="24"/>
          <w:lang w:val="en-US"/>
        </w:rPr>
        <w:t>b</w:t>
      </w:r>
      <w:r w:rsidR="00986041" w:rsidRPr="00986041">
        <w:rPr>
          <w:b/>
          <w:sz w:val="24"/>
          <w:lang w:val="en-US"/>
        </w:rPr>
        <w:t xml:space="preserve">onus </w:t>
      </w:r>
      <w:r w:rsidR="00E4424B">
        <w:rPr>
          <w:b/>
          <w:sz w:val="24"/>
          <w:lang w:val="en-US"/>
        </w:rPr>
        <w:t>p</w:t>
      </w:r>
      <w:r w:rsidR="00986041" w:rsidRPr="00986041">
        <w:rPr>
          <w:b/>
          <w:sz w:val="24"/>
          <w:lang w:val="en-US"/>
        </w:rPr>
        <w:t>lan</w:t>
      </w:r>
      <w:r w:rsidR="004B0AC9">
        <w:rPr>
          <w:b/>
          <w:sz w:val="24"/>
          <w:lang w:val="en-US"/>
        </w:rPr>
        <w:t>?</w:t>
      </w:r>
    </w:p>
    <w:p w14:paraId="4CF6CC29" w14:textId="6BF60FA3" w:rsidR="00737BD8" w:rsidRDefault="004B0AC9" w:rsidP="00940F27">
      <w:pPr>
        <w:pStyle w:val="BodyTextIndent"/>
        <w:rPr>
          <w:sz w:val="24"/>
          <w:lang w:val="en-US"/>
        </w:rPr>
      </w:pPr>
      <w:r>
        <w:rPr>
          <w:sz w:val="24"/>
          <w:lang w:val="en-US"/>
        </w:rPr>
        <w:t>A.</w:t>
      </w:r>
      <w:r>
        <w:rPr>
          <w:sz w:val="24"/>
          <w:lang w:val="en-US"/>
        </w:rPr>
        <w:tab/>
      </w:r>
      <w:r w:rsidR="00412CBA">
        <w:rPr>
          <w:sz w:val="24"/>
          <w:lang w:val="en-US"/>
        </w:rPr>
        <w:t xml:space="preserve">The Company has not provided an explanation as to how the bonus plan benefits rate payers.  After all, the project was late and went over budget by </w:t>
      </w:r>
      <w:r w:rsidR="00392D2F">
        <w:rPr>
          <w:sz w:val="24"/>
          <w:lang w:val="en-US"/>
        </w:rPr>
        <w:t xml:space="preserve">almost </w:t>
      </w:r>
      <w:r w:rsidR="001E5507">
        <w:rPr>
          <w:sz w:val="24"/>
          <w:lang w:val="en-US"/>
        </w:rPr>
        <w:t>4</w:t>
      </w:r>
      <w:r w:rsidR="00392D2F">
        <w:rPr>
          <w:sz w:val="24"/>
          <w:lang w:val="en-US"/>
        </w:rPr>
        <w:t>0 percent</w:t>
      </w:r>
      <w:r w:rsidR="00412CBA">
        <w:rPr>
          <w:sz w:val="24"/>
          <w:lang w:val="en-US"/>
        </w:rPr>
        <w:t xml:space="preserve">.  While it is commendable that the Company wants to acknowledge the hard work of its employees, Staff feels that </w:t>
      </w:r>
      <w:r w:rsidR="00392D2F">
        <w:rPr>
          <w:sz w:val="24"/>
          <w:lang w:val="en-US"/>
        </w:rPr>
        <w:t xml:space="preserve">the circumstances surrounding the project make it inappropriate to ask rate payers to shoulder the return </w:t>
      </w:r>
      <w:r w:rsidR="001E2383">
        <w:rPr>
          <w:sz w:val="24"/>
          <w:lang w:val="en-US"/>
        </w:rPr>
        <w:t xml:space="preserve">of and </w:t>
      </w:r>
      <w:r w:rsidR="00392D2F">
        <w:rPr>
          <w:sz w:val="24"/>
          <w:lang w:val="en-US"/>
        </w:rPr>
        <w:t>on</w:t>
      </w:r>
      <w:r w:rsidR="00462DE4">
        <w:rPr>
          <w:sz w:val="24"/>
          <w:lang w:val="en-US"/>
        </w:rPr>
        <w:t xml:space="preserve"> this</w:t>
      </w:r>
      <w:r w:rsidR="001E5507">
        <w:rPr>
          <w:sz w:val="24"/>
          <w:lang w:val="en-US"/>
        </w:rPr>
        <w:t xml:space="preserve"> expense.  </w:t>
      </w:r>
    </w:p>
    <w:p w14:paraId="761339E6" w14:textId="77777777" w:rsidR="00940F27" w:rsidRDefault="00940F27" w:rsidP="00940F27">
      <w:pPr>
        <w:pStyle w:val="BodyTextIndent"/>
        <w:rPr>
          <w:sz w:val="24"/>
        </w:rPr>
      </w:pPr>
    </w:p>
    <w:p w14:paraId="480ACB90" w14:textId="03A9CAA0" w:rsidR="00B213A1" w:rsidRDefault="00B213A1" w:rsidP="00940F27">
      <w:pPr>
        <w:pStyle w:val="Heading2"/>
        <w:tabs>
          <w:tab w:val="left" w:pos="-1440"/>
        </w:tabs>
        <w:spacing w:before="0" w:after="0" w:line="480" w:lineRule="auto"/>
        <w:ind w:left="0"/>
        <w:jc w:val="center"/>
      </w:pPr>
      <w:bookmarkStart w:id="82" w:name="_Toc425172454"/>
      <w:bookmarkStart w:id="83" w:name="_Toc425328755"/>
      <w:bookmarkStart w:id="84" w:name="_Toc425339199"/>
      <w:bookmarkStart w:id="85" w:name="_Toc425756877"/>
      <w:r w:rsidRPr="00F47300">
        <w:rPr>
          <w:lang w:val="en-US"/>
        </w:rPr>
        <w:t>Summary and Conclusion</w:t>
      </w:r>
      <w:bookmarkEnd w:id="82"/>
      <w:bookmarkEnd w:id="83"/>
      <w:bookmarkEnd w:id="84"/>
      <w:bookmarkEnd w:id="85"/>
    </w:p>
    <w:p w14:paraId="5E94C012" w14:textId="77777777" w:rsidR="0031672C" w:rsidRDefault="0031672C" w:rsidP="00940F27">
      <w:pPr>
        <w:pStyle w:val="BodyTextIndent"/>
        <w:rPr>
          <w:b/>
          <w:sz w:val="24"/>
          <w:lang w:val="en-US"/>
        </w:rPr>
      </w:pPr>
    </w:p>
    <w:p w14:paraId="60DCD727" w14:textId="1A56DDEB" w:rsidR="0031672C" w:rsidRDefault="0031672C" w:rsidP="00940F27">
      <w:pPr>
        <w:pStyle w:val="BodyTextIndent"/>
        <w:rPr>
          <w:b/>
          <w:sz w:val="24"/>
          <w:lang w:val="en-US"/>
        </w:rPr>
      </w:pPr>
      <w:r>
        <w:rPr>
          <w:b/>
          <w:sz w:val="24"/>
          <w:lang w:val="en-US"/>
        </w:rPr>
        <w:t>Q.</w:t>
      </w:r>
      <w:r>
        <w:rPr>
          <w:b/>
          <w:sz w:val="24"/>
          <w:lang w:val="en-US"/>
        </w:rPr>
        <w:tab/>
        <w:t xml:space="preserve">What is the final amount of </w:t>
      </w:r>
      <w:r w:rsidR="00444298">
        <w:rPr>
          <w:b/>
          <w:sz w:val="24"/>
          <w:lang w:val="en-US"/>
        </w:rPr>
        <w:t xml:space="preserve">2015 </w:t>
      </w:r>
      <w:r>
        <w:rPr>
          <w:b/>
          <w:sz w:val="24"/>
          <w:lang w:val="en-US"/>
        </w:rPr>
        <w:t xml:space="preserve">pro forma capital additions you are recommending </w:t>
      </w:r>
      <w:r w:rsidR="00444298">
        <w:rPr>
          <w:b/>
          <w:sz w:val="24"/>
          <w:lang w:val="en-US"/>
        </w:rPr>
        <w:t xml:space="preserve">be added to rate base </w:t>
      </w:r>
      <w:r>
        <w:rPr>
          <w:b/>
          <w:sz w:val="24"/>
          <w:lang w:val="en-US"/>
        </w:rPr>
        <w:t>in this case?</w:t>
      </w:r>
    </w:p>
    <w:p w14:paraId="650BCE00" w14:textId="5C6F7304" w:rsidR="009563AD" w:rsidRDefault="0031672C" w:rsidP="00940F27">
      <w:pPr>
        <w:pStyle w:val="BodyTextIndent"/>
        <w:rPr>
          <w:sz w:val="24"/>
          <w:lang w:val="en-US"/>
        </w:rPr>
      </w:pPr>
      <w:r>
        <w:rPr>
          <w:sz w:val="24"/>
          <w:lang w:val="en-US"/>
        </w:rPr>
        <w:t>A.</w:t>
      </w:r>
      <w:r>
        <w:rPr>
          <w:sz w:val="24"/>
          <w:lang w:val="en-US"/>
        </w:rPr>
        <w:tab/>
      </w:r>
      <w:r w:rsidR="00444298">
        <w:rPr>
          <w:sz w:val="24"/>
          <w:lang w:val="en-US"/>
        </w:rPr>
        <w:t>In my Exhibit No. __ (DCG-4)</w:t>
      </w:r>
      <w:r w:rsidR="00C12E5A">
        <w:rPr>
          <w:sz w:val="24"/>
          <w:lang w:val="en-US"/>
        </w:rPr>
        <w:t>,</w:t>
      </w:r>
      <w:r w:rsidR="00444298">
        <w:rPr>
          <w:sz w:val="24"/>
          <w:lang w:val="en-US"/>
        </w:rPr>
        <w:t xml:space="preserve"> I </w:t>
      </w:r>
      <w:r w:rsidR="00AC23F1">
        <w:rPr>
          <w:sz w:val="24"/>
          <w:lang w:val="en-US"/>
        </w:rPr>
        <w:t xml:space="preserve">provide </w:t>
      </w:r>
      <w:r w:rsidR="00444298">
        <w:rPr>
          <w:sz w:val="24"/>
          <w:lang w:val="en-US"/>
        </w:rPr>
        <w:t xml:space="preserve">Staff’s recommended amount of </w:t>
      </w:r>
      <w:r w:rsidR="00C12E5A">
        <w:rPr>
          <w:sz w:val="24"/>
          <w:lang w:val="en-US"/>
        </w:rPr>
        <w:t xml:space="preserve">Washington-allocated </w:t>
      </w:r>
      <w:r w:rsidR="00444298">
        <w:rPr>
          <w:sz w:val="24"/>
          <w:lang w:val="en-US"/>
        </w:rPr>
        <w:t xml:space="preserve">2015 pro forma capital additions to rate base.  For the 14 major capital additions, Staff’s recommended amount </w:t>
      </w:r>
      <w:r w:rsidR="00AC23F1">
        <w:rPr>
          <w:sz w:val="24"/>
          <w:lang w:val="en-US"/>
        </w:rPr>
        <w:t xml:space="preserve">of pro forma transfers to plant </w:t>
      </w:r>
      <w:r w:rsidR="008E3EE7">
        <w:rPr>
          <w:sz w:val="24"/>
          <w:lang w:val="en-US"/>
        </w:rPr>
        <w:t xml:space="preserve">is </w:t>
      </w:r>
      <w:r w:rsidR="00AC23F1">
        <w:rPr>
          <w:sz w:val="24"/>
          <w:lang w:val="en-US"/>
        </w:rPr>
        <w:t>$</w:t>
      </w:r>
      <w:r w:rsidR="004A131D">
        <w:rPr>
          <w:sz w:val="24"/>
          <w:lang w:val="en-US"/>
        </w:rPr>
        <w:t>72</w:t>
      </w:r>
      <w:r w:rsidR="00AC23F1">
        <w:rPr>
          <w:sz w:val="24"/>
          <w:lang w:val="en-US"/>
        </w:rPr>
        <w:t>.</w:t>
      </w:r>
      <w:r w:rsidR="004A131D">
        <w:rPr>
          <w:sz w:val="24"/>
          <w:lang w:val="en-US"/>
        </w:rPr>
        <w:t>9</w:t>
      </w:r>
      <w:r w:rsidR="00AC23F1">
        <w:rPr>
          <w:sz w:val="24"/>
          <w:lang w:val="en-US"/>
        </w:rPr>
        <w:t xml:space="preserve"> million which is </w:t>
      </w:r>
      <w:r w:rsidR="008E3EE7">
        <w:rPr>
          <w:sz w:val="24"/>
          <w:lang w:val="en-US"/>
        </w:rPr>
        <w:t>$</w:t>
      </w:r>
      <w:r w:rsidR="004A131D">
        <w:rPr>
          <w:sz w:val="24"/>
          <w:lang w:val="en-US"/>
        </w:rPr>
        <w:t>65</w:t>
      </w:r>
      <w:r w:rsidR="008E3EE7">
        <w:rPr>
          <w:sz w:val="24"/>
          <w:lang w:val="en-US"/>
        </w:rPr>
        <w:t>.</w:t>
      </w:r>
      <w:r w:rsidR="004A131D">
        <w:rPr>
          <w:sz w:val="24"/>
          <w:lang w:val="en-US"/>
        </w:rPr>
        <w:t>4</w:t>
      </w:r>
      <w:r w:rsidR="008E3EE7">
        <w:rPr>
          <w:sz w:val="24"/>
          <w:lang w:val="en-US"/>
        </w:rPr>
        <w:t xml:space="preserve"> million less than the Company’s total of its revised amounts for the same listed ERs of $138.3 million.</w:t>
      </w:r>
    </w:p>
    <w:p w14:paraId="22F00995" w14:textId="77777777" w:rsidR="009563AD" w:rsidRDefault="009563AD" w:rsidP="00425F7D">
      <w:pPr>
        <w:pStyle w:val="BodyTextIndent"/>
        <w:rPr>
          <w:sz w:val="24"/>
          <w:lang w:val="en-US"/>
        </w:rPr>
      </w:pPr>
    </w:p>
    <w:p w14:paraId="099CBAB2" w14:textId="77132545" w:rsidR="0031672C" w:rsidRDefault="009563AD" w:rsidP="00425F7D">
      <w:pPr>
        <w:pStyle w:val="BodyTextIndent"/>
        <w:rPr>
          <w:b/>
          <w:sz w:val="24"/>
          <w:lang w:val="en-US"/>
        </w:rPr>
      </w:pPr>
      <w:r>
        <w:rPr>
          <w:b/>
          <w:sz w:val="24"/>
          <w:lang w:val="en-US"/>
        </w:rPr>
        <w:t>Q.</w:t>
      </w:r>
      <w:r>
        <w:rPr>
          <w:b/>
          <w:sz w:val="24"/>
          <w:lang w:val="en-US"/>
        </w:rPr>
        <w:tab/>
        <w:t xml:space="preserve">Does Staff recommend that any of the other ERs not meeting the criteria of major capital addition be included in </w:t>
      </w:r>
      <w:r w:rsidR="00F60D33">
        <w:rPr>
          <w:b/>
          <w:sz w:val="24"/>
          <w:lang w:val="en-US"/>
        </w:rPr>
        <w:t>pro forma rate base in this case?</w:t>
      </w:r>
    </w:p>
    <w:p w14:paraId="1D4405C0" w14:textId="7DA791DB" w:rsidR="00FB1FEA" w:rsidRDefault="00F60D33" w:rsidP="00425F7D">
      <w:pPr>
        <w:pStyle w:val="BodyTextIndent"/>
        <w:rPr>
          <w:sz w:val="24"/>
          <w:lang w:val="en-US"/>
        </w:rPr>
      </w:pPr>
      <w:r>
        <w:rPr>
          <w:sz w:val="24"/>
          <w:lang w:val="en-US"/>
        </w:rPr>
        <w:lastRenderedPageBreak/>
        <w:t>A.</w:t>
      </w:r>
      <w:r>
        <w:rPr>
          <w:sz w:val="24"/>
          <w:lang w:val="en-US"/>
        </w:rPr>
        <w:tab/>
        <w:t xml:space="preserve">No.  Avista’s remaining ERs are plagued by the same problems as the major capital additions in this case.  </w:t>
      </w:r>
      <w:r w:rsidR="0088149D">
        <w:rPr>
          <w:sz w:val="24"/>
          <w:lang w:val="en-US"/>
        </w:rPr>
        <w:t>I</w:t>
      </w:r>
      <w:r w:rsidR="00462DE4">
        <w:rPr>
          <w:sz w:val="24"/>
          <w:lang w:val="en-US"/>
        </w:rPr>
        <w:t xml:space="preserve"> have little faith in the validity of the</w:t>
      </w:r>
      <w:r w:rsidR="00FB1FEA">
        <w:rPr>
          <w:sz w:val="24"/>
          <w:lang w:val="en-US"/>
        </w:rPr>
        <w:t xml:space="preserve"> pro forma amounts presented by Avista.  </w:t>
      </w:r>
      <w:r>
        <w:rPr>
          <w:sz w:val="24"/>
          <w:lang w:val="en-US"/>
        </w:rPr>
        <w:t xml:space="preserve">For Staff to analyze each and every one of these ERs would require significantly more time than what is procedurally allowed for in this case.  </w:t>
      </w:r>
    </w:p>
    <w:p w14:paraId="5F42309A" w14:textId="77777777" w:rsidR="00DA112C" w:rsidRDefault="00DA112C" w:rsidP="00425F7D">
      <w:pPr>
        <w:pStyle w:val="BodyTextIndent"/>
        <w:rPr>
          <w:sz w:val="24"/>
          <w:lang w:val="en-US"/>
        </w:rPr>
      </w:pPr>
    </w:p>
    <w:p w14:paraId="284A0A9D" w14:textId="084AB1F3" w:rsidR="00FB1FEA" w:rsidRPr="00661CF3" w:rsidRDefault="0088149D" w:rsidP="00425F7D">
      <w:pPr>
        <w:pStyle w:val="BodyTextIndent"/>
        <w:rPr>
          <w:b/>
          <w:sz w:val="24"/>
          <w:lang w:val="en-US"/>
        </w:rPr>
      </w:pPr>
      <w:r>
        <w:rPr>
          <w:b/>
          <w:sz w:val="24"/>
          <w:lang w:val="en-US"/>
        </w:rPr>
        <w:t>Q.</w:t>
      </w:r>
      <w:r>
        <w:rPr>
          <w:b/>
          <w:sz w:val="24"/>
          <w:lang w:val="en-US"/>
        </w:rPr>
        <w:tab/>
        <w:t>Does S</w:t>
      </w:r>
      <w:r w:rsidR="00FB1FEA" w:rsidRPr="00661CF3">
        <w:rPr>
          <w:b/>
          <w:sz w:val="24"/>
          <w:lang w:val="en-US"/>
        </w:rPr>
        <w:t xml:space="preserve">taff give any consideration </w:t>
      </w:r>
      <w:r w:rsidR="00DA112C" w:rsidRPr="00661CF3">
        <w:rPr>
          <w:b/>
          <w:sz w:val="24"/>
          <w:lang w:val="en-US"/>
        </w:rPr>
        <w:t xml:space="preserve">for </w:t>
      </w:r>
      <w:r w:rsidR="00D92213">
        <w:rPr>
          <w:b/>
          <w:sz w:val="24"/>
          <w:lang w:val="en-US"/>
        </w:rPr>
        <w:t xml:space="preserve">“normal” </w:t>
      </w:r>
      <w:r w:rsidR="00DA112C" w:rsidRPr="00661CF3">
        <w:rPr>
          <w:b/>
          <w:sz w:val="24"/>
          <w:lang w:val="en-US"/>
        </w:rPr>
        <w:t xml:space="preserve">projects </w:t>
      </w:r>
      <w:r w:rsidR="00DA112C">
        <w:rPr>
          <w:b/>
          <w:sz w:val="24"/>
          <w:lang w:val="en-US"/>
        </w:rPr>
        <w:t xml:space="preserve">such </w:t>
      </w:r>
      <w:r w:rsidR="00FB1FEA" w:rsidRPr="00661CF3">
        <w:rPr>
          <w:b/>
          <w:sz w:val="24"/>
          <w:lang w:val="en-US"/>
        </w:rPr>
        <w:t>t</w:t>
      </w:r>
      <w:r w:rsidR="00DA112C" w:rsidRPr="00661CF3">
        <w:rPr>
          <w:b/>
          <w:sz w:val="24"/>
          <w:lang w:val="en-US"/>
        </w:rPr>
        <w:t xml:space="preserve">hat </w:t>
      </w:r>
      <w:r w:rsidR="00FB1FEA" w:rsidRPr="00661CF3">
        <w:rPr>
          <w:b/>
          <w:sz w:val="24"/>
          <w:lang w:val="en-US"/>
        </w:rPr>
        <w:t xml:space="preserve">Avista </w:t>
      </w:r>
      <w:r w:rsidR="00DA112C">
        <w:rPr>
          <w:b/>
          <w:sz w:val="24"/>
          <w:lang w:val="en-US"/>
        </w:rPr>
        <w:t xml:space="preserve">may have </w:t>
      </w:r>
      <w:r w:rsidR="00DA112C" w:rsidRPr="00661CF3">
        <w:rPr>
          <w:b/>
          <w:sz w:val="24"/>
          <w:lang w:val="en-US"/>
        </w:rPr>
        <w:t xml:space="preserve">the </w:t>
      </w:r>
      <w:r w:rsidR="00DA112C">
        <w:rPr>
          <w:b/>
          <w:sz w:val="24"/>
          <w:lang w:val="en-US"/>
        </w:rPr>
        <w:t>opportunity</w:t>
      </w:r>
      <w:r w:rsidR="00DA112C" w:rsidRPr="00661CF3">
        <w:rPr>
          <w:b/>
          <w:sz w:val="24"/>
          <w:lang w:val="en-US"/>
        </w:rPr>
        <w:t xml:space="preserve"> to earn its authorized return in the rate year?</w:t>
      </w:r>
    </w:p>
    <w:p w14:paraId="33058D86" w14:textId="10E6124D" w:rsidR="00F60D33" w:rsidRPr="00F60D33" w:rsidRDefault="00FB1FEA" w:rsidP="00425F7D">
      <w:pPr>
        <w:pStyle w:val="BodyTextIndent"/>
        <w:rPr>
          <w:sz w:val="24"/>
          <w:lang w:val="en-US"/>
        </w:rPr>
      </w:pPr>
      <w:r>
        <w:rPr>
          <w:sz w:val="24"/>
          <w:lang w:val="en-US"/>
        </w:rPr>
        <w:t xml:space="preserve"> </w:t>
      </w:r>
      <w:r w:rsidR="00DA112C">
        <w:rPr>
          <w:sz w:val="24"/>
          <w:lang w:val="en-US"/>
        </w:rPr>
        <w:t>A.</w:t>
      </w:r>
      <w:r w:rsidR="00DA112C">
        <w:rPr>
          <w:sz w:val="24"/>
          <w:lang w:val="en-US"/>
        </w:rPr>
        <w:tab/>
        <w:t xml:space="preserve">Yes, </w:t>
      </w:r>
      <w:r>
        <w:rPr>
          <w:sz w:val="24"/>
          <w:lang w:val="en-US"/>
        </w:rPr>
        <w:t xml:space="preserve">Mr. McGuire addresses </w:t>
      </w:r>
      <w:r w:rsidR="00DA112C">
        <w:rPr>
          <w:sz w:val="24"/>
          <w:lang w:val="en-US"/>
        </w:rPr>
        <w:t>this potential</w:t>
      </w:r>
      <w:r>
        <w:rPr>
          <w:sz w:val="24"/>
          <w:lang w:val="en-US"/>
        </w:rPr>
        <w:t xml:space="preserve"> in his attrition analysis.</w:t>
      </w:r>
    </w:p>
    <w:p w14:paraId="2BA032F1" w14:textId="77777777" w:rsidR="0031672C" w:rsidRDefault="0031672C" w:rsidP="00425F7D">
      <w:pPr>
        <w:pStyle w:val="BodyTextIndent"/>
        <w:rPr>
          <w:b/>
          <w:sz w:val="24"/>
          <w:lang w:val="en-US"/>
        </w:rPr>
      </w:pPr>
    </w:p>
    <w:p w14:paraId="77A3A7F0" w14:textId="7FFD3CF3" w:rsidR="00866BC1" w:rsidRPr="00F731F5" w:rsidRDefault="00F731F5" w:rsidP="00425F7D">
      <w:pPr>
        <w:pStyle w:val="BodyTextIndent"/>
        <w:rPr>
          <w:b/>
          <w:sz w:val="24"/>
          <w:lang w:val="en-US"/>
        </w:rPr>
      </w:pPr>
      <w:r>
        <w:rPr>
          <w:b/>
          <w:sz w:val="24"/>
          <w:lang w:val="en-US"/>
        </w:rPr>
        <w:t>Q.</w:t>
      </w:r>
      <w:r>
        <w:rPr>
          <w:b/>
          <w:sz w:val="24"/>
          <w:lang w:val="en-US"/>
        </w:rPr>
        <w:tab/>
        <w:t xml:space="preserve">Staff witness </w:t>
      </w:r>
      <w:r w:rsidR="00AB7C97">
        <w:rPr>
          <w:b/>
          <w:sz w:val="24"/>
          <w:lang w:val="en-US"/>
        </w:rPr>
        <w:t xml:space="preserve">Mr. </w:t>
      </w:r>
      <w:r>
        <w:rPr>
          <w:b/>
          <w:sz w:val="24"/>
          <w:lang w:val="en-US"/>
        </w:rPr>
        <w:t xml:space="preserve">McGuire makes some interesting </w:t>
      </w:r>
      <w:r w:rsidR="00156C03">
        <w:rPr>
          <w:b/>
          <w:sz w:val="24"/>
          <w:lang w:val="en-US"/>
        </w:rPr>
        <w:t xml:space="preserve">observations about the growth in net plant driven by growth in distribution plant.  </w:t>
      </w:r>
      <w:r w:rsidR="00B872EA">
        <w:rPr>
          <w:b/>
          <w:sz w:val="24"/>
          <w:lang w:val="en-US"/>
        </w:rPr>
        <w:t xml:space="preserve">As a result </w:t>
      </w:r>
      <w:r w:rsidR="00156C03">
        <w:rPr>
          <w:b/>
          <w:sz w:val="24"/>
          <w:lang w:val="en-US"/>
        </w:rPr>
        <w:t xml:space="preserve">of your analysis </w:t>
      </w:r>
      <w:r w:rsidR="00016A27">
        <w:rPr>
          <w:b/>
          <w:sz w:val="24"/>
          <w:lang w:val="en-US"/>
        </w:rPr>
        <w:t xml:space="preserve">of Avista’s capital projects and programs in the last two rate </w:t>
      </w:r>
      <w:r w:rsidR="00156C03">
        <w:rPr>
          <w:b/>
          <w:sz w:val="24"/>
          <w:lang w:val="en-US"/>
        </w:rPr>
        <w:t>case</w:t>
      </w:r>
      <w:r w:rsidR="00016A27">
        <w:rPr>
          <w:b/>
          <w:sz w:val="24"/>
          <w:lang w:val="en-US"/>
        </w:rPr>
        <w:t>s</w:t>
      </w:r>
      <w:r w:rsidR="00156C03">
        <w:rPr>
          <w:b/>
          <w:sz w:val="24"/>
          <w:lang w:val="en-US"/>
        </w:rPr>
        <w:t xml:space="preserve">, </w:t>
      </w:r>
      <w:r w:rsidR="00726B44">
        <w:rPr>
          <w:b/>
          <w:sz w:val="24"/>
          <w:lang w:val="en-US"/>
        </w:rPr>
        <w:t xml:space="preserve">do you have anything to </w:t>
      </w:r>
      <w:r w:rsidR="00016A27">
        <w:rPr>
          <w:b/>
          <w:sz w:val="24"/>
          <w:lang w:val="en-US"/>
        </w:rPr>
        <w:t>add</w:t>
      </w:r>
      <w:r w:rsidR="00726B44">
        <w:rPr>
          <w:b/>
          <w:sz w:val="24"/>
          <w:lang w:val="en-US"/>
        </w:rPr>
        <w:t xml:space="preserve">? </w:t>
      </w:r>
    </w:p>
    <w:p w14:paraId="530B2B8C" w14:textId="6BE3DF71" w:rsidR="005D14B7" w:rsidRDefault="00726B44" w:rsidP="00425F7D">
      <w:pPr>
        <w:pStyle w:val="BodyTextIndent"/>
        <w:rPr>
          <w:sz w:val="24"/>
          <w:lang w:val="en-US"/>
        </w:rPr>
      </w:pPr>
      <w:r>
        <w:rPr>
          <w:sz w:val="24"/>
          <w:lang w:val="en-US"/>
        </w:rPr>
        <w:t>A.</w:t>
      </w:r>
      <w:r>
        <w:rPr>
          <w:sz w:val="24"/>
          <w:lang w:val="en-US"/>
        </w:rPr>
        <w:tab/>
        <w:t xml:space="preserve">Yes.  Mr. McGuire </w:t>
      </w:r>
      <w:r w:rsidR="00016A27">
        <w:rPr>
          <w:sz w:val="24"/>
          <w:lang w:val="en-US"/>
        </w:rPr>
        <w:t xml:space="preserve">echoes </w:t>
      </w:r>
      <w:r w:rsidR="00B903D6">
        <w:rPr>
          <w:sz w:val="24"/>
          <w:lang w:val="en-US"/>
        </w:rPr>
        <w:t xml:space="preserve">the same </w:t>
      </w:r>
      <w:r w:rsidR="00016A27">
        <w:rPr>
          <w:sz w:val="24"/>
          <w:lang w:val="en-US"/>
        </w:rPr>
        <w:t xml:space="preserve">concerns I expressed </w:t>
      </w:r>
      <w:r w:rsidR="00B903D6">
        <w:rPr>
          <w:sz w:val="24"/>
          <w:lang w:val="en-US"/>
        </w:rPr>
        <w:t>a</w:t>
      </w:r>
      <w:r w:rsidR="00055FCF">
        <w:rPr>
          <w:sz w:val="24"/>
          <w:lang w:val="en-US"/>
        </w:rPr>
        <w:t xml:space="preserve">bout the Company’s </w:t>
      </w:r>
      <w:r w:rsidR="006D5043">
        <w:rPr>
          <w:sz w:val="24"/>
          <w:lang w:val="en-US"/>
        </w:rPr>
        <w:t xml:space="preserve">overall </w:t>
      </w:r>
      <w:r w:rsidR="00055FCF">
        <w:rPr>
          <w:sz w:val="24"/>
          <w:lang w:val="en-US"/>
        </w:rPr>
        <w:t xml:space="preserve">level of capital spending </w:t>
      </w:r>
      <w:r w:rsidR="00016A27">
        <w:rPr>
          <w:sz w:val="24"/>
          <w:lang w:val="en-US"/>
        </w:rPr>
        <w:t xml:space="preserve">in </w:t>
      </w:r>
      <w:r w:rsidR="00B903D6">
        <w:rPr>
          <w:sz w:val="24"/>
          <w:lang w:val="en-US"/>
        </w:rPr>
        <w:t xml:space="preserve">my testimony in </w:t>
      </w:r>
      <w:r w:rsidR="00016A27">
        <w:rPr>
          <w:sz w:val="24"/>
          <w:lang w:val="en-US"/>
        </w:rPr>
        <w:t>Avista’s last rate case.</w:t>
      </w:r>
      <w:r w:rsidR="00016A27">
        <w:rPr>
          <w:rStyle w:val="FootnoteReference"/>
          <w:sz w:val="24"/>
          <w:lang w:val="en-US"/>
        </w:rPr>
        <w:footnoteReference w:id="107"/>
      </w:r>
      <w:r w:rsidR="004421ED">
        <w:rPr>
          <w:sz w:val="24"/>
          <w:lang w:val="en-US"/>
        </w:rPr>
        <w:t xml:space="preserve">  I continue to have those concerns in this case.</w:t>
      </w:r>
      <w:r w:rsidR="00CB6FEE">
        <w:rPr>
          <w:sz w:val="24"/>
          <w:lang w:val="en-US"/>
        </w:rPr>
        <w:t xml:space="preserve">  I also support Mr. McGuire’s recommendation of a distribution system benchmarking study.</w:t>
      </w:r>
      <w:r w:rsidR="00016A27">
        <w:rPr>
          <w:sz w:val="24"/>
          <w:lang w:val="en-US"/>
        </w:rPr>
        <w:t xml:space="preserve"> </w:t>
      </w:r>
    </w:p>
    <w:p w14:paraId="1438BD34" w14:textId="021A363E" w:rsidR="007505A2" w:rsidRDefault="00B903D6" w:rsidP="00425F7D">
      <w:pPr>
        <w:pStyle w:val="BodyTextIndent"/>
        <w:ind w:firstLine="720"/>
        <w:rPr>
          <w:sz w:val="24"/>
          <w:lang w:val="en-US"/>
        </w:rPr>
      </w:pPr>
      <w:r>
        <w:rPr>
          <w:sz w:val="24"/>
          <w:lang w:val="en-US"/>
        </w:rPr>
        <w:t xml:space="preserve">In the last rate case, I concluded that </w:t>
      </w:r>
      <w:r w:rsidRPr="00B903D6">
        <w:rPr>
          <w:sz w:val="24"/>
          <w:lang w:val="en-US"/>
        </w:rPr>
        <w:t>Avista ha</w:t>
      </w:r>
      <w:r>
        <w:rPr>
          <w:sz w:val="24"/>
          <w:lang w:val="en-US"/>
        </w:rPr>
        <w:t>d</w:t>
      </w:r>
      <w:r w:rsidRPr="00B903D6">
        <w:rPr>
          <w:sz w:val="24"/>
          <w:lang w:val="en-US"/>
        </w:rPr>
        <w:t xml:space="preserve"> not provided sufficient evidence to demonstrate that </w:t>
      </w:r>
      <w:r w:rsidR="007900E5">
        <w:rPr>
          <w:sz w:val="24"/>
          <w:lang w:val="en-US"/>
        </w:rPr>
        <w:t xml:space="preserve">the </w:t>
      </w:r>
      <w:r w:rsidR="00387C90">
        <w:rPr>
          <w:sz w:val="24"/>
          <w:lang w:val="en-US"/>
        </w:rPr>
        <w:t xml:space="preserve">significant </w:t>
      </w:r>
      <w:r w:rsidRPr="00B903D6">
        <w:rPr>
          <w:sz w:val="24"/>
          <w:lang w:val="en-US"/>
        </w:rPr>
        <w:t xml:space="preserve">increase in </w:t>
      </w:r>
      <w:r w:rsidR="00387C90">
        <w:rPr>
          <w:sz w:val="24"/>
          <w:lang w:val="en-US"/>
        </w:rPr>
        <w:t>capital spending</w:t>
      </w:r>
      <w:r w:rsidR="007900E5">
        <w:rPr>
          <w:sz w:val="24"/>
          <w:lang w:val="en-US"/>
        </w:rPr>
        <w:t>,</w:t>
      </w:r>
      <w:r w:rsidR="00387C90">
        <w:rPr>
          <w:sz w:val="24"/>
          <w:lang w:val="en-US"/>
        </w:rPr>
        <w:t xml:space="preserve"> contained in </w:t>
      </w:r>
      <w:r w:rsidRPr="00B903D6">
        <w:rPr>
          <w:sz w:val="24"/>
          <w:lang w:val="en-US"/>
        </w:rPr>
        <w:t xml:space="preserve">its </w:t>
      </w:r>
      <w:r>
        <w:rPr>
          <w:sz w:val="24"/>
          <w:lang w:val="en-US"/>
        </w:rPr>
        <w:t xml:space="preserve">2014-2018 five-year </w:t>
      </w:r>
      <w:r w:rsidRPr="00B903D6">
        <w:rPr>
          <w:sz w:val="24"/>
          <w:lang w:val="en-US"/>
        </w:rPr>
        <w:t>capital budget</w:t>
      </w:r>
      <w:r w:rsidR="007900E5">
        <w:rPr>
          <w:sz w:val="24"/>
          <w:lang w:val="en-US"/>
        </w:rPr>
        <w:t>,</w:t>
      </w:r>
      <w:r w:rsidRPr="00B903D6">
        <w:rPr>
          <w:sz w:val="24"/>
          <w:lang w:val="en-US"/>
        </w:rPr>
        <w:t xml:space="preserve"> </w:t>
      </w:r>
      <w:r>
        <w:rPr>
          <w:sz w:val="24"/>
          <w:lang w:val="en-US"/>
        </w:rPr>
        <w:t>wa</w:t>
      </w:r>
      <w:r w:rsidRPr="00B903D6">
        <w:rPr>
          <w:sz w:val="24"/>
          <w:lang w:val="en-US"/>
        </w:rPr>
        <w:t xml:space="preserve">s necessary to meet its obligation to serve.  In </w:t>
      </w:r>
      <w:r w:rsidR="00534320">
        <w:rPr>
          <w:sz w:val="24"/>
          <w:lang w:val="en-US"/>
        </w:rPr>
        <w:t>my testimony</w:t>
      </w:r>
      <w:r w:rsidR="007505A2">
        <w:rPr>
          <w:sz w:val="24"/>
          <w:lang w:val="en-US"/>
        </w:rPr>
        <w:t>,</w:t>
      </w:r>
      <w:r w:rsidR="00534320">
        <w:rPr>
          <w:sz w:val="24"/>
          <w:lang w:val="en-US"/>
        </w:rPr>
        <w:t xml:space="preserve"> I cited </w:t>
      </w:r>
      <w:r w:rsidRPr="00B903D6">
        <w:rPr>
          <w:sz w:val="24"/>
          <w:lang w:val="en-US"/>
        </w:rPr>
        <w:t xml:space="preserve">RCW 80.28.010(2) </w:t>
      </w:r>
      <w:r w:rsidR="00534320">
        <w:rPr>
          <w:sz w:val="24"/>
          <w:lang w:val="en-US"/>
        </w:rPr>
        <w:t xml:space="preserve">which </w:t>
      </w:r>
      <w:r w:rsidRPr="00B903D6">
        <w:rPr>
          <w:sz w:val="24"/>
          <w:lang w:val="en-US"/>
        </w:rPr>
        <w:t xml:space="preserve">states that the utility “shall furnish and supply such service, instrumentalities and facilities as shall be safe, </w:t>
      </w:r>
      <w:r w:rsidRPr="007A5C88">
        <w:rPr>
          <w:sz w:val="24"/>
          <w:u w:val="single"/>
          <w:lang w:val="en-US"/>
        </w:rPr>
        <w:lastRenderedPageBreak/>
        <w:t>adequate and efficient</w:t>
      </w:r>
      <w:r w:rsidRPr="00B903D6">
        <w:rPr>
          <w:sz w:val="24"/>
          <w:lang w:val="en-US"/>
        </w:rPr>
        <w:t xml:space="preserve">, and in all respects </w:t>
      </w:r>
      <w:r w:rsidRPr="007A5C88">
        <w:rPr>
          <w:sz w:val="24"/>
          <w:u w:val="single"/>
          <w:lang w:val="en-US"/>
        </w:rPr>
        <w:t>just and reasonable</w:t>
      </w:r>
      <w:r w:rsidR="007A5C88" w:rsidRPr="007A5C88">
        <w:rPr>
          <w:sz w:val="24"/>
          <w:lang w:val="en-US"/>
        </w:rPr>
        <w:t>”</w:t>
      </w:r>
      <w:r w:rsidR="007A5C88">
        <w:rPr>
          <w:sz w:val="24"/>
          <w:lang w:val="en-US"/>
        </w:rPr>
        <w:t xml:space="preserve"> (emphasis added)</w:t>
      </w:r>
      <w:r w:rsidRPr="00B903D6">
        <w:rPr>
          <w:sz w:val="24"/>
          <w:lang w:val="en-US"/>
        </w:rPr>
        <w:t xml:space="preserve">.  </w:t>
      </w:r>
      <w:r w:rsidR="005D14B7">
        <w:rPr>
          <w:sz w:val="24"/>
          <w:lang w:val="en-US"/>
        </w:rPr>
        <w:t>Mr. McGuire’s observations</w:t>
      </w:r>
      <w:r w:rsidR="00477F2F">
        <w:rPr>
          <w:sz w:val="24"/>
          <w:lang w:val="en-US"/>
        </w:rPr>
        <w:t>,</w:t>
      </w:r>
      <w:r w:rsidR="005D14B7">
        <w:rPr>
          <w:sz w:val="24"/>
          <w:lang w:val="en-US"/>
        </w:rPr>
        <w:t xml:space="preserve"> and my analysis of the Company’s </w:t>
      </w:r>
      <w:r w:rsidR="002710E4">
        <w:rPr>
          <w:sz w:val="24"/>
          <w:lang w:val="en-US"/>
        </w:rPr>
        <w:t>ERs</w:t>
      </w:r>
      <w:r w:rsidR="00477F2F">
        <w:rPr>
          <w:sz w:val="24"/>
          <w:lang w:val="en-US"/>
        </w:rPr>
        <w:t>,</w:t>
      </w:r>
      <w:r w:rsidR="005D14B7">
        <w:rPr>
          <w:sz w:val="24"/>
          <w:lang w:val="en-US"/>
        </w:rPr>
        <w:t xml:space="preserve"> highlight </w:t>
      </w:r>
      <w:r w:rsidR="00534320">
        <w:rPr>
          <w:sz w:val="24"/>
          <w:lang w:val="en-US"/>
        </w:rPr>
        <w:t xml:space="preserve">Avista’s </w:t>
      </w:r>
      <w:r w:rsidR="005D14B7">
        <w:rPr>
          <w:sz w:val="24"/>
          <w:lang w:val="en-US"/>
        </w:rPr>
        <w:t xml:space="preserve">continued gap </w:t>
      </w:r>
      <w:r w:rsidR="00534320">
        <w:rPr>
          <w:sz w:val="24"/>
          <w:lang w:val="en-US"/>
        </w:rPr>
        <w:t xml:space="preserve">in </w:t>
      </w:r>
      <w:r w:rsidR="007505A2">
        <w:rPr>
          <w:sz w:val="24"/>
          <w:lang w:val="en-US"/>
        </w:rPr>
        <w:t xml:space="preserve">making its case that its growth in </w:t>
      </w:r>
      <w:r w:rsidRPr="00B903D6">
        <w:rPr>
          <w:sz w:val="24"/>
          <w:lang w:val="en-US"/>
        </w:rPr>
        <w:t>capital spending is just and reasonable and results in facilities that are both efficient and adequate.</w:t>
      </w:r>
    </w:p>
    <w:p w14:paraId="6AA94F71" w14:textId="3983518B" w:rsidR="00B872EA" w:rsidRDefault="00B872EA" w:rsidP="00425F7D">
      <w:pPr>
        <w:pStyle w:val="BodyTextIndent"/>
        <w:rPr>
          <w:sz w:val="24"/>
          <w:lang w:val="en-US"/>
        </w:rPr>
      </w:pPr>
    </w:p>
    <w:p w14:paraId="0243DDA5" w14:textId="72A80124" w:rsidR="003C11BA" w:rsidRDefault="003C11BA" w:rsidP="00425F7D">
      <w:pPr>
        <w:pStyle w:val="BodyTextIndent"/>
        <w:rPr>
          <w:b/>
          <w:sz w:val="24"/>
          <w:lang w:val="en-US"/>
        </w:rPr>
      </w:pPr>
      <w:r>
        <w:rPr>
          <w:b/>
          <w:sz w:val="24"/>
          <w:lang w:val="en-US"/>
        </w:rPr>
        <w:t>Q.</w:t>
      </w:r>
      <w:r>
        <w:rPr>
          <w:b/>
          <w:sz w:val="24"/>
          <w:lang w:val="en-US"/>
        </w:rPr>
        <w:tab/>
        <w:t xml:space="preserve">In Avista’s last rate case you issued discovery requests </w:t>
      </w:r>
      <w:r w:rsidR="00D26315">
        <w:rPr>
          <w:b/>
          <w:sz w:val="24"/>
          <w:lang w:val="en-US"/>
        </w:rPr>
        <w:t xml:space="preserve">to the Company </w:t>
      </w:r>
      <w:r>
        <w:rPr>
          <w:b/>
          <w:sz w:val="24"/>
          <w:lang w:val="en-US"/>
        </w:rPr>
        <w:t xml:space="preserve">in an attempt to make a tangible connection between Avista’s increased </w:t>
      </w:r>
      <w:r w:rsidR="000E60D9">
        <w:rPr>
          <w:b/>
          <w:sz w:val="24"/>
          <w:lang w:val="en-US"/>
        </w:rPr>
        <w:t xml:space="preserve">Transmission and Distribution </w:t>
      </w:r>
      <w:r>
        <w:rPr>
          <w:b/>
          <w:sz w:val="24"/>
          <w:lang w:val="en-US"/>
        </w:rPr>
        <w:t xml:space="preserve">capital spending and </w:t>
      </w:r>
      <w:r w:rsidR="00E2670C">
        <w:rPr>
          <w:b/>
          <w:sz w:val="24"/>
          <w:lang w:val="en-US"/>
        </w:rPr>
        <w:t xml:space="preserve">customer benefits like </w:t>
      </w:r>
      <w:r>
        <w:rPr>
          <w:b/>
          <w:sz w:val="24"/>
          <w:lang w:val="en-US"/>
        </w:rPr>
        <w:t>reliability.  What was the outcome of this effort?</w:t>
      </w:r>
    </w:p>
    <w:p w14:paraId="3C8908FC" w14:textId="6CA8BCDA" w:rsidR="00D71FCA" w:rsidRDefault="003C11BA" w:rsidP="00425F7D">
      <w:pPr>
        <w:pStyle w:val="BodyTextIndent"/>
        <w:rPr>
          <w:sz w:val="24"/>
          <w:lang w:val="en-US"/>
        </w:rPr>
      </w:pPr>
      <w:r>
        <w:rPr>
          <w:sz w:val="24"/>
          <w:lang w:val="en-US"/>
        </w:rPr>
        <w:t>A.</w:t>
      </w:r>
      <w:r>
        <w:rPr>
          <w:sz w:val="24"/>
          <w:lang w:val="en-US"/>
        </w:rPr>
        <w:tab/>
      </w:r>
      <w:r w:rsidR="00BF40B9">
        <w:rPr>
          <w:sz w:val="24"/>
          <w:lang w:val="en-US"/>
        </w:rPr>
        <w:t xml:space="preserve">First of all, Staff does not believe that it should be placed in the </w:t>
      </w:r>
      <w:r w:rsidR="00A92D88">
        <w:rPr>
          <w:sz w:val="24"/>
          <w:lang w:val="en-US"/>
        </w:rPr>
        <w:t xml:space="preserve">continuing </w:t>
      </w:r>
      <w:r w:rsidR="00BF40B9">
        <w:rPr>
          <w:sz w:val="24"/>
          <w:lang w:val="en-US"/>
        </w:rPr>
        <w:t xml:space="preserve">position of carrying the </w:t>
      </w:r>
      <w:r w:rsidR="000557FA">
        <w:rPr>
          <w:sz w:val="24"/>
          <w:lang w:val="en-US"/>
        </w:rPr>
        <w:t xml:space="preserve">Company’s </w:t>
      </w:r>
      <w:r w:rsidR="00BF40B9">
        <w:rPr>
          <w:sz w:val="24"/>
          <w:lang w:val="en-US"/>
        </w:rPr>
        <w:t xml:space="preserve">burden of proof in making </w:t>
      </w:r>
      <w:r w:rsidR="000557FA">
        <w:rPr>
          <w:sz w:val="24"/>
          <w:lang w:val="en-US"/>
        </w:rPr>
        <w:t xml:space="preserve">its </w:t>
      </w:r>
      <w:r w:rsidR="00BF40B9">
        <w:rPr>
          <w:sz w:val="24"/>
          <w:lang w:val="en-US"/>
        </w:rPr>
        <w:t>case.  Nevertheless, S</w:t>
      </w:r>
      <w:r>
        <w:rPr>
          <w:sz w:val="24"/>
          <w:lang w:val="en-US"/>
        </w:rPr>
        <w:t>taff issued f</w:t>
      </w:r>
      <w:r w:rsidR="00477F2F">
        <w:rPr>
          <w:sz w:val="24"/>
          <w:lang w:val="en-US"/>
        </w:rPr>
        <w:t>ive</w:t>
      </w:r>
      <w:r>
        <w:rPr>
          <w:sz w:val="24"/>
          <w:lang w:val="en-US"/>
        </w:rPr>
        <w:t xml:space="preserve"> </w:t>
      </w:r>
      <w:r w:rsidR="0088149D">
        <w:rPr>
          <w:sz w:val="24"/>
          <w:lang w:val="en-US"/>
        </w:rPr>
        <w:t xml:space="preserve">data </w:t>
      </w:r>
      <w:r w:rsidR="00550F28">
        <w:rPr>
          <w:sz w:val="24"/>
          <w:lang w:val="en-US"/>
        </w:rPr>
        <w:t>requests</w:t>
      </w:r>
      <w:r>
        <w:rPr>
          <w:rStyle w:val="FootnoteReference"/>
          <w:sz w:val="24"/>
          <w:lang w:val="en-US"/>
        </w:rPr>
        <w:footnoteReference w:id="108"/>
      </w:r>
      <w:r>
        <w:rPr>
          <w:sz w:val="24"/>
          <w:lang w:val="en-US"/>
        </w:rPr>
        <w:t xml:space="preserve"> </w:t>
      </w:r>
      <w:r w:rsidR="000E60D9">
        <w:rPr>
          <w:sz w:val="24"/>
          <w:lang w:val="en-US"/>
        </w:rPr>
        <w:t xml:space="preserve">in an attempt to </w:t>
      </w:r>
      <w:r w:rsidR="003064C4">
        <w:rPr>
          <w:sz w:val="24"/>
          <w:lang w:val="en-US"/>
        </w:rPr>
        <w:t xml:space="preserve">test Avista’s largely unsupported claims that its </w:t>
      </w:r>
      <w:r w:rsidR="00E46B47">
        <w:rPr>
          <w:sz w:val="24"/>
          <w:lang w:val="en-US"/>
        </w:rPr>
        <w:t>significant increase in Transmission and Distribution capital spending</w:t>
      </w:r>
      <w:r w:rsidR="003064C4">
        <w:rPr>
          <w:sz w:val="24"/>
          <w:lang w:val="en-US"/>
        </w:rPr>
        <w:t xml:space="preserve"> were, in large part, driven by reliability needs</w:t>
      </w:r>
      <w:r w:rsidR="00E46B47">
        <w:rPr>
          <w:sz w:val="24"/>
          <w:lang w:val="en-US"/>
        </w:rPr>
        <w:t xml:space="preserve">.  </w:t>
      </w:r>
      <w:r w:rsidR="002336B6">
        <w:rPr>
          <w:sz w:val="24"/>
          <w:lang w:val="en-US"/>
        </w:rPr>
        <w:t xml:space="preserve">Through discovery, </w:t>
      </w:r>
      <w:r w:rsidR="00E46B47">
        <w:rPr>
          <w:sz w:val="24"/>
          <w:lang w:val="en-US"/>
        </w:rPr>
        <w:t xml:space="preserve">Staff also sought to quantify the amount </w:t>
      </w:r>
      <w:r w:rsidR="00155FA9">
        <w:rPr>
          <w:sz w:val="24"/>
          <w:lang w:val="en-US"/>
        </w:rPr>
        <w:t xml:space="preserve">and timing of </w:t>
      </w:r>
      <w:r w:rsidR="00B710BA">
        <w:rPr>
          <w:sz w:val="24"/>
          <w:lang w:val="en-US"/>
        </w:rPr>
        <w:t>customer benefit</w:t>
      </w:r>
      <w:r w:rsidR="002D1374">
        <w:rPr>
          <w:sz w:val="24"/>
          <w:lang w:val="en-US"/>
        </w:rPr>
        <w:t xml:space="preserve"> the Company expected to </w:t>
      </w:r>
      <w:r w:rsidR="00DA112C">
        <w:rPr>
          <w:sz w:val="24"/>
          <w:lang w:val="en-US"/>
        </w:rPr>
        <w:t>provide for</w:t>
      </w:r>
      <w:r w:rsidR="002D1374">
        <w:rPr>
          <w:sz w:val="24"/>
          <w:lang w:val="en-US"/>
        </w:rPr>
        <w:t xml:space="preserve"> this increased capital spending</w:t>
      </w:r>
      <w:r w:rsidR="00B710BA">
        <w:rPr>
          <w:sz w:val="24"/>
          <w:lang w:val="en-US"/>
        </w:rPr>
        <w:t xml:space="preserve">, either through increased </w:t>
      </w:r>
      <w:r w:rsidR="004421ED">
        <w:rPr>
          <w:sz w:val="24"/>
          <w:lang w:val="en-US"/>
        </w:rPr>
        <w:t xml:space="preserve">system </w:t>
      </w:r>
      <w:r w:rsidR="00E46B47">
        <w:rPr>
          <w:sz w:val="24"/>
          <w:lang w:val="en-US"/>
        </w:rPr>
        <w:t xml:space="preserve">reliability </w:t>
      </w:r>
      <w:r w:rsidR="00B710BA">
        <w:rPr>
          <w:sz w:val="24"/>
          <w:lang w:val="en-US"/>
        </w:rPr>
        <w:t>or lower cost</w:t>
      </w:r>
      <w:r w:rsidR="002D1374">
        <w:rPr>
          <w:sz w:val="24"/>
          <w:lang w:val="en-US"/>
        </w:rPr>
        <w:t>s</w:t>
      </w:r>
      <w:r w:rsidR="000E60D9">
        <w:rPr>
          <w:sz w:val="24"/>
          <w:lang w:val="en-US"/>
        </w:rPr>
        <w:t>.</w:t>
      </w:r>
      <w:r w:rsidR="00D26315">
        <w:rPr>
          <w:sz w:val="24"/>
          <w:lang w:val="en-US"/>
        </w:rPr>
        <w:t xml:space="preserve">  </w:t>
      </w:r>
    </w:p>
    <w:p w14:paraId="396E9509" w14:textId="734527FB" w:rsidR="002879D1" w:rsidRDefault="00D26315" w:rsidP="00425F7D">
      <w:pPr>
        <w:pStyle w:val="BodyTextIndent"/>
        <w:ind w:firstLine="720"/>
        <w:rPr>
          <w:sz w:val="24"/>
          <w:lang w:val="en-US"/>
        </w:rPr>
      </w:pPr>
      <w:r>
        <w:rPr>
          <w:sz w:val="24"/>
          <w:lang w:val="en-US"/>
        </w:rPr>
        <w:lastRenderedPageBreak/>
        <w:t>Staff</w:t>
      </w:r>
      <w:r w:rsidR="004421ED">
        <w:rPr>
          <w:sz w:val="24"/>
          <w:lang w:val="en-US"/>
        </w:rPr>
        <w:t xml:space="preserve">’s </w:t>
      </w:r>
      <w:r w:rsidR="002D1374">
        <w:rPr>
          <w:sz w:val="24"/>
          <w:lang w:val="en-US"/>
        </w:rPr>
        <w:t xml:space="preserve">ability </w:t>
      </w:r>
      <w:r w:rsidR="00576773">
        <w:rPr>
          <w:sz w:val="24"/>
          <w:lang w:val="en-US"/>
        </w:rPr>
        <w:t xml:space="preserve">to use </w:t>
      </w:r>
      <w:r w:rsidR="00E81383">
        <w:rPr>
          <w:sz w:val="24"/>
          <w:lang w:val="en-US"/>
        </w:rPr>
        <w:t xml:space="preserve">discovery </w:t>
      </w:r>
      <w:r w:rsidR="004421ED">
        <w:rPr>
          <w:sz w:val="24"/>
          <w:lang w:val="en-US"/>
        </w:rPr>
        <w:t xml:space="preserve">to gain </w:t>
      </w:r>
      <w:r w:rsidR="00576773">
        <w:rPr>
          <w:sz w:val="24"/>
          <w:lang w:val="en-US"/>
        </w:rPr>
        <w:t xml:space="preserve">a complete </w:t>
      </w:r>
      <w:r w:rsidR="004421ED">
        <w:rPr>
          <w:sz w:val="24"/>
          <w:lang w:val="en-US"/>
        </w:rPr>
        <w:t xml:space="preserve">insight into the Company’s </w:t>
      </w:r>
      <w:r w:rsidR="002168B3">
        <w:rPr>
          <w:sz w:val="24"/>
          <w:lang w:val="en-US"/>
        </w:rPr>
        <w:t xml:space="preserve">capital </w:t>
      </w:r>
      <w:r w:rsidR="00E81383">
        <w:rPr>
          <w:sz w:val="24"/>
          <w:lang w:val="en-US"/>
        </w:rPr>
        <w:t xml:space="preserve">planning </w:t>
      </w:r>
      <w:r w:rsidR="002D1374">
        <w:rPr>
          <w:sz w:val="24"/>
          <w:lang w:val="en-US"/>
        </w:rPr>
        <w:t>process for Transmission and Distribution</w:t>
      </w:r>
      <w:r w:rsidR="002168B3">
        <w:rPr>
          <w:sz w:val="24"/>
          <w:lang w:val="en-US"/>
        </w:rPr>
        <w:t>,</w:t>
      </w:r>
      <w:r w:rsidR="002D1374">
        <w:rPr>
          <w:sz w:val="24"/>
          <w:lang w:val="en-US"/>
        </w:rPr>
        <w:t xml:space="preserve"> </w:t>
      </w:r>
      <w:r w:rsidR="00A92D88">
        <w:rPr>
          <w:sz w:val="24"/>
          <w:lang w:val="en-US"/>
        </w:rPr>
        <w:t xml:space="preserve">or any other category of </w:t>
      </w:r>
      <w:r w:rsidR="002D1374">
        <w:rPr>
          <w:sz w:val="24"/>
          <w:lang w:val="en-US"/>
        </w:rPr>
        <w:t xml:space="preserve">capital spending </w:t>
      </w:r>
      <w:r w:rsidR="002168B3">
        <w:rPr>
          <w:sz w:val="24"/>
          <w:lang w:val="en-US"/>
        </w:rPr>
        <w:t xml:space="preserve">for that matter, </w:t>
      </w:r>
      <w:r w:rsidR="00E81383">
        <w:rPr>
          <w:sz w:val="24"/>
          <w:lang w:val="en-US"/>
        </w:rPr>
        <w:t xml:space="preserve">was </w:t>
      </w:r>
      <w:r w:rsidR="00483523">
        <w:rPr>
          <w:sz w:val="24"/>
          <w:lang w:val="en-US"/>
        </w:rPr>
        <w:t>limited b</w:t>
      </w:r>
      <w:r w:rsidR="002D1374">
        <w:rPr>
          <w:sz w:val="24"/>
          <w:lang w:val="en-US"/>
        </w:rPr>
        <w:t xml:space="preserve">y both </w:t>
      </w:r>
      <w:r w:rsidR="00576773">
        <w:rPr>
          <w:sz w:val="24"/>
          <w:lang w:val="en-US"/>
        </w:rPr>
        <w:t xml:space="preserve">the </w:t>
      </w:r>
      <w:r w:rsidR="002D1374">
        <w:rPr>
          <w:sz w:val="24"/>
          <w:lang w:val="en-US"/>
        </w:rPr>
        <w:t xml:space="preserve">time and </w:t>
      </w:r>
      <w:r w:rsidR="00576773">
        <w:rPr>
          <w:sz w:val="24"/>
          <w:lang w:val="en-US"/>
        </w:rPr>
        <w:t xml:space="preserve">the </w:t>
      </w:r>
      <w:r w:rsidR="002D1374">
        <w:rPr>
          <w:sz w:val="24"/>
          <w:lang w:val="en-US"/>
        </w:rPr>
        <w:t>p</w:t>
      </w:r>
      <w:r w:rsidR="00905CD5">
        <w:rPr>
          <w:sz w:val="24"/>
          <w:lang w:val="en-US"/>
        </w:rPr>
        <w:t xml:space="preserve">rocedural </w:t>
      </w:r>
      <w:r w:rsidR="00483523">
        <w:rPr>
          <w:sz w:val="24"/>
          <w:lang w:val="en-US"/>
        </w:rPr>
        <w:t xml:space="preserve">constraints </w:t>
      </w:r>
      <w:r>
        <w:rPr>
          <w:sz w:val="24"/>
          <w:lang w:val="en-US"/>
        </w:rPr>
        <w:t xml:space="preserve">associated </w:t>
      </w:r>
      <w:r w:rsidR="00905CD5">
        <w:rPr>
          <w:sz w:val="24"/>
          <w:lang w:val="en-US"/>
        </w:rPr>
        <w:t xml:space="preserve">with </w:t>
      </w:r>
      <w:r w:rsidR="00483523">
        <w:rPr>
          <w:sz w:val="24"/>
          <w:lang w:val="en-US"/>
        </w:rPr>
        <w:t xml:space="preserve">an </w:t>
      </w:r>
      <w:r w:rsidR="00905CD5">
        <w:rPr>
          <w:sz w:val="24"/>
          <w:lang w:val="en-US"/>
        </w:rPr>
        <w:t>adjudicat</w:t>
      </w:r>
      <w:r w:rsidR="00483523">
        <w:rPr>
          <w:sz w:val="24"/>
          <w:lang w:val="en-US"/>
        </w:rPr>
        <w:t>ed case</w:t>
      </w:r>
      <w:r w:rsidR="00E81383">
        <w:rPr>
          <w:sz w:val="24"/>
          <w:lang w:val="en-US"/>
        </w:rPr>
        <w:t xml:space="preserve">.  These </w:t>
      </w:r>
      <w:r w:rsidR="00483523">
        <w:rPr>
          <w:sz w:val="24"/>
          <w:lang w:val="en-US"/>
        </w:rPr>
        <w:t xml:space="preserve">constraints </w:t>
      </w:r>
      <w:r>
        <w:rPr>
          <w:sz w:val="24"/>
          <w:lang w:val="en-US"/>
        </w:rPr>
        <w:t xml:space="preserve">do not lend </w:t>
      </w:r>
      <w:r w:rsidR="00576773">
        <w:rPr>
          <w:sz w:val="24"/>
          <w:lang w:val="en-US"/>
        </w:rPr>
        <w:t>themselves</w:t>
      </w:r>
      <w:r w:rsidR="00E46B47">
        <w:rPr>
          <w:sz w:val="24"/>
          <w:lang w:val="en-US"/>
        </w:rPr>
        <w:t xml:space="preserve"> t</w:t>
      </w:r>
      <w:r w:rsidR="00905CD5">
        <w:rPr>
          <w:sz w:val="24"/>
          <w:lang w:val="en-US"/>
        </w:rPr>
        <w:t xml:space="preserve">o </w:t>
      </w:r>
      <w:r w:rsidR="00576773">
        <w:rPr>
          <w:sz w:val="24"/>
          <w:lang w:val="en-US"/>
        </w:rPr>
        <w:t xml:space="preserve">an </w:t>
      </w:r>
      <w:r w:rsidR="00905CD5">
        <w:rPr>
          <w:sz w:val="24"/>
          <w:lang w:val="en-US"/>
        </w:rPr>
        <w:t>efficient exchange of information</w:t>
      </w:r>
      <w:r w:rsidR="00663248">
        <w:rPr>
          <w:sz w:val="24"/>
          <w:lang w:val="en-US"/>
        </w:rPr>
        <w:t xml:space="preserve">.  Nor does the </w:t>
      </w:r>
      <w:r w:rsidR="0088149D">
        <w:rPr>
          <w:sz w:val="24"/>
          <w:lang w:val="en-US"/>
        </w:rPr>
        <w:t>e</w:t>
      </w:r>
      <w:r w:rsidR="00663248">
        <w:rPr>
          <w:sz w:val="24"/>
          <w:lang w:val="en-US"/>
        </w:rPr>
        <w:t>x</w:t>
      </w:r>
      <w:r w:rsidR="00577942">
        <w:rPr>
          <w:sz w:val="24"/>
          <w:lang w:val="en-US"/>
        </w:rPr>
        <w:t>-</w:t>
      </w:r>
      <w:r w:rsidR="0088149D">
        <w:rPr>
          <w:sz w:val="24"/>
          <w:lang w:val="en-US"/>
        </w:rPr>
        <w:t>p</w:t>
      </w:r>
      <w:r w:rsidR="00663248">
        <w:rPr>
          <w:sz w:val="24"/>
          <w:lang w:val="en-US"/>
        </w:rPr>
        <w:t xml:space="preserve">arte wall foster </w:t>
      </w:r>
      <w:r w:rsidR="004C6B1E">
        <w:rPr>
          <w:sz w:val="24"/>
          <w:lang w:val="en-US"/>
        </w:rPr>
        <w:t xml:space="preserve">the </w:t>
      </w:r>
      <w:r w:rsidR="00663248">
        <w:rPr>
          <w:sz w:val="24"/>
          <w:lang w:val="en-US"/>
        </w:rPr>
        <w:t xml:space="preserve">necessary </w:t>
      </w:r>
      <w:r w:rsidR="00577942">
        <w:rPr>
          <w:sz w:val="24"/>
          <w:lang w:val="en-US"/>
        </w:rPr>
        <w:t xml:space="preserve">real-time </w:t>
      </w:r>
      <w:r w:rsidR="00905CD5">
        <w:rPr>
          <w:sz w:val="24"/>
          <w:lang w:val="en-US"/>
        </w:rPr>
        <w:t xml:space="preserve">dialogue </w:t>
      </w:r>
      <w:r w:rsidR="004C6B1E">
        <w:rPr>
          <w:sz w:val="24"/>
          <w:lang w:val="en-US"/>
        </w:rPr>
        <w:t xml:space="preserve">required </w:t>
      </w:r>
      <w:r w:rsidR="00905CD5">
        <w:rPr>
          <w:sz w:val="24"/>
          <w:lang w:val="en-US"/>
        </w:rPr>
        <w:t>among parties</w:t>
      </w:r>
      <w:r w:rsidR="004C6B1E">
        <w:rPr>
          <w:sz w:val="24"/>
          <w:lang w:val="en-US"/>
        </w:rPr>
        <w:t xml:space="preserve">, including </w:t>
      </w:r>
      <w:r w:rsidR="0088149D">
        <w:rPr>
          <w:sz w:val="24"/>
          <w:lang w:val="en-US"/>
        </w:rPr>
        <w:t>c</w:t>
      </w:r>
      <w:r w:rsidR="004C6B1E">
        <w:rPr>
          <w:sz w:val="24"/>
          <w:lang w:val="en-US"/>
        </w:rPr>
        <w:t>ommissioners,</w:t>
      </w:r>
      <w:r w:rsidR="00905CD5">
        <w:rPr>
          <w:sz w:val="24"/>
          <w:lang w:val="en-US"/>
        </w:rPr>
        <w:t xml:space="preserve"> </w:t>
      </w:r>
      <w:r w:rsidR="004A562A">
        <w:rPr>
          <w:sz w:val="24"/>
          <w:lang w:val="en-US"/>
        </w:rPr>
        <w:t xml:space="preserve">to </w:t>
      </w:r>
      <w:r w:rsidR="009F72B3">
        <w:rPr>
          <w:sz w:val="24"/>
          <w:lang w:val="en-US"/>
        </w:rPr>
        <w:t xml:space="preserve">analyze and process the background behind </w:t>
      </w:r>
      <w:r w:rsidR="0009719D">
        <w:rPr>
          <w:sz w:val="24"/>
          <w:lang w:val="en-US"/>
        </w:rPr>
        <w:t>the Company’s capital budget plans</w:t>
      </w:r>
      <w:r w:rsidR="00663248">
        <w:rPr>
          <w:sz w:val="24"/>
          <w:lang w:val="en-US"/>
        </w:rPr>
        <w:t xml:space="preserve"> </w:t>
      </w:r>
      <w:r w:rsidR="009F72B3">
        <w:rPr>
          <w:sz w:val="24"/>
          <w:lang w:val="en-US"/>
        </w:rPr>
        <w:t xml:space="preserve">and </w:t>
      </w:r>
      <w:r w:rsidR="005455ED">
        <w:rPr>
          <w:sz w:val="24"/>
          <w:lang w:val="en-US"/>
        </w:rPr>
        <w:t xml:space="preserve">any </w:t>
      </w:r>
      <w:r w:rsidR="00663248">
        <w:rPr>
          <w:sz w:val="24"/>
          <w:lang w:val="en-US"/>
        </w:rPr>
        <w:t xml:space="preserve">future benefits </w:t>
      </w:r>
      <w:r w:rsidR="009F72B3">
        <w:rPr>
          <w:sz w:val="24"/>
          <w:lang w:val="en-US"/>
        </w:rPr>
        <w:t xml:space="preserve">ratepayers should expect to </w:t>
      </w:r>
      <w:r w:rsidR="00697248">
        <w:rPr>
          <w:sz w:val="24"/>
          <w:lang w:val="en-US"/>
        </w:rPr>
        <w:t xml:space="preserve">see </w:t>
      </w:r>
      <w:r w:rsidR="00663248">
        <w:rPr>
          <w:sz w:val="24"/>
          <w:lang w:val="en-US"/>
        </w:rPr>
        <w:t>as a result</w:t>
      </w:r>
      <w:r w:rsidR="0009719D">
        <w:rPr>
          <w:sz w:val="24"/>
          <w:lang w:val="en-US"/>
        </w:rPr>
        <w:t xml:space="preserve">.  </w:t>
      </w:r>
    </w:p>
    <w:p w14:paraId="3D9BACE5" w14:textId="77777777" w:rsidR="002879D1" w:rsidRDefault="002879D1" w:rsidP="00425F7D">
      <w:pPr>
        <w:pStyle w:val="BodyTextIndent"/>
        <w:ind w:firstLine="720"/>
        <w:rPr>
          <w:sz w:val="24"/>
          <w:lang w:val="en-US"/>
        </w:rPr>
      </w:pPr>
    </w:p>
    <w:p w14:paraId="37D1707E" w14:textId="77777777" w:rsidR="002879D1" w:rsidRDefault="002879D1" w:rsidP="00425F7D">
      <w:pPr>
        <w:pStyle w:val="BodyTextIndent"/>
        <w:rPr>
          <w:b/>
          <w:sz w:val="24"/>
          <w:lang w:val="en-US"/>
        </w:rPr>
      </w:pPr>
      <w:r>
        <w:rPr>
          <w:b/>
          <w:sz w:val="24"/>
          <w:lang w:val="en-US"/>
        </w:rPr>
        <w:t>Q.</w:t>
      </w:r>
      <w:r>
        <w:rPr>
          <w:b/>
          <w:sz w:val="24"/>
          <w:lang w:val="en-US"/>
        </w:rPr>
        <w:tab/>
        <w:t>Is Staff recommending the Commission require Avista to report details of its capital spending plan outside of a general rate case?</w:t>
      </w:r>
    </w:p>
    <w:p w14:paraId="1D4857D9" w14:textId="0DA4F56E" w:rsidR="009F72B3" w:rsidRDefault="002879D1" w:rsidP="00425F7D">
      <w:pPr>
        <w:pStyle w:val="BodyTextIndent"/>
        <w:rPr>
          <w:sz w:val="24"/>
          <w:lang w:val="en-US"/>
        </w:rPr>
      </w:pPr>
      <w:r>
        <w:rPr>
          <w:sz w:val="24"/>
          <w:lang w:val="en-US"/>
        </w:rPr>
        <w:t>A.</w:t>
      </w:r>
      <w:r>
        <w:rPr>
          <w:sz w:val="24"/>
          <w:lang w:val="en-US"/>
        </w:rPr>
        <w:tab/>
        <w:t xml:space="preserve">Yes.  </w:t>
      </w:r>
      <w:r w:rsidR="00792542">
        <w:rPr>
          <w:sz w:val="24"/>
          <w:lang w:val="en-US"/>
        </w:rPr>
        <w:t xml:space="preserve">A non-adjudicative Commission </w:t>
      </w:r>
      <w:r w:rsidR="00483523">
        <w:rPr>
          <w:sz w:val="24"/>
          <w:lang w:val="en-US"/>
        </w:rPr>
        <w:t xml:space="preserve">venue </w:t>
      </w:r>
      <w:r w:rsidR="00792542">
        <w:rPr>
          <w:sz w:val="24"/>
          <w:lang w:val="en-US"/>
        </w:rPr>
        <w:t xml:space="preserve">would </w:t>
      </w:r>
      <w:r w:rsidR="00B84895">
        <w:rPr>
          <w:sz w:val="24"/>
          <w:lang w:val="en-US"/>
        </w:rPr>
        <w:t xml:space="preserve">be </w:t>
      </w:r>
      <w:r w:rsidR="00483523">
        <w:rPr>
          <w:sz w:val="24"/>
          <w:lang w:val="en-US"/>
        </w:rPr>
        <w:t xml:space="preserve">better suited for </w:t>
      </w:r>
      <w:r w:rsidR="00577942">
        <w:rPr>
          <w:sz w:val="24"/>
          <w:lang w:val="en-US"/>
        </w:rPr>
        <w:t>th</w:t>
      </w:r>
      <w:r>
        <w:rPr>
          <w:sz w:val="24"/>
          <w:lang w:val="en-US"/>
        </w:rPr>
        <w:t>e</w:t>
      </w:r>
      <w:r w:rsidR="00577942">
        <w:rPr>
          <w:sz w:val="24"/>
          <w:lang w:val="en-US"/>
        </w:rPr>
        <w:t xml:space="preserve"> objective</w:t>
      </w:r>
      <w:r w:rsidR="00AA66C8">
        <w:rPr>
          <w:sz w:val="24"/>
          <w:lang w:val="en-US"/>
        </w:rPr>
        <w:t xml:space="preserve"> of </w:t>
      </w:r>
      <w:r w:rsidR="00B84895">
        <w:rPr>
          <w:sz w:val="24"/>
          <w:lang w:val="en-US"/>
        </w:rPr>
        <w:t xml:space="preserve">examining </w:t>
      </w:r>
      <w:r w:rsidR="00AA66C8">
        <w:rPr>
          <w:sz w:val="24"/>
          <w:lang w:val="en-US"/>
        </w:rPr>
        <w:t xml:space="preserve">Avista’s capital </w:t>
      </w:r>
      <w:r w:rsidR="00B84895">
        <w:rPr>
          <w:sz w:val="24"/>
          <w:lang w:val="en-US"/>
        </w:rPr>
        <w:t>spending plans and results</w:t>
      </w:r>
      <w:r w:rsidR="00AA5EBD">
        <w:rPr>
          <w:sz w:val="24"/>
          <w:lang w:val="en-US"/>
        </w:rPr>
        <w:t>.</w:t>
      </w:r>
      <w:r w:rsidR="009F43CC">
        <w:rPr>
          <w:sz w:val="24"/>
          <w:lang w:val="en-US"/>
        </w:rPr>
        <w:t xml:space="preserve">  A move in this direction w</w:t>
      </w:r>
      <w:r w:rsidR="008012E4">
        <w:rPr>
          <w:sz w:val="24"/>
          <w:lang w:val="en-US"/>
        </w:rPr>
        <w:t>ould</w:t>
      </w:r>
      <w:r w:rsidR="009F43CC">
        <w:rPr>
          <w:sz w:val="24"/>
          <w:lang w:val="en-US"/>
        </w:rPr>
        <w:t xml:space="preserve"> build on incremental steps already taken by the Commission in previous Avista cases</w:t>
      </w:r>
      <w:r w:rsidR="008012E4">
        <w:rPr>
          <w:sz w:val="24"/>
          <w:lang w:val="en-US"/>
        </w:rPr>
        <w:t xml:space="preserve"> relating to capital spending</w:t>
      </w:r>
      <w:r w:rsidR="009F43CC">
        <w:rPr>
          <w:sz w:val="24"/>
          <w:lang w:val="en-US"/>
        </w:rPr>
        <w:t>.</w:t>
      </w:r>
      <w:r w:rsidR="00B84895">
        <w:rPr>
          <w:sz w:val="24"/>
          <w:lang w:val="en-US"/>
        </w:rPr>
        <w:t xml:space="preserve">  </w:t>
      </w:r>
      <w:r w:rsidR="009F72B3">
        <w:rPr>
          <w:sz w:val="24"/>
          <w:lang w:val="en-US"/>
        </w:rPr>
        <w:t xml:space="preserve">  </w:t>
      </w:r>
    </w:p>
    <w:p w14:paraId="5C319049" w14:textId="40A0D5D5" w:rsidR="00301913" w:rsidRDefault="009F72B3" w:rsidP="00425F7D">
      <w:pPr>
        <w:pStyle w:val="BodyTextIndent"/>
        <w:rPr>
          <w:sz w:val="24"/>
          <w:lang w:val="en-US"/>
        </w:rPr>
      </w:pPr>
      <w:r>
        <w:rPr>
          <w:sz w:val="24"/>
          <w:lang w:val="en-US"/>
        </w:rPr>
        <w:tab/>
      </w:r>
      <w:r>
        <w:rPr>
          <w:sz w:val="24"/>
          <w:lang w:val="en-US"/>
        </w:rPr>
        <w:tab/>
      </w:r>
      <w:r w:rsidR="00577942">
        <w:rPr>
          <w:sz w:val="24"/>
          <w:lang w:val="en-US"/>
        </w:rPr>
        <w:t>In t</w:t>
      </w:r>
      <w:r w:rsidR="006E7738">
        <w:rPr>
          <w:sz w:val="24"/>
          <w:lang w:val="en-US"/>
        </w:rPr>
        <w:t xml:space="preserve">he </w:t>
      </w:r>
      <w:r w:rsidR="00577942">
        <w:rPr>
          <w:sz w:val="24"/>
          <w:lang w:val="en-US"/>
        </w:rPr>
        <w:t xml:space="preserve">last case, the </w:t>
      </w:r>
      <w:r w:rsidR="006E7738">
        <w:rPr>
          <w:sz w:val="24"/>
          <w:lang w:val="en-US"/>
        </w:rPr>
        <w:t xml:space="preserve">Commission applied </w:t>
      </w:r>
      <w:r w:rsidR="00577942">
        <w:rPr>
          <w:sz w:val="24"/>
          <w:lang w:val="en-US"/>
        </w:rPr>
        <w:t xml:space="preserve">Staff’s </w:t>
      </w:r>
      <w:r w:rsidR="006E7738">
        <w:rPr>
          <w:sz w:val="24"/>
          <w:lang w:val="en-US"/>
        </w:rPr>
        <w:t>recommendation</w:t>
      </w:r>
      <w:r w:rsidR="00577942">
        <w:rPr>
          <w:sz w:val="24"/>
          <w:lang w:val="en-US"/>
        </w:rPr>
        <w:t xml:space="preserve"> to </w:t>
      </w:r>
      <w:r w:rsidR="006E7738">
        <w:rPr>
          <w:sz w:val="24"/>
          <w:lang w:val="en-US"/>
        </w:rPr>
        <w:t>expan</w:t>
      </w:r>
      <w:r w:rsidR="00577942">
        <w:rPr>
          <w:sz w:val="24"/>
          <w:lang w:val="en-US"/>
        </w:rPr>
        <w:t xml:space="preserve">d </w:t>
      </w:r>
      <w:r w:rsidR="006E7738">
        <w:rPr>
          <w:sz w:val="24"/>
          <w:lang w:val="en-US"/>
        </w:rPr>
        <w:t xml:space="preserve">Avista’s compliance reporting of its capital spending to include </w:t>
      </w:r>
      <w:r w:rsidR="00577942">
        <w:rPr>
          <w:sz w:val="24"/>
          <w:lang w:val="en-US"/>
        </w:rPr>
        <w:t xml:space="preserve">annual </w:t>
      </w:r>
      <w:r w:rsidR="006E7738">
        <w:rPr>
          <w:sz w:val="24"/>
          <w:lang w:val="en-US"/>
        </w:rPr>
        <w:t>transfers to plant amounts and CWIP balances</w:t>
      </w:r>
      <w:r w:rsidR="00577942">
        <w:rPr>
          <w:sz w:val="24"/>
          <w:lang w:val="en-US"/>
        </w:rPr>
        <w:t xml:space="preserve">.  The implementation of this recommendation </w:t>
      </w:r>
      <w:r w:rsidR="006E7738">
        <w:rPr>
          <w:sz w:val="24"/>
          <w:lang w:val="en-US"/>
        </w:rPr>
        <w:t xml:space="preserve">has </w:t>
      </w:r>
      <w:r w:rsidR="00577942">
        <w:rPr>
          <w:sz w:val="24"/>
          <w:lang w:val="en-US"/>
        </w:rPr>
        <w:t xml:space="preserve">already </w:t>
      </w:r>
      <w:r w:rsidR="006E7738">
        <w:rPr>
          <w:sz w:val="24"/>
          <w:lang w:val="en-US"/>
        </w:rPr>
        <w:t xml:space="preserve">demonstrated </w:t>
      </w:r>
      <w:r w:rsidR="00577942">
        <w:rPr>
          <w:sz w:val="24"/>
          <w:lang w:val="en-US"/>
        </w:rPr>
        <w:t xml:space="preserve">its </w:t>
      </w:r>
      <w:r w:rsidR="006E7738">
        <w:rPr>
          <w:sz w:val="24"/>
          <w:lang w:val="en-US"/>
        </w:rPr>
        <w:t xml:space="preserve">value </w:t>
      </w:r>
      <w:r w:rsidR="00577942">
        <w:rPr>
          <w:sz w:val="24"/>
          <w:lang w:val="en-US"/>
        </w:rPr>
        <w:t>in this case, particularly given w</w:t>
      </w:r>
      <w:r w:rsidR="006E7738">
        <w:rPr>
          <w:sz w:val="24"/>
          <w:lang w:val="en-US"/>
        </w:rPr>
        <w:t xml:space="preserve">hat has </w:t>
      </w:r>
      <w:r w:rsidR="00483523">
        <w:rPr>
          <w:sz w:val="24"/>
          <w:lang w:val="en-US"/>
        </w:rPr>
        <w:t xml:space="preserve">now </w:t>
      </w:r>
      <w:r w:rsidR="006E7738">
        <w:rPr>
          <w:sz w:val="24"/>
          <w:lang w:val="en-US"/>
        </w:rPr>
        <w:t>become</w:t>
      </w:r>
      <w:r w:rsidR="00577942">
        <w:rPr>
          <w:sz w:val="24"/>
          <w:lang w:val="en-US"/>
        </w:rPr>
        <w:t xml:space="preserve"> the routine</w:t>
      </w:r>
      <w:r w:rsidR="006E7738">
        <w:rPr>
          <w:sz w:val="24"/>
          <w:lang w:val="en-US"/>
        </w:rPr>
        <w:t xml:space="preserve"> </w:t>
      </w:r>
      <w:r w:rsidR="0003648D">
        <w:rPr>
          <w:sz w:val="24"/>
          <w:lang w:val="en-US"/>
        </w:rPr>
        <w:t xml:space="preserve">for </w:t>
      </w:r>
      <w:r w:rsidR="006E7738">
        <w:rPr>
          <w:sz w:val="24"/>
          <w:lang w:val="en-US"/>
        </w:rPr>
        <w:t xml:space="preserve">Avista </w:t>
      </w:r>
      <w:r w:rsidR="0003648D">
        <w:rPr>
          <w:sz w:val="24"/>
          <w:lang w:val="en-US"/>
        </w:rPr>
        <w:t xml:space="preserve">to file </w:t>
      </w:r>
      <w:r w:rsidR="006E7738">
        <w:rPr>
          <w:sz w:val="24"/>
          <w:lang w:val="en-US"/>
        </w:rPr>
        <w:t>annual</w:t>
      </w:r>
      <w:r w:rsidR="00577942">
        <w:rPr>
          <w:sz w:val="24"/>
          <w:lang w:val="en-US"/>
        </w:rPr>
        <w:t>,</w:t>
      </w:r>
      <w:r w:rsidR="006E7738">
        <w:rPr>
          <w:sz w:val="24"/>
          <w:lang w:val="en-US"/>
        </w:rPr>
        <w:t xml:space="preserve"> back</w:t>
      </w:r>
      <w:r w:rsidR="000B29E6">
        <w:rPr>
          <w:sz w:val="24"/>
          <w:lang w:val="en-US"/>
        </w:rPr>
        <w:t>-</w:t>
      </w:r>
      <w:r w:rsidR="006E7738">
        <w:rPr>
          <w:sz w:val="24"/>
          <w:lang w:val="en-US"/>
        </w:rPr>
        <w:t>to</w:t>
      </w:r>
      <w:r w:rsidR="000B29E6">
        <w:rPr>
          <w:sz w:val="24"/>
          <w:lang w:val="en-US"/>
        </w:rPr>
        <w:t>-</w:t>
      </w:r>
      <w:r w:rsidR="006E7738">
        <w:rPr>
          <w:sz w:val="24"/>
          <w:lang w:val="en-US"/>
        </w:rPr>
        <w:t>back rate cases.</w:t>
      </w:r>
      <w:r w:rsidR="000F7CAB">
        <w:rPr>
          <w:rStyle w:val="FootnoteReference"/>
          <w:sz w:val="24"/>
          <w:lang w:val="en-US"/>
        </w:rPr>
        <w:footnoteReference w:id="109"/>
      </w:r>
      <w:r w:rsidR="008012E4">
        <w:rPr>
          <w:sz w:val="24"/>
          <w:lang w:val="en-US"/>
        </w:rPr>
        <w:t xml:space="preserve">  Now Staff </w:t>
      </w:r>
      <w:r w:rsidR="008356AD">
        <w:rPr>
          <w:sz w:val="24"/>
          <w:lang w:val="en-US"/>
        </w:rPr>
        <w:t xml:space="preserve">is </w:t>
      </w:r>
      <w:r w:rsidR="008356AD">
        <w:rPr>
          <w:sz w:val="24"/>
          <w:lang w:val="en-US"/>
        </w:rPr>
        <w:lastRenderedPageBreak/>
        <w:t xml:space="preserve">recommending the </w:t>
      </w:r>
      <w:r w:rsidR="008012E4">
        <w:rPr>
          <w:sz w:val="24"/>
          <w:lang w:val="en-US"/>
        </w:rPr>
        <w:t xml:space="preserve">Commission take this a step further in an effort to provide greater transparency </w:t>
      </w:r>
      <w:r w:rsidR="002F4B7A">
        <w:rPr>
          <w:sz w:val="24"/>
          <w:lang w:val="en-US"/>
        </w:rPr>
        <w:t xml:space="preserve">to </w:t>
      </w:r>
      <w:r w:rsidR="008012E4">
        <w:rPr>
          <w:sz w:val="24"/>
          <w:lang w:val="en-US"/>
        </w:rPr>
        <w:t>Avista’s significant increase in capital spending</w:t>
      </w:r>
      <w:r w:rsidR="0088149D">
        <w:rPr>
          <w:sz w:val="24"/>
          <w:lang w:val="en-US"/>
        </w:rPr>
        <w:t>—s</w:t>
      </w:r>
      <w:r w:rsidR="0079180C">
        <w:rPr>
          <w:sz w:val="24"/>
          <w:lang w:val="en-US"/>
        </w:rPr>
        <w:t xml:space="preserve">pending </w:t>
      </w:r>
      <w:r w:rsidR="002F4B7A">
        <w:rPr>
          <w:sz w:val="24"/>
          <w:lang w:val="en-US"/>
        </w:rPr>
        <w:t xml:space="preserve">which will </w:t>
      </w:r>
      <w:r w:rsidR="008356AD">
        <w:rPr>
          <w:sz w:val="24"/>
          <w:lang w:val="en-US"/>
        </w:rPr>
        <w:t xml:space="preserve">have an </w:t>
      </w:r>
      <w:r w:rsidR="002F4B7A">
        <w:rPr>
          <w:sz w:val="24"/>
          <w:lang w:val="en-US"/>
        </w:rPr>
        <w:t xml:space="preserve">impact </w:t>
      </w:r>
      <w:r w:rsidR="008356AD">
        <w:rPr>
          <w:sz w:val="24"/>
          <w:lang w:val="en-US"/>
        </w:rPr>
        <w:t xml:space="preserve">on rates </w:t>
      </w:r>
      <w:r w:rsidR="002F4B7A">
        <w:rPr>
          <w:sz w:val="24"/>
          <w:lang w:val="en-US"/>
        </w:rPr>
        <w:t xml:space="preserve">for a generation of </w:t>
      </w:r>
      <w:r w:rsidR="008356AD">
        <w:rPr>
          <w:sz w:val="24"/>
          <w:lang w:val="en-US"/>
        </w:rPr>
        <w:t>customers</w:t>
      </w:r>
      <w:r w:rsidR="008012E4">
        <w:rPr>
          <w:sz w:val="24"/>
          <w:lang w:val="en-US"/>
        </w:rPr>
        <w:t xml:space="preserve">.  Otherwise, </w:t>
      </w:r>
      <w:r w:rsidR="00301913">
        <w:rPr>
          <w:sz w:val="24"/>
          <w:lang w:val="en-US"/>
        </w:rPr>
        <w:t xml:space="preserve">Staff and other parties will continue to </w:t>
      </w:r>
      <w:r w:rsidR="00332D54">
        <w:rPr>
          <w:sz w:val="24"/>
          <w:lang w:val="en-US"/>
        </w:rPr>
        <w:t xml:space="preserve">have </w:t>
      </w:r>
      <w:r w:rsidR="00301913">
        <w:rPr>
          <w:sz w:val="24"/>
          <w:lang w:val="en-US"/>
        </w:rPr>
        <w:t>to view this issue through a straw and not gain the broader perspective of Avista’s capital programs necessary to efficiently evaluate the Company’s future rate requests.</w:t>
      </w:r>
    </w:p>
    <w:p w14:paraId="1E764FCD" w14:textId="33D8BC54" w:rsidR="003D3B7E" w:rsidRDefault="00301913" w:rsidP="00425F7D">
      <w:pPr>
        <w:pStyle w:val="BodyTextIndent"/>
        <w:rPr>
          <w:sz w:val="24"/>
          <w:lang w:val="en-US"/>
        </w:rPr>
      </w:pPr>
      <w:r>
        <w:rPr>
          <w:sz w:val="24"/>
          <w:lang w:val="en-US"/>
        </w:rPr>
        <w:tab/>
      </w:r>
      <w:r>
        <w:rPr>
          <w:sz w:val="24"/>
          <w:lang w:val="en-US"/>
        </w:rPr>
        <w:tab/>
      </w:r>
      <w:r w:rsidR="003D3B7E">
        <w:rPr>
          <w:sz w:val="24"/>
          <w:lang w:val="en-US"/>
        </w:rPr>
        <w:t>Staff recommends the Commission order in this case a further expansion of Avista’s current compliance reporting requirements for capital.</w:t>
      </w:r>
      <w:r w:rsidR="003D3B7E">
        <w:rPr>
          <w:rStyle w:val="FootnoteReference"/>
          <w:sz w:val="24"/>
          <w:lang w:val="en-US"/>
        </w:rPr>
        <w:footnoteReference w:id="110"/>
      </w:r>
      <w:r w:rsidR="003D3B7E">
        <w:rPr>
          <w:sz w:val="24"/>
          <w:lang w:val="en-US"/>
        </w:rPr>
        <w:t xml:space="preserve">  Along with reporting of capital expenditures, CWIP balances and transfers to plant, Staff recommends the Commission require Avista to file supporting documentation and </w:t>
      </w:r>
      <w:r w:rsidR="00D92213">
        <w:rPr>
          <w:sz w:val="24"/>
          <w:lang w:val="en-US"/>
        </w:rPr>
        <w:t>work papers</w:t>
      </w:r>
      <w:r w:rsidR="003D3B7E">
        <w:rPr>
          <w:sz w:val="24"/>
          <w:lang w:val="en-US"/>
        </w:rPr>
        <w:t xml:space="preserve"> for its planned and ongoing major capital additions.  The documentation and </w:t>
      </w:r>
      <w:r w:rsidR="00D92213">
        <w:rPr>
          <w:sz w:val="24"/>
          <w:lang w:val="en-US"/>
        </w:rPr>
        <w:t>work papers</w:t>
      </w:r>
      <w:r w:rsidR="003D3B7E">
        <w:rPr>
          <w:sz w:val="24"/>
          <w:lang w:val="en-US"/>
        </w:rPr>
        <w:t xml:space="preserve"> should be sufficient for Staff to complete an analysis and report to the Commission Avista’s </w:t>
      </w:r>
      <w:r w:rsidR="00352A54">
        <w:rPr>
          <w:sz w:val="24"/>
          <w:lang w:val="en-US"/>
        </w:rPr>
        <w:t xml:space="preserve">status and </w:t>
      </w:r>
      <w:r w:rsidR="003D3B7E">
        <w:rPr>
          <w:sz w:val="24"/>
          <w:lang w:val="en-US"/>
        </w:rPr>
        <w:t xml:space="preserve">progress of its major capital addition </w:t>
      </w:r>
      <w:r w:rsidR="002710E4">
        <w:rPr>
          <w:sz w:val="24"/>
          <w:lang w:val="en-US"/>
        </w:rPr>
        <w:t>ERs</w:t>
      </w:r>
      <w:r w:rsidR="003D3B7E">
        <w:rPr>
          <w:sz w:val="24"/>
          <w:lang w:val="en-US"/>
        </w:rPr>
        <w:t xml:space="preserve">.  Staff would provide its analysis and report to the Commission </w:t>
      </w:r>
      <w:r w:rsidR="007A0FA0">
        <w:rPr>
          <w:sz w:val="24"/>
          <w:lang w:val="en-US"/>
        </w:rPr>
        <w:t xml:space="preserve">and other interested parties </w:t>
      </w:r>
      <w:r w:rsidR="003D3B7E">
        <w:rPr>
          <w:sz w:val="24"/>
          <w:lang w:val="en-US"/>
        </w:rPr>
        <w:t>in a recessed open meeting.</w:t>
      </w:r>
      <w:r w:rsidR="003D3B7E">
        <w:rPr>
          <w:rStyle w:val="FootnoteReference"/>
          <w:sz w:val="24"/>
          <w:lang w:val="en-US"/>
        </w:rPr>
        <w:footnoteReference w:id="111"/>
      </w:r>
      <w:r w:rsidR="003D3B7E">
        <w:rPr>
          <w:sz w:val="24"/>
          <w:lang w:val="en-US"/>
        </w:rPr>
        <w:t xml:space="preserve">  Staff also recommends </w:t>
      </w:r>
      <w:r w:rsidR="0088149D">
        <w:rPr>
          <w:sz w:val="24"/>
          <w:lang w:val="en-US"/>
        </w:rPr>
        <w:t xml:space="preserve">that </w:t>
      </w:r>
      <w:r w:rsidR="003D3B7E">
        <w:rPr>
          <w:sz w:val="24"/>
          <w:lang w:val="en-US"/>
        </w:rPr>
        <w:t>the Commission require Avista to evaluate its capital expenditure and transfer to plant forecasts from the previous period’s report and account for variances in its current period compliance report.</w:t>
      </w:r>
    </w:p>
    <w:p w14:paraId="09E6707B" w14:textId="0948D372" w:rsidR="0022461D" w:rsidRDefault="00301913" w:rsidP="00425F7D">
      <w:pPr>
        <w:pStyle w:val="BodyTextIndent"/>
        <w:ind w:firstLine="720"/>
        <w:rPr>
          <w:sz w:val="24"/>
          <w:lang w:val="en-US"/>
        </w:rPr>
      </w:pPr>
      <w:r>
        <w:rPr>
          <w:sz w:val="24"/>
          <w:lang w:val="en-US"/>
        </w:rPr>
        <w:lastRenderedPageBreak/>
        <w:t xml:space="preserve">Finally, Staff recommends </w:t>
      </w:r>
      <w:r w:rsidR="0088149D">
        <w:rPr>
          <w:sz w:val="24"/>
          <w:lang w:val="en-US"/>
        </w:rPr>
        <w:t xml:space="preserve">that </w:t>
      </w:r>
      <w:r>
        <w:rPr>
          <w:sz w:val="24"/>
          <w:lang w:val="en-US"/>
        </w:rPr>
        <w:t xml:space="preserve">the Commission </w:t>
      </w:r>
      <w:r w:rsidR="007D0DA3">
        <w:rPr>
          <w:sz w:val="24"/>
          <w:lang w:val="en-US"/>
        </w:rPr>
        <w:t xml:space="preserve">require Avista to limit the scope of its pro forma capital additions in future rate cases </w:t>
      </w:r>
      <w:r w:rsidR="00F17A54">
        <w:rPr>
          <w:sz w:val="24"/>
          <w:lang w:val="en-US"/>
        </w:rPr>
        <w:t xml:space="preserve">to be </w:t>
      </w:r>
      <w:r w:rsidR="007D0DA3">
        <w:rPr>
          <w:sz w:val="24"/>
          <w:lang w:val="en-US"/>
        </w:rPr>
        <w:t xml:space="preserve">consistent with the Pacific Order.  The Company’s approach in this case is too broad and, as a result, </w:t>
      </w:r>
      <w:r w:rsidR="00F14221">
        <w:rPr>
          <w:sz w:val="24"/>
          <w:lang w:val="en-US"/>
        </w:rPr>
        <w:t>Avista</w:t>
      </w:r>
      <w:r w:rsidR="007D0DA3">
        <w:rPr>
          <w:sz w:val="24"/>
          <w:lang w:val="en-US"/>
        </w:rPr>
        <w:t>’s testimony and exhibits are largely inadequate in both substance and detail to meet Staff’s needs in making its recommendation to the Commission.</w:t>
      </w:r>
      <w:r>
        <w:rPr>
          <w:sz w:val="24"/>
          <w:lang w:val="en-US"/>
        </w:rPr>
        <w:t xml:space="preserve">  </w:t>
      </w:r>
    </w:p>
    <w:p w14:paraId="3EAB9107" w14:textId="2AB20312" w:rsidR="00D92213" w:rsidRDefault="00D92213" w:rsidP="00425F7D">
      <w:pPr>
        <w:pStyle w:val="BodyTextIndent"/>
        <w:rPr>
          <w:sz w:val="24"/>
          <w:lang w:val="en-US"/>
        </w:rPr>
      </w:pPr>
    </w:p>
    <w:p w14:paraId="6D1FC069" w14:textId="77777777" w:rsidR="007E2C58" w:rsidRDefault="00D92213" w:rsidP="00425F7D">
      <w:pPr>
        <w:pStyle w:val="BodyTextIndent"/>
        <w:rPr>
          <w:b/>
          <w:sz w:val="24"/>
          <w:lang w:val="en-US"/>
        </w:rPr>
      </w:pPr>
      <w:r w:rsidRPr="00D92213">
        <w:rPr>
          <w:b/>
          <w:sz w:val="24"/>
          <w:lang w:val="en-US"/>
        </w:rPr>
        <w:t>Q.</w:t>
      </w:r>
      <w:r w:rsidRPr="00D92213">
        <w:rPr>
          <w:b/>
          <w:sz w:val="24"/>
          <w:lang w:val="en-US"/>
        </w:rPr>
        <w:tab/>
        <w:t>Do you anticipate using the suggested report on capital expenditures, CWIP balances and transfers to plant to determine rates?</w:t>
      </w:r>
    </w:p>
    <w:p w14:paraId="5EAB9470" w14:textId="76255ED2" w:rsidR="007C5521" w:rsidRPr="00D92213" w:rsidRDefault="00D92213" w:rsidP="00425F7D">
      <w:pPr>
        <w:pStyle w:val="BodyTextIndent"/>
        <w:rPr>
          <w:b/>
          <w:bCs/>
          <w:sz w:val="24"/>
          <w:lang w:val="en-US"/>
        </w:rPr>
      </w:pPr>
      <w:r w:rsidRPr="00BF078B">
        <w:rPr>
          <w:sz w:val="24"/>
        </w:rPr>
        <w:t>A.</w:t>
      </w:r>
      <w:r w:rsidRPr="00BF078B">
        <w:rPr>
          <w:sz w:val="24"/>
        </w:rPr>
        <w:tab/>
      </w:r>
      <w:r w:rsidR="006E2945">
        <w:rPr>
          <w:sz w:val="24"/>
          <w:lang w:val="en-US"/>
        </w:rPr>
        <w:t xml:space="preserve">It may be possible, if all interested parties agree upon the form and content of such a filing.  </w:t>
      </w:r>
    </w:p>
    <w:p w14:paraId="5D0C58FA" w14:textId="77777777" w:rsidR="007E2C58" w:rsidRDefault="007E2C58" w:rsidP="00425F7D">
      <w:pPr>
        <w:pStyle w:val="BodyTextIndent"/>
        <w:ind w:left="0" w:firstLine="0"/>
        <w:rPr>
          <w:b/>
          <w:bCs/>
          <w:sz w:val="24"/>
        </w:rPr>
      </w:pPr>
    </w:p>
    <w:p w14:paraId="7AA51568" w14:textId="77777777" w:rsidR="003D294E" w:rsidRPr="00BF078B" w:rsidRDefault="003D294E" w:rsidP="00AC6D70">
      <w:pPr>
        <w:pStyle w:val="BodyTextIndent"/>
        <w:keepNext/>
        <w:ind w:left="0" w:firstLine="0"/>
        <w:rPr>
          <w:b/>
          <w:bCs/>
          <w:sz w:val="24"/>
        </w:rPr>
      </w:pPr>
      <w:r w:rsidRPr="00BF078B">
        <w:rPr>
          <w:b/>
          <w:bCs/>
          <w:sz w:val="24"/>
        </w:rPr>
        <w:t>Q.</w:t>
      </w:r>
      <w:r w:rsidRPr="00BF078B">
        <w:rPr>
          <w:b/>
          <w:bCs/>
          <w:sz w:val="24"/>
        </w:rPr>
        <w:tab/>
        <w:t>Does this conclude your testimony?</w:t>
      </w:r>
    </w:p>
    <w:p w14:paraId="2A33315E" w14:textId="77777777" w:rsidR="00392339" w:rsidRDefault="003D294E" w:rsidP="00AC6D70">
      <w:pPr>
        <w:pStyle w:val="BodyTextIndent"/>
        <w:keepNext/>
      </w:pPr>
      <w:r w:rsidRPr="00BF078B">
        <w:rPr>
          <w:sz w:val="24"/>
        </w:rPr>
        <w:t>A.</w:t>
      </w:r>
      <w:r w:rsidRPr="00BF078B">
        <w:rPr>
          <w:sz w:val="24"/>
        </w:rPr>
        <w:tab/>
        <w:t xml:space="preserve">Yes.  </w:t>
      </w:r>
    </w:p>
    <w:sectPr w:rsidR="00392339" w:rsidSect="00374AB3">
      <w:footerReference w:type="default" r:id="rId21"/>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2F9FD" w14:textId="77777777" w:rsidR="00410470" w:rsidRDefault="00410470" w:rsidP="00C3471C">
      <w:r>
        <w:separator/>
      </w:r>
    </w:p>
  </w:endnote>
  <w:endnote w:type="continuationSeparator" w:id="0">
    <w:p w14:paraId="0FD2859D" w14:textId="77777777" w:rsidR="00410470" w:rsidRDefault="00410470" w:rsidP="00C3471C">
      <w:r>
        <w:continuationSeparator/>
      </w:r>
    </w:p>
  </w:endnote>
  <w:endnote w:type="continuationNotice" w:id="1">
    <w:p w14:paraId="6B5E1264" w14:textId="77777777" w:rsidR="00410470" w:rsidRDefault="00410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B3DCA" w14:textId="77777777" w:rsidR="00410470" w:rsidRPr="00DC40BC" w:rsidRDefault="00410470">
    <w:pPr>
      <w:pStyle w:val="Footer"/>
      <w:rPr>
        <w:szCs w:val="20"/>
      </w:rPr>
    </w:pPr>
  </w:p>
  <w:p w14:paraId="47EE5D20" w14:textId="77777777" w:rsidR="00410470" w:rsidRPr="00DC40BC" w:rsidRDefault="00410470">
    <w:pPr>
      <w:pStyle w:val="Footer"/>
      <w:rPr>
        <w:szCs w:val="20"/>
      </w:rPr>
    </w:pPr>
    <w:r w:rsidRPr="00DC40BC">
      <w:rPr>
        <w:szCs w:val="20"/>
      </w:rPr>
      <w:t xml:space="preserve">TESTIMONY OF (WITNESS NAME) </w:t>
    </w:r>
    <w:r w:rsidRPr="00DC40BC">
      <w:rPr>
        <w:szCs w:val="20"/>
      </w:rPr>
      <w:tab/>
    </w:r>
    <w:r w:rsidRPr="00DC40BC">
      <w:rPr>
        <w:szCs w:val="20"/>
      </w:rPr>
      <w:tab/>
      <w:t>Exhibit ___T (**-1T)</w:t>
    </w:r>
  </w:p>
  <w:p w14:paraId="1E77804D" w14:textId="77777777" w:rsidR="00410470" w:rsidRPr="00DC40BC" w:rsidRDefault="00410470" w:rsidP="00153ECA">
    <w:pPr>
      <w:pStyle w:val="Footer"/>
      <w:rPr>
        <w:szCs w:val="20"/>
        <w:lang w:val="fr-FR"/>
      </w:rPr>
    </w:pPr>
    <w:r w:rsidRPr="00DC40BC">
      <w:rPr>
        <w:szCs w:val="20"/>
      </w:rPr>
      <w:t>Docket</w:t>
    </w:r>
    <w:r w:rsidRPr="00DC40BC">
      <w:rPr>
        <w:szCs w:val="20"/>
        <w:lang w:val="fr-FR"/>
      </w:rPr>
      <w:t xml:space="preserve"> **-******</w:t>
    </w:r>
    <w:r w:rsidRPr="00DC40BC">
      <w:rPr>
        <w:szCs w:val="20"/>
        <w:lang w:val="fr-FR"/>
      </w:rPr>
      <w:tab/>
    </w:r>
    <w:r w:rsidRPr="00DC40BC">
      <w:rPr>
        <w:szCs w:val="20"/>
        <w:lang w:val="fr-FR"/>
      </w:rPr>
      <w:tab/>
      <w:t xml:space="preserve">Page </w:t>
    </w:r>
    <w:r w:rsidRPr="00DC40BC">
      <w:rPr>
        <w:rStyle w:val="PageNumber"/>
        <w:szCs w:val="20"/>
      </w:rPr>
      <w:fldChar w:fldCharType="begin"/>
    </w:r>
    <w:r w:rsidRPr="00DC40BC">
      <w:rPr>
        <w:rStyle w:val="PageNumber"/>
        <w:szCs w:val="20"/>
        <w:lang w:val="fr-FR"/>
      </w:rPr>
      <w:instrText xml:space="preserve"> PAGE </w:instrText>
    </w:r>
    <w:r w:rsidRPr="00DC40BC">
      <w:rPr>
        <w:rStyle w:val="PageNumber"/>
        <w:szCs w:val="20"/>
      </w:rPr>
      <w:fldChar w:fldCharType="separate"/>
    </w:r>
    <w:r>
      <w:rPr>
        <w:rStyle w:val="PageNumber"/>
        <w:noProof/>
        <w:szCs w:val="20"/>
        <w:lang w:val="fr-FR"/>
      </w:rPr>
      <w:t>2</w:t>
    </w:r>
    <w:r w:rsidRPr="00DC40BC">
      <w:rPr>
        <w:rStyle w:val="PageNumber"/>
        <w:szCs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0EE8" w14:textId="77777777" w:rsidR="00AC6D70" w:rsidRPr="00DC40BC" w:rsidRDefault="00AC6D70">
    <w:pPr>
      <w:pStyle w:val="Footer"/>
      <w:rPr>
        <w:szCs w:val="20"/>
      </w:rPr>
    </w:pPr>
  </w:p>
  <w:p w14:paraId="0412AEBB" w14:textId="77777777" w:rsidR="00AC6D70" w:rsidRPr="00DC40BC" w:rsidRDefault="00AC6D70" w:rsidP="00940F27">
    <w:pPr>
      <w:pStyle w:val="Footer"/>
      <w:tabs>
        <w:tab w:val="clear" w:pos="8640"/>
        <w:tab w:val="right" w:pos="8910"/>
      </w:tabs>
      <w:spacing w:line="240" w:lineRule="exact"/>
      <w:rPr>
        <w:szCs w:val="20"/>
      </w:rPr>
    </w:pPr>
    <w:r w:rsidRPr="00DC40BC">
      <w:rPr>
        <w:szCs w:val="20"/>
      </w:rPr>
      <w:t>TESTIMONY O</w:t>
    </w:r>
    <w:r>
      <w:rPr>
        <w:szCs w:val="20"/>
      </w:rPr>
      <w:t xml:space="preserve">F </w:t>
    </w:r>
    <w:r>
      <w:rPr>
        <w:szCs w:val="20"/>
        <w:lang w:val="en-US"/>
      </w:rPr>
      <w:t>DAVID C. GOMEZ</w:t>
    </w:r>
    <w:r>
      <w:rPr>
        <w:szCs w:val="20"/>
      </w:rPr>
      <w:t xml:space="preserve"> </w:t>
    </w:r>
    <w:r>
      <w:rPr>
        <w:szCs w:val="20"/>
      </w:rPr>
      <w:tab/>
    </w:r>
    <w:r>
      <w:rPr>
        <w:szCs w:val="20"/>
      </w:rPr>
      <w:tab/>
      <w:t>Exhibit No.</w:t>
    </w:r>
    <w:r>
      <w:rPr>
        <w:szCs w:val="20"/>
        <w:lang w:val="en-US"/>
      </w:rPr>
      <w:t xml:space="preserve"> </w:t>
    </w:r>
    <w:r>
      <w:rPr>
        <w:szCs w:val="20"/>
      </w:rPr>
      <w:t>_</w:t>
    </w:r>
    <w:r>
      <w:rPr>
        <w:szCs w:val="20"/>
        <w:lang w:val="en-US"/>
      </w:rPr>
      <w:t>__CT</w:t>
    </w:r>
    <w:r>
      <w:rPr>
        <w:szCs w:val="20"/>
      </w:rPr>
      <w:t xml:space="preserve"> (</w:t>
    </w:r>
    <w:r>
      <w:rPr>
        <w:szCs w:val="20"/>
        <w:lang w:val="en-US"/>
      </w:rPr>
      <w:t>DCG</w:t>
    </w:r>
    <w:r>
      <w:rPr>
        <w:szCs w:val="20"/>
      </w:rPr>
      <w:t>-</w:t>
    </w:r>
    <w:r>
      <w:rPr>
        <w:szCs w:val="20"/>
        <w:lang w:val="en-US"/>
      </w:rPr>
      <w:t>1TC</w:t>
    </w:r>
    <w:r>
      <w:rPr>
        <w:szCs w:val="20"/>
      </w:rPr>
      <w:t>)</w:t>
    </w:r>
  </w:p>
  <w:p w14:paraId="5BC5E43E" w14:textId="77777777" w:rsidR="00AC6D70" w:rsidRDefault="00AC6D70" w:rsidP="003273CF">
    <w:pPr>
      <w:pStyle w:val="Footer"/>
      <w:tabs>
        <w:tab w:val="clear" w:pos="8640"/>
        <w:tab w:val="right" w:pos="8910"/>
      </w:tabs>
      <w:spacing w:line="240" w:lineRule="exact"/>
      <w:rPr>
        <w:rStyle w:val="PageNumber"/>
        <w:szCs w:val="20"/>
      </w:rPr>
    </w:pPr>
    <w:r w:rsidRPr="00DC40BC">
      <w:rPr>
        <w:szCs w:val="20"/>
      </w:rPr>
      <w:t>Docket</w:t>
    </w:r>
    <w:r w:rsidRPr="00DC40BC">
      <w:rPr>
        <w:szCs w:val="20"/>
        <w:lang w:val="fr-FR"/>
      </w:rPr>
      <w:t xml:space="preserve"> </w:t>
    </w:r>
    <w:r>
      <w:rPr>
        <w:szCs w:val="20"/>
        <w:lang w:val="fr-FR"/>
      </w:rPr>
      <w:t>UE</w:t>
    </w:r>
    <w:r w:rsidRPr="00DC40BC">
      <w:rPr>
        <w:szCs w:val="20"/>
        <w:lang w:val="fr-FR"/>
      </w:rPr>
      <w:t>-</w:t>
    </w:r>
    <w:r>
      <w:rPr>
        <w:szCs w:val="20"/>
        <w:lang w:val="fr-FR"/>
      </w:rPr>
      <w:t xml:space="preserve">150204/UG-150205         </w:t>
    </w:r>
    <w:r w:rsidRPr="00DC40BC">
      <w:rPr>
        <w:szCs w:val="20"/>
        <w:lang w:val="fr-FR"/>
      </w:rPr>
      <w:tab/>
    </w:r>
    <w:r>
      <w:rPr>
        <w:szCs w:val="20"/>
        <w:lang w:val="fr-FR"/>
      </w:rPr>
      <w:tab/>
    </w:r>
    <w:r w:rsidRPr="00DC40BC">
      <w:rPr>
        <w:szCs w:val="20"/>
        <w:lang w:val="fr-FR"/>
      </w:rPr>
      <w:t xml:space="preserve">Page </w:t>
    </w:r>
    <w:r w:rsidRPr="00DC40BC">
      <w:rPr>
        <w:rStyle w:val="PageNumber"/>
        <w:szCs w:val="20"/>
      </w:rPr>
      <w:fldChar w:fldCharType="begin"/>
    </w:r>
    <w:r w:rsidRPr="00DC40BC">
      <w:rPr>
        <w:rStyle w:val="PageNumber"/>
        <w:szCs w:val="20"/>
        <w:lang w:val="fr-FR"/>
      </w:rPr>
      <w:instrText xml:space="preserve"> PAGE </w:instrText>
    </w:r>
    <w:r w:rsidRPr="00DC40BC">
      <w:rPr>
        <w:rStyle w:val="PageNumber"/>
        <w:szCs w:val="20"/>
      </w:rPr>
      <w:fldChar w:fldCharType="separate"/>
    </w:r>
    <w:r w:rsidR="009534A4">
      <w:rPr>
        <w:rStyle w:val="PageNumber"/>
        <w:noProof/>
        <w:szCs w:val="20"/>
        <w:lang w:val="fr-FR"/>
      </w:rPr>
      <w:t>50</w:t>
    </w:r>
    <w:r w:rsidRPr="00DC40BC">
      <w:rPr>
        <w:rStyle w:val="PageNumber"/>
        <w:szCs w:val="20"/>
      </w:rPr>
      <w:fldChar w:fldCharType="end"/>
    </w:r>
  </w:p>
  <w:p w14:paraId="51D21416" w14:textId="77777777" w:rsidR="00AC6D70" w:rsidRPr="003273CF" w:rsidRDefault="00AC6D70" w:rsidP="00AC6D70">
    <w:pPr>
      <w:pStyle w:val="Footer"/>
      <w:tabs>
        <w:tab w:val="clear" w:pos="8640"/>
        <w:tab w:val="right" w:pos="8910"/>
      </w:tabs>
      <w:spacing w:line="240" w:lineRule="exact"/>
      <w:jc w:val="center"/>
      <w:rPr>
        <w:b/>
        <w:szCs w:val="20"/>
        <w:lang w:val="en-US"/>
      </w:rPr>
    </w:pPr>
    <w:r>
      <w:rPr>
        <w:rStyle w:val="PageNumber"/>
        <w:b/>
        <w:szCs w:val="20"/>
        <w:lang w:val="en-US"/>
      </w:rPr>
      <w:t>CONFIDENTIAL PER PROTECTIVE ORDER</w:t>
    </w:r>
  </w:p>
  <w:p w14:paraId="0359699C" w14:textId="77777777" w:rsidR="00AC6D70" w:rsidRPr="003273CF" w:rsidRDefault="00AC6D70" w:rsidP="00410470">
    <w:pPr>
      <w:pStyle w:val="Footer"/>
      <w:tabs>
        <w:tab w:val="clear" w:pos="8640"/>
        <w:tab w:val="right" w:pos="8910"/>
      </w:tabs>
      <w:spacing w:line="240" w:lineRule="exact"/>
      <w:jc w:val="center"/>
      <w:rPr>
        <w:b/>
        <w:szCs w:val="20"/>
        <w:lang w:val="en-US"/>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D1B26" w14:textId="77777777" w:rsidR="00AC6D70" w:rsidRPr="00DC40BC" w:rsidRDefault="00AC6D70">
    <w:pPr>
      <w:pStyle w:val="Footer"/>
      <w:rPr>
        <w:szCs w:val="20"/>
      </w:rPr>
    </w:pPr>
  </w:p>
  <w:p w14:paraId="759744FD" w14:textId="77777777" w:rsidR="00AC6D70" w:rsidRPr="00DC40BC" w:rsidRDefault="00AC6D70" w:rsidP="00940F27">
    <w:pPr>
      <w:pStyle w:val="Footer"/>
      <w:tabs>
        <w:tab w:val="clear" w:pos="8640"/>
        <w:tab w:val="right" w:pos="8910"/>
      </w:tabs>
      <w:spacing w:line="240" w:lineRule="exact"/>
      <w:rPr>
        <w:szCs w:val="20"/>
      </w:rPr>
    </w:pPr>
    <w:r w:rsidRPr="00DC40BC">
      <w:rPr>
        <w:szCs w:val="20"/>
      </w:rPr>
      <w:t>TESTIMONY O</w:t>
    </w:r>
    <w:r>
      <w:rPr>
        <w:szCs w:val="20"/>
      </w:rPr>
      <w:t xml:space="preserve">F </w:t>
    </w:r>
    <w:r>
      <w:rPr>
        <w:szCs w:val="20"/>
        <w:lang w:val="en-US"/>
      </w:rPr>
      <w:t>DAVID C. GOMEZ</w:t>
    </w:r>
    <w:r>
      <w:rPr>
        <w:szCs w:val="20"/>
      </w:rPr>
      <w:t xml:space="preserve"> </w:t>
    </w:r>
    <w:r>
      <w:rPr>
        <w:szCs w:val="20"/>
      </w:rPr>
      <w:tab/>
    </w:r>
    <w:r>
      <w:rPr>
        <w:szCs w:val="20"/>
      </w:rPr>
      <w:tab/>
      <w:t>Exhibit No.</w:t>
    </w:r>
    <w:r>
      <w:rPr>
        <w:szCs w:val="20"/>
        <w:lang w:val="en-US"/>
      </w:rPr>
      <w:t xml:space="preserve"> </w:t>
    </w:r>
    <w:r>
      <w:rPr>
        <w:szCs w:val="20"/>
      </w:rPr>
      <w:t>_</w:t>
    </w:r>
    <w:r>
      <w:rPr>
        <w:szCs w:val="20"/>
        <w:lang w:val="en-US"/>
      </w:rPr>
      <w:t>__CT</w:t>
    </w:r>
    <w:r>
      <w:rPr>
        <w:szCs w:val="20"/>
      </w:rPr>
      <w:t xml:space="preserve"> (</w:t>
    </w:r>
    <w:r>
      <w:rPr>
        <w:szCs w:val="20"/>
        <w:lang w:val="en-US"/>
      </w:rPr>
      <w:t>DCG</w:t>
    </w:r>
    <w:r>
      <w:rPr>
        <w:szCs w:val="20"/>
      </w:rPr>
      <w:t>-</w:t>
    </w:r>
    <w:r>
      <w:rPr>
        <w:szCs w:val="20"/>
        <w:lang w:val="en-US"/>
      </w:rPr>
      <w:t>1TC</w:t>
    </w:r>
    <w:r>
      <w:rPr>
        <w:szCs w:val="20"/>
      </w:rPr>
      <w:t>)</w:t>
    </w:r>
  </w:p>
  <w:p w14:paraId="473E82FD" w14:textId="77777777" w:rsidR="00AC6D70" w:rsidRDefault="00AC6D70" w:rsidP="003273CF">
    <w:pPr>
      <w:pStyle w:val="Footer"/>
      <w:tabs>
        <w:tab w:val="clear" w:pos="8640"/>
        <w:tab w:val="right" w:pos="8910"/>
      </w:tabs>
      <w:spacing w:line="240" w:lineRule="exact"/>
      <w:rPr>
        <w:rStyle w:val="PageNumber"/>
        <w:szCs w:val="20"/>
      </w:rPr>
    </w:pPr>
    <w:r w:rsidRPr="00DC40BC">
      <w:rPr>
        <w:szCs w:val="20"/>
      </w:rPr>
      <w:t>Docket</w:t>
    </w:r>
    <w:r w:rsidRPr="00DC40BC">
      <w:rPr>
        <w:szCs w:val="20"/>
        <w:lang w:val="fr-FR"/>
      </w:rPr>
      <w:t xml:space="preserve"> </w:t>
    </w:r>
    <w:r>
      <w:rPr>
        <w:szCs w:val="20"/>
        <w:lang w:val="fr-FR"/>
      </w:rPr>
      <w:t>UE</w:t>
    </w:r>
    <w:r w:rsidRPr="00DC40BC">
      <w:rPr>
        <w:szCs w:val="20"/>
        <w:lang w:val="fr-FR"/>
      </w:rPr>
      <w:t>-</w:t>
    </w:r>
    <w:r>
      <w:rPr>
        <w:szCs w:val="20"/>
        <w:lang w:val="fr-FR"/>
      </w:rPr>
      <w:t xml:space="preserve">150204/UG-150205         </w:t>
    </w:r>
    <w:r w:rsidRPr="00DC40BC">
      <w:rPr>
        <w:szCs w:val="20"/>
        <w:lang w:val="fr-FR"/>
      </w:rPr>
      <w:tab/>
    </w:r>
    <w:r>
      <w:rPr>
        <w:szCs w:val="20"/>
        <w:lang w:val="fr-FR"/>
      </w:rPr>
      <w:tab/>
    </w:r>
    <w:r w:rsidRPr="00DC40BC">
      <w:rPr>
        <w:szCs w:val="20"/>
        <w:lang w:val="fr-FR"/>
      </w:rPr>
      <w:t xml:space="preserve">Page </w:t>
    </w:r>
    <w:r w:rsidRPr="00DC40BC">
      <w:rPr>
        <w:rStyle w:val="PageNumber"/>
        <w:szCs w:val="20"/>
      </w:rPr>
      <w:fldChar w:fldCharType="begin"/>
    </w:r>
    <w:r w:rsidRPr="00DC40BC">
      <w:rPr>
        <w:rStyle w:val="PageNumber"/>
        <w:szCs w:val="20"/>
        <w:lang w:val="fr-FR"/>
      </w:rPr>
      <w:instrText xml:space="preserve"> PAGE </w:instrText>
    </w:r>
    <w:r w:rsidRPr="00DC40BC">
      <w:rPr>
        <w:rStyle w:val="PageNumber"/>
        <w:szCs w:val="20"/>
      </w:rPr>
      <w:fldChar w:fldCharType="separate"/>
    </w:r>
    <w:r w:rsidR="009534A4">
      <w:rPr>
        <w:rStyle w:val="PageNumber"/>
        <w:noProof/>
        <w:szCs w:val="20"/>
        <w:lang w:val="fr-FR"/>
      </w:rPr>
      <w:t>59</w:t>
    </w:r>
    <w:r w:rsidRPr="00DC40BC">
      <w:rPr>
        <w:rStyle w:val="PageNumber"/>
        <w:szCs w:val="20"/>
      </w:rPr>
      <w:fldChar w:fldCharType="end"/>
    </w:r>
  </w:p>
  <w:p w14:paraId="19CE3E19" w14:textId="77777777" w:rsidR="00AC6D70" w:rsidRPr="003273CF" w:rsidRDefault="00AC6D70" w:rsidP="00410470">
    <w:pPr>
      <w:pStyle w:val="Footer"/>
      <w:tabs>
        <w:tab w:val="clear" w:pos="8640"/>
        <w:tab w:val="right" w:pos="8910"/>
      </w:tabs>
      <w:spacing w:line="240" w:lineRule="exact"/>
      <w:jc w:val="center"/>
      <w:rPr>
        <w:b/>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79549" w14:textId="77777777" w:rsidR="00410470" w:rsidRPr="00DC40BC" w:rsidRDefault="00410470">
    <w:pPr>
      <w:pStyle w:val="Footer"/>
      <w:rPr>
        <w:szCs w:val="20"/>
      </w:rPr>
    </w:pPr>
  </w:p>
  <w:p w14:paraId="6DD6EC2E" w14:textId="5B3DB7B9" w:rsidR="00410470" w:rsidRPr="00DC40BC" w:rsidRDefault="00410470" w:rsidP="007C1BF2">
    <w:pPr>
      <w:pStyle w:val="Footer"/>
      <w:tabs>
        <w:tab w:val="clear" w:pos="8640"/>
        <w:tab w:val="right" w:pos="8910"/>
      </w:tabs>
      <w:rPr>
        <w:szCs w:val="20"/>
      </w:rPr>
    </w:pPr>
    <w:r w:rsidRPr="00DC40BC">
      <w:rPr>
        <w:szCs w:val="20"/>
      </w:rPr>
      <w:t>TESTIMONY O</w:t>
    </w:r>
    <w:r>
      <w:rPr>
        <w:szCs w:val="20"/>
      </w:rPr>
      <w:t xml:space="preserve">F </w:t>
    </w:r>
    <w:r>
      <w:rPr>
        <w:szCs w:val="20"/>
        <w:lang w:val="en-US"/>
      </w:rPr>
      <w:t>DAVID C. GOMEZ</w:t>
    </w:r>
    <w:r>
      <w:rPr>
        <w:szCs w:val="20"/>
      </w:rPr>
      <w:t xml:space="preserve"> </w:t>
    </w:r>
    <w:r>
      <w:rPr>
        <w:szCs w:val="20"/>
      </w:rPr>
      <w:tab/>
    </w:r>
    <w:r>
      <w:rPr>
        <w:szCs w:val="20"/>
      </w:rPr>
      <w:tab/>
      <w:t>Exhibit No.</w:t>
    </w:r>
    <w:r>
      <w:rPr>
        <w:szCs w:val="20"/>
        <w:lang w:val="en-US"/>
      </w:rPr>
      <w:t xml:space="preserve"> </w:t>
    </w:r>
    <w:r>
      <w:rPr>
        <w:szCs w:val="20"/>
      </w:rPr>
      <w:t>_</w:t>
    </w:r>
    <w:r>
      <w:rPr>
        <w:szCs w:val="20"/>
        <w:lang w:val="en-US"/>
      </w:rPr>
      <w:t>__CT</w:t>
    </w:r>
    <w:r>
      <w:rPr>
        <w:szCs w:val="20"/>
      </w:rPr>
      <w:t xml:space="preserve"> (</w:t>
    </w:r>
    <w:r>
      <w:rPr>
        <w:szCs w:val="20"/>
        <w:lang w:val="en-US"/>
      </w:rPr>
      <w:t>DCG</w:t>
    </w:r>
    <w:r>
      <w:rPr>
        <w:szCs w:val="20"/>
      </w:rPr>
      <w:t>-1</w:t>
    </w:r>
    <w:r>
      <w:rPr>
        <w:szCs w:val="20"/>
        <w:lang w:val="en-US"/>
      </w:rPr>
      <w:t>TC</w:t>
    </w:r>
    <w:r>
      <w:rPr>
        <w:szCs w:val="20"/>
      </w:rPr>
      <w:t>)</w:t>
    </w:r>
  </w:p>
  <w:p w14:paraId="692F98AB" w14:textId="6BF9A2AB" w:rsidR="00410470" w:rsidRPr="00DC40BC" w:rsidRDefault="00410470" w:rsidP="007C1BF2">
    <w:pPr>
      <w:pStyle w:val="Footer"/>
      <w:tabs>
        <w:tab w:val="clear" w:pos="8640"/>
        <w:tab w:val="right" w:pos="8910"/>
      </w:tabs>
      <w:rPr>
        <w:szCs w:val="20"/>
        <w:lang w:val="fr-FR"/>
      </w:rPr>
    </w:pPr>
    <w:r w:rsidRPr="00DC40BC">
      <w:rPr>
        <w:szCs w:val="20"/>
      </w:rPr>
      <w:t>Docket</w:t>
    </w:r>
    <w:r w:rsidRPr="00DC40BC">
      <w:rPr>
        <w:szCs w:val="20"/>
        <w:lang w:val="fr-FR"/>
      </w:rPr>
      <w:t xml:space="preserve"> </w:t>
    </w:r>
    <w:r>
      <w:rPr>
        <w:szCs w:val="20"/>
        <w:lang w:val="fr-FR"/>
      </w:rPr>
      <w:t>UE</w:t>
    </w:r>
    <w:r w:rsidRPr="00DC40BC">
      <w:rPr>
        <w:szCs w:val="20"/>
        <w:lang w:val="fr-FR"/>
      </w:rPr>
      <w:t>-</w:t>
    </w:r>
    <w:r>
      <w:rPr>
        <w:szCs w:val="20"/>
        <w:lang w:val="fr-FR"/>
      </w:rPr>
      <w:t>150204/UG-150205</w:t>
    </w:r>
    <w:r w:rsidRPr="00DC40BC">
      <w:rPr>
        <w:szCs w:val="20"/>
        <w:lang w:val="fr-FR"/>
      </w:rPr>
      <w:tab/>
    </w:r>
    <w:r w:rsidRPr="00DC40BC">
      <w:rPr>
        <w:szCs w:val="20"/>
        <w:lang w:val="fr-FR"/>
      </w:rPr>
      <w:tab/>
    </w:r>
    <w:r>
      <w:rPr>
        <w:szCs w:val="20"/>
        <w:lang w:val="fr-FR"/>
      </w:rPr>
      <w:t xml:space="preserve"> </w:t>
    </w:r>
    <w:r w:rsidRPr="00DC40BC">
      <w:rPr>
        <w:szCs w:val="20"/>
        <w:lang w:val="fr-FR"/>
      </w:rPr>
      <w:t xml:space="preserve">Page </w:t>
    </w:r>
    <w:r w:rsidRPr="00DC40BC">
      <w:rPr>
        <w:rStyle w:val="PageNumber"/>
        <w:szCs w:val="20"/>
      </w:rPr>
      <w:fldChar w:fldCharType="begin"/>
    </w:r>
    <w:r w:rsidRPr="00DC40BC">
      <w:rPr>
        <w:rStyle w:val="PageNumber"/>
        <w:szCs w:val="20"/>
        <w:lang w:val="fr-FR"/>
      </w:rPr>
      <w:instrText xml:space="preserve"> PAGE </w:instrText>
    </w:r>
    <w:r w:rsidRPr="00DC40BC">
      <w:rPr>
        <w:rStyle w:val="PageNumber"/>
        <w:szCs w:val="20"/>
      </w:rPr>
      <w:fldChar w:fldCharType="separate"/>
    </w:r>
    <w:r w:rsidR="009534A4">
      <w:rPr>
        <w:rStyle w:val="PageNumber"/>
        <w:noProof/>
        <w:szCs w:val="20"/>
        <w:lang w:val="fr-FR"/>
      </w:rPr>
      <w:t>i</w:t>
    </w:r>
    <w:r w:rsidRPr="00DC40BC">
      <w:rPr>
        <w:rStyle w:val="PageNumber"/>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3A7D9" w14:textId="77777777" w:rsidR="00410470" w:rsidRPr="00DC40BC" w:rsidRDefault="00410470">
    <w:pPr>
      <w:pStyle w:val="Footer"/>
      <w:rPr>
        <w:szCs w:val="20"/>
      </w:rPr>
    </w:pPr>
  </w:p>
  <w:p w14:paraId="3B9AD06D" w14:textId="77777777" w:rsidR="00410470" w:rsidRPr="00DC40BC" w:rsidRDefault="00410470" w:rsidP="00940F27">
    <w:pPr>
      <w:pStyle w:val="Footer"/>
      <w:tabs>
        <w:tab w:val="clear" w:pos="8640"/>
        <w:tab w:val="right" w:pos="8910"/>
      </w:tabs>
      <w:spacing w:line="240" w:lineRule="exact"/>
      <w:rPr>
        <w:szCs w:val="20"/>
      </w:rPr>
    </w:pPr>
    <w:r w:rsidRPr="00DC40BC">
      <w:rPr>
        <w:szCs w:val="20"/>
      </w:rPr>
      <w:t>TESTIMONY O</w:t>
    </w:r>
    <w:r>
      <w:rPr>
        <w:szCs w:val="20"/>
      </w:rPr>
      <w:t xml:space="preserve">F </w:t>
    </w:r>
    <w:r>
      <w:rPr>
        <w:szCs w:val="20"/>
        <w:lang w:val="en-US"/>
      </w:rPr>
      <w:t>DAVID C. GOMEZ</w:t>
    </w:r>
    <w:r>
      <w:rPr>
        <w:szCs w:val="20"/>
      </w:rPr>
      <w:t xml:space="preserve"> </w:t>
    </w:r>
    <w:r>
      <w:rPr>
        <w:szCs w:val="20"/>
      </w:rPr>
      <w:tab/>
    </w:r>
    <w:r>
      <w:rPr>
        <w:szCs w:val="20"/>
      </w:rPr>
      <w:tab/>
      <w:t>Exhibit No.</w:t>
    </w:r>
    <w:r>
      <w:rPr>
        <w:szCs w:val="20"/>
        <w:lang w:val="en-US"/>
      </w:rPr>
      <w:t xml:space="preserve"> </w:t>
    </w:r>
    <w:r>
      <w:rPr>
        <w:szCs w:val="20"/>
      </w:rPr>
      <w:t>_</w:t>
    </w:r>
    <w:r>
      <w:rPr>
        <w:szCs w:val="20"/>
        <w:lang w:val="en-US"/>
      </w:rPr>
      <w:t>__CT</w:t>
    </w:r>
    <w:r>
      <w:rPr>
        <w:szCs w:val="20"/>
      </w:rPr>
      <w:t xml:space="preserve"> (</w:t>
    </w:r>
    <w:r>
      <w:rPr>
        <w:szCs w:val="20"/>
        <w:lang w:val="en-US"/>
      </w:rPr>
      <w:t>DCG</w:t>
    </w:r>
    <w:r>
      <w:rPr>
        <w:szCs w:val="20"/>
      </w:rPr>
      <w:t>-</w:t>
    </w:r>
    <w:r>
      <w:rPr>
        <w:szCs w:val="20"/>
        <w:lang w:val="en-US"/>
      </w:rPr>
      <w:t>1TC</w:t>
    </w:r>
    <w:r>
      <w:rPr>
        <w:szCs w:val="20"/>
      </w:rPr>
      <w:t>)</w:t>
    </w:r>
  </w:p>
  <w:p w14:paraId="11E327EC" w14:textId="2C2E18FD" w:rsidR="00410470" w:rsidRDefault="00410470" w:rsidP="003273CF">
    <w:pPr>
      <w:pStyle w:val="Footer"/>
      <w:tabs>
        <w:tab w:val="clear" w:pos="8640"/>
        <w:tab w:val="right" w:pos="8910"/>
      </w:tabs>
      <w:spacing w:line="240" w:lineRule="exact"/>
      <w:rPr>
        <w:rStyle w:val="PageNumber"/>
        <w:szCs w:val="20"/>
      </w:rPr>
    </w:pPr>
    <w:r w:rsidRPr="00DC40BC">
      <w:rPr>
        <w:szCs w:val="20"/>
      </w:rPr>
      <w:t>Docket</w:t>
    </w:r>
    <w:r w:rsidRPr="00DC40BC">
      <w:rPr>
        <w:szCs w:val="20"/>
        <w:lang w:val="fr-FR"/>
      </w:rPr>
      <w:t xml:space="preserve"> </w:t>
    </w:r>
    <w:r>
      <w:rPr>
        <w:szCs w:val="20"/>
        <w:lang w:val="fr-FR"/>
      </w:rPr>
      <w:t>UE</w:t>
    </w:r>
    <w:r w:rsidRPr="00DC40BC">
      <w:rPr>
        <w:szCs w:val="20"/>
        <w:lang w:val="fr-FR"/>
      </w:rPr>
      <w:t>-</w:t>
    </w:r>
    <w:r>
      <w:rPr>
        <w:szCs w:val="20"/>
        <w:lang w:val="fr-FR"/>
      </w:rPr>
      <w:t xml:space="preserve">150204/UG-150205         </w:t>
    </w:r>
    <w:r w:rsidRPr="00DC40BC">
      <w:rPr>
        <w:szCs w:val="20"/>
        <w:lang w:val="fr-FR"/>
      </w:rPr>
      <w:tab/>
    </w:r>
    <w:r>
      <w:rPr>
        <w:szCs w:val="20"/>
        <w:lang w:val="fr-FR"/>
      </w:rPr>
      <w:tab/>
    </w:r>
    <w:r w:rsidRPr="00DC40BC">
      <w:rPr>
        <w:szCs w:val="20"/>
        <w:lang w:val="fr-FR"/>
      </w:rPr>
      <w:t xml:space="preserve">Page </w:t>
    </w:r>
    <w:r w:rsidRPr="00DC40BC">
      <w:rPr>
        <w:rStyle w:val="PageNumber"/>
        <w:szCs w:val="20"/>
      </w:rPr>
      <w:fldChar w:fldCharType="begin"/>
    </w:r>
    <w:r w:rsidRPr="00DC40BC">
      <w:rPr>
        <w:rStyle w:val="PageNumber"/>
        <w:szCs w:val="20"/>
        <w:lang w:val="fr-FR"/>
      </w:rPr>
      <w:instrText xml:space="preserve"> PAGE </w:instrText>
    </w:r>
    <w:r w:rsidRPr="00DC40BC">
      <w:rPr>
        <w:rStyle w:val="PageNumber"/>
        <w:szCs w:val="20"/>
      </w:rPr>
      <w:fldChar w:fldCharType="separate"/>
    </w:r>
    <w:r w:rsidR="009534A4">
      <w:rPr>
        <w:rStyle w:val="PageNumber"/>
        <w:noProof/>
        <w:szCs w:val="20"/>
        <w:lang w:val="fr-FR"/>
      </w:rPr>
      <w:t>15</w:t>
    </w:r>
    <w:r w:rsidRPr="00DC40BC">
      <w:rPr>
        <w:rStyle w:val="PageNumber"/>
        <w:szCs w:val="20"/>
      </w:rPr>
      <w:fldChar w:fldCharType="end"/>
    </w:r>
  </w:p>
  <w:p w14:paraId="63779C9B" w14:textId="19F8DAC3" w:rsidR="00410470" w:rsidRPr="003273CF" w:rsidRDefault="00410470" w:rsidP="003273CF">
    <w:pPr>
      <w:pStyle w:val="Footer"/>
      <w:tabs>
        <w:tab w:val="clear" w:pos="8640"/>
        <w:tab w:val="right" w:pos="8910"/>
      </w:tabs>
      <w:spacing w:line="240" w:lineRule="exact"/>
      <w:jc w:val="center"/>
      <w:rPr>
        <w:b/>
        <w:szCs w:val="20"/>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E0297" w14:textId="77777777" w:rsidR="00410470" w:rsidRPr="00DC40BC" w:rsidRDefault="00410470">
    <w:pPr>
      <w:pStyle w:val="Footer"/>
      <w:rPr>
        <w:szCs w:val="20"/>
      </w:rPr>
    </w:pPr>
  </w:p>
  <w:p w14:paraId="08D64136" w14:textId="77777777" w:rsidR="00410470" w:rsidRPr="00DC40BC" w:rsidRDefault="00410470" w:rsidP="00940F27">
    <w:pPr>
      <w:pStyle w:val="Footer"/>
      <w:tabs>
        <w:tab w:val="clear" w:pos="8640"/>
        <w:tab w:val="right" w:pos="8910"/>
      </w:tabs>
      <w:spacing w:line="240" w:lineRule="exact"/>
      <w:rPr>
        <w:szCs w:val="20"/>
      </w:rPr>
    </w:pPr>
    <w:r w:rsidRPr="00DC40BC">
      <w:rPr>
        <w:szCs w:val="20"/>
      </w:rPr>
      <w:t>TESTIMONY O</w:t>
    </w:r>
    <w:r>
      <w:rPr>
        <w:szCs w:val="20"/>
      </w:rPr>
      <w:t xml:space="preserve">F </w:t>
    </w:r>
    <w:r>
      <w:rPr>
        <w:szCs w:val="20"/>
        <w:lang w:val="en-US"/>
      </w:rPr>
      <w:t>DAVID C. GOMEZ</w:t>
    </w:r>
    <w:r>
      <w:rPr>
        <w:szCs w:val="20"/>
      </w:rPr>
      <w:t xml:space="preserve"> </w:t>
    </w:r>
    <w:r>
      <w:rPr>
        <w:szCs w:val="20"/>
      </w:rPr>
      <w:tab/>
    </w:r>
    <w:r>
      <w:rPr>
        <w:szCs w:val="20"/>
      </w:rPr>
      <w:tab/>
      <w:t>Exhibit No.</w:t>
    </w:r>
    <w:r>
      <w:rPr>
        <w:szCs w:val="20"/>
        <w:lang w:val="en-US"/>
      </w:rPr>
      <w:t xml:space="preserve"> </w:t>
    </w:r>
    <w:r>
      <w:rPr>
        <w:szCs w:val="20"/>
      </w:rPr>
      <w:t>_</w:t>
    </w:r>
    <w:r>
      <w:rPr>
        <w:szCs w:val="20"/>
        <w:lang w:val="en-US"/>
      </w:rPr>
      <w:t>__CT</w:t>
    </w:r>
    <w:r>
      <w:rPr>
        <w:szCs w:val="20"/>
      </w:rPr>
      <w:t xml:space="preserve"> (</w:t>
    </w:r>
    <w:r>
      <w:rPr>
        <w:szCs w:val="20"/>
        <w:lang w:val="en-US"/>
      </w:rPr>
      <w:t>DCG</w:t>
    </w:r>
    <w:r>
      <w:rPr>
        <w:szCs w:val="20"/>
      </w:rPr>
      <w:t>-</w:t>
    </w:r>
    <w:r>
      <w:rPr>
        <w:szCs w:val="20"/>
        <w:lang w:val="en-US"/>
      </w:rPr>
      <w:t>1TC</w:t>
    </w:r>
    <w:r>
      <w:rPr>
        <w:szCs w:val="20"/>
      </w:rPr>
      <w:t>)</w:t>
    </w:r>
  </w:p>
  <w:p w14:paraId="1E906CBE" w14:textId="77777777" w:rsidR="00410470" w:rsidRDefault="00410470" w:rsidP="003273CF">
    <w:pPr>
      <w:pStyle w:val="Footer"/>
      <w:tabs>
        <w:tab w:val="clear" w:pos="8640"/>
        <w:tab w:val="right" w:pos="8910"/>
      </w:tabs>
      <w:spacing w:line="240" w:lineRule="exact"/>
      <w:rPr>
        <w:rStyle w:val="PageNumber"/>
        <w:szCs w:val="20"/>
      </w:rPr>
    </w:pPr>
    <w:r w:rsidRPr="00DC40BC">
      <w:rPr>
        <w:szCs w:val="20"/>
      </w:rPr>
      <w:t>Docket</w:t>
    </w:r>
    <w:r w:rsidRPr="00DC40BC">
      <w:rPr>
        <w:szCs w:val="20"/>
        <w:lang w:val="fr-FR"/>
      </w:rPr>
      <w:t xml:space="preserve"> </w:t>
    </w:r>
    <w:r>
      <w:rPr>
        <w:szCs w:val="20"/>
        <w:lang w:val="fr-FR"/>
      </w:rPr>
      <w:t>UE</w:t>
    </w:r>
    <w:r w:rsidRPr="00DC40BC">
      <w:rPr>
        <w:szCs w:val="20"/>
        <w:lang w:val="fr-FR"/>
      </w:rPr>
      <w:t>-</w:t>
    </w:r>
    <w:r>
      <w:rPr>
        <w:szCs w:val="20"/>
        <w:lang w:val="fr-FR"/>
      </w:rPr>
      <w:t xml:space="preserve">150204/UG-150205         </w:t>
    </w:r>
    <w:r w:rsidRPr="00DC40BC">
      <w:rPr>
        <w:szCs w:val="20"/>
        <w:lang w:val="fr-FR"/>
      </w:rPr>
      <w:tab/>
    </w:r>
    <w:r>
      <w:rPr>
        <w:szCs w:val="20"/>
        <w:lang w:val="fr-FR"/>
      </w:rPr>
      <w:tab/>
    </w:r>
    <w:r w:rsidRPr="00DC40BC">
      <w:rPr>
        <w:szCs w:val="20"/>
        <w:lang w:val="fr-FR"/>
      </w:rPr>
      <w:t xml:space="preserve">Page </w:t>
    </w:r>
    <w:r w:rsidRPr="00DC40BC">
      <w:rPr>
        <w:rStyle w:val="PageNumber"/>
        <w:szCs w:val="20"/>
      </w:rPr>
      <w:fldChar w:fldCharType="begin"/>
    </w:r>
    <w:r w:rsidRPr="00DC40BC">
      <w:rPr>
        <w:rStyle w:val="PageNumber"/>
        <w:szCs w:val="20"/>
        <w:lang w:val="fr-FR"/>
      </w:rPr>
      <w:instrText xml:space="preserve"> PAGE </w:instrText>
    </w:r>
    <w:r w:rsidRPr="00DC40BC">
      <w:rPr>
        <w:rStyle w:val="PageNumber"/>
        <w:szCs w:val="20"/>
      </w:rPr>
      <w:fldChar w:fldCharType="separate"/>
    </w:r>
    <w:r w:rsidR="009534A4">
      <w:rPr>
        <w:rStyle w:val="PageNumber"/>
        <w:noProof/>
        <w:szCs w:val="20"/>
        <w:lang w:val="fr-FR"/>
      </w:rPr>
      <w:t>16</w:t>
    </w:r>
    <w:r w:rsidRPr="00DC40BC">
      <w:rPr>
        <w:rStyle w:val="PageNumber"/>
        <w:szCs w:val="20"/>
      </w:rPr>
      <w:fldChar w:fldCharType="end"/>
    </w:r>
  </w:p>
  <w:p w14:paraId="25A86A60" w14:textId="77777777" w:rsidR="00410470" w:rsidRPr="003273CF" w:rsidRDefault="00410470" w:rsidP="003273CF">
    <w:pPr>
      <w:pStyle w:val="Footer"/>
      <w:tabs>
        <w:tab w:val="clear" w:pos="8640"/>
        <w:tab w:val="right" w:pos="8910"/>
      </w:tabs>
      <w:spacing w:line="240" w:lineRule="exact"/>
      <w:jc w:val="center"/>
      <w:rPr>
        <w:b/>
        <w:szCs w:val="20"/>
        <w:lang w:val="en-US"/>
      </w:rPr>
    </w:pPr>
    <w:r>
      <w:rPr>
        <w:rStyle w:val="PageNumber"/>
        <w:b/>
        <w:szCs w:val="20"/>
        <w:lang w:val="en-US"/>
      </w:rPr>
      <w:t>CONFIDENTIAL PER PROTECTIVE ORDER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4D7EC" w14:textId="77777777" w:rsidR="00410470" w:rsidRPr="00DC40BC" w:rsidRDefault="00410470">
    <w:pPr>
      <w:pStyle w:val="Footer"/>
      <w:rPr>
        <w:szCs w:val="20"/>
      </w:rPr>
    </w:pPr>
  </w:p>
  <w:p w14:paraId="50AC3B59" w14:textId="77777777" w:rsidR="00410470" w:rsidRPr="00DC40BC" w:rsidRDefault="00410470" w:rsidP="00940F27">
    <w:pPr>
      <w:pStyle w:val="Footer"/>
      <w:tabs>
        <w:tab w:val="clear" w:pos="8640"/>
        <w:tab w:val="right" w:pos="8910"/>
      </w:tabs>
      <w:spacing w:line="240" w:lineRule="exact"/>
      <w:rPr>
        <w:szCs w:val="20"/>
      </w:rPr>
    </w:pPr>
    <w:r w:rsidRPr="00DC40BC">
      <w:rPr>
        <w:szCs w:val="20"/>
      </w:rPr>
      <w:t>TESTIMONY O</w:t>
    </w:r>
    <w:r>
      <w:rPr>
        <w:szCs w:val="20"/>
      </w:rPr>
      <w:t xml:space="preserve">F </w:t>
    </w:r>
    <w:r>
      <w:rPr>
        <w:szCs w:val="20"/>
        <w:lang w:val="en-US"/>
      </w:rPr>
      <w:t>DAVID C. GOMEZ</w:t>
    </w:r>
    <w:r>
      <w:rPr>
        <w:szCs w:val="20"/>
      </w:rPr>
      <w:t xml:space="preserve"> </w:t>
    </w:r>
    <w:r>
      <w:rPr>
        <w:szCs w:val="20"/>
      </w:rPr>
      <w:tab/>
    </w:r>
    <w:r>
      <w:rPr>
        <w:szCs w:val="20"/>
      </w:rPr>
      <w:tab/>
      <w:t>Exhibit No.</w:t>
    </w:r>
    <w:r>
      <w:rPr>
        <w:szCs w:val="20"/>
        <w:lang w:val="en-US"/>
      </w:rPr>
      <w:t xml:space="preserve"> </w:t>
    </w:r>
    <w:r>
      <w:rPr>
        <w:szCs w:val="20"/>
      </w:rPr>
      <w:t>_</w:t>
    </w:r>
    <w:r>
      <w:rPr>
        <w:szCs w:val="20"/>
        <w:lang w:val="en-US"/>
      </w:rPr>
      <w:t>__CT</w:t>
    </w:r>
    <w:r>
      <w:rPr>
        <w:szCs w:val="20"/>
      </w:rPr>
      <w:t xml:space="preserve"> (</w:t>
    </w:r>
    <w:r>
      <w:rPr>
        <w:szCs w:val="20"/>
        <w:lang w:val="en-US"/>
      </w:rPr>
      <w:t>DCG</w:t>
    </w:r>
    <w:r>
      <w:rPr>
        <w:szCs w:val="20"/>
      </w:rPr>
      <w:t>-</w:t>
    </w:r>
    <w:r>
      <w:rPr>
        <w:szCs w:val="20"/>
        <w:lang w:val="en-US"/>
      </w:rPr>
      <w:t>1TC</w:t>
    </w:r>
    <w:r>
      <w:rPr>
        <w:szCs w:val="20"/>
      </w:rPr>
      <w:t>)</w:t>
    </w:r>
  </w:p>
  <w:p w14:paraId="7A6D96AA" w14:textId="77777777" w:rsidR="00410470" w:rsidRDefault="00410470" w:rsidP="003273CF">
    <w:pPr>
      <w:pStyle w:val="Footer"/>
      <w:tabs>
        <w:tab w:val="clear" w:pos="8640"/>
        <w:tab w:val="right" w:pos="8910"/>
      </w:tabs>
      <w:spacing w:line="240" w:lineRule="exact"/>
      <w:rPr>
        <w:rStyle w:val="PageNumber"/>
        <w:szCs w:val="20"/>
      </w:rPr>
    </w:pPr>
    <w:r w:rsidRPr="00DC40BC">
      <w:rPr>
        <w:szCs w:val="20"/>
      </w:rPr>
      <w:t>Docket</w:t>
    </w:r>
    <w:r w:rsidRPr="00DC40BC">
      <w:rPr>
        <w:szCs w:val="20"/>
        <w:lang w:val="fr-FR"/>
      </w:rPr>
      <w:t xml:space="preserve"> </w:t>
    </w:r>
    <w:r>
      <w:rPr>
        <w:szCs w:val="20"/>
        <w:lang w:val="fr-FR"/>
      </w:rPr>
      <w:t>UE</w:t>
    </w:r>
    <w:r w:rsidRPr="00DC40BC">
      <w:rPr>
        <w:szCs w:val="20"/>
        <w:lang w:val="fr-FR"/>
      </w:rPr>
      <w:t>-</w:t>
    </w:r>
    <w:r>
      <w:rPr>
        <w:szCs w:val="20"/>
        <w:lang w:val="fr-FR"/>
      </w:rPr>
      <w:t xml:space="preserve">150204/UG-150205         </w:t>
    </w:r>
    <w:r w:rsidRPr="00DC40BC">
      <w:rPr>
        <w:szCs w:val="20"/>
        <w:lang w:val="fr-FR"/>
      </w:rPr>
      <w:tab/>
    </w:r>
    <w:r>
      <w:rPr>
        <w:szCs w:val="20"/>
        <w:lang w:val="fr-FR"/>
      </w:rPr>
      <w:tab/>
    </w:r>
    <w:r w:rsidRPr="00DC40BC">
      <w:rPr>
        <w:szCs w:val="20"/>
        <w:lang w:val="fr-FR"/>
      </w:rPr>
      <w:t xml:space="preserve">Page </w:t>
    </w:r>
    <w:r w:rsidRPr="00DC40BC">
      <w:rPr>
        <w:rStyle w:val="PageNumber"/>
        <w:szCs w:val="20"/>
      </w:rPr>
      <w:fldChar w:fldCharType="begin"/>
    </w:r>
    <w:r w:rsidRPr="00DC40BC">
      <w:rPr>
        <w:rStyle w:val="PageNumber"/>
        <w:szCs w:val="20"/>
        <w:lang w:val="fr-FR"/>
      </w:rPr>
      <w:instrText xml:space="preserve"> PAGE </w:instrText>
    </w:r>
    <w:r w:rsidRPr="00DC40BC">
      <w:rPr>
        <w:rStyle w:val="PageNumber"/>
        <w:szCs w:val="20"/>
      </w:rPr>
      <w:fldChar w:fldCharType="separate"/>
    </w:r>
    <w:r w:rsidR="009534A4">
      <w:rPr>
        <w:rStyle w:val="PageNumber"/>
        <w:noProof/>
        <w:szCs w:val="20"/>
        <w:lang w:val="fr-FR"/>
      </w:rPr>
      <w:t>22</w:t>
    </w:r>
    <w:r w:rsidRPr="00DC40BC">
      <w:rPr>
        <w:rStyle w:val="PageNumber"/>
        <w:szCs w:val="20"/>
      </w:rPr>
      <w:fldChar w:fldCharType="end"/>
    </w:r>
  </w:p>
  <w:p w14:paraId="28441879" w14:textId="1B68F554" w:rsidR="00410470" w:rsidRPr="003273CF" w:rsidRDefault="00410470" w:rsidP="00410470">
    <w:pPr>
      <w:pStyle w:val="Footer"/>
      <w:tabs>
        <w:tab w:val="clear" w:pos="8640"/>
        <w:tab w:val="right" w:pos="8910"/>
      </w:tabs>
      <w:spacing w:line="240" w:lineRule="exact"/>
      <w:jc w:val="center"/>
      <w:rPr>
        <w:b/>
        <w:szCs w:val="20"/>
        <w:lang w:val="en-US"/>
      </w:rPr>
    </w:pPr>
  </w:p>
  <w:p w14:paraId="5939EB4C" w14:textId="77777777" w:rsidR="00410470" w:rsidRPr="003273CF" w:rsidRDefault="00410470" w:rsidP="003273CF">
    <w:pPr>
      <w:pStyle w:val="Footer"/>
      <w:tabs>
        <w:tab w:val="clear" w:pos="8640"/>
        <w:tab w:val="right" w:pos="8910"/>
      </w:tabs>
      <w:spacing w:line="240" w:lineRule="exact"/>
      <w:jc w:val="center"/>
      <w:rPr>
        <w:b/>
        <w:szCs w:val="20"/>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F8F7B" w14:textId="77777777" w:rsidR="00410470" w:rsidRPr="00DC40BC" w:rsidRDefault="00410470">
    <w:pPr>
      <w:pStyle w:val="Footer"/>
      <w:rPr>
        <w:szCs w:val="20"/>
      </w:rPr>
    </w:pPr>
  </w:p>
  <w:p w14:paraId="30E04ACF" w14:textId="77777777" w:rsidR="00410470" w:rsidRPr="00DC40BC" w:rsidRDefault="00410470" w:rsidP="00940F27">
    <w:pPr>
      <w:pStyle w:val="Footer"/>
      <w:tabs>
        <w:tab w:val="clear" w:pos="8640"/>
        <w:tab w:val="right" w:pos="8910"/>
      </w:tabs>
      <w:spacing w:line="240" w:lineRule="exact"/>
      <w:rPr>
        <w:szCs w:val="20"/>
      </w:rPr>
    </w:pPr>
    <w:r w:rsidRPr="00DC40BC">
      <w:rPr>
        <w:szCs w:val="20"/>
      </w:rPr>
      <w:t>TESTIMONY O</w:t>
    </w:r>
    <w:r>
      <w:rPr>
        <w:szCs w:val="20"/>
      </w:rPr>
      <w:t xml:space="preserve">F </w:t>
    </w:r>
    <w:r>
      <w:rPr>
        <w:szCs w:val="20"/>
        <w:lang w:val="en-US"/>
      </w:rPr>
      <w:t>DAVID C. GOMEZ</w:t>
    </w:r>
    <w:r>
      <w:rPr>
        <w:szCs w:val="20"/>
      </w:rPr>
      <w:t xml:space="preserve"> </w:t>
    </w:r>
    <w:r>
      <w:rPr>
        <w:szCs w:val="20"/>
      </w:rPr>
      <w:tab/>
    </w:r>
    <w:r>
      <w:rPr>
        <w:szCs w:val="20"/>
      </w:rPr>
      <w:tab/>
      <w:t>Exhibit No.</w:t>
    </w:r>
    <w:r>
      <w:rPr>
        <w:szCs w:val="20"/>
        <w:lang w:val="en-US"/>
      </w:rPr>
      <w:t xml:space="preserve"> </w:t>
    </w:r>
    <w:r>
      <w:rPr>
        <w:szCs w:val="20"/>
      </w:rPr>
      <w:t>_</w:t>
    </w:r>
    <w:r>
      <w:rPr>
        <w:szCs w:val="20"/>
        <w:lang w:val="en-US"/>
      </w:rPr>
      <w:t>__CT</w:t>
    </w:r>
    <w:r>
      <w:rPr>
        <w:szCs w:val="20"/>
      </w:rPr>
      <w:t xml:space="preserve"> (</w:t>
    </w:r>
    <w:r>
      <w:rPr>
        <w:szCs w:val="20"/>
        <w:lang w:val="en-US"/>
      </w:rPr>
      <w:t>DCG</w:t>
    </w:r>
    <w:r>
      <w:rPr>
        <w:szCs w:val="20"/>
      </w:rPr>
      <w:t>-</w:t>
    </w:r>
    <w:r>
      <w:rPr>
        <w:szCs w:val="20"/>
        <w:lang w:val="en-US"/>
      </w:rPr>
      <w:t>1TC</w:t>
    </w:r>
    <w:r>
      <w:rPr>
        <w:szCs w:val="20"/>
      </w:rPr>
      <w:t>)</w:t>
    </w:r>
  </w:p>
  <w:p w14:paraId="27A2BB0C" w14:textId="77777777" w:rsidR="00410470" w:rsidRDefault="00410470" w:rsidP="003273CF">
    <w:pPr>
      <w:pStyle w:val="Footer"/>
      <w:tabs>
        <w:tab w:val="clear" w:pos="8640"/>
        <w:tab w:val="right" w:pos="8910"/>
      </w:tabs>
      <w:spacing w:line="240" w:lineRule="exact"/>
      <w:rPr>
        <w:rStyle w:val="PageNumber"/>
        <w:szCs w:val="20"/>
      </w:rPr>
    </w:pPr>
    <w:r w:rsidRPr="00DC40BC">
      <w:rPr>
        <w:szCs w:val="20"/>
      </w:rPr>
      <w:t>Docket</w:t>
    </w:r>
    <w:r w:rsidRPr="00DC40BC">
      <w:rPr>
        <w:szCs w:val="20"/>
        <w:lang w:val="fr-FR"/>
      </w:rPr>
      <w:t xml:space="preserve"> </w:t>
    </w:r>
    <w:r>
      <w:rPr>
        <w:szCs w:val="20"/>
        <w:lang w:val="fr-FR"/>
      </w:rPr>
      <w:t>UE</w:t>
    </w:r>
    <w:r w:rsidRPr="00DC40BC">
      <w:rPr>
        <w:szCs w:val="20"/>
        <w:lang w:val="fr-FR"/>
      </w:rPr>
      <w:t>-</w:t>
    </w:r>
    <w:r>
      <w:rPr>
        <w:szCs w:val="20"/>
        <w:lang w:val="fr-FR"/>
      </w:rPr>
      <w:t xml:space="preserve">150204/UG-150205         </w:t>
    </w:r>
    <w:r w:rsidRPr="00DC40BC">
      <w:rPr>
        <w:szCs w:val="20"/>
        <w:lang w:val="fr-FR"/>
      </w:rPr>
      <w:tab/>
    </w:r>
    <w:r>
      <w:rPr>
        <w:szCs w:val="20"/>
        <w:lang w:val="fr-FR"/>
      </w:rPr>
      <w:tab/>
    </w:r>
    <w:r w:rsidRPr="00DC40BC">
      <w:rPr>
        <w:szCs w:val="20"/>
        <w:lang w:val="fr-FR"/>
      </w:rPr>
      <w:t xml:space="preserve">Page </w:t>
    </w:r>
    <w:r w:rsidRPr="00DC40BC">
      <w:rPr>
        <w:rStyle w:val="PageNumber"/>
        <w:szCs w:val="20"/>
      </w:rPr>
      <w:fldChar w:fldCharType="begin"/>
    </w:r>
    <w:r w:rsidRPr="00DC40BC">
      <w:rPr>
        <w:rStyle w:val="PageNumber"/>
        <w:szCs w:val="20"/>
        <w:lang w:val="fr-FR"/>
      </w:rPr>
      <w:instrText xml:space="preserve"> PAGE </w:instrText>
    </w:r>
    <w:r w:rsidRPr="00DC40BC">
      <w:rPr>
        <w:rStyle w:val="PageNumber"/>
        <w:szCs w:val="20"/>
      </w:rPr>
      <w:fldChar w:fldCharType="separate"/>
    </w:r>
    <w:r w:rsidR="009534A4">
      <w:rPr>
        <w:rStyle w:val="PageNumber"/>
        <w:noProof/>
        <w:szCs w:val="20"/>
        <w:lang w:val="fr-FR"/>
      </w:rPr>
      <w:t>23</w:t>
    </w:r>
    <w:r w:rsidRPr="00DC40BC">
      <w:rPr>
        <w:rStyle w:val="PageNumber"/>
        <w:szCs w:val="20"/>
      </w:rPr>
      <w:fldChar w:fldCharType="end"/>
    </w:r>
  </w:p>
  <w:p w14:paraId="411E3CD3" w14:textId="77777777" w:rsidR="00021550" w:rsidRPr="003273CF" w:rsidRDefault="00021550" w:rsidP="00021550">
    <w:pPr>
      <w:pStyle w:val="Footer"/>
      <w:tabs>
        <w:tab w:val="clear" w:pos="8640"/>
        <w:tab w:val="right" w:pos="8910"/>
      </w:tabs>
      <w:spacing w:line="240" w:lineRule="exact"/>
      <w:jc w:val="center"/>
      <w:rPr>
        <w:b/>
        <w:szCs w:val="20"/>
        <w:lang w:val="en-US"/>
      </w:rPr>
    </w:pPr>
    <w:r>
      <w:rPr>
        <w:rStyle w:val="PageNumber"/>
        <w:b/>
        <w:szCs w:val="20"/>
        <w:lang w:val="en-US"/>
      </w:rPr>
      <w:t>CONFIDENTIAL PER PROTECTIVE ORDER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5E887" w14:textId="77777777" w:rsidR="00410470" w:rsidRPr="00DC40BC" w:rsidRDefault="00410470">
    <w:pPr>
      <w:pStyle w:val="Footer"/>
      <w:rPr>
        <w:szCs w:val="20"/>
      </w:rPr>
    </w:pPr>
  </w:p>
  <w:p w14:paraId="56266A98" w14:textId="77777777" w:rsidR="00410470" w:rsidRPr="00DC40BC" w:rsidRDefault="00410470" w:rsidP="00940F27">
    <w:pPr>
      <w:pStyle w:val="Footer"/>
      <w:tabs>
        <w:tab w:val="clear" w:pos="8640"/>
        <w:tab w:val="right" w:pos="8910"/>
      </w:tabs>
      <w:spacing w:line="240" w:lineRule="exact"/>
      <w:rPr>
        <w:szCs w:val="20"/>
      </w:rPr>
    </w:pPr>
    <w:r w:rsidRPr="00DC40BC">
      <w:rPr>
        <w:szCs w:val="20"/>
      </w:rPr>
      <w:t>TESTIMONY O</w:t>
    </w:r>
    <w:r>
      <w:rPr>
        <w:szCs w:val="20"/>
      </w:rPr>
      <w:t xml:space="preserve">F </w:t>
    </w:r>
    <w:r>
      <w:rPr>
        <w:szCs w:val="20"/>
        <w:lang w:val="en-US"/>
      </w:rPr>
      <w:t>DAVID C. GOMEZ</w:t>
    </w:r>
    <w:r>
      <w:rPr>
        <w:szCs w:val="20"/>
      </w:rPr>
      <w:t xml:space="preserve"> </w:t>
    </w:r>
    <w:r>
      <w:rPr>
        <w:szCs w:val="20"/>
      </w:rPr>
      <w:tab/>
    </w:r>
    <w:r>
      <w:rPr>
        <w:szCs w:val="20"/>
      </w:rPr>
      <w:tab/>
      <w:t>Exhibit No.</w:t>
    </w:r>
    <w:r>
      <w:rPr>
        <w:szCs w:val="20"/>
        <w:lang w:val="en-US"/>
      </w:rPr>
      <w:t xml:space="preserve"> </w:t>
    </w:r>
    <w:r>
      <w:rPr>
        <w:szCs w:val="20"/>
      </w:rPr>
      <w:t>_</w:t>
    </w:r>
    <w:r>
      <w:rPr>
        <w:szCs w:val="20"/>
        <w:lang w:val="en-US"/>
      </w:rPr>
      <w:t>__CT</w:t>
    </w:r>
    <w:r>
      <w:rPr>
        <w:szCs w:val="20"/>
      </w:rPr>
      <w:t xml:space="preserve"> (</w:t>
    </w:r>
    <w:r>
      <w:rPr>
        <w:szCs w:val="20"/>
        <w:lang w:val="en-US"/>
      </w:rPr>
      <w:t>DCG</w:t>
    </w:r>
    <w:r>
      <w:rPr>
        <w:szCs w:val="20"/>
      </w:rPr>
      <w:t>-</w:t>
    </w:r>
    <w:r>
      <w:rPr>
        <w:szCs w:val="20"/>
        <w:lang w:val="en-US"/>
      </w:rPr>
      <w:t>1TC</w:t>
    </w:r>
    <w:r>
      <w:rPr>
        <w:szCs w:val="20"/>
      </w:rPr>
      <w:t>)</w:t>
    </w:r>
  </w:p>
  <w:p w14:paraId="1AD4241C" w14:textId="77777777" w:rsidR="00410470" w:rsidRDefault="00410470" w:rsidP="003273CF">
    <w:pPr>
      <w:pStyle w:val="Footer"/>
      <w:tabs>
        <w:tab w:val="clear" w:pos="8640"/>
        <w:tab w:val="right" w:pos="8910"/>
      </w:tabs>
      <w:spacing w:line="240" w:lineRule="exact"/>
      <w:rPr>
        <w:rStyle w:val="PageNumber"/>
        <w:szCs w:val="20"/>
      </w:rPr>
    </w:pPr>
    <w:r w:rsidRPr="00DC40BC">
      <w:rPr>
        <w:szCs w:val="20"/>
      </w:rPr>
      <w:t>Docket</w:t>
    </w:r>
    <w:r w:rsidRPr="00DC40BC">
      <w:rPr>
        <w:szCs w:val="20"/>
        <w:lang w:val="fr-FR"/>
      </w:rPr>
      <w:t xml:space="preserve"> </w:t>
    </w:r>
    <w:r>
      <w:rPr>
        <w:szCs w:val="20"/>
        <w:lang w:val="fr-FR"/>
      </w:rPr>
      <w:t>UE</w:t>
    </w:r>
    <w:r w:rsidRPr="00DC40BC">
      <w:rPr>
        <w:szCs w:val="20"/>
        <w:lang w:val="fr-FR"/>
      </w:rPr>
      <w:t>-</w:t>
    </w:r>
    <w:r>
      <w:rPr>
        <w:szCs w:val="20"/>
        <w:lang w:val="fr-FR"/>
      </w:rPr>
      <w:t xml:space="preserve">150204/UG-150205         </w:t>
    </w:r>
    <w:r w:rsidRPr="00DC40BC">
      <w:rPr>
        <w:szCs w:val="20"/>
        <w:lang w:val="fr-FR"/>
      </w:rPr>
      <w:tab/>
    </w:r>
    <w:r>
      <w:rPr>
        <w:szCs w:val="20"/>
        <w:lang w:val="fr-FR"/>
      </w:rPr>
      <w:tab/>
    </w:r>
    <w:r w:rsidRPr="00DC40BC">
      <w:rPr>
        <w:szCs w:val="20"/>
        <w:lang w:val="fr-FR"/>
      </w:rPr>
      <w:t xml:space="preserve">Page </w:t>
    </w:r>
    <w:r w:rsidRPr="00DC40BC">
      <w:rPr>
        <w:rStyle w:val="PageNumber"/>
        <w:szCs w:val="20"/>
      </w:rPr>
      <w:fldChar w:fldCharType="begin"/>
    </w:r>
    <w:r w:rsidRPr="00DC40BC">
      <w:rPr>
        <w:rStyle w:val="PageNumber"/>
        <w:szCs w:val="20"/>
        <w:lang w:val="fr-FR"/>
      </w:rPr>
      <w:instrText xml:space="preserve"> PAGE </w:instrText>
    </w:r>
    <w:r w:rsidRPr="00DC40BC">
      <w:rPr>
        <w:rStyle w:val="PageNumber"/>
        <w:szCs w:val="20"/>
      </w:rPr>
      <w:fldChar w:fldCharType="separate"/>
    </w:r>
    <w:r w:rsidR="009534A4">
      <w:rPr>
        <w:rStyle w:val="PageNumber"/>
        <w:noProof/>
        <w:szCs w:val="20"/>
        <w:lang w:val="fr-FR"/>
      </w:rPr>
      <w:t>47</w:t>
    </w:r>
    <w:r w:rsidRPr="00DC40BC">
      <w:rPr>
        <w:rStyle w:val="PageNumber"/>
        <w:szCs w:val="20"/>
      </w:rPr>
      <w:fldChar w:fldCharType="end"/>
    </w:r>
  </w:p>
  <w:p w14:paraId="577A064F" w14:textId="0552AFFB" w:rsidR="00410470" w:rsidRPr="003273CF" w:rsidRDefault="00410470" w:rsidP="00410470">
    <w:pPr>
      <w:pStyle w:val="Footer"/>
      <w:tabs>
        <w:tab w:val="clear" w:pos="8640"/>
        <w:tab w:val="right" w:pos="8910"/>
      </w:tabs>
      <w:spacing w:line="240" w:lineRule="exact"/>
      <w:jc w:val="center"/>
      <w:rPr>
        <w:b/>
        <w:szCs w:val="20"/>
        <w:lang w:val="en-US"/>
      </w:rPr>
    </w:pPr>
  </w:p>
  <w:p w14:paraId="7F50F11E" w14:textId="77777777" w:rsidR="00410470" w:rsidRPr="003273CF" w:rsidRDefault="00410470" w:rsidP="003273CF">
    <w:pPr>
      <w:pStyle w:val="Footer"/>
      <w:tabs>
        <w:tab w:val="clear" w:pos="8640"/>
        <w:tab w:val="right" w:pos="8910"/>
      </w:tabs>
      <w:spacing w:line="240" w:lineRule="exact"/>
      <w:jc w:val="center"/>
      <w:rPr>
        <w:b/>
        <w:szCs w:val="20"/>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024A4" w14:textId="77777777" w:rsidR="00410470" w:rsidRPr="00DC40BC" w:rsidRDefault="00410470">
    <w:pPr>
      <w:pStyle w:val="Footer"/>
      <w:rPr>
        <w:szCs w:val="20"/>
      </w:rPr>
    </w:pPr>
  </w:p>
  <w:p w14:paraId="3E3A7FC5" w14:textId="77777777" w:rsidR="00410470" w:rsidRPr="00DC40BC" w:rsidRDefault="00410470" w:rsidP="00940F27">
    <w:pPr>
      <w:pStyle w:val="Footer"/>
      <w:tabs>
        <w:tab w:val="clear" w:pos="8640"/>
        <w:tab w:val="right" w:pos="8910"/>
      </w:tabs>
      <w:spacing w:line="240" w:lineRule="exact"/>
      <w:rPr>
        <w:szCs w:val="20"/>
      </w:rPr>
    </w:pPr>
    <w:r w:rsidRPr="00DC40BC">
      <w:rPr>
        <w:szCs w:val="20"/>
      </w:rPr>
      <w:t>TESTIMONY O</w:t>
    </w:r>
    <w:r>
      <w:rPr>
        <w:szCs w:val="20"/>
      </w:rPr>
      <w:t xml:space="preserve">F </w:t>
    </w:r>
    <w:r>
      <w:rPr>
        <w:szCs w:val="20"/>
        <w:lang w:val="en-US"/>
      </w:rPr>
      <w:t>DAVID C. GOMEZ</w:t>
    </w:r>
    <w:r>
      <w:rPr>
        <w:szCs w:val="20"/>
      </w:rPr>
      <w:t xml:space="preserve"> </w:t>
    </w:r>
    <w:r>
      <w:rPr>
        <w:szCs w:val="20"/>
      </w:rPr>
      <w:tab/>
    </w:r>
    <w:r>
      <w:rPr>
        <w:szCs w:val="20"/>
      </w:rPr>
      <w:tab/>
      <w:t>Exhibit No.</w:t>
    </w:r>
    <w:r>
      <w:rPr>
        <w:szCs w:val="20"/>
        <w:lang w:val="en-US"/>
      </w:rPr>
      <w:t xml:space="preserve"> </w:t>
    </w:r>
    <w:r>
      <w:rPr>
        <w:szCs w:val="20"/>
      </w:rPr>
      <w:t>_</w:t>
    </w:r>
    <w:r>
      <w:rPr>
        <w:szCs w:val="20"/>
        <w:lang w:val="en-US"/>
      </w:rPr>
      <w:t>__CT</w:t>
    </w:r>
    <w:r>
      <w:rPr>
        <w:szCs w:val="20"/>
      </w:rPr>
      <w:t xml:space="preserve"> (</w:t>
    </w:r>
    <w:r>
      <w:rPr>
        <w:szCs w:val="20"/>
        <w:lang w:val="en-US"/>
      </w:rPr>
      <w:t>DCG</w:t>
    </w:r>
    <w:r>
      <w:rPr>
        <w:szCs w:val="20"/>
      </w:rPr>
      <w:t>-</w:t>
    </w:r>
    <w:r>
      <w:rPr>
        <w:szCs w:val="20"/>
        <w:lang w:val="en-US"/>
      </w:rPr>
      <w:t>1TC</w:t>
    </w:r>
    <w:r>
      <w:rPr>
        <w:szCs w:val="20"/>
      </w:rPr>
      <w:t>)</w:t>
    </w:r>
  </w:p>
  <w:p w14:paraId="65447A63" w14:textId="77777777" w:rsidR="00410470" w:rsidRDefault="00410470" w:rsidP="003273CF">
    <w:pPr>
      <w:pStyle w:val="Footer"/>
      <w:tabs>
        <w:tab w:val="clear" w:pos="8640"/>
        <w:tab w:val="right" w:pos="8910"/>
      </w:tabs>
      <w:spacing w:line="240" w:lineRule="exact"/>
      <w:rPr>
        <w:rStyle w:val="PageNumber"/>
        <w:szCs w:val="20"/>
      </w:rPr>
    </w:pPr>
    <w:r w:rsidRPr="00DC40BC">
      <w:rPr>
        <w:szCs w:val="20"/>
      </w:rPr>
      <w:t>Docket</w:t>
    </w:r>
    <w:r w:rsidRPr="00DC40BC">
      <w:rPr>
        <w:szCs w:val="20"/>
        <w:lang w:val="fr-FR"/>
      </w:rPr>
      <w:t xml:space="preserve"> </w:t>
    </w:r>
    <w:r>
      <w:rPr>
        <w:szCs w:val="20"/>
        <w:lang w:val="fr-FR"/>
      </w:rPr>
      <w:t>UE</w:t>
    </w:r>
    <w:r w:rsidRPr="00DC40BC">
      <w:rPr>
        <w:szCs w:val="20"/>
        <w:lang w:val="fr-FR"/>
      </w:rPr>
      <w:t>-</w:t>
    </w:r>
    <w:r>
      <w:rPr>
        <w:szCs w:val="20"/>
        <w:lang w:val="fr-FR"/>
      </w:rPr>
      <w:t xml:space="preserve">150204/UG-150205         </w:t>
    </w:r>
    <w:r w:rsidRPr="00DC40BC">
      <w:rPr>
        <w:szCs w:val="20"/>
        <w:lang w:val="fr-FR"/>
      </w:rPr>
      <w:tab/>
    </w:r>
    <w:r>
      <w:rPr>
        <w:szCs w:val="20"/>
        <w:lang w:val="fr-FR"/>
      </w:rPr>
      <w:tab/>
    </w:r>
    <w:r w:rsidRPr="00DC40BC">
      <w:rPr>
        <w:szCs w:val="20"/>
        <w:lang w:val="fr-FR"/>
      </w:rPr>
      <w:t xml:space="preserve">Page </w:t>
    </w:r>
    <w:r w:rsidRPr="00DC40BC">
      <w:rPr>
        <w:rStyle w:val="PageNumber"/>
        <w:szCs w:val="20"/>
      </w:rPr>
      <w:fldChar w:fldCharType="begin"/>
    </w:r>
    <w:r w:rsidRPr="00DC40BC">
      <w:rPr>
        <w:rStyle w:val="PageNumber"/>
        <w:szCs w:val="20"/>
        <w:lang w:val="fr-FR"/>
      </w:rPr>
      <w:instrText xml:space="preserve"> PAGE </w:instrText>
    </w:r>
    <w:r w:rsidRPr="00DC40BC">
      <w:rPr>
        <w:rStyle w:val="PageNumber"/>
        <w:szCs w:val="20"/>
      </w:rPr>
      <w:fldChar w:fldCharType="separate"/>
    </w:r>
    <w:r w:rsidR="009534A4">
      <w:rPr>
        <w:rStyle w:val="PageNumber"/>
        <w:noProof/>
        <w:szCs w:val="20"/>
        <w:lang w:val="fr-FR"/>
      </w:rPr>
      <w:t>48</w:t>
    </w:r>
    <w:r w:rsidRPr="00DC40BC">
      <w:rPr>
        <w:rStyle w:val="PageNumber"/>
        <w:szCs w:val="20"/>
      </w:rPr>
      <w:fldChar w:fldCharType="end"/>
    </w:r>
  </w:p>
  <w:p w14:paraId="2BE34BE3" w14:textId="5BE7B348" w:rsidR="00410470" w:rsidRPr="003273CF" w:rsidRDefault="009C1137" w:rsidP="00410470">
    <w:pPr>
      <w:pStyle w:val="Footer"/>
      <w:tabs>
        <w:tab w:val="clear" w:pos="8640"/>
        <w:tab w:val="right" w:pos="8910"/>
      </w:tabs>
      <w:spacing w:line="240" w:lineRule="exact"/>
      <w:jc w:val="center"/>
      <w:rPr>
        <w:b/>
        <w:szCs w:val="20"/>
        <w:lang w:val="en-US"/>
      </w:rPr>
    </w:pPr>
    <w:r>
      <w:rPr>
        <w:rStyle w:val="PageNumber"/>
        <w:b/>
        <w:szCs w:val="20"/>
        <w:lang w:val="en-US"/>
      </w:rPr>
      <w:t>CONFIDENTIAL PER PROTECTIVE ORDER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4274" w14:textId="77777777" w:rsidR="00021550" w:rsidRPr="00DC40BC" w:rsidRDefault="00021550">
    <w:pPr>
      <w:pStyle w:val="Footer"/>
      <w:rPr>
        <w:szCs w:val="20"/>
      </w:rPr>
    </w:pPr>
  </w:p>
  <w:p w14:paraId="3B8745B7" w14:textId="77777777" w:rsidR="00021550" w:rsidRPr="00DC40BC" w:rsidRDefault="00021550" w:rsidP="00940F27">
    <w:pPr>
      <w:pStyle w:val="Footer"/>
      <w:tabs>
        <w:tab w:val="clear" w:pos="8640"/>
        <w:tab w:val="right" w:pos="8910"/>
      </w:tabs>
      <w:spacing w:line="240" w:lineRule="exact"/>
      <w:rPr>
        <w:szCs w:val="20"/>
      </w:rPr>
    </w:pPr>
    <w:r w:rsidRPr="00DC40BC">
      <w:rPr>
        <w:szCs w:val="20"/>
      </w:rPr>
      <w:t>TESTIMONY O</w:t>
    </w:r>
    <w:r>
      <w:rPr>
        <w:szCs w:val="20"/>
      </w:rPr>
      <w:t xml:space="preserve">F </w:t>
    </w:r>
    <w:r>
      <w:rPr>
        <w:szCs w:val="20"/>
        <w:lang w:val="en-US"/>
      </w:rPr>
      <w:t>DAVID C. GOMEZ</w:t>
    </w:r>
    <w:r>
      <w:rPr>
        <w:szCs w:val="20"/>
      </w:rPr>
      <w:t xml:space="preserve"> </w:t>
    </w:r>
    <w:r>
      <w:rPr>
        <w:szCs w:val="20"/>
      </w:rPr>
      <w:tab/>
    </w:r>
    <w:r>
      <w:rPr>
        <w:szCs w:val="20"/>
      </w:rPr>
      <w:tab/>
      <w:t>Exhibit No.</w:t>
    </w:r>
    <w:r>
      <w:rPr>
        <w:szCs w:val="20"/>
        <w:lang w:val="en-US"/>
      </w:rPr>
      <w:t xml:space="preserve"> </w:t>
    </w:r>
    <w:r>
      <w:rPr>
        <w:szCs w:val="20"/>
      </w:rPr>
      <w:t>_</w:t>
    </w:r>
    <w:r>
      <w:rPr>
        <w:szCs w:val="20"/>
        <w:lang w:val="en-US"/>
      </w:rPr>
      <w:t>__CT</w:t>
    </w:r>
    <w:r>
      <w:rPr>
        <w:szCs w:val="20"/>
      </w:rPr>
      <w:t xml:space="preserve"> (</w:t>
    </w:r>
    <w:r>
      <w:rPr>
        <w:szCs w:val="20"/>
        <w:lang w:val="en-US"/>
      </w:rPr>
      <w:t>DCG</w:t>
    </w:r>
    <w:r>
      <w:rPr>
        <w:szCs w:val="20"/>
      </w:rPr>
      <w:t>-</w:t>
    </w:r>
    <w:r>
      <w:rPr>
        <w:szCs w:val="20"/>
        <w:lang w:val="en-US"/>
      </w:rPr>
      <w:t>1TC</w:t>
    </w:r>
    <w:r>
      <w:rPr>
        <w:szCs w:val="20"/>
      </w:rPr>
      <w:t>)</w:t>
    </w:r>
  </w:p>
  <w:p w14:paraId="4F8A54B2" w14:textId="77777777" w:rsidR="00021550" w:rsidRDefault="00021550" w:rsidP="003273CF">
    <w:pPr>
      <w:pStyle w:val="Footer"/>
      <w:tabs>
        <w:tab w:val="clear" w:pos="8640"/>
        <w:tab w:val="right" w:pos="8910"/>
      </w:tabs>
      <w:spacing w:line="240" w:lineRule="exact"/>
      <w:rPr>
        <w:rStyle w:val="PageNumber"/>
        <w:szCs w:val="20"/>
      </w:rPr>
    </w:pPr>
    <w:r w:rsidRPr="00DC40BC">
      <w:rPr>
        <w:szCs w:val="20"/>
      </w:rPr>
      <w:t>Docket</w:t>
    </w:r>
    <w:r w:rsidRPr="00DC40BC">
      <w:rPr>
        <w:szCs w:val="20"/>
        <w:lang w:val="fr-FR"/>
      </w:rPr>
      <w:t xml:space="preserve"> </w:t>
    </w:r>
    <w:r>
      <w:rPr>
        <w:szCs w:val="20"/>
        <w:lang w:val="fr-FR"/>
      </w:rPr>
      <w:t>UE</w:t>
    </w:r>
    <w:r w:rsidRPr="00DC40BC">
      <w:rPr>
        <w:szCs w:val="20"/>
        <w:lang w:val="fr-FR"/>
      </w:rPr>
      <w:t>-</w:t>
    </w:r>
    <w:r>
      <w:rPr>
        <w:szCs w:val="20"/>
        <w:lang w:val="fr-FR"/>
      </w:rPr>
      <w:t xml:space="preserve">150204/UG-150205         </w:t>
    </w:r>
    <w:r w:rsidRPr="00DC40BC">
      <w:rPr>
        <w:szCs w:val="20"/>
        <w:lang w:val="fr-FR"/>
      </w:rPr>
      <w:tab/>
    </w:r>
    <w:r>
      <w:rPr>
        <w:szCs w:val="20"/>
        <w:lang w:val="fr-FR"/>
      </w:rPr>
      <w:tab/>
    </w:r>
    <w:r w:rsidRPr="00DC40BC">
      <w:rPr>
        <w:szCs w:val="20"/>
        <w:lang w:val="fr-FR"/>
      </w:rPr>
      <w:t xml:space="preserve">Page </w:t>
    </w:r>
    <w:r w:rsidRPr="00DC40BC">
      <w:rPr>
        <w:rStyle w:val="PageNumber"/>
        <w:szCs w:val="20"/>
      </w:rPr>
      <w:fldChar w:fldCharType="begin"/>
    </w:r>
    <w:r w:rsidRPr="00DC40BC">
      <w:rPr>
        <w:rStyle w:val="PageNumber"/>
        <w:szCs w:val="20"/>
        <w:lang w:val="fr-FR"/>
      </w:rPr>
      <w:instrText xml:space="preserve"> PAGE </w:instrText>
    </w:r>
    <w:r w:rsidRPr="00DC40BC">
      <w:rPr>
        <w:rStyle w:val="PageNumber"/>
        <w:szCs w:val="20"/>
      </w:rPr>
      <w:fldChar w:fldCharType="separate"/>
    </w:r>
    <w:r w:rsidR="009534A4">
      <w:rPr>
        <w:rStyle w:val="PageNumber"/>
        <w:noProof/>
        <w:szCs w:val="20"/>
        <w:lang w:val="fr-FR"/>
      </w:rPr>
      <w:t>49</w:t>
    </w:r>
    <w:r w:rsidRPr="00DC40BC">
      <w:rPr>
        <w:rStyle w:val="PageNumber"/>
        <w:szCs w:val="20"/>
      </w:rPr>
      <w:fldChar w:fldCharType="end"/>
    </w:r>
  </w:p>
  <w:p w14:paraId="08E01AFE" w14:textId="6875BBA6" w:rsidR="00021550" w:rsidRPr="003273CF" w:rsidRDefault="00021550" w:rsidP="00410470">
    <w:pPr>
      <w:pStyle w:val="Footer"/>
      <w:tabs>
        <w:tab w:val="clear" w:pos="8640"/>
        <w:tab w:val="right" w:pos="8910"/>
      </w:tabs>
      <w:spacing w:line="240" w:lineRule="exact"/>
      <w:jc w:val="center"/>
      <w:rPr>
        <w:b/>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0740B" w14:textId="77777777" w:rsidR="00410470" w:rsidRDefault="00410470" w:rsidP="00C3471C">
      <w:r>
        <w:separator/>
      </w:r>
    </w:p>
  </w:footnote>
  <w:footnote w:type="continuationSeparator" w:id="0">
    <w:p w14:paraId="7C2EBE1F" w14:textId="77777777" w:rsidR="00410470" w:rsidRDefault="00410470" w:rsidP="00C3471C">
      <w:r>
        <w:continuationSeparator/>
      </w:r>
    </w:p>
  </w:footnote>
  <w:footnote w:type="continuationNotice" w:id="1">
    <w:p w14:paraId="50A06CC6" w14:textId="77777777" w:rsidR="00410470" w:rsidRDefault="00410470"/>
  </w:footnote>
  <w:footnote w:id="2">
    <w:p w14:paraId="31D9102C" w14:textId="4758D017" w:rsidR="00410470" w:rsidRPr="008A3049" w:rsidRDefault="00410470" w:rsidP="00253FF2">
      <w:pPr>
        <w:pStyle w:val="FootnoteText"/>
        <w:rPr>
          <w:lang w:val="en-US"/>
        </w:rPr>
      </w:pPr>
      <w:r>
        <w:rPr>
          <w:rStyle w:val="FootnoteReference"/>
        </w:rPr>
        <w:footnoteRef/>
      </w:r>
      <w:r>
        <w:t xml:space="preserve"> </w:t>
      </w:r>
      <w:r>
        <w:rPr>
          <w:lang w:val="en-US"/>
        </w:rPr>
        <w:t xml:space="preserve">The term </w:t>
      </w:r>
      <w:r w:rsidRPr="00553BE0">
        <w:rPr>
          <w:lang w:val="en-US"/>
        </w:rPr>
        <w:t>capital addition</w:t>
      </w:r>
      <w:r>
        <w:rPr>
          <w:lang w:val="en-US"/>
        </w:rPr>
        <w:t xml:space="preserve"> and transfer to plant are synonymous and interchangeable throughout my testimony.  These terms are distinct and different from the terms </w:t>
      </w:r>
      <w:r w:rsidRPr="00553BE0">
        <w:rPr>
          <w:lang w:val="en-US"/>
        </w:rPr>
        <w:t xml:space="preserve">capital </w:t>
      </w:r>
      <w:r>
        <w:rPr>
          <w:lang w:val="en-US"/>
        </w:rPr>
        <w:t>expenditure and capital spending which refer generally to amounts not yet added to rate base and carried as Construction Work in Process (CWIP).</w:t>
      </w:r>
    </w:p>
  </w:footnote>
  <w:footnote w:id="3">
    <w:p w14:paraId="6D6B3DAA" w14:textId="582AA636" w:rsidR="00410470" w:rsidRPr="004A089F" w:rsidRDefault="00410470" w:rsidP="00A51AB1">
      <w:pPr>
        <w:pStyle w:val="FootnoteText"/>
        <w:rPr>
          <w:lang w:val="es-PR"/>
        </w:rPr>
      </w:pPr>
      <w:r>
        <w:rPr>
          <w:rStyle w:val="FootnoteReference"/>
        </w:rPr>
        <w:footnoteRef/>
      </w:r>
      <w:r>
        <w:t xml:space="preserve"> </w:t>
      </w:r>
      <w:r w:rsidRPr="004A089F">
        <w:rPr>
          <w:lang w:val="es-PR"/>
        </w:rPr>
        <w:t>Andrews, Exh. No. __ (EMA-1T) 3:8-14.</w:t>
      </w:r>
    </w:p>
  </w:footnote>
  <w:footnote w:id="4">
    <w:p w14:paraId="6DBCA3FC" w14:textId="654DF086" w:rsidR="00410470" w:rsidRPr="00B955B2" w:rsidRDefault="00410470" w:rsidP="007942F2">
      <w:pPr>
        <w:pStyle w:val="FootnoteText"/>
        <w:rPr>
          <w:lang w:val="en-US"/>
        </w:rPr>
      </w:pPr>
      <w:r>
        <w:rPr>
          <w:rStyle w:val="FootnoteReference"/>
        </w:rPr>
        <w:footnoteRef/>
      </w:r>
      <w:r>
        <w:t xml:space="preserve"> </w:t>
      </w:r>
      <w:r>
        <w:rPr>
          <w:lang w:val="en-US"/>
        </w:rPr>
        <w:t>Schuh, Exh. No. __ (KKS-1T).</w:t>
      </w:r>
    </w:p>
  </w:footnote>
  <w:footnote w:id="5">
    <w:p w14:paraId="45648CC2" w14:textId="2644110E" w:rsidR="00410470" w:rsidRPr="008733E3" w:rsidRDefault="00410470">
      <w:pPr>
        <w:pStyle w:val="FootnoteText"/>
        <w:rPr>
          <w:lang w:val="en-US"/>
        </w:rPr>
      </w:pPr>
      <w:r>
        <w:rPr>
          <w:rStyle w:val="FootnoteReference"/>
        </w:rPr>
        <w:footnoteRef/>
      </w:r>
      <w:r>
        <w:t xml:space="preserve"> </w:t>
      </w:r>
      <w:r>
        <w:rPr>
          <w:lang w:val="en-US"/>
        </w:rPr>
        <w:t>Smith, Exh. No. __ (JSS-2), page 10 of 10, column PFCC-Ttl, line 48, and Exh. No. (JSS-3), page 10 of 10, column PFCC-Ttl, line 47.</w:t>
      </w:r>
    </w:p>
  </w:footnote>
  <w:footnote w:id="6">
    <w:p w14:paraId="0FC4FBAD" w14:textId="2FE5FC04" w:rsidR="00410470" w:rsidRPr="006F28CF" w:rsidRDefault="00410470">
      <w:pPr>
        <w:pStyle w:val="FootnoteText"/>
        <w:rPr>
          <w:lang w:val="en-US"/>
        </w:rPr>
      </w:pPr>
      <w:r>
        <w:rPr>
          <w:rStyle w:val="FootnoteReference"/>
        </w:rPr>
        <w:footnoteRef/>
      </w:r>
      <w:r>
        <w:t xml:space="preserve"> </w:t>
      </w:r>
      <w:r>
        <w:rPr>
          <w:lang w:val="en-US"/>
        </w:rPr>
        <w:t>Ibid., page 10 of 10, column AA/PF-Ttl, line 48 and Exh. No. (JSS-3), page 10 of 10, column AA/PF-Ttl, line 47.</w:t>
      </w:r>
    </w:p>
  </w:footnote>
  <w:footnote w:id="7">
    <w:p w14:paraId="5E2D0D38" w14:textId="0DB9A3A3" w:rsidR="00410470" w:rsidRPr="00AC70B6" w:rsidRDefault="00410470">
      <w:pPr>
        <w:pStyle w:val="FootnoteText"/>
        <w:rPr>
          <w:lang w:val="en-US"/>
        </w:rPr>
      </w:pPr>
      <w:r>
        <w:rPr>
          <w:rStyle w:val="FootnoteReference"/>
        </w:rPr>
        <w:footnoteRef/>
      </w:r>
      <w:r>
        <w:t xml:space="preserve"> </w:t>
      </w:r>
      <w:r w:rsidRPr="00AC70B6">
        <w:rPr>
          <w:lang w:val="en-US"/>
        </w:rPr>
        <w:t>Andrews, Exh. No. __ (EMA-1T) 28:19 - 31:17.</w:t>
      </w:r>
    </w:p>
  </w:footnote>
  <w:footnote w:id="8">
    <w:p w14:paraId="028B645D" w14:textId="0BAE8A93" w:rsidR="00410470" w:rsidRPr="00F72803" w:rsidRDefault="00410470">
      <w:pPr>
        <w:pStyle w:val="FootnoteText"/>
        <w:rPr>
          <w:lang w:val="en-US"/>
        </w:rPr>
      </w:pPr>
      <w:r>
        <w:rPr>
          <w:rStyle w:val="FootnoteReference"/>
        </w:rPr>
        <w:footnoteRef/>
      </w:r>
      <w:r>
        <w:t xml:space="preserve"> </w:t>
      </w:r>
      <w:r>
        <w:rPr>
          <w:lang w:val="en-US"/>
        </w:rPr>
        <w:t>Ibid., 5:5-7.</w:t>
      </w:r>
    </w:p>
  </w:footnote>
  <w:footnote w:id="9">
    <w:p w14:paraId="2069AF44" w14:textId="375FB328" w:rsidR="00410470" w:rsidRPr="00A56272" w:rsidRDefault="00410470">
      <w:pPr>
        <w:pStyle w:val="FootnoteText"/>
        <w:rPr>
          <w:lang w:val="en-US"/>
        </w:rPr>
      </w:pPr>
      <w:r>
        <w:rPr>
          <w:rStyle w:val="FootnoteReference"/>
        </w:rPr>
        <w:footnoteRef/>
      </w:r>
      <w:r>
        <w:t xml:space="preserve"> </w:t>
      </w:r>
      <w:r>
        <w:rPr>
          <w:lang w:val="en-US"/>
        </w:rPr>
        <w:t>Avista’s responses to Staff Data Request No. 130 are included in Mr. McGuire’s testimony as Exhibit No. __ (CRM-4) for electric and Exhibit No. __ (CRM-5) for gas.</w:t>
      </w:r>
    </w:p>
  </w:footnote>
  <w:footnote w:id="10">
    <w:p w14:paraId="3C97DF58" w14:textId="03115FA4" w:rsidR="00410470" w:rsidRPr="00A350C1" w:rsidRDefault="00410470">
      <w:pPr>
        <w:pStyle w:val="FootnoteText"/>
      </w:pPr>
      <w:r>
        <w:rPr>
          <w:rStyle w:val="FootnoteReference"/>
        </w:rPr>
        <w:footnoteRef/>
      </w:r>
      <w:r>
        <w:t xml:space="preserve"> </w:t>
      </w:r>
      <w:r>
        <w:rPr>
          <w:lang w:val="en-US"/>
        </w:rPr>
        <w:t xml:space="preserve">Avista’s responses to Staff </w:t>
      </w:r>
      <w:r w:rsidRPr="00957EB9">
        <w:rPr>
          <w:lang w:val="en-US"/>
        </w:rPr>
        <w:t>Data Request</w:t>
      </w:r>
      <w:r>
        <w:rPr>
          <w:lang w:val="en-US"/>
        </w:rPr>
        <w:t xml:space="preserve"> No. 131 are included in Mr. Hancock’s testimony as Exhibit No. __ (CSH-4) for electric and Exhibit No. __ (CSH-5) for gas.</w:t>
      </w:r>
    </w:p>
  </w:footnote>
  <w:footnote w:id="11">
    <w:p w14:paraId="47AAEC6D" w14:textId="464D9345" w:rsidR="00410470" w:rsidRPr="002379AB" w:rsidRDefault="00410470">
      <w:pPr>
        <w:pStyle w:val="FootnoteText"/>
        <w:rPr>
          <w:lang w:val="en-US"/>
        </w:rPr>
      </w:pPr>
      <w:r>
        <w:rPr>
          <w:rStyle w:val="FootnoteReference"/>
        </w:rPr>
        <w:footnoteRef/>
      </w:r>
      <w:r>
        <w:t xml:space="preserve"> </w:t>
      </w:r>
      <w:r>
        <w:rPr>
          <w:lang w:val="en-US"/>
        </w:rPr>
        <w:t xml:space="preserve">Avista’s response to Staff Data Request Nos. 130 and 131, Revised Attachment A, of June 19, 2015, lists the Company’s individual adjustments to-date that make up its </w:t>
      </w:r>
      <w:r w:rsidRPr="002379AB">
        <w:rPr>
          <w:lang w:val="en-US"/>
        </w:rPr>
        <w:t>$25.5 million</w:t>
      </w:r>
      <w:r>
        <w:rPr>
          <w:lang w:val="en-US"/>
        </w:rPr>
        <w:t xml:space="preserve"> reduction to its as-filed revenue requirements.</w:t>
      </w:r>
    </w:p>
  </w:footnote>
  <w:footnote w:id="12">
    <w:p w14:paraId="42B35EB7" w14:textId="2A21C5BB" w:rsidR="00410470" w:rsidRPr="00746970" w:rsidRDefault="00410470">
      <w:pPr>
        <w:pStyle w:val="FootnoteText"/>
        <w:rPr>
          <w:lang w:val="en-US"/>
        </w:rPr>
      </w:pPr>
      <w:r>
        <w:rPr>
          <w:rStyle w:val="FootnoteReference"/>
        </w:rPr>
        <w:footnoteRef/>
      </w:r>
      <w:r>
        <w:t xml:space="preserve"> </w:t>
      </w:r>
      <w:r w:rsidRPr="0037620D">
        <w:rPr>
          <w:lang w:val="en-US"/>
        </w:rPr>
        <w:t>Gomez, Exh. No. __ (DCG-33)</w:t>
      </w:r>
      <w:r>
        <w:rPr>
          <w:lang w:val="en-US"/>
        </w:rPr>
        <w:t>, Avista</w:t>
      </w:r>
      <w:r w:rsidRPr="00746970">
        <w:t xml:space="preserve">’s </w:t>
      </w:r>
      <w:r>
        <w:rPr>
          <w:lang w:val="en-US"/>
        </w:rPr>
        <w:t xml:space="preserve">revised </w:t>
      </w:r>
      <w:r w:rsidRPr="00746970">
        <w:t>response of Ju</w:t>
      </w:r>
      <w:r>
        <w:rPr>
          <w:lang w:val="en-US"/>
        </w:rPr>
        <w:t>ly</w:t>
      </w:r>
      <w:r w:rsidRPr="00746970">
        <w:t xml:space="preserve"> </w:t>
      </w:r>
      <w:r>
        <w:rPr>
          <w:lang w:val="en-US"/>
        </w:rPr>
        <w:t>10</w:t>
      </w:r>
      <w:r w:rsidRPr="00746970">
        <w:t>, 2015, to Staff D</w:t>
      </w:r>
      <w:r>
        <w:rPr>
          <w:lang w:val="en-US"/>
        </w:rPr>
        <w:t xml:space="preserve">ata </w:t>
      </w:r>
      <w:r w:rsidRPr="00746970">
        <w:t>R</w:t>
      </w:r>
      <w:r>
        <w:rPr>
          <w:lang w:val="en-US"/>
        </w:rPr>
        <w:t>equest</w:t>
      </w:r>
      <w:r w:rsidRPr="00746970">
        <w:t xml:space="preserve"> No. 143, Attachment A</w:t>
      </w:r>
      <w:r>
        <w:rPr>
          <w:lang w:val="en-US"/>
        </w:rPr>
        <w:t xml:space="preserve">, (Revised 2), reflects the same </w:t>
      </w:r>
      <w:r w:rsidRPr="00180403">
        <w:rPr>
          <w:lang w:val="en-US"/>
        </w:rPr>
        <w:t xml:space="preserve">2014 actual transfers to plant </w:t>
      </w:r>
      <w:r>
        <w:rPr>
          <w:lang w:val="en-US"/>
        </w:rPr>
        <w:t>amounts provided by Avista in its previous two responses of June 8 and 11 respectively.</w:t>
      </w:r>
    </w:p>
  </w:footnote>
  <w:footnote w:id="13">
    <w:p w14:paraId="2088F0C2" w14:textId="471612B9" w:rsidR="00410470" w:rsidRPr="0015612E" w:rsidRDefault="00410470">
      <w:pPr>
        <w:pStyle w:val="FootnoteText"/>
        <w:rPr>
          <w:lang w:val="en-US"/>
        </w:rPr>
      </w:pPr>
      <w:r>
        <w:rPr>
          <w:rStyle w:val="FootnoteReference"/>
        </w:rPr>
        <w:footnoteRef/>
      </w:r>
      <w:r>
        <w:t xml:space="preserve"> </w:t>
      </w:r>
      <w:r>
        <w:rPr>
          <w:lang w:val="en-US"/>
        </w:rPr>
        <w:t>Ibid.,</w:t>
      </w:r>
      <w:r w:rsidRPr="00746970">
        <w:t xml:space="preserve"> Attachment </w:t>
      </w:r>
      <w:r>
        <w:rPr>
          <w:lang w:val="en-US"/>
        </w:rPr>
        <w:t xml:space="preserve">B (Revised 2).  In the previous month, the Company reported actuals through May and forecasts for the remainder of 2015 that were $10.7 million lower than this latest update.  The majority of this difference is the result of errors on the part of the Company in reporting these amounts to Staff.  </w:t>
      </w:r>
      <w:r w:rsidRPr="00770DA4">
        <w:rPr>
          <w:lang w:val="en-US"/>
        </w:rPr>
        <w:t xml:space="preserve">Avista </w:t>
      </w:r>
      <w:r>
        <w:rPr>
          <w:lang w:val="en-US"/>
        </w:rPr>
        <w:t xml:space="preserve">had erroneously </w:t>
      </w:r>
      <w:r w:rsidRPr="00770DA4">
        <w:rPr>
          <w:lang w:val="en-US"/>
        </w:rPr>
        <w:t>removed two projects from its estimates of pro forma capital additions for 2015</w:t>
      </w:r>
      <w:r>
        <w:rPr>
          <w:lang w:val="en-US"/>
        </w:rPr>
        <w:t xml:space="preserve"> in its June report</w:t>
      </w:r>
      <w:r w:rsidRPr="00770DA4">
        <w:rPr>
          <w:lang w:val="en-US"/>
        </w:rPr>
        <w:t xml:space="preserve">. The two projects </w:t>
      </w:r>
      <w:r>
        <w:rPr>
          <w:lang w:val="en-US"/>
        </w:rPr>
        <w:t>we</w:t>
      </w:r>
      <w:r w:rsidRPr="00770DA4">
        <w:rPr>
          <w:lang w:val="en-US"/>
        </w:rPr>
        <w:t>re the Post Falls South Channel Replacement and Cabinet Gorge Unit 1 Refurbishment</w:t>
      </w:r>
      <w:r>
        <w:rPr>
          <w:lang w:val="en-US"/>
        </w:rPr>
        <w:t>,</w:t>
      </w:r>
      <w:r w:rsidRPr="00770DA4">
        <w:rPr>
          <w:lang w:val="en-US"/>
        </w:rPr>
        <w:t xml:space="preserve"> </w:t>
      </w:r>
      <w:r>
        <w:rPr>
          <w:lang w:val="en-US"/>
        </w:rPr>
        <w:t xml:space="preserve">which reduced </w:t>
      </w:r>
      <w:r w:rsidRPr="00770DA4">
        <w:rPr>
          <w:lang w:val="en-US"/>
        </w:rPr>
        <w:t xml:space="preserve">the Company’s </w:t>
      </w:r>
      <w:r>
        <w:rPr>
          <w:lang w:val="en-US"/>
        </w:rPr>
        <w:t>2015 pro forma estimates of its Washington-allocated</w:t>
      </w:r>
      <w:r w:rsidRPr="00770DA4">
        <w:rPr>
          <w:lang w:val="en-US"/>
        </w:rPr>
        <w:t xml:space="preserve"> transfers to plant by $14.6 million.</w:t>
      </w:r>
      <w:r>
        <w:rPr>
          <w:lang w:val="en-US"/>
        </w:rPr>
        <w:t xml:space="preserve">   </w:t>
      </w:r>
    </w:p>
  </w:footnote>
  <w:footnote w:id="14">
    <w:p w14:paraId="2A1C24BB" w14:textId="1BB92217" w:rsidR="00410470" w:rsidRDefault="00410470" w:rsidP="00893707">
      <w:pPr>
        <w:pStyle w:val="FootnoteText"/>
        <w:rPr>
          <w:lang w:val="en-US"/>
        </w:rPr>
      </w:pPr>
      <w:r>
        <w:rPr>
          <w:rStyle w:val="FootnoteReference"/>
        </w:rPr>
        <w:footnoteRef/>
      </w:r>
      <w:r>
        <w:t xml:space="preserve"> </w:t>
      </w:r>
      <w:r>
        <w:rPr>
          <w:lang w:val="en-US"/>
        </w:rPr>
        <w:t>Avista response to Staff Data Request No. 130:</w:t>
      </w:r>
    </w:p>
    <w:p w14:paraId="3C9519F5" w14:textId="2412382F" w:rsidR="00410470" w:rsidRDefault="00410470" w:rsidP="00E703B5">
      <w:pPr>
        <w:pStyle w:val="FootnoteText"/>
        <w:numPr>
          <w:ilvl w:val="0"/>
          <w:numId w:val="22"/>
        </w:numPr>
        <w:rPr>
          <w:lang w:val="en-US"/>
        </w:rPr>
      </w:pPr>
      <w:r>
        <w:rPr>
          <w:lang w:val="en-US"/>
        </w:rPr>
        <w:t xml:space="preserve">Revised - Attachment B, Summary Tab, Line 1, Column (c); </w:t>
      </w:r>
    </w:p>
    <w:p w14:paraId="15CB2F65" w14:textId="16D90B08" w:rsidR="00410470" w:rsidRDefault="00410470" w:rsidP="00E703B5">
      <w:pPr>
        <w:pStyle w:val="FootnoteText"/>
        <w:numPr>
          <w:ilvl w:val="0"/>
          <w:numId w:val="22"/>
        </w:numPr>
        <w:rPr>
          <w:lang w:val="en-US"/>
        </w:rPr>
      </w:pPr>
      <w:r>
        <w:rPr>
          <w:lang w:val="en-US"/>
        </w:rPr>
        <w:t>Attachment C-12.2014-2016 Natural Gas Attrition, Summary Tab, Line 1, Column (e);</w:t>
      </w:r>
    </w:p>
    <w:p w14:paraId="674C253B" w14:textId="0F2E1FE9" w:rsidR="00410470" w:rsidRDefault="00410470" w:rsidP="00AB1E7B">
      <w:pPr>
        <w:pStyle w:val="FootnoteText"/>
        <w:tabs>
          <w:tab w:val="left" w:pos="90"/>
        </w:tabs>
        <w:rPr>
          <w:lang w:val="en-US"/>
        </w:rPr>
      </w:pPr>
      <w:r>
        <w:rPr>
          <w:lang w:val="en-US"/>
        </w:rPr>
        <w:tab/>
        <w:t>Avista response to Staff Data Request No. 131:</w:t>
      </w:r>
    </w:p>
    <w:p w14:paraId="235944F4" w14:textId="2C3C704E" w:rsidR="00410470" w:rsidRDefault="00410470" w:rsidP="00AB1E7B">
      <w:pPr>
        <w:pStyle w:val="FootnoteText"/>
        <w:numPr>
          <w:ilvl w:val="0"/>
          <w:numId w:val="23"/>
        </w:numPr>
        <w:rPr>
          <w:lang w:val="en-US"/>
        </w:rPr>
      </w:pPr>
      <w:r>
        <w:rPr>
          <w:lang w:val="en-US"/>
        </w:rPr>
        <w:t xml:space="preserve">Revised - Attachment B, RR Summary Tab, Line 1; </w:t>
      </w:r>
    </w:p>
    <w:p w14:paraId="53356339" w14:textId="23FD0413" w:rsidR="00410470" w:rsidRPr="00805EF8" w:rsidRDefault="00410470" w:rsidP="005F6F51">
      <w:pPr>
        <w:pStyle w:val="FootnoteText"/>
        <w:numPr>
          <w:ilvl w:val="0"/>
          <w:numId w:val="23"/>
        </w:numPr>
        <w:rPr>
          <w:lang w:val="en-US"/>
        </w:rPr>
      </w:pPr>
      <w:r w:rsidRPr="00805EF8">
        <w:rPr>
          <w:lang w:val="en-US"/>
        </w:rPr>
        <w:t xml:space="preserve">Attachment C-Revised Pro Forma 09.2014 WA Gas Model, RR Summary Tab, Line 1.     </w:t>
      </w:r>
    </w:p>
  </w:footnote>
  <w:footnote w:id="15">
    <w:p w14:paraId="15F1E052" w14:textId="5747CCDA" w:rsidR="00410470" w:rsidRPr="00B955B2" w:rsidRDefault="00410470" w:rsidP="00B716EE">
      <w:pPr>
        <w:pStyle w:val="FootnoteText"/>
        <w:rPr>
          <w:lang w:val="en-US"/>
        </w:rPr>
      </w:pPr>
      <w:r>
        <w:rPr>
          <w:rStyle w:val="FootnoteReference"/>
        </w:rPr>
        <w:footnoteRef/>
      </w:r>
      <w:r>
        <w:t xml:space="preserve"> </w:t>
      </w:r>
      <w:r>
        <w:rPr>
          <w:i/>
          <w:szCs w:val="22"/>
          <w:lang w:val="en-US"/>
        </w:rPr>
        <w:t>Wash. Utils. &amp; Transp. Comm’n</w:t>
      </w:r>
      <w:r w:rsidRPr="006D3216">
        <w:rPr>
          <w:i/>
          <w:szCs w:val="22"/>
        </w:rPr>
        <w:t xml:space="preserve"> </w:t>
      </w:r>
      <w:r>
        <w:rPr>
          <w:i/>
          <w:szCs w:val="22"/>
        </w:rPr>
        <w:t>v. Pacific Power &amp; Light Co.</w:t>
      </w:r>
      <w:r w:rsidRPr="00170160">
        <w:rPr>
          <w:szCs w:val="22"/>
        </w:rPr>
        <w:t>, Docket UE-1</w:t>
      </w:r>
      <w:r>
        <w:rPr>
          <w:szCs w:val="22"/>
          <w:lang w:val="en-US"/>
        </w:rPr>
        <w:t>40762</w:t>
      </w:r>
      <w:r>
        <w:rPr>
          <w:szCs w:val="22"/>
        </w:rPr>
        <w:t xml:space="preserve">, Order </w:t>
      </w:r>
      <w:r w:rsidRPr="00170160">
        <w:rPr>
          <w:szCs w:val="22"/>
        </w:rPr>
        <w:t>0</w:t>
      </w:r>
      <w:r>
        <w:rPr>
          <w:szCs w:val="22"/>
          <w:lang w:val="en-US"/>
        </w:rPr>
        <w:t>8</w:t>
      </w:r>
      <w:r w:rsidRPr="00170160">
        <w:rPr>
          <w:szCs w:val="22"/>
        </w:rPr>
        <w:t xml:space="preserve"> (Mar. 25, 201</w:t>
      </w:r>
      <w:r>
        <w:rPr>
          <w:szCs w:val="22"/>
          <w:lang w:val="en-US"/>
        </w:rPr>
        <w:t>5</w:t>
      </w:r>
      <w:r w:rsidRPr="00170160">
        <w:rPr>
          <w:szCs w:val="22"/>
        </w:rPr>
        <w:t>)</w:t>
      </w:r>
      <w:r>
        <w:rPr>
          <w:szCs w:val="22"/>
          <w:lang w:val="en-US"/>
        </w:rPr>
        <w:t>,</w:t>
      </w:r>
      <w:r w:rsidRPr="00170160">
        <w:rPr>
          <w:szCs w:val="22"/>
        </w:rPr>
        <w:t xml:space="preserve"> </w:t>
      </w:r>
      <w:r>
        <w:rPr>
          <w:szCs w:val="22"/>
          <w:lang w:val="en-US"/>
        </w:rPr>
        <w:t xml:space="preserve">66-73, </w:t>
      </w:r>
      <w:r>
        <w:rPr>
          <w:szCs w:val="22"/>
        </w:rPr>
        <w:t xml:space="preserve">¶¶ </w:t>
      </w:r>
      <w:r w:rsidRPr="00170160">
        <w:rPr>
          <w:szCs w:val="22"/>
        </w:rPr>
        <w:t>1</w:t>
      </w:r>
      <w:r>
        <w:rPr>
          <w:szCs w:val="22"/>
          <w:lang w:val="en-US"/>
        </w:rPr>
        <w:t>52</w:t>
      </w:r>
      <w:r w:rsidRPr="00170160">
        <w:rPr>
          <w:szCs w:val="22"/>
        </w:rPr>
        <w:t>-1</w:t>
      </w:r>
      <w:r>
        <w:rPr>
          <w:szCs w:val="22"/>
          <w:lang w:val="en-US"/>
        </w:rPr>
        <w:t>72</w:t>
      </w:r>
      <w:r w:rsidRPr="00170160">
        <w:rPr>
          <w:szCs w:val="22"/>
        </w:rPr>
        <w:t>.</w:t>
      </w:r>
    </w:p>
  </w:footnote>
  <w:footnote w:id="16">
    <w:p w14:paraId="48F26058" w14:textId="07B4007E" w:rsidR="00410470" w:rsidRPr="008622AA" w:rsidRDefault="00410470">
      <w:pPr>
        <w:pStyle w:val="FootnoteText"/>
        <w:rPr>
          <w:lang w:val="en-US"/>
        </w:rPr>
      </w:pPr>
      <w:r>
        <w:rPr>
          <w:rStyle w:val="FootnoteReference"/>
        </w:rPr>
        <w:footnoteRef/>
      </w:r>
      <w:r>
        <w:t xml:space="preserve"> </w:t>
      </w:r>
      <w:r w:rsidRPr="00330257">
        <w:t>Gomez, Exh. No. __ (DCG-</w:t>
      </w:r>
      <w:r>
        <w:rPr>
          <w:lang w:val="en-US"/>
        </w:rPr>
        <w:t>33</w:t>
      </w:r>
      <w:r w:rsidRPr="00330257">
        <w:t>)</w:t>
      </w:r>
      <w:r>
        <w:rPr>
          <w:lang w:val="en-US"/>
        </w:rPr>
        <w:t xml:space="preserve">, </w:t>
      </w:r>
      <w:r w:rsidRPr="008622AA">
        <w:t xml:space="preserve">Avista’s responses to Staff </w:t>
      </w:r>
      <w:r w:rsidRPr="00957EB9">
        <w:t>Data Request</w:t>
      </w:r>
      <w:r w:rsidRPr="008622AA">
        <w:t xml:space="preserve"> No. 1</w:t>
      </w:r>
      <w:r>
        <w:rPr>
          <w:lang w:val="en-US"/>
        </w:rPr>
        <w:t>43</w:t>
      </w:r>
      <w:r w:rsidRPr="008622AA">
        <w:t xml:space="preserve"> </w:t>
      </w:r>
      <w:r>
        <w:rPr>
          <w:lang w:val="en-US"/>
        </w:rPr>
        <w:t>through July 10, 2015.</w:t>
      </w:r>
    </w:p>
  </w:footnote>
  <w:footnote w:id="17">
    <w:p w14:paraId="2FC148D1" w14:textId="26FDB82D" w:rsidR="00410470" w:rsidRPr="009965FC" w:rsidRDefault="00410470">
      <w:pPr>
        <w:pStyle w:val="FootnoteText"/>
        <w:rPr>
          <w:lang w:val="en-US"/>
        </w:rPr>
      </w:pPr>
      <w:r>
        <w:rPr>
          <w:rStyle w:val="FootnoteReference"/>
        </w:rPr>
        <w:footnoteRef/>
      </w:r>
      <w:r>
        <w:t xml:space="preserve"> </w:t>
      </w:r>
      <w:r>
        <w:rPr>
          <w:lang w:val="en-US"/>
        </w:rPr>
        <w:t xml:space="preserve">Pacific Order at 71-73, ¶¶ 167-169. Staff also relied on guidance by the Commission </w:t>
      </w:r>
      <w:r w:rsidRPr="00AD6283">
        <w:rPr>
          <w:lang w:val="en-US"/>
        </w:rPr>
        <w:t xml:space="preserve">in </w:t>
      </w:r>
      <w:r w:rsidRPr="00AD6283">
        <w:rPr>
          <w:i/>
        </w:rPr>
        <w:t>Wash. Utils. &amp; Transp. Comm’n v. Avista Corp.</w:t>
      </w:r>
      <w:r w:rsidRPr="00AD6283">
        <w:t xml:space="preserve">, </w:t>
      </w:r>
      <w:r w:rsidRPr="00170160">
        <w:rPr>
          <w:szCs w:val="22"/>
        </w:rPr>
        <w:t>Docket UE-</w:t>
      </w:r>
      <w:r>
        <w:rPr>
          <w:szCs w:val="22"/>
          <w:lang w:val="en-US"/>
        </w:rPr>
        <w:t>090134</w:t>
      </w:r>
      <w:r w:rsidRPr="00170160">
        <w:rPr>
          <w:szCs w:val="22"/>
        </w:rPr>
        <w:t>, Ord</w:t>
      </w:r>
      <w:r>
        <w:rPr>
          <w:szCs w:val="22"/>
        </w:rPr>
        <w:t>er</w:t>
      </w:r>
      <w:r w:rsidRPr="00170160">
        <w:rPr>
          <w:szCs w:val="22"/>
        </w:rPr>
        <w:t xml:space="preserve"> </w:t>
      </w:r>
      <w:r>
        <w:rPr>
          <w:szCs w:val="22"/>
          <w:lang w:val="en-US"/>
        </w:rPr>
        <w:t>10</w:t>
      </w:r>
      <w:r w:rsidRPr="00170160">
        <w:rPr>
          <w:szCs w:val="22"/>
        </w:rPr>
        <w:t xml:space="preserve"> (</w:t>
      </w:r>
      <w:r>
        <w:rPr>
          <w:szCs w:val="22"/>
          <w:lang w:val="en-US"/>
        </w:rPr>
        <w:t>December 22</w:t>
      </w:r>
      <w:r w:rsidRPr="00170160">
        <w:rPr>
          <w:szCs w:val="22"/>
        </w:rPr>
        <w:t>, 20</w:t>
      </w:r>
      <w:r>
        <w:rPr>
          <w:szCs w:val="22"/>
          <w:lang w:val="en-US"/>
        </w:rPr>
        <w:t>09</w:t>
      </w:r>
      <w:r w:rsidRPr="00170160">
        <w:rPr>
          <w:szCs w:val="22"/>
        </w:rPr>
        <w:t>)</w:t>
      </w:r>
      <w:r>
        <w:rPr>
          <w:szCs w:val="22"/>
          <w:lang w:val="en-US"/>
        </w:rPr>
        <w:t xml:space="preserve"> (“2009 Avista Order”),</w:t>
      </w:r>
      <w:r w:rsidRPr="00170160">
        <w:rPr>
          <w:szCs w:val="22"/>
        </w:rPr>
        <w:t xml:space="preserve"> </w:t>
      </w:r>
      <w:r>
        <w:rPr>
          <w:szCs w:val="22"/>
          <w:lang w:val="en-US"/>
        </w:rPr>
        <w:t xml:space="preserve">21, </w:t>
      </w:r>
      <w:r>
        <w:rPr>
          <w:szCs w:val="22"/>
        </w:rPr>
        <w:t xml:space="preserve">¶ </w:t>
      </w:r>
      <w:r>
        <w:rPr>
          <w:szCs w:val="22"/>
          <w:lang w:val="en-US"/>
        </w:rPr>
        <w:t>45.</w:t>
      </w:r>
      <w:r>
        <w:rPr>
          <w:lang w:val="en-US"/>
        </w:rPr>
        <w:t xml:space="preserve"> </w:t>
      </w:r>
    </w:p>
  </w:footnote>
  <w:footnote w:id="18">
    <w:p w14:paraId="084C99E9" w14:textId="3C03D29C" w:rsidR="00410470" w:rsidRPr="004165F5" w:rsidRDefault="00410470">
      <w:pPr>
        <w:pStyle w:val="FootnoteText"/>
        <w:rPr>
          <w:lang w:val="en-US"/>
        </w:rPr>
      </w:pPr>
      <w:r>
        <w:rPr>
          <w:rStyle w:val="FootnoteReference"/>
        </w:rPr>
        <w:footnoteRef/>
      </w:r>
      <w:r>
        <w:t xml:space="preserve"> </w:t>
      </w:r>
      <w:r>
        <w:rPr>
          <w:i/>
          <w:lang w:val="en-US"/>
        </w:rPr>
        <w:t xml:space="preserve">See </w:t>
      </w:r>
      <w:r>
        <w:rPr>
          <w:lang w:val="en-US"/>
        </w:rPr>
        <w:t xml:space="preserve">Gomez, </w:t>
      </w:r>
      <w:r>
        <w:rPr>
          <w:bCs/>
        </w:rPr>
        <w:t>Exh. No. __ (DCG-</w:t>
      </w:r>
      <w:r>
        <w:rPr>
          <w:bCs/>
          <w:lang w:val="en-US"/>
        </w:rPr>
        <w:t>20</w:t>
      </w:r>
      <w:r>
        <w:rPr>
          <w:bCs/>
        </w:rPr>
        <w:t>)</w:t>
      </w:r>
      <w:r>
        <w:rPr>
          <w:bCs/>
          <w:lang w:val="en-US"/>
        </w:rPr>
        <w:t xml:space="preserve">, </w:t>
      </w:r>
      <w:r>
        <w:rPr>
          <w:lang w:val="en-US"/>
        </w:rPr>
        <w:t xml:space="preserve">Docket UE-140188, </w:t>
      </w:r>
      <w:r w:rsidRPr="004165F5">
        <w:rPr>
          <w:lang w:val="en-US"/>
        </w:rPr>
        <w:t>2014 Capital Expenditure Final Report and 2015 Capital Expenditure Plan Update</w:t>
      </w:r>
      <w:r>
        <w:rPr>
          <w:lang w:val="en-US"/>
        </w:rPr>
        <w:t xml:space="preserve"> </w:t>
      </w:r>
      <w:r w:rsidRPr="004165F5">
        <w:rPr>
          <w:lang w:val="en-US"/>
        </w:rPr>
        <w:t>on behalf of Avista Corporation</w:t>
      </w:r>
      <w:r>
        <w:rPr>
          <w:lang w:val="en-US"/>
        </w:rPr>
        <w:t xml:space="preserve"> (February 26, 2015).</w:t>
      </w:r>
    </w:p>
  </w:footnote>
  <w:footnote w:id="19">
    <w:p w14:paraId="7A86E5A2" w14:textId="34FB70DB" w:rsidR="00410470" w:rsidRPr="004165F5" w:rsidRDefault="00410470">
      <w:pPr>
        <w:pStyle w:val="FootnoteText"/>
        <w:rPr>
          <w:lang w:val="en-US"/>
        </w:rPr>
      </w:pPr>
      <w:r>
        <w:rPr>
          <w:rStyle w:val="FootnoteReference"/>
        </w:rPr>
        <w:footnoteRef/>
      </w:r>
      <w:r>
        <w:t xml:space="preserve"> </w:t>
      </w:r>
      <w:r w:rsidRPr="00330257">
        <w:t>Gomez, Exh. No. __ (DCG-</w:t>
      </w:r>
      <w:r>
        <w:rPr>
          <w:lang w:val="en-US"/>
        </w:rPr>
        <w:t>33</w:t>
      </w:r>
      <w:r w:rsidRPr="00330257">
        <w:t>)</w:t>
      </w:r>
      <w:r>
        <w:rPr>
          <w:lang w:val="en-US"/>
        </w:rPr>
        <w:t>, Avista’s response to Staff Data Request No. 143 (Revised 2), Attachment B (July 10, 2015).</w:t>
      </w:r>
    </w:p>
  </w:footnote>
  <w:footnote w:id="20">
    <w:p w14:paraId="1ECD424C" w14:textId="3214B841" w:rsidR="00410470" w:rsidRPr="00AF5A84" w:rsidRDefault="00410470">
      <w:pPr>
        <w:pStyle w:val="FootnoteText"/>
        <w:rPr>
          <w:lang w:val="en-US"/>
        </w:rPr>
      </w:pPr>
      <w:r>
        <w:rPr>
          <w:rStyle w:val="FootnoteReference"/>
        </w:rPr>
        <w:footnoteRef/>
      </w:r>
      <w:r>
        <w:t xml:space="preserve"> </w:t>
      </w:r>
      <w:r>
        <w:rPr>
          <w:lang w:val="en-US"/>
        </w:rPr>
        <w:t>Gomez, Exh. No. __ (DCG-22), Avista witness Jennifer S. Smith workpaper, Excel workbook titled 3) WA CapXAdditions 12.31.15, CAP15 Tab, E-CAP &amp; G-CAP SUMMARY.</w:t>
      </w:r>
    </w:p>
  </w:footnote>
  <w:footnote w:id="21">
    <w:p w14:paraId="405C3CC0" w14:textId="2C6C1073" w:rsidR="00410470" w:rsidRPr="00A37940" w:rsidRDefault="00410470">
      <w:pPr>
        <w:pStyle w:val="FootnoteText"/>
        <w:rPr>
          <w:lang w:val="en-US"/>
        </w:rPr>
      </w:pPr>
      <w:r>
        <w:rPr>
          <w:rStyle w:val="FootnoteReference"/>
        </w:rPr>
        <w:footnoteRef/>
      </w:r>
      <w:r>
        <w:t xml:space="preserve"> </w:t>
      </w:r>
      <w:r>
        <w:rPr>
          <w:i/>
          <w:lang w:val="en-US"/>
        </w:rPr>
        <w:t xml:space="preserve">Supra </w:t>
      </w:r>
      <w:r>
        <w:rPr>
          <w:lang w:val="en-US"/>
        </w:rPr>
        <w:t>note 11.</w:t>
      </w:r>
    </w:p>
  </w:footnote>
  <w:footnote w:id="22">
    <w:p w14:paraId="51C20CBE" w14:textId="28DACEB5" w:rsidR="00410470" w:rsidRPr="003509AE" w:rsidRDefault="00410470" w:rsidP="000F158B">
      <w:pPr>
        <w:pStyle w:val="FootnoteText"/>
        <w:rPr>
          <w:lang w:val="en-US"/>
        </w:rPr>
      </w:pPr>
      <w:r>
        <w:rPr>
          <w:rStyle w:val="FootnoteReference"/>
        </w:rPr>
        <w:footnoteRef/>
      </w:r>
      <w:r>
        <w:t xml:space="preserve"> </w:t>
      </w:r>
      <w:r>
        <w:rPr>
          <w:lang w:val="en-US"/>
        </w:rPr>
        <w:t>The Pacific Order refers to Commission rule WAC 480-140-040 which defines m</w:t>
      </w:r>
      <w:r w:rsidRPr="00EA3BD5">
        <w:rPr>
          <w:lang w:val="en-US"/>
        </w:rPr>
        <w:t>ajor construction</w:t>
      </w:r>
      <w:r>
        <w:rPr>
          <w:lang w:val="en-US"/>
        </w:rPr>
        <w:t xml:space="preserve"> projects</w:t>
      </w:r>
      <w:r w:rsidRPr="00EA3BD5">
        <w:rPr>
          <w:lang w:val="en-US"/>
        </w:rPr>
        <w:t xml:space="preserve"> as </w:t>
      </w:r>
      <w:r>
        <w:rPr>
          <w:lang w:val="en-US"/>
        </w:rPr>
        <w:t>“</w:t>
      </w:r>
      <w:r w:rsidRPr="00EA3BD5">
        <w:rPr>
          <w:lang w:val="en-US"/>
        </w:rPr>
        <w:t>all projects where the Washington-allocated share of the total project is greater than five-tenths of one percent of the company's latest year-end Washington</w:t>
      </w:r>
      <w:r>
        <w:rPr>
          <w:lang w:val="en-US"/>
        </w:rPr>
        <w:t>-allocated net utility plant in-</w:t>
      </w:r>
      <w:r w:rsidRPr="00EA3BD5">
        <w:rPr>
          <w:lang w:val="en-US"/>
        </w:rPr>
        <w:t>service, but does not include any project of less than three million dollars on a total project basis.</w:t>
      </w:r>
      <w:r>
        <w:rPr>
          <w:lang w:val="en-US"/>
        </w:rPr>
        <w:t xml:space="preserve">”  Staff’s application of these criteria to Avista in this case is as follows: </w:t>
      </w:r>
      <w:r w:rsidRPr="00B53F43">
        <w:rPr>
          <w:lang w:val="en-US"/>
        </w:rPr>
        <w:t xml:space="preserve">Electric </w:t>
      </w:r>
      <w:r>
        <w:rPr>
          <w:lang w:val="en-US"/>
        </w:rPr>
        <w:t>ERs</w:t>
      </w:r>
      <w:r w:rsidRPr="00B53F43">
        <w:rPr>
          <w:lang w:val="en-US"/>
        </w:rPr>
        <w:t xml:space="preserve"> &gt; $6.4 million, Gas </w:t>
      </w:r>
      <w:r>
        <w:rPr>
          <w:lang w:val="en-US"/>
        </w:rPr>
        <w:t>ERs</w:t>
      </w:r>
      <w:r w:rsidRPr="00B53F43">
        <w:rPr>
          <w:lang w:val="en-US"/>
        </w:rPr>
        <w:t xml:space="preserve"> &gt; $1.3 million</w:t>
      </w:r>
      <w:r>
        <w:rPr>
          <w:lang w:val="en-US"/>
        </w:rPr>
        <w:t xml:space="preserve">.  </w:t>
      </w:r>
    </w:p>
  </w:footnote>
  <w:footnote w:id="23">
    <w:p w14:paraId="766E10B9" w14:textId="00DED1C8" w:rsidR="00410470" w:rsidRPr="00682157" w:rsidRDefault="00410470">
      <w:pPr>
        <w:pStyle w:val="FootnoteText"/>
        <w:rPr>
          <w:lang w:val="en-US"/>
        </w:rPr>
      </w:pPr>
      <w:r>
        <w:rPr>
          <w:rStyle w:val="FootnoteReference"/>
        </w:rPr>
        <w:footnoteRef/>
      </w:r>
      <w:r>
        <w:t xml:space="preserve"> </w:t>
      </w:r>
      <w:r>
        <w:rPr>
          <w:lang w:val="en-US"/>
        </w:rPr>
        <w:t>Kensok, Exhibit No. __ (JMK-1T) 14:1-10, Table No. 2.</w:t>
      </w:r>
    </w:p>
  </w:footnote>
  <w:footnote w:id="24">
    <w:p w14:paraId="5373690B" w14:textId="6EC16E0A" w:rsidR="00410470" w:rsidRPr="00617793" w:rsidRDefault="00410470">
      <w:pPr>
        <w:pStyle w:val="FootnoteText"/>
        <w:rPr>
          <w:lang w:val="en-US"/>
        </w:rPr>
      </w:pPr>
      <w:r>
        <w:rPr>
          <w:rStyle w:val="FootnoteReference"/>
        </w:rPr>
        <w:footnoteRef/>
      </w:r>
      <w:r>
        <w:t xml:space="preserve"> </w:t>
      </w:r>
      <w:r>
        <w:rPr>
          <w:lang w:val="en-US"/>
        </w:rPr>
        <w:t>Pacific Order</w:t>
      </w:r>
      <w:r>
        <w:t xml:space="preserve"> at</w:t>
      </w:r>
      <w:r>
        <w:rPr>
          <w:lang w:val="en-US"/>
        </w:rPr>
        <w:t xml:space="preserve"> 70-71, </w:t>
      </w:r>
      <w:r w:rsidRPr="006D3216">
        <w:t>¶</w:t>
      </w:r>
      <w:r>
        <w:rPr>
          <w:lang w:val="en-US"/>
        </w:rPr>
        <w:t xml:space="preserve"> 165</w:t>
      </w:r>
      <w:r>
        <w:t>.</w:t>
      </w:r>
    </w:p>
  </w:footnote>
  <w:footnote w:id="25">
    <w:p w14:paraId="4526B432" w14:textId="612A4A98" w:rsidR="00410470" w:rsidRPr="00754E26" w:rsidRDefault="00410470">
      <w:pPr>
        <w:pStyle w:val="FootnoteText"/>
        <w:rPr>
          <w:lang w:val="en-US"/>
        </w:rPr>
      </w:pPr>
      <w:r>
        <w:rPr>
          <w:rStyle w:val="FootnoteReference"/>
        </w:rPr>
        <w:footnoteRef/>
      </w:r>
      <w:r>
        <w:t xml:space="preserve"> </w:t>
      </w:r>
      <w:r>
        <w:rPr>
          <w:lang w:val="en-US"/>
        </w:rPr>
        <w:t>Kinney, Exh. No. __ (SJK-1T) 13:1-24; Schuh, Exh. No. __ (KKS-1T) 10:19-23 - 11:1-14; Schuh, Exh. No. __ (KKS-4), page 3; Exh. No. __ (KKS-5), Attachment No. GP-6.</w:t>
      </w:r>
    </w:p>
  </w:footnote>
  <w:footnote w:id="26">
    <w:p w14:paraId="5B69ACFB" w14:textId="23E27676" w:rsidR="00410470" w:rsidRPr="00A64CF5" w:rsidRDefault="00410470">
      <w:pPr>
        <w:pStyle w:val="FootnoteText"/>
        <w:rPr>
          <w:lang w:val="en-US"/>
        </w:rPr>
      </w:pPr>
      <w:r>
        <w:rPr>
          <w:rStyle w:val="FootnoteReference"/>
        </w:rPr>
        <w:footnoteRef/>
      </w:r>
      <w:r>
        <w:t xml:space="preserve"> </w:t>
      </w:r>
      <w:r>
        <w:rPr>
          <w:lang w:val="en-US"/>
        </w:rPr>
        <w:t xml:space="preserve">In Ms. Schuh’s direct testimony, </w:t>
      </w:r>
      <w:r w:rsidRPr="004A089F">
        <w:rPr>
          <w:lang w:val="en-US"/>
        </w:rPr>
        <w:t>Exhibit No. __ (KKS-1T) at 4:11-20</w:t>
      </w:r>
      <w:r>
        <w:rPr>
          <w:lang w:val="en-US"/>
        </w:rPr>
        <w:t xml:space="preserve">, she describes the components of a business case which include milestones and key performance indicators which would be helpful in supporting the Company’s claimed transfer to plant amounts.  None of these are present in her exhibits for this business case and many others for that matter.  Furthermore, Avista’s compliance filing in UE-140188, </w:t>
      </w:r>
      <w:r w:rsidRPr="0076266F">
        <w:rPr>
          <w:lang w:val="en-US"/>
        </w:rPr>
        <w:t xml:space="preserve">2014 Capital Expenditure Final Report and 2015 Capital Expenditure Plan Update </w:t>
      </w:r>
      <w:r>
        <w:rPr>
          <w:lang w:val="en-US"/>
        </w:rPr>
        <w:t xml:space="preserve">dated February 26, 2015, which comprises my Exhibit No. __ (DCG-20), contains transfer to plant amounts for this project which are inconsistent with those shown in the Company’s exhibits.  </w:t>
      </w:r>
    </w:p>
  </w:footnote>
  <w:footnote w:id="27">
    <w:p w14:paraId="1F99121F" w14:textId="7BBCCF13" w:rsidR="00410470" w:rsidRPr="00034DF7" w:rsidRDefault="00410470">
      <w:pPr>
        <w:pStyle w:val="FootnoteText"/>
        <w:rPr>
          <w:lang w:val="en-US"/>
        </w:rPr>
      </w:pPr>
      <w:r>
        <w:rPr>
          <w:rStyle w:val="FootnoteReference"/>
        </w:rPr>
        <w:footnoteRef/>
      </w:r>
      <w:r>
        <w:t xml:space="preserve"> </w:t>
      </w:r>
      <w:r>
        <w:rPr>
          <w:lang w:val="en-US"/>
        </w:rPr>
        <w:t xml:space="preserve">Staff requested Avista </w:t>
      </w:r>
      <w:r w:rsidRPr="00ED0A58">
        <w:t>provide copies of these reports continuously through the discovery deadline in this case as indicated on the procedural schedule as September 22, 2015.</w:t>
      </w:r>
    </w:p>
  </w:footnote>
  <w:footnote w:id="28">
    <w:p w14:paraId="31CEF04E" w14:textId="0197AA42" w:rsidR="00410470" w:rsidRPr="0023720E" w:rsidRDefault="00410470">
      <w:pPr>
        <w:pStyle w:val="FootnoteText"/>
        <w:rPr>
          <w:lang w:val="en-US"/>
        </w:rPr>
      </w:pPr>
      <w:r>
        <w:rPr>
          <w:rStyle w:val="FootnoteReference"/>
        </w:rPr>
        <w:footnoteRef/>
      </w:r>
      <w:r>
        <w:t xml:space="preserve"> </w:t>
      </w:r>
      <w:r>
        <w:rPr>
          <w:lang w:val="en-US"/>
        </w:rPr>
        <w:t>Gomez, Exh. No. __ (DCG-5C), Avista response to Staff Data Request No. 60, page 2, ¶ 1 (April 13, 2015).</w:t>
      </w:r>
    </w:p>
  </w:footnote>
  <w:footnote w:id="29">
    <w:p w14:paraId="1C81828C" w14:textId="3AC93F59" w:rsidR="00410470" w:rsidRPr="003161C1" w:rsidRDefault="00410470">
      <w:pPr>
        <w:pStyle w:val="FootnoteText"/>
        <w:rPr>
          <w:lang w:val="en-US"/>
        </w:rPr>
      </w:pPr>
      <w:r>
        <w:rPr>
          <w:rStyle w:val="FootnoteReference"/>
        </w:rPr>
        <w:footnoteRef/>
      </w:r>
      <w:r>
        <w:t xml:space="preserve"> </w:t>
      </w:r>
      <w:r>
        <w:rPr>
          <w:lang w:val="en-US"/>
        </w:rPr>
        <w:t xml:space="preserve">Gomez, Exh. No. __ (DCG-6), Avista response to Staff </w:t>
      </w:r>
      <w:r w:rsidRPr="00957EB9">
        <w:rPr>
          <w:lang w:val="en-US"/>
        </w:rPr>
        <w:t>Data Request</w:t>
      </w:r>
      <w:r>
        <w:rPr>
          <w:lang w:val="en-US"/>
        </w:rPr>
        <w:t xml:space="preserve"> No. 134 (May 20, 2015), page 2, ¶ 1.</w:t>
      </w:r>
    </w:p>
  </w:footnote>
  <w:footnote w:id="30">
    <w:p w14:paraId="40614515" w14:textId="7D5C3D0B" w:rsidR="00410470" w:rsidRPr="000458D0" w:rsidRDefault="00410470" w:rsidP="00163FB2">
      <w:pPr>
        <w:pStyle w:val="FootnoteText"/>
        <w:rPr>
          <w:lang w:val="en-US"/>
        </w:rPr>
      </w:pPr>
      <w:r>
        <w:rPr>
          <w:rStyle w:val="FootnoteReference"/>
        </w:rPr>
        <w:footnoteRef/>
      </w:r>
      <w:r>
        <w:t xml:space="preserve"> </w:t>
      </w:r>
      <w:r w:rsidRPr="00330257">
        <w:t>Gomez, Exh. No. __ (DCG-</w:t>
      </w:r>
      <w:r>
        <w:rPr>
          <w:lang w:val="en-US"/>
        </w:rPr>
        <w:t>33</w:t>
      </w:r>
      <w:r w:rsidRPr="00330257">
        <w:t>)</w:t>
      </w:r>
      <w:r>
        <w:rPr>
          <w:lang w:val="en-US"/>
        </w:rPr>
        <w:t xml:space="preserve">, Avista’s response to Staff </w:t>
      </w:r>
      <w:r w:rsidRPr="00957EB9">
        <w:rPr>
          <w:lang w:val="en-US"/>
        </w:rPr>
        <w:t>Data Request</w:t>
      </w:r>
      <w:r>
        <w:rPr>
          <w:lang w:val="en-US"/>
        </w:rPr>
        <w:t xml:space="preserve"> No. 143, Revised 2 Attachment B (July 10, 2015).</w:t>
      </w:r>
    </w:p>
  </w:footnote>
  <w:footnote w:id="31">
    <w:p w14:paraId="633AF915" w14:textId="6A895817" w:rsidR="00410470" w:rsidRPr="003F3FA0" w:rsidRDefault="00410470">
      <w:pPr>
        <w:pStyle w:val="FootnoteText"/>
        <w:rPr>
          <w:lang w:val="en-US"/>
        </w:rPr>
      </w:pPr>
      <w:r>
        <w:rPr>
          <w:rStyle w:val="FootnoteReference"/>
        </w:rPr>
        <w:footnoteRef/>
      </w:r>
      <w:r>
        <w:t xml:space="preserve"> </w:t>
      </w:r>
      <w:r>
        <w:rPr>
          <w:lang w:val="en-US"/>
        </w:rPr>
        <w:t xml:space="preserve">Avista witness Mr. DeFelice in his Exhibit Nos. DBD-4 and DBD-5 numbers the exhibit for this project as Attachment No. __ GP-20.  Gomez, Exh. No. __ (DCG-21).  Ms. Schuh in this case uses GP-16. </w:t>
      </w:r>
    </w:p>
  </w:footnote>
  <w:footnote w:id="32">
    <w:p w14:paraId="7331BCEB" w14:textId="6E038E86" w:rsidR="00410470" w:rsidRPr="00D85083" w:rsidRDefault="00410470" w:rsidP="00564557">
      <w:pPr>
        <w:pStyle w:val="FootnoteText"/>
        <w:rPr>
          <w:lang w:val="en-US"/>
        </w:rPr>
      </w:pPr>
      <w:r>
        <w:rPr>
          <w:rStyle w:val="FootnoteReference"/>
        </w:rPr>
        <w:footnoteRef/>
      </w:r>
      <w:r>
        <w:t xml:space="preserve"> </w:t>
      </w:r>
      <w:r>
        <w:rPr>
          <w:lang w:val="en-US"/>
        </w:rPr>
        <w:t>Schuh, Exh. No. __ (KKS-5), Attachment No. __ GP-16.1, Milestones (high level targets) and GP-16.</w:t>
      </w:r>
    </w:p>
  </w:footnote>
  <w:footnote w:id="33">
    <w:p w14:paraId="6FEF6137" w14:textId="2B805900" w:rsidR="00410470" w:rsidRPr="001A51A9" w:rsidRDefault="00410470">
      <w:pPr>
        <w:pStyle w:val="FootnoteText"/>
        <w:rPr>
          <w:lang w:val="en-US"/>
        </w:rPr>
      </w:pPr>
      <w:r>
        <w:rPr>
          <w:rStyle w:val="FootnoteReference"/>
        </w:rPr>
        <w:footnoteRef/>
      </w:r>
      <w:r>
        <w:t xml:space="preserve"> </w:t>
      </w:r>
      <w:r w:rsidRPr="00330257">
        <w:t>Gomez, Exh. No. __ (DCG-</w:t>
      </w:r>
      <w:r>
        <w:rPr>
          <w:lang w:val="en-US"/>
        </w:rPr>
        <w:t>33</w:t>
      </w:r>
      <w:r w:rsidRPr="00330257">
        <w:t>)</w:t>
      </w:r>
      <w:r>
        <w:rPr>
          <w:lang w:val="en-US"/>
        </w:rPr>
        <w:t xml:space="preserve">, Avista response to </w:t>
      </w:r>
      <w:r w:rsidRPr="001A51A9">
        <w:t>Staff</w:t>
      </w:r>
      <w:r>
        <w:rPr>
          <w:lang w:val="en-US"/>
        </w:rPr>
        <w:t xml:space="preserve"> Data </w:t>
      </w:r>
      <w:r w:rsidRPr="001A51A9">
        <w:t>R</w:t>
      </w:r>
      <w:r>
        <w:rPr>
          <w:lang w:val="en-US"/>
        </w:rPr>
        <w:t xml:space="preserve">equest No. </w:t>
      </w:r>
      <w:r w:rsidRPr="001A51A9">
        <w:t>143 Attach B REVISED</w:t>
      </w:r>
      <w:r>
        <w:rPr>
          <w:lang w:val="en-US"/>
        </w:rPr>
        <w:t>.</w:t>
      </w:r>
    </w:p>
  </w:footnote>
  <w:footnote w:id="34">
    <w:p w14:paraId="29A93DD8" w14:textId="1B7C2B8C" w:rsidR="00410470" w:rsidRPr="007D6CA2" w:rsidRDefault="00410470">
      <w:pPr>
        <w:pStyle w:val="FootnoteText"/>
        <w:rPr>
          <w:lang w:val="en-US"/>
        </w:rPr>
      </w:pPr>
      <w:r>
        <w:rPr>
          <w:rStyle w:val="FootnoteReference"/>
        </w:rPr>
        <w:footnoteRef/>
      </w:r>
      <w:r>
        <w:t xml:space="preserve"> </w:t>
      </w:r>
      <w:r>
        <w:rPr>
          <w:i/>
          <w:lang w:val="en-US"/>
        </w:rPr>
        <w:t xml:space="preserve">Supra </w:t>
      </w:r>
      <w:r>
        <w:rPr>
          <w:lang w:val="en-US"/>
        </w:rPr>
        <w:t xml:space="preserve">note 11.  </w:t>
      </w:r>
    </w:p>
  </w:footnote>
  <w:footnote w:id="35">
    <w:p w14:paraId="723CABDE" w14:textId="0EA1608A" w:rsidR="00410470" w:rsidRPr="003057B3" w:rsidRDefault="00410470">
      <w:pPr>
        <w:pStyle w:val="FootnoteText"/>
        <w:rPr>
          <w:lang w:val="en-US"/>
        </w:rPr>
      </w:pPr>
      <w:r>
        <w:rPr>
          <w:rStyle w:val="FootnoteReference"/>
        </w:rPr>
        <w:footnoteRef/>
      </w:r>
      <w:r>
        <w:t xml:space="preserve"> </w:t>
      </w:r>
      <w:r>
        <w:rPr>
          <w:lang w:val="en-US"/>
        </w:rPr>
        <w:t xml:space="preserve">This would also include passing to rate payers benefits associated with this project like power costs or Operation and Maintenance expense reductions.  </w:t>
      </w:r>
    </w:p>
  </w:footnote>
  <w:footnote w:id="36">
    <w:p w14:paraId="5E6D902F" w14:textId="0655C101" w:rsidR="00410470" w:rsidRPr="00300588" w:rsidRDefault="00410470">
      <w:pPr>
        <w:pStyle w:val="FootnoteText"/>
        <w:rPr>
          <w:lang w:val="en-US"/>
        </w:rPr>
      </w:pPr>
      <w:r>
        <w:rPr>
          <w:rStyle w:val="FootnoteReference"/>
        </w:rPr>
        <w:footnoteRef/>
      </w:r>
      <w:r>
        <w:t xml:space="preserve"> </w:t>
      </w:r>
      <w:r>
        <w:rPr>
          <w:lang w:val="en-US"/>
        </w:rPr>
        <w:t xml:space="preserve">Gomez, Exh. No. __ (DCG-21), </w:t>
      </w:r>
      <w:r w:rsidRPr="00A8635D">
        <w:rPr>
          <w:lang w:val="en-US"/>
        </w:rPr>
        <w:t>Docket UE-140188, DeFelice, Exh. No</w:t>
      </w:r>
      <w:r>
        <w:rPr>
          <w:lang w:val="en-US"/>
        </w:rPr>
        <w:t>.</w:t>
      </w:r>
      <w:r w:rsidRPr="00A8635D">
        <w:rPr>
          <w:lang w:val="en-US"/>
        </w:rPr>
        <w:t xml:space="preserve"> DBD-5, Attachment No. __ GP-19; Docket UE-150204, Schuh, Exh. No. __ (KKS-5), Attachment No. __ GP-15;</w:t>
      </w:r>
      <w:r>
        <w:rPr>
          <w:lang w:val="en-US"/>
        </w:rPr>
        <w:t xml:space="preserve"> Gomez, Exh. No. __ (DCG-23),</w:t>
      </w:r>
      <w:r w:rsidRPr="00A8635D">
        <w:rPr>
          <w:lang w:val="en-US"/>
        </w:rPr>
        <w:t xml:space="preserve"> UE-140188, Kinney, Exhibit No. SJK-1T, Illustration No. 7, 12:1-15; Docket UE-150204 Kinney, Exhibit No. __ (SJK-1T), Table 1, 11:9-19.</w:t>
      </w:r>
    </w:p>
  </w:footnote>
  <w:footnote w:id="37">
    <w:p w14:paraId="2994AF12" w14:textId="4AC220E9" w:rsidR="00410470" w:rsidRPr="00B77B35" w:rsidRDefault="00410470">
      <w:pPr>
        <w:pStyle w:val="FootnoteText"/>
        <w:rPr>
          <w:lang w:val="en-US"/>
        </w:rPr>
      </w:pPr>
      <w:r>
        <w:rPr>
          <w:rStyle w:val="FootnoteReference"/>
        </w:rPr>
        <w:footnoteRef/>
      </w:r>
      <w:r>
        <w:t xml:space="preserve"> </w:t>
      </w:r>
      <w:r>
        <w:rPr>
          <w:lang w:val="en-US"/>
        </w:rPr>
        <w:t>Gomez, Exh. No. __ (DCG-22), Work papers of Jennifer S. Smith, Worksheet titled 3) CAP15 – WA CapX Additions 12.31.15.</w:t>
      </w:r>
    </w:p>
  </w:footnote>
  <w:footnote w:id="38">
    <w:p w14:paraId="562F99D3" w14:textId="0B15AA0A" w:rsidR="00410470" w:rsidRPr="003E3D7C" w:rsidRDefault="00410470" w:rsidP="003E3D7C">
      <w:pPr>
        <w:pStyle w:val="FootnoteText"/>
        <w:rPr>
          <w:lang w:val="en-US"/>
        </w:rPr>
      </w:pPr>
      <w:r>
        <w:rPr>
          <w:rStyle w:val="FootnoteReference"/>
        </w:rPr>
        <w:footnoteRef/>
      </w:r>
      <w:r>
        <w:t xml:space="preserve"> </w:t>
      </w:r>
      <w:r>
        <w:rPr>
          <w:lang w:val="en-US"/>
        </w:rPr>
        <w:t>Gomez, Exh. No. __ (DCG-24), IPUC Docket No. AVU-E-15-05;</w:t>
      </w:r>
      <w:r w:rsidRPr="009549F7">
        <w:rPr>
          <w:lang w:val="en-US"/>
        </w:rPr>
        <w:t xml:space="preserve"> Kinney</w:t>
      </w:r>
      <w:r w:rsidRPr="003E3D7C">
        <w:rPr>
          <w:lang w:val="en-US"/>
        </w:rPr>
        <w:t xml:space="preserve"> </w:t>
      </w:r>
      <w:r>
        <w:rPr>
          <w:lang w:val="en-US"/>
        </w:rPr>
        <w:t>direct testimony, Table 1, 14:1-15.</w:t>
      </w:r>
    </w:p>
  </w:footnote>
  <w:footnote w:id="39">
    <w:p w14:paraId="4B57C48B" w14:textId="319AB2F9" w:rsidR="00410470" w:rsidRPr="00BA22DD" w:rsidRDefault="00410470" w:rsidP="004D7D7A">
      <w:pPr>
        <w:pStyle w:val="FootnoteText"/>
        <w:rPr>
          <w:lang w:val="en-US"/>
        </w:rPr>
      </w:pPr>
      <w:r>
        <w:rPr>
          <w:rStyle w:val="FootnoteReference"/>
        </w:rPr>
        <w:footnoteRef/>
      </w:r>
      <w:r>
        <w:t xml:space="preserve"> </w:t>
      </w:r>
      <w:r>
        <w:rPr>
          <w:lang w:val="en-US"/>
        </w:rPr>
        <w:t xml:space="preserve">Schuh, </w:t>
      </w:r>
      <w:r>
        <w:t xml:space="preserve">Exh. No. __ (KKS-1T) </w:t>
      </w:r>
      <w:r w:rsidRPr="00BA22DD">
        <w:t>1</w:t>
      </w:r>
      <w:r>
        <w:rPr>
          <w:lang w:val="en-US"/>
        </w:rPr>
        <w:t>0</w:t>
      </w:r>
      <w:r w:rsidRPr="00BA22DD">
        <w:t>:20-22</w:t>
      </w:r>
      <w:r>
        <w:rPr>
          <w:lang w:val="en-US"/>
        </w:rPr>
        <w:t>.</w:t>
      </w:r>
    </w:p>
  </w:footnote>
  <w:footnote w:id="40">
    <w:p w14:paraId="627B039B" w14:textId="08113E96" w:rsidR="00410470" w:rsidRPr="00BA22DD" w:rsidRDefault="00410470">
      <w:pPr>
        <w:pStyle w:val="FootnoteText"/>
        <w:rPr>
          <w:lang w:val="en-US"/>
        </w:rPr>
      </w:pPr>
      <w:r>
        <w:rPr>
          <w:rStyle w:val="FootnoteReference"/>
        </w:rPr>
        <w:footnoteRef/>
      </w:r>
      <w:r>
        <w:t xml:space="preserve"> </w:t>
      </w:r>
      <w:r>
        <w:rPr>
          <w:lang w:val="en-US"/>
        </w:rPr>
        <w:t>Gomez, Exh. No. __ (DCG-23), Docket UE-140188, Kinney, Exh. No. SJK-1T 18:20-21; and Docket UE-150204, Kinney, Exh. No. __ (SJK-1T) 16:1-2.</w:t>
      </w:r>
    </w:p>
  </w:footnote>
  <w:footnote w:id="41">
    <w:p w14:paraId="6D964283" w14:textId="0B2E09B3" w:rsidR="00410470" w:rsidRPr="00114275" w:rsidRDefault="00410470" w:rsidP="00114275">
      <w:pPr>
        <w:pStyle w:val="FootnoteText"/>
        <w:rPr>
          <w:lang w:val="en-US"/>
        </w:rPr>
      </w:pPr>
      <w:r>
        <w:rPr>
          <w:rStyle w:val="FootnoteReference"/>
        </w:rPr>
        <w:footnoteRef/>
      </w:r>
      <w:r>
        <w:t xml:space="preserve"> </w:t>
      </w:r>
      <w:r w:rsidRPr="00600A29">
        <w:rPr>
          <w:lang w:val="es-PR"/>
        </w:rPr>
        <w:t xml:space="preserve">Gomez, Exh. No. __ (DCG-21), UE-140188, DeFelice, Exh. No. </w:t>
      </w:r>
      <w:r>
        <w:rPr>
          <w:lang w:val="en-US"/>
        </w:rPr>
        <w:t>DBD-4, p</w:t>
      </w:r>
      <w:r w:rsidRPr="00114275">
        <w:rPr>
          <w:lang w:val="en-US"/>
        </w:rPr>
        <w:t>age</w:t>
      </w:r>
      <w:r>
        <w:rPr>
          <w:lang w:val="en-US"/>
        </w:rPr>
        <w:t>s</w:t>
      </w:r>
      <w:r w:rsidRPr="00114275">
        <w:rPr>
          <w:lang w:val="en-US"/>
        </w:rPr>
        <w:t xml:space="preserve"> 5 </w:t>
      </w:r>
      <w:r>
        <w:rPr>
          <w:lang w:val="en-US"/>
        </w:rPr>
        <w:t xml:space="preserve">and 7 </w:t>
      </w:r>
      <w:r w:rsidRPr="00114275">
        <w:rPr>
          <w:lang w:val="en-US"/>
        </w:rPr>
        <w:t>of 8</w:t>
      </w:r>
      <w:r>
        <w:rPr>
          <w:lang w:val="en-US"/>
        </w:rPr>
        <w:t xml:space="preserve"> respectively</w:t>
      </w:r>
      <w:r w:rsidRPr="00114275">
        <w:rPr>
          <w:lang w:val="en-US"/>
        </w:rPr>
        <w:t>.</w:t>
      </w:r>
    </w:p>
  </w:footnote>
  <w:footnote w:id="42">
    <w:p w14:paraId="540B1F2B" w14:textId="4EB34483" w:rsidR="00410470" w:rsidRPr="00FD24F9" w:rsidRDefault="00410470">
      <w:pPr>
        <w:pStyle w:val="FootnoteText"/>
        <w:rPr>
          <w:lang w:val="en-US"/>
        </w:rPr>
      </w:pPr>
      <w:r>
        <w:rPr>
          <w:rStyle w:val="FootnoteReference"/>
        </w:rPr>
        <w:footnoteRef/>
      </w:r>
      <w:r>
        <w:t xml:space="preserve"> </w:t>
      </w:r>
      <w:r>
        <w:rPr>
          <w:lang w:val="en-US"/>
        </w:rPr>
        <w:t>Schuh, Exh. No. __ (KKS-4), p</w:t>
      </w:r>
      <w:r w:rsidRPr="00114275">
        <w:rPr>
          <w:lang w:val="en-US"/>
        </w:rPr>
        <w:t>age</w:t>
      </w:r>
      <w:r>
        <w:rPr>
          <w:lang w:val="en-US"/>
        </w:rPr>
        <w:t>s</w:t>
      </w:r>
      <w:r w:rsidRPr="00114275">
        <w:rPr>
          <w:lang w:val="en-US"/>
        </w:rPr>
        <w:t xml:space="preserve"> </w:t>
      </w:r>
      <w:r>
        <w:rPr>
          <w:lang w:val="en-US"/>
        </w:rPr>
        <w:t>3</w:t>
      </w:r>
      <w:r w:rsidRPr="00114275">
        <w:rPr>
          <w:lang w:val="en-US"/>
        </w:rPr>
        <w:t xml:space="preserve"> </w:t>
      </w:r>
      <w:r>
        <w:rPr>
          <w:lang w:val="en-US"/>
        </w:rPr>
        <w:t xml:space="preserve">and 5 </w:t>
      </w:r>
      <w:r w:rsidRPr="00114275">
        <w:rPr>
          <w:lang w:val="en-US"/>
        </w:rPr>
        <w:t>of 8</w:t>
      </w:r>
      <w:r>
        <w:rPr>
          <w:lang w:val="en-US"/>
        </w:rPr>
        <w:t>.</w:t>
      </w:r>
    </w:p>
  </w:footnote>
  <w:footnote w:id="43">
    <w:p w14:paraId="3ACF061B" w14:textId="69656BD2" w:rsidR="00410470" w:rsidRPr="005A7F60" w:rsidRDefault="00410470">
      <w:pPr>
        <w:pStyle w:val="FootnoteText"/>
        <w:rPr>
          <w:lang w:val="en-US"/>
        </w:rPr>
      </w:pPr>
      <w:r>
        <w:rPr>
          <w:rStyle w:val="FootnoteReference"/>
        </w:rPr>
        <w:footnoteRef/>
      </w:r>
      <w:r>
        <w:t xml:space="preserve"> </w:t>
      </w:r>
      <w:r>
        <w:rPr>
          <w:lang w:val="en-US"/>
        </w:rPr>
        <w:t xml:space="preserve">Using expenditure data from the compliance filing in UE-140188, contained in my Exhibit No. __ (DCG-20), along with Avista’s supplemental response to Staff Data Request No. 97, Attachment F, in UE-140188, Staff has calculated that the Company has over budgeted expenditures for the CFSA by an average of $2.9 million (system) annually (2005 to 2014).  For Staff, this confirms the budget planning disconnect between the Company’s Capital Planning Group (CPG) and the CFSA Management Committee, further eroding Staff’s confidence that Avista can accurately predict transfers to plant for this ER.  </w:t>
      </w:r>
    </w:p>
  </w:footnote>
  <w:footnote w:id="44">
    <w:p w14:paraId="2910DF23" w14:textId="771BFF44" w:rsidR="00410470" w:rsidRPr="00394987" w:rsidRDefault="00410470" w:rsidP="00A66C3E">
      <w:pPr>
        <w:pStyle w:val="FootnoteText"/>
        <w:rPr>
          <w:lang w:val="en-US"/>
        </w:rPr>
      </w:pPr>
      <w:r>
        <w:rPr>
          <w:rStyle w:val="FootnoteReference"/>
        </w:rPr>
        <w:footnoteRef/>
      </w:r>
      <w:r>
        <w:t xml:space="preserve"> </w:t>
      </w:r>
      <w:r>
        <w:rPr>
          <w:i/>
          <w:lang w:val="en-US"/>
        </w:rPr>
        <w:t xml:space="preserve">See </w:t>
      </w:r>
      <w:r>
        <w:rPr>
          <w:lang w:val="en-US"/>
        </w:rPr>
        <w:t xml:space="preserve">Gomez, Exh. No. __ (DCG-7), Avista’s response to Staff </w:t>
      </w:r>
      <w:r w:rsidRPr="00957EB9">
        <w:rPr>
          <w:lang w:val="en-US"/>
        </w:rPr>
        <w:t>Data Request</w:t>
      </w:r>
      <w:r>
        <w:rPr>
          <w:lang w:val="en-US"/>
        </w:rPr>
        <w:t xml:space="preserve"> No. 133, Attachment C, provides the CFSA’s Management Committee’s 2014 budgeted capital additions listed by </w:t>
      </w:r>
      <w:r w:rsidRPr="00394987">
        <w:rPr>
          <w:lang w:val="en-US"/>
        </w:rPr>
        <w:t>Protection, Mitigation and Enhancement (PM&amp;E)</w:t>
      </w:r>
      <w:r>
        <w:rPr>
          <w:lang w:val="en-US"/>
        </w:rPr>
        <w:t xml:space="preserve"> category totaling $11.4 million.  According to the attachment, actual capital additions corresponding to the CFSA’s 2014 capital budget only totaled $7.8 million.  As a result, </w:t>
      </w:r>
      <w:r w:rsidRPr="00347342">
        <w:rPr>
          <w:lang w:val="en-US"/>
        </w:rPr>
        <w:t xml:space="preserve">Staff concludes that the CFSA’s Management Committee’s estimates </w:t>
      </w:r>
      <w:r>
        <w:rPr>
          <w:lang w:val="en-US"/>
        </w:rPr>
        <w:t xml:space="preserve">of capital additions </w:t>
      </w:r>
      <w:r w:rsidRPr="00347342">
        <w:rPr>
          <w:lang w:val="en-US"/>
        </w:rPr>
        <w:t>would be no better than those offered by Ms. Schuh</w:t>
      </w:r>
      <w:r>
        <w:rPr>
          <w:lang w:val="en-US"/>
        </w:rPr>
        <w:t xml:space="preserve"> and Avista’s CPG</w:t>
      </w:r>
      <w:r w:rsidRPr="00347342">
        <w:rPr>
          <w:lang w:val="en-US"/>
        </w:rPr>
        <w:t>.</w:t>
      </w:r>
      <w:r>
        <w:rPr>
          <w:lang w:val="en-US"/>
        </w:rPr>
        <w:t xml:space="preserve">     </w:t>
      </w:r>
    </w:p>
  </w:footnote>
  <w:footnote w:id="45">
    <w:p w14:paraId="0C94715E" w14:textId="3B65E844" w:rsidR="00410470" w:rsidRPr="00886C93" w:rsidRDefault="00410470">
      <w:pPr>
        <w:pStyle w:val="FootnoteText"/>
        <w:rPr>
          <w:lang w:val="en-US"/>
        </w:rPr>
      </w:pPr>
      <w:r>
        <w:rPr>
          <w:rStyle w:val="FootnoteReference"/>
        </w:rPr>
        <w:footnoteRef/>
      </w:r>
      <w:r>
        <w:t xml:space="preserve"> </w:t>
      </w:r>
      <w:r>
        <w:rPr>
          <w:lang w:val="en-US"/>
        </w:rPr>
        <w:t>Exh. No. __ (KKS-1T) 5:12-16.</w:t>
      </w:r>
    </w:p>
  </w:footnote>
  <w:footnote w:id="46">
    <w:p w14:paraId="06CACB9F" w14:textId="7A0E9CC9" w:rsidR="00410470" w:rsidRPr="00502AF1" w:rsidRDefault="00410470">
      <w:pPr>
        <w:pStyle w:val="FootnoteText"/>
        <w:rPr>
          <w:lang w:val="en-US"/>
        </w:rPr>
      </w:pPr>
      <w:r>
        <w:rPr>
          <w:rStyle w:val="FootnoteReference"/>
        </w:rPr>
        <w:footnoteRef/>
      </w:r>
      <w:r>
        <w:t xml:space="preserve"> </w:t>
      </w:r>
      <w:r>
        <w:rPr>
          <w:i/>
          <w:lang w:val="en-US"/>
        </w:rPr>
        <w:t xml:space="preserve">Supra </w:t>
      </w:r>
      <w:r>
        <w:rPr>
          <w:lang w:val="en-US"/>
        </w:rPr>
        <w:t>note 11.  The Company did not provide a specific explanation for its revision to its planned transfers to plant for Aldyl-A for 2015.</w:t>
      </w:r>
    </w:p>
  </w:footnote>
  <w:footnote w:id="47">
    <w:p w14:paraId="0E5547CF" w14:textId="2C887FFC" w:rsidR="00410470" w:rsidRPr="00A5030E" w:rsidRDefault="00410470" w:rsidP="0058297B">
      <w:pPr>
        <w:pStyle w:val="FootnoteText"/>
        <w:rPr>
          <w:lang w:val="en-US"/>
        </w:rPr>
      </w:pPr>
      <w:r>
        <w:rPr>
          <w:rStyle w:val="FootnoteReference"/>
        </w:rPr>
        <w:footnoteRef/>
      </w:r>
      <w:r>
        <w:t xml:space="preserve"> </w:t>
      </w:r>
      <w:r w:rsidRPr="0068793B">
        <w:rPr>
          <w:lang w:val="es-PR"/>
        </w:rPr>
        <w:t xml:space="preserve">Gomez, Exh. No. __ (DCG-26), </w:t>
      </w:r>
      <w:r w:rsidRPr="00A5030E">
        <w:t>UE-140188</w:t>
      </w:r>
      <w:r w:rsidRPr="0068793B">
        <w:rPr>
          <w:lang w:val="es-PR"/>
        </w:rPr>
        <w:t>,</w:t>
      </w:r>
      <w:r w:rsidRPr="00A5030E">
        <w:t xml:space="preserve"> </w:t>
      </w:r>
      <w:r>
        <w:t>Kopczynski, Exh.</w:t>
      </w:r>
      <w:r w:rsidRPr="00A5030E">
        <w:t xml:space="preserve"> No. DFK-1T 11</w:t>
      </w:r>
      <w:r>
        <w:rPr>
          <w:lang w:val="en-US"/>
        </w:rPr>
        <w:t xml:space="preserve"> -</w:t>
      </w:r>
      <w:r>
        <w:t xml:space="preserve"> 13:</w:t>
      </w:r>
      <w:r w:rsidRPr="00A5030E">
        <w:t>14</w:t>
      </w:r>
      <w:r>
        <w:rPr>
          <w:lang w:val="en-US"/>
        </w:rPr>
        <w:t>.</w:t>
      </w:r>
    </w:p>
  </w:footnote>
  <w:footnote w:id="48">
    <w:p w14:paraId="67594DC7" w14:textId="31BD5840" w:rsidR="00410470" w:rsidRPr="00040869" w:rsidRDefault="00410470">
      <w:pPr>
        <w:pStyle w:val="FootnoteText"/>
        <w:rPr>
          <w:lang w:val="en-US"/>
        </w:rPr>
      </w:pPr>
      <w:r>
        <w:rPr>
          <w:rStyle w:val="FootnoteReference"/>
        </w:rPr>
        <w:footnoteRef/>
      </w:r>
      <w:r>
        <w:t xml:space="preserve"> </w:t>
      </w:r>
      <w:r w:rsidRPr="00951930">
        <w:rPr>
          <w:lang w:val="en-US"/>
        </w:rPr>
        <w:t>Gomez, Exh. No. __ (DCG-</w:t>
      </w:r>
      <w:r>
        <w:rPr>
          <w:lang w:val="en-US"/>
        </w:rPr>
        <w:t xml:space="preserve">32).  The </w:t>
      </w:r>
      <w:r w:rsidRPr="00040869">
        <w:t>2015-2017 Two-Year Plan has yet to be approved by the Commission.</w:t>
      </w:r>
    </w:p>
  </w:footnote>
  <w:footnote w:id="49">
    <w:p w14:paraId="7C487679" w14:textId="325E3AE7" w:rsidR="00410470" w:rsidRPr="000D376C" w:rsidRDefault="00410470">
      <w:pPr>
        <w:pStyle w:val="FootnoteText"/>
        <w:rPr>
          <w:lang w:val="en-US"/>
        </w:rPr>
      </w:pPr>
      <w:r>
        <w:rPr>
          <w:rStyle w:val="FootnoteReference"/>
        </w:rPr>
        <w:footnoteRef/>
      </w:r>
      <w:r>
        <w:t xml:space="preserve"> </w:t>
      </w:r>
      <w:r>
        <w:rPr>
          <w:lang w:val="en-US"/>
        </w:rPr>
        <w:t>Exh. No. __ (DFK-1T) 20:21.</w:t>
      </w:r>
    </w:p>
  </w:footnote>
  <w:footnote w:id="50">
    <w:p w14:paraId="07102232" w14:textId="1967B927" w:rsidR="00410470" w:rsidRPr="001149EB" w:rsidRDefault="00410470">
      <w:pPr>
        <w:pStyle w:val="FootnoteText"/>
        <w:rPr>
          <w:lang w:val="en-US"/>
        </w:rPr>
      </w:pPr>
      <w:r>
        <w:rPr>
          <w:rStyle w:val="FootnoteReference"/>
        </w:rPr>
        <w:footnoteRef/>
      </w:r>
      <w:r>
        <w:t xml:space="preserve"> </w:t>
      </w:r>
      <w:r w:rsidRPr="001149EB">
        <w:t xml:space="preserve">In the </w:t>
      </w:r>
      <w:r w:rsidRPr="001149EB">
        <w:rPr>
          <w:i/>
        </w:rPr>
        <w:t>Matter of Avista Corporation’s Pipe Replacement Program Plan</w:t>
      </w:r>
      <w:r w:rsidRPr="001149EB">
        <w:t>, PG-131837</w:t>
      </w:r>
      <w:r>
        <w:rPr>
          <w:lang w:val="en-US"/>
        </w:rPr>
        <w:t xml:space="preserve">, </w:t>
      </w:r>
      <w:r w:rsidRPr="001149EB">
        <w:t>Order 01 (October 30, 2013)</w:t>
      </w:r>
      <w:r>
        <w:rPr>
          <w:lang w:val="en-US"/>
        </w:rPr>
        <w:t xml:space="preserve">, the Commission approved </w:t>
      </w:r>
      <w:r w:rsidRPr="001149EB">
        <w:t>Avista’s 2013-2015 Two-Year Plan</w:t>
      </w:r>
      <w:r>
        <w:rPr>
          <w:lang w:val="en-US"/>
        </w:rPr>
        <w:t xml:space="preserve"> and included the Company’s expected capital costs for the plan period</w:t>
      </w:r>
      <w:r w:rsidRPr="001149EB">
        <w:t>.</w:t>
      </w:r>
    </w:p>
  </w:footnote>
  <w:footnote w:id="51">
    <w:p w14:paraId="222B096F" w14:textId="6A48112F" w:rsidR="00410470" w:rsidRPr="00D64F67" w:rsidRDefault="00410470">
      <w:pPr>
        <w:pStyle w:val="FootnoteText"/>
        <w:rPr>
          <w:lang w:val="en-US"/>
        </w:rPr>
      </w:pPr>
      <w:r>
        <w:rPr>
          <w:rStyle w:val="FootnoteReference"/>
        </w:rPr>
        <w:footnoteRef/>
      </w:r>
      <w:r>
        <w:t xml:space="preserve"> </w:t>
      </w:r>
      <w:r>
        <w:rPr>
          <w:lang w:val="en-US"/>
        </w:rPr>
        <w:t>Exhibit No. __ (DFK-1T) 21:16-17.</w:t>
      </w:r>
    </w:p>
  </w:footnote>
  <w:footnote w:id="52">
    <w:p w14:paraId="167EDD0A" w14:textId="62073342" w:rsidR="00410470" w:rsidRPr="00953F0F" w:rsidRDefault="00410470">
      <w:pPr>
        <w:pStyle w:val="FootnoteText"/>
        <w:rPr>
          <w:lang w:val="en-US"/>
        </w:rPr>
      </w:pPr>
      <w:r>
        <w:rPr>
          <w:rStyle w:val="FootnoteReference"/>
        </w:rPr>
        <w:footnoteRef/>
      </w:r>
      <w:r>
        <w:t xml:space="preserve"> </w:t>
      </w:r>
      <w:r>
        <w:rPr>
          <w:lang w:val="en-US"/>
        </w:rPr>
        <w:t>Schuh, Exh. No. __ (KKS-4), page 5, Attachment No. NGD-1, 2016 system-level amount is $17.4 million which corresponds to a Washington-allocated amount of $8.3 million.</w:t>
      </w:r>
    </w:p>
  </w:footnote>
  <w:footnote w:id="53">
    <w:p w14:paraId="28E47968" w14:textId="503CAF52" w:rsidR="00410470" w:rsidRPr="00615283" w:rsidRDefault="00410470" w:rsidP="00140513">
      <w:pPr>
        <w:pStyle w:val="FootnoteText"/>
        <w:rPr>
          <w:lang w:val="en-US"/>
        </w:rPr>
      </w:pPr>
      <w:r>
        <w:rPr>
          <w:rStyle w:val="FootnoteReference"/>
        </w:rPr>
        <w:footnoteRef/>
      </w:r>
      <w:r>
        <w:t xml:space="preserve"> </w:t>
      </w:r>
      <w:r>
        <w:rPr>
          <w:lang w:val="en-US"/>
        </w:rPr>
        <w:t>The Company reports in its recently filed 2015-2017 Two-Year Plan (</w:t>
      </w:r>
      <w:r w:rsidRPr="00D1755B">
        <w:rPr>
          <w:lang w:val="en-US"/>
        </w:rPr>
        <w:t>Gomez, Exh. No. __ (DCG-</w:t>
      </w:r>
      <w:r>
        <w:rPr>
          <w:lang w:val="en-US"/>
        </w:rPr>
        <w:t>32</w:t>
      </w:r>
      <w:r w:rsidRPr="00D1755B">
        <w:rPr>
          <w:lang w:val="en-US"/>
        </w:rPr>
        <w:t>)</w:t>
      </w:r>
      <w:r>
        <w:rPr>
          <w:lang w:val="en-US"/>
        </w:rPr>
        <w:t xml:space="preserve">) that its Washington-allocated investment in Aldyl-A for the years 2013-2015 (actual and forecasted) is $10.4 million (70.4 percent) higher than what the Company had estimated for this same period in its 2013-2015 Two-Year Plan.  In his testimony in UE-140188, Exhibit No. DFK-1T, page 12, lines 9 to 11, Mr. </w:t>
      </w:r>
      <w:r w:rsidRPr="00BC1EA0">
        <w:rPr>
          <w:lang w:val="en-US"/>
        </w:rPr>
        <w:t xml:space="preserve">Kopczynski </w:t>
      </w:r>
      <w:r>
        <w:rPr>
          <w:lang w:val="en-US"/>
        </w:rPr>
        <w:t>attributes most of the increase to street repair requirements imposed by local jurisdictions. This testimony is contained in my Exhibit</w:t>
      </w:r>
      <w:r>
        <w:rPr>
          <w:bCs/>
        </w:rPr>
        <w:t xml:space="preserve"> No. __ (DCG-</w:t>
      </w:r>
      <w:r>
        <w:rPr>
          <w:bCs/>
          <w:lang w:val="en-US"/>
        </w:rPr>
        <w:t>26</w:t>
      </w:r>
      <w:r>
        <w:rPr>
          <w:bCs/>
        </w:rPr>
        <w:t>)</w:t>
      </w:r>
      <w:r>
        <w:rPr>
          <w:bCs/>
          <w:lang w:val="en-US"/>
        </w:rPr>
        <w:t>.</w:t>
      </w:r>
    </w:p>
  </w:footnote>
  <w:footnote w:id="54">
    <w:p w14:paraId="23554B5B" w14:textId="160576C1" w:rsidR="00410470" w:rsidRPr="0023788C" w:rsidRDefault="00410470" w:rsidP="00A524F3">
      <w:pPr>
        <w:pStyle w:val="FootnoteText"/>
        <w:rPr>
          <w:lang w:val="en-US"/>
        </w:rPr>
      </w:pPr>
      <w:r>
        <w:rPr>
          <w:rStyle w:val="FootnoteReference"/>
        </w:rPr>
        <w:footnoteRef/>
      </w:r>
      <w:r>
        <w:t xml:space="preserve"> </w:t>
      </w:r>
      <w:r>
        <w:rPr>
          <w:lang w:val="en-US"/>
        </w:rPr>
        <w:t xml:space="preserve">Gomez, </w:t>
      </w:r>
      <w:r>
        <w:rPr>
          <w:bCs/>
        </w:rPr>
        <w:t>Exh. No. __ (DCG-</w:t>
      </w:r>
      <w:r>
        <w:rPr>
          <w:bCs/>
          <w:lang w:val="en-US"/>
        </w:rPr>
        <w:t>22</w:t>
      </w:r>
      <w:r>
        <w:rPr>
          <w:bCs/>
        </w:rPr>
        <w:t>)</w:t>
      </w:r>
      <w:r>
        <w:rPr>
          <w:bCs/>
          <w:lang w:val="en-US"/>
        </w:rPr>
        <w:t xml:space="preserve">, </w:t>
      </w:r>
      <w:r>
        <w:rPr>
          <w:lang w:val="en-US"/>
        </w:rPr>
        <w:t xml:space="preserve">Docket UE-150204, </w:t>
      </w:r>
      <w:r>
        <w:t>Work papers</w:t>
      </w:r>
      <w:r w:rsidRPr="0023788C">
        <w:t xml:space="preserve"> of Jennifer S. Smith, Wor</w:t>
      </w:r>
      <w:r>
        <w:t>ksheet titled</w:t>
      </w:r>
      <w:r w:rsidRPr="0023788C">
        <w:t xml:space="preserve"> 3) CAP15 – WA CapX Additions 12.31.15</w:t>
      </w:r>
      <w:r>
        <w:rPr>
          <w:lang w:val="en-US"/>
        </w:rPr>
        <w:t xml:space="preserve">, Tab – 2015 Allocations-All, Gas AA Distribution: ER 3008; Gomez, </w:t>
      </w:r>
      <w:r>
        <w:rPr>
          <w:bCs/>
        </w:rPr>
        <w:t>Exh. No. __ (DCG-</w:t>
      </w:r>
      <w:r>
        <w:rPr>
          <w:bCs/>
          <w:lang w:val="en-US"/>
        </w:rPr>
        <w:t>28</w:t>
      </w:r>
      <w:r>
        <w:rPr>
          <w:bCs/>
        </w:rPr>
        <w:t>)</w:t>
      </w:r>
      <w:r>
        <w:rPr>
          <w:bCs/>
          <w:lang w:val="en-US"/>
        </w:rPr>
        <w:t xml:space="preserve">, </w:t>
      </w:r>
      <w:r>
        <w:rPr>
          <w:lang w:val="en-US"/>
        </w:rPr>
        <w:t xml:space="preserve">Docket UE-140188, Work papers of Elizabeth Andrews, </w:t>
      </w:r>
      <w:r w:rsidRPr="0023788C">
        <w:t>Worksheet titled WA CapX Additions 12.31.1</w:t>
      </w:r>
      <w:r>
        <w:rPr>
          <w:lang w:val="en-US"/>
        </w:rPr>
        <w:t>4, Tab – 2014 Allocations-All, Gas AA Distribution: ER 3008; and Docket UE-120436, Work papers of Elizabeth Andrews, Worksheets titled WA CAPx for 2012 and 2013.</w:t>
      </w:r>
    </w:p>
  </w:footnote>
  <w:footnote w:id="55">
    <w:p w14:paraId="227835AF" w14:textId="4E055ACC" w:rsidR="00410470" w:rsidRPr="00754F3D" w:rsidRDefault="00410470">
      <w:pPr>
        <w:pStyle w:val="FootnoteText"/>
        <w:rPr>
          <w:lang w:val="en-US"/>
        </w:rPr>
      </w:pPr>
      <w:r>
        <w:rPr>
          <w:rStyle w:val="FootnoteReference"/>
        </w:rPr>
        <w:footnoteRef/>
      </w:r>
      <w:r>
        <w:t xml:space="preserve"> </w:t>
      </w:r>
      <w:r>
        <w:rPr>
          <w:lang w:val="en-US"/>
        </w:rPr>
        <w:t xml:space="preserve">See </w:t>
      </w:r>
      <w:r>
        <w:rPr>
          <w:i/>
          <w:lang w:val="en-US"/>
        </w:rPr>
        <w:t xml:space="preserve">supra </w:t>
      </w:r>
      <w:r>
        <w:rPr>
          <w:lang w:val="en-US"/>
        </w:rPr>
        <w:t>note 1.</w:t>
      </w:r>
    </w:p>
  </w:footnote>
  <w:footnote w:id="56">
    <w:p w14:paraId="03310B70" w14:textId="2552C706" w:rsidR="00410470" w:rsidRPr="00C60EC3" w:rsidRDefault="00410470">
      <w:pPr>
        <w:pStyle w:val="FootnoteText"/>
        <w:rPr>
          <w:lang w:val="en-US"/>
        </w:rPr>
      </w:pPr>
      <w:r>
        <w:rPr>
          <w:rStyle w:val="FootnoteReference"/>
        </w:rPr>
        <w:footnoteRef/>
      </w:r>
      <w:r>
        <w:t xml:space="preserve"> </w:t>
      </w:r>
      <w:r>
        <w:rPr>
          <w:i/>
          <w:lang w:val="en-US"/>
        </w:rPr>
        <w:t xml:space="preserve">Supra </w:t>
      </w:r>
      <w:r>
        <w:rPr>
          <w:lang w:val="en-US"/>
        </w:rPr>
        <w:t xml:space="preserve">note 11. </w:t>
      </w:r>
    </w:p>
  </w:footnote>
  <w:footnote w:id="57">
    <w:p w14:paraId="4588CEBD" w14:textId="2A04404D" w:rsidR="00410470" w:rsidRPr="00594A67" w:rsidRDefault="00410470">
      <w:pPr>
        <w:pStyle w:val="FootnoteText"/>
        <w:rPr>
          <w:lang w:val="en-US"/>
        </w:rPr>
      </w:pPr>
      <w:r>
        <w:rPr>
          <w:rStyle w:val="FootnoteReference"/>
        </w:rPr>
        <w:footnoteRef/>
      </w:r>
      <w:r>
        <w:t xml:space="preserve"> </w:t>
      </w:r>
      <w:r w:rsidRPr="00594A67">
        <w:t xml:space="preserve">In the </w:t>
      </w:r>
      <w:r w:rsidRPr="00594A67">
        <w:rPr>
          <w:i/>
        </w:rPr>
        <w:t>Matter of the Policy of the Washington Utilities and Transportation Commission Related to Replacing Pipeline Facilities with an Elevated Risk of Failure</w:t>
      </w:r>
      <w:r>
        <w:rPr>
          <w:lang w:val="en-US"/>
        </w:rPr>
        <w:t>, Docket UG-120715, ¶¶ 58-76 (December 31, 2012).</w:t>
      </w:r>
    </w:p>
  </w:footnote>
  <w:footnote w:id="58">
    <w:p w14:paraId="7940F8C4" w14:textId="0B9B2A0B" w:rsidR="00410470" w:rsidRPr="00985252" w:rsidRDefault="00410470">
      <w:pPr>
        <w:pStyle w:val="FootnoteText"/>
        <w:rPr>
          <w:lang w:val="en-US"/>
        </w:rPr>
      </w:pPr>
      <w:r>
        <w:rPr>
          <w:rStyle w:val="FootnoteReference"/>
        </w:rPr>
        <w:footnoteRef/>
      </w:r>
      <w:r>
        <w:t xml:space="preserve"> </w:t>
      </w:r>
      <w:r>
        <w:rPr>
          <w:lang w:val="en-US"/>
        </w:rPr>
        <w:t>Exh. No. __ (KKS-1T) 19:31-38, Exh. No. __ (KKS-4) and Exh. No. __ (KKS-5), Attachment No. __ NGD</w:t>
      </w:r>
      <w:r>
        <w:rPr>
          <w:lang w:val="en-US"/>
        </w:rPr>
        <w:noBreakHyphen/>
        <w:t xml:space="preserve">3. </w:t>
      </w:r>
    </w:p>
  </w:footnote>
  <w:footnote w:id="59">
    <w:p w14:paraId="7160D1B8" w14:textId="30D423DF" w:rsidR="00410470" w:rsidRPr="00222317" w:rsidRDefault="00410470">
      <w:pPr>
        <w:pStyle w:val="FootnoteText"/>
        <w:rPr>
          <w:lang w:val="en-US"/>
        </w:rPr>
      </w:pPr>
      <w:r>
        <w:rPr>
          <w:rStyle w:val="FootnoteReference"/>
        </w:rPr>
        <w:footnoteRef/>
      </w:r>
      <w:r>
        <w:t xml:space="preserve"> </w:t>
      </w:r>
      <w:r>
        <w:rPr>
          <w:lang w:val="en-US"/>
        </w:rPr>
        <w:t xml:space="preserve">Gomez, </w:t>
      </w:r>
      <w:r>
        <w:rPr>
          <w:bCs/>
        </w:rPr>
        <w:t>Exh. No. __ (DCG-</w:t>
      </w:r>
      <w:r>
        <w:rPr>
          <w:bCs/>
          <w:lang w:val="en-US"/>
        </w:rPr>
        <w:t>22</w:t>
      </w:r>
      <w:r>
        <w:rPr>
          <w:bCs/>
        </w:rPr>
        <w:t>)</w:t>
      </w:r>
      <w:r>
        <w:rPr>
          <w:bCs/>
          <w:lang w:val="en-US"/>
        </w:rPr>
        <w:t xml:space="preserve">, </w:t>
      </w:r>
      <w:r>
        <w:rPr>
          <w:lang w:val="en-US"/>
        </w:rPr>
        <w:t>Work papers of Jennifer S. Smith, Worksheet titled 3) CAP15 – WA CapX Additions 12.31.15.</w:t>
      </w:r>
    </w:p>
  </w:footnote>
  <w:footnote w:id="60">
    <w:p w14:paraId="5BD8A006" w14:textId="3A3D45D3" w:rsidR="00410470" w:rsidRPr="00477615" w:rsidRDefault="00410470">
      <w:pPr>
        <w:pStyle w:val="FootnoteText"/>
        <w:rPr>
          <w:lang w:val="en-US"/>
        </w:rPr>
      </w:pPr>
      <w:r>
        <w:rPr>
          <w:rStyle w:val="FootnoteReference"/>
        </w:rPr>
        <w:footnoteRef/>
      </w:r>
      <w:r>
        <w:t xml:space="preserve"> </w:t>
      </w:r>
      <w:r>
        <w:rPr>
          <w:lang w:val="en-US"/>
        </w:rPr>
        <w:t xml:space="preserve">In UE-140188, in Mr. DeFelice’s Exhibit No. DBD-5, Attachment No. __ NGD-3, Avista predicted a system-level 2014 pro forma transfer to plant amount of $4.7 million for this program. See Gomez, </w:t>
      </w:r>
      <w:r>
        <w:rPr>
          <w:bCs/>
        </w:rPr>
        <w:t>Exh. No. __ (DCG-</w:t>
      </w:r>
      <w:r>
        <w:rPr>
          <w:bCs/>
          <w:lang w:val="en-US"/>
        </w:rPr>
        <w:t>21</w:t>
      </w:r>
      <w:r>
        <w:rPr>
          <w:bCs/>
        </w:rPr>
        <w:t>)</w:t>
      </w:r>
      <w:r>
        <w:rPr>
          <w:bCs/>
          <w:lang w:val="en-US"/>
        </w:rPr>
        <w:t xml:space="preserve">.  </w:t>
      </w:r>
      <w:r>
        <w:rPr>
          <w:lang w:val="en-US"/>
        </w:rPr>
        <w:t xml:space="preserve">The Company’s compliance filing in UE-140188 shows the actual 2014 amount to be $1.7 million higher.  See Gomez, </w:t>
      </w:r>
      <w:r>
        <w:rPr>
          <w:bCs/>
        </w:rPr>
        <w:t>Exh. No. __ (DCG-</w:t>
      </w:r>
      <w:r>
        <w:rPr>
          <w:bCs/>
          <w:lang w:val="en-US"/>
        </w:rPr>
        <w:t>20</w:t>
      </w:r>
      <w:r>
        <w:rPr>
          <w:bCs/>
        </w:rPr>
        <w:t>)</w:t>
      </w:r>
      <w:r>
        <w:rPr>
          <w:bCs/>
          <w:lang w:val="en-US"/>
        </w:rPr>
        <w:t xml:space="preserve">. </w:t>
      </w:r>
      <w:r>
        <w:rPr>
          <w:lang w:val="en-US"/>
        </w:rPr>
        <w:t xml:space="preserve"> Mr. DeFelice goes on to predict the program’s total transfers for 2015 and 2016 to be slightly above $18.0 million.  A year later, Ms. Schuh’s predictions for 2015 and 2016 are far lower by $6.0 million.  Besides the lack of precision in year to year forecasts of actual transfers to plant for this program, Avista provides no detail around its estimates or actuals to allow Staff to properly match amounts with the period in which they are incurred.  For example whether the $1.7 million in additional transfers is tied to non-2014 CWIP.  </w:t>
      </w:r>
    </w:p>
  </w:footnote>
  <w:footnote w:id="61">
    <w:p w14:paraId="2FCF5CA7" w14:textId="349E1082" w:rsidR="00410470" w:rsidRPr="0003162B" w:rsidRDefault="00410470" w:rsidP="007C540B">
      <w:pPr>
        <w:pStyle w:val="FootnoteText"/>
        <w:rPr>
          <w:lang w:val="en-US"/>
        </w:rPr>
      </w:pPr>
      <w:r>
        <w:rPr>
          <w:rStyle w:val="FootnoteReference"/>
        </w:rPr>
        <w:footnoteRef/>
      </w:r>
      <w:r>
        <w:t xml:space="preserve"> 2009 Avista Order at</w:t>
      </w:r>
      <w:r>
        <w:rPr>
          <w:lang w:val="en-US"/>
        </w:rPr>
        <w:t xml:space="preserve"> 18-23,</w:t>
      </w:r>
      <w:r w:rsidRPr="0003162B">
        <w:t xml:space="preserve"> ¶</w:t>
      </w:r>
      <w:r>
        <w:t>¶</w:t>
      </w:r>
      <w:r>
        <w:rPr>
          <w:lang w:val="en-US"/>
        </w:rPr>
        <w:t xml:space="preserve"> 40-52</w:t>
      </w:r>
      <w:r w:rsidRPr="0003162B">
        <w:t xml:space="preserve"> (December 22, 2009).</w:t>
      </w:r>
    </w:p>
  </w:footnote>
  <w:footnote w:id="62">
    <w:p w14:paraId="5AE13484" w14:textId="5C26942F" w:rsidR="00410470" w:rsidRPr="00FE11CA" w:rsidRDefault="00410470">
      <w:pPr>
        <w:pStyle w:val="FootnoteText"/>
        <w:rPr>
          <w:lang w:val="en-US"/>
        </w:rPr>
      </w:pPr>
      <w:r>
        <w:rPr>
          <w:rStyle w:val="FootnoteReference"/>
        </w:rPr>
        <w:footnoteRef/>
      </w:r>
      <w:r>
        <w:t xml:space="preserve"> Schuh, Exh.</w:t>
      </w:r>
      <w:r w:rsidRPr="00FE11CA">
        <w:t xml:space="preserve"> No. __ (KKS</w:t>
      </w:r>
      <w:r>
        <w:t>-1T)</w:t>
      </w:r>
      <w:r w:rsidRPr="00FE11CA">
        <w:t xml:space="preserve"> 21:21-27 along with </w:t>
      </w:r>
      <w:r>
        <w:t>her supporting exhibits: Exh. No. __ (KKS-4), page 3 of 8, NGD-13</w:t>
      </w:r>
      <w:r>
        <w:rPr>
          <w:lang w:val="en-US"/>
        </w:rPr>
        <w:t>,</w:t>
      </w:r>
      <w:r>
        <w:t xml:space="preserve"> and Exh.</w:t>
      </w:r>
      <w:r w:rsidRPr="00FE11CA">
        <w:t xml:space="preserve"> No. __ (KKS-5), Attachment No. __ NGD-13</w:t>
      </w:r>
      <w:r>
        <w:rPr>
          <w:lang w:val="en-US"/>
        </w:rPr>
        <w:t>.</w:t>
      </w:r>
    </w:p>
  </w:footnote>
  <w:footnote w:id="63">
    <w:p w14:paraId="19146504" w14:textId="3243EC9B" w:rsidR="00410470" w:rsidRPr="0048560A" w:rsidRDefault="00410470">
      <w:pPr>
        <w:pStyle w:val="FootnoteText"/>
        <w:rPr>
          <w:lang w:val="en-US"/>
        </w:rPr>
      </w:pPr>
      <w:r>
        <w:rPr>
          <w:rStyle w:val="FootnoteReference"/>
        </w:rPr>
        <w:footnoteRef/>
      </w:r>
      <w:r>
        <w:t xml:space="preserve"> </w:t>
      </w:r>
      <w:r>
        <w:rPr>
          <w:lang w:val="en-US"/>
        </w:rPr>
        <w:t>Gomez, Exh. No. __ (DCG-10).</w:t>
      </w:r>
    </w:p>
  </w:footnote>
  <w:footnote w:id="64">
    <w:p w14:paraId="1FFCDD7A" w14:textId="70E4CC18" w:rsidR="00410470" w:rsidRPr="00325EB7" w:rsidRDefault="00410470">
      <w:pPr>
        <w:pStyle w:val="FootnoteText"/>
        <w:rPr>
          <w:lang w:val="en-US"/>
        </w:rPr>
      </w:pPr>
      <w:r>
        <w:rPr>
          <w:rStyle w:val="FootnoteReference"/>
        </w:rPr>
        <w:footnoteRef/>
      </w:r>
      <w:r>
        <w:t xml:space="preserve"> Schuh, Exh. No. __ (KKS-1T) </w:t>
      </w:r>
      <w:r>
        <w:rPr>
          <w:lang w:val="en-US"/>
        </w:rPr>
        <w:t>16</w:t>
      </w:r>
      <w:r w:rsidRPr="00FE11CA">
        <w:t>:</w:t>
      </w:r>
      <w:r>
        <w:rPr>
          <w:lang w:val="en-US"/>
        </w:rPr>
        <w:t>5</w:t>
      </w:r>
      <w:r w:rsidRPr="00FE11CA">
        <w:t>-2</w:t>
      </w:r>
      <w:r>
        <w:rPr>
          <w:lang w:val="en-US"/>
        </w:rPr>
        <w:t>8</w:t>
      </w:r>
      <w:r w:rsidRPr="00FE11CA">
        <w:t xml:space="preserve"> along with </w:t>
      </w:r>
      <w:r>
        <w:t>her supporting exhibits: Exh.</w:t>
      </w:r>
      <w:r w:rsidRPr="00FE11CA">
        <w:t xml:space="preserve"> No. __ (KKS</w:t>
      </w:r>
      <w:r>
        <w:t>-4), p</w:t>
      </w:r>
      <w:r w:rsidRPr="00FE11CA">
        <w:t>age 3 of 8, G-</w:t>
      </w:r>
      <w:r>
        <w:rPr>
          <w:lang w:val="en-US"/>
        </w:rPr>
        <w:t>7,</w:t>
      </w:r>
      <w:r>
        <w:t xml:space="preserve"> and Exh.</w:t>
      </w:r>
      <w:r w:rsidRPr="00FE11CA">
        <w:t xml:space="preserve"> No. __ (KKS-5), Attachment No. __ G-</w:t>
      </w:r>
      <w:r>
        <w:rPr>
          <w:lang w:val="en-US"/>
        </w:rPr>
        <w:t>7.</w:t>
      </w:r>
    </w:p>
  </w:footnote>
  <w:footnote w:id="65">
    <w:p w14:paraId="283ACA2E" w14:textId="7B9D964E" w:rsidR="00410470" w:rsidRPr="00C0624E" w:rsidRDefault="00410470">
      <w:pPr>
        <w:pStyle w:val="FootnoteText"/>
        <w:rPr>
          <w:lang w:val="en-US"/>
        </w:rPr>
      </w:pPr>
      <w:r>
        <w:rPr>
          <w:rStyle w:val="FootnoteReference"/>
        </w:rPr>
        <w:footnoteRef/>
      </w:r>
      <w:r>
        <w:t xml:space="preserve"> </w:t>
      </w:r>
      <w:r>
        <w:rPr>
          <w:lang w:val="en-US"/>
        </w:rPr>
        <w:t xml:space="preserve">Gomez, </w:t>
      </w:r>
      <w:r>
        <w:rPr>
          <w:bCs/>
        </w:rPr>
        <w:t>Exh. No. __ (DCG-</w:t>
      </w:r>
      <w:r>
        <w:rPr>
          <w:bCs/>
          <w:lang w:val="en-US"/>
        </w:rPr>
        <w:t>29</w:t>
      </w:r>
      <w:r>
        <w:rPr>
          <w:bCs/>
        </w:rPr>
        <w:t>)</w:t>
      </w:r>
      <w:r>
        <w:rPr>
          <w:bCs/>
          <w:lang w:val="en-US"/>
        </w:rPr>
        <w:t xml:space="preserve">, </w:t>
      </w:r>
      <w:r>
        <w:rPr>
          <w:lang w:val="en-US"/>
        </w:rPr>
        <w:t xml:space="preserve">UE-140188, Rosentrater, Exh. No. HLR-1T 28, Table 4 and 29:11-31, and Gomez, </w:t>
      </w:r>
      <w:r>
        <w:rPr>
          <w:bCs/>
        </w:rPr>
        <w:t>Exh. No. __ (DCG-</w:t>
      </w:r>
      <w:r>
        <w:rPr>
          <w:bCs/>
          <w:lang w:val="en-US"/>
        </w:rPr>
        <w:t>21</w:t>
      </w:r>
      <w:r>
        <w:rPr>
          <w:bCs/>
        </w:rPr>
        <w:t>)</w:t>
      </w:r>
      <w:r>
        <w:rPr>
          <w:bCs/>
          <w:lang w:val="en-US"/>
        </w:rPr>
        <w:t xml:space="preserve">, UE-140188, </w:t>
      </w:r>
      <w:r>
        <w:rPr>
          <w:lang w:val="en-US"/>
        </w:rPr>
        <w:t>DeFelice, Exh. No. DBD-5, Attachment No. __ ETD-6.</w:t>
      </w:r>
    </w:p>
  </w:footnote>
  <w:footnote w:id="66">
    <w:p w14:paraId="207DBA10" w14:textId="6CCC4039" w:rsidR="00410470" w:rsidRPr="008647B7" w:rsidRDefault="00410470">
      <w:pPr>
        <w:pStyle w:val="FootnoteText"/>
        <w:rPr>
          <w:lang w:val="en-US"/>
        </w:rPr>
      </w:pPr>
      <w:r>
        <w:rPr>
          <w:rStyle w:val="FootnoteReference"/>
        </w:rPr>
        <w:footnoteRef/>
      </w:r>
      <w:r>
        <w:t xml:space="preserve"> </w:t>
      </w:r>
      <w:r>
        <w:rPr>
          <w:lang w:val="en-US"/>
        </w:rPr>
        <w:t>Comparison of UE-140188, DeFelice, Exh. No. DBD-5, Attachment No. __ ETD-6 in and UE-150204, Schuh, Exh. No. __ (KKS-5), Attachment No. __ (ETD-6).</w:t>
      </w:r>
    </w:p>
  </w:footnote>
  <w:footnote w:id="67">
    <w:p w14:paraId="36AECDA5" w14:textId="49EFD060" w:rsidR="00410470" w:rsidRPr="009152D2" w:rsidRDefault="00410470" w:rsidP="006B4008">
      <w:pPr>
        <w:pStyle w:val="FootnoteText"/>
        <w:rPr>
          <w:lang w:val="en-US"/>
        </w:rPr>
      </w:pPr>
      <w:r>
        <w:rPr>
          <w:rStyle w:val="FootnoteReference"/>
        </w:rPr>
        <w:footnoteRef/>
      </w:r>
      <w:r>
        <w:t xml:space="preserve"> </w:t>
      </w:r>
      <w:r w:rsidRPr="009152D2">
        <w:t>Comparison of</w:t>
      </w:r>
      <w:r w:rsidRPr="00A9742B">
        <w:rPr>
          <w:lang w:val="en-US"/>
        </w:rPr>
        <w:t xml:space="preserve"> </w:t>
      </w:r>
      <w:r>
        <w:rPr>
          <w:lang w:val="en-US"/>
        </w:rPr>
        <w:t xml:space="preserve">Gomez, </w:t>
      </w:r>
      <w:r>
        <w:rPr>
          <w:bCs/>
        </w:rPr>
        <w:t>Exh. No. __ (DCG-</w:t>
      </w:r>
      <w:r>
        <w:rPr>
          <w:bCs/>
          <w:lang w:val="en-US"/>
        </w:rPr>
        <w:t>29</w:t>
      </w:r>
      <w:r>
        <w:rPr>
          <w:bCs/>
        </w:rPr>
        <w:t>)</w:t>
      </w:r>
      <w:r>
        <w:rPr>
          <w:bCs/>
          <w:lang w:val="en-US"/>
        </w:rPr>
        <w:t xml:space="preserve">, </w:t>
      </w:r>
      <w:r>
        <w:rPr>
          <w:lang w:val="en-US"/>
        </w:rPr>
        <w:t>UE-140188,</w:t>
      </w:r>
      <w:r w:rsidRPr="009152D2">
        <w:t xml:space="preserve"> Rosentrater</w:t>
      </w:r>
      <w:r>
        <w:rPr>
          <w:lang w:val="en-US"/>
        </w:rPr>
        <w:t>,</w:t>
      </w:r>
      <w:r>
        <w:t xml:space="preserve"> Exh. No. HLR-1T</w:t>
      </w:r>
      <w:r w:rsidRPr="009152D2">
        <w:t xml:space="preserve"> </w:t>
      </w:r>
      <w:r>
        <w:t xml:space="preserve">17:19 </w:t>
      </w:r>
      <w:r>
        <w:rPr>
          <w:lang w:val="en-US"/>
        </w:rPr>
        <w:t>-</w:t>
      </w:r>
      <w:r w:rsidRPr="009152D2">
        <w:t xml:space="preserve"> 20</w:t>
      </w:r>
      <w:r>
        <w:rPr>
          <w:lang w:val="en-US"/>
        </w:rPr>
        <w:t>:7,</w:t>
      </w:r>
      <w:r w:rsidRPr="009152D2">
        <w:t xml:space="preserve"> and</w:t>
      </w:r>
      <w:r>
        <w:rPr>
          <w:lang w:val="en-US"/>
        </w:rPr>
        <w:t xml:space="preserve"> Gomez, </w:t>
      </w:r>
      <w:r>
        <w:rPr>
          <w:bCs/>
        </w:rPr>
        <w:t>Exh. No. __ (DCG-</w:t>
      </w:r>
      <w:r>
        <w:rPr>
          <w:bCs/>
          <w:lang w:val="en-US"/>
        </w:rPr>
        <w:t>30</w:t>
      </w:r>
      <w:r>
        <w:rPr>
          <w:bCs/>
        </w:rPr>
        <w:t>)</w:t>
      </w:r>
      <w:r>
        <w:rPr>
          <w:bCs/>
          <w:lang w:val="en-US"/>
        </w:rPr>
        <w:t>,</w:t>
      </w:r>
      <w:r w:rsidRPr="009152D2">
        <w:t xml:space="preserve"> </w:t>
      </w:r>
      <w:r>
        <w:rPr>
          <w:i/>
          <w:lang w:val="en-US"/>
        </w:rPr>
        <w:t xml:space="preserve">Wash. </w:t>
      </w:r>
      <w:r>
        <w:rPr>
          <w:i/>
        </w:rPr>
        <w:t>Util</w:t>
      </w:r>
      <w:r w:rsidRPr="009152D2">
        <w:rPr>
          <w:i/>
        </w:rPr>
        <w:t>s</w:t>
      </w:r>
      <w:r>
        <w:rPr>
          <w:i/>
          <w:lang w:val="en-US"/>
        </w:rPr>
        <w:t>.</w:t>
      </w:r>
      <w:r w:rsidRPr="009152D2">
        <w:rPr>
          <w:i/>
        </w:rPr>
        <w:t xml:space="preserve"> </w:t>
      </w:r>
      <w:r>
        <w:rPr>
          <w:i/>
          <w:lang w:val="en-US"/>
        </w:rPr>
        <w:t>&amp;</w:t>
      </w:r>
      <w:r w:rsidRPr="009152D2">
        <w:rPr>
          <w:i/>
        </w:rPr>
        <w:t xml:space="preserve"> Transp. Comm’n v. Avista Corp.</w:t>
      </w:r>
      <w:r w:rsidRPr="009152D2">
        <w:t xml:space="preserve">, </w:t>
      </w:r>
      <w:r>
        <w:rPr>
          <w:lang w:val="en-US"/>
        </w:rPr>
        <w:t>Dockets</w:t>
      </w:r>
      <w:r w:rsidRPr="009152D2">
        <w:t xml:space="preserve"> UE-120</w:t>
      </w:r>
      <w:r>
        <w:t>436 and UG-120437</w:t>
      </w:r>
      <w:r w:rsidRPr="009152D2">
        <w:t>, Kinney</w:t>
      </w:r>
      <w:r>
        <w:rPr>
          <w:lang w:val="en-US"/>
        </w:rPr>
        <w:t>,</w:t>
      </w:r>
      <w:r>
        <w:t xml:space="preserve"> Exh. SJK-1T </w:t>
      </w:r>
      <w:r w:rsidRPr="009152D2">
        <w:t>17-19.</w:t>
      </w:r>
    </w:p>
  </w:footnote>
  <w:footnote w:id="68">
    <w:p w14:paraId="6B14067C" w14:textId="77777777" w:rsidR="00410470" w:rsidRPr="009152D2" w:rsidRDefault="00410470" w:rsidP="006B4008">
      <w:pPr>
        <w:pStyle w:val="FootnoteText"/>
        <w:rPr>
          <w:lang w:val="en-US"/>
        </w:rPr>
      </w:pPr>
      <w:r>
        <w:rPr>
          <w:rStyle w:val="FootnoteReference"/>
        </w:rPr>
        <w:footnoteRef/>
      </w:r>
      <w:r>
        <w:t xml:space="preserve"> </w:t>
      </w:r>
      <w:r>
        <w:rPr>
          <w:lang w:val="en-US"/>
        </w:rPr>
        <w:t>The Company’s Transmission and Distribution Capital Project testimony uses the term “investment” but the context and meaning in which it is being used is referring to transfer to plant amounts.</w:t>
      </w:r>
    </w:p>
  </w:footnote>
  <w:footnote w:id="69">
    <w:p w14:paraId="22A87261" w14:textId="3972EDD7" w:rsidR="00410470" w:rsidRPr="00E5164A" w:rsidRDefault="00410470" w:rsidP="007C51DC">
      <w:pPr>
        <w:pStyle w:val="FootnoteText"/>
        <w:rPr>
          <w:lang w:val="en-US"/>
        </w:rPr>
      </w:pPr>
      <w:r>
        <w:rPr>
          <w:rStyle w:val="FootnoteReference"/>
        </w:rPr>
        <w:footnoteRef/>
      </w:r>
      <w:r>
        <w:t xml:space="preserve"> </w:t>
      </w:r>
      <w:r>
        <w:rPr>
          <w:lang w:val="en-US"/>
        </w:rPr>
        <w:t>Thies, Exh. No. __ (MTT-1T) 11:19 - 12:4.</w:t>
      </w:r>
    </w:p>
  </w:footnote>
  <w:footnote w:id="70">
    <w:p w14:paraId="482546F0" w14:textId="52772A75" w:rsidR="00410470" w:rsidRPr="003017AF" w:rsidRDefault="00410470" w:rsidP="001D2418">
      <w:pPr>
        <w:pStyle w:val="FootnoteText"/>
        <w:rPr>
          <w:lang w:val="en-US"/>
        </w:rPr>
      </w:pPr>
      <w:r>
        <w:rPr>
          <w:rStyle w:val="FootnoteReference"/>
        </w:rPr>
        <w:footnoteRef/>
      </w:r>
      <w:r>
        <w:t xml:space="preserve"> </w:t>
      </w:r>
      <w:r w:rsidRPr="003017AF">
        <w:rPr>
          <w:lang w:val="es-PR"/>
        </w:rPr>
        <w:t xml:space="preserve">UE-140188, Exh. No. </w:t>
      </w:r>
      <w:r w:rsidRPr="003017AF">
        <w:rPr>
          <w:lang w:val="en-US"/>
        </w:rPr>
        <w:t xml:space="preserve">DCG-1TC 4 - 12:7.  </w:t>
      </w:r>
    </w:p>
  </w:footnote>
  <w:footnote w:id="71">
    <w:p w14:paraId="2273E24B" w14:textId="0BD02177" w:rsidR="00410470" w:rsidRPr="00FA345B" w:rsidRDefault="00410470" w:rsidP="0035595A">
      <w:pPr>
        <w:pStyle w:val="FootnoteText"/>
        <w:rPr>
          <w:lang w:val="en-US"/>
        </w:rPr>
      </w:pPr>
      <w:r>
        <w:rPr>
          <w:rStyle w:val="FootnoteReference"/>
        </w:rPr>
        <w:footnoteRef/>
      </w:r>
      <w:r>
        <w:t xml:space="preserve"> </w:t>
      </w:r>
      <w:r>
        <w:rPr>
          <w:lang w:val="en-US"/>
        </w:rPr>
        <w:t>Thies, Exh. No. __ (MTT-1T) 9:21-23.</w:t>
      </w:r>
    </w:p>
  </w:footnote>
  <w:footnote w:id="72">
    <w:p w14:paraId="57C1ED5B" w14:textId="0701A1C8" w:rsidR="00410470" w:rsidRPr="00C91E19" w:rsidRDefault="00410470">
      <w:pPr>
        <w:pStyle w:val="FootnoteText"/>
        <w:rPr>
          <w:lang w:val="en-US"/>
        </w:rPr>
      </w:pPr>
      <w:r>
        <w:rPr>
          <w:rStyle w:val="FootnoteReference"/>
        </w:rPr>
        <w:footnoteRef/>
      </w:r>
      <w:r>
        <w:t xml:space="preserve"> </w:t>
      </w:r>
      <w:r w:rsidRPr="00DE4169">
        <w:t xml:space="preserve">In its response to </w:t>
      </w:r>
      <w:r w:rsidRPr="006F3B4E">
        <w:t>Industrial Customers of Northwest Utilities</w:t>
      </w:r>
      <w:r>
        <w:rPr>
          <w:lang w:val="en-US"/>
        </w:rPr>
        <w:t xml:space="preserve"> (</w:t>
      </w:r>
      <w:r w:rsidRPr="00DE4169">
        <w:t>ICNU</w:t>
      </w:r>
      <w:r>
        <w:rPr>
          <w:lang w:val="en-US"/>
        </w:rPr>
        <w:t>)</w:t>
      </w:r>
      <w:r w:rsidRPr="00DE4169">
        <w:t xml:space="preserve"> </w:t>
      </w:r>
      <w:r>
        <w:rPr>
          <w:lang w:val="en-US"/>
        </w:rPr>
        <w:t>Data Request</w:t>
      </w:r>
      <w:r w:rsidRPr="00DE4169">
        <w:t xml:space="preserve"> </w:t>
      </w:r>
      <w:r>
        <w:rPr>
          <w:lang w:val="en-US"/>
        </w:rPr>
        <w:t xml:space="preserve">No. </w:t>
      </w:r>
      <w:r w:rsidRPr="00DE4169">
        <w:t>006</w:t>
      </w:r>
      <w:r>
        <w:rPr>
          <w:lang w:val="en-US"/>
        </w:rPr>
        <w:t>, Attachment A</w:t>
      </w:r>
      <w:r w:rsidRPr="00DE4169">
        <w:t>, the Com</w:t>
      </w:r>
      <w:r>
        <w:t>pany provided a document titled</w:t>
      </w:r>
      <w:r w:rsidRPr="00DE4169">
        <w:t xml:space="preserve"> Electric Transmission System 2014 Annual Update, dated March 31, 2014. </w:t>
      </w:r>
      <w:r>
        <w:rPr>
          <w:lang w:val="en-US"/>
        </w:rPr>
        <w:t xml:space="preserve"> See Gomez, </w:t>
      </w:r>
      <w:r>
        <w:rPr>
          <w:bCs/>
        </w:rPr>
        <w:t>Exh. No. __ (DCG-</w:t>
      </w:r>
      <w:r>
        <w:rPr>
          <w:bCs/>
          <w:lang w:val="en-US"/>
        </w:rPr>
        <w:t>14</w:t>
      </w:r>
      <w:r>
        <w:rPr>
          <w:bCs/>
        </w:rPr>
        <w:t>)</w:t>
      </w:r>
      <w:r>
        <w:rPr>
          <w:bCs/>
          <w:lang w:val="en-US"/>
        </w:rPr>
        <w:t>,</w:t>
      </w:r>
    </w:p>
  </w:footnote>
  <w:footnote w:id="73">
    <w:p w14:paraId="01B23A86" w14:textId="0CF599D1" w:rsidR="00410470" w:rsidRPr="00586308" w:rsidRDefault="00410470">
      <w:pPr>
        <w:pStyle w:val="FootnoteText"/>
        <w:rPr>
          <w:lang w:val="en-US"/>
        </w:rPr>
      </w:pPr>
      <w:r>
        <w:rPr>
          <w:rStyle w:val="FootnoteReference"/>
        </w:rPr>
        <w:footnoteRef/>
      </w:r>
      <w:r>
        <w:t xml:space="preserve"> </w:t>
      </w:r>
      <w:r>
        <w:rPr>
          <w:lang w:val="en-US"/>
        </w:rPr>
        <w:t xml:space="preserve">Comparison of Gomez, </w:t>
      </w:r>
      <w:r>
        <w:rPr>
          <w:bCs/>
        </w:rPr>
        <w:t>Exh. No. __ (DCG-</w:t>
      </w:r>
      <w:r w:rsidRPr="00800CB3">
        <w:rPr>
          <w:bCs/>
          <w:lang w:val="es-PR"/>
        </w:rPr>
        <w:t>21</w:t>
      </w:r>
      <w:r>
        <w:rPr>
          <w:bCs/>
        </w:rPr>
        <w:t>)</w:t>
      </w:r>
      <w:r w:rsidRPr="00800CB3">
        <w:rPr>
          <w:bCs/>
          <w:lang w:val="es-PR"/>
        </w:rPr>
        <w:t xml:space="preserve">, </w:t>
      </w:r>
      <w:r w:rsidRPr="00800CB3">
        <w:rPr>
          <w:lang w:val="es-PR"/>
        </w:rPr>
        <w:t xml:space="preserve">UE-140188, DeFelice, Exh. No. </w:t>
      </w:r>
      <w:r>
        <w:rPr>
          <w:lang w:val="en-US"/>
        </w:rPr>
        <w:t xml:space="preserve">DBD-5, Attachment No. __ ETD-11, with UE-150204, Schuh, Exhibit No. __ (KKS-5), Attachment No. __ ETD-11, and Gomez, </w:t>
      </w:r>
      <w:r>
        <w:rPr>
          <w:bCs/>
        </w:rPr>
        <w:t>Exh. No. __ (DCG-</w:t>
      </w:r>
      <w:r>
        <w:rPr>
          <w:bCs/>
          <w:lang w:val="en-US"/>
        </w:rPr>
        <w:t>20</w:t>
      </w:r>
      <w:r>
        <w:rPr>
          <w:bCs/>
        </w:rPr>
        <w:t>)</w:t>
      </w:r>
      <w:r>
        <w:rPr>
          <w:bCs/>
          <w:lang w:val="en-US"/>
        </w:rPr>
        <w:t xml:space="preserve">, </w:t>
      </w:r>
      <w:r>
        <w:rPr>
          <w:lang w:val="en-US"/>
        </w:rPr>
        <w:t xml:space="preserve">Avista’s Compliance filing in UE-140188. </w:t>
      </w:r>
    </w:p>
  </w:footnote>
  <w:footnote w:id="74">
    <w:p w14:paraId="6EF93D06" w14:textId="1FA6931C" w:rsidR="00410470" w:rsidRPr="00800CB3" w:rsidRDefault="00410470">
      <w:pPr>
        <w:pStyle w:val="FootnoteText"/>
        <w:rPr>
          <w:lang w:val="es-PR"/>
        </w:rPr>
      </w:pPr>
      <w:r>
        <w:rPr>
          <w:rStyle w:val="FootnoteReference"/>
        </w:rPr>
        <w:footnoteRef/>
      </w:r>
      <w:r>
        <w:t xml:space="preserve"> </w:t>
      </w:r>
      <w:r w:rsidRPr="00800CB3">
        <w:rPr>
          <w:lang w:val="es-PR"/>
        </w:rPr>
        <w:t xml:space="preserve">Gomez, </w:t>
      </w:r>
      <w:r>
        <w:rPr>
          <w:bCs/>
        </w:rPr>
        <w:t>Exh. No. __ (DCG-</w:t>
      </w:r>
      <w:r w:rsidRPr="00800CB3">
        <w:rPr>
          <w:bCs/>
          <w:lang w:val="es-PR"/>
        </w:rPr>
        <w:t>11</w:t>
      </w:r>
      <w:r>
        <w:rPr>
          <w:bCs/>
        </w:rPr>
        <w:t>)</w:t>
      </w:r>
      <w:r w:rsidRPr="00800CB3">
        <w:rPr>
          <w:bCs/>
          <w:lang w:val="es-PR"/>
        </w:rPr>
        <w:t>.</w:t>
      </w:r>
    </w:p>
  </w:footnote>
  <w:footnote w:id="75">
    <w:p w14:paraId="2B0BAC5E" w14:textId="205F621E" w:rsidR="00410470" w:rsidRPr="00C02307" w:rsidRDefault="00410470">
      <w:pPr>
        <w:pStyle w:val="FootnoteText"/>
        <w:rPr>
          <w:lang w:val="en-US"/>
        </w:rPr>
      </w:pPr>
      <w:r>
        <w:rPr>
          <w:rStyle w:val="FootnoteReference"/>
        </w:rPr>
        <w:footnoteRef/>
      </w:r>
      <w:r>
        <w:t xml:space="preserve"> </w:t>
      </w:r>
      <w:r w:rsidRPr="00800CB3">
        <w:rPr>
          <w:lang w:val="es-PR"/>
        </w:rPr>
        <w:t xml:space="preserve">Gomez, Exh. No. </w:t>
      </w:r>
      <w:r>
        <w:rPr>
          <w:lang w:val="en-US"/>
        </w:rPr>
        <w:t xml:space="preserve">___ (DCG-11), Avista’s </w:t>
      </w:r>
      <w:r w:rsidRPr="00C02307">
        <w:t>2015 Electric Transmission System Asset Management Plan</w:t>
      </w:r>
      <w:r>
        <w:rPr>
          <w:lang w:val="en-US"/>
        </w:rPr>
        <w:t>, page 30 of 52.</w:t>
      </w:r>
    </w:p>
  </w:footnote>
  <w:footnote w:id="76">
    <w:p w14:paraId="4D6157E4" w14:textId="09E4B1D0" w:rsidR="00410470" w:rsidRPr="00B962FA" w:rsidRDefault="00410470">
      <w:pPr>
        <w:pStyle w:val="FootnoteText"/>
        <w:rPr>
          <w:lang w:val="en-US"/>
        </w:rPr>
      </w:pPr>
      <w:r>
        <w:rPr>
          <w:rStyle w:val="FootnoteReference"/>
        </w:rPr>
        <w:footnoteRef/>
      </w:r>
      <w:r>
        <w:t xml:space="preserve"> </w:t>
      </w:r>
      <w:r>
        <w:rPr>
          <w:lang w:val="en-US"/>
        </w:rPr>
        <w:t xml:space="preserve">Gomez, </w:t>
      </w:r>
      <w:r>
        <w:rPr>
          <w:bCs/>
        </w:rPr>
        <w:t>Exh. No. __ (DCG-</w:t>
      </w:r>
      <w:r>
        <w:rPr>
          <w:bCs/>
          <w:lang w:val="en-US"/>
        </w:rPr>
        <w:t>22</w:t>
      </w:r>
      <w:r>
        <w:rPr>
          <w:bCs/>
        </w:rPr>
        <w:t>)</w:t>
      </w:r>
      <w:r>
        <w:rPr>
          <w:bCs/>
          <w:lang w:val="en-US"/>
        </w:rPr>
        <w:t xml:space="preserve">, </w:t>
      </w:r>
      <w:r w:rsidRPr="00A25CED">
        <w:t>Avista witness Jennifer S. Smith w</w:t>
      </w:r>
      <w:r>
        <w:t>orkpaper, Excel workbook titled</w:t>
      </w:r>
      <w:r w:rsidRPr="00A25CED">
        <w:t xml:space="preserve"> 3) WA CapXAdditions 12.31.15</w:t>
      </w:r>
      <w:r>
        <w:rPr>
          <w:lang w:val="en-US"/>
        </w:rPr>
        <w:t xml:space="preserve">, CAP15.3, ER-2577, </w:t>
      </w:r>
      <w:r w:rsidRPr="00B962FA">
        <w:t>Benewah-Moscow 230kV - Structure Replacement</w:t>
      </w:r>
      <w:r>
        <w:rPr>
          <w:lang w:val="en-US"/>
        </w:rPr>
        <w:t xml:space="preserve">, $7.8 million; ER-2423, </w:t>
      </w:r>
      <w:r w:rsidRPr="00B962FA">
        <w:rPr>
          <w:lang w:val="en-US"/>
        </w:rPr>
        <w:t>System Transmission:</w:t>
      </w:r>
      <w:r>
        <w:rPr>
          <w:lang w:val="en-US"/>
        </w:rPr>
        <w:t xml:space="preserve"> </w:t>
      </w:r>
      <w:r w:rsidRPr="00B962FA">
        <w:rPr>
          <w:lang w:val="en-US"/>
        </w:rPr>
        <w:t>Rebuild Condition</w:t>
      </w:r>
      <w:r>
        <w:rPr>
          <w:lang w:val="en-US"/>
        </w:rPr>
        <w:t xml:space="preserve">, $2.5 million; and ER-2564, </w:t>
      </w:r>
      <w:r w:rsidRPr="00B962FA">
        <w:rPr>
          <w:lang w:val="en-US"/>
        </w:rPr>
        <w:t>Devils Gap-Lind 115kV Transmission Rebuild</w:t>
      </w:r>
      <w:r>
        <w:rPr>
          <w:lang w:val="en-US"/>
        </w:rPr>
        <w:t>, $3.9 million.</w:t>
      </w:r>
    </w:p>
  </w:footnote>
  <w:footnote w:id="77">
    <w:p w14:paraId="66C09497" w14:textId="799F075A" w:rsidR="00410470" w:rsidRPr="00CE2D1E" w:rsidRDefault="00410470">
      <w:pPr>
        <w:pStyle w:val="FootnoteText"/>
        <w:rPr>
          <w:lang w:val="en-US"/>
        </w:rPr>
      </w:pPr>
      <w:r>
        <w:rPr>
          <w:rStyle w:val="FootnoteReference"/>
        </w:rPr>
        <w:footnoteRef/>
      </w:r>
      <w:r>
        <w:t xml:space="preserve"> </w:t>
      </w:r>
      <w:r>
        <w:rPr>
          <w:lang w:val="en-US"/>
        </w:rPr>
        <w:t>Kensok, Exh. No. __ (JMK-1T) 15:6-8.</w:t>
      </w:r>
    </w:p>
  </w:footnote>
  <w:footnote w:id="78">
    <w:p w14:paraId="0B1391F8" w14:textId="353F5210" w:rsidR="00410470" w:rsidRPr="0041314B" w:rsidRDefault="00410470" w:rsidP="00143000">
      <w:pPr>
        <w:pStyle w:val="FootnoteText"/>
        <w:rPr>
          <w:lang w:val="en-US"/>
        </w:rPr>
      </w:pPr>
      <w:r>
        <w:rPr>
          <w:rStyle w:val="FootnoteReference"/>
        </w:rPr>
        <w:footnoteRef/>
      </w:r>
      <w:r>
        <w:t xml:space="preserve"> </w:t>
      </w:r>
      <w:r>
        <w:rPr>
          <w:lang w:val="en-US"/>
        </w:rPr>
        <w:t xml:space="preserve">Gomez, </w:t>
      </w:r>
      <w:r>
        <w:rPr>
          <w:bCs/>
        </w:rPr>
        <w:t>Exh. No. __ (DCG-</w:t>
      </w:r>
      <w:r>
        <w:rPr>
          <w:bCs/>
          <w:lang w:val="en-US"/>
        </w:rPr>
        <w:t>25</w:t>
      </w:r>
      <w:r>
        <w:rPr>
          <w:bCs/>
        </w:rPr>
        <w:t>)</w:t>
      </w:r>
      <w:r>
        <w:rPr>
          <w:bCs/>
          <w:lang w:val="en-US"/>
        </w:rPr>
        <w:t xml:space="preserve">, </w:t>
      </w:r>
      <w:r w:rsidRPr="0041314B">
        <w:rPr>
          <w:lang w:val="en-US"/>
        </w:rPr>
        <w:t>IPUC Docket No. AVU-E-15-05</w:t>
      </w:r>
      <w:r>
        <w:rPr>
          <w:lang w:val="en-US"/>
        </w:rPr>
        <w:t xml:space="preserve">, </w:t>
      </w:r>
      <w:r w:rsidRPr="0041314B">
        <w:rPr>
          <w:lang w:val="en-US"/>
        </w:rPr>
        <w:t xml:space="preserve">Kensok direct testimony, </w:t>
      </w:r>
      <w:r>
        <w:rPr>
          <w:lang w:val="en-US"/>
        </w:rPr>
        <w:t>Table No. 2, 17:3-24.</w:t>
      </w:r>
    </w:p>
  </w:footnote>
  <w:footnote w:id="79">
    <w:p w14:paraId="375B4308" w14:textId="2834F8D9" w:rsidR="00410470" w:rsidRPr="00F01361" w:rsidRDefault="00410470" w:rsidP="00A3388F">
      <w:pPr>
        <w:pStyle w:val="FootnoteText"/>
        <w:rPr>
          <w:lang w:val="en-US"/>
        </w:rPr>
      </w:pPr>
      <w:r>
        <w:rPr>
          <w:rStyle w:val="FootnoteReference"/>
        </w:rPr>
        <w:footnoteRef/>
      </w:r>
      <w:r>
        <w:t xml:space="preserve"> </w:t>
      </w:r>
      <w:r>
        <w:rPr>
          <w:lang w:val="en-US"/>
        </w:rPr>
        <w:t xml:space="preserve">Gomez, </w:t>
      </w:r>
      <w:r>
        <w:rPr>
          <w:bCs/>
        </w:rPr>
        <w:t>Exh. No. __ (DCG-</w:t>
      </w:r>
      <w:r>
        <w:rPr>
          <w:bCs/>
          <w:lang w:val="en-US"/>
        </w:rPr>
        <w:t>16C</w:t>
      </w:r>
      <w:r>
        <w:rPr>
          <w:bCs/>
        </w:rPr>
        <w:t>)</w:t>
      </w:r>
      <w:r>
        <w:rPr>
          <w:bCs/>
          <w:lang w:val="en-US"/>
        </w:rPr>
        <w:t xml:space="preserve">, </w:t>
      </w:r>
      <w:r>
        <w:rPr>
          <w:lang w:val="en-US"/>
        </w:rPr>
        <w:t>Avista response to Staff Data Request No. 141, Part A.</w:t>
      </w:r>
    </w:p>
  </w:footnote>
  <w:footnote w:id="80">
    <w:p w14:paraId="00B83A5B" w14:textId="06DE89F7" w:rsidR="00410470" w:rsidRPr="00FA5C64" w:rsidRDefault="00410470">
      <w:pPr>
        <w:pStyle w:val="FootnoteText"/>
        <w:rPr>
          <w:lang w:val="en-US"/>
        </w:rPr>
      </w:pPr>
      <w:r>
        <w:rPr>
          <w:rStyle w:val="FootnoteReference"/>
        </w:rPr>
        <w:footnoteRef/>
      </w:r>
      <w:r>
        <w:t xml:space="preserve"> </w:t>
      </w:r>
      <w:r>
        <w:rPr>
          <w:lang w:val="en-US"/>
        </w:rPr>
        <w:t xml:space="preserve">Gomez, </w:t>
      </w:r>
      <w:r>
        <w:rPr>
          <w:bCs/>
        </w:rPr>
        <w:t>Exh. No. __ (DCG-</w:t>
      </w:r>
      <w:r>
        <w:rPr>
          <w:bCs/>
          <w:lang w:val="en-US"/>
        </w:rPr>
        <w:t>31C</w:t>
      </w:r>
      <w:r>
        <w:rPr>
          <w:bCs/>
        </w:rPr>
        <w:t>)</w:t>
      </w:r>
      <w:r>
        <w:rPr>
          <w:bCs/>
          <w:lang w:val="en-US"/>
        </w:rPr>
        <w:t xml:space="preserve">, </w:t>
      </w:r>
      <w:r>
        <w:rPr>
          <w:lang w:val="en-US"/>
        </w:rPr>
        <w:t>UE-140188, Kensok, Exh. No. JMK-2, Confidential Attachment 15.</w:t>
      </w:r>
    </w:p>
  </w:footnote>
  <w:footnote w:id="81">
    <w:p w14:paraId="0FFDE39E" w14:textId="3D27F994" w:rsidR="00410470" w:rsidRPr="001D6C8F" w:rsidRDefault="00410470">
      <w:pPr>
        <w:pStyle w:val="FootnoteText"/>
        <w:rPr>
          <w:lang w:val="en-US"/>
        </w:rPr>
      </w:pPr>
      <w:r>
        <w:rPr>
          <w:rStyle w:val="FootnoteReference"/>
        </w:rPr>
        <w:footnoteRef/>
      </w:r>
      <w:r>
        <w:t xml:space="preserve"> </w:t>
      </w:r>
      <w:r>
        <w:rPr>
          <w:lang w:val="en-US"/>
        </w:rPr>
        <w:t>Kensok, Exh. No. __ (JMK-1) 20:1-6.  Staff notes an inconsistency in Mr. Kensok’s testimony and exhibits regarding when the Board of Directors for Avista actually approved the first budget increase.  In Mr. Kensok’s Exhibit No. __ (JMK-2), page 12, paragraph 1, he states the Company’s officers and Board approved the budget increase in May of 2014.</w:t>
      </w:r>
    </w:p>
  </w:footnote>
  <w:footnote w:id="82">
    <w:p w14:paraId="6F052FF3" w14:textId="0582A36A" w:rsidR="00410470" w:rsidRPr="001D6C8F" w:rsidRDefault="00410470">
      <w:pPr>
        <w:pStyle w:val="FootnoteText"/>
        <w:rPr>
          <w:lang w:val="en-US"/>
        </w:rPr>
      </w:pPr>
      <w:r>
        <w:rPr>
          <w:rStyle w:val="FootnoteReference"/>
        </w:rPr>
        <w:footnoteRef/>
      </w:r>
      <w:r>
        <w:rPr>
          <w:lang w:val="en-US"/>
        </w:rPr>
        <w:t>Kensok, Exh. No. __ (JMK-1) 20:1-6.</w:t>
      </w:r>
    </w:p>
  </w:footnote>
  <w:footnote w:id="83">
    <w:p w14:paraId="2DF8436C" w14:textId="6EA05A4B" w:rsidR="00410470" w:rsidRPr="009D004B" w:rsidRDefault="00410470">
      <w:pPr>
        <w:pStyle w:val="FootnoteText"/>
        <w:rPr>
          <w:lang w:val="en-US"/>
        </w:rPr>
      </w:pPr>
      <w:r>
        <w:rPr>
          <w:rStyle w:val="FootnoteReference"/>
        </w:rPr>
        <w:footnoteRef/>
      </w:r>
      <w:r>
        <w:t xml:space="preserve"> </w:t>
      </w:r>
      <w:r>
        <w:rPr>
          <w:lang w:val="en-US"/>
        </w:rPr>
        <w:t>Kensok, Exh. No. __ (JMK-1) 20:7-13.</w:t>
      </w:r>
    </w:p>
  </w:footnote>
  <w:footnote w:id="84">
    <w:p w14:paraId="7D07E520" w14:textId="2B6B7E76" w:rsidR="00410470" w:rsidRPr="009147F5" w:rsidRDefault="00410470">
      <w:pPr>
        <w:pStyle w:val="FootnoteText"/>
        <w:rPr>
          <w:lang w:val="en-US"/>
        </w:rPr>
      </w:pPr>
      <w:r>
        <w:rPr>
          <w:rStyle w:val="FootnoteReference"/>
        </w:rPr>
        <w:footnoteRef/>
      </w:r>
      <w:r>
        <w:t xml:space="preserve"> </w:t>
      </w:r>
      <w:r>
        <w:rPr>
          <w:lang w:val="en-US"/>
        </w:rPr>
        <w:t>Exh. No. __ (JMK-2) 2.</w:t>
      </w:r>
    </w:p>
  </w:footnote>
  <w:footnote w:id="85">
    <w:p w14:paraId="1A94094F" w14:textId="591F5B65" w:rsidR="00410470" w:rsidRPr="004B69A6" w:rsidRDefault="00410470">
      <w:pPr>
        <w:pStyle w:val="FootnoteText"/>
        <w:rPr>
          <w:lang w:val="en-US"/>
        </w:rPr>
      </w:pPr>
      <w:r>
        <w:rPr>
          <w:rStyle w:val="FootnoteReference"/>
        </w:rPr>
        <w:footnoteRef/>
      </w:r>
      <w:r>
        <w:t xml:space="preserve"> </w:t>
      </w:r>
      <w:r>
        <w:rPr>
          <w:lang w:val="en-US"/>
        </w:rPr>
        <w:t xml:space="preserve">Exh. No. __ (JMK-1T) 20:10-13.  </w:t>
      </w:r>
    </w:p>
  </w:footnote>
  <w:footnote w:id="86">
    <w:p w14:paraId="65C57925" w14:textId="50011FC2" w:rsidR="00410470" w:rsidRPr="00F56225" w:rsidRDefault="00410470" w:rsidP="008023B2">
      <w:pPr>
        <w:pStyle w:val="FootnoteText"/>
        <w:rPr>
          <w:lang w:val="en-US"/>
        </w:rPr>
      </w:pPr>
      <w:r>
        <w:rPr>
          <w:rStyle w:val="FootnoteReference"/>
        </w:rPr>
        <w:footnoteRef/>
      </w:r>
      <w:r>
        <w:t xml:space="preserve"> </w:t>
      </w:r>
      <w:r>
        <w:rPr>
          <w:lang w:val="en-US"/>
        </w:rPr>
        <w:t>Kensok, Exh. No. __ (JMK-2) 12, ¶ 1.  These were the amounts in Avista’s as-filed case. These amounts are likely different than the final amounts at project close.</w:t>
      </w:r>
    </w:p>
  </w:footnote>
  <w:footnote w:id="87">
    <w:p w14:paraId="32271207" w14:textId="20A17CF4" w:rsidR="00410470" w:rsidRPr="00957EB9" w:rsidRDefault="00410470">
      <w:pPr>
        <w:pStyle w:val="FootnoteText"/>
        <w:rPr>
          <w:lang w:val="en-US"/>
        </w:rPr>
      </w:pPr>
      <w:r>
        <w:rPr>
          <w:rStyle w:val="FootnoteReference"/>
        </w:rPr>
        <w:footnoteRef/>
      </w:r>
      <w:r>
        <w:t xml:space="preserve"> </w:t>
      </w:r>
      <w:r>
        <w:rPr>
          <w:lang w:val="en-US"/>
        </w:rPr>
        <w:t>Avista’s confidential response to Staff Data Request No. 153.</w:t>
      </w:r>
    </w:p>
  </w:footnote>
  <w:footnote w:id="88">
    <w:p w14:paraId="4CAE6847" w14:textId="749BABE6" w:rsidR="00410470" w:rsidRDefault="00410470" w:rsidP="00E5536D">
      <w:pPr>
        <w:pStyle w:val="FootnoteText"/>
      </w:pPr>
      <w:r>
        <w:rPr>
          <w:rStyle w:val="FootnoteReference"/>
        </w:rPr>
        <w:footnoteRef/>
      </w:r>
      <w:r>
        <w:t xml:space="preserve"> </w:t>
      </w:r>
      <w:r w:rsidRPr="00CF6E8E">
        <w:rPr>
          <w:i/>
        </w:rPr>
        <w:t>Wash. Utils. &amp; Transp. Comm’n v. Puget Sound Energy, Inc.</w:t>
      </w:r>
      <w:r>
        <w:t xml:space="preserve">, Docket UE-031725, Order 14 (May 13, 2004),  </w:t>
      </w:r>
      <w:r>
        <w:rPr>
          <w:lang w:val="en-US"/>
        </w:rPr>
        <w:t xml:space="preserve"> </w:t>
      </w:r>
      <w:r>
        <w:t>34,</w:t>
      </w:r>
      <w:r>
        <w:rPr>
          <w:lang w:val="en-US"/>
        </w:rPr>
        <w:t xml:space="preserve"> ¶ 65,</w:t>
      </w:r>
      <w:r>
        <w:t xml:space="preserve"> </w:t>
      </w:r>
      <w:r>
        <w:rPr>
          <w:i/>
        </w:rPr>
        <w:t>citing</w:t>
      </w:r>
      <w:r>
        <w:rPr>
          <w:i/>
          <w:lang w:val="en-US"/>
        </w:rPr>
        <w:t xml:space="preserve"> </w:t>
      </w:r>
      <w:r w:rsidRPr="00CF6E8E">
        <w:rPr>
          <w:i/>
        </w:rPr>
        <w:t>Wash. Utils. &amp; Transp. Comm’n</w:t>
      </w:r>
      <w:r>
        <w:rPr>
          <w:i/>
          <w:iCs/>
        </w:rPr>
        <w:t xml:space="preserve"> v. Puget Sound Power &amp; Light Co.,</w:t>
      </w:r>
      <w:r>
        <w:t xml:space="preserve"> Cause No. U-83-54, Fourth Supplemental Order (September 28, 1984),</w:t>
      </w:r>
      <w:r>
        <w:rPr>
          <w:lang w:val="en-US"/>
        </w:rPr>
        <w:t xml:space="preserve"> </w:t>
      </w:r>
      <w:r>
        <w:t>32</w:t>
      </w:r>
      <w:r>
        <w:rPr>
          <w:lang w:val="en-US"/>
        </w:rPr>
        <w:t xml:space="preserve">, and </w:t>
      </w:r>
      <w:r>
        <w:rPr>
          <w:i/>
          <w:lang w:val="en-US"/>
        </w:rPr>
        <w:t>citing</w:t>
      </w:r>
      <w:r>
        <w:t xml:space="preserve"> Goodman, </w:t>
      </w:r>
      <w:r w:rsidRPr="00DB0530">
        <w:t>The Process of Ratemaking</w:t>
      </w:r>
      <w:r>
        <w:t>, 856-57.</w:t>
      </w:r>
    </w:p>
  </w:footnote>
  <w:footnote w:id="89">
    <w:p w14:paraId="430277FE" w14:textId="47806FB8" w:rsidR="00410470" w:rsidRPr="001020F8" w:rsidRDefault="00410470">
      <w:pPr>
        <w:pStyle w:val="FootnoteText"/>
        <w:rPr>
          <w:lang w:val="en-US"/>
        </w:rPr>
      </w:pPr>
      <w:r>
        <w:rPr>
          <w:rStyle w:val="FootnoteReference"/>
        </w:rPr>
        <w:footnoteRef/>
      </w:r>
      <w:r>
        <w:t xml:space="preserve"> </w:t>
      </w:r>
      <w:r w:rsidRPr="00910981">
        <w:rPr>
          <w:i/>
        </w:rPr>
        <w:t xml:space="preserve">Wash. Utils. &amp; Transp. Comm’n v. The </w:t>
      </w:r>
      <w:r>
        <w:rPr>
          <w:i/>
        </w:rPr>
        <w:t>Wash.</w:t>
      </w:r>
      <w:r w:rsidRPr="00910981">
        <w:rPr>
          <w:i/>
        </w:rPr>
        <w:t xml:space="preserve"> Water Power Co.</w:t>
      </w:r>
      <w:r>
        <w:t>, Cause No. U-83-26, Fifth Supplemental</w:t>
      </w:r>
      <w:r>
        <w:rPr>
          <w:lang w:val="en-US"/>
        </w:rPr>
        <w:t xml:space="preserve"> </w:t>
      </w:r>
      <w:r>
        <w:t>Order (Jan. 19, 1984), p.</w:t>
      </w:r>
      <w:r>
        <w:rPr>
          <w:lang w:val="en-US"/>
        </w:rPr>
        <w:t xml:space="preserve"> </w:t>
      </w:r>
      <w:r>
        <w:t>13.</w:t>
      </w:r>
    </w:p>
  </w:footnote>
  <w:footnote w:id="90">
    <w:p w14:paraId="3E8BEF2B" w14:textId="333E2AFC" w:rsidR="00410470" w:rsidRPr="002964BB" w:rsidRDefault="00410470">
      <w:pPr>
        <w:pStyle w:val="FootnoteText"/>
        <w:rPr>
          <w:lang w:val="en-US"/>
        </w:rPr>
      </w:pPr>
      <w:r>
        <w:rPr>
          <w:rStyle w:val="FootnoteReference"/>
        </w:rPr>
        <w:footnoteRef/>
      </w:r>
      <w:r>
        <w:t xml:space="preserve"> </w:t>
      </w:r>
      <w:r w:rsidRPr="00DB0530">
        <w:rPr>
          <w:lang w:val="en-US"/>
        </w:rPr>
        <w:t>Ibid</w:t>
      </w:r>
      <w:r>
        <w:rPr>
          <w:i/>
          <w:lang w:val="en-US"/>
        </w:rPr>
        <w:t>.</w:t>
      </w:r>
      <w:r>
        <w:rPr>
          <w:lang w:val="en-US"/>
        </w:rPr>
        <w:t>, p. 13 (“</w:t>
      </w:r>
      <w:r>
        <w:t>As with all issues, the company bears the burden to prove initiation, construction and continuation of the project was prudent</w:t>
      </w:r>
      <w:r>
        <w:rPr>
          <w:lang w:val="en-US"/>
        </w:rPr>
        <w:t>”</w:t>
      </w:r>
      <w:r>
        <w:t>);</w:t>
      </w:r>
      <w:r>
        <w:rPr>
          <w:lang w:val="en-US"/>
        </w:rPr>
        <w:t xml:space="preserve"> </w:t>
      </w:r>
      <w:r>
        <w:rPr>
          <w:i/>
          <w:lang w:val="en-US"/>
        </w:rPr>
        <w:t xml:space="preserve">see </w:t>
      </w:r>
      <w:r>
        <w:rPr>
          <w:i/>
        </w:rPr>
        <w:t xml:space="preserve">Petition of Puget Sound Power &amp; Light Co. for an Order Regarding the Accounting Treatment of Residential Exchange Benefits, </w:t>
      </w:r>
      <w:r>
        <w:t>Docket No. UE-920433, Eleventh Supplemental Order (Sept 21, 1993)</w:t>
      </w:r>
      <w:r>
        <w:rPr>
          <w:lang w:val="en-US"/>
        </w:rPr>
        <w:t>, p.19 (“</w:t>
      </w:r>
      <w:r>
        <w:t>Puget must make an affirmative showing of the reasonableness and prudence of the expenses under review . . . even in the absence of a challenge by another party</w:t>
      </w:r>
      <w:r>
        <w:rPr>
          <w:lang w:val="en-US"/>
        </w:rPr>
        <w:t>”).</w:t>
      </w:r>
    </w:p>
  </w:footnote>
  <w:footnote w:id="91">
    <w:p w14:paraId="64AAA848" w14:textId="4A799865" w:rsidR="00410470" w:rsidRPr="004D5DAD" w:rsidRDefault="00410470" w:rsidP="003137D8">
      <w:pPr>
        <w:pStyle w:val="FootnoteText"/>
        <w:rPr>
          <w:lang w:val="en-US"/>
        </w:rPr>
      </w:pPr>
      <w:r>
        <w:rPr>
          <w:rStyle w:val="FootnoteReference"/>
        </w:rPr>
        <w:footnoteRef/>
      </w:r>
      <w:r>
        <w:t xml:space="preserve"> </w:t>
      </w:r>
      <w:r>
        <w:rPr>
          <w:lang w:val="en-US"/>
        </w:rPr>
        <w:t xml:space="preserve">Avista’s responses to Staff Data Request Nos. 140, 141, 152, 153 and 154.  See Gomez, </w:t>
      </w:r>
      <w:r>
        <w:rPr>
          <w:bCs/>
        </w:rPr>
        <w:t>Exh. No</w:t>
      </w:r>
      <w:r>
        <w:rPr>
          <w:bCs/>
          <w:lang w:val="en-US"/>
        </w:rPr>
        <w:t>s</w:t>
      </w:r>
      <w:r>
        <w:rPr>
          <w:bCs/>
        </w:rPr>
        <w:t>. __ (DCG-</w:t>
      </w:r>
      <w:r>
        <w:rPr>
          <w:bCs/>
          <w:lang w:val="en-US"/>
        </w:rPr>
        <w:t>15C</w:t>
      </w:r>
      <w:r>
        <w:rPr>
          <w:bCs/>
        </w:rPr>
        <w:t>)</w:t>
      </w:r>
      <w:r>
        <w:rPr>
          <w:bCs/>
          <w:lang w:val="en-US"/>
        </w:rPr>
        <w:t>, (DCG-16C), (DCG-16C), (DCG-18C), and (DCG-19).</w:t>
      </w:r>
    </w:p>
  </w:footnote>
  <w:footnote w:id="92">
    <w:p w14:paraId="2CEA3A7F" w14:textId="54CBFF72" w:rsidR="00410470" w:rsidRPr="00BE3A11" w:rsidRDefault="00410470">
      <w:pPr>
        <w:pStyle w:val="FootnoteText"/>
        <w:rPr>
          <w:lang w:val="en-US"/>
        </w:rPr>
      </w:pPr>
      <w:r>
        <w:rPr>
          <w:rStyle w:val="FootnoteReference"/>
        </w:rPr>
        <w:footnoteRef/>
      </w:r>
      <w:r>
        <w:t xml:space="preserve"> </w:t>
      </w:r>
      <w:r>
        <w:rPr>
          <w:lang w:val="en-US"/>
        </w:rPr>
        <w:t xml:space="preserve">The Company also uses the term “Solution Integrator,” which is synonymous in meaning to “System Integrator.” </w:t>
      </w:r>
    </w:p>
  </w:footnote>
  <w:footnote w:id="93">
    <w:p w14:paraId="1641901E" w14:textId="31138A29" w:rsidR="00410470" w:rsidRPr="003137D8" w:rsidRDefault="00410470">
      <w:pPr>
        <w:pStyle w:val="FootnoteText"/>
        <w:rPr>
          <w:lang w:val="en-US"/>
        </w:rPr>
      </w:pPr>
      <w:r>
        <w:rPr>
          <w:rStyle w:val="FootnoteReference"/>
        </w:rPr>
        <w:footnoteRef/>
      </w:r>
      <w:r>
        <w:t xml:space="preserve"> </w:t>
      </w:r>
      <w:r>
        <w:rPr>
          <w:lang w:val="en-US"/>
        </w:rPr>
        <w:t xml:space="preserve">Staff’s reference here to multiple companies is the result of two separate mergers and acquisitions of Avista’s SI during the tenure of this project.  EP2M was acquired by Five Point in January of 2013, and Ernst and Young acquired Five Point on June 1, 2014.  </w:t>
      </w:r>
    </w:p>
  </w:footnote>
  <w:footnote w:id="94">
    <w:p w14:paraId="319B8D4F" w14:textId="1709D716" w:rsidR="00410470" w:rsidRPr="00A13308" w:rsidRDefault="00410470" w:rsidP="00025040">
      <w:pPr>
        <w:pStyle w:val="FootnoteText"/>
        <w:rPr>
          <w:lang w:val="en-US"/>
        </w:rPr>
      </w:pPr>
      <w:r>
        <w:rPr>
          <w:rStyle w:val="FootnoteReference"/>
        </w:rPr>
        <w:footnoteRef/>
      </w:r>
      <w:r>
        <w:t xml:space="preserve"> </w:t>
      </w:r>
      <w:r>
        <w:rPr>
          <w:lang w:val="en-US"/>
        </w:rPr>
        <w:t xml:space="preserve">Gomez, </w:t>
      </w:r>
      <w:r>
        <w:rPr>
          <w:bCs/>
        </w:rPr>
        <w:t>Exh. No. __ (DCG-</w:t>
      </w:r>
      <w:r>
        <w:rPr>
          <w:bCs/>
          <w:lang w:val="en-US"/>
        </w:rPr>
        <w:t>16C</w:t>
      </w:r>
      <w:r>
        <w:rPr>
          <w:bCs/>
        </w:rPr>
        <w:t>)</w:t>
      </w:r>
      <w:r>
        <w:rPr>
          <w:bCs/>
          <w:lang w:val="en-US"/>
        </w:rPr>
        <w:t xml:space="preserve">, </w:t>
      </w:r>
      <w:r>
        <w:rPr>
          <w:lang w:val="en-US"/>
        </w:rPr>
        <w:t xml:space="preserve">Avista’s supplemental response to </w:t>
      </w:r>
      <w:r w:rsidRPr="00C12368">
        <w:t>Staff</w:t>
      </w:r>
      <w:r>
        <w:rPr>
          <w:lang w:val="en-US"/>
        </w:rPr>
        <w:t xml:space="preserve"> </w:t>
      </w:r>
      <w:r w:rsidRPr="00C12368">
        <w:t>D</w:t>
      </w:r>
      <w:r>
        <w:rPr>
          <w:lang w:val="en-US"/>
        </w:rPr>
        <w:t xml:space="preserve">ata </w:t>
      </w:r>
      <w:r w:rsidRPr="00C12368">
        <w:t>R</w:t>
      </w:r>
      <w:r>
        <w:rPr>
          <w:lang w:val="en-US"/>
        </w:rPr>
        <w:t xml:space="preserve">equest No. </w:t>
      </w:r>
      <w:r w:rsidRPr="00C12368">
        <w:t>141</w:t>
      </w:r>
      <w:r>
        <w:rPr>
          <w:lang w:val="en-US"/>
        </w:rPr>
        <w:t xml:space="preserve">, </w:t>
      </w:r>
      <w:r w:rsidRPr="00C12368">
        <w:t xml:space="preserve">Attachment </w:t>
      </w:r>
      <w:r>
        <w:rPr>
          <w:lang w:val="en-US"/>
        </w:rPr>
        <w:t xml:space="preserve">A, Project Change Request (PCR) FP 23N – Revised and Extended EY SI Services and Project Change Request (PCR) </w:t>
      </w:r>
      <w:r w:rsidRPr="00A13308">
        <w:rPr>
          <w:lang w:val="en-US"/>
        </w:rPr>
        <w:t>FP 24N - Extension, completion, and true up of EY resources - all signatures</w:t>
      </w:r>
      <w:r>
        <w:rPr>
          <w:lang w:val="en-US"/>
        </w:rPr>
        <w:t>.</w:t>
      </w:r>
    </w:p>
  </w:footnote>
  <w:footnote w:id="95">
    <w:p w14:paraId="41A02843" w14:textId="624A012E" w:rsidR="00410470" w:rsidRPr="00390429" w:rsidRDefault="00410470" w:rsidP="00484D1D">
      <w:pPr>
        <w:pStyle w:val="FootnoteText"/>
      </w:pPr>
      <w:r>
        <w:rPr>
          <w:rStyle w:val="FootnoteReference"/>
        </w:rPr>
        <w:footnoteRef/>
      </w:r>
      <w:r>
        <w:t xml:space="preserve"> </w:t>
      </w:r>
      <w:r>
        <w:rPr>
          <w:lang w:val="en-US"/>
        </w:rPr>
        <w:t xml:space="preserve">Gomez, </w:t>
      </w:r>
      <w:r>
        <w:rPr>
          <w:bCs/>
        </w:rPr>
        <w:t>Exh. No. __ (DCG-</w:t>
      </w:r>
      <w:r>
        <w:rPr>
          <w:bCs/>
          <w:lang w:val="en-US"/>
        </w:rPr>
        <w:t>15C</w:t>
      </w:r>
      <w:r>
        <w:rPr>
          <w:bCs/>
        </w:rPr>
        <w:t>)</w:t>
      </w:r>
      <w:r>
        <w:rPr>
          <w:bCs/>
          <w:lang w:val="en-US"/>
        </w:rPr>
        <w:t xml:space="preserve">, </w:t>
      </w:r>
      <w:r w:rsidRPr="00484D1D">
        <w:t xml:space="preserve">Avista’s confidential response to Staff </w:t>
      </w:r>
      <w:r w:rsidRPr="00957EB9">
        <w:t>Data Request</w:t>
      </w:r>
      <w:r w:rsidRPr="00484D1D">
        <w:t xml:space="preserve"> No. 14</w:t>
      </w:r>
      <w:r>
        <w:rPr>
          <w:lang w:val="en-US"/>
        </w:rPr>
        <w:t>0</w:t>
      </w:r>
      <w:r w:rsidRPr="00484D1D">
        <w:t xml:space="preserve">, Attachment </w:t>
      </w:r>
      <w:r>
        <w:rPr>
          <w:lang w:val="en-US"/>
        </w:rPr>
        <w:t>A</w:t>
      </w:r>
      <w:r w:rsidRPr="00484D1D">
        <w:t xml:space="preserve">, </w:t>
      </w:r>
      <w:r>
        <w:rPr>
          <w:lang w:val="en-US"/>
        </w:rPr>
        <w:t xml:space="preserve">EP2M </w:t>
      </w:r>
      <w:r w:rsidRPr="00484D1D">
        <w:t>04 – EP2M Avista Project SOW 7.9.2012</w:t>
      </w:r>
      <w:r>
        <w:rPr>
          <w:lang w:val="en-US"/>
        </w:rPr>
        <w:t>, Page 15, Section 4.1 Project Objective</w:t>
      </w:r>
      <w:r w:rsidRPr="00484D1D">
        <w:t>.</w:t>
      </w:r>
    </w:p>
  </w:footnote>
  <w:footnote w:id="96">
    <w:p w14:paraId="10170869" w14:textId="3482842F" w:rsidR="00410470" w:rsidRPr="008F2B74" w:rsidRDefault="00410470">
      <w:pPr>
        <w:pStyle w:val="FootnoteText"/>
        <w:rPr>
          <w:lang w:val="en-US"/>
        </w:rPr>
      </w:pPr>
      <w:r>
        <w:rPr>
          <w:rStyle w:val="FootnoteReference"/>
        </w:rPr>
        <w:footnoteRef/>
      </w:r>
      <w:r>
        <w:t xml:space="preserve"> </w:t>
      </w:r>
      <w:r>
        <w:rPr>
          <w:lang w:val="en-US"/>
        </w:rPr>
        <w:t xml:space="preserve">Gomez, </w:t>
      </w:r>
      <w:r>
        <w:rPr>
          <w:bCs/>
        </w:rPr>
        <w:t>Exh. No. __ (DCG-</w:t>
      </w:r>
      <w:r>
        <w:rPr>
          <w:bCs/>
          <w:lang w:val="en-US"/>
        </w:rPr>
        <w:t>31C</w:t>
      </w:r>
      <w:r>
        <w:rPr>
          <w:bCs/>
        </w:rPr>
        <w:t>)</w:t>
      </w:r>
      <w:r>
        <w:rPr>
          <w:bCs/>
          <w:lang w:val="en-US"/>
        </w:rPr>
        <w:t xml:space="preserve">, </w:t>
      </w:r>
      <w:r w:rsidRPr="008F2B74">
        <w:t>UE-140188, Kensok</w:t>
      </w:r>
      <w:r>
        <w:rPr>
          <w:lang w:val="en-US"/>
        </w:rPr>
        <w:t>,</w:t>
      </w:r>
      <w:r>
        <w:t xml:space="preserve"> Exh.</w:t>
      </w:r>
      <w:r w:rsidRPr="008F2B74">
        <w:t xml:space="preserve"> No. JMK-2, </w:t>
      </w:r>
      <w:r>
        <w:rPr>
          <w:lang w:val="en-US"/>
        </w:rPr>
        <w:t xml:space="preserve">Attachment 10, </w:t>
      </w:r>
      <w:r w:rsidRPr="008F2B74">
        <w:t>“Project Compass</w:t>
      </w:r>
      <w:r>
        <w:rPr>
          <w:lang w:val="en-US"/>
        </w:rPr>
        <w:t xml:space="preserve"> Guidebook</w:t>
      </w:r>
      <w:r w:rsidRPr="008F2B74">
        <w:t xml:space="preserve">” dated </w:t>
      </w:r>
      <w:r>
        <w:rPr>
          <w:lang w:val="en-US"/>
        </w:rPr>
        <w:t xml:space="preserve">January 27, 2012, shows </w:t>
      </w:r>
      <w:r w:rsidRPr="008F2B74">
        <w:rPr>
          <w:lang w:val="en-US"/>
        </w:rPr>
        <w:t xml:space="preserve">Five Point </w:t>
      </w:r>
      <w:r>
        <w:rPr>
          <w:lang w:val="en-US"/>
        </w:rPr>
        <w:t xml:space="preserve">personnel (Greg Galluzzi and Gary Weseloh) </w:t>
      </w:r>
      <w:r w:rsidRPr="008F2B74">
        <w:rPr>
          <w:lang w:val="en-US"/>
        </w:rPr>
        <w:t>actively involved in contract negotiations and development of statements of work with SI vendors including EP2M which received the contract award.</w:t>
      </w:r>
    </w:p>
  </w:footnote>
  <w:footnote w:id="97">
    <w:p w14:paraId="58EFBFB0" w14:textId="682B14F0" w:rsidR="00410470" w:rsidRPr="008F2B74" w:rsidRDefault="00410470" w:rsidP="00CB224C">
      <w:pPr>
        <w:pStyle w:val="FootnoteText"/>
        <w:rPr>
          <w:lang w:val="en-US"/>
        </w:rPr>
      </w:pPr>
      <w:r>
        <w:rPr>
          <w:rStyle w:val="FootnoteReference"/>
        </w:rPr>
        <w:footnoteRef/>
      </w:r>
      <w:r>
        <w:t xml:space="preserve"> </w:t>
      </w:r>
      <w:r>
        <w:rPr>
          <w:lang w:val="en-US"/>
        </w:rPr>
        <w:t xml:space="preserve">Gomez, </w:t>
      </w:r>
      <w:r>
        <w:rPr>
          <w:bCs/>
        </w:rPr>
        <w:t>Exh. No. __ (DCG-</w:t>
      </w:r>
      <w:r>
        <w:rPr>
          <w:bCs/>
          <w:lang w:val="en-US"/>
        </w:rPr>
        <w:t>15C</w:t>
      </w:r>
      <w:r>
        <w:rPr>
          <w:bCs/>
        </w:rPr>
        <w:t>)</w:t>
      </w:r>
      <w:r>
        <w:rPr>
          <w:bCs/>
          <w:lang w:val="en-US"/>
        </w:rPr>
        <w:t xml:space="preserve">, </w:t>
      </w:r>
      <w:r>
        <w:rPr>
          <w:lang w:val="en-US"/>
        </w:rPr>
        <w:t>Avista’s confidential response to Staff Data Request No. 140.</w:t>
      </w:r>
    </w:p>
  </w:footnote>
  <w:footnote w:id="98">
    <w:p w14:paraId="5098C48D" w14:textId="57CF1B05" w:rsidR="00410470" w:rsidRPr="00DA3329" w:rsidRDefault="00410470" w:rsidP="00B45E17">
      <w:pPr>
        <w:pStyle w:val="FootnoteText"/>
        <w:rPr>
          <w:lang w:val="en-US"/>
        </w:rPr>
      </w:pPr>
      <w:r>
        <w:rPr>
          <w:rStyle w:val="FootnoteReference"/>
        </w:rPr>
        <w:footnoteRef/>
      </w:r>
      <w:r>
        <w:t xml:space="preserve"> </w:t>
      </w:r>
      <w:r>
        <w:rPr>
          <w:lang w:val="en-US"/>
        </w:rPr>
        <w:t xml:space="preserve">Ibid., </w:t>
      </w:r>
      <w:r w:rsidRPr="00C12368">
        <w:t xml:space="preserve">Attachment </w:t>
      </w:r>
      <w:r>
        <w:rPr>
          <w:lang w:val="en-US"/>
        </w:rPr>
        <w:t xml:space="preserve">A, 01 - </w:t>
      </w:r>
      <w:r w:rsidRPr="005600F7">
        <w:rPr>
          <w:lang w:val="en-US"/>
        </w:rPr>
        <w:t>EP2M Deal Sheet 6.29.201</w:t>
      </w:r>
      <w:r>
        <w:rPr>
          <w:lang w:val="en-US"/>
        </w:rPr>
        <w:t>2 and 04 – EP2M Avista Project SOW 7.9.2012.</w:t>
      </w:r>
    </w:p>
  </w:footnote>
  <w:footnote w:id="99">
    <w:p w14:paraId="62321C2A" w14:textId="076F0B7C" w:rsidR="00410470" w:rsidRPr="007B47C8" w:rsidRDefault="00410470">
      <w:pPr>
        <w:pStyle w:val="FootnoteText"/>
        <w:rPr>
          <w:lang w:val="en-US"/>
        </w:rPr>
      </w:pPr>
      <w:r>
        <w:rPr>
          <w:rStyle w:val="FootnoteReference"/>
        </w:rPr>
        <w:footnoteRef/>
      </w:r>
      <w:r>
        <w:t xml:space="preserve"> </w:t>
      </w:r>
      <w:r>
        <w:rPr>
          <w:lang w:val="en-US"/>
        </w:rPr>
        <w:t xml:space="preserve">Ibid., Attachment B, provides </w:t>
      </w:r>
      <w:r w:rsidRPr="007B47C8">
        <w:rPr>
          <w:lang w:val="en-US"/>
        </w:rPr>
        <w:t>monthly Project status reports, prepared for the Executive Steering Committee for the calendar year 2014</w:t>
      </w:r>
      <w:r>
        <w:rPr>
          <w:lang w:val="en-US"/>
        </w:rPr>
        <w:t>.  On the very first monthly report of the year (page 5 of 2664), project management reports as an issue that “</w:t>
      </w:r>
      <w:r w:rsidRPr="005F4149">
        <w:rPr>
          <w:lang w:val="en-US"/>
        </w:rPr>
        <w:t>Five Point has been challenged with resources to deliver integration and configuration code to meet Project deliverable dates.</w:t>
      </w:r>
      <w:r>
        <w:rPr>
          <w:lang w:val="en-US"/>
        </w:rPr>
        <w:t>”</w:t>
      </w:r>
    </w:p>
  </w:footnote>
  <w:footnote w:id="100">
    <w:p w14:paraId="01BE0C39" w14:textId="171B25DD" w:rsidR="00410470" w:rsidRPr="00327954" w:rsidRDefault="00410470">
      <w:pPr>
        <w:pStyle w:val="FootnoteText"/>
        <w:rPr>
          <w:lang w:val="es-PR"/>
        </w:rPr>
      </w:pPr>
      <w:r>
        <w:rPr>
          <w:rStyle w:val="FootnoteReference"/>
        </w:rPr>
        <w:footnoteRef/>
      </w:r>
      <w:r>
        <w:t xml:space="preserve"> </w:t>
      </w:r>
      <w:r w:rsidRPr="00327954">
        <w:rPr>
          <w:lang w:val="es-PR"/>
        </w:rPr>
        <w:t xml:space="preserve">Gomez, </w:t>
      </w:r>
      <w:r>
        <w:rPr>
          <w:bCs/>
        </w:rPr>
        <w:t>Exh. No. __ (DCG-</w:t>
      </w:r>
      <w:r w:rsidRPr="00327954">
        <w:rPr>
          <w:bCs/>
          <w:lang w:val="es-PR"/>
        </w:rPr>
        <w:t>17C</w:t>
      </w:r>
      <w:r>
        <w:rPr>
          <w:bCs/>
        </w:rPr>
        <w:t>)</w:t>
      </w:r>
      <w:r w:rsidRPr="00327954">
        <w:rPr>
          <w:bCs/>
          <w:lang w:val="es-PR"/>
        </w:rPr>
        <w:t>.</w:t>
      </w:r>
    </w:p>
  </w:footnote>
  <w:footnote w:id="101">
    <w:p w14:paraId="16B0FBFF" w14:textId="026ABCF6" w:rsidR="00410470" w:rsidRPr="005B1ED1" w:rsidRDefault="00410470">
      <w:pPr>
        <w:pStyle w:val="FootnoteText"/>
        <w:rPr>
          <w:lang w:val="en-US"/>
        </w:rPr>
      </w:pPr>
      <w:r>
        <w:rPr>
          <w:rStyle w:val="FootnoteReference"/>
        </w:rPr>
        <w:footnoteRef/>
      </w:r>
      <w:r>
        <w:t xml:space="preserve"> A </w:t>
      </w:r>
      <w:r>
        <w:rPr>
          <w:lang w:val="en-US"/>
        </w:rPr>
        <w:t>copy</w:t>
      </w:r>
      <w:r w:rsidRPr="005B1ED1">
        <w:t xml:space="preserve"> of the presentation made to the Company’s Finance Committee of its Board of Directors, supporting the revision of the Go Live date and implementation budget</w:t>
      </w:r>
      <w:r>
        <w:rPr>
          <w:lang w:val="en-US"/>
        </w:rPr>
        <w:t>,</w:t>
      </w:r>
      <w:r w:rsidRPr="005B1ED1">
        <w:t xml:space="preserve"> </w:t>
      </w:r>
      <w:r>
        <w:rPr>
          <w:lang w:val="en-US"/>
        </w:rPr>
        <w:t>were provided by Avista in response to Staff Data Request No. 1</w:t>
      </w:r>
      <w:r w:rsidRPr="005B1ED1">
        <w:t>53</w:t>
      </w:r>
      <w:r>
        <w:rPr>
          <w:lang w:val="en-US"/>
        </w:rPr>
        <w:t>,</w:t>
      </w:r>
      <w:r w:rsidRPr="005B1ED1">
        <w:t xml:space="preserve"> Confidential Attachment A</w:t>
      </w:r>
      <w:r>
        <w:rPr>
          <w:lang w:val="en-US"/>
        </w:rPr>
        <w:t xml:space="preserve">.  See Gomez, </w:t>
      </w:r>
      <w:r>
        <w:rPr>
          <w:bCs/>
        </w:rPr>
        <w:t>Exh. No. __ (DCG-</w:t>
      </w:r>
      <w:r>
        <w:rPr>
          <w:bCs/>
          <w:lang w:val="en-US"/>
        </w:rPr>
        <w:t>18C</w:t>
      </w:r>
      <w:r>
        <w:rPr>
          <w:bCs/>
        </w:rPr>
        <w:t>)</w:t>
      </w:r>
      <w:r>
        <w:rPr>
          <w:bCs/>
          <w:lang w:val="en-US"/>
        </w:rPr>
        <w:t>.</w:t>
      </w:r>
    </w:p>
  </w:footnote>
  <w:footnote w:id="102">
    <w:p w14:paraId="68E0953C" w14:textId="6EF5BBAB" w:rsidR="00410470" w:rsidRPr="009A3020" w:rsidRDefault="00410470">
      <w:pPr>
        <w:pStyle w:val="FootnoteText"/>
        <w:rPr>
          <w:lang w:val="en-US"/>
        </w:rPr>
      </w:pPr>
      <w:r>
        <w:rPr>
          <w:rStyle w:val="FootnoteReference"/>
        </w:rPr>
        <w:footnoteRef/>
      </w:r>
      <w:r>
        <w:t xml:space="preserve"> </w:t>
      </w:r>
      <w:r>
        <w:rPr>
          <w:lang w:val="en-US"/>
        </w:rPr>
        <w:t xml:space="preserve">Avista’s </w:t>
      </w:r>
      <w:r w:rsidRPr="009A3020">
        <w:t>confidential response to UTC Staff D</w:t>
      </w:r>
      <w:r>
        <w:rPr>
          <w:lang w:val="en-US"/>
        </w:rPr>
        <w:t xml:space="preserve">ata </w:t>
      </w:r>
      <w:r w:rsidRPr="009A3020">
        <w:t>R</w:t>
      </w:r>
      <w:r>
        <w:rPr>
          <w:lang w:val="en-US"/>
        </w:rPr>
        <w:t>equest</w:t>
      </w:r>
      <w:r>
        <w:t xml:space="preserve"> No. 140, Attachment C, </w:t>
      </w:r>
      <w:r>
        <w:rPr>
          <w:lang w:val="en-US"/>
        </w:rPr>
        <w:t>p</w:t>
      </w:r>
      <w:r w:rsidRPr="009A3020">
        <w:t>age 170 of 332, the Steering Committee Notes for June 16, 2014</w:t>
      </w:r>
      <w:r>
        <w:rPr>
          <w:lang w:val="en-US"/>
        </w:rPr>
        <w:t xml:space="preserve">.  See Gomez, </w:t>
      </w:r>
      <w:r>
        <w:rPr>
          <w:bCs/>
        </w:rPr>
        <w:t>Exh. No. __ (DCG-</w:t>
      </w:r>
      <w:r>
        <w:rPr>
          <w:bCs/>
          <w:lang w:val="en-US"/>
        </w:rPr>
        <w:t>15C</w:t>
      </w:r>
      <w:r>
        <w:rPr>
          <w:bCs/>
        </w:rPr>
        <w:t>)</w:t>
      </w:r>
      <w:r>
        <w:rPr>
          <w:bCs/>
          <w:lang w:val="en-US"/>
        </w:rPr>
        <w:t>,</w:t>
      </w:r>
    </w:p>
  </w:footnote>
  <w:footnote w:id="103">
    <w:p w14:paraId="1A502D4F" w14:textId="63D4E5E7" w:rsidR="00410470" w:rsidRPr="00C70B09" w:rsidRDefault="00410470" w:rsidP="001E0AF6">
      <w:pPr>
        <w:pStyle w:val="FootnoteText"/>
        <w:rPr>
          <w:lang w:val="en-US"/>
        </w:rPr>
      </w:pPr>
      <w:r>
        <w:rPr>
          <w:rStyle w:val="FootnoteReference"/>
        </w:rPr>
        <w:footnoteRef/>
      </w:r>
      <w:r>
        <w:t xml:space="preserve"> </w:t>
      </w:r>
      <w:r>
        <w:rPr>
          <w:lang w:val="en-US"/>
        </w:rPr>
        <w:t xml:space="preserve">Staff’s reading of Section 21 of the original Master Service Agreement (MSA) between Avista and EP2M contained in the Company’s confidential response to Staff </w:t>
      </w:r>
      <w:r w:rsidRPr="00957EB9">
        <w:rPr>
          <w:lang w:val="en-US"/>
        </w:rPr>
        <w:t>Data Request</w:t>
      </w:r>
      <w:r>
        <w:rPr>
          <w:lang w:val="en-US"/>
        </w:rPr>
        <w:t xml:space="preserve"> No. 140, </w:t>
      </w:r>
      <w:r w:rsidRPr="00484D1D">
        <w:t xml:space="preserve">Attachment </w:t>
      </w:r>
      <w:r>
        <w:rPr>
          <w:lang w:val="en-US"/>
        </w:rPr>
        <w:t>A</w:t>
      </w:r>
      <w:r w:rsidRPr="00484D1D">
        <w:t xml:space="preserve">, </w:t>
      </w:r>
      <w:r>
        <w:rPr>
          <w:lang w:val="en-US"/>
        </w:rPr>
        <w:t xml:space="preserve">EP2M </w:t>
      </w:r>
      <w:r w:rsidRPr="00484D1D">
        <w:t>0</w:t>
      </w:r>
      <w:r>
        <w:rPr>
          <w:lang w:val="en-US"/>
        </w:rPr>
        <w:t xml:space="preserve">2 - Avista MSA 7.11.2012, confirms EY as successor to EP2M and Five Point.  See Gomez, </w:t>
      </w:r>
      <w:r>
        <w:rPr>
          <w:bCs/>
        </w:rPr>
        <w:t>Exh. No. __ (DCG-</w:t>
      </w:r>
      <w:r>
        <w:rPr>
          <w:bCs/>
          <w:lang w:val="en-US"/>
        </w:rPr>
        <w:t>15C</w:t>
      </w:r>
      <w:r>
        <w:rPr>
          <w:bCs/>
        </w:rPr>
        <w:t>)</w:t>
      </w:r>
      <w:r>
        <w:rPr>
          <w:bCs/>
          <w:lang w:val="en-US"/>
        </w:rPr>
        <w:t xml:space="preserve">.  </w:t>
      </w:r>
      <w:r>
        <w:rPr>
          <w:lang w:val="en-US"/>
        </w:rPr>
        <w:t xml:space="preserve">The Company has not shown how it leveraged its contractual rights under the original agreement in negotiations with EY. </w:t>
      </w:r>
    </w:p>
  </w:footnote>
  <w:footnote w:id="104">
    <w:p w14:paraId="5BD6E1CF" w14:textId="106A4CF4" w:rsidR="00410470" w:rsidRDefault="00410470" w:rsidP="00117AA0">
      <w:pPr>
        <w:pStyle w:val="FootnoteText"/>
      </w:pPr>
      <w:r>
        <w:rPr>
          <w:rStyle w:val="FootnoteReference"/>
        </w:rPr>
        <w:footnoteRef/>
      </w:r>
      <w:r>
        <w:t xml:space="preserve"> </w:t>
      </w:r>
      <w:r w:rsidRPr="00B0782A">
        <w:rPr>
          <w:i/>
        </w:rPr>
        <w:t>Wash. Utils. &amp; Transp. Comm’n v. Puget Sound Power &amp; Light Co.</w:t>
      </w:r>
      <w:r>
        <w:t>, Docket UE-921262, Nineteenth Supplemental Order (Sep 27, 1994)</w:t>
      </w:r>
      <w:r>
        <w:rPr>
          <w:lang w:val="en-US"/>
        </w:rPr>
        <w:t>, 1</w:t>
      </w:r>
      <w:r>
        <w:t>6:</w:t>
      </w:r>
    </w:p>
    <w:p w14:paraId="5DA1B630" w14:textId="77777777" w:rsidR="00410470" w:rsidRPr="00B0782A" w:rsidRDefault="00410470" w:rsidP="00117AA0">
      <w:pPr>
        <w:pStyle w:val="FootnoteText"/>
        <w:ind w:left="360"/>
      </w:pPr>
      <w:r>
        <w:t>“The parties and the Commission therefore should be able to follow the company’s decision-making process, knowing what elements the company used, and the manner in which the company valued those elements.  Such a process should certainly be documented.”</w:t>
      </w:r>
    </w:p>
  </w:footnote>
  <w:footnote w:id="105">
    <w:p w14:paraId="7EF56FB9" w14:textId="3DAFB146" w:rsidR="00410470" w:rsidRDefault="00410470">
      <w:pPr>
        <w:pStyle w:val="FootnoteText"/>
      </w:pPr>
      <w:r>
        <w:rPr>
          <w:rStyle w:val="FootnoteReference"/>
        </w:rPr>
        <w:footnoteRef/>
      </w:r>
      <w:r>
        <w:t xml:space="preserve"> </w:t>
      </w:r>
      <w:r w:rsidRPr="00BA5C5D">
        <w:rPr>
          <w:i/>
        </w:rPr>
        <w:t>Wash. Utils. &amp; Transp. Comm’n v. Puget Sound Energy, Inc</w:t>
      </w:r>
      <w:r w:rsidRPr="00BA5C5D">
        <w:t>.,</w:t>
      </w:r>
      <w:r>
        <w:t xml:space="preserve"> Docket No. UE-031725, Order</w:t>
      </w:r>
      <w:r w:rsidRPr="00BA5C5D">
        <w:t xml:space="preserve"> 14, (May 13, 2004), ¶ 65, quoting Goodman</w:t>
      </w:r>
      <w:r>
        <w:t xml:space="preserve">, The Process of Ratemaking, </w:t>
      </w:r>
      <w:r w:rsidRPr="00BA5C5D">
        <w:t>857</w:t>
      </w:r>
      <w:r>
        <w:rPr>
          <w:lang w:val="en-US"/>
        </w:rPr>
        <w:t xml:space="preserve"> (</w:t>
      </w:r>
      <w:r>
        <w:t>“[t]</w:t>
      </w:r>
      <w:r w:rsidRPr="00BA5C5D">
        <w:t>he fundamental question for decision is whether management acted reasonably in the public interest, not merely in the interest of the company”</w:t>
      </w:r>
      <w:r>
        <w:rPr>
          <w:lang w:val="en-US"/>
        </w:rPr>
        <w:t>)</w:t>
      </w:r>
      <w:r w:rsidRPr="00BA5C5D">
        <w:t>.</w:t>
      </w:r>
    </w:p>
    <w:p w14:paraId="227648C7" w14:textId="6DAC17C0" w:rsidR="00410470" w:rsidRPr="00BA5C5D" w:rsidRDefault="00410470" w:rsidP="00BA5C5D">
      <w:pPr>
        <w:pStyle w:val="FootnoteText"/>
        <w:ind w:left="810" w:hanging="810"/>
      </w:pPr>
      <w:r>
        <w:tab/>
      </w:r>
    </w:p>
  </w:footnote>
  <w:footnote w:id="106">
    <w:p w14:paraId="569D877C" w14:textId="38B5BBEB" w:rsidR="00410470" w:rsidRDefault="00410470" w:rsidP="00C06380">
      <w:pPr>
        <w:pStyle w:val="FootnoteText"/>
      </w:pPr>
      <w:r>
        <w:rPr>
          <w:rStyle w:val="FootnoteReference"/>
        </w:rPr>
        <w:footnoteRef/>
      </w:r>
      <w:r>
        <w:t xml:space="preserve"> </w:t>
      </w:r>
      <w:r w:rsidRPr="00C06380">
        <w:rPr>
          <w:i/>
        </w:rPr>
        <w:t>Wash. Utils. &amp; Transp. Comm’n v. Puget Sound Power &amp; Light Co.</w:t>
      </w:r>
      <w:r>
        <w:t>, Docket UE-921262, Eleventh Supplemental Order (Sept 21, 1993)</w:t>
      </w:r>
      <w:r>
        <w:rPr>
          <w:lang w:val="en-US"/>
        </w:rPr>
        <w:t>, 19-20</w:t>
      </w:r>
      <w:r>
        <w:t xml:space="preserve">.  This decision cites to a prior </w:t>
      </w:r>
      <w:r>
        <w:rPr>
          <w:lang w:val="en-US"/>
        </w:rPr>
        <w:t xml:space="preserve">Commission </w:t>
      </w:r>
      <w:r>
        <w:t>decision:</w:t>
      </w:r>
    </w:p>
    <w:p w14:paraId="38E398EE" w14:textId="7E181017" w:rsidR="00410470" w:rsidRPr="00F41D7A" w:rsidRDefault="00410470" w:rsidP="00F41D7A">
      <w:pPr>
        <w:pStyle w:val="FootnoteText"/>
        <w:ind w:left="720"/>
        <w:rPr>
          <w:lang w:val="en-US"/>
        </w:rPr>
      </w:pPr>
      <w:r>
        <w:t xml:space="preserve">The most credible evidence in this record supports a finding that such a study would may demonstrated the futility of continuing the licensing process on a new Hanford site.  Such a study was not performed, however, and no one can state unequivocally that abandonment would have been recommended by mid-year 1980.  </w:t>
      </w:r>
      <w:r w:rsidRPr="00C06380">
        <w:rPr>
          <w:b/>
        </w:rPr>
        <w:t>However, the responsibility for this absence of proof rests squarely on Puget’s executive officers and directors</w:t>
      </w:r>
      <w:r>
        <w:t>.  They elected to preserve the option of building a nuclear plant without a full review of the economic consequences of that action.  It is the Commission’s conclusion that a full review would have shown the nuclear project to be uneconomic when compared to the coal alternative.  It follows that all costs incurred on the Skagit/Hanford project after the point in time when a complete cost effectiveness study would have been available must be deemed imprudent and disallowed.</w:t>
      </w:r>
      <w:r>
        <w:rPr>
          <w:lang w:val="en-US"/>
        </w:rPr>
        <w:t xml:space="preserve"> (</w:t>
      </w:r>
      <w:r>
        <w:t>Fourth Supplemental Order, Cause U-83-54, pp. 32-33.  Emphasis supplied.</w:t>
      </w:r>
      <w:r>
        <w:rPr>
          <w:lang w:val="en-US"/>
        </w:rPr>
        <w:t>)</w:t>
      </w:r>
    </w:p>
  </w:footnote>
  <w:footnote w:id="107">
    <w:p w14:paraId="09F5AD20" w14:textId="0F75EB53" w:rsidR="00410470" w:rsidRPr="00016A27" w:rsidRDefault="00410470">
      <w:pPr>
        <w:pStyle w:val="FootnoteText"/>
        <w:rPr>
          <w:lang w:val="en-US"/>
        </w:rPr>
      </w:pPr>
      <w:r>
        <w:rPr>
          <w:rStyle w:val="FootnoteReference"/>
        </w:rPr>
        <w:footnoteRef/>
      </w:r>
      <w:r>
        <w:t xml:space="preserve"> </w:t>
      </w:r>
      <w:r>
        <w:rPr>
          <w:lang w:val="en-US"/>
        </w:rPr>
        <w:t>UE-140188, Gomez, Exh. No. DCG-1TC 12:9 – 18:19.</w:t>
      </w:r>
    </w:p>
  </w:footnote>
  <w:footnote w:id="108">
    <w:p w14:paraId="664EEEF5" w14:textId="0C02FF4B" w:rsidR="00410470" w:rsidRPr="003C11BA" w:rsidRDefault="00410470" w:rsidP="004C6B1E">
      <w:pPr>
        <w:pStyle w:val="FootnoteText"/>
        <w:rPr>
          <w:lang w:val="en-US"/>
        </w:rPr>
      </w:pPr>
      <w:r>
        <w:rPr>
          <w:rStyle w:val="FootnoteReference"/>
        </w:rPr>
        <w:footnoteRef/>
      </w:r>
      <w:r>
        <w:t xml:space="preserve"> </w:t>
      </w:r>
      <w:r>
        <w:rPr>
          <w:lang w:val="en-US"/>
        </w:rPr>
        <w:t xml:space="preserve">UE-140188 Staff Data Request Nos. 100 through 103 and Data Request No. 170.  See Gomez, Exh. Nos. __ (DCG-13) and (DCG-12).  In particular, Staff points to </w:t>
      </w:r>
      <w:r w:rsidRPr="00957EB9">
        <w:rPr>
          <w:lang w:val="en-US"/>
        </w:rPr>
        <w:t>Data Request</w:t>
      </w:r>
      <w:r>
        <w:rPr>
          <w:lang w:val="en-US"/>
        </w:rPr>
        <w:t xml:space="preserve"> No. 101, along with Avista’s response, which sought support for statements made by Company witness Ms. Rosentrater regarding capital expenditure and transfer to plant amounts for Transmission and Distribution.  Attachment A of Avista’s response to </w:t>
      </w:r>
      <w:r w:rsidRPr="00957EB9">
        <w:rPr>
          <w:lang w:val="en-US"/>
        </w:rPr>
        <w:t>Data Request</w:t>
      </w:r>
      <w:r>
        <w:rPr>
          <w:lang w:val="en-US"/>
        </w:rPr>
        <w:t xml:space="preserve"> No. 101 contains a document titled </w:t>
      </w:r>
      <w:r w:rsidRPr="004C6B1E">
        <w:rPr>
          <w:lang w:val="en-US"/>
        </w:rPr>
        <w:t>Avista System Planning Assessment</w:t>
      </w:r>
      <w:r>
        <w:rPr>
          <w:lang w:val="en-US"/>
        </w:rPr>
        <w:t>, 2</w:t>
      </w:r>
      <w:r w:rsidRPr="004C6B1E">
        <w:rPr>
          <w:lang w:val="en-US"/>
        </w:rPr>
        <w:t>013 L</w:t>
      </w:r>
      <w:r>
        <w:rPr>
          <w:lang w:val="en-US"/>
        </w:rPr>
        <w:t xml:space="preserve">ocal </w:t>
      </w:r>
      <w:r w:rsidRPr="004C6B1E">
        <w:rPr>
          <w:lang w:val="en-US"/>
        </w:rPr>
        <w:t>P</w:t>
      </w:r>
      <w:r>
        <w:rPr>
          <w:lang w:val="en-US"/>
        </w:rPr>
        <w:t xml:space="preserve">lanning </w:t>
      </w:r>
      <w:r w:rsidRPr="004C6B1E">
        <w:rPr>
          <w:lang w:val="en-US"/>
        </w:rPr>
        <w:t>R</w:t>
      </w:r>
      <w:r>
        <w:rPr>
          <w:lang w:val="en-US"/>
        </w:rPr>
        <w:t xml:space="preserve">eport.  The report was prepared by the Company’s </w:t>
      </w:r>
      <w:r w:rsidRPr="00EC25B6">
        <w:rPr>
          <w:lang w:val="en-US"/>
        </w:rPr>
        <w:t xml:space="preserve">System Planning Department </w:t>
      </w:r>
      <w:r>
        <w:rPr>
          <w:lang w:val="en-US"/>
        </w:rPr>
        <w:t xml:space="preserve">as </w:t>
      </w:r>
      <w:r w:rsidRPr="00EC25B6">
        <w:rPr>
          <w:lang w:val="en-US"/>
        </w:rPr>
        <w:t xml:space="preserve">an assessment of the Avista Transmission System (System) and Distribution System. </w:t>
      </w:r>
      <w:r>
        <w:rPr>
          <w:lang w:val="en-US"/>
        </w:rPr>
        <w:t xml:space="preserve"> According to the Company, t</w:t>
      </w:r>
      <w:r w:rsidRPr="00EC25B6">
        <w:rPr>
          <w:lang w:val="en-US"/>
        </w:rPr>
        <w:t xml:space="preserve">he </w:t>
      </w:r>
      <w:r>
        <w:rPr>
          <w:lang w:val="en-US"/>
        </w:rPr>
        <w:t>“</w:t>
      </w:r>
      <w:r w:rsidRPr="00EC25B6">
        <w:rPr>
          <w:lang w:val="en-US"/>
        </w:rPr>
        <w:t>purpose of the assessment is to identify projects needed to mitigate future reliability, load-service, and condition based requirements for the System. Emphasis is given to determining where the System exhibits an inability to meet performance requirements as defined in the NERC Reliability Standards, and develop Corrective Action Plans addressing how the performance requirements will be met.</w:t>
      </w:r>
      <w:r>
        <w:rPr>
          <w:lang w:val="en-US"/>
        </w:rPr>
        <w:t xml:space="preserve">”  </w:t>
      </w:r>
    </w:p>
  </w:footnote>
  <w:footnote w:id="109">
    <w:p w14:paraId="2D936162" w14:textId="1539FE9E" w:rsidR="00410470" w:rsidRPr="000F7CAB" w:rsidRDefault="00410470">
      <w:pPr>
        <w:pStyle w:val="FootnoteText"/>
        <w:rPr>
          <w:lang w:val="en-US"/>
        </w:rPr>
      </w:pPr>
      <w:r>
        <w:rPr>
          <w:rStyle w:val="FootnoteReference"/>
        </w:rPr>
        <w:footnoteRef/>
      </w:r>
      <w:r>
        <w:t xml:space="preserve"> </w:t>
      </w:r>
      <w:r>
        <w:rPr>
          <w:lang w:val="en-US"/>
        </w:rPr>
        <w:t>In my testimony in Exhibit No. DCG-6C in UE-140188, p</w:t>
      </w:r>
      <w:r w:rsidRPr="003F5D25">
        <w:rPr>
          <w:lang w:val="en-US"/>
        </w:rPr>
        <w:t>ages 1-18 are from the September Board Meeting Prep document dated August 12, 2013</w:t>
      </w:r>
      <w:r>
        <w:rPr>
          <w:lang w:val="en-US"/>
        </w:rPr>
        <w:t>, which provides the assumptions behind a rate model used to help Avista’s Board of Directors arrive at its present level of capital spending.  On page 12, the filing of annual rate cases is included as one of the assumptions behind the model for Avista to achieve the earnings targets listed.</w:t>
      </w:r>
    </w:p>
  </w:footnote>
  <w:footnote w:id="110">
    <w:p w14:paraId="0FC27685" w14:textId="4E5CB6FE" w:rsidR="00410470" w:rsidRPr="00130E03" w:rsidRDefault="00410470" w:rsidP="003D3B7E">
      <w:pPr>
        <w:pStyle w:val="FootnoteText"/>
        <w:rPr>
          <w:lang w:val="en-US"/>
        </w:rPr>
      </w:pPr>
      <w:r>
        <w:rPr>
          <w:rStyle w:val="FootnoteReference"/>
        </w:rPr>
        <w:footnoteRef/>
      </w:r>
      <w:r>
        <w:t xml:space="preserve"> </w:t>
      </w:r>
      <w:r>
        <w:rPr>
          <w:i/>
          <w:lang w:val="en-US"/>
        </w:rPr>
        <w:t>Wash. Utils. &amp; Transp. Comm’n</w:t>
      </w:r>
      <w:r>
        <w:rPr>
          <w:i/>
        </w:rPr>
        <w:t xml:space="preserve"> v. Avista Corp.</w:t>
      </w:r>
      <w:r w:rsidRPr="0003162B">
        <w:t>, Docket</w:t>
      </w:r>
      <w:r>
        <w:rPr>
          <w:lang w:val="en-US"/>
        </w:rPr>
        <w:t xml:space="preserve"> UE-140188, Order 05 (November 25, 2014), Appendix A, Settlement Stipulation, ¶ 20.</w:t>
      </w:r>
    </w:p>
  </w:footnote>
  <w:footnote w:id="111">
    <w:p w14:paraId="324991C7" w14:textId="7DC24C41" w:rsidR="00410470" w:rsidRPr="003050E2" w:rsidRDefault="00410470" w:rsidP="003D3B7E">
      <w:pPr>
        <w:pStyle w:val="FootnoteText"/>
        <w:rPr>
          <w:lang w:val="en-US"/>
        </w:rPr>
      </w:pPr>
      <w:r>
        <w:rPr>
          <w:rStyle w:val="FootnoteReference"/>
        </w:rPr>
        <w:footnoteRef/>
      </w:r>
      <w:r>
        <w:t xml:space="preserve"> </w:t>
      </w:r>
      <w:r>
        <w:rPr>
          <w:lang w:val="en-US"/>
        </w:rPr>
        <w:t>Staff’s recommendation is based on Avista’s current capital budgeting process described in Ms. Schuh’s direct testimony, Exh. No. __ (KKS-1T) 4:11 - 5:11. Staff’s expectation would be that the “Capital Project ERs” contained in Exhibit No. __ (KKS-5) be complete and in sufficient detail to allow analysis. Any referenced documents, standards, requirements, analysis, etc. in the ER would also be included in the compliance filing.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00DD"/>
    <w:multiLevelType w:val="hybridMultilevel"/>
    <w:tmpl w:val="AD5C3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5105FD"/>
    <w:multiLevelType w:val="hybridMultilevel"/>
    <w:tmpl w:val="B57AC0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9A7845"/>
    <w:multiLevelType w:val="multilevel"/>
    <w:tmpl w:val="CD443D54"/>
    <w:lvl w:ilvl="0">
      <w:start w:val="1"/>
      <w:numFmt w:val="upperRoman"/>
      <w:lvlText w:val="%1."/>
      <w:lvlJc w:val="left"/>
      <w:pPr>
        <w:ind w:left="0" w:firstLine="0"/>
      </w:pPr>
    </w:lvl>
    <w:lvl w:ilvl="1">
      <w:start w:val="1"/>
      <w:numFmt w:val="upperLetter"/>
      <w:lvlText w:val="%2."/>
      <w:lvlJc w:val="left"/>
      <w:pPr>
        <w:ind w:left="1170" w:firstLine="0"/>
      </w:pPr>
      <w:rPr>
        <w:rFonts w:ascii="Times New Roman Bold" w:hAnsi="Times New Roman Bold"/>
        <w:i w:val="0"/>
        <w:sz w:val="24"/>
        <w:szCs w:val="24"/>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C6B08D2"/>
    <w:multiLevelType w:val="hybridMultilevel"/>
    <w:tmpl w:val="402E7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3378F0"/>
    <w:multiLevelType w:val="hybridMultilevel"/>
    <w:tmpl w:val="B5700376"/>
    <w:lvl w:ilvl="0" w:tplc="3BE2D7DC">
      <w:start w:val="1"/>
      <w:numFmt w:val="decimal"/>
      <w:lvlText w:val="%1."/>
      <w:lvlJc w:val="left"/>
      <w:pPr>
        <w:ind w:left="2160" w:hanging="360"/>
      </w:pPr>
      <w:rPr>
        <w:rFonts w:ascii="Times New Roman Bold" w:hAnsi="Times New Roman Bold"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9B30C07"/>
    <w:multiLevelType w:val="hybridMultilevel"/>
    <w:tmpl w:val="3F620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2A60EF"/>
    <w:multiLevelType w:val="hybridMultilevel"/>
    <w:tmpl w:val="E74C10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E64204C"/>
    <w:multiLevelType w:val="hybridMultilevel"/>
    <w:tmpl w:val="8F2CFDA2"/>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2880"/>
        </w:tabs>
        <w:ind w:left="2880" w:hanging="720"/>
      </w:pPr>
      <w:rPr>
        <w:rFonts w:hint="default"/>
      </w:rPr>
    </w:lvl>
    <w:lvl w:ilvl="2" w:tplc="41E444FC">
      <w:start w:val="5"/>
      <w:numFmt w:val="bullet"/>
      <w:lvlText w:val=""/>
      <w:lvlJc w:val="left"/>
      <w:pPr>
        <w:tabs>
          <w:tab w:val="num" w:pos="3420"/>
        </w:tabs>
        <w:ind w:left="3420" w:hanging="360"/>
      </w:pPr>
      <w:rPr>
        <w:rFonts w:ascii="Symbol" w:eastAsia="Times New Roman" w:hAnsi="Symbol" w:cs="Times New Roman"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04D59DE"/>
    <w:multiLevelType w:val="hybridMultilevel"/>
    <w:tmpl w:val="E778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05BE6"/>
    <w:multiLevelType w:val="hybridMultilevel"/>
    <w:tmpl w:val="C538B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98919A8"/>
    <w:multiLevelType w:val="hybridMultilevel"/>
    <w:tmpl w:val="0DD88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14296"/>
    <w:multiLevelType w:val="hybridMultilevel"/>
    <w:tmpl w:val="80C0BB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384081A"/>
    <w:multiLevelType w:val="hybridMultilevel"/>
    <w:tmpl w:val="F87C3D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C733747"/>
    <w:multiLevelType w:val="hybridMultilevel"/>
    <w:tmpl w:val="AB02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268A0"/>
    <w:multiLevelType w:val="hybridMultilevel"/>
    <w:tmpl w:val="A3941550"/>
    <w:lvl w:ilvl="0" w:tplc="B07C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F94E50"/>
    <w:multiLevelType w:val="hybridMultilevel"/>
    <w:tmpl w:val="466E3D30"/>
    <w:lvl w:ilvl="0" w:tplc="E1AE5EB0">
      <w:start w:val="1"/>
      <w:numFmt w:val="upperRoman"/>
      <w:lvlText w:val="%1."/>
      <w:lvlJc w:val="right"/>
      <w:pPr>
        <w:ind w:left="1080" w:hanging="72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433C8"/>
    <w:multiLevelType w:val="hybridMultilevel"/>
    <w:tmpl w:val="9A22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A56EA8"/>
    <w:multiLevelType w:val="hybridMultilevel"/>
    <w:tmpl w:val="E6364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C772A"/>
    <w:multiLevelType w:val="hybridMultilevel"/>
    <w:tmpl w:val="BD92F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315CA0"/>
    <w:multiLevelType w:val="hybridMultilevel"/>
    <w:tmpl w:val="8326C690"/>
    <w:lvl w:ilvl="0" w:tplc="04090001">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20" w15:restartNumberingAfterBreak="0">
    <w:nsid w:val="51920EDD"/>
    <w:multiLevelType w:val="multilevel"/>
    <w:tmpl w:val="B2DC2E3E"/>
    <w:lvl w:ilvl="0">
      <w:start w:val="1"/>
      <w:numFmt w:val="decimal"/>
      <w:lvlText w:val="%1."/>
      <w:lvlJc w:val="left"/>
      <w:pPr>
        <w:ind w:left="1440" w:hanging="360"/>
      </w:pPr>
      <w:rPr>
        <w:rFonts w:hint="default"/>
        <w:b w:val="0"/>
        <w:i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1" w15:restartNumberingAfterBreak="0">
    <w:nsid w:val="5DA551D0"/>
    <w:multiLevelType w:val="hybridMultilevel"/>
    <w:tmpl w:val="E034B5F0"/>
    <w:lvl w:ilvl="0" w:tplc="BECC2C2C">
      <w:start w:val="1"/>
      <w:numFmt w:val="decimal"/>
      <w:lvlText w:val="%1"/>
      <w:lvlJc w:val="left"/>
      <w:pPr>
        <w:tabs>
          <w:tab w:val="num" w:pos="1440"/>
        </w:tabs>
        <w:ind w:left="1440" w:hanging="720"/>
      </w:pPr>
      <w:rPr>
        <w:rFonts w:ascii="Palatino Linotype" w:hAnsi="Palatino Linotype" w:hint="default"/>
        <w:b w:val="0"/>
        <w:i/>
        <w:sz w:val="20"/>
        <w:szCs w:val="20"/>
      </w:rPr>
    </w:lvl>
    <w:lvl w:ilvl="1" w:tplc="22124DCE">
      <w:start w:val="1"/>
      <w:numFmt w:val="decimal"/>
      <w:lvlText w:val="%2."/>
      <w:lvlJc w:val="left"/>
      <w:pPr>
        <w:tabs>
          <w:tab w:val="num" w:pos="2880"/>
        </w:tabs>
        <w:ind w:left="2880" w:hanging="360"/>
      </w:pPr>
      <w:rPr>
        <w:rFonts w:hint="default"/>
      </w:rPr>
    </w:lvl>
    <w:lvl w:ilvl="2" w:tplc="45A06DB6">
      <w:start w:val="1"/>
      <w:numFmt w:val="lowerLetter"/>
      <w:lvlText w:val="%3."/>
      <w:lvlJc w:val="left"/>
      <w:pPr>
        <w:tabs>
          <w:tab w:val="num" w:pos="3780"/>
        </w:tabs>
        <w:ind w:left="3780" w:hanging="360"/>
      </w:pPr>
      <w:rPr>
        <w:rFonts w:hint="default"/>
      </w:rPr>
    </w:lvl>
    <w:lvl w:ilvl="3" w:tplc="4770156C">
      <w:start w:val="3"/>
      <w:numFmt w:val="lowerRoman"/>
      <w:lvlText w:val="%4."/>
      <w:lvlJc w:val="left"/>
      <w:pPr>
        <w:tabs>
          <w:tab w:val="num" w:pos="4680"/>
        </w:tabs>
        <w:ind w:left="4680" w:hanging="720"/>
      </w:pPr>
      <w:rPr>
        <w:rFonts w:hint="default"/>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5FEE6FB5"/>
    <w:multiLevelType w:val="hybridMultilevel"/>
    <w:tmpl w:val="CAB40DFA"/>
    <w:lvl w:ilvl="0" w:tplc="2B84E17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B376AE1"/>
    <w:multiLevelType w:val="hybridMultilevel"/>
    <w:tmpl w:val="002C0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FB4229D"/>
    <w:multiLevelType w:val="hybridMultilevel"/>
    <w:tmpl w:val="4CC2131A"/>
    <w:lvl w:ilvl="0" w:tplc="7AB05662">
      <w:start w:val="1"/>
      <w:numFmt w:val="decimal"/>
      <w:pStyle w:val="Heading3"/>
      <w:lvlText w:val="%1."/>
      <w:lvlJc w:val="left"/>
      <w:pPr>
        <w:ind w:left="3420" w:hanging="360"/>
      </w:pPr>
      <w:rPr>
        <w:rFonts w:ascii="Times New Roman Bold" w:hAnsi="Times New Roman Bold"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D2762C"/>
    <w:multiLevelType w:val="hybridMultilevel"/>
    <w:tmpl w:val="82EE4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602F1B"/>
    <w:multiLevelType w:val="hybridMultilevel"/>
    <w:tmpl w:val="DC74D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7240E6"/>
    <w:multiLevelType w:val="hybridMultilevel"/>
    <w:tmpl w:val="FAEA8B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76657DE"/>
    <w:multiLevelType w:val="hybridMultilevel"/>
    <w:tmpl w:val="70D07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9032D2"/>
    <w:multiLevelType w:val="multilevel"/>
    <w:tmpl w:val="D79E7CBE"/>
    <w:lvl w:ilvl="0">
      <w:start w:val="1"/>
      <w:numFmt w:val="upperRoman"/>
      <w:lvlRestart w:val="0"/>
      <w:pStyle w:val="SRPleadngL1"/>
      <w:suff w:val="nothing"/>
      <w:lvlText w:val="%1."/>
      <w:lvlJc w:val="left"/>
      <w:pPr>
        <w:tabs>
          <w:tab w:val="num" w:pos="1260"/>
        </w:tabs>
        <w:ind w:left="540" w:firstLine="0"/>
      </w:pPr>
      <w:rPr>
        <w:rFonts w:ascii="Times New Roman" w:hAnsi="Times New Roman"/>
        <w:b/>
        <w:i w:val="0"/>
        <w:caps w:val="0"/>
        <w:color w:val="auto"/>
        <w:sz w:val="24"/>
        <w:u w:val="none"/>
      </w:rPr>
    </w:lvl>
    <w:lvl w:ilvl="1">
      <w:start w:val="1"/>
      <w:numFmt w:val="upperLetter"/>
      <w:pStyle w:val="SRPleadngL2"/>
      <w:lvlText w:val="%2."/>
      <w:lvlJc w:val="left"/>
      <w:pPr>
        <w:tabs>
          <w:tab w:val="num" w:pos="1260"/>
        </w:tabs>
        <w:ind w:left="1260" w:hanging="720"/>
      </w:pPr>
      <w:rPr>
        <w:rFonts w:ascii="Times New Roman" w:hAnsi="Times New Roman"/>
        <w:b/>
        <w:i w:val="0"/>
        <w:caps w:val="0"/>
        <w:color w:val="auto"/>
        <w:sz w:val="24"/>
        <w:u w:val="none"/>
      </w:rPr>
    </w:lvl>
    <w:lvl w:ilvl="2">
      <w:start w:val="1"/>
      <w:numFmt w:val="decimal"/>
      <w:pStyle w:val="SRPleadngL3"/>
      <w:lvlText w:val="%3."/>
      <w:lvlJc w:val="left"/>
      <w:pPr>
        <w:tabs>
          <w:tab w:val="num" w:pos="2100"/>
        </w:tabs>
        <w:ind w:left="2100" w:hanging="720"/>
      </w:pPr>
      <w:rPr>
        <w:rFonts w:ascii="Times New Roman" w:hAnsi="Times New Roman"/>
        <w:b/>
        <w:i w:val="0"/>
        <w:caps w:val="0"/>
        <w:color w:val="auto"/>
        <w:sz w:val="24"/>
        <w:u w:val="none"/>
      </w:rPr>
    </w:lvl>
    <w:lvl w:ilvl="3">
      <w:start w:val="1"/>
      <w:numFmt w:val="lowerLetter"/>
      <w:pStyle w:val="SRPleadngL4"/>
      <w:lvlText w:val="%4."/>
      <w:lvlJc w:val="left"/>
      <w:pPr>
        <w:tabs>
          <w:tab w:val="num" w:pos="2700"/>
        </w:tabs>
        <w:ind w:left="2700" w:hanging="720"/>
      </w:pPr>
      <w:rPr>
        <w:rFonts w:ascii="Times New Roman" w:hAnsi="Times New Roman"/>
        <w:b/>
        <w:i w:val="0"/>
        <w:caps w:val="0"/>
        <w:color w:val="auto"/>
        <w:sz w:val="24"/>
        <w:u w:val="none"/>
      </w:rPr>
    </w:lvl>
    <w:lvl w:ilvl="4">
      <w:start w:val="1"/>
      <w:numFmt w:val="lowerRoman"/>
      <w:pStyle w:val="SRPleadngL5"/>
      <w:lvlText w:val="(%5)"/>
      <w:lvlJc w:val="left"/>
      <w:pPr>
        <w:tabs>
          <w:tab w:val="num" w:pos="3420"/>
        </w:tabs>
        <w:ind w:left="3420" w:hanging="720"/>
      </w:pPr>
      <w:rPr>
        <w:rFonts w:ascii="Times New Roman" w:hAnsi="Times New Roman"/>
        <w:b/>
        <w:i w:val="0"/>
        <w:caps w:val="0"/>
        <w:color w:val="auto"/>
        <w:sz w:val="24"/>
        <w:u w:val="none"/>
      </w:rPr>
    </w:lvl>
    <w:lvl w:ilvl="5">
      <w:start w:val="1"/>
      <w:numFmt w:val="lowerRoman"/>
      <w:lvlText w:val="%6)"/>
      <w:lvlJc w:val="left"/>
      <w:pPr>
        <w:tabs>
          <w:tab w:val="num" w:pos="6300"/>
        </w:tabs>
        <w:ind w:left="6300" w:hanging="720"/>
      </w:pPr>
      <w:rPr>
        <w:rFonts w:ascii="Times New Roman" w:hAnsi="Times New Roman"/>
        <w:b w:val="0"/>
        <w:i w:val="0"/>
        <w:caps w:val="0"/>
        <w:color w:val="auto"/>
        <w:sz w:val="24"/>
        <w:u w:val="none"/>
      </w:rPr>
    </w:lvl>
    <w:lvl w:ilvl="6">
      <w:start w:val="1"/>
      <w:numFmt w:val="lowerRoman"/>
      <w:lvlText w:val="%7)"/>
      <w:lvlJc w:val="left"/>
      <w:pPr>
        <w:tabs>
          <w:tab w:val="num" w:pos="6300"/>
        </w:tabs>
        <w:ind w:left="6300" w:hanging="720"/>
      </w:pPr>
      <w:rPr>
        <w:rFonts w:ascii="Times New Roman" w:hAnsi="Times New Roman"/>
        <w:b w:val="0"/>
        <w:i w:val="0"/>
        <w:caps w:val="0"/>
        <w:color w:val="auto"/>
        <w:sz w:val="24"/>
        <w:u w:val="none"/>
      </w:rPr>
    </w:lvl>
    <w:lvl w:ilvl="7">
      <w:start w:val="1"/>
      <w:numFmt w:val="lowerRoman"/>
      <w:lvlText w:val="%8)"/>
      <w:lvlJc w:val="left"/>
      <w:pPr>
        <w:tabs>
          <w:tab w:val="num" w:pos="6300"/>
        </w:tabs>
        <w:ind w:left="6300" w:hanging="720"/>
      </w:pPr>
      <w:rPr>
        <w:rFonts w:ascii="Times New Roman" w:hAnsi="Times New Roman"/>
        <w:b w:val="0"/>
        <w:i w:val="0"/>
        <w:caps w:val="0"/>
        <w:color w:val="auto"/>
        <w:sz w:val="24"/>
        <w:u w:val="none"/>
      </w:rPr>
    </w:lvl>
    <w:lvl w:ilvl="8">
      <w:start w:val="1"/>
      <w:numFmt w:val="lowerRoman"/>
      <w:lvlText w:val="%9)"/>
      <w:lvlJc w:val="left"/>
      <w:pPr>
        <w:tabs>
          <w:tab w:val="num" w:pos="6300"/>
        </w:tabs>
        <w:ind w:left="6300" w:hanging="720"/>
      </w:pPr>
      <w:rPr>
        <w:rFonts w:ascii="Times New Roman" w:hAnsi="Times New Roman"/>
        <w:b w:val="0"/>
        <w:i w:val="0"/>
        <w:caps w:val="0"/>
        <w:color w:val="auto"/>
        <w:sz w:val="24"/>
        <w:u w:val="none"/>
      </w:rPr>
    </w:lvl>
  </w:abstractNum>
  <w:num w:numId="1">
    <w:abstractNumId w:val="7"/>
  </w:num>
  <w:num w:numId="2">
    <w:abstractNumId w:val="20"/>
  </w:num>
  <w:num w:numId="3">
    <w:abstractNumId w:val="27"/>
  </w:num>
  <w:num w:numId="4">
    <w:abstractNumId w:val="2"/>
  </w:num>
  <w:num w:numId="5">
    <w:abstractNumId w:val="25"/>
  </w:num>
  <w:num w:numId="6">
    <w:abstractNumId w:val="5"/>
  </w:num>
  <w:num w:numId="7">
    <w:abstractNumId w:val="2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8"/>
  </w:num>
  <w:num w:numId="11">
    <w:abstractNumId w:val="16"/>
  </w:num>
  <w:num w:numId="12">
    <w:abstractNumId w:val="0"/>
  </w:num>
  <w:num w:numId="13">
    <w:abstractNumId w:val="26"/>
  </w:num>
  <w:num w:numId="14">
    <w:abstractNumId w:val="10"/>
  </w:num>
  <w:num w:numId="15">
    <w:abstractNumId w:val="17"/>
  </w:num>
  <w:num w:numId="16">
    <w:abstractNumId w:val="11"/>
  </w:num>
  <w:num w:numId="17">
    <w:abstractNumId w:val="23"/>
  </w:num>
  <w:num w:numId="18">
    <w:abstractNumId w:val="6"/>
  </w:num>
  <w:num w:numId="19">
    <w:abstractNumId w:val="1"/>
  </w:num>
  <w:num w:numId="20">
    <w:abstractNumId w:val="9"/>
  </w:num>
  <w:num w:numId="21">
    <w:abstractNumId w:val="3"/>
  </w:num>
  <w:num w:numId="22">
    <w:abstractNumId w:val="13"/>
  </w:num>
  <w:num w:numId="23">
    <w:abstractNumId w:val="8"/>
  </w:num>
  <w:num w:numId="24">
    <w:abstractNumId w:val="2"/>
  </w:num>
  <w:num w:numId="25">
    <w:abstractNumId w:val="19"/>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4"/>
  </w:num>
  <w:num w:numId="30">
    <w:abstractNumId w:val="22"/>
  </w:num>
  <w:num w:numId="31">
    <w:abstractNumId w:val="4"/>
  </w:num>
  <w:num w:numId="32">
    <w:abstractNumId w:val="21"/>
  </w:num>
  <w:num w:numId="33">
    <w:abstractNumId w:val="24"/>
  </w:num>
  <w:num w:numId="3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1C"/>
    <w:rsid w:val="000007FB"/>
    <w:rsid w:val="00001B10"/>
    <w:rsid w:val="00001F88"/>
    <w:rsid w:val="00001FF5"/>
    <w:rsid w:val="000033D7"/>
    <w:rsid w:val="00003565"/>
    <w:rsid w:val="000037AA"/>
    <w:rsid w:val="0000512F"/>
    <w:rsid w:val="000051E6"/>
    <w:rsid w:val="00005458"/>
    <w:rsid w:val="0000584A"/>
    <w:rsid w:val="00005AD9"/>
    <w:rsid w:val="00005BF4"/>
    <w:rsid w:val="00005ED0"/>
    <w:rsid w:val="000060AD"/>
    <w:rsid w:val="0000667F"/>
    <w:rsid w:val="00006930"/>
    <w:rsid w:val="0000752C"/>
    <w:rsid w:val="00007A85"/>
    <w:rsid w:val="00007D39"/>
    <w:rsid w:val="00011560"/>
    <w:rsid w:val="00011BFF"/>
    <w:rsid w:val="00011FE6"/>
    <w:rsid w:val="000126EE"/>
    <w:rsid w:val="00012CC8"/>
    <w:rsid w:val="00012FDA"/>
    <w:rsid w:val="0001454C"/>
    <w:rsid w:val="000145BA"/>
    <w:rsid w:val="0001471F"/>
    <w:rsid w:val="00015D85"/>
    <w:rsid w:val="00016A27"/>
    <w:rsid w:val="00016B84"/>
    <w:rsid w:val="00017321"/>
    <w:rsid w:val="000173CE"/>
    <w:rsid w:val="00017D21"/>
    <w:rsid w:val="000201B2"/>
    <w:rsid w:val="00020E5E"/>
    <w:rsid w:val="00021462"/>
    <w:rsid w:val="00021550"/>
    <w:rsid w:val="000225B0"/>
    <w:rsid w:val="0002376D"/>
    <w:rsid w:val="00023CB7"/>
    <w:rsid w:val="00023E4F"/>
    <w:rsid w:val="000242B2"/>
    <w:rsid w:val="00024D5B"/>
    <w:rsid w:val="00025040"/>
    <w:rsid w:val="0002513B"/>
    <w:rsid w:val="00025254"/>
    <w:rsid w:val="00025B8E"/>
    <w:rsid w:val="00025ED5"/>
    <w:rsid w:val="00026205"/>
    <w:rsid w:val="00026635"/>
    <w:rsid w:val="000269C1"/>
    <w:rsid w:val="000269E8"/>
    <w:rsid w:val="0002735C"/>
    <w:rsid w:val="00027821"/>
    <w:rsid w:val="000279A1"/>
    <w:rsid w:val="000300D3"/>
    <w:rsid w:val="00030DF6"/>
    <w:rsid w:val="0003162B"/>
    <w:rsid w:val="0003183C"/>
    <w:rsid w:val="00031CA9"/>
    <w:rsid w:val="00031F46"/>
    <w:rsid w:val="00032791"/>
    <w:rsid w:val="00032B57"/>
    <w:rsid w:val="00033BB0"/>
    <w:rsid w:val="00033D05"/>
    <w:rsid w:val="00033E09"/>
    <w:rsid w:val="000346F4"/>
    <w:rsid w:val="0003484F"/>
    <w:rsid w:val="00034DF7"/>
    <w:rsid w:val="00035A26"/>
    <w:rsid w:val="00035AB4"/>
    <w:rsid w:val="00036062"/>
    <w:rsid w:val="00036443"/>
    <w:rsid w:val="0003648D"/>
    <w:rsid w:val="00036622"/>
    <w:rsid w:val="000367DA"/>
    <w:rsid w:val="0003693A"/>
    <w:rsid w:val="00036BC3"/>
    <w:rsid w:val="00036F86"/>
    <w:rsid w:val="00037018"/>
    <w:rsid w:val="000372DF"/>
    <w:rsid w:val="00037485"/>
    <w:rsid w:val="00037942"/>
    <w:rsid w:val="00040051"/>
    <w:rsid w:val="000401CC"/>
    <w:rsid w:val="0004031C"/>
    <w:rsid w:val="000405F0"/>
    <w:rsid w:val="00040703"/>
    <w:rsid w:val="00040869"/>
    <w:rsid w:val="000412E1"/>
    <w:rsid w:val="000414EC"/>
    <w:rsid w:val="00041636"/>
    <w:rsid w:val="00041ACA"/>
    <w:rsid w:val="00041E22"/>
    <w:rsid w:val="00042410"/>
    <w:rsid w:val="00042EE2"/>
    <w:rsid w:val="00043304"/>
    <w:rsid w:val="000439C6"/>
    <w:rsid w:val="00043F82"/>
    <w:rsid w:val="000440A0"/>
    <w:rsid w:val="00044E7B"/>
    <w:rsid w:val="00044FE7"/>
    <w:rsid w:val="00045738"/>
    <w:rsid w:val="000458D0"/>
    <w:rsid w:val="00045A6D"/>
    <w:rsid w:val="00045D36"/>
    <w:rsid w:val="00046241"/>
    <w:rsid w:val="00046C81"/>
    <w:rsid w:val="00047147"/>
    <w:rsid w:val="000473A6"/>
    <w:rsid w:val="00047B93"/>
    <w:rsid w:val="00047E5C"/>
    <w:rsid w:val="00047F1D"/>
    <w:rsid w:val="000504EF"/>
    <w:rsid w:val="0005066E"/>
    <w:rsid w:val="000514B2"/>
    <w:rsid w:val="0005228D"/>
    <w:rsid w:val="000525DF"/>
    <w:rsid w:val="0005300F"/>
    <w:rsid w:val="00053831"/>
    <w:rsid w:val="00053DB7"/>
    <w:rsid w:val="00054853"/>
    <w:rsid w:val="00054909"/>
    <w:rsid w:val="000549E9"/>
    <w:rsid w:val="00054CF1"/>
    <w:rsid w:val="00054D39"/>
    <w:rsid w:val="00054ED8"/>
    <w:rsid w:val="0005529F"/>
    <w:rsid w:val="000556D0"/>
    <w:rsid w:val="000557FA"/>
    <w:rsid w:val="000559D2"/>
    <w:rsid w:val="00055A6C"/>
    <w:rsid w:val="00055DE7"/>
    <w:rsid w:val="00055FCF"/>
    <w:rsid w:val="000566C6"/>
    <w:rsid w:val="00056E0F"/>
    <w:rsid w:val="0005744C"/>
    <w:rsid w:val="000601ED"/>
    <w:rsid w:val="00060819"/>
    <w:rsid w:val="00060880"/>
    <w:rsid w:val="00061B3D"/>
    <w:rsid w:val="00061C2D"/>
    <w:rsid w:val="0006269D"/>
    <w:rsid w:val="00062D93"/>
    <w:rsid w:val="000634FB"/>
    <w:rsid w:val="000638AE"/>
    <w:rsid w:val="00064FA9"/>
    <w:rsid w:val="00065144"/>
    <w:rsid w:val="00065C62"/>
    <w:rsid w:val="000669AD"/>
    <w:rsid w:val="00066FE2"/>
    <w:rsid w:val="0006708F"/>
    <w:rsid w:val="000677D6"/>
    <w:rsid w:val="00067E2A"/>
    <w:rsid w:val="00070005"/>
    <w:rsid w:val="0007020F"/>
    <w:rsid w:val="0007095A"/>
    <w:rsid w:val="00070973"/>
    <w:rsid w:val="00071408"/>
    <w:rsid w:val="0007163F"/>
    <w:rsid w:val="0007179D"/>
    <w:rsid w:val="00072C0D"/>
    <w:rsid w:val="00072D95"/>
    <w:rsid w:val="000733B9"/>
    <w:rsid w:val="0007404B"/>
    <w:rsid w:val="00074063"/>
    <w:rsid w:val="00074156"/>
    <w:rsid w:val="000741BE"/>
    <w:rsid w:val="000743B1"/>
    <w:rsid w:val="00074D5B"/>
    <w:rsid w:val="00075100"/>
    <w:rsid w:val="00075A71"/>
    <w:rsid w:val="00075EDD"/>
    <w:rsid w:val="00075F86"/>
    <w:rsid w:val="00076686"/>
    <w:rsid w:val="000771E3"/>
    <w:rsid w:val="00077D07"/>
    <w:rsid w:val="000801A8"/>
    <w:rsid w:val="0008037D"/>
    <w:rsid w:val="000804FB"/>
    <w:rsid w:val="00080ADF"/>
    <w:rsid w:val="00081621"/>
    <w:rsid w:val="0008188E"/>
    <w:rsid w:val="00082627"/>
    <w:rsid w:val="0008345B"/>
    <w:rsid w:val="00083675"/>
    <w:rsid w:val="0008372A"/>
    <w:rsid w:val="00083743"/>
    <w:rsid w:val="000837ED"/>
    <w:rsid w:val="000843D1"/>
    <w:rsid w:val="00084A15"/>
    <w:rsid w:val="00084AB9"/>
    <w:rsid w:val="00085313"/>
    <w:rsid w:val="00085BFB"/>
    <w:rsid w:val="000861F1"/>
    <w:rsid w:val="00086927"/>
    <w:rsid w:val="00086970"/>
    <w:rsid w:val="000870B9"/>
    <w:rsid w:val="000873F2"/>
    <w:rsid w:val="00087533"/>
    <w:rsid w:val="000901DB"/>
    <w:rsid w:val="000919AE"/>
    <w:rsid w:val="000919FC"/>
    <w:rsid w:val="00091CA8"/>
    <w:rsid w:val="00091D60"/>
    <w:rsid w:val="0009276F"/>
    <w:rsid w:val="000929C4"/>
    <w:rsid w:val="00093117"/>
    <w:rsid w:val="000931A0"/>
    <w:rsid w:val="00093C56"/>
    <w:rsid w:val="000941B4"/>
    <w:rsid w:val="0009442C"/>
    <w:rsid w:val="00094678"/>
    <w:rsid w:val="00094DCA"/>
    <w:rsid w:val="0009523A"/>
    <w:rsid w:val="0009532B"/>
    <w:rsid w:val="000956A2"/>
    <w:rsid w:val="0009579B"/>
    <w:rsid w:val="00095C03"/>
    <w:rsid w:val="00095F64"/>
    <w:rsid w:val="00096A71"/>
    <w:rsid w:val="000970A4"/>
    <w:rsid w:val="0009719D"/>
    <w:rsid w:val="00097DAB"/>
    <w:rsid w:val="000A03CB"/>
    <w:rsid w:val="000A079F"/>
    <w:rsid w:val="000A07DA"/>
    <w:rsid w:val="000A0A9C"/>
    <w:rsid w:val="000A1311"/>
    <w:rsid w:val="000A1A4E"/>
    <w:rsid w:val="000A1C88"/>
    <w:rsid w:val="000A1F04"/>
    <w:rsid w:val="000A24E7"/>
    <w:rsid w:val="000A2C2B"/>
    <w:rsid w:val="000A45F6"/>
    <w:rsid w:val="000A46C9"/>
    <w:rsid w:val="000A4892"/>
    <w:rsid w:val="000A4AA8"/>
    <w:rsid w:val="000A4C2A"/>
    <w:rsid w:val="000A4D97"/>
    <w:rsid w:val="000A5581"/>
    <w:rsid w:val="000A66A2"/>
    <w:rsid w:val="000B01B8"/>
    <w:rsid w:val="000B0638"/>
    <w:rsid w:val="000B0C04"/>
    <w:rsid w:val="000B0EDC"/>
    <w:rsid w:val="000B13C3"/>
    <w:rsid w:val="000B1F9F"/>
    <w:rsid w:val="000B2069"/>
    <w:rsid w:val="000B29E6"/>
    <w:rsid w:val="000B3679"/>
    <w:rsid w:val="000B3AB9"/>
    <w:rsid w:val="000B3C58"/>
    <w:rsid w:val="000B3CC0"/>
    <w:rsid w:val="000B4005"/>
    <w:rsid w:val="000B4611"/>
    <w:rsid w:val="000B478C"/>
    <w:rsid w:val="000B4EAA"/>
    <w:rsid w:val="000B541B"/>
    <w:rsid w:val="000B5638"/>
    <w:rsid w:val="000B5902"/>
    <w:rsid w:val="000B5B34"/>
    <w:rsid w:val="000B6AF8"/>
    <w:rsid w:val="000B6F78"/>
    <w:rsid w:val="000B7DC0"/>
    <w:rsid w:val="000B7FFC"/>
    <w:rsid w:val="000C0E0F"/>
    <w:rsid w:val="000C0E71"/>
    <w:rsid w:val="000C0F9C"/>
    <w:rsid w:val="000C1316"/>
    <w:rsid w:val="000C14B2"/>
    <w:rsid w:val="000C17AE"/>
    <w:rsid w:val="000C1A0B"/>
    <w:rsid w:val="000C1D94"/>
    <w:rsid w:val="000C2449"/>
    <w:rsid w:val="000C2C65"/>
    <w:rsid w:val="000C2D97"/>
    <w:rsid w:val="000C3405"/>
    <w:rsid w:val="000C3A2E"/>
    <w:rsid w:val="000C4103"/>
    <w:rsid w:val="000C4165"/>
    <w:rsid w:val="000C50CD"/>
    <w:rsid w:val="000C54AD"/>
    <w:rsid w:val="000C5746"/>
    <w:rsid w:val="000C5C5F"/>
    <w:rsid w:val="000C71E8"/>
    <w:rsid w:val="000C729D"/>
    <w:rsid w:val="000C73EB"/>
    <w:rsid w:val="000C7B4E"/>
    <w:rsid w:val="000D15FA"/>
    <w:rsid w:val="000D1BAF"/>
    <w:rsid w:val="000D3293"/>
    <w:rsid w:val="000D3461"/>
    <w:rsid w:val="000D35FF"/>
    <w:rsid w:val="000D376C"/>
    <w:rsid w:val="000D4DD2"/>
    <w:rsid w:val="000D5129"/>
    <w:rsid w:val="000D522B"/>
    <w:rsid w:val="000D56DA"/>
    <w:rsid w:val="000D5920"/>
    <w:rsid w:val="000D5EC4"/>
    <w:rsid w:val="000D67FD"/>
    <w:rsid w:val="000D6B5D"/>
    <w:rsid w:val="000D6C19"/>
    <w:rsid w:val="000D6D1B"/>
    <w:rsid w:val="000D6FC1"/>
    <w:rsid w:val="000D7C4F"/>
    <w:rsid w:val="000D7EC3"/>
    <w:rsid w:val="000E08CA"/>
    <w:rsid w:val="000E0F9D"/>
    <w:rsid w:val="000E1137"/>
    <w:rsid w:val="000E13F9"/>
    <w:rsid w:val="000E20CB"/>
    <w:rsid w:val="000E288E"/>
    <w:rsid w:val="000E29E1"/>
    <w:rsid w:val="000E3DD4"/>
    <w:rsid w:val="000E4153"/>
    <w:rsid w:val="000E428D"/>
    <w:rsid w:val="000E4CD4"/>
    <w:rsid w:val="000E5383"/>
    <w:rsid w:val="000E554C"/>
    <w:rsid w:val="000E60D9"/>
    <w:rsid w:val="000E6189"/>
    <w:rsid w:val="000E77F7"/>
    <w:rsid w:val="000E7D83"/>
    <w:rsid w:val="000E7F4E"/>
    <w:rsid w:val="000F0267"/>
    <w:rsid w:val="000F0504"/>
    <w:rsid w:val="000F0B67"/>
    <w:rsid w:val="000F0EBB"/>
    <w:rsid w:val="000F0FE1"/>
    <w:rsid w:val="000F143E"/>
    <w:rsid w:val="000F158B"/>
    <w:rsid w:val="000F168D"/>
    <w:rsid w:val="000F1B22"/>
    <w:rsid w:val="000F210D"/>
    <w:rsid w:val="000F2467"/>
    <w:rsid w:val="000F24E6"/>
    <w:rsid w:val="000F2684"/>
    <w:rsid w:val="000F2A58"/>
    <w:rsid w:val="000F2B76"/>
    <w:rsid w:val="000F3516"/>
    <w:rsid w:val="000F3BFF"/>
    <w:rsid w:val="000F43ED"/>
    <w:rsid w:val="000F4792"/>
    <w:rsid w:val="000F4B67"/>
    <w:rsid w:val="000F570F"/>
    <w:rsid w:val="000F625B"/>
    <w:rsid w:val="000F6414"/>
    <w:rsid w:val="000F6514"/>
    <w:rsid w:val="000F6E28"/>
    <w:rsid w:val="000F7499"/>
    <w:rsid w:val="000F7CAB"/>
    <w:rsid w:val="00100BAD"/>
    <w:rsid w:val="001011DD"/>
    <w:rsid w:val="00101C5D"/>
    <w:rsid w:val="001020F8"/>
    <w:rsid w:val="00102F2E"/>
    <w:rsid w:val="00102F3C"/>
    <w:rsid w:val="001035FF"/>
    <w:rsid w:val="00103B75"/>
    <w:rsid w:val="00103D0B"/>
    <w:rsid w:val="00103DAF"/>
    <w:rsid w:val="00104DF6"/>
    <w:rsid w:val="001055C0"/>
    <w:rsid w:val="00106A83"/>
    <w:rsid w:val="00106DA9"/>
    <w:rsid w:val="001075E9"/>
    <w:rsid w:val="001100CA"/>
    <w:rsid w:val="001112A5"/>
    <w:rsid w:val="001112C3"/>
    <w:rsid w:val="001118DD"/>
    <w:rsid w:val="00111B2D"/>
    <w:rsid w:val="00111DCA"/>
    <w:rsid w:val="00112499"/>
    <w:rsid w:val="001133CA"/>
    <w:rsid w:val="0011364B"/>
    <w:rsid w:val="00113890"/>
    <w:rsid w:val="00113FA7"/>
    <w:rsid w:val="00114199"/>
    <w:rsid w:val="00114275"/>
    <w:rsid w:val="00114307"/>
    <w:rsid w:val="001145E2"/>
    <w:rsid w:val="001149EB"/>
    <w:rsid w:val="0011511C"/>
    <w:rsid w:val="0011531A"/>
    <w:rsid w:val="001154BE"/>
    <w:rsid w:val="001157AE"/>
    <w:rsid w:val="00115C74"/>
    <w:rsid w:val="00115E2A"/>
    <w:rsid w:val="001167FD"/>
    <w:rsid w:val="001169CF"/>
    <w:rsid w:val="00116DBD"/>
    <w:rsid w:val="001179FE"/>
    <w:rsid w:val="00117AA0"/>
    <w:rsid w:val="0012085F"/>
    <w:rsid w:val="00120A77"/>
    <w:rsid w:val="00120A7E"/>
    <w:rsid w:val="00120FF7"/>
    <w:rsid w:val="001215A2"/>
    <w:rsid w:val="001215EB"/>
    <w:rsid w:val="00121C0A"/>
    <w:rsid w:val="0012214B"/>
    <w:rsid w:val="001221BA"/>
    <w:rsid w:val="00122483"/>
    <w:rsid w:val="00122C6E"/>
    <w:rsid w:val="00123393"/>
    <w:rsid w:val="00123452"/>
    <w:rsid w:val="0012359E"/>
    <w:rsid w:val="00123C10"/>
    <w:rsid w:val="0012546A"/>
    <w:rsid w:val="0012569A"/>
    <w:rsid w:val="00125C77"/>
    <w:rsid w:val="00125EBD"/>
    <w:rsid w:val="001260FC"/>
    <w:rsid w:val="001268C7"/>
    <w:rsid w:val="00126D90"/>
    <w:rsid w:val="00127470"/>
    <w:rsid w:val="0012796A"/>
    <w:rsid w:val="00127BB2"/>
    <w:rsid w:val="00127E71"/>
    <w:rsid w:val="00130E03"/>
    <w:rsid w:val="001312E6"/>
    <w:rsid w:val="00131420"/>
    <w:rsid w:val="0013161E"/>
    <w:rsid w:val="00131B1D"/>
    <w:rsid w:val="00131C6B"/>
    <w:rsid w:val="00131E7B"/>
    <w:rsid w:val="00131E9E"/>
    <w:rsid w:val="001326C7"/>
    <w:rsid w:val="00132DF8"/>
    <w:rsid w:val="00133230"/>
    <w:rsid w:val="001334E9"/>
    <w:rsid w:val="00133E9B"/>
    <w:rsid w:val="00133F9A"/>
    <w:rsid w:val="0013432A"/>
    <w:rsid w:val="00134747"/>
    <w:rsid w:val="001353E0"/>
    <w:rsid w:val="00135CD2"/>
    <w:rsid w:val="00135F1D"/>
    <w:rsid w:val="001364DE"/>
    <w:rsid w:val="00136695"/>
    <w:rsid w:val="00136789"/>
    <w:rsid w:val="0013685B"/>
    <w:rsid w:val="0013699B"/>
    <w:rsid w:val="001371EE"/>
    <w:rsid w:val="001374B2"/>
    <w:rsid w:val="001375BD"/>
    <w:rsid w:val="00137832"/>
    <w:rsid w:val="0014049F"/>
    <w:rsid w:val="00140513"/>
    <w:rsid w:val="00140E5D"/>
    <w:rsid w:val="001422AB"/>
    <w:rsid w:val="001424FA"/>
    <w:rsid w:val="00142867"/>
    <w:rsid w:val="00143000"/>
    <w:rsid w:val="00143EA8"/>
    <w:rsid w:val="00144394"/>
    <w:rsid w:val="00144539"/>
    <w:rsid w:val="00144FC9"/>
    <w:rsid w:val="0014557C"/>
    <w:rsid w:val="00145A9E"/>
    <w:rsid w:val="00145CE9"/>
    <w:rsid w:val="001460AE"/>
    <w:rsid w:val="001462D6"/>
    <w:rsid w:val="00146732"/>
    <w:rsid w:val="00146B05"/>
    <w:rsid w:val="00146F53"/>
    <w:rsid w:val="00147991"/>
    <w:rsid w:val="00147D22"/>
    <w:rsid w:val="00150651"/>
    <w:rsid w:val="001512BB"/>
    <w:rsid w:val="00151B68"/>
    <w:rsid w:val="00151B7E"/>
    <w:rsid w:val="00152900"/>
    <w:rsid w:val="00153428"/>
    <w:rsid w:val="001539B3"/>
    <w:rsid w:val="00153BC2"/>
    <w:rsid w:val="00153C0D"/>
    <w:rsid w:val="00153DC2"/>
    <w:rsid w:val="00153ECA"/>
    <w:rsid w:val="00154095"/>
    <w:rsid w:val="00154853"/>
    <w:rsid w:val="001556D6"/>
    <w:rsid w:val="001557E4"/>
    <w:rsid w:val="00155991"/>
    <w:rsid w:val="00155FA9"/>
    <w:rsid w:val="0015612E"/>
    <w:rsid w:val="00156A69"/>
    <w:rsid w:val="00156C03"/>
    <w:rsid w:val="00157BA6"/>
    <w:rsid w:val="00157C60"/>
    <w:rsid w:val="0016063F"/>
    <w:rsid w:val="001607B0"/>
    <w:rsid w:val="00161190"/>
    <w:rsid w:val="0016152C"/>
    <w:rsid w:val="001616E0"/>
    <w:rsid w:val="001619D8"/>
    <w:rsid w:val="00161C81"/>
    <w:rsid w:val="001627A8"/>
    <w:rsid w:val="00163530"/>
    <w:rsid w:val="00163FB2"/>
    <w:rsid w:val="00166083"/>
    <w:rsid w:val="00166CEB"/>
    <w:rsid w:val="00167114"/>
    <w:rsid w:val="001674EB"/>
    <w:rsid w:val="00167ACD"/>
    <w:rsid w:val="00167F11"/>
    <w:rsid w:val="00170139"/>
    <w:rsid w:val="001707C7"/>
    <w:rsid w:val="00170CA4"/>
    <w:rsid w:val="00173861"/>
    <w:rsid w:val="00173AF5"/>
    <w:rsid w:val="001749B3"/>
    <w:rsid w:val="00174BCB"/>
    <w:rsid w:val="00175A37"/>
    <w:rsid w:val="0017660C"/>
    <w:rsid w:val="00176A97"/>
    <w:rsid w:val="0017798B"/>
    <w:rsid w:val="00177D34"/>
    <w:rsid w:val="00180403"/>
    <w:rsid w:val="00181A2B"/>
    <w:rsid w:val="00181C1D"/>
    <w:rsid w:val="00181DF1"/>
    <w:rsid w:val="001826CF"/>
    <w:rsid w:val="0018276E"/>
    <w:rsid w:val="0018293F"/>
    <w:rsid w:val="00182A87"/>
    <w:rsid w:val="0018325A"/>
    <w:rsid w:val="00183471"/>
    <w:rsid w:val="00184E19"/>
    <w:rsid w:val="0018525E"/>
    <w:rsid w:val="00185596"/>
    <w:rsid w:val="00186997"/>
    <w:rsid w:val="00186DD7"/>
    <w:rsid w:val="001872B9"/>
    <w:rsid w:val="001874EE"/>
    <w:rsid w:val="00187860"/>
    <w:rsid w:val="00187D91"/>
    <w:rsid w:val="001905F9"/>
    <w:rsid w:val="00190636"/>
    <w:rsid w:val="00190CE0"/>
    <w:rsid w:val="0019136B"/>
    <w:rsid w:val="001914D1"/>
    <w:rsid w:val="00191699"/>
    <w:rsid w:val="0019187D"/>
    <w:rsid w:val="00191AB9"/>
    <w:rsid w:val="00191CCC"/>
    <w:rsid w:val="00191FE4"/>
    <w:rsid w:val="0019329F"/>
    <w:rsid w:val="00193452"/>
    <w:rsid w:val="0019352C"/>
    <w:rsid w:val="00193699"/>
    <w:rsid w:val="00193B50"/>
    <w:rsid w:val="00193C4E"/>
    <w:rsid w:val="00193F40"/>
    <w:rsid w:val="00193F9E"/>
    <w:rsid w:val="0019470D"/>
    <w:rsid w:val="00194897"/>
    <w:rsid w:val="00194B74"/>
    <w:rsid w:val="0019613C"/>
    <w:rsid w:val="0019620D"/>
    <w:rsid w:val="001962B6"/>
    <w:rsid w:val="00196480"/>
    <w:rsid w:val="00196717"/>
    <w:rsid w:val="00196B76"/>
    <w:rsid w:val="00196E62"/>
    <w:rsid w:val="001970CA"/>
    <w:rsid w:val="001A0461"/>
    <w:rsid w:val="001A1BE5"/>
    <w:rsid w:val="001A1C28"/>
    <w:rsid w:val="001A1CCA"/>
    <w:rsid w:val="001A1CF2"/>
    <w:rsid w:val="001A28E0"/>
    <w:rsid w:val="001A32C5"/>
    <w:rsid w:val="001A357C"/>
    <w:rsid w:val="001A37CA"/>
    <w:rsid w:val="001A3AC3"/>
    <w:rsid w:val="001A4A3B"/>
    <w:rsid w:val="001A51A9"/>
    <w:rsid w:val="001A5467"/>
    <w:rsid w:val="001A5F8E"/>
    <w:rsid w:val="001A7492"/>
    <w:rsid w:val="001A7F44"/>
    <w:rsid w:val="001B1D26"/>
    <w:rsid w:val="001B20B6"/>
    <w:rsid w:val="001B2B20"/>
    <w:rsid w:val="001B2BB5"/>
    <w:rsid w:val="001B2D04"/>
    <w:rsid w:val="001B3285"/>
    <w:rsid w:val="001B32F1"/>
    <w:rsid w:val="001B3F1B"/>
    <w:rsid w:val="001B4081"/>
    <w:rsid w:val="001B4B4F"/>
    <w:rsid w:val="001B5DBD"/>
    <w:rsid w:val="001B5F07"/>
    <w:rsid w:val="001B7118"/>
    <w:rsid w:val="001B72FE"/>
    <w:rsid w:val="001B76A5"/>
    <w:rsid w:val="001B7AC2"/>
    <w:rsid w:val="001C02FC"/>
    <w:rsid w:val="001C04E8"/>
    <w:rsid w:val="001C0A6F"/>
    <w:rsid w:val="001C1014"/>
    <w:rsid w:val="001C1B8A"/>
    <w:rsid w:val="001C1EFC"/>
    <w:rsid w:val="001C209A"/>
    <w:rsid w:val="001C2BEA"/>
    <w:rsid w:val="001C2ECF"/>
    <w:rsid w:val="001C2FA0"/>
    <w:rsid w:val="001C315E"/>
    <w:rsid w:val="001C3EBD"/>
    <w:rsid w:val="001C4B47"/>
    <w:rsid w:val="001C5543"/>
    <w:rsid w:val="001C5892"/>
    <w:rsid w:val="001C5A1C"/>
    <w:rsid w:val="001C5ABF"/>
    <w:rsid w:val="001C673C"/>
    <w:rsid w:val="001C7E80"/>
    <w:rsid w:val="001D06E2"/>
    <w:rsid w:val="001D0768"/>
    <w:rsid w:val="001D099A"/>
    <w:rsid w:val="001D09DE"/>
    <w:rsid w:val="001D14E9"/>
    <w:rsid w:val="001D1D52"/>
    <w:rsid w:val="001D2418"/>
    <w:rsid w:val="001D244C"/>
    <w:rsid w:val="001D275A"/>
    <w:rsid w:val="001D2872"/>
    <w:rsid w:val="001D2FD8"/>
    <w:rsid w:val="001D306C"/>
    <w:rsid w:val="001D344B"/>
    <w:rsid w:val="001D421D"/>
    <w:rsid w:val="001D4CFA"/>
    <w:rsid w:val="001D5AB8"/>
    <w:rsid w:val="001D5ADE"/>
    <w:rsid w:val="001D5CF7"/>
    <w:rsid w:val="001D5D90"/>
    <w:rsid w:val="001D63D3"/>
    <w:rsid w:val="001D647A"/>
    <w:rsid w:val="001D6C8F"/>
    <w:rsid w:val="001D6F7E"/>
    <w:rsid w:val="001D73EE"/>
    <w:rsid w:val="001E05BA"/>
    <w:rsid w:val="001E06F5"/>
    <w:rsid w:val="001E0829"/>
    <w:rsid w:val="001E0AF6"/>
    <w:rsid w:val="001E0F21"/>
    <w:rsid w:val="001E1246"/>
    <w:rsid w:val="001E1577"/>
    <w:rsid w:val="001E1FC2"/>
    <w:rsid w:val="001E2383"/>
    <w:rsid w:val="001E270B"/>
    <w:rsid w:val="001E2881"/>
    <w:rsid w:val="001E2B6F"/>
    <w:rsid w:val="001E327A"/>
    <w:rsid w:val="001E3545"/>
    <w:rsid w:val="001E4019"/>
    <w:rsid w:val="001E4C5F"/>
    <w:rsid w:val="001E4F2E"/>
    <w:rsid w:val="001E5507"/>
    <w:rsid w:val="001E552F"/>
    <w:rsid w:val="001E56CC"/>
    <w:rsid w:val="001E5F01"/>
    <w:rsid w:val="001E627C"/>
    <w:rsid w:val="001E6665"/>
    <w:rsid w:val="001E708D"/>
    <w:rsid w:val="001E7463"/>
    <w:rsid w:val="001E77A4"/>
    <w:rsid w:val="001F026E"/>
    <w:rsid w:val="001F035F"/>
    <w:rsid w:val="001F03F2"/>
    <w:rsid w:val="001F1478"/>
    <w:rsid w:val="001F1914"/>
    <w:rsid w:val="001F1DBF"/>
    <w:rsid w:val="001F1F5A"/>
    <w:rsid w:val="001F29C0"/>
    <w:rsid w:val="001F31CB"/>
    <w:rsid w:val="001F331A"/>
    <w:rsid w:val="001F3AB4"/>
    <w:rsid w:val="001F3CEF"/>
    <w:rsid w:val="001F44BC"/>
    <w:rsid w:val="001F50CB"/>
    <w:rsid w:val="001F56F0"/>
    <w:rsid w:val="001F5773"/>
    <w:rsid w:val="001F581F"/>
    <w:rsid w:val="001F64FD"/>
    <w:rsid w:val="001F7C94"/>
    <w:rsid w:val="00200543"/>
    <w:rsid w:val="00200B09"/>
    <w:rsid w:val="00201AE6"/>
    <w:rsid w:val="00202005"/>
    <w:rsid w:val="002020E1"/>
    <w:rsid w:val="002038D6"/>
    <w:rsid w:val="0020404F"/>
    <w:rsid w:val="00204E09"/>
    <w:rsid w:val="002051D1"/>
    <w:rsid w:val="00205518"/>
    <w:rsid w:val="00205AC7"/>
    <w:rsid w:val="00205CA7"/>
    <w:rsid w:val="002063F3"/>
    <w:rsid w:val="002069C9"/>
    <w:rsid w:val="0020793D"/>
    <w:rsid w:val="0021009A"/>
    <w:rsid w:val="002108DF"/>
    <w:rsid w:val="00210ED8"/>
    <w:rsid w:val="00211E7D"/>
    <w:rsid w:val="002121C2"/>
    <w:rsid w:val="002124FC"/>
    <w:rsid w:val="00212F40"/>
    <w:rsid w:val="00213581"/>
    <w:rsid w:val="00213915"/>
    <w:rsid w:val="00213A59"/>
    <w:rsid w:val="00214094"/>
    <w:rsid w:val="00214739"/>
    <w:rsid w:val="00214CC1"/>
    <w:rsid w:val="00214CFE"/>
    <w:rsid w:val="00214EDC"/>
    <w:rsid w:val="00215118"/>
    <w:rsid w:val="0021572B"/>
    <w:rsid w:val="00215DD3"/>
    <w:rsid w:val="0021629E"/>
    <w:rsid w:val="002166AB"/>
    <w:rsid w:val="00216875"/>
    <w:rsid w:val="002168B3"/>
    <w:rsid w:val="00216EDE"/>
    <w:rsid w:val="00217181"/>
    <w:rsid w:val="0021784E"/>
    <w:rsid w:val="00217D5B"/>
    <w:rsid w:val="002200DE"/>
    <w:rsid w:val="00220217"/>
    <w:rsid w:val="00220561"/>
    <w:rsid w:val="00220746"/>
    <w:rsid w:val="00220B0B"/>
    <w:rsid w:val="002215CA"/>
    <w:rsid w:val="00221F87"/>
    <w:rsid w:val="00222317"/>
    <w:rsid w:val="002232FA"/>
    <w:rsid w:val="00223C79"/>
    <w:rsid w:val="00224237"/>
    <w:rsid w:val="002242F6"/>
    <w:rsid w:val="00224597"/>
    <w:rsid w:val="0022461D"/>
    <w:rsid w:val="002251A3"/>
    <w:rsid w:val="002253C9"/>
    <w:rsid w:val="00225597"/>
    <w:rsid w:val="0022563B"/>
    <w:rsid w:val="00225C46"/>
    <w:rsid w:val="00225C90"/>
    <w:rsid w:val="0022602E"/>
    <w:rsid w:val="00226494"/>
    <w:rsid w:val="00226D00"/>
    <w:rsid w:val="00227153"/>
    <w:rsid w:val="0022725C"/>
    <w:rsid w:val="00227492"/>
    <w:rsid w:val="002274C7"/>
    <w:rsid w:val="002304FC"/>
    <w:rsid w:val="0023094D"/>
    <w:rsid w:val="00230C83"/>
    <w:rsid w:val="00230CF5"/>
    <w:rsid w:val="00231972"/>
    <w:rsid w:val="002321E5"/>
    <w:rsid w:val="00232357"/>
    <w:rsid w:val="00232E7A"/>
    <w:rsid w:val="00232F79"/>
    <w:rsid w:val="002332FB"/>
    <w:rsid w:val="002336B6"/>
    <w:rsid w:val="002339DE"/>
    <w:rsid w:val="00233BE6"/>
    <w:rsid w:val="00233CB5"/>
    <w:rsid w:val="002343C6"/>
    <w:rsid w:val="00234455"/>
    <w:rsid w:val="0023448E"/>
    <w:rsid w:val="002345A4"/>
    <w:rsid w:val="00234900"/>
    <w:rsid w:val="00235AEF"/>
    <w:rsid w:val="00235B2B"/>
    <w:rsid w:val="0023622F"/>
    <w:rsid w:val="0023623E"/>
    <w:rsid w:val="00237024"/>
    <w:rsid w:val="0023720E"/>
    <w:rsid w:val="002374BC"/>
    <w:rsid w:val="002377DD"/>
    <w:rsid w:val="0023788C"/>
    <w:rsid w:val="002379AB"/>
    <w:rsid w:val="002379CB"/>
    <w:rsid w:val="0024089B"/>
    <w:rsid w:val="00241AA8"/>
    <w:rsid w:val="002426CC"/>
    <w:rsid w:val="00242904"/>
    <w:rsid w:val="00242ABD"/>
    <w:rsid w:val="00243466"/>
    <w:rsid w:val="002444D2"/>
    <w:rsid w:val="0024465A"/>
    <w:rsid w:val="002458E4"/>
    <w:rsid w:val="00245B30"/>
    <w:rsid w:val="00245E93"/>
    <w:rsid w:val="0024727E"/>
    <w:rsid w:val="002475BC"/>
    <w:rsid w:val="00247728"/>
    <w:rsid w:val="00247C07"/>
    <w:rsid w:val="00250331"/>
    <w:rsid w:val="00250694"/>
    <w:rsid w:val="00250D4D"/>
    <w:rsid w:val="0025114A"/>
    <w:rsid w:val="002519E7"/>
    <w:rsid w:val="00251BC4"/>
    <w:rsid w:val="00251D3B"/>
    <w:rsid w:val="00252588"/>
    <w:rsid w:val="002525B5"/>
    <w:rsid w:val="0025269E"/>
    <w:rsid w:val="002526B3"/>
    <w:rsid w:val="0025284A"/>
    <w:rsid w:val="00253005"/>
    <w:rsid w:val="00253CFE"/>
    <w:rsid w:val="00253FF2"/>
    <w:rsid w:val="00254233"/>
    <w:rsid w:val="002546D5"/>
    <w:rsid w:val="0025482D"/>
    <w:rsid w:val="002548AF"/>
    <w:rsid w:val="002551BB"/>
    <w:rsid w:val="00255679"/>
    <w:rsid w:val="0025614C"/>
    <w:rsid w:val="002569AD"/>
    <w:rsid w:val="00256DED"/>
    <w:rsid w:val="00257980"/>
    <w:rsid w:val="00257C2B"/>
    <w:rsid w:val="00261EF5"/>
    <w:rsid w:val="00262195"/>
    <w:rsid w:val="00262FB0"/>
    <w:rsid w:val="00263F92"/>
    <w:rsid w:val="002645D8"/>
    <w:rsid w:val="0026465A"/>
    <w:rsid w:val="00264F4E"/>
    <w:rsid w:val="0026581E"/>
    <w:rsid w:val="002660CD"/>
    <w:rsid w:val="002665AD"/>
    <w:rsid w:val="0026712C"/>
    <w:rsid w:val="002671D0"/>
    <w:rsid w:val="0026729D"/>
    <w:rsid w:val="002702C9"/>
    <w:rsid w:val="00270C34"/>
    <w:rsid w:val="002710E4"/>
    <w:rsid w:val="002715A6"/>
    <w:rsid w:val="002716D8"/>
    <w:rsid w:val="00271C17"/>
    <w:rsid w:val="00271C5C"/>
    <w:rsid w:val="002722DE"/>
    <w:rsid w:val="0027245F"/>
    <w:rsid w:val="00272A9F"/>
    <w:rsid w:val="00272F3C"/>
    <w:rsid w:val="002734B9"/>
    <w:rsid w:val="002738DB"/>
    <w:rsid w:val="002743EC"/>
    <w:rsid w:val="00274A80"/>
    <w:rsid w:val="00275496"/>
    <w:rsid w:val="00275F79"/>
    <w:rsid w:val="00276562"/>
    <w:rsid w:val="002766EE"/>
    <w:rsid w:val="00276DC7"/>
    <w:rsid w:val="002771CB"/>
    <w:rsid w:val="00277778"/>
    <w:rsid w:val="00277A50"/>
    <w:rsid w:val="00277B77"/>
    <w:rsid w:val="00280CF2"/>
    <w:rsid w:val="002818DF"/>
    <w:rsid w:val="00282064"/>
    <w:rsid w:val="002822F1"/>
    <w:rsid w:val="00282825"/>
    <w:rsid w:val="002828B4"/>
    <w:rsid w:val="002828FB"/>
    <w:rsid w:val="002833AC"/>
    <w:rsid w:val="00283CC5"/>
    <w:rsid w:val="00283E70"/>
    <w:rsid w:val="0028449F"/>
    <w:rsid w:val="0028511A"/>
    <w:rsid w:val="00285296"/>
    <w:rsid w:val="0028557D"/>
    <w:rsid w:val="00285720"/>
    <w:rsid w:val="0028587D"/>
    <w:rsid w:val="00285E8A"/>
    <w:rsid w:val="002861E1"/>
    <w:rsid w:val="002863F1"/>
    <w:rsid w:val="00286979"/>
    <w:rsid w:val="002869D9"/>
    <w:rsid w:val="00287137"/>
    <w:rsid w:val="0028735B"/>
    <w:rsid w:val="0028787B"/>
    <w:rsid w:val="002879D1"/>
    <w:rsid w:val="00287D10"/>
    <w:rsid w:val="00287D24"/>
    <w:rsid w:val="00290231"/>
    <w:rsid w:val="00290C6C"/>
    <w:rsid w:val="00290EF4"/>
    <w:rsid w:val="0029137A"/>
    <w:rsid w:val="00291BBE"/>
    <w:rsid w:val="00291CFE"/>
    <w:rsid w:val="00291DD0"/>
    <w:rsid w:val="00291F4E"/>
    <w:rsid w:val="00292585"/>
    <w:rsid w:val="00292B63"/>
    <w:rsid w:val="00292B7E"/>
    <w:rsid w:val="00292E24"/>
    <w:rsid w:val="00293191"/>
    <w:rsid w:val="00295BD4"/>
    <w:rsid w:val="00296101"/>
    <w:rsid w:val="0029623A"/>
    <w:rsid w:val="002962DA"/>
    <w:rsid w:val="002964BB"/>
    <w:rsid w:val="002964DD"/>
    <w:rsid w:val="00296CCA"/>
    <w:rsid w:val="00296EE3"/>
    <w:rsid w:val="00296F1A"/>
    <w:rsid w:val="0029780F"/>
    <w:rsid w:val="002A0204"/>
    <w:rsid w:val="002A0574"/>
    <w:rsid w:val="002A0AF5"/>
    <w:rsid w:val="002A109E"/>
    <w:rsid w:val="002A156E"/>
    <w:rsid w:val="002A1B16"/>
    <w:rsid w:val="002A218A"/>
    <w:rsid w:val="002A28D4"/>
    <w:rsid w:val="002A2B59"/>
    <w:rsid w:val="002A332F"/>
    <w:rsid w:val="002A3F07"/>
    <w:rsid w:val="002A45CC"/>
    <w:rsid w:val="002A4AFD"/>
    <w:rsid w:val="002A5088"/>
    <w:rsid w:val="002A5273"/>
    <w:rsid w:val="002A53FC"/>
    <w:rsid w:val="002A5BC0"/>
    <w:rsid w:val="002A642E"/>
    <w:rsid w:val="002A64B7"/>
    <w:rsid w:val="002A695B"/>
    <w:rsid w:val="002A6D55"/>
    <w:rsid w:val="002A7AF2"/>
    <w:rsid w:val="002B0BD9"/>
    <w:rsid w:val="002B0E51"/>
    <w:rsid w:val="002B1882"/>
    <w:rsid w:val="002B19C9"/>
    <w:rsid w:val="002B1C32"/>
    <w:rsid w:val="002B1EE8"/>
    <w:rsid w:val="002B2E3A"/>
    <w:rsid w:val="002B2FC0"/>
    <w:rsid w:val="002B312D"/>
    <w:rsid w:val="002B351F"/>
    <w:rsid w:val="002B3A4C"/>
    <w:rsid w:val="002B3FC8"/>
    <w:rsid w:val="002B46FB"/>
    <w:rsid w:val="002B56DF"/>
    <w:rsid w:val="002B57C2"/>
    <w:rsid w:val="002B5F4F"/>
    <w:rsid w:val="002B6232"/>
    <w:rsid w:val="002B7930"/>
    <w:rsid w:val="002C1508"/>
    <w:rsid w:val="002C1AE2"/>
    <w:rsid w:val="002C2127"/>
    <w:rsid w:val="002C253F"/>
    <w:rsid w:val="002C259C"/>
    <w:rsid w:val="002C2636"/>
    <w:rsid w:val="002C2778"/>
    <w:rsid w:val="002C2DC3"/>
    <w:rsid w:val="002C322D"/>
    <w:rsid w:val="002C3A94"/>
    <w:rsid w:val="002C3C55"/>
    <w:rsid w:val="002C3CBD"/>
    <w:rsid w:val="002C42A0"/>
    <w:rsid w:val="002C4558"/>
    <w:rsid w:val="002C505F"/>
    <w:rsid w:val="002C7CDD"/>
    <w:rsid w:val="002D0595"/>
    <w:rsid w:val="002D0F16"/>
    <w:rsid w:val="002D12E7"/>
    <w:rsid w:val="002D1374"/>
    <w:rsid w:val="002D1737"/>
    <w:rsid w:val="002D17BD"/>
    <w:rsid w:val="002D1D29"/>
    <w:rsid w:val="002D2512"/>
    <w:rsid w:val="002D2819"/>
    <w:rsid w:val="002D357D"/>
    <w:rsid w:val="002D3E58"/>
    <w:rsid w:val="002D420E"/>
    <w:rsid w:val="002D445A"/>
    <w:rsid w:val="002D4E00"/>
    <w:rsid w:val="002D5AC0"/>
    <w:rsid w:val="002D6093"/>
    <w:rsid w:val="002D67BF"/>
    <w:rsid w:val="002D694B"/>
    <w:rsid w:val="002D6A9B"/>
    <w:rsid w:val="002D6C03"/>
    <w:rsid w:val="002D6C5F"/>
    <w:rsid w:val="002D7393"/>
    <w:rsid w:val="002D7685"/>
    <w:rsid w:val="002E08C8"/>
    <w:rsid w:val="002E14EC"/>
    <w:rsid w:val="002E16D1"/>
    <w:rsid w:val="002E1AD3"/>
    <w:rsid w:val="002E2CD2"/>
    <w:rsid w:val="002E33D3"/>
    <w:rsid w:val="002E39E3"/>
    <w:rsid w:val="002E3F67"/>
    <w:rsid w:val="002E40B7"/>
    <w:rsid w:val="002E4332"/>
    <w:rsid w:val="002E49CC"/>
    <w:rsid w:val="002E4D1A"/>
    <w:rsid w:val="002E4D76"/>
    <w:rsid w:val="002E554B"/>
    <w:rsid w:val="002E58FE"/>
    <w:rsid w:val="002E632A"/>
    <w:rsid w:val="002E63FE"/>
    <w:rsid w:val="002E6823"/>
    <w:rsid w:val="002E6D34"/>
    <w:rsid w:val="002E7F65"/>
    <w:rsid w:val="002F003A"/>
    <w:rsid w:val="002F0481"/>
    <w:rsid w:val="002F0803"/>
    <w:rsid w:val="002F08B7"/>
    <w:rsid w:val="002F0C81"/>
    <w:rsid w:val="002F11A6"/>
    <w:rsid w:val="002F1540"/>
    <w:rsid w:val="002F176A"/>
    <w:rsid w:val="002F3EB1"/>
    <w:rsid w:val="002F4698"/>
    <w:rsid w:val="002F4B7A"/>
    <w:rsid w:val="002F5D49"/>
    <w:rsid w:val="002F61AD"/>
    <w:rsid w:val="002F6229"/>
    <w:rsid w:val="002F66AB"/>
    <w:rsid w:val="002F79E7"/>
    <w:rsid w:val="002F7C11"/>
    <w:rsid w:val="00300291"/>
    <w:rsid w:val="00300588"/>
    <w:rsid w:val="00300666"/>
    <w:rsid w:val="00300D86"/>
    <w:rsid w:val="00301441"/>
    <w:rsid w:val="003017AF"/>
    <w:rsid w:val="00301913"/>
    <w:rsid w:val="003020C0"/>
    <w:rsid w:val="003021EE"/>
    <w:rsid w:val="00302736"/>
    <w:rsid w:val="0030284B"/>
    <w:rsid w:val="00302F37"/>
    <w:rsid w:val="00302FEA"/>
    <w:rsid w:val="00303A44"/>
    <w:rsid w:val="00303DEB"/>
    <w:rsid w:val="003044C1"/>
    <w:rsid w:val="0030497D"/>
    <w:rsid w:val="00304E51"/>
    <w:rsid w:val="003050E2"/>
    <w:rsid w:val="0030527B"/>
    <w:rsid w:val="003057B3"/>
    <w:rsid w:val="003064C4"/>
    <w:rsid w:val="003073D5"/>
    <w:rsid w:val="0030793D"/>
    <w:rsid w:val="00307BEF"/>
    <w:rsid w:val="00310217"/>
    <w:rsid w:val="003105D0"/>
    <w:rsid w:val="00310DBC"/>
    <w:rsid w:val="00311051"/>
    <w:rsid w:val="00312259"/>
    <w:rsid w:val="00312AC2"/>
    <w:rsid w:val="003131A2"/>
    <w:rsid w:val="0031332C"/>
    <w:rsid w:val="003137D8"/>
    <w:rsid w:val="00313B29"/>
    <w:rsid w:val="00314357"/>
    <w:rsid w:val="003143E4"/>
    <w:rsid w:val="003144EC"/>
    <w:rsid w:val="0031521B"/>
    <w:rsid w:val="00315750"/>
    <w:rsid w:val="0031591F"/>
    <w:rsid w:val="00315FEA"/>
    <w:rsid w:val="003161C1"/>
    <w:rsid w:val="003161D4"/>
    <w:rsid w:val="00316325"/>
    <w:rsid w:val="003165CE"/>
    <w:rsid w:val="003165DA"/>
    <w:rsid w:val="0031672C"/>
    <w:rsid w:val="00316F7D"/>
    <w:rsid w:val="0031799A"/>
    <w:rsid w:val="00317E2E"/>
    <w:rsid w:val="00321B64"/>
    <w:rsid w:val="00321CA2"/>
    <w:rsid w:val="003228E1"/>
    <w:rsid w:val="00322C1B"/>
    <w:rsid w:val="00322FE7"/>
    <w:rsid w:val="00323C0E"/>
    <w:rsid w:val="00323CB3"/>
    <w:rsid w:val="00324ABE"/>
    <w:rsid w:val="003253F9"/>
    <w:rsid w:val="00325642"/>
    <w:rsid w:val="00325D31"/>
    <w:rsid w:val="00325EB7"/>
    <w:rsid w:val="00326472"/>
    <w:rsid w:val="003264AA"/>
    <w:rsid w:val="00327364"/>
    <w:rsid w:val="003273CF"/>
    <w:rsid w:val="0032772F"/>
    <w:rsid w:val="00327954"/>
    <w:rsid w:val="00327A37"/>
    <w:rsid w:val="00327FDC"/>
    <w:rsid w:val="00330257"/>
    <w:rsid w:val="003306BA"/>
    <w:rsid w:val="00330813"/>
    <w:rsid w:val="00330986"/>
    <w:rsid w:val="00330C14"/>
    <w:rsid w:val="00331476"/>
    <w:rsid w:val="00331A59"/>
    <w:rsid w:val="00331DAF"/>
    <w:rsid w:val="00331F3A"/>
    <w:rsid w:val="00332319"/>
    <w:rsid w:val="00332344"/>
    <w:rsid w:val="003327B8"/>
    <w:rsid w:val="00332D54"/>
    <w:rsid w:val="003330D2"/>
    <w:rsid w:val="00333249"/>
    <w:rsid w:val="003332B5"/>
    <w:rsid w:val="00333889"/>
    <w:rsid w:val="00333CC9"/>
    <w:rsid w:val="00333F54"/>
    <w:rsid w:val="00334107"/>
    <w:rsid w:val="00334653"/>
    <w:rsid w:val="00334EE4"/>
    <w:rsid w:val="003352B5"/>
    <w:rsid w:val="003357E8"/>
    <w:rsid w:val="00335D30"/>
    <w:rsid w:val="0033600D"/>
    <w:rsid w:val="003366B9"/>
    <w:rsid w:val="00336A6C"/>
    <w:rsid w:val="0033727D"/>
    <w:rsid w:val="0034023B"/>
    <w:rsid w:val="00340799"/>
    <w:rsid w:val="003407D1"/>
    <w:rsid w:val="0034195B"/>
    <w:rsid w:val="00341A88"/>
    <w:rsid w:val="00341AEE"/>
    <w:rsid w:val="00341B2A"/>
    <w:rsid w:val="00342162"/>
    <w:rsid w:val="003423F8"/>
    <w:rsid w:val="00342974"/>
    <w:rsid w:val="00343A38"/>
    <w:rsid w:val="00344C23"/>
    <w:rsid w:val="00345388"/>
    <w:rsid w:val="003453F0"/>
    <w:rsid w:val="00345436"/>
    <w:rsid w:val="003454AF"/>
    <w:rsid w:val="00345833"/>
    <w:rsid w:val="003462EF"/>
    <w:rsid w:val="003472D2"/>
    <w:rsid w:val="003472E0"/>
    <w:rsid w:val="00347342"/>
    <w:rsid w:val="00347557"/>
    <w:rsid w:val="00350138"/>
    <w:rsid w:val="003506C5"/>
    <w:rsid w:val="003509AE"/>
    <w:rsid w:val="003511AB"/>
    <w:rsid w:val="003524F6"/>
    <w:rsid w:val="00352727"/>
    <w:rsid w:val="003528C6"/>
    <w:rsid w:val="003528C7"/>
    <w:rsid w:val="00352A54"/>
    <w:rsid w:val="003537FF"/>
    <w:rsid w:val="00353A45"/>
    <w:rsid w:val="00353CE5"/>
    <w:rsid w:val="003554AC"/>
    <w:rsid w:val="0035595A"/>
    <w:rsid w:val="00355D06"/>
    <w:rsid w:val="0035643B"/>
    <w:rsid w:val="0035743E"/>
    <w:rsid w:val="00357BC1"/>
    <w:rsid w:val="00357E9D"/>
    <w:rsid w:val="00357EB8"/>
    <w:rsid w:val="00357FC5"/>
    <w:rsid w:val="003603F3"/>
    <w:rsid w:val="00360724"/>
    <w:rsid w:val="00360BA5"/>
    <w:rsid w:val="00360BDF"/>
    <w:rsid w:val="00360BFF"/>
    <w:rsid w:val="0036180C"/>
    <w:rsid w:val="00361F5F"/>
    <w:rsid w:val="0036200B"/>
    <w:rsid w:val="00363133"/>
    <w:rsid w:val="00363CD1"/>
    <w:rsid w:val="00364612"/>
    <w:rsid w:val="003649AB"/>
    <w:rsid w:val="00364D2A"/>
    <w:rsid w:val="003653DA"/>
    <w:rsid w:val="00365D78"/>
    <w:rsid w:val="0036622B"/>
    <w:rsid w:val="00366620"/>
    <w:rsid w:val="00366F6E"/>
    <w:rsid w:val="00370095"/>
    <w:rsid w:val="0037012B"/>
    <w:rsid w:val="00370B95"/>
    <w:rsid w:val="00371227"/>
    <w:rsid w:val="003713FA"/>
    <w:rsid w:val="0037142E"/>
    <w:rsid w:val="00372D33"/>
    <w:rsid w:val="003732BB"/>
    <w:rsid w:val="003737D9"/>
    <w:rsid w:val="00373A64"/>
    <w:rsid w:val="00373C6E"/>
    <w:rsid w:val="003741A3"/>
    <w:rsid w:val="00374759"/>
    <w:rsid w:val="00374A53"/>
    <w:rsid w:val="00374AB3"/>
    <w:rsid w:val="0037530F"/>
    <w:rsid w:val="00375866"/>
    <w:rsid w:val="0037620D"/>
    <w:rsid w:val="00376381"/>
    <w:rsid w:val="00376DBD"/>
    <w:rsid w:val="00377CBA"/>
    <w:rsid w:val="00377DA8"/>
    <w:rsid w:val="003803E1"/>
    <w:rsid w:val="00380A20"/>
    <w:rsid w:val="00380BFC"/>
    <w:rsid w:val="003818B5"/>
    <w:rsid w:val="0038198A"/>
    <w:rsid w:val="00381A3B"/>
    <w:rsid w:val="00381F4B"/>
    <w:rsid w:val="003822D2"/>
    <w:rsid w:val="00382CB3"/>
    <w:rsid w:val="00382D37"/>
    <w:rsid w:val="00383092"/>
    <w:rsid w:val="003835F4"/>
    <w:rsid w:val="00383F70"/>
    <w:rsid w:val="00383F96"/>
    <w:rsid w:val="00384BDF"/>
    <w:rsid w:val="003857D7"/>
    <w:rsid w:val="003859A3"/>
    <w:rsid w:val="00385A61"/>
    <w:rsid w:val="00385D35"/>
    <w:rsid w:val="00385DB4"/>
    <w:rsid w:val="00386162"/>
    <w:rsid w:val="003861D4"/>
    <w:rsid w:val="0038698E"/>
    <w:rsid w:val="00386AF8"/>
    <w:rsid w:val="00387794"/>
    <w:rsid w:val="00387C90"/>
    <w:rsid w:val="00390429"/>
    <w:rsid w:val="00391C33"/>
    <w:rsid w:val="00391C3E"/>
    <w:rsid w:val="00391E78"/>
    <w:rsid w:val="00391FCD"/>
    <w:rsid w:val="00391FF4"/>
    <w:rsid w:val="00392339"/>
    <w:rsid w:val="00392408"/>
    <w:rsid w:val="00392432"/>
    <w:rsid w:val="00392A03"/>
    <w:rsid w:val="00392D2F"/>
    <w:rsid w:val="00392EB0"/>
    <w:rsid w:val="00393006"/>
    <w:rsid w:val="0039368F"/>
    <w:rsid w:val="00393743"/>
    <w:rsid w:val="00393A10"/>
    <w:rsid w:val="00393F77"/>
    <w:rsid w:val="00393F96"/>
    <w:rsid w:val="0039495A"/>
    <w:rsid w:val="00394987"/>
    <w:rsid w:val="00394D0B"/>
    <w:rsid w:val="00394E3A"/>
    <w:rsid w:val="00395DF9"/>
    <w:rsid w:val="00396919"/>
    <w:rsid w:val="00396CB8"/>
    <w:rsid w:val="00396E82"/>
    <w:rsid w:val="00396E95"/>
    <w:rsid w:val="003970B2"/>
    <w:rsid w:val="003978DA"/>
    <w:rsid w:val="00397DCA"/>
    <w:rsid w:val="003A0C40"/>
    <w:rsid w:val="003A11D0"/>
    <w:rsid w:val="003A22E9"/>
    <w:rsid w:val="003A2FC9"/>
    <w:rsid w:val="003A34A7"/>
    <w:rsid w:val="003A39A0"/>
    <w:rsid w:val="003A3A6C"/>
    <w:rsid w:val="003A42E2"/>
    <w:rsid w:val="003A4576"/>
    <w:rsid w:val="003A59CB"/>
    <w:rsid w:val="003A6047"/>
    <w:rsid w:val="003A6116"/>
    <w:rsid w:val="003A645B"/>
    <w:rsid w:val="003A651C"/>
    <w:rsid w:val="003A7364"/>
    <w:rsid w:val="003A7B3C"/>
    <w:rsid w:val="003A7DC1"/>
    <w:rsid w:val="003A7E00"/>
    <w:rsid w:val="003B10F9"/>
    <w:rsid w:val="003B2000"/>
    <w:rsid w:val="003B329D"/>
    <w:rsid w:val="003B32CA"/>
    <w:rsid w:val="003B345A"/>
    <w:rsid w:val="003B404D"/>
    <w:rsid w:val="003B5DC8"/>
    <w:rsid w:val="003B5FAC"/>
    <w:rsid w:val="003B6347"/>
    <w:rsid w:val="003B64BB"/>
    <w:rsid w:val="003B6BEC"/>
    <w:rsid w:val="003C0693"/>
    <w:rsid w:val="003C06AC"/>
    <w:rsid w:val="003C07D7"/>
    <w:rsid w:val="003C0C8B"/>
    <w:rsid w:val="003C0DC2"/>
    <w:rsid w:val="003C11BA"/>
    <w:rsid w:val="003C1479"/>
    <w:rsid w:val="003C14C4"/>
    <w:rsid w:val="003C1E2F"/>
    <w:rsid w:val="003C2863"/>
    <w:rsid w:val="003C3A02"/>
    <w:rsid w:val="003C3A43"/>
    <w:rsid w:val="003C3BDD"/>
    <w:rsid w:val="003C3ECB"/>
    <w:rsid w:val="003C4203"/>
    <w:rsid w:val="003C42E3"/>
    <w:rsid w:val="003C449C"/>
    <w:rsid w:val="003C475B"/>
    <w:rsid w:val="003C52C3"/>
    <w:rsid w:val="003C5638"/>
    <w:rsid w:val="003C596C"/>
    <w:rsid w:val="003C5C46"/>
    <w:rsid w:val="003C6350"/>
    <w:rsid w:val="003C6640"/>
    <w:rsid w:val="003C686B"/>
    <w:rsid w:val="003C7525"/>
    <w:rsid w:val="003C75B1"/>
    <w:rsid w:val="003D040A"/>
    <w:rsid w:val="003D0FEC"/>
    <w:rsid w:val="003D1072"/>
    <w:rsid w:val="003D1198"/>
    <w:rsid w:val="003D197C"/>
    <w:rsid w:val="003D1B76"/>
    <w:rsid w:val="003D1EB2"/>
    <w:rsid w:val="003D20E1"/>
    <w:rsid w:val="003D294E"/>
    <w:rsid w:val="003D2F41"/>
    <w:rsid w:val="003D3222"/>
    <w:rsid w:val="003D3603"/>
    <w:rsid w:val="003D3863"/>
    <w:rsid w:val="003D3A3B"/>
    <w:rsid w:val="003D3B7E"/>
    <w:rsid w:val="003D3C53"/>
    <w:rsid w:val="003D3CF2"/>
    <w:rsid w:val="003D4402"/>
    <w:rsid w:val="003D5103"/>
    <w:rsid w:val="003D5BE4"/>
    <w:rsid w:val="003D5EB7"/>
    <w:rsid w:val="003D601F"/>
    <w:rsid w:val="003D71A2"/>
    <w:rsid w:val="003D75C9"/>
    <w:rsid w:val="003E01D4"/>
    <w:rsid w:val="003E10DF"/>
    <w:rsid w:val="003E1C86"/>
    <w:rsid w:val="003E1DC2"/>
    <w:rsid w:val="003E21C9"/>
    <w:rsid w:val="003E26E2"/>
    <w:rsid w:val="003E2988"/>
    <w:rsid w:val="003E2A4D"/>
    <w:rsid w:val="003E2C25"/>
    <w:rsid w:val="003E3D7C"/>
    <w:rsid w:val="003E4061"/>
    <w:rsid w:val="003E46C1"/>
    <w:rsid w:val="003E5057"/>
    <w:rsid w:val="003E53AD"/>
    <w:rsid w:val="003E55E7"/>
    <w:rsid w:val="003E58BB"/>
    <w:rsid w:val="003E5F97"/>
    <w:rsid w:val="003E60F2"/>
    <w:rsid w:val="003E6327"/>
    <w:rsid w:val="003E736F"/>
    <w:rsid w:val="003E7EA1"/>
    <w:rsid w:val="003F02A4"/>
    <w:rsid w:val="003F06B4"/>
    <w:rsid w:val="003F06FD"/>
    <w:rsid w:val="003F0889"/>
    <w:rsid w:val="003F0D4F"/>
    <w:rsid w:val="003F12C7"/>
    <w:rsid w:val="003F14A2"/>
    <w:rsid w:val="003F159F"/>
    <w:rsid w:val="003F15A4"/>
    <w:rsid w:val="003F2066"/>
    <w:rsid w:val="003F226E"/>
    <w:rsid w:val="003F24C0"/>
    <w:rsid w:val="003F25D8"/>
    <w:rsid w:val="003F2687"/>
    <w:rsid w:val="003F35AA"/>
    <w:rsid w:val="003F38B2"/>
    <w:rsid w:val="003F3FA0"/>
    <w:rsid w:val="003F4037"/>
    <w:rsid w:val="003F4265"/>
    <w:rsid w:val="003F5541"/>
    <w:rsid w:val="003F57A8"/>
    <w:rsid w:val="003F5D25"/>
    <w:rsid w:val="003F5D91"/>
    <w:rsid w:val="003F6190"/>
    <w:rsid w:val="003F6474"/>
    <w:rsid w:val="003F6725"/>
    <w:rsid w:val="003F67BE"/>
    <w:rsid w:val="003F6A35"/>
    <w:rsid w:val="003F6FB0"/>
    <w:rsid w:val="003F77B6"/>
    <w:rsid w:val="003F78C7"/>
    <w:rsid w:val="00400BA0"/>
    <w:rsid w:val="00400CE2"/>
    <w:rsid w:val="004013D6"/>
    <w:rsid w:val="0040192F"/>
    <w:rsid w:val="00401FEA"/>
    <w:rsid w:val="00402085"/>
    <w:rsid w:val="00403260"/>
    <w:rsid w:val="00403B4B"/>
    <w:rsid w:val="00403E1E"/>
    <w:rsid w:val="00403E3D"/>
    <w:rsid w:val="00403EA0"/>
    <w:rsid w:val="0040400F"/>
    <w:rsid w:val="00404CF2"/>
    <w:rsid w:val="00404D10"/>
    <w:rsid w:val="00404FFA"/>
    <w:rsid w:val="00405217"/>
    <w:rsid w:val="004055DB"/>
    <w:rsid w:val="00406389"/>
    <w:rsid w:val="00406623"/>
    <w:rsid w:val="0040748D"/>
    <w:rsid w:val="0040757B"/>
    <w:rsid w:val="00410470"/>
    <w:rsid w:val="004104C6"/>
    <w:rsid w:val="00410678"/>
    <w:rsid w:val="004107AF"/>
    <w:rsid w:val="00410AC9"/>
    <w:rsid w:val="00410B2F"/>
    <w:rsid w:val="00410D45"/>
    <w:rsid w:val="004114F1"/>
    <w:rsid w:val="004125B0"/>
    <w:rsid w:val="00412CBA"/>
    <w:rsid w:val="00412DFF"/>
    <w:rsid w:val="0041314B"/>
    <w:rsid w:val="00413704"/>
    <w:rsid w:val="00414053"/>
    <w:rsid w:val="004141E5"/>
    <w:rsid w:val="00414220"/>
    <w:rsid w:val="004153DA"/>
    <w:rsid w:val="00415C81"/>
    <w:rsid w:val="00415E88"/>
    <w:rsid w:val="004165F5"/>
    <w:rsid w:val="00417C9F"/>
    <w:rsid w:val="004201F8"/>
    <w:rsid w:val="00420429"/>
    <w:rsid w:val="00420B6F"/>
    <w:rsid w:val="00422503"/>
    <w:rsid w:val="004227AB"/>
    <w:rsid w:val="00423B2C"/>
    <w:rsid w:val="004240E0"/>
    <w:rsid w:val="00424879"/>
    <w:rsid w:val="004249DE"/>
    <w:rsid w:val="00425D64"/>
    <w:rsid w:val="00425F7D"/>
    <w:rsid w:val="0042608B"/>
    <w:rsid w:val="0042617F"/>
    <w:rsid w:val="00426610"/>
    <w:rsid w:val="0042661D"/>
    <w:rsid w:val="00426ADD"/>
    <w:rsid w:val="0042717A"/>
    <w:rsid w:val="0042766D"/>
    <w:rsid w:val="0042799A"/>
    <w:rsid w:val="00427A10"/>
    <w:rsid w:val="00430100"/>
    <w:rsid w:val="004301BC"/>
    <w:rsid w:val="004302D6"/>
    <w:rsid w:val="004305F3"/>
    <w:rsid w:val="00430BF6"/>
    <w:rsid w:val="00430CE7"/>
    <w:rsid w:val="0043130A"/>
    <w:rsid w:val="00432636"/>
    <w:rsid w:val="0043264F"/>
    <w:rsid w:val="00432B60"/>
    <w:rsid w:val="00432EB0"/>
    <w:rsid w:val="00433168"/>
    <w:rsid w:val="004333ED"/>
    <w:rsid w:val="00433AE9"/>
    <w:rsid w:val="004352C9"/>
    <w:rsid w:val="0043589E"/>
    <w:rsid w:val="00435D70"/>
    <w:rsid w:val="00435FFF"/>
    <w:rsid w:val="00436CEA"/>
    <w:rsid w:val="00436D3E"/>
    <w:rsid w:val="00436FD9"/>
    <w:rsid w:val="00437CA9"/>
    <w:rsid w:val="00437D6F"/>
    <w:rsid w:val="00440239"/>
    <w:rsid w:val="00440A16"/>
    <w:rsid w:val="00440BC4"/>
    <w:rsid w:val="00440E58"/>
    <w:rsid w:val="0044113B"/>
    <w:rsid w:val="00441821"/>
    <w:rsid w:val="00441867"/>
    <w:rsid w:val="00441940"/>
    <w:rsid w:val="00441D26"/>
    <w:rsid w:val="004421ED"/>
    <w:rsid w:val="00442240"/>
    <w:rsid w:val="00442928"/>
    <w:rsid w:val="00442BFD"/>
    <w:rsid w:val="004431F3"/>
    <w:rsid w:val="004432A8"/>
    <w:rsid w:val="00443AF2"/>
    <w:rsid w:val="00443F4C"/>
    <w:rsid w:val="004441BF"/>
    <w:rsid w:val="00444298"/>
    <w:rsid w:val="00444596"/>
    <w:rsid w:val="004456FE"/>
    <w:rsid w:val="00445C30"/>
    <w:rsid w:val="004466B6"/>
    <w:rsid w:val="004469F1"/>
    <w:rsid w:val="00446A43"/>
    <w:rsid w:val="004472D3"/>
    <w:rsid w:val="00447BF3"/>
    <w:rsid w:val="00447D0A"/>
    <w:rsid w:val="00450402"/>
    <w:rsid w:val="00451435"/>
    <w:rsid w:val="00451574"/>
    <w:rsid w:val="0045174E"/>
    <w:rsid w:val="00451B47"/>
    <w:rsid w:val="004525A6"/>
    <w:rsid w:val="00453708"/>
    <w:rsid w:val="00453B64"/>
    <w:rsid w:val="00453BDC"/>
    <w:rsid w:val="00454561"/>
    <w:rsid w:val="00454752"/>
    <w:rsid w:val="00454C1B"/>
    <w:rsid w:val="004557AF"/>
    <w:rsid w:val="004558D9"/>
    <w:rsid w:val="0045616C"/>
    <w:rsid w:val="004562AF"/>
    <w:rsid w:val="004562C3"/>
    <w:rsid w:val="00456644"/>
    <w:rsid w:val="00456E49"/>
    <w:rsid w:val="00456E90"/>
    <w:rsid w:val="00457050"/>
    <w:rsid w:val="00457680"/>
    <w:rsid w:val="00460D50"/>
    <w:rsid w:val="00461ACC"/>
    <w:rsid w:val="00461D13"/>
    <w:rsid w:val="00462DE4"/>
    <w:rsid w:val="00463287"/>
    <w:rsid w:val="00463969"/>
    <w:rsid w:val="0046423D"/>
    <w:rsid w:val="00464736"/>
    <w:rsid w:val="0046483F"/>
    <w:rsid w:val="004649B3"/>
    <w:rsid w:val="004655C2"/>
    <w:rsid w:val="00465902"/>
    <w:rsid w:val="00466182"/>
    <w:rsid w:val="00466AFC"/>
    <w:rsid w:val="00466D30"/>
    <w:rsid w:val="00467AC6"/>
    <w:rsid w:val="00467EF1"/>
    <w:rsid w:val="0047075A"/>
    <w:rsid w:val="004708D1"/>
    <w:rsid w:val="004708D8"/>
    <w:rsid w:val="004710A0"/>
    <w:rsid w:val="00471620"/>
    <w:rsid w:val="00471AC0"/>
    <w:rsid w:val="00471BBB"/>
    <w:rsid w:val="0047209A"/>
    <w:rsid w:val="004723D0"/>
    <w:rsid w:val="00472418"/>
    <w:rsid w:val="00472720"/>
    <w:rsid w:val="004727AD"/>
    <w:rsid w:val="0047286C"/>
    <w:rsid w:val="00473315"/>
    <w:rsid w:val="00473339"/>
    <w:rsid w:val="0047374B"/>
    <w:rsid w:val="00473B84"/>
    <w:rsid w:val="00473BDA"/>
    <w:rsid w:val="004744A8"/>
    <w:rsid w:val="00474E1E"/>
    <w:rsid w:val="0047537D"/>
    <w:rsid w:val="004759DE"/>
    <w:rsid w:val="00475AEE"/>
    <w:rsid w:val="00475C28"/>
    <w:rsid w:val="00475FF2"/>
    <w:rsid w:val="0047609E"/>
    <w:rsid w:val="004767A9"/>
    <w:rsid w:val="00476BD5"/>
    <w:rsid w:val="00477615"/>
    <w:rsid w:val="004776C3"/>
    <w:rsid w:val="00477B71"/>
    <w:rsid w:val="00477BE8"/>
    <w:rsid w:val="00477E2A"/>
    <w:rsid w:val="00477F2F"/>
    <w:rsid w:val="00480E08"/>
    <w:rsid w:val="004812F1"/>
    <w:rsid w:val="0048177F"/>
    <w:rsid w:val="00481866"/>
    <w:rsid w:val="00481B72"/>
    <w:rsid w:val="00481EAC"/>
    <w:rsid w:val="0048208B"/>
    <w:rsid w:val="004821B1"/>
    <w:rsid w:val="004824CE"/>
    <w:rsid w:val="004828CF"/>
    <w:rsid w:val="00482A33"/>
    <w:rsid w:val="00482C3D"/>
    <w:rsid w:val="00482DEE"/>
    <w:rsid w:val="00483523"/>
    <w:rsid w:val="00483608"/>
    <w:rsid w:val="00483C80"/>
    <w:rsid w:val="00484173"/>
    <w:rsid w:val="00484850"/>
    <w:rsid w:val="00484D1D"/>
    <w:rsid w:val="00484FBD"/>
    <w:rsid w:val="00485484"/>
    <w:rsid w:val="0048560A"/>
    <w:rsid w:val="004866B4"/>
    <w:rsid w:val="00486ACC"/>
    <w:rsid w:val="00487AF2"/>
    <w:rsid w:val="00487B69"/>
    <w:rsid w:val="004907DD"/>
    <w:rsid w:val="00490F13"/>
    <w:rsid w:val="00491B05"/>
    <w:rsid w:val="00491C55"/>
    <w:rsid w:val="00492A45"/>
    <w:rsid w:val="0049386E"/>
    <w:rsid w:val="00493DBD"/>
    <w:rsid w:val="00493EE0"/>
    <w:rsid w:val="004947BD"/>
    <w:rsid w:val="00494866"/>
    <w:rsid w:val="00494B6C"/>
    <w:rsid w:val="00494F78"/>
    <w:rsid w:val="00495A72"/>
    <w:rsid w:val="00495CF4"/>
    <w:rsid w:val="00495E67"/>
    <w:rsid w:val="0049715C"/>
    <w:rsid w:val="00497401"/>
    <w:rsid w:val="004977A3"/>
    <w:rsid w:val="004A01BF"/>
    <w:rsid w:val="004A02EF"/>
    <w:rsid w:val="004A05CB"/>
    <w:rsid w:val="004A089A"/>
    <w:rsid w:val="004A089F"/>
    <w:rsid w:val="004A098E"/>
    <w:rsid w:val="004A09B3"/>
    <w:rsid w:val="004A10FD"/>
    <w:rsid w:val="004A131D"/>
    <w:rsid w:val="004A19F5"/>
    <w:rsid w:val="004A1CE8"/>
    <w:rsid w:val="004A1F1C"/>
    <w:rsid w:val="004A2BF1"/>
    <w:rsid w:val="004A2C4A"/>
    <w:rsid w:val="004A562A"/>
    <w:rsid w:val="004A602F"/>
    <w:rsid w:val="004A6351"/>
    <w:rsid w:val="004A639B"/>
    <w:rsid w:val="004A641E"/>
    <w:rsid w:val="004A6C5D"/>
    <w:rsid w:val="004B0AC9"/>
    <w:rsid w:val="004B0BFF"/>
    <w:rsid w:val="004B1183"/>
    <w:rsid w:val="004B1E63"/>
    <w:rsid w:val="004B2284"/>
    <w:rsid w:val="004B248E"/>
    <w:rsid w:val="004B2F14"/>
    <w:rsid w:val="004B3229"/>
    <w:rsid w:val="004B3B08"/>
    <w:rsid w:val="004B4F9B"/>
    <w:rsid w:val="004B5325"/>
    <w:rsid w:val="004B5B55"/>
    <w:rsid w:val="004B6807"/>
    <w:rsid w:val="004B69A6"/>
    <w:rsid w:val="004B6B95"/>
    <w:rsid w:val="004B741C"/>
    <w:rsid w:val="004C00CA"/>
    <w:rsid w:val="004C06B6"/>
    <w:rsid w:val="004C0BEE"/>
    <w:rsid w:val="004C206D"/>
    <w:rsid w:val="004C38F6"/>
    <w:rsid w:val="004C399B"/>
    <w:rsid w:val="004C3FA3"/>
    <w:rsid w:val="004C48A6"/>
    <w:rsid w:val="004C4EB3"/>
    <w:rsid w:val="004C5609"/>
    <w:rsid w:val="004C666D"/>
    <w:rsid w:val="004C6B1E"/>
    <w:rsid w:val="004C6E68"/>
    <w:rsid w:val="004C6F17"/>
    <w:rsid w:val="004C7B9A"/>
    <w:rsid w:val="004D105F"/>
    <w:rsid w:val="004D1375"/>
    <w:rsid w:val="004D1707"/>
    <w:rsid w:val="004D27B5"/>
    <w:rsid w:val="004D27CC"/>
    <w:rsid w:val="004D2871"/>
    <w:rsid w:val="004D29EE"/>
    <w:rsid w:val="004D2B4E"/>
    <w:rsid w:val="004D2CED"/>
    <w:rsid w:val="004D35C4"/>
    <w:rsid w:val="004D3604"/>
    <w:rsid w:val="004D36ED"/>
    <w:rsid w:val="004D399A"/>
    <w:rsid w:val="004D4BD8"/>
    <w:rsid w:val="004D5054"/>
    <w:rsid w:val="004D5713"/>
    <w:rsid w:val="004D5A3C"/>
    <w:rsid w:val="004D5BBE"/>
    <w:rsid w:val="004D5DAD"/>
    <w:rsid w:val="004D60D7"/>
    <w:rsid w:val="004D7D7A"/>
    <w:rsid w:val="004D7E1D"/>
    <w:rsid w:val="004E0FD0"/>
    <w:rsid w:val="004E2434"/>
    <w:rsid w:val="004E2A5C"/>
    <w:rsid w:val="004E307B"/>
    <w:rsid w:val="004E3E30"/>
    <w:rsid w:val="004E52E2"/>
    <w:rsid w:val="004E5943"/>
    <w:rsid w:val="004E64BE"/>
    <w:rsid w:val="004E65D3"/>
    <w:rsid w:val="004E77FD"/>
    <w:rsid w:val="004E7928"/>
    <w:rsid w:val="004E7F77"/>
    <w:rsid w:val="004F0294"/>
    <w:rsid w:val="004F1D0B"/>
    <w:rsid w:val="004F201F"/>
    <w:rsid w:val="004F208F"/>
    <w:rsid w:val="004F2319"/>
    <w:rsid w:val="004F24BB"/>
    <w:rsid w:val="004F2FEE"/>
    <w:rsid w:val="004F477F"/>
    <w:rsid w:val="004F5C04"/>
    <w:rsid w:val="004F5E74"/>
    <w:rsid w:val="004F6279"/>
    <w:rsid w:val="004F6601"/>
    <w:rsid w:val="004F6F74"/>
    <w:rsid w:val="004F72E1"/>
    <w:rsid w:val="004F7658"/>
    <w:rsid w:val="004F7D95"/>
    <w:rsid w:val="004F7DC6"/>
    <w:rsid w:val="005003F8"/>
    <w:rsid w:val="005017A8"/>
    <w:rsid w:val="00501807"/>
    <w:rsid w:val="00501DED"/>
    <w:rsid w:val="00502783"/>
    <w:rsid w:val="00502AF1"/>
    <w:rsid w:val="00502DB7"/>
    <w:rsid w:val="005031AA"/>
    <w:rsid w:val="00503219"/>
    <w:rsid w:val="005037FE"/>
    <w:rsid w:val="00503F83"/>
    <w:rsid w:val="00504365"/>
    <w:rsid w:val="0050445F"/>
    <w:rsid w:val="00504F11"/>
    <w:rsid w:val="0050680F"/>
    <w:rsid w:val="00507230"/>
    <w:rsid w:val="005076D2"/>
    <w:rsid w:val="00507AFE"/>
    <w:rsid w:val="005104A1"/>
    <w:rsid w:val="00510895"/>
    <w:rsid w:val="00510BE0"/>
    <w:rsid w:val="0051110D"/>
    <w:rsid w:val="00512352"/>
    <w:rsid w:val="00512B26"/>
    <w:rsid w:val="00512D53"/>
    <w:rsid w:val="00512EE0"/>
    <w:rsid w:val="00513351"/>
    <w:rsid w:val="005135B7"/>
    <w:rsid w:val="005136B8"/>
    <w:rsid w:val="005145CF"/>
    <w:rsid w:val="00514916"/>
    <w:rsid w:val="00514BA4"/>
    <w:rsid w:val="0051504B"/>
    <w:rsid w:val="00515321"/>
    <w:rsid w:val="00515551"/>
    <w:rsid w:val="00516099"/>
    <w:rsid w:val="00516912"/>
    <w:rsid w:val="005175EE"/>
    <w:rsid w:val="00520737"/>
    <w:rsid w:val="00520921"/>
    <w:rsid w:val="00520B28"/>
    <w:rsid w:val="005216A5"/>
    <w:rsid w:val="005217EC"/>
    <w:rsid w:val="00521A69"/>
    <w:rsid w:val="00521B63"/>
    <w:rsid w:val="00522118"/>
    <w:rsid w:val="0052264D"/>
    <w:rsid w:val="0052332D"/>
    <w:rsid w:val="00523B7C"/>
    <w:rsid w:val="00523C07"/>
    <w:rsid w:val="00524523"/>
    <w:rsid w:val="0052466C"/>
    <w:rsid w:val="005256F0"/>
    <w:rsid w:val="005263C7"/>
    <w:rsid w:val="00526656"/>
    <w:rsid w:val="00526D32"/>
    <w:rsid w:val="00526D64"/>
    <w:rsid w:val="00526FF0"/>
    <w:rsid w:val="0052709D"/>
    <w:rsid w:val="00527C95"/>
    <w:rsid w:val="0053010D"/>
    <w:rsid w:val="00530715"/>
    <w:rsid w:val="00531144"/>
    <w:rsid w:val="005331D1"/>
    <w:rsid w:val="005337A2"/>
    <w:rsid w:val="00533BB7"/>
    <w:rsid w:val="005342B6"/>
    <w:rsid w:val="00534320"/>
    <w:rsid w:val="005343A0"/>
    <w:rsid w:val="0053454D"/>
    <w:rsid w:val="00534BEE"/>
    <w:rsid w:val="00535206"/>
    <w:rsid w:val="005356C4"/>
    <w:rsid w:val="00535E00"/>
    <w:rsid w:val="00536CB2"/>
    <w:rsid w:val="00537D92"/>
    <w:rsid w:val="00540742"/>
    <w:rsid w:val="0054086B"/>
    <w:rsid w:val="00540B01"/>
    <w:rsid w:val="00540C03"/>
    <w:rsid w:val="00540FA3"/>
    <w:rsid w:val="00541267"/>
    <w:rsid w:val="0054130C"/>
    <w:rsid w:val="00542314"/>
    <w:rsid w:val="00542EF8"/>
    <w:rsid w:val="00543C9E"/>
    <w:rsid w:val="005446ED"/>
    <w:rsid w:val="005455ED"/>
    <w:rsid w:val="00545CE6"/>
    <w:rsid w:val="00545D2B"/>
    <w:rsid w:val="00545E8A"/>
    <w:rsid w:val="005462E6"/>
    <w:rsid w:val="00546748"/>
    <w:rsid w:val="0054782F"/>
    <w:rsid w:val="00547C79"/>
    <w:rsid w:val="00550C33"/>
    <w:rsid w:val="00550F28"/>
    <w:rsid w:val="00551975"/>
    <w:rsid w:val="00551E88"/>
    <w:rsid w:val="005526CE"/>
    <w:rsid w:val="00552A9B"/>
    <w:rsid w:val="00552B61"/>
    <w:rsid w:val="00553259"/>
    <w:rsid w:val="0055367E"/>
    <w:rsid w:val="00553B86"/>
    <w:rsid w:val="00553BA2"/>
    <w:rsid w:val="00553BE0"/>
    <w:rsid w:val="00553F27"/>
    <w:rsid w:val="0055452D"/>
    <w:rsid w:val="005563E7"/>
    <w:rsid w:val="0055660F"/>
    <w:rsid w:val="00557694"/>
    <w:rsid w:val="005600F7"/>
    <w:rsid w:val="00560496"/>
    <w:rsid w:val="00560C75"/>
    <w:rsid w:val="00561D11"/>
    <w:rsid w:val="00562266"/>
    <w:rsid w:val="00562322"/>
    <w:rsid w:val="005626B1"/>
    <w:rsid w:val="005629D7"/>
    <w:rsid w:val="00562CA2"/>
    <w:rsid w:val="00562EC1"/>
    <w:rsid w:val="00563601"/>
    <w:rsid w:val="00563DC4"/>
    <w:rsid w:val="00564174"/>
    <w:rsid w:val="005643DC"/>
    <w:rsid w:val="00564557"/>
    <w:rsid w:val="00564B58"/>
    <w:rsid w:val="00565576"/>
    <w:rsid w:val="005658FC"/>
    <w:rsid w:val="00566789"/>
    <w:rsid w:val="00566CD3"/>
    <w:rsid w:val="00566DD4"/>
    <w:rsid w:val="005670E0"/>
    <w:rsid w:val="0056722F"/>
    <w:rsid w:val="00567D42"/>
    <w:rsid w:val="00567D57"/>
    <w:rsid w:val="00570553"/>
    <w:rsid w:val="0057065C"/>
    <w:rsid w:val="0057143B"/>
    <w:rsid w:val="00571BB1"/>
    <w:rsid w:val="00571BD1"/>
    <w:rsid w:val="00571BE2"/>
    <w:rsid w:val="00571C6B"/>
    <w:rsid w:val="00572096"/>
    <w:rsid w:val="005727D5"/>
    <w:rsid w:val="005729FF"/>
    <w:rsid w:val="00572EAC"/>
    <w:rsid w:val="00573745"/>
    <w:rsid w:val="00574F3F"/>
    <w:rsid w:val="005752ED"/>
    <w:rsid w:val="00575D5D"/>
    <w:rsid w:val="00575EE5"/>
    <w:rsid w:val="0057613F"/>
    <w:rsid w:val="00576773"/>
    <w:rsid w:val="00576CBD"/>
    <w:rsid w:val="00576E17"/>
    <w:rsid w:val="00577874"/>
    <w:rsid w:val="00577942"/>
    <w:rsid w:val="00577FA7"/>
    <w:rsid w:val="005806AF"/>
    <w:rsid w:val="005814B8"/>
    <w:rsid w:val="00581967"/>
    <w:rsid w:val="00581A9A"/>
    <w:rsid w:val="00582255"/>
    <w:rsid w:val="0058242B"/>
    <w:rsid w:val="005826E1"/>
    <w:rsid w:val="0058297B"/>
    <w:rsid w:val="00582AB3"/>
    <w:rsid w:val="00582B67"/>
    <w:rsid w:val="00582F1A"/>
    <w:rsid w:val="005834EE"/>
    <w:rsid w:val="00583A79"/>
    <w:rsid w:val="00583ECF"/>
    <w:rsid w:val="005851EF"/>
    <w:rsid w:val="00585719"/>
    <w:rsid w:val="00585A9A"/>
    <w:rsid w:val="00585F7F"/>
    <w:rsid w:val="005860EA"/>
    <w:rsid w:val="00586308"/>
    <w:rsid w:val="00586E5B"/>
    <w:rsid w:val="005871F0"/>
    <w:rsid w:val="00587676"/>
    <w:rsid w:val="00587D5D"/>
    <w:rsid w:val="00587E84"/>
    <w:rsid w:val="00590699"/>
    <w:rsid w:val="005912D2"/>
    <w:rsid w:val="005914EE"/>
    <w:rsid w:val="00591936"/>
    <w:rsid w:val="00592857"/>
    <w:rsid w:val="0059383B"/>
    <w:rsid w:val="00593B26"/>
    <w:rsid w:val="005946EB"/>
    <w:rsid w:val="0059498E"/>
    <w:rsid w:val="00594A67"/>
    <w:rsid w:val="00594AEA"/>
    <w:rsid w:val="005951B1"/>
    <w:rsid w:val="005951E3"/>
    <w:rsid w:val="00595C06"/>
    <w:rsid w:val="00595E74"/>
    <w:rsid w:val="00596168"/>
    <w:rsid w:val="00596436"/>
    <w:rsid w:val="00596C00"/>
    <w:rsid w:val="00597880"/>
    <w:rsid w:val="005A0276"/>
    <w:rsid w:val="005A0456"/>
    <w:rsid w:val="005A05A4"/>
    <w:rsid w:val="005A091F"/>
    <w:rsid w:val="005A16CA"/>
    <w:rsid w:val="005A2A60"/>
    <w:rsid w:val="005A33F1"/>
    <w:rsid w:val="005A3A29"/>
    <w:rsid w:val="005A3F1C"/>
    <w:rsid w:val="005A3FFB"/>
    <w:rsid w:val="005A43D8"/>
    <w:rsid w:val="005A44FF"/>
    <w:rsid w:val="005A4620"/>
    <w:rsid w:val="005A4A7B"/>
    <w:rsid w:val="005A528B"/>
    <w:rsid w:val="005A5C52"/>
    <w:rsid w:val="005A5F4F"/>
    <w:rsid w:val="005A5FBC"/>
    <w:rsid w:val="005A71D4"/>
    <w:rsid w:val="005A7417"/>
    <w:rsid w:val="005A7611"/>
    <w:rsid w:val="005A7BDD"/>
    <w:rsid w:val="005A7F60"/>
    <w:rsid w:val="005B0076"/>
    <w:rsid w:val="005B009B"/>
    <w:rsid w:val="005B0153"/>
    <w:rsid w:val="005B0DDA"/>
    <w:rsid w:val="005B16E5"/>
    <w:rsid w:val="005B1708"/>
    <w:rsid w:val="005B1ED1"/>
    <w:rsid w:val="005B212D"/>
    <w:rsid w:val="005B29AC"/>
    <w:rsid w:val="005B2F60"/>
    <w:rsid w:val="005B3195"/>
    <w:rsid w:val="005B3210"/>
    <w:rsid w:val="005B345B"/>
    <w:rsid w:val="005B3753"/>
    <w:rsid w:val="005B3A6C"/>
    <w:rsid w:val="005B412A"/>
    <w:rsid w:val="005B4342"/>
    <w:rsid w:val="005B4A3E"/>
    <w:rsid w:val="005B5437"/>
    <w:rsid w:val="005B5713"/>
    <w:rsid w:val="005B59F0"/>
    <w:rsid w:val="005B628A"/>
    <w:rsid w:val="005B6506"/>
    <w:rsid w:val="005B6AF3"/>
    <w:rsid w:val="005B701B"/>
    <w:rsid w:val="005B71E0"/>
    <w:rsid w:val="005B7306"/>
    <w:rsid w:val="005B7733"/>
    <w:rsid w:val="005B7875"/>
    <w:rsid w:val="005B7A60"/>
    <w:rsid w:val="005B7E14"/>
    <w:rsid w:val="005B7EFC"/>
    <w:rsid w:val="005C0525"/>
    <w:rsid w:val="005C0B63"/>
    <w:rsid w:val="005C1646"/>
    <w:rsid w:val="005C16C0"/>
    <w:rsid w:val="005C1C84"/>
    <w:rsid w:val="005C24CA"/>
    <w:rsid w:val="005C2A7A"/>
    <w:rsid w:val="005C330C"/>
    <w:rsid w:val="005C333E"/>
    <w:rsid w:val="005C3B13"/>
    <w:rsid w:val="005C3BDE"/>
    <w:rsid w:val="005C3D70"/>
    <w:rsid w:val="005C41C8"/>
    <w:rsid w:val="005C41E4"/>
    <w:rsid w:val="005C5A34"/>
    <w:rsid w:val="005C5A62"/>
    <w:rsid w:val="005C5C3A"/>
    <w:rsid w:val="005C629D"/>
    <w:rsid w:val="005C6847"/>
    <w:rsid w:val="005C6F4C"/>
    <w:rsid w:val="005C7B35"/>
    <w:rsid w:val="005C7B68"/>
    <w:rsid w:val="005D0550"/>
    <w:rsid w:val="005D091B"/>
    <w:rsid w:val="005D0B8A"/>
    <w:rsid w:val="005D14B7"/>
    <w:rsid w:val="005D159B"/>
    <w:rsid w:val="005D1689"/>
    <w:rsid w:val="005D16A8"/>
    <w:rsid w:val="005D1796"/>
    <w:rsid w:val="005D2812"/>
    <w:rsid w:val="005D2AB9"/>
    <w:rsid w:val="005D3C0D"/>
    <w:rsid w:val="005D40B2"/>
    <w:rsid w:val="005D4FC7"/>
    <w:rsid w:val="005D5D69"/>
    <w:rsid w:val="005D6503"/>
    <w:rsid w:val="005D6A77"/>
    <w:rsid w:val="005D767C"/>
    <w:rsid w:val="005D7C61"/>
    <w:rsid w:val="005D7F7C"/>
    <w:rsid w:val="005E0118"/>
    <w:rsid w:val="005E0CCE"/>
    <w:rsid w:val="005E0F4A"/>
    <w:rsid w:val="005E1E83"/>
    <w:rsid w:val="005E22FE"/>
    <w:rsid w:val="005E34F9"/>
    <w:rsid w:val="005E39DD"/>
    <w:rsid w:val="005E3C28"/>
    <w:rsid w:val="005E4128"/>
    <w:rsid w:val="005E53F3"/>
    <w:rsid w:val="005E5E7D"/>
    <w:rsid w:val="005E5F1F"/>
    <w:rsid w:val="005E5F2A"/>
    <w:rsid w:val="005E68FA"/>
    <w:rsid w:val="005E6A52"/>
    <w:rsid w:val="005E7236"/>
    <w:rsid w:val="005E76C7"/>
    <w:rsid w:val="005E7DC9"/>
    <w:rsid w:val="005F01E7"/>
    <w:rsid w:val="005F05FF"/>
    <w:rsid w:val="005F0E54"/>
    <w:rsid w:val="005F15B3"/>
    <w:rsid w:val="005F24D4"/>
    <w:rsid w:val="005F272B"/>
    <w:rsid w:val="005F341F"/>
    <w:rsid w:val="005F3550"/>
    <w:rsid w:val="005F374D"/>
    <w:rsid w:val="005F3992"/>
    <w:rsid w:val="005F4149"/>
    <w:rsid w:val="005F4AFC"/>
    <w:rsid w:val="005F4F83"/>
    <w:rsid w:val="005F50D4"/>
    <w:rsid w:val="005F527C"/>
    <w:rsid w:val="005F57F8"/>
    <w:rsid w:val="005F5FF7"/>
    <w:rsid w:val="005F630D"/>
    <w:rsid w:val="005F6A76"/>
    <w:rsid w:val="005F6F51"/>
    <w:rsid w:val="00600000"/>
    <w:rsid w:val="006003B3"/>
    <w:rsid w:val="00600600"/>
    <w:rsid w:val="00600718"/>
    <w:rsid w:val="00600A29"/>
    <w:rsid w:val="00601954"/>
    <w:rsid w:val="00602705"/>
    <w:rsid w:val="00603233"/>
    <w:rsid w:val="00603280"/>
    <w:rsid w:val="00603524"/>
    <w:rsid w:val="00603E23"/>
    <w:rsid w:val="006048D1"/>
    <w:rsid w:val="00604A76"/>
    <w:rsid w:val="0060547D"/>
    <w:rsid w:val="00605736"/>
    <w:rsid w:val="00606707"/>
    <w:rsid w:val="00606FBA"/>
    <w:rsid w:val="006070C6"/>
    <w:rsid w:val="00607E2E"/>
    <w:rsid w:val="00607F56"/>
    <w:rsid w:val="00607F6D"/>
    <w:rsid w:val="006102C2"/>
    <w:rsid w:val="00610915"/>
    <w:rsid w:val="00611E78"/>
    <w:rsid w:val="00612319"/>
    <w:rsid w:val="006125B3"/>
    <w:rsid w:val="00612AFD"/>
    <w:rsid w:val="00612D6B"/>
    <w:rsid w:val="00613250"/>
    <w:rsid w:val="006132A1"/>
    <w:rsid w:val="00613479"/>
    <w:rsid w:val="00613E42"/>
    <w:rsid w:val="00613F31"/>
    <w:rsid w:val="00614425"/>
    <w:rsid w:val="0061449A"/>
    <w:rsid w:val="00615283"/>
    <w:rsid w:val="006154E9"/>
    <w:rsid w:val="00615752"/>
    <w:rsid w:val="00615829"/>
    <w:rsid w:val="006158D8"/>
    <w:rsid w:val="006170D2"/>
    <w:rsid w:val="00617793"/>
    <w:rsid w:val="00617CE9"/>
    <w:rsid w:val="00620C8A"/>
    <w:rsid w:val="00621063"/>
    <w:rsid w:val="0062181F"/>
    <w:rsid w:val="006226A9"/>
    <w:rsid w:val="00622F95"/>
    <w:rsid w:val="0062311B"/>
    <w:rsid w:val="0062333C"/>
    <w:rsid w:val="006239EB"/>
    <w:rsid w:val="006241CA"/>
    <w:rsid w:val="006241D6"/>
    <w:rsid w:val="00624217"/>
    <w:rsid w:val="00624314"/>
    <w:rsid w:val="006247A7"/>
    <w:rsid w:val="006249E3"/>
    <w:rsid w:val="00625A21"/>
    <w:rsid w:val="00625C41"/>
    <w:rsid w:val="0062610A"/>
    <w:rsid w:val="0062642A"/>
    <w:rsid w:val="0063065A"/>
    <w:rsid w:val="006308E9"/>
    <w:rsid w:val="006319E4"/>
    <w:rsid w:val="00631F0E"/>
    <w:rsid w:val="006324B8"/>
    <w:rsid w:val="00632AC0"/>
    <w:rsid w:val="00632D4C"/>
    <w:rsid w:val="00632DBE"/>
    <w:rsid w:val="006331AC"/>
    <w:rsid w:val="0063323D"/>
    <w:rsid w:val="00633271"/>
    <w:rsid w:val="00633A26"/>
    <w:rsid w:val="00633B8E"/>
    <w:rsid w:val="006340AF"/>
    <w:rsid w:val="00634181"/>
    <w:rsid w:val="00634323"/>
    <w:rsid w:val="006345FF"/>
    <w:rsid w:val="006349C2"/>
    <w:rsid w:val="00634B5C"/>
    <w:rsid w:val="00634CCE"/>
    <w:rsid w:val="00634E1E"/>
    <w:rsid w:val="0063595F"/>
    <w:rsid w:val="00635ECE"/>
    <w:rsid w:val="006361B4"/>
    <w:rsid w:val="00636549"/>
    <w:rsid w:val="00636609"/>
    <w:rsid w:val="006369ED"/>
    <w:rsid w:val="006379E0"/>
    <w:rsid w:val="00640229"/>
    <w:rsid w:val="00640688"/>
    <w:rsid w:val="00640957"/>
    <w:rsid w:val="0064119B"/>
    <w:rsid w:val="006417C8"/>
    <w:rsid w:val="006426AE"/>
    <w:rsid w:val="00642F29"/>
    <w:rsid w:val="00643875"/>
    <w:rsid w:val="00643ABA"/>
    <w:rsid w:val="006445B5"/>
    <w:rsid w:val="006445CD"/>
    <w:rsid w:val="00644712"/>
    <w:rsid w:val="006447A3"/>
    <w:rsid w:val="0064490A"/>
    <w:rsid w:val="00645695"/>
    <w:rsid w:val="006465DC"/>
    <w:rsid w:val="00646B5E"/>
    <w:rsid w:val="0064720B"/>
    <w:rsid w:val="00647722"/>
    <w:rsid w:val="00647DE6"/>
    <w:rsid w:val="00647E89"/>
    <w:rsid w:val="006500C6"/>
    <w:rsid w:val="00650564"/>
    <w:rsid w:val="00650893"/>
    <w:rsid w:val="00650D94"/>
    <w:rsid w:val="0065198E"/>
    <w:rsid w:val="00651B35"/>
    <w:rsid w:val="00651C07"/>
    <w:rsid w:val="00651C6B"/>
    <w:rsid w:val="00653298"/>
    <w:rsid w:val="00653349"/>
    <w:rsid w:val="006535CC"/>
    <w:rsid w:val="00653942"/>
    <w:rsid w:val="00653EBF"/>
    <w:rsid w:val="00654C33"/>
    <w:rsid w:val="00654C87"/>
    <w:rsid w:val="00655299"/>
    <w:rsid w:val="00655ECF"/>
    <w:rsid w:val="006571AD"/>
    <w:rsid w:val="00657EB8"/>
    <w:rsid w:val="00657F82"/>
    <w:rsid w:val="00660147"/>
    <w:rsid w:val="006603A2"/>
    <w:rsid w:val="00660CCD"/>
    <w:rsid w:val="006614AC"/>
    <w:rsid w:val="00661CF3"/>
    <w:rsid w:val="006620AD"/>
    <w:rsid w:val="00662125"/>
    <w:rsid w:val="006624AD"/>
    <w:rsid w:val="00662EEC"/>
    <w:rsid w:val="00663248"/>
    <w:rsid w:val="00663DC5"/>
    <w:rsid w:val="00663E84"/>
    <w:rsid w:val="006643AC"/>
    <w:rsid w:val="0066443E"/>
    <w:rsid w:val="0066464B"/>
    <w:rsid w:val="00664A55"/>
    <w:rsid w:val="0066553C"/>
    <w:rsid w:val="00665DED"/>
    <w:rsid w:val="00665F76"/>
    <w:rsid w:val="0066638E"/>
    <w:rsid w:val="00666B1D"/>
    <w:rsid w:val="0066716E"/>
    <w:rsid w:val="006678C2"/>
    <w:rsid w:val="00667D87"/>
    <w:rsid w:val="00670423"/>
    <w:rsid w:val="00670468"/>
    <w:rsid w:val="00670796"/>
    <w:rsid w:val="00670BFF"/>
    <w:rsid w:val="00670D57"/>
    <w:rsid w:val="00670DAD"/>
    <w:rsid w:val="00671892"/>
    <w:rsid w:val="00671C4C"/>
    <w:rsid w:val="00671FAE"/>
    <w:rsid w:val="006724C5"/>
    <w:rsid w:val="00673C8A"/>
    <w:rsid w:val="00673F43"/>
    <w:rsid w:val="0067417B"/>
    <w:rsid w:val="0067419A"/>
    <w:rsid w:val="00674A36"/>
    <w:rsid w:val="00674F02"/>
    <w:rsid w:val="006752E7"/>
    <w:rsid w:val="00675340"/>
    <w:rsid w:val="00675C9F"/>
    <w:rsid w:val="0067641C"/>
    <w:rsid w:val="006765F3"/>
    <w:rsid w:val="00676A95"/>
    <w:rsid w:val="00676E0F"/>
    <w:rsid w:val="00677717"/>
    <w:rsid w:val="00677BB0"/>
    <w:rsid w:val="00677D4D"/>
    <w:rsid w:val="006801EF"/>
    <w:rsid w:val="00680A0C"/>
    <w:rsid w:val="00680C51"/>
    <w:rsid w:val="006810B0"/>
    <w:rsid w:val="00681BF8"/>
    <w:rsid w:val="0068205C"/>
    <w:rsid w:val="00682157"/>
    <w:rsid w:val="00682983"/>
    <w:rsid w:val="00682B94"/>
    <w:rsid w:val="00682EB0"/>
    <w:rsid w:val="00682EC7"/>
    <w:rsid w:val="00682EEF"/>
    <w:rsid w:val="00683073"/>
    <w:rsid w:val="00684022"/>
    <w:rsid w:val="006840B3"/>
    <w:rsid w:val="006846F6"/>
    <w:rsid w:val="006855BA"/>
    <w:rsid w:val="00685D14"/>
    <w:rsid w:val="00685DFC"/>
    <w:rsid w:val="00685F98"/>
    <w:rsid w:val="0068793B"/>
    <w:rsid w:val="00687BB0"/>
    <w:rsid w:val="00691375"/>
    <w:rsid w:val="006913C0"/>
    <w:rsid w:val="00691875"/>
    <w:rsid w:val="00691FF7"/>
    <w:rsid w:val="00692201"/>
    <w:rsid w:val="00692242"/>
    <w:rsid w:val="00693095"/>
    <w:rsid w:val="006930C5"/>
    <w:rsid w:val="0069372B"/>
    <w:rsid w:val="00693B32"/>
    <w:rsid w:val="00693B83"/>
    <w:rsid w:val="00694295"/>
    <w:rsid w:val="006954B7"/>
    <w:rsid w:val="006959DE"/>
    <w:rsid w:val="00695A26"/>
    <w:rsid w:val="00695B78"/>
    <w:rsid w:val="00697248"/>
    <w:rsid w:val="0069775F"/>
    <w:rsid w:val="006A096F"/>
    <w:rsid w:val="006A0D87"/>
    <w:rsid w:val="006A1081"/>
    <w:rsid w:val="006A1286"/>
    <w:rsid w:val="006A17ED"/>
    <w:rsid w:val="006A21CF"/>
    <w:rsid w:val="006A238E"/>
    <w:rsid w:val="006A2752"/>
    <w:rsid w:val="006A389C"/>
    <w:rsid w:val="006A4277"/>
    <w:rsid w:val="006A48CB"/>
    <w:rsid w:val="006A4BB8"/>
    <w:rsid w:val="006A5AAE"/>
    <w:rsid w:val="006A66CE"/>
    <w:rsid w:val="006A6AC4"/>
    <w:rsid w:val="006A7412"/>
    <w:rsid w:val="006A7AF0"/>
    <w:rsid w:val="006A7CF0"/>
    <w:rsid w:val="006A7F6E"/>
    <w:rsid w:val="006B00E3"/>
    <w:rsid w:val="006B021D"/>
    <w:rsid w:val="006B1390"/>
    <w:rsid w:val="006B2408"/>
    <w:rsid w:val="006B319C"/>
    <w:rsid w:val="006B3433"/>
    <w:rsid w:val="006B36E4"/>
    <w:rsid w:val="006B3C46"/>
    <w:rsid w:val="006B3F4A"/>
    <w:rsid w:val="006B4008"/>
    <w:rsid w:val="006B4087"/>
    <w:rsid w:val="006B4365"/>
    <w:rsid w:val="006B4475"/>
    <w:rsid w:val="006B4997"/>
    <w:rsid w:val="006B4DBB"/>
    <w:rsid w:val="006B5235"/>
    <w:rsid w:val="006B71E5"/>
    <w:rsid w:val="006B78E6"/>
    <w:rsid w:val="006B79A8"/>
    <w:rsid w:val="006C01A4"/>
    <w:rsid w:val="006C0682"/>
    <w:rsid w:val="006C0F4D"/>
    <w:rsid w:val="006C0F9E"/>
    <w:rsid w:val="006C1163"/>
    <w:rsid w:val="006C1E4F"/>
    <w:rsid w:val="006C2185"/>
    <w:rsid w:val="006C2205"/>
    <w:rsid w:val="006C27CB"/>
    <w:rsid w:val="006C28E5"/>
    <w:rsid w:val="006C2A70"/>
    <w:rsid w:val="006C349A"/>
    <w:rsid w:val="006C3722"/>
    <w:rsid w:val="006C45EC"/>
    <w:rsid w:val="006C4F20"/>
    <w:rsid w:val="006C5AC1"/>
    <w:rsid w:val="006C608B"/>
    <w:rsid w:val="006C60E0"/>
    <w:rsid w:val="006C6628"/>
    <w:rsid w:val="006C72B4"/>
    <w:rsid w:val="006C78F8"/>
    <w:rsid w:val="006D0787"/>
    <w:rsid w:val="006D0EBC"/>
    <w:rsid w:val="006D18E7"/>
    <w:rsid w:val="006D1D7B"/>
    <w:rsid w:val="006D1E11"/>
    <w:rsid w:val="006D2901"/>
    <w:rsid w:val="006D2A45"/>
    <w:rsid w:val="006D3216"/>
    <w:rsid w:val="006D3679"/>
    <w:rsid w:val="006D3922"/>
    <w:rsid w:val="006D4909"/>
    <w:rsid w:val="006D5043"/>
    <w:rsid w:val="006D5065"/>
    <w:rsid w:val="006D55A1"/>
    <w:rsid w:val="006D577C"/>
    <w:rsid w:val="006D5FA3"/>
    <w:rsid w:val="006D605E"/>
    <w:rsid w:val="006D6E93"/>
    <w:rsid w:val="006D7C3D"/>
    <w:rsid w:val="006E001B"/>
    <w:rsid w:val="006E0049"/>
    <w:rsid w:val="006E0907"/>
    <w:rsid w:val="006E18E0"/>
    <w:rsid w:val="006E1D49"/>
    <w:rsid w:val="006E25B8"/>
    <w:rsid w:val="006E2945"/>
    <w:rsid w:val="006E2CA3"/>
    <w:rsid w:val="006E3667"/>
    <w:rsid w:val="006E3B89"/>
    <w:rsid w:val="006E3BEA"/>
    <w:rsid w:val="006E468A"/>
    <w:rsid w:val="006E5616"/>
    <w:rsid w:val="006E6459"/>
    <w:rsid w:val="006E6644"/>
    <w:rsid w:val="006E67F5"/>
    <w:rsid w:val="006E6A92"/>
    <w:rsid w:val="006E71E2"/>
    <w:rsid w:val="006E7738"/>
    <w:rsid w:val="006E7C81"/>
    <w:rsid w:val="006F01AD"/>
    <w:rsid w:val="006F0749"/>
    <w:rsid w:val="006F0D85"/>
    <w:rsid w:val="006F0F20"/>
    <w:rsid w:val="006F145F"/>
    <w:rsid w:val="006F28CF"/>
    <w:rsid w:val="006F2BD6"/>
    <w:rsid w:val="006F3992"/>
    <w:rsid w:val="006F3B4E"/>
    <w:rsid w:val="006F3EC6"/>
    <w:rsid w:val="006F3F1F"/>
    <w:rsid w:val="006F53BA"/>
    <w:rsid w:val="006F5528"/>
    <w:rsid w:val="006F5C27"/>
    <w:rsid w:val="006F68EC"/>
    <w:rsid w:val="006F698B"/>
    <w:rsid w:val="006F69A5"/>
    <w:rsid w:val="006F70C6"/>
    <w:rsid w:val="006F7432"/>
    <w:rsid w:val="006F7CA9"/>
    <w:rsid w:val="0070056E"/>
    <w:rsid w:val="0070099D"/>
    <w:rsid w:val="00700A78"/>
    <w:rsid w:val="00700F28"/>
    <w:rsid w:val="00701BF1"/>
    <w:rsid w:val="00701DBD"/>
    <w:rsid w:val="00702046"/>
    <w:rsid w:val="00702E44"/>
    <w:rsid w:val="00702FD1"/>
    <w:rsid w:val="00703BF9"/>
    <w:rsid w:val="00703D7F"/>
    <w:rsid w:val="007048C6"/>
    <w:rsid w:val="00704AFB"/>
    <w:rsid w:val="007054E6"/>
    <w:rsid w:val="00705D6D"/>
    <w:rsid w:val="00705DEA"/>
    <w:rsid w:val="0070611E"/>
    <w:rsid w:val="00706CE7"/>
    <w:rsid w:val="007073FB"/>
    <w:rsid w:val="00707B21"/>
    <w:rsid w:val="00707C7C"/>
    <w:rsid w:val="00707F25"/>
    <w:rsid w:val="00710A1D"/>
    <w:rsid w:val="00711405"/>
    <w:rsid w:val="00712694"/>
    <w:rsid w:val="00712922"/>
    <w:rsid w:val="00712B4A"/>
    <w:rsid w:val="00715BBD"/>
    <w:rsid w:val="00716215"/>
    <w:rsid w:val="00716218"/>
    <w:rsid w:val="007163CB"/>
    <w:rsid w:val="00716448"/>
    <w:rsid w:val="00716742"/>
    <w:rsid w:val="00716950"/>
    <w:rsid w:val="00716E81"/>
    <w:rsid w:val="0071788E"/>
    <w:rsid w:val="0072042D"/>
    <w:rsid w:val="0072114C"/>
    <w:rsid w:val="0072127C"/>
    <w:rsid w:val="007213BD"/>
    <w:rsid w:val="00723208"/>
    <w:rsid w:val="00723E3B"/>
    <w:rsid w:val="00723F52"/>
    <w:rsid w:val="0072455B"/>
    <w:rsid w:val="0072488F"/>
    <w:rsid w:val="00724DDA"/>
    <w:rsid w:val="00724E7A"/>
    <w:rsid w:val="007253E9"/>
    <w:rsid w:val="00725469"/>
    <w:rsid w:val="00726601"/>
    <w:rsid w:val="007269AC"/>
    <w:rsid w:val="00726B44"/>
    <w:rsid w:val="00727147"/>
    <w:rsid w:val="00727927"/>
    <w:rsid w:val="0072798A"/>
    <w:rsid w:val="00730097"/>
    <w:rsid w:val="007300C9"/>
    <w:rsid w:val="0073022F"/>
    <w:rsid w:val="00730454"/>
    <w:rsid w:val="00730B39"/>
    <w:rsid w:val="007315EA"/>
    <w:rsid w:val="00731AB8"/>
    <w:rsid w:val="00731E33"/>
    <w:rsid w:val="00731F80"/>
    <w:rsid w:val="00731FC1"/>
    <w:rsid w:val="007335E2"/>
    <w:rsid w:val="00733623"/>
    <w:rsid w:val="00734339"/>
    <w:rsid w:val="00735461"/>
    <w:rsid w:val="00735F14"/>
    <w:rsid w:val="0073623B"/>
    <w:rsid w:val="00736DE0"/>
    <w:rsid w:val="00736E00"/>
    <w:rsid w:val="007374FD"/>
    <w:rsid w:val="007375F1"/>
    <w:rsid w:val="00737BD8"/>
    <w:rsid w:val="00740C9C"/>
    <w:rsid w:val="00741220"/>
    <w:rsid w:val="00741531"/>
    <w:rsid w:val="0074170C"/>
    <w:rsid w:val="007419E9"/>
    <w:rsid w:val="00742BC5"/>
    <w:rsid w:val="00743CA0"/>
    <w:rsid w:val="00744A52"/>
    <w:rsid w:val="00745B2F"/>
    <w:rsid w:val="00745DFD"/>
    <w:rsid w:val="007460ED"/>
    <w:rsid w:val="0074614F"/>
    <w:rsid w:val="007464BC"/>
    <w:rsid w:val="00746823"/>
    <w:rsid w:val="00746970"/>
    <w:rsid w:val="00746992"/>
    <w:rsid w:val="00747267"/>
    <w:rsid w:val="0075050C"/>
    <w:rsid w:val="007505A2"/>
    <w:rsid w:val="007521A3"/>
    <w:rsid w:val="00752205"/>
    <w:rsid w:val="007528FC"/>
    <w:rsid w:val="007532A9"/>
    <w:rsid w:val="007544D4"/>
    <w:rsid w:val="007544F0"/>
    <w:rsid w:val="007545CD"/>
    <w:rsid w:val="0075470F"/>
    <w:rsid w:val="00754E26"/>
    <w:rsid w:val="00754F3D"/>
    <w:rsid w:val="0075532B"/>
    <w:rsid w:val="007558A6"/>
    <w:rsid w:val="00755C73"/>
    <w:rsid w:val="007564E4"/>
    <w:rsid w:val="00756B56"/>
    <w:rsid w:val="00756D96"/>
    <w:rsid w:val="00756DF7"/>
    <w:rsid w:val="00757705"/>
    <w:rsid w:val="0075773A"/>
    <w:rsid w:val="007579D4"/>
    <w:rsid w:val="00757CE2"/>
    <w:rsid w:val="00757E63"/>
    <w:rsid w:val="00760069"/>
    <w:rsid w:val="00760B33"/>
    <w:rsid w:val="00760C0A"/>
    <w:rsid w:val="00760CAE"/>
    <w:rsid w:val="0076147F"/>
    <w:rsid w:val="007614CC"/>
    <w:rsid w:val="00761728"/>
    <w:rsid w:val="0076266F"/>
    <w:rsid w:val="00762771"/>
    <w:rsid w:val="00762F34"/>
    <w:rsid w:val="0076380A"/>
    <w:rsid w:val="00765CA2"/>
    <w:rsid w:val="00765EA2"/>
    <w:rsid w:val="00766A55"/>
    <w:rsid w:val="00766EE5"/>
    <w:rsid w:val="00767C01"/>
    <w:rsid w:val="00770DA4"/>
    <w:rsid w:val="00770F65"/>
    <w:rsid w:val="00771EE7"/>
    <w:rsid w:val="00773108"/>
    <w:rsid w:val="00773B93"/>
    <w:rsid w:val="00773B98"/>
    <w:rsid w:val="00773C50"/>
    <w:rsid w:val="00774300"/>
    <w:rsid w:val="00774502"/>
    <w:rsid w:val="0077559C"/>
    <w:rsid w:val="00776832"/>
    <w:rsid w:val="007768A6"/>
    <w:rsid w:val="007772FB"/>
    <w:rsid w:val="007776AA"/>
    <w:rsid w:val="0078021D"/>
    <w:rsid w:val="00780358"/>
    <w:rsid w:val="00780EE7"/>
    <w:rsid w:val="007810E5"/>
    <w:rsid w:val="007811C5"/>
    <w:rsid w:val="0078176D"/>
    <w:rsid w:val="007830DE"/>
    <w:rsid w:val="00783A77"/>
    <w:rsid w:val="00783B47"/>
    <w:rsid w:val="00783CB8"/>
    <w:rsid w:val="00783CF2"/>
    <w:rsid w:val="00783EDE"/>
    <w:rsid w:val="007847A8"/>
    <w:rsid w:val="007851BE"/>
    <w:rsid w:val="007853B7"/>
    <w:rsid w:val="00785F5F"/>
    <w:rsid w:val="00786149"/>
    <w:rsid w:val="007862DA"/>
    <w:rsid w:val="00786AC9"/>
    <w:rsid w:val="00787267"/>
    <w:rsid w:val="00787B6E"/>
    <w:rsid w:val="00790072"/>
    <w:rsid w:val="007900E5"/>
    <w:rsid w:val="00790730"/>
    <w:rsid w:val="0079180C"/>
    <w:rsid w:val="00791BEF"/>
    <w:rsid w:val="00791C60"/>
    <w:rsid w:val="00791DCA"/>
    <w:rsid w:val="007922F1"/>
    <w:rsid w:val="00792542"/>
    <w:rsid w:val="00793448"/>
    <w:rsid w:val="007938A7"/>
    <w:rsid w:val="007938C0"/>
    <w:rsid w:val="007942EB"/>
    <w:rsid w:val="007942F2"/>
    <w:rsid w:val="00794A61"/>
    <w:rsid w:val="00794B13"/>
    <w:rsid w:val="00794B77"/>
    <w:rsid w:val="00794C16"/>
    <w:rsid w:val="007958C9"/>
    <w:rsid w:val="00796080"/>
    <w:rsid w:val="00796ACA"/>
    <w:rsid w:val="00796D31"/>
    <w:rsid w:val="00796F42"/>
    <w:rsid w:val="0079793F"/>
    <w:rsid w:val="00797F68"/>
    <w:rsid w:val="007A0124"/>
    <w:rsid w:val="007A0209"/>
    <w:rsid w:val="007A0545"/>
    <w:rsid w:val="007A0FA0"/>
    <w:rsid w:val="007A16B0"/>
    <w:rsid w:val="007A178E"/>
    <w:rsid w:val="007A1B04"/>
    <w:rsid w:val="007A2361"/>
    <w:rsid w:val="007A2388"/>
    <w:rsid w:val="007A25F1"/>
    <w:rsid w:val="007A28BA"/>
    <w:rsid w:val="007A2959"/>
    <w:rsid w:val="007A2B7B"/>
    <w:rsid w:val="007A2C60"/>
    <w:rsid w:val="007A43C2"/>
    <w:rsid w:val="007A4549"/>
    <w:rsid w:val="007A4854"/>
    <w:rsid w:val="007A55DC"/>
    <w:rsid w:val="007A5A23"/>
    <w:rsid w:val="007A5BD6"/>
    <w:rsid w:val="007A5C88"/>
    <w:rsid w:val="007A6D85"/>
    <w:rsid w:val="007A72AD"/>
    <w:rsid w:val="007A7926"/>
    <w:rsid w:val="007A7AEC"/>
    <w:rsid w:val="007A7F3B"/>
    <w:rsid w:val="007B039B"/>
    <w:rsid w:val="007B0CCD"/>
    <w:rsid w:val="007B0F47"/>
    <w:rsid w:val="007B1084"/>
    <w:rsid w:val="007B27DE"/>
    <w:rsid w:val="007B2D9E"/>
    <w:rsid w:val="007B34F9"/>
    <w:rsid w:val="007B3D96"/>
    <w:rsid w:val="007B3ED0"/>
    <w:rsid w:val="007B4200"/>
    <w:rsid w:val="007B47C8"/>
    <w:rsid w:val="007B48A8"/>
    <w:rsid w:val="007B6AA7"/>
    <w:rsid w:val="007B6C07"/>
    <w:rsid w:val="007B6EB3"/>
    <w:rsid w:val="007B7038"/>
    <w:rsid w:val="007B74FB"/>
    <w:rsid w:val="007C02B0"/>
    <w:rsid w:val="007C05D6"/>
    <w:rsid w:val="007C068F"/>
    <w:rsid w:val="007C07D0"/>
    <w:rsid w:val="007C0FD1"/>
    <w:rsid w:val="007C1378"/>
    <w:rsid w:val="007C1484"/>
    <w:rsid w:val="007C1A84"/>
    <w:rsid w:val="007C1BF2"/>
    <w:rsid w:val="007C230C"/>
    <w:rsid w:val="007C291D"/>
    <w:rsid w:val="007C38D7"/>
    <w:rsid w:val="007C3C06"/>
    <w:rsid w:val="007C40F8"/>
    <w:rsid w:val="007C42F3"/>
    <w:rsid w:val="007C4B23"/>
    <w:rsid w:val="007C4DDC"/>
    <w:rsid w:val="007C4FBC"/>
    <w:rsid w:val="007C51DC"/>
    <w:rsid w:val="007C52C5"/>
    <w:rsid w:val="007C540B"/>
    <w:rsid w:val="007C5521"/>
    <w:rsid w:val="007C5CE8"/>
    <w:rsid w:val="007C6E37"/>
    <w:rsid w:val="007C6FB1"/>
    <w:rsid w:val="007C7CDE"/>
    <w:rsid w:val="007D0D7E"/>
    <w:rsid w:val="007D0DA3"/>
    <w:rsid w:val="007D117C"/>
    <w:rsid w:val="007D1BF8"/>
    <w:rsid w:val="007D1D07"/>
    <w:rsid w:val="007D1E0B"/>
    <w:rsid w:val="007D22A0"/>
    <w:rsid w:val="007D3061"/>
    <w:rsid w:val="007D3510"/>
    <w:rsid w:val="007D351F"/>
    <w:rsid w:val="007D365E"/>
    <w:rsid w:val="007D3A62"/>
    <w:rsid w:val="007D4BD2"/>
    <w:rsid w:val="007D57BD"/>
    <w:rsid w:val="007D5952"/>
    <w:rsid w:val="007D5E6B"/>
    <w:rsid w:val="007D6CA2"/>
    <w:rsid w:val="007D7039"/>
    <w:rsid w:val="007D78DE"/>
    <w:rsid w:val="007D7916"/>
    <w:rsid w:val="007D7B9C"/>
    <w:rsid w:val="007E017A"/>
    <w:rsid w:val="007E0A57"/>
    <w:rsid w:val="007E1664"/>
    <w:rsid w:val="007E2251"/>
    <w:rsid w:val="007E2C58"/>
    <w:rsid w:val="007E3774"/>
    <w:rsid w:val="007E3967"/>
    <w:rsid w:val="007E3ACF"/>
    <w:rsid w:val="007E3D28"/>
    <w:rsid w:val="007E44A2"/>
    <w:rsid w:val="007E539D"/>
    <w:rsid w:val="007E7D5E"/>
    <w:rsid w:val="007F1306"/>
    <w:rsid w:val="007F134A"/>
    <w:rsid w:val="007F1437"/>
    <w:rsid w:val="007F1448"/>
    <w:rsid w:val="007F196C"/>
    <w:rsid w:val="007F1C4C"/>
    <w:rsid w:val="007F2E9D"/>
    <w:rsid w:val="007F415E"/>
    <w:rsid w:val="007F41CF"/>
    <w:rsid w:val="007F4E02"/>
    <w:rsid w:val="007F5BA3"/>
    <w:rsid w:val="007F60AC"/>
    <w:rsid w:val="007F6293"/>
    <w:rsid w:val="007F6F5E"/>
    <w:rsid w:val="007F7AA7"/>
    <w:rsid w:val="007F7F52"/>
    <w:rsid w:val="0080050A"/>
    <w:rsid w:val="00800CB3"/>
    <w:rsid w:val="00800D7B"/>
    <w:rsid w:val="00800F5D"/>
    <w:rsid w:val="00801054"/>
    <w:rsid w:val="008012E4"/>
    <w:rsid w:val="0080137E"/>
    <w:rsid w:val="008017CD"/>
    <w:rsid w:val="00801DEF"/>
    <w:rsid w:val="008023B2"/>
    <w:rsid w:val="00803190"/>
    <w:rsid w:val="008034EF"/>
    <w:rsid w:val="00803ABD"/>
    <w:rsid w:val="00804D34"/>
    <w:rsid w:val="0080524B"/>
    <w:rsid w:val="008052A6"/>
    <w:rsid w:val="00805C95"/>
    <w:rsid w:val="00805EF8"/>
    <w:rsid w:val="00806C89"/>
    <w:rsid w:val="00806F55"/>
    <w:rsid w:val="00806F7D"/>
    <w:rsid w:val="008073C7"/>
    <w:rsid w:val="00810976"/>
    <w:rsid w:val="00810C5C"/>
    <w:rsid w:val="00811686"/>
    <w:rsid w:val="00811B1B"/>
    <w:rsid w:val="00811BA9"/>
    <w:rsid w:val="00811D97"/>
    <w:rsid w:val="00812EEF"/>
    <w:rsid w:val="008133AC"/>
    <w:rsid w:val="00813A93"/>
    <w:rsid w:val="00813F38"/>
    <w:rsid w:val="00815C85"/>
    <w:rsid w:val="008160A8"/>
    <w:rsid w:val="008161D2"/>
    <w:rsid w:val="0081642D"/>
    <w:rsid w:val="008164EE"/>
    <w:rsid w:val="0081761D"/>
    <w:rsid w:val="0081782A"/>
    <w:rsid w:val="0081784B"/>
    <w:rsid w:val="00817865"/>
    <w:rsid w:val="00817D34"/>
    <w:rsid w:val="00820761"/>
    <w:rsid w:val="00820CDE"/>
    <w:rsid w:val="00820D79"/>
    <w:rsid w:val="00821444"/>
    <w:rsid w:val="0082174E"/>
    <w:rsid w:val="00821E5C"/>
    <w:rsid w:val="0082212D"/>
    <w:rsid w:val="008225DC"/>
    <w:rsid w:val="00822687"/>
    <w:rsid w:val="00822FC1"/>
    <w:rsid w:val="00823575"/>
    <w:rsid w:val="00823FFB"/>
    <w:rsid w:val="0082649E"/>
    <w:rsid w:val="00826640"/>
    <w:rsid w:val="0082687B"/>
    <w:rsid w:val="00826A08"/>
    <w:rsid w:val="00826A1B"/>
    <w:rsid w:val="00826EBE"/>
    <w:rsid w:val="008275C8"/>
    <w:rsid w:val="00827B4E"/>
    <w:rsid w:val="00827E1B"/>
    <w:rsid w:val="00827E4F"/>
    <w:rsid w:val="00830A83"/>
    <w:rsid w:val="00830E48"/>
    <w:rsid w:val="00831500"/>
    <w:rsid w:val="0083172D"/>
    <w:rsid w:val="00831B2C"/>
    <w:rsid w:val="00831EDB"/>
    <w:rsid w:val="00831F5B"/>
    <w:rsid w:val="00832BCF"/>
    <w:rsid w:val="00833CDC"/>
    <w:rsid w:val="0083404E"/>
    <w:rsid w:val="00834B58"/>
    <w:rsid w:val="008350B9"/>
    <w:rsid w:val="008354DD"/>
    <w:rsid w:val="008356AD"/>
    <w:rsid w:val="00835823"/>
    <w:rsid w:val="00836084"/>
    <w:rsid w:val="008363A6"/>
    <w:rsid w:val="00837092"/>
    <w:rsid w:val="008372AE"/>
    <w:rsid w:val="00837330"/>
    <w:rsid w:val="00837564"/>
    <w:rsid w:val="00837CD7"/>
    <w:rsid w:val="00837DBA"/>
    <w:rsid w:val="0084033D"/>
    <w:rsid w:val="00840B37"/>
    <w:rsid w:val="008420CE"/>
    <w:rsid w:val="008427AB"/>
    <w:rsid w:val="008427BD"/>
    <w:rsid w:val="008435F7"/>
    <w:rsid w:val="008436B9"/>
    <w:rsid w:val="00843E0A"/>
    <w:rsid w:val="0084455A"/>
    <w:rsid w:val="0084524C"/>
    <w:rsid w:val="0084623A"/>
    <w:rsid w:val="008467DD"/>
    <w:rsid w:val="00846811"/>
    <w:rsid w:val="00846A26"/>
    <w:rsid w:val="00846BC1"/>
    <w:rsid w:val="008475F0"/>
    <w:rsid w:val="00850EE1"/>
    <w:rsid w:val="00851138"/>
    <w:rsid w:val="00851D63"/>
    <w:rsid w:val="008520B7"/>
    <w:rsid w:val="008526E8"/>
    <w:rsid w:val="00852AF0"/>
    <w:rsid w:val="00852B47"/>
    <w:rsid w:val="00852D9A"/>
    <w:rsid w:val="008543F0"/>
    <w:rsid w:val="00856586"/>
    <w:rsid w:val="00856ED1"/>
    <w:rsid w:val="0085719E"/>
    <w:rsid w:val="008579EA"/>
    <w:rsid w:val="00857A6E"/>
    <w:rsid w:val="00857B2A"/>
    <w:rsid w:val="008607AF"/>
    <w:rsid w:val="00861A83"/>
    <w:rsid w:val="008622AA"/>
    <w:rsid w:val="00862BA8"/>
    <w:rsid w:val="00862BDE"/>
    <w:rsid w:val="00863370"/>
    <w:rsid w:val="008633DA"/>
    <w:rsid w:val="00863836"/>
    <w:rsid w:val="00864615"/>
    <w:rsid w:val="00864619"/>
    <w:rsid w:val="008647B7"/>
    <w:rsid w:val="0086488A"/>
    <w:rsid w:val="00864B82"/>
    <w:rsid w:val="00866BC1"/>
    <w:rsid w:val="008671B8"/>
    <w:rsid w:val="0086740A"/>
    <w:rsid w:val="0086755E"/>
    <w:rsid w:val="00867768"/>
    <w:rsid w:val="008679D0"/>
    <w:rsid w:val="00867D4D"/>
    <w:rsid w:val="00867FB6"/>
    <w:rsid w:val="0087063E"/>
    <w:rsid w:val="00870F78"/>
    <w:rsid w:val="008723FC"/>
    <w:rsid w:val="00872C12"/>
    <w:rsid w:val="008733E3"/>
    <w:rsid w:val="00873958"/>
    <w:rsid w:val="00874902"/>
    <w:rsid w:val="00874C24"/>
    <w:rsid w:val="008752B1"/>
    <w:rsid w:val="00875905"/>
    <w:rsid w:val="00875ADE"/>
    <w:rsid w:val="00875DAF"/>
    <w:rsid w:val="00876EE0"/>
    <w:rsid w:val="00876F15"/>
    <w:rsid w:val="00877BE1"/>
    <w:rsid w:val="00880046"/>
    <w:rsid w:val="0088149D"/>
    <w:rsid w:val="00882244"/>
    <w:rsid w:val="008829E7"/>
    <w:rsid w:val="00882B25"/>
    <w:rsid w:val="0088346B"/>
    <w:rsid w:val="00883520"/>
    <w:rsid w:val="008838CA"/>
    <w:rsid w:val="00883CB8"/>
    <w:rsid w:val="00883D62"/>
    <w:rsid w:val="00883F7A"/>
    <w:rsid w:val="008848E1"/>
    <w:rsid w:val="008850EB"/>
    <w:rsid w:val="008852ED"/>
    <w:rsid w:val="008861C2"/>
    <w:rsid w:val="00886C93"/>
    <w:rsid w:val="0088717C"/>
    <w:rsid w:val="00887BEA"/>
    <w:rsid w:val="0089002C"/>
    <w:rsid w:val="008907EE"/>
    <w:rsid w:val="00890BBC"/>
    <w:rsid w:val="0089150B"/>
    <w:rsid w:val="00891E8D"/>
    <w:rsid w:val="008924C7"/>
    <w:rsid w:val="00892839"/>
    <w:rsid w:val="00892A23"/>
    <w:rsid w:val="00892A72"/>
    <w:rsid w:val="00892C3D"/>
    <w:rsid w:val="00893142"/>
    <w:rsid w:val="00893630"/>
    <w:rsid w:val="00893707"/>
    <w:rsid w:val="00893E5B"/>
    <w:rsid w:val="0089413C"/>
    <w:rsid w:val="00894696"/>
    <w:rsid w:val="008950E9"/>
    <w:rsid w:val="00895163"/>
    <w:rsid w:val="00895CBE"/>
    <w:rsid w:val="00895E1E"/>
    <w:rsid w:val="008966B2"/>
    <w:rsid w:val="00896C92"/>
    <w:rsid w:val="00896CB0"/>
    <w:rsid w:val="00897619"/>
    <w:rsid w:val="00897964"/>
    <w:rsid w:val="008A006F"/>
    <w:rsid w:val="008A0BB1"/>
    <w:rsid w:val="008A0E9B"/>
    <w:rsid w:val="008A0FAA"/>
    <w:rsid w:val="008A120F"/>
    <w:rsid w:val="008A1435"/>
    <w:rsid w:val="008A19FA"/>
    <w:rsid w:val="008A1A3C"/>
    <w:rsid w:val="008A25F2"/>
    <w:rsid w:val="008A2B47"/>
    <w:rsid w:val="008A2C38"/>
    <w:rsid w:val="008A2D92"/>
    <w:rsid w:val="008A2E3A"/>
    <w:rsid w:val="008A3049"/>
    <w:rsid w:val="008A38B0"/>
    <w:rsid w:val="008A3B2B"/>
    <w:rsid w:val="008A4AC4"/>
    <w:rsid w:val="008A4B0A"/>
    <w:rsid w:val="008A4DE3"/>
    <w:rsid w:val="008A4E40"/>
    <w:rsid w:val="008A61F2"/>
    <w:rsid w:val="008A65CF"/>
    <w:rsid w:val="008A6DED"/>
    <w:rsid w:val="008A7C6E"/>
    <w:rsid w:val="008B012C"/>
    <w:rsid w:val="008B03B8"/>
    <w:rsid w:val="008B0C67"/>
    <w:rsid w:val="008B1E51"/>
    <w:rsid w:val="008B20C7"/>
    <w:rsid w:val="008B23C5"/>
    <w:rsid w:val="008B251F"/>
    <w:rsid w:val="008B26B6"/>
    <w:rsid w:val="008B29D4"/>
    <w:rsid w:val="008B2D74"/>
    <w:rsid w:val="008B2F00"/>
    <w:rsid w:val="008B3C1B"/>
    <w:rsid w:val="008B3EBF"/>
    <w:rsid w:val="008B3EC6"/>
    <w:rsid w:val="008B4629"/>
    <w:rsid w:val="008B4E6B"/>
    <w:rsid w:val="008B4FF4"/>
    <w:rsid w:val="008B5A87"/>
    <w:rsid w:val="008B5B06"/>
    <w:rsid w:val="008B5C58"/>
    <w:rsid w:val="008B62B7"/>
    <w:rsid w:val="008B7250"/>
    <w:rsid w:val="008C0203"/>
    <w:rsid w:val="008C0218"/>
    <w:rsid w:val="008C0AFE"/>
    <w:rsid w:val="008C0CF1"/>
    <w:rsid w:val="008C12D8"/>
    <w:rsid w:val="008C1916"/>
    <w:rsid w:val="008C1D2B"/>
    <w:rsid w:val="008C227D"/>
    <w:rsid w:val="008C2293"/>
    <w:rsid w:val="008C22D5"/>
    <w:rsid w:val="008C26D7"/>
    <w:rsid w:val="008C2AF9"/>
    <w:rsid w:val="008C2FDF"/>
    <w:rsid w:val="008C33E5"/>
    <w:rsid w:val="008C358E"/>
    <w:rsid w:val="008C3AF6"/>
    <w:rsid w:val="008C4641"/>
    <w:rsid w:val="008C52CF"/>
    <w:rsid w:val="008C535D"/>
    <w:rsid w:val="008C5CD1"/>
    <w:rsid w:val="008C5EEA"/>
    <w:rsid w:val="008C5F7A"/>
    <w:rsid w:val="008C5FB4"/>
    <w:rsid w:val="008C605F"/>
    <w:rsid w:val="008C6060"/>
    <w:rsid w:val="008C61AF"/>
    <w:rsid w:val="008C7035"/>
    <w:rsid w:val="008C7113"/>
    <w:rsid w:val="008C71C1"/>
    <w:rsid w:val="008C7883"/>
    <w:rsid w:val="008D0086"/>
    <w:rsid w:val="008D0278"/>
    <w:rsid w:val="008D094D"/>
    <w:rsid w:val="008D0AE8"/>
    <w:rsid w:val="008D0B12"/>
    <w:rsid w:val="008D1BDA"/>
    <w:rsid w:val="008D210A"/>
    <w:rsid w:val="008D22BF"/>
    <w:rsid w:val="008D23DB"/>
    <w:rsid w:val="008D30E7"/>
    <w:rsid w:val="008D370A"/>
    <w:rsid w:val="008D3A50"/>
    <w:rsid w:val="008D3A9F"/>
    <w:rsid w:val="008D4692"/>
    <w:rsid w:val="008D4EF0"/>
    <w:rsid w:val="008D4FC2"/>
    <w:rsid w:val="008D5118"/>
    <w:rsid w:val="008D58D0"/>
    <w:rsid w:val="008D5C13"/>
    <w:rsid w:val="008D602E"/>
    <w:rsid w:val="008D63F9"/>
    <w:rsid w:val="008D722E"/>
    <w:rsid w:val="008D7F69"/>
    <w:rsid w:val="008E11D8"/>
    <w:rsid w:val="008E29F1"/>
    <w:rsid w:val="008E2B9F"/>
    <w:rsid w:val="008E36F5"/>
    <w:rsid w:val="008E3863"/>
    <w:rsid w:val="008E3EE7"/>
    <w:rsid w:val="008E47F9"/>
    <w:rsid w:val="008E4B22"/>
    <w:rsid w:val="008E55C8"/>
    <w:rsid w:val="008E5615"/>
    <w:rsid w:val="008E57AB"/>
    <w:rsid w:val="008E5BD0"/>
    <w:rsid w:val="008E63AD"/>
    <w:rsid w:val="008E6B5D"/>
    <w:rsid w:val="008E7ECD"/>
    <w:rsid w:val="008F02B7"/>
    <w:rsid w:val="008F02F5"/>
    <w:rsid w:val="008F0498"/>
    <w:rsid w:val="008F05F0"/>
    <w:rsid w:val="008F07D1"/>
    <w:rsid w:val="008F0A97"/>
    <w:rsid w:val="008F0C2C"/>
    <w:rsid w:val="008F125D"/>
    <w:rsid w:val="008F23D4"/>
    <w:rsid w:val="008F2AD1"/>
    <w:rsid w:val="008F2B74"/>
    <w:rsid w:val="008F2DB1"/>
    <w:rsid w:val="008F3211"/>
    <w:rsid w:val="008F335D"/>
    <w:rsid w:val="008F3A37"/>
    <w:rsid w:val="008F3C86"/>
    <w:rsid w:val="008F410B"/>
    <w:rsid w:val="008F5578"/>
    <w:rsid w:val="008F575B"/>
    <w:rsid w:val="008F6061"/>
    <w:rsid w:val="008F6B5E"/>
    <w:rsid w:val="008F6B77"/>
    <w:rsid w:val="008F6F11"/>
    <w:rsid w:val="008F75CF"/>
    <w:rsid w:val="008F7C8D"/>
    <w:rsid w:val="008F7EDD"/>
    <w:rsid w:val="009001C2"/>
    <w:rsid w:val="00900468"/>
    <w:rsid w:val="0090090A"/>
    <w:rsid w:val="00900DBA"/>
    <w:rsid w:val="0090150C"/>
    <w:rsid w:val="00901828"/>
    <w:rsid w:val="00901B25"/>
    <w:rsid w:val="009025AB"/>
    <w:rsid w:val="00902AA7"/>
    <w:rsid w:val="009037F0"/>
    <w:rsid w:val="00903BBB"/>
    <w:rsid w:val="00903E6D"/>
    <w:rsid w:val="00904AD1"/>
    <w:rsid w:val="00904F89"/>
    <w:rsid w:val="0090567B"/>
    <w:rsid w:val="00905CD5"/>
    <w:rsid w:val="00905EB5"/>
    <w:rsid w:val="00905F8D"/>
    <w:rsid w:val="00906428"/>
    <w:rsid w:val="009066E0"/>
    <w:rsid w:val="00906CF6"/>
    <w:rsid w:val="009074D2"/>
    <w:rsid w:val="00910584"/>
    <w:rsid w:val="00910B93"/>
    <w:rsid w:val="009115EF"/>
    <w:rsid w:val="0091192B"/>
    <w:rsid w:val="009119EA"/>
    <w:rsid w:val="00911DD3"/>
    <w:rsid w:val="009127DF"/>
    <w:rsid w:val="00913502"/>
    <w:rsid w:val="0091386C"/>
    <w:rsid w:val="00913D6D"/>
    <w:rsid w:val="009140DB"/>
    <w:rsid w:val="009147F5"/>
    <w:rsid w:val="00914B14"/>
    <w:rsid w:val="00914CF7"/>
    <w:rsid w:val="00915160"/>
    <w:rsid w:val="009152D2"/>
    <w:rsid w:val="009155E5"/>
    <w:rsid w:val="00915857"/>
    <w:rsid w:val="009162FE"/>
    <w:rsid w:val="00916342"/>
    <w:rsid w:val="00916DD4"/>
    <w:rsid w:val="00916F62"/>
    <w:rsid w:val="00917B7B"/>
    <w:rsid w:val="009200C4"/>
    <w:rsid w:val="009200DB"/>
    <w:rsid w:val="00920764"/>
    <w:rsid w:val="00920F46"/>
    <w:rsid w:val="00920F84"/>
    <w:rsid w:val="00920FD6"/>
    <w:rsid w:val="00920FF7"/>
    <w:rsid w:val="00921730"/>
    <w:rsid w:val="00921875"/>
    <w:rsid w:val="00921BA0"/>
    <w:rsid w:val="00921EAF"/>
    <w:rsid w:val="009223A1"/>
    <w:rsid w:val="00922928"/>
    <w:rsid w:val="0092296A"/>
    <w:rsid w:val="00922979"/>
    <w:rsid w:val="00922CB3"/>
    <w:rsid w:val="009233B5"/>
    <w:rsid w:val="009234BE"/>
    <w:rsid w:val="00924061"/>
    <w:rsid w:val="009240C4"/>
    <w:rsid w:val="009241B3"/>
    <w:rsid w:val="0092425F"/>
    <w:rsid w:val="009244CF"/>
    <w:rsid w:val="00924599"/>
    <w:rsid w:val="0092476D"/>
    <w:rsid w:val="00925178"/>
    <w:rsid w:val="0092672C"/>
    <w:rsid w:val="00926A6B"/>
    <w:rsid w:val="0093025A"/>
    <w:rsid w:val="00930F34"/>
    <w:rsid w:val="0093175F"/>
    <w:rsid w:val="009317D0"/>
    <w:rsid w:val="0093263B"/>
    <w:rsid w:val="009326E9"/>
    <w:rsid w:val="00932F25"/>
    <w:rsid w:val="009342AC"/>
    <w:rsid w:val="0093438E"/>
    <w:rsid w:val="009346AC"/>
    <w:rsid w:val="009347A2"/>
    <w:rsid w:val="00934D51"/>
    <w:rsid w:val="00935582"/>
    <w:rsid w:val="0093661A"/>
    <w:rsid w:val="00936EA5"/>
    <w:rsid w:val="0093700E"/>
    <w:rsid w:val="00937269"/>
    <w:rsid w:val="00937907"/>
    <w:rsid w:val="00937CE6"/>
    <w:rsid w:val="00940C75"/>
    <w:rsid w:val="00940C95"/>
    <w:rsid w:val="00940E3D"/>
    <w:rsid w:val="00940F27"/>
    <w:rsid w:val="00940F64"/>
    <w:rsid w:val="00941B5B"/>
    <w:rsid w:val="00941DE8"/>
    <w:rsid w:val="0094280C"/>
    <w:rsid w:val="0094326A"/>
    <w:rsid w:val="009438AF"/>
    <w:rsid w:val="00943940"/>
    <w:rsid w:val="00943D1F"/>
    <w:rsid w:val="00943D65"/>
    <w:rsid w:val="00943DDC"/>
    <w:rsid w:val="00944A56"/>
    <w:rsid w:val="009452A0"/>
    <w:rsid w:val="00945831"/>
    <w:rsid w:val="00945AD8"/>
    <w:rsid w:val="00945BBD"/>
    <w:rsid w:val="00945DD4"/>
    <w:rsid w:val="00946734"/>
    <w:rsid w:val="00946D58"/>
    <w:rsid w:val="00947268"/>
    <w:rsid w:val="0094752E"/>
    <w:rsid w:val="00947D40"/>
    <w:rsid w:val="00947E9C"/>
    <w:rsid w:val="009502F6"/>
    <w:rsid w:val="00950814"/>
    <w:rsid w:val="00950C74"/>
    <w:rsid w:val="00950EE5"/>
    <w:rsid w:val="009510DC"/>
    <w:rsid w:val="0095129F"/>
    <w:rsid w:val="009512D2"/>
    <w:rsid w:val="00951930"/>
    <w:rsid w:val="0095196D"/>
    <w:rsid w:val="00951D30"/>
    <w:rsid w:val="00952548"/>
    <w:rsid w:val="00953353"/>
    <w:rsid w:val="009534A4"/>
    <w:rsid w:val="00953E6F"/>
    <w:rsid w:val="00953F0F"/>
    <w:rsid w:val="00954479"/>
    <w:rsid w:val="0095457E"/>
    <w:rsid w:val="009549F7"/>
    <w:rsid w:val="00954AB8"/>
    <w:rsid w:val="00955B81"/>
    <w:rsid w:val="00955C64"/>
    <w:rsid w:val="00955C8C"/>
    <w:rsid w:val="00956274"/>
    <w:rsid w:val="009563AC"/>
    <w:rsid w:val="009563AD"/>
    <w:rsid w:val="00956DA2"/>
    <w:rsid w:val="00957130"/>
    <w:rsid w:val="009571F2"/>
    <w:rsid w:val="00957993"/>
    <w:rsid w:val="00957EB9"/>
    <w:rsid w:val="009600AD"/>
    <w:rsid w:val="00960177"/>
    <w:rsid w:val="009605DB"/>
    <w:rsid w:val="0096152E"/>
    <w:rsid w:val="00961782"/>
    <w:rsid w:val="00962ADC"/>
    <w:rsid w:val="00962BE4"/>
    <w:rsid w:val="009630D0"/>
    <w:rsid w:val="009635A6"/>
    <w:rsid w:val="00964256"/>
    <w:rsid w:val="00964797"/>
    <w:rsid w:val="00964AA8"/>
    <w:rsid w:val="0096559E"/>
    <w:rsid w:val="0096562F"/>
    <w:rsid w:val="00965904"/>
    <w:rsid w:val="00965A92"/>
    <w:rsid w:val="00965C05"/>
    <w:rsid w:val="00966EE8"/>
    <w:rsid w:val="00967817"/>
    <w:rsid w:val="00967C3D"/>
    <w:rsid w:val="00967DE5"/>
    <w:rsid w:val="009710BC"/>
    <w:rsid w:val="00971C31"/>
    <w:rsid w:val="00973BD4"/>
    <w:rsid w:val="00974121"/>
    <w:rsid w:val="009744E7"/>
    <w:rsid w:val="0097454A"/>
    <w:rsid w:val="00974796"/>
    <w:rsid w:val="009748DA"/>
    <w:rsid w:val="009749D2"/>
    <w:rsid w:val="009750B9"/>
    <w:rsid w:val="009756D6"/>
    <w:rsid w:val="00975981"/>
    <w:rsid w:val="009759B8"/>
    <w:rsid w:val="009767B7"/>
    <w:rsid w:val="00976890"/>
    <w:rsid w:val="009776D2"/>
    <w:rsid w:val="00980094"/>
    <w:rsid w:val="009808CE"/>
    <w:rsid w:val="00980E90"/>
    <w:rsid w:val="00980F57"/>
    <w:rsid w:val="0098227F"/>
    <w:rsid w:val="00982AD0"/>
    <w:rsid w:val="009831DE"/>
    <w:rsid w:val="0098392A"/>
    <w:rsid w:val="00983BCF"/>
    <w:rsid w:val="00984923"/>
    <w:rsid w:val="00984E9F"/>
    <w:rsid w:val="00985060"/>
    <w:rsid w:val="00985252"/>
    <w:rsid w:val="00985647"/>
    <w:rsid w:val="00985993"/>
    <w:rsid w:val="00985B8C"/>
    <w:rsid w:val="00985E1B"/>
    <w:rsid w:val="00986041"/>
    <w:rsid w:val="00987A09"/>
    <w:rsid w:val="00987A31"/>
    <w:rsid w:val="00987FCE"/>
    <w:rsid w:val="0099004A"/>
    <w:rsid w:val="00990667"/>
    <w:rsid w:val="00990B2B"/>
    <w:rsid w:val="00990C5D"/>
    <w:rsid w:val="00990ED6"/>
    <w:rsid w:val="00992944"/>
    <w:rsid w:val="00992E6B"/>
    <w:rsid w:val="00993122"/>
    <w:rsid w:val="009933E9"/>
    <w:rsid w:val="00993623"/>
    <w:rsid w:val="0099404E"/>
    <w:rsid w:val="00994410"/>
    <w:rsid w:val="00994632"/>
    <w:rsid w:val="00994948"/>
    <w:rsid w:val="0099495F"/>
    <w:rsid w:val="00994A4E"/>
    <w:rsid w:val="00994A94"/>
    <w:rsid w:val="0099519F"/>
    <w:rsid w:val="009953A9"/>
    <w:rsid w:val="009957F5"/>
    <w:rsid w:val="00995F0E"/>
    <w:rsid w:val="009960C1"/>
    <w:rsid w:val="009962F7"/>
    <w:rsid w:val="00996386"/>
    <w:rsid w:val="009965FC"/>
    <w:rsid w:val="00996EE8"/>
    <w:rsid w:val="009976F6"/>
    <w:rsid w:val="009A0758"/>
    <w:rsid w:val="009A08EC"/>
    <w:rsid w:val="009A11CA"/>
    <w:rsid w:val="009A1263"/>
    <w:rsid w:val="009A1AC2"/>
    <w:rsid w:val="009A208D"/>
    <w:rsid w:val="009A250C"/>
    <w:rsid w:val="009A25AE"/>
    <w:rsid w:val="009A2C85"/>
    <w:rsid w:val="009A2CA8"/>
    <w:rsid w:val="009A3020"/>
    <w:rsid w:val="009A3976"/>
    <w:rsid w:val="009A3A4C"/>
    <w:rsid w:val="009A48B5"/>
    <w:rsid w:val="009A4AED"/>
    <w:rsid w:val="009A4F57"/>
    <w:rsid w:val="009A508B"/>
    <w:rsid w:val="009A5220"/>
    <w:rsid w:val="009A539A"/>
    <w:rsid w:val="009A55C9"/>
    <w:rsid w:val="009A6220"/>
    <w:rsid w:val="009A6482"/>
    <w:rsid w:val="009A67A7"/>
    <w:rsid w:val="009A6EB2"/>
    <w:rsid w:val="009A70FF"/>
    <w:rsid w:val="009A7405"/>
    <w:rsid w:val="009A767B"/>
    <w:rsid w:val="009A7A13"/>
    <w:rsid w:val="009B0781"/>
    <w:rsid w:val="009B0C64"/>
    <w:rsid w:val="009B0F21"/>
    <w:rsid w:val="009B10A8"/>
    <w:rsid w:val="009B1621"/>
    <w:rsid w:val="009B1A78"/>
    <w:rsid w:val="009B1F1D"/>
    <w:rsid w:val="009B2843"/>
    <w:rsid w:val="009B48B2"/>
    <w:rsid w:val="009B48CC"/>
    <w:rsid w:val="009B4E0D"/>
    <w:rsid w:val="009B511B"/>
    <w:rsid w:val="009B5849"/>
    <w:rsid w:val="009B5ED7"/>
    <w:rsid w:val="009B67F1"/>
    <w:rsid w:val="009B6842"/>
    <w:rsid w:val="009B6AAD"/>
    <w:rsid w:val="009C04B5"/>
    <w:rsid w:val="009C09BF"/>
    <w:rsid w:val="009C1137"/>
    <w:rsid w:val="009C17AC"/>
    <w:rsid w:val="009C1C01"/>
    <w:rsid w:val="009C1D85"/>
    <w:rsid w:val="009C2E66"/>
    <w:rsid w:val="009C31B7"/>
    <w:rsid w:val="009C344F"/>
    <w:rsid w:val="009C3748"/>
    <w:rsid w:val="009C4089"/>
    <w:rsid w:val="009C4289"/>
    <w:rsid w:val="009C49A5"/>
    <w:rsid w:val="009C4B7B"/>
    <w:rsid w:val="009C4FF7"/>
    <w:rsid w:val="009C63EE"/>
    <w:rsid w:val="009C70CE"/>
    <w:rsid w:val="009C7BA8"/>
    <w:rsid w:val="009C7E81"/>
    <w:rsid w:val="009D004B"/>
    <w:rsid w:val="009D0055"/>
    <w:rsid w:val="009D0341"/>
    <w:rsid w:val="009D0DBB"/>
    <w:rsid w:val="009D1345"/>
    <w:rsid w:val="009D17EA"/>
    <w:rsid w:val="009D2F4B"/>
    <w:rsid w:val="009D31E0"/>
    <w:rsid w:val="009D33C5"/>
    <w:rsid w:val="009D367A"/>
    <w:rsid w:val="009D3844"/>
    <w:rsid w:val="009D396A"/>
    <w:rsid w:val="009D41F6"/>
    <w:rsid w:val="009D4489"/>
    <w:rsid w:val="009D486B"/>
    <w:rsid w:val="009D4C03"/>
    <w:rsid w:val="009D50DA"/>
    <w:rsid w:val="009D5263"/>
    <w:rsid w:val="009D5673"/>
    <w:rsid w:val="009D61E4"/>
    <w:rsid w:val="009D6C13"/>
    <w:rsid w:val="009D7030"/>
    <w:rsid w:val="009D78EE"/>
    <w:rsid w:val="009D7C1B"/>
    <w:rsid w:val="009D7DC3"/>
    <w:rsid w:val="009E003B"/>
    <w:rsid w:val="009E0426"/>
    <w:rsid w:val="009E09F7"/>
    <w:rsid w:val="009E114A"/>
    <w:rsid w:val="009E13AD"/>
    <w:rsid w:val="009E20A7"/>
    <w:rsid w:val="009E2947"/>
    <w:rsid w:val="009E2CE2"/>
    <w:rsid w:val="009E4992"/>
    <w:rsid w:val="009E4A7D"/>
    <w:rsid w:val="009E4B76"/>
    <w:rsid w:val="009E4BA5"/>
    <w:rsid w:val="009E4E17"/>
    <w:rsid w:val="009E54B5"/>
    <w:rsid w:val="009E54EB"/>
    <w:rsid w:val="009E5893"/>
    <w:rsid w:val="009E60D4"/>
    <w:rsid w:val="009E6B03"/>
    <w:rsid w:val="009F0122"/>
    <w:rsid w:val="009F04F2"/>
    <w:rsid w:val="009F2C07"/>
    <w:rsid w:val="009F32DE"/>
    <w:rsid w:val="009F351B"/>
    <w:rsid w:val="009F3E2D"/>
    <w:rsid w:val="009F43CC"/>
    <w:rsid w:val="009F5629"/>
    <w:rsid w:val="009F5C9E"/>
    <w:rsid w:val="009F6098"/>
    <w:rsid w:val="009F6126"/>
    <w:rsid w:val="009F72B3"/>
    <w:rsid w:val="009F72CA"/>
    <w:rsid w:val="009F72ED"/>
    <w:rsid w:val="009F766C"/>
    <w:rsid w:val="00A00903"/>
    <w:rsid w:val="00A01351"/>
    <w:rsid w:val="00A0185D"/>
    <w:rsid w:val="00A0215B"/>
    <w:rsid w:val="00A021EA"/>
    <w:rsid w:val="00A0290A"/>
    <w:rsid w:val="00A03624"/>
    <w:rsid w:val="00A04484"/>
    <w:rsid w:val="00A0470C"/>
    <w:rsid w:val="00A04972"/>
    <w:rsid w:val="00A053AB"/>
    <w:rsid w:val="00A05EF0"/>
    <w:rsid w:val="00A060C1"/>
    <w:rsid w:val="00A063F0"/>
    <w:rsid w:val="00A06691"/>
    <w:rsid w:val="00A06AA9"/>
    <w:rsid w:val="00A06BFF"/>
    <w:rsid w:val="00A06FD6"/>
    <w:rsid w:val="00A071C5"/>
    <w:rsid w:val="00A07AAD"/>
    <w:rsid w:val="00A07F30"/>
    <w:rsid w:val="00A1023E"/>
    <w:rsid w:val="00A10BDA"/>
    <w:rsid w:val="00A11093"/>
    <w:rsid w:val="00A114A8"/>
    <w:rsid w:val="00A119EA"/>
    <w:rsid w:val="00A11CEA"/>
    <w:rsid w:val="00A12AB1"/>
    <w:rsid w:val="00A12E41"/>
    <w:rsid w:val="00A12ED3"/>
    <w:rsid w:val="00A12FD3"/>
    <w:rsid w:val="00A13308"/>
    <w:rsid w:val="00A13427"/>
    <w:rsid w:val="00A135A6"/>
    <w:rsid w:val="00A1364B"/>
    <w:rsid w:val="00A13F74"/>
    <w:rsid w:val="00A1482A"/>
    <w:rsid w:val="00A14FFB"/>
    <w:rsid w:val="00A15877"/>
    <w:rsid w:val="00A15DEB"/>
    <w:rsid w:val="00A15EA7"/>
    <w:rsid w:val="00A161F5"/>
    <w:rsid w:val="00A171BD"/>
    <w:rsid w:val="00A17463"/>
    <w:rsid w:val="00A17573"/>
    <w:rsid w:val="00A201B2"/>
    <w:rsid w:val="00A20649"/>
    <w:rsid w:val="00A20AEA"/>
    <w:rsid w:val="00A210CE"/>
    <w:rsid w:val="00A21CFC"/>
    <w:rsid w:val="00A21D33"/>
    <w:rsid w:val="00A2201C"/>
    <w:rsid w:val="00A22786"/>
    <w:rsid w:val="00A22B17"/>
    <w:rsid w:val="00A2387B"/>
    <w:rsid w:val="00A2393C"/>
    <w:rsid w:val="00A23C2B"/>
    <w:rsid w:val="00A23EA7"/>
    <w:rsid w:val="00A24301"/>
    <w:rsid w:val="00A24348"/>
    <w:rsid w:val="00A25906"/>
    <w:rsid w:val="00A25CED"/>
    <w:rsid w:val="00A25DD7"/>
    <w:rsid w:val="00A25E76"/>
    <w:rsid w:val="00A26C8C"/>
    <w:rsid w:val="00A27417"/>
    <w:rsid w:val="00A27645"/>
    <w:rsid w:val="00A27890"/>
    <w:rsid w:val="00A27DD1"/>
    <w:rsid w:val="00A3005E"/>
    <w:rsid w:val="00A300DE"/>
    <w:rsid w:val="00A31044"/>
    <w:rsid w:val="00A31710"/>
    <w:rsid w:val="00A32006"/>
    <w:rsid w:val="00A324FD"/>
    <w:rsid w:val="00A32513"/>
    <w:rsid w:val="00A332D6"/>
    <w:rsid w:val="00A33316"/>
    <w:rsid w:val="00A33656"/>
    <w:rsid w:val="00A3388F"/>
    <w:rsid w:val="00A33C70"/>
    <w:rsid w:val="00A34439"/>
    <w:rsid w:val="00A344CA"/>
    <w:rsid w:val="00A3468C"/>
    <w:rsid w:val="00A348E5"/>
    <w:rsid w:val="00A34B3C"/>
    <w:rsid w:val="00A34C6F"/>
    <w:rsid w:val="00A350C1"/>
    <w:rsid w:val="00A3533C"/>
    <w:rsid w:val="00A354E5"/>
    <w:rsid w:val="00A35B68"/>
    <w:rsid w:val="00A35CDC"/>
    <w:rsid w:val="00A36A94"/>
    <w:rsid w:val="00A36B45"/>
    <w:rsid w:val="00A37112"/>
    <w:rsid w:val="00A37940"/>
    <w:rsid w:val="00A379FD"/>
    <w:rsid w:val="00A37C35"/>
    <w:rsid w:val="00A37CDD"/>
    <w:rsid w:val="00A37EF9"/>
    <w:rsid w:val="00A4061F"/>
    <w:rsid w:val="00A4069E"/>
    <w:rsid w:val="00A40BBA"/>
    <w:rsid w:val="00A40DA3"/>
    <w:rsid w:val="00A40F16"/>
    <w:rsid w:val="00A41FAE"/>
    <w:rsid w:val="00A42A44"/>
    <w:rsid w:val="00A42CB9"/>
    <w:rsid w:val="00A434DF"/>
    <w:rsid w:val="00A43A27"/>
    <w:rsid w:val="00A444C2"/>
    <w:rsid w:val="00A4478B"/>
    <w:rsid w:val="00A45AF9"/>
    <w:rsid w:val="00A46272"/>
    <w:rsid w:val="00A46362"/>
    <w:rsid w:val="00A4781E"/>
    <w:rsid w:val="00A47DDA"/>
    <w:rsid w:val="00A5029A"/>
    <w:rsid w:val="00A5030E"/>
    <w:rsid w:val="00A509D1"/>
    <w:rsid w:val="00A50B47"/>
    <w:rsid w:val="00A517F1"/>
    <w:rsid w:val="00A51AB1"/>
    <w:rsid w:val="00A520FB"/>
    <w:rsid w:val="00A524F3"/>
    <w:rsid w:val="00A5293A"/>
    <w:rsid w:val="00A52BF6"/>
    <w:rsid w:val="00A52F61"/>
    <w:rsid w:val="00A53F00"/>
    <w:rsid w:val="00A54424"/>
    <w:rsid w:val="00A54A5E"/>
    <w:rsid w:val="00A557E6"/>
    <w:rsid w:val="00A55C1C"/>
    <w:rsid w:val="00A56272"/>
    <w:rsid w:val="00A572B2"/>
    <w:rsid w:val="00A60292"/>
    <w:rsid w:val="00A602F8"/>
    <w:rsid w:val="00A60344"/>
    <w:rsid w:val="00A606C2"/>
    <w:rsid w:val="00A60936"/>
    <w:rsid w:val="00A60A37"/>
    <w:rsid w:val="00A60C36"/>
    <w:rsid w:val="00A62031"/>
    <w:rsid w:val="00A62D7B"/>
    <w:rsid w:val="00A62F92"/>
    <w:rsid w:val="00A63C7A"/>
    <w:rsid w:val="00A647A4"/>
    <w:rsid w:val="00A64A79"/>
    <w:rsid w:val="00A64BCF"/>
    <w:rsid w:val="00A64BE1"/>
    <w:rsid w:val="00A64CF5"/>
    <w:rsid w:val="00A651A7"/>
    <w:rsid w:val="00A6582C"/>
    <w:rsid w:val="00A66C3E"/>
    <w:rsid w:val="00A66F59"/>
    <w:rsid w:val="00A67C84"/>
    <w:rsid w:val="00A67EE4"/>
    <w:rsid w:val="00A702D1"/>
    <w:rsid w:val="00A70D69"/>
    <w:rsid w:val="00A71429"/>
    <w:rsid w:val="00A717CB"/>
    <w:rsid w:val="00A7182C"/>
    <w:rsid w:val="00A7206F"/>
    <w:rsid w:val="00A722D9"/>
    <w:rsid w:val="00A72396"/>
    <w:rsid w:val="00A726AE"/>
    <w:rsid w:val="00A72F3C"/>
    <w:rsid w:val="00A7424A"/>
    <w:rsid w:val="00A74649"/>
    <w:rsid w:val="00A74718"/>
    <w:rsid w:val="00A74907"/>
    <w:rsid w:val="00A74BDA"/>
    <w:rsid w:val="00A75612"/>
    <w:rsid w:val="00A7592C"/>
    <w:rsid w:val="00A75B93"/>
    <w:rsid w:val="00A75BE0"/>
    <w:rsid w:val="00A76100"/>
    <w:rsid w:val="00A7647C"/>
    <w:rsid w:val="00A76CDA"/>
    <w:rsid w:val="00A76FFD"/>
    <w:rsid w:val="00A77394"/>
    <w:rsid w:val="00A80256"/>
    <w:rsid w:val="00A8054D"/>
    <w:rsid w:val="00A80584"/>
    <w:rsid w:val="00A814F3"/>
    <w:rsid w:val="00A8189C"/>
    <w:rsid w:val="00A8213F"/>
    <w:rsid w:val="00A8214D"/>
    <w:rsid w:val="00A835D1"/>
    <w:rsid w:val="00A843D7"/>
    <w:rsid w:val="00A84BE2"/>
    <w:rsid w:val="00A84E17"/>
    <w:rsid w:val="00A850DC"/>
    <w:rsid w:val="00A85265"/>
    <w:rsid w:val="00A85B8A"/>
    <w:rsid w:val="00A8635D"/>
    <w:rsid w:val="00A86457"/>
    <w:rsid w:val="00A86F5F"/>
    <w:rsid w:val="00A8710A"/>
    <w:rsid w:val="00A87182"/>
    <w:rsid w:val="00A8761A"/>
    <w:rsid w:val="00A903E2"/>
    <w:rsid w:val="00A90576"/>
    <w:rsid w:val="00A90A50"/>
    <w:rsid w:val="00A90B25"/>
    <w:rsid w:val="00A912FE"/>
    <w:rsid w:val="00A91C30"/>
    <w:rsid w:val="00A92D88"/>
    <w:rsid w:val="00A92FED"/>
    <w:rsid w:val="00A93A96"/>
    <w:rsid w:val="00A94345"/>
    <w:rsid w:val="00A945C6"/>
    <w:rsid w:val="00A94680"/>
    <w:rsid w:val="00A94826"/>
    <w:rsid w:val="00A94E87"/>
    <w:rsid w:val="00A956B7"/>
    <w:rsid w:val="00A95FD6"/>
    <w:rsid w:val="00A963BD"/>
    <w:rsid w:val="00A968DF"/>
    <w:rsid w:val="00A96A9F"/>
    <w:rsid w:val="00A9742B"/>
    <w:rsid w:val="00A97847"/>
    <w:rsid w:val="00A97F6C"/>
    <w:rsid w:val="00AA092A"/>
    <w:rsid w:val="00AA0A9F"/>
    <w:rsid w:val="00AA1270"/>
    <w:rsid w:val="00AA1278"/>
    <w:rsid w:val="00AA1780"/>
    <w:rsid w:val="00AA2011"/>
    <w:rsid w:val="00AA2A3F"/>
    <w:rsid w:val="00AA327C"/>
    <w:rsid w:val="00AA3733"/>
    <w:rsid w:val="00AA3846"/>
    <w:rsid w:val="00AA4355"/>
    <w:rsid w:val="00AA481C"/>
    <w:rsid w:val="00AA4995"/>
    <w:rsid w:val="00AA4FDA"/>
    <w:rsid w:val="00AA5474"/>
    <w:rsid w:val="00AA5737"/>
    <w:rsid w:val="00AA5EBD"/>
    <w:rsid w:val="00AA621D"/>
    <w:rsid w:val="00AA660A"/>
    <w:rsid w:val="00AA66C8"/>
    <w:rsid w:val="00AA6E9E"/>
    <w:rsid w:val="00AA6FB3"/>
    <w:rsid w:val="00AA777A"/>
    <w:rsid w:val="00AA7FBE"/>
    <w:rsid w:val="00AB0489"/>
    <w:rsid w:val="00AB04F0"/>
    <w:rsid w:val="00AB0709"/>
    <w:rsid w:val="00AB121B"/>
    <w:rsid w:val="00AB1E7B"/>
    <w:rsid w:val="00AB2030"/>
    <w:rsid w:val="00AB2942"/>
    <w:rsid w:val="00AB2A45"/>
    <w:rsid w:val="00AB3046"/>
    <w:rsid w:val="00AB3816"/>
    <w:rsid w:val="00AB3950"/>
    <w:rsid w:val="00AB4421"/>
    <w:rsid w:val="00AB476F"/>
    <w:rsid w:val="00AB4F3A"/>
    <w:rsid w:val="00AB5854"/>
    <w:rsid w:val="00AB5DEC"/>
    <w:rsid w:val="00AB6700"/>
    <w:rsid w:val="00AB6ECF"/>
    <w:rsid w:val="00AB7C97"/>
    <w:rsid w:val="00AC0072"/>
    <w:rsid w:val="00AC05B6"/>
    <w:rsid w:val="00AC0FF5"/>
    <w:rsid w:val="00AC1285"/>
    <w:rsid w:val="00AC163B"/>
    <w:rsid w:val="00AC1E1A"/>
    <w:rsid w:val="00AC215F"/>
    <w:rsid w:val="00AC2382"/>
    <w:rsid w:val="00AC23F1"/>
    <w:rsid w:val="00AC25E7"/>
    <w:rsid w:val="00AC30DB"/>
    <w:rsid w:val="00AC3B51"/>
    <w:rsid w:val="00AC44A9"/>
    <w:rsid w:val="00AC4811"/>
    <w:rsid w:val="00AC57EE"/>
    <w:rsid w:val="00AC5A85"/>
    <w:rsid w:val="00AC6979"/>
    <w:rsid w:val="00AC6A62"/>
    <w:rsid w:val="00AC6D70"/>
    <w:rsid w:val="00AC6DE1"/>
    <w:rsid w:val="00AC6F00"/>
    <w:rsid w:val="00AC70B6"/>
    <w:rsid w:val="00AC7643"/>
    <w:rsid w:val="00AC7B39"/>
    <w:rsid w:val="00AC7CF2"/>
    <w:rsid w:val="00AC7E0E"/>
    <w:rsid w:val="00AD025B"/>
    <w:rsid w:val="00AD0578"/>
    <w:rsid w:val="00AD071B"/>
    <w:rsid w:val="00AD077A"/>
    <w:rsid w:val="00AD0857"/>
    <w:rsid w:val="00AD2D1C"/>
    <w:rsid w:val="00AD314E"/>
    <w:rsid w:val="00AD38CC"/>
    <w:rsid w:val="00AD3DC3"/>
    <w:rsid w:val="00AD3EC8"/>
    <w:rsid w:val="00AD42C2"/>
    <w:rsid w:val="00AD44DD"/>
    <w:rsid w:val="00AD5036"/>
    <w:rsid w:val="00AD6283"/>
    <w:rsid w:val="00AD6869"/>
    <w:rsid w:val="00AD77C6"/>
    <w:rsid w:val="00AD7F7B"/>
    <w:rsid w:val="00AE0669"/>
    <w:rsid w:val="00AE0B34"/>
    <w:rsid w:val="00AE1629"/>
    <w:rsid w:val="00AE16EE"/>
    <w:rsid w:val="00AE2247"/>
    <w:rsid w:val="00AE24CD"/>
    <w:rsid w:val="00AE2563"/>
    <w:rsid w:val="00AE2710"/>
    <w:rsid w:val="00AE2A48"/>
    <w:rsid w:val="00AE2A9C"/>
    <w:rsid w:val="00AE3322"/>
    <w:rsid w:val="00AE3870"/>
    <w:rsid w:val="00AE3C84"/>
    <w:rsid w:val="00AE3CB9"/>
    <w:rsid w:val="00AE43C3"/>
    <w:rsid w:val="00AE49E1"/>
    <w:rsid w:val="00AE50AF"/>
    <w:rsid w:val="00AE60A8"/>
    <w:rsid w:val="00AE6288"/>
    <w:rsid w:val="00AE6ACF"/>
    <w:rsid w:val="00AF05AC"/>
    <w:rsid w:val="00AF102E"/>
    <w:rsid w:val="00AF2036"/>
    <w:rsid w:val="00AF29A0"/>
    <w:rsid w:val="00AF2CC2"/>
    <w:rsid w:val="00AF40EE"/>
    <w:rsid w:val="00AF4409"/>
    <w:rsid w:val="00AF47FF"/>
    <w:rsid w:val="00AF4865"/>
    <w:rsid w:val="00AF49F8"/>
    <w:rsid w:val="00AF538B"/>
    <w:rsid w:val="00AF56AB"/>
    <w:rsid w:val="00AF583C"/>
    <w:rsid w:val="00AF5900"/>
    <w:rsid w:val="00AF5A84"/>
    <w:rsid w:val="00AF6D1A"/>
    <w:rsid w:val="00AF7883"/>
    <w:rsid w:val="00B01144"/>
    <w:rsid w:val="00B01628"/>
    <w:rsid w:val="00B023A2"/>
    <w:rsid w:val="00B0280E"/>
    <w:rsid w:val="00B0340C"/>
    <w:rsid w:val="00B03F46"/>
    <w:rsid w:val="00B04382"/>
    <w:rsid w:val="00B044F7"/>
    <w:rsid w:val="00B047A0"/>
    <w:rsid w:val="00B04DC0"/>
    <w:rsid w:val="00B050A1"/>
    <w:rsid w:val="00B051ED"/>
    <w:rsid w:val="00B05358"/>
    <w:rsid w:val="00B05769"/>
    <w:rsid w:val="00B05C17"/>
    <w:rsid w:val="00B05D18"/>
    <w:rsid w:val="00B0703B"/>
    <w:rsid w:val="00B0782A"/>
    <w:rsid w:val="00B07E65"/>
    <w:rsid w:val="00B07EA5"/>
    <w:rsid w:val="00B10017"/>
    <w:rsid w:val="00B1020F"/>
    <w:rsid w:val="00B10B14"/>
    <w:rsid w:val="00B1189A"/>
    <w:rsid w:val="00B1282D"/>
    <w:rsid w:val="00B1300E"/>
    <w:rsid w:val="00B13D6B"/>
    <w:rsid w:val="00B13F9C"/>
    <w:rsid w:val="00B13FF7"/>
    <w:rsid w:val="00B14060"/>
    <w:rsid w:val="00B146CD"/>
    <w:rsid w:val="00B14715"/>
    <w:rsid w:val="00B150AF"/>
    <w:rsid w:val="00B151C0"/>
    <w:rsid w:val="00B15512"/>
    <w:rsid w:val="00B1561C"/>
    <w:rsid w:val="00B15840"/>
    <w:rsid w:val="00B15A70"/>
    <w:rsid w:val="00B15C74"/>
    <w:rsid w:val="00B1623C"/>
    <w:rsid w:val="00B165E5"/>
    <w:rsid w:val="00B16845"/>
    <w:rsid w:val="00B16AD5"/>
    <w:rsid w:val="00B174AA"/>
    <w:rsid w:val="00B174C5"/>
    <w:rsid w:val="00B17B37"/>
    <w:rsid w:val="00B17C90"/>
    <w:rsid w:val="00B2051D"/>
    <w:rsid w:val="00B205A1"/>
    <w:rsid w:val="00B213A1"/>
    <w:rsid w:val="00B21450"/>
    <w:rsid w:val="00B218BA"/>
    <w:rsid w:val="00B21E9A"/>
    <w:rsid w:val="00B223F3"/>
    <w:rsid w:val="00B23F50"/>
    <w:rsid w:val="00B242BA"/>
    <w:rsid w:val="00B24669"/>
    <w:rsid w:val="00B246BA"/>
    <w:rsid w:val="00B249DD"/>
    <w:rsid w:val="00B24B94"/>
    <w:rsid w:val="00B24ED5"/>
    <w:rsid w:val="00B251A0"/>
    <w:rsid w:val="00B259C9"/>
    <w:rsid w:val="00B25D74"/>
    <w:rsid w:val="00B26B24"/>
    <w:rsid w:val="00B27669"/>
    <w:rsid w:val="00B279FA"/>
    <w:rsid w:val="00B301CB"/>
    <w:rsid w:val="00B3038C"/>
    <w:rsid w:val="00B31436"/>
    <w:rsid w:val="00B3222E"/>
    <w:rsid w:val="00B32A18"/>
    <w:rsid w:val="00B337B7"/>
    <w:rsid w:val="00B33839"/>
    <w:rsid w:val="00B34AA9"/>
    <w:rsid w:val="00B34FD0"/>
    <w:rsid w:val="00B3562E"/>
    <w:rsid w:val="00B35986"/>
    <w:rsid w:val="00B365B0"/>
    <w:rsid w:val="00B36DA1"/>
    <w:rsid w:val="00B36EC1"/>
    <w:rsid w:val="00B372C8"/>
    <w:rsid w:val="00B376B1"/>
    <w:rsid w:val="00B37910"/>
    <w:rsid w:val="00B37A76"/>
    <w:rsid w:val="00B4021A"/>
    <w:rsid w:val="00B40566"/>
    <w:rsid w:val="00B4061A"/>
    <w:rsid w:val="00B40776"/>
    <w:rsid w:val="00B40D9D"/>
    <w:rsid w:val="00B40FB9"/>
    <w:rsid w:val="00B4137A"/>
    <w:rsid w:val="00B41ABB"/>
    <w:rsid w:val="00B42AEA"/>
    <w:rsid w:val="00B42FC2"/>
    <w:rsid w:val="00B4300D"/>
    <w:rsid w:val="00B43A9C"/>
    <w:rsid w:val="00B44965"/>
    <w:rsid w:val="00B45E17"/>
    <w:rsid w:val="00B46721"/>
    <w:rsid w:val="00B4685A"/>
    <w:rsid w:val="00B46B4C"/>
    <w:rsid w:val="00B46BC1"/>
    <w:rsid w:val="00B479A2"/>
    <w:rsid w:val="00B5036F"/>
    <w:rsid w:val="00B503F0"/>
    <w:rsid w:val="00B50869"/>
    <w:rsid w:val="00B50ADB"/>
    <w:rsid w:val="00B514F6"/>
    <w:rsid w:val="00B51F90"/>
    <w:rsid w:val="00B523FF"/>
    <w:rsid w:val="00B52BE7"/>
    <w:rsid w:val="00B52D50"/>
    <w:rsid w:val="00B53525"/>
    <w:rsid w:val="00B53F43"/>
    <w:rsid w:val="00B554C8"/>
    <w:rsid w:val="00B569C3"/>
    <w:rsid w:val="00B57081"/>
    <w:rsid w:val="00B57091"/>
    <w:rsid w:val="00B57CD2"/>
    <w:rsid w:val="00B6014E"/>
    <w:rsid w:val="00B60385"/>
    <w:rsid w:val="00B61605"/>
    <w:rsid w:val="00B61C73"/>
    <w:rsid w:val="00B621F5"/>
    <w:rsid w:val="00B62567"/>
    <w:rsid w:val="00B6266A"/>
    <w:rsid w:val="00B628F4"/>
    <w:rsid w:val="00B62958"/>
    <w:rsid w:val="00B629AF"/>
    <w:rsid w:val="00B635BE"/>
    <w:rsid w:val="00B63DAD"/>
    <w:rsid w:val="00B63EDA"/>
    <w:rsid w:val="00B648C3"/>
    <w:rsid w:val="00B64AB0"/>
    <w:rsid w:val="00B653EE"/>
    <w:rsid w:val="00B665B7"/>
    <w:rsid w:val="00B66A13"/>
    <w:rsid w:val="00B66B42"/>
    <w:rsid w:val="00B66BA2"/>
    <w:rsid w:val="00B67DC7"/>
    <w:rsid w:val="00B70979"/>
    <w:rsid w:val="00B70A76"/>
    <w:rsid w:val="00B70C98"/>
    <w:rsid w:val="00B70DF1"/>
    <w:rsid w:val="00B71022"/>
    <w:rsid w:val="00B710BA"/>
    <w:rsid w:val="00B711E4"/>
    <w:rsid w:val="00B716EE"/>
    <w:rsid w:val="00B71716"/>
    <w:rsid w:val="00B71816"/>
    <w:rsid w:val="00B721F1"/>
    <w:rsid w:val="00B726E8"/>
    <w:rsid w:val="00B729E4"/>
    <w:rsid w:val="00B730CB"/>
    <w:rsid w:val="00B734ED"/>
    <w:rsid w:val="00B743A5"/>
    <w:rsid w:val="00B74862"/>
    <w:rsid w:val="00B74920"/>
    <w:rsid w:val="00B74B55"/>
    <w:rsid w:val="00B74D92"/>
    <w:rsid w:val="00B7508E"/>
    <w:rsid w:val="00B753C8"/>
    <w:rsid w:val="00B75691"/>
    <w:rsid w:val="00B7606E"/>
    <w:rsid w:val="00B76366"/>
    <w:rsid w:val="00B77B35"/>
    <w:rsid w:val="00B80F2E"/>
    <w:rsid w:val="00B8195F"/>
    <w:rsid w:val="00B81AD4"/>
    <w:rsid w:val="00B81C9E"/>
    <w:rsid w:val="00B81C9F"/>
    <w:rsid w:val="00B82110"/>
    <w:rsid w:val="00B82D84"/>
    <w:rsid w:val="00B82FA0"/>
    <w:rsid w:val="00B8323D"/>
    <w:rsid w:val="00B83C4E"/>
    <w:rsid w:val="00B843F9"/>
    <w:rsid w:val="00B8475E"/>
    <w:rsid w:val="00B84895"/>
    <w:rsid w:val="00B852EE"/>
    <w:rsid w:val="00B8619F"/>
    <w:rsid w:val="00B86DEF"/>
    <w:rsid w:val="00B872EA"/>
    <w:rsid w:val="00B87795"/>
    <w:rsid w:val="00B878D4"/>
    <w:rsid w:val="00B87EAB"/>
    <w:rsid w:val="00B901D7"/>
    <w:rsid w:val="00B903D6"/>
    <w:rsid w:val="00B9069C"/>
    <w:rsid w:val="00B90A76"/>
    <w:rsid w:val="00B90C4E"/>
    <w:rsid w:val="00B91084"/>
    <w:rsid w:val="00B910A7"/>
    <w:rsid w:val="00B91535"/>
    <w:rsid w:val="00B92C5E"/>
    <w:rsid w:val="00B92D9C"/>
    <w:rsid w:val="00B93568"/>
    <w:rsid w:val="00B9377F"/>
    <w:rsid w:val="00B93813"/>
    <w:rsid w:val="00B93926"/>
    <w:rsid w:val="00B93D1D"/>
    <w:rsid w:val="00B94F5F"/>
    <w:rsid w:val="00B95425"/>
    <w:rsid w:val="00B955B2"/>
    <w:rsid w:val="00B95626"/>
    <w:rsid w:val="00B95B3D"/>
    <w:rsid w:val="00B962FA"/>
    <w:rsid w:val="00B96A50"/>
    <w:rsid w:val="00B96DAD"/>
    <w:rsid w:val="00B972B1"/>
    <w:rsid w:val="00B977A7"/>
    <w:rsid w:val="00B97C60"/>
    <w:rsid w:val="00B97E6D"/>
    <w:rsid w:val="00B97F9F"/>
    <w:rsid w:val="00BA088B"/>
    <w:rsid w:val="00BA0C85"/>
    <w:rsid w:val="00BA0C8B"/>
    <w:rsid w:val="00BA0FB6"/>
    <w:rsid w:val="00BA13AE"/>
    <w:rsid w:val="00BA15A7"/>
    <w:rsid w:val="00BA1F92"/>
    <w:rsid w:val="00BA22DD"/>
    <w:rsid w:val="00BA2A16"/>
    <w:rsid w:val="00BA2CF6"/>
    <w:rsid w:val="00BA2D47"/>
    <w:rsid w:val="00BA3048"/>
    <w:rsid w:val="00BA3531"/>
    <w:rsid w:val="00BA3568"/>
    <w:rsid w:val="00BA3990"/>
    <w:rsid w:val="00BA39B0"/>
    <w:rsid w:val="00BA44B5"/>
    <w:rsid w:val="00BA4903"/>
    <w:rsid w:val="00BA58FB"/>
    <w:rsid w:val="00BA5A6A"/>
    <w:rsid w:val="00BA5ABF"/>
    <w:rsid w:val="00BA5C5D"/>
    <w:rsid w:val="00BA5D8E"/>
    <w:rsid w:val="00BA64F8"/>
    <w:rsid w:val="00BA6946"/>
    <w:rsid w:val="00BA7A05"/>
    <w:rsid w:val="00BA7A3E"/>
    <w:rsid w:val="00BA7E77"/>
    <w:rsid w:val="00BB07DA"/>
    <w:rsid w:val="00BB1C58"/>
    <w:rsid w:val="00BB259A"/>
    <w:rsid w:val="00BB2F33"/>
    <w:rsid w:val="00BB3689"/>
    <w:rsid w:val="00BB42A2"/>
    <w:rsid w:val="00BB4C2D"/>
    <w:rsid w:val="00BB4E81"/>
    <w:rsid w:val="00BB4EDC"/>
    <w:rsid w:val="00BB541F"/>
    <w:rsid w:val="00BB5A40"/>
    <w:rsid w:val="00BB5E98"/>
    <w:rsid w:val="00BB5FE7"/>
    <w:rsid w:val="00BB6AD9"/>
    <w:rsid w:val="00BB6E49"/>
    <w:rsid w:val="00BB733B"/>
    <w:rsid w:val="00BB776F"/>
    <w:rsid w:val="00BB7A23"/>
    <w:rsid w:val="00BB7EA7"/>
    <w:rsid w:val="00BC1672"/>
    <w:rsid w:val="00BC1DC0"/>
    <w:rsid w:val="00BC1EA0"/>
    <w:rsid w:val="00BC27D9"/>
    <w:rsid w:val="00BC305F"/>
    <w:rsid w:val="00BC3240"/>
    <w:rsid w:val="00BC37F7"/>
    <w:rsid w:val="00BC3F2C"/>
    <w:rsid w:val="00BC42C1"/>
    <w:rsid w:val="00BC4427"/>
    <w:rsid w:val="00BC44CC"/>
    <w:rsid w:val="00BC481E"/>
    <w:rsid w:val="00BC4975"/>
    <w:rsid w:val="00BC4C2F"/>
    <w:rsid w:val="00BC5430"/>
    <w:rsid w:val="00BC5A6B"/>
    <w:rsid w:val="00BC5C3D"/>
    <w:rsid w:val="00BC5CBF"/>
    <w:rsid w:val="00BC644E"/>
    <w:rsid w:val="00BC6C0C"/>
    <w:rsid w:val="00BC6E6F"/>
    <w:rsid w:val="00BC7635"/>
    <w:rsid w:val="00BC7935"/>
    <w:rsid w:val="00BC79FC"/>
    <w:rsid w:val="00BC7F2A"/>
    <w:rsid w:val="00BD011E"/>
    <w:rsid w:val="00BD0765"/>
    <w:rsid w:val="00BD21DD"/>
    <w:rsid w:val="00BD2416"/>
    <w:rsid w:val="00BD2956"/>
    <w:rsid w:val="00BD3A3F"/>
    <w:rsid w:val="00BD45B0"/>
    <w:rsid w:val="00BD51C3"/>
    <w:rsid w:val="00BD52C9"/>
    <w:rsid w:val="00BD5A29"/>
    <w:rsid w:val="00BD5CF4"/>
    <w:rsid w:val="00BD5F3B"/>
    <w:rsid w:val="00BD60F7"/>
    <w:rsid w:val="00BD6E7A"/>
    <w:rsid w:val="00BD70C2"/>
    <w:rsid w:val="00BD76FC"/>
    <w:rsid w:val="00BD77D0"/>
    <w:rsid w:val="00BE0363"/>
    <w:rsid w:val="00BE0524"/>
    <w:rsid w:val="00BE16E1"/>
    <w:rsid w:val="00BE196D"/>
    <w:rsid w:val="00BE2295"/>
    <w:rsid w:val="00BE2593"/>
    <w:rsid w:val="00BE2B0D"/>
    <w:rsid w:val="00BE39B3"/>
    <w:rsid w:val="00BE3A11"/>
    <w:rsid w:val="00BE3ACF"/>
    <w:rsid w:val="00BE4235"/>
    <w:rsid w:val="00BE4648"/>
    <w:rsid w:val="00BE47E0"/>
    <w:rsid w:val="00BE5459"/>
    <w:rsid w:val="00BE573F"/>
    <w:rsid w:val="00BE5BD6"/>
    <w:rsid w:val="00BE696D"/>
    <w:rsid w:val="00BE6FA3"/>
    <w:rsid w:val="00BE7194"/>
    <w:rsid w:val="00BE73CD"/>
    <w:rsid w:val="00BE7956"/>
    <w:rsid w:val="00BF078B"/>
    <w:rsid w:val="00BF1471"/>
    <w:rsid w:val="00BF2134"/>
    <w:rsid w:val="00BF29AD"/>
    <w:rsid w:val="00BF2AD7"/>
    <w:rsid w:val="00BF2AEF"/>
    <w:rsid w:val="00BF2ED0"/>
    <w:rsid w:val="00BF3573"/>
    <w:rsid w:val="00BF3789"/>
    <w:rsid w:val="00BF3B12"/>
    <w:rsid w:val="00BF3B74"/>
    <w:rsid w:val="00BF3E7E"/>
    <w:rsid w:val="00BF40B9"/>
    <w:rsid w:val="00BF4C42"/>
    <w:rsid w:val="00BF4DBA"/>
    <w:rsid w:val="00BF560E"/>
    <w:rsid w:val="00BF56F5"/>
    <w:rsid w:val="00BF5994"/>
    <w:rsid w:val="00BF5D73"/>
    <w:rsid w:val="00BF6851"/>
    <w:rsid w:val="00BF6A6E"/>
    <w:rsid w:val="00BF6E1E"/>
    <w:rsid w:val="00BF70A8"/>
    <w:rsid w:val="00BF72EF"/>
    <w:rsid w:val="00BF76A9"/>
    <w:rsid w:val="00BF770F"/>
    <w:rsid w:val="00BF7A1E"/>
    <w:rsid w:val="00C002CF"/>
    <w:rsid w:val="00C00B83"/>
    <w:rsid w:val="00C00C7F"/>
    <w:rsid w:val="00C00CA2"/>
    <w:rsid w:val="00C01AF5"/>
    <w:rsid w:val="00C01B41"/>
    <w:rsid w:val="00C02307"/>
    <w:rsid w:val="00C023EB"/>
    <w:rsid w:val="00C0266A"/>
    <w:rsid w:val="00C027AF"/>
    <w:rsid w:val="00C029F4"/>
    <w:rsid w:val="00C02B07"/>
    <w:rsid w:val="00C02E73"/>
    <w:rsid w:val="00C03411"/>
    <w:rsid w:val="00C0368F"/>
    <w:rsid w:val="00C03D63"/>
    <w:rsid w:val="00C040FA"/>
    <w:rsid w:val="00C04893"/>
    <w:rsid w:val="00C04C05"/>
    <w:rsid w:val="00C04C84"/>
    <w:rsid w:val="00C04EB9"/>
    <w:rsid w:val="00C05426"/>
    <w:rsid w:val="00C055AB"/>
    <w:rsid w:val="00C05C9B"/>
    <w:rsid w:val="00C05E3B"/>
    <w:rsid w:val="00C061B2"/>
    <w:rsid w:val="00C0624E"/>
    <w:rsid w:val="00C06380"/>
    <w:rsid w:val="00C063E6"/>
    <w:rsid w:val="00C06ABD"/>
    <w:rsid w:val="00C06DDC"/>
    <w:rsid w:val="00C06F01"/>
    <w:rsid w:val="00C1000D"/>
    <w:rsid w:val="00C10376"/>
    <w:rsid w:val="00C1039D"/>
    <w:rsid w:val="00C11697"/>
    <w:rsid w:val="00C12368"/>
    <w:rsid w:val="00C12930"/>
    <w:rsid w:val="00C12E5A"/>
    <w:rsid w:val="00C12FC3"/>
    <w:rsid w:val="00C13961"/>
    <w:rsid w:val="00C13D24"/>
    <w:rsid w:val="00C15C09"/>
    <w:rsid w:val="00C15D24"/>
    <w:rsid w:val="00C15EC6"/>
    <w:rsid w:val="00C16798"/>
    <w:rsid w:val="00C16F28"/>
    <w:rsid w:val="00C16F42"/>
    <w:rsid w:val="00C173E3"/>
    <w:rsid w:val="00C17A99"/>
    <w:rsid w:val="00C2049F"/>
    <w:rsid w:val="00C20823"/>
    <w:rsid w:val="00C20A48"/>
    <w:rsid w:val="00C21869"/>
    <w:rsid w:val="00C220F4"/>
    <w:rsid w:val="00C2264D"/>
    <w:rsid w:val="00C2279D"/>
    <w:rsid w:val="00C22B9D"/>
    <w:rsid w:val="00C23760"/>
    <w:rsid w:val="00C23B1E"/>
    <w:rsid w:val="00C23F5A"/>
    <w:rsid w:val="00C24632"/>
    <w:rsid w:val="00C24E6B"/>
    <w:rsid w:val="00C24FEB"/>
    <w:rsid w:val="00C253ED"/>
    <w:rsid w:val="00C25B38"/>
    <w:rsid w:val="00C25EC1"/>
    <w:rsid w:val="00C2609E"/>
    <w:rsid w:val="00C263D9"/>
    <w:rsid w:val="00C2697E"/>
    <w:rsid w:val="00C26ADA"/>
    <w:rsid w:val="00C27B7D"/>
    <w:rsid w:val="00C27DF6"/>
    <w:rsid w:val="00C30667"/>
    <w:rsid w:val="00C306A7"/>
    <w:rsid w:val="00C30F01"/>
    <w:rsid w:val="00C316FD"/>
    <w:rsid w:val="00C32968"/>
    <w:rsid w:val="00C332FB"/>
    <w:rsid w:val="00C33567"/>
    <w:rsid w:val="00C33652"/>
    <w:rsid w:val="00C33745"/>
    <w:rsid w:val="00C33AE6"/>
    <w:rsid w:val="00C3471C"/>
    <w:rsid w:val="00C349D7"/>
    <w:rsid w:val="00C34C93"/>
    <w:rsid w:val="00C352BA"/>
    <w:rsid w:val="00C353A8"/>
    <w:rsid w:val="00C355AD"/>
    <w:rsid w:val="00C35636"/>
    <w:rsid w:val="00C35DBB"/>
    <w:rsid w:val="00C35DCE"/>
    <w:rsid w:val="00C362E8"/>
    <w:rsid w:val="00C36F13"/>
    <w:rsid w:val="00C37381"/>
    <w:rsid w:val="00C376ED"/>
    <w:rsid w:val="00C37C6B"/>
    <w:rsid w:val="00C37D0D"/>
    <w:rsid w:val="00C37EA4"/>
    <w:rsid w:val="00C40C23"/>
    <w:rsid w:val="00C41EBF"/>
    <w:rsid w:val="00C421B8"/>
    <w:rsid w:val="00C4229E"/>
    <w:rsid w:val="00C423F1"/>
    <w:rsid w:val="00C427F7"/>
    <w:rsid w:val="00C4353D"/>
    <w:rsid w:val="00C43F07"/>
    <w:rsid w:val="00C44328"/>
    <w:rsid w:val="00C4474D"/>
    <w:rsid w:val="00C44A12"/>
    <w:rsid w:val="00C44C47"/>
    <w:rsid w:val="00C4507B"/>
    <w:rsid w:val="00C45119"/>
    <w:rsid w:val="00C45215"/>
    <w:rsid w:val="00C45328"/>
    <w:rsid w:val="00C4538F"/>
    <w:rsid w:val="00C45824"/>
    <w:rsid w:val="00C4664B"/>
    <w:rsid w:val="00C46820"/>
    <w:rsid w:val="00C47942"/>
    <w:rsid w:val="00C479AE"/>
    <w:rsid w:val="00C47BAC"/>
    <w:rsid w:val="00C47BB2"/>
    <w:rsid w:val="00C47E1E"/>
    <w:rsid w:val="00C5002E"/>
    <w:rsid w:val="00C502B4"/>
    <w:rsid w:val="00C50416"/>
    <w:rsid w:val="00C52111"/>
    <w:rsid w:val="00C5247A"/>
    <w:rsid w:val="00C52C4D"/>
    <w:rsid w:val="00C52C7C"/>
    <w:rsid w:val="00C5376E"/>
    <w:rsid w:val="00C53790"/>
    <w:rsid w:val="00C53E30"/>
    <w:rsid w:val="00C5417F"/>
    <w:rsid w:val="00C55541"/>
    <w:rsid w:val="00C558F7"/>
    <w:rsid w:val="00C559AE"/>
    <w:rsid w:val="00C55B03"/>
    <w:rsid w:val="00C5625A"/>
    <w:rsid w:val="00C56C0A"/>
    <w:rsid w:val="00C573A1"/>
    <w:rsid w:val="00C57ED1"/>
    <w:rsid w:val="00C60228"/>
    <w:rsid w:val="00C602EF"/>
    <w:rsid w:val="00C60ACE"/>
    <w:rsid w:val="00C60CFF"/>
    <w:rsid w:val="00C60EC3"/>
    <w:rsid w:val="00C60FC9"/>
    <w:rsid w:val="00C60FCE"/>
    <w:rsid w:val="00C61150"/>
    <w:rsid w:val="00C61965"/>
    <w:rsid w:val="00C61FCF"/>
    <w:rsid w:val="00C62333"/>
    <w:rsid w:val="00C62A46"/>
    <w:rsid w:val="00C6374B"/>
    <w:rsid w:val="00C63C89"/>
    <w:rsid w:val="00C63DFF"/>
    <w:rsid w:val="00C64127"/>
    <w:rsid w:val="00C641DA"/>
    <w:rsid w:val="00C6482C"/>
    <w:rsid w:val="00C65342"/>
    <w:rsid w:val="00C657CD"/>
    <w:rsid w:val="00C65E3A"/>
    <w:rsid w:val="00C65F83"/>
    <w:rsid w:val="00C66183"/>
    <w:rsid w:val="00C66221"/>
    <w:rsid w:val="00C66311"/>
    <w:rsid w:val="00C66C3E"/>
    <w:rsid w:val="00C66C7D"/>
    <w:rsid w:val="00C67503"/>
    <w:rsid w:val="00C676DC"/>
    <w:rsid w:val="00C67F21"/>
    <w:rsid w:val="00C70232"/>
    <w:rsid w:val="00C703E9"/>
    <w:rsid w:val="00C705E6"/>
    <w:rsid w:val="00C70933"/>
    <w:rsid w:val="00C70B09"/>
    <w:rsid w:val="00C70DC1"/>
    <w:rsid w:val="00C7159A"/>
    <w:rsid w:val="00C717BF"/>
    <w:rsid w:val="00C71B29"/>
    <w:rsid w:val="00C727C5"/>
    <w:rsid w:val="00C72A78"/>
    <w:rsid w:val="00C72EB4"/>
    <w:rsid w:val="00C7312E"/>
    <w:rsid w:val="00C73187"/>
    <w:rsid w:val="00C73D48"/>
    <w:rsid w:val="00C74846"/>
    <w:rsid w:val="00C75044"/>
    <w:rsid w:val="00C7554C"/>
    <w:rsid w:val="00C755C2"/>
    <w:rsid w:val="00C76026"/>
    <w:rsid w:val="00C762AE"/>
    <w:rsid w:val="00C76F30"/>
    <w:rsid w:val="00C77040"/>
    <w:rsid w:val="00C77A2A"/>
    <w:rsid w:val="00C80D7C"/>
    <w:rsid w:val="00C814EF"/>
    <w:rsid w:val="00C82A7B"/>
    <w:rsid w:val="00C82CBF"/>
    <w:rsid w:val="00C82DBD"/>
    <w:rsid w:val="00C83F50"/>
    <w:rsid w:val="00C84379"/>
    <w:rsid w:val="00C84446"/>
    <w:rsid w:val="00C86A03"/>
    <w:rsid w:val="00C86C8B"/>
    <w:rsid w:val="00C87027"/>
    <w:rsid w:val="00C872C5"/>
    <w:rsid w:val="00C878F4"/>
    <w:rsid w:val="00C8798F"/>
    <w:rsid w:val="00C87BE6"/>
    <w:rsid w:val="00C90902"/>
    <w:rsid w:val="00C91D28"/>
    <w:rsid w:val="00C91E19"/>
    <w:rsid w:val="00C92F2F"/>
    <w:rsid w:val="00C9386D"/>
    <w:rsid w:val="00C9431F"/>
    <w:rsid w:val="00C94923"/>
    <w:rsid w:val="00C9538E"/>
    <w:rsid w:val="00C95ED0"/>
    <w:rsid w:val="00C96708"/>
    <w:rsid w:val="00C96C1B"/>
    <w:rsid w:val="00C96C5E"/>
    <w:rsid w:val="00C977F8"/>
    <w:rsid w:val="00CA019E"/>
    <w:rsid w:val="00CA05D0"/>
    <w:rsid w:val="00CA0941"/>
    <w:rsid w:val="00CA0ABC"/>
    <w:rsid w:val="00CA0BAE"/>
    <w:rsid w:val="00CA0BEC"/>
    <w:rsid w:val="00CA0D43"/>
    <w:rsid w:val="00CA0FD8"/>
    <w:rsid w:val="00CA1237"/>
    <w:rsid w:val="00CA1CAE"/>
    <w:rsid w:val="00CA2E7F"/>
    <w:rsid w:val="00CA2F3F"/>
    <w:rsid w:val="00CA3E74"/>
    <w:rsid w:val="00CA3EB6"/>
    <w:rsid w:val="00CA44A1"/>
    <w:rsid w:val="00CA486C"/>
    <w:rsid w:val="00CA4ABF"/>
    <w:rsid w:val="00CA50BE"/>
    <w:rsid w:val="00CA60EA"/>
    <w:rsid w:val="00CA6234"/>
    <w:rsid w:val="00CA6A80"/>
    <w:rsid w:val="00CA6E6B"/>
    <w:rsid w:val="00CA7EE0"/>
    <w:rsid w:val="00CB0128"/>
    <w:rsid w:val="00CB031A"/>
    <w:rsid w:val="00CB0688"/>
    <w:rsid w:val="00CB0861"/>
    <w:rsid w:val="00CB12CA"/>
    <w:rsid w:val="00CB2066"/>
    <w:rsid w:val="00CB219E"/>
    <w:rsid w:val="00CB224C"/>
    <w:rsid w:val="00CB2C41"/>
    <w:rsid w:val="00CB2DA3"/>
    <w:rsid w:val="00CB2E60"/>
    <w:rsid w:val="00CB395E"/>
    <w:rsid w:val="00CB399F"/>
    <w:rsid w:val="00CB4BB7"/>
    <w:rsid w:val="00CB559E"/>
    <w:rsid w:val="00CB5B23"/>
    <w:rsid w:val="00CB5C8A"/>
    <w:rsid w:val="00CB60C2"/>
    <w:rsid w:val="00CB6FEE"/>
    <w:rsid w:val="00CB7601"/>
    <w:rsid w:val="00CB7EB7"/>
    <w:rsid w:val="00CC0781"/>
    <w:rsid w:val="00CC1A79"/>
    <w:rsid w:val="00CC2684"/>
    <w:rsid w:val="00CC290F"/>
    <w:rsid w:val="00CC3250"/>
    <w:rsid w:val="00CC35EC"/>
    <w:rsid w:val="00CC3938"/>
    <w:rsid w:val="00CC41B9"/>
    <w:rsid w:val="00CC4234"/>
    <w:rsid w:val="00CC44E1"/>
    <w:rsid w:val="00CC49F7"/>
    <w:rsid w:val="00CC4FD7"/>
    <w:rsid w:val="00CC541D"/>
    <w:rsid w:val="00CC54E6"/>
    <w:rsid w:val="00CC55A6"/>
    <w:rsid w:val="00CC5A74"/>
    <w:rsid w:val="00CC5D10"/>
    <w:rsid w:val="00CC6844"/>
    <w:rsid w:val="00CC6A26"/>
    <w:rsid w:val="00CC6BA9"/>
    <w:rsid w:val="00CC6E9D"/>
    <w:rsid w:val="00CC7101"/>
    <w:rsid w:val="00CC7A70"/>
    <w:rsid w:val="00CC7C3B"/>
    <w:rsid w:val="00CD01C8"/>
    <w:rsid w:val="00CD0AD2"/>
    <w:rsid w:val="00CD0AE2"/>
    <w:rsid w:val="00CD0CD9"/>
    <w:rsid w:val="00CD0D5B"/>
    <w:rsid w:val="00CD0F79"/>
    <w:rsid w:val="00CD2118"/>
    <w:rsid w:val="00CD3464"/>
    <w:rsid w:val="00CD36BE"/>
    <w:rsid w:val="00CD4260"/>
    <w:rsid w:val="00CD46C5"/>
    <w:rsid w:val="00CD46DB"/>
    <w:rsid w:val="00CD55DE"/>
    <w:rsid w:val="00CD63E2"/>
    <w:rsid w:val="00CD64B1"/>
    <w:rsid w:val="00CD6E1C"/>
    <w:rsid w:val="00CE0958"/>
    <w:rsid w:val="00CE09A2"/>
    <w:rsid w:val="00CE09EA"/>
    <w:rsid w:val="00CE0A52"/>
    <w:rsid w:val="00CE1559"/>
    <w:rsid w:val="00CE1E7A"/>
    <w:rsid w:val="00CE2264"/>
    <w:rsid w:val="00CE28A7"/>
    <w:rsid w:val="00CE2B10"/>
    <w:rsid w:val="00CE2D1E"/>
    <w:rsid w:val="00CE2F88"/>
    <w:rsid w:val="00CE380D"/>
    <w:rsid w:val="00CE39A4"/>
    <w:rsid w:val="00CE4274"/>
    <w:rsid w:val="00CE4CC7"/>
    <w:rsid w:val="00CE5165"/>
    <w:rsid w:val="00CE5207"/>
    <w:rsid w:val="00CE5AC4"/>
    <w:rsid w:val="00CE60FB"/>
    <w:rsid w:val="00CE777C"/>
    <w:rsid w:val="00CE7F1A"/>
    <w:rsid w:val="00CF0218"/>
    <w:rsid w:val="00CF039F"/>
    <w:rsid w:val="00CF062B"/>
    <w:rsid w:val="00CF0F18"/>
    <w:rsid w:val="00CF2843"/>
    <w:rsid w:val="00CF41BA"/>
    <w:rsid w:val="00CF4390"/>
    <w:rsid w:val="00CF4B96"/>
    <w:rsid w:val="00CF535F"/>
    <w:rsid w:val="00CF5833"/>
    <w:rsid w:val="00CF58F3"/>
    <w:rsid w:val="00CF5FE1"/>
    <w:rsid w:val="00CF6572"/>
    <w:rsid w:val="00CF759A"/>
    <w:rsid w:val="00CF7870"/>
    <w:rsid w:val="00CF7AFF"/>
    <w:rsid w:val="00D00A50"/>
    <w:rsid w:val="00D027AE"/>
    <w:rsid w:val="00D029A5"/>
    <w:rsid w:val="00D02A90"/>
    <w:rsid w:val="00D02D1B"/>
    <w:rsid w:val="00D03048"/>
    <w:rsid w:val="00D0311F"/>
    <w:rsid w:val="00D0398D"/>
    <w:rsid w:val="00D03B77"/>
    <w:rsid w:val="00D03E1F"/>
    <w:rsid w:val="00D04259"/>
    <w:rsid w:val="00D0441E"/>
    <w:rsid w:val="00D04970"/>
    <w:rsid w:val="00D05466"/>
    <w:rsid w:val="00D075A5"/>
    <w:rsid w:val="00D079D1"/>
    <w:rsid w:val="00D10807"/>
    <w:rsid w:val="00D108B1"/>
    <w:rsid w:val="00D108E4"/>
    <w:rsid w:val="00D10ACC"/>
    <w:rsid w:val="00D10CB8"/>
    <w:rsid w:val="00D117F7"/>
    <w:rsid w:val="00D11FA2"/>
    <w:rsid w:val="00D12BEE"/>
    <w:rsid w:val="00D13702"/>
    <w:rsid w:val="00D13C97"/>
    <w:rsid w:val="00D13E71"/>
    <w:rsid w:val="00D13E92"/>
    <w:rsid w:val="00D14789"/>
    <w:rsid w:val="00D148FC"/>
    <w:rsid w:val="00D14CC6"/>
    <w:rsid w:val="00D14D77"/>
    <w:rsid w:val="00D152B8"/>
    <w:rsid w:val="00D15600"/>
    <w:rsid w:val="00D156E1"/>
    <w:rsid w:val="00D1598D"/>
    <w:rsid w:val="00D15EDA"/>
    <w:rsid w:val="00D16562"/>
    <w:rsid w:val="00D17464"/>
    <w:rsid w:val="00D1755B"/>
    <w:rsid w:val="00D17B34"/>
    <w:rsid w:val="00D17E3C"/>
    <w:rsid w:val="00D20678"/>
    <w:rsid w:val="00D20B4B"/>
    <w:rsid w:val="00D21E13"/>
    <w:rsid w:val="00D22253"/>
    <w:rsid w:val="00D22333"/>
    <w:rsid w:val="00D22ED0"/>
    <w:rsid w:val="00D23319"/>
    <w:rsid w:val="00D23482"/>
    <w:rsid w:val="00D235C1"/>
    <w:rsid w:val="00D241EF"/>
    <w:rsid w:val="00D24A41"/>
    <w:rsid w:val="00D2604A"/>
    <w:rsid w:val="00D26315"/>
    <w:rsid w:val="00D26675"/>
    <w:rsid w:val="00D2672C"/>
    <w:rsid w:val="00D26C03"/>
    <w:rsid w:val="00D27C34"/>
    <w:rsid w:val="00D3027B"/>
    <w:rsid w:val="00D30E7B"/>
    <w:rsid w:val="00D31F7C"/>
    <w:rsid w:val="00D33328"/>
    <w:rsid w:val="00D3333A"/>
    <w:rsid w:val="00D33479"/>
    <w:rsid w:val="00D335E4"/>
    <w:rsid w:val="00D3367E"/>
    <w:rsid w:val="00D33AD5"/>
    <w:rsid w:val="00D3410C"/>
    <w:rsid w:val="00D34319"/>
    <w:rsid w:val="00D344D7"/>
    <w:rsid w:val="00D34511"/>
    <w:rsid w:val="00D3510A"/>
    <w:rsid w:val="00D3516E"/>
    <w:rsid w:val="00D3543C"/>
    <w:rsid w:val="00D35575"/>
    <w:rsid w:val="00D359FA"/>
    <w:rsid w:val="00D35F29"/>
    <w:rsid w:val="00D36121"/>
    <w:rsid w:val="00D3622C"/>
    <w:rsid w:val="00D369CE"/>
    <w:rsid w:val="00D36A7B"/>
    <w:rsid w:val="00D36EE1"/>
    <w:rsid w:val="00D36F98"/>
    <w:rsid w:val="00D37884"/>
    <w:rsid w:val="00D37FB3"/>
    <w:rsid w:val="00D408F9"/>
    <w:rsid w:val="00D409F4"/>
    <w:rsid w:val="00D40F22"/>
    <w:rsid w:val="00D41106"/>
    <w:rsid w:val="00D4121A"/>
    <w:rsid w:val="00D413C0"/>
    <w:rsid w:val="00D41463"/>
    <w:rsid w:val="00D41889"/>
    <w:rsid w:val="00D42101"/>
    <w:rsid w:val="00D4211F"/>
    <w:rsid w:val="00D42300"/>
    <w:rsid w:val="00D4234A"/>
    <w:rsid w:val="00D4249D"/>
    <w:rsid w:val="00D42B15"/>
    <w:rsid w:val="00D42CD9"/>
    <w:rsid w:val="00D43706"/>
    <w:rsid w:val="00D43C48"/>
    <w:rsid w:val="00D43DBF"/>
    <w:rsid w:val="00D44144"/>
    <w:rsid w:val="00D4492A"/>
    <w:rsid w:val="00D449D3"/>
    <w:rsid w:val="00D44F0E"/>
    <w:rsid w:val="00D4505E"/>
    <w:rsid w:val="00D451BA"/>
    <w:rsid w:val="00D45484"/>
    <w:rsid w:val="00D45C23"/>
    <w:rsid w:val="00D46442"/>
    <w:rsid w:val="00D46608"/>
    <w:rsid w:val="00D46BF7"/>
    <w:rsid w:val="00D46C74"/>
    <w:rsid w:val="00D47855"/>
    <w:rsid w:val="00D506BC"/>
    <w:rsid w:val="00D50E43"/>
    <w:rsid w:val="00D51773"/>
    <w:rsid w:val="00D52A0A"/>
    <w:rsid w:val="00D531C7"/>
    <w:rsid w:val="00D53404"/>
    <w:rsid w:val="00D544AD"/>
    <w:rsid w:val="00D54910"/>
    <w:rsid w:val="00D55650"/>
    <w:rsid w:val="00D55ACC"/>
    <w:rsid w:val="00D56811"/>
    <w:rsid w:val="00D568E9"/>
    <w:rsid w:val="00D56B56"/>
    <w:rsid w:val="00D56C49"/>
    <w:rsid w:val="00D56E4B"/>
    <w:rsid w:val="00D56F23"/>
    <w:rsid w:val="00D571B1"/>
    <w:rsid w:val="00D57BF0"/>
    <w:rsid w:val="00D57D1A"/>
    <w:rsid w:val="00D60567"/>
    <w:rsid w:val="00D61F01"/>
    <w:rsid w:val="00D62961"/>
    <w:rsid w:val="00D62A81"/>
    <w:rsid w:val="00D62D23"/>
    <w:rsid w:val="00D632CE"/>
    <w:rsid w:val="00D633F0"/>
    <w:rsid w:val="00D636AF"/>
    <w:rsid w:val="00D6377C"/>
    <w:rsid w:val="00D63BE4"/>
    <w:rsid w:val="00D63F37"/>
    <w:rsid w:val="00D64CA5"/>
    <w:rsid w:val="00D64F67"/>
    <w:rsid w:val="00D65C6C"/>
    <w:rsid w:val="00D66018"/>
    <w:rsid w:val="00D667CB"/>
    <w:rsid w:val="00D673A0"/>
    <w:rsid w:val="00D677A1"/>
    <w:rsid w:val="00D67B87"/>
    <w:rsid w:val="00D67CEA"/>
    <w:rsid w:val="00D7020F"/>
    <w:rsid w:val="00D7151B"/>
    <w:rsid w:val="00D715BE"/>
    <w:rsid w:val="00D71996"/>
    <w:rsid w:val="00D71B62"/>
    <w:rsid w:val="00D71FCA"/>
    <w:rsid w:val="00D72567"/>
    <w:rsid w:val="00D72AFD"/>
    <w:rsid w:val="00D731F8"/>
    <w:rsid w:val="00D73990"/>
    <w:rsid w:val="00D73FB2"/>
    <w:rsid w:val="00D748D7"/>
    <w:rsid w:val="00D74CE1"/>
    <w:rsid w:val="00D750B4"/>
    <w:rsid w:val="00D752FD"/>
    <w:rsid w:val="00D75B6F"/>
    <w:rsid w:val="00D760A9"/>
    <w:rsid w:val="00D761A1"/>
    <w:rsid w:val="00D7631A"/>
    <w:rsid w:val="00D7693F"/>
    <w:rsid w:val="00D77069"/>
    <w:rsid w:val="00D770E0"/>
    <w:rsid w:val="00D77F6D"/>
    <w:rsid w:val="00D80EF3"/>
    <w:rsid w:val="00D81396"/>
    <w:rsid w:val="00D81710"/>
    <w:rsid w:val="00D827EF"/>
    <w:rsid w:val="00D82901"/>
    <w:rsid w:val="00D831D4"/>
    <w:rsid w:val="00D835BF"/>
    <w:rsid w:val="00D84746"/>
    <w:rsid w:val="00D84BCA"/>
    <w:rsid w:val="00D85083"/>
    <w:rsid w:val="00D853A8"/>
    <w:rsid w:val="00D853FE"/>
    <w:rsid w:val="00D8572B"/>
    <w:rsid w:val="00D85D82"/>
    <w:rsid w:val="00D865B8"/>
    <w:rsid w:val="00D867F0"/>
    <w:rsid w:val="00D8711E"/>
    <w:rsid w:val="00D878FE"/>
    <w:rsid w:val="00D9061A"/>
    <w:rsid w:val="00D907CE"/>
    <w:rsid w:val="00D90A35"/>
    <w:rsid w:val="00D90B88"/>
    <w:rsid w:val="00D90C1C"/>
    <w:rsid w:val="00D91B19"/>
    <w:rsid w:val="00D91BD8"/>
    <w:rsid w:val="00D91E7B"/>
    <w:rsid w:val="00D91FE0"/>
    <w:rsid w:val="00D92213"/>
    <w:rsid w:val="00D92E30"/>
    <w:rsid w:val="00D92ECF"/>
    <w:rsid w:val="00D93009"/>
    <w:rsid w:val="00D9300F"/>
    <w:rsid w:val="00D93034"/>
    <w:rsid w:val="00D930C1"/>
    <w:rsid w:val="00D930E7"/>
    <w:rsid w:val="00D937B9"/>
    <w:rsid w:val="00D93B1D"/>
    <w:rsid w:val="00D95C17"/>
    <w:rsid w:val="00D96C48"/>
    <w:rsid w:val="00D96F4E"/>
    <w:rsid w:val="00D97877"/>
    <w:rsid w:val="00D97CA4"/>
    <w:rsid w:val="00DA071C"/>
    <w:rsid w:val="00DA112C"/>
    <w:rsid w:val="00DA13B6"/>
    <w:rsid w:val="00DA197D"/>
    <w:rsid w:val="00DA1A15"/>
    <w:rsid w:val="00DA247C"/>
    <w:rsid w:val="00DA2B9C"/>
    <w:rsid w:val="00DA2E18"/>
    <w:rsid w:val="00DA2EE3"/>
    <w:rsid w:val="00DA3329"/>
    <w:rsid w:val="00DA365E"/>
    <w:rsid w:val="00DA3A90"/>
    <w:rsid w:val="00DA5270"/>
    <w:rsid w:val="00DA5426"/>
    <w:rsid w:val="00DA5697"/>
    <w:rsid w:val="00DA5905"/>
    <w:rsid w:val="00DA5BB1"/>
    <w:rsid w:val="00DA5D88"/>
    <w:rsid w:val="00DA5F5A"/>
    <w:rsid w:val="00DA6F2C"/>
    <w:rsid w:val="00DA7002"/>
    <w:rsid w:val="00DA73EF"/>
    <w:rsid w:val="00DA77B0"/>
    <w:rsid w:val="00DA7EF9"/>
    <w:rsid w:val="00DB0035"/>
    <w:rsid w:val="00DB0530"/>
    <w:rsid w:val="00DB07D5"/>
    <w:rsid w:val="00DB083D"/>
    <w:rsid w:val="00DB0AA4"/>
    <w:rsid w:val="00DB0C37"/>
    <w:rsid w:val="00DB1D9D"/>
    <w:rsid w:val="00DB2216"/>
    <w:rsid w:val="00DB2C0E"/>
    <w:rsid w:val="00DB2D5C"/>
    <w:rsid w:val="00DB36D9"/>
    <w:rsid w:val="00DB3A63"/>
    <w:rsid w:val="00DB458D"/>
    <w:rsid w:val="00DB470D"/>
    <w:rsid w:val="00DB4807"/>
    <w:rsid w:val="00DB585F"/>
    <w:rsid w:val="00DB707F"/>
    <w:rsid w:val="00DB7119"/>
    <w:rsid w:val="00DB7996"/>
    <w:rsid w:val="00DB7F14"/>
    <w:rsid w:val="00DB7F1E"/>
    <w:rsid w:val="00DC14E5"/>
    <w:rsid w:val="00DC1DAB"/>
    <w:rsid w:val="00DC1F74"/>
    <w:rsid w:val="00DC219E"/>
    <w:rsid w:val="00DC23B6"/>
    <w:rsid w:val="00DC2557"/>
    <w:rsid w:val="00DC2711"/>
    <w:rsid w:val="00DC2CF5"/>
    <w:rsid w:val="00DC2EB4"/>
    <w:rsid w:val="00DC3423"/>
    <w:rsid w:val="00DC3D33"/>
    <w:rsid w:val="00DC40BC"/>
    <w:rsid w:val="00DC4289"/>
    <w:rsid w:val="00DC47CC"/>
    <w:rsid w:val="00DC546A"/>
    <w:rsid w:val="00DC603D"/>
    <w:rsid w:val="00DC630D"/>
    <w:rsid w:val="00DC661D"/>
    <w:rsid w:val="00DC6D1E"/>
    <w:rsid w:val="00DC7167"/>
    <w:rsid w:val="00DD02D3"/>
    <w:rsid w:val="00DD049D"/>
    <w:rsid w:val="00DD0A7D"/>
    <w:rsid w:val="00DD11A6"/>
    <w:rsid w:val="00DD14F4"/>
    <w:rsid w:val="00DD22EA"/>
    <w:rsid w:val="00DD29F3"/>
    <w:rsid w:val="00DD2B7F"/>
    <w:rsid w:val="00DD3088"/>
    <w:rsid w:val="00DD33D3"/>
    <w:rsid w:val="00DD4686"/>
    <w:rsid w:val="00DD4ABC"/>
    <w:rsid w:val="00DD4E89"/>
    <w:rsid w:val="00DD4EC8"/>
    <w:rsid w:val="00DD50C7"/>
    <w:rsid w:val="00DD5203"/>
    <w:rsid w:val="00DD5207"/>
    <w:rsid w:val="00DD5245"/>
    <w:rsid w:val="00DD5541"/>
    <w:rsid w:val="00DD5823"/>
    <w:rsid w:val="00DD7415"/>
    <w:rsid w:val="00DD7A0E"/>
    <w:rsid w:val="00DE005E"/>
    <w:rsid w:val="00DE11E4"/>
    <w:rsid w:val="00DE1F22"/>
    <w:rsid w:val="00DE1FDB"/>
    <w:rsid w:val="00DE2D60"/>
    <w:rsid w:val="00DE2DF1"/>
    <w:rsid w:val="00DE2E80"/>
    <w:rsid w:val="00DE3B5B"/>
    <w:rsid w:val="00DE4169"/>
    <w:rsid w:val="00DE43D6"/>
    <w:rsid w:val="00DE4926"/>
    <w:rsid w:val="00DE4983"/>
    <w:rsid w:val="00DE4AA3"/>
    <w:rsid w:val="00DE51AC"/>
    <w:rsid w:val="00DE5270"/>
    <w:rsid w:val="00DE52C4"/>
    <w:rsid w:val="00DE577A"/>
    <w:rsid w:val="00DE64AD"/>
    <w:rsid w:val="00DE677F"/>
    <w:rsid w:val="00DE67BB"/>
    <w:rsid w:val="00DE721C"/>
    <w:rsid w:val="00DE7587"/>
    <w:rsid w:val="00DE760F"/>
    <w:rsid w:val="00DE7A7E"/>
    <w:rsid w:val="00DF000C"/>
    <w:rsid w:val="00DF0504"/>
    <w:rsid w:val="00DF057E"/>
    <w:rsid w:val="00DF1A31"/>
    <w:rsid w:val="00DF26B5"/>
    <w:rsid w:val="00DF274F"/>
    <w:rsid w:val="00DF4217"/>
    <w:rsid w:val="00DF4AC7"/>
    <w:rsid w:val="00DF5158"/>
    <w:rsid w:val="00DF51A0"/>
    <w:rsid w:val="00DF535D"/>
    <w:rsid w:val="00DF5A36"/>
    <w:rsid w:val="00DF5D35"/>
    <w:rsid w:val="00DF5D4A"/>
    <w:rsid w:val="00DF6641"/>
    <w:rsid w:val="00DF6F94"/>
    <w:rsid w:val="00DF70A6"/>
    <w:rsid w:val="00DF79B9"/>
    <w:rsid w:val="00DF7A71"/>
    <w:rsid w:val="00E00399"/>
    <w:rsid w:val="00E0064C"/>
    <w:rsid w:val="00E00676"/>
    <w:rsid w:val="00E0101F"/>
    <w:rsid w:val="00E02891"/>
    <w:rsid w:val="00E02B50"/>
    <w:rsid w:val="00E03513"/>
    <w:rsid w:val="00E03D8F"/>
    <w:rsid w:val="00E04BC9"/>
    <w:rsid w:val="00E05AB8"/>
    <w:rsid w:val="00E0628A"/>
    <w:rsid w:val="00E0645B"/>
    <w:rsid w:val="00E06475"/>
    <w:rsid w:val="00E0697B"/>
    <w:rsid w:val="00E06C7E"/>
    <w:rsid w:val="00E07719"/>
    <w:rsid w:val="00E078E3"/>
    <w:rsid w:val="00E07E0C"/>
    <w:rsid w:val="00E10A14"/>
    <w:rsid w:val="00E10DFB"/>
    <w:rsid w:val="00E10FF9"/>
    <w:rsid w:val="00E11553"/>
    <w:rsid w:val="00E11A04"/>
    <w:rsid w:val="00E11A2B"/>
    <w:rsid w:val="00E11EF6"/>
    <w:rsid w:val="00E123BD"/>
    <w:rsid w:val="00E128A8"/>
    <w:rsid w:val="00E12948"/>
    <w:rsid w:val="00E1297A"/>
    <w:rsid w:val="00E129FD"/>
    <w:rsid w:val="00E12DA2"/>
    <w:rsid w:val="00E13827"/>
    <w:rsid w:val="00E13A4F"/>
    <w:rsid w:val="00E13CAB"/>
    <w:rsid w:val="00E1404D"/>
    <w:rsid w:val="00E140AC"/>
    <w:rsid w:val="00E14177"/>
    <w:rsid w:val="00E1477A"/>
    <w:rsid w:val="00E14BB9"/>
    <w:rsid w:val="00E14E41"/>
    <w:rsid w:val="00E15170"/>
    <w:rsid w:val="00E1528C"/>
    <w:rsid w:val="00E1585A"/>
    <w:rsid w:val="00E1672C"/>
    <w:rsid w:val="00E16844"/>
    <w:rsid w:val="00E16ABC"/>
    <w:rsid w:val="00E16BD8"/>
    <w:rsid w:val="00E16D2E"/>
    <w:rsid w:val="00E2050F"/>
    <w:rsid w:val="00E20621"/>
    <w:rsid w:val="00E20DF5"/>
    <w:rsid w:val="00E2142C"/>
    <w:rsid w:val="00E216CB"/>
    <w:rsid w:val="00E21F29"/>
    <w:rsid w:val="00E22295"/>
    <w:rsid w:val="00E223BD"/>
    <w:rsid w:val="00E229E7"/>
    <w:rsid w:val="00E23400"/>
    <w:rsid w:val="00E23ABA"/>
    <w:rsid w:val="00E23C8D"/>
    <w:rsid w:val="00E23E14"/>
    <w:rsid w:val="00E24205"/>
    <w:rsid w:val="00E24257"/>
    <w:rsid w:val="00E243C1"/>
    <w:rsid w:val="00E2444A"/>
    <w:rsid w:val="00E24BAC"/>
    <w:rsid w:val="00E25157"/>
    <w:rsid w:val="00E25589"/>
    <w:rsid w:val="00E25B98"/>
    <w:rsid w:val="00E263F0"/>
    <w:rsid w:val="00E26474"/>
    <w:rsid w:val="00E2651A"/>
    <w:rsid w:val="00E2670C"/>
    <w:rsid w:val="00E27637"/>
    <w:rsid w:val="00E278AA"/>
    <w:rsid w:val="00E27B72"/>
    <w:rsid w:val="00E30303"/>
    <w:rsid w:val="00E30AA4"/>
    <w:rsid w:val="00E31AFD"/>
    <w:rsid w:val="00E31CF5"/>
    <w:rsid w:val="00E31F93"/>
    <w:rsid w:val="00E3287E"/>
    <w:rsid w:val="00E32EE0"/>
    <w:rsid w:val="00E3456B"/>
    <w:rsid w:val="00E36055"/>
    <w:rsid w:val="00E3619B"/>
    <w:rsid w:val="00E363CB"/>
    <w:rsid w:val="00E369AE"/>
    <w:rsid w:val="00E36ADD"/>
    <w:rsid w:val="00E36E85"/>
    <w:rsid w:val="00E36EED"/>
    <w:rsid w:val="00E372FF"/>
    <w:rsid w:val="00E40653"/>
    <w:rsid w:val="00E408FA"/>
    <w:rsid w:val="00E40BDF"/>
    <w:rsid w:val="00E40CF2"/>
    <w:rsid w:val="00E411AE"/>
    <w:rsid w:val="00E411DA"/>
    <w:rsid w:val="00E41279"/>
    <w:rsid w:val="00E418C8"/>
    <w:rsid w:val="00E41CCA"/>
    <w:rsid w:val="00E42765"/>
    <w:rsid w:val="00E427B4"/>
    <w:rsid w:val="00E432FE"/>
    <w:rsid w:val="00E4381F"/>
    <w:rsid w:val="00E43A50"/>
    <w:rsid w:val="00E43E5E"/>
    <w:rsid w:val="00E43F20"/>
    <w:rsid w:val="00E4424B"/>
    <w:rsid w:val="00E44691"/>
    <w:rsid w:val="00E45223"/>
    <w:rsid w:val="00E45679"/>
    <w:rsid w:val="00E4568B"/>
    <w:rsid w:val="00E45938"/>
    <w:rsid w:val="00E45F5E"/>
    <w:rsid w:val="00E46B47"/>
    <w:rsid w:val="00E47BD3"/>
    <w:rsid w:val="00E5058F"/>
    <w:rsid w:val="00E507F3"/>
    <w:rsid w:val="00E51059"/>
    <w:rsid w:val="00E5164A"/>
    <w:rsid w:val="00E51B5B"/>
    <w:rsid w:val="00E52040"/>
    <w:rsid w:val="00E5214B"/>
    <w:rsid w:val="00E52337"/>
    <w:rsid w:val="00E529F7"/>
    <w:rsid w:val="00E52B46"/>
    <w:rsid w:val="00E52BB3"/>
    <w:rsid w:val="00E52EE0"/>
    <w:rsid w:val="00E53089"/>
    <w:rsid w:val="00E533CC"/>
    <w:rsid w:val="00E542F4"/>
    <w:rsid w:val="00E54F83"/>
    <w:rsid w:val="00E5536D"/>
    <w:rsid w:val="00E55EB4"/>
    <w:rsid w:val="00E56008"/>
    <w:rsid w:val="00E56144"/>
    <w:rsid w:val="00E56432"/>
    <w:rsid w:val="00E56D35"/>
    <w:rsid w:val="00E56D67"/>
    <w:rsid w:val="00E57B97"/>
    <w:rsid w:val="00E57D56"/>
    <w:rsid w:val="00E600D8"/>
    <w:rsid w:val="00E60183"/>
    <w:rsid w:val="00E60185"/>
    <w:rsid w:val="00E60AFC"/>
    <w:rsid w:val="00E613D1"/>
    <w:rsid w:val="00E618A5"/>
    <w:rsid w:val="00E62A99"/>
    <w:rsid w:val="00E64EB6"/>
    <w:rsid w:val="00E6527E"/>
    <w:rsid w:val="00E65392"/>
    <w:rsid w:val="00E65673"/>
    <w:rsid w:val="00E65BBD"/>
    <w:rsid w:val="00E66838"/>
    <w:rsid w:val="00E66CFB"/>
    <w:rsid w:val="00E66DA2"/>
    <w:rsid w:val="00E66F71"/>
    <w:rsid w:val="00E67845"/>
    <w:rsid w:val="00E703B5"/>
    <w:rsid w:val="00E70BC9"/>
    <w:rsid w:val="00E71263"/>
    <w:rsid w:val="00E71C50"/>
    <w:rsid w:val="00E722BB"/>
    <w:rsid w:val="00E73581"/>
    <w:rsid w:val="00E7365C"/>
    <w:rsid w:val="00E739D7"/>
    <w:rsid w:val="00E74255"/>
    <w:rsid w:val="00E75A16"/>
    <w:rsid w:val="00E762C8"/>
    <w:rsid w:val="00E764EA"/>
    <w:rsid w:val="00E76F77"/>
    <w:rsid w:val="00E77C50"/>
    <w:rsid w:val="00E8025C"/>
    <w:rsid w:val="00E80913"/>
    <w:rsid w:val="00E80AA2"/>
    <w:rsid w:val="00E80FF2"/>
    <w:rsid w:val="00E810AA"/>
    <w:rsid w:val="00E81383"/>
    <w:rsid w:val="00E8149B"/>
    <w:rsid w:val="00E81B4A"/>
    <w:rsid w:val="00E81D36"/>
    <w:rsid w:val="00E823F7"/>
    <w:rsid w:val="00E83397"/>
    <w:rsid w:val="00E841FB"/>
    <w:rsid w:val="00E8443C"/>
    <w:rsid w:val="00E846ED"/>
    <w:rsid w:val="00E849CB"/>
    <w:rsid w:val="00E850FC"/>
    <w:rsid w:val="00E852A4"/>
    <w:rsid w:val="00E85387"/>
    <w:rsid w:val="00E85824"/>
    <w:rsid w:val="00E8643B"/>
    <w:rsid w:val="00E86D3F"/>
    <w:rsid w:val="00E86E42"/>
    <w:rsid w:val="00E87351"/>
    <w:rsid w:val="00E87C82"/>
    <w:rsid w:val="00E91130"/>
    <w:rsid w:val="00E916F9"/>
    <w:rsid w:val="00E9185C"/>
    <w:rsid w:val="00E91A5B"/>
    <w:rsid w:val="00E91EA2"/>
    <w:rsid w:val="00E91F7A"/>
    <w:rsid w:val="00E92A6F"/>
    <w:rsid w:val="00E92B04"/>
    <w:rsid w:val="00E93608"/>
    <w:rsid w:val="00E936B6"/>
    <w:rsid w:val="00E93870"/>
    <w:rsid w:val="00E93F7B"/>
    <w:rsid w:val="00E94035"/>
    <w:rsid w:val="00E94229"/>
    <w:rsid w:val="00E94698"/>
    <w:rsid w:val="00E948B0"/>
    <w:rsid w:val="00E94DDC"/>
    <w:rsid w:val="00E9503B"/>
    <w:rsid w:val="00E95A2C"/>
    <w:rsid w:val="00E95E87"/>
    <w:rsid w:val="00E9689D"/>
    <w:rsid w:val="00E972E2"/>
    <w:rsid w:val="00E975A1"/>
    <w:rsid w:val="00E97AA2"/>
    <w:rsid w:val="00EA0736"/>
    <w:rsid w:val="00EA0B8F"/>
    <w:rsid w:val="00EA0C92"/>
    <w:rsid w:val="00EA1F98"/>
    <w:rsid w:val="00EA2271"/>
    <w:rsid w:val="00EA2338"/>
    <w:rsid w:val="00EA2CB4"/>
    <w:rsid w:val="00EA2E21"/>
    <w:rsid w:val="00EA3BD5"/>
    <w:rsid w:val="00EA4048"/>
    <w:rsid w:val="00EA46CB"/>
    <w:rsid w:val="00EA5286"/>
    <w:rsid w:val="00EA5346"/>
    <w:rsid w:val="00EA53CF"/>
    <w:rsid w:val="00EA5605"/>
    <w:rsid w:val="00EA6624"/>
    <w:rsid w:val="00EA6A62"/>
    <w:rsid w:val="00EA7366"/>
    <w:rsid w:val="00EA7C21"/>
    <w:rsid w:val="00EB01AE"/>
    <w:rsid w:val="00EB04F1"/>
    <w:rsid w:val="00EB0609"/>
    <w:rsid w:val="00EB0611"/>
    <w:rsid w:val="00EB0662"/>
    <w:rsid w:val="00EB0979"/>
    <w:rsid w:val="00EB0CB9"/>
    <w:rsid w:val="00EB0CCC"/>
    <w:rsid w:val="00EB1093"/>
    <w:rsid w:val="00EB10EF"/>
    <w:rsid w:val="00EB1312"/>
    <w:rsid w:val="00EB1AB1"/>
    <w:rsid w:val="00EB37DB"/>
    <w:rsid w:val="00EB392F"/>
    <w:rsid w:val="00EB3EED"/>
    <w:rsid w:val="00EB40E6"/>
    <w:rsid w:val="00EB45A1"/>
    <w:rsid w:val="00EB501F"/>
    <w:rsid w:val="00EB55AA"/>
    <w:rsid w:val="00EB588E"/>
    <w:rsid w:val="00EB60C1"/>
    <w:rsid w:val="00EB6273"/>
    <w:rsid w:val="00EB6573"/>
    <w:rsid w:val="00EB6E3B"/>
    <w:rsid w:val="00EB7056"/>
    <w:rsid w:val="00EB78B2"/>
    <w:rsid w:val="00EB7A07"/>
    <w:rsid w:val="00EB7C19"/>
    <w:rsid w:val="00EB7C60"/>
    <w:rsid w:val="00EB7EE9"/>
    <w:rsid w:val="00EC096F"/>
    <w:rsid w:val="00EC11FB"/>
    <w:rsid w:val="00EC1303"/>
    <w:rsid w:val="00EC19D5"/>
    <w:rsid w:val="00EC22B0"/>
    <w:rsid w:val="00EC258B"/>
    <w:rsid w:val="00EC25B6"/>
    <w:rsid w:val="00EC2FE3"/>
    <w:rsid w:val="00EC3131"/>
    <w:rsid w:val="00EC331A"/>
    <w:rsid w:val="00EC3519"/>
    <w:rsid w:val="00EC4E0B"/>
    <w:rsid w:val="00EC5AC3"/>
    <w:rsid w:val="00EC5D77"/>
    <w:rsid w:val="00EC61A3"/>
    <w:rsid w:val="00EC6C90"/>
    <w:rsid w:val="00EC6DE9"/>
    <w:rsid w:val="00EC7E0A"/>
    <w:rsid w:val="00EC7F91"/>
    <w:rsid w:val="00ED0A58"/>
    <w:rsid w:val="00ED0B0F"/>
    <w:rsid w:val="00ED110D"/>
    <w:rsid w:val="00ED1181"/>
    <w:rsid w:val="00ED1401"/>
    <w:rsid w:val="00ED2726"/>
    <w:rsid w:val="00ED2838"/>
    <w:rsid w:val="00ED2DC1"/>
    <w:rsid w:val="00ED2ED4"/>
    <w:rsid w:val="00ED31E3"/>
    <w:rsid w:val="00ED37BD"/>
    <w:rsid w:val="00ED3AF5"/>
    <w:rsid w:val="00ED3C5F"/>
    <w:rsid w:val="00ED3D61"/>
    <w:rsid w:val="00ED3FBA"/>
    <w:rsid w:val="00ED4ABA"/>
    <w:rsid w:val="00ED517B"/>
    <w:rsid w:val="00ED5547"/>
    <w:rsid w:val="00ED5BE8"/>
    <w:rsid w:val="00ED6013"/>
    <w:rsid w:val="00ED7935"/>
    <w:rsid w:val="00ED7DE7"/>
    <w:rsid w:val="00ED7E20"/>
    <w:rsid w:val="00ED7E26"/>
    <w:rsid w:val="00EE09BF"/>
    <w:rsid w:val="00EE169A"/>
    <w:rsid w:val="00EE1B6C"/>
    <w:rsid w:val="00EE1F42"/>
    <w:rsid w:val="00EE1F75"/>
    <w:rsid w:val="00EE28B9"/>
    <w:rsid w:val="00EE2E4F"/>
    <w:rsid w:val="00EE313A"/>
    <w:rsid w:val="00EE32A2"/>
    <w:rsid w:val="00EE3494"/>
    <w:rsid w:val="00EE398F"/>
    <w:rsid w:val="00EE3A31"/>
    <w:rsid w:val="00EE3EEE"/>
    <w:rsid w:val="00EE3FB0"/>
    <w:rsid w:val="00EE44B2"/>
    <w:rsid w:val="00EE45AB"/>
    <w:rsid w:val="00EE4875"/>
    <w:rsid w:val="00EE5409"/>
    <w:rsid w:val="00EE58AB"/>
    <w:rsid w:val="00EE5A5D"/>
    <w:rsid w:val="00EE5DB5"/>
    <w:rsid w:val="00EE6288"/>
    <w:rsid w:val="00EE691F"/>
    <w:rsid w:val="00EE7297"/>
    <w:rsid w:val="00EE7435"/>
    <w:rsid w:val="00EE7B7E"/>
    <w:rsid w:val="00EF03C3"/>
    <w:rsid w:val="00EF0584"/>
    <w:rsid w:val="00EF06E2"/>
    <w:rsid w:val="00EF116C"/>
    <w:rsid w:val="00EF16A3"/>
    <w:rsid w:val="00EF2001"/>
    <w:rsid w:val="00EF2133"/>
    <w:rsid w:val="00EF43BF"/>
    <w:rsid w:val="00EF468D"/>
    <w:rsid w:val="00EF46EB"/>
    <w:rsid w:val="00EF4D11"/>
    <w:rsid w:val="00EF609D"/>
    <w:rsid w:val="00EF6BDF"/>
    <w:rsid w:val="00F000CA"/>
    <w:rsid w:val="00F000EF"/>
    <w:rsid w:val="00F003CF"/>
    <w:rsid w:val="00F0114C"/>
    <w:rsid w:val="00F01361"/>
    <w:rsid w:val="00F01AE4"/>
    <w:rsid w:val="00F01DF9"/>
    <w:rsid w:val="00F0216E"/>
    <w:rsid w:val="00F0255A"/>
    <w:rsid w:val="00F02EF8"/>
    <w:rsid w:val="00F042BC"/>
    <w:rsid w:val="00F04764"/>
    <w:rsid w:val="00F047CB"/>
    <w:rsid w:val="00F0580C"/>
    <w:rsid w:val="00F0596C"/>
    <w:rsid w:val="00F059A4"/>
    <w:rsid w:val="00F05A12"/>
    <w:rsid w:val="00F05C3B"/>
    <w:rsid w:val="00F06241"/>
    <w:rsid w:val="00F06A35"/>
    <w:rsid w:val="00F06D0C"/>
    <w:rsid w:val="00F06F91"/>
    <w:rsid w:val="00F07A2B"/>
    <w:rsid w:val="00F11139"/>
    <w:rsid w:val="00F11232"/>
    <w:rsid w:val="00F11C8B"/>
    <w:rsid w:val="00F11D08"/>
    <w:rsid w:val="00F12D48"/>
    <w:rsid w:val="00F13CC3"/>
    <w:rsid w:val="00F14221"/>
    <w:rsid w:val="00F142F0"/>
    <w:rsid w:val="00F143AA"/>
    <w:rsid w:val="00F14568"/>
    <w:rsid w:val="00F148C5"/>
    <w:rsid w:val="00F15553"/>
    <w:rsid w:val="00F15770"/>
    <w:rsid w:val="00F162A4"/>
    <w:rsid w:val="00F16DDC"/>
    <w:rsid w:val="00F16F5D"/>
    <w:rsid w:val="00F17A54"/>
    <w:rsid w:val="00F20534"/>
    <w:rsid w:val="00F207B3"/>
    <w:rsid w:val="00F20A80"/>
    <w:rsid w:val="00F20AA5"/>
    <w:rsid w:val="00F2151C"/>
    <w:rsid w:val="00F2182A"/>
    <w:rsid w:val="00F21A3C"/>
    <w:rsid w:val="00F21C0D"/>
    <w:rsid w:val="00F21D39"/>
    <w:rsid w:val="00F226DE"/>
    <w:rsid w:val="00F2332C"/>
    <w:rsid w:val="00F234B0"/>
    <w:rsid w:val="00F23AEC"/>
    <w:rsid w:val="00F24013"/>
    <w:rsid w:val="00F24168"/>
    <w:rsid w:val="00F25714"/>
    <w:rsid w:val="00F2575D"/>
    <w:rsid w:val="00F258C8"/>
    <w:rsid w:val="00F25BD7"/>
    <w:rsid w:val="00F25DFB"/>
    <w:rsid w:val="00F26181"/>
    <w:rsid w:val="00F261CF"/>
    <w:rsid w:val="00F263E1"/>
    <w:rsid w:val="00F26600"/>
    <w:rsid w:val="00F2681A"/>
    <w:rsid w:val="00F2699A"/>
    <w:rsid w:val="00F2716A"/>
    <w:rsid w:val="00F27355"/>
    <w:rsid w:val="00F273D5"/>
    <w:rsid w:val="00F27658"/>
    <w:rsid w:val="00F302DC"/>
    <w:rsid w:val="00F3048B"/>
    <w:rsid w:val="00F3055C"/>
    <w:rsid w:val="00F309BD"/>
    <w:rsid w:val="00F30A70"/>
    <w:rsid w:val="00F312EE"/>
    <w:rsid w:val="00F31451"/>
    <w:rsid w:val="00F31550"/>
    <w:rsid w:val="00F317EB"/>
    <w:rsid w:val="00F319B4"/>
    <w:rsid w:val="00F31C99"/>
    <w:rsid w:val="00F32327"/>
    <w:rsid w:val="00F33930"/>
    <w:rsid w:val="00F33CFB"/>
    <w:rsid w:val="00F351BA"/>
    <w:rsid w:val="00F35BE9"/>
    <w:rsid w:val="00F35F23"/>
    <w:rsid w:val="00F35FC3"/>
    <w:rsid w:val="00F36923"/>
    <w:rsid w:val="00F371F6"/>
    <w:rsid w:val="00F372C3"/>
    <w:rsid w:val="00F37605"/>
    <w:rsid w:val="00F376A7"/>
    <w:rsid w:val="00F37860"/>
    <w:rsid w:val="00F4019C"/>
    <w:rsid w:val="00F40BE9"/>
    <w:rsid w:val="00F4136E"/>
    <w:rsid w:val="00F4184C"/>
    <w:rsid w:val="00F41A81"/>
    <w:rsid w:val="00F41D7A"/>
    <w:rsid w:val="00F42018"/>
    <w:rsid w:val="00F4233E"/>
    <w:rsid w:val="00F42F79"/>
    <w:rsid w:val="00F43122"/>
    <w:rsid w:val="00F4333F"/>
    <w:rsid w:val="00F43DF6"/>
    <w:rsid w:val="00F43E2E"/>
    <w:rsid w:val="00F440A3"/>
    <w:rsid w:val="00F44291"/>
    <w:rsid w:val="00F442D4"/>
    <w:rsid w:val="00F444DA"/>
    <w:rsid w:val="00F44A04"/>
    <w:rsid w:val="00F44A4D"/>
    <w:rsid w:val="00F450CB"/>
    <w:rsid w:val="00F45A37"/>
    <w:rsid w:val="00F45B81"/>
    <w:rsid w:val="00F45DA1"/>
    <w:rsid w:val="00F461A2"/>
    <w:rsid w:val="00F471AE"/>
    <w:rsid w:val="00F47300"/>
    <w:rsid w:val="00F4797C"/>
    <w:rsid w:val="00F5011A"/>
    <w:rsid w:val="00F50432"/>
    <w:rsid w:val="00F506C8"/>
    <w:rsid w:val="00F51C54"/>
    <w:rsid w:val="00F5246D"/>
    <w:rsid w:val="00F5283F"/>
    <w:rsid w:val="00F530EF"/>
    <w:rsid w:val="00F5357B"/>
    <w:rsid w:val="00F53A84"/>
    <w:rsid w:val="00F53B69"/>
    <w:rsid w:val="00F543DC"/>
    <w:rsid w:val="00F54A5A"/>
    <w:rsid w:val="00F55923"/>
    <w:rsid w:val="00F55ABA"/>
    <w:rsid w:val="00F56225"/>
    <w:rsid w:val="00F56960"/>
    <w:rsid w:val="00F56CAE"/>
    <w:rsid w:val="00F57413"/>
    <w:rsid w:val="00F57AEA"/>
    <w:rsid w:val="00F57E93"/>
    <w:rsid w:val="00F6016E"/>
    <w:rsid w:val="00F60D33"/>
    <w:rsid w:val="00F60D46"/>
    <w:rsid w:val="00F6118C"/>
    <w:rsid w:val="00F61658"/>
    <w:rsid w:val="00F61E42"/>
    <w:rsid w:val="00F62039"/>
    <w:rsid w:val="00F6205C"/>
    <w:rsid w:val="00F62BA5"/>
    <w:rsid w:val="00F62E34"/>
    <w:rsid w:val="00F6337C"/>
    <w:rsid w:val="00F63567"/>
    <w:rsid w:val="00F63638"/>
    <w:rsid w:val="00F64BD9"/>
    <w:rsid w:val="00F64DEF"/>
    <w:rsid w:val="00F64E9E"/>
    <w:rsid w:val="00F65419"/>
    <w:rsid w:val="00F65428"/>
    <w:rsid w:val="00F6561A"/>
    <w:rsid w:val="00F6575B"/>
    <w:rsid w:val="00F6576E"/>
    <w:rsid w:val="00F66867"/>
    <w:rsid w:val="00F66EA8"/>
    <w:rsid w:val="00F672C7"/>
    <w:rsid w:val="00F675F6"/>
    <w:rsid w:val="00F67BE2"/>
    <w:rsid w:val="00F67C82"/>
    <w:rsid w:val="00F67E82"/>
    <w:rsid w:val="00F70157"/>
    <w:rsid w:val="00F70342"/>
    <w:rsid w:val="00F705D9"/>
    <w:rsid w:val="00F70BC7"/>
    <w:rsid w:val="00F70C99"/>
    <w:rsid w:val="00F7118A"/>
    <w:rsid w:val="00F71A29"/>
    <w:rsid w:val="00F71F3C"/>
    <w:rsid w:val="00F721D4"/>
    <w:rsid w:val="00F7254D"/>
    <w:rsid w:val="00F72803"/>
    <w:rsid w:val="00F72D6B"/>
    <w:rsid w:val="00F731F5"/>
    <w:rsid w:val="00F73452"/>
    <w:rsid w:val="00F74624"/>
    <w:rsid w:val="00F755C8"/>
    <w:rsid w:val="00F75BFA"/>
    <w:rsid w:val="00F76008"/>
    <w:rsid w:val="00F76FE6"/>
    <w:rsid w:val="00F77297"/>
    <w:rsid w:val="00F779DE"/>
    <w:rsid w:val="00F800E7"/>
    <w:rsid w:val="00F803DC"/>
    <w:rsid w:val="00F80441"/>
    <w:rsid w:val="00F8127F"/>
    <w:rsid w:val="00F815E6"/>
    <w:rsid w:val="00F816E6"/>
    <w:rsid w:val="00F816FF"/>
    <w:rsid w:val="00F81C5B"/>
    <w:rsid w:val="00F8265E"/>
    <w:rsid w:val="00F8268D"/>
    <w:rsid w:val="00F82A44"/>
    <w:rsid w:val="00F82BB3"/>
    <w:rsid w:val="00F82E25"/>
    <w:rsid w:val="00F82E8E"/>
    <w:rsid w:val="00F83593"/>
    <w:rsid w:val="00F84595"/>
    <w:rsid w:val="00F846C2"/>
    <w:rsid w:val="00F846EE"/>
    <w:rsid w:val="00F852B9"/>
    <w:rsid w:val="00F859EB"/>
    <w:rsid w:val="00F85B83"/>
    <w:rsid w:val="00F85D32"/>
    <w:rsid w:val="00F8640D"/>
    <w:rsid w:val="00F866D3"/>
    <w:rsid w:val="00F867C9"/>
    <w:rsid w:val="00F86833"/>
    <w:rsid w:val="00F86B74"/>
    <w:rsid w:val="00F87D71"/>
    <w:rsid w:val="00F901D8"/>
    <w:rsid w:val="00F90520"/>
    <w:rsid w:val="00F90671"/>
    <w:rsid w:val="00F90A13"/>
    <w:rsid w:val="00F910A9"/>
    <w:rsid w:val="00F911DD"/>
    <w:rsid w:val="00F91495"/>
    <w:rsid w:val="00F9173F"/>
    <w:rsid w:val="00F91DD4"/>
    <w:rsid w:val="00F92208"/>
    <w:rsid w:val="00F93941"/>
    <w:rsid w:val="00F93C1A"/>
    <w:rsid w:val="00F93EA9"/>
    <w:rsid w:val="00F9450F"/>
    <w:rsid w:val="00F94723"/>
    <w:rsid w:val="00F94C77"/>
    <w:rsid w:val="00F95223"/>
    <w:rsid w:val="00F954C0"/>
    <w:rsid w:val="00F955CE"/>
    <w:rsid w:val="00F960B1"/>
    <w:rsid w:val="00F96375"/>
    <w:rsid w:val="00F9672E"/>
    <w:rsid w:val="00F969B0"/>
    <w:rsid w:val="00F9722C"/>
    <w:rsid w:val="00F97541"/>
    <w:rsid w:val="00F97902"/>
    <w:rsid w:val="00F979C1"/>
    <w:rsid w:val="00F97B91"/>
    <w:rsid w:val="00F97F2B"/>
    <w:rsid w:val="00F97F9B"/>
    <w:rsid w:val="00FA00A1"/>
    <w:rsid w:val="00FA0177"/>
    <w:rsid w:val="00FA135C"/>
    <w:rsid w:val="00FA13B5"/>
    <w:rsid w:val="00FA1F93"/>
    <w:rsid w:val="00FA2139"/>
    <w:rsid w:val="00FA2207"/>
    <w:rsid w:val="00FA3069"/>
    <w:rsid w:val="00FA345B"/>
    <w:rsid w:val="00FA3BE6"/>
    <w:rsid w:val="00FA3F67"/>
    <w:rsid w:val="00FA3F6D"/>
    <w:rsid w:val="00FA406D"/>
    <w:rsid w:val="00FA468C"/>
    <w:rsid w:val="00FA5C03"/>
    <w:rsid w:val="00FA5C64"/>
    <w:rsid w:val="00FA6125"/>
    <w:rsid w:val="00FA6C40"/>
    <w:rsid w:val="00FA6DCB"/>
    <w:rsid w:val="00FA7A7E"/>
    <w:rsid w:val="00FA7B8A"/>
    <w:rsid w:val="00FA7DA5"/>
    <w:rsid w:val="00FA7F6D"/>
    <w:rsid w:val="00FB0652"/>
    <w:rsid w:val="00FB065D"/>
    <w:rsid w:val="00FB0E9E"/>
    <w:rsid w:val="00FB10A2"/>
    <w:rsid w:val="00FB1115"/>
    <w:rsid w:val="00FB1676"/>
    <w:rsid w:val="00FB1AE8"/>
    <w:rsid w:val="00FB1EED"/>
    <w:rsid w:val="00FB1FEA"/>
    <w:rsid w:val="00FB2F22"/>
    <w:rsid w:val="00FB3AD6"/>
    <w:rsid w:val="00FB3BAD"/>
    <w:rsid w:val="00FB4852"/>
    <w:rsid w:val="00FB4A08"/>
    <w:rsid w:val="00FB4F8B"/>
    <w:rsid w:val="00FB59AE"/>
    <w:rsid w:val="00FB63CD"/>
    <w:rsid w:val="00FB6438"/>
    <w:rsid w:val="00FB6809"/>
    <w:rsid w:val="00FB6BC8"/>
    <w:rsid w:val="00FB6EF3"/>
    <w:rsid w:val="00FB6F77"/>
    <w:rsid w:val="00FB7306"/>
    <w:rsid w:val="00FB7ED9"/>
    <w:rsid w:val="00FC024F"/>
    <w:rsid w:val="00FC0AE2"/>
    <w:rsid w:val="00FC0CF3"/>
    <w:rsid w:val="00FC1222"/>
    <w:rsid w:val="00FC1903"/>
    <w:rsid w:val="00FC1E85"/>
    <w:rsid w:val="00FC1E87"/>
    <w:rsid w:val="00FC1F9D"/>
    <w:rsid w:val="00FC22A2"/>
    <w:rsid w:val="00FC37E7"/>
    <w:rsid w:val="00FC4239"/>
    <w:rsid w:val="00FC52FE"/>
    <w:rsid w:val="00FC5421"/>
    <w:rsid w:val="00FC61CC"/>
    <w:rsid w:val="00FC62AE"/>
    <w:rsid w:val="00FC62F5"/>
    <w:rsid w:val="00FC6E98"/>
    <w:rsid w:val="00FC70CA"/>
    <w:rsid w:val="00FC784E"/>
    <w:rsid w:val="00FD0055"/>
    <w:rsid w:val="00FD0277"/>
    <w:rsid w:val="00FD1364"/>
    <w:rsid w:val="00FD24F9"/>
    <w:rsid w:val="00FD26CB"/>
    <w:rsid w:val="00FD3F8B"/>
    <w:rsid w:val="00FD43D9"/>
    <w:rsid w:val="00FD4D4E"/>
    <w:rsid w:val="00FD5117"/>
    <w:rsid w:val="00FD70AF"/>
    <w:rsid w:val="00FD712F"/>
    <w:rsid w:val="00FD71DE"/>
    <w:rsid w:val="00FD7F2B"/>
    <w:rsid w:val="00FE0988"/>
    <w:rsid w:val="00FE0E9D"/>
    <w:rsid w:val="00FE11CA"/>
    <w:rsid w:val="00FE1359"/>
    <w:rsid w:val="00FE1B0C"/>
    <w:rsid w:val="00FE20EE"/>
    <w:rsid w:val="00FE24F3"/>
    <w:rsid w:val="00FE2509"/>
    <w:rsid w:val="00FE31F4"/>
    <w:rsid w:val="00FE3755"/>
    <w:rsid w:val="00FE3B38"/>
    <w:rsid w:val="00FE4386"/>
    <w:rsid w:val="00FE48FE"/>
    <w:rsid w:val="00FE4CC5"/>
    <w:rsid w:val="00FE5729"/>
    <w:rsid w:val="00FE5876"/>
    <w:rsid w:val="00FE5BA0"/>
    <w:rsid w:val="00FE601F"/>
    <w:rsid w:val="00FE660C"/>
    <w:rsid w:val="00FE6AD7"/>
    <w:rsid w:val="00FE6B59"/>
    <w:rsid w:val="00FF0204"/>
    <w:rsid w:val="00FF05D1"/>
    <w:rsid w:val="00FF06B3"/>
    <w:rsid w:val="00FF102D"/>
    <w:rsid w:val="00FF1675"/>
    <w:rsid w:val="00FF205D"/>
    <w:rsid w:val="00FF35BD"/>
    <w:rsid w:val="00FF365D"/>
    <w:rsid w:val="00FF3724"/>
    <w:rsid w:val="00FF3B20"/>
    <w:rsid w:val="00FF48F5"/>
    <w:rsid w:val="00FF4F1C"/>
    <w:rsid w:val="00FF4FAD"/>
    <w:rsid w:val="00FF5566"/>
    <w:rsid w:val="00FF55F9"/>
    <w:rsid w:val="00FF5651"/>
    <w:rsid w:val="00FF566D"/>
    <w:rsid w:val="00FF6535"/>
    <w:rsid w:val="00FF6D10"/>
    <w:rsid w:val="00FF6F8B"/>
    <w:rsid w:val="00FF71ED"/>
    <w:rsid w:val="00FF71FB"/>
    <w:rsid w:val="00FF731F"/>
    <w:rsid w:val="00FF74A1"/>
    <w:rsid w:val="00FF7B50"/>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69633"/>
    <o:shapelayout v:ext="edit">
      <o:idmap v:ext="edit" data="1"/>
    </o:shapelayout>
  </w:shapeDefaults>
  <w:decimalSymbol w:val="."/>
  <w:listSeparator w:val=","/>
  <w14:docId w14:val="6D54FA90"/>
  <w15:docId w15:val="{21050746-FB32-4084-921B-6686F9F6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C3471C"/>
    <w:pPr>
      <w:keepNext/>
      <w:spacing w:line="480" w:lineRule="auto"/>
      <w:outlineLvl w:val="0"/>
    </w:pPr>
    <w:rPr>
      <w:b/>
      <w:bCs/>
      <w:sz w:val="20"/>
      <w:lang w:val="x-none" w:eastAsia="x-none"/>
    </w:rPr>
  </w:style>
  <w:style w:type="paragraph" w:styleId="Heading2">
    <w:name w:val="heading 2"/>
    <w:basedOn w:val="Normal"/>
    <w:next w:val="Normal"/>
    <w:link w:val="Heading2Char"/>
    <w:uiPriority w:val="9"/>
    <w:unhideWhenUsed/>
    <w:qFormat/>
    <w:rsid w:val="00791BEF"/>
    <w:pPr>
      <w:keepNext/>
      <w:spacing w:before="240" w:after="60"/>
      <w:ind w:left="1170"/>
      <w:outlineLvl w:val="1"/>
    </w:pPr>
    <w:rPr>
      <w:rFonts w:ascii="Times New Roman Bold" w:hAnsi="Times New Roman Bold"/>
      <w:b/>
      <w:bCs/>
      <w:iCs/>
      <w:szCs w:val="28"/>
      <w:lang w:val="x-none" w:eastAsia="x-none"/>
    </w:rPr>
  </w:style>
  <w:style w:type="paragraph" w:styleId="Heading3">
    <w:name w:val="heading 3"/>
    <w:basedOn w:val="Normal"/>
    <w:next w:val="Normal"/>
    <w:link w:val="Heading3Char"/>
    <w:qFormat/>
    <w:rsid w:val="00B16AD5"/>
    <w:pPr>
      <w:keepNext/>
      <w:numPr>
        <w:numId w:val="33"/>
      </w:numPr>
      <w:spacing w:line="480" w:lineRule="auto"/>
      <w:ind w:left="3427"/>
      <w:jc w:val="center"/>
      <w:outlineLvl w:val="2"/>
    </w:pPr>
    <w:rPr>
      <w:b/>
      <w:bCs/>
      <w:lang w:val="x-none" w:eastAsia="x-none"/>
    </w:rPr>
  </w:style>
  <w:style w:type="paragraph" w:styleId="Heading4">
    <w:name w:val="heading 4"/>
    <w:basedOn w:val="Normal"/>
    <w:next w:val="Normal"/>
    <w:link w:val="Heading4Char"/>
    <w:uiPriority w:val="9"/>
    <w:unhideWhenUsed/>
    <w:qFormat/>
    <w:rsid w:val="00C37EA4"/>
    <w:pPr>
      <w:keepNext/>
      <w:spacing w:before="240" w:after="60"/>
      <w:ind w:left="21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unhideWhenUsed/>
    <w:qFormat/>
    <w:rsid w:val="0042717A"/>
    <w:pPr>
      <w:spacing w:before="240" w:after="60"/>
      <w:ind w:left="288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AB0489"/>
    <w:pPr>
      <w:spacing w:before="240" w:after="60"/>
      <w:ind w:left="3600"/>
      <w:outlineLvl w:val="5"/>
    </w:pPr>
    <w:rPr>
      <w:rFonts w:ascii="Calibri" w:hAnsi="Calibri"/>
      <w:b/>
      <w:bCs/>
      <w:sz w:val="22"/>
      <w:szCs w:val="22"/>
      <w:lang w:val="x-none" w:eastAsia="x-none"/>
    </w:rPr>
  </w:style>
  <w:style w:type="paragraph" w:styleId="Heading7">
    <w:name w:val="heading 7"/>
    <w:basedOn w:val="Normal"/>
    <w:next w:val="Normal"/>
    <w:link w:val="Heading7Char"/>
    <w:uiPriority w:val="9"/>
    <w:semiHidden/>
    <w:unhideWhenUsed/>
    <w:qFormat/>
    <w:rsid w:val="00AB0489"/>
    <w:pPr>
      <w:spacing w:before="240" w:after="60"/>
      <w:ind w:left="432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AB0489"/>
    <w:pPr>
      <w:spacing w:before="240" w:after="60"/>
      <w:ind w:left="504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AB0489"/>
    <w:pPr>
      <w:spacing w:before="240" w:after="60"/>
      <w:ind w:left="57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471C"/>
    <w:rPr>
      <w:rFonts w:eastAsia="Times New Roman"/>
      <w:b/>
      <w:bCs/>
      <w:szCs w:val="24"/>
      <w:lang w:val="x-none" w:eastAsia="x-none"/>
    </w:rPr>
  </w:style>
  <w:style w:type="character" w:customStyle="1" w:styleId="Heading3Char">
    <w:name w:val="Heading 3 Char"/>
    <w:link w:val="Heading3"/>
    <w:rsid w:val="00B16AD5"/>
    <w:rPr>
      <w:rFonts w:eastAsia="Times New Roman"/>
      <w:b/>
      <w:bCs/>
      <w:sz w:val="24"/>
      <w:szCs w:val="24"/>
      <w:lang w:val="x-none" w:eastAsia="x-none"/>
    </w:rPr>
  </w:style>
  <w:style w:type="paragraph" w:styleId="BodyTextIndent">
    <w:name w:val="Body Text Indent"/>
    <w:basedOn w:val="Normal"/>
    <w:link w:val="BodyTextIndentChar"/>
    <w:rsid w:val="00C3471C"/>
    <w:pPr>
      <w:spacing w:line="480" w:lineRule="auto"/>
      <w:ind w:left="720" w:hanging="720"/>
    </w:pPr>
    <w:rPr>
      <w:sz w:val="20"/>
      <w:lang w:val="x-none" w:eastAsia="x-none"/>
    </w:r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rPr>
      <w:sz w:val="20"/>
      <w:lang w:val="x-none" w:eastAsia="x-none"/>
    </w:r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nhideWhenUsed/>
    <w:rsid w:val="00C3471C"/>
    <w:pPr>
      <w:tabs>
        <w:tab w:val="center" w:pos="4680"/>
        <w:tab w:val="right" w:pos="9360"/>
      </w:tabs>
    </w:pPr>
    <w:rPr>
      <w:sz w:val="20"/>
      <w:lang w:val="x-none" w:eastAsia="x-none"/>
    </w:rPr>
  </w:style>
  <w:style w:type="character" w:customStyle="1" w:styleId="HeaderChar">
    <w:name w:val="Header Char"/>
    <w:link w:val="Header"/>
    <w:uiPriority w:val="99"/>
    <w:rsid w:val="00C3471C"/>
    <w:rPr>
      <w:rFonts w:eastAsia="Times New Roman" w:cs="Times New Roman"/>
      <w:szCs w:val="24"/>
    </w:rPr>
  </w:style>
  <w:style w:type="character" w:styleId="CommentReference">
    <w:name w:val="annotation reference"/>
    <w:uiPriority w:val="99"/>
    <w:semiHidden/>
    <w:unhideWhenUsed/>
    <w:rsid w:val="00531144"/>
    <w:rPr>
      <w:sz w:val="16"/>
      <w:szCs w:val="16"/>
    </w:rPr>
  </w:style>
  <w:style w:type="paragraph" w:styleId="CommentText">
    <w:name w:val="annotation text"/>
    <w:basedOn w:val="Normal"/>
    <w:link w:val="CommentTextChar"/>
    <w:uiPriority w:val="99"/>
    <w:semiHidden/>
    <w:unhideWhenUsed/>
    <w:rsid w:val="00531144"/>
    <w:rPr>
      <w:sz w:val="20"/>
      <w:szCs w:val="20"/>
      <w:lang w:val="x-none" w:eastAsia="x-none"/>
    </w:rPr>
  </w:style>
  <w:style w:type="character" w:customStyle="1" w:styleId="CommentTextChar">
    <w:name w:val="Comment Text Char"/>
    <w:link w:val="CommentText"/>
    <w:uiPriority w:val="99"/>
    <w:semiHidden/>
    <w:rsid w:val="00531144"/>
    <w:rPr>
      <w:rFonts w:eastAsia="Times New Roman"/>
    </w:rPr>
  </w:style>
  <w:style w:type="paragraph" w:styleId="CommentSubject">
    <w:name w:val="annotation subject"/>
    <w:basedOn w:val="CommentText"/>
    <w:next w:val="CommentText"/>
    <w:link w:val="CommentSubjectChar"/>
    <w:uiPriority w:val="99"/>
    <w:semiHidden/>
    <w:unhideWhenUsed/>
    <w:rsid w:val="00531144"/>
    <w:rPr>
      <w:b/>
      <w:bCs/>
    </w:rPr>
  </w:style>
  <w:style w:type="character" w:customStyle="1" w:styleId="CommentSubjectChar">
    <w:name w:val="Comment Subject Char"/>
    <w:link w:val="CommentSubject"/>
    <w:uiPriority w:val="99"/>
    <w:semiHidden/>
    <w:rsid w:val="00531144"/>
    <w:rPr>
      <w:rFonts w:eastAsia="Times New Roman"/>
      <w:b/>
      <w:bCs/>
    </w:rPr>
  </w:style>
  <w:style w:type="paragraph" w:styleId="BalloonText">
    <w:name w:val="Balloon Text"/>
    <w:basedOn w:val="Normal"/>
    <w:link w:val="BalloonTextChar"/>
    <w:uiPriority w:val="99"/>
    <w:semiHidden/>
    <w:unhideWhenUsed/>
    <w:rsid w:val="00531144"/>
    <w:rPr>
      <w:rFonts w:ascii="Tahoma" w:hAnsi="Tahoma"/>
      <w:sz w:val="16"/>
      <w:szCs w:val="16"/>
      <w:lang w:val="x-none" w:eastAsia="x-none"/>
    </w:rPr>
  </w:style>
  <w:style w:type="character" w:customStyle="1" w:styleId="BalloonTextChar">
    <w:name w:val="Balloon Text Char"/>
    <w:link w:val="BalloonText"/>
    <w:uiPriority w:val="99"/>
    <w:semiHidden/>
    <w:rsid w:val="00531144"/>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0A4AA8"/>
    <w:rPr>
      <w:sz w:val="20"/>
      <w:szCs w:val="20"/>
      <w:lang w:val="x-none" w:eastAsia="x-none"/>
    </w:rPr>
  </w:style>
  <w:style w:type="character" w:customStyle="1" w:styleId="EndnoteTextChar">
    <w:name w:val="Endnote Text Char"/>
    <w:link w:val="EndnoteText"/>
    <w:uiPriority w:val="99"/>
    <w:semiHidden/>
    <w:rsid w:val="000A4AA8"/>
    <w:rPr>
      <w:rFonts w:eastAsia="Times New Roman"/>
    </w:rPr>
  </w:style>
  <w:style w:type="character" w:styleId="EndnoteReference">
    <w:name w:val="endnote reference"/>
    <w:uiPriority w:val="99"/>
    <w:semiHidden/>
    <w:unhideWhenUsed/>
    <w:rsid w:val="000A4AA8"/>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unhideWhenUsed/>
    <w:rsid w:val="000A4AA8"/>
    <w:rPr>
      <w:sz w:val="20"/>
      <w:szCs w:val="20"/>
      <w:lang w:val="x-none" w:eastAsia="x-none"/>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link w:val="FootnoteText"/>
    <w:uiPriority w:val="99"/>
    <w:rsid w:val="000A4AA8"/>
    <w:rPr>
      <w:rFonts w:eastAsia="Times New Roman"/>
    </w:rPr>
  </w:style>
  <w:style w:type="character" w:styleId="FootnoteReference">
    <w:name w:val="footnote reference"/>
    <w:uiPriority w:val="99"/>
    <w:unhideWhenUsed/>
    <w:qFormat/>
    <w:rsid w:val="000A4AA8"/>
    <w:rPr>
      <w:vertAlign w:val="superscript"/>
    </w:rPr>
  </w:style>
  <w:style w:type="paragraph" w:customStyle="1" w:styleId="FindingsConclusions">
    <w:name w:val="Findings &amp; Conclusions"/>
    <w:basedOn w:val="Normal"/>
    <w:rsid w:val="00451435"/>
    <w:pPr>
      <w:numPr>
        <w:numId w:val="1"/>
      </w:numPr>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uiPriority w:val="99"/>
    <w:locked/>
    <w:rsid w:val="00451435"/>
    <w:rPr>
      <w:sz w:val="22"/>
    </w:rPr>
  </w:style>
  <w:style w:type="paragraph" w:styleId="Revision">
    <w:name w:val="Revision"/>
    <w:hidden/>
    <w:uiPriority w:val="99"/>
    <w:semiHidden/>
    <w:rsid w:val="00AA3846"/>
    <w:rPr>
      <w:rFonts w:eastAsia="Times New Roman"/>
      <w:sz w:val="24"/>
      <w:szCs w:val="24"/>
    </w:rPr>
  </w:style>
  <w:style w:type="character" w:styleId="Hyperlink">
    <w:name w:val="Hyperlink"/>
    <w:uiPriority w:val="99"/>
    <w:unhideWhenUsed/>
    <w:rsid w:val="00F142F0"/>
    <w:rPr>
      <w:color w:val="0000FF"/>
      <w:u w:val="single"/>
    </w:rPr>
  </w:style>
  <w:style w:type="paragraph" w:styleId="TOC3">
    <w:name w:val="toc 3"/>
    <w:basedOn w:val="Normal"/>
    <w:next w:val="Normal"/>
    <w:autoRedefine/>
    <w:uiPriority w:val="39"/>
    <w:unhideWhenUsed/>
    <w:qFormat/>
    <w:rsid w:val="001312E6"/>
    <w:pPr>
      <w:tabs>
        <w:tab w:val="left" w:pos="1100"/>
        <w:tab w:val="right" w:leader="dot" w:pos="8918"/>
      </w:tabs>
      <w:spacing w:before="120" w:after="120"/>
      <w:ind w:left="1080" w:hanging="576"/>
    </w:pPr>
  </w:style>
  <w:style w:type="paragraph" w:styleId="TOC1">
    <w:name w:val="toc 1"/>
    <w:basedOn w:val="Normal"/>
    <w:next w:val="Normal"/>
    <w:autoRedefine/>
    <w:uiPriority w:val="39"/>
    <w:unhideWhenUsed/>
    <w:qFormat/>
    <w:rsid w:val="00B01628"/>
    <w:pPr>
      <w:tabs>
        <w:tab w:val="right" w:leader="dot" w:pos="8918"/>
      </w:tabs>
      <w:spacing w:before="120" w:after="120"/>
      <w:ind w:left="540" w:hanging="540"/>
    </w:pPr>
  </w:style>
  <w:style w:type="paragraph" w:styleId="TOCHeading">
    <w:name w:val="TOC Heading"/>
    <w:basedOn w:val="Heading1"/>
    <w:next w:val="Normal"/>
    <w:uiPriority w:val="39"/>
    <w:unhideWhenUsed/>
    <w:qFormat/>
    <w:rsid w:val="00085313"/>
    <w:pPr>
      <w:keepLines/>
      <w:spacing w:before="480" w:line="276" w:lineRule="auto"/>
      <w:outlineLvl w:val="9"/>
    </w:pPr>
    <w:rPr>
      <w:rFonts w:ascii="Cambria" w:eastAsia="MS Gothic" w:hAnsi="Cambria"/>
      <w:color w:val="365F91"/>
      <w:sz w:val="28"/>
      <w:szCs w:val="28"/>
      <w:lang w:eastAsia="ja-JP"/>
    </w:rPr>
  </w:style>
  <w:style w:type="paragraph" w:styleId="Caption">
    <w:name w:val="caption"/>
    <w:basedOn w:val="Normal"/>
    <w:next w:val="Normal"/>
    <w:uiPriority w:val="35"/>
    <w:unhideWhenUsed/>
    <w:qFormat/>
    <w:rsid w:val="000861F1"/>
    <w:rPr>
      <w:b/>
      <w:bCs/>
      <w:sz w:val="20"/>
      <w:szCs w:val="20"/>
    </w:rPr>
  </w:style>
  <w:style w:type="paragraph" w:styleId="ListParagraph">
    <w:name w:val="List Paragraph"/>
    <w:basedOn w:val="Normal"/>
    <w:uiPriority w:val="34"/>
    <w:qFormat/>
    <w:rsid w:val="00D075A5"/>
    <w:pPr>
      <w:spacing w:after="200" w:line="276" w:lineRule="auto"/>
      <w:ind w:left="720"/>
      <w:contextualSpacing/>
    </w:pPr>
    <w:rPr>
      <w:rFonts w:ascii="Calibri" w:eastAsia="Calibri" w:hAnsi="Calibri"/>
      <w:sz w:val="22"/>
      <w:szCs w:val="22"/>
    </w:rPr>
  </w:style>
  <w:style w:type="character" w:customStyle="1" w:styleId="Heading4Char">
    <w:name w:val="Heading 4 Char"/>
    <w:link w:val="Heading4"/>
    <w:uiPriority w:val="9"/>
    <w:rsid w:val="00C37EA4"/>
    <w:rPr>
      <w:rFonts w:ascii="Calibri" w:eastAsia="Times New Roman" w:hAnsi="Calibri"/>
      <w:b/>
      <w:bCs/>
      <w:sz w:val="28"/>
      <w:szCs w:val="28"/>
      <w:lang w:val="x-none" w:eastAsia="x-none"/>
    </w:rPr>
  </w:style>
  <w:style w:type="character" w:customStyle="1" w:styleId="Heading5Char">
    <w:name w:val="Heading 5 Char"/>
    <w:link w:val="Heading5"/>
    <w:uiPriority w:val="9"/>
    <w:rsid w:val="0042717A"/>
    <w:rPr>
      <w:rFonts w:ascii="Calibri" w:eastAsia="Times New Roman" w:hAnsi="Calibri"/>
      <w:b/>
      <w:bCs/>
      <w:i/>
      <w:iCs/>
      <w:sz w:val="26"/>
      <w:szCs w:val="26"/>
      <w:lang w:val="x-none" w:eastAsia="x-none"/>
    </w:rPr>
  </w:style>
  <w:style w:type="character" w:customStyle="1" w:styleId="Heading2Char">
    <w:name w:val="Heading 2 Char"/>
    <w:link w:val="Heading2"/>
    <w:uiPriority w:val="9"/>
    <w:rsid w:val="00791BEF"/>
    <w:rPr>
      <w:rFonts w:ascii="Times New Roman Bold" w:eastAsia="Times New Roman" w:hAnsi="Times New Roman Bold"/>
      <w:b/>
      <w:bCs/>
      <w:iCs/>
      <w:sz w:val="24"/>
      <w:szCs w:val="28"/>
      <w:lang w:val="x-none" w:eastAsia="x-none"/>
    </w:rPr>
  </w:style>
  <w:style w:type="paragraph" w:styleId="TOC2">
    <w:name w:val="toc 2"/>
    <w:basedOn w:val="Normal"/>
    <w:next w:val="Normal"/>
    <w:autoRedefine/>
    <w:uiPriority w:val="39"/>
    <w:unhideWhenUsed/>
    <w:qFormat/>
    <w:rsid w:val="00045738"/>
    <w:pPr>
      <w:tabs>
        <w:tab w:val="left" w:pos="540"/>
        <w:tab w:val="right" w:leader="dot" w:pos="8918"/>
      </w:tabs>
      <w:spacing w:before="120" w:after="120"/>
      <w:ind w:left="144"/>
    </w:pPr>
    <w:rPr>
      <w:noProof/>
    </w:rPr>
  </w:style>
  <w:style w:type="paragraph" w:customStyle="1" w:styleId="plain">
    <w:name w:val="plain"/>
    <w:basedOn w:val="Normal"/>
    <w:link w:val="plainChar"/>
    <w:rsid w:val="00333889"/>
    <w:pPr>
      <w:spacing w:line="240" w:lineRule="atLeast"/>
    </w:pPr>
    <w:rPr>
      <w:rFonts w:ascii="CG Times (WN)" w:eastAsia="SimSun" w:hAnsi="CG Times (WN)"/>
      <w:lang w:val="x-none" w:eastAsia="zh-CN"/>
    </w:rPr>
  </w:style>
  <w:style w:type="character" w:customStyle="1" w:styleId="plainChar">
    <w:name w:val="plain Char"/>
    <w:link w:val="plain"/>
    <w:locked/>
    <w:rsid w:val="00333889"/>
    <w:rPr>
      <w:rFonts w:ascii="CG Times (WN)" w:eastAsia="SimSun" w:hAnsi="CG Times (WN)"/>
      <w:sz w:val="24"/>
      <w:szCs w:val="24"/>
      <w:lang w:eastAsia="zh-CN"/>
    </w:rPr>
  </w:style>
  <w:style w:type="character" w:customStyle="1" w:styleId="Heading6Char">
    <w:name w:val="Heading 6 Char"/>
    <w:link w:val="Heading6"/>
    <w:uiPriority w:val="9"/>
    <w:semiHidden/>
    <w:rsid w:val="00AB0489"/>
    <w:rPr>
      <w:rFonts w:ascii="Calibri" w:eastAsia="Times New Roman" w:hAnsi="Calibri"/>
      <w:b/>
      <w:bCs/>
      <w:sz w:val="22"/>
      <w:szCs w:val="22"/>
      <w:lang w:val="x-none" w:eastAsia="x-none"/>
    </w:rPr>
  </w:style>
  <w:style w:type="character" w:customStyle="1" w:styleId="Heading7Char">
    <w:name w:val="Heading 7 Char"/>
    <w:link w:val="Heading7"/>
    <w:uiPriority w:val="9"/>
    <w:semiHidden/>
    <w:rsid w:val="00AB0489"/>
    <w:rPr>
      <w:rFonts w:ascii="Calibri" w:eastAsia="Times New Roman" w:hAnsi="Calibri"/>
      <w:sz w:val="24"/>
      <w:szCs w:val="24"/>
      <w:lang w:val="x-none" w:eastAsia="x-none"/>
    </w:rPr>
  </w:style>
  <w:style w:type="character" w:customStyle="1" w:styleId="Heading8Char">
    <w:name w:val="Heading 8 Char"/>
    <w:link w:val="Heading8"/>
    <w:uiPriority w:val="9"/>
    <w:semiHidden/>
    <w:rsid w:val="00AB0489"/>
    <w:rPr>
      <w:rFonts w:ascii="Calibri" w:eastAsia="Times New Roman" w:hAnsi="Calibri"/>
      <w:i/>
      <w:iCs/>
      <w:sz w:val="24"/>
      <w:szCs w:val="24"/>
      <w:lang w:val="x-none" w:eastAsia="x-none"/>
    </w:rPr>
  </w:style>
  <w:style w:type="character" w:customStyle="1" w:styleId="Heading9Char">
    <w:name w:val="Heading 9 Char"/>
    <w:link w:val="Heading9"/>
    <w:uiPriority w:val="9"/>
    <w:semiHidden/>
    <w:rsid w:val="00AB0489"/>
    <w:rPr>
      <w:rFonts w:ascii="Cambria" w:eastAsia="Times New Roman" w:hAnsi="Cambria"/>
      <w:sz w:val="22"/>
      <w:szCs w:val="22"/>
      <w:lang w:val="x-none" w:eastAsia="x-none"/>
    </w:rPr>
  </w:style>
  <w:style w:type="paragraph" w:customStyle="1" w:styleId="SRPleadngL1">
    <w:name w:val="SRPleadng_L1"/>
    <w:basedOn w:val="Normal"/>
    <w:rsid w:val="00E1477A"/>
    <w:pPr>
      <w:numPr>
        <w:numId w:val="7"/>
      </w:numPr>
    </w:pPr>
  </w:style>
  <w:style w:type="paragraph" w:customStyle="1" w:styleId="SRPleadngL2">
    <w:name w:val="SRPleadng_L2"/>
    <w:basedOn w:val="Normal"/>
    <w:rsid w:val="00E1477A"/>
    <w:pPr>
      <w:numPr>
        <w:ilvl w:val="1"/>
        <w:numId w:val="7"/>
      </w:numPr>
    </w:pPr>
  </w:style>
  <w:style w:type="paragraph" w:customStyle="1" w:styleId="SRPleadngL3">
    <w:name w:val="SRPleadng_L3"/>
    <w:basedOn w:val="Normal"/>
    <w:rsid w:val="00E1477A"/>
    <w:pPr>
      <w:numPr>
        <w:ilvl w:val="2"/>
        <w:numId w:val="7"/>
      </w:numPr>
    </w:pPr>
  </w:style>
  <w:style w:type="paragraph" w:customStyle="1" w:styleId="SRPleadngL4">
    <w:name w:val="SRPleadng_L4"/>
    <w:basedOn w:val="Normal"/>
    <w:rsid w:val="00E1477A"/>
    <w:pPr>
      <w:numPr>
        <w:ilvl w:val="3"/>
        <w:numId w:val="7"/>
      </w:numPr>
    </w:pPr>
  </w:style>
  <w:style w:type="paragraph" w:customStyle="1" w:styleId="SRPleadngL5">
    <w:name w:val="SRPleadng_L5"/>
    <w:basedOn w:val="Normal"/>
    <w:rsid w:val="00E1477A"/>
    <w:pPr>
      <w:numPr>
        <w:ilvl w:val="4"/>
        <w:numId w:val="7"/>
      </w:numPr>
    </w:pPr>
  </w:style>
  <w:style w:type="paragraph" w:styleId="BodyText2">
    <w:name w:val="Body Text 2"/>
    <w:basedOn w:val="Normal"/>
    <w:link w:val="BodyText2Char"/>
    <w:uiPriority w:val="99"/>
    <w:semiHidden/>
    <w:unhideWhenUsed/>
    <w:rsid w:val="00016B84"/>
    <w:pPr>
      <w:spacing w:after="120" w:line="480" w:lineRule="auto"/>
    </w:pPr>
  </w:style>
  <w:style w:type="character" w:customStyle="1" w:styleId="BodyText2Char">
    <w:name w:val="Body Text 2 Char"/>
    <w:basedOn w:val="DefaultParagraphFont"/>
    <w:link w:val="BodyText2"/>
    <w:uiPriority w:val="99"/>
    <w:semiHidden/>
    <w:rsid w:val="00016B84"/>
    <w:rPr>
      <w:rFonts w:eastAsia="Times New Roman"/>
      <w:sz w:val="24"/>
      <w:szCs w:val="24"/>
    </w:rPr>
  </w:style>
  <w:style w:type="table" w:styleId="TableGrid">
    <w:name w:val="Table Grid"/>
    <w:basedOn w:val="TableNormal"/>
    <w:uiPriority w:val="59"/>
    <w:rsid w:val="00FA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TCBody">
    <w:name w:val="UTC Body"/>
    <w:basedOn w:val="Normal"/>
    <w:link w:val="UTCBodyChar"/>
    <w:qFormat/>
    <w:rsid w:val="002671D0"/>
    <w:rPr>
      <w:rFonts w:eastAsiaTheme="minorHAnsi"/>
    </w:rPr>
  </w:style>
  <w:style w:type="character" w:customStyle="1" w:styleId="UTCBodyChar">
    <w:name w:val="UTC Body Char"/>
    <w:basedOn w:val="DefaultParagraphFont"/>
    <w:link w:val="UTCBody"/>
    <w:rsid w:val="002671D0"/>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82139">
      <w:bodyDiv w:val="1"/>
      <w:marLeft w:val="0"/>
      <w:marRight w:val="0"/>
      <w:marTop w:val="0"/>
      <w:marBottom w:val="0"/>
      <w:divBdr>
        <w:top w:val="none" w:sz="0" w:space="0" w:color="auto"/>
        <w:left w:val="none" w:sz="0" w:space="0" w:color="auto"/>
        <w:bottom w:val="none" w:sz="0" w:space="0" w:color="auto"/>
        <w:right w:val="none" w:sz="0" w:space="0" w:color="auto"/>
      </w:divBdr>
    </w:div>
    <w:div w:id="561868037">
      <w:bodyDiv w:val="1"/>
      <w:marLeft w:val="0"/>
      <w:marRight w:val="0"/>
      <w:marTop w:val="0"/>
      <w:marBottom w:val="0"/>
      <w:divBdr>
        <w:top w:val="none" w:sz="0" w:space="0" w:color="auto"/>
        <w:left w:val="none" w:sz="0" w:space="0" w:color="auto"/>
        <w:bottom w:val="none" w:sz="0" w:space="0" w:color="auto"/>
        <w:right w:val="none" w:sz="0" w:space="0" w:color="auto"/>
      </w:divBdr>
    </w:div>
    <w:div w:id="1341467328">
      <w:bodyDiv w:val="1"/>
      <w:marLeft w:val="0"/>
      <w:marRight w:val="0"/>
      <w:marTop w:val="0"/>
      <w:marBottom w:val="0"/>
      <w:divBdr>
        <w:top w:val="none" w:sz="0" w:space="0" w:color="auto"/>
        <w:left w:val="none" w:sz="0" w:space="0" w:color="auto"/>
        <w:bottom w:val="none" w:sz="0" w:space="0" w:color="auto"/>
        <w:right w:val="none" w:sz="0" w:space="0" w:color="auto"/>
      </w:divBdr>
    </w:div>
    <w:div w:id="20596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2015-07-27T22:46:50+00:00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3B4C3-4DAB-4313-8F4B-8801CB9FFD7D}"/>
</file>

<file path=customXml/itemProps2.xml><?xml version="1.0" encoding="utf-8"?>
<ds:datastoreItem xmlns:ds="http://schemas.openxmlformats.org/officeDocument/2006/customXml" ds:itemID="{53F834CA-9C89-44B1-A85E-7325247DDABF}"/>
</file>

<file path=customXml/itemProps3.xml><?xml version="1.0" encoding="utf-8"?>
<ds:datastoreItem xmlns:ds="http://schemas.openxmlformats.org/officeDocument/2006/customXml" ds:itemID="{1947B3AF-DD6F-4EAF-95B6-82D1C5A9B9F3}"/>
</file>

<file path=customXml/itemProps4.xml><?xml version="1.0" encoding="utf-8"?>
<ds:datastoreItem xmlns:ds="http://schemas.openxmlformats.org/officeDocument/2006/customXml" ds:itemID="{1E102C67-73DD-43CD-8C80-E3886DA11343}"/>
</file>

<file path=customXml/itemProps5.xml><?xml version="1.0" encoding="utf-8"?>
<ds:datastoreItem xmlns:ds="http://schemas.openxmlformats.org/officeDocument/2006/customXml" ds:itemID="{6326E28B-F6F1-4EF7-B768-223EC0C80008}"/>
</file>

<file path=docProps/app.xml><?xml version="1.0" encoding="utf-8"?>
<Properties xmlns="http://schemas.openxmlformats.org/officeDocument/2006/extended-properties" xmlns:vt="http://schemas.openxmlformats.org/officeDocument/2006/docPropsVTypes">
  <Template>Normal.dotm</Template>
  <TotalTime>3</TotalTime>
  <Pages>65</Pages>
  <Words>13122</Words>
  <Characters>74798</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Exhibit No. ___ (DCG-1CT)</vt:lpstr>
    </vt:vector>
  </TitlesOfParts>
  <Manager>dagomez@utc.wa.gov</Manager>
  <Company>Washington Utilities and Transportation Commission</Company>
  <LinksUpToDate>false</LinksUpToDate>
  <CharactersWithSpaces>87745</CharactersWithSpaces>
  <SharedDoc>false</SharedDoc>
  <HLinks>
    <vt:vector size="72" baseType="variant">
      <vt:variant>
        <vt:i4>1114167</vt:i4>
      </vt:variant>
      <vt:variant>
        <vt:i4>62</vt:i4>
      </vt:variant>
      <vt:variant>
        <vt:i4>0</vt:i4>
      </vt:variant>
      <vt:variant>
        <vt:i4>5</vt:i4>
      </vt:variant>
      <vt:variant>
        <vt:lpwstr/>
      </vt:variant>
      <vt:variant>
        <vt:lpwstr>_Toc358791558</vt:lpwstr>
      </vt:variant>
      <vt:variant>
        <vt:i4>1114167</vt:i4>
      </vt:variant>
      <vt:variant>
        <vt:i4>56</vt:i4>
      </vt:variant>
      <vt:variant>
        <vt:i4>0</vt:i4>
      </vt:variant>
      <vt:variant>
        <vt:i4>5</vt:i4>
      </vt:variant>
      <vt:variant>
        <vt:lpwstr/>
      </vt:variant>
      <vt:variant>
        <vt:lpwstr>_Toc358791557</vt:lpwstr>
      </vt:variant>
      <vt:variant>
        <vt:i4>1114167</vt:i4>
      </vt:variant>
      <vt:variant>
        <vt:i4>50</vt:i4>
      </vt:variant>
      <vt:variant>
        <vt:i4>0</vt:i4>
      </vt:variant>
      <vt:variant>
        <vt:i4>5</vt:i4>
      </vt:variant>
      <vt:variant>
        <vt:lpwstr/>
      </vt:variant>
      <vt:variant>
        <vt:lpwstr>_Toc358791556</vt:lpwstr>
      </vt:variant>
      <vt:variant>
        <vt:i4>1114167</vt:i4>
      </vt:variant>
      <vt:variant>
        <vt:i4>44</vt:i4>
      </vt:variant>
      <vt:variant>
        <vt:i4>0</vt:i4>
      </vt:variant>
      <vt:variant>
        <vt:i4>5</vt:i4>
      </vt:variant>
      <vt:variant>
        <vt:lpwstr/>
      </vt:variant>
      <vt:variant>
        <vt:lpwstr>_Toc358791555</vt:lpwstr>
      </vt:variant>
      <vt:variant>
        <vt:i4>1114167</vt:i4>
      </vt:variant>
      <vt:variant>
        <vt:i4>38</vt:i4>
      </vt:variant>
      <vt:variant>
        <vt:i4>0</vt:i4>
      </vt:variant>
      <vt:variant>
        <vt:i4>5</vt:i4>
      </vt:variant>
      <vt:variant>
        <vt:lpwstr/>
      </vt:variant>
      <vt:variant>
        <vt:lpwstr>_Toc358791554</vt:lpwstr>
      </vt:variant>
      <vt:variant>
        <vt:i4>1114167</vt:i4>
      </vt:variant>
      <vt:variant>
        <vt:i4>32</vt:i4>
      </vt:variant>
      <vt:variant>
        <vt:i4>0</vt:i4>
      </vt:variant>
      <vt:variant>
        <vt:i4>5</vt:i4>
      </vt:variant>
      <vt:variant>
        <vt:lpwstr/>
      </vt:variant>
      <vt:variant>
        <vt:lpwstr>_Toc358791553</vt:lpwstr>
      </vt:variant>
      <vt:variant>
        <vt:i4>1114167</vt:i4>
      </vt:variant>
      <vt:variant>
        <vt:i4>26</vt:i4>
      </vt:variant>
      <vt:variant>
        <vt:i4>0</vt:i4>
      </vt:variant>
      <vt:variant>
        <vt:i4>5</vt:i4>
      </vt:variant>
      <vt:variant>
        <vt:lpwstr/>
      </vt:variant>
      <vt:variant>
        <vt:lpwstr>_Toc358791552</vt:lpwstr>
      </vt:variant>
      <vt:variant>
        <vt:i4>1114167</vt:i4>
      </vt:variant>
      <vt:variant>
        <vt:i4>20</vt:i4>
      </vt:variant>
      <vt:variant>
        <vt:i4>0</vt:i4>
      </vt:variant>
      <vt:variant>
        <vt:i4>5</vt:i4>
      </vt:variant>
      <vt:variant>
        <vt:lpwstr/>
      </vt:variant>
      <vt:variant>
        <vt:lpwstr>_Toc358791551</vt:lpwstr>
      </vt:variant>
      <vt:variant>
        <vt:i4>1114167</vt:i4>
      </vt:variant>
      <vt:variant>
        <vt:i4>14</vt:i4>
      </vt:variant>
      <vt:variant>
        <vt:i4>0</vt:i4>
      </vt:variant>
      <vt:variant>
        <vt:i4>5</vt:i4>
      </vt:variant>
      <vt:variant>
        <vt:lpwstr/>
      </vt:variant>
      <vt:variant>
        <vt:lpwstr>_Toc358791550</vt:lpwstr>
      </vt:variant>
      <vt:variant>
        <vt:i4>1048631</vt:i4>
      </vt:variant>
      <vt:variant>
        <vt:i4>8</vt:i4>
      </vt:variant>
      <vt:variant>
        <vt:i4>0</vt:i4>
      </vt:variant>
      <vt:variant>
        <vt:i4>5</vt:i4>
      </vt:variant>
      <vt:variant>
        <vt:lpwstr/>
      </vt:variant>
      <vt:variant>
        <vt:lpwstr>_Toc358791549</vt:lpwstr>
      </vt:variant>
      <vt:variant>
        <vt:i4>1048631</vt:i4>
      </vt:variant>
      <vt:variant>
        <vt:i4>2</vt:i4>
      </vt:variant>
      <vt:variant>
        <vt:i4>0</vt:i4>
      </vt:variant>
      <vt:variant>
        <vt:i4>5</vt:i4>
      </vt:variant>
      <vt:variant>
        <vt:lpwstr/>
      </vt:variant>
      <vt:variant>
        <vt:lpwstr>_Toc358791548</vt:lpwstr>
      </vt:variant>
      <vt:variant>
        <vt:i4>1441802</vt:i4>
      </vt:variant>
      <vt:variant>
        <vt:i4>0</vt:i4>
      </vt:variant>
      <vt:variant>
        <vt:i4>0</vt:i4>
      </vt:variant>
      <vt:variant>
        <vt:i4>5</vt:i4>
      </vt:variant>
      <vt:variant>
        <vt:lpwstr>http://www.pacificorp.com/es/re.html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 ___ (DCG-1CT)</dc:title>
  <dc:creator>dagomez@utc.wa.gov</dc:creator>
  <dc:description/>
  <cp:lastModifiedBy>DeMarco, Betsy (UTC)</cp:lastModifiedBy>
  <cp:revision>6</cp:revision>
  <cp:lastPrinted>2015-07-27T18:47:00Z</cp:lastPrinted>
  <dcterms:created xsi:type="dcterms:W3CDTF">2015-07-27T18:45:00Z</dcterms:created>
  <dcterms:modified xsi:type="dcterms:W3CDTF">2015-07-27T18:48:00Z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