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BE" w:rsidRDefault="00736ABE" w:rsidP="00ED7DA0">
      <w:pPr>
        <w:pStyle w:val="Title"/>
        <w:ind w:right="-360" w:hanging="360"/>
        <w:jc w:val="left"/>
        <w:rPr>
          <w:rFonts w:ascii="Times New Roman" w:hAnsi="Times New Roman"/>
          <w:b w:val="0"/>
        </w:rPr>
      </w:pPr>
    </w:p>
    <w:p w:rsidR="00736ABE" w:rsidRDefault="00736ABE" w:rsidP="00ED7DA0">
      <w:pPr>
        <w:pStyle w:val="Title"/>
        <w:ind w:right="-360" w:hanging="360"/>
        <w:jc w:val="left"/>
        <w:rPr>
          <w:rFonts w:ascii="Times New Roman" w:hAnsi="Times New Roman"/>
          <w:b w:val="0"/>
        </w:rPr>
      </w:pPr>
    </w:p>
    <w:p w:rsidR="00736ABE" w:rsidRDefault="00736ABE" w:rsidP="00ED7DA0">
      <w:pPr>
        <w:pStyle w:val="Title"/>
        <w:ind w:right="-360" w:hanging="360"/>
        <w:jc w:val="left"/>
        <w:rPr>
          <w:rFonts w:ascii="Times New Roman" w:hAnsi="Times New Roman"/>
          <w:b w:val="0"/>
        </w:rPr>
      </w:pPr>
    </w:p>
    <w:p w:rsidR="00736ABE" w:rsidRDefault="00736ABE" w:rsidP="00ED7DA0">
      <w:pPr>
        <w:pStyle w:val="Title"/>
        <w:ind w:right="-360" w:hanging="360"/>
        <w:jc w:val="left"/>
        <w:rPr>
          <w:rFonts w:ascii="Times New Roman" w:hAnsi="Times New Roman"/>
          <w:b w:val="0"/>
        </w:rPr>
      </w:pPr>
    </w:p>
    <w:p w:rsidR="00736ABE" w:rsidRDefault="00736ABE" w:rsidP="00ED7DA0">
      <w:pPr>
        <w:pStyle w:val="Title"/>
        <w:ind w:right="-360" w:hanging="360"/>
        <w:jc w:val="left"/>
        <w:rPr>
          <w:rFonts w:ascii="Times New Roman" w:hAnsi="Times New Roman"/>
          <w:b w:val="0"/>
        </w:rPr>
      </w:pPr>
    </w:p>
    <w:p w:rsidR="00736ABE" w:rsidRPr="00D276C3" w:rsidRDefault="00736ABE" w:rsidP="00736ABE">
      <w:pPr>
        <w:pStyle w:val="Title"/>
        <w:ind w:right="-360" w:hanging="360"/>
        <w:rPr>
          <w:rFonts w:ascii="Times New Roman" w:hAnsi="Times New Roman"/>
          <w:b w:val="0"/>
        </w:rPr>
      </w:pPr>
      <w:r w:rsidRPr="00D276C3">
        <w:rPr>
          <w:rFonts w:ascii="Times New Roman" w:hAnsi="Times New Roman"/>
          <w:b w:val="0"/>
        </w:rPr>
        <w:t>BEFORE THE WASHINGTON STATE</w:t>
      </w:r>
      <w:r>
        <w:rPr>
          <w:rFonts w:ascii="Times New Roman" w:hAnsi="Times New Roman"/>
          <w:b w:val="0"/>
        </w:rPr>
        <w:t xml:space="preserve"> </w:t>
      </w:r>
      <w:r w:rsidRPr="00D276C3">
        <w:rPr>
          <w:rFonts w:ascii="Times New Roman" w:hAnsi="Times New Roman"/>
          <w:b w:val="0"/>
        </w:rPr>
        <w:t>UTILITIES AND TRANSPORTATION COMMISSION</w:t>
      </w:r>
    </w:p>
    <w:p w:rsidR="00736ABE" w:rsidRPr="004A2910" w:rsidRDefault="00736ABE" w:rsidP="00736ABE">
      <w:pPr>
        <w:jc w:val="both"/>
      </w:pPr>
    </w:p>
    <w:tbl>
      <w:tblPr>
        <w:tblW w:w="0" w:type="auto"/>
        <w:tblInd w:w="124" w:type="dxa"/>
        <w:tblLayout w:type="fixed"/>
        <w:tblCellMar>
          <w:left w:w="124" w:type="dxa"/>
          <w:right w:w="124" w:type="dxa"/>
        </w:tblCellMar>
        <w:tblLook w:val="0000"/>
      </w:tblPr>
      <w:tblGrid>
        <w:gridCol w:w="4590"/>
        <w:gridCol w:w="4590"/>
      </w:tblGrid>
      <w:tr w:rsidR="00736ABE" w:rsidRPr="004A2910" w:rsidTr="00F37926">
        <w:tc>
          <w:tcPr>
            <w:tcW w:w="4590" w:type="dxa"/>
            <w:tcBorders>
              <w:top w:val="single" w:sz="6" w:space="0" w:color="FFFFFF"/>
              <w:left w:val="single" w:sz="6" w:space="0" w:color="FFFFFF"/>
              <w:bottom w:val="single" w:sz="7" w:space="0" w:color="000000"/>
              <w:right w:val="single" w:sz="6" w:space="0" w:color="FFFFFF"/>
            </w:tcBorders>
          </w:tcPr>
          <w:p w:rsidR="00736ABE" w:rsidRDefault="00736ABE" w:rsidP="00F37926">
            <w:pPr>
              <w:tabs>
                <w:tab w:val="left" w:pos="2160"/>
              </w:tabs>
              <w:rPr>
                <w:bCs/>
                <w:sz w:val="25"/>
                <w:szCs w:val="25"/>
              </w:rPr>
            </w:pPr>
          </w:p>
          <w:p w:rsidR="00736ABE" w:rsidRDefault="00736ABE" w:rsidP="00F37926">
            <w:pPr>
              <w:tabs>
                <w:tab w:val="left" w:pos="2160"/>
              </w:tabs>
              <w:rPr>
                <w:bCs/>
                <w:sz w:val="25"/>
                <w:szCs w:val="25"/>
              </w:rPr>
            </w:pPr>
            <w:r>
              <w:rPr>
                <w:bCs/>
                <w:sz w:val="25"/>
                <w:szCs w:val="25"/>
              </w:rPr>
              <w:t>KENNETH L. BINKLEY,</w:t>
            </w:r>
          </w:p>
          <w:p w:rsidR="00736ABE" w:rsidRDefault="00736ABE" w:rsidP="00F37926">
            <w:pPr>
              <w:tabs>
                <w:tab w:val="left" w:pos="2160"/>
              </w:tabs>
              <w:rPr>
                <w:bCs/>
                <w:sz w:val="25"/>
                <w:szCs w:val="25"/>
              </w:rPr>
            </w:pPr>
          </w:p>
          <w:p w:rsidR="00736ABE" w:rsidRDefault="00736ABE" w:rsidP="00F37926">
            <w:pPr>
              <w:tabs>
                <w:tab w:val="left" w:pos="2160"/>
              </w:tabs>
              <w:rPr>
                <w:bCs/>
                <w:sz w:val="25"/>
                <w:szCs w:val="25"/>
              </w:rPr>
            </w:pPr>
            <w:r>
              <w:rPr>
                <w:bCs/>
                <w:sz w:val="25"/>
                <w:szCs w:val="25"/>
              </w:rPr>
              <w:tab/>
              <w:t>Complainant,</w:t>
            </w:r>
          </w:p>
          <w:p w:rsidR="00736ABE" w:rsidRDefault="00736ABE" w:rsidP="00F37926">
            <w:pPr>
              <w:tabs>
                <w:tab w:val="left" w:pos="2160"/>
              </w:tabs>
              <w:rPr>
                <w:sz w:val="25"/>
                <w:szCs w:val="25"/>
              </w:rPr>
            </w:pPr>
          </w:p>
          <w:p w:rsidR="00736ABE" w:rsidRDefault="00736ABE" w:rsidP="00F37926">
            <w:pPr>
              <w:tabs>
                <w:tab w:val="left" w:pos="2160"/>
              </w:tabs>
              <w:rPr>
                <w:sz w:val="25"/>
                <w:szCs w:val="25"/>
              </w:rPr>
            </w:pPr>
            <w:r>
              <w:rPr>
                <w:sz w:val="25"/>
                <w:szCs w:val="25"/>
              </w:rPr>
              <w:t>v.</w:t>
            </w:r>
          </w:p>
          <w:p w:rsidR="00736ABE" w:rsidRDefault="00736ABE" w:rsidP="00F37926">
            <w:pPr>
              <w:tabs>
                <w:tab w:val="left" w:pos="2160"/>
              </w:tabs>
              <w:rPr>
                <w:sz w:val="25"/>
                <w:szCs w:val="25"/>
              </w:rPr>
            </w:pPr>
          </w:p>
          <w:p w:rsidR="00736ABE" w:rsidRDefault="00736ABE" w:rsidP="00F37926">
            <w:pPr>
              <w:tabs>
                <w:tab w:val="left" w:pos="2160"/>
              </w:tabs>
              <w:rPr>
                <w:sz w:val="25"/>
                <w:szCs w:val="25"/>
              </w:rPr>
            </w:pPr>
            <w:r>
              <w:rPr>
                <w:sz w:val="25"/>
                <w:szCs w:val="25"/>
              </w:rPr>
              <w:t>SALMON SHORES RV PARK and PUGET SOUND ENERGY, INC.,</w:t>
            </w:r>
          </w:p>
          <w:p w:rsidR="00736ABE" w:rsidRDefault="00736ABE" w:rsidP="00F37926">
            <w:pPr>
              <w:tabs>
                <w:tab w:val="left" w:pos="2160"/>
              </w:tabs>
              <w:rPr>
                <w:sz w:val="25"/>
                <w:szCs w:val="25"/>
              </w:rPr>
            </w:pPr>
          </w:p>
          <w:p w:rsidR="00736ABE" w:rsidRPr="00D276C3" w:rsidRDefault="00736ABE" w:rsidP="00F37926">
            <w:pPr>
              <w:tabs>
                <w:tab w:val="left" w:pos="2160"/>
              </w:tabs>
              <w:rPr>
                <w:sz w:val="25"/>
                <w:szCs w:val="25"/>
              </w:rPr>
            </w:pPr>
            <w:r>
              <w:rPr>
                <w:sz w:val="25"/>
                <w:szCs w:val="25"/>
              </w:rPr>
              <w:tab/>
              <w:t>Respondents</w:t>
            </w:r>
            <w:r w:rsidRPr="00595D41">
              <w:t>.</w:t>
            </w:r>
          </w:p>
        </w:tc>
        <w:tc>
          <w:tcPr>
            <w:tcW w:w="4590" w:type="dxa"/>
            <w:tcBorders>
              <w:top w:val="single" w:sz="6" w:space="0" w:color="FFFFFF"/>
              <w:left w:val="single" w:sz="7" w:space="0" w:color="000000"/>
              <w:bottom w:val="single" w:sz="6" w:space="0" w:color="FFFFFF"/>
              <w:right w:val="single" w:sz="6" w:space="0" w:color="FFFFFF"/>
            </w:tcBorders>
          </w:tcPr>
          <w:p w:rsidR="00736ABE" w:rsidRDefault="00736ABE" w:rsidP="00F37926">
            <w:pPr>
              <w:ind w:left="416"/>
            </w:pPr>
          </w:p>
          <w:p w:rsidR="00736ABE" w:rsidRPr="004A2910" w:rsidRDefault="00736ABE" w:rsidP="00F37926">
            <w:pPr>
              <w:ind w:left="416"/>
            </w:pPr>
            <w:r>
              <w:t>DOCKET UE-091531</w:t>
            </w:r>
          </w:p>
          <w:p w:rsidR="00736ABE" w:rsidRPr="004A2910" w:rsidRDefault="00736ABE" w:rsidP="00F37926">
            <w:pPr>
              <w:ind w:left="416"/>
            </w:pPr>
          </w:p>
          <w:p w:rsidR="00736ABE" w:rsidRDefault="00736ABE" w:rsidP="00F37926">
            <w:pPr>
              <w:ind w:left="416"/>
            </w:pPr>
          </w:p>
          <w:p w:rsidR="00736ABE" w:rsidRDefault="00736ABE" w:rsidP="00F37926">
            <w:pPr>
              <w:ind w:left="416"/>
            </w:pPr>
            <w:r>
              <w:t>COMMISSION STAFF</w:t>
            </w:r>
            <w:r w:rsidR="008750FF">
              <w:t>’S</w:t>
            </w:r>
            <w:r>
              <w:t xml:space="preserve"> RESPONSE TO SALMON SHORES</w:t>
            </w:r>
            <w:r w:rsidR="006564AA">
              <w:t>’</w:t>
            </w:r>
            <w:r>
              <w:t xml:space="preserve"> MOTION FOR AN ORDER DISMISSING SALMON SHORES AS A RESPONDENT</w:t>
            </w:r>
          </w:p>
          <w:p w:rsidR="00736ABE" w:rsidRPr="004A2910" w:rsidRDefault="00736ABE" w:rsidP="00F37926">
            <w:pPr>
              <w:ind w:left="720"/>
            </w:pPr>
          </w:p>
        </w:tc>
      </w:tr>
    </w:tbl>
    <w:p w:rsidR="00736ABE" w:rsidRDefault="00736ABE" w:rsidP="00736ABE">
      <w:pPr>
        <w:spacing w:line="480" w:lineRule="auto"/>
      </w:pPr>
    </w:p>
    <w:p w:rsidR="007910C3" w:rsidRDefault="007302AD" w:rsidP="00ED7DA0">
      <w:pPr>
        <w:pStyle w:val="ListParagraph"/>
        <w:numPr>
          <w:ilvl w:val="0"/>
          <w:numId w:val="1"/>
        </w:numPr>
        <w:spacing w:line="480" w:lineRule="auto"/>
      </w:pPr>
      <w:r>
        <w:tab/>
      </w:r>
      <w:r w:rsidR="000806B4">
        <w:t>In</w:t>
      </w:r>
      <w:r w:rsidR="007910C3">
        <w:t xml:space="preserve"> “Salmon Shores Motion </w:t>
      </w:r>
      <w:r w:rsidR="000806B4">
        <w:t>f</w:t>
      </w:r>
      <w:r w:rsidR="007910C3">
        <w:t>or an Order Dismissing Salmon Shores as a Res</w:t>
      </w:r>
      <w:r w:rsidR="000806B4">
        <w:t>pondent” (May 3, 2010) (Motion),</w:t>
      </w:r>
      <w:r w:rsidR="007910C3">
        <w:t xml:space="preserve"> </w:t>
      </w:r>
      <w:r w:rsidR="00787A1C">
        <w:t xml:space="preserve">Salmon Shores </w:t>
      </w:r>
      <w:r w:rsidR="003D284F">
        <w:t xml:space="preserve">RV Park (Salmon Shores) </w:t>
      </w:r>
      <w:r w:rsidR="00787A1C">
        <w:t>asks the Commission to remove Salmon Shores as a respondent in this case, for “lack of jurisdiction and failure to state a claim upon which relief can be granted.”  Motion at</w:t>
      </w:r>
      <w:r w:rsidR="00A1622A">
        <w:t xml:space="preserve"> 2, paragraph 7.  </w:t>
      </w:r>
    </w:p>
    <w:p w:rsidR="00787A1C" w:rsidRDefault="00ED7DA0" w:rsidP="00ED7DA0">
      <w:pPr>
        <w:pStyle w:val="ListParagraph"/>
        <w:numPr>
          <w:ilvl w:val="0"/>
          <w:numId w:val="1"/>
        </w:numPr>
        <w:spacing w:line="480" w:lineRule="auto"/>
      </w:pPr>
      <w:r>
        <w:tab/>
      </w:r>
      <w:r w:rsidR="00A1622A">
        <w:t xml:space="preserve">Salmon </w:t>
      </w:r>
      <w:r w:rsidR="00BA38EC">
        <w:t>Shores’</w:t>
      </w:r>
      <w:r w:rsidR="00A1622A">
        <w:t xml:space="preserve"> argu</w:t>
      </w:r>
      <w:r w:rsidR="007302AD">
        <w:t>es</w:t>
      </w:r>
      <w:r w:rsidR="00787A1C">
        <w:t xml:space="preserve">: 1) </w:t>
      </w:r>
      <w:r w:rsidR="007302AD">
        <w:t>it</w:t>
      </w:r>
      <w:r w:rsidR="00A1622A">
        <w:t xml:space="preserve"> </w:t>
      </w:r>
      <w:r w:rsidR="008750FF">
        <w:t xml:space="preserve">is exempt from </w:t>
      </w:r>
      <w:r w:rsidR="00787A1C">
        <w:t xml:space="preserve">the definition of “electrical company” in RCW 80.04.010; </w:t>
      </w:r>
      <w:r w:rsidR="007302AD">
        <w:t>and</w:t>
      </w:r>
      <w:r w:rsidR="00787A1C">
        <w:t xml:space="preserve"> 2) </w:t>
      </w:r>
      <w:r w:rsidR="007302AD">
        <w:t>it</w:t>
      </w:r>
      <w:r w:rsidR="00787A1C">
        <w:t xml:space="preserve"> does not devote its property to public use, thus </w:t>
      </w:r>
      <w:r w:rsidR="003D284F">
        <w:t xml:space="preserve">it </w:t>
      </w:r>
      <w:r w:rsidR="00787A1C">
        <w:t>fail</w:t>
      </w:r>
      <w:r w:rsidR="003D284F">
        <w:t>s</w:t>
      </w:r>
      <w:r w:rsidR="00787A1C">
        <w:t xml:space="preserve"> the test enunciated by the court in </w:t>
      </w:r>
      <w:r w:rsidR="00787A1C" w:rsidRPr="00ED7DA0">
        <w:rPr>
          <w:i/>
        </w:rPr>
        <w:t xml:space="preserve">Inland Empire </w:t>
      </w:r>
      <w:r w:rsidR="00BA38EC" w:rsidRPr="00ED7DA0">
        <w:rPr>
          <w:i/>
        </w:rPr>
        <w:t>Electrification,</w:t>
      </w:r>
      <w:r w:rsidR="00787A1C" w:rsidRPr="00ED7DA0">
        <w:rPr>
          <w:i/>
        </w:rPr>
        <w:t xml:space="preserve"> Inc. v. Department of Public Service</w:t>
      </w:r>
      <w:r w:rsidR="00BA38EC" w:rsidRPr="00ED7DA0">
        <w:rPr>
          <w:i/>
        </w:rPr>
        <w:t xml:space="preserve">, </w:t>
      </w:r>
      <w:r w:rsidR="00BA38EC">
        <w:t>199</w:t>
      </w:r>
      <w:r w:rsidR="00787A1C">
        <w:t xml:space="preserve"> Wash. 527</w:t>
      </w:r>
      <w:r w:rsidR="006564AA">
        <w:t>, 92 P.2d 258 (</w:t>
      </w:r>
      <w:r w:rsidR="00787A1C">
        <w:t>193</w:t>
      </w:r>
      <w:r w:rsidR="006564AA">
        <w:t>9</w:t>
      </w:r>
      <w:r w:rsidR="00787A1C">
        <w:t>).  Motion at 3-4, paragraphs 10-12.</w:t>
      </w:r>
    </w:p>
    <w:p w:rsidR="008750FF" w:rsidRDefault="008750FF" w:rsidP="00ED7DA0">
      <w:pPr>
        <w:pStyle w:val="ListParagraph"/>
        <w:numPr>
          <w:ilvl w:val="0"/>
          <w:numId w:val="1"/>
        </w:numPr>
        <w:spacing w:line="480" w:lineRule="auto"/>
      </w:pPr>
      <w:r>
        <w:tab/>
        <w:t>For the reasons that follow, the Commission should grant Salmon Shores’ Motion, but it should reject Salmon Shores’ first argument regarding the statutory exemption.</w:t>
      </w:r>
    </w:p>
    <w:p w:rsidR="007910C3" w:rsidRDefault="007910C3" w:rsidP="00ED7DA0">
      <w:pPr>
        <w:keepNext/>
        <w:spacing w:line="480" w:lineRule="auto"/>
        <w:jc w:val="center"/>
        <w:rPr>
          <w:b/>
        </w:rPr>
      </w:pPr>
      <w:r>
        <w:rPr>
          <w:b/>
        </w:rPr>
        <w:t>Statute at Issue</w:t>
      </w:r>
    </w:p>
    <w:p w:rsidR="007910C3" w:rsidRPr="00ED7DA0" w:rsidRDefault="00ED7DA0" w:rsidP="00ED7DA0">
      <w:pPr>
        <w:pStyle w:val="ListParagraph"/>
        <w:numPr>
          <w:ilvl w:val="0"/>
          <w:numId w:val="1"/>
        </w:numPr>
        <w:spacing w:line="480" w:lineRule="auto"/>
        <w:rPr>
          <w:szCs w:val="24"/>
        </w:rPr>
      </w:pPr>
      <w:r>
        <w:tab/>
      </w:r>
      <w:r w:rsidR="007910C3">
        <w:t>RCW 80.04.010 defines “electrical compan</w:t>
      </w:r>
      <w:r w:rsidR="007910C3" w:rsidRPr="00ED7DA0">
        <w:rPr>
          <w:szCs w:val="24"/>
        </w:rPr>
        <w:t>y</w:t>
      </w:r>
      <w:r w:rsidR="00B40AF8">
        <w:rPr>
          <w:szCs w:val="24"/>
        </w:rPr>
        <w:t>”</w:t>
      </w:r>
      <w:r w:rsidR="007910C3" w:rsidRPr="00ED7DA0">
        <w:rPr>
          <w:szCs w:val="24"/>
        </w:rPr>
        <w:t xml:space="preserve"> as follows:</w:t>
      </w:r>
    </w:p>
    <w:p w:rsidR="007910C3" w:rsidRDefault="007910C3" w:rsidP="00ED7DA0">
      <w:pPr>
        <w:spacing w:line="276" w:lineRule="auto"/>
        <w:ind w:left="720"/>
        <w:rPr>
          <w:szCs w:val="24"/>
        </w:rPr>
      </w:pPr>
      <w:r w:rsidRPr="007910C3">
        <w:rPr>
          <w:szCs w:val="24"/>
        </w:rPr>
        <w:t xml:space="preserve"> </w:t>
      </w:r>
      <w:r>
        <w:rPr>
          <w:szCs w:val="24"/>
        </w:rPr>
        <w:t>“</w:t>
      </w:r>
      <w:r w:rsidRPr="007910C3">
        <w:rPr>
          <w:szCs w:val="24"/>
        </w:rPr>
        <w:t>Electrical company</w:t>
      </w:r>
      <w:r>
        <w:rPr>
          <w:szCs w:val="24"/>
        </w:rPr>
        <w:t>”</w:t>
      </w:r>
      <w:r w:rsidRPr="007910C3">
        <w:rPr>
          <w:szCs w:val="24"/>
        </w:rPr>
        <w:t xml:space="preserve"> includes any corporation, company, association, joint stock association, partnership and person, their lessees, trustees or receivers appointed by </w:t>
      </w:r>
      <w:r w:rsidRPr="007910C3">
        <w:rPr>
          <w:szCs w:val="24"/>
        </w:rPr>
        <w:lastRenderedPageBreak/>
        <w:t xml:space="preserve">any court whatsoever (other than a railroad or street railroad company generating electricity solely for railroad or street railroad purposes or for the use of its tenants and not for sale to others), and every city or town owning, operating or managing any electric plant for hire within this state. </w:t>
      </w:r>
      <w:r w:rsidR="00E378AD">
        <w:rPr>
          <w:szCs w:val="24"/>
        </w:rPr>
        <w:t>…</w:t>
      </w:r>
    </w:p>
    <w:p w:rsidR="00ED7DA0" w:rsidRPr="00ED7DA0" w:rsidRDefault="00ED7DA0" w:rsidP="00ED7DA0">
      <w:pPr>
        <w:spacing w:line="276" w:lineRule="auto"/>
        <w:rPr>
          <w:szCs w:val="24"/>
        </w:rPr>
      </w:pPr>
    </w:p>
    <w:p w:rsidR="007910C3" w:rsidRPr="007910C3" w:rsidRDefault="007910C3" w:rsidP="007910C3">
      <w:pPr>
        <w:spacing w:line="480" w:lineRule="auto"/>
        <w:jc w:val="center"/>
        <w:rPr>
          <w:b/>
        </w:rPr>
      </w:pPr>
      <w:r>
        <w:rPr>
          <w:b/>
        </w:rPr>
        <w:t>Discussion</w:t>
      </w:r>
    </w:p>
    <w:p w:rsidR="008750FF" w:rsidRDefault="00B40AF8" w:rsidP="00ED7DA0">
      <w:pPr>
        <w:pStyle w:val="ListParagraph"/>
        <w:numPr>
          <w:ilvl w:val="0"/>
          <w:numId w:val="1"/>
        </w:numPr>
        <w:spacing w:line="480" w:lineRule="auto"/>
      </w:pPr>
      <w:r>
        <w:tab/>
      </w:r>
      <w:r w:rsidR="008750FF">
        <w:t xml:space="preserve">Salmon Shores meets the literal definition of “electrical company” because it owns and operates the electric meters and other </w:t>
      </w:r>
      <w:r w:rsidR="003D284F">
        <w:t xml:space="preserve">electrical </w:t>
      </w:r>
      <w:r w:rsidR="008750FF">
        <w:t>facilities behind PSE’s meters that serve Salmon Shores’ tenants.</w:t>
      </w:r>
      <w:r w:rsidR="00D739C0">
        <w:t xml:space="preserve">  Motion at 2-3, paragraphs 3-4.</w:t>
      </w:r>
      <w:r w:rsidR="008750FF">
        <w:t xml:space="preserve">  Salmon Shores charges </w:t>
      </w:r>
      <w:r w:rsidR="003D284F">
        <w:t xml:space="preserve">tenants </w:t>
      </w:r>
      <w:r w:rsidR="008750FF">
        <w:t>for the electricity,</w:t>
      </w:r>
      <w:r w:rsidR="00D739C0">
        <w:t xml:space="preserve"> </w:t>
      </w:r>
      <w:r w:rsidR="00D739C0" w:rsidRPr="00904D03">
        <w:rPr>
          <w:i/>
        </w:rPr>
        <w:t>id</w:t>
      </w:r>
      <w:r w:rsidR="00D739C0">
        <w:t xml:space="preserve">., </w:t>
      </w:r>
      <w:r w:rsidR="008750FF">
        <w:t xml:space="preserve">so </w:t>
      </w:r>
      <w:r w:rsidR="00D739C0">
        <w:t xml:space="preserve">Salmon Shores </w:t>
      </w:r>
      <w:r w:rsidR="008750FF">
        <w:t>manages th</w:t>
      </w:r>
      <w:r w:rsidR="00D739C0">
        <w:t>at</w:t>
      </w:r>
      <w:r w:rsidR="008750FF">
        <w:t xml:space="preserve"> plant “for hire within this state.</w:t>
      </w:r>
      <w:r w:rsidR="003D284F">
        <w:t>”</w:t>
      </w:r>
      <w:r w:rsidR="0012154C">
        <w:rPr>
          <w:rStyle w:val="FootnoteReference"/>
        </w:rPr>
        <w:footnoteReference w:id="1"/>
      </w:r>
    </w:p>
    <w:p w:rsidR="007302AD" w:rsidRDefault="008750FF" w:rsidP="00ED7DA0">
      <w:pPr>
        <w:pStyle w:val="ListParagraph"/>
        <w:numPr>
          <w:ilvl w:val="0"/>
          <w:numId w:val="1"/>
        </w:numPr>
        <w:spacing w:line="480" w:lineRule="auto"/>
      </w:pPr>
      <w:r>
        <w:tab/>
      </w:r>
      <w:r w:rsidR="00787A1C">
        <w:t xml:space="preserve">Salmon </w:t>
      </w:r>
      <w:r w:rsidR="00BA38EC">
        <w:t>Shores</w:t>
      </w:r>
      <w:r w:rsidR="00A1622A">
        <w:t xml:space="preserve"> argu</w:t>
      </w:r>
      <w:r w:rsidR="006564AA">
        <w:t>es it is exempt from</w:t>
      </w:r>
      <w:r w:rsidR="00A1622A">
        <w:t xml:space="preserve"> th</w:t>
      </w:r>
      <w:r w:rsidR="007302AD">
        <w:t xml:space="preserve">e </w:t>
      </w:r>
      <w:r w:rsidR="00A1622A">
        <w:t>definition</w:t>
      </w:r>
      <w:r>
        <w:t xml:space="preserve"> </w:t>
      </w:r>
      <w:r w:rsidR="007302AD">
        <w:t xml:space="preserve">of electrical company (and thus exempt from Commission regulation) </w:t>
      </w:r>
      <w:r w:rsidR="009D79B8">
        <w:t>based on the phrase “</w:t>
      </w:r>
      <w:r w:rsidR="009D79B8" w:rsidRPr="007910C3">
        <w:rPr>
          <w:szCs w:val="24"/>
        </w:rPr>
        <w:t>or for the use of its tenants and not for sale to others</w:t>
      </w:r>
      <w:r w:rsidR="009D79B8">
        <w:rPr>
          <w:szCs w:val="24"/>
        </w:rPr>
        <w:t>”</w:t>
      </w:r>
      <w:r w:rsidR="00B40AF8">
        <w:rPr>
          <w:szCs w:val="24"/>
        </w:rPr>
        <w:t xml:space="preserve"> </w:t>
      </w:r>
      <w:r w:rsidR="00D739C0">
        <w:rPr>
          <w:szCs w:val="24"/>
        </w:rPr>
        <w:t xml:space="preserve">found </w:t>
      </w:r>
      <w:r w:rsidR="00B40AF8">
        <w:rPr>
          <w:szCs w:val="24"/>
        </w:rPr>
        <w:t>in the parenthe</w:t>
      </w:r>
      <w:r w:rsidR="00D739C0">
        <w:rPr>
          <w:szCs w:val="24"/>
        </w:rPr>
        <w:t>ses in</w:t>
      </w:r>
      <w:r>
        <w:rPr>
          <w:szCs w:val="24"/>
        </w:rPr>
        <w:t xml:space="preserve"> </w:t>
      </w:r>
      <w:r w:rsidR="00B40AF8">
        <w:rPr>
          <w:szCs w:val="24"/>
        </w:rPr>
        <w:t xml:space="preserve">RCW 80.04.010.  </w:t>
      </w:r>
      <w:r w:rsidR="009D79B8">
        <w:rPr>
          <w:szCs w:val="24"/>
        </w:rPr>
        <w:t xml:space="preserve">However, </w:t>
      </w:r>
      <w:r w:rsidR="006564AA">
        <w:t xml:space="preserve">the </w:t>
      </w:r>
      <w:r w:rsidR="009D79B8">
        <w:t xml:space="preserve">full </w:t>
      </w:r>
      <w:r w:rsidR="007302AD">
        <w:t>exemption language</w:t>
      </w:r>
      <w:r w:rsidR="009D79B8">
        <w:t xml:space="preserve"> is</w:t>
      </w:r>
      <w:r w:rsidR="00B40AF8">
        <w:t>:</w:t>
      </w:r>
      <w:r w:rsidR="009D79B8">
        <w:t xml:space="preserve"> </w:t>
      </w:r>
      <w:r w:rsidR="006564AA">
        <w:t xml:space="preserve">“other than a railroad or street railroad generating electricity solely for railroad or street railroad purposes </w:t>
      </w:r>
      <w:r w:rsidR="00787A1C" w:rsidRPr="009D79B8">
        <w:t>or for the use of its tenants and not for sale to others</w:t>
      </w:r>
      <w:r w:rsidR="006564AA" w:rsidRPr="009D79B8">
        <w:t>.</w:t>
      </w:r>
      <w:r w:rsidR="00787A1C" w:rsidRPr="009D79B8">
        <w:t>”</w:t>
      </w:r>
      <w:r w:rsidR="006564AA">
        <w:t xml:space="preserve">  </w:t>
      </w:r>
    </w:p>
    <w:p w:rsidR="009D79B8" w:rsidRPr="00787A1C" w:rsidRDefault="007302AD" w:rsidP="00ED7DA0">
      <w:pPr>
        <w:pStyle w:val="ListParagraph"/>
        <w:numPr>
          <w:ilvl w:val="0"/>
          <w:numId w:val="1"/>
        </w:numPr>
        <w:spacing w:line="480" w:lineRule="auto"/>
      </w:pPr>
      <w:r>
        <w:tab/>
      </w:r>
      <w:r w:rsidR="009D79B8">
        <w:t>Th</w:t>
      </w:r>
      <w:r w:rsidR="00B40AF8">
        <w:t xml:space="preserve">us, the </w:t>
      </w:r>
      <w:r w:rsidR="00D739C0">
        <w:t xml:space="preserve">exemption </w:t>
      </w:r>
      <w:r w:rsidR="00787A1C">
        <w:t xml:space="preserve">applies only </w:t>
      </w:r>
      <w:r>
        <w:t>to a</w:t>
      </w:r>
      <w:r w:rsidR="006564AA">
        <w:t xml:space="preserve"> </w:t>
      </w:r>
      <w:r w:rsidR="00787A1C">
        <w:t xml:space="preserve">railroad or </w:t>
      </w:r>
      <w:r w:rsidR="006564AA">
        <w:t xml:space="preserve">a </w:t>
      </w:r>
      <w:r w:rsidR="00787A1C">
        <w:t>street railroad</w:t>
      </w:r>
      <w:r w:rsidR="00B40AF8">
        <w:t>, and</w:t>
      </w:r>
      <w:r w:rsidR="00D739C0">
        <w:t xml:space="preserve"> </w:t>
      </w:r>
      <w:r w:rsidR="00B40AF8">
        <w:t xml:space="preserve">only if </w:t>
      </w:r>
      <w:r w:rsidR="00D739C0">
        <w:t>they</w:t>
      </w:r>
      <w:r w:rsidR="00B40AF8">
        <w:t xml:space="preserve"> generate electricity for </w:t>
      </w:r>
      <w:r w:rsidR="00D739C0">
        <w:t>their</w:t>
      </w:r>
      <w:r w:rsidR="00B40AF8">
        <w:t xml:space="preserve"> tenant’s use.  Salmon Shores is neither a railroad nor a street railroad, and Salmon Shores does not generate electricity.  Consequently, </w:t>
      </w:r>
      <w:r w:rsidR="006564AA">
        <w:t>t</w:t>
      </w:r>
      <w:r w:rsidR="00787A1C">
        <w:t>h</w:t>
      </w:r>
      <w:r w:rsidR="00E378AD">
        <w:t xml:space="preserve">e </w:t>
      </w:r>
      <w:r w:rsidR="00B40AF8">
        <w:t>exemption in RCW 80.04.01</w:t>
      </w:r>
      <w:r w:rsidR="008750FF">
        <w:t>0</w:t>
      </w:r>
      <w:r w:rsidR="00B40AF8">
        <w:t xml:space="preserve"> </w:t>
      </w:r>
      <w:r w:rsidR="00E378AD">
        <w:t xml:space="preserve">regarding </w:t>
      </w:r>
      <w:r w:rsidR="006564AA">
        <w:t>“</w:t>
      </w:r>
      <w:r w:rsidR="00E378AD">
        <w:t>tenants</w:t>
      </w:r>
      <w:r w:rsidR="006564AA">
        <w:t>”</w:t>
      </w:r>
      <w:r w:rsidR="00E378AD">
        <w:t xml:space="preserve"> of a railroad or street railroad </w:t>
      </w:r>
      <w:r w:rsidR="00787A1C">
        <w:t xml:space="preserve">does not apply </w:t>
      </w:r>
      <w:r w:rsidR="00B40AF8">
        <w:t>to Salmon Shores.</w:t>
      </w:r>
      <w:r>
        <w:t xml:space="preserve">  </w:t>
      </w:r>
      <w:r w:rsidR="00D739C0">
        <w:t xml:space="preserve">Of course, </w:t>
      </w:r>
      <w:r w:rsidR="008750FF">
        <w:t>though</w:t>
      </w:r>
      <w:r w:rsidR="000806B4">
        <w:t xml:space="preserve"> </w:t>
      </w:r>
      <w:r w:rsidR="009D79B8">
        <w:t>Salmon Shores meets the literal definition of “electrical company” in RCW 80.04.010</w:t>
      </w:r>
      <w:r w:rsidR="000806B4">
        <w:t>, that does not end the matter</w:t>
      </w:r>
      <w:r w:rsidR="009D79B8">
        <w:t>.</w:t>
      </w:r>
      <w:r w:rsidR="00787A1C">
        <w:t xml:space="preserve">   </w:t>
      </w:r>
      <w:r w:rsidR="001C0662">
        <w:t>I</w:t>
      </w:r>
      <w:r w:rsidR="00B40AF8">
        <w:t>n</w:t>
      </w:r>
      <w:r w:rsidR="009D79B8">
        <w:t xml:space="preserve"> both the </w:t>
      </w:r>
      <w:r w:rsidR="009D79B8" w:rsidRPr="007302AD">
        <w:rPr>
          <w:i/>
        </w:rPr>
        <w:t xml:space="preserve">Inland Empire </w:t>
      </w:r>
      <w:r w:rsidR="009D79B8">
        <w:t xml:space="preserve">and </w:t>
      </w:r>
      <w:r w:rsidR="009D79B8" w:rsidRPr="007302AD">
        <w:rPr>
          <w:i/>
        </w:rPr>
        <w:t>Nob Hill</w:t>
      </w:r>
      <w:r w:rsidR="009D79B8">
        <w:t>,</w:t>
      </w:r>
      <w:r w:rsidR="001C0662">
        <w:rPr>
          <w:rStyle w:val="FootnoteReference"/>
        </w:rPr>
        <w:footnoteReference w:id="2"/>
      </w:r>
      <w:r w:rsidR="009D79B8">
        <w:t xml:space="preserve"> the court concluded that </w:t>
      </w:r>
      <w:r w:rsidR="00B40AF8">
        <w:t xml:space="preserve">Inland Empire Electrification, Inc. and Nob Hill Water Co. </w:t>
      </w:r>
      <w:r w:rsidR="009D79B8">
        <w:t xml:space="preserve">met the literal </w:t>
      </w:r>
      <w:r w:rsidR="008750FF">
        <w:t xml:space="preserve">statutory </w:t>
      </w:r>
      <w:r w:rsidR="009D79B8">
        <w:t>definition</w:t>
      </w:r>
      <w:r w:rsidR="008750FF">
        <w:t>s</w:t>
      </w:r>
      <w:r w:rsidR="009D79B8">
        <w:t xml:space="preserve"> of an “electrical company” </w:t>
      </w:r>
      <w:r w:rsidR="00B40AF8">
        <w:t>and</w:t>
      </w:r>
      <w:r w:rsidR="009D79B8">
        <w:t xml:space="preserve"> a “water company,” </w:t>
      </w:r>
      <w:r w:rsidR="009D79B8">
        <w:lastRenderedPageBreak/>
        <w:t>respectively</w:t>
      </w:r>
      <w:r w:rsidR="001C0662">
        <w:t>,</w:t>
      </w:r>
      <w:r w:rsidR="008750FF">
        <w:rPr>
          <w:rStyle w:val="FootnoteReference"/>
        </w:rPr>
        <w:footnoteReference w:id="3"/>
      </w:r>
      <w:r w:rsidR="008750FF">
        <w:t xml:space="preserve"> </w:t>
      </w:r>
      <w:r w:rsidR="001C0662">
        <w:t>but held neither was subject to</w:t>
      </w:r>
      <w:r w:rsidR="003D284F">
        <w:t xml:space="preserve"> commission regulation because</w:t>
      </w:r>
      <w:r w:rsidR="009D79B8">
        <w:t xml:space="preserve"> the</w:t>
      </w:r>
      <w:r w:rsidR="003D284F">
        <w:t xml:space="preserve">y did not </w:t>
      </w:r>
      <w:r w:rsidR="009D79B8">
        <w:t xml:space="preserve">devote </w:t>
      </w:r>
      <w:r w:rsidR="008750FF">
        <w:t>their</w:t>
      </w:r>
      <w:r w:rsidR="009D79B8">
        <w:t xml:space="preserve"> property to public use.</w:t>
      </w:r>
    </w:p>
    <w:p w:rsidR="00E378AD" w:rsidRDefault="00ED7DA0" w:rsidP="00ED7DA0">
      <w:pPr>
        <w:pStyle w:val="ListParagraph"/>
        <w:numPr>
          <w:ilvl w:val="0"/>
          <w:numId w:val="1"/>
        </w:numPr>
        <w:spacing w:line="480" w:lineRule="auto"/>
      </w:pPr>
      <w:r>
        <w:tab/>
      </w:r>
      <w:r w:rsidR="000806B4">
        <w:t>Th</w:t>
      </w:r>
      <w:r w:rsidR="001C0662">
        <w:t>us,</w:t>
      </w:r>
      <w:r w:rsidR="000806B4">
        <w:t xml:space="preserve"> </w:t>
      </w:r>
      <w:r w:rsidR="00787A1C">
        <w:t xml:space="preserve">Salmon </w:t>
      </w:r>
      <w:r w:rsidR="00BA38EC">
        <w:t>Shores</w:t>
      </w:r>
      <w:r w:rsidR="000806B4">
        <w:t xml:space="preserve">’ </w:t>
      </w:r>
      <w:r w:rsidR="00787A1C">
        <w:t>appli</w:t>
      </w:r>
      <w:r w:rsidR="006564AA">
        <w:t>es</w:t>
      </w:r>
      <w:r w:rsidR="00787A1C">
        <w:t xml:space="preserve"> the </w:t>
      </w:r>
      <w:r w:rsidR="00787A1C" w:rsidRPr="003D284F">
        <w:rPr>
          <w:i/>
        </w:rPr>
        <w:t xml:space="preserve">Inland Empire </w:t>
      </w:r>
      <w:r w:rsidR="00B40AF8">
        <w:t xml:space="preserve">and </w:t>
      </w:r>
      <w:r w:rsidR="00B40AF8" w:rsidRPr="003D284F">
        <w:rPr>
          <w:i/>
        </w:rPr>
        <w:t xml:space="preserve">Nob Hill </w:t>
      </w:r>
      <w:r w:rsidR="00787A1C">
        <w:t>analysis</w:t>
      </w:r>
      <w:r w:rsidR="006564AA">
        <w:t xml:space="preserve"> </w:t>
      </w:r>
      <w:r w:rsidR="000806B4">
        <w:t>to conclu</w:t>
      </w:r>
      <w:r w:rsidR="008750FF">
        <w:t>de</w:t>
      </w:r>
      <w:r w:rsidR="000806B4">
        <w:t xml:space="preserve"> </w:t>
      </w:r>
      <w:r w:rsidR="006564AA">
        <w:t xml:space="preserve">that Salmon Shores is not subject to regulation because it does not devote its property to public use.  </w:t>
      </w:r>
      <w:r w:rsidR="00B40AF8">
        <w:t xml:space="preserve">Staff </w:t>
      </w:r>
      <w:r w:rsidR="001C0662">
        <w:t xml:space="preserve">reached the same conclusion </w:t>
      </w:r>
      <w:r w:rsidR="00B40AF8">
        <w:t>in its</w:t>
      </w:r>
      <w:r w:rsidR="00A1622A">
        <w:t xml:space="preserve"> April 28, 2010</w:t>
      </w:r>
      <w:r w:rsidR="008750FF">
        <w:t>,</w:t>
      </w:r>
      <w:r w:rsidR="00B40AF8">
        <w:t xml:space="preserve"> motion in this docket</w:t>
      </w:r>
      <w:r w:rsidR="00A1622A">
        <w:t>.  Consequently</w:t>
      </w:r>
      <w:r w:rsidR="00787A1C">
        <w:t xml:space="preserve">, </w:t>
      </w:r>
      <w:r w:rsidR="003D284F">
        <w:t xml:space="preserve">we </w:t>
      </w:r>
      <w:r w:rsidR="001C0662">
        <w:t xml:space="preserve">reply by </w:t>
      </w:r>
      <w:r w:rsidR="003D284F">
        <w:t>refer</w:t>
      </w:r>
      <w:r w:rsidR="001C0662">
        <w:t>ring</w:t>
      </w:r>
      <w:r w:rsidR="003D284F">
        <w:t xml:space="preserve"> the Commission to that </w:t>
      </w:r>
      <w:r w:rsidR="001C0662">
        <w:t>motion</w:t>
      </w:r>
      <w:r w:rsidR="009D79B8">
        <w:t>.</w:t>
      </w:r>
      <w:r w:rsidR="00787A1C">
        <w:rPr>
          <w:rStyle w:val="FootnoteReference"/>
        </w:rPr>
        <w:footnoteReference w:id="4"/>
      </w:r>
      <w:r w:rsidR="00787A1C">
        <w:t xml:space="preserve"> </w:t>
      </w:r>
      <w:r w:rsidR="00C64628">
        <w:t xml:space="preserve"> </w:t>
      </w:r>
    </w:p>
    <w:p w:rsidR="00E378AD" w:rsidRDefault="00E378AD" w:rsidP="00E378AD">
      <w:pPr>
        <w:spacing w:line="480" w:lineRule="auto"/>
        <w:jc w:val="center"/>
        <w:rPr>
          <w:b/>
        </w:rPr>
      </w:pPr>
      <w:r>
        <w:rPr>
          <w:b/>
        </w:rPr>
        <w:t>Conclusions</w:t>
      </w:r>
    </w:p>
    <w:p w:rsidR="00E378AD" w:rsidRPr="00ED7DA0" w:rsidRDefault="00ED7DA0" w:rsidP="00ED7DA0">
      <w:pPr>
        <w:pStyle w:val="ListParagraph"/>
        <w:numPr>
          <w:ilvl w:val="0"/>
          <w:numId w:val="1"/>
        </w:numPr>
        <w:spacing w:line="480" w:lineRule="auto"/>
        <w:rPr>
          <w:b/>
        </w:rPr>
      </w:pPr>
      <w:r>
        <w:tab/>
      </w:r>
      <w:r w:rsidR="00E378AD">
        <w:t xml:space="preserve">The Commission should grant Salmon Shores’ Motion on the basis Salmon Shores </w:t>
      </w:r>
      <w:r w:rsidR="003D284F">
        <w:t xml:space="preserve">does </w:t>
      </w:r>
      <w:r w:rsidR="00E378AD">
        <w:t>not devote its property to public use</w:t>
      </w:r>
      <w:r w:rsidR="003D284F">
        <w:t>, and thus is not subject to commission jurisdiction</w:t>
      </w:r>
      <w:r w:rsidR="000806B4">
        <w:t xml:space="preserve">.  </w:t>
      </w:r>
      <w:r w:rsidR="00BD2C74">
        <w:t>T</w:t>
      </w:r>
      <w:r w:rsidR="008750FF" w:rsidRPr="008750FF">
        <w:t>he Commission should not decide that issue based on Salmon Shores’ characterization of the EAC.</w:t>
      </w:r>
      <w:r w:rsidR="001C0662">
        <w:t xml:space="preserve">  The Commission should reject Salmon Shores’ argument that it qualifies for the exemption in </w:t>
      </w:r>
      <w:r w:rsidR="00BD2C74">
        <w:t xml:space="preserve">the definition of “electrical company” in </w:t>
      </w:r>
      <w:r w:rsidR="001C0662">
        <w:t xml:space="preserve">RCW 80.04.010.  </w:t>
      </w:r>
    </w:p>
    <w:p w:rsidR="00736ABE" w:rsidRDefault="00904D03" w:rsidP="00BD2C74">
      <w:pPr>
        <w:ind w:firstLine="720"/>
      </w:pPr>
      <w:r>
        <w:t>DATED this 1</w:t>
      </w:r>
      <w:r w:rsidR="0020579F">
        <w:t>9</w:t>
      </w:r>
      <w:r w:rsidRPr="00904D03">
        <w:rPr>
          <w:vertAlign w:val="superscript"/>
        </w:rPr>
        <w:t>th</w:t>
      </w:r>
      <w:r>
        <w:t xml:space="preserve"> </w:t>
      </w:r>
      <w:r w:rsidRPr="004A2910">
        <w:t>day of</w:t>
      </w:r>
      <w:r>
        <w:t xml:space="preserve"> May</w:t>
      </w:r>
      <w:r w:rsidRPr="004A2910">
        <w:t xml:space="preserve"> 20</w:t>
      </w:r>
      <w:r>
        <w:t>10</w:t>
      </w:r>
      <w:r w:rsidRPr="004A2910">
        <w:t>.</w:t>
      </w:r>
      <w:r>
        <w:t xml:space="preserve">  </w:t>
      </w:r>
    </w:p>
    <w:p w:rsidR="00736ABE" w:rsidRPr="004A2910" w:rsidRDefault="00736ABE" w:rsidP="00736ABE">
      <w:pPr>
        <w:ind w:left="3600" w:firstLine="720"/>
      </w:pPr>
      <w:r>
        <w:t xml:space="preserve">Respectfully submitted, </w:t>
      </w:r>
    </w:p>
    <w:p w:rsidR="00736ABE" w:rsidRPr="004A2910" w:rsidRDefault="00736ABE" w:rsidP="00736ABE">
      <w:pPr>
        <w:pStyle w:val="BodyTextIndent2"/>
        <w:ind w:left="4320"/>
        <w:rPr>
          <w:rFonts w:ascii="Times New Roman" w:hAnsi="Times New Roman"/>
        </w:rPr>
      </w:pPr>
    </w:p>
    <w:p w:rsidR="00736ABE" w:rsidRPr="004A2910" w:rsidRDefault="00736ABE" w:rsidP="00736ABE">
      <w:pPr>
        <w:ind w:left="4320"/>
        <w:jc w:val="both"/>
      </w:pPr>
      <w:r w:rsidRPr="004A2910">
        <w:t>ROB</w:t>
      </w:r>
      <w:r>
        <w:t>ERT M.</w:t>
      </w:r>
      <w:r w:rsidRPr="004A2910">
        <w:t xml:space="preserve"> MCKENNA </w:t>
      </w:r>
    </w:p>
    <w:p w:rsidR="00736ABE" w:rsidRPr="004A2910" w:rsidRDefault="00736ABE" w:rsidP="00736ABE">
      <w:pPr>
        <w:ind w:left="4320"/>
        <w:jc w:val="both"/>
      </w:pPr>
      <w:r w:rsidRPr="004A2910">
        <w:t>Attorney General</w:t>
      </w:r>
    </w:p>
    <w:p w:rsidR="001C0662" w:rsidRDefault="001C0662" w:rsidP="00736ABE">
      <w:pPr>
        <w:ind w:left="4320"/>
        <w:jc w:val="both"/>
      </w:pPr>
    </w:p>
    <w:p w:rsidR="00736ABE" w:rsidRPr="004A2910" w:rsidRDefault="00736ABE" w:rsidP="00736ABE">
      <w:pPr>
        <w:ind w:left="4320"/>
        <w:jc w:val="both"/>
      </w:pPr>
      <w:r>
        <w:t>_____________________</w:t>
      </w:r>
    </w:p>
    <w:p w:rsidR="00736ABE" w:rsidRPr="004A2910" w:rsidRDefault="00736ABE" w:rsidP="00736ABE">
      <w:pPr>
        <w:ind w:left="4320"/>
        <w:jc w:val="both"/>
      </w:pPr>
      <w:r>
        <w:t>DONALD T. TROTTER</w:t>
      </w:r>
    </w:p>
    <w:p w:rsidR="00736ABE" w:rsidRPr="004A2910" w:rsidRDefault="00736ABE" w:rsidP="00736ABE">
      <w:pPr>
        <w:ind w:left="4320"/>
        <w:jc w:val="both"/>
      </w:pPr>
      <w:r w:rsidRPr="004A2910">
        <w:t>Assistant Attorney General</w:t>
      </w:r>
    </w:p>
    <w:p w:rsidR="00787A1C" w:rsidRDefault="00736ABE" w:rsidP="000A0E4D">
      <w:pPr>
        <w:ind w:left="4320"/>
        <w:jc w:val="both"/>
      </w:pPr>
      <w:r w:rsidRPr="004A2910">
        <w:t xml:space="preserve">Counsel for </w:t>
      </w:r>
      <w:r>
        <w:t xml:space="preserve">Staff of the </w:t>
      </w:r>
      <w:r w:rsidRPr="004A2910">
        <w:t>Washington Utilities and</w:t>
      </w:r>
      <w:r>
        <w:t xml:space="preserve"> Transportation Commission </w:t>
      </w:r>
    </w:p>
    <w:sectPr w:rsidR="00787A1C" w:rsidSect="00ED7DA0">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1F8" w:rsidRDefault="002D51F8" w:rsidP="00787A1C">
      <w:r>
        <w:separator/>
      </w:r>
    </w:p>
  </w:endnote>
  <w:endnote w:type="continuationSeparator" w:id="0">
    <w:p w:rsidR="002D51F8" w:rsidRDefault="002D51F8" w:rsidP="00787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8C" w:rsidRPr="00736ABE" w:rsidRDefault="0072508C">
    <w:pPr>
      <w:pStyle w:val="Footer"/>
      <w:rPr>
        <w:sz w:val="20"/>
      </w:rPr>
    </w:pPr>
  </w:p>
  <w:p w:rsidR="0072508C" w:rsidRDefault="0072508C">
    <w:pPr>
      <w:pStyle w:val="Footer"/>
      <w:rPr>
        <w:sz w:val="20"/>
      </w:rPr>
    </w:pPr>
    <w:r w:rsidRPr="00736ABE">
      <w:rPr>
        <w:sz w:val="20"/>
      </w:rPr>
      <w:t xml:space="preserve">STAFF RESPONSE TO SALMON SHORES MOTION FOR AN </w:t>
    </w:r>
  </w:p>
  <w:p w:rsidR="0072508C" w:rsidRPr="00736ABE" w:rsidRDefault="00904D03">
    <w:pPr>
      <w:pStyle w:val="Footer"/>
      <w:rPr>
        <w:sz w:val="20"/>
      </w:rPr>
    </w:pPr>
    <w:r>
      <w:rPr>
        <w:sz w:val="20"/>
      </w:rPr>
      <w:t xml:space="preserve">ORDER DISMISSING </w:t>
    </w:r>
    <w:r w:rsidR="0072508C">
      <w:rPr>
        <w:sz w:val="20"/>
      </w:rPr>
      <w:t>SALMON SHORES</w:t>
    </w:r>
    <w:r w:rsidR="0072508C" w:rsidRPr="00736ABE">
      <w:rPr>
        <w:sz w:val="20"/>
      </w:rPr>
      <w:t xml:space="preserve"> AS A RESPONDENT - </w:t>
    </w:r>
    <w:r w:rsidR="0088605A" w:rsidRPr="00736ABE">
      <w:rPr>
        <w:sz w:val="20"/>
      </w:rPr>
      <w:fldChar w:fldCharType="begin"/>
    </w:r>
    <w:r w:rsidR="0072508C" w:rsidRPr="00736ABE">
      <w:rPr>
        <w:sz w:val="20"/>
      </w:rPr>
      <w:instrText xml:space="preserve"> PAGE   \* MERGEFORMAT </w:instrText>
    </w:r>
    <w:r w:rsidR="0088605A" w:rsidRPr="00736ABE">
      <w:rPr>
        <w:sz w:val="20"/>
      </w:rPr>
      <w:fldChar w:fldCharType="separate"/>
    </w:r>
    <w:r w:rsidR="0020579F">
      <w:rPr>
        <w:noProof/>
        <w:sz w:val="20"/>
      </w:rPr>
      <w:t>3</w:t>
    </w:r>
    <w:r w:rsidR="0088605A" w:rsidRPr="00736AB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1F8" w:rsidRDefault="002D51F8" w:rsidP="00787A1C">
      <w:r>
        <w:separator/>
      </w:r>
    </w:p>
  </w:footnote>
  <w:footnote w:type="continuationSeparator" w:id="0">
    <w:p w:rsidR="002D51F8" w:rsidRDefault="002D51F8" w:rsidP="00787A1C">
      <w:r>
        <w:continuationSeparator/>
      </w:r>
    </w:p>
  </w:footnote>
  <w:footnote w:id="1">
    <w:p w:rsidR="0012154C" w:rsidRDefault="0012154C">
      <w:pPr>
        <w:pStyle w:val="FootnoteText"/>
      </w:pPr>
      <w:r>
        <w:rPr>
          <w:rStyle w:val="FootnoteReference"/>
        </w:rPr>
        <w:footnoteRef/>
      </w:r>
      <w:r>
        <w:t xml:space="preserve"> It is possible the “for hire” language includes a service to the public element.  </w:t>
      </w:r>
      <w:r w:rsidR="007302AD">
        <w:t>T</w:t>
      </w:r>
      <w:r>
        <w:t xml:space="preserve">hat </w:t>
      </w:r>
      <w:r w:rsidR="007302AD">
        <w:t>element is presented in RCW 80.01.040(3), which we discussed in our April 28, 2010, Motion on Behalf of Commission Staff to Dismiss Complaint as to Salmon Shores RV Park.</w:t>
      </w:r>
      <w:r>
        <w:t xml:space="preserve"> </w:t>
      </w:r>
    </w:p>
  </w:footnote>
  <w:footnote w:id="2">
    <w:p w:rsidR="0072508C" w:rsidRDefault="0072508C">
      <w:pPr>
        <w:pStyle w:val="FootnoteText"/>
      </w:pPr>
      <w:r>
        <w:rPr>
          <w:rStyle w:val="FootnoteReference"/>
        </w:rPr>
        <w:footnoteRef/>
      </w:r>
      <w:r>
        <w:t xml:space="preserve"> </w:t>
      </w:r>
      <w:r w:rsidRPr="002A3D74">
        <w:rPr>
          <w:i/>
        </w:rPr>
        <w:t xml:space="preserve">West Valley Land </w:t>
      </w:r>
      <w:r>
        <w:rPr>
          <w:i/>
        </w:rPr>
        <w:t xml:space="preserve">Co., Inc. </w:t>
      </w:r>
      <w:r w:rsidRPr="002A3D74">
        <w:rPr>
          <w:i/>
        </w:rPr>
        <w:t xml:space="preserve">v. Nob Hill Water Co., </w:t>
      </w:r>
      <w:r>
        <w:t>107 Wn.2d 359, 729 P.2d 42 (1986).</w:t>
      </w:r>
    </w:p>
  </w:footnote>
  <w:footnote w:id="3">
    <w:p w:rsidR="0072508C" w:rsidRPr="009D79B8" w:rsidRDefault="0072508C" w:rsidP="008750FF">
      <w:pPr>
        <w:pStyle w:val="FootnoteText"/>
      </w:pPr>
      <w:r>
        <w:rPr>
          <w:rStyle w:val="FootnoteReference"/>
        </w:rPr>
        <w:footnoteRef/>
      </w:r>
      <w:r>
        <w:t xml:space="preserve"> </w:t>
      </w:r>
      <w:r>
        <w:rPr>
          <w:i/>
        </w:rPr>
        <w:t xml:space="preserve">Inland Empire, </w:t>
      </w:r>
      <w:r>
        <w:t xml:space="preserve">199 Wash. At 534-35: “It is apparent that, upon a literal interpretation of the definitions [of electrical company], respondent would come within the scope of the regulatory provisions of the [statute]. … However, the question … is whether, despite these literal definitions, respondent </w:t>
      </w:r>
      <w:r w:rsidRPr="00F37926">
        <w:rPr>
          <w:i/>
        </w:rPr>
        <w:t>is</w:t>
      </w:r>
      <w:r>
        <w:t xml:space="preserve">, in fact and law, a </w:t>
      </w:r>
      <w:r w:rsidRPr="00F37926">
        <w:rPr>
          <w:i/>
        </w:rPr>
        <w:t>public service corporation</w:t>
      </w:r>
      <w:r>
        <w:t xml:space="preserve"> within the purview of the public service commission law.”  (Emphasis in original).  </w:t>
      </w:r>
      <w:r w:rsidRPr="002A3D74">
        <w:rPr>
          <w:i/>
        </w:rPr>
        <w:t>Nob Hill</w:t>
      </w:r>
      <w:r>
        <w:rPr>
          <w:i/>
        </w:rPr>
        <w:t xml:space="preserve">, </w:t>
      </w:r>
      <w:r>
        <w:t xml:space="preserve">107 Wn.2d at 364: “Under a literal application of the definitions set forth in RCW 80.04., Nob Hill would come within the scope of the regulatory provisions of RCW 80.04.”  The court went on to apply the test enunciated in </w:t>
      </w:r>
      <w:r>
        <w:rPr>
          <w:i/>
        </w:rPr>
        <w:t>Inland Empire</w:t>
      </w:r>
      <w:r>
        <w:t>, and found Nob Hill was not subject to Commission regulation.</w:t>
      </w:r>
    </w:p>
  </w:footnote>
  <w:footnote w:id="4">
    <w:p w:rsidR="0072508C" w:rsidRDefault="0072508C" w:rsidP="00787A1C">
      <w:pPr>
        <w:pStyle w:val="FootnoteText"/>
      </w:pPr>
      <w:r>
        <w:rPr>
          <w:rStyle w:val="FootnoteReference"/>
        </w:rPr>
        <w:footnoteRef/>
      </w:r>
      <w:r>
        <w:t xml:space="preserve"> Salmon Shores characterizes the Energy Availability Charge (EAC) as a charge that recovers Salmon Shores’ electricity-related billing and collecting costs.  Motion at 2, paragraph 6.  </w:t>
      </w:r>
      <w:r w:rsidR="00347C26">
        <w:t xml:space="preserve">The EAC is not relevant to Salmon Shores’ Motion, so the Commission </w:t>
      </w:r>
      <w:r>
        <w:t xml:space="preserve">need not resolve that issue in </w:t>
      </w:r>
      <w:r w:rsidR="00347C26">
        <w:t xml:space="preserve">the context of </w:t>
      </w:r>
      <w:r>
        <w:t xml:space="preserve">Salmon Shores’ Motion.  Staff addresses Salmon Shores’ characterization of the EAC in Staff’s response to PSE’s </w:t>
      </w:r>
      <w:r w:rsidR="00BD2C74">
        <w:t>“M</w:t>
      </w:r>
      <w:r>
        <w:t>otion</w:t>
      </w:r>
      <w:r w:rsidR="00BD2C74">
        <w:t xml:space="preserve"> for Summary Determination” (April 14, 2010)</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404"/>
    <w:multiLevelType w:val="hybridMultilevel"/>
    <w:tmpl w:val="744E38FE"/>
    <w:lvl w:ilvl="0" w:tplc="25DCD6D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9520FD6"/>
    <w:multiLevelType w:val="hybridMultilevel"/>
    <w:tmpl w:val="CB5C17C0"/>
    <w:lvl w:ilvl="0" w:tplc="25DCD6D8">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251599"/>
    <w:multiLevelType w:val="hybridMultilevel"/>
    <w:tmpl w:val="A092763E"/>
    <w:lvl w:ilvl="0" w:tplc="25DCD6D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87A1C"/>
    <w:rsid w:val="00010A1C"/>
    <w:rsid w:val="000806B4"/>
    <w:rsid w:val="000A0E4D"/>
    <w:rsid w:val="0012154C"/>
    <w:rsid w:val="0019619F"/>
    <w:rsid w:val="001C0662"/>
    <w:rsid w:val="0020579F"/>
    <w:rsid w:val="002B2644"/>
    <w:rsid w:val="002D51F8"/>
    <w:rsid w:val="00312BAD"/>
    <w:rsid w:val="00347C26"/>
    <w:rsid w:val="00367261"/>
    <w:rsid w:val="003A40AE"/>
    <w:rsid w:val="003D284F"/>
    <w:rsid w:val="00494089"/>
    <w:rsid w:val="00573A13"/>
    <w:rsid w:val="00616BC1"/>
    <w:rsid w:val="006564AA"/>
    <w:rsid w:val="0072508C"/>
    <w:rsid w:val="007302AD"/>
    <w:rsid w:val="00736ABE"/>
    <w:rsid w:val="00787A1C"/>
    <w:rsid w:val="007910C3"/>
    <w:rsid w:val="008750FF"/>
    <w:rsid w:val="008810A8"/>
    <w:rsid w:val="0088605A"/>
    <w:rsid w:val="00904D03"/>
    <w:rsid w:val="009852D6"/>
    <w:rsid w:val="009D79B8"/>
    <w:rsid w:val="00A1622A"/>
    <w:rsid w:val="00B40AF8"/>
    <w:rsid w:val="00B80AD6"/>
    <w:rsid w:val="00BA38EC"/>
    <w:rsid w:val="00BB2909"/>
    <w:rsid w:val="00BD2C74"/>
    <w:rsid w:val="00C64628"/>
    <w:rsid w:val="00CB1F51"/>
    <w:rsid w:val="00D52F40"/>
    <w:rsid w:val="00D739C0"/>
    <w:rsid w:val="00E378AD"/>
    <w:rsid w:val="00ED7DA0"/>
    <w:rsid w:val="00F37926"/>
    <w:rsid w:val="00F65D18"/>
    <w:rsid w:val="00FD3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7A1C"/>
    <w:rPr>
      <w:sz w:val="20"/>
    </w:rPr>
  </w:style>
  <w:style w:type="character" w:customStyle="1" w:styleId="FootnoteTextChar">
    <w:name w:val="Footnote Text Char"/>
    <w:basedOn w:val="DefaultParagraphFont"/>
    <w:link w:val="FootnoteText"/>
    <w:uiPriority w:val="99"/>
    <w:semiHidden/>
    <w:rsid w:val="00787A1C"/>
    <w:rPr>
      <w:sz w:val="20"/>
    </w:rPr>
  </w:style>
  <w:style w:type="character" w:styleId="FootnoteReference">
    <w:name w:val="footnote reference"/>
    <w:basedOn w:val="DefaultParagraphFont"/>
    <w:uiPriority w:val="99"/>
    <w:semiHidden/>
    <w:unhideWhenUsed/>
    <w:rsid w:val="00787A1C"/>
    <w:rPr>
      <w:vertAlign w:val="superscript"/>
    </w:rPr>
  </w:style>
  <w:style w:type="paragraph" w:styleId="BodyTextIndent2">
    <w:name w:val="Body Text Indent 2"/>
    <w:basedOn w:val="Normal"/>
    <w:link w:val="BodyTextIndent2Char"/>
    <w:rsid w:val="00736ABE"/>
    <w:pPr>
      <w:ind w:left="686"/>
    </w:pPr>
    <w:rPr>
      <w:rFonts w:ascii="Palatino Linotype" w:eastAsia="Times New Roman" w:hAnsi="Palatino Linotype"/>
      <w:szCs w:val="24"/>
    </w:rPr>
  </w:style>
  <w:style w:type="character" w:customStyle="1" w:styleId="BodyTextIndent2Char">
    <w:name w:val="Body Text Indent 2 Char"/>
    <w:basedOn w:val="DefaultParagraphFont"/>
    <w:link w:val="BodyTextIndent2"/>
    <w:rsid w:val="00736ABE"/>
    <w:rPr>
      <w:rFonts w:ascii="Palatino Linotype" w:eastAsia="Times New Roman" w:hAnsi="Palatino Linotype"/>
      <w:szCs w:val="24"/>
    </w:rPr>
  </w:style>
  <w:style w:type="paragraph" w:styleId="Title">
    <w:name w:val="Title"/>
    <w:basedOn w:val="Normal"/>
    <w:link w:val="TitleChar"/>
    <w:qFormat/>
    <w:rsid w:val="00736ABE"/>
    <w:pPr>
      <w:jc w:val="center"/>
    </w:pPr>
    <w:rPr>
      <w:rFonts w:ascii="Palatino Linotype" w:eastAsia="Times New Roman" w:hAnsi="Palatino Linotype"/>
      <w:b/>
      <w:bCs/>
      <w:szCs w:val="24"/>
    </w:rPr>
  </w:style>
  <w:style w:type="character" w:customStyle="1" w:styleId="TitleChar">
    <w:name w:val="Title Char"/>
    <w:basedOn w:val="DefaultParagraphFont"/>
    <w:link w:val="Title"/>
    <w:rsid w:val="00736ABE"/>
    <w:rPr>
      <w:rFonts w:ascii="Palatino Linotype" w:eastAsia="Times New Roman" w:hAnsi="Palatino Linotype"/>
      <w:b/>
      <w:bCs/>
      <w:szCs w:val="24"/>
    </w:rPr>
  </w:style>
  <w:style w:type="paragraph" w:styleId="Header">
    <w:name w:val="header"/>
    <w:basedOn w:val="Normal"/>
    <w:link w:val="HeaderChar"/>
    <w:uiPriority w:val="99"/>
    <w:semiHidden/>
    <w:unhideWhenUsed/>
    <w:rsid w:val="00736ABE"/>
    <w:pPr>
      <w:tabs>
        <w:tab w:val="center" w:pos="4680"/>
        <w:tab w:val="right" w:pos="9360"/>
      </w:tabs>
    </w:pPr>
  </w:style>
  <w:style w:type="character" w:customStyle="1" w:styleId="HeaderChar">
    <w:name w:val="Header Char"/>
    <w:basedOn w:val="DefaultParagraphFont"/>
    <w:link w:val="Header"/>
    <w:uiPriority w:val="99"/>
    <w:semiHidden/>
    <w:rsid w:val="00736ABE"/>
  </w:style>
  <w:style w:type="paragraph" w:styleId="Footer">
    <w:name w:val="footer"/>
    <w:basedOn w:val="Normal"/>
    <w:link w:val="FooterChar"/>
    <w:uiPriority w:val="99"/>
    <w:semiHidden/>
    <w:unhideWhenUsed/>
    <w:rsid w:val="00736ABE"/>
    <w:pPr>
      <w:tabs>
        <w:tab w:val="center" w:pos="4680"/>
        <w:tab w:val="right" w:pos="9360"/>
      </w:tabs>
    </w:pPr>
  </w:style>
  <w:style w:type="character" w:customStyle="1" w:styleId="FooterChar">
    <w:name w:val="Footer Char"/>
    <w:basedOn w:val="DefaultParagraphFont"/>
    <w:link w:val="Footer"/>
    <w:uiPriority w:val="99"/>
    <w:semiHidden/>
    <w:rsid w:val="00736ABE"/>
  </w:style>
  <w:style w:type="paragraph" w:styleId="ListParagraph">
    <w:name w:val="List Paragraph"/>
    <w:basedOn w:val="Normal"/>
    <w:uiPriority w:val="34"/>
    <w:qFormat/>
    <w:rsid w:val="00ED7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2009-09-14T07:00:00+00:00</OpenedDate>
    <Date1 xmlns="dc463f71-b30c-4ab2-9473-d307f9d35888">2010-05-19T07:00:00+00:00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F9F4016E74264D89E301FE540D18D2" ma:contentTypeVersion="131" ma:contentTypeDescription="" ma:contentTypeScope="" ma:versionID="0e3a4e1ebd4e509945a4e2ccff184a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FCB5F0-CED6-420B-97E9-748EECD8C572}"/>
</file>

<file path=customXml/itemProps2.xml><?xml version="1.0" encoding="utf-8"?>
<ds:datastoreItem xmlns:ds="http://schemas.openxmlformats.org/officeDocument/2006/customXml" ds:itemID="{38351598-04F1-4870-82C5-5354C258F82C}"/>
</file>

<file path=customXml/itemProps3.xml><?xml version="1.0" encoding="utf-8"?>
<ds:datastoreItem xmlns:ds="http://schemas.openxmlformats.org/officeDocument/2006/customXml" ds:itemID="{A1835ED4-6EB3-4713-91B1-316197A5B455}"/>
</file>

<file path=customXml/itemProps4.xml><?xml version="1.0" encoding="utf-8"?>
<ds:datastoreItem xmlns:ds="http://schemas.openxmlformats.org/officeDocument/2006/customXml" ds:itemID="{75A124F7-9F49-41C3-87CB-FD30DEB210E1}"/>
</file>

<file path=customXml/itemProps5.xml><?xml version="1.0" encoding="utf-8"?>
<ds:datastoreItem xmlns:ds="http://schemas.openxmlformats.org/officeDocument/2006/customXml" ds:itemID="{77C2484F-54D4-4732-B422-F32CF454984A}"/>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Trotter</dc:creator>
  <cp:keywords/>
  <dc:description/>
  <cp:lastModifiedBy>Krista Gross</cp:lastModifiedBy>
  <cp:revision>3</cp:revision>
  <dcterms:created xsi:type="dcterms:W3CDTF">2010-05-19T16:56:00Z</dcterms:created>
  <dcterms:modified xsi:type="dcterms:W3CDTF">2010-05-19T16:56:00Z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0x0101006E56B4D1795A2E4DB2F0B01679ED314A00FEF9F4016E74264D89E301FE540D18D2</vt:lpwstr>
  </property>
  <property fmtid="{D5CDD505-2E9C-101B-9397-08002B2CF9AE}" pid="3" name="_docset_NoMedatataSyncRequired">
    <vt:lpwstr>False</vt:lpwstr>
  </property>
</Properties>
</file>